
<file path=[Content_Types].xml><?xml version="1.0" encoding="utf-8"?>
<Types xmlns="http://schemas.openxmlformats.org/package/2006/content-types">
  <Default Extension="xml" ContentType="application/xml"/>
  <Default Extension="wmf" ContentType="image/x-w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163CF9">
      <w:pPr>
        <w:pStyle w:val="19"/>
        <w:jc w:val="center"/>
        <w:rPr>
          <w:rFonts w:hAnsi="宋体" w:cs="宋体"/>
          <w:color w:val="auto"/>
          <w:spacing w:val="30"/>
          <w:kern w:val="52"/>
          <w:sz w:val="64"/>
          <w:szCs w:val="64"/>
          <w:highlight w:val="none"/>
        </w:rPr>
      </w:pPr>
      <w:r>
        <w:rPr>
          <w:rFonts w:hint="eastAsia" w:hAnsi="宋体" w:cs="宋体"/>
          <w:color w:val="auto"/>
          <w:highlight w:val="none"/>
        </w:rPr>
        <w:drawing>
          <wp:inline distT="0" distB="0" distL="114300" distR="114300">
            <wp:extent cx="1031875" cy="965835"/>
            <wp:effectExtent l="0" t="0" r="15875" b="5715"/>
            <wp:docPr id="2" name="图片 1" descr="国泰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国泰标志"/>
                    <pic:cNvPicPr>
                      <a:picLocks noChangeAspect="1"/>
                    </pic:cNvPicPr>
                  </pic:nvPicPr>
                  <pic:blipFill>
                    <a:blip r:embed="rId14" cstate="print"/>
                    <a:stretch>
                      <a:fillRect/>
                    </a:stretch>
                  </pic:blipFill>
                  <pic:spPr>
                    <a:xfrm>
                      <a:off x="0" y="0"/>
                      <a:ext cx="1031875" cy="965835"/>
                    </a:xfrm>
                    <a:prstGeom prst="rect">
                      <a:avLst/>
                    </a:prstGeom>
                    <a:noFill/>
                    <a:ln>
                      <a:noFill/>
                    </a:ln>
                  </pic:spPr>
                </pic:pic>
              </a:graphicData>
            </a:graphic>
          </wp:inline>
        </w:drawing>
      </w:r>
    </w:p>
    <w:p w14:paraId="0F7E5713">
      <w:pPr>
        <w:pStyle w:val="19"/>
        <w:jc w:val="center"/>
        <w:rPr>
          <w:rFonts w:hAnsi="宋体" w:cs="宋体"/>
          <w:color w:val="auto"/>
          <w:spacing w:val="30"/>
          <w:kern w:val="52"/>
          <w:sz w:val="64"/>
          <w:szCs w:val="64"/>
          <w:highlight w:val="none"/>
        </w:rPr>
      </w:pPr>
      <w:r>
        <w:rPr>
          <w:rFonts w:hint="eastAsia" w:hAnsi="宋体" w:cs="宋体"/>
          <w:color w:val="auto"/>
          <w:spacing w:val="30"/>
          <w:kern w:val="52"/>
          <w:sz w:val="64"/>
          <w:szCs w:val="64"/>
          <w:highlight w:val="none"/>
        </w:rPr>
        <w:t>广西国泰招标咨询有限公司</w:t>
      </w:r>
    </w:p>
    <w:p w14:paraId="36D8D93F">
      <w:pPr>
        <w:pStyle w:val="19"/>
        <w:jc w:val="center"/>
        <w:rPr>
          <w:rFonts w:hAnsi="宋体" w:cs="宋体"/>
          <w:b/>
          <w:color w:val="auto"/>
          <w:sz w:val="44"/>
          <w:szCs w:val="44"/>
          <w:highlight w:val="none"/>
        </w:rPr>
      </w:pPr>
      <w:r>
        <w:rPr>
          <w:rFonts w:hAnsi="宋体" w:cs="宋体"/>
          <w:b/>
          <w:color w:val="auto"/>
          <w:spacing w:val="-18"/>
          <w:sz w:val="64"/>
          <w:szCs w:val="64"/>
          <w:highlight w:val="none"/>
        </w:rPr>
        <mc:AlternateContent>
          <mc:Choice Requires="wps">
            <w:drawing>
              <wp:anchor distT="0" distB="0" distL="114300" distR="114300" simplePos="0" relativeHeight="251662336" behindDoc="0" locked="0" layoutInCell="1" allowOverlap="1">
                <wp:simplePos x="0" y="0"/>
                <wp:positionH relativeFrom="column">
                  <wp:posOffset>114300</wp:posOffset>
                </wp:positionH>
                <wp:positionV relativeFrom="paragraph">
                  <wp:posOffset>99060</wp:posOffset>
                </wp:positionV>
                <wp:extent cx="5486400" cy="0"/>
                <wp:effectExtent l="0" t="0" r="0" b="0"/>
                <wp:wrapNone/>
                <wp:docPr id="1" name="直线 2"/>
                <wp:cNvGraphicFramePr/>
                <a:graphic xmlns:a="http://schemas.openxmlformats.org/drawingml/2006/main">
                  <a:graphicData uri="http://schemas.microsoft.com/office/word/2010/wordprocessingShape">
                    <wps:wsp>
                      <wps:cNvCnPr/>
                      <wps:spPr>
                        <a:xfrm>
                          <a:off x="0" y="0"/>
                          <a:ext cx="5486400" cy="0"/>
                        </a:xfrm>
                        <a:prstGeom prst="line">
                          <a:avLst/>
                        </a:prstGeom>
                        <a:ln w="12700" cap="flat" cmpd="sng">
                          <a:solidFill>
                            <a:srgbClr val="000000"/>
                          </a:solidFill>
                          <a:prstDash val="solid"/>
                          <a:headEnd type="none" w="med" len="med"/>
                          <a:tailEnd type="none" w="med" len="med"/>
                        </a:ln>
                        <a:effectLst/>
                      </wps:spPr>
                      <wps:bodyPr/>
                    </wps:wsp>
                  </a:graphicData>
                </a:graphic>
              </wp:anchor>
            </w:drawing>
          </mc:Choice>
          <mc:Fallback>
            <w:pict>
              <v:line id="直线 2" o:spid="_x0000_s1026" o:spt="20" style="position:absolute;left:0pt;margin-left:9pt;margin-top:7.8pt;height:0pt;width:432pt;z-index:251662336;mso-width-relative:page;mso-height-relative:page;" filled="f" stroked="t" coordsize="21600,21600" o:gfxdata="UEsDBAoAAAAAAIdO4kAAAAAAAAAAAAAAAAAEAAAAZHJzL1BLAwQUAAAACACHTuJAr2sFDNQAAAAI&#10;AQAADwAAAGRycy9kb3ducmV2LnhtbE1Py07DMBC8I/EP1iJxo04jUawQpwdQVYG4tEXiuk22cUq8&#10;TmP3wd+ziAOcVvPQ7Ew5v/henWiMXWAL00kGirgOTcethffN4s6Aigm5wT4wWfiiCPPq+qrEogln&#10;XtFpnVolIRwLtOBSGgqtY+3IY5yEgVi0XRg9JoFjq5sRzxLue51n2Ux77Fg+OBzoyVH9uT56C/i8&#10;XKUPk78+dC/ubb9ZHJbOHKy9vZlmj6ASXdKfGX7qS3WopNM2HLmJqhdsZEqSez8DJboxuRDbX0JX&#10;pf4/oPoGUEsDBBQAAAAIAIdO4kCqXGRH4wEAAN4DAAAOAAAAZHJzL2Uyb0RvYy54bWytU81uEzEQ&#10;viPxDpbvZNOolGrVTQ8N5YIgEvAAE3s2a8l/8rjZ5Fl4DU5ceJy+BmNvGkq55MAevGPP+Jv5vhnf&#10;3O6dFTtMZILv5MVsLgV6FbTx205++3r/5loKyuA12OCxkwckebt8/epmjC0uwhCsxiQYxFM7xk4O&#10;Oce2aUgN6IBmIaJnZx+Sg8zbtG10gpHRnW0W8/lVM4akYwoKifh0NTnlETGdAxj63ihcBfXg0OcJ&#10;NaGFzJRoMJHkslbb96jy574nzMJ2kpnmunIStjdlbZY30G4TxMGoYwlwTgkvODkwnpOeoFaQQTwk&#10;8w+UMyoFCn2eqeCaiUhVhFlczF9o82WAiJULS03xJDr9P1j1abdOwmieBCk8OG744/cfjz9/iUXR&#10;ZozUcsidX6fjjuI6FaL7PrnyZwpiX/U8nPTEfRaKD99eXl9dzllq9eRr/lyMifIHDE4Uo5PW+EIV&#10;Wth9pMzJOPQppBxbL0YucvGu4gEPXs8NZ2gXuXjy23qZgjX63lhbrlDabu5sEjsoza9f4cTAf4WV&#10;LCugYYqrrmksBgT93muRD5Fl8fwaZKnBoZbCIj+eYjEgtBmMPSeSU1tfLmAdzSPRIvIka7E2QR+q&#10;2k3ZcdtrxccRLXP1fM/282e5/A1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vawUM1AAAAAgBAAAP&#10;AAAAAAAAAAEAIAAAACIAAABkcnMvZG93bnJldi54bWxQSwECFAAUAAAACACHTuJAqlxkR+MBAADe&#10;AwAADgAAAAAAAAABACAAAAAjAQAAZHJzL2Uyb0RvYy54bWxQSwUGAAAAAAYABgBZAQAAeAUAAAAA&#10;">
                <v:fill on="f" focussize="0,0"/>
                <v:stroke weight="1pt" color="#000000" joinstyle="round"/>
                <v:imagedata o:title=""/>
                <o:lock v:ext="edit" aspectratio="f"/>
              </v:line>
            </w:pict>
          </mc:Fallback>
        </mc:AlternateContent>
      </w:r>
    </w:p>
    <w:p w14:paraId="524006B1">
      <w:pPr>
        <w:snapToGrid w:val="0"/>
        <w:spacing w:before="156" w:beforeLines="50" w:line="360" w:lineRule="auto"/>
        <w:jc w:val="center"/>
        <w:rPr>
          <w:rFonts w:ascii="宋体" w:hAnsi="宋体" w:cs="宋体"/>
          <w:color w:val="auto"/>
          <w:sz w:val="120"/>
          <w:szCs w:val="120"/>
          <w:highlight w:val="none"/>
        </w:rPr>
      </w:pPr>
      <w:r>
        <w:rPr>
          <w:rFonts w:hint="eastAsia" w:ascii="宋体" w:hAnsi="宋体" w:cs="宋体"/>
          <w:color w:val="auto"/>
          <w:sz w:val="120"/>
          <w:szCs w:val="120"/>
          <w:highlight w:val="none"/>
        </w:rPr>
        <w:t>竞争性磋商文件</w:t>
      </w:r>
    </w:p>
    <w:p w14:paraId="2211D65F">
      <w:pPr>
        <w:snapToGrid w:val="0"/>
        <w:spacing w:line="360" w:lineRule="auto"/>
        <w:rPr>
          <w:rFonts w:ascii="宋体" w:hAnsi="宋体" w:cs="宋体"/>
          <w:b/>
          <w:color w:val="auto"/>
          <w:sz w:val="48"/>
          <w:szCs w:val="48"/>
          <w:highlight w:val="none"/>
        </w:rPr>
      </w:pPr>
    </w:p>
    <w:p w14:paraId="5EDCA8CE">
      <w:pPr>
        <w:pStyle w:val="19"/>
        <w:snapToGrid w:val="0"/>
        <w:spacing w:line="360" w:lineRule="auto"/>
        <w:ind w:firstLine="1205" w:firstLineChars="400"/>
        <w:rPr>
          <w:rFonts w:hAnsi="宋体" w:cs="宋体"/>
          <w:b/>
          <w:bCs/>
          <w:color w:val="auto"/>
          <w:sz w:val="30"/>
          <w:szCs w:val="30"/>
          <w:highlight w:val="none"/>
        </w:rPr>
      </w:pPr>
    </w:p>
    <w:p w14:paraId="3732398D">
      <w:pPr>
        <w:pStyle w:val="19"/>
        <w:snapToGrid w:val="0"/>
        <w:spacing w:line="360" w:lineRule="auto"/>
        <w:ind w:left="2703" w:leftChars="570" w:hanging="1506" w:hangingChars="500"/>
        <w:rPr>
          <w:rFonts w:hAnsi="宋体" w:cs="宋体"/>
          <w:b/>
          <w:bCs/>
          <w:color w:val="auto"/>
          <w:sz w:val="30"/>
          <w:szCs w:val="30"/>
          <w:highlight w:val="none"/>
        </w:rPr>
      </w:pPr>
      <w:r>
        <w:rPr>
          <w:rFonts w:hint="eastAsia" w:hAnsi="宋体" w:cs="宋体"/>
          <w:b/>
          <w:bCs/>
          <w:color w:val="auto"/>
          <w:sz w:val="30"/>
          <w:szCs w:val="30"/>
          <w:highlight w:val="none"/>
        </w:rPr>
        <w:t>项目</w:t>
      </w:r>
      <w:r>
        <w:rPr>
          <w:rFonts w:hint="eastAsia" w:hAnsi="宋体" w:cs="宋体"/>
          <w:b/>
          <w:bCs/>
          <w:color w:val="auto"/>
          <w:w w:val="95"/>
          <w:sz w:val="30"/>
          <w:szCs w:val="30"/>
          <w:highlight w:val="none"/>
        </w:rPr>
        <w:t>名称</w:t>
      </w:r>
      <w:r>
        <w:rPr>
          <w:rFonts w:hint="eastAsia" w:hAnsi="宋体" w:cs="宋体"/>
          <w:b/>
          <w:bCs/>
          <w:color w:val="auto"/>
          <w:sz w:val="30"/>
          <w:szCs w:val="30"/>
          <w:highlight w:val="none"/>
        </w:rPr>
        <w:t>：</w:t>
      </w:r>
      <w:r>
        <w:rPr>
          <w:rFonts w:hint="eastAsia" w:hAnsi="宋体" w:cs="宋体"/>
          <w:b/>
          <w:color w:val="auto"/>
          <w:sz w:val="32"/>
          <w:szCs w:val="32"/>
          <w:highlight w:val="none"/>
        </w:rPr>
        <w:t>露天矿山0.2米分辨率航空影像获取和正射影像生产</w:t>
      </w:r>
    </w:p>
    <w:p w14:paraId="449261CD">
      <w:pPr>
        <w:pStyle w:val="19"/>
        <w:snapToGrid w:val="0"/>
        <w:spacing w:line="360" w:lineRule="auto"/>
        <w:ind w:firstLine="1205" w:firstLineChars="400"/>
        <w:rPr>
          <w:rFonts w:hint="eastAsia" w:hAnsi="宋体" w:eastAsia="宋体" w:cs="宋体"/>
          <w:b/>
          <w:bCs/>
          <w:color w:val="auto"/>
          <w:sz w:val="30"/>
          <w:szCs w:val="30"/>
          <w:highlight w:val="none"/>
          <w:lang w:eastAsia="zh-CN"/>
        </w:rPr>
      </w:pPr>
      <w:r>
        <w:rPr>
          <w:rFonts w:hint="eastAsia" w:hAnsi="宋体" w:cs="宋体"/>
          <w:b/>
          <w:bCs/>
          <w:color w:val="auto"/>
          <w:sz w:val="30"/>
          <w:szCs w:val="30"/>
          <w:highlight w:val="none"/>
        </w:rPr>
        <w:t>项目编号：</w:t>
      </w:r>
      <w:r>
        <w:rPr>
          <w:rFonts w:hint="eastAsia" w:hAnsi="宋体" w:cs="宋体"/>
          <w:b/>
          <w:color w:val="auto"/>
          <w:sz w:val="32"/>
          <w:szCs w:val="32"/>
          <w:highlight w:val="none"/>
          <w:lang w:eastAsia="zh-CN"/>
        </w:rPr>
        <w:t>GXZC2025-C3-002002-GTZB</w:t>
      </w:r>
    </w:p>
    <w:p w14:paraId="1C5A8ABF">
      <w:pPr>
        <w:snapToGrid w:val="0"/>
        <w:spacing w:line="360" w:lineRule="auto"/>
        <w:rPr>
          <w:rFonts w:ascii="宋体" w:hAnsi="宋体" w:cs="宋体"/>
          <w:color w:val="auto"/>
          <w:sz w:val="30"/>
          <w:szCs w:val="72"/>
          <w:highlight w:val="none"/>
        </w:rPr>
      </w:pPr>
      <w:r>
        <w:rPr>
          <w:rFonts w:hint="eastAsia" w:ascii="宋体" w:hAnsi="宋体" w:cs="宋体"/>
          <w:b/>
          <w:color w:val="auto"/>
          <w:sz w:val="30"/>
          <w:szCs w:val="48"/>
          <w:highlight w:val="none"/>
        </w:rPr>
        <w:t xml:space="preserve"> </w:t>
      </w:r>
    </w:p>
    <w:p w14:paraId="579D2AF5">
      <w:pPr>
        <w:pStyle w:val="19"/>
        <w:snapToGrid w:val="0"/>
        <w:spacing w:line="360" w:lineRule="auto"/>
        <w:ind w:firstLine="1431" w:firstLineChars="500"/>
        <w:rPr>
          <w:rFonts w:hAnsi="宋体" w:cs="宋体"/>
          <w:b/>
          <w:bCs/>
          <w:color w:val="auto"/>
          <w:w w:val="95"/>
          <w:sz w:val="30"/>
          <w:szCs w:val="30"/>
          <w:highlight w:val="none"/>
        </w:rPr>
      </w:pPr>
    </w:p>
    <w:p w14:paraId="46058839">
      <w:pPr>
        <w:pStyle w:val="19"/>
        <w:snapToGrid w:val="0"/>
        <w:spacing w:line="360" w:lineRule="auto"/>
        <w:ind w:firstLine="1431" w:firstLineChars="500"/>
        <w:rPr>
          <w:rFonts w:hAnsi="宋体" w:cs="宋体"/>
          <w:b/>
          <w:bCs/>
          <w:color w:val="auto"/>
          <w:w w:val="95"/>
          <w:sz w:val="30"/>
          <w:szCs w:val="30"/>
          <w:highlight w:val="none"/>
        </w:rPr>
      </w:pPr>
      <w:r>
        <w:rPr>
          <w:rFonts w:hint="eastAsia" w:hAnsi="宋体" w:cs="宋体"/>
          <w:b/>
          <w:bCs/>
          <w:color w:val="auto"/>
          <w:w w:val="95"/>
          <w:sz w:val="30"/>
          <w:szCs w:val="30"/>
          <w:highlight w:val="none"/>
        </w:rPr>
        <w:t>采 购 人：</w:t>
      </w:r>
      <w:r>
        <w:rPr>
          <w:rFonts w:hint="eastAsia" w:hAnsi="宋体" w:cs="宋体"/>
          <w:b/>
          <w:color w:val="auto"/>
          <w:sz w:val="32"/>
          <w:szCs w:val="32"/>
          <w:highlight w:val="none"/>
        </w:rPr>
        <w:t>广西壮族自治区自然资源调查监测院</w:t>
      </w:r>
    </w:p>
    <w:p w14:paraId="29B056C0">
      <w:pPr>
        <w:pStyle w:val="19"/>
        <w:snapToGrid w:val="0"/>
        <w:spacing w:line="360" w:lineRule="auto"/>
        <w:ind w:firstLine="1431" w:firstLineChars="500"/>
        <w:rPr>
          <w:rFonts w:hAnsi="宋体" w:cs="宋体"/>
          <w:b/>
          <w:bCs/>
          <w:color w:val="auto"/>
          <w:w w:val="95"/>
          <w:sz w:val="30"/>
          <w:szCs w:val="30"/>
          <w:highlight w:val="none"/>
        </w:rPr>
      </w:pPr>
      <w:r>
        <w:rPr>
          <w:rFonts w:hint="eastAsia" w:hAnsi="宋体" w:cs="宋体"/>
          <w:b/>
          <w:bCs/>
          <w:color w:val="auto"/>
          <w:w w:val="95"/>
          <w:sz w:val="30"/>
          <w:szCs w:val="30"/>
          <w:highlight w:val="none"/>
        </w:rPr>
        <w:t>采购代理机构：</w:t>
      </w:r>
      <w:r>
        <w:rPr>
          <w:rFonts w:hint="eastAsia" w:hAnsi="宋体" w:cs="宋体"/>
          <w:b/>
          <w:color w:val="auto"/>
          <w:sz w:val="32"/>
          <w:szCs w:val="32"/>
          <w:highlight w:val="none"/>
        </w:rPr>
        <w:t>广西国泰招标咨询有限公司</w:t>
      </w:r>
    </w:p>
    <w:p w14:paraId="7BAB0B3C">
      <w:pPr>
        <w:pStyle w:val="19"/>
        <w:snapToGrid w:val="0"/>
        <w:spacing w:line="360" w:lineRule="auto"/>
        <w:ind w:left="420" w:firstLine="841" w:firstLineChars="294"/>
        <w:rPr>
          <w:rFonts w:hAnsi="宋体" w:cs="宋体"/>
          <w:b/>
          <w:bCs/>
          <w:color w:val="auto"/>
          <w:w w:val="95"/>
          <w:sz w:val="30"/>
          <w:szCs w:val="30"/>
          <w:highlight w:val="none"/>
        </w:rPr>
      </w:pPr>
      <w:r>
        <w:rPr>
          <w:rFonts w:hint="eastAsia" w:hAnsi="宋体" w:cs="宋体"/>
          <w:b/>
          <w:bCs/>
          <w:color w:val="auto"/>
          <w:w w:val="95"/>
          <w:sz w:val="30"/>
          <w:szCs w:val="30"/>
          <w:highlight w:val="none"/>
        </w:rPr>
        <w:t xml:space="preserve">                2025年7月</w:t>
      </w:r>
    </w:p>
    <w:p w14:paraId="7E25DB2C">
      <w:pPr>
        <w:tabs>
          <w:tab w:val="left" w:pos="1080"/>
        </w:tabs>
        <w:spacing w:line="360" w:lineRule="auto"/>
        <w:ind w:firstLine="883" w:firstLineChars="200"/>
        <w:rPr>
          <w:rFonts w:ascii="宋体" w:hAnsi="宋体" w:cs="宋体"/>
          <w:b/>
          <w:color w:val="auto"/>
          <w:sz w:val="44"/>
          <w:szCs w:val="44"/>
          <w:highlight w:val="none"/>
        </w:rPr>
        <w:sectPr>
          <w:headerReference r:id="rId5" w:type="first"/>
          <w:footerReference r:id="rId8" w:type="first"/>
          <w:headerReference r:id="rId3" w:type="default"/>
          <w:footerReference r:id="rId6" w:type="default"/>
          <w:headerReference r:id="rId4" w:type="even"/>
          <w:footerReference r:id="rId7" w:type="even"/>
          <w:pgSz w:w="11906" w:h="16838"/>
          <w:pgMar w:top="1440" w:right="1440" w:bottom="1440" w:left="1587" w:header="851" w:footer="992" w:gutter="0"/>
          <w:pgNumType w:start="0"/>
          <w:cols w:space="720" w:num="1"/>
          <w:titlePg/>
          <w:docGrid w:type="lines" w:linePitch="312" w:charSpace="0"/>
        </w:sectPr>
      </w:pPr>
    </w:p>
    <w:p w14:paraId="1DCAB3E2">
      <w:pPr>
        <w:pStyle w:val="55"/>
        <w:rPr>
          <w:color w:val="auto"/>
          <w:highlight w:val="none"/>
        </w:rPr>
      </w:pPr>
    </w:p>
    <w:p w14:paraId="32CCF094">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目  录</w:t>
      </w:r>
    </w:p>
    <w:p w14:paraId="0D7474EB">
      <w:pPr>
        <w:spacing w:line="400" w:lineRule="exact"/>
        <w:jc w:val="center"/>
        <w:rPr>
          <w:rFonts w:ascii="宋体" w:hAnsi="宋体" w:cs="宋体"/>
          <w:b/>
          <w:color w:val="auto"/>
          <w:sz w:val="44"/>
          <w:szCs w:val="44"/>
          <w:highlight w:val="none"/>
        </w:rPr>
      </w:pPr>
    </w:p>
    <w:p w14:paraId="1ACB87F3">
      <w:pPr>
        <w:pStyle w:val="24"/>
        <w:tabs>
          <w:tab w:val="right" w:leader="dot" w:pos="8879"/>
        </w:tabs>
        <w:spacing w:line="480" w:lineRule="auto"/>
        <w:rPr>
          <w:rFonts w:ascii="宋体" w:hAnsi="宋体" w:cs="宋体"/>
          <w:b/>
          <w:bCs/>
          <w:color w:val="auto"/>
          <w:sz w:val="28"/>
          <w:szCs w:val="28"/>
          <w:highlight w:val="none"/>
        </w:rPr>
      </w:pPr>
      <w:r>
        <w:rPr>
          <w:rFonts w:hint="eastAsia" w:ascii="宋体" w:hAnsi="宋体" w:cs="宋体"/>
          <w:b/>
          <w:color w:val="auto"/>
          <w:sz w:val="24"/>
          <w:highlight w:val="none"/>
        </w:rPr>
        <w:fldChar w:fldCharType="begin"/>
      </w:r>
      <w:r>
        <w:rPr>
          <w:rFonts w:hint="eastAsia" w:ascii="宋体" w:hAnsi="宋体" w:cs="宋体"/>
          <w:b/>
          <w:color w:val="auto"/>
          <w:sz w:val="24"/>
          <w:highlight w:val="none"/>
        </w:rPr>
        <w:instrText xml:space="preserve"> TOC \o "1-3" \h \z \u </w:instrText>
      </w:r>
      <w:r>
        <w:rPr>
          <w:rFonts w:hint="eastAsia" w:ascii="宋体" w:hAnsi="宋体" w:cs="宋体"/>
          <w:b/>
          <w:color w:val="auto"/>
          <w:sz w:val="24"/>
          <w:highlight w:val="none"/>
        </w:rPr>
        <w:fldChar w:fldCharType="separate"/>
      </w:r>
      <w:r>
        <w:rPr>
          <w:color w:val="auto"/>
          <w:highlight w:val="none"/>
        </w:rPr>
        <w:fldChar w:fldCharType="begin"/>
      </w:r>
      <w:r>
        <w:rPr>
          <w:color w:val="auto"/>
          <w:highlight w:val="none"/>
        </w:rPr>
        <w:instrText xml:space="preserve"> HYPERLINK \l "_Toc7577" </w:instrText>
      </w:r>
      <w:r>
        <w:rPr>
          <w:color w:val="auto"/>
          <w:highlight w:val="none"/>
        </w:rPr>
        <w:fldChar w:fldCharType="separate"/>
      </w:r>
      <w:r>
        <w:rPr>
          <w:rFonts w:hint="eastAsia" w:ascii="宋体" w:hAnsi="宋体" w:cs="宋体"/>
          <w:b/>
          <w:bCs/>
          <w:color w:val="auto"/>
          <w:sz w:val="28"/>
          <w:szCs w:val="28"/>
          <w:highlight w:val="none"/>
        </w:rPr>
        <w:t>第一章 竞争性磋商公告</w:t>
      </w:r>
      <w:r>
        <w:rPr>
          <w:rFonts w:hint="eastAsia" w:ascii="宋体" w:hAnsi="宋体" w:cs="宋体"/>
          <w:b/>
          <w:bCs/>
          <w:color w:val="auto"/>
          <w:sz w:val="28"/>
          <w:szCs w:val="28"/>
          <w:highlight w:val="none"/>
        </w:rPr>
        <w:tab/>
      </w:r>
      <w:r>
        <w:rPr>
          <w:rFonts w:hint="eastAsia" w:ascii="宋体" w:hAnsi="宋体" w:cs="宋体"/>
          <w:b/>
          <w:bCs/>
          <w:color w:val="auto"/>
          <w:sz w:val="28"/>
          <w:szCs w:val="28"/>
          <w:highlight w:val="none"/>
        </w:rPr>
        <w:fldChar w:fldCharType="begin"/>
      </w:r>
      <w:r>
        <w:rPr>
          <w:rFonts w:hint="eastAsia" w:ascii="宋体" w:hAnsi="宋体" w:cs="宋体"/>
          <w:b/>
          <w:bCs/>
          <w:color w:val="auto"/>
          <w:sz w:val="28"/>
          <w:szCs w:val="28"/>
          <w:highlight w:val="none"/>
        </w:rPr>
        <w:instrText xml:space="preserve"> PAGEREF _Toc7577 \h </w:instrText>
      </w:r>
      <w:r>
        <w:rPr>
          <w:rFonts w:hint="eastAsia" w:ascii="宋体" w:hAnsi="宋体" w:cs="宋体"/>
          <w:b/>
          <w:bCs/>
          <w:color w:val="auto"/>
          <w:sz w:val="28"/>
          <w:szCs w:val="28"/>
          <w:highlight w:val="none"/>
        </w:rPr>
        <w:fldChar w:fldCharType="separate"/>
      </w:r>
      <w:r>
        <w:rPr>
          <w:rFonts w:hint="eastAsia" w:ascii="宋体" w:hAnsi="宋体" w:cs="宋体"/>
          <w:b/>
          <w:bCs/>
          <w:color w:val="auto"/>
          <w:sz w:val="28"/>
          <w:szCs w:val="28"/>
          <w:highlight w:val="none"/>
        </w:rPr>
        <w:t>1</w:t>
      </w:r>
      <w:r>
        <w:rPr>
          <w:rFonts w:hint="eastAsia" w:ascii="宋体" w:hAnsi="宋体" w:cs="宋体"/>
          <w:b/>
          <w:bCs/>
          <w:color w:val="auto"/>
          <w:sz w:val="28"/>
          <w:szCs w:val="28"/>
          <w:highlight w:val="none"/>
        </w:rPr>
        <w:fldChar w:fldCharType="end"/>
      </w:r>
      <w:r>
        <w:rPr>
          <w:rFonts w:hint="eastAsia" w:ascii="宋体" w:hAnsi="宋体" w:cs="宋体"/>
          <w:b/>
          <w:bCs/>
          <w:color w:val="auto"/>
          <w:sz w:val="28"/>
          <w:szCs w:val="28"/>
          <w:highlight w:val="none"/>
        </w:rPr>
        <w:fldChar w:fldCharType="end"/>
      </w:r>
    </w:p>
    <w:p w14:paraId="60B921EB">
      <w:pPr>
        <w:pStyle w:val="24"/>
        <w:tabs>
          <w:tab w:val="right" w:leader="dot" w:pos="8879"/>
        </w:tabs>
        <w:spacing w:line="480" w:lineRule="auto"/>
        <w:rPr>
          <w:rFonts w:ascii="宋体" w:hAnsi="宋体" w:cs="宋体"/>
          <w:b/>
          <w:bCs/>
          <w:color w:val="auto"/>
          <w:sz w:val="28"/>
          <w:szCs w:val="28"/>
          <w:highlight w:val="none"/>
        </w:rPr>
      </w:pPr>
      <w:r>
        <w:rPr>
          <w:color w:val="auto"/>
          <w:highlight w:val="none"/>
        </w:rPr>
        <w:fldChar w:fldCharType="begin"/>
      </w:r>
      <w:r>
        <w:rPr>
          <w:color w:val="auto"/>
          <w:highlight w:val="none"/>
        </w:rPr>
        <w:instrText xml:space="preserve"> HYPERLINK \l "_Toc411" </w:instrText>
      </w:r>
      <w:r>
        <w:rPr>
          <w:color w:val="auto"/>
          <w:highlight w:val="none"/>
        </w:rPr>
        <w:fldChar w:fldCharType="separate"/>
      </w:r>
      <w:r>
        <w:rPr>
          <w:rFonts w:hint="eastAsia" w:ascii="宋体" w:hAnsi="宋体" w:cs="宋体"/>
          <w:b/>
          <w:bCs/>
          <w:color w:val="auto"/>
          <w:sz w:val="28"/>
          <w:szCs w:val="28"/>
          <w:highlight w:val="none"/>
        </w:rPr>
        <w:t>第二章 供应商须知</w:t>
      </w:r>
      <w:r>
        <w:rPr>
          <w:rFonts w:hint="eastAsia" w:ascii="宋体" w:hAnsi="宋体" w:cs="宋体"/>
          <w:b/>
          <w:bCs/>
          <w:color w:val="auto"/>
          <w:sz w:val="28"/>
          <w:szCs w:val="28"/>
          <w:highlight w:val="none"/>
        </w:rPr>
        <w:tab/>
      </w:r>
      <w:r>
        <w:rPr>
          <w:rFonts w:hint="eastAsia" w:ascii="宋体" w:hAnsi="宋体" w:cs="宋体"/>
          <w:b/>
          <w:bCs/>
          <w:color w:val="auto"/>
          <w:sz w:val="28"/>
          <w:szCs w:val="28"/>
          <w:highlight w:val="none"/>
        </w:rPr>
        <w:fldChar w:fldCharType="begin"/>
      </w:r>
      <w:r>
        <w:rPr>
          <w:rFonts w:hint="eastAsia" w:ascii="宋体" w:hAnsi="宋体" w:cs="宋体"/>
          <w:b/>
          <w:bCs/>
          <w:color w:val="auto"/>
          <w:sz w:val="28"/>
          <w:szCs w:val="28"/>
          <w:highlight w:val="none"/>
        </w:rPr>
        <w:instrText xml:space="preserve"> PAGEREF _Toc411 \h </w:instrText>
      </w:r>
      <w:r>
        <w:rPr>
          <w:rFonts w:hint="eastAsia" w:ascii="宋体" w:hAnsi="宋体" w:cs="宋体"/>
          <w:b/>
          <w:bCs/>
          <w:color w:val="auto"/>
          <w:sz w:val="28"/>
          <w:szCs w:val="28"/>
          <w:highlight w:val="none"/>
        </w:rPr>
        <w:fldChar w:fldCharType="separate"/>
      </w:r>
      <w:r>
        <w:rPr>
          <w:rFonts w:hint="eastAsia" w:ascii="宋体" w:hAnsi="宋体" w:cs="宋体"/>
          <w:b/>
          <w:bCs/>
          <w:color w:val="auto"/>
          <w:sz w:val="28"/>
          <w:szCs w:val="28"/>
          <w:highlight w:val="none"/>
        </w:rPr>
        <w:t>6</w:t>
      </w:r>
      <w:r>
        <w:rPr>
          <w:rFonts w:hint="eastAsia" w:ascii="宋体" w:hAnsi="宋体" w:cs="宋体"/>
          <w:b/>
          <w:bCs/>
          <w:color w:val="auto"/>
          <w:sz w:val="28"/>
          <w:szCs w:val="28"/>
          <w:highlight w:val="none"/>
        </w:rPr>
        <w:fldChar w:fldCharType="end"/>
      </w:r>
      <w:r>
        <w:rPr>
          <w:rFonts w:hint="eastAsia" w:ascii="宋体" w:hAnsi="宋体" w:cs="宋体"/>
          <w:b/>
          <w:bCs/>
          <w:color w:val="auto"/>
          <w:sz w:val="28"/>
          <w:szCs w:val="28"/>
          <w:highlight w:val="none"/>
        </w:rPr>
        <w:fldChar w:fldCharType="end"/>
      </w:r>
    </w:p>
    <w:p w14:paraId="470847AE">
      <w:pPr>
        <w:pStyle w:val="24"/>
        <w:tabs>
          <w:tab w:val="right" w:leader="dot" w:pos="8879"/>
        </w:tabs>
        <w:spacing w:line="480" w:lineRule="auto"/>
        <w:rPr>
          <w:rFonts w:ascii="宋体" w:hAnsi="宋体" w:cs="宋体"/>
          <w:b/>
          <w:bCs/>
          <w:color w:val="auto"/>
          <w:sz w:val="28"/>
          <w:szCs w:val="28"/>
          <w:highlight w:val="none"/>
        </w:rPr>
      </w:pPr>
      <w:r>
        <w:rPr>
          <w:color w:val="auto"/>
          <w:highlight w:val="none"/>
        </w:rPr>
        <w:fldChar w:fldCharType="begin"/>
      </w:r>
      <w:r>
        <w:rPr>
          <w:color w:val="auto"/>
          <w:highlight w:val="none"/>
        </w:rPr>
        <w:instrText xml:space="preserve"> HYPERLINK \l "_Toc30274" </w:instrText>
      </w:r>
      <w:r>
        <w:rPr>
          <w:color w:val="auto"/>
          <w:highlight w:val="none"/>
        </w:rPr>
        <w:fldChar w:fldCharType="separate"/>
      </w:r>
      <w:r>
        <w:rPr>
          <w:rFonts w:hint="eastAsia" w:ascii="宋体" w:hAnsi="宋体" w:cs="宋体"/>
          <w:b/>
          <w:bCs/>
          <w:color w:val="auto"/>
          <w:sz w:val="28"/>
          <w:szCs w:val="28"/>
          <w:highlight w:val="none"/>
        </w:rPr>
        <w:t>第三章 采购需求</w:t>
      </w:r>
      <w:r>
        <w:rPr>
          <w:rFonts w:hint="eastAsia" w:ascii="宋体" w:hAnsi="宋体" w:cs="宋体"/>
          <w:b/>
          <w:bCs/>
          <w:color w:val="auto"/>
          <w:sz w:val="28"/>
          <w:szCs w:val="28"/>
          <w:highlight w:val="none"/>
        </w:rPr>
        <w:tab/>
      </w:r>
      <w:r>
        <w:rPr>
          <w:rFonts w:hint="eastAsia" w:ascii="宋体" w:hAnsi="宋体" w:cs="宋体"/>
          <w:b/>
          <w:bCs/>
          <w:color w:val="auto"/>
          <w:sz w:val="28"/>
          <w:szCs w:val="28"/>
          <w:highlight w:val="none"/>
        </w:rPr>
        <w:fldChar w:fldCharType="begin"/>
      </w:r>
      <w:r>
        <w:rPr>
          <w:rFonts w:hint="eastAsia" w:ascii="宋体" w:hAnsi="宋体" w:cs="宋体"/>
          <w:b/>
          <w:bCs/>
          <w:color w:val="auto"/>
          <w:sz w:val="28"/>
          <w:szCs w:val="28"/>
          <w:highlight w:val="none"/>
        </w:rPr>
        <w:instrText xml:space="preserve"> PAGEREF _Toc30274 \h </w:instrText>
      </w:r>
      <w:r>
        <w:rPr>
          <w:rFonts w:hint="eastAsia" w:ascii="宋体" w:hAnsi="宋体" w:cs="宋体"/>
          <w:b/>
          <w:bCs/>
          <w:color w:val="auto"/>
          <w:sz w:val="28"/>
          <w:szCs w:val="28"/>
          <w:highlight w:val="none"/>
        </w:rPr>
        <w:fldChar w:fldCharType="separate"/>
      </w:r>
      <w:r>
        <w:rPr>
          <w:rFonts w:hint="eastAsia" w:ascii="宋体" w:hAnsi="宋体" w:cs="宋体"/>
          <w:b/>
          <w:bCs/>
          <w:color w:val="auto"/>
          <w:sz w:val="28"/>
          <w:szCs w:val="28"/>
          <w:highlight w:val="none"/>
        </w:rPr>
        <w:t>23</w:t>
      </w:r>
      <w:r>
        <w:rPr>
          <w:rFonts w:hint="eastAsia" w:ascii="宋体" w:hAnsi="宋体" w:cs="宋体"/>
          <w:b/>
          <w:bCs/>
          <w:color w:val="auto"/>
          <w:sz w:val="28"/>
          <w:szCs w:val="28"/>
          <w:highlight w:val="none"/>
        </w:rPr>
        <w:fldChar w:fldCharType="end"/>
      </w:r>
      <w:r>
        <w:rPr>
          <w:rFonts w:hint="eastAsia" w:ascii="宋体" w:hAnsi="宋体" w:cs="宋体"/>
          <w:b/>
          <w:bCs/>
          <w:color w:val="auto"/>
          <w:sz w:val="28"/>
          <w:szCs w:val="28"/>
          <w:highlight w:val="none"/>
        </w:rPr>
        <w:fldChar w:fldCharType="end"/>
      </w:r>
    </w:p>
    <w:p w14:paraId="2EAE9249">
      <w:pPr>
        <w:pStyle w:val="24"/>
        <w:tabs>
          <w:tab w:val="right" w:leader="dot" w:pos="8879"/>
        </w:tabs>
        <w:spacing w:line="480" w:lineRule="auto"/>
        <w:rPr>
          <w:rFonts w:ascii="宋体" w:hAnsi="宋体" w:cs="宋体"/>
          <w:b/>
          <w:bCs/>
          <w:color w:val="auto"/>
          <w:sz w:val="28"/>
          <w:szCs w:val="28"/>
          <w:highlight w:val="none"/>
        </w:rPr>
      </w:pPr>
      <w:r>
        <w:rPr>
          <w:color w:val="auto"/>
          <w:highlight w:val="none"/>
        </w:rPr>
        <w:fldChar w:fldCharType="begin"/>
      </w:r>
      <w:r>
        <w:rPr>
          <w:color w:val="auto"/>
          <w:highlight w:val="none"/>
        </w:rPr>
        <w:instrText xml:space="preserve"> HYPERLINK \l "_Toc23763" </w:instrText>
      </w:r>
      <w:r>
        <w:rPr>
          <w:color w:val="auto"/>
          <w:highlight w:val="none"/>
        </w:rPr>
        <w:fldChar w:fldCharType="separate"/>
      </w:r>
      <w:r>
        <w:rPr>
          <w:rFonts w:hint="eastAsia" w:ascii="宋体" w:hAnsi="宋体" w:cs="宋体"/>
          <w:b/>
          <w:bCs/>
          <w:color w:val="auto"/>
          <w:sz w:val="28"/>
          <w:szCs w:val="28"/>
          <w:highlight w:val="none"/>
        </w:rPr>
        <w:t>第四章  评审程序、评审方法和评审标准</w:t>
      </w:r>
      <w:r>
        <w:rPr>
          <w:rFonts w:hint="eastAsia" w:ascii="宋体" w:hAnsi="宋体" w:cs="宋体"/>
          <w:b/>
          <w:bCs/>
          <w:color w:val="auto"/>
          <w:sz w:val="28"/>
          <w:szCs w:val="28"/>
          <w:highlight w:val="none"/>
        </w:rPr>
        <w:tab/>
      </w:r>
      <w:r>
        <w:rPr>
          <w:rFonts w:hint="eastAsia" w:ascii="宋体" w:hAnsi="宋体" w:cs="宋体"/>
          <w:b/>
          <w:bCs/>
          <w:color w:val="auto"/>
          <w:sz w:val="28"/>
          <w:szCs w:val="28"/>
          <w:highlight w:val="none"/>
        </w:rPr>
        <w:fldChar w:fldCharType="begin"/>
      </w:r>
      <w:r>
        <w:rPr>
          <w:rFonts w:hint="eastAsia" w:ascii="宋体" w:hAnsi="宋体" w:cs="宋体"/>
          <w:b/>
          <w:bCs/>
          <w:color w:val="auto"/>
          <w:sz w:val="28"/>
          <w:szCs w:val="28"/>
          <w:highlight w:val="none"/>
        </w:rPr>
        <w:instrText xml:space="preserve"> PAGEREF _Toc23763 \h </w:instrText>
      </w:r>
      <w:r>
        <w:rPr>
          <w:rFonts w:hint="eastAsia" w:ascii="宋体" w:hAnsi="宋体" w:cs="宋体"/>
          <w:b/>
          <w:bCs/>
          <w:color w:val="auto"/>
          <w:sz w:val="28"/>
          <w:szCs w:val="28"/>
          <w:highlight w:val="none"/>
        </w:rPr>
        <w:fldChar w:fldCharType="separate"/>
      </w:r>
      <w:r>
        <w:rPr>
          <w:rFonts w:hint="eastAsia" w:ascii="宋体" w:hAnsi="宋体" w:cs="宋体"/>
          <w:b/>
          <w:bCs/>
          <w:color w:val="auto"/>
          <w:sz w:val="28"/>
          <w:szCs w:val="28"/>
          <w:highlight w:val="none"/>
        </w:rPr>
        <w:t>35</w:t>
      </w:r>
      <w:r>
        <w:rPr>
          <w:rFonts w:hint="eastAsia" w:ascii="宋体" w:hAnsi="宋体" w:cs="宋体"/>
          <w:b/>
          <w:bCs/>
          <w:color w:val="auto"/>
          <w:sz w:val="28"/>
          <w:szCs w:val="28"/>
          <w:highlight w:val="none"/>
        </w:rPr>
        <w:fldChar w:fldCharType="end"/>
      </w:r>
      <w:r>
        <w:rPr>
          <w:rFonts w:hint="eastAsia" w:ascii="宋体" w:hAnsi="宋体" w:cs="宋体"/>
          <w:b/>
          <w:bCs/>
          <w:color w:val="auto"/>
          <w:sz w:val="28"/>
          <w:szCs w:val="28"/>
          <w:highlight w:val="none"/>
        </w:rPr>
        <w:fldChar w:fldCharType="end"/>
      </w:r>
    </w:p>
    <w:p w14:paraId="3D253246">
      <w:pPr>
        <w:pStyle w:val="24"/>
        <w:tabs>
          <w:tab w:val="right" w:leader="dot" w:pos="8879"/>
        </w:tabs>
        <w:spacing w:line="480" w:lineRule="auto"/>
        <w:rPr>
          <w:rFonts w:ascii="宋体" w:hAnsi="宋体" w:cs="宋体"/>
          <w:b/>
          <w:bCs/>
          <w:color w:val="auto"/>
          <w:sz w:val="28"/>
          <w:szCs w:val="28"/>
          <w:highlight w:val="none"/>
        </w:rPr>
      </w:pPr>
      <w:r>
        <w:rPr>
          <w:color w:val="auto"/>
          <w:highlight w:val="none"/>
        </w:rPr>
        <w:fldChar w:fldCharType="begin"/>
      </w:r>
      <w:r>
        <w:rPr>
          <w:color w:val="auto"/>
          <w:highlight w:val="none"/>
        </w:rPr>
        <w:instrText xml:space="preserve"> HYPERLINK \l "_Toc11011" </w:instrText>
      </w:r>
      <w:r>
        <w:rPr>
          <w:color w:val="auto"/>
          <w:highlight w:val="none"/>
        </w:rPr>
        <w:fldChar w:fldCharType="separate"/>
      </w:r>
      <w:r>
        <w:rPr>
          <w:rFonts w:hint="eastAsia" w:ascii="宋体" w:hAnsi="宋体" w:cs="宋体"/>
          <w:b/>
          <w:bCs/>
          <w:color w:val="auto"/>
          <w:sz w:val="28"/>
          <w:szCs w:val="28"/>
          <w:highlight w:val="none"/>
        </w:rPr>
        <w:t>第五章 响应文件格式</w:t>
      </w:r>
      <w:r>
        <w:rPr>
          <w:rFonts w:hint="eastAsia" w:ascii="宋体" w:hAnsi="宋体" w:cs="宋体"/>
          <w:b/>
          <w:bCs/>
          <w:color w:val="auto"/>
          <w:sz w:val="28"/>
          <w:szCs w:val="28"/>
          <w:highlight w:val="none"/>
        </w:rPr>
        <w:tab/>
      </w:r>
      <w:r>
        <w:rPr>
          <w:rFonts w:hint="eastAsia" w:ascii="宋体" w:hAnsi="宋体" w:cs="宋体"/>
          <w:b/>
          <w:bCs/>
          <w:color w:val="auto"/>
          <w:sz w:val="28"/>
          <w:szCs w:val="28"/>
          <w:highlight w:val="none"/>
        </w:rPr>
        <w:fldChar w:fldCharType="begin"/>
      </w:r>
      <w:r>
        <w:rPr>
          <w:rFonts w:hint="eastAsia" w:ascii="宋体" w:hAnsi="宋体" w:cs="宋体"/>
          <w:b/>
          <w:bCs/>
          <w:color w:val="auto"/>
          <w:sz w:val="28"/>
          <w:szCs w:val="28"/>
          <w:highlight w:val="none"/>
        </w:rPr>
        <w:instrText xml:space="preserve"> PAGEREF _Toc11011 \h </w:instrText>
      </w:r>
      <w:r>
        <w:rPr>
          <w:rFonts w:hint="eastAsia" w:ascii="宋体" w:hAnsi="宋体" w:cs="宋体"/>
          <w:b/>
          <w:bCs/>
          <w:color w:val="auto"/>
          <w:sz w:val="28"/>
          <w:szCs w:val="28"/>
          <w:highlight w:val="none"/>
        </w:rPr>
        <w:fldChar w:fldCharType="separate"/>
      </w:r>
      <w:r>
        <w:rPr>
          <w:rFonts w:hint="eastAsia" w:ascii="宋体" w:hAnsi="宋体" w:cs="宋体"/>
          <w:b/>
          <w:bCs/>
          <w:color w:val="auto"/>
          <w:sz w:val="28"/>
          <w:szCs w:val="28"/>
          <w:highlight w:val="none"/>
        </w:rPr>
        <w:t>45</w:t>
      </w:r>
      <w:r>
        <w:rPr>
          <w:rFonts w:hint="eastAsia" w:ascii="宋体" w:hAnsi="宋体" w:cs="宋体"/>
          <w:b/>
          <w:bCs/>
          <w:color w:val="auto"/>
          <w:sz w:val="28"/>
          <w:szCs w:val="28"/>
          <w:highlight w:val="none"/>
        </w:rPr>
        <w:fldChar w:fldCharType="end"/>
      </w:r>
      <w:r>
        <w:rPr>
          <w:rFonts w:hint="eastAsia" w:ascii="宋体" w:hAnsi="宋体" w:cs="宋体"/>
          <w:b/>
          <w:bCs/>
          <w:color w:val="auto"/>
          <w:sz w:val="28"/>
          <w:szCs w:val="28"/>
          <w:highlight w:val="none"/>
        </w:rPr>
        <w:fldChar w:fldCharType="end"/>
      </w:r>
    </w:p>
    <w:p w14:paraId="347C55E4">
      <w:pPr>
        <w:pStyle w:val="24"/>
        <w:tabs>
          <w:tab w:val="right" w:leader="dot" w:pos="8879"/>
        </w:tabs>
        <w:spacing w:line="480" w:lineRule="auto"/>
        <w:rPr>
          <w:color w:val="auto"/>
          <w:highlight w:val="none"/>
        </w:rPr>
      </w:pPr>
      <w:r>
        <w:rPr>
          <w:color w:val="auto"/>
          <w:highlight w:val="none"/>
        </w:rPr>
        <w:fldChar w:fldCharType="begin"/>
      </w:r>
      <w:r>
        <w:rPr>
          <w:color w:val="auto"/>
          <w:highlight w:val="none"/>
        </w:rPr>
        <w:instrText xml:space="preserve"> HYPERLINK \l "_Toc20705" </w:instrText>
      </w:r>
      <w:r>
        <w:rPr>
          <w:color w:val="auto"/>
          <w:highlight w:val="none"/>
        </w:rPr>
        <w:fldChar w:fldCharType="separate"/>
      </w:r>
      <w:r>
        <w:rPr>
          <w:rFonts w:hint="eastAsia" w:ascii="宋体" w:hAnsi="宋体" w:cs="宋体"/>
          <w:b/>
          <w:bCs/>
          <w:color w:val="auto"/>
          <w:sz w:val="28"/>
          <w:szCs w:val="28"/>
          <w:highlight w:val="none"/>
        </w:rPr>
        <w:t>第六章 合同文本</w:t>
      </w:r>
      <w:r>
        <w:rPr>
          <w:rFonts w:hint="eastAsia" w:ascii="宋体" w:hAnsi="宋体" w:cs="宋体"/>
          <w:b/>
          <w:bCs/>
          <w:color w:val="auto"/>
          <w:sz w:val="28"/>
          <w:szCs w:val="28"/>
          <w:highlight w:val="none"/>
        </w:rPr>
        <w:tab/>
      </w:r>
      <w:r>
        <w:rPr>
          <w:rFonts w:hint="eastAsia" w:ascii="宋体" w:hAnsi="宋体" w:cs="宋体"/>
          <w:b/>
          <w:bCs/>
          <w:color w:val="auto"/>
          <w:sz w:val="28"/>
          <w:szCs w:val="28"/>
          <w:highlight w:val="none"/>
        </w:rPr>
        <w:fldChar w:fldCharType="begin"/>
      </w:r>
      <w:r>
        <w:rPr>
          <w:rFonts w:hint="eastAsia" w:ascii="宋体" w:hAnsi="宋体" w:cs="宋体"/>
          <w:b/>
          <w:bCs/>
          <w:color w:val="auto"/>
          <w:sz w:val="28"/>
          <w:szCs w:val="28"/>
          <w:highlight w:val="none"/>
        </w:rPr>
        <w:instrText xml:space="preserve"> PAGEREF _Toc20705 \h </w:instrText>
      </w:r>
      <w:r>
        <w:rPr>
          <w:rFonts w:hint="eastAsia" w:ascii="宋体" w:hAnsi="宋体" w:cs="宋体"/>
          <w:b/>
          <w:bCs/>
          <w:color w:val="auto"/>
          <w:sz w:val="28"/>
          <w:szCs w:val="28"/>
          <w:highlight w:val="none"/>
        </w:rPr>
        <w:fldChar w:fldCharType="separate"/>
      </w:r>
      <w:r>
        <w:rPr>
          <w:rFonts w:hint="eastAsia" w:ascii="宋体" w:hAnsi="宋体" w:cs="宋体"/>
          <w:b/>
          <w:bCs/>
          <w:color w:val="auto"/>
          <w:sz w:val="28"/>
          <w:szCs w:val="28"/>
          <w:highlight w:val="none"/>
        </w:rPr>
        <w:t>69</w:t>
      </w:r>
      <w:r>
        <w:rPr>
          <w:rFonts w:hint="eastAsia" w:ascii="宋体" w:hAnsi="宋体" w:cs="宋体"/>
          <w:b/>
          <w:bCs/>
          <w:color w:val="auto"/>
          <w:sz w:val="28"/>
          <w:szCs w:val="28"/>
          <w:highlight w:val="none"/>
        </w:rPr>
        <w:fldChar w:fldCharType="end"/>
      </w:r>
      <w:r>
        <w:rPr>
          <w:rFonts w:hint="eastAsia" w:ascii="宋体" w:hAnsi="宋体" w:cs="宋体"/>
          <w:b/>
          <w:bCs/>
          <w:color w:val="auto"/>
          <w:sz w:val="28"/>
          <w:szCs w:val="28"/>
          <w:highlight w:val="none"/>
        </w:rPr>
        <w:fldChar w:fldCharType="end"/>
      </w:r>
    </w:p>
    <w:p w14:paraId="35E667E1">
      <w:pPr>
        <w:pStyle w:val="26"/>
        <w:tabs>
          <w:tab w:val="right" w:leader="dot" w:pos="8931"/>
          <w:tab w:val="clear" w:pos="8296"/>
        </w:tabs>
        <w:snapToGrid w:val="0"/>
        <w:spacing w:line="500" w:lineRule="atLeast"/>
        <w:ind w:left="0" w:leftChars="0"/>
        <w:rPr>
          <w:rFonts w:ascii="宋体" w:hAnsi="宋体" w:cs="宋体"/>
          <w:b/>
          <w:color w:val="auto"/>
          <w:sz w:val="24"/>
          <w:highlight w:val="none"/>
        </w:rPr>
      </w:pPr>
      <w:r>
        <w:rPr>
          <w:rFonts w:hint="eastAsia" w:ascii="宋体" w:hAnsi="宋体" w:cs="宋体"/>
          <w:color w:val="auto"/>
          <w:highlight w:val="none"/>
        </w:rPr>
        <w:fldChar w:fldCharType="end"/>
      </w:r>
    </w:p>
    <w:p w14:paraId="71D23170">
      <w:pPr>
        <w:spacing w:line="400" w:lineRule="exact"/>
        <w:jc w:val="left"/>
        <w:rPr>
          <w:rFonts w:ascii="宋体" w:hAnsi="宋体" w:cs="宋体"/>
          <w:b/>
          <w:color w:val="auto"/>
          <w:sz w:val="32"/>
          <w:szCs w:val="32"/>
          <w:highlight w:val="none"/>
        </w:rPr>
      </w:pPr>
    </w:p>
    <w:p w14:paraId="4685895A">
      <w:pPr>
        <w:spacing w:line="400" w:lineRule="exact"/>
        <w:jc w:val="center"/>
        <w:rPr>
          <w:rFonts w:ascii="宋体" w:hAnsi="宋体" w:cs="宋体"/>
          <w:b/>
          <w:color w:val="auto"/>
          <w:sz w:val="32"/>
          <w:szCs w:val="32"/>
          <w:highlight w:val="none"/>
        </w:rPr>
      </w:pPr>
    </w:p>
    <w:p w14:paraId="3DC0E485">
      <w:pPr>
        <w:spacing w:line="400" w:lineRule="exact"/>
        <w:jc w:val="center"/>
        <w:rPr>
          <w:rFonts w:ascii="宋体" w:hAnsi="宋体" w:cs="宋体"/>
          <w:b/>
          <w:color w:val="auto"/>
          <w:sz w:val="32"/>
          <w:szCs w:val="32"/>
          <w:highlight w:val="none"/>
        </w:rPr>
      </w:pPr>
    </w:p>
    <w:p w14:paraId="712D0D02">
      <w:pPr>
        <w:spacing w:line="400" w:lineRule="exact"/>
        <w:jc w:val="center"/>
        <w:rPr>
          <w:rFonts w:ascii="宋体" w:hAnsi="宋体" w:cs="宋体"/>
          <w:b/>
          <w:color w:val="auto"/>
          <w:sz w:val="32"/>
          <w:szCs w:val="32"/>
          <w:highlight w:val="none"/>
        </w:rPr>
      </w:pPr>
    </w:p>
    <w:p w14:paraId="07F0E5DC">
      <w:pPr>
        <w:spacing w:line="400" w:lineRule="exact"/>
        <w:rPr>
          <w:rFonts w:ascii="宋体" w:hAnsi="宋体" w:cs="宋体"/>
          <w:b/>
          <w:color w:val="auto"/>
          <w:sz w:val="32"/>
          <w:szCs w:val="32"/>
          <w:highlight w:val="none"/>
        </w:rPr>
      </w:pPr>
    </w:p>
    <w:p w14:paraId="4569774A">
      <w:pPr>
        <w:rPr>
          <w:color w:val="auto"/>
          <w:highlight w:val="none"/>
        </w:rPr>
      </w:pPr>
    </w:p>
    <w:p w14:paraId="64AFD223">
      <w:pPr>
        <w:rPr>
          <w:color w:val="auto"/>
          <w:highlight w:val="none"/>
        </w:rPr>
      </w:pPr>
    </w:p>
    <w:p w14:paraId="6246C04A">
      <w:pPr>
        <w:rPr>
          <w:color w:val="auto"/>
          <w:highlight w:val="none"/>
        </w:rPr>
      </w:pPr>
    </w:p>
    <w:p w14:paraId="404247AF">
      <w:pPr>
        <w:rPr>
          <w:color w:val="auto"/>
          <w:highlight w:val="none"/>
        </w:rPr>
      </w:pPr>
    </w:p>
    <w:p w14:paraId="484F5F59">
      <w:pPr>
        <w:rPr>
          <w:color w:val="auto"/>
          <w:highlight w:val="none"/>
        </w:rPr>
      </w:pPr>
    </w:p>
    <w:p w14:paraId="3392C7A1">
      <w:pPr>
        <w:rPr>
          <w:color w:val="auto"/>
          <w:highlight w:val="none"/>
        </w:rPr>
      </w:pPr>
    </w:p>
    <w:p w14:paraId="5CB9598A">
      <w:pPr>
        <w:rPr>
          <w:color w:val="auto"/>
          <w:highlight w:val="none"/>
        </w:rPr>
      </w:pPr>
    </w:p>
    <w:p w14:paraId="0ABA32DE">
      <w:pPr>
        <w:rPr>
          <w:color w:val="auto"/>
          <w:highlight w:val="none"/>
        </w:rPr>
      </w:pPr>
    </w:p>
    <w:p w14:paraId="0DAED1C5">
      <w:pPr>
        <w:rPr>
          <w:color w:val="auto"/>
          <w:highlight w:val="none"/>
        </w:rPr>
      </w:pPr>
    </w:p>
    <w:p w14:paraId="2056C446">
      <w:pPr>
        <w:rPr>
          <w:color w:val="auto"/>
          <w:highlight w:val="none"/>
        </w:rPr>
      </w:pPr>
    </w:p>
    <w:p w14:paraId="44B25384">
      <w:pPr>
        <w:rPr>
          <w:color w:val="auto"/>
          <w:highlight w:val="none"/>
        </w:rPr>
      </w:pPr>
    </w:p>
    <w:p w14:paraId="420F3BEB">
      <w:pPr>
        <w:rPr>
          <w:color w:val="auto"/>
          <w:highlight w:val="none"/>
        </w:rPr>
      </w:pPr>
    </w:p>
    <w:p w14:paraId="3AB26E1F">
      <w:pPr>
        <w:rPr>
          <w:color w:val="auto"/>
          <w:highlight w:val="none"/>
        </w:rPr>
      </w:pPr>
    </w:p>
    <w:p w14:paraId="2BF6CDE3">
      <w:pPr>
        <w:rPr>
          <w:color w:val="auto"/>
          <w:highlight w:val="none"/>
        </w:rPr>
      </w:pPr>
    </w:p>
    <w:p w14:paraId="0D11872A">
      <w:pPr>
        <w:rPr>
          <w:color w:val="auto"/>
          <w:highlight w:val="none"/>
        </w:rPr>
      </w:pPr>
    </w:p>
    <w:p w14:paraId="3243786B">
      <w:pPr>
        <w:rPr>
          <w:color w:val="auto"/>
          <w:highlight w:val="none"/>
        </w:rPr>
      </w:pPr>
    </w:p>
    <w:p w14:paraId="1BF03457">
      <w:pPr>
        <w:rPr>
          <w:color w:val="auto"/>
          <w:highlight w:val="none"/>
        </w:rPr>
      </w:pPr>
    </w:p>
    <w:p w14:paraId="3DCD9954">
      <w:pPr>
        <w:rPr>
          <w:color w:val="auto"/>
          <w:highlight w:val="none"/>
        </w:rPr>
      </w:pPr>
    </w:p>
    <w:p w14:paraId="44822953">
      <w:pPr>
        <w:rPr>
          <w:color w:val="auto"/>
          <w:highlight w:val="none"/>
        </w:rPr>
      </w:pPr>
    </w:p>
    <w:p w14:paraId="63363D49">
      <w:pPr>
        <w:tabs>
          <w:tab w:val="center" w:pos="4439"/>
        </w:tabs>
        <w:jc w:val="left"/>
        <w:rPr>
          <w:color w:val="auto"/>
          <w:highlight w:val="none"/>
        </w:rPr>
        <w:sectPr>
          <w:footerReference r:id="rId10" w:type="first"/>
          <w:footerReference r:id="rId9" w:type="default"/>
          <w:pgSz w:w="11906" w:h="16838"/>
          <w:pgMar w:top="1440" w:right="1440" w:bottom="1440" w:left="1587" w:header="851" w:footer="992" w:gutter="0"/>
          <w:pgNumType w:start="0"/>
          <w:cols w:space="720" w:num="1"/>
          <w:titlePg/>
          <w:docGrid w:type="lines" w:linePitch="312" w:charSpace="0"/>
        </w:sectPr>
      </w:pPr>
      <w:r>
        <w:rPr>
          <w:rFonts w:hint="eastAsia"/>
          <w:color w:val="auto"/>
          <w:highlight w:val="none"/>
        </w:rPr>
        <w:tab/>
      </w:r>
    </w:p>
    <w:p w14:paraId="47CBD405">
      <w:pPr>
        <w:pStyle w:val="2"/>
        <w:rPr>
          <w:rFonts w:ascii="宋体" w:hAnsi="宋体" w:cs="宋体"/>
          <w:color w:val="auto"/>
          <w:sz w:val="32"/>
          <w:szCs w:val="32"/>
          <w:highlight w:val="none"/>
        </w:rPr>
      </w:pPr>
      <w:bookmarkStart w:id="0" w:name="_Toc7577"/>
      <w:r>
        <w:rPr>
          <w:rFonts w:hint="eastAsia"/>
          <w:color w:val="auto"/>
          <w:highlight w:val="none"/>
        </w:rPr>
        <w:t>第一章 竞争性磋商公告</w:t>
      </w:r>
      <w:bookmarkEnd w:id="0"/>
    </w:p>
    <w:p w14:paraId="2F7ED09F">
      <w:pPr>
        <w:pStyle w:val="19"/>
        <w:jc w:val="center"/>
        <w:rPr>
          <w:rFonts w:hAnsi="宋体" w:cs="宋体"/>
          <w:b/>
          <w:color w:val="auto"/>
          <w:sz w:val="32"/>
          <w:szCs w:val="32"/>
          <w:highlight w:val="none"/>
        </w:rPr>
      </w:pPr>
      <w:r>
        <w:rPr>
          <w:rFonts w:hint="eastAsia" w:hAnsi="宋体" w:cs="宋体"/>
          <w:b/>
          <w:color w:val="auto"/>
          <w:sz w:val="32"/>
          <w:szCs w:val="32"/>
          <w:highlight w:val="none"/>
        </w:rPr>
        <w:t>广西国泰招标咨询有限公司关于</w:t>
      </w:r>
    </w:p>
    <w:p w14:paraId="1A2AD710">
      <w:pPr>
        <w:pStyle w:val="19"/>
        <w:jc w:val="center"/>
        <w:rPr>
          <w:rFonts w:hAnsi="宋体" w:cs="宋体"/>
          <w:b/>
          <w:color w:val="auto"/>
          <w:sz w:val="36"/>
          <w:szCs w:val="36"/>
          <w:highlight w:val="none"/>
        </w:rPr>
      </w:pPr>
      <w:r>
        <w:rPr>
          <w:rFonts w:hint="eastAsia" w:hAnsi="宋体" w:cs="宋体"/>
          <w:b/>
          <w:color w:val="auto"/>
          <w:sz w:val="32"/>
          <w:szCs w:val="32"/>
          <w:highlight w:val="none"/>
        </w:rPr>
        <w:t>露天矿山0.2米分辨率航空影像获取和正射影像生产（</w:t>
      </w:r>
      <w:r>
        <w:rPr>
          <w:rFonts w:hint="eastAsia" w:hAnsi="宋体" w:cs="宋体"/>
          <w:b/>
          <w:color w:val="auto"/>
          <w:sz w:val="32"/>
          <w:szCs w:val="32"/>
          <w:highlight w:val="none"/>
          <w:lang w:eastAsia="zh-CN"/>
        </w:rPr>
        <w:t>GXZC2025-C3-002002-GTZB</w:t>
      </w:r>
      <w:r>
        <w:rPr>
          <w:rFonts w:hint="eastAsia" w:hAnsi="宋体" w:cs="宋体"/>
          <w:b/>
          <w:color w:val="auto"/>
          <w:sz w:val="32"/>
          <w:szCs w:val="32"/>
          <w:highlight w:val="none"/>
        </w:rPr>
        <w:t>）竞争性磋商公告</w:t>
      </w:r>
    </w:p>
    <w:p w14:paraId="700C0604">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s="宋体"/>
          <w:color w:val="auto"/>
          <w:szCs w:val="21"/>
          <w:highlight w:val="none"/>
        </w:rPr>
      </w:pPr>
      <w:bookmarkStart w:id="1" w:name="_Hlk37430271"/>
      <w:r>
        <w:rPr>
          <w:rFonts w:hint="eastAsia" w:ascii="宋体" w:hAnsi="宋体" w:cs="宋体"/>
          <w:color w:val="auto"/>
          <w:szCs w:val="21"/>
          <w:highlight w:val="none"/>
        </w:rPr>
        <w:t>项目概况</w:t>
      </w:r>
    </w:p>
    <w:p w14:paraId="0C93063E">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露天矿山0.2米分辨率航空影像获取和正射影像生产采购项目的潜在供应商应在广西政府采购云平台（https://www.gcy.zfcg.gxzf.gov.cn/）获取采购文件，并于</w:t>
      </w:r>
      <w:r>
        <w:rPr>
          <w:rFonts w:hint="eastAsia" w:ascii="宋体" w:hAnsi="宋体" w:cs="宋体"/>
          <w:color w:val="auto"/>
          <w:highlight w:val="none"/>
        </w:rPr>
        <w:t>2025年7月28日</w:t>
      </w:r>
      <w:r>
        <w:rPr>
          <w:rFonts w:hint="eastAsia" w:ascii="宋体" w:hAnsi="宋体" w:cs="宋体"/>
          <w:color w:val="auto"/>
          <w:szCs w:val="21"/>
          <w:highlight w:val="none"/>
        </w:rPr>
        <w:t>09时00分</w:t>
      </w:r>
      <w:r>
        <w:rPr>
          <w:rFonts w:hint="eastAsia" w:ascii="宋体" w:hAnsi="宋体" w:cs="宋体"/>
          <w:bCs/>
          <w:color w:val="auto"/>
          <w:szCs w:val="21"/>
          <w:highlight w:val="none"/>
        </w:rPr>
        <w:t>（北京时间）前提交响应文件</w:t>
      </w:r>
      <w:r>
        <w:rPr>
          <w:rFonts w:hint="eastAsia" w:ascii="宋体" w:hAnsi="宋体" w:cs="宋体"/>
          <w:color w:val="auto"/>
          <w:szCs w:val="21"/>
          <w:highlight w:val="none"/>
        </w:rPr>
        <w:t>。</w:t>
      </w:r>
    </w:p>
    <w:p w14:paraId="0449038D">
      <w:pPr>
        <w:spacing w:line="360" w:lineRule="auto"/>
        <w:ind w:firstLine="354" w:firstLineChars="147"/>
        <w:rPr>
          <w:rFonts w:ascii="宋体" w:hAnsi="宋体" w:cs="宋体"/>
          <w:b/>
          <w:color w:val="auto"/>
          <w:sz w:val="24"/>
          <w:highlight w:val="none"/>
        </w:rPr>
      </w:pPr>
      <w:bookmarkStart w:id="2" w:name="_Hlk37429674"/>
      <w:bookmarkStart w:id="3" w:name="_Toc35393636"/>
      <w:bookmarkStart w:id="4" w:name="_Toc35393805"/>
      <w:bookmarkStart w:id="5" w:name="_Toc44229885"/>
      <w:bookmarkStart w:id="6" w:name="_Toc28359095"/>
      <w:bookmarkStart w:id="7" w:name="_Toc28359018"/>
      <w:r>
        <w:rPr>
          <w:rFonts w:hint="eastAsia" w:ascii="宋体" w:hAnsi="宋体" w:cs="宋体"/>
          <w:b/>
          <w:color w:val="auto"/>
          <w:sz w:val="24"/>
          <w:highlight w:val="none"/>
        </w:rPr>
        <w:t>一、项目基本情况</w:t>
      </w:r>
    </w:p>
    <w:p w14:paraId="7E6D217A">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项目编号：</w:t>
      </w:r>
      <w:r>
        <w:rPr>
          <w:rFonts w:hint="eastAsia" w:ascii="宋体" w:hAnsi="宋体" w:cs="宋体"/>
          <w:color w:val="auto"/>
          <w:szCs w:val="21"/>
          <w:highlight w:val="none"/>
          <w:lang w:eastAsia="zh-CN"/>
        </w:rPr>
        <w:t>GXZC2025-C3-002002-GTZB</w:t>
      </w:r>
    </w:p>
    <w:p w14:paraId="65EC8F3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项目名称：露天矿山0.2米分辨率航空影像获取和正射影像生产</w:t>
      </w:r>
    </w:p>
    <w:p w14:paraId="5C12C29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采购方式：竞争性磋商</w:t>
      </w:r>
    </w:p>
    <w:p w14:paraId="558A259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预算金额：</w:t>
      </w:r>
      <w:r>
        <w:rPr>
          <w:rFonts w:hint="eastAsia" w:ascii="宋体" w:hAnsi="宋体"/>
          <w:color w:val="auto"/>
          <w:highlight w:val="none"/>
        </w:rPr>
        <w:t>预算总金额为</w:t>
      </w:r>
      <w:r>
        <w:rPr>
          <w:rFonts w:hint="eastAsia" w:ascii="宋体" w:hAnsi="宋体" w:cs="宋体"/>
          <w:iCs/>
          <w:color w:val="auto"/>
          <w:szCs w:val="21"/>
          <w:highlight w:val="none"/>
        </w:rPr>
        <w:t>194.00万元</w:t>
      </w:r>
      <w:r>
        <w:rPr>
          <w:rFonts w:hint="eastAsia" w:ascii="宋体" w:hAnsi="宋体"/>
          <w:color w:val="auto"/>
          <w:highlight w:val="none"/>
        </w:rPr>
        <w:t>，其中：</w:t>
      </w:r>
      <w:r>
        <w:rPr>
          <w:rFonts w:hint="eastAsia" w:ascii="宋体" w:hAnsi="宋体"/>
          <w:color w:val="auto"/>
          <w:szCs w:val="21"/>
          <w:highlight w:val="none"/>
        </w:rPr>
        <w:t>分标1为53.3万元；分标2为46.7</w:t>
      </w:r>
      <w:r>
        <w:rPr>
          <w:rFonts w:hint="eastAsia" w:ascii="宋体" w:hAnsi="宋体" w:cs="宋体"/>
          <w:color w:val="auto"/>
          <w:szCs w:val="21"/>
          <w:highlight w:val="none"/>
        </w:rPr>
        <w:t>万元；</w:t>
      </w:r>
      <w:r>
        <w:rPr>
          <w:rFonts w:hint="eastAsia" w:ascii="宋体" w:hAnsi="宋体"/>
          <w:color w:val="auto"/>
          <w:szCs w:val="21"/>
          <w:highlight w:val="none"/>
        </w:rPr>
        <w:t>分标3为52.7</w:t>
      </w:r>
      <w:r>
        <w:rPr>
          <w:rFonts w:hint="eastAsia" w:ascii="宋体" w:hAnsi="宋体" w:cs="宋体"/>
          <w:color w:val="auto"/>
          <w:szCs w:val="21"/>
          <w:highlight w:val="none"/>
        </w:rPr>
        <w:t>万元；</w:t>
      </w:r>
      <w:r>
        <w:rPr>
          <w:rFonts w:hint="eastAsia" w:ascii="宋体" w:hAnsi="宋体"/>
          <w:color w:val="auto"/>
          <w:szCs w:val="21"/>
          <w:highlight w:val="none"/>
        </w:rPr>
        <w:t>分标4为41.3</w:t>
      </w:r>
      <w:r>
        <w:rPr>
          <w:rFonts w:hint="eastAsia" w:ascii="宋体" w:hAnsi="宋体" w:cs="宋体"/>
          <w:color w:val="auto"/>
          <w:szCs w:val="21"/>
          <w:highlight w:val="none"/>
        </w:rPr>
        <w:t>万元。</w:t>
      </w:r>
    </w:p>
    <w:p w14:paraId="37F28C0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最高限价（如有）：</w:t>
      </w:r>
      <w:r>
        <w:rPr>
          <w:rFonts w:hint="eastAsia" w:ascii="宋体" w:hAnsi="宋体"/>
          <w:color w:val="auto"/>
          <w:szCs w:val="21"/>
          <w:highlight w:val="none"/>
        </w:rPr>
        <w:t>分标1为53.3万元；分标2为46.7</w:t>
      </w:r>
      <w:r>
        <w:rPr>
          <w:rFonts w:hint="eastAsia" w:ascii="宋体" w:hAnsi="宋体" w:cs="宋体"/>
          <w:color w:val="auto"/>
          <w:szCs w:val="21"/>
          <w:highlight w:val="none"/>
        </w:rPr>
        <w:t>万元；</w:t>
      </w:r>
      <w:r>
        <w:rPr>
          <w:rFonts w:hint="eastAsia" w:ascii="宋体" w:hAnsi="宋体"/>
          <w:color w:val="auto"/>
          <w:szCs w:val="21"/>
          <w:highlight w:val="none"/>
        </w:rPr>
        <w:t>分标3为52.7</w:t>
      </w:r>
      <w:r>
        <w:rPr>
          <w:rFonts w:hint="eastAsia" w:ascii="宋体" w:hAnsi="宋体" w:cs="宋体"/>
          <w:color w:val="auto"/>
          <w:szCs w:val="21"/>
          <w:highlight w:val="none"/>
        </w:rPr>
        <w:t>万元；</w:t>
      </w:r>
      <w:r>
        <w:rPr>
          <w:rFonts w:hint="eastAsia" w:ascii="宋体" w:hAnsi="宋体"/>
          <w:color w:val="auto"/>
          <w:szCs w:val="21"/>
          <w:highlight w:val="none"/>
        </w:rPr>
        <w:t>分标4为41.3</w:t>
      </w:r>
      <w:r>
        <w:rPr>
          <w:rFonts w:hint="eastAsia" w:ascii="宋体" w:hAnsi="宋体" w:cs="宋体"/>
          <w:color w:val="auto"/>
          <w:szCs w:val="21"/>
          <w:highlight w:val="none"/>
        </w:rPr>
        <w:t>万元。</w:t>
      </w:r>
    </w:p>
    <w:p w14:paraId="6C5057D0">
      <w:pPr>
        <w:rPr>
          <w:rFonts w:ascii="宋体" w:hAnsi="宋体"/>
          <w:b/>
          <w:bCs/>
          <w:color w:val="auto"/>
          <w:szCs w:val="21"/>
          <w:highlight w:val="none"/>
        </w:rPr>
      </w:pPr>
      <w:r>
        <w:rPr>
          <w:rFonts w:hint="eastAsia" w:ascii="宋体" w:hAnsi="宋体"/>
          <w:b/>
          <w:bCs/>
          <w:color w:val="auto"/>
          <w:szCs w:val="21"/>
          <w:highlight w:val="none"/>
        </w:rPr>
        <w:t>采购需求：</w:t>
      </w:r>
    </w:p>
    <w:tbl>
      <w:tblPr>
        <w:tblStyle w:val="33"/>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426"/>
        <w:gridCol w:w="1812"/>
        <w:gridCol w:w="1591"/>
        <w:gridCol w:w="6253"/>
      </w:tblGrid>
      <w:tr w14:paraId="07EA44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jc w:val="center"/>
        </w:trPr>
        <w:tc>
          <w:tcPr>
            <w:tcW w:w="5000" w:type="pct"/>
            <w:gridSpan w:val="4"/>
            <w:tcBorders>
              <w:top w:val="single" w:color="auto" w:sz="4" w:space="0"/>
              <w:left w:val="single" w:color="auto" w:sz="4" w:space="0"/>
              <w:bottom w:val="single" w:color="auto" w:sz="4" w:space="0"/>
              <w:right w:val="single" w:color="auto" w:sz="4" w:space="0"/>
            </w:tcBorders>
            <w:vAlign w:val="center"/>
          </w:tcPr>
          <w:p w14:paraId="4447B955">
            <w:pPr>
              <w:snapToGrid w:val="0"/>
              <w:spacing w:line="360" w:lineRule="auto"/>
              <w:rPr>
                <w:rFonts w:ascii="宋体" w:hAnsi="宋体"/>
                <w:b/>
                <w:bCs/>
                <w:color w:val="auto"/>
                <w:szCs w:val="21"/>
                <w:highlight w:val="none"/>
              </w:rPr>
            </w:pPr>
            <w:r>
              <w:rPr>
                <w:rFonts w:hint="eastAsia" w:ascii="宋体" w:hAnsi="宋体"/>
                <w:b/>
                <w:bCs/>
                <w:color w:val="auto"/>
                <w:szCs w:val="21"/>
                <w:highlight w:val="none"/>
              </w:rPr>
              <w:t>分标1；预算金额：</w:t>
            </w:r>
            <w:r>
              <w:rPr>
                <w:rFonts w:hint="eastAsia" w:ascii="宋体" w:hAnsi="宋体"/>
                <w:b/>
                <w:bCs/>
                <w:color w:val="auto"/>
                <w:szCs w:val="21"/>
                <w:highlight w:val="none"/>
                <w:u w:val="single"/>
              </w:rPr>
              <w:t>53.3</w:t>
            </w:r>
            <w:r>
              <w:rPr>
                <w:rFonts w:hint="eastAsia" w:ascii="宋体" w:hAnsi="宋体" w:cs="宋体"/>
                <w:b/>
                <w:bCs/>
                <w:color w:val="auto"/>
                <w:szCs w:val="21"/>
                <w:highlight w:val="none"/>
                <w:u w:val="single"/>
              </w:rPr>
              <w:t xml:space="preserve">万元 </w:t>
            </w:r>
          </w:p>
        </w:tc>
      </w:tr>
      <w:tr w14:paraId="6777FB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2" w:hRule="atLeast"/>
          <w:jc w:val="center"/>
        </w:trPr>
        <w:tc>
          <w:tcPr>
            <w:tcW w:w="211" w:type="pct"/>
            <w:tcBorders>
              <w:top w:val="single" w:color="auto" w:sz="4" w:space="0"/>
              <w:left w:val="single" w:color="auto" w:sz="4" w:space="0"/>
              <w:bottom w:val="single" w:color="auto" w:sz="4" w:space="0"/>
              <w:right w:val="single" w:color="auto" w:sz="4" w:space="0"/>
            </w:tcBorders>
            <w:vAlign w:val="center"/>
          </w:tcPr>
          <w:p w14:paraId="5283437E">
            <w:pPr>
              <w:jc w:val="center"/>
              <w:rPr>
                <w:color w:val="auto"/>
                <w:highlight w:val="none"/>
              </w:rPr>
            </w:pPr>
            <w:r>
              <w:rPr>
                <w:rFonts w:hint="eastAsia"/>
                <w:color w:val="auto"/>
                <w:highlight w:val="none"/>
              </w:rPr>
              <w:t>序号</w:t>
            </w:r>
          </w:p>
        </w:tc>
        <w:tc>
          <w:tcPr>
            <w:tcW w:w="899" w:type="pct"/>
            <w:tcBorders>
              <w:top w:val="single" w:color="auto" w:sz="4" w:space="0"/>
              <w:left w:val="single" w:color="auto" w:sz="4" w:space="0"/>
              <w:bottom w:val="single" w:color="auto" w:sz="4" w:space="0"/>
              <w:right w:val="single" w:color="auto" w:sz="4" w:space="0"/>
            </w:tcBorders>
            <w:vAlign w:val="center"/>
          </w:tcPr>
          <w:p w14:paraId="315BC7BD">
            <w:pPr>
              <w:jc w:val="center"/>
              <w:rPr>
                <w:color w:val="auto"/>
                <w:highlight w:val="none"/>
              </w:rPr>
            </w:pPr>
            <w:r>
              <w:rPr>
                <w:rFonts w:hint="eastAsia"/>
                <w:color w:val="auto"/>
                <w:highlight w:val="none"/>
              </w:rPr>
              <w:t>标项名称</w:t>
            </w:r>
          </w:p>
        </w:tc>
        <w:tc>
          <w:tcPr>
            <w:tcW w:w="789" w:type="pct"/>
            <w:tcBorders>
              <w:top w:val="single" w:color="auto" w:sz="4" w:space="0"/>
              <w:left w:val="single" w:color="auto" w:sz="4" w:space="0"/>
              <w:bottom w:val="single" w:color="auto" w:sz="4" w:space="0"/>
              <w:right w:val="single" w:color="auto" w:sz="4" w:space="0"/>
            </w:tcBorders>
            <w:vAlign w:val="center"/>
          </w:tcPr>
          <w:p w14:paraId="52CD8A7B">
            <w:pPr>
              <w:spacing w:line="360" w:lineRule="exact"/>
              <w:jc w:val="center"/>
              <w:rPr>
                <w:color w:val="auto"/>
                <w:highlight w:val="none"/>
              </w:rPr>
            </w:pPr>
            <w:r>
              <w:rPr>
                <w:rFonts w:hint="eastAsia" w:ascii="宋体" w:hAnsi="宋体"/>
                <w:color w:val="auto"/>
                <w:szCs w:val="21"/>
                <w:highlight w:val="none"/>
              </w:rPr>
              <w:t>数量及单位</w:t>
            </w:r>
          </w:p>
        </w:tc>
        <w:tc>
          <w:tcPr>
            <w:tcW w:w="3100" w:type="pct"/>
            <w:tcBorders>
              <w:top w:val="single" w:color="auto" w:sz="4" w:space="0"/>
              <w:left w:val="single" w:color="auto" w:sz="4" w:space="0"/>
              <w:bottom w:val="single" w:color="auto" w:sz="4" w:space="0"/>
              <w:right w:val="single" w:color="auto" w:sz="4" w:space="0"/>
            </w:tcBorders>
            <w:vAlign w:val="center"/>
          </w:tcPr>
          <w:p w14:paraId="4421F889">
            <w:pPr>
              <w:jc w:val="center"/>
              <w:rPr>
                <w:color w:val="auto"/>
                <w:highlight w:val="none"/>
              </w:rPr>
            </w:pPr>
            <w:r>
              <w:rPr>
                <w:color w:val="auto"/>
                <w:highlight w:val="none"/>
              </w:rPr>
              <w:t>简要规格描述或项目基本概况介绍、用途</w:t>
            </w:r>
          </w:p>
        </w:tc>
      </w:tr>
      <w:tr w14:paraId="3E9F3A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85" w:hRule="atLeast"/>
          <w:jc w:val="center"/>
        </w:trPr>
        <w:tc>
          <w:tcPr>
            <w:tcW w:w="211" w:type="pct"/>
            <w:tcBorders>
              <w:top w:val="single" w:color="auto" w:sz="4" w:space="0"/>
              <w:left w:val="single" w:color="auto" w:sz="4" w:space="0"/>
              <w:bottom w:val="single" w:color="auto" w:sz="4" w:space="0"/>
              <w:right w:val="single" w:color="auto" w:sz="4" w:space="0"/>
            </w:tcBorders>
            <w:vAlign w:val="center"/>
          </w:tcPr>
          <w:p w14:paraId="21BDBFCA">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1</w:t>
            </w:r>
          </w:p>
        </w:tc>
        <w:tc>
          <w:tcPr>
            <w:tcW w:w="899" w:type="pct"/>
            <w:tcBorders>
              <w:top w:val="single" w:color="auto" w:sz="4" w:space="0"/>
              <w:left w:val="single" w:color="auto" w:sz="4" w:space="0"/>
              <w:bottom w:val="single" w:color="auto" w:sz="4" w:space="0"/>
              <w:right w:val="single" w:color="auto" w:sz="4" w:space="0"/>
            </w:tcBorders>
            <w:vAlign w:val="center"/>
          </w:tcPr>
          <w:p w14:paraId="6D5CF2C3">
            <w:pPr>
              <w:snapToGrid w:val="0"/>
              <w:spacing w:line="360" w:lineRule="auto"/>
              <w:jc w:val="center"/>
              <w:rPr>
                <w:color w:val="auto"/>
                <w:highlight w:val="none"/>
              </w:rPr>
            </w:pPr>
            <w:r>
              <w:rPr>
                <w:rFonts w:hint="eastAsia" w:ascii="宋体" w:hAnsi="宋体" w:cs="宋体"/>
                <w:color w:val="auto"/>
                <w:highlight w:val="none"/>
              </w:rPr>
              <w:t>露天矿山0.2米分辨率航空影像获取和正射影像生产分标1</w:t>
            </w:r>
          </w:p>
        </w:tc>
        <w:tc>
          <w:tcPr>
            <w:tcW w:w="789" w:type="pct"/>
            <w:tcBorders>
              <w:top w:val="single" w:color="auto" w:sz="4" w:space="0"/>
              <w:left w:val="single" w:color="auto" w:sz="4" w:space="0"/>
              <w:bottom w:val="single" w:color="auto" w:sz="4" w:space="0"/>
              <w:right w:val="single" w:color="auto" w:sz="4" w:space="0"/>
            </w:tcBorders>
            <w:vAlign w:val="center"/>
          </w:tcPr>
          <w:p w14:paraId="7F13DB0A">
            <w:pPr>
              <w:spacing w:line="360" w:lineRule="exact"/>
              <w:jc w:val="center"/>
              <w:rPr>
                <w:rFonts w:ascii="宋体" w:hAnsi="宋体"/>
                <w:color w:val="auto"/>
                <w:szCs w:val="21"/>
                <w:highlight w:val="none"/>
              </w:rPr>
            </w:pPr>
            <w:r>
              <w:rPr>
                <w:rFonts w:hint="eastAsia" w:ascii="宋体" w:hAnsi="宋体"/>
                <w:color w:val="auto"/>
                <w:szCs w:val="21"/>
                <w:highlight w:val="none"/>
              </w:rPr>
              <w:t>1项</w:t>
            </w:r>
          </w:p>
        </w:tc>
        <w:tc>
          <w:tcPr>
            <w:tcW w:w="3100" w:type="pct"/>
            <w:tcBorders>
              <w:top w:val="single" w:color="auto" w:sz="4" w:space="0"/>
              <w:left w:val="single" w:color="auto" w:sz="4" w:space="0"/>
              <w:bottom w:val="single" w:color="auto" w:sz="4" w:space="0"/>
              <w:right w:val="single" w:color="auto" w:sz="4" w:space="0"/>
            </w:tcBorders>
            <w:vAlign w:val="center"/>
          </w:tcPr>
          <w:p w14:paraId="331FEFAE">
            <w:pPr>
              <w:pStyle w:val="79"/>
              <w:widowControl w:val="0"/>
              <w:spacing w:line="300" w:lineRule="exact"/>
              <w:ind w:firstLine="0" w:firstLineChars="0"/>
              <w:rPr>
                <w:rFonts w:ascii="宋体" w:hAnsi="宋体" w:cs="宋体"/>
                <w:color w:val="auto"/>
                <w:szCs w:val="24"/>
                <w:highlight w:val="none"/>
              </w:rPr>
            </w:pPr>
            <w:r>
              <w:rPr>
                <w:rFonts w:hint="eastAsia" w:ascii="宋体" w:hAnsi="宋体" w:cs="宋体"/>
                <w:color w:val="auto"/>
                <w:szCs w:val="24"/>
                <w:highlight w:val="none"/>
              </w:rPr>
              <w:t>百色A区域。本分标测量面积为533平方千米，具体测量范围（区域）在项目实施时以采购人书面通知为准。具体内容详见竞争性磋商文件第三章采购需求。</w:t>
            </w:r>
          </w:p>
        </w:tc>
      </w:tr>
      <w:tr w14:paraId="4FBDB7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5000" w:type="pct"/>
            <w:gridSpan w:val="4"/>
            <w:tcBorders>
              <w:top w:val="single" w:color="auto" w:sz="4" w:space="0"/>
              <w:left w:val="single" w:color="auto" w:sz="4" w:space="0"/>
              <w:bottom w:val="single" w:color="auto" w:sz="4" w:space="0"/>
              <w:right w:val="single" w:color="auto" w:sz="4" w:space="0"/>
            </w:tcBorders>
            <w:vAlign w:val="center"/>
          </w:tcPr>
          <w:p w14:paraId="7BD9B9ED">
            <w:pPr>
              <w:snapToGrid w:val="0"/>
              <w:spacing w:line="360" w:lineRule="auto"/>
              <w:rPr>
                <w:rFonts w:ascii="宋体" w:hAnsi="宋体"/>
                <w:b/>
                <w:bCs/>
                <w:color w:val="auto"/>
                <w:szCs w:val="21"/>
                <w:highlight w:val="none"/>
              </w:rPr>
            </w:pPr>
            <w:r>
              <w:rPr>
                <w:rFonts w:hint="eastAsia" w:ascii="宋体" w:hAnsi="宋体"/>
                <w:b/>
                <w:bCs/>
                <w:color w:val="auto"/>
                <w:szCs w:val="21"/>
                <w:highlight w:val="none"/>
              </w:rPr>
              <w:t>分标2；预算金额：</w:t>
            </w:r>
            <w:r>
              <w:rPr>
                <w:rFonts w:hint="eastAsia" w:ascii="宋体" w:hAnsi="宋体"/>
                <w:b/>
                <w:bCs/>
                <w:color w:val="auto"/>
                <w:szCs w:val="21"/>
                <w:highlight w:val="none"/>
                <w:u w:val="single"/>
              </w:rPr>
              <w:t>46.7</w:t>
            </w:r>
            <w:r>
              <w:rPr>
                <w:rFonts w:hint="eastAsia" w:ascii="宋体" w:hAnsi="宋体" w:cs="宋体"/>
                <w:b/>
                <w:bCs/>
                <w:color w:val="auto"/>
                <w:szCs w:val="21"/>
                <w:highlight w:val="none"/>
                <w:u w:val="single"/>
              </w:rPr>
              <w:t xml:space="preserve">万元 </w:t>
            </w:r>
          </w:p>
        </w:tc>
      </w:tr>
      <w:tr w14:paraId="0C6BBC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85" w:hRule="atLeast"/>
          <w:jc w:val="center"/>
        </w:trPr>
        <w:tc>
          <w:tcPr>
            <w:tcW w:w="211" w:type="pct"/>
            <w:tcBorders>
              <w:top w:val="single" w:color="auto" w:sz="4" w:space="0"/>
              <w:left w:val="single" w:color="auto" w:sz="4" w:space="0"/>
              <w:bottom w:val="single" w:color="auto" w:sz="4" w:space="0"/>
              <w:right w:val="single" w:color="auto" w:sz="4" w:space="0"/>
            </w:tcBorders>
            <w:vAlign w:val="center"/>
          </w:tcPr>
          <w:p w14:paraId="03C5F43A">
            <w:pPr>
              <w:jc w:val="center"/>
              <w:rPr>
                <w:rFonts w:ascii="宋体" w:hAnsi="宋体"/>
                <w:color w:val="auto"/>
                <w:szCs w:val="21"/>
                <w:highlight w:val="none"/>
              </w:rPr>
            </w:pPr>
            <w:r>
              <w:rPr>
                <w:rFonts w:hint="eastAsia"/>
                <w:color w:val="auto"/>
                <w:highlight w:val="none"/>
              </w:rPr>
              <w:t>序号</w:t>
            </w:r>
          </w:p>
        </w:tc>
        <w:tc>
          <w:tcPr>
            <w:tcW w:w="899" w:type="pct"/>
            <w:tcBorders>
              <w:top w:val="single" w:color="auto" w:sz="4" w:space="0"/>
              <w:left w:val="single" w:color="auto" w:sz="4" w:space="0"/>
              <w:bottom w:val="single" w:color="auto" w:sz="4" w:space="0"/>
              <w:right w:val="single" w:color="auto" w:sz="4" w:space="0"/>
            </w:tcBorders>
            <w:vAlign w:val="center"/>
          </w:tcPr>
          <w:p w14:paraId="1422088B">
            <w:pPr>
              <w:jc w:val="center"/>
              <w:rPr>
                <w:color w:val="auto"/>
                <w:highlight w:val="none"/>
              </w:rPr>
            </w:pPr>
            <w:r>
              <w:rPr>
                <w:rFonts w:hint="eastAsia"/>
                <w:color w:val="auto"/>
                <w:highlight w:val="none"/>
              </w:rPr>
              <w:t>标项名称</w:t>
            </w:r>
          </w:p>
        </w:tc>
        <w:tc>
          <w:tcPr>
            <w:tcW w:w="789" w:type="pct"/>
            <w:tcBorders>
              <w:top w:val="single" w:color="auto" w:sz="4" w:space="0"/>
              <w:left w:val="single" w:color="auto" w:sz="4" w:space="0"/>
              <w:bottom w:val="single" w:color="auto" w:sz="4" w:space="0"/>
              <w:right w:val="single" w:color="auto" w:sz="4" w:space="0"/>
            </w:tcBorders>
            <w:vAlign w:val="center"/>
          </w:tcPr>
          <w:p w14:paraId="7D65E5D7">
            <w:pPr>
              <w:spacing w:line="360" w:lineRule="exact"/>
              <w:jc w:val="center"/>
              <w:rPr>
                <w:rFonts w:ascii="宋体" w:hAnsi="宋体" w:cs="宋体"/>
                <w:color w:val="auto"/>
                <w:szCs w:val="21"/>
                <w:highlight w:val="none"/>
              </w:rPr>
            </w:pPr>
            <w:r>
              <w:rPr>
                <w:rFonts w:hint="eastAsia" w:ascii="宋体" w:hAnsi="宋体"/>
                <w:color w:val="auto"/>
                <w:szCs w:val="21"/>
                <w:highlight w:val="none"/>
              </w:rPr>
              <w:t>数量及单位</w:t>
            </w:r>
          </w:p>
        </w:tc>
        <w:tc>
          <w:tcPr>
            <w:tcW w:w="3100" w:type="pct"/>
            <w:tcBorders>
              <w:top w:val="single" w:color="auto" w:sz="4" w:space="0"/>
              <w:left w:val="single" w:color="auto" w:sz="4" w:space="0"/>
              <w:bottom w:val="single" w:color="auto" w:sz="4" w:space="0"/>
              <w:right w:val="single" w:color="auto" w:sz="4" w:space="0"/>
            </w:tcBorders>
            <w:vAlign w:val="center"/>
          </w:tcPr>
          <w:p w14:paraId="2556E1FB">
            <w:pPr>
              <w:jc w:val="center"/>
              <w:rPr>
                <w:color w:val="auto"/>
                <w:highlight w:val="none"/>
              </w:rPr>
            </w:pPr>
            <w:r>
              <w:rPr>
                <w:color w:val="auto"/>
                <w:highlight w:val="none"/>
              </w:rPr>
              <w:t>简要规格描述或项目基本概况介绍、用途</w:t>
            </w:r>
          </w:p>
        </w:tc>
      </w:tr>
      <w:tr w14:paraId="509CE8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41" w:hRule="atLeast"/>
          <w:jc w:val="center"/>
        </w:trPr>
        <w:tc>
          <w:tcPr>
            <w:tcW w:w="211" w:type="pct"/>
            <w:tcBorders>
              <w:top w:val="single" w:color="auto" w:sz="4" w:space="0"/>
              <w:left w:val="single" w:color="auto" w:sz="4" w:space="0"/>
              <w:bottom w:val="single" w:color="auto" w:sz="4" w:space="0"/>
              <w:right w:val="single" w:color="auto" w:sz="4" w:space="0"/>
            </w:tcBorders>
            <w:vAlign w:val="center"/>
          </w:tcPr>
          <w:p w14:paraId="449F6920">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1</w:t>
            </w:r>
          </w:p>
        </w:tc>
        <w:tc>
          <w:tcPr>
            <w:tcW w:w="899" w:type="pct"/>
            <w:tcBorders>
              <w:top w:val="single" w:color="auto" w:sz="4" w:space="0"/>
              <w:left w:val="single" w:color="auto" w:sz="4" w:space="0"/>
              <w:bottom w:val="single" w:color="auto" w:sz="4" w:space="0"/>
              <w:right w:val="single" w:color="auto" w:sz="4" w:space="0"/>
            </w:tcBorders>
            <w:vAlign w:val="center"/>
          </w:tcPr>
          <w:p w14:paraId="4272F0AA">
            <w:pPr>
              <w:snapToGrid w:val="0"/>
              <w:spacing w:line="360" w:lineRule="auto"/>
              <w:jc w:val="center"/>
              <w:rPr>
                <w:rFonts w:ascii="宋体" w:hAnsi="宋体"/>
                <w:color w:val="auto"/>
                <w:szCs w:val="21"/>
                <w:highlight w:val="none"/>
              </w:rPr>
            </w:pPr>
            <w:r>
              <w:rPr>
                <w:rFonts w:hint="eastAsia" w:ascii="宋体" w:hAnsi="宋体" w:cs="宋体"/>
                <w:color w:val="auto"/>
                <w:highlight w:val="none"/>
              </w:rPr>
              <w:t>露天矿山0.2米分辨率航空影像获取和正射影像生产分标2</w:t>
            </w:r>
          </w:p>
        </w:tc>
        <w:tc>
          <w:tcPr>
            <w:tcW w:w="789" w:type="pct"/>
            <w:tcBorders>
              <w:top w:val="single" w:color="auto" w:sz="4" w:space="0"/>
              <w:left w:val="single" w:color="auto" w:sz="4" w:space="0"/>
              <w:bottom w:val="single" w:color="auto" w:sz="4" w:space="0"/>
              <w:right w:val="single" w:color="auto" w:sz="4" w:space="0"/>
            </w:tcBorders>
            <w:vAlign w:val="center"/>
          </w:tcPr>
          <w:p w14:paraId="2DA6A1C6">
            <w:pPr>
              <w:spacing w:line="360" w:lineRule="exact"/>
              <w:jc w:val="center"/>
              <w:rPr>
                <w:rFonts w:ascii="宋体" w:hAnsi="宋体"/>
                <w:color w:val="auto"/>
                <w:szCs w:val="21"/>
                <w:highlight w:val="none"/>
              </w:rPr>
            </w:pPr>
            <w:r>
              <w:rPr>
                <w:rFonts w:hint="eastAsia" w:ascii="宋体" w:hAnsi="宋体"/>
                <w:color w:val="auto"/>
                <w:szCs w:val="21"/>
                <w:highlight w:val="none"/>
              </w:rPr>
              <w:t>1项</w:t>
            </w:r>
          </w:p>
        </w:tc>
        <w:tc>
          <w:tcPr>
            <w:tcW w:w="3100" w:type="pct"/>
            <w:tcBorders>
              <w:top w:val="single" w:color="auto" w:sz="4" w:space="0"/>
              <w:left w:val="single" w:color="auto" w:sz="4" w:space="0"/>
              <w:bottom w:val="single" w:color="auto" w:sz="4" w:space="0"/>
              <w:right w:val="single" w:color="auto" w:sz="4" w:space="0"/>
            </w:tcBorders>
            <w:vAlign w:val="center"/>
          </w:tcPr>
          <w:p w14:paraId="1F463DE2">
            <w:pPr>
              <w:pStyle w:val="79"/>
              <w:widowControl w:val="0"/>
              <w:spacing w:line="300" w:lineRule="exact"/>
              <w:ind w:firstLine="0" w:firstLineChars="0"/>
              <w:rPr>
                <w:rFonts w:ascii="宋体" w:hAnsi="宋体" w:cs="宋体"/>
                <w:color w:val="auto"/>
                <w:szCs w:val="24"/>
                <w:highlight w:val="none"/>
              </w:rPr>
            </w:pPr>
            <w:r>
              <w:rPr>
                <w:rFonts w:hint="eastAsia" w:ascii="宋体" w:hAnsi="宋体" w:cs="宋体"/>
                <w:color w:val="auto"/>
                <w:szCs w:val="24"/>
                <w:highlight w:val="none"/>
              </w:rPr>
              <w:t>百色B区域。本分标测量面积为467平方千米，具体测量范围（区域）在项目实施时以采购人书面通知为准。具体内容详见竞争性磋商文件第三章采购需求。</w:t>
            </w:r>
          </w:p>
        </w:tc>
      </w:tr>
      <w:tr w14:paraId="7393F3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6" w:hRule="atLeast"/>
          <w:jc w:val="center"/>
        </w:trPr>
        <w:tc>
          <w:tcPr>
            <w:tcW w:w="5000" w:type="pct"/>
            <w:gridSpan w:val="4"/>
            <w:tcBorders>
              <w:top w:val="single" w:color="auto" w:sz="4" w:space="0"/>
              <w:left w:val="single" w:color="auto" w:sz="4" w:space="0"/>
              <w:bottom w:val="single" w:color="auto" w:sz="4" w:space="0"/>
              <w:right w:val="single" w:color="auto" w:sz="4" w:space="0"/>
            </w:tcBorders>
            <w:vAlign w:val="center"/>
          </w:tcPr>
          <w:p w14:paraId="54839A2A">
            <w:pPr>
              <w:snapToGrid w:val="0"/>
              <w:spacing w:line="360" w:lineRule="auto"/>
              <w:rPr>
                <w:rFonts w:ascii="宋体" w:hAnsi="宋体"/>
                <w:b/>
                <w:bCs/>
                <w:color w:val="auto"/>
                <w:szCs w:val="21"/>
                <w:highlight w:val="none"/>
              </w:rPr>
            </w:pPr>
            <w:r>
              <w:rPr>
                <w:rFonts w:hint="eastAsia" w:ascii="宋体" w:hAnsi="宋体"/>
                <w:b/>
                <w:bCs/>
                <w:color w:val="auto"/>
                <w:szCs w:val="21"/>
                <w:highlight w:val="none"/>
              </w:rPr>
              <w:t>分标3；预算金额：</w:t>
            </w:r>
            <w:r>
              <w:rPr>
                <w:rFonts w:hint="eastAsia" w:ascii="宋体" w:hAnsi="宋体"/>
                <w:b/>
                <w:bCs/>
                <w:color w:val="auto"/>
                <w:szCs w:val="21"/>
                <w:highlight w:val="none"/>
                <w:u w:val="single"/>
              </w:rPr>
              <w:t>52.7</w:t>
            </w:r>
            <w:r>
              <w:rPr>
                <w:rFonts w:hint="eastAsia" w:ascii="宋体" w:hAnsi="宋体" w:cs="宋体"/>
                <w:b/>
                <w:bCs/>
                <w:color w:val="auto"/>
                <w:szCs w:val="21"/>
                <w:highlight w:val="none"/>
                <w:u w:val="single"/>
              </w:rPr>
              <w:t xml:space="preserve">万元 </w:t>
            </w:r>
          </w:p>
        </w:tc>
      </w:tr>
      <w:tr w14:paraId="31AA49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85" w:hRule="atLeast"/>
          <w:jc w:val="center"/>
        </w:trPr>
        <w:tc>
          <w:tcPr>
            <w:tcW w:w="211" w:type="pct"/>
            <w:tcBorders>
              <w:top w:val="single" w:color="auto" w:sz="4" w:space="0"/>
              <w:left w:val="single" w:color="auto" w:sz="4" w:space="0"/>
              <w:bottom w:val="single" w:color="auto" w:sz="4" w:space="0"/>
              <w:right w:val="single" w:color="auto" w:sz="4" w:space="0"/>
            </w:tcBorders>
            <w:vAlign w:val="center"/>
          </w:tcPr>
          <w:p w14:paraId="6DF4B821">
            <w:pPr>
              <w:jc w:val="center"/>
              <w:rPr>
                <w:color w:val="auto"/>
                <w:highlight w:val="none"/>
              </w:rPr>
            </w:pPr>
            <w:r>
              <w:rPr>
                <w:rFonts w:hint="eastAsia"/>
                <w:color w:val="auto"/>
                <w:highlight w:val="none"/>
              </w:rPr>
              <w:t>序号</w:t>
            </w:r>
          </w:p>
        </w:tc>
        <w:tc>
          <w:tcPr>
            <w:tcW w:w="899" w:type="pct"/>
            <w:tcBorders>
              <w:top w:val="single" w:color="auto" w:sz="4" w:space="0"/>
              <w:left w:val="single" w:color="auto" w:sz="4" w:space="0"/>
              <w:bottom w:val="single" w:color="auto" w:sz="4" w:space="0"/>
              <w:right w:val="single" w:color="auto" w:sz="4" w:space="0"/>
            </w:tcBorders>
            <w:vAlign w:val="center"/>
          </w:tcPr>
          <w:p w14:paraId="502FCEFA">
            <w:pPr>
              <w:jc w:val="center"/>
              <w:rPr>
                <w:color w:val="auto"/>
                <w:highlight w:val="none"/>
              </w:rPr>
            </w:pPr>
            <w:r>
              <w:rPr>
                <w:rFonts w:hint="eastAsia"/>
                <w:color w:val="auto"/>
                <w:highlight w:val="none"/>
              </w:rPr>
              <w:t>标项名称</w:t>
            </w:r>
          </w:p>
        </w:tc>
        <w:tc>
          <w:tcPr>
            <w:tcW w:w="789" w:type="pct"/>
            <w:tcBorders>
              <w:top w:val="single" w:color="auto" w:sz="4" w:space="0"/>
              <w:left w:val="single" w:color="auto" w:sz="4" w:space="0"/>
              <w:bottom w:val="single" w:color="auto" w:sz="4" w:space="0"/>
              <w:right w:val="single" w:color="auto" w:sz="4" w:space="0"/>
            </w:tcBorders>
            <w:vAlign w:val="center"/>
          </w:tcPr>
          <w:p w14:paraId="4E5C172B">
            <w:pPr>
              <w:spacing w:line="360" w:lineRule="exact"/>
              <w:jc w:val="center"/>
              <w:rPr>
                <w:color w:val="auto"/>
                <w:highlight w:val="none"/>
              </w:rPr>
            </w:pPr>
            <w:r>
              <w:rPr>
                <w:rFonts w:hint="eastAsia" w:ascii="宋体" w:hAnsi="宋体"/>
                <w:color w:val="auto"/>
                <w:szCs w:val="21"/>
                <w:highlight w:val="none"/>
              </w:rPr>
              <w:t>数量及单位</w:t>
            </w:r>
          </w:p>
        </w:tc>
        <w:tc>
          <w:tcPr>
            <w:tcW w:w="3100" w:type="pct"/>
            <w:tcBorders>
              <w:top w:val="single" w:color="auto" w:sz="4" w:space="0"/>
              <w:left w:val="single" w:color="auto" w:sz="4" w:space="0"/>
              <w:bottom w:val="single" w:color="auto" w:sz="4" w:space="0"/>
              <w:right w:val="single" w:color="auto" w:sz="4" w:space="0"/>
            </w:tcBorders>
            <w:vAlign w:val="center"/>
          </w:tcPr>
          <w:p w14:paraId="2B80C26E">
            <w:pPr>
              <w:jc w:val="center"/>
              <w:rPr>
                <w:color w:val="auto"/>
                <w:highlight w:val="none"/>
              </w:rPr>
            </w:pPr>
            <w:r>
              <w:rPr>
                <w:color w:val="auto"/>
                <w:highlight w:val="none"/>
              </w:rPr>
              <w:t>简要规格描述或项目基本概况介绍、用途</w:t>
            </w:r>
          </w:p>
        </w:tc>
      </w:tr>
      <w:tr w14:paraId="1F9B4B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7" w:hRule="atLeast"/>
          <w:jc w:val="center"/>
        </w:trPr>
        <w:tc>
          <w:tcPr>
            <w:tcW w:w="211" w:type="pct"/>
            <w:tcBorders>
              <w:top w:val="single" w:color="auto" w:sz="4" w:space="0"/>
              <w:left w:val="single" w:color="auto" w:sz="4" w:space="0"/>
              <w:bottom w:val="single" w:color="auto" w:sz="4" w:space="0"/>
              <w:right w:val="single" w:color="auto" w:sz="4" w:space="0"/>
            </w:tcBorders>
            <w:vAlign w:val="center"/>
          </w:tcPr>
          <w:p w14:paraId="40873AC1">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1</w:t>
            </w:r>
          </w:p>
        </w:tc>
        <w:tc>
          <w:tcPr>
            <w:tcW w:w="899" w:type="pct"/>
            <w:tcBorders>
              <w:top w:val="single" w:color="auto" w:sz="4" w:space="0"/>
              <w:left w:val="single" w:color="auto" w:sz="4" w:space="0"/>
              <w:bottom w:val="single" w:color="auto" w:sz="4" w:space="0"/>
              <w:right w:val="single" w:color="auto" w:sz="4" w:space="0"/>
            </w:tcBorders>
            <w:vAlign w:val="center"/>
          </w:tcPr>
          <w:p w14:paraId="5F2B316C">
            <w:pPr>
              <w:snapToGrid w:val="0"/>
              <w:spacing w:line="360" w:lineRule="auto"/>
              <w:jc w:val="center"/>
              <w:rPr>
                <w:color w:val="auto"/>
                <w:highlight w:val="none"/>
              </w:rPr>
            </w:pPr>
            <w:r>
              <w:rPr>
                <w:rFonts w:hint="eastAsia" w:ascii="宋体" w:hAnsi="宋体" w:cs="宋体"/>
                <w:color w:val="auto"/>
                <w:highlight w:val="none"/>
              </w:rPr>
              <w:t>露天矿山0.2米分辨率航空影像获取和正射影像生产分标3</w:t>
            </w:r>
          </w:p>
        </w:tc>
        <w:tc>
          <w:tcPr>
            <w:tcW w:w="789" w:type="pct"/>
            <w:tcBorders>
              <w:top w:val="single" w:color="auto" w:sz="4" w:space="0"/>
              <w:left w:val="single" w:color="auto" w:sz="4" w:space="0"/>
              <w:bottom w:val="single" w:color="auto" w:sz="4" w:space="0"/>
              <w:right w:val="single" w:color="auto" w:sz="4" w:space="0"/>
            </w:tcBorders>
            <w:vAlign w:val="center"/>
          </w:tcPr>
          <w:p w14:paraId="15BFFEE2">
            <w:pPr>
              <w:spacing w:line="360" w:lineRule="exact"/>
              <w:jc w:val="center"/>
              <w:rPr>
                <w:rFonts w:ascii="宋体" w:hAnsi="宋体"/>
                <w:color w:val="auto"/>
                <w:szCs w:val="21"/>
                <w:highlight w:val="none"/>
              </w:rPr>
            </w:pPr>
            <w:r>
              <w:rPr>
                <w:rFonts w:hint="eastAsia" w:ascii="宋体" w:hAnsi="宋体"/>
                <w:color w:val="auto"/>
                <w:szCs w:val="21"/>
                <w:highlight w:val="none"/>
              </w:rPr>
              <w:t>1项</w:t>
            </w:r>
          </w:p>
        </w:tc>
        <w:tc>
          <w:tcPr>
            <w:tcW w:w="3100" w:type="pct"/>
            <w:tcBorders>
              <w:top w:val="single" w:color="auto" w:sz="4" w:space="0"/>
              <w:left w:val="single" w:color="auto" w:sz="4" w:space="0"/>
              <w:bottom w:val="single" w:color="auto" w:sz="4" w:space="0"/>
              <w:right w:val="single" w:color="auto" w:sz="4" w:space="0"/>
            </w:tcBorders>
            <w:vAlign w:val="center"/>
          </w:tcPr>
          <w:p w14:paraId="2E1D9877">
            <w:pPr>
              <w:pStyle w:val="79"/>
              <w:widowControl w:val="0"/>
              <w:spacing w:line="300" w:lineRule="exact"/>
              <w:ind w:firstLine="0" w:firstLineChars="0"/>
              <w:jc w:val="both"/>
              <w:rPr>
                <w:rFonts w:ascii="宋体" w:hAnsi="宋体" w:cs="宋体"/>
                <w:color w:val="auto"/>
                <w:szCs w:val="24"/>
                <w:highlight w:val="none"/>
              </w:rPr>
            </w:pPr>
            <w:r>
              <w:rPr>
                <w:rFonts w:hint="eastAsia" w:ascii="宋体" w:hAnsi="宋体" w:cs="宋体"/>
                <w:color w:val="auto"/>
                <w:szCs w:val="24"/>
                <w:highlight w:val="none"/>
              </w:rPr>
              <w:t>桂林、河池、贺州部分区域。本分标测量面积为527平方千米，具体测量范围（区域）在项目实施时以采购人书面通知为准。具体内容详见竞争性磋商文件第三章采购需求。</w:t>
            </w:r>
          </w:p>
        </w:tc>
      </w:tr>
      <w:tr w14:paraId="381BFA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4" w:hRule="atLeast"/>
          <w:jc w:val="center"/>
        </w:trPr>
        <w:tc>
          <w:tcPr>
            <w:tcW w:w="5000" w:type="pct"/>
            <w:gridSpan w:val="4"/>
            <w:tcBorders>
              <w:top w:val="single" w:color="auto" w:sz="4" w:space="0"/>
              <w:left w:val="single" w:color="auto" w:sz="4" w:space="0"/>
              <w:bottom w:val="single" w:color="auto" w:sz="4" w:space="0"/>
              <w:right w:val="single" w:color="auto" w:sz="4" w:space="0"/>
            </w:tcBorders>
            <w:vAlign w:val="center"/>
          </w:tcPr>
          <w:p w14:paraId="7190A53B">
            <w:pPr>
              <w:snapToGrid w:val="0"/>
              <w:spacing w:line="360" w:lineRule="auto"/>
              <w:jc w:val="left"/>
              <w:rPr>
                <w:rFonts w:ascii="宋体" w:hAnsi="宋体"/>
                <w:b/>
                <w:bCs/>
                <w:color w:val="auto"/>
                <w:szCs w:val="21"/>
                <w:highlight w:val="none"/>
              </w:rPr>
            </w:pPr>
            <w:r>
              <w:rPr>
                <w:rFonts w:hint="eastAsia" w:ascii="宋体" w:hAnsi="宋体"/>
                <w:b/>
                <w:bCs/>
                <w:color w:val="auto"/>
                <w:szCs w:val="21"/>
                <w:highlight w:val="none"/>
              </w:rPr>
              <w:t>分标4；预算金额：</w:t>
            </w:r>
            <w:r>
              <w:rPr>
                <w:rFonts w:hint="eastAsia" w:ascii="宋体" w:hAnsi="宋体"/>
                <w:b/>
                <w:bCs/>
                <w:color w:val="auto"/>
                <w:szCs w:val="21"/>
                <w:highlight w:val="none"/>
                <w:u w:val="single"/>
              </w:rPr>
              <w:t>41.3</w:t>
            </w:r>
            <w:r>
              <w:rPr>
                <w:rFonts w:hint="eastAsia" w:ascii="宋体" w:hAnsi="宋体" w:cs="宋体"/>
                <w:b/>
                <w:bCs/>
                <w:color w:val="auto"/>
                <w:szCs w:val="21"/>
                <w:highlight w:val="none"/>
                <w:u w:val="single"/>
              </w:rPr>
              <w:t>万元</w:t>
            </w:r>
          </w:p>
        </w:tc>
      </w:tr>
      <w:tr w14:paraId="4751F5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85" w:hRule="atLeast"/>
          <w:jc w:val="center"/>
        </w:trPr>
        <w:tc>
          <w:tcPr>
            <w:tcW w:w="211" w:type="pct"/>
            <w:tcBorders>
              <w:top w:val="single" w:color="auto" w:sz="4" w:space="0"/>
              <w:left w:val="single" w:color="auto" w:sz="4" w:space="0"/>
              <w:bottom w:val="single" w:color="auto" w:sz="4" w:space="0"/>
              <w:right w:val="single" w:color="auto" w:sz="4" w:space="0"/>
            </w:tcBorders>
            <w:vAlign w:val="center"/>
          </w:tcPr>
          <w:p w14:paraId="59E6906C">
            <w:pPr>
              <w:jc w:val="center"/>
              <w:rPr>
                <w:rFonts w:ascii="宋体" w:hAnsi="宋体"/>
                <w:color w:val="auto"/>
                <w:szCs w:val="21"/>
                <w:highlight w:val="none"/>
              </w:rPr>
            </w:pPr>
            <w:r>
              <w:rPr>
                <w:rFonts w:hint="eastAsia"/>
                <w:color w:val="auto"/>
                <w:highlight w:val="none"/>
              </w:rPr>
              <w:t>序号</w:t>
            </w:r>
          </w:p>
        </w:tc>
        <w:tc>
          <w:tcPr>
            <w:tcW w:w="899" w:type="pct"/>
            <w:tcBorders>
              <w:top w:val="single" w:color="auto" w:sz="4" w:space="0"/>
              <w:left w:val="single" w:color="auto" w:sz="4" w:space="0"/>
              <w:bottom w:val="single" w:color="auto" w:sz="4" w:space="0"/>
              <w:right w:val="single" w:color="auto" w:sz="4" w:space="0"/>
            </w:tcBorders>
            <w:vAlign w:val="center"/>
          </w:tcPr>
          <w:p w14:paraId="21C5DAF2">
            <w:pPr>
              <w:jc w:val="center"/>
              <w:rPr>
                <w:color w:val="auto"/>
                <w:highlight w:val="none"/>
              </w:rPr>
            </w:pPr>
            <w:r>
              <w:rPr>
                <w:rFonts w:hint="eastAsia"/>
                <w:color w:val="auto"/>
                <w:highlight w:val="none"/>
              </w:rPr>
              <w:t>标项名称</w:t>
            </w:r>
          </w:p>
        </w:tc>
        <w:tc>
          <w:tcPr>
            <w:tcW w:w="789" w:type="pct"/>
            <w:tcBorders>
              <w:top w:val="single" w:color="auto" w:sz="4" w:space="0"/>
              <w:left w:val="single" w:color="auto" w:sz="4" w:space="0"/>
              <w:bottom w:val="single" w:color="auto" w:sz="4" w:space="0"/>
              <w:right w:val="single" w:color="auto" w:sz="4" w:space="0"/>
            </w:tcBorders>
            <w:vAlign w:val="center"/>
          </w:tcPr>
          <w:p w14:paraId="1A473A07">
            <w:pPr>
              <w:spacing w:line="360" w:lineRule="exact"/>
              <w:jc w:val="center"/>
              <w:rPr>
                <w:rFonts w:ascii="宋体" w:hAnsi="宋体" w:cs="宋体"/>
                <w:color w:val="auto"/>
                <w:szCs w:val="21"/>
                <w:highlight w:val="none"/>
              </w:rPr>
            </w:pPr>
            <w:r>
              <w:rPr>
                <w:rFonts w:hint="eastAsia" w:ascii="宋体" w:hAnsi="宋体"/>
                <w:color w:val="auto"/>
                <w:szCs w:val="21"/>
                <w:highlight w:val="none"/>
              </w:rPr>
              <w:t>数量及单位</w:t>
            </w:r>
          </w:p>
        </w:tc>
        <w:tc>
          <w:tcPr>
            <w:tcW w:w="3100" w:type="pct"/>
            <w:tcBorders>
              <w:top w:val="single" w:color="auto" w:sz="4" w:space="0"/>
              <w:left w:val="single" w:color="auto" w:sz="4" w:space="0"/>
              <w:bottom w:val="single" w:color="auto" w:sz="4" w:space="0"/>
              <w:right w:val="single" w:color="auto" w:sz="4" w:space="0"/>
            </w:tcBorders>
            <w:vAlign w:val="center"/>
          </w:tcPr>
          <w:p w14:paraId="12C57272">
            <w:pPr>
              <w:jc w:val="center"/>
              <w:rPr>
                <w:color w:val="auto"/>
                <w:highlight w:val="none"/>
              </w:rPr>
            </w:pPr>
            <w:r>
              <w:rPr>
                <w:color w:val="auto"/>
                <w:highlight w:val="none"/>
              </w:rPr>
              <w:t>简要规格描述或项目基本概况介绍、用途</w:t>
            </w:r>
          </w:p>
        </w:tc>
      </w:tr>
      <w:tr w14:paraId="29C989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85" w:hRule="atLeast"/>
          <w:jc w:val="center"/>
        </w:trPr>
        <w:tc>
          <w:tcPr>
            <w:tcW w:w="211" w:type="pct"/>
            <w:tcBorders>
              <w:top w:val="single" w:color="auto" w:sz="4" w:space="0"/>
              <w:left w:val="single" w:color="auto" w:sz="4" w:space="0"/>
              <w:bottom w:val="single" w:color="auto" w:sz="4" w:space="0"/>
              <w:right w:val="single" w:color="auto" w:sz="4" w:space="0"/>
            </w:tcBorders>
            <w:vAlign w:val="center"/>
          </w:tcPr>
          <w:p w14:paraId="502C6544">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1</w:t>
            </w:r>
          </w:p>
        </w:tc>
        <w:tc>
          <w:tcPr>
            <w:tcW w:w="899" w:type="pct"/>
            <w:tcBorders>
              <w:top w:val="single" w:color="auto" w:sz="4" w:space="0"/>
              <w:left w:val="single" w:color="auto" w:sz="4" w:space="0"/>
              <w:bottom w:val="single" w:color="auto" w:sz="4" w:space="0"/>
              <w:right w:val="single" w:color="auto" w:sz="4" w:space="0"/>
            </w:tcBorders>
            <w:vAlign w:val="center"/>
          </w:tcPr>
          <w:p w14:paraId="0F0FBF2E">
            <w:pPr>
              <w:snapToGrid w:val="0"/>
              <w:spacing w:line="360" w:lineRule="auto"/>
              <w:jc w:val="center"/>
              <w:rPr>
                <w:color w:val="auto"/>
                <w:highlight w:val="none"/>
              </w:rPr>
            </w:pPr>
            <w:r>
              <w:rPr>
                <w:rFonts w:hint="eastAsia" w:ascii="宋体" w:hAnsi="宋体" w:cs="宋体"/>
                <w:color w:val="auto"/>
                <w:highlight w:val="none"/>
              </w:rPr>
              <w:t>露天矿山0.2米分辨率航空影像获取和正射影像生产分标4</w:t>
            </w:r>
          </w:p>
        </w:tc>
        <w:tc>
          <w:tcPr>
            <w:tcW w:w="789" w:type="pct"/>
            <w:tcBorders>
              <w:top w:val="single" w:color="auto" w:sz="4" w:space="0"/>
              <w:left w:val="single" w:color="auto" w:sz="4" w:space="0"/>
              <w:bottom w:val="single" w:color="auto" w:sz="4" w:space="0"/>
              <w:right w:val="single" w:color="auto" w:sz="4" w:space="0"/>
            </w:tcBorders>
            <w:vAlign w:val="center"/>
          </w:tcPr>
          <w:p w14:paraId="06631A60">
            <w:pPr>
              <w:spacing w:line="360" w:lineRule="exact"/>
              <w:jc w:val="center"/>
              <w:rPr>
                <w:rFonts w:ascii="宋体" w:hAnsi="宋体" w:cs="宋体"/>
                <w:color w:val="auto"/>
                <w:szCs w:val="21"/>
                <w:highlight w:val="none"/>
              </w:rPr>
            </w:pPr>
            <w:r>
              <w:rPr>
                <w:rFonts w:hint="eastAsia" w:ascii="宋体" w:hAnsi="宋体"/>
                <w:color w:val="auto"/>
                <w:szCs w:val="21"/>
                <w:highlight w:val="none"/>
              </w:rPr>
              <w:t>1项</w:t>
            </w:r>
          </w:p>
        </w:tc>
        <w:tc>
          <w:tcPr>
            <w:tcW w:w="3100" w:type="pct"/>
            <w:tcBorders>
              <w:top w:val="single" w:color="auto" w:sz="4" w:space="0"/>
              <w:left w:val="single" w:color="auto" w:sz="4" w:space="0"/>
              <w:bottom w:val="single" w:color="auto" w:sz="4" w:space="0"/>
              <w:right w:val="single" w:color="auto" w:sz="4" w:space="0"/>
            </w:tcBorders>
            <w:vAlign w:val="center"/>
          </w:tcPr>
          <w:p w14:paraId="2951F811">
            <w:pPr>
              <w:pStyle w:val="79"/>
              <w:widowControl w:val="0"/>
              <w:spacing w:line="300" w:lineRule="exact"/>
              <w:ind w:firstLine="0" w:firstLineChars="0"/>
              <w:rPr>
                <w:rFonts w:ascii="宋体" w:hAnsi="宋体" w:cs="宋体"/>
                <w:color w:val="auto"/>
                <w:szCs w:val="24"/>
                <w:highlight w:val="none"/>
              </w:rPr>
            </w:pPr>
            <w:r>
              <w:rPr>
                <w:rFonts w:hint="eastAsia" w:ascii="宋体" w:hAnsi="宋体" w:cs="宋体"/>
                <w:color w:val="auto"/>
                <w:szCs w:val="24"/>
                <w:highlight w:val="none"/>
              </w:rPr>
              <w:t>南宁、贵港、崇左、防城港、钦州、北海部分区域。本分标测量面积为413平方千米，具体测量范围（区域）在项目实施时以采购人书面通知为准。具体内容详见竞争性磋商文件第三章采购需求。</w:t>
            </w:r>
          </w:p>
        </w:tc>
      </w:tr>
    </w:tbl>
    <w:p w14:paraId="700B7950">
      <w:pPr>
        <w:spacing w:line="360" w:lineRule="auto"/>
        <w:ind w:firstLine="420" w:firstLineChars="200"/>
        <w:rPr>
          <w:color w:val="auto"/>
          <w:highlight w:val="none"/>
        </w:rPr>
      </w:pPr>
      <w:r>
        <w:rPr>
          <w:rFonts w:hint="eastAsia" w:ascii="宋体" w:hAnsi="宋体"/>
          <w:color w:val="auto"/>
          <w:szCs w:val="21"/>
          <w:highlight w:val="none"/>
        </w:rPr>
        <w:t>合同履行期限：</w:t>
      </w:r>
      <w:r>
        <w:rPr>
          <w:rFonts w:hint="eastAsia"/>
          <w:bCs/>
          <w:color w:val="auto"/>
          <w:highlight w:val="none"/>
        </w:rPr>
        <w:t>详见竞争性磋商文件。</w:t>
      </w:r>
    </w:p>
    <w:p w14:paraId="53B8B682">
      <w:pPr>
        <w:spacing w:line="360" w:lineRule="auto"/>
        <w:ind w:firstLine="422" w:firstLineChars="200"/>
        <w:rPr>
          <w:rFonts w:ascii="宋体" w:hAnsi="宋体" w:cs="宋体"/>
          <w:b/>
          <w:bCs/>
          <w:color w:val="auto"/>
          <w:szCs w:val="21"/>
          <w:highlight w:val="none"/>
        </w:rPr>
      </w:pPr>
      <w:r>
        <w:rPr>
          <w:rFonts w:hint="eastAsia" w:ascii="宋体" w:hAnsi="宋体"/>
          <w:b/>
          <w:bCs/>
          <w:color w:val="auto"/>
          <w:szCs w:val="21"/>
          <w:highlight w:val="none"/>
        </w:rPr>
        <w:t>本项目不接受联合体。</w:t>
      </w:r>
    </w:p>
    <w:p w14:paraId="6F2A6B8C">
      <w:pPr>
        <w:spacing w:line="360" w:lineRule="auto"/>
        <w:ind w:firstLine="354" w:firstLineChars="147"/>
        <w:rPr>
          <w:rFonts w:ascii="宋体" w:hAnsi="宋体" w:cs="宋体"/>
          <w:b/>
          <w:color w:val="auto"/>
          <w:sz w:val="24"/>
          <w:highlight w:val="none"/>
        </w:rPr>
      </w:pPr>
      <w:r>
        <w:rPr>
          <w:rFonts w:hint="eastAsia" w:ascii="宋体" w:hAnsi="宋体" w:cs="宋体"/>
          <w:b/>
          <w:color w:val="auto"/>
          <w:sz w:val="24"/>
          <w:highlight w:val="none"/>
        </w:rPr>
        <w:t>二、申请人的资格条件：</w:t>
      </w:r>
    </w:p>
    <w:p w14:paraId="524E536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1、满足《中华人民共和国政府采购法》第二十二条规定；</w:t>
      </w:r>
    </w:p>
    <w:p w14:paraId="28E3FFD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2、落实政府采购政策需满足的资格要求：分标1、2、3、4专门面向中小企业采购，供应商应为中小微企业或监狱企业或残疾人福利性单位。 </w:t>
      </w:r>
    </w:p>
    <w:p w14:paraId="2BD8EB6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3、本项目的特定资格要求：分标1、2、3、4供应商具有自然资源行政主管部门颁发的乙级及乙级以上测绘资质(专业范围内容包括测绘航空摄影、摄影测量与遥感和工程测量)。</w:t>
      </w:r>
    </w:p>
    <w:p w14:paraId="40A122D2">
      <w:pPr>
        <w:spacing w:line="360" w:lineRule="auto"/>
        <w:ind w:firstLine="354" w:firstLineChars="147"/>
        <w:rPr>
          <w:rFonts w:ascii="宋体" w:hAnsi="宋体" w:cs="宋体"/>
          <w:b/>
          <w:color w:val="auto"/>
          <w:sz w:val="24"/>
          <w:highlight w:val="none"/>
        </w:rPr>
      </w:pPr>
      <w:r>
        <w:rPr>
          <w:rFonts w:hint="eastAsia" w:ascii="宋体" w:hAnsi="宋体" w:cs="宋体"/>
          <w:b/>
          <w:color w:val="auto"/>
          <w:sz w:val="24"/>
          <w:highlight w:val="none"/>
        </w:rPr>
        <w:t>三、获取竞争性磋商文件</w:t>
      </w:r>
    </w:p>
    <w:p w14:paraId="3761CCBF">
      <w:pPr>
        <w:spacing w:line="360" w:lineRule="auto"/>
        <w:ind w:firstLine="420" w:firstLineChars="200"/>
        <w:rPr>
          <w:rFonts w:ascii="宋体" w:hAnsi="宋体" w:cs="宋体"/>
          <w:bCs/>
          <w:color w:val="auto"/>
          <w:kern w:val="0"/>
          <w:szCs w:val="21"/>
          <w:highlight w:val="none"/>
        </w:rPr>
      </w:pPr>
      <w:r>
        <w:rPr>
          <w:rFonts w:hint="eastAsia" w:ascii="宋体" w:hAnsi="宋体" w:cs="宋体"/>
          <w:bCs/>
          <w:color w:val="auto"/>
          <w:kern w:val="0"/>
          <w:szCs w:val="21"/>
          <w:highlight w:val="none"/>
        </w:rPr>
        <w:t>时间：</w:t>
      </w:r>
      <w:r>
        <w:rPr>
          <w:rFonts w:hint="eastAsia" w:ascii="宋体" w:hAnsi="宋体" w:cs="宋体"/>
          <w:color w:val="auto"/>
          <w:highlight w:val="none"/>
        </w:rPr>
        <w:t>2025年7月1</w:t>
      </w:r>
      <w:r>
        <w:rPr>
          <w:rFonts w:hint="eastAsia" w:ascii="宋体" w:hAnsi="宋体" w:cs="宋体"/>
          <w:color w:val="auto"/>
          <w:highlight w:val="none"/>
          <w:lang w:val="en-US" w:eastAsia="zh-CN"/>
        </w:rPr>
        <w:t>5</w:t>
      </w:r>
      <w:r>
        <w:rPr>
          <w:rFonts w:hint="eastAsia" w:ascii="宋体" w:hAnsi="宋体" w:cs="宋体"/>
          <w:color w:val="auto"/>
          <w:highlight w:val="none"/>
        </w:rPr>
        <w:t>日</w:t>
      </w:r>
      <w:r>
        <w:rPr>
          <w:rFonts w:hint="eastAsia" w:ascii="宋体" w:hAnsi="宋体" w:cs="宋体"/>
          <w:color w:val="auto"/>
          <w:szCs w:val="21"/>
          <w:highlight w:val="none"/>
        </w:rPr>
        <w:t>至</w:t>
      </w:r>
      <w:r>
        <w:rPr>
          <w:rFonts w:hint="eastAsia" w:ascii="宋体" w:hAnsi="宋体" w:cs="宋体"/>
          <w:color w:val="auto"/>
          <w:highlight w:val="none"/>
        </w:rPr>
        <w:t>2025年7月2</w:t>
      </w:r>
      <w:r>
        <w:rPr>
          <w:rFonts w:hint="eastAsia" w:ascii="宋体" w:hAnsi="宋体" w:cs="宋体"/>
          <w:color w:val="auto"/>
          <w:highlight w:val="none"/>
          <w:lang w:val="en-US" w:eastAsia="zh-CN"/>
        </w:rPr>
        <w:t>2</w:t>
      </w:r>
      <w:r>
        <w:rPr>
          <w:rFonts w:hint="eastAsia" w:ascii="宋体" w:hAnsi="宋体" w:cs="宋体"/>
          <w:color w:val="auto"/>
          <w:highlight w:val="none"/>
        </w:rPr>
        <w:t>日</w:t>
      </w:r>
      <w:r>
        <w:rPr>
          <w:rFonts w:hint="eastAsia" w:ascii="宋体" w:hAnsi="宋体" w:cs="宋体"/>
          <w:color w:val="auto"/>
          <w:szCs w:val="21"/>
          <w:highlight w:val="none"/>
        </w:rPr>
        <w:t>，每天上午00:00-12:00；下午1</w:t>
      </w:r>
      <w:r>
        <w:rPr>
          <w:rFonts w:hint="eastAsia" w:ascii="宋体" w:hAnsi="宋体" w:cs="宋体"/>
          <w:color w:val="auto"/>
          <w:highlight w:val="none"/>
        </w:rPr>
        <w:t>2</w:t>
      </w:r>
      <w:r>
        <w:rPr>
          <w:rFonts w:hint="eastAsia" w:ascii="宋体" w:hAnsi="宋体" w:cs="宋体"/>
          <w:color w:val="auto"/>
          <w:szCs w:val="21"/>
          <w:highlight w:val="none"/>
        </w:rPr>
        <w:t>:</w:t>
      </w:r>
      <w:r>
        <w:rPr>
          <w:rFonts w:hint="eastAsia" w:ascii="宋体" w:hAnsi="宋体" w:cs="宋体"/>
          <w:color w:val="auto"/>
          <w:highlight w:val="none"/>
        </w:rPr>
        <w:t>00</w:t>
      </w:r>
      <w:r>
        <w:rPr>
          <w:rFonts w:hint="eastAsia" w:ascii="宋体" w:hAnsi="宋体" w:cs="宋体"/>
          <w:color w:val="auto"/>
          <w:szCs w:val="21"/>
          <w:highlight w:val="none"/>
        </w:rPr>
        <w:t>-23:</w:t>
      </w:r>
      <w:r>
        <w:rPr>
          <w:rFonts w:hint="eastAsia" w:ascii="宋体" w:hAnsi="宋体" w:cs="宋体"/>
          <w:color w:val="auto"/>
          <w:highlight w:val="none"/>
        </w:rPr>
        <w:t>59</w:t>
      </w:r>
      <w:r>
        <w:rPr>
          <w:rFonts w:hint="eastAsia" w:ascii="宋体" w:hAnsi="宋体" w:cs="宋体"/>
          <w:color w:val="auto"/>
          <w:szCs w:val="21"/>
          <w:highlight w:val="none"/>
        </w:rPr>
        <w:t>（北京时间，法定节假日除外）</w:t>
      </w:r>
      <w:r>
        <w:rPr>
          <w:rFonts w:hint="eastAsia" w:ascii="宋体" w:hAnsi="宋体" w:cs="宋体"/>
          <w:bCs/>
          <w:color w:val="auto"/>
          <w:kern w:val="0"/>
          <w:szCs w:val="21"/>
          <w:highlight w:val="none"/>
        </w:rPr>
        <w:t>。</w:t>
      </w:r>
    </w:p>
    <w:p w14:paraId="60CE930E">
      <w:pPr>
        <w:spacing w:line="360" w:lineRule="auto"/>
        <w:ind w:firstLine="420" w:firstLineChars="200"/>
        <w:rPr>
          <w:rFonts w:ascii="宋体" w:hAnsi="宋体" w:cs="宋体"/>
          <w:color w:val="auto"/>
          <w:highlight w:val="none"/>
        </w:rPr>
      </w:pPr>
      <w:r>
        <w:rPr>
          <w:rFonts w:hint="eastAsia" w:ascii="宋体" w:hAnsi="宋体" w:cs="宋体"/>
          <w:bCs/>
          <w:color w:val="auto"/>
          <w:kern w:val="0"/>
          <w:szCs w:val="21"/>
          <w:highlight w:val="none"/>
        </w:rPr>
        <w:t>地点：</w:t>
      </w:r>
      <w:r>
        <w:rPr>
          <w:rFonts w:hint="eastAsia" w:ascii="宋体" w:hAnsi="宋体" w:cs="宋体"/>
          <w:color w:val="auto"/>
          <w:highlight w:val="none"/>
        </w:rPr>
        <w:t>广西政府采购云平台（https://www.gcy.zfcg.gxzf.gov.cn/）。</w:t>
      </w:r>
    </w:p>
    <w:p w14:paraId="41E5C381">
      <w:pPr>
        <w:spacing w:line="360" w:lineRule="auto"/>
        <w:ind w:firstLine="420" w:firstLineChars="200"/>
        <w:rPr>
          <w:rFonts w:ascii="宋体" w:hAnsi="宋体" w:cs="宋体"/>
          <w:bCs/>
          <w:color w:val="auto"/>
          <w:kern w:val="0"/>
          <w:szCs w:val="21"/>
          <w:highlight w:val="none"/>
        </w:rPr>
      </w:pPr>
      <w:r>
        <w:rPr>
          <w:rFonts w:hint="eastAsia" w:ascii="宋体" w:hAnsi="宋体" w:cs="宋体"/>
          <w:bCs/>
          <w:color w:val="auto"/>
          <w:kern w:val="0"/>
          <w:szCs w:val="21"/>
          <w:highlight w:val="none"/>
        </w:rPr>
        <w:t>方式：网上下载。供应商登录广西政府采购云平台https://www.gcy.zfcg.gxzf.gov.cn/在线申请获取采购文件（进入“项目采购”应用，在获取采购文件菜单中选择项目，申请获取采购文件）。</w:t>
      </w:r>
    </w:p>
    <w:p w14:paraId="06D90766">
      <w:pPr>
        <w:spacing w:line="360" w:lineRule="auto"/>
        <w:ind w:firstLine="420" w:firstLineChars="200"/>
        <w:rPr>
          <w:rFonts w:ascii="宋体" w:hAnsi="宋体" w:cs="宋体"/>
          <w:color w:val="auto"/>
          <w:szCs w:val="21"/>
          <w:highlight w:val="none"/>
        </w:rPr>
      </w:pPr>
      <w:r>
        <w:rPr>
          <w:rFonts w:hint="eastAsia" w:ascii="宋体" w:hAnsi="宋体" w:cs="宋体"/>
          <w:bCs/>
          <w:color w:val="auto"/>
          <w:kern w:val="0"/>
          <w:szCs w:val="21"/>
          <w:highlight w:val="none"/>
        </w:rPr>
        <w:t>售价：0元。</w:t>
      </w:r>
    </w:p>
    <w:p w14:paraId="784F0BC1">
      <w:pPr>
        <w:spacing w:line="360" w:lineRule="auto"/>
        <w:ind w:firstLine="354" w:firstLineChars="147"/>
        <w:rPr>
          <w:rFonts w:ascii="宋体" w:hAnsi="宋体" w:cs="宋体"/>
          <w:b/>
          <w:color w:val="auto"/>
          <w:sz w:val="24"/>
          <w:highlight w:val="none"/>
        </w:rPr>
      </w:pPr>
      <w:r>
        <w:rPr>
          <w:rFonts w:hint="eastAsia" w:ascii="宋体" w:hAnsi="宋体" w:cs="宋体"/>
          <w:b/>
          <w:color w:val="auto"/>
          <w:sz w:val="24"/>
          <w:highlight w:val="none"/>
        </w:rPr>
        <w:t>四、响应文件提交</w:t>
      </w:r>
    </w:p>
    <w:p w14:paraId="0F0D2FFA">
      <w:pPr>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1、首次响应文件提交截止时间：</w:t>
      </w:r>
      <w:r>
        <w:rPr>
          <w:rFonts w:hint="eastAsia" w:ascii="宋体" w:hAnsi="宋体" w:cs="宋体"/>
          <w:bCs/>
          <w:color w:val="auto"/>
          <w:kern w:val="0"/>
          <w:szCs w:val="21"/>
          <w:highlight w:val="none"/>
        </w:rPr>
        <w:t>2025年7月28日09时00分（北京时间）</w:t>
      </w:r>
    </w:p>
    <w:p w14:paraId="62F0398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2、地点：通过广西政府采购云平台（https://www.gcy.zfcg.gxzf.gov.cn/）在线提交。</w:t>
      </w:r>
    </w:p>
    <w:p w14:paraId="6330E63A">
      <w:pPr>
        <w:spacing w:line="360" w:lineRule="auto"/>
        <w:ind w:firstLine="354" w:firstLineChars="147"/>
        <w:rPr>
          <w:rFonts w:ascii="宋体" w:hAnsi="宋体" w:cs="宋体"/>
          <w:b/>
          <w:color w:val="auto"/>
          <w:sz w:val="24"/>
          <w:highlight w:val="none"/>
        </w:rPr>
      </w:pPr>
      <w:r>
        <w:rPr>
          <w:rFonts w:hint="eastAsia" w:ascii="宋体" w:hAnsi="宋体" w:cs="宋体"/>
          <w:b/>
          <w:color w:val="auto"/>
          <w:sz w:val="24"/>
          <w:highlight w:val="none"/>
        </w:rPr>
        <w:t>五、开启</w:t>
      </w:r>
    </w:p>
    <w:p w14:paraId="407E755A">
      <w:pPr>
        <w:spacing w:line="360" w:lineRule="auto"/>
        <w:ind w:firstLine="420" w:firstLineChars="200"/>
        <w:rPr>
          <w:rFonts w:ascii="宋体" w:hAnsi="宋体" w:cs="宋体"/>
          <w:bCs/>
          <w:color w:val="auto"/>
          <w:szCs w:val="21"/>
          <w:highlight w:val="none"/>
          <w:u w:val="single"/>
        </w:rPr>
      </w:pPr>
      <w:r>
        <w:rPr>
          <w:rFonts w:hint="eastAsia" w:ascii="宋体" w:hAnsi="宋体" w:cs="宋体"/>
          <w:color w:val="auto"/>
          <w:szCs w:val="21"/>
          <w:highlight w:val="none"/>
        </w:rPr>
        <w:t>1、首次响应文件开启时间：</w:t>
      </w:r>
      <w:r>
        <w:rPr>
          <w:rFonts w:hint="eastAsia" w:ascii="宋体" w:hAnsi="宋体" w:cs="宋体"/>
          <w:bCs/>
          <w:color w:val="auto"/>
          <w:kern w:val="0"/>
          <w:szCs w:val="21"/>
          <w:highlight w:val="none"/>
        </w:rPr>
        <w:t>2025年7月28日09时00分（北京时间）</w:t>
      </w:r>
    </w:p>
    <w:p w14:paraId="70B811B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2、地点：本项目将在广西政府采购云平台电子开标大厅解密、开启。</w:t>
      </w:r>
    </w:p>
    <w:p w14:paraId="101D7045">
      <w:pPr>
        <w:spacing w:line="360" w:lineRule="auto"/>
        <w:ind w:firstLine="354" w:firstLineChars="147"/>
        <w:rPr>
          <w:rFonts w:ascii="宋体" w:hAnsi="宋体" w:cs="宋体"/>
          <w:b/>
          <w:color w:val="auto"/>
          <w:sz w:val="24"/>
          <w:highlight w:val="none"/>
        </w:rPr>
      </w:pPr>
      <w:r>
        <w:rPr>
          <w:rFonts w:hint="eastAsia" w:ascii="宋体" w:hAnsi="宋体" w:cs="宋体"/>
          <w:b/>
          <w:color w:val="auto"/>
          <w:sz w:val="24"/>
          <w:highlight w:val="none"/>
        </w:rPr>
        <w:t>六、公告期限</w:t>
      </w:r>
    </w:p>
    <w:p w14:paraId="31E9BD2F">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自本公告发布之日起5个工作日。</w:t>
      </w:r>
    </w:p>
    <w:p w14:paraId="23C98AB3">
      <w:pPr>
        <w:spacing w:line="360" w:lineRule="auto"/>
        <w:ind w:firstLine="354" w:firstLineChars="147"/>
        <w:rPr>
          <w:rFonts w:ascii="宋体" w:hAnsi="宋体" w:cs="宋体"/>
          <w:b/>
          <w:color w:val="auto"/>
          <w:sz w:val="24"/>
          <w:highlight w:val="none"/>
        </w:rPr>
      </w:pPr>
      <w:r>
        <w:rPr>
          <w:rFonts w:hint="eastAsia" w:ascii="宋体" w:hAnsi="宋体" w:cs="宋体"/>
          <w:b/>
          <w:color w:val="auto"/>
          <w:sz w:val="24"/>
          <w:highlight w:val="none"/>
        </w:rPr>
        <w:t>七、其他补充事宜</w:t>
      </w:r>
    </w:p>
    <w:p w14:paraId="0E96E99B">
      <w:pPr>
        <w:widowControl/>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1、磋商保证金（人民币）：</w:t>
      </w:r>
      <w:r>
        <w:rPr>
          <w:rFonts w:hint="eastAsia" w:ascii="宋体" w:hAnsi="宋体" w:cs="宋体"/>
          <w:color w:val="auto"/>
          <w:szCs w:val="21"/>
          <w:highlight w:val="none"/>
          <w:lang w:bidi="ar"/>
        </w:rPr>
        <w:t>分标1为5300.00 元；分标2为4600.00元；分标3为 5200.00元；分标4为4100.00元</w:t>
      </w:r>
      <w:r>
        <w:rPr>
          <w:rFonts w:hint="eastAsia" w:ascii="宋体" w:hAnsi="宋体" w:cs="宋体"/>
          <w:color w:val="auto"/>
          <w:szCs w:val="21"/>
          <w:highlight w:val="none"/>
        </w:rPr>
        <w:t>。</w:t>
      </w:r>
    </w:p>
    <w:p w14:paraId="2DABEBCC">
      <w:pPr>
        <w:widowControl/>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06CA27BF">
      <w:pPr>
        <w:widowControl/>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3、根据财政部《关于在政府采购活动中查询及使用信用记录有关问题的通知》（财库〔2016〕125号）的规定，对在“信用中国”网站(www.creditchina.gov.cn)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14:paraId="5C01BABF">
      <w:pPr>
        <w:widowControl/>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4、网上查询地址：中国政府采购网（www.ccgp.gov.cn）、广西政府采购网（zfcg.gxzf.gov.cn）。</w:t>
      </w:r>
    </w:p>
    <w:p w14:paraId="64C54ECE">
      <w:pPr>
        <w:widowControl/>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5、本项目需要落实的政府采购政策：</w:t>
      </w:r>
    </w:p>
    <w:p w14:paraId="42F487FC">
      <w:pPr>
        <w:widowControl/>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（1）政府采购促进中小企业发展。</w:t>
      </w:r>
    </w:p>
    <w:p w14:paraId="586F58AF">
      <w:pPr>
        <w:widowControl/>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（2）政府采购支持采用本国产品的政策。</w:t>
      </w:r>
    </w:p>
    <w:p w14:paraId="71499CC9">
      <w:pPr>
        <w:widowControl/>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（3）强制采购节能产品；优先采购节能产品、环境标志产品。</w:t>
      </w:r>
    </w:p>
    <w:p w14:paraId="4114A5F1">
      <w:pPr>
        <w:widowControl/>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（4）政府采购促进残疾人就业政策。</w:t>
      </w:r>
    </w:p>
    <w:p w14:paraId="060EBC84">
      <w:pPr>
        <w:widowControl/>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（5）政府采购支持监狱企业发展。</w:t>
      </w:r>
    </w:p>
    <w:p w14:paraId="528A6A9E">
      <w:pPr>
        <w:widowControl/>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（6）扶持不发达地区和少数民族地区政策</w:t>
      </w:r>
    </w:p>
    <w:p w14:paraId="0B3AD22B">
      <w:pPr>
        <w:widowControl/>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6、磋商注意事项：</w:t>
      </w:r>
    </w:p>
    <w:bookmarkEnd w:id="2"/>
    <w:p w14:paraId="5D43B8B8">
      <w:pPr>
        <w:spacing w:line="360" w:lineRule="auto"/>
        <w:ind w:firstLine="630" w:firstLineChars="300"/>
        <w:rPr>
          <w:rFonts w:ascii="宋体" w:hAnsi="宋体" w:cs="宋体"/>
          <w:color w:val="auto"/>
          <w:szCs w:val="21"/>
          <w:highlight w:val="none"/>
        </w:rPr>
      </w:pPr>
      <w:r>
        <w:rPr>
          <w:rFonts w:hint="eastAsia" w:ascii="宋体" w:hAnsi="宋体" w:cs="宋体"/>
          <w:color w:val="auto"/>
          <w:szCs w:val="21"/>
          <w:highlight w:val="none"/>
        </w:rPr>
        <w:t>（1）本项目为全流程电子化采购项目，通过“广西政府采购云平台”（https://www.gcy.zfcg.gxzf.gov.cn/）实行在线电子竞标，供应商应先安装“广西政府采购云平台新版客户端”（新版客户端下载路径：请自行前往广西政府采购网（访问地址http://zfcg.gxzf.gov.cn/）—办事服务—下载专区），并按照本项目竞争性磋商文件和“广西政府采购云平台”的要求编制、加密后在竞标截止时间前通过网络上传至 “广西政府采购云平台”，供应商在“广西政府采购云平台”提交电子响应文件时，请填写参加远程开标活动经办人联系方式。供应商登录“广西政府采购云平台”，依次进入“服务中心-项目采购-操作流程-电子招投标-政府采购项目电子交易管理操作指南-供应商”查看电子竞标具体操作流程。</w:t>
      </w:r>
    </w:p>
    <w:p w14:paraId="0F1A138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未进行网上注册并办理数字证书（CA认证）的供应商将无法参与本项目政府采购活动，供应商应当在竞标截止时间前，完成电子交易平台上的CA数字证书办理及响应文件的提交（供应商可登录“广西政府采购网”，依次进入“办事服务-下载专区”或者登陆“广西政府采购云平台”，依次进入“服务中心-入驻与配置”中查看CA数字证书办理操作流程。如在操作过程中遇到问题或者需要技术支持，请致电</w:t>
      </w:r>
      <w:r>
        <w:rPr>
          <w:rFonts w:hint="eastAsia" w:ascii="宋体" w:hAnsi="宋体" w:cs="宋体"/>
          <w:bCs/>
          <w:color w:val="auto"/>
          <w:kern w:val="0"/>
          <w:szCs w:val="21"/>
          <w:highlight w:val="none"/>
        </w:rPr>
        <w:t>广西政府采购云平台</w:t>
      </w:r>
      <w:r>
        <w:rPr>
          <w:rFonts w:hint="eastAsia" w:ascii="宋体" w:hAnsi="宋体" w:cs="宋体"/>
          <w:color w:val="auto"/>
          <w:szCs w:val="21"/>
          <w:highlight w:val="none"/>
        </w:rPr>
        <w:t>客服热线：95763）。</w:t>
      </w:r>
    </w:p>
    <w:p w14:paraId="6CB1539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（3）CA证书在线解密：供应商竞标时，需凭制作响应文件时用来加密的有效数字证书（CA认证）登录“广西政府采购云平台”电子开标大厅现场按规定时间对加密的响应文件进行解密，否则后果自负。</w:t>
      </w:r>
    </w:p>
    <w:p w14:paraId="7D897A4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注：1）为确保网上操作合法、有效和安全，请供应商确保在电子投标过程中能够对相关数据电文进行加密和使用电子签章，妥善保管CA数字证书并使用有效的CA数字证书参与整个采购活动。2）供应商应当在竞标截止时间前完成电子响应文件的上传、提交，竞标截止时间前可以补充、修改或者撤回响应文件。补充或者修改响应文件的，应当先行撤回原响应文件，补充、修改后重新上传、提交，提交响应文件截止时间前未完成上传、提交的，视为撤回响应文件。提交响应文件截止时间以后上传递交的响应文件，“广西政府采购云平台”将予以拒收。</w:t>
      </w:r>
    </w:p>
    <w:p w14:paraId="47D54D5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 （4）供应商需要在具备有摄像头及语音功能且互联网网络状况良好的电脑登录“广西政府采购云平台”远程开标大厅参与本次磋商，否则后果自负。</w:t>
      </w:r>
    </w:p>
    <w:p w14:paraId="7C4BDAB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若对项目采购电子交易系统操作有疑问，可登录“广西政府采购云平台”（https://www.gcy.zfcg.gxzf.gov.cn/），点击右侧咨询小采，获取采小蜜智能服务管家帮助，或拨打广西政府采购云平台服务热线95763获取热线服务帮助。</w:t>
      </w:r>
    </w:p>
    <w:p w14:paraId="2BEF0D92">
      <w:pPr>
        <w:spacing w:line="360" w:lineRule="auto"/>
        <w:ind w:firstLine="354" w:firstLineChars="147"/>
        <w:rPr>
          <w:rFonts w:ascii="宋体" w:hAnsi="宋体" w:cs="宋体"/>
          <w:b/>
          <w:color w:val="auto"/>
          <w:sz w:val="24"/>
          <w:highlight w:val="none"/>
        </w:rPr>
      </w:pPr>
      <w:r>
        <w:rPr>
          <w:rFonts w:hint="eastAsia" w:ascii="宋体" w:hAnsi="宋体" w:cs="宋体"/>
          <w:b/>
          <w:color w:val="auto"/>
          <w:sz w:val="24"/>
          <w:highlight w:val="none"/>
        </w:rPr>
        <w:t>八、凡对本次采购提出询问，请按以下方式联系。</w:t>
      </w:r>
      <w:bookmarkEnd w:id="3"/>
      <w:bookmarkEnd w:id="4"/>
      <w:bookmarkEnd w:id="5"/>
      <w:bookmarkEnd w:id="6"/>
      <w:bookmarkEnd w:id="7"/>
    </w:p>
    <w:p w14:paraId="5E759F42">
      <w:pPr>
        <w:spacing w:line="360" w:lineRule="auto"/>
        <w:ind w:firstLine="567" w:firstLineChars="270"/>
        <w:jc w:val="left"/>
        <w:rPr>
          <w:rFonts w:ascii="宋体" w:hAnsi="宋体" w:cs="宋体"/>
          <w:color w:val="auto"/>
          <w:szCs w:val="21"/>
          <w:highlight w:val="none"/>
        </w:rPr>
      </w:pPr>
      <w:bookmarkStart w:id="8" w:name="_Toc28359096"/>
      <w:bookmarkStart w:id="9" w:name="_Toc35393637"/>
      <w:bookmarkStart w:id="10" w:name="_Toc28359019"/>
      <w:bookmarkStart w:id="11" w:name="_Toc35393806"/>
      <w:r>
        <w:rPr>
          <w:rFonts w:hint="eastAsia" w:ascii="宋体" w:hAnsi="宋体" w:cs="宋体"/>
          <w:color w:val="auto"/>
          <w:szCs w:val="21"/>
          <w:highlight w:val="none"/>
        </w:rPr>
        <w:t>1.采购人信息</w:t>
      </w:r>
    </w:p>
    <w:p w14:paraId="7973C2CF">
      <w:pPr>
        <w:spacing w:line="360" w:lineRule="auto"/>
        <w:ind w:firstLine="567" w:firstLineChars="270"/>
        <w:jc w:val="left"/>
        <w:rPr>
          <w:rFonts w:ascii="宋体" w:hAnsi="宋体" w:cs="宋体"/>
          <w:color w:val="auto"/>
          <w:szCs w:val="21"/>
          <w:highlight w:val="none"/>
        </w:rPr>
      </w:pPr>
      <w:r>
        <w:rPr>
          <w:rFonts w:hint="eastAsia" w:ascii="宋体" w:hAnsi="宋体" w:cs="宋体"/>
          <w:color w:val="auto"/>
          <w:szCs w:val="21"/>
          <w:highlight w:val="none"/>
        </w:rPr>
        <w:t>名 称：</w:t>
      </w:r>
      <w:r>
        <w:rPr>
          <w:rFonts w:hint="eastAsia" w:ascii="宋体" w:hAnsi="宋体" w:cs="宋体"/>
          <w:color w:val="auto"/>
          <w:highlight w:val="none"/>
        </w:rPr>
        <w:t>广西壮族自治区自然资源调查监测院</w:t>
      </w:r>
    </w:p>
    <w:p w14:paraId="1B009ABA">
      <w:pPr>
        <w:spacing w:line="360" w:lineRule="auto"/>
        <w:ind w:firstLine="567" w:firstLineChars="270"/>
        <w:jc w:val="left"/>
        <w:rPr>
          <w:rFonts w:ascii="宋体" w:hAnsi="宋体" w:cs="宋体"/>
          <w:color w:val="auto"/>
          <w:szCs w:val="21"/>
          <w:highlight w:val="none"/>
        </w:rPr>
      </w:pPr>
      <w:r>
        <w:rPr>
          <w:rFonts w:hint="eastAsia" w:ascii="宋体" w:hAnsi="宋体" w:cs="宋体"/>
          <w:color w:val="auto"/>
          <w:szCs w:val="21"/>
          <w:highlight w:val="none"/>
        </w:rPr>
        <w:t>地址：</w:t>
      </w:r>
      <w:r>
        <w:rPr>
          <w:rFonts w:hint="eastAsia" w:ascii="宋体" w:hAnsi="宋体" w:cs="宋体"/>
          <w:color w:val="auto"/>
          <w:highlight w:val="none"/>
        </w:rPr>
        <w:t>广西南宁市良庆区冬花路21号</w:t>
      </w:r>
    </w:p>
    <w:p w14:paraId="0470A186">
      <w:pPr>
        <w:spacing w:line="360" w:lineRule="auto"/>
        <w:ind w:firstLine="567" w:firstLineChars="270"/>
        <w:jc w:val="left"/>
        <w:rPr>
          <w:rFonts w:ascii="宋体" w:hAnsi="宋体" w:cs="宋体"/>
          <w:color w:val="auto"/>
          <w:szCs w:val="21"/>
          <w:highlight w:val="none"/>
        </w:rPr>
      </w:pPr>
      <w:r>
        <w:rPr>
          <w:rFonts w:hint="eastAsia" w:ascii="宋体" w:hAnsi="宋体" w:cs="宋体"/>
          <w:color w:val="auto"/>
          <w:szCs w:val="21"/>
          <w:highlight w:val="none"/>
        </w:rPr>
        <w:t>项目联系人：宁工</w:t>
      </w:r>
      <w:r>
        <w:rPr>
          <w:rFonts w:ascii="宋体" w:hAnsi="宋体" w:cs="宋体"/>
          <w:color w:val="auto"/>
          <w:szCs w:val="21"/>
          <w:highlight w:val="none"/>
        </w:rPr>
        <w:t xml:space="preserve"> </w:t>
      </w:r>
    </w:p>
    <w:p w14:paraId="67D91378">
      <w:pPr>
        <w:spacing w:line="360" w:lineRule="auto"/>
        <w:ind w:firstLine="567" w:firstLineChars="270"/>
        <w:jc w:val="left"/>
        <w:rPr>
          <w:rFonts w:ascii="宋体" w:hAnsi="宋体" w:cs="宋体"/>
          <w:color w:val="auto"/>
          <w:szCs w:val="21"/>
          <w:highlight w:val="none"/>
        </w:rPr>
      </w:pPr>
      <w:r>
        <w:rPr>
          <w:rFonts w:hint="eastAsia" w:ascii="宋体" w:hAnsi="宋体" w:cs="宋体"/>
          <w:color w:val="auto"/>
          <w:szCs w:val="21"/>
          <w:highlight w:val="none"/>
        </w:rPr>
        <w:t>联系方式：</w:t>
      </w:r>
      <w:bookmarkStart w:id="12" w:name="_Toc28359086"/>
      <w:bookmarkStart w:id="13" w:name="_Toc28359009"/>
      <w:r>
        <w:rPr>
          <w:rFonts w:hint="eastAsia" w:ascii="宋体" w:hAnsi="宋体" w:cs="宋体"/>
          <w:color w:val="auto"/>
          <w:szCs w:val="21"/>
          <w:highlight w:val="none"/>
        </w:rPr>
        <w:t xml:space="preserve">0771- 5606371  </w:t>
      </w:r>
    </w:p>
    <w:p w14:paraId="6C09A7B3">
      <w:pPr>
        <w:spacing w:line="360" w:lineRule="auto"/>
        <w:ind w:firstLine="567" w:firstLineChars="270"/>
        <w:jc w:val="left"/>
        <w:rPr>
          <w:rFonts w:ascii="宋体" w:hAnsi="宋体" w:cs="宋体"/>
          <w:color w:val="auto"/>
          <w:szCs w:val="21"/>
          <w:highlight w:val="none"/>
        </w:rPr>
      </w:pPr>
      <w:r>
        <w:rPr>
          <w:rFonts w:hint="eastAsia" w:ascii="宋体" w:hAnsi="宋体" w:cs="宋体"/>
          <w:color w:val="auto"/>
          <w:szCs w:val="21"/>
          <w:highlight w:val="none"/>
        </w:rPr>
        <w:t>2.采购代理机构信息</w:t>
      </w:r>
      <w:bookmarkEnd w:id="12"/>
      <w:bookmarkEnd w:id="13"/>
    </w:p>
    <w:p w14:paraId="1FBF5FB9">
      <w:pPr>
        <w:spacing w:line="360" w:lineRule="auto"/>
        <w:ind w:firstLine="567" w:firstLineChars="270"/>
        <w:rPr>
          <w:rFonts w:ascii="宋体" w:hAnsi="宋体" w:cs="宋体"/>
          <w:color w:val="auto"/>
          <w:szCs w:val="21"/>
          <w:highlight w:val="none"/>
        </w:rPr>
      </w:pPr>
      <w:r>
        <w:rPr>
          <w:rFonts w:hint="eastAsia" w:ascii="宋体" w:hAnsi="宋体" w:cs="宋体"/>
          <w:color w:val="auto"/>
          <w:szCs w:val="21"/>
          <w:highlight w:val="none"/>
        </w:rPr>
        <w:t>名 称：广西国泰招标咨询有限公司</w:t>
      </w:r>
    </w:p>
    <w:p w14:paraId="20576865">
      <w:pPr>
        <w:spacing w:line="360" w:lineRule="auto"/>
        <w:ind w:firstLine="567" w:firstLineChars="270"/>
        <w:rPr>
          <w:rFonts w:ascii="宋体" w:hAnsi="宋体" w:cs="宋体"/>
          <w:color w:val="auto"/>
          <w:szCs w:val="21"/>
          <w:highlight w:val="none"/>
        </w:rPr>
      </w:pPr>
      <w:r>
        <w:rPr>
          <w:rFonts w:hint="eastAsia" w:ascii="宋体" w:hAnsi="宋体" w:cs="宋体"/>
          <w:color w:val="auto"/>
          <w:szCs w:val="21"/>
          <w:highlight w:val="none"/>
        </w:rPr>
        <w:t>地　址：广西南宁市民族大道141号中鼎万象东方大厦D区</w:t>
      </w:r>
      <w:r>
        <w:rPr>
          <w:rFonts w:hint="eastAsia" w:ascii="宋体" w:hAnsi="宋体" w:cs="宋体"/>
          <w:color w:val="auto"/>
          <w:highlight w:val="none"/>
        </w:rPr>
        <w:t>六</w:t>
      </w:r>
      <w:r>
        <w:rPr>
          <w:rFonts w:hint="eastAsia" w:ascii="宋体" w:hAnsi="宋体" w:cs="宋体"/>
          <w:color w:val="auto"/>
          <w:szCs w:val="21"/>
          <w:highlight w:val="none"/>
        </w:rPr>
        <w:t>层D</w:t>
      </w:r>
      <w:r>
        <w:rPr>
          <w:rFonts w:hint="eastAsia" w:ascii="宋体" w:hAnsi="宋体" w:cs="宋体"/>
          <w:color w:val="auto"/>
          <w:highlight w:val="none"/>
        </w:rPr>
        <w:t>607</w:t>
      </w:r>
    </w:p>
    <w:p w14:paraId="2B852E88">
      <w:pPr>
        <w:spacing w:line="360" w:lineRule="auto"/>
        <w:ind w:firstLine="567" w:firstLineChars="270"/>
        <w:jc w:val="left"/>
        <w:rPr>
          <w:rFonts w:ascii="宋体" w:hAnsi="宋体" w:cs="宋体"/>
          <w:color w:val="auto"/>
          <w:szCs w:val="21"/>
          <w:highlight w:val="none"/>
        </w:rPr>
      </w:pPr>
      <w:bookmarkStart w:id="14" w:name="_Toc28359087"/>
      <w:bookmarkStart w:id="15" w:name="_Toc28359010"/>
      <w:r>
        <w:rPr>
          <w:rFonts w:hint="eastAsia" w:ascii="宋体" w:hAnsi="宋体" w:cs="宋体"/>
          <w:color w:val="auto"/>
          <w:szCs w:val="21"/>
          <w:highlight w:val="none"/>
        </w:rPr>
        <w:t>项目联系人：黄柳娜</w:t>
      </w:r>
    </w:p>
    <w:p w14:paraId="79550595">
      <w:pPr>
        <w:spacing w:line="360" w:lineRule="auto"/>
        <w:ind w:firstLine="567" w:firstLineChars="270"/>
        <w:rPr>
          <w:rFonts w:ascii="宋体" w:hAnsi="宋体" w:cs="宋体"/>
          <w:color w:val="auto"/>
          <w:szCs w:val="21"/>
          <w:highlight w:val="none"/>
        </w:rPr>
      </w:pPr>
      <w:r>
        <w:rPr>
          <w:rFonts w:hint="eastAsia" w:ascii="宋体" w:hAnsi="宋体" w:cs="宋体"/>
          <w:color w:val="auto"/>
          <w:szCs w:val="21"/>
          <w:highlight w:val="none"/>
        </w:rPr>
        <w:t>联系方式： 0771-2023496</w:t>
      </w:r>
    </w:p>
    <w:bookmarkEnd w:id="14"/>
    <w:bookmarkEnd w:id="15"/>
    <w:p w14:paraId="1B82F675">
      <w:pPr>
        <w:spacing w:line="360" w:lineRule="auto"/>
        <w:ind w:firstLine="567" w:firstLineChars="270"/>
        <w:rPr>
          <w:rFonts w:ascii="宋体" w:hAnsi="宋体" w:cs="宋体"/>
          <w:color w:val="auto"/>
          <w:szCs w:val="21"/>
          <w:highlight w:val="none"/>
        </w:rPr>
      </w:pPr>
      <w:r>
        <w:rPr>
          <w:rFonts w:hint="eastAsia" w:ascii="宋体" w:hAnsi="宋体" w:cs="宋体"/>
          <w:color w:val="auto"/>
          <w:szCs w:val="21"/>
          <w:highlight w:val="none"/>
        </w:rPr>
        <w:t>　　　　　　　　　</w:t>
      </w:r>
    </w:p>
    <w:p w14:paraId="7E192039">
      <w:pPr>
        <w:spacing w:line="360" w:lineRule="auto"/>
        <w:ind w:firstLine="6232" w:firstLineChars="2968"/>
        <w:rPr>
          <w:rFonts w:ascii="宋体" w:hAnsi="宋体" w:cs="宋体"/>
          <w:color w:val="auto"/>
          <w:szCs w:val="21"/>
          <w:highlight w:val="none"/>
        </w:rPr>
      </w:pPr>
      <w:r>
        <w:rPr>
          <w:rFonts w:hint="eastAsia" w:ascii="宋体" w:hAnsi="宋体" w:cs="宋体"/>
          <w:color w:val="auto"/>
          <w:szCs w:val="21"/>
          <w:highlight w:val="none"/>
        </w:rPr>
        <w:t>广西国泰招标咨询有限公司</w:t>
      </w:r>
    </w:p>
    <w:p w14:paraId="3551D450">
      <w:pPr>
        <w:spacing w:line="360" w:lineRule="auto"/>
        <w:ind w:firstLine="567" w:firstLineChars="270"/>
        <w:jc w:val="center"/>
        <w:rPr>
          <w:rFonts w:ascii="宋体" w:hAnsi="宋体" w:cs="宋体"/>
          <w:color w:val="auto"/>
          <w:szCs w:val="21"/>
          <w:highlight w:val="none"/>
        </w:rPr>
      </w:pPr>
      <w:r>
        <w:rPr>
          <w:rFonts w:hint="eastAsia" w:ascii="宋体" w:hAnsi="宋体" w:cs="宋体"/>
          <w:color w:val="auto"/>
          <w:szCs w:val="21"/>
          <w:highlight w:val="none"/>
        </w:rPr>
        <w:t xml:space="preserve">                                              2025年7月1</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日</w:t>
      </w:r>
      <w:bookmarkEnd w:id="1"/>
      <w:bookmarkEnd w:id="8"/>
      <w:bookmarkEnd w:id="9"/>
      <w:bookmarkEnd w:id="10"/>
      <w:bookmarkEnd w:id="11"/>
    </w:p>
    <w:p w14:paraId="2E119E68">
      <w:pPr>
        <w:rPr>
          <w:rFonts w:ascii="宋体" w:hAnsi="宋体" w:cs="宋体"/>
          <w:color w:val="auto"/>
          <w:szCs w:val="21"/>
          <w:highlight w:val="none"/>
        </w:rPr>
      </w:pPr>
      <w:r>
        <w:rPr>
          <w:rFonts w:hint="eastAsia" w:ascii="宋体" w:hAnsi="宋体" w:cs="宋体"/>
          <w:color w:val="auto"/>
          <w:szCs w:val="21"/>
          <w:highlight w:val="none"/>
        </w:rPr>
        <w:br w:type="page"/>
      </w:r>
    </w:p>
    <w:p w14:paraId="0ADF87B6">
      <w:pPr>
        <w:spacing w:line="360" w:lineRule="auto"/>
        <w:ind w:firstLine="976" w:firstLineChars="270"/>
        <w:jc w:val="center"/>
        <w:rPr>
          <w:rFonts w:ascii="宋体" w:hAnsi="宋体" w:cs="宋体"/>
          <w:color w:val="auto"/>
          <w:highlight w:val="none"/>
        </w:rPr>
      </w:pPr>
      <w:bookmarkStart w:id="16" w:name="_Toc411"/>
      <w:r>
        <w:rPr>
          <w:rStyle w:val="41"/>
          <w:rFonts w:hint="eastAsia"/>
          <w:color w:val="auto"/>
          <w:highlight w:val="none"/>
        </w:rPr>
        <w:t>第二章 供应商须知</w:t>
      </w:r>
      <w:bookmarkEnd w:id="16"/>
    </w:p>
    <w:p w14:paraId="6A3B67CD">
      <w:pPr>
        <w:spacing w:line="400" w:lineRule="exact"/>
        <w:jc w:val="center"/>
        <w:rPr>
          <w:rFonts w:ascii="宋体" w:hAnsi="宋体" w:cs="宋体"/>
          <w:b/>
          <w:color w:val="auto"/>
          <w:sz w:val="32"/>
          <w:szCs w:val="32"/>
          <w:highlight w:val="none"/>
        </w:rPr>
      </w:pPr>
      <w:r>
        <w:rPr>
          <w:rFonts w:hint="eastAsia" w:ascii="宋体" w:hAnsi="宋体" w:cs="宋体"/>
          <w:b/>
          <w:color w:val="auto"/>
          <w:sz w:val="32"/>
          <w:szCs w:val="32"/>
          <w:highlight w:val="none"/>
        </w:rPr>
        <w:t>供应商须知前附表</w:t>
      </w:r>
    </w:p>
    <w:p w14:paraId="193E8E2A">
      <w:pPr>
        <w:spacing w:line="400" w:lineRule="exact"/>
        <w:jc w:val="center"/>
        <w:rPr>
          <w:rFonts w:ascii="宋体" w:hAnsi="宋体" w:cs="宋体"/>
          <w:b/>
          <w:color w:val="auto"/>
          <w:sz w:val="32"/>
          <w:szCs w:val="32"/>
          <w:highlight w:val="none"/>
        </w:rPr>
      </w:pPr>
    </w:p>
    <w:tbl>
      <w:tblPr>
        <w:tblStyle w:val="33"/>
        <w:tblW w:w="961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92"/>
        <w:gridCol w:w="8627"/>
      </w:tblGrid>
      <w:tr w14:paraId="793C58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tcPr>
          <w:p w14:paraId="19798E96">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条款号</w:t>
            </w:r>
          </w:p>
        </w:tc>
        <w:tc>
          <w:tcPr>
            <w:tcW w:w="8627" w:type="dxa"/>
          </w:tcPr>
          <w:p w14:paraId="38ED9A2C">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内    容</w:t>
            </w:r>
          </w:p>
        </w:tc>
      </w:tr>
      <w:tr w14:paraId="641A3A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0AEF1F11">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w:t>
            </w:r>
          </w:p>
        </w:tc>
        <w:tc>
          <w:tcPr>
            <w:tcW w:w="8627" w:type="dxa"/>
            <w:vAlign w:val="center"/>
          </w:tcPr>
          <w:p w14:paraId="4F9CCFCC">
            <w:pPr>
              <w:spacing w:line="360" w:lineRule="auto"/>
              <w:rPr>
                <w:rFonts w:ascii="宋体" w:hAnsi="宋体" w:cs="宋体"/>
                <w:color w:val="auto"/>
                <w:szCs w:val="21"/>
                <w:highlight w:val="none"/>
              </w:rPr>
            </w:pPr>
            <w:r>
              <w:rPr>
                <w:rFonts w:hint="eastAsia" w:ascii="宋体" w:hAnsi="宋体" w:cs="宋体"/>
                <w:bCs/>
                <w:color w:val="auto"/>
                <w:szCs w:val="21"/>
                <w:highlight w:val="none"/>
              </w:rPr>
              <w:t>供应商的资格条件</w:t>
            </w:r>
            <w:r>
              <w:rPr>
                <w:rFonts w:hint="eastAsia" w:ascii="宋体" w:hAnsi="宋体" w:cs="宋体"/>
                <w:color w:val="auto"/>
                <w:szCs w:val="21"/>
                <w:highlight w:val="none"/>
              </w:rPr>
              <w:t>：详见竞争性磋商公告</w:t>
            </w:r>
          </w:p>
        </w:tc>
      </w:tr>
      <w:tr w14:paraId="792ED2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35247BD7">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5.1</w:t>
            </w:r>
          </w:p>
        </w:tc>
        <w:tc>
          <w:tcPr>
            <w:tcW w:w="8627" w:type="dxa"/>
            <w:vAlign w:val="center"/>
          </w:tcPr>
          <w:p w14:paraId="1D67E0A7">
            <w:pPr>
              <w:spacing w:line="360" w:lineRule="auto"/>
              <w:rPr>
                <w:rFonts w:ascii="宋体" w:hAnsi="宋体" w:cs="宋体"/>
                <w:color w:val="auto"/>
                <w:szCs w:val="21"/>
                <w:highlight w:val="none"/>
              </w:rPr>
            </w:pPr>
            <w:r>
              <w:rPr>
                <w:rFonts w:hint="eastAsia" w:ascii="宋体" w:hAnsi="宋体" w:cs="宋体"/>
                <w:color w:val="auto"/>
                <w:szCs w:val="21"/>
                <w:highlight w:val="none"/>
              </w:rPr>
              <w:t>是否接受联合体竞标：详见竞争性磋商公告</w:t>
            </w:r>
          </w:p>
        </w:tc>
      </w:tr>
      <w:tr w14:paraId="3E551A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78B90310">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6.2</w:t>
            </w:r>
          </w:p>
        </w:tc>
        <w:tc>
          <w:tcPr>
            <w:tcW w:w="8627" w:type="dxa"/>
            <w:vAlign w:val="center"/>
          </w:tcPr>
          <w:p w14:paraId="274071B9">
            <w:pPr>
              <w:pStyle w:val="13"/>
              <w:spacing w:line="400" w:lineRule="exact"/>
              <w:rPr>
                <w:rFonts w:ascii="宋体" w:hAnsi="宋体" w:cs="宋体"/>
                <w:color w:val="auto"/>
                <w:szCs w:val="21"/>
                <w:highlight w:val="none"/>
              </w:rPr>
            </w:pPr>
            <w:r>
              <w:rPr>
                <w:rFonts w:hint="eastAsia" w:ascii="宋体" w:hAnsi="宋体" w:cs="宋体"/>
                <w:color w:val="auto"/>
                <w:szCs w:val="21"/>
                <w:highlight w:val="none"/>
              </w:rPr>
              <w:t>本项目不允许分包。</w:t>
            </w:r>
          </w:p>
        </w:tc>
      </w:tr>
      <w:tr w14:paraId="2F0695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0898F73F">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12.1.1</w:t>
            </w:r>
          </w:p>
        </w:tc>
        <w:tc>
          <w:tcPr>
            <w:tcW w:w="8627" w:type="dxa"/>
            <w:vAlign w:val="center"/>
          </w:tcPr>
          <w:p w14:paraId="2A10C5CD">
            <w:pPr>
              <w:snapToGrid w:val="0"/>
              <w:spacing w:line="360" w:lineRule="auto"/>
              <w:jc w:val="left"/>
              <w:rPr>
                <w:rFonts w:ascii="宋体" w:hAnsi="宋体" w:cs="宋体"/>
                <w:b/>
                <w:color w:val="auto"/>
                <w:szCs w:val="21"/>
                <w:highlight w:val="none"/>
              </w:rPr>
            </w:pPr>
            <w:r>
              <w:rPr>
                <w:rFonts w:hint="eastAsia" w:ascii="宋体" w:hAnsi="宋体" w:cs="宋体"/>
                <w:b/>
                <w:color w:val="auto"/>
                <w:szCs w:val="21"/>
                <w:highlight w:val="none"/>
              </w:rPr>
              <w:t>资格证明文件</w:t>
            </w:r>
          </w:p>
          <w:p w14:paraId="7F95B8B3">
            <w:pPr>
              <w:pStyle w:val="13"/>
              <w:spacing w:line="360" w:lineRule="auto"/>
              <w:rPr>
                <w:rFonts w:ascii="宋体" w:hAnsi="宋体" w:cs="宋体"/>
                <w:color w:val="auto"/>
                <w:szCs w:val="21"/>
                <w:highlight w:val="none"/>
              </w:rPr>
            </w:pPr>
            <w:r>
              <w:rPr>
                <w:rFonts w:hint="eastAsia" w:ascii="宋体" w:hAnsi="宋体" w:cs="宋体"/>
                <w:color w:val="auto"/>
                <w:szCs w:val="21"/>
                <w:highlight w:val="none"/>
              </w:rPr>
              <w:t>1、供应商为法人或者其他组织的，证明文件为其营业执照复印件（如营业执照或者事业单位法人证书或者执业许可证等）；供应商为自然人的，证明文件为其身份证复印件；（</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2C186F16">
            <w:pPr>
              <w:spacing w:line="360" w:lineRule="auto"/>
              <w:contextualSpacing/>
              <w:jc w:val="left"/>
              <w:rPr>
                <w:rFonts w:ascii="宋体" w:hAnsi="宋体" w:cs="宋体"/>
                <w:color w:val="auto"/>
                <w:szCs w:val="21"/>
                <w:highlight w:val="none"/>
              </w:rPr>
            </w:pPr>
            <w:r>
              <w:rPr>
                <w:rFonts w:hint="eastAsia" w:ascii="宋体" w:hAnsi="宋体" w:cs="宋体"/>
                <w:color w:val="auto"/>
                <w:szCs w:val="21"/>
                <w:highlight w:val="none"/>
              </w:rPr>
              <w:t>2、供应商依法缴纳税收的相关材料（</w:t>
            </w:r>
            <w:r>
              <w:rPr>
                <w:rFonts w:hint="eastAsia" w:ascii="宋体" w:hAnsi="宋体" w:cs="宋体"/>
                <w:color w:val="auto"/>
                <w:szCs w:val="21"/>
                <w:highlight w:val="none"/>
                <w:u w:val="single"/>
              </w:rPr>
              <w:t xml:space="preserve"> 2025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1 </w:t>
            </w:r>
            <w:r>
              <w:rPr>
                <w:rFonts w:hint="eastAsia" w:ascii="宋体" w:hAnsi="宋体" w:cs="宋体"/>
                <w:color w:val="auto"/>
                <w:szCs w:val="21"/>
                <w:highlight w:val="none"/>
              </w:rPr>
              <w:t>月至</w:t>
            </w:r>
            <w:r>
              <w:rPr>
                <w:rFonts w:hint="eastAsia" w:ascii="宋体" w:hAnsi="宋体" w:cs="宋体"/>
                <w:color w:val="auto"/>
                <w:szCs w:val="21"/>
                <w:highlight w:val="none"/>
                <w:u w:val="single"/>
              </w:rPr>
              <w:t xml:space="preserve"> 2025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6 </w:t>
            </w:r>
            <w:r>
              <w:rPr>
                <w:rFonts w:hint="eastAsia" w:ascii="宋体" w:hAnsi="宋体" w:cs="宋体"/>
                <w:color w:val="auto"/>
                <w:szCs w:val="21"/>
                <w:highlight w:val="none"/>
              </w:rPr>
              <w:t>月内连续</w:t>
            </w:r>
            <w:r>
              <w:rPr>
                <w:rFonts w:hint="eastAsia" w:ascii="宋体" w:hAnsi="宋体" w:cs="宋体"/>
                <w:color w:val="auto"/>
                <w:szCs w:val="21"/>
                <w:highlight w:val="none"/>
                <w:u w:val="single"/>
              </w:rPr>
              <w:t xml:space="preserve">  3  </w:t>
            </w:r>
            <w:r>
              <w:rPr>
                <w:rFonts w:hint="eastAsia" w:ascii="宋体" w:hAnsi="宋体" w:cs="宋体"/>
                <w:color w:val="auto"/>
                <w:szCs w:val="21"/>
                <w:highlight w:val="none"/>
              </w:rPr>
              <w:t>个月的依法缴纳税收的凭据复印件；</w:t>
            </w:r>
            <w:r>
              <w:rPr>
                <w:rFonts w:hint="eastAsia" w:ascii="宋体" w:hAnsi="宋体" w:cs="宋体"/>
                <w:color w:val="auto"/>
                <w:highlight w:val="none"/>
              </w:rPr>
              <w:t>依法免税的，必须提供相应文件证明其依法免税。</w:t>
            </w:r>
            <w:r>
              <w:rPr>
                <w:rFonts w:hint="eastAsia" w:ascii="宋体" w:hAnsi="宋体" w:cs="宋体"/>
                <w:color w:val="auto"/>
                <w:szCs w:val="21"/>
                <w:highlight w:val="none"/>
              </w:rPr>
              <w:t>从成立之日起到响应文件提交截止时间止不足要求月数的，只需提供从成立之日起的依法缴纳税收</w:t>
            </w:r>
            <w:r>
              <w:rPr>
                <w:rFonts w:hint="eastAsia" w:ascii="宋体" w:hAnsi="宋体" w:cs="宋体"/>
                <w:color w:val="auto"/>
                <w:highlight w:val="none"/>
              </w:rPr>
              <w:t>相应证明文件</w:t>
            </w:r>
            <w:r>
              <w:rPr>
                <w:rFonts w:hint="eastAsia" w:ascii="宋体" w:hAnsi="宋体" w:cs="宋体"/>
                <w:color w:val="auto"/>
                <w:szCs w:val="21"/>
                <w:highlight w:val="none"/>
              </w:rPr>
              <w:t>）；（</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6957ACE8">
            <w:pPr>
              <w:spacing w:line="360" w:lineRule="auto"/>
              <w:contextualSpacing/>
              <w:jc w:val="left"/>
              <w:rPr>
                <w:rFonts w:ascii="宋体" w:hAnsi="宋体" w:cs="宋体"/>
                <w:color w:val="auto"/>
                <w:szCs w:val="21"/>
                <w:highlight w:val="none"/>
              </w:rPr>
            </w:pPr>
            <w:r>
              <w:rPr>
                <w:rFonts w:hint="eastAsia" w:ascii="宋体" w:hAnsi="宋体" w:cs="宋体"/>
                <w:color w:val="auto"/>
                <w:szCs w:val="21"/>
                <w:highlight w:val="none"/>
              </w:rPr>
              <w:t>3、供应商依法缴纳社会保障资金的相关材料[</w:t>
            </w:r>
            <w:r>
              <w:rPr>
                <w:rFonts w:hint="eastAsia" w:ascii="宋体" w:hAnsi="宋体" w:cs="宋体"/>
                <w:color w:val="auto"/>
                <w:szCs w:val="21"/>
                <w:highlight w:val="none"/>
                <w:u w:val="single"/>
              </w:rPr>
              <w:t xml:space="preserve">  2025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1 </w:t>
            </w:r>
            <w:r>
              <w:rPr>
                <w:rFonts w:hint="eastAsia" w:ascii="宋体" w:hAnsi="宋体" w:cs="宋体"/>
                <w:color w:val="auto"/>
                <w:szCs w:val="21"/>
                <w:highlight w:val="none"/>
              </w:rPr>
              <w:t>月至</w:t>
            </w:r>
            <w:r>
              <w:rPr>
                <w:rFonts w:hint="eastAsia" w:ascii="宋体" w:hAnsi="宋体" w:cs="宋体"/>
                <w:color w:val="auto"/>
                <w:szCs w:val="21"/>
                <w:highlight w:val="none"/>
                <w:u w:val="single"/>
              </w:rPr>
              <w:t xml:space="preserve">  2025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6 </w:t>
            </w:r>
            <w:r>
              <w:rPr>
                <w:rFonts w:hint="eastAsia" w:ascii="宋体" w:hAnsi="宋体" w:cs="宋体"/>
                <w:color w:val="auto"/>
                <w:szCs w:val="21"/>
                <w:highlight w:val="none"/>
              </w:rPr>
              <w:t>月连续</w:t>
            </w:r>
            <w:r>
              <w:rPr>
                <w:rFonts w:hint="eastAsia" w:ascii="宋体" w:hAnsi="宋体" w:cs="宋体"/>
                <w:color w:val="auto"/>
                <w:szCs w:val="21"/>
                <w:highlight w:val="none"/>
                <w:u w:val="single"/>
              </w:rPr>
              <w:t xml:space="preserve">3 </w:t>
            </w:r>
            <w:r>
              <w:rPr>
                <w:rFonts w:hint="eastAsia" w:ascii="宋体" w:hAnsi="宋体" w:cs="宋体"/>
                <w:color w:val="auto"/>
                <w:szCs w:val="21"/>
                <w:highlight w:val="none"/>
              </w:rPr>
              <w:t>个月的依法缴纳社会保障资金的缴费凭证（专用收据或者社会保险缴纳清单）复印件；</w:t>
            </w:r>
            <w:r>
              <w:rPr>
                <w:rFonts w:hint="eastAsia" w:ascii="宋体" w:hAnsi="宋体" w:cs="宋体"/>
                <w:color w:val="auto"/>
                <w:highlight w:val="none"/>
              </w:rPr>
              <w:t>依法不需要缴纳社会保障资金的，必须提供相应文件证明不需要缴纳社会保障资金。</w:t>
            </w:r>
            <w:r>
              <w:rPr>
                <w:rFonts w:hint="eastAsia" w:ascii="宋体" w:hAnsi="宋体" w:cs="宋体"/>
                <w:color w:val="auto"/>
                <w:szCs w:val="21"/>
                <w:highlight w:val="none"/>
              </w:rPr>
              <w:t>从成立之日起到响应文件提交截止时间止不足要求月数的只需提供从成立之日起的依法缴纳社会保障资金的</w:t>
            </w:r>
            <w:r>
              <w:rPr>
                <w:rFonts w:hint="eastAsia" w:ascii="宋体" w:hAnsi="宋体" w:cs="宋体"/>
                <w:color w:val="auto"/>
                <w:highlight w:val="none"/>
              </w:rPr>
              <w:t>相应证明文件</w:t>
            </w:r>
            <w:r>
              <w:rPr>
                <w:rFonts w:hint="eastAsia" w:ascii="宋体" w:hAnsi="宋体" w:cs="宋体"/>
                <w:color w:val="auto"/>
                <w:szCs w:val="21"/>
                <w:highlight w:val="none"/>
              </w:rPr>
              <w:t>]；（</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787100E7">
            <w:pPr>
              <w:spacing w:line="360" w:lineRule="auto"/>
              <w:contextualSpacing/>
              <w:jc w:val="left"/>
              <w:rPr>
                <w:rFonts w:ascii="宋体" w:hAnsi="宋体" w:cs="宋体"/>
                <w:b/>
                <w:color w:val="auto"/>
                <w:szCs w:val="21"/>
                <w:highlight w:val="none"/>
              </w:rPr>
            </w:pPr>
            <w:r>
              <w:rPr>
                <w:rFonts w:hint="eastAsia" w:ascii="宋体" w:hAnsi="宋体" w:cs="宋体"/>
                <w:color w:val="auto"/>
                <w:szCs w:val="21"/>
                <w:highlight w:val="none"/>
              </w:rPr>
              <w:t>4、供应商财务状况报告（2023年度或2024年度财务报表复印件或者银行出具的资信证明；供应商属于</w:t>
            </w:r>
            <w:r>
              <w:rPr>
                <w:rFonts w:hint="eastAsia" w:ascii="宋体" w:hAnsi="宋体" w:cs="宋体"/>
                <w:color w:val="auto"/>
                <w:highlight w:val="none"/>
              </w:rPr>
              <w:t>成立时间</w:t>
            </w:r>
            <w:r>
              <w:rPr>
                <w:rFonts w:hint="eastAsia" w:ascii="宋体" w:hAnsi="宋体" w:cs="宋体"/>
                <w:color w:val="auto"/>
                <w:kern w:val="0"/>
                <w:highlight w:val="none"/>
              </w:rPr>
              <w:t>在规定年度之后</w:t>
            </w:r>
            <w:r>
              <w:rPr>
                <w:rFonts w:hint="eastAsia" w:ascii="宋体" w:hAnsi="宋体" w:cs="宋体"/>
                <w:color w:val="auto"/>
                <w:highlight w:val="none"/>
              </w:rPr>
              <w:t>的</w:t>
            </w:r>
            <w:r>
              <w:rPr>
                <w:rFonts w:hint="eastAsia" w:ascii="宋体" w:hAnsi="宋体" w:cs="宋体"/>
                <w:color w:val="auto"/>
                <w:szCs w:val="21"/>
                <w:highlight w:val="none"/>
              </w:rPr>
              <w:t>法人或其他组织</w:t>
            </w:r>
            <w:r>
              <w:rPr>
                <w:rFonts w:hint="eastAsia" w:ascii="宋体" w:hAnsi="宋体" w:cs="宋体"/>
                <w:color w:val="auto"/>
                <w:highlight w:val="none"/>
              </w:rPr>
              <w:t>，需提供成立之日起至响应文件提交截止时间前的月报表</w:t>
            </w:r>
            <w:r>
              <w:rPr>
                <w:rFonts w:hint="eastAsia" w:ascii="宋体" w:hAnsi="宋体" w:cs="宋体"/>
                <w:color w:val="auto"/>
                <w:szCs w:val="21"/>
                <w:highlight w:val="none"/>
              </w:rPr>
              <w:t>或银行出具的资信证明；资信证明应在有效期内，未注明有效期的，银行出具时间至响应文件提交截止时间不超过一年）；</w:t>
            </w:r>
            <w:r>
              <w:rPr>
                <w:rFonts w:hint="eastAsia" w:ascii="宋体" w:hAnsi="宋体" w:cs="宋体"/>
                <w:bCs/>
                <w:color w:val="auto"/>
                <w:szCs w:val="21"/>
                <w:highlight w:val="none"/>
              </w:rPr>
              <w:t>（</w:t>
            </w:r>
            <w:r>
              <w:rPr>
                <w:rFonts w:hint="eastAsia" w:ascii="宋体" w:hAnsi="宋体" w:cs="宋体"/>
                <w:b/>
                <w:color w:val="auto"/>
                <w:szCs w:val="21"/>
                <w:highlight w:val="none"/>
              </w:rPr>
              <w:t>除自然人外必须提供，否则响应文件按无效响应处理</w:t>
            </w:r>
            <w:r>
              <w:rPr>
                <w:rFonts w:hint="eastAsia" w:ascii="宋体" w:hAnsi="宋体" w:cs="宋体"/>
                <w:bCs/>
                <w:color w:val="auto"/>
                <w:szCs w:val="21"/>
                <w:highlight w:val="none"/>
              </w:rPr>
              <w:t>）</w:t>
            </w:r>
          </w:p>
          <w:p w14:paraId="1D86A046">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5、供应商直接控股、管理关系信息表（格式后附）；（</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13B5BDDC">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6、竞标声明（格式后附）；（</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35558D10">
            <w:pPr>
              <w:snapToGrid w:val="0"/>
              <w:spacing w:line="360" w:lineRule="auto"/>
              <w:jc w:val="left"/>
              <w:rPr>
                <w:rFonts w:ascii="宋体" w:hAnsi="宋体" w:cs="宋体"/>
                <w:b/>
                <w:bCs/>
                <w:color w:val="auto"/>
                <w:szCs w:val="21"/>
                <w:highlight w:val="none"/>
              </w:rPr>
            </w:pPr>
            <w:r>
              <w:rPr>
                <w:rFonts w:hint="eastAsia" w:ascii="宋体" w:hAnsi="宋体" w:cs="宋体"/>
                <w:color w:val="auto"/>
                <w:szCs w:val="21"/>
                <w:highlight w:val="none"/>
              </w:rPr>
              <w:t>7、本项目为专门面向中小企业采购的项目。供应商必须提供符合要求的中小企业声明函或由省级以上监狱管理局、戒毒管理局（含新疆生产建设兵团）出具的属于监狱企业的证明文件或残疾人福利性单位声明函（格式后附）；（</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69215466">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8、供应商具有自然资源行政主管部门颁发的乙级及乙级以上测绘资质(专业范围内容包括测绘航空摄影、摄影测量与遥感和工程测量)。</w:t>
            </w:r>
            <w:r>
              <w:rPr>
                <w:rFonts w:hint="eastAsia" w:ascii="宋体" w:hAnsi="宋体" w:cs="宋体"/>
                <w:b/>
                <w:color w:val="auto"/>
                <w:szCs w:val="21"/>
                <w:highlight w:val="none"/>
              </w:rPr>
              <w:t>（复印件，必须提供，否则响应文件按无效响应处理</w:t>
            </w:r>
            <w:r>
              <w:rPr>
                <w:rFonts w:hint="eastAsia" w:ascii="宋体" w:hAnsi="宋体" w:cs="宋体"/>
                <w:color w:val="auto"/>
                <w:szCs w:val="21"/>
                <w:highlight w:val="none"/>
              </w:rPr>
              <w:t>）</w:t>
            </w:r>
          </w:p>
          <w:p w14:paraId="0BCF61FD">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9、除磋商文件规定必须提供以外，供应商认为需要提供的其他证明材料；</w:t>
            </w:r>
          </w:p>
          <w:p w14:paraId="3D4CC0F4">
            <w:pPr>
              <w:snapToGrid w:val="0"/>
              <w:spacing w:line="360" w:lineRule="auto"/>
              <w:ind w:firstLine="422" w:firstLineChars="200"/>
              <w:jc w:val="left"/>
              <w:rPr>
                <w:rFonts w:ascii="宋体" w:hAnsi="宋体" w:cs="宋体"/>
                <w:b/>
                <w:color w:val="auto"/>
                <w:szCs w:val="21"/>
                <w:highlight w:val="none"/>
              </w:rPr>
            </w:pPr>
            <w:r>
              <w:rPr>
                <w:rFonts w:hint="eastAsia" w:ascii="宋体" w:hAnsi="宋体" w:cs="宋体"/>
                <w:b/>
                <w:color w:val="auto"/>
                <w:szCs w:val="21"/>
                <w:highlight w:val="none"/>
              </w:rPr>
              <w:t>注：</w:t>
            </w:r>
          </w:p>
          <w:p w14:paraId="65E1F0B7">
            <w:pPr>
              <w:snapToGrid w:val="0"/>
              <w:spacing w:line="360" w:lineRule="auto"/>
              <w:ind w:firstLine="413" w:firstLineChars="196"/>
              <w:jc w:val="left"/>
              <w:rPr>
                <w:rFonts w:ascii="宋体" w:hAnsi="宋体" w:cs="宋体"/>
                <w:b/>
                <w:color w:val="auto"/>
                <w:szCs w:val="21"/>
                <w:highlight w:val="none"/>
              </w:rPr>
            </w:pPr>
            <w:r>
              <w:rPr>
                <w:rFonts w:hint="eastAsia" w:ascii="宋体" w:hAnsi="宋体" w:cs="宋体"/>
                <w:b/>
                <w:color w:val="auto"/>
                <w:szCs w:val="21"/>
                <w:highlight w:val="none"/>
              </w:rPr>
              <w:t>1、以上标明“必须提供”的材料属于复印件的，必须加盖供应商公章，否则响应文件按无效响应处理。</w:t>
            </w:r>
          </w:p>
          <w:p w14:paraId="6959B1B3">
            <w:pPr>
              <w:snapToGrid w:val="0"/>
              <w:spacing w:line="360" w:lineRule="auto"/>
              <w:ind w:firstLine="422" w:firstLineChars="200"/>
              <w:jc w:val="left"/>
              <w:rPr>
                <w:rFonts w:ascii="宋体" w:hAnsi="宋体" w:cs="宋体"/>
                <w:b/>
                <w:color w:val="auto"/>
                <w:szCs w:val="21"/>
                <w:highlight w:val="none"/>
              </w:rPr>
            </w:pPr>
            <w:r>
              <w:rPr>
                <w:rFonts w:hint="eastAsia" w:ascii="宋体" w:hAnsi="宋体" w:cs="宋体"/>
                <w:b/>
                <w:color w:val="auto"/>
                <w:szCs w:val="21"/>
                <w:highlight w:val="none"/>
              </w:rPr>
              <w:t>2、竞标声明必须由法定代表人在规定签章处签字并加盖供应商公章，否则响应文件按无效响应处理。</w:t>
            </w:r>
          </w:p>
          <w:p w14:paraId="3375C236">
            <w:pPr>
              <w:snapToGrid w:val="0"/>
              <w:spacing w:line="360" w:lineRule="auto"/>
              <w:ind w:firstLine="422" w:firstLineChars="200"/>
              <w:jc w:val="left"/>
              <w:rPr>
                <w:rFonts w:ascii="宋体" w:hAnsi="宋体" w:cs="宋体"/>
                <w:b/>
                <w:color w:val="auto"/>
                <w:szCs w:val="21"/>
                <w:highlight w:val="none"/>
              </w:rPr>
            </w:pPr>
            <w:r>
              <w:rPr>
                <w:rFonts w:hint="eastAsia" w:ascii="宋体" w:hAnsi="宋体" w:cs="宋体"/>
                <w:b/>
                <w:color w:val="auto"/>
                <w:szCs w:val="21"/>
                <w:highlight w:val="none"/>
              </w:rPr>
              <w:t>3、供应商直接控股、管理关系信息表必须由法定代表人或者委托代理人在规定签章处签字并加盖供应商公章，否则响应文件按无效响应处理。</w:t>
            </w:r>
          </w:p>
          <w:p w14:paraId="7F5468FC">
            <w:pPr>
              <w:pStyle w:val="13"/>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4、</w:t>
            </w:r>
            <w:r>
              <w:rPr>
                <w:rFonts w:hint="eastAsia" w:ascii="宋体" w:hAnsi="宋体" w:cs="宋体"/>
                <w:b/>
                <w:bCs/>
                <w:color w:val="auto"/>
                <w:szCs w:val="21"/>
                <w:highlight w:val="none"/>
              </w:rPr>
              <w:t>分公司参加竞标的，应当取得总公司授权，否则响应文件按无效响应处理。</w:t>
            </w:r>
          </w:p>
        </w:tc>
      </w:tr>
      <w:tr w14:paraId="5358EB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3243834A">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12.1.2</w:t>
            </w:r>
          </w:p>
        </w:tc>
        <w:tc>
          <w:tcPr>
            <w:tcW w:w="8627" w:type="dxa"/>
            <w:vAlign w:val="center"/>
          </w:tcPr>
          <w:p w14:paraId="28449306">
            <w:pPr>
              <w:spacing w:line="360" w:lineRule="auto"/>
              <w:rPr>
                <w:rFonts w:ascii="宋体" w:hAnsi="宋体" w:cs="宋体"/>
                <w:b/>
                <w:bCs/>
                <w:color w:val="auto"/>
                <w:szCs w:val="21"/>
                <w:highlight w:val="none"/>
              </w:rPr>
            </w:pPr>
            <w:r>
              <w:rPr>
                <w:rFonts w:hint="eastAsia" w:ascii="宋体" w:hAnsi="宋体" w:cs="宋体"/>
                <w:b/>
                <w:bCs/>
                <w:color w:val="auto"/>
                <w:szCs w:val="21"/>
                <w:highlight w:val="none"/>
              </w:rPr>
              <w:t>报价商务技术文件</w:t>
            </w:r>
          </w:p>
          <w:p w14:paraId="0EBD8B8A">
            <w:pPr>
              <w:spacing w:line="360" w:lineRule="auto"/>
              <w:rPr>
                <w:rFonts w:ascii="宋体" w:hAnsi="宋体" w:cs="宋体"/>
                <w:color w:val="auto"/>
                <w:szCs w:val="21"/>
                <w:highlight w:val="none"/>
              </w:rPr>
            </w:pPr>
            <w:r>
              <w:rPr>
                <w:rFonts w:hint="eastAsia" w:ascii="宋体" w:hAnsi="宋体" w:cs="宋体"/>
                <w:color w:val="auto"/>
                <w:szCs w:val="21"/>
                <w:highlight w:val="none"/>
              </w:rPr>
              <w:t>1、无串通竞标行为的承诺函（格式后附）；（</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688B87F4">
            <w:pPr>
              <w:spacing w:line="360" w:lineRule="auto"/>
              <w:rPr>
                <w:rFonts w:ascii="宋体" w:hAnsi="宋体" w:cs="宋体"/>
                <w:color w:val="auto"/>
                <w:szCs w:val="21"/>
                <w:highlight w:val="none"/>
              </w:rPr>
            </w:pPr>
            <w:r>
              <w:rPr>
                <w:rFonts w:hint="eastAsia" w:ascii="宋体" w:hAnsi="宋体" w:cs="宋体"/>
                <w:color w:val="auto"/>
                <w:szCs w:val="21"/>
                <w:highlight w:val="none"/>
              </w:rPr>
              <w:t>2、竞标报价表（格式后附）；（</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219B23F9">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3、法定代表人身份证明及法定代表人有效身份证正反面复印件（格式后附）；（</w:t>
            </w:r>
            <w:r>
              <w:rPr>
                <w:rFonts w:hint="eastAsia" w:ascii="宋体" w:hAnsi="宋体" w:cs="宋体"/>
                <w:b/>
                <w:bCs/>
                <w:color w:val="auto"/>
                <w:szCs w:val="21"/>
                <w:highlight w:val="none"/>
              </w:rPr>
              <w:t>除自然人竞标外</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056AF77E">
            <w:pPr>
              <w:spacing w:line="360" w:lineRule="auto"/>
              <w:rPr>
                <w:rFonts w:ascii="宋体" w:hAnsi="宋体" w:cs="宋体"/>
                <w:b/>
                <w:color w:val="auto"/>
                <w:szCs w:val="21"/>
                <w:highlight w:val="none"/>
              </w:rPr>
            </w:pPr>
            <w:r>
              <w:rPr>
                <w:rFonts w:hint="eastAsia" w:ascii="宋体" w:hAnsi="宋体" w:cs="宋体"/>
                <w:color w:val="auto"/>
                <w:szCs w:val="21"/>
                <w:highlight w:val="none"/>
              </w:rPr>
              <w:t>4、授权委托书及委托代理人有效身份证正反面复印件（格式后附）；（</w:t>
            </w:r>
            <w:r>
              <w:rPr>
                <w:rFonts w:hint="eastAsia" w:ascii="宋体" w:hAnsi="宋体" w:cs="宋体"/>
                <w:b/>
                <w:color w:val="auto"/>
                <w:szCs w:val="21"/>
                <w:highlight w:val="none"/>
              </w:rPr>
              <w:t>委托时必须提供，否则响应文件按无效响应处理</w:t>
            </w:r>
            <w:r>
              <w:rPr>
                <w:rFonts w:hint="eastAsia" w:ascii="宋体" w:hAnsi="宋体" w:cs="宋体"/>
                <w:color w:val="auto"/>
                <w:szCs w:val="21"/>
                <w:highlight w:val="none"/>
              </w:rPr>
              <w:t>）</w:t>
            </w:r>
          </w:p>
          <w:p w14:paraId="30839A67">
            <w:pPr>
              <w:spacing w:line="360" w:lineRule="auto"/>
              <w:rPr>
                <w:rFonts w:ascii="宋体" w:hAnsi="宋体" w:cs="宋体"/>
                <w:color w:val="auto"/>
                <w:szCs w:val="21"/>
                <w:highlight w:val="none"/>
              </w:rPr>
            </w:pPr>
            <w:r>
              <w:rPr>
                <w:rFonts w:hint="eastAsia" w:ascii="宋体" w:hAnsi="宋体" w:cs="宋体"/>
                <w:color w:val="auto"/>
                <w:szCs w:val="21"/>
                <w:highlight w:val="none"/>
              </w:rPr>
              <w:t>5、磋商保证金提交凭证；（</w:t>
            </w:r>
            <w:r>
              <w:rPr>
                <w:rFonts w:hint="eastAsia" w:ascii="宋体" w:hAnsi="宋体" w:cs="宋体"/>
                <w:b/>
                <w:bCs/>
                <w:color w:val="auto"/>
                <w:highlight w:val="none"/>
              </w:rPr>
              <w:t>必须提供</w:t>
            </w:r>
            <w:r>
              <w:rPr>
                <w:rFonts w:hint="eastAsia" w:ascii="宋体" w:hAnsi="宋体" w:cs="宋体"/>
                <w:b/>
                <w:color w:val="auto"/>
                <w:szCs w:val="21"/>
                <w:highlight w:val="none"/>
              </w:rPr>
              <w:t>，否则响应文件按无效响应处理</w:t>
            </w:r>
            <w:r>
              <w:rPr>
                <w:rFonts w:hint="eastAsia" w:ascii="宋体" w:hAnsi="宋体" w:cs="宋体"/>
                <w:color w:val="auto"/>
                <w:szCs w:val="21"/>
                <w:highlight w:val="none"/>
              </w:rPr>
              <w:t>）</w:t>
            </w:r>
          </w:p>
          <w:p w14:paraId="6AB72529">
            <w:pPr>
              <w:spacing w:line="360" w:lineRule="auto"/>
              <w:rPr>
                <w:rFonts w:ascii="宋体" w:hAnsi="宋体" w:cs="宋体"/>
                <w:color w:val="auto"/>
                <w:szCs w:val="21"/>
                <w:highlight w:val="none"/>
              </w:rPr>
            </w:pPr>
            <w:r>
              <w:rPr>
                <w:rFonts w:hint="eastAsia" w:ascii="宋体" w:hAnsi="宋体" w:cs="宋体"/>
                <w:color w:val="auto"/>
                <w:szCs w:val="21"/>
                <w:highlight w:val="none"/>
              </w:rPr>
              <w:t>6、商务要求偏离表（格式后附）；（</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5F2B0F9E">
            <w:pPr>
              <w:spacing w:line="360" w:lineRule="auto"/>
              <w:rPr>
                <w:rFonts w:ascii="宋体" w:hAnsi="宋体" w:cs="宋体"/>
                <w:color w:val="auto"/>
                <w:szCs w:val="21"/>
                <w:highlight w:val="none"/>
              </w:rPr>
            </w:pPr>
            <w:r>
              <w:rPr>
                <w:rFonts w:hint="eastAsia" w:ascii="宋体" w:hAnsi="宋体" w:cs="宋体"/>
                <w:color w:val="auto"/>
                <w:szCs w:val="21"/>
                <w:highlight w:val="none"/>
              </w:rPr>
              <w:t>7、服务方案（格式自拟）；（</w:t>
            </w:r>
            <w:r>
              <w:rPr>
                <w:rFonts w:hint="eastAsia" w:ascii="宋体" w:hAnsi="宋体" w:cs="宋体"/>
                <w:b/>
                <w:color w:val="auto"/>
                <w:szCs w:val="21"/>
                <w:highlight w:val="none"/>
              </w:rPr>
              <w:t>根据竞争性磋商文件的要求提供</w:t>
            </w:r>
            <w:r>
              <w:rPr>
                <w:rFonts w:hint="eastAsia" w:ascii="宋体" w:hAnsi="宋体" w:cs="宋体"/>
                <w:color w:val="auto"/>
                <w:szCs w:val="21"/>
                <w:highlight w:val="none"/>
              </w:rPr>
              <w:t>）</w:t>
            </w:r>
          </w:p>
          <w:p w14:paraId="5A71C304">
            <w:pPr>
              <w:spacing w:line="360" w:lineRule="auto"/>
              <w:rPr>
                <w:rFonts w:ascii="宋体" w:hAnsi="宋体" w:cs="宋体"/>
                <w:color w:val="auto"/>
                <w:szCs w:val="21"/>
                <w:highlight w:val="none"/>
              </w:rPr>
            </w:pPr>
            <w:r>
              <w:rPr>
                <w:rFonts w:hint="eastAsia" w:ascii="宋体" w:hAnsi="宋体" w:cs="宋体"/>
                <w:color w:val="auto"/>
                <w:szCs w:val="21"/>
                <w:highlight w:val="none"/>
              </w:rPr>
              <w:t>8、技术要求偏离表（格式后附）；（</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170B2571">
            <w:pPr>
              <w:spacing w:line="360" w:lineRule="auto"/>
              <w:rPr>
                <w:rFonts w:ascii="宋体" w:hAnsi="宋体" w:cs="宋体"/>
                <w:color w:val="auto"/>
                <w:szCs w:val="21"/>
                <w:highlight w:val="none"/>
              </w:rPr>
            </w:pPr>
            <w:r>
              <w:rPr>
                <w:rFonts w:hint="eastAsia" w:ascii="宋体" w:hAnsi="宋体" w:cs="宋体"/>
                <w:color w:val="auto"/>
                <w:szCs w:val="21"/>
                <w:highlight w:val="none"/>
              </w:rPr>
              <w:t>9、服务承诺函（格式后附）；（</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0C76516C">
            <w:pPr>
              <w:spacing w:line="360" w:lineRule="auto"/>
              <w:rPr>
                <w:rFonts w:ascii="宋体" w:hAnsi="宋体" w:cs="宋体"/>
                <w:color w:val="auto"/>
                <w:szCs w:val="21"/>
                <w:highlight w:val="none"/>
              </w:rPr>
            </w:pPr>
            <w:r>
              <w:rPr>
                <w:rFonts w:hint="eastAsia" w:ascii="宋体" w:hAnsi="宋体" w:cs="宋体"/>
                <w:color w:val="auto"/>
                <w:szCs w:val="21"/>
                <w:highlight w:val="none"/>
              </w:rPr>
              <w:t>10、项目实施人员一览表（</w:t>
            </w:r>
            <w:r>
              <w:rPr>
                <w:rFonts w:hint="eastAsia" w:ascii="宋体" w:hAnsi="宋体" w:cs="宋体"/>
                <w:b/>
                <w:color w:val="auto"/>
                <w:szCs w:val="21"/>
                <w:highlight w:val="none"/>
              </w:rPr>
              <w:t>如有，请提供</w:t>
            </w:r>
            <w:r>
              <w:rPr>
                <w:rFonts w:hint="eastAsia" w:ascii="宋体" w:hAnsi="宋体" w:cs="宋体"/>
                <w:color w:val="auto"/>
                <w:szCs w:val="21"/>
                <w:highlight w:val="none"/>
              </w:rPr>
              <w:t xml:space="preserve">）； </w:t>
            </w:r>
          </w:p>
          <w:p w14:paraId="05195487">
            <w:pPr>
              <w:spacing w:line="360" w:lineRule="auto"/>
              <w:rPr>
                <w:rFonts w:ascii="宋体" w:hAnsi="宋体" w:cs="宋体"/>
                <w:color w:val="auto"/>
                <w:szCs w:val="21"/>
                <w:highlight w:val="none"/>
              </w:rPr>
            </w:pPr>
            <w:r>
              <w:rPr>
                <w:rFonts w:hint="eastAsia" w:ascii="宋体" w:hAnsi="宋体" w:cs="宋体"/>
                <w:color w:val="auto"/>
                <w:szCs w:val="21"/>
                <w:highlight w:val="none"/>
              </w:rPr>
              <w:t>11、对应采购需求的技术要求、商务要求提供的其他文件资料（格式自拟）；</w:t>
            </w:r>
          </w:p>
          <w:p w14:paraId="66AC66B8">
            <w:pPr>
              <w:spacing w:line="360" w:lineRule="auto"/>
              <w:rPr>
                <w:rFonts w:ascii="宋体" w:hAnsi="宋体" w:cs="宋体"/>
                <w:b/>
                <w:color w:val="auto"/>
                <w:szCs w:val="21"/>
                <w:highlight w:val="none"/>
              </w:rPr>
            </w:pPr>
            <w:r>
              <w:rPr>
                <w:rFonts w:hint="eastAsia" w:ascii="宋体" w:hAnsi="宋体" w:cs="宋体"/>
                <w:color w:val="auto"/>
                <w:szCs w:val="21"/>
                <w:highlight w:val="none"/>
              </w:rPr>
              <w:t>12、供应商认为需要提供的其他有关资料。</w:t>
            </w:r>
          </w:p>
          <w:p w14:paraId="4760C467">
            <w:pPr>
              <w:snapToGrid w:val="0"/>
              <w:spacing w:line="360" w:lineRule="auto"/>
              <w:ind w:firstLine="422" w:firstLineChars="200"/>
              <w:jc w:val="left"/>
              <w:rPr>
                <w:rFonts w:ascii="宋体" w:hAnsi="宋体" w:cs="宋体"/>
                <w:b/>
                <w:color w:val="auto"/>
                <w:szCs w:val="21"/>
                <w:highlight w:val="none"/>
              </w:rPr>
            </w:pPr>
            <w:r>
              <w:rPr>
                <w:rFonts w:hint="eastAsia" w:ascii="宋体" w:hAnsi="宋体" w:cs="宋体"/>
                <w:b/>
                <w:color w:val="auto"/>
                <w:szCs w:val="21"/>
                <w:highlight w:val="none"/>
              </w:rPr>
              <w:t>注：以上标明“必须提供”的材料属于复印件的，必须加盖供应商公章，否则响应文件按无效响应处理。</w:t>
            </w:r>
          </w:p>
        </w:tc>
      </w:tr>
      <w:tr w14:paraId="0D309A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5D85E265">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15.2</w:t>
            </w:r>
          </w:p>
        </w:tc>
        <w:tc>
          <w:tcPr>
            <w:tcW w:w="8627" w:type="dxa"/>
            <w:vAlign w:val="center"/>
          </w:tcPr>
          <w:p w14:paraId="6E9F7F11">
            <w:pPr>
              <w:snapToGrid w:val="0"/>
              <w:spacing w:line="360" w:lineRule="auto"/>
              <w:jc w:val="left"/>
              <w:rPr>
                <w:rFonts w:ascii="宋体" w:hAnsi="宋体" w:cs="宋体"/>
                <w:color w:val="auto"/>
                <w:szCs w:val="21"/>
                <w:highlight w:val="none"/>
              </w:rPr>
            </w:pPr>
            <w:r>
              <w:rPr>
                <w:rFonts w:hint="eastAsia" w:ascii="宋体" w:hAnsi="宋体"/>
                <w:color w:val="auto"/>
                <w:szCs w:val="21"/>
                <w:highlight w:val="none"/>
              </w:rPr>
              <w:t>竞标报价是履行合同的最终价格，</w:t>
            </w:r>
            <w:r>
              <w:rPr>
                <w:rFonts w:hint="eastAsia" w:ascii="宋体" w:hAnsi="宋体" w:cs="宋体"/>
                <w:color w:val="auto"/>
                <w:szCs w:val="21"/>
                <w:highlight w:val="none"/>
              </w:rPr>
              <w:t>即满足全部采购需求所应提供的服务的价格；包括竞标服务的成本、运输（含保险）（如有）、技术服务、培训、税费等所有费用。</w:t>
            </w:r>
            <w:r>
              <w:rPr>
                <w:rFonts w:hint="eastAsia" w:ascii="宋体" w:hAnsi="宋体"/>
                <w:b/>
                <w:color w:val="auto"/>
                <w:szCs w:val="21"/>
                <w:highlight w:val="none"/>
              </w:rPr>
              <w:t>（采购需求另有约定的，从其约定。）</w:t>
            </w:r>
          </w:p>
        </w:tc>
      </w:tr>
      <w:tr w14:paraId="2BD5B7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049B501D">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16.2</w:t>
            </w:r>
          </w:p>
        </w:tc>
        <w:tc>
          <w:tcPr>
            <w:tcW w:w="8627" w:type="dxa"/>
            <w:vAlign w:val="center"/>
          </w:tcPr>
          <w:p w14:paraId="298C8516">
            <w:pPr>
              <w:spacing w:line="360" w:lineRule="auto"/>
              <w:rPr>
                <w:rFonts w:ascii="宋体" w:hAnsi="宋体" w:cs="宋体"/>
                <w:color w:val="auto"/>
                <w:szCs w:val="21"/>
                <w:highlight w:val="none"/>
              </w:rPr>
            </w:pPr>
            <w:r>
              <w:rPr>
                <w:rFonts w:hint="eastAsia" w:ascii="宋体" w:hAnsi="宋体" w:cs="宋体"/>
                <w:color w:val="auto"/>
                <w:szCs w:val="21"/>
                <w:highlight w:val="none"/>
              </w:rPr>
              <w:t>竞标有效期：首次响应文件提交截止之日起60天内。</w:t>
            </w:r>
          </w:p>
        </w:tc>
      </w:tr>
      <w:tr w14:paraId="3D7277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27DFEE7C">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17.1</w:t>
            </w:r>
          </w:p>
        </w:tc>
        <w:tc>
          <w:tcPr>
            <w:tcW w:w="8627" w:type="dxa"/>
            <w:vAlign w:val="center"/>
          </w:tcPr>
          <w:p w14:paraId="125D6E0C">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本项目收取磋商保证金，具体规定如下：</w:t>
            </w:r>
          </w:p>
          <w:p w14:paraId="5B8CE7CF">
            <w:pPr>
              <w:widowControl/>
              <w:spacing w:line="360" w:lineRule="auto"/>
              <w:rPr>
                <w:rFonts w:ascii="宋体" w:hAnsi="宋体" w:cs="宋体"/>
                <w:color w:val="auto"/>
                <w:szCs w:val="21"/>
                <w:highlight w:val="none"/>
                <w:lang w:bidi="ar"/>
              </w:rPr>
            </w:pPr>
            <w:r>
              <w:rPr>
                <w:rFonts w:hint="eastAsia" w:ascii="宋体" w:hAnsi="宋体" w:cs="宋体"/>
                <w:color w:val="auto"/>
                <w:szCs w:val="21"/>
                <w:highlight w:val="none"/>
                <w:lang w:bidi="ar"/>
              </w:rPr>
              <w:t>分标1</w:t>
            </w:r>
            <w:r>
              <w:rPr>
                <w:rFonts w:hint="eastAsia" w:ascii="宋体" w:hAnsi="宋体" w:cs="宋体"/>
                <w:color w:val="auto"/>
                <w:kern w:val="0"/>
                <w:szCs w:val="21"/>
                <w:highlight w:val="none"/>
              </w:rPr>
              <w:t>磋商保证金人民币</w:t>
            </w:r>
            <w:r>
              <w:rPr>
                <w:rFonts w:hint="eastAsia" w:ascii="宋体" w:hAnsi="宋体" w:cs="宋体"/>
                <w:color w:val="auto"/>
                <w:kern w:val="0"/>
                <w:szCs w:val="21"/>
                <w:highlight w:val="none"/>
                <w:u w:val="single"/>
              </w:rPr>
              <w:t xml:space="preserve"> 5300.00 </w:t>
            </w:r>
            <w:r>
              <w:rPr>
                <w:rFonts w:hint="eastAsia" w:ascii="宋体" w:hAnsi="宋体" w:cs="宋体"/>
                <w:color w:val="auto"/>
                <w:szCs w:val="21"/>
                <w:highlight w:val="none"/>
                <w:lang w:bidi="ar"/>
              </w:rPr>
              <w:t>元；</w:t>
            </w:r>
          </w:p>
          <w:p w14:paraId="74E06B47">
            <w:pPr>
              <w:widowControl/>
              <w:spacing w:line="360" w:lineRule="auto"/>
              <w:rPr>
                <w:rFonts w:ascii="宋体" w:hAnsi="宋体" w:cs="宋体"/>
                <w:color w:val="auto"/>
                <w:szCs w:val="21"/>
                <w:highlight w:val="none"/>
                <w:lang w:bidi="ar"/>
              </w:rPr>
            </w:pPr>
            <w:r>
              <w:rPr>
                <w:rFonts w:hint="eastAsia" w:ascii="宋体" w:hAnsi="宋体" w:cs="宋体"/>
                <w:color w:val="auto"/>
                <w:szCs w:val="21"/>
                <w:highlight w:val="none"/>
                <w:lang w:bidi="ar"/>
              </w:rPr>
              <w:t>分标2</w:t>
            </w:r>
            <w:r>
              <w:rPr>
                <w:rFonts w:hint="eastAsia" w:ascii="宋体" w:hAnsi="宋体" w:cs="宋体"/>
                <w:color w:val="auto"/>
                <w:kern w:val="0"/>
                <w:szCs w:val="21"/>
                <w:highlight w:val="none"/>
              </w:rPr>
              <w:t>磋商保证金人民币</w:t>
            </w:r>
            <w:r>
              <w:rPr>
                <w:rFonts w:hint="eastAsia" w:ascii="宋体" w:hAnsi="宋体" w:cs="宋体"/>
                <w:color w:val="auto"/>
                <w:szCs w:val="21"/>
                <w:highlight w:val="none"/>
                <w:u w:val="single"/>
                <w:lang w:bidi="ar"/>
              </w:rPr>
              <w:t xml:space="preserve"> 4600.00 </w:t>
            </w:r>
            <w:r>
              <w:rPr>
                <w:rFonts w:hint="eastAsia" w:ascii="宋体" w:hAnsi="宋体" w:cs="宋体"/>
                <w:color w:val="auto"/>
                <w:szCs w:val="21"/>
                <w:highlight w:val="none"/>
                <w:lang w:bidi="ar"/>
              </w:rPr>
              <w:t>元；</w:t>
            </w:r>
          </w:p>
          <w:p w14:paraId="33F2E08A">
            <w:pPr>
              <w:widowControl/>
              <w:spacing w:line="360" w:lineRule="auto"/>
              <w:rPr>
                <w:rFonts w:ascii="宋体" w:hAnsi="宋体" w:cs="宋体"/>
                <w:color w:val="auto"/>
                <w:szCs w:val="21"/>
                <w:highlight w:val="none"/>
                <w:lang w:bidi="ar"/>
              </w:rPr>
            </w:pPr>
            <w:r>
              <w:rPr>
                <w:rFonts w:hint="eastAsia" w:ascii="宋体" w:hAnsi="宋体" w:cs="宋体"/>
                <w:color w:val="auto"/>
                <w:szCs w:val="21"/>
                <w:highlight w:val="none"/>
                <w:lang w:bidi="ar"/>
              </w:rPr>
              <w:t>分标3</w:t>
            </w:r>
            <w:r>
              <w:rPr>
                <w:rFonts w:hint="eastAsia" w:ascii="宋体" w:hAnsi="宋体" w:cs="宋体"/>
                <w:color w:val="auto"/>
                <w:kern w:val="0"/>
                <w:szCs w:val="21"/>
                <w:highlight w:val="none"/>
              </w:rPr>
              <w:t>磋商保证金人民币</w:t>
            </w:r>
            <w:r>
              <w:rPr>
                <w:rFonts w:hint="eastAsia" w:ascii="宋体" w:hAnsi="宋体" w:cs="宋体"/>
                <w:color w:val="auto"/>
                <w:szCs w:val="21"/>
                <w:highlight w:val="none"/>
                <w:u w:val="single"/>
                <w:lang w:bidi="ar"/>
              </w:rPr>
              <w:t xml:space="preserve"> 5200.00 </w:t>
            </w:r>
            <w:r>
              <w:rPr>
                <w:rFonts w:hint="eastAsia" w:ascii="宋体" w:hAnsi="宋体" w:cs="宋体"/>
                <w:color w:val="auto"/>
                <w:szCs w:val="21"/>
                <w:highlight w:val="none"/>
                <w:lang w:bidi="ar"/>
              </w:rPr>
              <w:t>元；</w:t>
            </w:r>
          </w:p>
          <w:p w14:paraId="2C888086">
            <w:pPr>
              <w:widowControl/>
              <w:spacing w:line="360" w:lineRule="auto"/>
              <w:rPr>
                <w:rFonts w:ascii="宋体" w:hAnsi="宋体" w:cs="宋体"/>
                <w:color w:val="auto"/>
                <w:szCs w:val="21"/>
                <w:highlight w:val="none"/>
                <w:lang w:bidi="ar"/>
              </w:rPr>
            </w:pPr>
            <w:r>
              <w:rPr>
                <w:rFonts w:hint="eastAsia" w:ascii="宋体" w:hAnsi="宋体" w:cs="宋体"/>
                <w:color w:val="auto"/>
                <w:szCs w:val="21"/>
                <w:highlight w:val="none"/>
                <w:lang w:bidi="ar"/>
              </w:rPr>
              <w:t>分标4</w:t>
            </w:r>
            <w:r>
              <w:rPr>
                <w:rFonts w:hint="eastAsia" w:ascii="宋体" w:hAnsi="宋体" w:cs="宋体"/>
                <w:color w:val="auto"/>
                <w:kern w:val="0"/>
                <w:szCs w:val="21"/>
                <w:highlight w:val="none"/>
              </w:rPr>
              <w:t>磋商保证金人民币</w:t>
            </w:r>
            <w:r>
              <w:rPr>
                <w:rFonts w:hint="eastAsia" w:ascii="宋体" w:hAnsi="宋体" w:cs="宋体"/>
                <w:color w:val="auto"/>
                <w:szCs w:val="21"/>
                <w:highlight w:val="none"/>
                <w:u w:val="single"/>
                <w:lang w:bidi="ar"/>
              </w:rPr>
              <w:t xml:space="preserve"> 4100.00 </w:t>
            </w:r>
            <w:r>
              <w:rPr>
                <w:rFonts w:hint="eastAsia" w:ascii="宋体" w:hAnsi="宋体" w:cs="宋体"/>
                <w:color w:val="auto"/>
                <w:szCs w:val="21"/>
                <w:highlight w:val="none"/>
                <w:lang w:bidi="ar"/>
              </w:rPr>
              <w:t>元。</w:t>
            </w:r>
          </w:p>
          <w:p w14:paraId="3D2B2754">
            <w:pPr>
              <w:snapToGrid w:val="0"/>
              <w:spacing w:line="360" w:lineRule="auto"/>
              <w:rPr>
                <w:rFonts w:ascii="宋体" w:cs="宋体"/>
                <w:color w:val="auto"/>
                <w:kern w:val="0"/>
                <w:szCs w:val="21"/>
                <w:highlight w:val="none"/>
              </w:rPr>
            </w:pPr>
            <w:r>
              <w:rPr>
                <w:rFonts w:hint="eastAsia" w:ascii="宋体" w:hAnsi="宋体" w:cs="宋体"/>
                <w:color w:val="auto"/>
                <w:kern w:val="0"/>
                <w:szCs w:val="21"/>
                <w:highlight w:val="none"/>
              </w:rPr>
              <w:t>磋商保证金的交纳方式：银行转账、支票、汇票、本票或者金融、担保金融、担保机构出具的保函，禁止采用现钞方式。采用银行转账方式的，在响应文件提交截止时间前交至指定账户并且到账（开户银行：</w:t>
            </w:r>
            <w:r>
              <w:rPr>
                <w:rFonts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rPr>
              <w:t>广西北部湾银行股份有限公司南宁分行</w:t>
            </w:r>
            <w:r>
              <w:rPr>
                <w:rFonts w:hint="eastAsia" w:ascii="宋体" w:hAnsi="宋体" w:cs="宋体"/>
                <w:color w:val="auto"/>
                <w:kern w:val="0"/>
                <w:szCs w:val="21"/>
                <w:highlight w:val="none"/>
              </w:rPr>
              <w:t>，开户名称：</w:t>
            </w:r>
            <w:r>
              <w:rPr>
                <w:rFonts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rPr>
              <w:t>广西国泰招标咨询有限公司</w:t>
            </w:r>
            <w:r>
              <w:rPr>
                <w:rFonts w:hint="eastAsia" w:ascii="宋体" w:hAnsi="宋体" w:cs="宋体"/>
                <w:color w:val="auto"/>
                <w:kern w:val="0"/>
                <w:szCs w:val="21"/>
                <w:highlight w:val="none"/>
              </w:rPr>
              <w:t>，银行账号：</w:t>
            </w:r>
            <w:r>
              <w:rPr>
                <w:rFonts w:ascii="宋体" w:hAnsi="宋体" w:cs="宋体"/>
                <w:color w:val="auto"/>
                <w:kern w:val="0"/>
                <w:szCs w:val="21"/>
                <w:highlight w:val="none"/>
                <w:u w:val="single"/>
              </w:rPr>
              <w:t xml:space="preserve"> 0101012090615711</w:t>
            </w:r>
            <w:r>
              <w:rPr>
                <w:rFonts w:hint="eastAsia" w:ascii="宋体" w:hAnsi="宋体" w:cs="宋体"/>
                <w:color w:val="auto"/>
                <w:kern w:val="0"/>
                <w:szCs w:val="21"/>
                <w:highlight w:val="none"/>
              </w:rPr>
              <w:t>）；采用支票、汇票、本票或者保函等方式的，在响应文件提交截止时间前，供应商必须提交支票、汇票、本票或者保函原件（电子保函的打印保函并加盖供应商公章）。否则视为无效磋商保证金。</w:t>
            </w:r>
          </w:p>
          <w:p w14:paraId="79731617">
            <w:pPr>
              <w:snapToGrid w:val="0"/>
              <w:spacing w:line="360" w:lineRule="auto"/>
              <w:rPr>
                <w:rFonts w:ascii="宋体" w:cs="宋体"/>
                <w:color w:val="auto"/>
                <w:szCs w:val="21"/>
                <w:highlight w:val="none"/>
              </w:rPr>
            </w:pPr>
            <w:r>
              <w:rPr>
                <w:rFonts w:hint="eastAsia" w:ascii="宋体" w:hAnsi="宋体" w:cs="宋体"/>
                <w:color w:val="auto"/>
                <w:szCs w:val="21"/>
                <w:highlight w:val="none"/>
              </w:rPr>
              <w:t>相关要求：</w:t>
            </w:r>
          </w:p>
          <w:p w14:paraId="6B481140">
            <w:pPr>
              <w:snapToGrid w:val="0"/>
              <w:spacing w:line="360" w:lineRule="auto"/>
              <w:rPr>
                <w:rFonts w:asci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、磋商保证金采用银行转账交纳方式的，在响应文件提交截止时间前交至指定账户并且到账，供应商应将银行转账底单的复印件作为磋商保证金提交凭证，放置于报价商务技术文件中，</w:t>
            </w:r>
            <w:r>
              <w:rPr>
                <w:rFonts w:hint="eastAsia" w:ascii="宋体" w:hAnsi="宋体" w:cs="宋体"/>
                <w:b/>
                <w:color w:val="auto"/>
                <w:szCs w:val="21"/>
                <w:highlight w:val="none"/>
              </w:rPr>
              <w:t>否则响应文件按无效响应处理</w:t>
            </w:r>
            <w:r>
              <w:rPr>
                <w:rFonts w:hint="eastAsia" w:ascii="宋体" w:hAnsi="宋体" w:cs="宋体"/>
                <w:color w:val="auto"/>
                <w:szCs w:val="21"/>
                <w:highlight w:val="none"/>
              </w:rPr>
              <w:t>。</w:t>
            </w:r>
          </w:p>
          <w:p w14:paraId="691FECC3">
            <w:pPr>
              <w:snapToGrid w:val="0"/>
              <w:spacing w:line="360" w:lineRule="auto"/>
              <w:rPr>
                <w:rFonts w:ascii="宋体" w:hAnsi="宋体" w:cs="宋体"/>
                <w:b/>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、磋商保证金采用支票、汇票、本票或者金融、担保机构出具的保函交纳方式的，供应商应将支票、汇票、本票或者金融、担保机构出具的保函的复印件作为磋商保证金提交凭证，放置于报价商务技术文件中，</w:t>
            </w:r>
            <w:r>
              <w:rPr>
                <w:rFonts w:hint="eastAsia" w:ascii="宋体" w:hAnsi="宋体" w:cs="宋体"/>
                <w:b/>
                <w:color w:val="auto"/>
                <w:szCs w:val="21"/>
                <w:highlight w:val="none"/>
              </w:rPr>
              <w:t>否则响应文件按无效响应处理</w:t>
            </w:r>
            <w:r>
              <w:rPr>
                <w:rFonts w:hint="eastAsia" w:ascii="宋体" w:hAnsi="宋体" w:cs="宋体"/>
                <w:color w:val="auto"/>
                <w:szCs w:val="21"/>
                <w:highlight w:val="none"/>
              </w:rPr>
              <w:t>。</w:t>
            </w:r>
            <w:r>
              <w:rPr>
                <w:rFonts w:hint="eastAsia" w:ascii="宋体" w:hAnsi="宋体" w:cs="宋体"/>
                <w:b/>
                <w:color w:val="auto"/>
                <w:szCs w:val="21"/>
                <w:highlight w:val="none"/>
              </w:rPr>
              <w:t>供应商必须在首次响应文件提交截止时间前将支票、汇票、本票或者金融、</w:t>
            </w:r>
            <w:r>
              <w:rPr>
                <w:rFonts w:hint="eastAsia" w:ascii="宋体" w:hAnsi="宋体"/>
                <w:b/>
                <w:color w:val="auto"/>
                <w:szCs w:val="21"/>
                <w:highlight w:val="none"/>
              </w:rPr>
              <w:t>担保机构出具</w:t>
            </w:r>
            <w:r>
              <w:rPr>
                <w:rFonts w:hint="eastAsia" w:ascii="宋体" w:hAnsi="宋体"/>
                <w:b/>
                <w:bCs/>
                <w:color w:val="auto"/>
                <w:szCs w:val="21"/>
                <w:highlight w:val="none"/>
              </w:rPr>
              <w:t>的保函原件（电子保函的打印保函并加盖供应商公章）等单独密封提交给采购代理机构</w:t>
            </w:r>
            <w:r>
              <w:rPr>
                <w:rFonts w:hint="eastAsia" w:ascii="宋体" w:hAnsi="宋体" w:cs="宋体"/>
                <w:b/>
                <w:color w:val="auto"/>
                <w:szCs w:val="21"/>
                <w:highlight w:val="none"/>
              </w:rPr>
              <w:t>，由采购代理机构向供应商出具回执，并妥善保管，否则响应文件按无效响应处理。联系人：黄柳娜</w:t>
            </w:r>
            <w:r>
              <w:rPr>
                <w:rFonts w:ascii="宋体" w:hAnsi="宋体" w:cs="宋体"/>
                <w:b/>
                <w:color w:val="auto"/>
                <w:szCs w:val="21"/>
                <w:highlight w:val="none"/>
              </w:rPr>
              <w:t xml:space="preserve">  </w:t>
            </w:r>
            <w:r>
              <w:rPr>
                <w:rFonts w:hint="eastAsia" w:ascii="宋体" w:hAnsi="宋体" w:cs="宋体"/>
                <w:b/>
                <w:color w:val="auto"/>
                <w:szCs w:val="21"/>
                <w:highlight w:val="none"/>
              </w:rPr>
              <w:t>联系电话：</w:t>
            </w:r>
            <w:r>
              <w:rPr>
                <w:rFonts w:ascii="宋体" w:hAnsi="宋体" w:cs="宋体"/>
                <w:b/>
                <w:color w:val="auto"/>
                <w:szCs w:val="21"/>
                <w:highlight w:val="none"/>
              </w:rPr>
              <w:t>0771-2023496</w:t>
            </w:r>
            <w:r>
              <w:rPr>
                <w:rFonts w:hint="eastAsia" w:ascii="宋体" w:hAnsi="宋体" w:cs="宋体"/>
                <w:b/>
                <w:color w:val="auto"/>
                <w:szCs w:val="21"/>
                <w:highlight w:val="none"/>
              </w:rPr>
              <w:t xml:space="preserve">。备注： </w:t>
            </w:r>
          </w:p>
          <w:p w14:paraId="40086CE7">
            <w:pPr>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1、磋商保证金在响应文件提交截止时间后提交的，或者不按规定交纳方式交纳的，或者未足额交纳的（包含保函额度不足的），视为无效磋商保证金。</w:t>
            </w:r>
          </w:p>
          <w:p w14:paraId="2979C6E9">
            <w:pPr>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2、供应商采用现钞方式或者从个人账户（自然人竞标除外）转出的磋商保证金，视为无效磋商保证金。</w:t>
            </w:r>
          </w:p>
          <w:p w14:paraId="4DE88305">
            <w:pPr>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3、支票、汇票或者本票出现无效或者背书情形的，视为无效磋商保证金。</w:t>
            </w:r>
          </w:p>
          <w:p w14:paraId="02971335">
            <w:pPr>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4、保函有效期低于竞标有效期的，视为无效磋商保证金。</w:t>
            </w:r>
          </w:p>
          <w:p w14:paraId="5A890D7A">
            <w:pPr>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5、采用金融、担保机构出具保函的，必须为无条件保函，否则视为无效磋商保证金。</w:t>
            </w:r>
          </w:p>
          <w:p w14:paraId="25C46445">
            <w:pPr>
              <w:snapToGrid w:val="0"/>
              <w:spacing w:line="360" w:lineRule="auto"/>
              <w:rPr>
                <w:rFonts w:ascii="宋体" w:hAnsi="宋体" w:cs="宋体"/>
                <w:color w:val="auto"/>
                <w:szCs w:val="21"/>
                <w:highlight w:val="none"/>
              </w:rPr>
            </w:pPr>
            <w:r>
              <w:rPr>
                <w:rFonts w:hint="eastAsia" w:ascii="宋体" w:hAnsi="宋体" w:cs="宋体"/>
                <w:b/>
                <w:color w:val="auto"/>
                <w:szCs w:val="21"/>
                <w:highlight w:val="none"/>
              </w:rPr>
              <w:t>6、保证金凭证应注明正确的项目编号、分标号（如有）等信息，否则，信息不明确或有误的将可能被视为无效磋商保证金，并有可能影响保证金的及时退付。</w:t>
            </w:r>
          </w:p>
        </w:tc>
      </w:tr>
      <w:tr w14:paraId="2A64C2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9" w:hRule="atLeast"/>
          <w:jc w:val="center"/>
        </w:trPr>
        <w:tc>
          <w:tcPr>
            <w:tcW w:w="992" w:type="dxa"/>
            <w:vAlign w:val="center"/>
          </w:tcPr>
          <w:p w14:paraId="2C488FF8">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18.2</w:t>
            </w:r>
          </w:p>
        </w:tc>
        <w:tc>
          <w:tcPr>
            <w:tcW w:w="8627" w:type="dxa"/>
            <w:vAlign w:val="center"/>
          </w:tcPr>
          <w:p w14:paraId="2B7792A6">
            <w:pPr>
              <w:spacing w:line="360" w:lineRule="auto"/>
              <w:rPr>
                <w:rFonts w:ascii="宋体" w:hAnsi="宋体" w:cs="宋体"/>
                <w:color w:val="auto"/>
                <w:szCs w:val="21"/>
                <w:highlight w:val="none"/>
              </w:rPr>
            </w:pPr>
            <w:r>
              <w:rPr>
                <w:rFonts w:hint="eastAsia" w:ascii="宋体" w:hAnsi="宋体" w:cs="宋体"/>
                <w:color w:val="auto"/>
                <w:szCs w:val="21"/>
                <w:highlight w:val="none"/>
              </w:rPr>
              <w:t>响应文件应按资格证明文件、报价商务技术文件分别编制，并按广西政府采购云平台的要求编制、加密、上传。</w:t>
            </w:r>
          </w:p>
        </w:tc>
      </w:tr>
      <w:tr w14:paraId="79B1F6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56798A11">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20.1</w:t>
            </w:r>
          </w:p>
        </w:tc>
        <w:tc>
          <w:tcPr>
            <w:tcW w:w="8627" w:type="dxa"/>
            <w:vAlign w:val="center"/>
          </w:tcPr>
          <w:p w14:paraId="38F73E14">
            <w:pPr>
              <w:spacing w:line="360" w:lineRule="auto"/>
              <w:contextualSpacing/>
              <w:rPr>
                <w:rFonts w:ascii="宋体" w:hAnsi="宋体" w:cs="宋体"/>
                <w:color w:val="auto"/>
                <w:szCs w:val="21"/>
                <w:highlight w:val="none"/>
              </w:rPr>
            </w:pPr>
            <w:r>
              <w:rPr>
                <w:rFonts w:hint="eastAsia" w:ascii="宋体" w:hAnsi="宋体" w:cs="宋体"/>
                <w:color w:val="auto"/>
                <w:szCs w:val="21"/>
                <w:highlight w:val="none"/>
              </w:rPr>
              <w:t>首次响应文件提交截止时间：详见竞争性磋商公告。</w:t>
            </w:r>
          </w:p>
          <w:p w14:paraId="36E186B5">
            <w:pPr>
              <w:spacing w:line="360" w:lineRule="auto"/>
              <w:contextualSpacing/>
              <w:rPr>
                <w:rFonts w:ascii="宋体" w:hAnsi="宋体" w:cs="宋体"/>
                <w:color w:val="auto"/>
                <w:szCs w:val="21"/>
                <w:highlight w:val="none"/>
              </w:rPr>
            </w:pPr>
            <w:r>
              <w:rPr>
                <w:rFonts w:hint="eastAsia" w:ascii="宋体" w:hAnsi="宋体" w:cs="宋体"/>
                <w:color w:val="auto"/>
                <w:szCs w:val="21"/>
                <w:highlight w:val="none"/>
              </w:rPr>
              <w:t>首次响应文件提交地点：详见竞争性磋商公告。</w:t>
            </w:r>
          </w:p>
        </w:tc>
      </w:tr>
      <w:tr w14:paraId="42907C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146D0D7A">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24.1</w:t>
            </w:r>
          </w:p>
        </w:tc>
        <w:tc>
          <w:tcPr>
            <w:tcW w:w="8627" w:type="dxa"/>
            <w:vAlign w:val="center"/>
          </w:tcPr>
          <w:p w14:paraId="1A7FF662">
            <w:pPr>
              <w:snapToGrid w:val="0"/>
              <w:spacing w:line="360" w:lineRule="auto"/>
              <w:rPr>
                <w:rFonts w:ascii="宋体" w:hAnsi="宋体" w:cs="宋体"/>
                <w:color w:val="auto"/>
                <w:szCs w:val="21"/>
                <w:highlight w:val="none"/>
                <w:u w:val="single"/>
              </w:rPr>
            </w:pPr>
            <w:r>
              <w:rPr>
                <w:rFonts w:hint="eastAsia" w:ascii="宋体" w:hAnsi="宋体" w:cs="宋体"/>
                <w:color w:val="auto"/>
                <w:szCs w:val="21"/>
                <w:highlight w:val="none"/>
              </w:rPr>
              <w:t>磋商小组的人数：3人。</w:t>
            </w:r>
          </w:p>
        </w:tc>
      </w:tr>
      <w:tr w14:paraId="0115DE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167E5A05">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25.2</w:t>
            </w:r>
          </w:p>
        </w:tc>
        <w:tc>
          <w:tcPr>
            <w:tcW w:w="8627" w:type="dxa"/>
            <w:vAlign w:val="center"/>
          </w:tcPr>
          <w:p w14:paraId="70839F74">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采购代理机构将依托电子交易平台发起开始解密指令，</w:t>
            </w:r>
            <w:r>
              <w:rPr>
                <w:rFonts w:hint="eastAsia" w:ascii="宋体" w:hAnsi="宋体" w:cs="宋体"/>
                <w:b/>
                <w:color w:val="auto"/>
                <w:szCs w:val="21"/>
                <w:highlight w:val="none"/>
              </w:rPr>
              <w:t>供应商的法定代表人或其委托代理人须携带加密时所用的CA锁按平台提示和采购文件的规定登录到“广西政府采购云平台”电子开标大厅签到并在发起解密指令之时起30分钟内完成对电子响应文件在线解密。</w:t>
            </w:r>
            <w:r>
              <w:rPr>
                <w:rFonts w:hint="eastAsia" w:ascii="宋体" w:hAnsi="宋体" w:cs="宋体"/>
                <w:b/>
                <w:bCs/>
                <w:color w:val="auto"/>
                <w:szCs w:val="21"/>
                <w:highlight w:val="none"/>
              </w:rPr>
              <w:t>响应文件未按时解密的，</w:t>
            </w:r>
            <w:r>
              <w:rPr>
                <w:rFonts w:hint="eastAsia" w:ascii="宋体" w:hAnsi="宋体" w:cs="宋体"/>
                <w:b/>
                <w:color w:val="auto"/>
                <w:szCs w:val="21"/>
                <w:highlight w:val="none"/>
              </w:rPr>
              <w:t>视为响应</w:t>
            </w:r>
            <w:r>
              <w:rPr>
                <w:rFonts w:hint="eastAsia" w:ascii="宋体" w:hAnsi="宋体" w:cs="宋体"/>
                <w:b/>
                <w:bCs/>
                <w:color w:val="auto"/>
                <w:szCs w:val="21"/>
                <w:highlight w:val="none"/>
              </w:rPr>
              <w:t>文件无效。</w:t>
            </w:r>
          </w:p>
        </w:tc>
      </w:tr>
      <w:tr w14:paraId="48E2BA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jc w:val="center"/>
        </w:trPr>
        <w:tc>
          <w:tcPr>
            <w:tcW w:w="992" w:type="dxa"/>
            <w:vMerge w:val="restart"/>
            <w:vAlign w:val="center"/>
          </w:tcPr>
          <w:p w14:paraId="3B6E8BCB">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26</w:t>
            </w:r>
          </w:p>
        </w:tc>
        <w:tc>
          <w:tcPr>
            <w:tcW w:w="8627" w:type="dxa"/>
            <w:vAlign w:val="center"/>
          </w:tcPr>
          <w:p w14:paraId="727F8A58">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各分标商务要求评审中允许负偏离的条款数为</w:t>
            </w:r>
            <w:r>
              <w:rPr>
                <w:rFonts w:hint="eastAsia" w:ascii="宋体" w:hAnsi="宋体" w:cs="宋体"/>
                <w:color w:val="auto"/>
                <w:szCs w:val="21"/>
                <w:highlight w:val="none"/>
                <w:u w:val="single"/>
              </w:rPr>
              <w:t xml:space="preserve"> 0  </w:t>
            </w:r>
            <w:r>
              <w:rPr>
                <w:rFonts w:hint="eastAsia" w:ascii="宋体" w:hAnsi="宋体" w:cs="宋体"/>
                <w:color w:val="auto"/>
                <w:szCs w:val="21"/>
                <w:highlight w:val="none"/>
              </w:rPr>
              <w:t>项。</w:t>
            </w:r>
          </w:p>
          <w:p w14:paraId="36B87AEA">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各分标技术要求评审中允许负偏离的条款数为</w:t>
            </w:r>
            <w:r>
              <w:rPr>
                <w:rFonts w:hint="eastAsia" w:ascii="宋体" w:hAnsi="宋体" w:cs="宋体"/>
                <w:color w:val="auto"/>
                <w:szCs w:val="21"/>
                <w:highlight w:val="none"/>
                <w:u w:val="single"/>
              </w:rPr>
              <w:t xml:space="preserve"> 1 </w:t>
            </w:r>
            <w:r>
              <w:rPr>
                <w:rFonts w:hint="eastAsia" w:ascii="宋体" w:hAnsi="宋体" w:cs="宋体"/>
                <w:color w:val="auto"/>
                <w:szCs w:val="21"/>
                <w:highlight w:val="none"/>
              </w:rPr>
              <w:t>项。</w:t>
            </w:r>
          </w:p>
        </w:tc>
      </w:tr>
      <w:tr w14:paraId="0E3009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 w:hRule="atLeast"/>
          <w:jc w:val="center"/>
        </w:trPr>
        <w:tc>
          <w:tcPr>
            <w:tcW w:w="992" w:type="dxa"/>
            <w:vMerge w:val="continue"/>
            <w:vAlign w:val="center"/>
          </w:tcPr>
          <w:p w14:paraId="5A80C0D4">
            <w:pPr>
              <w:spacing w:line="360" w:lineRule="auto"/>
              <w:jc w:val="center"/>
              <w:rPr>
                <w:rFonts w:ascii="宋体" w:hAnsi="宋体" w:cs="宋体"/>
                <w:color w:val="auto"/>
                <w:szCs w:val="21"/>
                <w:highlight w:val="none"/>
              </w:rPr>
            </w:pPr>
          </w:p>
        </w:tc>
        <w:tc>
          <w:tcPr>
            <w:tcW w:w="8627" w:type="dxa"/>
            <w:vAlign w:val="center"/>
          </w:tcPr>
          <w:p w14:paraId="524506F5">
            <w:pPr>
              <w:pStyle w:val="13"/>
              <w:spacing w:line="320" w:lineRule="exact"/>
              <w:jc w:val="both"/>
              <w:rPr>
                <w:rFonts w:ascii="宋体" w:hAnsi="宋体" w:cs="宋体"/>
                <w:color w:val="auto"/>
                <w:szCs w:val="21"/>
                <w:highlight w:val="none"/>
              </w:rPr>
            </w:pPr>
            <w:r>
              <w:rPr>
                <w:rFonts w:hint="eastAsia" w:ascii="宋体" w:hAnsi="宋体" w:cs="宋体"/>
                <w:color w:val="auto"/>
                <w:szCs w:val="21"/>
                <w:highlight w:val="none"/>
              </w:rPr>
              <w:t>磋商的顺序：按“广西政府采购云平台”系统的编号顺序。</w:t>
            </w:r>
          </w:p>
          <w:p w14:paraId="3635E8E4">
            <w:pPr>
              <w:pStyle w:val="13"/>
              <w:spacing w:line="360" w:lineRule="auto"/>
              <w:jc w:val="both"/>
              <w:rPr>
                <w:rFonts w:ascii="宋体" w:hAnsi="宋体" w:cs="宋体"/>
                <w:b/>
                <w:color w:val="auto"/>
                <w:szCs w:val="21"/>
                <w:highlight w:val="none"/>
              </w:rPr>
            </w:pPr>
            <w:r>
              <w:rPr>
                <w:rFonts w:hint="eastAsia" w:ascii="宋体" w:hAnsi="宋体" w:cs="宋体"/>
                <w:b/>
                <w:color w:val="auto"/>
                <w:szCs w:val="21"/>
                <w:highlight w:val="none"/>
              </w:rPr>
              <w:t>符合磋商资格的供应商必须在接到磋商通知后规定时间内参加磋商，未在规定时间内参加磋商的视同放弃参加磋商权利，其响应文件按无效响应处理。</w:t>
            </w:r>
          </w:p>
          <w:p w14:paraId="7EE7DA6B">
            <w:pPr>
              <w:pStyle w:val="13"/>
              <w:spacing w:line="360" w:lineRule="auto"/>
              <w:jc w:val="both"/>
              <w:rPr>
                <w:rFonts w:ascii="宋体" w:hAnsi="宋体" w:cs="宋体"/>
                <w:b/>
                <w:color w:val="auto"/>
                <w:szCs w:val="21"/>
                <w:highlight w:val="none"/>
              </w:rPr>
            </w:pPr>
            <w:r>
              <w:rPr>
                <w:rFonts w:hint="eastAsia" w:ascii="宋体" w:hAnsi="宋体" w:cs="宋体"/>
                <w:b/>
                <w:color w:val="auto"/>
                <w:szCs w:val="21"/>
                <w:highlight w:val="none"/>
              </w:rPr>
              <w:t>注：参与磋商前，供应商法定代表人或者委托代理人向磋商小组出示本人有效证件原件[有效证件可以是身份证（含临时身份证明）或者护照的其中一项]。</w:t>
            </w:r>
          </w:p>
        </w:tc>
      </w:tr>
      <w:tr w14:paraId="43BD46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0D583864">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28.1</w:t>
            </w:r>
          </w:p>
        </w:tc>
        <w:tc>
          <w:tcPr>
            <w:tcW w:w="8627" w:type="dxa"/>
            <w:vAlign w:val="center"/>
          </w:tcPr>
          <w:p w14:paraId="15A7B963">
            <w:pPr>
              <w:autoSpaceDE w:val="0"/>
              <w:autoSpaceDN w:val="0"/>
              <w:snapToGrid w:val="0"/>
              <w:spacing w:line="400" w:lineRule="exact"/>
              <w:ind w:firstLine="420" w:firstLineChars="200"/>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1、履约保证金金额：</w:t>
            </w:r>
            <w:r>
              <w:rPr>
                <w:rFonts w:hint="eastAsia" w:ascii="宋体" w:hAnsi="宋体" w:cs="宋体"/>
                <w:color w:val="auto"/>
                <w:szCs w:val="21"/>
                <w:highlight w:val="none"/>
                <w:lang w:bidi="ar"/>
              </w:rPr>
              <w:t>按成交金额的 2%（</w:t>
            </w:r>
            <w:r>
              <w:rPr>
                <w:rFonts w:hint="eastAsia" w:ascii="宋体" w:hAnsi="宋体" w:cs="宋体"/>
                <w:color w:val="auto"/>
                <w:kern w:val="0"/>
                <w:szCs w:val="21"/>
                <w:highlight w:val="none"/>
              </w:rPr>
              <w:t>人民币，四舍五入到元）缴纳。</w:t>
            </w:r>
          </w:p>
          <w:p w14:paraId="61B2CA11">
            <w:pPr>
              <w:autoSpaceDE w:val="0"/>
              <w:autoSpaceDN w:val="0"/>
              <w:snapToGrid w:val="0"/>
              <w:spacing w:line="400" w:lineRule="exact"/>
              <w:ind w:firstLine="420" w:firstLineChars="200"/>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2、履约保证金递交方式：银行转账、支票、汇票、本票或者银行、保险机构出具的保函等 非现金方式。</w:t>
            </w:r>
          </w:p>
          <w:p w14:paraId="0EE3DB3B">
            <w:pPr>
              <w:autoSpaceDE w:val="0"/>
              <w:autoSpaceDN w:val="0"/>
              <w:snapToGrid w:val="0"/>
              <w:spacing w:line="400" w:lineRule="exact"/>
              <w:ind w:firstLine="420" w:firstLineChars="200"/>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3、履约保证金递交方式及相关要求。</w:t>
            </w:r>
          </w:p>
          <w:p w14:paraId="29FA3F39">
            <w:pPr>
              <w:autoSpaceDE w:val="0"/>
              <w:autoSpaceDN w:val="0"/>
              <w:snapToGrid w:val="0"/>
              <w:spacing w:line="400" w:lineRule="exact"/>
              <w:ind w:firstLine="420" w:firstLineChars="200"/>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3.1 履约保证金采用银行转账交纳方式的，成交供应商在签订合同前交至采购人指定账户并且到账。</w:t>
            </w:r>
          </w:p>
          <w:p w14:paraId="0F8DA7D2">
            <w:pPr>
              <w:autoSpaceDE w:val="0"/>
              <w:autoSpaceDN w:val="0"/>
              <w:snapToGrid w:val="0"/>
              <w:spacing w:line="400" w:lineRule="exact"/>
              <w:ind w:firstLine="420" w:firstLineChars="200"/>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3.2 履约保证金采用支票、汇票或本票交纳方式的，成交供应商在签订合同前，向采购人提交 支票、汇票或本票原件。</w:t>
            </w:r>
          </w:p>
          <w:p w14:paraId="044228D5">
            <w:pPr>
              <w:autoSpaceDE w:val="0"/>
              <w:autoSpaceDN w:val="0"/>
              <w:snapToGrid w:val="0"/>
              <w:spacing w:line="400" w:lineRule="exact"/>
              <w:ind w:firstLine="420" w:firstLineChars="200"/>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3.3 履约保证金采用银行、保险机构出具的保函交纳方式的，成交供应商在签订合同前，向采购人提交保函原件。</w:t>
            </w:r>
          </w:p>
          <w:p w14:paraId="12925AF6">
            <w:pPr>
              <w:autoSpaceDE w:val="0"/>
              <w:autoSpaceDN w:val="0"/>
              <w:snapToGrid w:val="0"/>
              <w:spacing w:line="400" w:lineRule="exact"/>
              <w:ind w:firstLine="420" w:firstLineChars="200"/>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项目服务期结束后，成交供应商凭《政府采购项目履约验收单》和履约保证金转款凭证向采购人申请办理退还手续，采购人应当自收到退还资料之日起 5 个工作日内退还其履约保证金（无息）。</w:t>
            </w:r>
          </w:p>
          <w:p w14:paraId="18E72A4C">
            <w:pPr>
              <w:autoSpaceDE w:val="0"/>
              <w:autoSpaceDN w:val="0"/>
              <w:snapToGrid w:val="0"/>
              <w:spacing w:line="400" w:lineRule="exact"/>
              <w:ind w:firstLine="420" w:firstLineChars="200"/>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履约保证金到期退还前，若成交供应商的开户名称、开户银行、账号有变动的，以书面形式通知采购人，否则由此产生的后果由成交供应商自负。</w:t>
            </w:r>
          </w:p>
          <w:p w14:paraId="0E4B621F">
            <w:pPr>
              <w:autoSpaceDE w:val="0"/>
              <w:autoSpaceDN w:val="0"/>
              <w:snapToGrid w:val="0"/>
              <w:spacing w:line="400" w:lineRule="exact"/>
              <w:ind w:firstLine="420" w:firstLineChars="200"/>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4、如果成交供应商没能按上述第 28.1款规定执行，采购代理机构将上报区政府采购监督管理机构，取消该成交资格，对其处以采购金额千分之五以上千分之十以下的罚款，并有权授予按排序顺序确定排名之后的成交候选供应商为成交供应商资格或重新组织采购。</w:t>
            </w:r>
          </w:p>
          <w:p w14:paraId="1711A3E2">
            <w:pPr>
              <w:autoSpaceDE w:val="0"/>
              <w:autoSpaceDN w:val="0"/>
              <w:snapToGrid w:val="0"/>
              <w:spacing w:line="400" w:lineRule="exact"/>
              <w:ind w:firstLine="420" w:firstLineChars="200"/>
              <w:textAlignment w:val="bottom"/>
              <w:rPr>
                <w:rFonts w:ascii="宋体" w:hAnsi="宋体" w:cs="宋体"/>
                <w:color w:val="auto"/>
                <w:szCs w:val="21"/>
                <w:highlight w:val="none"/>
              </w:rPr>
            </w:pPr>
            <w:r>
              <w:rPr>
                <w:rFonts w:hint="eastAsia" w:ascii="宋体" w:hAnsi="宋体" w:cs="宋体"/>
                <w:color w:val="auto"/>
                <w:kern w:val="0"/>
                <w:szCs w:val="21"/>
                <w:highlight w:val="none"/>
              </w:rPr>
              <w:t>5、如成交供应商不按双方签订的合同规定履约，则没收其全部履约保证金，履约保证金不足以赔偿损失的，按实际损失赔偿。</w:t>
            </w:r>
          </w:p>
        </w:tc>
      </w:tr>
      <w:tr w14:paraId="2FA2B4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59ED67B2">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29.1</w:t>
            </w:r>
          </w:p>
        </w:tc>
        <w:tc>
          <w:tcPr>
            <w:tcW w:w="8627" w:type="dxa"/>
            <w:vAlign w:val="center"/>
          </w:tcPr>
          <w:p w14:paraId="67772D37">
            <w:pPr>
              <w:autoSpaceDE w:val="0"/>
              <w:autoSpaceDN w:val="0"/>
              <w:snapToGrid w:val="0"/>
              <w:spacing w:line="360" w:lineRule="auto"/>
              <w:textAlignment w:val="bottom"/>
              <w:rPr>
                <w:rFonts w:ascii="宋体" w:hAnsi="宋体" w:cs="宋体"/>
                <w:color w:val="auto"/>
                <w:szCs w:val="21"/>
                <w:highlight w:val="none"/>
              </w:rPr>
            </w:pPr>
            <w:r>
              <w:rPr>
                <w:rFonts w:hint="eastAsia" w:ascii="宋体" w:hAnsi="宋体" w:cs="宋体"/>
                <w:color w:val="auto"/>
                <w:szCs w:val="21"/>
                <w:highlight w:val="none"/>
              </w:rPr>
              <w:t xml:space="preserve">签订合同携带的证明材料： </w:t>
            </w:r>
          </w:p>
          <w:p w14:paraId="43CB78E0">
            <w:pPr>
              <w:autoSpaceDE w:val="0"/>
              <w:autoSpaceDN w:val="0"/>
              <w:snapToGrid w:val="0"/>
              <w:spacing w:line="360" w:lineRule="auto"/>
              <w:textAlignment w:val="bottom"/>
              <w:rPr>
                <w:rFonts w:ascii="宋体" w:hAnsi="宋体" w:cs="宋体"/>
                <w:color w:val="auto"/>
                <w:szCs w:val="21"/>
                <w:highlight w:val="none"/>
              </w:rPr>
            </w:pPr>
            <w:r>
              <w:rPr>
                <w:rFonts w:hint="eastAsia" w:ascii="宋体" w:hAnsi="宋体" w:cs="宋体"/>
                <w:color w:val="auto"/>
                <w:szCs w:val="21"/>
                <w:highlight w:val="none"/>
              </w:rPr>
              <w:t>1、委托代理人负责签订合同的，须携带授权委托书及委托代理人身份证原件等其他资格证件。</w:t>
            </w:r>
          </w:p>
          <w:p w14:paraId="0BC77A91">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2、法定代表人负责签订合同的，须携带法定代表人身份证明原件及身份证原件等其他证明材料。</w:t>
            </w:r>
          </w:p>
        </w:tc>
      </w:tr>
      <w:tr w14:paraId="6CC229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34491263">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31.2</w:t>
            </w:r>
          </w:p>
        </w:tc>
        <w:tc>
          <w:tcPr>
            <w:tcW w:w="8627" w:type="dxa"/>
            <w:vAlign w:val="center"/>
          </w:tcPr>
          <w:p w14:paraId="0FF26846">
            <w:pPr>
              <w:pStyle w:val="19"/>
              <w:snapToGrid w:val="0"/>
              <w:spacing w:line="360" w:lineRule="auto"/>
              <w:rPr>
                <w:rFonts w:hAnsi="宋体" w:cs="宋体"/>
                <w:color w:val="auto"/>
                <w:sz w:val="21"/>
                <w:highlight w:val="none"/>
              </w:rPr>
            </w:pPr>
            <w:r>
              <w:rPr>
                <w:rFonts w:hint="eastAsia" w:hAnsi="宋体" w:cs="宋体"/>
                <w:color w:val="auto"/>
                <w:sz w:val="21"/>
                <w:highlight w:val="none"/>
              </w:rPr>
              <w:t>接收质疑函方式：以纸质书面形式。</w:t>
            </w:r>
          </w:p>
          <w:p w14:paraId="1FBC9479">
            <w:pPr>
              <w:pStyle w:val="19"/>
              <w:snapToGrid w:val="0"/>
              <w:spacing w:line="360" w:lineRule="auto"/>
              <w:rPr>
                <w:rFonts w:hAnsi="宋体" w:cs="宋体"/>
                <w:color w:val="auto"/>
                <w:sz w:val="21"/>
                <w:highlight w:val="none"/>
              </w:rPr>
            </w:pPr>
            <w:r>
              <w:rPr>
                <w:rFonts w:hint="eastAsia" w:hAnsi="宋体" w:cs="宋体"/>
                <w:color w:val="auto"/>
                <w:sz w:val="21"/>
                <w:highlight w:val="none"/>
              </w:rPr>
              <w:t>质疑联系部门及联系方式：广西国泰招标咨询有限公司，质疑联系人：黄柳娜  联系电话：0771-2023496，通讯地址：广西南宁市民族大道141号中鼎万象东方大厦C区六层</w:t>
            </w:r>
          </w:p>
          <w:p w14:paraId="4E4BABE0">
            <w:pPr>
              <w:pStyle w:val="19"/>
              <w:snapToGrid w:val="0"/>
              <w:spacing w:line="360" w:lineRule="auto"/>
              <w:rPr>
                <w:rFonts w:hAnsi="宋体" w:cs="宋体"/>
                <w:color w:val="auto"/>
                <w:highlight w:val="none"/>
              </w:rPr>
            </w:pPr>
            <w:r>
              <w:rPr>
                <w:rFonts w:hint="eastAsia" w:hAnsi="宋体" w:cs="宋体"/>
                <w:color w:val="auto"/>
                <w:sz w:val="21"/>
                <w:highlight w:val="none"/>
              </w:rPr>
              <w:t>现场提交质疑办理业务时间：工作日，上午8:00-12:00；下午15:00-18:00（北京时间）</w:t>
            </w:r>
          </w:p>
        </w:tc>
      </w:tr>
      <w:tr w14:paraId="6279CC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992" w:type="dxa"/>
            <w:vAlign w:val="center"/>
          </w:tcPr>
          <w:p w14:paraId="5CCE12D1">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32.1</w:t>
            </w:r>
          </w:p>
        </w:tc>
        <w:tc>
          <w:tcPr>
            <w:tcW w:w="8627" w:type="dxa"/>
            <w:vAlign w:val="center"/>
          </w:tcPr>
          <w:p w14:paraId="21C9ECDF">
            <w:pPr>
              <w:pStyle w:val="19"/>
              <w:snapToGrid w:val="0"/>
              <w:spacing w:line="400" w:lineRule="exact"/>
              <w:rPr>
                <w:rFonts w:hAnsi="宋体" w:cs="宋体"/>
                <w:color w:val="auto"/>
                <w:sz w:val="21"/>
                <w:highlight w:val="none"/>
              </w:rPr>
            </w:pPr>
            <w:r>
              <w:rPr>
                <w:rFonts w:hint="eastAsia" w:hAnsi="宋体" w:cs="宋体"/>
                <w:color w:val="auto"/>
                <w:sz w:val="21"/>
                <w:highlight w:val="none"/>
              </w:rPr>
              <w:t>1、采购代理服务费支付方式：</w:t>
            </w:r>
            <w:r>
              <w:rPr>
                <w:rFonts w:hint="eastAsia" w:hAnsi="宋体"/>
                <w:color w:val="auto"/>
                <w:sz w:val="21"/>
                <w:highlight w:val="none"/>
              </w:rPr>
              <w:t>本项目的招标代理服务费按以下收费标准向</w:t>
            </w:r>
            <w:r>
              <w:rPr>
                <w:rFonts w:hint="eastAsia" w:hAnsi="宋体" w:cs="宋体"/>
                <w:color w:val="auto"/>
                <w:sz w:val="21"/>
                <w:highlight w:val="none"/>
              </w:rPr>
              <w:t>成交供应商</w:t>
            </w:r>
            <w:r>
              <w:rPr>
                <w:rFonts w:hint="eastAsia" w:hAnsi="宋体"/>
                <w:color w:val="auto"/>
                <w:sz w:val="21"/>
                <w:highlight w:val="none"/>
              </w:rPr>
              <w:t>收取，领取成交通知书前，</w:t>
            </w:r>
            <w:r>
              <w:rPr>
                <w:rFonts w:hint="eastAsia" w:hAnsi="宋体" w:cs="宋体"/>
                <w:color w:val="auto"/>
                <w:sz w:val="21"/>
                <w:highlight w:val="none"/>
              </w:rPr>
              <w:t>成交供应商</w:t>
            </w:r>
            <w:r>
              <w:rPr>
                <w:rFonts w:hint="eastAsia" w:hAnsi="宋体"/>
                <w:color w:val="auto"/>
                <w:sz w:val="21"/>
                <w:highlight w:val="none"/>
              </w:rPr>
              <w:t>应向采购代理机构一次付清招标代理服务费，否则采购代理机构有权不予以办理。</w:t>
            </w:r>
          </w:p>
          <w:p w14:paraId="66A627B1">
            <w:pPr>
              <w:pStyle w:val="19"/>
              <w:snapToGrid w:val="0"/>
              <w:spacing w:line="400" w:lineRule="exact"/>
              <w:rPr>
                <w:rFonts w:hAnsi="宋体" w:cs="宋体"/>
                <w:color w:val="auto"/>
                <w:sz w:val="21"/>
                <w:highlight w:val="none"/>
              </w:rPr>
            </w:pPr>
            <w:r>
              <w:rPr>
                <w:rFonts w:hint="eastAsia" w:hAnsi="宋体" w:cs="宋体"/>
                <w:color w:val="auto"/>
                <w:sz w:val="21"/>
                <w:highlight w:val="none"/>
              </w:rPr>
              <w:t>2、采购代理服务费收取标准：以各</w:t>
            </w:r>
            <w:r>
              <w:rPr>
                <w:rFonts w:hAnsi="宋体" w:cs="宋体"/>
                <w:color w:val="auto"/>
                <w:sz w:val="21"/>
                <w:highlight w:val="none"/>
              </w:rPr>
              <w:t>分标</w:t>
            </w:r>
            <w:r>
              <w:rPr>
                <w:rFonts w:hint="eastAsia" w:hAnsi="宋体" w:cs="宋体"/>
                <w:color w:val="auto"/>
                <w:sz w:val="21"/>
                <w:highlight w:val="none"/>
              </w:rPr>
              <w:t>成交金额为计费额，按本须知正文第</w:t>
            </w:r>
            <w:r>
              <w:rPr>
                <w:rFonts w:hAnsi="宋体" w:cs="宋体"/>
                <w:color w:val="auto"/>
                <w:sz w:val="21"/>
                <w:highlight w:val="none"/>
              </w:rPr>
              <w:t>32</w:t>
            </w:r>
            <w:r>
              <w:rPr>
                <w:rFonts w:hint="eastAsia" w:hAnsi="宋体" w:cs="宋体"/>
                <w:color w:val="auto"/>
                <w:sz w:val="21"/>
                <w:highlight w:val="none"/>
              </w:rPr>
              <w:t>.</w:t>
            </w:r>
            <w:r>
              <w:rPr>
                <w:rFonts w:hAnsi="宋体" w:cs="宋体"/>
                <w:color w:val="auto"/>
                <w:sz w:val="21"/>
                <w:highlight w:val="none"/>
              </w:rPr>
              <w:t>2</w:t>
            </w:r>
            <w:r>
              <w:rPr>
                <w:rFonts w:hint="eastAsia" w:hAnsi="宋体" w:cs="宋体"/>
                <w:color w:val="auto"/>
                <w:sz w:val="21"/>
                <w:highlight w:val="none"/>
              </w:rPr>
              <w:t>条规定的收费计算标准（</w:t>
            </w:r>
            <w:r>
              <w:rPr>
                <w:rFonts w:hint="eastAsia" w:hAnsi="宋体" w:cs="宋体"/>
                <w:b/>
                <w:color w:val="auto"/>
                <w:sz w:val="21"/>
                <w:highlight w:val="none"/>
              </w:rPr>
              <w:t>服务类</w:t>
            </w:r>
            <w:r>
              <w:rPr>
                <w:rFonts w:hint="eastAsia" w:hAnsi="宋体" w:cs="宋体"/>
                <w:color w:val="auto"/>
                <w:sz w:val="21"/>
                <w:highlight w:val="none"/>
              </w:rPr>
              <w:t>）采用差额定率累进法计算出收费基准价格，采购代理服务费收费按收费基准价格收取。</w:t>
            </w:r>
          </w:p>
          <w:p w14:paraId="0EB6F742">
            <w:pPr>
              <w:pStyle w:val="19"/>
              <w:snapToGrid w:val="0"/>
              <w:spacing w:line="400" w:lineRule="exact"/>
              <w:rPr>
                <w:rFonts w:hAnsi="宋体" w:cs="宋体"/>
                <w:color w:val="auto"/>
                <w:sz w:val="21"/>
                <w:highlight w:val="none"/>
              </w:rPr>
            </w:pPr>
            <w:r>
              <w:rPr>
                <w:rFonts w:hint="eastAsia" w:hAnsi="宋体" w:cs="宋体"/>
                <w:color w:val="auto"/>
                <w:sz w:val="21"/>
                <w:highlight w:val="none"/>
              </w:rPr>
              <w:t>3、代理服务费缴费账户信息：</w:t>
            </w:r>
          </w:p>
          <w:p w14:paraId="613D5CF0">
            <w:pPr>
              <w:pStyle w:val="19"/>
              <w:snapToGrid w:val="0"/>
              <w:spacing w:line="400" w:lineRule="exact"/>
              <w:rPr>
                <w:rFonts w:hAnsi="宋体" w:cs="宋体"/>
                <w:color w:val="auto"/>
                <w:sz w:val="21"/>
                <w:highlight w:val="none"/>
              </w:rPr>
            </w:pPr>
            <w:r>
              <w:rPr>
                <w:rFonts w:hint="eastAsia" w:hAnsi="宋体" w:cs="宋体"/>
                <w:color w:val="auto"/>
                <w:sz w:val="21"/>
                <w:highlight w:val="none"/>
              </w:rPr>
              <w:t>开户名称：广西国泰招标咨询有限公司南宁第五分公司</w:t>
            </w:r>
          </w:p>
          <w:p w14:paraId="5B52C86F">
            <w:pPr>
              <w:pStyle w:val="19"/>
              <w:snapToGrid w:val="0"/>
              <w:spacing w:line="400" w:lineRule="exact"/>
              <w:rPr>
                <w:rFonts w:hAnsi="宋体" w:cs="宋体"/>
                <w:color w:val="auto"/>
                <w:sz w:val="21"/>
                <w:highlight w:val="none"/>
              </w:rPr>
            </w:pPr>
            <w:r>
              <w:rPr>
                <w:rFonts w:hint="eastAsia" w:hAnsi="宋体" w:cs="宋体"/>
                <w:color w:val="auto"/>
                <w:sz w:val="21"/>
                <w:highlight w:val="none"/>
              </w:rPr>
              <w:t>开户银行：广西北部湾银行股份有限公司南宁市云景支行</w:t>
            </w:r>
          </w:p>
          <w:p w14:paraId="6AF34C50">
            <w:pPr>
              <w:pStyle w:val="19"/>
              <w:snapToGrid w:val="0"/>
              <w:spacing w:line="400" w:lineRule="exact"/>
              <w:rPr>
                <w:rFonts w:hAnsi="宋体" w:cs="宋体"/>
                <w:color w:val="auto"/>
                <w:sz w:val="21"/>
                <w:highlight w:val="none"/>
              </w:rPr>
            </w:pPr>
            <w:r>
              <w:rPr>
                <w:rFonts w:hint="eastAsia" w:hAnsi="宋体" w:cs="宋体"/>
                <w:color w:val="auto"/>
                <w:sz w:val="21"/>
                <w:highlight w:val="none"/>
              </w:rPr>
              <w:t>银行账号：805022302700001</w:t>
            </w:r>
          </w:p>
        </w:tc>
      </w:tr>
      <w:tr w14:paraId="55566E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1EED14F7">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33.1</w:t>
            </w:r>
          </w:p>
        </w:tc>
        <w:tc>
          <w:tcPr>
            <w:tcW w:w="8627" w:type="dxa"/>
            <w:vAlign w:val="center"/>
          </w:tcPr>
          <w:p w14:paraId="24241064">
            <w:pPr>
              <w:pStyle w:val="19"/>
              <w:snapToGrid w:val="0"/>
              <w:spacing w:line="360" w:lineRule="auto"/>
              <w:rPr>
                <w:rFonts w:hAnsi="宋体" w:cs="宋体"/>
                <w:color w:val="auto"/>
                <w:kern w:val="2"/>
                <w:sz w:val="21"/>
                <w:highlight w:val="none"/>
              </w:rPr>
            </w:pPr>
            <w:r>
              <w:rPr>
                <w:rFonts w:hint="eastAsia" w:hAnsi="宋体" w:cs="宋体"/>
                <w:color w:val="auto"/>
                <w:sz w:val="21"/>
                <w:highlight w:val="none"/>
              </w:rPr>
              <w:t>解释：构成本磋商文件的各个组成文件应互为解释，互为说明；除磋商文件中有特别规定外，仅适用于竞标阶段的规定，按更正公告（澄清公告）、竞争性磋商公告、供应商须知、采购需求、评审程序、评审方法和评审标准、响应文件格式、合同文本的先后顺序解释；同一组成文件中就同一事项的规定或者约定不一致的，以编排顺序在后者为准；同一组成文件不同版本之间有不一致的，以形成时间在后者为准；更正公告（澄清公告）与同步更新的磋商文件不一致时以更正公告（澄清公告）为准。按本款前述规定仍不能形成结论的，由采购人或者采购代理机构负责解释。</w:t>
            </w:r>
          </w:p>
        </w:tc>
      </w:tr>
      <w:tr w14:paraId="6848B1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992" w:type="dxa"/>
            <w:vAlign w:val="center"/>
          </w:tcPr>
          <w:p w14:paraId="189EFBAF">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33.2</w:t>
            </w:r>
          </w:p>
        </w:tc>
        <w:tc>
          <w:tcPr>
            <w:tcW w:w="8627" w:type="dxa"/>
            <w:vAlign w:val="center"/>
          </w:tcPr>
          <w:p w14:paraId="0FD34360">
            <w:pPr>
              <w:pStyle w:val="19"/>
              <w:snapToGrid w:val="0"/>
              <w:spacing w:line="360" w:lineRule="auto"/>
              <w:rPr>
                <w:rFonts w:hAnsi="宋体" w:cs="宋体"/>
                <w:color w:val="auto"/>
                <w:sz w:val="21"/>
                <w:highlight w:val="none"/>
              </w:rPr>
            </w:pPr>
            <w:r>
              <w:rPr>
                <w:rFonts w:hAnsi="宋体" w:cs="宋体"/>
                <w:color w:val="auto"/>
                <w:sz w:val="21"/>
                <w:highlight w:val="none"/>
              </w:rPr>
              <w:t>1</w:t>
            </w:r>
            <w:r>
              <w:rPr>
                <w:rFonts w:hint="eastAsia" w:hAnsi="宋体" w:cs="宋体"/>
                <w:color w:val="auto"/>
                <w:sz w:val="21"/>
                <w:highlight w:val="none"/>
              </w:rPr>
              <w:t>、本磋商文件中描述供应商的“公章”是指根据我国对公章的管理规定，用供应商法定主体行为名称制作的印章（含电子印章），除本磋商文件有特殊规定外，供应商的财务章、部门章、分公司章、工会章、合同章、竞标</w:t>
            </w:r>
            <w:r>
              <w:rPr>
                <w:rFonts w:hAnsi="宋体" w:cs="宋体"/>
                <w:color w:val="auto"/>
                <w:sz w:val="21"/>
                <w:highlight w:val="none"/>
              </w:rPr>
              <w:t>/</w:t>
            </w:r>
            <w:r>
              <w:rPr>
                <w:rFonts w:hint="eastAsia" w:hAnsi="宋体" w:cs="宋体"/>
                <w:color w:val="auto"/>
                <w:sz w:val="21"/>
                <w:highlight w:val="none"/>
              </w:rPr>
              <w:t>投标专用章、业务专用章及银行的转账章、现金收讫章、现金付讫章等其他形式印章均不能代替公章。</w:t>
            </w:r>
          </w:p>
          <w:p w14:paraId="3CC7A486">
            <w:pPr>
              <w:pStyle w:val="19"/>
              <w:snapToGrid w:val="0"/>
              <w:spacing w:line="360" w:lineRule="auto"/>
              <w:rPr>
                <w:rFonts w:hAnsi="宋体" w:cs="宋体"/>
                <w:color w:val="auto"/>
                <w:sz w:val="21"/>
                <w:highlight w:val="none"/>
              </w:rPr>
            </w:pPr>
            <w:r>
              <w:rPr>
                <w:rFonts w:hAnsi="宋体" w:cs="宋体"/>
                <w:color w:val="auto"/>
                <w:sz w:val="21"/>
                <w:highlight w:val="none"/>
              </w:rPr>
              <w:t>2</w:t>
            </w:r>
            <w:r>
              <w:rPr>
                <w:rFonts w:hint="eastAsia" w:hAnsi="宋体" w:cs="宋体"/>
                <w:color w:val="auto"/>
                <w:sz w:val="21"/>
                <w:highlight w:val="none"/>
              </w:rPr>
              <w:t>、供应商为其他组织或者自然人时，本磋商文件规定的法定代表人指负责人或者自然人。本磋商文件所称负责人是指参加竞标的其他组织</w:t>
            </w:r>
            <w:r>
              <w:rPr>
                <w:rFonts w:hint="eastAsia" w:hAnsi="宋体" w:cs="宋体"/>
                <w:bCs/>
                <w:color w:val="auto"/>
                <w:sz w:val="21"/>
                <w:highlight w:val="none"/>
              </w:rPr>
              <w:t>营业执照或者执业许可证等证照上的</w:t>
            </w:r>
            <w:r>
              <w:rPr>
                <w:rFonts w:hint="eastAsia" w:hAnsi="宋体" w:cs="宋体"/>
                <w:color w:val="auto"/>
                <w:sz w:val="21"/>
                <w:highlight w:val="none"/>
              </w:rPr>
              <w:t>负责人，本磋商文件所称自然人指参与竞标的自然人本人，</w:t>
            </w:r>
            <w:r>
              <w:rPr>
                <w:rFonts w:hint="eastAsia" w:hAnsi="宋体" w:cs="宋体"/>
                <w:bCs/>
                <w:color w:val="auto"/>
                <w:sz w:val="21"/>
                <w:highlight w:val="none"/>
              </w:rPr>
              <w:t>且应具备独立承担民事责任能力，自然人应当为年满</w:t>
            </w:r>
            <w:r>
              <w:rPr>
                <w:rFonts w:hAnsi="宋体" w:cs="宋体"/>
                <w:bCs/>
                <w:color w:val="auto"/>
                <w:sz w:val="21"/>
                <w:highlight w:val="none"/>
              </w:rPr>
              <w:t>18</w:t>
            </w:r>
            <w:r>
              <w:rPr>
                <w:rFonts w:hint="eastAsia" w:hAnsi="宋体" w:cs="宋体"/>
                <w:bCs/>
                <w:color w:val="auto"/>
                <w:sz w:val="21"/>
                <w:highlight w:val="none"/>
              </w:rPr>
              <w:t>岁以上成年人（十六周岁以上的未成年人，以自己的劳动收入为主要生活来源的，视为完全民事行为能力人）。</w:t>
            </w:r>
          </w:p>
          <w:p w14:paraId="1C639329">
            <w:pPr>
              <w:pStyle w:val="13"/>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3、本磋商文件中描述供应商的“签字”是指供应商的法定代表人或者委托代理人在文件规定签署处签名（含电子签名）的行为，法定代表人的私章、印鉴（含电子私章、电子印鉴）法律效力与法定代表人签字等同。</w:t>
            </w:r>
          </w:p>
          <w:p w14:paraId="61509D44">
            <w:pPr>
              <w:pStyle w:val="19"/>
              <w:snapToGrid w:val="0"/>
              <w:spacing w:line="360" w:lineRule="auto"/>
              <w:rPr>
                <w:rFonts w:hAnsi="宋体" w:cs="宋体"/>
                <w:color w:val="auto"/>
                <w:sz w:val="21"/>
                <w:highlight w:val="none"/>
              </w:rPr>
            </w:pPr>
            <w:r>
              <w:rPr>
                <w:rFonts w:hint="eastAsia" w:hAnsi="宋体" w:cs="宋体"/>
                <w:color w:val="auto"/>
                <w:sz w:val="21"/>
                <w:highlight w:val="none"/>
              </w:rPr>
              <w:t>4、自然人竞标的，磋商文件规定盖公章处由自然人摁手指指印。</w:t>
            </w:r>
          </w:p>
          <w:p w14:paraId="35C7A478">
            <w:pPr>
              <w:pStyle w:val="19"/>
              <w:snapToGrid w:val="0"/>
              <w:spacing w:line="360" w:lineRule="auto"/>
              <w:rPr>
                <w:rFonts w:hAnsi="宋体" w:cs="宋体"/>
                <w:color w:val="auto"/>
                <w:sz w:val="21"/>
                <w:highlight w:val="none"/>
              </w:rPr>
            </w:pPr>
            <w:r>
              <w:rPr>
                <w:rFonts w:hAnsi="宋体" w:cs="宋体"/>
                <w:color w:val="auto"/>
                <w:sz w:val="21"/>
                <w:highlight w:val="none"/>
              </w:rPr>
              <w:t>5</w:t>
            </w:r>
            <w:r>
              <w:rPr>
                <w:rFonts w:hint="eastAsia" w:hAnsi="宋体" w:cs="宋体"/>
                <w:color w:val="auto"/>
                <w:sz w:val="21"/>
                <w:highlight w:val="none"/>
              </w:rPr>
              <w:t>、本磋商文件所称的“以上”“以下”“以内”“届满”，包括本数；所称的“不满”“超</w:t>
            </w:r>
          </w:p>
          <w:p w14:paraId="1C78A939">
            <w:pPr>
              <w:pStyle w:val="19"/>
              <w:snapToGrid w:val="0"/>
              <w:spacing w:line="360" w:lineRule="auto"/>
              <w:rPr>
                <w:rFonts w:hAnsi="宋体" w:cs="宋体"/>
                <w:color w:val="auto"/>
                <w:sz w:val="21"/>
                <w:highlight w:val="none"/>
              </w:rPr>
            </w:pPr>
            <w:r>
              <w:rPr>
                <w:rFonts w:hint="eastAsia" w:hAnsi="宋体" w:cs="宋体"/>
                <w:color w:val="auto"/>
                <w:sz w:val="21"/>
                <w:highlight w:val="none"/>
              </w:rPr>
              <w:t>过”“以外”，不包括本数。</w:t>
            </w:r>
          </w:p>
        </w:tc>
      </w:tr>
      <w:tr w14:paraId="135635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992" w:type="dxa"/>
            <w:tcBorders>
              <w:top w:val="single" w:color="000000" w:sz="4" w:space="0"/>
              <w:left w:val="single" w:color="000000" w:sz="4" w:space="0"/>
              <w:bottom w:val="single" w:color="000000" w:sz="4" w:space="0"/>
              <w:right w:val="single" w:color="000000" w:sz="4" w:space="0"/>
            </w:tcBorders>
            <w:vAlign w:val="center"/>
          </w:tcPr>
          <w:p w14:paraId="6537F6BB">
            <w:pPr>
              <w:spacing w:line="360" w:lineRule="auto"/>
              <w:jc w:val="center"/>
              <w:rPr>
                <w:rFonts w:ascii="宋体" w:hAnsi="宋体" w:cs="宋体"/>
                <w:color w:val="auto"/>
                <w:szCs w:val="21"/>
                <w:highlight w:val="none"/>
              </w:rPr>
            </w:pPr>
          </w:p>
        </w:tc>
        <w:tc>
          <w:tcPr>
            <w:tcW w:w="8627" w:type="dxa"/>
            <w:tcBorders>
              <w:top w:val="single" w:color="000000" w:sz="4" w:space="0"/>
              <w:left w:val="single" w:color="000000" w:sz="4" w:space="0"/>
              <w:bottom w:val="single" w:color="000000" w:sz="4" w:space="0"/>
              <w:right w:val="single" w:color="000000" w:sz="4" w:space="0"/>
            </w:tcBorders>
            <w:vAlign w:val="center"/>
          </w:tcPr>
          <w:p w14:paraId="4FAD5C4D">
            <w:pPr>
              <w:pStyle w:val="19"/>
              <w:snapToGrid w:val="0"/>
              <w:spacing w:line="360" w:lineRule="auto"/>
              <w:rPr>
                <w:rFonts w:hAnsi="宋体" w:cs="宋体"/>
                <w:color w:val="auto"/>
                <w:sz w:val="21"/>
                <w:highlight w:val="none"/>
              </w:rPr>
            </w:pPr>
            <w:r>
              <w:rPr>
                <w:rFonts w:hint="eastAsia" w:hAnsi="宋体" w:cs="宋体"/>
                <w:b/>
                <w:color w:val="auto"/>
                <w:highlight w:val="none"/>
              </w:rPr>
              <w:t>供应商</w:t>
            </w:r>
            <w:r>
              <w:rPr>
                <w:rFonts w:hint="eastAsia" w:hAnsi="宋体" w:cs="宋体"/>
                <w:b/>
                <w:bCs/>
                <w:color w:val="auto"/>
                <w:highlight w:val="none"/>
              </w:rPr>
              <w:t>可以就本项目一个或多个分标竞标，一家供应商最多只能中一个分标，本项目评标顺序为分标1、2、3、4；如某供应商推荐为分标1第一成交候选供应商，则该供应商不进入后续分标成交候选供应商排名，依据评标顺序，后续分标成交候选供应商推荐以此类推。</w:t>
            </w:r>
          </w:p>
        </w:tc>
      </w:tr>
      <w:tr w14:paraId="3FB55F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992" w:type="dxa"/>
            <w:tcBorders>
              <w:top w:val="single" w:color="000000" w:sz="4" w:space="0"/>
              <w:left w:val="single" w:color="000000" w:sz="4" w:space="0"/>
              <w:bottom w:val="single" w:color="000000" w:sz="4" w:space="0"/>
              <w:right w:val="single" w:color="000000" w:sz="4" w:space="0"/>
            </w:tcBorders>
            <w:vAlign w:val="center"/>
          </w:tcPr>
          <w:p w14:paraId="19E5DD96">
            <w:pPr>
              <w:spacing w:line="360" w:lineRule="auto"/>
              <w:jc w:val="center"/>
              <w:rPr>
                <w:rFonts w:ascii="宋体" w:hAnsi="宋体" w:cs="宋体"/>
                <w:color w:val="auto"/>
                <w:szCs w:val="21"/>
                <w:highlight w:val="none"/>
              </w:rPr>
            </w:pPr>
          </w:p>
        </w:tc>
        <w:tc>
          <w:tcPr>
            <w:tcW w:w="8627" w:type="dxa"/>
            <w:tcBorders>
              <w:top w:val="single" w:color="000000" w:sz="4" w:space="0"/>
              <w:left w:val="single" w:color="000000" w:sz="4" w:space="0"/>
              <w:bottom w:val="single" w:color="000000" w:sz="4" w:space="0"/>
              <w:right w:val="single" w:color="000000" w:sz="4" w:space="0"/>
            </w:tcBorders>
            <w:vAlign w:val="center"/>
          </w:tcPr>
          <w:p w14:paraId="22EE1DFA">
            <w:pPr>
              <w:spacing w:line="400" w:lineRule="exact"/>
              <w:jc w:val="left"/>
              <w:rPr>
                <w:rFonts w:ascii="宋体" w:hAnsi="宋体" w:cs="宋体"/>
                <w:b/>
                <w:bCs/>
                <w:color w:val="auto"/>
                <w:szCs w:val="21"/>
                <w:highlight w:val="none"/>
              </w:rPr>
            </w:pPr>
            <w:r>
              <w:rPr>
                <w:rFonts w:hint="eastAsia" w:ascii="宋体" w:hAnsi="宋体" w:cs="宋体"/>
                <w:b/>
                <w:bCs/>
                <w:color w:val="auto"/>
                <w:szCs w:val="21"/>
                <w:highlight w:val="none"/>
              </w:rPr>
              <w:t>供应商提供的响应文件资料必须是真实有效的，如存在提供虚假材料的情况，竞标无效，并没收竞标保证金；并按照中华人民共和国政府采购法及相关规定处理。给采购人造成损失的,依法承担赔偿责任；构成犯罪的，依法追究刑事责任。</w:t>
            </w:r>
          </w:p>
        </w:tc>
      </w:tr>
    </w:tbl>
    <w:p w14:paraId="3776FD67">
      <w:pPr>
        <w:spacing w:line="400" w:lineRule="exact"/>
        <w:jc w:val="center"/>
        <w:rPr>
          <w:rFonts w:ascii="宋体" w:hAnsi="宋体" w:cs="宋体"/>
          <w:b/>
          <w:color w:val="auto"/>
          <w:sz w:val="32"/>
          <w:szCs w:val="32"/>
          <w:highlight w:val="none"/>
        </w:rPr>
      </w:pPr>
      <w:r>
        <w:rPr>
          <w:rFonts w:hint="eastAsia" w:ascii="宋体" w:hAnsi="宋体" w:cs="宋体"/>
          <w:b/>
          <w:color w:val="auto"/>
          <w:sz w:val="32"/>
          <w:szCs w:val="32"/>
          <w:highlight w:val="none"/>
        </w:rPr>
        <w:br w:type="page"/>
      </w:r>
      <w:r>
        <w:rPr>
          <w:rFonts w:hint="eastAsia" w:ascii="宋体" w:hAnsi="宋体" w:cs="宋体"/>
          <w:b/>
          <w:color w:val="auto"/>
          <w:sz w:val="32"/>
          <w:szCs w:val="32"/>
          <w:highlight w:val="none"/>
        </w:rPr>
        <w:t>供应商须知正文</w:t>
      </w:r>
    </w:p>
    <w:p w14:paraId="7B7E7C4A">
      <w:pPr>
        <w:spacing w:line="400" w:lineRule="exact"/>
        <w:jc w:val="center"/>
        <w:rPr>
          <w:rFonts w:ascii="宋体" w:hAnsi="宋体" w:cs="宋体"/>
          <w:b/>
          <w:color w:val="auto"/>
          <w:sz w:val="32"/>
          <w:szCs w:val="32"/>
          <w:highlight w:val="none"/>
        </w:rPr>
      </w:pPr>
    </w:p>
    <w:p w14:paraId="0043211A">
      <w:pPr>
        <w:spacing w:line="360" w:lineRule="auto"/>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一、总则</w:t>
      </w:r>
    </w:p>
    <w:p w14:paraId="1101A981">
      <w:pPr>
        <w:spacing w:line="400" w:lineRule="exact"/>
        <w:rPr>
          <w:rFonts w:ascii="宋体" w:hAnsi="宋体" w:cs="宋体"/>
          <w:color w:val="auto"/>
          <w:szCs w:val="21"/>
          <w:highlight w:val="none"/>
        </w:rPr>
      </w:pPr>
    </w:p>
    <w:p w14:paraId="72054600">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1.适用范围</w:t>
      </w:r>
    </w:p>
    <w:p w14:paraId="7E498E0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本项目采购人、采购代理机构、供应商、磋商小组的相关行为均受《中华人民共和国政府采购法》《中华人民共和国政府采购法实施条例》《政府采购竞争性磋商采购方式管理暂行办法》《财政部关于政府采购竞争性磋商采购方式管理暂行办法有关问题的补充通知》及本项目本级和上级财政部门政府采购有关规定的约束和保护。</w:t>
      </w:r>
    </w:p>
    <w:p w14:paraId="1D70708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w:t>
      </w:r>
      <w:r>
        <w:rPr>
          <w:rFonts w:hint="eastAsia" w:ascii="宋体" w:hAnsi="宋体" w:cs="宋体"/>
          <w:color w:val="auto"/>
          <w:spacing w:val="-6"/>
          <w:szCs w:val="21"/>
          <w:highlight w:val="none"/>
        </w:rPr>
        <w:t>本竞争性磋商文件（以下简称磋商文件）适用于本项目的所有采购程序和环节（法律、法规另有规定的，从其规定）。</w:t>
      </w:r>
    </w:p>
    <w:p w14:paraId="5C8D3885">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2.定义</w:t>
      </w:r>
    </w:p>
    <w:p w14:paraId="6105968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2.1“采购人”是指依法进行政府采购的国家机关、事业单位、团体组织。</w:t>
      </w:r>
    </w:p>
    <w:p w14:paraId="682B4170">
      <w:pPr>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2.2“采购代理机构”是指政府采购集中采购机构和集中采购机构以外的采购代理机构。</w:t>
      </w:r>
    </w:p>
    <w:p w14:paraId="6FA6420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2.3“供应商”是指向采购人提供货物、工程或者服务的法人、其他组织或者自然人。</w:t>
      </w:r>
    </w:p>
    <w:p w14:paraId="06FB387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2.4“服务”是指除货物和工程以外的其他政府采购对象。</w:t>
      </w:r>
    </w:p>
    <w:p w14:paraId="55A0167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2.5“竞标”是指供应商按照本项目竞争性磋商公告或者邀请函规定的方式获取磋商文件、提交响应文件并希望获得标的的行为。</w:t>
      </w:r>
    </w:p>
    <w:p w14:paraId="6F23ECB3">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2.6“书面形式”是指合同书、信件和数据电文（包括电报、电传、传真、电子数据交换和电子邮件）等可以有形地表现所载内容的形式。</w:t>
      </w:r>
    </w:p>
    <w:p w14:paraId="3BB94C80">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2.7“响应文件”</w:t>
      </w:r>
      <w:r>
        <w:rPr>
          <w:rFonts w:hint="eastAsia" w:ascii="宋体" w:hAnsi="宋体" w:cs="宋体"/>
          <w:color w:val="auto"/>
          <w:spacing w:val="-6"/>
          <w:szCs w:val="21"/>
          <w:highlight w:val="none"/>
        </w:rPr>
        <w:t>是指：供应商根据本磋商文件要求，编制包含资格证明、报价商务技术等所有内容的文件。</w:t>
      </w:r>
    </w:p>
    <w:p w14:paraId="078E6D9B">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2.8“实质性要求”是指磋商文件中已经指明不满足则响应文件按无效响应处理的条款，或者不能负偏离的条款，或者采购需求中带“▲”的条款。</w:t>
      </w:r>
    </w:p>
    <w:p w14:paraId="6CB1D360">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2.9“正偏离”，是指响应文件对磋商文件“采购需求”中有关条款作出的响应优于条款要求并有利于采购人的情形。</w:t>
      </w:r>
    </w:p>
    <w:p w14:paraId="4F266DAF">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2.10“负偏离”，是指响应文件对磋商文件“采购需求”中有关条款作出的响应不满足条款要求，导致采购人要求不能得到满足的情形。</w:t>
      </w:r>
    </w:p>
    <w:p w14:paraId="6DB26C0F">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2.11“允许负偏离的条款”是指采购需求中的不属于“实质性要求”的条款。</w:t>
      </w:r>
    </w:p>
    <w:p w14:paraId="424AC400">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2.12“首次报价”是指供应商提交的首次响应文件中的报价。</w:t>
      </w:r>
    </w:p>
    <w:p w14:paraId="26C815FE">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3.供应商的资格条件</w:t>
      </w:r>
    </w:p>
    <w:p w14:paraId="3CFC195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供应商的资格条件详见“供应商须知前附表”。</w:t>
      </w:r>
    </w:p>
    <w:p w14:paraId="4C857172">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4.竞标费用</w:t>
      </w:r>
    </w:p>
    <w:p w14:paraId="36225E4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供应商应承担参与本次采购活动有关的所有费用，包括但不限于获取磋商文件、勘查现场、编制和提交响应文件、参加磋商与应答、签订合同等，不论竞标结果如何，均应自行承担。</w:t>
      </w:r>
    </w:p>
    <w:p w14:paraId="1F03FDF5">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5.联合体竞标</w:t>
      </w:r>
    </w:p>
    <w:p w14:paraId="7E6B882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5.1本项目是否接受联合体竞标，详见“供应商须知前附表”。</w:t>
      </w:r>
    </w:p>
    <w:p w14:paraId="6948ECD4">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 xml:space="preserve">6.转包与分包             </w:t>
      </w:r>
    </w:p>
    <w:p w14:paraId="36250622">
      <w:pPr>
        <w:pStyle w:val="6"/>
        <w:keepNext w:val="0"/>
        <w:keepLines w:val="0"/>
        <w:spacing w:before="0" w:after="0" w:line="360" w:lineRule="auto"/>
        <w:ind w:left="420" w:leftChars="200"/>
        <w:rPr>
          <w:rFonts w:ascii="宋体" w:hAnsi="宋体" w:cs="宋体"/>
          <w:b w:val="0"/>
          <w:color w:val="auto"/>
          <w:sz w:val="21"/>
          <w:szCs w:val="21"/>
          <w:highlight w:val="none"/>
        </w:rPr>
      </w:pPr>
      <w:bookmarkStart w:id="17" w:name="_Toc254970673"/>
      <w:bookmarkStart w:id="18" w:name="_Toc254970532"/>
      <w:r>
        <w:rPr>
          <w:rFonts w:hint="eastAsia" w:ascii="宋体" w:hAnsi="宋体" w:cs="宋体"/>
          <w:b w:val="0"/>
          <w:color w:val="auto"/>
          <w:sz w:val="21"/>
          <w:szCs w:val="21"/>
          <w:highlight w:val="none"/>
        </w:rPr>
        <w:t>6.1本项目不允许转包。</w:t>
      </w:r>
    </w:p>
    <w:p w14:paraId="482DCF99">
      <w:pPr>
        <w:pStyle w:val="6"/>
        <w:keepNext w:val="0"/>
        <w:keepLines w:val="0"/>
        <w:spacing w:before="0" w:after="0" w:line="360" w:lineRule="auto"/>
        <w:ind w:firstLine="315" w:firstLineChars="150"/>
        <w:rPr>
          <w:rFonts w:ascii="宋体" w:hAnsi="宋体" w:cs="宋体"/>
          <w:b w:val="0"/>
          <w:color w:val="auto"/>
          <w:sz w:val="21"/>
          <w:szCs w:val="21"/>
          <w:highlight w:val="none"/>
        </w:rPr>
      </w:pPr>
      <w:r>
        <w:rPr>
          <w:rFonts w:hint="eastAsia" w:ascii="宋体" w:hAnsi="宋体" w:cs="宋体"/>
          <w:b w:val="0"/>
          <w:color w:val="auto"/>
          <w:sz w:val="21"/>
          <w:szCs w:val="21"/>
          <w:highlight w:val="none"/>
        </w:rPr>
        <w:t xml:space="preserve"> 6.2本项目是否允许分包详见“供应商须知前附表”，本项目不允许违法分包。允许分包的非主体、非关键性工作，根据法律法规规定承担该工作需要行政许可的，如该工作由供应商自行承担，供应商应具备相应的行政许可，如供应商不具备相应的行政许可必须采用分包的方式，但分包供应商应具备相应行政许可。</w:t>
      </w:r>
    </w:p>
    <w:p w14:paraId="5E7F98C8">
      <w:pPr>
        <w:pStyle w:val="6"/>
        <w:keepNext w:val="0"/>
        <w:keepLines w:val="0"/>
        <w:spacing w:before="0" w:after="0" w:line="360" w:lineRule="auto"/>
        <w:ind w:firstLine="315" w:firstLineChars="150"/>
        <w:rPr>
          <w:rFonts w:ascii="宋体" w:hAnsi="宋体" w:cs="宋体"/>
          <w:b w:val="0"/>
          <w:color w:val="auto"/>
          <w:sz w:val="21"/>
          <w:szCs w:val="21"/>
          <w:highlight w:val="none"/>
        </w:rPr>
      </w:pPr>
      <w:r>
        <w:rPr>
          <w:rFonts w:hint="eastAsia" w:ascii="宋体" w:hAnsi="宋体" w:cs="宋体"/>
          <w:b w:val="0"/>
          <w:color w:val="auto"/>
          <w:sz w:val="21"/>
          <w:szCs w:val="21"/>
          <w:highlight w:val="none"/>
        </w:rPr>
        <w:t xml:space="preserve"> 6.3供应商根据磋商文件的规定和采购项目的实际情况，拟在成交后将成交项目的非主体、非关键性工作分包的，应当在响应文件中载明分包承担主体，分包承担主体应当具备相应资质条件且不得再次分包。</w:t>
      </w:r>
    </w:p>
    <w:p w14:paraId="42E1B0CA">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7.特别说明</w:t>
      </w:r>
      <w:bookmarkEnd w:id="17"/>
      <w:bookmarkEnd w:id="18"/>
    </w:p>
    <w:p w14:paraId="0610DE29">
      <w:pPr>
        <w:spacing w:line="360" w:lineRule="auto"/>
        <w:ind w:firstLine="420" w:firstLineChars="200"/>
        <w:rPr>
          <w:rFonts w:ascii="宋体" w:hAnsi="宋体" w:cs="宋体"/>
          <w:color w:val="auto"/>
          <w:szCs w:val="21"/>
          <w:highlight w:val="none"/>
        </w:rPr>
      </w:pPr>
      <w:bookmarkStart w:id="19" w:name="_8.1提供相同品牌产品且通过资格审查、符合性审查的不同投标人参加同一合"/>
      <w:bookmarkEnd w:id="19"/>
      <w:r>
        <w:rPr>
          <w:rFonts w:hint="eastAsia" w:ascii="宋体" w:hAnsi="宋体" w:cs="宋体"/>
          <w:color w:val="auto"/>
          <w:szCs w:val="21"/>
          <w:highlight w:val="none"/>
        </w:rPr>
        <w:t>7.1</w:t>
      </w:r>
      <w:bookmarkStart w:id="20" w:name="_Hlk65832145"/>
      <w:r>
        <w:rPr>
          <w:rFonts w:hint="eastAsia" w:ascii="宋体" w:hAnsi="宋体" w:cs="宋体"/>
          <w:color w:val="auto"/>
          <w:szCs w:val="21"/>
          <w:highlight w:val="none"/>
        </w:rPr>
        <w:t>如果本磋商文件要求提供供应商或制造商的资格、信誉、荣誉、业绩与企业认证等材料的，资格、信誉、荣誉、业绩与企业认证等必须为供应商或者制造商所拥有或自身获得 。</w:t>
      </w:r>
    </w:p>
    <w:bookmarkEnd w:id="20"/>
    <w:p w14:paraId="6B95597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7.2供应商应仔细阅读磋商文件的所有内容，按照磋商文件的要求提交响应文件，并对所提供的全部资料的真实性承担法律责任。</w:t>
      </w:r>
    </w:p>
    <w:p w14:paraId="319D845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7.3供应商在竞标活动中提供任何疑似虚假材料，将报监管部门查处；签订合同后发现的，成交供应商须依法赔偿采购人，且民事赔偿并不免除违法供应商的行政与刑事责任。</w:t>
      </w:r>
    </w:p>
    <w:p w14:paraId="537AE1A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7.4在政府采购活动中，采购人员及相关人员与供应商有下列利害关系之一的，应当回避：</w:t>
      </w:r>
    </w:p>
    <w:p w14:paraId="541DD04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（1）参加采购活动前3年内与供应商存在劳动关系；</w:t>
      </w:r>
    </w:p>
    <w:p w14:paraId="177C182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（2）参加采购活动前3年内担任供应商的董事、监事；</w:t>
      </w:r>
    </w:p>
    <w:p w14:paraId="3822E76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（3）参加采购活动前3年内是供应商的控股股东或者实际控制人；</w:t>
      </w:r>
    </w:p>
    <w:p w14:paraId="517DBA4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（4）与供应商的法定代表人或者负责人有夫妻、直系血亲、三代以内旁系血亲或者近姻亲关系；</w:t>
      </w:r>
    </w:p>
    <w:p w14:paraId="7707725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（5）与供应商有其他可能影响政府采购活动公平、公正进行的关系。</w:t>
      </w:r>
    </w:p>
    <w:p w14:paraId="3641C7C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3C789BE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7.5有下列情形之一的视为供应商相互串通竞标，响应文件将被视为无效：</w:t>
      </w:r>
    </w:p>
    <w:p w14:paraId="03AEFF8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（1）不同供应商的响应文件由同一单位或者个人编制； </w:t>
      </w:r>
    </w:p>
    <w:p w14:paraId="40077A4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（2）不同供应商委托同一单位或者个人办理竞标事宜；</w:t>
      </w:r>
    </w:p>
    <w:p w14:paraId="00160C9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（3）不同的供应商的响应文件载明的项目管理员为同一个人；</w:t>
      </w:r>
    </w:p>
    <w:p w14:paraId="25C3D66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（4）不同供应商的响应文件异常一致或者报价呈规律性差异；</w:t>
      </w:r>
    </w:p>
    <w:p w14:paraId="2B96318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（5）不同供应商报名的IP地址一致；</w:t>
      </w:r>
    </w:p>
    <w:p w14:paraId="72BC1F65">
      <w:pPr>
        <w:tabs>
          <w:tab w:val="left" w:pos="6931"/>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（6）不同供应商的磋商保证金从同一单位或者个人账户转出。</w:t>
      </w:r>
      <w:r>
        <w:rPr>
          <w:rFonts w:hint="eastAsia" w:ascii="宋体" w:hAnsi="宋体" w:cs="宋体"/>
          <w:color w:val="auto"/>
          <w:szCs w:val="21"/>
          <w:highlight w:val="none"/>
        </w:rPr>
        <w:tab/>
      </w:r>
    </w:p>
    <w:p w14:paraId="11CA3DA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7.6供应商有下列情形之一的，属于恶意串通行为，将报同级监督管理部门：</w:t>
      </w:r>
    </w:p>
    <w:p w14:paraId="38554A3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（1）供应商直接或者间接从采购人或者采购代理机构处获得其他供应商的相关信息并修改其响应文件；</w:t>
      </w:r>
    </w:p>
    <w:p w14:paraId="57FDAC7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（2）供应商按照采购人或者采购代理机构的授意撤换、修改响应文件；</w:t>
      </w:r>
    </w:p>
    <w:p w14:paraId="608A0FA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（3）供应商之间协商报价、技术方案等响应文件或者响应文件的实质性内容；</w:t>
      </w:r>
    </w:p>
    <w:p w14:paraId="4E2A2B7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（4）属于同一集团、协会、商会等组织成员的供应商按照该组织要求协同参加政府采购活动；</w:t>
      </w:r>
    </w:p>
    <w:p w14:paraId="2559399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（5）供应商之间事先约定一致抬高或者压低报价，或者在政府采购活动中事先约定轮流以高价位或者低价位成交，或者事先约定由某一特定供应商成交，然后再参加竞标；</w:t>
      </w:r>
    </w:p>
    <w:p w14:paraId="772A302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（6）供应商之间商定部分供应商放弃参加政府采购活动或者放弃成交；</w:t>
      </w:r>
    </w:p>
    <w:p w14:paraId="1AB93EF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（7）供应商与采购人或者采购代理机构之间、供应商相互之间，为谋求特定供应商成交或者排斥其他供应商的其他串通行为。</w:t>
      </w:r>
    </w:p>
    <w:p w14:paraId="0B4F90BE">
      <w:pPr>
        <w:spacing w:line="360" w:lineRule="auto"/>
        <w:ind w:firstLine="420" w:firstLineChars="200"/>
        <w:rPr>
          <w:rFonts w:ascii="宋体" w:hAnsi="宋体" w:cs="宋体"/>
          <w:color w:val="auto"/>
          <w:szCs w:val="21"/>
          <w:highlight w:val="none"/>
        </w:rPr>
      </w:pPr>
    </w:p>
    <w:p w14:paraId="0D22215B">
      <w:pPr>
        <w:spacing w:line="360" w:lineRule="auto"/>
        <w:ind w:left="1" w:firstLine="417" w:firstLineChars="199"/>
        <w:jc w:val="center"/>
        <w:rPr>
          <w:rFonts w:ascii="宋体" w:hAnsi="宋体" w:cs="宋体"/>
          <w:color w:val="auto"/>
          <w:highlight w:val="none"/>
        </w:rPr>
      </w:pPr>
      <w:bookmarkStart w:id="21" w:name="_Toc254970534"/>
      <w:bookmarkStart w:id="22" w:name="_Toc254970675"/>
    </w:p>
    <w:p w14:paraId="12FA163F">
      <w:pPr>
        <w:spacing w:line="360" w:lineRule="auto"/>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二、磋商文件</w:t>
      </w:r>
      <w:bookmarkEnd w:id="21"/>
      <w:bookmarkEnd w:id="22"/>
    </w:p>
    <w:p w14:paraId="47D859CD">
      <w:pPr>
        <w:spacing w:line="360" w:lineRule="auto"/>
        <w:ind w:firstLine="482" w:firstLineChars="200"/>
        <w:rPr>
          <w:rFonts w:ascii="宋体" w:hAnsi="宋体" w:cs="宋体"/>
          <w:b/>
          <w:bCs/>
          <w:color w:val="auto"/>
          <w:sz w:val="24"/>
          <w:highlight w:val="none"/>
        </w:rPr>
      </w:pPr>
    </w:p>
    <w:p w14:paraId="352C3126">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8.磋商文件的构成</w:t>
      </w:r>
    </w:p>
    <w:p w14:paraId="5CCF1C2B">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（1）竞争性磋商公告；</w:t>
      </w:r>
    </w:p>
    <w:p w14:paraId="645B7600">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（2）供应商须知； </w:t>
      </w:r>
    </w:p>
    <w:p w14:paraId="1514E894">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（3）采购需求；</w:t>
      </w:r>
    </w:p>
    <w:p w14:paraId="52BC65D9">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（4）评审程序、评审方法和评审标准；</w:t>
      </w:r>
    </w:p>
    <w:p w14:paraId="5AFF9867">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（5）响应文件格式；</w:t>
      </w:r>
    </w:p>
    <w:p w14:paraId="40BCA23A">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（6）合同文本。</w:t>
      </w:r>
    </w:p>
    <w:p w14:paraId="4B07E256">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9.供应商的询问</w:t>
      </w:r>
    </w:p>
    <w:p w14:paraId="34509A4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应认真阅读磋商文件的采购需求，如供应商对磋商文件有疑问的，如要求采购人作出澄清或者修改的，供应商尽可能在提交首次响应文件截止之日前，以纸质书面形式向采购人、采购代理机构提出，否则，由此产生的后果由供应商自行负责。</w:t>
      </w:r>
    </w:p>
    <w:p w14:paraId="193AA2F1">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10.磋商文件的澄清和修改</w:t>
      </w:r>
    </w:p>
    <w:p w14:paraId="024DF89A">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10.1提交首次响应文件截止之日前，采购人、采购代理机构或者磋商小组可以对已发出的磋商文件进行必要的澄清或者修改，澄清或者修改的内容作为磋商文件的组成部分。澄清或者修改将在原公告发布媒体上发布更正公告。澄清或者修改的内容可能影响响应文件编制的，采购人、采购代理机构应当在提交首次响应文件截止时间至少5日前，在原公告发布媒体上发布更正公告；不足5日的，采购人、采购代理机构应当顺延提交首次响应文件截止时间。</w:t>
      </w:r>
    </w:p>
    <w:p w14:paraId="70D6DDF9">
      <w:pPr>
        <w:spacing w:line="400" w:lineRule="exact"/>
        <w:ind w:firstLine="420" w:firstLineChars="200"/>
        <w:rPr>
          <w:rFonts w:ascii="宋体" w:hAnsi="宋体" w:cs="宋体"/>
          <w:color w:val="auto"/>
          <w:szCs w:val="21"/>
          <w:highlight w:val="none"/>
        </w:rPr>
      </w:pPr>
      <w:r>
        <w:rPr>
          <w:rFonts w:hint="eastAsia" w:ascii="宋体" w:hAnsi="宋体" w:cs="宋体"/>
          <w:color w:val="auto"/>
          <w:highlight w:val="none"/>
        </w:rPr>
        <w:t>10.2采购人和采购代理机构可以视采购具体情况，变更</w:t>
      </w:r>
      <w:r>
        <w:rPr>
          <w:rFonts w:hint="eastAsia" w:ascii="宋体" w:hAnsi="宋体" w:cs="宋体"/>
          <w:color w:val="auto"/>
          <w:szCs w:val="21"/>
          <w:highlight w:val="none"/>
        </w:rPr>
        <w:t>首次响应文件提交截止时间和开启时间</w:t>
      </w:r>
      <w:r>
        <w:rPr>
          <w:rFonts w:hint="eastAsia" w:ascii="宋体" w:hAnsi="宋体" w:cs="宋体"/>
          <w:color w:val="auto"/>
          <w:highlight w:val="none"/>
        </w:rPr>
        <w:t>，并</w:t>
      </w:r>
      <w:r>
        <w:rPr>
          <w:rFonts w:hint="eastAsia" w:ascii="宋体" w:hAnsi="宋体" w:cs="宋体"/>
          <w:color w:val="auto"/>
          <w:szCs w:val="21"/>
          <w:highlight w:val="none"/>
        </w:rPr>
        <w:t>在原公告发布媒体上发布更正公告。</w:t>
      </w:r>
    </w:p>
    <w:p w14:paraId="5C0BBC8B">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10.3</w:t>
      </w:r>
      <w:r>
        <w:rPr>
          <w:rFonts w:hint="eastAsia" w:ascii="宋体" w:hAnsi="宋体" w:cs="宋体"/>
          <w:color w:val="auto"/>
          <w:szCs w:val="21"/>
          <w:highlight w:val="none"/>
        </w:rPr>
        <w:t>磋商文件澄清、答复、修改、补充的内容为磋商文件的组成部分。</w:t>
      </w:r>
      <w:r>
        <w:rPr>
          <w:rFonts w:hint="eastAsia" w:ascii="宋体" w:hAnsi="宋体" w:cs="宋体"/>
          <w:b/>
          <w:color w:val="auto"/>
          <w:szCs w:val="21"/>
          <w:highlight w:val="none"/>
        </w:rPr>
        <w:t>当磋商文件与磋商文件的澄清、答复、修改、补充通知就同一内容的表述不一致时，以最后发出的文件为准。</w:t>
      </w:r>
    </w:p>
    <w:p w14:paraId="3DE98463">
      <w:pPr>
        <w:spacing w:line="400" w:lineRule="exact"/>
        <w:ind w:firstLine="422" w:firstLineChars="200"/>
        <w:rPr>
          <w:rFonts w:ascii="宋体" w:hAnsi="宋体" w:cs="宋体"/>
          <w:b/>
          <w:color w:val="auto"/>
          <w:szCs w:val="21"/>
          <w:highlight w:val="none"/>
        </w:rPr>
      </w:pPr>
      <w:r>
        <w:rPr>
          <w:rFonts w:hint="eastAsia" w:ascii="宋体" w:hAnsi="宋体" w:cs="宋体"/>
          <w:b/>
          <w:color w:val="auto"/>
          <w:highlight w:val="none"/>
        </w:rPr>
        <w:t>10.4</w:t>
      </w:r>
      <w:r>
        <w:rPr>
          <w:rFonts w:hint="eastAsia" w:ascii="宋体" w:hAnsi="宋体" w:cs="宋体"/>
          <w:b/>
          <w:color w:val="auto"/>
          <w:szCs w:val="21"/>
          <w:highlight w:val="none"/>
        </w:rPr>
        <w:t>响应文件未按磋商文件的澄清、修改后的内容编制的，其响应文件作无效响应处理。</w:t>
      </w:r>
    </w:p>
    <w:p w14:paraId="455C418D">
      <w:pPr>
        <w:spacing w:line="400" w:lineRule="exact"/>
        <w:ind w:firstLine="422" w:firstLineChars="200"/>
        <w:rPr>
          <w:rFonts w:ascii="宋体" w:hAnsi="宋体" w:cs="宋体"/>
          <w:b/>
          <w:color w:val="auto"/>
          <w:szCs w:val="21"/>
          <w:highlight w:val="none"/>
        </w:rPr>
      </w:pPr>
    </w:p>
    <w:p w14:paraId="7594310E">
      <w:pPr>
        <w:spacing w:line="360" w:lineRule="auto"/>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三、响应文件的编制</w:t>
      </w:r>
    </w:p>
    <w:p w14:paraId="15CDDEE6">
      <w:pPr>
        <w:spacing w:line="360" w:lineRule="auto"/>
        <w:ind w:firstLine="482" w:firstLineChars="200"/>
        <w:rPr>
          <w:rFonts w:ascii="宋体" w:hAnsi="宋体" w:cs="宋体"/>
          <w:b/>
          <w:bCs/>
          <w:color w:val="auto"/>
          <w:sz w:val="24"/>
          <w:highlight w:val="none"/>
        </w:rPr>
      </w:pPr>
    </w:p>
    <w:p w14:paraId="0B199656">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11.响应文件的编制原则</w:t>
      </w:r>
    </w:p>
    <w:p w14:paraId="52CB68E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供应商必须按照磋商文件的要求编制响应文件，并对其提交的响应文件的真实性、合法性承担法律责任。响应文件必须对磋商文件作出实质性响应。</w:t>
      </w:r>
    </w:p>
    <w:p w14:paraId="6B626E97">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12.响应文件的组成</w:t>
      </w:r>
    </w:p>
    <w:p w14:paraId="0F9433C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12.1响应文件由资格证明文件、报价商务技术文件两部分组成。</w:t>
      </w:r>
    </w:p>
    <w:p w14:paraId="2D76D860">
      <w:pPr>
        <w:spacing w:line="360" w:lineRule="auto"/>
        <w:ind w:left="840" w:leftChars="200" w:hanging="420" w:hangingChars="200"/>
        <w:rPr>
          <w:rFonts w:ascii="宋体" w:hAnsi="宋体" w:cs="宋体"/>
          <w:color w:val="auto"/>
          <w:szCs w:val="21"/>
          <w:highlight w:val="none"/>
        </w:rPr>
      </w:pPr>
      <w:r>
        <w:rPr>
          <w:rFonts w:hint="eastAsia" w:ascii="宋体" w:hAnsi="宋体" w:cs="宋体"/>
          <w:color w:val="auto"/>
          <w:szCs w:val="21"/>
          <w:highlight w:val="none"/>
        </w:rPr>
        <w:t>12.1.1资格证明文件：详见须知前附表</w:t>
      </w:r>
    </w:p>
    <w:p w14:paraId="4AB1A4AF">
      <w:pPr>
        <w:spacing w:line="360" w:lineRule="auto"/>
        <w:ind w:left="840" w:leftChars="200" w:hanging="420" w:hangingChars="200"/>
        <w:rPr>
          <w:rFonts w:ascii="宋体" w:hAnsi="宋体" w:cs="宋体"/>
          <w:color w:val="auto"/>
          <w:szCs w:val="21"/>
          <w:highlight w:val="none"/>
        </w:rPr>
      </w:pPr>
      <w:r>
        <w:rPr>
          <w:rFonts w:hint="eastAsia" w:ascii="宋体" w:hAnsi="宋体" w:cs="宋体"/>
          <w:color w:val="auto"/>
          <w:szCs w:val="21"/>
          <w:highlight w:val="none"/>
        </w:rPr>
        <w:t>12.1.2报价商务技术文件：详见须知前附表</w:t>
      </w:r>
    </w:p>
    <w:p w14:paraId="5F7E371F">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13.计量单位</w:t>
      </w:r>
    </w:p>
    <w:p w14:paraId="3A9F151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磋商文件已有明确规定的，使用磋商文件规定的计量单位；磋商文件没有规定的，应采用中华人民共和国法定计量单位，货币种类为人民币，否则视同未响应。</w:t>
      </w:r>
    </w:p>
    <w:p w14:paraId="7CE7E0B1">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14.竞标的风险</w:t>
      </w:r>
    </w:p>
    <w:p w14:paraId="30C622A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供应商没有按照磋商文件要求提供全部资料，或者供应商没有对磋商文件在各方面作出实质性响应可能导致其响应无效，是供应商应当考虑的风险。</w:t>
      </w:r>
    </w:p>
    <w:p w14:paraId="5477D049">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15.竞标报价</w:t>
      </w:r>
    </w:p>
    <w:p w14:paraId="5F11E421">
      <w:pPr>
        <w:tabs>
          <w:tab w:val="left" w:pos="2492"/>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15.1竞标报价应按磋商文件中“竞标报价表”格式填写。</w:t>
      </w:r>
    </w:p>
    <w:p w14:paraId="2389C5C6">
      <w:pPr>
        <w:tabs>
          <w:tab w:val="left" w:pos="2492"/>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15.2竞标报价的内容见“供应商须知前附表”。</w:t>
      </w:r>
    </w:p>
    <w:p w14:paraId="1ACF3D0D">
      <w:pPr>
        <w:spacing w:line="360" w:lineRule="auto"/>
        <w:ind w:left="426" w:leftChars="203"/>
        <w:rPr>
          <w:rFonts w:ascii="宋体" w:hAnsi="宋体" w:cs="宋体"/>
          <w:color w:val="auto"/>
          <w:szCs w:val="21"/>
          <w:highlight w:val="none"/>
        </w:rPr>
      </w:pPr>
      <w:r>
        <w:rPr>
          <w:rFonts w:hint="eastAsia" w:ascii="宋体" w:hAnsi="宋体" w:cs="宋体"/>
          <w:color w:val="auto"/>
          <w:szCs w:val="21"/>
          <w:highlight w:val="none"/>
        </w:rPr>
        <w:t>15.3竞标报价要求</w:t>
      </w:r>
    </w:p>
    <w:p w14:paraId="26D2D32C">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15.3.1供应商的竞标报价应符合以下要求，否则响应文件按无效响应处理：</w:t>
      </w:r>
    </w:p>
    <w:p w14:paraId="181D342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（1）供应商必须就“采购需求”中所竞标的每个分标的全部内容分别作完整唯一总价报价，不得存在漏项报价；</w:t>
      </w:r>
    </w:p>
    <w:p w14:paraId="0788B5D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（2）供应商必须就所竞标的分标的单项内容作唯一报价。</w:t>
      </w:r>
    </w:p>
    <w:p w14:paraId="4DAD555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15.3.2最后报价超过所竞标分标规定的采购预算金额或者最高限价的，其响应文件将按无效响应处理。</w:t>
      </w:r>
      <w:bookmarkStart w:id="23" w:name="_Hlk42592874"/>
    </w:p>
    <w:bookmarkEnd w:id="23"/>
    <w:p w14:paraId="440D47D4">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16.竞标有效期</w:t>
      </w:r>
    </w:p>
    <w:p w14:paraId="6232AEE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16.1竞标有效期是指为保证采购人有足够的时间在提交响应文件后完成评审、确定成交供应商、合同签订等工作而要求供应商提交的响应文件在一定时间内保持有效的期限。</w:t>
      </w:r>
    </w:p>
    <w:p w14:paraId="41148F8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16.2 竞标有效期应由供应商按“供应商须知前附表”规定的期限作出响应。</w:t>
      </w:r>
    </w:p>
    <w:p w14:paraId="5C74C9D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16.3供应商的响应文件在竞标有效期内均保持有效。</w:t>
      </w:r>
    </w:p>
    <w:p w14:paraId="65EC7A8B">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17.磋商保证金</w:t>
      </w:r>
    </w:p>
    <w:p w14:paraId="727165BA">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17.1供应商须按“供应商须知前附表”的规定提交磋商保证金。</w:t>
      </w:r>
    </w:p>
    <w:p w14:paraId="34DEE7E6">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17.2磋商保证金的退还</w:t>
      </w:r>
    </w:p>
    <w:p w14:paraId="59D7C836">
      <w:pPr>
        <w:spacing w:line="360" w:lineRule="auto"/>
        <w:ind w:firstLine="420" w:firstLineChars="200"/>
        <w:rPr>
          <w:rFonts w:ascii="宋体" w:hAnsi="宋体" w:cs="宋体"/>
          <w:color w:val="auto"/>
          <w:szCs w:val="21"/>
          <w:highlight w:val="none"/>
        </w:rPr>
      </w:pPr>
      <w:bookmarkStart w:id="24" w:name="_Hlk66782243"/>
      <w:r>
        <w:rPr>
          <w:rFonts w:hint="eastAsia" w:ascii="宋体" w:hAnsi="宋体" w:cs="宋体"/>
          <w:color w:val="auto"/>
          <w:szCs w:val="21"/>
          <w:highlight w:val="none"/>
        </w:rPr>
        <w:t>未</w:t>
      </w:r>
      <w:r>
        <w:rPr>
          <w:rFonts w:hint="eastAsia" w:ascii="宋体" w:hAnsi="宋体" w:cs="宋体"/>
          <w:color w:val="auto"/>
          <w:spacing w:val="-6"/>
          <w:szCs w:val="21"/>
          <w:highlight w:val="none"/>
        </w:rPr>
        <w:t>成交供应商的磋商保证金自成交通知书发出之日起5个工作日内退还；</w:t>
      </w:r>
      <w:r>
        <w:rPr>
          <w:rFonts w:hint="eastAsia" w:ascii="宋体" w:hAnsi="宋体" w:cs="宋体"/>
          <w:color w:val="auto"/>
          <w:szCs w:val="21"/>
          <w:highlight w:val="none"/>
        </w:rPr>
        <w:t>成交供应商的磋商保证金自签订合同之日起5个工作日内退还。</w:t>
      </w:r>
      <w:bookmarkEnd w:id="24"/>
      <w:r>
        <w:rPr>
          <w:rFonts w:hint="eastAsia" w:ascii="宋体" w:hAnsi="宋体" w:cs="宋体"/>
          <w:color w:val="auto"/>
          <w:szCs w:val="21"/>
          <w:highlight w:val="none"/>
        </w:rPr>
        <w:t xml:space="preserve"> </w:t>
      </w:r>
    </w:p>
    <w:p w14:paraId="3A0A4679">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17.3磋商保证金不计息。</w:t>
      </w:r>
    </w:p>
    <w:p w14:paraId="04D290E6">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 xml:space="preserve">17.4供应商有下列情形之一的，磋商保证金将不予退还： </w:t>
      </w:r>
    </w:p>
    <w:p w14:paraId="2F1C40EA">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（1）供应商在提交首次响应文件截止时间后撤回响应文件的；</w:t>
      </w:r>
    </w:p>
    <w:p w14:paraId="1F5B3DC8">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（2）未按规定提交履约保证金的；</w:t>
      </w:r>
    </w:p>
    <w:p w14:paraId="530EA074">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（3）供应商在响应文件中提供虚假材料的；</w:t>
      </w:r>
    </w:p>
    <w:p w14:paraId="534C445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（4）除因不可抗力或者磋商文件认可的情形以外，成交供应商不与采购人签订合同的；</w:t>
      </w:r>
    </w:p>
    <w:p w14:paraId="306CFF4C">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（5）供应商与采购人、其他供应商或者采购代理机构恶意串通的；</w:t>
      </w:r>
    </w:p>
    <w:p w14:paraId="5C8CB013">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（6）法律法规规定的其他情形。</w:t>
      </w:r>
    </w:p>
    <w:p w14:paraId="02620698">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18.响应文件编制的要求</w:t>
      </w:r>
    </w:p>
    <w:p w14:paraId="102FE2A8">
      <w:pPr>
        <w:spacing w:line="360" w:lineRule="auto"/>
        <w:ind w:firstLine="420" w:firstLineChars="200"/>
        <w:rPr>
          <w:rFonts w:ascii="宋体" w:hAnsi="宋体" w:cs="宋体"/>
          <w:color w:val="auto"/>
          <w:spacing w:val="-6"/>
          <w:szCs w:val="21"/>
          <w:highlight w:val="none"/>
        </w:rPr>
      </w:pPr>
      <w:r>
        <w:rPr>
          <w:rFonts w:hint="eastAsia" w:ascii="宋体" w:hAnsi="宋体" w:cs="宋体"/>
          <w:color w:val="auto"/>
          <w:szCs w:val="21"/>
          <w:highlight w:val="none"/>
        </w:rPr>
        <w:t>18.1供应商应按本磋商文件规定的格式和顺序编制响应文件并标注页码，响应文件内容</w:t>
      </w:r>
      <w:r>
        <w:rPr>
          <w:rFonts w:hint="eastAsia" w:ascii="宋体" w:hAnsi="宋体" w:cs="宋体"/>
          <w:color w:val="auto"/>
          <w:spacing w:val="-6"/>
          <w:szCs w:val="21"/>
          <w:highlight w:val="none"/>
        </w:rPr>
        <w:t>不完整、编排混乱导致响应文件被误读、漏读或者查找不到相关内容的，</w:t>
      </w:r>
      <w:r>
        <w:rPr>
          <w:rFonts w:hint="eastAsia" w:ascii="宋体" w:hAnsi="宋体" w:cs="宋体"/>
          <w:color w:val="auto"/>
          <w:highlight w:val="none"/>
        </w:rPr>
        <w:t>由此引发的</w:t>
      </w:r>
      <w:r>
        <w:rPr>
          <w:rFonts w:hint="eastAsia" w:ascii="宋体" w:hAnsi="宋体" w:cs="宋体"/>
          <w:color w:val="auto"/>
          <w:spacing w:val="-6"/>
          <w:szCs w:val="21"/>
          <w:highlight w:val="none"/>
        </w:rPr>
        <w:t>后果由供应商承担。</w:t>
      </w:r>
    </w:p>
    <w:p w14:paraId="289A391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18.2响应文件应按资格证明文件、报价商务技术文件分别编制电子文件，并按“广西政府采购云平台”的要求编制、加密、上传。</w:t>
      </w:r>
    </w:p>
    <w:p w14:paraId="1ED604A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w:t>
      </w:r>
      <w:bookmarkStart w:id="25" w:name="_Hlk65832699"/>
      <w:r>
        <w:rPr>
          <w:rFonts w:hint="eastAsia" w:ascii="宋体" w:hAnsi="宋体" w:cs="宋体"/>
          <w:color w:val="auto"/>
          <w:szCs w:val="21"/>
          <w:highlight w:val="none"/>
        </w:rPr>
        <w:t>3响应文件须由供应商在规定位置盖公章并签字</w:t>
      </w:r>
      <w:bookmarkStart w:id="26" w:name="_Hlk65832569"/>
      <w:r>
        <w:rPr>
          <w:rFonts w:hint="eastAsia" w:ascii="宋体" w:hAnsi="宋体" w:cs="宋体"/>
          <w:color w:val="auto"/>
          <w:szCs w:val="21"/>
          <w:highlight w:val="none"/>
        </w:rPr>
        <w:t>（具体以供应商须知前附表或响应文件格式规定为准）</w:t>
      </w:r>
      <w:bookmarkEnd w:id="25"/>
      <w:bookmarkEnd w:id="26"/>
      <w:r>
        <w:rPr>
          <w:rFonts w:hint="eastAsia" w:ascii="宋体" w:hAnsi="宋体" w:cs="宋体"/>
          <w:color w:val="auto"/>
          <w:szCs w:val="21"/>
          <w:highlight w:val="none"/>
        </w:rPr>
        <w:t>，否则其响应文件按无效响应处理。</w:t>
      </w:r>
    </w:p>
    <w:p w14:paraId="59ECB2D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18.4响应文件中标注的供应商名称应与营业执照（事业单位法人证书、执业许可证、自然人身份证）及公章一致，否则其响应文件按无效响应处理。</w:t>
      </w:r>
    </w:p>
    <w:p w14:paraId="36D661E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18.5响应文件应尽量避免涂改、行间插字或者删除。如果出现上述情况，改动之处应由供应商的法定代表人或者其委托代理人签字或者加盖公章。响应文件因涂改、行间插字或者删除导致字迹潦草或者表达不清所引起的后果由供应商承担。</w:t>
      </w:r>
    </w:p>
    <w:p w14:paraId="1C9588DA">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19.响应文件的加密、解密</w:t>
      </w:r>
    </w:p>
    <w:p w14:paraId="4725B87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19.1电子响应文件编制完成后，供应商应按“广西政府采购云平台”的要求进行加密，并在规定时间内解密，否则，由此产生的后果由供应商自行负责。</w:t>
      </w:r>
    </w:p>
    <w:p w14:paraId="4DB3B144">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20.响应文件的提交</w:t>
      </w:r>
    </w:p>
    <w:p w14:paraId="77DCDEF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20.1供应商必须在“供应商须知前附表”规定的时间和地点提交响应文件。</w:t>
      </w:r>
    </w:p>
    <w:p w14:paraId="161C31F1">
      <w:pPr>
        <w:widowControl/>
        <w:spacing w:line="360" w:lineRule="auto"/>
        <w:ind w:firstLine="420" w:firstLineChars="200"/>
        <w:rPr>
          <w:rFonts w:ascii="宋体" w:hAnsi="宋体" w:cs="宋体"/>
          <w:b/>
          <w:color w:val="auto"/>
          <w:szCs w:val="21"/>
          <w:highlight w:val="none"/>
        </w:rPr>
      </w:pPr>
      <w:r>
        <w:rPr>
          <w:rFonts w:hint="eastAsia" w:ascii="宋体" w:hAnsi="宋体" w:cs="宋体"/>
          <w:color w:val="auto"/>
          <w:szCs w:val="21"/>
          <w:highlight w:val="none"/>
        </w:rPr>
        <w:t>20.2本项目为全流程电子化采购项目，通过“广西政府采购云平台”（https://www.gcy.zfcg.gxzf.gov.cn/）实行在线电子竞标，供应商应先安装“广西政府采购云平台新版客户端”（新版客户端下载路径：请自行前往“广西政府采购云平台”（访问地址http://zfcg.gxzf.gov.cn/）—办事服务—下载专区），并按照本项目竞争性磋商文件和“广西政府采购云平台”的要求编制、加密后在竞标截止时间前通过网络上传至 “广西政府采购云平台”，供应商在“广西政府采购云平台”提交电子响应文件时，请填写参加远程开标活动经办人联系方式。供应商登录“广西政府采购云平台”，依次进入“服务中心-项目采购-操作流程-电子招投标-政府采购项目电子交易管理操作指南-供应商”查看电子竞标具体操作流程。</w:t>
      </w:r>
    </w:p>
    <w:p w14:paraId="2DE84D50">
      <w:pPr>
        <w:pStyle w:val="6"/>
        <w:keepNext w:val="0"/>
        <w:keepLines w:val="0"/>
        <w:spacing w:before="0" w:after="0" w:line="360" w:lineRule="auto"/>
        <w:ind w:firstLine="420" w:firstLineChars="200"/>
        <w:jc w:val="left"/>
        <w:rPr>
          <w:rFonts w:ascii="宋体" w:hAnsi="宋体" w:cs="宋体"/>
          <w:b w:val="0"/>
          <w:color w:val="auto"/>
          <w:sz w:val="21"/>
          <w:szCs w:val="21"/>
          <w:highlight w:val="none"/>
        </w:rPr>
      </w:pPr>
      <w:r>
        <w:rPr>
          <w:rFonts w:hint="eastAsia" w:ascii="宋体" w:hAnsi="宋体" w:cs="宋体"/>
          <w:b w:val="0"/>
          <w:color w:val="auto"/>
          <w:sz w:val="21"/>
          <w:szCs w:val="21"/>
          <w:highlight w:val="none"/>
        </w:rPr>
        <w:t>20.3未在规定时间内上传或者未按“广西政府采购云平台”的要求编制、加密的电子响应文件，“广西政府采购云平台”将拒收。</w:t>
      </w:r>
    </w:p>
    <w:p w14:paraId="78D36498">
      <w:pPr>
        <w:pStyle w:val="7"/>
        <w:rPr>
          <w:rFonts w:ascii="宋体" w:hAnsi="宋体" w:cs="宋体"/>
          <w:color w:val="auto"/>
          <w:szCs w:val="21"/>
          <w:highlight w:val="none"/>
        </w:rPr>
      </w:pPr>
      <w:r>
        <w:rPr>
          <w:rFonts w:hint="eastAsia" w:ascii="宋体" w:hAnsi="宋体" w:cs="宋体"/>
          <w:color w:val="auto"/>
          <w:szCs w:val="21"/>
          <w:highlight w:val="none"/>
        </w:rPr>
        <w:t>20.4电子响应文件提交方</w:t>
      </w:r>
      <w:r>
        <w:rPr>
          <w:rFonts w:hint="eastAsia" w:ascii="宋体" w:hAnsi="宋体" w:cs="宋体"/>
          <w:bCs/>
          <w:color w:val="auto"/>
          <w:szCs w:val="21"/>
          <w:highlight w:val="none"/>
        </w:rPr>
        <w:t>式见“竞争性磋商公告”</w:t>
      </w:r>
      <w:r>
        <w:rPr>
          <w:rFonts w:hint="eastAsia" w:ascii="宋体" w:hAnsi="宋体" w:cs="宋体"/>
          <w:color w:val="auto"/>
          <w:szCs w:val="21"/>
          <w:highlight w:val="none"/>
        </w:rPr>
        <w:t>中“四、响应文件提交”。</w:t>
      </w:r>
    </w:p>
    <w:p w14:paraId="3A2CD258">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21.首次响应文件的补充、修改与撤回</w:t>
      </w:r>
    </w:p>
    <w:p w14:paraId="0AC71864">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21.1供应商应当在首次响应文件提交截止时间前完成电子响应文件的上传、递交，首次响应文件提交截止时间前可以补充、修改或者撤回响应文件。补充或者修改响应文件的，应当先行撤回原文件，补充、修改后重新上传、递交。首次响应文件提交截止时间前未完成上传、递交的，视为撤回响应文件。首次响应文件提交截止时间以后上传递交的响应文件，“广西政府采购云平台”将予以拒收。</w:t>
      </w:r>
    </w:p>
    <w:p w14:paraId="601B57CF">
      <w:pPr>
        <w:spacing w:line="360" w:lineRule="auto"/>
        <w:ind w:firstLine="482" w:firstLineChars="200"/>
        <w:rPr>
          <w:rFonts w:ascii="宋体" w:hAnsi="宋体" w:cs="宋体"/>
          <w:b/>
          <w:bCs/>
          <w:color w:val="auto"/>
          <w:sz w:val="24"/>
          <w:highlight w:val="none"/>
        </w:rPr>
      </w:pPr>
      <w:bookmarkStart w:id="27" w:name="_Hlk45702405"/>
      <w:r>
        <w:rPr>
          <w:rFonts w:hint="eastAsia" w:ascii="宋体" w:hAnsi="宋体" w:cs="宋体"/>
          <w:b/>
          <w:bCs/>
          <w:color w:val="auto"/>
          <w:sz w:val="24"/>
          <w:highlight w:val="none"/>
        </w:rPr>
        <w:t>22. 首次响应文件的退回</w:t>
      </w:r>
    </w:p>
    <w:p w14:paraId="26828311">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22.1在首次响应文件提交截止时间止提交响应文件的供应商不足3家时，采购代理机构将根据“广西政府采购云平台”的操作将电子版响应文件退回，除此之外采购人和采购代理机构对已提交的电子响应文件概不退回。</w:t>
      </w:r>
    </w:p>
    <w:p w14:paraId="09650A44">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23. 截止时间后的撤回</w:t>
      </w:r>
    </w:p>
    <w:p w14:paraId="17EA204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23.1供应商在首次响应文件提交截止时间后书面通知采购人、采购代理机构书面撤回响应文件的，将根据本须知正文17.4的规定不予退还其磋商保证金。</w:t>
      </w:r>
    </w:p>
    <w:bookmarkEnd w:id="27"/>
    <w:p w14:paraId="4E29A3E9">
      <w:pPr>
        <w:spacing w:line="360" w:lineRule="auto"/>
        <w:rPr>
          <w:rFonts w:ascii="宋体" w:hAnsi="宋体" w:cs="宋体"/>
          <w:color w:val="auto"/>
          <w:szCs w:val="21"/>
          <w:highlight w:val="none"/>
        </w:rPr>
      </w:pPr>
    </w:p>
    <w:p w14:paraId="3A6B4DBB">
      <w:pPr>
        <w:spacing w:line="360" w:lineRule="auto"/>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四、评审及磋商</w:t>
      </w:r>
    </w:p>
    <w:p w14:paraId="443779D0">
      <w:pPr>
        <w:spacing w:line="360" w:lineRule="auto"/>
        <w:ind w:firstLine="482" w:firstLineChars="200"/>
        <w:rPr>
          <w:rFonts w:ascii="宋体" w:hAnsi="宋体" w:cs="宋体"/>
          <w:b/>
          <w:bCs/>
          <w:color w:val="auto"/>
          <w:sz w:val="24"/>
          <w:highlight w:val="none"/>
        </w:rPr>
      </w:pPr>
    </w:p>
    <w:p w14:paraId="257A165F">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24.磋商小组成立</w:t>
      </w:r>
    </w:p>
    <w:p w14:paraId="68FB2DB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24.1磋商小组由采购人代表和评审专家共3人以上单数组成，具体人数见“供应商须知前附表”，其中评审专家人数不得少于磋商小组成员总数的2/3。采购人代表不得以评审专家身份参加本部门或者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5人以上单数组成。</w:t>
      </w:r>
    </w:p>
    <w:p w14:paraId="23224BC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24.2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14:paraId="71AE5B8A">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25.首次响应文件的开启</w:t>
      </w:r>
    </w:p>
    <w:p w14:paraId="4244579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25.1首次响应文件由磋商小组或者采购代理机构在“供应商须知前附表”规定的时间开启。</w:t>
      </w:r>
    </w:p>
    <w:p w14:paraId="11E5161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25.2 响应文件解密：采购代理机构将在“供应商须知前附表”规定的时间通过电子交易平台组织响应文件开启，采购代理机构将依托电子交易平台发起开始解密指令，</w:t>
      </w:r>
      <w:r>
        <w:rPr>
          <w:rFonts w:hint="eastAsia" w:ascii="宋体" w:hAnsi="宋体" w:cs="宋体"/>
          <w:b/>
          <w:color w:val="auto"/>
          <w:szCs w:val="21"/>
          <w:highlight w:val="none"/>
        </w:rPr>
        <w:t>供应商的法定代表人或其委托代理人须携带加密时所用的CA锁按平台提示和采购文件的规定登录到“广西政府采购云平台”电子开标大厅签到并在发起解密指令之时起30分钟内完成对电子响应文件在线解密。</w:t>
      </w:r>
      <w:r>
        <w:rPr>
          <w:rFonts w:hint="eastAsia" w:ascii="宋体" w:hAnsi="宋体" w:cs="宋体"/>
          <w:b/>
          <w:bCs/>
          <w:color w:val="auto"/>
          <w:szCs w:val="21"/>
          <w:highlight w:val="none"/>
        </w:rPr>
        <w:t>响应文件未按时解密的，</w:t>
      </w:r>
      <w:r>
        <w:rPr>
          <w:rFonts w:hint="eastAsia" w:ascii="宋体" w:hAnsi="宋体" w:cs="宋体"/>
          <w:b/>
          <w:color w:val="auto"/>
          <w:szCs w:val="21"/>
          <w:highlight w:val="none"/>
        </w:rPr>
        <w:t>视为响应</w:t>
      </w:r>
      <w:r>
        <w:rPr>
          <w:rFonts w:hint="eastAsia" w:ascii="宋体" w:hAnsi="宋体" w:cs="宋体"/>
          <w:b/>
          <w:bCs/>
          <w:color w:val="auto"/>
          <w:szCs w:val="21"/>
          <w:highlight w:val="none"/>
        </w:rPr>
        <w:t>文件无效。</w:t>
      </w:r>
      <w:r>
        <w:rPr>
          <w:rFonts w:hint="eastAsia" w:ascii="宋体" w:hAnsi="宋体" w:cs="宋体"/>
          <w:color w:val="auto"/>
          <w:szCs w:val="21"/>
          <w:highlight w:val="none"/>
        </w:rPr>
        <w:t>（解密异常情况处理：详见本章26.2电子交易活动的中止。）</w:t>
      </w:r>
    </w:p>
    <w:p w14:paraId="52A053D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25.3成功解密响应文件的供应商不足3家的，不得磋商。</w:t>
      </w:r>
    </w:p>
    <w:p w14:paraId="0B48E9A8">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26.评审程序、评审方法和评审标准</w:t>
      </w:r>
    </w:p>
    <w:p w14:paraId="08330E1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26.1磋商小组按照“第四章 评审程序、评审方法和评审标准”规定的方法、评审因素、标准和程序对响应文件进行评审。</w:t>
      </w:r>
    </w:p>
    <w:p w14:paraId="3AC5B3FD">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26.2电子交易活动的中止。采购过程中出现以下情形，导致电子交易平台无法正常运行，或者无法保证电子交易的公平、公正和安全时，采购机构可中止电子交易活动：</w:t>
      </w:r>
    </w:p>
    <w:p w14:paraId="67CA2333">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 xml:space="preserve">（1）电子交易平台发生故障而无法登录访问的； </w:t>
      </w:r>
    </w:p>
    <w:p w14:paraId="44D5AEF1">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（2）电子交易平台应用或数据库出现错误，不能进行正常操作的；</w:t>
      </w:r>
    </w:p>
    <w:p w14:paraId="3AFFE37E">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（3）电子交易平台发现严重安全漏洞，有潜在泄密危险的；</w:t>
      </w:r>
    </w:p>
    <w:p w14:paraId="1263BFE6">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 xml:space="preserve">（4）病毒发作导致不能进行正常操作的； </w:t>
      </w:r>
    </w:p>
    <w:p w14:paraId="711449D7">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（4）其他无法保证电子交易的公平、公正和安全的情况。</w:t>
      </w:r>
    </w:p>
    <w:p w14:paraId="7512F19E">
      <w:pPr>
        <w:spacing w:line="400" w:lineRule="exact"/>
        <w:ind w:firstLine="420" w:firstLineChars="200"/>
        <w:rPr>
          <w:rFonts w:ascii="宋体" w:hAnsi="宋体" w:cs="宋体"/>
          <w:color w:val="auto"/>
          <w:szCs w:val="21"/>
          <w:highlight w:val="none"/>
        </w:rPr>
      </w:pPr>
      <w:r>
        <w:rPr>
          <w:rFonts w:hint="eastAsia" w:ascii="宋体" w:hAnsi="宋体" w:cs="宋体"/>
          <w:color w:val="auto"/>
          <w:highlight w:val="none"/>
        </w:rPr>
        <w:t>26.3出现以上情形，不影响采购公平、公正性的，采购代理机构可以待上述情形消除后继续组织电子交易活动；影响或可能影响采购公平、公正性的，经采购代理机构确认后，应当重新采购。</w:t>
      </w:r>
    </w:p>
    <w:p w14:paraId="35A4EC5F">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27.确定成交供应商及结果公告</w:t>
      </w:r>
    </w:p>
    <w:p w14:paraId="1661EFA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27.1</w:t>
      </w:r>
      <w:r>
        <w:rPr>
          <w:rFonts w:hint="eastAsia" w:ascii="宋体" w:hAnsi="宋体" w:cs="宋体"/>
          <w:color w:val="auto"/>
          <w:kern w:val="0"/>
          <w:szCs w:val="21"/>
          <w:highlight w:val="none"/>
        </w:rPr>
        <w:t xml:space="preserve"> </w:t>
      </w:r>
      <w:r>
        <w:rPr>
          <w:rFonts w:hint="eastAsia" w:ascii="宋体" w:hAnsi="宋体" w:cs="宋体"/>
          <w:color w:val="auto"/>
          <w:szCs w:val="21"/>
          <w:highlight w:val="none"/>
        </w:rPr>
        <w:t>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4D84133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27.2采购代理机构应当在</w:t>
      </w:r>
      <w:r>
        <w:rPr>
          <w:rFonts w:hint="eastAsia" w:ascii="宋体" w:hAnsi="宋体" w:cs="宋体"/>
          <w:color w:val="auto"/>
          <w:kern w:val="0"/>
          <w:szCs w:val="21"/>
          <w:highlight w:val="none"/>
        </w:rPr>
        <w:t>成交</w:t>
      </w:r>
      <w:r>
        <w:rPr>
          <w:rFonts w:hint="eastAsia" w:ascii="宋体" w:hAnsi="宋体" w:cs="宋体"/>
          <w:color w:val="auto"/>
          <w:szCs w:val="21"/>
          <w:highlight w:val="none"/>
        </w:rPr>
        <w:t>供应商确定后2个工作日内，在省级以上财政部门指定的媒体上公告成交结果，同时向成交供应商发出成交通知书。</w:t>
      </w:r>
      <w:r>
        <w:rPr>
          <w:rFonts w:hint="eastAsia" w:ascii="宋体" w:hAnsi="宋体" w:cs="宋体"/>
          <w:b/>
          <w:color w:val="auto"/>
          <w:szCs w:val="21"/>
          <w:highlight w:val="none"/>
        </w:rPr>
        <w:t>采购人或者采购代理机构发出成交通知书前，应当对成交供应商信用进行查询，对列入失信被执行人、重大税收违法案件当事人名单、政府采购严重违法失信行为记录名单及其他不符合《中华人民共和国政府采购法》第二十二条规定条件的供应商，取消其成交资格，并确定排名第二的成交候选人为成交供应商。</w:t>
      </w:r>
      <w:r>
        <w:rPr>
          <w:rFonts w:hint="eastAsia" w:ascii="宋体" w:hAnsi="宋体" w:cs="宋体"/>
          <w:color w:val="auto"/>
          <w:szCs w:val="21"/>
          <w:highlight w:val="none"/>
        </w:rPr>
        <w:t>排名第二的成交候选人因上述规定的同样原因被取消成交资格的，采购人可以确定排名第三的成交候选人为成交供应商，以此类推。以上信息查询记录及相关证据与磋商文件一并保存。</w:t>
      </w:r>
      <w:bookmarkStart w:id="28" w:name="_Hlk66782294"/>
      <w:r>
        <w:rPr>
          <w:rFonts w:hint="eastAsia" w:ascii="宋体" w:hAnsi="宋体" w:cs="宋体"/>
          <w:color w:val="auto"/>
          <w:szCs w:val="21"/>
          <w:highlight w:val="none"/>
        </w:rPr>
        <w:t>成交供应商享受《政府采购促进中小企业发展管理办法》（财库〔2020〕46号）规定的中小企业扶持政策的，采购人、采购代理机构应当随成交结果公开成交供应商的《中小企业声明函》。</w:t>
      </w:r>
      <w:bookmarkEnd w:id="28"/>
    </w:p>
    <w:p w14:paraId="7F7B876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27.3成交供应商拒绝签订政府采购合同（包括但不限于放弃成交、因不可抗力不能履行合同而放弃签订合同），采购人可以按照评审报告推荐的成交候选人名单排序，确定下一候选人为成交供应商，也可以重新开展政府采购活动。拒绝签订政府采购合同的成交供应商不得参加对该项目重新开展的采购活动。</w:t>
      </w:r>
    </w:p>
    <w:p w14:paraId="21E30BDA">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28.履约保证金</w:t>
      </w:r>
    </w:p>
    <w:p w14:paraId="50138856">
      <w:pPr>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28.1 履约保证金的金额、提交方式、退付的时间和条件详见 “供应商须知前附表”。成交供应商未按规定提交履约保证金的，视为拒绝</w:t>
      </w:r>
      <w:r>
        <w:rPr>
          <w:rFonts w:hint="eastAsia" w:ascii="宋体" w:hAnsi="宋体" w:cs="宋体"/>
          <w:color w:val="auto"/>
          <w:highlight w:val="none"/>
        </w:rPr>
        <w:t>与采购人</w:t>
      </w:r>
      <w:r>
        <w:rPr>
          <w:rFonts w:hint="eastAsia" w:ascii="宋体" w:hAnsi="宋体" w:cs="宋体"/>
          <w:color w:val="auto"/>
          <w:szCs w:val="21"/>
          <w:highlight w:val="none"/>
        </w:rPr>
        <w:t>签订合同。</w:t>
      </w:r>
    </w:p>
    <w:p w14:paraId="1F97FCDC">
      <w:pPr>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28.2在履约保证金退还日期前，若成交供应商的开户名称、开户银行、帐号有变动的，请以书面形式通知履约保证金收取单位，否则由此产生的后果由成交供应商自行承担。</w:t>
      </w:r>
    </w:p>
    <w:p w14:paraId="78413D8A">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29.签订合同</w:t>
      </w:r>
    </w:p>
    <w:p w14:paraId="18163421">
      <w:pPr>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29.1成交供应商在收到成交通知书（书面或电子）后，应当在签订合同时向采购人出示相关证明材料，具体内容详见 “供应商须知前附表”，经采购人核验合格后方可签订合同（书面或电子）。</w:t>
      </w:r>
    </w:p>
    <w:p w14:paraId="01C6EAD0">
      <w:pPr>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29.2 签订合同时间：按成交通知书规定的时间与采购人签订政府采购合同（最长不能超过25日）。</w:t>
      </w:r>
    </w:p>
    <w:p w14:paraId="55DDC18D">
      <w:pPr>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29.3成交供应商拒绝与采购人签订合同的，按照本须知正文第27.3条的规定执行。</w:t>
      </w:r>
    </w:p>
    <w:p w14:paraId="0B04AACF">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30.政府采购合同公告</w:t>
      </w:r>
    </w:p>
    <w:p w14:paraId="6FB29CC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14:paraId="6EC0BFC5">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31. 询问、质疑和投诉</w:t>
      </w:r>
    </w:p>
    <w:p w14:paraId="60CF9F8F">
      <w:pPr>
        <w:pStyle w:val="7"/>
        <w:spacing w:line="360" w:lineRule="auto"/>
        <w:rPr>
          <w:rFonts w:ascii="宋体" w:hAnsi="宋体" w:cs="宋体"/>
          <w:color w:val="auto"/>
          <w:szCs w:val="21"/>
          <w:highlight w:val="none"/>
        </w:rPr>
      </w:pPr>
      <w:r>
        <w:rPr>
          <w:rFonts w:hint="eastAsia" w:ascii="宋体" w:hAnsi="宋体" w:cs="宋体"/>
          <w:color w:val="auto"/>
          <w:highlight w:val="none"/>
        </w:rPr>
        <w:t>31.1供应商对政府采购活动事项有疑问的，可以向采购人、采购代理机构提出询问，采购人或者采购代理机构应当在3个工作日内对供应商依法提出的询问作出答复，</w:t>
      </w:r>
      <w:r>
        <w:rPr>
          <w:rFonts w:hint="eastAsia" w:ascii="宋体" w:hAnsi="宋体" w:cs="宋体"/>
          <w:color w:val="auto"/>
          <w:szCs w:val="21"/>
          <w:highlight w:val="none"/>
        </w:rPr>
        <w:t>但答复的内容不得涉及商业秘密</w:t>
      </w:r>
      <w:r>
        <w:rPr>
          <w:rFonts w:hint="eastAsia" w:ascii="宋体" w:hAnsi="宋体" w:cs="宋体"/>
          <w:color w:val="auto"/>
          <w:highlight w:val="none"/>
        </w:rPr>
        <w:t>。</w:t>
      </w:r>
    </w:p>
    <w:p w14:paraId="151A71FD">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31.2供应商认为磋商文件、采购过程或者成交结果使自己的合法权益受到损害的，应当在知道或者应知其权益受到损害之日起7个工作日内，以纸质书面形式向采购人、采购代理机构提出质疑，</w:t>
      </w:r>
      <w:r>
        <w:rPr>
          <w:rFonts w:hint="eastAsia" w:ascii="宋体" w:hAnsi="宋体" w:cs="宋体"/>
          <w:color w:val="auto"/>
          <w:highlight w:val="none"/>
          <w:shd w:val="clear" w:color="auto" w:fill="FFFFFF"/>
        </w:rPr>
        <w:t>接收质疑函的方式、联系部门、联系电话和通讯地址等信息详见</w:t>
      </w:r>
      <w:r>
        <w:rPr>
          <w:rFonts w:hint="eastAsia" w:ascii="宋体" w:hAnsi="宋体" w:cs="宋体"/>
          <w:color w:val="auto"/>
          <w:szCs w:val="21"/>
          <w:highlight w:val="none"/>
        </w:rPr>
        <w:t>“供应商须知前附表”</w:t>
      </w:r>
      <w:r>
        <w:rPr>
          <w:rFonts w:hint="eastAsia" w:ascii="宋体" w:hAnsi="宋体" w:cs="宋体"/>
          <w:color w:val="auto"/>
          <w:highlight w:val="none"/>
        </w:rPr>
        <w:t>。具体质疑起算时间如下：</w:t>
      </w:r>
    </w:p>
    <w:p w14:paraId="686B971A">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（1）对可以质疑的磋商文件提出质疑的，为收到磋商文件之日或者竞争性磋商公告期限届满之日；</w:t>
      </w:r>
    </w:p>
    <w:p w14:paraId="4381178E">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（2）对采购过程提出质疑的，为各采购程序环节结束之日；</w:t>
      </w:r>
    </w:p>
    <w:p w14:paraId="267471B9">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（3）对成交结果提出质疑的，为成交结果公告期限届满之日。</w:t>
      </w:r>
    </w:p>
    <w:p w14:paraId="29D7BD97">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31.3供应商提出的询问或者质疑超出采购人对采购代理机构委托授权范围的，采购代理机构应当告知供应商向采购人提出。政府采购评审专家应当配合采购人或者采购代理机构答复供应商的询问和质疑。</w:t>
      </w:r>
    </w:p>
    <w:p w14:paraId="649AE5FA">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31.4 供应商提出质疑应当提交质疑函和必要的证明材料，针对同一采购程序环节的质疑必须在法定质疑期内一次性提出。质疑函应当包括下列内容</w:t>
      </w:r>
      <w:r>
        <w:rPr>
          <w:rFonts w:hint="eastAsia" w:ascii="宋体" w:hAnsi="宋体" w:cs="宋体"/>
          <w:bCs/>
          <w:color w:val="auto"/>
          <w:highlight w:val="none"/>
        </w:rPr>
        <w:t>（质疑函格式后附）</w:t>
      </w:r>
      <w:r>
        <w:rPr>
          <w:rFonts w:hint="eastAsia" w:ascii="宋体" w:hAnsi="宋体" w:cs="宋体"/>
          <w:color w:val="auto"/>
          <w:highlight w:val="none"/>
        </w:rPr>
        <w:t>：</w:t>
      </w:r>
    </w:p>
    <w:p w14:paraId="42C754B7">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（1）供应商的姓名或者名称、地址、邮编、联系人及联系电话；</w:t>
      </w:r>
    </w:p>
    <w:p w14:paraId="5C53155F">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（2）质疑项目的名称、编号；</w:t>
      </w:r>
    </w:p>
    <w:p w14:paraId="01E9CAF8">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（3）具体、明确的质疑事项和与质疑事项相关的请求；</w:t>
      </w:r>
    </w:p>
    <w:p w14:paraId="5020A089">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（4）事实依据；</w:t>
      </w:r>
    </w:p>
    <w:p w14:paraId="6DF4B9A3">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（5）必要的法律依据；</w:t>
      </w:r>
    </w:p>
    <w:p w14:paraId="68D6C4ED">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（6）提出质疑的日期。</w:t>
      </w:r>
    </w:p>
    <w:p w14:paraId="3397C311">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供应商为自然人的，应当由本人签字；供应商为法人或者其他组织的，应当由法定代表人、主要负责人，或者其委托代理人签字或者盖章，并加盖公章。</w:t>
      </w:r>
    </w:p>
    <w:p w14:paraId="4D3A9D61">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31.5采购人、采购代理机构认为供应商质疑不成立，或者成立但未对成交结果构成影响的，继续开展采购活动；认为供应商质疑成立且影响或者可能影响成交结果的，按照下列情况处理：</w:t>
      </w:r>
    </w:p>
    <w:p w14:paraId="61FF3CC6">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（1）对采购文件提出的质疑，依法通过澄清或者修改可以继续开展采购活动的，澄清或者修改采购文件后继续开展采购活动；否则应当修改采购文件后重新开展采购活动。</w:t>
      </w:r>
    </w:p>
    <w:p w14:paraId="2B0F460C">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（2）对采购过程或者成交结果提出的质疑，合格供应商符合法定数量时，可以从合格的成交候选人中另行确定成交供应商的，应当依法另行确定成交供应商；否则应当重新开展采购活动。</w:t>
      </w:r>
    </w:p>
    <w:p w14:paraId="2737514F">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质疑答复导致成交结果改变的，采购人或者采购代理机构应当将有关情况书面报告本级财政部门。</w:t>
      </w:r>
    </w:p>
    <w:p w14:paraId="0D3607E7">
      <w:pPr>
        <w:spacing w:line="360" w:lineRule="auto"/>
        <w:ind w:firstLine="420" w:firstLineChars="200"/>
        <w:rPr>
          <w:rFonts w:ascii="宋体" w:hAnsi="宋体" w:cs="宋体"/>
          <w:color w:val="auto"/>
          <w:szCs w:val="21"/>
          <w:highlight w:val="none"/>
        </w:rPr>
      </w:pPr>
      <w:r>
        <w:rPr>
          <w:rFonts w:hint="eastAsia" w:ascii="宋体" w:hAnsi="宋体" w:cs="宋体"/>
          <w:color w:val="auto"/>
          <w:highlight w:val="none"/>
        </w:rPr>
        <w:t>31.6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p>
    <w:p w14:paraId="216C6A09">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32.其他内容</w:t>
      </w:r>
    </w:p>
    <w:p w14:paraId="1141BF20">
      <w:pPr>
        <w:tabs>
          <w:tab w:val="left" w:pos="2835"/>
        </w:tabs>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32</w:t>
      </w:r>
      <w:r>
        <w:rPr>
          <w:rFonts w:hint="eastAsia" w:ascii="宋体" w:hAnsi="宋体" w:cs="宋体"/>
          <w:color w:val="auto"/>
          <w:szCs w:val="21"/>
          <w:highlight w:val="none"/>
        </w:rPr>
        <w:t>.1代理服务费：代理服务收取标准及缴费账户详见“供应商须知前附表”。</w:t>
      </w:r>
    </w:p>
    <w:p w14:paraId="514F0DAD">
      <w:pPr>
        <w:tabs>
          <w:tab w:val="left" w:pos="2835"/>
        </w:tabs>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32.2</w:t>
      </w:r>
      <w:r>
        <w:rPr>
          <w:rFonts w:hint="eastAsia" w:ascii="宋体" w:hAnsi="宋体" w:cs="宋体"/>
          <w:color w:val="auto"/>
          <w:szCs w:val="21"/>
          <w:highlight w:val="none"/>
        </w:rPr>
        <w:t>代理服务费收费计算标准：</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2"/>
        <w:gridCol w:w="1659"/>
        <w:gridCol w:w="1532"/>
        <w:gridCol w:w="1546"/>
      </w:tblGrid>
      <w:tr w14:paraId="7B91E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Borders>
              <w:tl2br w:val="single" w:color="auto" w:sz="4" w:space="0"/>
            </w:tcBorders>
          </w:tcPr>
          <w:p w14:paraId="5F1C997C">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服务类型</w:t>
            </w:r>
          </w:p>
          <w:p w14:paraId="06D051EE">
            <w:pPr>
              <w:spacing w:line="360" w:lineRule="auto"/>
              <w:rPr>
                <w:rFonts w:ascii="宋体" w:hAnsi="宋体" w:cs="宋体"/>
                <w:color w:val="auto"/>
                <w:szCs w:val="21"/>
                <w:highlight w:val="none"/>
              </w:rPr>
            </w:pPr>
            <w:r>
              <w:rPr>
                <w:rFonts w:hint="eastAsia" w:ascii="宋体" w:hAnsi="宋体" w:cs="宋体"/>
                <w:color w:val="auto"/>
                <w:szCs w:val="21"/>
                <w:highlight w:val="none"/>
              </w:rPr>
              <w:t>金额</w:t>
            </w:r>
          </w:p>
        </w:tc>
        <w:tc>
          <w:tcPr>
            <w:tcW w:w="1659" w:type="dxa"/>
            <w:vAlign w:val="center"/>
          </w:tcPr>
          <w:p w14:paraId="580DEC6C">
            <w:pPr>
              <w:spacing w:line="360" w:lineRule="auto"/>
              <w:ind w:firstLine="105" w:firstLineChars="50"/>
              <w:jc w:val="center"/>
              <w:rPr>
                <w:rFonts w:ascii="宋体" w:hAnsi="宋体" w:cs="宋体"/>
                <w:color w:val="auto"/>
                <w:szCs w:val="21"/>
                <w:highlight w:val="none"/>
              </w:rPr>
            </w:pPr>
            <w:r>
              <w:rPr>
                <w:rFonts w:hint="eastAsia" w:ascii="宋体" w:hAnsi="宋体" w:cs="宋体"/>
                <w:color w:val="auto"/>
                <w:szCs w:val="21"/>
                <w:highlight w:val="none"/>
              </w:rPr>
              <w:t>货物类</w:t>
            </w:r>
          </w:p>
        </w:tc>
        <w:tc>
          <w:tcPr>
            <w:tcW w:w="1532" w:type="dxa"/>
            <w:vAlign w:val="center"/>
          </w:tcPr>
          <w:p w14:paraId="0B5EBA62">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服务类</w:t>
            </w:r>
          </w:p>
        </w:tc>
        <w:tc>
          <w:tcPr>
            <w:tcW w:w="1546" w:type="dxa"/>
            <w:vAlign w:val="center"/>
          </w:tcPr>
          <w:p w14:paraId="2E813A3C">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工程类</w:t>
            </w:r>
          </w:p>
        </w:tc>
      </w:tr>
      <w:tr w14:paraId="71326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6311A81B">
            <w:pPr>
              <w:spacing w:line="360" w:lineRule="auto"/>
              <w:rPr>
                <w:rFonts w:ascii="宋体" w:hAnsi="宋体" w:cs="宋体"/>
                <w:color w:val="auto"/>
                <w:szCs w:val="21"/>
                <w:highlight w:val="none"/>
              </w:rPr>
            </w:pPr>
            <w:r>
              <w:rPr>
                <w:rFonts w:hint="eastAsia" w:ascii="宋体" w:hAnsi="宋体" w:cs="宋体"/>
                <w:color w:val="auto"/>
                <w:szCs w:val="21"/>
                <w:highlight w:val="none"/>
              </w:rPr>
              <w:t>100万元以下</w:t>
            </w:r>
          </w:p>
        </w:tc>
        <w:tc>
          <w:tcPr>
            <w:tcW w:w="1659" w:type="dxa"/>
          </w:tcPr>
          <w:p w14:paraId="7C85CC94">
            <w:pPr>
              <w:spacing w:line="360" w:lineRule="auto"/>
              <w:rPr>
                <w:rFonts w:ascii="宋体" w:hAnsi="宋体" w:cs="宋体"/>
                <w:color w:val="auto"/>
                <w:szCs w:val="21"/>
                <w:highlight w:val="none"/>
              </w:rPr>
            </w:pPr>
            <w:r>
              <w:rPr>
                <w:rFonts w:hint="eastAsia" w:ascii="宋体" w:hAnsi="宋体" w:cs="宋体"/>
                <w:color w:val="auto"/>
                <w:kern w:val="0"/>
                <w:szCs w:val="21"/>
                <w:highlight w:val="none"/>
              </w:rPr>
              <w:t xml:space="preserve">  1.5%                </w:t>
            </w:r>
          </w:p>
        </w:tc>
        <w:tc>
          <w:tcPr>
            <w:tcW w:w="1532" w:type="dxa"/>
          </w:tcPr>
          <w:p w14:paraId="35C5CEFE">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1.5%</w:t>
            </w:r>
          </w:p>
        </w:tc>
        <w:tc>
          <w:tcPr>
            <w:tcW w:w="1546" w:type="dxa"/>
          </w:tcPr>
          <w:p w14:paraId="3DBE0666">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 xml:space="preserve">1.0% </w:t>
            </w:r>
          </w:p>
        </w:tc>
      </w:tr>
      <w:tr w14:paraId="45FA2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1705B361">
            <w:pPr>
              <w:spacing w:line="360" w:lineRule="auto"/>
              <w:rPr>
                <w:rFonts w:ascii="宋体" w:hAnsi="宋体" w:cs="宋体"/>
                <w:color w:val="auto"/>
                <w:szCs w:val="21"/>
                <w:highlight w:val="none"/>
              </w:rPr>
            </w:pPr>
            <w:r>
              <w:rPr>
                <w:rFonts w:hint="eastAsia" w:ascii="宋体" w:hAnsi="宋体" w:cs="宋体"/>
                <w:color w:val="auto"/>
                <w:szCs w:val="21"/>
                <w:highlight w:val="none"/>
              </w:rPr>
              <w:t>100～500万元</w:t>
            </w:r>
          </w:p>
        </w:tc>
        <w:tc>
          <w:tcPr>
            <w:tcW w:w="1659" w:type="dxa"/>
          </w:tcPr>
          <w:p w14:paraId="32A10AC2">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 xml:space="preserve">1.1%                 </w:t>
            </w:r>
          </w:p>
        </w:tc>
        <w:tc>
          <w:tcPr>
            <w:tcW w:w="1532" w:type="dxa"/>
          </w:tcPr>
          <w:p w14:paraId="36ACCE9C">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0.8%</w:t>
            </w:r>
          </w:p>
        </w:tc>
        <w:tc>
          <w:tcPr>
            <w:tcW w:w="1546" w:type="dxa"/>
          </w:tcPr>
          <w:p w14:paraId="2F18B8C6">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 xml:space="preserve">0.7% </w:t>
            </w:r>
          </w:p>
        </w:tc>
      </w:tr>
      <w:tr w14:paraId="7537F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2F9509AE">
            <w:pPr>
              <w:spacing w:line="360" w:lineRule="auto"/>
              <w:rPr>
                <w:rFonts w:ascii="宋体" w:hAnsi="宋体" w:cs="宋体"/>
                <w:color w:val="auto"/>
                <w:szCs w:val="21"/>
                <w:highlight w:val="none"/>
              </w:rPr>
            </w:pPr>
            <w:r>
              <w:rPr>
                <w:rFonts w:hint="eastAsia" w:ascii="宋体" w:hAnsi="宋体" w:cs="宋体"/>
                <w:color w:val="auto"/>
                <w:szCs w:val="21"/>
                <w:highlight w:val="none"/>
              </w:rPr>
              <w:t>500～1000万元</w:t>
            </w:r>
          </w:p>
        </w:tc>
        <w:tc>
          <w:tcPr>
            <w:tcW w:w="1659" w:type="dxa"/>
          </w:tcPr>
          <w:p w14:paraId="3CAFB4E2">
            <w:pPr>
              <w:spacing w:line="360" w:lineRule="auto"/>
              <w:rPr>
                <w:rFonts w:ascii="宋体" w:hAnsi="宋体" w:cs="宋体"/>
                <w:color w:val="auto"/>
                <w:szCs w:val="21"/>
                <w:highlight w:val="none"/>
              </w:rPr>
            </w:pPr>
            <w:r>
              <w:rPr>
                <w:rFonts w:hint="eastAsia" w:ascii="宋体" w:hAnsi="宋体" w:cs="宋体"/>
                <w:color w:val="auto"/>
                <w:kern w:val="0"/>
                <w:szCs w:val="21"/>
                <w:highlight w:val="none"/>
              </w:rPr>
              <w:t xml:space="preserve">  0.8%                </w:t>
            </w:r>
          </w:p>
        </w:tc>
        <w:tc>
          <w:tcPr>
            <w:tcW w:w="1532" w:type="dxa"/>
          </w:tcPr>
          <w:p w14:paraId="24A129A7">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0.45%</w:t>
            </w:r>
          </w:p>
        </w:tc>
        <w:tc>
          <w:tcPr>
            <w:tcW w:w="1546" w:type="dxa"/>
          </w:tcPr>
          <w:p w14:paraId="3EB3594F">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0.55%</w:t>
            </w:r>
          </w:p>
        </w:tc>
      </w:tr>
      <w:tr w14:paraId="24645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3716683C">
            <w:pPr>
              <w:spacing w:line="360" w:lineRule="auto"/>
              <w:rPr>
                <w:rFonts w:ascii="宋体" w:hAnsi="宋体" w:cs="宋体"/>
                <w:color w:val="auto"/>
                <w:szCs w:val="21"/>
                <w:highlight w:val="none"/>
              </w:rPr>
            </w:pPr>
            <w:r>
              <w:rPr>
                <w:rFonts w:hint="eastAsia" w:ascii="宋体" w:hAnsi="宋体" w:cs="宋体"/>
                <w:color w:val="auto"/>
                <w:szCs w:val="21"/>
                <w:highlight w:val="none"/>
              </w:rPr>
              <w:t>1000～5000万元</w:t>
            </w:r>
          </w:p>
        </w:tc>
        <w:tc>
          <w:tcPr>
            <w:tcW w:w="1659" w:type="dxa"/>
          </w:tcPr>
          <w:p w14:paraId="0444790D">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 xml:space="preserve">0.5%                </w:t>
            </w:r>
          </w:p>
        </w:tc>
        <w:tc>
          <w:tcPr>
            <w:tcW w:w="1532" w:type="dxa"/>
          </w:tcPr>
          <w:p w14:paraId="38660359">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0.25%</w:t>
            </w:r>
          </w:p>
        </w:tc>
        <w:tc>
          <w:tcPr>
            <w:tcW w:w="1546" w:type="dxa"/>
          </w:tcPr>
          <w:p w14:paraId="5C470C83">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 xml:space="preserve">0.35% </w:t>
            </w:r>
          </w:p>
        </w:tc>
      </w:tr>
      <w:tr w14:paraId="028E6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2E63153B">
            <w:pPr>
              <w:spacing w:line="360" w:lineRule="auto"/>
              <w:rPr>
                <w:rFonts w:ascii="宋体" w:hAnsi="宋体" w:cs="宋体"/>
                <w:color w:val="auto"/>
                <w:szCs w:val="21"/>
                <w:highlight w:val="none"/>
              </w:rPr>
            </w:pPr>
            <w:r>
              <w:rPr>
                <w:rFonts w:hint="eastAsia" w:ascii="宋体" w:hAnsi="宋体" w:cs="宋体"/>
                <w:color w:val="auto"/>
                <w:szCs w:val="21"/>
                <w:highlight w:val="none"/>
              </w:rPr>
              <w:t>5000万元～1亿元</w:t>
            </w:r>
          </w:p>
        </w:tc>
        <w:tc>
          <w:tcPr>
            <w:tcW w:w="1659" w:type="dxa"/>
          </w:tcPr>
          <w:p w14:paraId="24B4AC88">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 xml:space="preserve">0.25%                 </w:t>
            </w:r>
          </w:p>
        </w:tc>
        <w:tc>
          <w:tcPr>
            <w:tcW w:w="1532" w:type="dxa"/>
          </w:tcPr>
          <w:p w14:paraId="331BA4F6">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0.1%</w:t>
            </w:r>
          </w:p>
        </w:tc>
        <w:tc>
          <w:tcPr>
            <w:tcW w:w="1546" w:type="dxa"/>
          </w:tcPr>
          <w:p w14:paraId="1B305FFA">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0.2%</w:t>
            </w:r>
          </w:p>
        </w:tc>
      </w:tr>
      <w:tr w14:paraId="57C3E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6787542E">
            <w:pPr>
              <w:spacing w:line="360" w:lineRule="auto"/>
              <w:rPr>
                <w:rFonts w:ascii="宋体" w:hAnsi="宋体" w:cs="宋体"/>
                <w:color w:val="auto"/>
                <w:szCs w:val="21"/>
                <w:highlight w:val="none"/>
              </w:rPr>
            </w:pPr>
            <w:r>
              <w:rPr>
                <w:rFonts w:hint="eastAsia" w:ascii="宋体" w:hAnsi="宋体" w:cs="宋体"/>
                <w:color w:val="auto"/>
                <w:szCs w:val="21"/>
                <w:highlight w:val="none"/>
              </w:rPr>
              <w:t>1～5亿元</w:t>
            </w:r>
          </w:p>
        </w:tc>
        <w:tc>
          <w:tcPr>
            <w:tcW w:w="1659" w:type="dxa"/>
          </w:tcPr>
          <w:p w14:paraId="6CF0555E">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0.05%</w:t>
            </w:r>
          </w:p>
        </w:tc>
        <w:tc>
          <w:tcPr>
            <w:tcW w:w="1532" w:type="dxa"/>
          </w:tcPr>
          <w:p w14:paraId="1137088C">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0.05%</w:t>
            </w:r>
          </w:p>
        </w:tc>
        <w:tc>
          <w:tcPr>
            <w:tcW w:w="1546" w:type="dxa"/>
          </w:tcPr>
          <w:p w14:paraId="3CF467A6">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0.05%</w:t>
            </w:r>
          </w:p>
        </w:tc>
      </w:tr>
      <w:tr w14:paraId="3D7D4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48A6965D">
            <w:pPr>
              <w:spacing w:line="360" w:lineRule="auto"/>
              <w:rPr>
                <w:rFonts w:ascii="宋体" w:hAnsi="宋体" w:cs="宋体"/>
                <w:color w:val="auto"/>
                <w:szCs w:val="21"/>
                <w:highlight w:val="none"/>
              </w:rPr>
            </w:pPr>
            <w:r>
              <w:rPr>
                <w:rFonts w:hint="eastAsia" w:ascii="宋体" w:hAnsi="宋体" w:cs="宋体"/>
                <w:color w:val="auto"/>
                <w:szCs w:val="21"/>
                <w:highlight w:val="none"/>
              </w:rPr>
              <w:t>5～10亿元</w:t>
            </w:r>
          </w:p>
        </w:tc>
        <w:tc>
          <w:tcPr>
            <w:tcW w:w="1659" w:type="dxa"/>
          </w:tcPr>
          <w:p w14:paraId="3F0E44E7">
            <w:pPr>
              <w:spacing w:line="360" w:lineRule="auto"/>
              <w:ind w:firstLine="105" w:firstLineChars="50"/>
              <w:rPr>
                <w:rFonts w:ascii="宋体" w:hAnsi="宋体" w:cs="宋体"/>
                <w:color w:val="auto"/>
                <w:szCs w:val="21"/>
                <w:highlight w:val="none"/>
              </w:rPr>
            </w:pPr>
            <w:r>
              <w:rPr>
                <w:rFonts w:hint="eastAsia" w:ascii="宋体" w:hAnsi="宋体" w:cs="宋体"/>
                <w:color w:val="auto"/>
                <w:szCs w:val="21"/>
                <w:highlight w:val="none"/>
              </w:rPr>
              <w:t>0.035%</w:t>
            </w:r>
          </w:p>
        </w:tc>
        <w:tc>
          <w:tcPr>
            <w:tcW w:w="1532" w:type="dxa"/>
          </w:tcPr>
          <w:p w14:paraId="18A4D76C">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0.035%</w:t>
            </w:r>
          </w:p>
        </w:tc>
        <w:tc>
          <w:tcPr>
            <w:tcW w:w="1546" w:type="dxa"/>
          </w:tcPr>
          <w:p w14:paraId="09BF1D57">
            <w:pPr>
              <w:spacing w:line="360" w:lineRule="auto"/>
              <w:ind w:firstLine="105" w:firstLineChars="50"/>
              <w:rPr>
                <w:rFonts w:ascii="宋体" w:hAnsi="宋体" w:cs="宋体"/>
                <w:color w:val="auto"/>
                <w:szCs w:val="21"/>
                <w:highlight w:val="none"/>
              </w:rPr>
            </w:pPr>
            <w:r>
              <w:rPr>
                <w:rFonts w:hint="eastAsia" w:ascii="宋体" w:hAnsi="宋体" w:cs="宋体"/>
                <w:color w:val="auto"/>
                <w:szCs w:val="21"/>
                <w:highlight w:val="none"/>
              </w:rPr>
              <w:t>0.035%</w:t>
            </w:r>
          </w:p>
        </w:tc>
      </w:tr>
      <w:tr w14:paraId="74892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6495B44E">
            <w:pPr>
              <w:spacing w:line="360" w:lineRule="auto"/>
              <w:rPr>
                <w:rFonts w:ascii="宋体" w:hAnsi="宋体" w:cs="宋体"/>
                <w:color w:val="auto"/>
                <w:szCs w:val="21"/>
                <w:highlight w:val="none"/>
              </w:rPr>
            </w:pPr>
            <w:r>
              <w:rPr>
                <w:rFonts w:hint="eastAsia" w:ascii="宋体" w:hAnsi="宋体" w:cs="宋体"/>
                <w:color w:val="auto"/>
                <w:szCs w:val="21"/>
                <w:highlight w:val="none"/>
              </w:rPr>
              <w:t>10～50亿元</w:t>
            </w:r>
          </w:p>
        </w:tc>
        <w:tc>
          <w:tcPr>
            <w:tcW w:w="1659" w:type="dxa"/>
          </w:tcPr>
          <w:p w14:paraId="01C0ED2C">
            <w:pPr>
              <w:spacing w:line="360" w:lineRule="auto"/>
              <w:ind w:firstLine="105" w:firstLineChars="50"/>
              <w:rPr>
                <w:rFonts w:ascii="宋体" w:hAnsi="宋体" w:cs="宋体"/>
                <w:color w:val="auto"/>
                <w:szCs w:val="21"/>
                <w:highlight w:val="none"/>
              </w:rPr>
            </w:pPr>
            <w:r>
              <w:rPr>
                <w:rFonts w:hint="eastAsia" w:ascii="宋体" w:hAnsi="宋体" w:cs="宋体"/>
                <w:color w:val="auto"/>
                <w:szCs w:val="21"/>
                <w:highlight w:val="none"/>
              </w:rPr>
              <w:t>0.008%</w:t>
            </w:r>
          </w:p>
        </w:tc>
        <w:tc>
          <w:tcPr>
            <w:tcW w:w="1532" w:type="dxa"/>
          </w:tcPr>
          <w:p w14:paraId="66987121">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0.008%</w:t>
            </w:r>
          </w:p>
        </w:tc>
        <w:tc>
          <w:tcPr>
            <w:tcW w:w="1546" w:type="dxa"/>
          </w:tcPr>
          <w:p w14:paraId="35FB4C91">
            <w:pPr>
              <w:spacing w:line="360" w:lineRule="auto"/>
              <w:ind w:firstLine="105" w:firstLineChars="50"/>
              <w:rPr>
                <w:rFonts w:ascii="宋体" w:hAnsi="宋体" w:cs="宋体"/>
                <w:color w:val="auto"/>
                <w:szCs w:val="21"/>
                <w:highlight w:val="none"/>
              </w:rPr>
            </w:pPr>
            <w:r>
              <w:rPr>
                <w:rFonts w:hint="eastAsia" w:ascii="宋体" w:hAnsi="宋体" w:cs="宋体"/>
                <w:color w:val="auto"/>
                <w:szCs w:val="21"/>
                <w:highlight w:val="none"/>
              </w:rPr>
              <w:t>0.008%</w:t>
            </w:r>
          </w:p>
        </w:tc>
      </w:tr>
      <w:tr w14:paraId="223F3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6BA41D67">
            <w:pPr>
              <w:spacing w:line="360" w:lineRule="auto"/>
              <w:rPr>
                <w:rFonts w:ascii="宋体" w:hAnsi="宋体" w:cs="宋体"/>
                <w:color w:val="auto"/>
                <w:szCs w:val="21"/>
                <w:highlight w:val="none"/>
              </w:rPr>
            </w:pPr>
            <w:r>
              <w:rPr>
                <w:rFonts w:hint="eastAsia" w:ascii="宋体" w:hAnsi="宋体" w:cs="宋体"/>
                <w:color w:val="auto"/>
                <w:szCs w:val="21"/>
                <w:highlight w:val="none"/>
              </w:rPr>
              <w:t>50～100亿元</w:t>
            </w:r>
          </w:p>
        </w:tc>
        <w:tc>
          <w:tcPr>
            <w:tcW w:w="1659" w:type="dxa"/>
          </w:tcPr>
          <w:p w14:paraId="69E98211">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0.006%</w:t>
            </w:r>
          </w:p>
        </w:tc>
        <w:tc>
          <w:tcPr>
            <w:tcW w:w="1532" w:type="dxa"/>
          </w:tcPr>
          <w:p w14:paraId="7D5AA5AF">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0.006%</w:t>
            </w:r>
          </w:p>
        </w:tc>
        <w:tc>
          <w:tcPr>
            <w:tcW w:w="1546" w:type="dxa"/>
          </w:tcPr>
          <w:p w14:paraId="2179F9D9">
            <w:pPr>
              <w:spacing w:line="360" w:lineRule="auto"/>
              <w:ind w:firstLine="105" w:firstLineChars="50"/>
              <w:rPr>
                <w:rFonts w:ascii="宋体" w:hAnsi="宋体" w:cs="宋体"/>
                <w:color w:val="auto"/>
                <w:szCs w:val="21"/>
                <w:highlight w:val="none"/>
              </w:rPr>
            </w:pPr>
            <w:r>
              <w:rPr>
                <w:rFonts w:hint="eastAsia" w:ascii="宋体" w:hAnsi="宋体" w:cs="宋体"/>
                <w:color w:val="auto"/>
                <w:szCs w:val="21"/>
                <w:highlight w:val="none"/>
              </w:rPr>
              <w:t>0.006%</w:t>
            </w:r>
          </w:p>
        </w:tc>
      </w:tr>
      <w:tr w14:paraId="1C43C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5686F914">
            <w:pPr>
              <w:spacing w:line="360" w:lineRule="auto"/>
              <w:rPr>
                <w:rFonts w:ascii="宋体" w:hAnsi="宋体" w:cs="宋体"/>
                <w:color w:val="auto"/>
                <w:szCs w:val="21"/>
                <w:highlight w:val="none"/>
              </w:rPr>
            </w:pPr>
            <w:r>
              <w:rPr>
                <w:rFonts w:hint="eastAsia" w:ascii="宋体" w:hAnsi="宋体" w:cs="宋体"/>
                <w:color w:val="auto"/>
                <w:szCs w:val="21"/>
                <w:highlight w:val="none"/>
              </w:rPr>
              <w:t>100亿以上</w:t>
            </w:r>
          </w:p>
        </w:tc>
        <w:tc>
          <w:tcPr>
            <w:tcW w:w="1659" w:type="dxa"/>
          </w:tcPr>
          <w:p w14:paraId="5848B555">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0.004%</w:t>
            </w:r>
          </w:p>
        </w:tc>
        <w:tc>
          <w:tcPr>
            <w:tcW w:w="1532" w:type="dxa"/>
          </w:tcPr>
          <w:p w14:paraId="3412353D">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0.004%</w:t>
            </w:r>
          </w:p>
        </w:tc>
        <w:tc>
          <w:tcPr>
            <w:tcW w:w="1546" w:type="dxa"/>
          </w:tcPr>
          <w:p w14:paraId="5A09D837">
            <w:pPr>
              <w:spacing w:line="360" w:lineRule="auto"/>
              <w:ind w:firstLine="105" w:firstLineChars="50"/>
              <w:rPr>
                <w:rFonts w:ascii="宋体" w:hAnsi="宋体" w:cs="宋体"/>
                <w:color w:val="auto"/>
                <w:szCs w:val="21"/>
                <w:highlight w:val="none"/>
              </w:rPr>
            </w:pPr>
            <w:r>
              <w:rPr>
                <w:rFonts w:hint="eastAsia" w:ascii="宋体" w:hAnsi="宋体" w:cs="宋体"/>
                <w:color w:val="auto"/>
                <w:szCs w:val="21"/>
                <w:highlight w:val="none"/>
              </w:rPr>
              <w:t>0.004%</w:t>
            </w:r>
          </w:p>
        </w:tc>
      </w:tr>
    </w:tbl>
    <w:p w14:paraId="040A70F4">
      <w:pPr>
        <w:spacing w:line="360" w:lineRule="auto"/>
        <w:ind w:firstLine="420" w:firstLineChars="200"/>
        <w:rPr>
          <w:rFonts w:ascii="宋体" w:hAnsi="宋体" w:cs="宋体"/>
          <w:color w:val="auto"/>
          <w:highlight w:val="none"/>
        </w:rPr>
      </w:pPr>
    </w:p>
    <w:p w14:paraId="61059E6E">
      <w:pPr>
        <w:spacing w:line="360" w:lineRule="auto"/>
        <w:ind w:firstLine="420" w:firstLineChars="200"/>
        <w:rPr>
          <w:rFonts w:ascii="宋体" w:hAnsi="宋体" w:cs="宋体"/>
          <w:color w:val="auto"/>
          <w:highlight w:val="none"/>
        </w:rPr>
      </w:pPr>
      <w:r>
        <w:rPr>
          <w:rFonts w:ascii="宋体" w:hAnsi="宋体" w:cs="宋体"/>
          <w:color w:val="auto"/>
          <w:highlight w:val="none"/>
        </w:rPr>
        <w:t>注：</w:t>
      </w:r>
    </w:p>
    <w:p w14:paraId="7E3B7720">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w:t>
      </w:r>
      <w:r>
        <w:rPr>
          <w:rFonts w:ascii="宋体" w:hAnsi="宋体" w:cs="宋体"/>
          <w:color w:val="auto"/>
          <w:highlight w:val="none"/>
        </w:rPr>
        <w:t>按本表</w:t>
      </w:r>
      <w:r>
        <w:rPr>
          <w:rFonts w:hint="eastAsia" w:ascii="宋体" w:hAnsi="宋体" w:cs="宋体"/>
          <w:color w:val="auto"/>
          <w:szCs w:val="21"/>
          <w:highlight w:val="none"/>
        </w:rPr>
        <w:t>金额</w:t>
      </w:r>
      <w:r>
        <w:rPr>
          <w:rFonts w:ascii="宋体" w:hAnsi="宋体" w:cs="宋体"/>
          <w:color w:val="auto"/>
          <w:highlight w:val="none"/>
        </w:rPr>
        <w:t>计算的收费为</w:t>
      </w:r>
      <w:r>
        <w:rPr>
          <w:rFonts w:hint="eastAsia" w:ascii="宋体" w:hAnsi="宋体" w:cs="宋体"/>
          <w:color w:val="auto"/>
          <w:highlight w:val="none"/>
        </w:rPr>
        <w:t>采购</w:t>
      </w:r>
      <w:r>
        <w:rPr>
          <w:rFonts w:ascii="宋体" w:hAnsi="宋体" w:cs="宋体"/>
          <w:color w:val="auto"/>
          <w:highlight w:val="none"/>
        </w:rPr>
        <w:t>代理的收费基准价格</w:t>
      </w:r>
      <w:r>
        <w:rPr>
          <w:rFonts w:hint="eastAsia" w:ascii="宋体" w:hAnsi="宋体" w:cs="宋体"/>
          <w:color w:val="auto"/>
          <w:highlight w:val="none"/>
        </w:rPr>
        <w:t>；</w:t>
      </w:r>
    </w:p>
    <w:p w14:paraId="08AA42EA">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（2）采购</w:t>
      </w:r>
      <w:r>
        <w:rPr>
          <w:rFonts w:ascii="宋体" w:hAnsi="宋体" w:cs="宋体"/>
          <w:color w:val="auto"/>
          <w:highlight w:val="none"/>
        </w:rPr>
        <w:t>代理收费按差额定率累进法计算。</w:t>
      </w:r>
    </w:p>
    <w:p w14:paraId="0C44580F">
      <w:pPr>
        <w:spacing w:line="360" w:lineRule="auto"/>
        <w:ind w:firstLine="420" w:firstLineChars="200"/>
        <w:rPr>
          <w:rFonts w:ascii="宋体" w:hAnsi="宋体" w:cs="宋体"/>
          <w:color w:val="auto"/>
          <w:highlight w:val="none"/>
        </w:rPr>
      </w:pPr>
      <w:r>
        <w:rPr>
          <w:rFonts w:ascii="宋体" w:hAnsi="宋体" w:cs="宋体"/>
          <w:color w:val="auto"/>
          <w:highlight w:val="none"/>
        </w:rPr>
        <w:t>例如：某</w:t>
      </w:r>
      <w:r>
        <w:rPr>
          <w:rFonts w:hint="eastAsia" w:ascii="宋体" w:hAnsi="宋体" w:cs="宋体"/>
          <w:color w:val="auto"/>
          <w:highlight w:val="none"/>
        </w:rPr>
        <w:t>服务采购</w:t>
      </w:r>
      <w:r>
        <w:rPr>
          <w:rFonts w:ascii="宋体" w:hAnsi="宋体" w:cs="宋体"/>
          <w:color w:val="auto"/>
          <w:highlight w:val="none"/>
        </w:rPr>
        <w:t>代理业务</w:t>
      </w:r>
      <w:r>
        <w:rPr>
          <w:rFonts w:hint="eastAsia" w:ascii="宋体" w:hAnsi="宋体" w:cs="宋体"/>
          <w:color w:val="auto"/>
          <w:highlight w:val="none"/>
        </w:rPr>
        <w:t>成交</w:t>
      </w:r>
      <w:r>
        <w:rPr>
          <w:rFonts w:ascii="宋体" w:hAnsi="宋体" w:cs="宋体"/>
          <w:color w:val="auto"/>
          <w:highlight w:val="none"/>
        </w:rPr>
        <w:t>金额</w:t>
      </w:r>
      <w:r>
        <w:rPr>
          <w:rFonts w:hint="eastAsia" w:ascii="宋体" w:hAnsi="宋体" w:cs="宋体"/>
          <w:color w:val="auto"/>
          <w:highlight w:val="none"/>
        </w:rPr>
        <w:t>或者暂定价</w:t>
      </w:r>
      <w:r>
        <w:rPr>
          <w:rFonts w:ascii="宋体" w:hAnsi="宋体" w:cs="宋体"/>
          <w:color w:val="auto"/>
          <w:highlight w:val="none"/>
        </w:rPr>
        <w:t>为150万元，计算</w:t>
      </w:r>
      <w:r>
        <w:rPr>
          <w:rFonts w:hint="eastAsia" w:ascii="宋体" w:hAnsi="宋体" w:cs="宋体"/>
          <w:color w:val="auto"/>
          <w:highlight w:val="none"/>
        </w:rPr>
        <w:t>采购</w:t>
      </w:r>
      <w:r>
        <w:rPr>
          <w:rFonts w:ascii="宋体" w:hAnsi="宋体" w:cs="宋体"/>
          <w:color w:val="auto"/>
          <w:highlight w:val="none"/>
        </w:rPr>
        <w:t>代理收费额如下：</w:t>
      </w:r>
    </w:p>
    <w:p w14:paraId="6C01F941">
      <w:pPr>
        <w:spacing w:line="360" w:lineRule="auto"/>
        <w:ind w:firstLine="420" w:firstLineChars="200"/>
        <w:rPr>
          <w:rFonts w:ascii="宋体" w:hAnsi="宋体" w:cs="宋体"/>
          <w:color w:val="auto"/>
          <w:highlight w:val="none"/>
        </w:rPr>
      </w:pPr>
      <w:r>
        <w:rPr>
          <w:rFonts w:ascii="宋体" w:hAnsi="宋体" w:cs="宋体"/>
          <w:color w:val="auto"/>
          <w:highlight w:val="none"/>
        </w:rPr>
        <w:t>100 万元 ×l.5 %＝ 1.5 万元</w:t>
      </w:r>
    </w:p>
    <w:p w14:paraId="741094D5">
      <w:pPr>
        <w:spacing w:line="360" w:lineRule="auto"/>
        <w:ind w:firstLine="420" w:firstLineChars="200"/>
        <w:rPr>
          <w:rFonts w:ascii="宋体" w:hAnsi="宋体" w:cs="宋体"/>
          <w:color w:val="auto"/>
          <w:highlight w:val="none"/>
        </w:rPr>
      </w:pPr>
      <w:r>
        <w:rPr>
          <w:rFonts w:ascii="宋体" w:hAnsi="宋体" w:cs="宋体"/>
          <w:color w:val="auto"/>
          <w:highlight w:val="none"/>
        </w:rPr>
        <w:t>（ 150 － 100 ）万元 ×0.8%＝ 0.4万元</w:t>
      </w:r>
    </w:p>
    <w:p w14:paraId="042B9485">
      <w:pPr>
        <w:spacing w:line="360" w:lineRule="auto"/>
        <w:ind w:firstLine="420" w:firstLineChars="200"/>
        <w:rPr>
          <w:rFonts w:ascii="宋体" w:hAnsi="宋体" w:cs="宋体"/>
          <w:color w:val="auto"/>
          <w:highlight w:val="none"/>
        </w:rPr>
      </w:pPr>
      <w:r>
        <w:rPr>
          <w:rFonts w:ascii="宋体" w:hAnsi="宋体" w:cs="宋体"/>
          <w:color w:val="auto"/>
          <w:highlight w:val="none"/>
        </w:rPr>
        <w:t>合计收费＝ 1.5 ＋ 0.4＝ 1.9 万元</w:t>
      </w:r>
    </w:p>
    <w:p w14:paraId="5B413A23">
      <w:pPr>
        <w:spacing w:line="360" w:lineRule="auto"/>
        <w:ind w:firstLine="420" w:firstLineChars="200"/>
        <w:rPr>
          <w:rFonts w:ascii="宋体" w:hAnsi="宋体" w:cs="宋体"/>
          <w:color w:val="auto"/>
          <w:kern w:val="0"/>
          <w:szCs w:val="21"/>
          <w:highlight w:val="none"/>
        </w:rPr>
      </w:pPr>
      <w:r>
        <w:rPr>
          <w:rFonts w:ascii="宋体" w:hAnsi="宋体" w:cs="宋体"/>
          <w:color w:val="auto"/>
          <w:szCs w:val="21"/>
          <w:highlight w:val="none"/>
        </w:rPr>
        <w:t>32</w:t>
      </w:r>
      <w:r>
        <w:rPr>
          <w:rFonts w:hint="eastAsia" w:ascii="宋体" w:hAnsi="宋体" w:cs="宋体"/>
          <w:color w:val="auto"/>
          <w:szCs w:val="21"/>
          <w:highlight w:val="none"/>
        </w:rPr>
        <w:t>.3</w:t>
      </w:r>
      <w:r>
        <w:rPr>
          <w:rFonts w:hint="eastAsia" w:ascii="宋体" w:hAnsi="宋体" w:cs="宋体"/>
          <w:color w:val="auto"/>
          <w:kern w:val="0"/>
          <w:szCs w:val="21"/>
          <w:highlight w:val="none"/>
        </w:rPr>
        <w:t>代理服务费交纳</w:t>
      </w:r>
      <w:r>
        <w:rPr>
          <w:rFonts w:ascii="宋体" w:hAnsi="宋体" w:cs="宋体"/>
          <w:color w:val="auto"/>
          <w:kern w:val="0"/>
          <w:szCs w:val="21"/>
          <w:highlight w:val="none"/>
        </w:rPr>
        <w:t>银行帐号信息</w:t>
      </w:r>
    </w:p>
    <w:p w14:paraId="1C3B5BCD">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开户名称：广西国泰招标咨询有限公司南宁第五分公司</w:t>
      </w:r>
    </w:p>
    <w:p w14:paraId="28E20E44">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开户银行：广西北部湾银行股份有限公司南宁市云景支行</w:t>
      </w:r>
    </w:p>
    <w:p w14:paraId="774E5941">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银行账号：805022302700001</w:t>
      </w:r>
    </w:p>
    <w:p w14:paraId="78D0A4EB">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33.需要补充的其他内容</w:t>
      </w:r>
    </w:p>
    <w:p w14:paraId="18FD89A5">
      <w:pPr>
        <w:pStyle w:val="19"/>
        <w:spacing w:line="360" w:lineRule="auto"/>
        <w:ind w:firstLine="420" w:firstLineChars="200"/>
        <w:textAlignment w:val="center"/>
        <w:rPr>
          <w:rFonts w:hAnsi="宋体" w:cs="宋体"/>
          <w:color w:val="auto"/>
          <w:kern w:val="2"/>
          <w:sz w:val="21"/>
          <w:highlight w:val="none"/>
        </w:rPr>
      </w:pPr>
      <w:r>
        <w:rPr>
          <w:rFonts w:hint="eastAsia" w:hAnsi="宋体" w:cs="宋体"/>
          <w:color w:val="auto"/>
          <w:kern w:val="2"/>
          <w:sz w:val="21"/>
          <w:highlight w:val="none"/>
        </w:rPr>
        <w:t>33.1本磋商文件解释规则详见“供应商须知前附表”。</w:t>
      </w:r>
    </w:p>
    <w:p w14:paraId="7F2136F5">
      <w:pPr>
        <w:pStyle w:val="19"/>
        <w:spacing w:line="360" w:lineRule="auto"/>
        <w:ind w:firstLine="420" w:firstLineChars="200"/>
        <w:textAlignment w:val="center"/>
        <w:rPr>
          <w:rFonts w:hAnsi="宋体" w:cs="宋体"/>
          <w:color w:val="auto"/>
          <w:kern w:val="2"/>
          <w:sz w:val="21"/>
          <w:highlight w:val="none"/>
        </w:rPr>
      </w:pPr>
      <w:r>
        <w:rPr>
          <w:rFonts w:hint="eastAsia" w:hAnsi="宋体" w:cs="宋体"/>
          <w:color w:val="auto"/>
          <w:kern w:val="2"/>
          <w:sz w:val="21"/>
          <w:highlight w:val="none"/>
        </w:rPr>
        <w:t>33.2 其他事项详见“供应商须知前附表”。</w:t>
      </w:r>
    </w:p>
    <w:p w14:paraId="0684E012">
      <w:pPr>
        <w:pStyle w:val="19"/>
        <w:spacing w:line="360" w:lineRule="auto"/>
        <w:ind w:firstLine="420" w:firstLineChars="200"/>
        <w:textAlignment w:val="center"/>
        <w:rPr>
          <w:rFonts w:hAnsi="宋体" w:cs="宋体"/>
          <w:color w:val="auto"/>
          <w:kern w:val="2"/>
          <w:sz w:val="21"/>
          <w:highlight w:val="none"/>
        </w:rPr>
      </w:pPr>
      <w:r>
        <w:rPr>
          <w:rFonts w:hint="eastAsia" w:hAnsi="宋体" w:cs="宋体"/>
          <w:color w:val="auto"/>
          <w:kern w:val="2"/>
          <w:sz w:val="21"/>
          <w:highlight w:val="none"/>
        </w:rPr>
        <w:t>33.3本磋商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磋商文件规定的中小企业扶持政策：</w:t>
      </w:r>
    </w:p>
    <w:p w14:paraId="41A9BFA8">
      <w:pPr>
        <w:pStyle w:val="19"/>
        <w:spacing w:line="360" w:lineRule="auto"/>
        <w:ind w:firstLine="420" w:firstLineChars="200"/>
        <w:contextualSpacing/>
        <w:rPr>
          <w:rFonts w:hAnsi="宋体" w:cs="宋体"/>
          <w:color w:val="auto"/>
          <w:sz w:val="21"/>
          <w:highlight w:val="none"/>
        </w:rPr>
      </w:pPr>
      <w:r>
        <w:rPr>
          <w:rFonts w:hint="eastAsia" w:hAnsi="宋体" w:cs="宋体"/>
          <w:color w:val="auto"/>
          <w:sz w:val="21"/>
          <w:highlight w:val="none"/>
        </w:rPr>
        <w:t>（1）在货物采购项目中，货物由中小企业制造，即货物由中小企业生产且使用该中小企业商号或者注册商标，不对其中涉及的工程承建商和服务的承接商作出要求；</w:t>
      </w:r>
    </w:p>
    <w:p w14:paraId="7460F439">
      <w:pPr>
        <w:pStyle w:val="19"/>
        <w:spacing w:line="360" w:lineRule="auto"/>
        <w:ind w:firstLine="420" w:firstLineChars="200"/>
        <w:contextualSpacing/>
        <w:rPr>
          <w:rFonts w:hAnsi="宋体" w:cs="宋体"/>
          <w:color w:val="auto"/>
          <w:sz w:val="21"/>
          <w:highlight w:val="none"/>
        </w:rPr>
      </w:pPr>
      <w:r>
        <w:rPr>
          <w:rFonts w:hint="eastAsia" w:hAnsi="宋体" w:cs="宋体"/>
          <w:color w:val="auto"/>
          <w:sz w:val="21"/>
          <w:highlight w:val="none"/>
        </w:rPr>
        <w:t>（2）在工程采购项目中，工程由中小企业承建，即工程施工单位为中小企业，不对其中涉及的货物的制造商和服务的承接商作出要求；</w:t>
      </w:r>
    </w:p>
    <w:p w14:paraId="06E8FB5E">
      <w:pPr>
        <w:pStyle w:val="19"/>
        <w:spacing w:line="360" w:lineRule="auto"/>
        <w:ind w:firstLine="420" w:firstLineChars="200"/>
        <w:contextualSpacing/>
        <w:rPr>
          <w:rFonts w:hAnsi="宋体" w:cs="宋体"/>
          <w:color w:val="auto"/>
          <w:sz w:val="21"/>
          <w:highlight w:val="none"/>
        </w:rPr>
      </w:pPr>
      <w:r>
        <w:rPr>
          <w:rFonts w:hint="eastAsia" w:hAnsi="宋体" w:cs="宋体"/>
          <w:color w:val="auto"/>
          <w:sz w:val="21"/>
          <w:highlight w:val="none"/>
        </w:rPr>
        <w:t>（3）在服务采购项目中，服务由中小企业承接，即提供服务的人员为中小企业依照《中华人民共和国劳动合同法》订立劳动合同的从业人员，不对其中涉及的货物的制造商和工程承建商作出要求。</w:t>
      </w:r>
    </w:p>
    <w:p w14:paraId="4609BC1F">
      <w:pPr>
        <w:pStyle w:val="19"/>
        <w:spacing w:line="360" w:lineRule="auto"/>
        <w:ind w:firstLine="420" w:firstLineChars="200"/>
        <w:textAlignment w:val="center"/>
        <w:rPr>
          <w:rFonts w:hAnsi="宋体" w:cs="宋体"/>
          <w:color w:val="auto"/>
          <w:kern w:val="2"/>
          <w:sz w:val="21"/>
          <w:highlight w:val="none"/>
        </w:rPr>
      </w:pPr>
      <w:r>
        <w:rPr>
          <w:rFonts w:hint="eastAsia" w:hAnsi="宋体" w:cs="宋体"/>
          <w:color w:val="auto"/>
          <w:kern w:val="2"/>
          <w:sz w:val="21"/>
          <w:highlight w:val="none"/>
        </w:rPr>
        <w:t>在货物采购项目中，供应商提供的货物既有中小企业制造货物，也有大型企业制造货物的，不享受本磋商文件规定的中小企业扶持政策。以联合体形式参加政府采购活动，联合体各方均为中小企业的，联合体视同中小企业。其中，联合体各方均为小微企业的，联合体视同小微企业。</w:t>
      </w:r>
    </w:p>
    <w:p w14:paraId="256B6F4B">
      <w:pPr>
        <w:pStyle w:val="19"/>
        <w:spacing w:line="360" w:lineRule="auto"/>
        <w:ind w:firstLine="420" w:firstLineChars="200"/>
        <w:textAlignment w:val="center"/>
        <w:rPr>
          <w:rFonts w:hAnsi="宋体" w:cs="宋体"/>
          <w:color w:val="auto"/>
          <w:kern w:val="2"/>
          <w:sz w:val="21"/>
          <w:highlight w:val="none"/>
        </w:rPr>
      </w:pPr>
      <w:r>
        <w:rPr>
          <w:rFonts w:hint="eastAsia" w:hAnsi="宋体" w:cs="宋体"/>
          <w:color w:val="auto"/>
          <w:kern w:val="2"/>
          <w:sz w:val="21"/>
          <w:highlight w:val="none"/>
        </w:rPr>
        <w:t>依据本磋商文件规定享受扶持政策获得政府采购合同的，小微企业不得将合同分包给大中型企业，中型企业不得将合同分包给大型企业。</w:t>
      </w:r>
    </w:p>
    <w:p w14:paraId="097DE12D">
      <w:pPr>
        <w:pStyle w:val="2"/>
        <w:spacing w:line="360" w:lineRule="auto"/>
        <w:rPr>
          <w:rFonts w:ascii="宋体" w:hAnsi="宋体" w:cs="宋体"/>
          <w:color w:val="auto"/>
          <w:highlight w:val="none"/>
        </w:rPr>
      </w:pPr>
      <w:r>
        <w:rPr>
          <w:rFonts w:hint="eastAsia" w:ascii="宋体" w:hAnsi="宋体" w:cs="宋体"/>
          <w:color w:val="auto"/>
          <w:highlight w:val="none"/>
        </w:rPr>
        <w:br w:type="page"/>
      </w:r>
      <w:bookmarkStart w:id="29" w:name="_Toc30274"/>
      <w:r>
        <w:rPr>
          <w:rFonts w:hint="eastAsia" w:ascii="宋体" w:hAnsi="宋体" w:cs="宋体"/>
          <w:color w:val="auto"/>
          <w:highlight w:val="none"/>
        </w:rPr>
        <w:t>第三章 采购需求</w:t>
      </w:r>
      <w:bookmarkEnd w:id="29"/>
    </w:p>
    <w:p w14:paraId="6ECCB208">
      <w:pPr>
        <w:spacing w:line="440" w:lineRule="exact"/>
        <w:jc w:val="center"/>
        <w:rPr>
          <w:rFonts w:ascii="宋体" w:hAnsi="宋体" w:cs="宋体"/>
          <w:b/>
          <w:color w:val="auto"/>
          <w:sz w:val="32"/>
          <w:szCs w:val="32"/>
          <w:highlight w:val="none"/>
        </w:rPr>
      </w:pPr>
    </w:p>
    <w:p w14:paraId="2CC0A890">
      <w:pPr>
        <w:spacing w:line="360" w:lineRule="auto"/>
        <w:jc w:val="left"/>
        <w:rPr>
          <w:rFonts w:ascii="宋体" w:hAnsi="宋体" w:cs="宋体"/>
          <w:b/>
          <w:color w:val="auto"/>
          <w:szCs w:val="21"/>
          <w:highlight w:val="none"/>
        </w:rPr>
      </w:pPr>
      <w:r>
        <w:rPr>
          <w:rFonts w:hint="eastAsia" w:ascii="宋体" w:hAnsi="宋体" w:cs="宋体"/>
          <w:b/>
          <w:color w:val="auto"/>
          <w:szCs w:val="21"/>
          <w:highlight w:val="none"/>
        </w:rPr>
        <w:t>说明：</w:t>
      </w:r>
    </w:p>
    <w:p w14:paraId="5C2F2231">
      <w:pPr>
        <w:spacing w:line="360" w:lineRule="exact"/>
        <w:ind w:left="-10" w:leftChars="-5" w:right="2" w:rightChars="1" w:firstLine="422" w:firstLineChars="200"/>
        <w:rPr>
          <w:rFonts w:ascii="宋体" w:hAnsi="宋体" w:cs="宋体"/>
          <w:b/>
          <w:bCs/>
          <w:color w:val="auto"/>
          <w:highlight w:val="none"/>
        </w:rPr>
      </w:pPr>
      <w:r>
        <w:rPr>
          <w:rFonts w:hint="eastAsia" w:ascii="宋体" w:hAnsi="宋体" w:cs="宋体"/>
          <w:b/>
          <w:bCs/>
          <w:color w:val="auto"/>
          <w:highlight w:val="none"/>
        </w:rPr>
        <w:t>1、采购需求中如出现品牌、型号或者生产厂家等均仅起参考作用，不属于指定品牌、型号或者生产厂家的情形，供应商可参照或者选用其他相当的品牌、型号或者生产供应商替代。但供应商的产品实质上应相当于或优于本需求中的技术要求。</w:t>
      </w:r>
    </w:p>
    <w:p w14:paraId="228E6078">
      <w:pPr>
        <w:spacing w:line="360" w:lineRule="exact"/>
        <w:ind w:left="-10" w:leftChars="-5" w:right="2" w:rightChars="1" w:firstLine="422" w:firstLineChars="200"/>
        <w:rPr>
          <w:rFonts w:ascii="宋体" w:hAnsi="宋体" w:cs="宋体"/>
          <w:b/>
          <w:bCs/>
          <w:color w:val="auto"/>
          <w:highlight w:val="none"/>
        </w:rPr>
      </w:pPr>
      <w:r>
        <w:rPr>
          <w:rFonts w:hint="eastAsia" w:ascii="宋体" w:hAnsi="宋体" w:cs="宋体"/>
          <w:b/>
          <w:bCs/>
          <w:color w:val="auto"/>
          <w:highlight w:val="none"/>
        </w:rPr>
        <w:t>2、根据《财政部 发展改革委 生态环境部 市场监管总局关于调整优化节能产品、环境标志产品政府采购执行机制的通知》（财库〔2019〕9 号）和《关于印发节能产品政府采购品目清单的通知》（财库〔2019〕19 号）的规定，采购需求中如有货物产品，且货物产品属于节能产品政府采购品目清单内标注“★”的，供应商的竞标货物必须使用政府强制采购的节能产品，否则响应文件作无效响应处理。</w:t>
      </w:r>
    </w:p>
    <w:p w14:paraId="1807B99C">
      <w:pPr>
        <w:spacing w:line="360" w:lineRule="exact"/>
        <w:ind w:left="-10" w:leftChars="-5" w:right="2" w:rightChars="1" w:firstLine="422" w:firstLineChars="200"/>
        <w:rPr>
          <w:rFonts w:ascii="宋体" w:hAnsi="宋体" w:cs="宋体"/>
          <w:b/>
          <w:bCs/>
          <w:color w:val="auto"/>
          <w:highlight w:val="none"/>
        </w:rPr>
      </w:pPr>
      <w:r>
        <w:rPr>
          <w:rFonts w:hint="eastAsia" w:ascii="宋体" w:hAnsi="宋体" w:cs="宋体"/>
          <w:b/>
          <w:bCs/>
          <w:color w:val="auto"/>
          <w:highlight w:val="none"/>
        </w:rPr>
        <w:t>3、如供应商竞标产品存在侵犯他人的知识产权或者专利成果行为的，由供应商自行承担相应法律责任。</w:t>
      </w:r>
    </w:p>
    <w:p w14:paraId="48450FB8">
      <w:pPr>
        <w:spacing w:line="360" w:lineRule="exact"/>
        <w:ind w:left="-10" w:leftChars="-5" w:right="2" w:rightChars="1" w:firstLine="422" w:firstLineChars="200"/>
        <w:rPr>
          <w:rFonts w:ascii="宋体" w:hAnsi="宋体" w:cs="宋体"/>
          <w:b/>
          <w:bCs/>
          <w:color w:val="auto"/>
          <w:highlight w:val="none"/>
        </w:rPr>
      </w:pPr>
      <w:r>
        <w:rPr>
          <w:rFonts w:hint="eastAsia" w:ascii="宋体" w:hAnsi="宋体" w:cs="宋体"/>
          <w:b/>
          <w:bCs/>
          <w:color w:val="auto"/>
          <w:highlight w:val="none"/>
        </w:rPr>
        <w:t>4、“实质性要求”是指竞争性磋商文件中已经指明不满足则响应无效的条款，或者不能负偏离的条款，或者采购需求中带“▲”的条款。</w:t>
      </w:r>
    </w:p>
    <w:p w14:paraId="6B4FA252">
      <w:pPr>
        <w:spacing w:line="360" w:lineRule="auto"/>
        <w:ind w:firstLine="310" w:firstLineChars="147"/>
        <w:jc w:val="left"/>
        <w:rPr>
          <w:rFonts w:ascii="宋体" w:hAnsi="宋体" w:cs="宋体"/>
          <w:bCs/>
          <w:color w:val="auto"/>
          <w:szCs w:val="21"/>
          <w:highlight w:val="none"/>
          <w:u w:val="single"/>
        </w:rPr>
      </w:pPr>
      <w:r>
        <w:rPr>
          <w:rFonts w:hint="eastAsia" w:ascii="宋体" w:hAnsi="宋体" w:cs="宋体"/>
          <w:b/>
          <w:color w:val="auto"/>
          <w:szCs w:val="21"/>
          <w:highlight w:val="none"/>
        </w:rPr>
        <w:t>分标1     采购预算：</w:t>
      </w:r>
      <w:r>
        <w:rPr>
          <w:rFonts w:hint="eastAsia" w:ascii="宋体" w:hAnsi="宋体" w:cs="宋体"/>
          <w:b/>
          <w:color w:val="auto"/>
          <w:szCs w:val="21"/>
          <w:highlight w:val="none"/>
          <w:u w:val="single"/>
        </w:rPr>
        <w:t>53.3</w:t>
      </w:r>
      <w:r>
        <w:rPr>
          <w:rFonts w:hint="eastAsia" w:ascii="宋体" w:hAnsi="宋体" w:cs="宋体"/>
          <w:b/>
          <w:bCs/>
          <w:color w:val="auto"/>
          <w:szCs w:val="21"/>
          <w:highlight w:val="none"/>
          <w:u w:val="single"/>
        </w:rPr>
        <w:t xml:space="preserve">万元 </w:t>
      </w:r>
      <w:r>
        <w:rPr>
          <w:rFonts w:hint="eastAsia" w:ascii="宋体" w:hAnsi="宋体" w:cs="宋体"/>
          <w:b/>
          <w:color w:val="auto"/>
          <w:szCs w:val="21"/>
          <w:highlight w:val="none"/>
        </w:rPr>
        <w:t xml:space="preserve">      </w:t>
      </w:r>
    </w:p>
    <w:tbl>
      <w:tblPr>
        <w:tblStyle w:val="33"/>
        <w:tblW w:w="971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5"/>
        <w:gridCol w:w="1300"/>
        <w:gridCol w:w="145"/>
        <w:gridCol w:w="708"/>
        <w:gridCol w:w="1088"/>
        <w:gridCol w:w="5818"/>
      </w:tblGrid>
      <w:tr w14:paraId="24E224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7" w:hRule="atLeast"/>
          <w:jc w:val="center"/>
        </w:trPr>
        <w:tc>
          <w:tcPr>
            <w:tcW w:w="655" w:type="dxa"/>
            <w:vAlign w:val="center"/>
          </w:tcPr>
          <w:p w14:paraId="19F07809">
            <w:pPr>
              <w:tabs>
                <w:tab w:val="left" w:pos="180"/>
                <w:tab w:val="left" w:pos="1620"/>
              </w:tabs>
              <w:spacing w:line="320" w:lineRule="exact"/>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1300" w:type="dxa"/>
            <w:vAlign w:val="center"/>
          </w:tcPr>
          <w:p w14:paraId="0EFC3122">
            <w:pPr>
              <w:tabs>
                <w:tab w:val="left" w:pos="180"/>
                <w:tab w:val="left" w:pos="1620"/>
              </w:tabs>
              <w:spacing w:line="320" w:lineRule="exact"/>
              <w:jc w:val="center"/>
              <w:rPr>
                <w:rFonts w:ascii="宋体" w:hAnsi="宋体" w:cs="宋体"/>
                <w:color w:val="auto"/>
                <w:szCs w:val="21"/>
                <w:highlight w:val="none"/>
              </w:rPr>
            </w:pPr>
            <w:r>
              <w:rPr>
                <w:rFonts w:hint="eastAsia" w:ascii="宋体" w:hAnsi="宋体" w:cs="宋体"/>
                <w:color w:val="auto"/>
                <w:szCs w:val="21"/>
                <w:highlight w:val="none"/>
              </w:rPr>
              <w:t>标的名称</w:t>
            </w:r>
          </w:p>
        </w:tc>
        <w:tc>
          <w:tcPr>
            <w:tcW w:w="853" w:type="dxa"/>
            <w:gridSpan w:val="2"/>
            <w:vAlign w:val="center"/>
          </w:tcPr>
          <w:p w14:paraId="00CB095C">
            <w:pPr>
              <w:tabs>
                <w:tab w:val="left" w:pos="180"/>
                <w:tab w:val="left" w:pos="1620"/>
              </w:tabs>
              <w:spacing w:line="320" w:lineRule="exact"/>
              <w:jc w:val="center"/>
              <w:rPr>
                <w:rFonts w:ascii="宋体" w:hAnsi="宋体" w:cs="宋体"/>
                <w:color w:val="auto"/>
                <w:szCs w:val="21"/>
                <w:highlight w:val="none"/>
              </w:rPr>
            </w:pPr>
            <w:r>
              <w:rPr>
                <w:rFonts w:hint="eastAsia" w:ascii="宋体" w:hAnsi="宋体" w:cs="宋体"/>
                <w:color w:val="auto"/>
                <w:szCs w:val="21"/>
                <w:highlight w:val="none"/>
              </w:rPr>
              <w:t>数量及单位</w:t>
            </w:r>
          </w:p>
        </w:tc>
        <w:tc>
          <w:tcPr>
            <w:tcW w:w="1088" w:type="dxa"/>
            <w:vAlign w:val="center"/>
          </w:tcPr>
          <w:p w14:paraId="44457765">
            <w:pPr>
              <w:tabs>
                <w:tab w:val="left" w:pos="180"/>
                <w:tab w:val="left" w:pos="1620"/>
              </w:tabs>
              <w:spacing w:line="320" w:lineRule="exact"/>
              <w:jc w:val="center"/>
              <w:rPr>
                <w:rFonts w:ascii="宋体" w:hAnsi="宋体" w:cs="宋体"/>
                <w:color w:val="auto"/>
                <w:szCs w:val="21"/>
                <w:highlight w:val="none"/>
              </w:rPr>
            </w:pPr>
            <w:r>
              <w:rPr>
                <w:rFonts w:hint="eastAsia" w:ascii="宋体" w:hAnsi="宋体" w:cs="宋体"/>
                <w:color w:val="auto"/>
                <w:szCs w:val="21"/>
                <w:highlight w:val="none"/>
              </w:rPr>
              <w:t>所属</w:t>
            </w:r>
          </w:p>
          <w:p w14:paraId="4AEB7738">
            <w:pPr>
              <w:tabs>
                <w:tab w:val="left" w:pos="180"/>
                <w:tab w:val="left" w:pos="1620"/>
              </w:tabs>
              <w:spacing w:line="320" w:lineRule="exact"/>
              <w:jc w:val="center"/>
              <w:rPr>
                <w:rFonts w:ascii="宋体" w:hAnsi="宋体" w:cs="宋体"/>
                <w:color w:val="auto"/>
                <w:szCs w:val="21"/>
                <w:highlight w:val="none"/>
              </w:rPr>
            </w:pPr>
            <w:r>
              <w:rPr>
                <w:rFonts w:hint="eastAsia" w:ascii="宋体" w:hAnsi="宋体" w:cs="宋体"/>
                <w:color w:val="auto"/>
                <w:szCs w:val="21"/>
                <w:highlight w:val="none"/>
              </w:rPr>
              <w:t>行业</w:t>
            </w:r>
          </w:p>
        </w:tc>
        <w:tc>
          <w:tcPr>
            <w:tcW w:w="5818" w:type="dxa"/>
            <w:vAlign w:val="center"/>
          </w:tcPr>
          <w:p w14:paraId="08BFA088">
            <w:pPr>
              <w:tabs>
                <w:tab w:val="left" w:pos="180"/>
                <w:tab w:val="left" w:pos="1620"/>
              </w:tabs>
              <w:spacing w:line="320" w:lineRule="exact"/>
              <w:jc w:val="center"/>
              <w:rPr>
                <w:rFonts w:ascii="宋体" w:hAnsi="宋体" w:cs="宋体"/>
                <w:color w:val="auto"/>
                <w:szCs w:val="21"/>
                <w:highlight w:val="none"/>
              </w:rPr>
            </w:pPr>
            <w:r>
              <w:rPr>
                <w:rFonts w:hint="eastAsia" w:ascii="宋体" w:hAnsi="宋体" w:cs="宋体"/>
                <w:color w:val="auto"/>
                <w:szCs w:val="21"/>
                <w:highlight w:val="none"/>
              </w:rPr>
              <w:t>技术要求</w:t>
            </w:r>
          </w:p>
        </w:tc>
      </w:tr>
      <w:tr w14:paraId="4C5ADE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6" w:hRule="atLeast"/>
          <w:jc w:val="center"/>
        </w:trPr>
        <w:tc>
          <w:tcPr>
            <w:tcW w:w="655" w:type="dxa"/>
            <w:vAlign w:val="center"/>
          </w:tcPr>
          <w:p w14:paraId="4147F185">
            <w:pPr>
              <w:tabs>
                <w:tab w:val="left" w:pos="180"/>
                <w:tab w:val="left" w:pos="1620"/>
              </w:tabs>
              <w:spacing w:line="360"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1300" w:type="dxa"/>
            <w:vAlign w:val="center"/>
          </w:tcPr>
          <w:p w14:paraId="322DC412">
            <w:pPr>
              <w:tabs>
                <w:tab w:val="left" w:pos="180"/>
                <w:tab w:val="left" w:pos="1620"/>
              </w:tabs>
              <w:spacing w:line="360" w:lineRule="auto"/>
              <w:jc w:val="center"/>
              <w:rPr>
                <w:rFonts w:ascii="宋体" w:hAnsi="宋体" w:cs="宋体"/>
                <w:color w:val="auto"/>
                <w:szCs w:val="21"/>
                <w:highlight w:val="none"/>
              </w:rPr>
            </w:pPr>
            <w:r>
              <w:rPr>
                <w:rFonts w:hint="eastAsia" w:ascii="宋体" w:hAnsi="宋体" w:cs="宋体"/>
                <w:color w:val="auto"/>
                <w:highlight w:val="none"/>
              </w:rPr>
              <w:t>露天矿山0.2米分辨率航空影像获取和正射影像生产分标1</w:t>
            </w:r>
          </w:p>
        </w:tc>
        <w:tc>
          <w:tcPr>
            <w:tcW w:w="853" w:type="dxa"/>
            <w:gridSpan w:val="2"/>
            <w:vAlign w:val="center"/>
          </w:tcPr>
          <w:p w14:paraId="053B5FF8">
            <w:pPr>
              <w:tabs>
                <w:tab w:val="left" w:pos="180"/>
                <w:tab w:val="left" w:pos="1620"/>
              </w:tabs>
              <w:spacing w:line="360" w:lineRule="auto"/>
              <w:jc w:val="center"/>
              <w:rPr>
                <w:rFonts w:ascii="宋体" w:hAnsi="宋体" w:cs="宋体"/>
                <w:color w:val="auto"/>
                <w:szCs w:val="21"/>
                <w:highlight w:val="none"/>
              </w:rPr>
            </w:pPr>
            <w:r>
              <w:rPr>
                <w:rFonts w:hint="eastAsia" w:ascii="宋体" w:hAnsi="宋体" w:cs="宋体"/>
                <w:color w:val="auto"/>
                <w:szCs w:val="21"/>
                <w:highlight w:val="none"/>
              </w:rPr>
              <w:t>1项</w:t>
            </w:r>
          </w:p>
        </w:tc>
        <w:tc>
          <w:tcPr>
            <w:tcW w:w="1088" w:type="dxa"/>
            <w:vAlign w:val="center"/>
          </w:tcPr>
          <w:p w14:paraId="14F65704">
            <w:pPr>
              <w:tabs>
                <w:tab w:val="left" w:pos="180"/>
                <w:tab w:val="left" w:pos="1620"/>
              </w:tabs>
              <w:spacing w:line="360" w:lineRule="auto"/>
              <w:jc w:val="center"/>
              <w:rPr>
                <w:rFonts w:ascii="宋体" w:hAnsi="宋体" w:cs="宋体"/>
                <w:color w:val="auto"/>
                <w:szCs w:val="21"/>
                <w:highlight w:val="none"/>
              </w:rPr>
            </w:pPr>
            <w:r>
              <w:rPr>
                <w:rFonts w:hint="eastAsia" w:ascii="宋体" w:hAnsi="宋体" w:cs="宋体"/>
                <w:color w:val="auto"/>
                <w:highlight w:val="none"/>
              </w:rPr>
              <w:t>其他未列明行业</w:t>
            </w:r>
          </w:p>
        </w:tc>
        <w:tc>
          <w:tcPr>
            <w:tcW w:w="5818" w:type="dxa"/>
          </w:tcPr>
          <w:p w14:paraId="7B2C32ED">
            <w:pPr>
              <w:spacing w:line="520" w:lineRule="exact"/>
              <w:ind w:firstLine="420" w:firstLineChars="200"/>
              <w:rPr>
                <w:rFonts w:ascii="宋体" w:hAnsi="宋体" w:cs="宋体"/>
                <w:b/>
                <w:bCs/>
                <w:color w:val="auto"/>
                <w:szCs w:val="21"/>
                <w:highlight w:val="none"/>
              </w:rPr>
            </w:pPr>
            <w:r>
              <w:rPr>
                <w:rFonts w:hint="eastAsia" w:ascii="宋体" w:hAnsi="宋体" w:cs="宋体"/>
                <w:color w:val="auto"/>
                <w:szCs w:val="21"/>
                <w:highlight w:val="none"/>
              </w:rPr>
              <w:t>1、本次采购航摄任务范围区域为百色A区域。</w:t>
            </w:r>
            <w:r>
              <w:rPr>
                <w:rFonts w:hint="eastAsia" w:ascii="宋体" w:hAnsi="宋体" w:cs="宋体"/>
                <w:b/>
                <w:bCs/>
                <w:color w:val="auto"/>
                <w:szCs w:val="21"/>
                <w:highlight w:val="none"/>
              </w:rPr>
              <w:t>本分标测量面积为533平方千米，最低点地面分辨率优于0.16m，具体测量范围在项目实施时以采购人书面通知为准。</w:t>
            </w:r>
          </w:p>
          <w:p w14:paraId="341C579E">
            <w:pPr>
              <w:spacing w:line="5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2、工作内容及进度要求及技术指标及要求：详见附件1“</w:t>
            </w:r>
            <w:r>
              <w:rPr>
                <w:rFonts w:hint="eastAsia" w:ascii="宋体" w:hAnsi="宋体" w:cs="宋体"/>
                <w:color w:val="auto"/>
                <w:highlight w:val="none"/>
              </w:rPr>
              <w:t>露天矿山0.2米分辨率航空影像获取和正射影像生产</w:t>
            </w:r>
            <w:r>
              <w:rPr>
                <w:rFonts w:hint="eastAsia" w:ascii="宋体" w:hAnsi="宋体" w:cs="宋体"/>
                <w:color w:val="auto"/>
                <w:szCs w:val="21"/>
                <w:highlight w:val="none"/>
              </w:rPr>
              <w:t>服务工作内容及要求”。</w:t>
            </w:r>
          </w:p>
        </w:tc>
      </w:tr>
      <w:tr w14:paraId="2405B1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714" w:type="dxa"/>
            <w:gridSpan w:val="6"/>
            <w:tcBorders>
              <w:top w:val="single" w:color="auto" w:sz="4" w:space="0"/>
              <w:left w:val="single" w:color="auto" w:sz="4" w:space="0"/>
              <w:bottom w:val="single" w:color="auto" w:sz="4" w:space="0"/>
              <w:right w:val="single" w:color="auto" w:sz="4" w:space="0"/>
            </w:tcBorders>
          </w:tcPr>
          <w:p w14:paraId="20B38E82">
            <w:pPr>
              <w:spacing w:line="360" w:lineRule="auto"/>
              <w:rPr>
                <w:rFonts w:ascii="宋体" w:hAnsi="宋体" w:cs="宋体"/>
                <w:color w:val="auto"/>
                <w:szCs w:val="21"/>
                <w:highlight w:val="none"/>
              </w:rPr>
            </w:pPr>
            <w:r>
              <w:rPr>
                <w:rFonts w:hint="eastAsia" w:ascii="宋体" w:hAnsi="宋体" w:cs="宋体"/>
                <w:b/>
                <w:color w:val="auto"/>
                <w:szCs w:val="21"/>
                <w:highlight w:val="none"/>
              </w:rPr>
              <w:t>商务要求</w:t>
            </w:r>
          </w:p>
        </w:tc>
      </w:tr>
      <w:tr w14:paraId="0AB429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100" w:type="dxa"/>
            <w:gridSpan w:val="3"/>
            <w:tcBorders>
              <w:top w:val="single" w:color="auto" w:sz="4" w:space="0"/>
              <w:left w:val="single" w:color="auto" w:sz="4" w:space="0"/>
              <w:bottom w:val="single" w:color="auto" w:sz="4" w:space="0"/>
              <w:right w:val="single" w:color="auto" w:sz="4" w:space="0"/>
            </w:tcBorders>
            <w:vAlign w:val="center"/>
          </w:tcPr>
          <w:p w14:paraId="0DB9F7D6">
            <w:pPr>
              <w:spacing w:line="360" w:lineRule="auto"/>
              <w:jc w:val="center"/>
              <w:rPr>
                <w:rFonts w:ascii="宋体" w:hAnsi="宋体" w:cs="宋体"/>
                <w:b/>
                <w:color w:val="auto"/>
                <w:szCs w:val="21"/>
                <w:highlight w:val="none"/>
              </w:rPr>
            </w:pPr>
            <w:r>
              <w:rPr>
                <w:rFonts w:hint="eastAsia" w:ascii="宋体" w:hAnsi="宋体" w:cs="宋体"/>
                <w:b/>
                <w:bCs/>
                <w:color w:val="auto"/>
                <w:szCs w:val="21"/>
                <w:highlight w:val="none"/>
              </w:rPr>
              <w:t>▲</w:t>
            </w:r>
            <w:r>
              <w:rPr>
                <w:rFonts w:hint="eastAsia" w:ascii="宋体" w:hAnsi="宋体" w:cs="宋体"/>
                <w:bCs/>
                <w:color w:val="auto"/>
                <w:szCs w:val="21"/>
                <w:highlight w:val="none"/>
              </w:rPr>
              <w:t>磋商报价要求</w:t>
            </w:r>
          </w:p>
        </w:tc>
        <w:tc>
          <w:tcPr>
            <w:tcW w:w="7614" w:type="dxa"/>
            <w:gridSpan w:val="3"/>
            <w:tcBorders>
              <w:top w:val="single" w:color="auto" w:sz="4" w:space="0"/>
              <w:left w:val="single" w:color="auto" w:sz="4" w:space="0"/>
              <w:bottom w:val="single" w:color="auto" w:sz="4" w:space="0"/>
              <w:right w:val="single" w:color="auto" w:sz="4" w:space="0"/>
            </w:tcBorders>
            <w:vAlign w:val="center"/>
          </w:tcPr>
          <w:p w14:paraId="7FD6EB45">
            <w:pPr>
              <w:spacing w:line="400" w:lineRule="exact"/>
              <w:rPr>
                <w:color w:val="auto"/>
                <w:highlight w:val="none"/>
              </w:rPr>
            </w:pPr>
            <w:r>
              <w:rPr>
                <w:rFonts w:hint="eastAsia" w:ascii="宋体" w:hAnsi="宋体"/>
                <w:color w:val="auto"/>
                <w:szCs w:val="21"/>
                <w:highlight w:val="none"/>
              </w:rPr>
              <w:t>包含供应商完成本项目服务所有内容及其他相关服务的投入、项目验收费、售后服务、税金、利润及其他所有可能发生的一切费用。采购人不再支付任何费用。</w:t>
            </w:r>
          </w:p>
        </w:tc>
      </w:tr>
      <w:tr w14:paraId="3849E1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100" w:type="dxa"/>
            <w:gridSpan w:val="3"/>
            <w:tcBorders>
              <w:top w:val="single" w:color="auto" w:sz="4" w:space="0"/>
              <w:left w:val="single" w:color="auto" w:sz="4" w:space="0"/>
              <w:bottom w:val="single" w:color="auto" w:sz="4" w:space="0"/>
              <w:right w:val="single" w:color="auto" w:sz="4" w:space="0"/>
            </w:tcBorders>
            <w:vAlign w:val="center"/>
          </w:tcPr>
          <w:p w14:paraId="1E65D243">
            <w:pPr>
              <w:adjustRightInd w:val="0"/>
              <w:snapToGrid w:val="0"/>
              <w:spacing w:line="360" w:lineRule="exact"/>
              <w:jc w:val="center"/>
              <w:rPr>
                <w:rFonts w:ascii="宋体" w:hAnsi="宋体" w:cs="宋体"/>
                <w:b/>
                <w:color w:val="auto"/>
                <w:szCs w:val="21"/>
                <w:highlight w:val="none"/>
              </w:rPr>
            </w:pPr>
            <w:r>
              <w:rPr>
                <w:rFonts w:hint="eastAsia" w:ascii="宋体" w:hAnsi="宋体"/>
                <w:color w:val="auto"/>
                <w:szCs w:val="21"/>
                <w:highlight w:val="none"/>
              </w:rPr>
              <w:t>▲合同履约期限（提交服务成果时间）和地点</w:t>
            </w:r>
          </w:p>
        </w:tc>
        <w:tc>
          <w:tcPr>
            <w:tcW w:w="7614" w:type="dxa"/>
            <w:gridSpan w:val="3"/>
            <w:tcBorders>
              <w:top w:val="single" w:color="auto" w:sz="4" w:space="0"/>
              <w:left w:val="single" w:color="auto" w:sz="4" w:space="0"/>
              <w:bottom w:val="single" w:color="auto" w:sz="4" w:space="0"/>
              <w:right w:val="single" w:color="auto" w:sz="4" w:space="0"/>
            </w:tcBorders>
            <w:vAlign w:val="center"/>
          </w:tcPr>
          <w:p w14:paraId="2342844B">
            <w:pPr>
              <w:spacing w:line="360" w:lineRule="auto"/>
              <w:rPr>
                <w:rFonts w:ascii="宋体" w:hAnsi="宋体"/>
                <w:color w:val="auto"/>
                <w:highlight w:val="none"/>
              </w:rPr>
            </w:pPr>
            <w:r>
              <w:rPr>
                <w:rFonts w:ascii="宋体" w:hAnsi="宋体"/>
                <w:color w:val="auto"/>
                <w:highlight w:val="none"/>
              </w:rPr>
              <w:t>1、</w:t>
            </w:r>
            <w:r>
              <w:rPr>
                <w:rFonts w:hint="eastAsia" w:ascii="宋体" w:hAnsi="宋体"/>
                <w:color w:val="auto"/>
                <w:highlight w:val="none"/>
              </w:rPr>
              <w:t>合同履约期限（</w:t>
            </w:r>
            <w:r>
              <w:rPr>
                <w:rFonts w:hint="eastAsia" w:ascii="宋体" w:hAnsi="宋体"/>
                <w:color w:val="auto"/>
                <w:szCs w:val="21"/>
                <w:highlight w:val="none"/>
              </w:rPr>
              <w:t>提交服务成果时间</w:t>
            </w:r>
            <w:r>
              <w:rPr>
                <w:rFonts w:hint="eastAsia" w:ascii="宋体" w:hAnsi="宋体"/>
                <w:color w:val="auto"/>
                <w:highlight w:val="none"/>
              </w:rPr>
              <w:t>）</w:t>
            </w:r>
            <w:r>
              <w:rPr>
                <w:rFonts w:ascii="宋体" w:hAnsi="宋体"/>
                <w:color w:val="auto"/>
                <w:highlight w:val="none"/>
              </w:rPr>
              <w:t>：</w:t>
            </w:r>
            <w:r>
              <w:rPr>
                <w:rFonts w:hint="eastAsia" w:ascii="宋体" w:hAnsi="宋体"/>
                <w:color w:val="auto"/>
                <w:highlight w:val="none"/>
              </w:rPr>
              <w:t>签订合同以后30个自然日内完成</w:t>
            </w:r>
            <w:r>
              <w:rPr>
                <w:rFonts w:hint="eastAsia" w:ascii="宋体" w:hAnsi="宋体" w:cs="宋体"/>
                <w:bCs/>
                <w:color w:val="auto"/>
                <w:szCs w:val="22"/>
                <w:highlight w:val="none"/>
              </w:rPr>
              <w:t>不少于</w:t>
            </w:r>
            <w:r>
              <w:rPr>
                <w:rFonts w:hint="eastAsia" w:ascii="宋体" w:hAnsi="宋体"/>
                <w:color w:val="auto"/>
                <w:highlight w:val="none"/>
              </w:rPr>
              <w:t>45%数字正射影像初步成果制作与内部质量检查并提交；签订合同以后60个自然日内完成</w:t>
            </w:r>
            <w:r>
              <w:rPr>
                <w:rFonts w:hint="eastAsia" w:ascii="宋体" w:hAnsi="宋体" w:cs="宋体"/>
                <w:bCs/>
                <w:color w:val="auto"/>
                <w:szCs w:val="22"/>
                <w:highlight w:val="none"/>
              </w:rPr>
              <w:t>不少于</w:t>
            </w:r>
            <w:r>
              <w:rPr>
                <w:rFonts w:hint="eastAsia" w:ascii="宋体" w:hAnsi="宋体"/>
                <w:color w:val="auto"/>
                <w:highlight w:val="none"/>
              </w:rPr>
              <w:t>90%数字正射影像初步成果制作与内部质量检查并提交；签订合同以后70个自然日内完成所有数字正射影像初步成果与内部质量检查并提交；签订合同以后80个自然日内，项目成果由供应商通过具有CMA证书（证书检验检测的能力范围需包含测绘航空摄影、摄影测量与遥感、工程测量）的第三方检验机构检验合格，提交所有项目成果。</w:t>
            </w:r>
          </w:p>
          <w:p w14:paraId="29D7FED9">
            <w:pPr>
              <w:spacing w:line="360" w:lineRule="auto"/>
              <w:rPr>
                <w:rFonts w:ascii="宋体" w:hAnsi="宋体"/>
                <w:color w:val="auto"/>
                <w:highlight w:val="none"/>
              </w:rPr>
            </w:pPr>
            <w:r>
              <w:rPr>
                <w:rFonts w:ascii="宋体" w:hAnsi="宋体"/>
                <w:color w:val="auto"/>
                <w:highlight w:val="none"/>
              </w:rPr>
              <w:t>2、地点：广西区范围内由采购人指定。</w:t>
            </w:r>
          </w:p>
          <w:p w14:paraId="6AA69278">
            <w:pPr>
              <w:adjustRightInd w:val="0"/>
              <w:snapToGrid w:val="0"/>
              <w:spacing w:line="360" w:lineRule="exact"/>
              <w:rPr>
                <w:color w:val="auto"/>
                <w:highlight w:val="none"/>
              </w:rPr>
            </w:pPr>
            <w:r>
              <w:rPr>
                <w:rFonts w:hint="eastAsia" w:ascii="宋体" w:hAnsi="宋体"/>
                <w:color w:val="auto"/>
                <w:highlight w:val="none"/>
              </w:rPr>
              <w:t>3、签定合同时间：成交通知书发出之日起8个自然日内。</w:t>
            </w:r>
          </w:p>
        </w:tc>
      </w:tr>
      <w:tr w14:paraId="7C5E5F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2100" w:type="dxa"/>
            <w:gridSpan w:val="3"/>
            <w:tcBorders>
              <w:top w:val="single" w:color="auto" w:sz="4" w:space="0"/>
              <w:left w:val="single" w:color="auto" w:sz="4" w:space="0"/>
              <w:bottom w:val="single" w:color="auto" w:sz="4" w:space="0"/>
              <w:right w:val="single" w:color="auto" w:sz="4" w:space="0"/>
            </w:tcBorders>
            <w:vAlign w:val="center"/>
          </w:tcPr>
          <w:p w14:paraId="127F8D1F">
            <w:pPr>
              <w:adjustRightInd w:val="0"/>
              <w:snapToGrid w:val="0"/>
              <w:spacing w:line="360" w:lineRule="exact"/>
              <w:jc w:val="center"/>
              <w:rPr>
                <w:rFonts w:ascii="宋体" w:hAnsi="宋体" w:cs="宋体"/>
                <w:b/>
                <w:color w:val="auto"/>
                <w:szCs w:val="21"/>
                <w:highlight w:val="none"/>
              </w:rPr>
            </w:pPr>
            <w:r>
              <w:rPr>
                <w:rFonts w:hint="eastAsia" w:ascii="宋体" w:hAnsi="宋体"/>
                <w:color w:val="auto"/>
                <w:szCs w:val="21"/>
                <w:highlight w:val="none"/>
              </w:rPr>
              <w:t>▲验收标准</w:t>
            </w:r>
          </w:p>
        </w:tc>
        <w:tc>
          <w:tcPr>
            <w:tcW w:w="7614" w:type="dxa"/>
            <w:gridSpan w:val="3"/>
            <w:tcBorders>
              <w:top w:val="single" w:color="auto" w:sz="4" w:space="0"/>
              <w:left w:val="single" w:color="auto" w:sz="4" w:space="0"/>
              <w:bottom w:val="single" w:color="auto" w:sz="4" w:space="0"/>
              <w:right w:val="single" w:color="auto" w:sz="4" w:space="0"/>
            </w:tcBorders>
            <w:vAlign w:val="center"/>
          </w:tcPr>
          <w:p w14:paraId="27A83239">
            <w:pPr>
              <w:tabs>
                <w:tab w:val="left" w:pos="180"/>
                <w:tab w:val="left" w:pos="1620"/>
              </w:tabs>
              <w:adjustRightInd w:val="0"/>
              <w:snapToGrid w:val="0"/>
              <w:spacing w:line="380" w:lineRule="exact"/>
              <w:rPr>
                <w:rFonts w:ascii="宋体" w:hAnsi="宋体" w:cs="宋体"/>
                <w:color w:val="auto"/>
                <w:szCs w:val="22"/>
                <w:highlight w:val="none"/>
              </w:rPr>
            </w:pPr>
            <w:r>
              <w:rPr>
                <w:rFonts w:hint="eastAsia" w:ascii="宋体" w:hAnsi="宋体"/>
                <w:color w:val="auto"/>
                <w:highlight w:val="none"/>
              </w:rPr>
              <w:t>供应商通过具有CMA证书（证书检验检测的能力范围需包含测绘航空摄影、摄影测量与遥感、工程测量）的第三方检验机构检验并出具合格检验报告。</w:t>
            </w:r>
          </w:p>
        </w:tc>
      </w:tr>
      <w:tr w14:paraId="40728A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jc w:val="center"/>
        </w:trPr>
        <w:tc>
          <w:tcPr>
            <w:tcW w:w="2100" w:type="dxa"/>
            <w:gridSpan w:val="3"/>
            <w:tcBorders>
              <w:top w:val="single" w:color="auto" w:sz="4" w:space="0"/>
              <w:left w:val="single" w:color="auto" w:sz="4" w:space="0"/>
              <w:bottom w:val="single" w:color="auto" w:sz="4" w:space="0"/>
              <w:right w:val="single" w:color="auto" w:sz="4" w:space="0"/>
            </w:tcBorders>
            <w:vAlign w:val="center"/>
          </w:tcPr>
          <w:p w14:paraId="454BCD0E">
            <w:pPr>
              <w:adjustRightInd w:val="0"/>
              <w:snapToGrid w:val="0"/>
              <w:spacing w:line="360" w:lineRule="exact"/>
              <w:jc w:val="center"/>
              <w:rPr>
                <w:rFonts w:ascii="宋体" w:hAnsi="宋体" w:cs="宋体"/>
                <w:color w:val="auto"/>
                <w:szCs w:val="21"/>
                <w:highlight w:val="none"/>
              </w:rPr>
            </w:pPr>
            <w:r>
              <w:rPr>
                <w:rFonts w:hint="eastAsia" w:ascii="宋体" w:hAnsi="宋体"/>
                <w:color w:val="auto"/>
                <w:szCs w:val="21"/>
                <w:highlight w:val="none"/>
              </w:rPr>
              <w:t>▲付款方式</w:t>
            </w:r>
          </w:p>
        </w:tc>
        <w:tc>
          <w:tcPr>
            <w:tcW w:w="7614" w:type="dxa"/>
            <w:gridSpan w:val="3"/>
            <w:tcBorders>
              <w:top w:val="single" w:color="auto" w:sz="4" w:space="0"/>
              <w:left w:val="single" w:color="auto" w:sz="4" w:space="0"/>
              <w:bottom w:val="single" w:color="auto" w:sz="4" w:space="0"/>
              <w:right w:val="single" w:color="auto" w:sz="4" w:space="0"/>
            </w:tcBorders>
            <w:vAlign w:val="center"/>
          </w:tcPr>
          <w:p w14:paraId="19815A78">
            <w:pPr>
              <w:adjustRightInd w:val="0"/>
              <w:snapToGrid w:val="0"/>
              <w:spacing w:line="360" w:lineRule="exact"/>
              <w:rPr>
                <w:rFonts w:ascii="宋体" w:hAnsi="宋体" w:cs="宋体"/>
                <w:bCs/>
                <w:color w:val="auto"/>
                <w:szCs w:val="22"/>
                <w:highlight w:val="none"/>
              </w:rPr>
            </w:pPr>
            <w:r>
              <w:rPr>
                <w:rFonts w:hint="eastAsia" w:ascii="宋体" w:hAnsi="宋体" w:cs="宋体"/>
                <w:bCs/>
                <w:color w:val="auto"/>
                <w:szCs w:val="22"/>
                <w:highlight w:val="none"/>
              </w:rPr>
              <w:t>签订合同以后：进场并开展实质工作以后支付15%预付款；30个自然日内提交不少于45%正射影像成果，并按实际提交成果比例支付进度款；签订合同以后60个自然日内提交不少于90%正射影像成果，并按实际提交成果比例支付进度款，但款项支付比例最高不能超过90%。签订合同以后80个自然日内，供应商通过具有CMA证书（证书检验检测的能力范围需包含测绘航空摄影、摄影测量与遥感、工程测量）的第三方检验机构检验并出具合格检验报告后，提交所有项目成果，最后支付剩余款项。</w:t>
            </w:r>
          </w:p>
        </w:tc>
      </w:tr>
      <w:tr w14:paraId="1C52BA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100" w:type="dxa"/>
            <w:gridSpan w:val="3"/>
            <w:tcBorders>
              <w:top w:val="single" w:color="auto" w:sz="4" w:space="0"/>
              <w:left w:val="single" w:color="auto" w:sz="4" w:space="0"/>
              <w:bottom w:val="single" w:color="auto" w:sz="4" w:space="0"/>
              <w:right w:val="single" w:color="auto" w:sz="4" w:space="0"/>
            </w:tcBorders>
            <w:vAlign w:val="center"/>
          </w:tcPr>
          <w:p w14:paraId="6259E5B4">
            <w:pPr>
              <w:spacing w:line="360" w:lineRule="exact"/>
              <w:jc w:val="center"/>
              <w:rPr>
                <w:rFonts w:ascii="宋体" w:hAnsi="宋体"/>
                <w:color w:val="auto"/>
                <w:szCs w:val="21"/>
                <w:highlight w:val="none"/>
              </w:rPr>
            </w:pPr>
            <w:r>
              <w:rPr>
                <w:rFonts w:hint="eastAsia" w:ascii="宋体" w:hAnsi="宋体"/>
                <w:color w:val="auto"/>
                <w:szCs w:val="21"/>
                <w:highlight w:val="none"/>
              </w:rPr>
              <w:t>▲其他要求</w:t>
            </w:r>
          </w:p>
        </w:tc>
        <w:tc>
          <w:tcPr>
            <w:tcW w:w="7614" w:type="dxa"/>
            <w:gridSpan w:val="3"/>
            <w:tcBorders>
              <w:top w:val="single" w:color="auto" w:sz="4" w:space="0"/>
              <w:left w:val="single" w:color="auto" w:sz="4" w:space="0"/>
              <w:bottom w:val="single" w:color="auto" w:sz="4" w:space="0"/>
              <w:right w:val="single" w:color="auto" w:sz="4" w:space="0"/>
            </w:tcBorders>
            <w:vAlign w:val="center"/>
          </w:tcPr>
          <w:p w14:paraId="29A460A0">
            <w:pPr>
              <w:spacing w:line="360" w:lineRule="auto"/>
              <w:rPr>
                <w:rFonts w:ascii="宋体" w:hAnsi="宋体"/>
                <w:color w:val="auto"/>
                <w:highlight w:val="none"/>
              </w:rPr>
            </w:pPr>
            <w:r>
              <w:rPr>
                <w:rFonts w:hint="eastAsia" w:ascii="宋体" w:hAnsi="宋体"/>
                <w:color w:val="auto"/>
                <w:highlight w:val="none"/>
              </w:rPr>
              <w:t>1、项目开展后，采购人对供应商承担项目的过程质量进行监督检查，对过程质量监督检查中发现的问题，供应商应按采购人整改通知限期进行全面修改和完善，并重新提交采购人进行过程质量监督检查，如供应商未按采购人要求进行修改完善，采购人有权对本项目进行调整或终止本项目合同。</w:t>
            </w:r>
          </w:p>
          <w:p w14:paraId="5003F2D0">
            <w:pPr>
              <w:spacing w:line="360" w:lineRule="auto"/>
              <w:rPr>
                <w:rFonts w:ascii="宋体" w:hAnsi="宋体"/>
                <w:color w:val="auto"/>
                <w:highlight w:val="none"/>
              </w:rPr>
            </w:pPr>
            <w:r>
              <w:rPr>
                <w:rFonts w:hint="eastAsia" w:ascii="宋体" w:hAnsi="宋体"/>
                <w:color w:val="auto"/>
                <w:highlight w:val="none"/>
              </w:rPr>
              <w:t xml:space="preserve">2、若供应商未能按合同约定的期限向采购人交付约定数量及合格的成果资料或提交的验收不合格的，采购人有权解除合同。 </w:t>
            </w:r>
          </w:p>
          <w:p w14:paraId="7A2C878E">
            <w:pPr>
              <w:spacing w:line="360" w:lineRule="auto"/>
              <w:rPr>
                <w:rFonts w:ascii="宋体" w:hAnsi="宋体"/>
                <w:color w:val="auto"/>
                <w:highlight w:val="none"/>
              </w:rPr>
            </w:pPr>
            <w:r>
              <w:rPr>
                <w:rFonts w:hint="eastAsia" w:ascii="宋体" w:hAnsi="宋体"/>
                <w:color w:val="auto"/>
                <w:highlight w:val="none"/>
              </w:rPr>
              <w:t>3、供应商应在解除合同之日起10日内向采购人返还已支付的合同价款，并向采购人支付合同总价款10%的违约金。如出现违约情况，该供应商3年内将不能再承接采购人发布的相关航空摄影测量项目。</w:t>
            </w:r>
          </w:p>
          <w:p w14:paraId="5FAC82CE">
            <w:pPr>
              <w:spacing w:line="360" w:lineRule="auto"/>
              <w:rPr>
                <w:rFonts w:ascii="宋体" w:hAnsi="宋体"/>
                <w:color w:val="auto"/>
                <w:highlight w:val="none"/>
              </w:rPr>
            </w:pPr>
            <w:r>
              <w:rPr>
                <w:rFonts w:hint="eastAsia" w:ascii="宋体" w:hAnsi="宋体"/>
                <w:color w:val="auto"/>
                <w:highlight w:val="none"/>
              </w:rPr>
              <w:t>4.知识产权归属:（1）本项目所有成果的著作权等知识产权和所有权益归采购人所有。未经采购人同意，供应商不得引用、发表和向第三方提供。（2）采购人有权利用供应商的阶段性工作成果形成新的技术成果，其相关权益归采购人所有。 （3）项目成果涉及知识产权的技术方法及内容，供应商必须确保采购人拥有其合法的、不受限制的无偿使用权，并免受任何侵权索偿或诉讼。</w:t>
            </w:r>
          </w:p>
          <w:p w14:paraId="495004C3">
            <w:pPr>
              <w:spacing w:line="360" w:lineRule="exact"/>
              <w:rPr>
                <w:color w:val="auto"/>
                <w:highlight w:val="none"/>
              </w:rPr>
            </w:pPr>
            <w:r>
              <w:rPr>
                <w:rFonts w:hint="eastAsia" w:ascii="宋体" w:hAnsi="宋体"/>
                <w:color w:val="auto"/>
                <w:highlight w:val="none"/>
              </w:rPr>
              <w:t>5.保密要求:供应商负责本项目实施过程中涉及的技术方案、数据资源、文件资料及合同具体内容等项目相关资料保密责任工作。未经过采购人书面文件许可，供应商不得以任何方式向第三方透露，且保密责任不因合同的中止或解除而失效。如项目相关技术文档和数据资料被泄密，给采购人造成损失的,供应商应承担赔偿责任；构成犯罪的,依法追究供应商刑事责任。</w:t>
            </w:r>
          </w:p>
        </w:tc>
      </w:tr>
    </w:tbl>
    <w:p w14:paraId="26FE4610">
      <w:pPr>
        <w:rPr>
          <w:rFonts w:ascii="宋体" w:hAnsi="宋体" w:cs="宋体"/>
          <w:color w:val="auto"/>
          <w:highlight w:val="none"/>
        </w:rPr>
      </w:pPr>
      <w:r>
        <w:rPr>
          <w:rFonts w:hint="eastAsia" w:ascii="宋体" w:hAnsi="宋体" w:cs="宋体"/>
          <w:color w:val="auto"/>
          <w:highlight w:val="none"/>
        </w:rPr>
        <w:br w:type="page"/>
      </w:r>
    </w:p>
    <w:p w14:paraId="0F67E231">
      <w:pPr>
        <w:spacing w:line="360" w:lineRule="auto"/>
        <w:ind w:firstLine="310" w:firstLineChars="147"/>
        <w:jc w:val="left"/>
        <w:rPr>
          <w:rFonts w:ascii="宋体" w:hAnsi="宋体" w:cs="宋体"/>
          <w:b/>
          <w:color w:val="auto"/>
          <w:szCs w:val="21"/>
          <w:highlight w:val="none"/>
        </w:rPr>
      </w:pPr>
      <w:r>
        <w:rPr>
          <w:rFonts w:hint="eastAsia" w:ascii="宋体" w:hAnsi="宋体" w:cs="宋体"/>
          <w:b/>
          <w:color w:val="auto"/>
          <w:szCs w:val="21"/>
          <w:highlight w:val="none"/>
        </w:rPr>
        <w:t>分标2        采购预算：</w:t>
      </w:r>
      <w:r>
        <w:rPr>
          <w:rFonts w:hint="eastAsia" w:ascii="宋体" w:hAnsi="宋体"/>
          <w:b/>
          <w:bCs/>
          <w:color w:val="auto"/>
          <w:szCs w:val="21"/>
          <w:highlight w:val="none"/>
          <w:u w:val="single"/>
        </w:rPr>
        <w:t>46.7</w:t>
      </w:r>
      <w:r>
        <w:rPr>
          <w:rFonts w:hint="eastAsia" w:ascii="宋体" w:hAnsi="宋体" w:cs="宋体"/>
          <w:b/>
          <w:bCs/>
          <w:color w:val="auto"/>
          <w:szCs w:val="21"/>
          <w:highlight w:val="none"/>
          <w:u w:val="single"/>
        </w:rPr>
        <w:t xml:space="preserve">万元 </w:t>
      </w:r>
      <w:r>
        <w:rPr>
          <w:rFonts w:hint="eastAsia" w:ascii="宋体" w:hAnsi="宋体" w:cs="宋体"/>
          <w:b/>
          <w:color w:val="auto"/>
          <w:szCs w:val="21"/>
          <w:highlight w:val="none"/>
        </w:rPr>
        <w:t xml:space="preserve">   </w:t>
      </w:r>
    </w:p>
    <w:tbl>
      <w:tblPr>
        <w:tblStyle w:val="33"/>
        <w:tblW w:w="971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5"/>
        <w:gridCol w:w="1300"/>
        <w:gridCol w:w="145"/>
        <w:gridCol w:w="708"/>
        <w:gridCol w:w="1088"/>
        <w:gridCol w:w="5818"/>
      </w:tblGrid>
      <w:tr w14:paraId="532C19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7" w:hRule="atLeast"/>
          <w:jc w:val="center"/>
        </w:trPr>
        <w:tc>
          <w:tcPr>
            <w:tcW w:w="655" w:type="dxa"/>
            <w:vAlign w:val="center"/>
          </w:tcPr>
          <w:p w14:paraId="13EF2CB4">
            <w:pPr>
              <w:tabs>
                <w:tab w:val="left" w:pos="180"/>
                <w:tab w:val="left" w:pos="1620"/>
              </w:tabs>
              <w:spacing w:line="320" w:lineRule="exact"/>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1300" w:type="dxa"/>
            <w:vAlign w:val="center"/>
          </w:tcPr>
          <w:p w14:paraId="25A7D510">
            <w:pPr>
              <w:tabs>
                <w:tab w:val="left" w:pos="180"/>
                <w:tab w:val="left" w:pos="1620"/>
              </w:tabs>
              <w:spacing w:line="320" w:lineRule="exact"/>
              <w:jc w:val="center"/>
              <w:rPr>
                <w:rFonts w:ascii="宋体" w:hAnsi="宋体" w:cs="宋体"/>
                <w:color w:val="auto"/>
                <w:szCs w:val="21"/>
                <w:highlight w:val="none"/>
              </w:rPr>
            </w:pPr>
            <w:r>
              <w:rPr>
                <w:rFonts w:hint="eastAsia" w:ascii="宋体" w:hAnsi="宋体" w:cs="宋体"/>
                <w:color w:val="auto"/>
                <w:szCs w:val="21"/>
                <w:highlight w:val="none"/>
              </w:rPr>
              <w:t>标的名称</w:t>
            </w:r>
          </w:p>
        </w:tc>
        <w:tc>
          <w:tcPr>
            <w:tcW w:w="853" w:type="dxa"/>
            <w:gridSpan w:val="2"/>
            <w:vAlign w:val="center"/>
          </w:tcPr>
          <w:p w14:paraId="3224CE7F">
            <w:pPr>
              <w:tabs>
                <w:tab w:val="left" w:pos="180"/>
                <w:tab w:val="left" w:pos="1620"/>
              </w:tabs>
              <w:spacing w:line="320" w:lineRule="exact"/>
              <w:jc w:val="center"/>
              <w:rPr>
                <w:rFonts w:ascii="宋体" w:hAnsi="宋体" w:cs="宋体"/>
                <w:color w:val="auto"/>
                <w:szCs w:val="21"/>
                <w:highlight w:val="none"/>
              </w:rPr>
            </w:pPr>
            <w:r>
              <w:rPr>
                <w:rFonts w:hint="eastAsia" w:ascii="宋体" w:hAnsi="宋体" w:cs="宋体"/>
                <w:color w:val="auto"/>
                <w:szCs w:val="21"/>
                <w:highlight w:val="none"/>
              </w:rPr>
              <w:t>数量及单位</w:t>
            </w:r>
          </w:p>
        </w:tc>
        <w:tc>
          <w:tcPr>
            <w:tcW w:w="1088" w:type="dxa"/>
            <w:vAlign w:val="center"/>
          </w:tcPr>
          <w:p w14:paraId="39C4228E">
            <w:pPr>
              <w:tabs>
                <w:tab w:val="left" w:pos="180"/>
                <w:tab w:val="left" w:pos="1620"/>
              </w:tabs>
              <w:spacing w:line="320" w:lineRule="exact"/>
              <w:jc w:val="center"/>
              <w:rPr>
                <w:rFonts w:ascii="宋体" w:hAnsi="宋体" w:cs="宋体"/>
                <w:color w:val="auto"/>
                <w:szCs w:val="21"/>
                <w:highlight w:val="none"/>
              </w:rPr>
            </w:pPr>
            <w:r>
              <w:rPr>
                <w:rFonts w:hint="eastAsia" w:ascii="宋体" w:hAnsi="宋体" w:cs="宋体"/>
                <w:color w:val="auto"/>
                <w:szCs w:val="21"/>
                <w:highlight w:val="none"/>
              </w:rPr>
              <w:t>所属</w:t>
            </w:r>
          </w:p>
          <w:p w14:paraId="3434EFD9">
            <w:pPr>
              <w:tabs>
                <w:tab w:val="left" w:pos="180"/>
                <w:tab w:val="left" w:pos="1620"/>
              </w:tabs>
              <w:spacing w:line="320" w:lineRule="exact"/>
              <w:jc w:val="center"/>
              <w:rPr>
                <w:rFonts w:ascii="宋体" w:hAnsi="宋体" w:cs="宋体"/>
                <w:color w:val="auto"/>
                <w:szCs w:val="21"/>
                <w:highlight w:val="none"/>
              </w:rPr>
            </w:pPr>
            <w:r>
              <w:rPr>
                <w:rFonts w:hint="eastAsia" w:ascii="宋体" w:hAnsi="宋体" w:cs="宋体"/>
                <w:color w:val="auto"/>
                <w:szCs w:val="21"/>
                <w:highlight w:val="none"/>
              </w:rPr>
              <w:t>行业</w:t>
            </w:r>
          </w:p>
        </w:tc>
        <w:tc>
          <w:tcPr>
            <w:tcW w:w="5818" w:type="dxa"/>
            <w:vAlign w:val="center"/>
          </w:tcPr>
          <w:p w14:paraId="09532DD6">
            <w:pPr>
              <w:tabs>
                <w:tab w:val="left" w:pos="180"/>
                <w:tab w:val="left" w:pos="1620"/>
              </w:tabs>
              <w:spacing w:line="320" w:lineRule="exact"/>
              <w:jc w:val="center"/>
              <w:rPr>
                <w:rFonts w:ascii="宋体" w:hAnsi="宋体" w:cs="宋体"/>
                <w:color w:val="auto"/>
                <w:szCs w:val="21"/>
                <w:highlight w:val="none"/>
              </w:rPr>
            </w:pPr>
            <w:r>
              <w:rPr>
                <w:rFonts w:hint="eastAsia" w:ascii="宋体" w:hAnsi="宋体" w:cs="宋体"/>
                <w:color w:val="auto"/>
                <w:szCs w:val="21"/>
                <w:highlight w:val="none"/>
              </w:rPr>
              <w:t>技术要求</w:t>
            </w:r>
          </w:p>
        </w:tc>
      </w:tr>
      <w:tr w14:paraId="6F20EE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6" w:hRule="atLeast"/>
          <w:jc w:val="center"/>
        </w:trPr>
        <w:tc>
          <w:tcPr>
            <w:tcW w:w="655" w:type="dxa"/>
            <w:vAlign w:val="center"/>
          </w:tcPr>
          <w:p w14:paraId="3AEFD229">
            <w:pPr>
              <w:tabs>
                <w:tab w:val="left" w:pos="180"/>
                <w:tab w:val="left" w:pos="1620"/>
              </w:tabs>
              <w:spacing w:line="360"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1300" w:type="dxa"/>
            <w:vAlign w:val="center"/>
          </w:tcPr>
          <w:p w14:paraId="48C7A5F7">
            <w:pPr>
              <w:tabs>
                <w:tab w:val="left" w:pos="180"/>
                <w:tab w:val="left" w:pos="1620"/>
              </w:tabs>
              <w:spacing w:line="360" w:lineRule="auto"/>
              <w:jc w:val="center"/>
              <w:rPr>
                <w:rFonts w:ascii="宋体" w:hAnsi="宋体" w:cs="宋体"/>
                <w:color w:val="auto"/>
                <w:szCs w:val="21"/>
                <w:highlight w:val="none"/>
              </w:rPr>
            </w:pPr>
            <w:r>
              <w:rPr>
                <w:rFonts w:hint="eastAsia" w:ascii="宋体" w:hAnsi="宋体" w:cs="宋体"/>
                <w:color w:val="auto"/>
                <w:highlight w:val="none"/>
              </w:rPr>
              <w:t>露天矿山0.2米分辨率航空影像获取和正射影像生产分标2</w:t>
            </w:r>
          </w:p>
        </w:tc>
        <w:tc>
          <w:tcPr>
            <w:tcW w:w="853" w:type="dxa"/>
            <w:gridSpan w:val="2"/>
            <w:vAlign w:val="center"/>
          </w:tcPr>
          <w:p w14:paraId="55F42ED1">
            <w:pPr>
              <w:tabs>
                <w:tab w:val="left" w:pos="180"/>
                <w:tab w:val="left" w:pos="1620"/>
              </w:tabs>
              <w:spacing w:line="360" w:lineRule="auto"/>
              <w:jc w:val="center"/>
              <w:rPr>
                <w:rFonts w:ascii="宋体" w:hAnsi="宋体" w:cs="宋体"/>
                <w:color w:val="auto"/>
                <w:szCs w:val="21"/>
                <w:highlight w:val="none"/>
              </w:rPr>
            </w:pPr>
            <w:r>
              <w:rPr>
                <w:rFonts w:hint="eastAsia" w:ascii="宋体" w:hAnsi="宋体" w:cs="宋体"/>
                <w:color w:val="auto"/>
                <w:szCs w:val="21"/>
                <w:highlight w:val="none"/>
              </w:rPr>
              <w:t>1项</w:t>
            </w:r>
          </w:p>
        </w:tc>
        <w:tc>
          <w:tcPr>
            <w:tcW w:w="1088" w:type="dxa"/>
            <w:vAlign w:val="center"/>
          </w:tcPr>
          <w:p w14:paraId="6FCF0EED">
            <w:pPr>
              <w:tabs>
                <w:tab w:val="left" w:pos="180"/>
                <w:tab w:val="left" w:pos="1620"/>
              </w:tabs>
              <w:spacing w:line="360" w:lineRule="auto"/>
              <w:jc w:val="center"/>
              <w:rPr>
                <w:rFonts w:ascii="宋体" w:hAnsi="宋体" w:cs="宋体"/>
                <w:color w:val="auto"/>
                <w:szCs w:val="21"/>
                <w:highlight w:val="none"/>
              </w:rPr>
            </w:pPr>
            <w:r>
              <w:rPr>
                <w:rFonts w:hint="eastAsia" w:ascii="宋体" w:hAnsi="宋体" w:cs="宋体"/>
                <w:color w:val="auto"/>
                <w:highlight w:val="none"/>
              </w:rPr>
              <w:t>其他未列明行业</w:t>
            </w:r>
          </w:p>
        </w:tc>
        <w:tc>
          <w:tcPr>
            <w:tcW w:w="5818" w:type="dxa"/>
          </w:tcPr>
          <w:p w14:paraId="6D16037E">
            <w:pPr>
              <w:spacing w:line="520" w:lineRule="exact"/>
              <w:ind w:firstLine="420" w:firstLineChars="200"/>
              <w:rPr>
                <w:rFonts w:ascii="宋体" w:hAnsi="宋体" w:cs="宋体"/>
                <w:b/>
                <w:bCs/>
                <w:color w:val="auto"/>
                <w:szCs w:val="21"/>
                <w:highlight w:val="none"/>
              </w:rPr>
            </w:pPr>
            <w:r>
              <w:rPr>
                <w:rFonts w:hint="eastAsia" w:ascii="宋体" w:hAnsi="宋体" w:cs="宋体"/>
                <w:color w:val="auto"/>
                <w:szCs w:val="21"/>
                <w:highlight w:val="none"/>
              </w:rPr>
              <w:t>1、本次采购航摄任务范围区域为百色B区域。</w:t>
            </w:r>
            <w:r>
              <w:rPr>
                <w:rFonts w:hint="eastAsia" w:ascii="宋体" w:hAnsi="宋体" w:cs="宋体"/>
                <w:b/>
                <w:bCs/>
                <w:color w:val="auto"/>
                <w:szCs w:val="21"/>
                <w:highlight w:val="none"/>
              </w:rPr>
              <w:t>本分标测量面积为467平方千米，最低点地面分辨率优于0.16m，具体测量范围（区域）在项目实施时以采购人书面通知为准。</w:t>
            </w:r>
          </w:p>
          <w:p w14:paraId="148B37ED">
            <w:pPr>
              <w:spacing w:line="5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2、工作内容及进度要求及技术指标及要求：详见附件1“</w:t>
            </w:r>
            <w:r>
              <w:rPr>
                <w:rFonts w:hint="eastAsia" w:ascii="宋体" w:hAnsi="宋体" w:cs="宋体"/>
                <w:color w:val="auto"/>
                <w:highlight w:val="none"/>
              </w:rPr>
              <w:t>露天矿山0.2米分辨率航空影像获取和正射影像生产</w:t>
            </w:r>
            <w:r>
              <w:rPr>
                <w:rFonts w:hint="eastAsia" w:ascii="宋体" w:hAnsi="宋体" w:cs="宋体"/>
                <w:color w:val="auto"/>
                <w:szCs w:val="21"/>
                <w:highlight w:val="none"/>
              </w:rPr>
              <w:t>服务工作内容及要求”。</w:t>
            </w:r>
          </w:p>
        </w:tc>
      </w:tr>
      <w:tr w14:paraId="6448B9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714" w:type="dxa"/>
            <w:gridSpan w:val="6"/>
            <w:tcBorders>
              <w:top w:val="single" w:color="auto" w:sz="4" w:space="0"/>
              <w:left w:val="single" w:color="auto" w:sz="4" w:space="0"/>
              <w:bottom w:val="single" w:color="auto" w:sz="4" w:space="0"/>
              <w:right w:val="single" w:color="auto" w:sz="4" w:space="0"/>
            </w:tcBorders>
          </w:tcPr>
          <w:p w14:paraId="7D4E2BF1">
            <w:pPr>
              <w:spacing w:line="360" w:lineRule="auto"/>
              <w:rPr>
                <w:rFonts w:ascii="宋体" w:hAnsi="宋体" w:cs="宋体"/>
                <w:color w:val="auto"/>
                <w:szCs w:val="21"/>
                <w:highlight w:val="none"/>
              </w:rPr>
            </w:pPr>
            <w:r>
              <w:rPr>
                <w:rFonts w:hint="eastAsia" w:ascii="宋体" w:hAnsi="宋体" w:cs="宋体"/>
                <w:b/>
                <w:color w:val="auto"/>
                <w:szCs w:val="21"/>
                <w:highlight w:val="none"/>
              </w:rPr>
              <w:t>商务要求</w:t>
            </w:r>
          </w:p>
        </w:tc>
      </w:tr>
      <w:tr w14:paraId="3C1F4B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100" w:type="dxa"/>
            <w:gridSpan w:val="3"/>
            <w:tcBorders>
              <w:top w:val="single" w:color="auto" w:sz="4" w:space="0"/>
              <w:left w:val="single" w:color="auto" w:sz="4" w:space="0"/>
              <w:bottom w:val="single" w:color="auto" w:sz="4" w:space="0"/>
              <w:right w:val="single" w:color="auto" w:sz="4" w:space="0"/>
            </w:tcBorders>
            <w:vAlign w:val="center"/>
          </w:tcPr>
          <w:p w14:paraId="067ADFBD">
            <w:pPr>
              <w:spacing w:line="360" w:lineRule="auto"/>
              <w:jc w:val="center"/>
              <w:rPr>
                <w:rFonts w:ascii="宋体" w:hAnsi="宋体" w:cs="宋体"/>
                <w:b/>
                <w:color w:val="auto"/>
                <w:szCs w:val="21"/>
                <w:highlight w:val="none"/>
              </w:rPr>
            </w:pPr>
            <w:r>
              <w:rPr>
                <w:rFonts w:hint="eastAsia" w:ascii="宋体" w:hAnsi="宋体" w:cs="宋体"/>
                <w:b/>
                <w:bCs/>
                <w:color w:val="auto"/>
                <w:szCs w:val="21"/>
                <w:highlight w:val="none"/>
              </w:rPr>
              <w:t>▲</w:t>
            </w:r>
            <w:r>
              <w:rPr>
                <w:rFonts w:hint="eastAsia" w:ascii="宋体" w:hAnsi="宋体" w:cs="宋体"/>
                <w:bCs/>
                <w:color w:val="auto"/>
                <w:szCs w:val="21"/>
                <w:highlight w:val="none"/>
              </w:rPr>
              <w:t>磋商报价要求</w:t>
            </w:r>
          </w:p>
        </w:tc>
        <w:tc>
          <w:tcPr>
            <w:tcW w:w="7614" w:type="dxa"/>
            <w:gridSpan w:val="3"/>
            <w:tcBorders>
              <w:top w:val="single" w:color="auto" w:sz="4" w:space="0"/>
              <w:left w:val="single" w:color="auto" w:sz="4" w:space="0"/>
              <w:bottom w:val="single" w:color="auto" w:sz="4" w:space="0"/>
              <w:right w:val="single" w:color="auto" w:sz="4" w:space="0"/>
            </w:tcBorders>
            <w:vAlign w:val="center"/>
          </w:tcPr>
          <w:p w14:paraId="549DAA29">
            <w:pPr>
              <w:spacing w:line="400" w:lineRule="exact"/>
              <w:rPr>
                <w:color w:val="auto"/>
                <w:highlight w:val="none"/>
              </w:rPr>
            </w:pPr>
            <w:r>
              <w:rPr>
                <w:rFonts w:hint="eastAsia" w:ascii="宋体" w:hAnsi="宋体"/>
                <w:color w:val="auto"/>
                <w:szCs w:val="21"/>
                <w:highlight w:val="none"/>
              </w:rPr>
              <w:t>包含供应商完成本项目服务所有内容及其他相关服务的投入、项目验收费、售后服务、税金、利润及其他所有可能发生的一切费用。采购人不再支付任何费用。</w:t>
            </w:r>
          </w:p>
        </w:tc>
      </w:tr>
      <w:tr w14:paraId="6D4324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100" w:type="dxa"/>
            <w:gridSpan w:val="3"/>
            <w:tcBorders>
              <w:top w:val="single" w:color="auto" w:sz="4" w:space="0"/>
              <w:left w:val="single" w:color="auto" w:sz="4" w:space="0"/>
              <w:bottom w:val="single" w:color="auto" w:sz="4" w:space="0"/>
              <w:right w:val="single" w:color="auto" w:sz="4" w:space="0"/>
            </w:tcBorders>
            <w:vAlign w:val="center"/>
          </w:tcPr>
          <w:p w14:paraId="11DBF98B">
            <w:pPr>
              <w:adjustRightInd w:val="0"/>
              <w:snapToGrid w:val="0"/>
              <w:spacing w:line="360" w:lineRule="exact"/>
              <w:jc w:val="center"/>
              <w:rPr>
                <w:rFonts w:ascii="宋体" w:hAnsi="宋体" w:cs="宋体"/>
                <w:b/>
                <w:color w:val="auto"/>
                <w:szCs w:val="21"/>
                <w:highlight w:val="none"/>
              </w:rPr>
            </w:pPr>
            <w:r>
              <w:rPr>
                <w:rFonts w:hint="eastAsia" w:ascii="宋体" w:hAnsi="宋体"/>
                <w:color w:val="auto"/>
                <w:szCs w:val="21"/>
                <w:highlight w:val="none"/>
              </w:rPr>
              <w:t>▲合同履约期限（提交服务成果时间）和地点</w:t>
            </w:r>
          </w:p>
        </w:tc>
        <w:tc>
          <w:tcPr>
            <w:tcW w:w="7614" w:type="dxa"/>
            <w:gridSpan w:val="3"/>
            <w:tcBorders>
              <w:top w:val="single" w:color="auto" w:sz="4" w:space="0"/>
              <w:left w:val="single" w:color="auto" w:sz="4" w:space="0"/>
              <w:bottom w:val="single" w:color="auto" w:sz="4" w:space="0"/>
              <w:right w:val="single" w:color="auto" w:sz="4" w:space="0"/>
            </w:tcBorders>
            <w:vAlign w:val="center"/>
          </w:tcPr>
          <w:p w14:paraId="4789EEFE">
            <w:pPr>
              <w:spacing w:line="360" w:lineRule="auto"/>
              <w:rPr>
                <w:rFonts w:ascii="宋体" w:hAnsi="宋体"/>
                <w:color w:val="auto"/>
                <w:highlight w:val="none"/>
              </w:rPr>
            </w:pPr>
            <w:r>
              <w:rPr>
                <w:rFonts w:ascii="宋体" w:hAnsi="宋体"/>
                <w:color w:val="auto"/>
                <w:highlight w:val="none"/>
              </w:rPr>
              <w:t>1、</w:t>
            </w:r>
            <w:r>
              <w:rPr>
                <w:rFonts w:hint="eastAsia" w:ascii="宋体" w:hAnsi="宋体"/>
                <w:color w:val="auto"/>
                <w:highlight w:val="none"/>
              </w:rPr>
              <w:t>合同履约期限（</w:t>
            </w:r>
            <w:r>
              <w:rPr>
                <w:rFonts w:hint="eastAsia" w:ascii="宋体" w:hAnsi="宋体"/>
                <w:color w:val="auto"/>
                <w:szCs w:val="21"/>
                <w:highlight w:val="none"/>
              </w:rPr>
              <w:t>提交服务成果时间</w:t>
            </w:r>
            <w:r>
              <w:rPr>
                <w:rFonts w:hint="eastAsia" w:ascii="宋体" w:hAnsi="宋体"/>
                <w:color w:val="auto"/>
                <w:highlight w:val="none"/>
              </w:rPr>
              <w:t>）</w:t>
            </w:r>
            <w:r>
              <w:rPr>
                <w:rFonts w:ascii="宋体" w:hAnsi="宋体"/>
                <w:color w:val="auto"/>
                <w:highlight w:val="none"/>
              </w:rPr>
              <w:t>：</w:t>
            </w:r>
            <w:r>
              <w:rPr>
                <w:rFonts w:hint="eastAsia" w:ascii="宋体" w:hAnsi="宋体"/>
                <w:color w:val="auto"/>
                <w:highlight w:val="none"/>
              </w:rPr>
              <w:t>签订合同以后30个自然日内完成</w:t>
            </w:r>
            <w:r>
              <w:rPr>
                <w:rFonts w:hint="eastAsia" w:ascii="宋体" w:hAnsi="宋体" w:cs="宋体"/>
                <w:bCs/>
                <w:color w:val="auto"/>
                <w:szCs w:val="22"/>
                <w:highlight w:val="none"/>
              </w:rPr>
              <w:t>不少于</w:t>
            </w:r>
            <w:r>
              <w:rPr>
                <w:rFonts w:hint="eastAsia" w:ascii="宋体" w:hAnsi="宋体"/>
                <w:color w:val="auto"/>
                <w:highlight w:val="none"/>
              </w:rPr>
              <w:t>45%数字正射影像初步成果制作与内部质量检查并提交；签订合同以后60个自然日内完成</w:t>
            </w:r>
            <w:r>
              <w:rPr>
                <w:rFonts w:hint="eastAsia" w:ascii="宋体" w:hAnsi="宋体" w:cs="宋体"/>
                <w:bCs/>
                <w:color w:val="auto"/>
                <w:szCs w:val="22"/>
                <w:highlight w:val="none"/>
              </w:rPr>
              <w:t>不少于</w:t>
            </w:r>
            <w:r>
              <w:rPr>
                <w:rFonts w:hint="eastAsia" w:ascii="宋体" w:hAnsi="宋体"/>
                <w:color w:val="auto"/>
                <w:highlight w:val="none"/>
              </w:rPr>
              <w:t>90%数字正射影像初步成果制作与内部质量检查并提交；签订合同以后70个自然日内完成所有数字正射影像初步成果与内部质量检查并提交；签订合同以后80个自然日内，项目成果由供应商通过具有CMA证书（证书检验检测的能力范围需包含测绘航空摄影、摄影测量与遥感、工程测量）的第三方检验机构检验合格，提交所有项目成果。</w:t>
            </w:r>
          </w:p>
          <w:p w14:paraId="1EE9416C">
            <w:pPr>
              <w:spacing w:line="360" w:lineRule="auto"/>
              <w:rPr>
                <w:rFonts w:ascii="宋体" w:hAnsi="宋体"/>
                <w:color w:val="auto"/>
                <w:highlight w:val="none"/>
              </w:rPr>
            </w:pPr>
            <w:r>
              <w:rPr>
                <w:rFonts w:ascii="宋体" w:hAnsi="宋体"/>
                <w:color w:val="auto"/>
                <w:highlight w:val="none"/>
              </w:rPr>
              <w:t>2、地点：广西区范围内由采购人指定。</w:t>
            </w:r>
          </w:p>
          <w:p w14:paraId="09F94DD0">
            <w:pPr>
              <w:adjustRightInd w:val="0"/>
              <w:snapToGrid w:val="0"/>
              <w:spacing w:line="360" w:lineRule="exact"/>
              <w:rPr>
                <w:color w:val="auto"/>
                <w:highlight w:val="none"/>
              </w:rPr>
            </w:pPr>
            <w:r>
              <w:rPr>
                <w:rFonts w:hint="eastAsia" w:ascii="宋体" w:hAnsi="宋体"/>
                <w:color w:val="auto"/>
                <w:highlight w:val="none"/>
              </w:rPr>
              <w:t>3、签定合同时间：成交通知书发出之日起8个自然日内。</w:t>
            </w:r>
          </w:p>
        </w:tc>
      </w:tr>
      <w:tr w14:paraId="1DF296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2100" w:type="dxa"/>
            <w:gridSpan w:val="3"/>
            <w:tcBorders>
              <w:top w:val="single" w:color="auto" w:sz="4" w:space="0"/>
              <w:left w:val="single" w:color="auto" w:sz="4" w:space="0"/>
              <w:bottom w:val="single" w:color="auto" w:sz="4" w:space="0"/>
              <w:right w:val="single" w:color="auto" w:sz="4" w:space="0"/>
            </w:tcBorders>
            <w:vAlign w:val="center"/>
          </w:tcPr>
          <w:p w14:paraId="71785C3B">
            <w:pPr>
              <w:adjustRightInd w:val="0"/>
              <w:snapToGrid w:val="0"/>
              <w:spacing w:line="360" w:lineRule="exact"/>
              <w:jc w:val="center"/>
              <w:rPr>
                <w:rFonts w:ascii="宋体" w:hAnsi="宋体" w:cs="宋体"/>
                <w:b/>
                <w:color w:val="auto"/>
                <w:szCs w:val="21"/>
                <w:highlight w:val="none"/>
              </w:rPr>
            </w:pPr>
            <w:r>
              <w:rPr>
                <w:rFonts w:hint="eastAsia" w:ascii="宋体" w:hAnsi="宋体"/>
                <w:color w:val="auto"/>
                <w:szCs w:val="21"/>
                <w:highlight w:val="none"/>
              </w:rPr>
              <w:t>▲验收标准</w:t>
            </w:r>
          </w:p>
        </w:tc>
        <w:tc>
          <w:tcPr>
            <w:tcW w:w="7614" w:type="dxa"/>
            <w:gridSpan w:val="3"/>
            <w:tcBorders>
              <w:top w:val="single" w:color="auto" w:sz="4" w:space="0"/>
              <w:left w:val="single" w:color="auto" w:sz="4" w:space="0"/>
              <w:bottom w:val="single" w:color="auto" w:sz="4" w:space="0"/>
              <w:right w:val="single" w:color="auto" w:sz="4" w:space="0"/>
            </w:tcBorders>
            <w:vAlign w:val="center"/>
          </w:tcPr>
          <w:p w14:paraId="0E74A2A1">
            <w:pPr>
              <w:tabs>
                <w:tab w:val="left" w:pos="180"/>
                <w:tab w:val="left" w:pos="1620"/>
              </w:tabs>
              <w:adjustRightInd w:val="0"/>
              <w:snapToGrid w:val="0"/>
              <w:spacing w:line="380" w:lineRule="exact"/>
              <w:rPr>
                <w:rFonts w:ascii="宋体" w:hAnsi="宋体" w:cs="宋体"/>
                <w:color w:val="auto"/>
                <w:szCs w:val="22"/>
                <w:highlight w:val="none"/>
              </w:rPr>
            </w:pPr>
            <w:r>
              <w:rPr>
                <w:rFonts w:hint="eastAsia" w:ascii="宋体" w:hAnsi="宋体"/>
                <w:color w:val="auto"/>
                <w:highlight w:val="none"/>
              </w:rPr>
              <w:t>供应商通过具有CMA证书（证书检验检测的能力范围需包含测绘航空摄影、摄影测量与遥感、工程测量）的第三方检验机构检验并出具合格检验报告。</w:t>
            </w:r>
          </w:p>
        </w:tc>
      </w:tr>
      <w:tr w14:paraId="2A04B5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jc w:val="center"/>
        </w:trPr>
        <w:tc>
          <w:tcPr>
            <w:tcW w:w="2100" w:type="dxa"/>
            <w:gridSpan w:val="3"/>
            <w:tcBorders>
              <w:top w:val="single" w:color="auto" w:sz="4" w:space="0"/>
              <w:left w:val="single" w:color="auto" w:sz="4" w:space="0"/>
              <w:bottom w:val="single" w:color="auto" w:sz="4" w:space="0"/>
              <w:right w:val="single" w:color="auto" w:sz="4" w:space="0"/>
            </w:tcBorders>
            <w:vAlign w:val="center"/>
          </w:tcPr>
          <w:p w14:paraId="733ADD3C">
            <w:pPr>
              <w:adjustRightInd w:val="0"/>
              <w:snapToGrid w:val="0"/>
              <w:spacing w:line="360" w:lineRule="exact"/>
              <w:jc w:val="center"/>
              <w:rPr>
                <w:rFonts w:ascii="宋体" w:hAnsi="宋体" w:cs="宋体"/>
                <w:color w:val="auto"/>
                <w:szCs w:val="21"/>
                <w:highlight w:val="none"/>
              </w:rPr>
            </w:pPr>
            <w:r>
              <w:rPr>
                <w:rFonts w:hint="eastAsia" w:ascii="宋体" w:hAnsi="宋体"/>
                <w:color w:val="auto"/>
                <w:szCs w:val="21"/>
                <w:highlight w:val="none"/>
              </w:rPr>
              <w:t>▲付款方式</w:t>
            </w:r>
          </w:p>
        </w:tc>
        <w:tc>
          <w:tcPr>
            <w:tcW w:w="7614" w:type="dxa"/>
            <w:gridSpan w:val="3"/>
            <w:tcBorders>
              <w:top w:val="single" w:color="auto" w:sz="4" w:space="0"/>
              <w:left w:val="single" w:color="auto" w:sz="4" w:space="0"/>
              <w:bottom w:val="single" w:color="auto" w:sz="4" w:space="0"/>
              <w:right w:val="single" w:color="auto" w:sz="4" w:space="0"/>
            </w:tcBorders>
            <w:vAlign w:val="center"/>
          </w:tcPr>
          <w:p w14:paraId="10BEFD4F">
            <w:pPr>
              <w:adjustRightInd w:val="0"/>
              <w:snapToGrid w:val="0"/>
              <w:spacing w:line="360" w:lineRule="exact"/>
              <w:rPr>
                <w:rFonts w:ascii="宋体" w:hAnsi="宋体" w:cs="宋体"/>
                <w:bCs/>
                <w:color w:val="auto"/>
                <w:szCs w:val="22"/>
                <w:highlight w:val="none"/>
              </w:rPr>
            </w:pPr>
            <w:r>
              <w:rPr>
                <w:rFonts w:hint="eastAsia" w:ascii="宋体" w:hAnsi="宋体" w:cs="宋体"/>
                <w:bCs/>
                <w:color w:val="auto"/>
                <w:szCs w:val="22"/>
                <w:highlight w:val="none"/>
              </w:rPr>
              <w:t>签订合同以后：进场并开展实质工作以后支付15%预付款；30个自然日内提交不少于45%正射影像成果，并按实际提交成果比例支付进度款；签订合同以后60个自然日内提交不少于90%正射影像成果，并按实际提交成果比例支付进度款，但款项支付比例最高不能超过90%。签订合同以后80个自然日内，供应商通过具有CMA证书（证书检验检测的能力范围需包含测绘航空摄影、摄影测量与遥感、工程测量）的第三方检验机构检验并出具合格检验报告后，提交所有项目成果，最后支付剩余款项。</w:t>
            </w:r>
          </w:p>
        </w:tc>
      </w:tr>
      <w:tr w14:paraId="3D511C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100" w:type="dxa"/>
            <w:gridSpan w:val="3"/>
            <w:tcBorders>
              <w:top w:val="single" w:color="auto" w:sz="4" w:space="0"/>
              <w:left w:val="single" w:color="auto" w:sz="4" w:space="0"/>
              <w:bottom w:val="single" w:color="auto" w:sz="4" w:space="0"/>
              <w:right w:val="single" w:color="auto" w:sz="4" w:space="0"/>
            </w:tcBorders>
            <w:vAlign w:val="center"/>
          </w:tcPr>
          <w:p w14:paraId="6A95E310">
            <w:pPr>
              <w:spacing w:line="360" w:lineRule="exact"/>
              <w:jc w:val="center"/>
              <w:rPr>
                <w:rFonts w:ascii="宋体" w:hAnsi="宋体"/>
                <w:color w:val="auto"/>
                <w:szCs w:val="21"/>
                <w:highlight w:val="none"/>
              </w:rPr>
            </w:pPr>
            <w:r>
              <w:rPr>
                <w:rFonts w:hint="eastAsia" w:ascii="宋体" w:hAnsi="宋体"/>
                <w:color w:val="auto"/>
                <w:szCs w:val="21"/>
                <w:highlight w:val="none"/>
              </w:rPr>
              <w:t>▲其他要求</w:t>
            </w:r>
          </w:p>
        </w:tc>
        <w:tc>
          <w:tcPr>
            <w:tcW w:w="7614" w:type="dxa"/>
            <w:gridSpan w:val="3"/>
            <w:tcBorders>
              <w:top w:val="single" w:color="auto" w:sz="4" w:space="0"/>
              <w:left w:val="single" w:color="auto" w:sz="4" w:space="0"/>
              <w:bottom w:val="single" w:color="auto" w:sz="4" w:space="0"/>
              <w:right w:val="single" w:color="auto" w:sz="4" w:space="0"/>
            </w:tcBorders>
            <w:vAlign w:val="center"/>
          </w:tcPr>
          <w:p w14:paraId="130C0B15">
            <w:pPr>
              <w:spacing w:line="360" w:lineRule="auto"/>
              <w:rPr>
                <w:rFonts w:ascii="宋体" w:hAnsi="宋体"/>
                <w:color w:val="auto"/>
                <w:highlight w:val="none"/>
              </w:rPr>
            </w:pPr>
            <w:r>
              <w:rPr>
                <w:rFonts w:hint="eastAsia" w:ascii="宋体" w:hAnsi="宋体"/>
                <w:color w:val="auto"/>
                <w:highlight w:val="none"/>
              </w:rPr>
              <w:t>1、项目开展后，采购人对供应商承担项目的过程质量进行监督检查，对过程质量监督检查中发现的问题，供应商应按采购人整改通知限期进行全面修改和完善，并重新提交采购人进行过程质量监督检查，如供应商未按采购人要求进行修改完善，采购人有权对本项目进行调整或终止本项目合同。</w:t>
            </w:r>
          </w:p>
          <w:p w14:paraId="7D70485E">
            <w:pPr>
              <w:spacing w:line="360" w:lineRule="auto"/>
              <w:rPr>
                <w:rFonts w:ascii="宋体" w:hAnsi="宋体"/>
                <w:color w:val="auto"/>
                <w:highlight w:val="none"/>
              </w:rPr>
            </w:pPr>
            <w:r>
              <w:rPr>
                <w:rFonts w:hint="eastAsia" w:ascii="宋体" w:hAnsi="宋体"/>
                <w:color w:val="auto"/>
                <w:highlight w:val="none"/>
              </w:rPr>
              <w:t xml:space="preserve">2、若供应商未能按合同约定的期限向采购人交付约定数量及合格的成果资料或提交的验收不合格的，采购人有权解除合同。 </w:t>
            </w:r>
          </w:p>
          <w:p w14:paraId="74D345B9">
            <w:pPr>
              <w:spacing w:line="360" w:lineRule="auto"/>
              <w:rPr>
                <w:rFonts w:ascii="宋体" w:hAnsi="宋体"/>
                <w:color w:val="auto"/>
                <w:highlight w:val="none"/>
              </w:rPr>
            </w:pPr>
            <w:r>
              <w:rPr>
                <w:rFonts w:hint="eastAsia" w:ascii="宋体" w:hAnsi="宋体"/>
                <w:color w:val="auto"/>
                <w:highlight w:val="none"/>
              </w:rPr>
              <w:t>3、供应商应在解除合同之日起10日内向采购人返还已支付的合同价款，并向采购人支付合同总价款10%的违约金。如出现违约情况，该供应商3年内将不能再承接采购人发布的相关航空摄影测量项目。</w:t>
            </w:r>
          </w:p>
          <w:p w14:paraId="207F7A21">
            <w:pPr>
              <w:spacing w:line="360" w:lineRule="auto"/>
              <w:rPr>
                <w:rFonts w:ascii="宋体" w:hAnsi="宋体"/>
                <w:color w:val="auto"/>
                <w:highlight w:val="none"/>
              </w:rPr>
            </w:pPr>
            <w:r>
              <w:rPr>
                <w:rFonts w:hint="eastAsia" w:ascii="宋体" w:hAnsi="宋体"/>
                <w:color w:val="auto"/>
                <w:highlight w:val="none"/>
              </w:rPr>
              <w:t>4.知识产权归属:（1）本项目所有成果的著作权等知识产权和所有权益归采购人所有。未经采购人同意，供应商不得引用、发表和向第三方提供。（2）采购人有权利用供应商的阶段性工作成果形成新的技术成果，其相关权益归采购人所有。 （3）项目成果涉及知识产权的技术方法及内容，供应商必须确保采购人拥有其合法的、不受限制的无偿使用权，并免受任何侵权索偿或诉讼。</w:t>
            </w:r>
          </w:p>
          <w:p w14:paraId="13DEADDE">
            <w:pPr>
              <w:spacing w:line="360" w:lineRule="exact"/>
              <w:rPr>
                <w:color w:val="auto"/>
                <w:highlight w:val="none"/>
              </w:rPr>
            </w:pPr>
            <w:r>
              <w:rPr>
                <w:rFonts w:hint="eastAsia" w:ascii="宋体" w:hAnsi="宋体"/>
                <w:color w:val="auto"/>
                <w:highlight w:val="none"/>
              </w:rPr>
              <w:t>5.保密要求:供应商负责本项目实施过程中涉及的技术方案、数据资源、文件资料及合同具体内容等项目相关资料保密责任工作。未经过采购人书面文件许可，供应商不得以任何方式向第三方透露，且保密责任不因合同的中止或解除而失效。如项目相关技术文档和数据资料被泄密，给采购人造成损失的,供应商应承担赔偿责任；构成犯罪的,依法追究供应商刑事责任。</w:t>
            </w:r>
          </w:p>
        </w:tc>
      </w:tr>
    </w:tbl>
    <w:p w14:paraId="545FF234">
      <w:pPr>
        <w:rPr>
          <w:rFonts w:ascii="宋体" w:hAnsi="宋体" w:cs="宋体"/>
          <w:color w:val="auto"/>
          <w:highlight w:val="none"/>
        </w:rPr>
      </w:pPr>
      <w:r>
        <w:rPr>
          <w:rFonts w:hint="eastAsia" w:ascii="宋体" w:hAnsi="宋体" w:cs="宋体"/>
          <w:color w:val="auto"/>
          <w:highlight w:val="none"/>
        </w:rPr>
        <w:br w:type="page"/>
      </w:r>
    </w:p>
    <w:p w14:paraId="1E0102C6">
      <w:pPr>
        <w:rPr>
          <w:rFonts w:ascii="宋体" w:hAnsi="宋体" w:cs="宋体"/>
          <w:color w:val="auto"/>
          <w:highlight w:val="none"/>
        </w:rPr>
      </w:pPr>
      <w:r>
        <w:rPr>
          <w:rFonts w:hint="eastAsia" w:ascii="宋体" w:hAnsi="宋体" w:cs="宋体"/>
          <w:b/>
          <w:color w:val="auto"/>
          <w:szCs w:val="21"/>
          <w:highlight w:val="none"/>
        </w:rPr>
        <w:t>分标3        采购预算：</w:t>
      </w:r>
      <w:r>
        <w:rPr>
          <w:rFonts w:hint="eastAsia" w:ascii="宋体" w:hAnsi="宋体"/>
          <w:b/>
          <w:bCs/>
          <w:color w:val="auto"/>
          <w:szCs w:val="21"/>
          <w:highlight w:val="none"/>
          <w:u w:val="single"/>
        </w:rPr>
        <w:t>52.7</w:t>
      </w:r>
      <w:r>
        <w:rPr>
          <w:rFonts w:hint="eastAsia" w:ascii="宋体" w:hAnsi="宋体" w:cs="宋体"/>
          <w:b/>
          <w:bCs/>
          <w:color w:val="auto"/>
          <w:szCs w:val="21"/>
          <w:highlight w:val="none"/>
          <w:u w:val="single"/>
        </w:rPr>
        <w:t xml:space="preserve">万元 </w:t>
      </w:r>
      <w:r>
        <w:rPr>
          <w:rFonts w:hint="eastAsia" w:ascii="宋体" w:hAnsi="宋体" w:cs="宋体"/>
          <w:b/>
          <w:color w:val="auto"/>
          <w:szCs w:val="21"/>
          <w:highlight w:val="none"/>
        </w:rPr>
        <w:t xml:space="preserve">   </w:t>
      </w:r>
    </w:p>
    <w:tbl>
      <w:tblPr>
        <w:tblStyle w:val="33"/>
        <w:tblW w:w="971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5"/>
        <w:gridCol w:w="1300"/>
        <w:gridCol w:w="145"/>
        <w:gridCol w:w="708"/>
        <w:gridCol w:w="1088"/>
        <w:gridCol w:w="5818"/>
      </w:tblGrid>
      <w:tr w14:paraId="121E28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7" w:hRule="atLeast"/>
          <w:jc w:val="center"/>
        </w:trPr>
        <w:tc>
          <w:tcPr>
            <w:tcW w:w="655" w:type="dxa"/>
            <w:vAlign w:val="center"/>
          </w:tcPr>
          <w:p w14:paraId="1F8DE84A">
            <w:pPr>
              <w:tabs>
                <w:tab w:val="left" w:pos="180"/>
                <w:tab w:val="left" w:pos="1620"/>
              </w:tabs>
              <w:spacing w:line="320" w:lineRule="exact"/>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1300" w:type="dxa"/>
            <w:vAlign w:val="center"/>
          </w:tcPr>
          <w:p w14:paraId="42A5766A">
            <w:pPr>
              <w:tabs>
                <w:tab w:val="left" w:pos="180"/>
                <w:tab w:val="left" w:pos="1620"/>
              </w:tabs>
              <w:spacing w:line="320" w:lineRule="exact"/>
              <w:jc w:val="center"/>
              <w:rPr>
                <w:rFonts w:ascii="宋体" w:hAnsi="宋体" w:cs="宋体"/>
                <w:color w:val="auto"/>
                <w:szCs w:val="21"/>
                <w:highlight w:val="none"/>
              </w:rPr>
            </w:pPr>
            <w:r>
              <w:rPr>
                <w:rFonts w:hint="eastAsia" w:ascii="宋体" w:hAnsi="宋体" w:cs="宋体"/>
                <w:color w:val="auto"/>
                <w:szCs w:val="21"/>
                <w:highlight w:val="none"/>
              </w:rPr>
              <w:t>标的名称</w:t>
            </w:r>
          </w:p>
        </w:tc>
        <w:tc>
          <w:tcPr>
            <w:tcW w:w="853" w:type="dxa"/>
            <w:gridSpan w:val="2"/>
            <w:vAlign w:val="center"/>
          </w:tcPr>
          <w:p w14:paraId="29F6F1CE">
            <w:pPr>
              <w:tabs>
                <w:tab w:val="left" w:pos="180"/>
                <w:tab w:val="left" w:pos="1620"/>
              </w:tabs>
              <w:spacing w:line="320" w:lineRule="exact"/>
              <w:jc w:val="center"/>
              <w:rPr>
                <w:rFonts w:ascii="宋体" w:hAnsi="宋体" w:cs="宋体"/>
                <w:color w:val="auto"/>
                <w:szCs w:val="21"/>
                <w:highlight w:val="none"/>
              </w:rPr>
            </w:pPr>
            <w:r>
              <w:rPr>
                <w:rFonts w:hint="eastAsia" w:ascii="宋体" w:hAnsi="宋体" w:cs="宋体"/>
                <w:color w:val="auto"/>
                <w:szCs w:val="21"/>
                <w:highlight w:val="none"/>
              </w:rPr>
              <w:t>数量及单位</w:t>
            </w:r>
          </w:p>
        </w:tc>
        <w:tc>
          <w:tcPr>
            <w:tcW w:w="1088" w:type="dxa"/>
            <w:vAlign w:val="center"/>
          </w:tcPr>
          <w:p w14:paraId="05325A0F">
            <w:pPr>
              <w:tabs>
                <w:tab w:val="left" w:pos="180"/>
                <w:tab w:val="left" w:pos="1620"/>
              </w:tabs>
              <w:spacing w:line="320" w:lineRule="exact"/>
              <w:jc w:val="center"/>
              <w:rPr>
                <w:rFonts w:ascii="宋体" w:hAnsi="宋体" w:cs="宋体"/>
                <w:color w:val="auto"/>
                <w:szCs w:val="21"/>
                <w:highlight w:val="none"/>
              </w:rPr>
            </w:pPr>
            <w:r>
              <w:rPr>
                <w:rFonts w:hint="eastAsia" w:ascii="宋体" w:hAnsi="宋体" w:cs="宋体"/>
                <w:color w:val="auto"/>
                <w:szCs w:val="21"/>
                <w:highlight w:val="none"/>
              </w:rPr>
              <w:t>所属</w:t>
            </w:r>
          </w:p>
          <w:p w14:paraId="62A70586">
            <w:pPr>
              <w:tabs>
                <w:tab w:val="left" w:pos="180"/>
                <w:tab w:val="left" w:pos="1620"/>
              </w:tabs>
              <w:spacing w:line="320" w:lineRule="exact"/>
              <w:jc w:val="center"/>
              <w:rPr>
                <w:rFonts w:ascii="宋体" w:hAnsi="宋体" w:cs="宋体"/>
                <w:color w:val="auto"/>
                <w:szCs w:val="21"/>
                <w:highlight w:val="none"/>
              </w:rPr>
            </w:pPr>
            <w:r>
              <w:rPr>
                <w:rFonts w:hint="eastAsia" w:ascii="宋体" w:hAnsi="宋体" w:cs="宋体"/>
                <w:color w:val="auto"/>
                <w:szCs w:val="21"/>
                <w:highlight w:val="none"/>
              </w:rPr>
              <w:t>行业</w:t>
            </w:r>
          </w:p>
        </w:tc>
        <w:tc>
          <w:tcPr>
            <w:tcW w:w="5818" w:type="dxa"/>
            <w:vAlign w:val="center"/>
          </w:tcPr>
          <w:p w14:paraId="7345BDA9">
            <w:pPr>
              <w:tabs>
                <w:tab w:val="left" w:pos="180"/>
                <w:tab w:val="left" w:pos="1620"/>
              </w:tabs>
              <w:spacing w:line="320" w:lineRule="exact"/>
              <w:jc w:val="center"/>
              <w:rPr>
                <w:rFonts w:ascii="宋体" w:hAnsi="宋体" w:cs="宋体"/>
                <w:color w:val="auto"/>
                <w:szCs w:val="21"/>
                <w:highlight w:val="none"/>
              </w:rPr>
            </w:pPr>
            <w:r>
              <w:rPr>
                <w:rFonts w:hint="eastAsia" w:ascii="宋体" w:hAnsi="宋体" w:cs="宋体"/>
                <w:color w:val="auto"/>
                <w:szCs w:val="21"/>
                <w:highlight w:val="none"/>
              </w:rPr>
              <w:t>技术要求</w:t>
            </w:r>
          </w:p>
        </w:tc>
      </w:tr>
      <w:tr w14:paraId="09D309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6" w:hRule="atLeast"/>
          <w:jc w:val="center"/>
        </w:trPr>
        <w:tc>
          <w:tcPr>
            <w:tcW w:w="655" w:type="dxa"/>
            <w:vAlign w:val="center"/>
          </w:tcPr>
          <w:p w14:paraId="6D0257B9">
            <w:pPr>
              <w:tabs>
                <w:tab w:val="left" w:pos="180"/>
                <w:tab w:val="left" w:pos="1620"/>
              </w:tabs>
              <w:spacing w:line="360"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1300" w:type="dxa"/>
            <w:vAlign w:val="center"/>
          </w:tcPr>
          <w:p w14:paraId="080561D1">
            <w:pPr>
              <w:tabs>
                <w:tab w:val="left" w:pos="180"/>
                <w:tab w:val="left" w:pos="1620"/>
              </w:tabs>
              <w:spacing w:line="360" w:lineRule="auto"/>
              <w:jc w:val="center"/>
              <w:rPr>
                <w:rFonts w:ascii="宋体" w:hAnsi="宋体" w:cs="宋体"/>
                <w:color w:val="auto"/>
                <w:szCs w:val="21"/>
                <w:highlight w:val="none"/>
              </w:rPr>
            </w:pPr>
            <w:r>
              <w:rPr>
                <w:rFonts w:hint="eastAsia" w:ascii="宋体" w:hAnsi="宋体" w:cs="宋体"/>
                <w:color w:val="auto"/>
                <w:highlight w:val="none"/>
              </w:rPr>
              <w:t>露天矿山0.2米分辨率航空影像获取和正射影像生产分标3</w:t>
            </w:r>
          </w:p>
        </w:tc>
        <w:tc>
          <w:tcPr>
            <w:tcW w:w="853" w:type="dxa"/>
            <w:gridSpan w:val="2"/>
            <w:vAlign w:val="center"/>
          </w:tcPr>
          <w:p w14:paraId="225BE674">
            <w:pPr>
              <w:tabs>
                <w:tab w:val="left" w:pos="180"/>
                <w:tab w:val="left" w:pos="1620"/>
              </w:tabs>
              <w:spacing w:line="360" w:lineRule="auto"/>
              <w:jc w:val="center"/>
              <w:rPr>
                <w:rFonts w:ascii="宋体" w:hAnsi="宋体" w:cs="宋体"/>
                <w:color w:val="auto"/>
                <w:szCs w:val="21"/>
                <w:highlight w:val="none"/>
              </w:rPr>
            </w:pPr>
            <w:r>
              <w:rPr>
                <w:rFonts w:hint="eastAsia" w:ascii="宋体" w:hAnsi="宋体" w:cs="宋体"/>
                <w:color w:val="auto"/>
                <w:szCs w:val="21"/>
                <w:highlight w:val="none"/>
              </w:rPr>
              <w:t>1项</w:t>
            </w:r>
          </w:p>
        </w:tc>
        <w:tc>
          <w:tcPr>
            <w:tcW w:w="1088" w:type="dxa"/>
            <w:vAlign w:val="center"/>
          </w:tcPr>
          <w:p w14:paraId="4E53256F">
            <w:pPr>
              <w:tabs>
                <w:tab w:val="left" w:pos="180"/>
                <w:tab w:val="left" w:pos="1620"/>
              </w:tabs>
              <w:spacing w:line="360" w:lineRule="auto"/>
              <w:jc w:val="center"/>
              <w:rPr>
                <w:rFonts w:ascii="宋体" w:hAnsi="宋体" w:cs="宋体"/>
                <w:color w:val="auto"/>
                <w:szCs w:val="21"/>
                <w:highlight w:val="none"/>
              </w:rPr>
            </w:pPr>
            <w:r>
              <w:rPr>
                <w:rFonts w:hint="eastAsia" w:ascii="宋体" w:hAnsi="宋体" w:cs="宋体"/>
                <w:color w:val="auto"/>
                <w:highlight w:val="none"/>
              </w:rPr>
              <w:t>其他未列明行业</w:t>
            </w:r>
          </w:p>
        </w:tc>
        <w:tc>
          <w:tcPr>
            <w:tcW w:w="5818" w:type="dxa"/>
          </w:tcPr>
          <w:p w14:paraId="43F6BFF5">
            <w:pPr>
              <w:spacing w:line="520" w:lineRule="exact"/>
              <w:ind w:firstLine="420" w:firstLineChars="200"/>
              <w:rPr>
                <w:rFonts w:ascii="宋体" w:hAnsi="宋体" w:cs="宋体"/>
                <w:b/>
                <w:bCs/>
                <w:color w:val="auto"/>
                <w:szCs w:val="21"/>
                <w:highlight w:val="none"/>
              </w:rPr>
            </w:pPr>
            <w:r>
              <w:rPr>
                <w:rFonts w:hint="eastAsia" w:ascii="宋体" w:hAnsi="宋体" w:cs="宋体"/>
                <w:color w:val="auto"/>
                <w:szCs w:val="21"/>
                <w:highlight w:val="none"/>
              </w:rPr>
              <w:t>1、本次采购航摄任务范围主要涉及桂林、河池、贺州部分区域。</w:t>
            </w:r>
            <w:r>
              <w:rPr>
                <w:rFonts w:hint="eastAsia" w:ascii="宋体" w:hAnsi="宋体" w:cs="宋体"/>
                <w:b/>
                <w:bCs/>
                <w:color w:val="auto"/>
                <w:szCs w:val="21"/>
                <w:highlight w:val="none"/>
              </w:rPr>
              <w:t>本分标测量面积为527平方千米，最低点地面分辨率优于0.16m，具体测量范围（区域）在项目实施时以采购人书面通知为准。</w:t>
            </w:r>
          </w:p>
          <w:p w14:paraId="2EDFAF33">
            <w:pPr>
              <w:spacing w:line="5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2、工作内容及进度要求及技术指标及要求：详见附件1“</w:t>
            </w:r>
            <w:r>
              <w:rPr>
                <w:rFonts w:hint="eastAsia" w:ascii="宋体" w:hAnsi="宋体" w:cs="宋体"/>
                <w:color w:val="auto"/>
                <w:highlight w:val="none"/>
              </w:rPr>
              <w:t>露天矿山0.2米分辨率航空影像获取和正射影像生产</w:t>
            </w:r>
            <w:r>
              <w:rPr>
                <w:rFonts w:hint="eastAsia" w:ascii="宋体" w:hAnsi="宋体" w:cs="宋体"/>
                <w:color w:val="auto"/>
                <w:szCs w:val="21"/>
                <w:highlight w:val="none"/>
              </w:rPr>
              <w:t>服务工作内容及要求”。</w:t>
            </w:r>
          </w:p>
        </w:tc>
      </w:tr>
      <w:tr w14:paraId="2910D3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714" w:type="dxa"/>
            <w:gridSpan w:val="6"/>
            <w:tcBorders>
              <w:top w:val="single" w:color="auto" w:sz="4" w:space="0"/>
              <w:left w:val="single" w:color="auto" w:sz="4" w:space="0"/>
              <w:bottom w:val="single" w:color="auto" w:sz="4" w:space="0"/>
              <w:right w:val="single" w:color="auto" w:sz="4" w:space="0"/>
            </w:tcBorders>
          </w:tcPr>
          <w:p w14:paraId="350019A4">
            <w:pPr>
              <w:spacing w:line="360" w:lineRule="auto"/>
              <w:rPr>
                <w:rFonts w:ascii="宋体" w:hAnsi="宋体" w:cs="宋体"/>
                <w:color w:val="auto"/>
                <w:szCs w:val="21"/>
                <w:highlight w:val="none"/>
              </w:rPr>
            </w:pPr>
            <w:r>
              <w:rPr>
                <w:rFonts w:hint="eastAsia" w:ascii="宋体" w:hAnsi="宋体" w:cs="宋体"/>
                <w:b/>
                <w:color w:val="auto"/>
                <w:szCs w:val="21"/>
                <w:highlight w:val="none"/>
              </w:rPr>
              <w:t>商务要求</w:t>
            </w:r>
          </w:p>
        </w:tc>
      </w:tr>
      <w:tr w14:paraId="2510C1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100" w:type="dxa"/>
            <w:gridSpan w:val="3"/>
            <w:tcBorders>
              <w:top w:val="single" w:color="auto" w:sz="4" w:space="0"/>
              <w:left w:val="single" w:color="auto" w:sz="4" w:space="0"/>
              <w:bottom w:val="single" w:color="auto" w:sz="4" w:space="0"/>
              <w:right w:val="single" w:color="auto" w:sz="4" w:space="0"/>
            </w:tcBorders>
            <w:vAlign w:val="center"/>
          </w:tcPr>
          <w:p w14:paraId="6A6FC61A">
            <w:pPr>
              <w:spacing w:line="360" w:lineRule="auto"/>
              <w:jc w:val="center"/>
              <w:rPr>
                <w:rFonts w:ascii="宋体" w:hAnsi="宋体" w:cs="宋体"/>
                <w:b/>
                <w:color w:val="auto"/>
                <w:szCs w:val="21"/>
                <w:highlight w:val="none"/>
              </w:rPr>
            </w:pPr>
            <w:r>
              <w:rPr>
                <w:rFonts w:hint="eastAsia" w:ascii="宋体" w:hAnsi="宋体" w:cs="宋体"/>
                <w:b/>
                <w:bCs/>
                <w:color w:val="auto"/>
                <w:szCs w:val="21"/>
                <w:highlight w:val="none"/>
              </w:rPr>
              <w:t>▲</w:t>
            </w:r>
            <w:r>
              <w:rPr>
                <w:rFonts w:hint="eastAsia" w:ascii="宋体" w:hAnsi="宋体" w:cs="宋体"/>
                <w:bCs/>
                <w:color w:val="auto"/>
                <w:szCs w:val="21"/>
                <w:highlight w:val="none"/>
              </w:rPr>
              <w:t>磋商报价要求</w:t>
            </w:r>
          </w:p>
        </w:tc>
        <w:tc>
          <w:tcPr>
            <w:tcW w:w="7614" w:type="dxa"/>
            <w:gridSpan w:val="3"/>
            <w:tcBorders>
              <w:top w:val="single" w:color="auto" w:sz="4" w:space="0"/>
              <w:left w:val="single" w:color="auto" w:sz="4" w:space="0"/>
              <w:bottom w:val="single" w:color="auto" w:sz="4" w:space="0"/>
              <w:right w:val="single" w:color="auto" w:sz="4" w:space="0"/>
            </w:tcBorders>
            <w:vAlign w:val="center"/>
          </w:tcPr>
          <w:p w14:paraId="0239FA49">
            <w:pPr>
              <w:spacing w:line="400" w:lineRule="exact"/>
              <w:rPr>
                <w:color w:val="auto"/>
                <w:highlight w:val="none"/>
              </w:rPr>
            </w:pPr>
            <w:r>
              <w:rPr>
                <w:rFonts w:hint="eastAsia" w:ascii="宋体" w:hAnsi="宋体"/>
                <w:color w:val="auto"/>
                <w:szCs w:val="21"/>
                <w:highlight w:val="none"/>
              </w:rPr>
              <w:t>包含供应商完成本项目服务所有内容及其他相关服务的投入、项目验收费、售后服务、税金、利润及其他所有可能发生的一切费用。采购人不再支付任何费用。</w:t>
            </w:r>
          </w:p>
        </w:tc>
      </w:tr>
      <w:tr w14:paraId="37A63B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100" w:type="dxa"/>
            <w:gridSpan w:val="3"/>
            <w:tcBorders>
              <w:top w:val="single" w:color="auto" w:sz="4" w:space="0"/>
              <w:left w:val="single" w:color="auto" w:sz="4" w:space="0"/>
              <w:bottom w:val="single" w:color="auto" w:sz="4" w:space="0"/>
              <w:right w:val="single" w:color="auto" w:sz="4" w:space="0"/>
            </w:tcBorders>
            <w:vAlign w:val="center"/>
          </w:tcPr>
          <w:p w14:paraId="2989618D">
            <w:pPr>
              <w:adjustRightInd w:val="0"/>
              <w:snapToGrid w:val="0"/>
              <w:spacing w:line="360" w:lineRule="exact"/>
              <w:jc w:val="center"/>
              <w:rPr>
                <w:rFonts w:ascii="宋体" w:hAnsi="宋体" w:cs="宋体"/>
                <w:b/>
                <w:color w:val="auto"/>
                <w:szCs w:val="21"/>
                <w:highlight w:val="none"/>
              </w:rPr>
            </w:pPr>
            <w:r>
              <w:rPr>
                <w:rFonts w:hint="eastAsia" w:ascii="宋体" w:hAnsi="宋体"/>
                <w:color w:val="auto"/>
                <w:szCs w:val="21"/>
                <w:highlight w:val="none"/>
              </w:rPr>
              <w:t>▲合同履约期限（提交服务成果时间）和地点</w:t>
            </w:r>
          </w:p>
        </w:tc>
        <w:tc>
          <w:tcPr>
            <w:tcW w:w="7614" w:type="dxa"/>
            <w:gridSpan w:val="3"/>
            <w:tcBorders>
              <w:top w:val="single" w:color="auto" w:sz="4" w:space="0"/>
              <w:left w:val="single" w:color="auto" w:sz="4" w:space="0"/>
              <w:bottom w:val="single" w:color="auto" w:sz="4" w:space="0"/>
              <w:right w:val="single" w:color="auto" w:sz="4" w:space="0"/>
            </w:tcBorders>
            <w:vAlign w:val="center"/>
          </w:tcPr>
          <w:p w14:paraId="64B46683">
            <w:pPr>
              <w:spacing w:line="360" w:lineRule="auto"/>
              <w:rPr>
                <w:rFonts w:ascii="宋体" w:hAnsi="宋体"/>
                <w:color w:val="auto"/>
                <w:highlight w:val="none"/>
              </w:rPr>
            </w:pPr>
            <w:r>
              <w:rPr>
                <w:rFonts w:ascii="宋体" w:hAnsi="宋体"/>
                <w:color w:val="auto"/>
                <w:highlight w:val="none"/>
              </w:rPr>
              <w:t>1、</w:t>
            </w:r>
            <w:r>
              <w:rPr>
                <w:rFonts w:hint="eastAsia" w:ascii="宋体" w:hAnsi="宋体"/>
                <w:color w:val="auto"/>
                <w:highlight w:val="none"/>
              </w:rPr>
              <w:t>合同履约期限（</w:t>
            </w:r>
            <w:r>
              <w:rPr>
                <w:rFonts w:hint="eastAsia" w:ascii="宋体" w:hAnsi="宋体"/>
                <w:color w:val="auto"/>
                <w:szCs w:val="21"/>
                <w:highlight w:val="none"/>
              </w:rPr>
              <w:t>提交服务成果时间</w:t>
            </w:r>
            <w:r>
              <w:rPr>
                <w:rFonts w:hint="eastAsia" w:ascii="宋体" w:hAnsi="宋体"/>
                <w:color w:val="auto"/>
                <w:highlight w:val="none"/>
              </w:rPr>
              <w:t>）</w:t>
            </w:r>
            <w:r>
              <w:rPr>
                <w:rFonts w:ascii="宋体" w:hAnsi="宋体"/>
                <w:color w:val="auto"/>
                <w:highlight w:val="none"/>
              </w:rPr>
              <w:t>：</w:t>
            </w:r>
            <w:r>
              <w:rPr>
                <w:rFonts w:hint="eastAsia" w:ascii="宋体" w:hAnsi="宋体"/>
                <w:color w:val="auto"/>
                <w:highlight w:val="none"/>
              </w:rPr>
              <w:t>签订合同以后30个自然日内完成</w:t>
            </w:r>
            <w:r>
              <w:rPr>
                <w:rFonts w:hint="eastAsia" w:ascii="宋体" w:hAnsi="宋体" w:cs="宋体"/>
                <w:bCs/>
                <w:color w:val="auto"/>
                <w:szCs w:val="22"/>
                <w:highlight w:val="none"/>
              </w:rPr>
              <w:t>不少于</w:t>
            </w:r>
            <w:r>
              <w:rPr>
                <w:rFonts w:hint="eastAsia" w:ascii="宋体" w:hAnsi="宋体"/>
                <w:color w:val="auto"/>
                <w:highlight w:val="none"/>
              </w:rPr>
              <w:t>45%数字正射影像初步成果制作与内部质量检查并提交；签订合同以后60个自然日内完成</w:t>
            </w:r>
            <w:r>
              <w:rPr>
                <w:rFonts w:hint="eastAsia" w:ascii="宋体" w:hAnsi="宋体" w:cs="宋体"/>
                <w:bCs/>
                <w:color w:val="auto"/>
                <w:szCs w:val="22"/>
                <w:highlight w:val="none"/>
              </w:rPr>
              <w:t>不少于</w:t>
            </w:r>
            <w:r>
              <w:rPr>
                <w:rFonts w:hint="eastAsia" w:ascii="宋体" w:hAnsi="宋体"/>
                <w:color w:val="auto"/>
                <w:highlight w:val="none"/>
              </w:rPr>
              <w:t>90%数字正射影像初步成果制作与内部质量检查并提交；签订合同以后70个自然日内完成所有数字正射影像初步成果与内部质量检查并提交；签订合同以后80个自然日内，项目成果由供应商通过具有CMA证书（证书检验检测的能力范围需包含测绘航空摄影、摄影测量与遥感、工程测量）的第三方检验机构检验合格，提交所有项目成果。</w:t>
            </w:r>
          </w:p>
          <w:p w14:paraId="20B48B03">
            <w:pPr>
              <w:spacing w:line="360" w:lineRule="auto"/>
              <w:rPr>
                <w:rFonts w:ascii="宋体" w:hAnsi="宋体"/>
                <w:color w:val="auto"/>
                <w:highlight w:val="none"/>
              </w:rPr>
            </w:pPr>
            <w:r>
              <w:rPr>
                <w:rFonts w:ascii="宋体" w:hAnsi="宋体"/>
                <w:color w:val="auto"/>
                <w:highlight w:val="none"/>
              </w:rPr>
              <w:t>2、地点：广西区范围内由采购人指定。</w:t>
            </w:r>
          </w:p>
          <w:p w14:paraId="68CB17E2">
            <w:pPr>
              <w:adjustRightInd w:val="0"/>
              <w:snapToGrid w:val="0"/>
              <w:spacing w:line="360" w:lineRule="exact"/>
              <w:rPr>
                <w:color w:val="auto"/>
                <w:highlight w:val="none"/>
              </w:rPr>
            </w:pPr>
            <w:r>
              <w:rPr>
                <w:rFonts w:hint="eastAsia" w:ascii="宋体" w:hAnsi="宋体"/>
                <w:color w:val="auto"/>
                <w:highlight w:val="none"/>
              </w:rPr>
              <w:t>3、签定合同时间：成交通知书发出之日起8个自然日内。</w:t>
            </w:r>
          </w:p>
        </w:tc>
      </w:tr>
      <w:tr w14:paraId="5581EE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2100" w:type="dxa"/>
            <w:gridSpan w:val="3"/>
            <w:tcBorders>
              <w:top w:val="single" w:color="auto" w:sz="4" w:space="0"/>
              <w:left w:val="single" w:color="auto" w:sz="4" w:space="0"/>
              <w:bottom w:val="single" w:color="auto" w:sz="4" w:space="0"/>
              <w:right w:val="single" w:color="auto" w:sz="4" w:space="0"/>
            </w:tcBorders>
            <w:vAlign w:val="center"/>
          </w:tcPr>
          <w:p w14:paraId="44D09419">
            <w:pPr>
              <w:adjustRightInd w:val="0"/>
              <w:snapToGrid w:val="0"/>
              <w:spacing w:line="360" w:lineRule="exact"/>
              <w:jc w:val="center"/>
              <w:rPr>
                <w:rFonts w:ascii="宋体" w:hAnsi="宋体" w:cs="宋体"/>
                <w:b/>
                <w:color w:val="auto"/>
                <w:szCs w:val="21"/>
                <w:highlight w:val="none"/>
              </w:rPr>
            </w:pPr>
            <w:r>
              <w:rPr>
                <w:rFonts w:hint="eastAsia" w:ascii="宋体" w:hAnsi="宋体"/>
                <w:color w:val="auto"/>
                <w:szCs w:val="21"/>
                <w:highlight w:val="none"/>
              </w:rPr>
              <w:t>▲验收标准</w:t>
            </w:r>
          </w:p>
        </w:tc>
        <w:tc>
          <w:tcPr>
            <w:tcW w:w="7614" w:type="dxa"/>
            <w:gridSpan w:val="3"/>
            <w:tcBorders>
              <w:top w:val="single" w:color="auto" w:sz="4" w:space="0"/>
              <w:left w:val="single" w:color="auto" w:sz="4" w:space="0"/>
              <w:bottom w:val="single" w:color="auto" w:sz="4" w:space="0"/>
              <w:right w:val="single" w:color="auto" w:sz="4" w:space="0"/>
            </w:tcBorders>
            <w:vAlign w:val="center"/>
          </w:tcPr>
          <w:p w14:paraId="4A030B1D">
            <w:pPr>
              <w:tabs>
                <w:tab w:val="left" w:pos="180"/>
                <w:tab w:val="left" w:pos="1620"/>
              </w:tabs>
              <w:adjustRightInd w:val="0"/>
              <w:snapToGrid w:val="0"/>
              <w:spacing w:line="380" w:lineRule="exact"/>
              <w:rPr>
                <w:rFonts w:ascii="宋体" w:hAnsi="宋体" w:cs="宋体"/>
                <w:color w:val="auto"/>
                <w:szCs w:val="22"/>
                <w:highlight w:val="none"/>
              </w:rPr>
            </w:pPr>
            <w:r>
              <w:rPr>
                <w:rFonts w:hint="eastAsia" w:ascii="宋体" w:hAnsi="宋体"/>
                <w:color w:val="auto"/>
                <w:highlight w:val="none"/>
              </w:rPr>
              <w:t>供应商通过具有CMA证书（证书检验检测的能力范围需包含测绘航空摄影、摄影测量与遥感、工程测量）的第三方检验机构检验并出具合格检验报告。</w:t>
            </w:r>
          </w:p>
        </w:tc>
      </w:tr>
      <w:tr w14:paraId="2D17C7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jc w:val="center"/>
        </w:trPr>
        <w:tc>
          <w:tcPr>
            <w:tcW w:w="2100" w:type="dxa"/>
            <w:gridSpan w:val="3"/>
            <w:tcBorders>
              <w:top w:val="single" w:color="auto" w:sz="4" w:space="0"/>
              <w:left w:val="single" w:color="auto" w:sz="4" w:space="0"/>
              <w:bottom w:val="single" w:color="auto" w:sz="4" w:space="0"/>
              <w:right w:val="single" w:color="auto" w:sz="4" w:space="0"/>
            </w:tcBorders>
            <w:vAlign w:val="center"/>
          </w:tcPr>
          <w:p w14:paraId="5EEB68DE">
            <w:pPr>
              <w:adjustRightInd w:val="0"/>
              <w:snapToGrid w:val="0"/>
              <w:spacing w:line="360" w:lineRule="exact"/>
              <w:jc w:val="center"/>
              <w:rPr>
                <w:rFonts w:ascii="宋体" w:hAnsi="宋体" w:cs="宋体"/>
                <w:color w:val="auto"/>
                <w:szCs w:val="21"/>
                <w:highlight w:val="none"/>
              </w:rPr>
            </w:pPr>
            <w:r>
              <w:rPr>
                <w:rFonts w:hint="eastAsia" w:ascii="宋体" w:hAnsi="宋体"/>
                <w:color w:val="auto"/>
                <w:szCs w:val="21"/>
                <w:highlight w:val="none"/>
              </w:rPr>
              <w:t>▲付款方式</w:t>
            </w:r>
          </w:p>
        </w:tc>
        <w:tc>
          <w:tcPr>
            <w:tcW w:w="7614" w:type="dxa"/>
            <w:gridSpan w:val="3"/>
            <w:tcBorders>
              <w:top w:val="single" w:color="auto" w:sz="4" w:space="0"/>
              <w:left w:val="single" w:color="auto" w:sz="4" w:space="0"/>
              <w:bottom w:val="single" w:color="auto" w:sz="4" w:space="0"/>
              <w:right w:val="single" w:color="auto" w:sz="4" w:space="0"/>
            </w:tcBorders>
            <w:vAlign w:val="center"/>
          </w:tcPr>
          <w:p w14:paraId="365198D7">
            <w:pPr>
              <w:adjustRightInd w:val="0"/>
              <w:snapToGrid w:val="0"/>
              <w:spacing w:line="360" w:lineRule="exact"/>
              <w:rPr>
                <w:rFonts w:ascii="宋体" w:hAnsi="宋体" w:cs="宋体"/>
                <w:bCs/>
                <w:color w:val="auto"/>
                <w:szCs w:val="22"/>
                <w:highlight w:val="none"/>
              </w:rPr>
            </w:pPr>
            <w:r>
              <w:rPr>
                <w:rFonts w:hint="eastAsia" w:ascii="宋体" w:hAnsi="宋体" w:cs="宋体"/>
                <w:bCs/>
                <w:color w:val="auto"/>
                <w:szCs w:val="22"/>
                <w:highlight w:val="none"/>
              </w:rPr>
              <w:t>签订合同以后：进场并开展实质工作以后支付15%预付款；30个自然日内提交不少于45%正射影像成果，并按实际提交成果比例支付进度款；签订合同以后60个自然日内提交不少于90%正射影像成果，并按实际提交成果比例支付进度款，但款项支付比例最高不能超过90%。签订合同以后80个自然日内，供应商通过具有CMA证书（证书检验检测的能力范围需包含测绘航空摄影、摄影测量与遥感、工程测量）的第三方检验机构检验并出具合格检验报告后，提交所有项目成果，最后支付剩余款项。</w:t>
            </w:r>
          </w:p>
        </w:tc>
      </w:tr>
      <w:tr w14:paraId="06F015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100" w:type="dxa"/>
            <w:gridSpan w:val="3"/>
            <w:tcBorders>
              <w:top w:val="single" w:color="auto" w:sz="4" w:space="0"/>
              <w:left w:val="single" w:color="auto" w:sz="4" w:space="0"/>
              <w:bottom w:val="single" w:color="auto" w:sz="4" w:space="0"/>
              <w:right w:val="single" w:color="auto" w:sz="4" w:space="0"/>
            </w:tcBorders>
            <w:vAlign w:val="center"/>
          </w:tcPr>
          <w:p w14:paraId="13967E97">
            <w:pPr>
              <w:spacing w:line="360" w:lineRule="exact"/>
              <w:jc w:val="center"/>
              <w:rPr>
                <w:rFonts w:ascii="宋体" w:hAnsi="宋体"/>
                <w:color w:val="auto"/>
                <w:szCs w:val="21"/>
                <w:highlight w:val="none"/>
              </w:rPr>
            </w:pPr>
            <w:r>
              <w:rPr>
                <w:rFonts w:hint="eastAsia" w:ascii="宋体" w:hAnsi="宋体"/>
                <w:color w:val="auto"/>
                <w:szCs w:val="21"/>
                <w:highlight w:val="none"/>
              </w:rPr>
              <w:t>▲其他要求</w:t>
            </w:r>
          </w:p>
        </w:tc>
        <w:tc>
          <w:tcPr>
            <w:tcW w:w="7614" w:type="dxa"/>
            <w:gridSpan w:val="3"/>
            <w:tcBorders>
              <w:top w:val="single" w:color="auto" w:sz="4" w:space="0"/>
              <w:left w:val="single" w:color="auto" w:sz="4" w:space="0"/>
              <w:bottom w:val="single" w:color="auto" w:sz="4" w:space="0"/>
              <w:right w:val="single" w:color="auto" w:sz="4" w:space="0"/>
            </w:tcBorders>
            <w:vAlign w:val="center"/>
          </w:tcPr>
          <w:p w14:paraId="03D53F39">
            <w:pPr>
              <w:spacing w:line="360" w:lineRule="auto"/>
              <w:rPr>
                <w:rFonts w:ascii="宋体" w:hAnsi="宋体"/>
                <w:color w:val="auto"/>
                <w:highlight w:val="none"/>
              </w:rPr>
            </w:pPr>
            <w:r>
              <w:rPr>
                <w:rFonts w:hint="eastAsia" w:ascii="宋体" w:hAnsi="宋体"/>
                <w:color w:val="auto"/>
                <w:highlight w:val="none"/>
              </w:rPr>
              <w:t>1、项目开展后，采购人对供应商承担项目的过程质量进行监督检查，对过程质量监督检查中发现的问题，供应商应按采购人整改通知限期进行全面修改和完善，并重新提交采购人进行过程质量监督检查，如供应商未按采购人要求进行修改完善，采购人有权对本项目进行调整或终止本项目合同。</w:t>
            </w:r>
          </w:p>
          <w:p w14:paraId="1412FE95">
            <w:pPr>
              <w:spacing w:line="360" w:lineRule="auto"/>
              <w:rPr>
                <w:rFonts w:ascii="宋体" w:hAnsi="宋体"/>
                <w:color w:val="auto"/>
                <w:highlight w:val="none"/>
              </w:rPr>
            </w:pPr>
            <w:r>
              <w:rPr>
                <w:rFonts w:hint="eastAsia" w:ascii="宋体" w:hAnsi="宋体"/>
                <w:color w:val="auto"/>
                <w:highlight w:val="none"/>
              </w:rPr>
              <w:t xml:space="preserve">2、若供应商未能按合同约定的期限向采购人交付约定数量及合格的成果资料或提交的验收不合格的，采购人有权解除合同。 </w:t>
            </w:r>
          </w:p>
          <w:p w14:paraId="36535AFD">
            <w:pPr>
              <w:spacing w:line="360" w:lineRule="auto"/>
              <w:rPr>
                <w:rFonts w:ascii="宋体" w:hAnsi="宋体"/>
                <w:color w:val="auto"/>
                <w:highlight w:val="none"/>
              </w:rPr>
            </w:pPr>
            <w:r>
              <w:rPr>
                <w:rFonts w:hint="eastAsia" w:ascii="宋体" w:hAnsi="宋体"/>
                <w:color w:val="auto"/>
                <w:highlight w:val="none"/>
              </w:rPr>
              <w:t>3、供应商应在解除合同之日起10日内向采购人返还已支付的合同价款，并向采购人支付合同总价款10%的违约金。如出现违约情况，该供应商3年内将不能再承接采购人发布的相关航空摄影测量项目。</w:t>
            </w:r>
          </w:p>
          <w:p w14:paraId="2B2F81B9">
            <w:pPr>
              <w:spacing w:line="360" w:lineRule="auto"/>
              <w:rPr>
                <w:rFonts w:ascii="宋体" w:hAnsi="宋体"/>
                <w:color w:val="auto"/>
                <w:highlight w:val="none"/>
              </w:rPr>
            </w:pPr>
            <w:r>
              <w:rPr>
                <w:rFonts w:hint="eastAsia" w:ascii="宋体" w:hAnsi="宋体"/>
                <w:color w:val="auto"/>
                <w:highlight w:val="none"/>
              </w:rPr>
              <w:t>4.知识产权归属:（1）本项目所有成果的著作权等知识产权和所有权益归采购人所有。未经采购人同意，供应商不得引用、发表和向第三方提供。（2）采购人有权利用供应商的阶段性工作成果形成新的技术成果，其相关权益归采购人所有。 （3）项目成果涉及知识产权的技术方法及内容，供应商必须确保采购人拥有其合法的、不受限制的无偿使用权，并免受任何侵权索偿或诉讼。</w:t>
            </w:r>
          </w:p>
          <w:p w14:paraId="3D750BCD">
            <w:pPr>
              <w:spacing w:line="360" w:lineRule="exact"/>
              <w:rPr>
                <w:color w:val="auto"/>
                <w:highlight w:val="none"/>
              </w:rPr>
            </w:pPr>
            <w:r>
              <w:rPr>
                <w:rFonts w:hint="eastAsia" w:ascii="宋体" w:hAnsi="宋体"/>
                <w:color w:val="auto"/>
                <w:highlight w:val="none"/>
              </w:rPr>
              <w:t>5.保密要求:供应商负责本项目实施过程中涉及的技术方案、数据资源、文件资料及合同具体内容等项目相关资料保密责任工作。未经过采购人书面文件许可，供应商不得以任何方式向第三方透露，且保密责任不因合同的中止或解除而失效。如项目相关技术文档和数据资料被泄密，给采购人造成损失的,供应商应承担赔偿责任；构成犯罪的,依法追究供应商刑事责任。</w:t>
            </w:r>
          </w:p>
        </w:tc>
      </w:tr>
    </w:tbl>
    <w:p w14:paraId="17429A13">
      <w:pPr>
        <w:rPr>
          <w:rFonts w:ascii="宋体" w:hAnsi="宋体" w:cs="宋体"/>
          <w:color w:val="auto"/>
          <w:highlight w:val="none"/>
        </w:rPr>
      </w:pPr>
      <w:r>
        <w:rPr>
          <w:rFonts w:hint="eastAsia" w:ascii="宋体" w:hAnsi="宋体" w:cs="宋体"/>
          <w:color w:val="auto"/>
          <w:highlight w:val="none"/>
        </w:rPr>
        <w:br w:type="page"/>
      </w:r>
    </w:p>
    <w:p w14:paraId="7E273502">
      <w:pPr>
        <w:rPr>
          <w:rFonts w:ascii="宋体" w:hAnsi="宋体" w:cs="宋体"/>
          <w:color w:val="auto"/>
          <w:highlight w:val="none"/>
        </w:rPr>
      </w:pPr>
    </w:p>
    <w:p w14:paraId="0A74CF12">
      <w:pPr>
        <w:rPr>
          <w:color w:val="auto"/>
          <w:sz w:val="28"/>
          <w:szCs w:val="28"/>
          <w:highlight w:val="none"/>
        </w:rPr>
      </w:pPr>
      <w:r>
        <w:rPr>
          <w:rFonts w:hint="eastAsia" w:ascii="宋体" w:hAnsi="宋体" w:cs="宋体"/>
          <w:b/>
          <w:color w:val="auto"/>
          <w:szCs w:val="21"/>
          <w:highlight w:val="none"/>
        </w:rPr>
        <w:t>分标4       采购预算：</w:t>
      </w:r>
      <w:r>
        <w:rPr>
          <w:rFonts w:hint="eastAsia" w:ascii="宋体" w:hAnsi="宋体"/>
          <w:b/>
          <w:bCs/>
          <w:color w:val="auto"/>
          <w:szCs w:val="21"/>
          <w:highlight w:val="none"/>
          <w:u w:val="single"/>
        </w:rPr>
        <w:t>41.3</w:t>
      </w:r>
      <w:r>
        <w:rPr>
          <w:rFonts w:hint="eastAsia" w:ascii="宋体" w:hAnsi="宋体" w:cs="宋体"/>
          <w:b/>
          <w:bCs/>
          <w:color w:val="auto"/>
          <w:szCs w:val="21"/>
          <w:highlight w:val="none"/>
          <w:u w:val="single"/>
        </w:rPr>
        <w:t xml:space="preserve">万元 </w:t>
      </w:r>
      <w:r>
        <w:rPr>
          <w:rFonts w:hint="eastAsia" w:ascii="宋体" w:hAnsi="宋体" w:cs="宋体"/>
          <w:b/>
          <w:color w:val="auto"/>
          <w:szCs w:val="21"/>
          <w:highlight w:val="none"/>
        </w:rPr>
        <w:t xml:space="preserve">   </w:t>
      </w:r>
    </w:p>
    <w:tbl>
      <w:tblPr>
        <w:tblStyle w:val="33"/>
        <w:tblW w:w="971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5"/>
        <w:gridCol w:w="1300"/>
        <w:gridCol w:w="145"/>
        <w:gridCol w:w="708"/>
        <w:gridCol w:w="1088"/>
        <w:gridCol w:w="5818"/>
      </w:tblGrid>
      <w:tr w14:paraId="449981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7" w:hRule="atLeast"/>
          <w:jc w:val="center"/>
        </w:trPr>
        <w:tc>
          <w:tcPr>
            <w:tcW w:w="655" w:type="dxa"/>
            <w:vAlign w:val="center"/>
          </w:tcPr>
          <w:p w14:paraId="6C51010F">
            <w:pPr>
              <w:tabs>
                <w:tab w:val="left" w:pos="180"/>
                <w:tab w:val="left" w:pos="1620"/>
              </w:tabs>
              <w:spacing w:line="320" w:lineRule="exact"/>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1300" w:type="dxa"/>
            <w:vAlign w:val="center"/>
          </w:tcPr>
          <w:p w14:paraId="47B3044F">
            <w:pPr>
              <w:tabs>
                <w:tab w:val="left" w:pos="180"/>
                <w:tab w:val="left" w:pos="1620"/>
              </w:tabs>
              <w:spacing w:line="320" w:lineRule="exact"/>
              <w:jc w:val="center"/>
              <w:rPr>
                <w:rFonts w:ascii="宋体" w:hAnsi="宋体" w:cs="宋体"/>
                <w:color w:val="auto"/>
                <w:szCs w:val="21"/>
                <w:highlight w:val="none"/>
              </w:rPr>
            </w:pPr>
            <w:r>
              <w:rPr>
                <w:rFonts w:hint="eastAsia" w:ascii="宋体" w:hAnsi="宋体" w:cs="宋体"/>
                <w:color w:val="auto"/>
                <w:szCs w:val="21"/>
                <w:highlight w:val="none"/>
              </w:rPr>
              <w:t>标的名称</w:t>
            </w:r>
          </w:p>
        </w:tc>
        <w:tc>
          <w:tcPr>
            <w:tcW w:w="853" w:type="dxa"/>
            <w:gridSpan w:val="2"/>
            <w:vAlign w:val="center"/>
          </w:tcPr>
          <w:p w14:paraId="46D04664">
            <w:pPr>
              <w:tabs>
                <w:tab w:val="left" w:pos="180"/>
                <w:tab w:val="left" w:pos="1620"/>
              </w:tabs>
              <w:spacing w:line="320" w:lineRule="exact"/>
              <w:jc w:val="center"/>
              <w:rPr>
                <w:rFonts w:ascii="宋体" w:hAnsi="宋体" w:cs="宋体"/>
                <w:color w:val="auto"/>
                <w:szCs w:val="21"/>
                <w:highlight w:val="none"/>
              </w:rPr>
            </w:pPr>
            <w:r>
              <w:rPr>
                <w:rFonts w:hint="eastAsia" w:ascii="宋体" w:hAnsi="宋体" w:cs="宋体"/>
                <w:color w:val="auto"/>
                <w:szCs w:val="21"/>
                <w:highlight w:val="none"/>
              </w:rPr>
              <w:t>数量及单位</w:t>
            </w:r>
          </w:p>
        </w:tc>
        <w:tc>
          <w:tcPr>
            <w:tcW w:w="1088" w:type="dxa"/>
            <w:vAlign w:val="center"/>
          </w:tcPr>
          <w:p w14:paraId="3329CCFD">
            <w:pPr>
              <w:tabs>
                <w:tab w:val="left" w:pos="180"/>
                <w:tab w:val="left" w:pos="1620"/>
              </w:tabs>
              <w:spacing w:line="320" w:lineRule="exact"/>
              <w:jc w:val="center"/>
              <w:rPr>
                <w:rFonts w:ascii="宋体" w:hAnsi="宋体" w:cs="宋体"/>
                <w:color w:val="auto"/>
                <w:szCs w:val="21"/>
                <w:highlight w:val="none"/>
              </w:rPr>
            </w:pPr>
            <w:r>
              <w:rPr>
                <w:rFonts w:hint="eastAsia" w:ascii="宋体" w:hAnsi="宋体" w:cs="宋体"/>
                <w:color w:val="auto"/>
                <w:szCs w:val="21"/>
                <w:highlight w:val="none"/>
              </w:rPr>
              <w:t>所属</w:t>
            </w:r>
          </w:p>
          <w:p w14:paraId="5E21486A">
            <w:pPr>
              <w:tabs>
                <w:tab w:val="left" w:pos="180"/>
                <w:tab w:val="left" w:pos="1620"/>
              </w:tabs>
              <w:spacing w:line="320" w:lineRule="exact"/>
              <w:jc w:val="center"/>
              <w:rPr>
                <w:rFonts w:ascii="宋体" w:hAnsi="宋体" w:cs="宋体"/>
                <w:color w:val="auto"/>
                <w:szCs w:val="21"/>
                <w:highlight w:val="none"/>
              </w:rPr>
            </w:pPr>
            <w:r>
              <w:rPr>
                <w:rFonts w:hint="eastAsia" w:ascii="宋体" w:hAnsi="宋体" w:cs="宋体"/>
                <w:color w:val="auto"/>
                <w:szCs w:val="21"/>
                <w:highlight w:val="none"/>
              </w:rPr>
              <w:t>行业</w:t>
            </w:r>
          </w:p>
        </w:tc>
        <w:tc>
          <w:tcPr>
            <w:tcW w:w="5818" w:type="dxa"/>
            <w:vAlign w:val="center"/>
          </w:tcPr>
          <w:p w14:paraId="61FB2E9A">
            <w:pPr>
              <w:tabs>
                <w:tab w:val="left" w:pos="180"/>
                <w:tab w:val="left" w:pos="1620"/>
              </w:tabs>
              <w:spacing w:line="320" w:lineRule="exact"/>
              <w:jc w:val="center"/>
              <w:rPr>
                <w:rFonts w:ascii="宋体" w:hAnsi="宋体" w:cs="宋体"/>
                <w:color w:val="auto"/>
                <w:szCs w:val="21"/>
                <w:highlight w:val="none"/>
              </w:rPr>
            </w:pPr>
            <w:r>
              <w:rPr>
                <w:rFonts w:hint="eastAsia" w:ascii="宋体" w:hAnsi="宋体" w:cs="宋体"/>
                <w:color w:val="auto"/>
                <w:szCs w:val="21"/>
                <w:highlight w:val="none"/>
              </w:rPr>
              <w:t>技术要求</w:t>
            </w:r>
          </w:p>
        </w:tc>
      </w:tr>
      <w:tr w14:paraId="20926F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6" w:hRule="atLeast"/>
          <w:jc w:val="center"/>
        </w:trPr>
        <w:tc>
          <w:tcPr>
            <w:tcW w:w="655" w:type="dxa"/>
            <w:vAlign w:val="center"/>
          </w:tcPr>
          <w:p w14:paraId="6BB38D0B">
            <w:pPr>
              <w:tabs>
                <w:tab w:val="left" w:pos="180"/>
                <w:tab w:val="left" w:pos="1620"/>
              </w:tabs>
              <w:spacing w:line="360"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1300" w:type="dxa"/>
            <w:vAlign w:val="center"/>
          </w:tcPr>
          <w:p w14:paraId="4538BD7D">
            <w:pPr>
              <w:tabs>
                <w:tab w:val="left" w:pos="180"/>
                <w:tab w:val="left" w:pos="1620"/>
              </w:tabs>
              <w:spacing w:line="360" w:lineRule="auto"/>
              <w:jc w:val="center"/>
              <w:rPr>
                <w:rFonts w:ascii="宋体" w:hAnsi="宋体" w:cs="宋体"/>
                <w:color w:val="auto"/>
                <w:szCs w:val="21"/>
                <w:highlight w:val="none"/>
              </w:rPr>
            </w:pPr>
            <w:r>
              <w:rPr>
                <w:rFonts w:hint="eastAsia" w:ascii="宋体" w:hAnsi="宋体" w:cs="宋体"/>
                <w:color w:val="auto"/>
                <w:highlight w:val="none"/>
              </w:rPr>
              <w:t>露天矿山0.2米分辨率航空影像获取和正射影像生产分标4</w:t>
            </w:r>
          </w:p>
        </w:tc>
        <w:tc>
          <w:tcPr>
            <w:tcW w:w="853" w:type="dxa"/>
            <w:gridSpan w:val="2"/>
            <w:vAlign w:val="center"/>
          </w:tcPr>
          <w:p w14:paraId="12A86FC9">
            <w:pPr>
              <w:tabs>
                <w:tab w:val="left" w:pos="180"/>
                <w:tab w:val="left" w:pos="1620"/>
              </w:tabs>
              <w:spacing w:line="360" w:lineRule="auto"/>
              <w:jc w:val="center"/>
              <w:rPr>
                <w:rFonts w:ascii="宋体" w:hAnsi="宋体" w:cs="宋体"/>
                <w:color w:val="auto"/>
                <w:szCs w:val="21"/>
                <w:highlight w:val="none"/>
              </w:rPr>
            </w:pPr>
            <w:r>
              <w:rPr>
                <w:rFonts w:hint="eastAsia" w:ascii="宋体" w:hAnsi="宋体" w:cs="宋体"/>
                <w:color w:val="auto"/>
                <w:szCs w:val="21"/>
                <w:highlight w:val="none"/>
              </w:rPr>
              <w:t>1项</w:t>
            </w:r>
          </w:p>
        </w:tc>
        <w:tc>
          <w:tcPr>
            <w:tcW w:w="1088" w:type="dxa"/>
            <w:vAlign w:val="center"/>
          </w:tcPr>
          <w:p w14:paraId="02DB207C">
            <w:pPr>
              <w:tabs>
                <w:tab w:val="left" w:pos="180"/>
                <w:tab w:val="left" w:pos="1620"/>
              </w:tabs>
              <w:spacing w:line="360" w:lineRule="auto"/>
              <w:jc w:val="center"/>
              <w:rPr>
                <w:rFonts w:ascii="宋体" w:hAnsi="宋体" w:cs="宋体"/>
                <w:color w:val="auto"/>
                <w:szCs w:val="21"/>
                <w:highlight w:val="none"/>
              </w:rPr>
            </w:pPr>
            <w:r>
              <w:rPr>
                <w:rFonts w:hint="eastAsia" w:ascii="宋体" w:hAnsi="宋体" w:cs="宋体"/>
                <w:color w:val="auto"/>
                <w:highlight w:val="none"/>
              </w:rPr>
              <w:t>其他未列明行业</w:t>
            </w:r>
          </w:p>
        </w:tc>
        <w:tc>
          <w:tcPr>
            <w:tcW w:w="5818" w:type="dxa"/>
          </w:tcPr>
          <w:p w14:paraId="2219DBC4">
            <w:pPr>
              <w:spacing w:line="520" w:lineRule="exact"/>
              <w:ind w:firstLine="420" w:firstLineChars="200"/>
              <w:rPr>
                <w:rFonts w:ascii="宋体" w:hAnsi="宋体" w:cs="宋体"/>
                <w:b/>
                <w:bCs/>
                <w:color w:val="auto"/>
                <w:szCs w:val="21"/>
                <w:highlight w:val="none"/>
              </w:rPr>
            </w:pPr>
            <w:r>
              <w:rPr>
                <w:rFonts w:hint="eastAsia" w:ascii="宋体" w:hAnsi="宋体" w:cs="宋体"/>
                <w:color w:val="auto"/>
                <w:szCs w:val="21"/>
                <w:highlight w:val="none"/>
              </w:rPr>
              <w:t>1、本次采购航摄任务范围为南宁、贵港、崇左、防城港、钦州、北海部分区域。</w:t>
            </w:r>
            <w:r>
              <w:rPr>
                <w:rFonts w:hint="eastAsia" w:ascii="宋体" w:hAnsi="宋体" w:cs="宋体"/>
                <w:b/>
                <w:bCs/>
                <w:color w:val="auto"/>
                <w:szCs w:val="21"/>
                <w:highlight w:val="none"/>
              </w:rPr>
              <w:t>本分标测量面积为413平方千米，最低点地面分辨率优于0.16m，具体测量范围（区域）在项目实施时以采购人书面通知为准。</w:t>
            </w:r>
          </w:p>
          <w:p w14:paraId="4EADE857">
            <w:pPr>
              <w:spacing w:line="5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2、工作内容及进度要求及技术指标及要求：详见附件1“</w:t>
            </w:r>
            <w:r>
              <w:rPr>
                <w:rFonts w:hint="eastAsia" w:ascii="宋体" w:hAnsi="宋体" w:cs="宋体"/>
                <w:color w:val="auto"/>
                <w:highlight w:val="none"/>
              </w:rPr>
              <w:t>露天矿山0.2米分辨率航空影像获取和正射影像生产</w:t>
            </w:r>
            <w:r>
              <w:rPr>
                <w:rFonts w:hint="eastAsia" w:ascii="宋体" w:hAnsi="宋体" w:cs="宋体"/>
                <w:color w:val="auto"/>
                <w:szCs w:val="21"/>
                <w:highlight w:val="none"/>
              </w:rPr>
              <w:t>服务工作内容及要求”。</w:t>
            </w:r>
          </w:p>
        </w:tc>
      </w:tr>
      <w:tr w14:paraId="670FB4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714" w:type="dxa"/>
            <w:gridSpan w:val="6"/>
            <w:tcBorders>
              <w:top w:val="single" w:color="auto" w:sz="4" w:space="0"/>
              <w:left w:val="single" w:color="auto" w:sz="4" w:space="0"/>
              <w:bottom w:val="single" w:color="auto" w:sz="4" w:space="0"/>
              <w:right w:val="single" w:color="auto" w:sz="4" w:space="0"/>
            </w:tcBorders>
          </w:tcPr>
          <w:p w14:paraId="1B9D24E5">
            <w:pPr>
              <w:spacing w:line="360" w:lineRule="auto"/>
              <w:rPr>
                <w:rFonts w:ascii="宋体" w:hAnsi="宋体" w:cs="宋体"/>
                <w:color w:val="auto"/>
                <w:szCs w:val="21"/>
                <w:highlight w:val="none"/>
              </w:rPr>
            </w:pPr>
            <w:r>
              <w:rPr>
                <w:rFonts w:hint="eastAsia" w:ascii="宋体" w:hAnsi="宋体" w:cs="宋体"/>
                <w:b/>
                <w:color w:val="auto"/>
                <w:szCs w:val="21"/>
                <w:highlight w:val="none"/>
              </w:rPr>
              <w:t>商务要求</w:t>
            </w:r>
          </w:p>
        </w:tc>
      </w:tr>
      <w:tr w14:paraId="2B7AB5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100" w:type="dxa"/>
            <w:gridSpan w:val="3"/>
            <w:tcBorders>
              <w:top w:val="single" w:color="auto" w:sz="4" w:space="0"/>
              <w:left w:val="single" w:color="auto" w:sz="4" w:space="0"/>
              <w:bottom w:val="single" w:color="auto" w:sz="4" w:space="0"/>
              <w:right w:val="single" w:color="auto" w:sz="4" w:space="0"/>
            </w:tcBorders>
            <w:vAlign w:val="center"/>
          </w:tcPr>
          <w:p w14:paraId="5D76DDAC">
            <w:pPr>
              <w:spacing w:line="360" w:lineRule="auto"/>
              <w:jc w:val="center"/>
              <w:rPr>
                <w:rFonts w:ascii="宋体" w:hAnsi="宋体" w:cs="宋体"/>
                <w:b/>
                <w:color w:val="auto"/>
                <w:szCs w:val="21"/>
                <w:highlight w:val="none"/>
              </w:rPr>
            </w:pPr>
            <w:r>
              <w:rPr>
                <w:rFonts w:hint="eastAsia" w:ascii="宋体" w:hAnsi="宋体" w:cs="宋体"/>
                <w:b/>
                <w:bCs/>
                <w:color w:val="auto"/>
                <w:szCs w:val="21"/>
                <w:highlight w:val="none"/>
              </w:rPr>
              <w:t>▲</w:t>
            </w:r>
            <w:r>
              <w:rPr>
                <w:rFonts w:hint="eastAsia" w:ascii="宋体" w:hAnsi="宋体" w:cs="宋体"/>
                <w:bCs/>
                <w:color w:val="auto"/>
                <w:szCs w:val="21"/>
                <w:highlight w:val="none"/>
              </w:rPr>
              <w:t>磋商报价要求</w:t>
            </w:r>
          </w:p>
        </w:tc>
        <w:tc>
          <w:tcPr>
            <w:tcW w:w="7614" w:type="dxa"/>
            <w:gridSpan w:val="3"/>
            <w:tcBorders>
              <w:top w:val="single" w:color="auto" w:sz="4" w:space="0"/>
              <w:left w:val="single" w:color="auto" w:sz="4" w:space="0"/>
              <w:bottom w:val="single" w:color="auto" w:sz="4" w:space="0"/>
              <w:right w:val="single" w:color="auto" w:sz="4" w:space="0"/>
            </w:tcBorders>
            <w:vAlign w:val="center"/>
          </w:tcPr>
          <w:p w14:paraId="23E53F6F">
            <w:pPr>
              <w:spacing w:line="400" w:lineRule="exact"/>
              <w:rPr>
                <w:color w:val="auto"/>
                <w:highlight w:val="none"/>
              </w:rPr>
            </w:pPr>
            <w:r>
              <w:rPr>
                <w:rFonts w:hint="eastAsia" w:ascii="宋体" w:hAnsi="宋体"/>
                <w:color w:val="auto"/>
                <w:szCs w:val="21"/>
                <w:highlight w:val="none"/>
              </w:rPr>
              <w:t>包含供应商完成本项目服务所有内容及其他相关服务的投入、项目验收费、售后服务、税金、利润及其他所有可能发生的一切费用。采购人不再支付任何费用。</w:t>
            </w:r>
          </w:p>
        </w:tc>
      </w:tr>
      <w:tr w14:paraId="1B2EBE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100" w:type="dxa"/>
            <w:gridSpan w:val="3"/>
            <w:tcBorders>
              <w:top w:val="single" w:color="auto" w:sz="4" w:space="0"/>
              <w:left w:val="single" w:color="auto" w:sz="4" w:space="0"/>
              <w:bottom w:val="single" w:color="auto" w:sz="4" w:space="0"/>
              <w:right w:val="single" w:color="auto" w:sz="4" w:space="0"/>
            </w:tcBorders>
            <w:vAlign w:val="center"/>
          </w:tcPr>
          <w:p w14:paraId="522BA72C">
            <w:pPr>
              <w:adjustRightInd w:val="0"/>
              <w:snapToGrid w:val="0"/>
              <w:spacing w:line="360" w:lineRule="exact"/>
              <w:jc w:val="center"/>
              <w:rPr>
                <w:rFonts w:ascii="宋体" w:hAnsi="宋体" w:cs="宋体"/>
                <w:b/>
                <w:color w:val="auto"/>
                <w:szCs w:val="21"/>
                <w:highlight w:val="none"/>
              </w:rPr>
            </w:pPr>
            <w:r>
              <w:rPr>
                <w:rFonts w:hint="eastAsia" w:ascii="宋体" w:hAnsi="宋体"/>
                <w:color w:val="auto"/>
                <w:szCs w:val="21"/>
                <w:highlight w:val="none"/>
              </w:rPr>
              <w:t>▲合同履约期限（提交服务成果时间）和地点</w:t>
            </w:r>
          </w:p>
        </w:tc>
        <w:tc>
          <w:tcPr>
            <w:tcW w:w="7614" w:type="dxa"/>
            <w:gridSpan w:val="3"/>
            <w:tcBorders>
              <w:top w:val="single" w:color="auto" w:sz="4" w:space="0"/>
              <w:left w:val="single" w:color="auto" w:sz="4" w:space="0"/>
              <w:bottom w:val="single" w:color="auto" w:sz="4" w:space="0"/>
              <w:right w:val="single" w:color="auto" w:sz="4" w:space="0"/>
            </w:tcBorders>
            <w:vAlign w:val="center"/>
          </w:tcPr>
          <w:p w14:paraId="29179F8F">
            <w:pPr>
              <w:spacing w:line="360" w:lineRule="auto"/>
              <w:rPr>
                <w:rFonts w:ascii="宋体" w:hAnsi="宋体"/>
                <w:color w:val="auto"/>
                <w:highlight w:val="none"/>
              </w:rPr>
            </w:pPr>
            <w:r>
              <w:rPr>
                <w:rFonts w:ascii="宋体" w:hAnsi="宋体"/>
                <w:color w:val="auto"/>
                <w:highlight w:val="none"/>
              </w:rPr>
              <w:t>1、</w:t>
            </w:r>
            <w:r>
              <w:rPr>
                <w:rFonts w:hint="eastAsia" w:ascii="宋体" w:hAnsi="宋体"/>
                <w:color w:val="auto"/>
                <w:highlight w:val="none"/>
              </w:rPr>
              <w:t>合同履约期限（</w:t>
            </w:r>
            <w:r>
              <w:rPr>
                <w:rFonts w:hint="eastAsia" w:ascii="宋体" w:hAnsi="宋体"/>
                <w:color w:val="auto"/>
                <w:szCs w:val="21"/>
                <w:highlight w:val="none"/>
              </w:rPr>
              <w:t>提交服务成果时间</w:t>
            </w:r>
            <w:r>
              <w:rPr>
                <w:rFonts w:hint="eastAsia" w:ascii="宋体" w:hAnsi="宋体"/>
                <w:color w:val="auto"/>
                <w:highlight w:val="none"/>
              </w:rPr>
              <w:t>）</w:t>
            </w:r>
            <w:r>
              <w:rPr>
                <w:rFonts w:ascii="宋体" w:hAnsi="宋体"/>
                <w:color w:val="auto"/>
                <w:highlight w:val="none"/>
              </w:rPr>
              <w:t>：</w:t>
            </w:r>
            <w:r>
              <w:rPr>
                <w:rFonts w:hint="eastAsia" w:ascii="宋体" w:hAnsi="宋体"/>
                <w:color w:val="auto"/>
                <w:highlight w:val="none"/>
              </w:rPr>
              <w:t>签订合同以后30个自然日内完成</w:t>
            </w:r>
            <w:bookmarkStart w:id="30" w:name="OLE_LINK5"/>
            <w:bookmarkStart w:id="31" w:name="OLE_LINK6"/>
            <w:r>
              <w:rPr>
                <w:rFonts w:hint="eastAsia" w:ascii="宋体" w:hAnsi="宋体"/>
                <w:color w:val="auto"/>
                <w:highlight w:val="none"/>
              </w:rPr>
              <w:t>不少于</w:t>
            </w:r>
            <w:bookmarkEnd w:id="30"/>
            <w:bookmarkEnd w:id="31"/>
            <w:r>
              <w:rPr>
                <w:rFonts w:hint="eastAsia" w:ascii="宋体" w:hAnsi="宋体"/>
                <w:color w:val="auto"/>
                <w:highlight w:val="none"/>
              </w:rPr>
              <w:t>45%数字正射影像初步成果制作与内部质量检查并提交；签订合同以后60个自然日内完成不少于90%数字正射影像初步成果制作与内部质量检查并提交；签订合同以后70个自然日内完成所有数字正射影像初步成果与内部质量检查并提交；签订合同以后80个自然日内，项目成果由供应商通过具有CMA证书（证书检验检测的能力范围需包含测绘航空摄影、摄影测量与遥感、工程测量）的第三方检验机构检验合格，提交所有项目成果。</w:t>
            </w:r>
          </w:p>
          <w:p w14:paraId="05B25571">
            <w:pPr>
              <w:spacing w:line="360" w:lineRule="auto"/>
              <w:rPr>
                <w:rFonts w:ascii="宋体" w:hAnsi="宋体"/>
                <w:color w:val="auto"/>
                <w:highlight w:val="none"/>
              </w:rPr>
            </w:pPr>
            <w:r>
              <w:rPr>
                <w:rFonts w:ascii="宋体" w:hAnsi="宋体"/>
                <w:color w:val="auto"/>
                <w:highlight w:val="none"/>
              </w:rPr>
              <w:t>2、地点：广西区范围内由采购人指定。</w:t>
            </w:r>
          </w:p>
          <w:p w14:paraId="1D36F57E">
            <w:pPr>
              <w:adjustRightInd w:val="0"/>
              <w:snapToGrid w:val="0"/>
              <w:spacing w:line="360" w:lineRule="exact"/>
              <w:rPr>
                <w:color w:val="auto"/>
                <w:highlight w:val="none"/>
              </w:rPr>
            </w:pPr>
            <w:r>
              <w:rPr>
                <w:rFonts w:hint="eastAsia" w:ascii="宋体" w:hAnsi="宋体"/>
                <w:color w:val="auto"/>
                <w:highlight w:val="none"/>
              </w:rPr>
              <w:t>3、签定合同时间：成交通知书发出之日起8个自然日内。</w:t>
            </w:r>
          </w:p>
        </w:tc>
      </w:tr>
      <w:tr w14:paraId="654746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2100" w:type="dxa"/>
            <w:gridSpan w:val="3"/>
            <w:tcBorders>
              <w:top w:val="single" w:color="auto" w:sz="4" w:space="0"/>
              <w:left w:val="single" w:color="auto" w:sz="4" w:space="0"/>
              <w:bottom w:val="single" w:color="auto" w:sz="4" w:space="0"/>
              <w:right w:val="single" w:color="auto" w:sz="4" w:space="0"/>
            </w:tcBorders>
            <w:vAlign w:val="center"/>
          </w:tcPr>
          <w:p w14:paraId="30E4F352">
            <w:pPr>
              <w:adjustRightInd w:val="0"/>
              <w:snapToGrid w:val="0"/>
              <w:spacing w:line="360" w:lineRule="exact"/>
              <w:jc w:val="center"/>
              <w:rPr>
                <w:rFonts w:ascii="宋体" w:hAnsi="宋体" w:cs="宋体"/>
                <w:b/>
                <w:color w:val="auto"/>
                <w:szCs w:val="21"/>
                <w:highlight w:val="none"/>
              </w:rPr>
            </w:pPr>
            <w:r>
              <w:rPr>
                <w:rFonts w:hint="eastAsia" w:ascii="宋体" w:hAnsi="宋体"/>
                <w:color w:val="auto"/>
                <w:szCs w:val="21"/>
                <w:highlight w:val="none"/>
              </w:rPr>
              <w:t>▲验收标准</w:t>
            </w:r>
          </w:p>
        </w:tc>
        <w:tc>
          <w:tcPr>
            <w:tcW w:w="7614" w:type="dxa"/>
            <w:gridSpan w:val="3"/>
            <w:tcBorders>
              <w:top w:val="single" w:color="auto" w:sz="4" w:space="0"/>
              <w:left w:val="single" w:color="auto" w:sz="4" w:space="0"/>
              <w:bottom w:val="single" w:color="auto" w:sz="4" w:space="0"/>
              <w:right w:val="single" w:color="auto" w:sz="4" w:space="0"/>
            </w:tcBorders>
            <w:vAlign w:val="center"/>
          </w:tcPr>
          <w:p w14:paraId="60EE7006">
            <w:pPr>
              <w:tabs>
                <w:tab w:val="left" w:pos="180"/>
                <w:tab w:val="left" w:pos="1620"/>
              </w:tabs>
              <w:adjustRightInd w:val="0"/>
              <w:snapToGrid w:val="0"/>
              <w:spacing w:line="380" w:lineRule="exact"/>
              <w:rPr>
                <w:rFonts w:ascii="宋体" w:hAnsi="宋体" w:cs="宋体"/>
                <w:color w:val="auto"/>
                <w:szCs w:val="22"/>
                <w:highlight w:val="none"/>
              </w:rPr>
            </w:pPr>
            <w:r>
              <w:rPr>
                <w:rFonts w:hint="eastAsia" w:ascii="宋体" w:hAnsi="宋体"/>
                <w:color w:val="auto"/>
                <w:highlight w:val="none"/>
              </w:rPr>
              <w:t>供应商通过具有CMA证书（证书检验检测的能力范围需包含测绘航空摄影、摄影测量与遥感、工程测量）的第三方检验机构检验并出具合格检验报告。</w:t>
            </w:r>
          </w:p>
        </w:tc>
      </w:tr>
      <w:tr w14:paraId="341159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jc w:val="center"/>
        </w:trPr>
        <w:tc>
          <w:tcPr>
            <w:tcW w:w="2100" w:type="dxa"/>
            <w:gridSpan w:val="3"/>
            <w:tcBorders>
              <w:top w:val="single" w:color="auto" w:sz="4" w:space="0"/>
              <w:left w:val="single" w:color="auto" w:sz="4" w:space="0"/>
              <w:bottom w:val="single" w:color="auto" w:sz="4" w:space="0"/>
              <w:right w:val="single" w:color="auto" w:sz="4" w:space="0"/>
            </w:tcBorders>
            <w:vAlign w:val="center"/>
          </w:tcPr>
          <w:p w14:paraId="60020C1A">
            <w:pPr>
              <w:adjustRightInd w:val="0"/>
              <w:snapToGrid w:val="0"/>
              <w:spacing w:line="360" w:lineRule="exact"/>
              <w:jc w:val="center"/>
              <w:rPr>
                <w:rFonts w:ascii="宋体" w:hAnsi="宋体" w:cs="宋体"/>
                <w:color w:val="auto"/>
                <w:szCs w:val="21"/>
                <w:highlight w:val="none"/>
              </w:rPr>
            </w:pPr>
            <w:r>
              <w:rPr>
                <w:rFonts w:hint="eastAsia" w:ascii="宋体" w:hAnsi="宋体"/>
                <w:color w:val="auto"/>
                <w:szCs w:val="21"/>
                <w:highlight w:val="none"/>
              </w:rPr>
              <w:t>▲付款方式</w:t>
            </w:r>
          </w:p>
        </w:tc>
        <w:tc>
          <w:tcPr>
            <w:tcW w:w="7614" w:type="dxa"/>
            <w:gridSpan w:val="3"/>
            <w:tcBorders>
              <w:top w:val="single" w:color="auto" w:sz="4" w:space="0"/>
              <w:left w:val="single" w:color="auto" w:sz="4" w:space="0"/>
              <w:bottom w:val="single" w:color="auto" w:sz="4" w:space="0"/>
              <w:right w:val="single" w:color="auto" w:sz="4" w:space="0"/>
            </w:tcBorders>
            <w:vAlign w:val="center"/>
          </w:tcPr>
          <w:p w14:paraId="3CAF9541">
            <w:pPr>
              <w:adjustRightInd w:val="0"/>
              <w:snapToGrid w:val="0"/>
              <w:spacing w:line="360" w:lineRule="exact"/>
              <w:rPr>
                <w:rFonts w:ascii="宋体" w:hAnsi="宋体" w:cs="宋体"/>
                <w:bCs/>
                <w:color w:val="auto"/>
                <w:szCs w:val="22"/>
                <w:highlight w:val="none"/>
              </w:rPr>
            </w:pPr>
            <w:r>
              <w:rPr>
                <w:rFonts w:hint="eastAsia" w:ascii="宋体" w:hAnsi="宋体" w:cs="宋体"/>
                <w:bCs/>
                <w:color w:val="auto"/>
                <w:szCs w:val="22"/>
                <w:highlight w:val="none"/>
              </w:rPr>
              <w:t>签订合同以后：进场并开展实质工作以后支付15%预付款；30个自然日内提交不少于45%正射影像成果，并按实际提交成果比例支付进度款；签订合同以后60个自然日内提交不少于90%正射影像成果，并按实际提交成果比例支付进度款，但款项支付比例最高不能超过90%。签订合同以后80个自然日内，供应商通过具有CMA证书（证书检验检测的能力范围需包含测绘航空摄影、摄影测量与遥感、工程测量）的第三方检验机构检验并出具合格检验报告后，提交所有项目成果，最后支付剩余款项。</w:t>
            </w:r>
          </w:p>
        </w:tc>
      </w:tr>
      <w:tr w14:paraId="34BDA2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100" w:type="dxa"/>
            <w:gridSpan w:val="3"/>
            <w:tcBorders>
              <w:top w:val="single" w:color="auto" w:sz="4" w:space="0"/>
              <w:left w:val="single" w:color="auto" w:sz="4" w:space="0"/>
              <w:bottom w:val="single" w:color="auto" w:sz="4" w:space="0"/>
              <w:right w:val="single" w:color="auto" w:sz="4" w:space="0"/>
            </w:tcBorders>
            <w:vAlign w:val="center"/>
          </w:tcPr>
          <w:p w14:paraId="384B2227">
            <w:pPr>
              <w:spacing w:line="360" w:lineRule="exact"/>
              <w:jc w:val="center"/>
              <w:rPr>
                <w:rFonts w:ascii="宋体" w:hAnsi="宋体"/>
                <w:color w:val="auto"/>
                <w:szCs w:val="21"/>
                <w:highlight w:val="none"/>
              </w:rPr>
            </w:pPr>
            <w:r>
              <w:rPr>
                <w:rFonts w:hint="eastAsia" w:ascii="宋体" w:hAnsi="宋体"/>
                <w:color w:val="auto"/>
                <w:szCs w:val="21"/>
                <w:highlight w:val="none"/>
              </w:rPr>
              <w:t>▲其他要求</w:t>
            </w:r>
          </w:p>
        </w:tc>
        <w:tc>
          <w:tcPr>
            <w:tcW w:w="7614" w:type="dxa"/>
            <w:gridSpan w:val="3"/>
            <w:tcBorders>
              <w:top w:val="single" w:color="auto" w:sz="4" w:space="0"/>
              <w:left w:val="single" w:color="auto" w:sz="4" w:space="0"/>
              <w:bottom w:val="single" w:color="auto" w:sz="4" w:space="0"/>
              <w:right w:val="single" w:color="auto" w:sz="4" w:space="0"/>
            </w:tcBorders>
            <w:vAlign w:val="center"/>
          </w:tcPr>
          <w:p w14:paraId="2A503FB8">
            <w:pPr>
              <w:spacing w:line="360" w:lineRule="auto"/>
              <w:rPr>
                <w:rFonts w:ascii="宋体" w:hAnsi="宋体"/>
                <w:color w:val="auto"/>
                <w:highlight w:val="none"/>
              </w:rPr>
            </w:pPr>
            <w:r>
              <w:rPr>
                <w:rFonts w:hint="eastAsia" w:ascii="宋体" w:hAnsi="宋体"/>
                <w:color w:val="auto"/>
                <w:highlight w:val="none"/>
              </w:rPr>
              <w:t>1、项目开展后，采购人对供应商承担项目的过程质量进行监督检查，对过程质量监督检查中发现的问题，供应商应按采购人整改通知限期进行全面修改和完善，并重新提交采购人进行过程质量监督检查，如供应商未按采购人要求进行修改完善，采购人有权对本项目进行调整或终止本项目合同。</w:t>
            </w:r>
          </w:p>
          <w:p w14:paraId="27F22B1A">
            <w:pPr>
              <w:spacing w:line="360" w:lineRule="auto"/>
              <w:rPr>
                <w:rFonts w:ascii="宋体" w:hAnsi="宋体"/>
                <w:color w:val="auto"/>
                <w:highlight w:val="none"/>
              </w:rPr>
            </w:pPr>
            <w:r>
              <w:rPr>
                <w:rFonts w:hint="eastAsia" w:ascii="宋体" w:hAnsi="宋体"/>
                <w:color w:val="auto"/>
                <w:highlight w:val="none"/>
              </w:rPr>
              <w:t xml:space="preserve">2、若供应商未能按合同约定的期限向采购人交付约定数量及合格的成果资料或提交的验收不合格的，采购人有权解除合同。 </w:t>
            </w:r>
          </w:p>
          <w:p w14:paraId="6B46C1F9">
            <w:pPr>
              <w:spacing w:line="360" w:lineRule="auto"/>
              <w:rPr>
                <w:rFonts w:ascii="宋体" w:hAnsi="宋体"/>
                <w:color w:val="auto"/>
                <w:highlight w:val="none"/>
              </w:rPr>
            </w:pPr>
            <w:r>
              <w:rPr>
                <w:rFonts w:hint="eastAsia" w:ascii="宋体" w:hAnsi="宋体"/>
                <w:color w:val="auto"/>
                <w:highlight w:val="none"/>
              </w:rPr>
              <w:t>3、供应商应在解除合同之日起10日内向采购人返还已支付的合同价款，并向采购人支付合同总价款10%的违约金。如出现违约情况，该供应商3年内将不能再承接采购人发布的相关航空摄影测量项目。</w:t>
            </w:r>
          </w:p>
          <w:p w14:paraId="5A269290">
            <w:pPr>
              <w:spacing w:line="360" w:lineRule="auto"/>
              <w:rPr>
                <w:rFonts w:ascii="宋体" w:hAnsi="宋体"/>
                <w:color w:val="auto"/>
                <w:highlight w:val="none"/>
              </w:rPr>
            </w:pPr>
            <w:r>
              <w:rPr>
                <w:rFonts w:hint="eastAsia" w:ascii="宋体" w:hAnsi="宋体"/>
                <w:color w:val="auto"/>
                <w:highlight w:val="none"/>
              </w:rPr>
              <w:t>4.知识产权归属:（1）本项目所有成果的著作权等知识产权和所有权益归采购人所有。未经采购人同意，供应商不得引用、发表和向第三方提供。（2）采购人有权利用供应商的阶段性工作成果形成新的技术成果，其相关权益归采购人所有。 （3）项目成果涉及知识产权的技术方法及内容，供应商必须确保采购人拥有其合法的、不受限制的无偿使用权，并免受任何侵权索偿或诉讼。</w:t>
            </w:r>
          </w:p>
          <w:p w14:paraId="00742F0E">
            <w:pPr>
              <w:spacing w:line="360" w:lineRule="exact"/>
              <w:rPr>
                <w:color w:val="auto"/>
                <w:highlight w:val="none"/>
              </w:rPr>
            </w:pPr>
            <w:r>
              <w:rPr>
                <w:rFonts w:hint="eastAsia" w:ascii="宋体" w:hAnsi="宋体"/>
                <w:color w:val="auto"/>
                <w:highlight w:val="none"/>
              </w:rPr>
              <w:t>5.保密要求:供应商负责本项目实施过程中涉及的技术方案、数据资源、文件资料及合同具体内容等项目相关资料保密责任工作。未经过采购人书面文件许可，供应商不得以任何方式向第三方透露，且保密责任不因合同的中止或解除而失效。如项目相关技术文档和数据资料被泄密，给采购人造成损失的,供应商应承担赔偿责任；构成犯罪的,依法追究供应商刑事责任。</w:t>
            </w:r>
          </w:p>
        </w:tc>
      </w:tr>
    </w:tbl>
    <w:p w14:paraId="144524FA">
      <w:pPr>
        <w:rPr>
          <w:rFonts w:ascii="宋体" w:hAnsi="宋体" w:cs="宋体"/>
          <w:color w:val="auto"/>
          <w:highlight w:val="none"/>
        </w:rPr>
      </w:pPr>
      <w:r>
        <w:rPr>
          <w:rFonts w:hint="eastAsia" w:ascii="宋体" w:hAnsi="宋体" w:cs="宋体"/>
          <w:color w:val="auto"/>
          <w:highlight w:val="none"/>
        </w:rPr>
        <w:br w:type="page"/>
      </w:r>
    </w:p>
    <w:p w14:paraId="0A1F8D9B">
      <w:pPr>
        <w:rPr>
          <w:color w:val="auto"/>
          <w:kern w:val="0"/>
          <w:szCs w:val="21"/>
          <w:highlight w:val="none"/>
        </w:rPr>
      </w:pPr>
      <w:r>
        <w:rPr>
          <w:rFonts w:hint="eastAsia"/>
          <w:color w:val="auto"/>
          <w:sz w:val="28"/>
          <w:szCs w:val="28"/>
          <w:highlight w:val="none"/>
        </w:rPr>
        <w:t>附件1</w:t>
      </w:r>
    </w:p>
    <w:p w14:paraId="5E88AAE7">
      <w:pPr>
        <w:jc w:val="center"/>
        <w:rPr>
          <w:b/>
          <w:bCs/>
          <w:color w:val="auto"/>
          <w:sz w:val="28"/>
          <w:szCs w:val="28"/>
          <w:highlight w:val="none"/>
        </w:rPr>
      </w:pPr>
      <w:r>
        <w:rPr>
          <w:rFonts w:hint="eastAsia"/>
          <w:b/>
          <w:bCs/>
          <w:color w:val="auto"/>
          <w:sz w:val="28"/>
          <w:szCs w:val="28"/>
          <w:highlight w:val="none"/>
        </w:rPr>
        <w:t>露天矿山0.2米分辨率航空影像获取和正射影像生产服务工作内容及要求</w:t>
      </w:r>
    </w:p>
    <w:p w14:paraId="2ED1D997">
      <w:pPr>
        <w:pStyle w:val="4"/>
        <w:rPr>
          <w:color w:val="auto"/>
          <w:sz w:val="24"/>
          <w:szCs w:val="24"/>
          <w:highlight w:val="none"/>
        </w:rPr>
      </w:pPr>
      <w:r>
        <w:rPr>
          <w:rFonts w:hint="eastAsia"/>
          <w:color w:val="auto"/>
          <w:sz w:val="24"/>
          <w:szCs w:val="24"/>
          <w:highlight w:val="none"/>
        </w:rPr>
        <w:t>一、建设内容</w:t>
      </w:r>
    </w:p>
    <w:p w14:paraId="5D5969EF">
      <w:pPr>
        <w:spacing w:line="360" w:lineRule="auto"/>
        <w:ind w:firstLine="720" w:firstLineChars="300"/>
        <w:rPr>
          <w:rFonts w:eastAsia="仿宋_GB2312"/>
          <w:color w:val="auto"/>
          <w:sz w:val="24"/>
          <w:highlight w:val="none"/>
        </w:rPr>
      </w:pPr>
      <w:bookmarkStart w:id="32" w:name="OLE_LINK3"/>
      <w:bookmarkStart w:id="33" w:name="OLE_LINK2"/>
      <w:r>
        <w:rPr>
          <w:rFonts w:hint="eastAsia" w:eastAsia="仿宋_GB2312"/>
          <w:color w:val="auto"/>
          <w:sz w:val="24"/>
          <w:highlight w:val="none"/>
        </w:rPr>
        <w:t>为满足露天矿山等重点业务需求，开展航空影像获取及生产工作，工作内容主要包括：</w:t>
      </w:r>
    </w:p>
    <w:p w14:paraId="272FD4A6">
      <w:pPr>
        <w:spacing w:line="360" w:lineRule="auto"/>
        <w:rPr>
          <w:rFonts w:eastAsia="仿宋_GB2312"/>
          <w:color w:val="auto"/>
          <w:sz w:val="24"/>
          <w:highlight w:val="none"/>
        </w:rPr>
      </w:pPr>
      <w:r>
        <w:rPr>
          <w:rFonts w:hint="eastAsia" w:eastAsia="仿宋_GB2312"/>
          <w:color w:val="auto"/>
          <w:sz w:val="24"/>
          <w:highlight w:val="none"/>
        </w:rPr>
        <w:t>（1）及时办理飞行相关手续；（2）航摄任务区的航空影像数据获取；（3）航摄任务区的空中三角测量；（4）航摄任务区</w:t>
      </w:r>
      <w:r>
        <w:rPr>
          <w:rFonts w:eastAsia="仿宋_GB2312"/>
          <w:color w:val="auto"/>
          <w:sz w:val="24"/>
          <w:highlight w:val="none"/>
        </w:rPr>
        <w:t>分辨率优于0.2米的航空影像</w:t>
      </w:r>
      <w:r>
        <w:rPr>
          <w:rFonts w:hint="eastAsia" w:eastAsia="仿宋_GB2312"/>
          <w:color w:val="auto"/>
          <w:sz w:val="24"/>
          <w:highlight w:val="none"/>
        </w:rPr>
        <w:t>制作；（5）航摄任务区的DSM生产；（6）填写《航摄进场情况通报表》和《航摄、成图进度通报表》并按照要求定期向采购单位通报项目进展情况；（7）项目相关文档编写；（8）成果第三方质检；（9）提交最终成果。</w:t>
      </w:r>
      <w:bookmarkEnd w:id="32"/>
      <w:bookmarkEnd w:id="33"/>
    </w:p>
    <w:p w14:paraId="3B701E5A">
      <w:pPr>
        <w:pStyle w:val="4"/>
        <w:rPr>
          <w:color w:val="auto"/>
          <w:sz w:val="24"/>
          <w:szCs w:val="24"/>
          <w:highlight w:val="none"/>
        </w:rPr>
      </w:pPr>
      <w:r>
        <w:rPr>
          <w:rFonts w:hint="eastAsia"/>
          <w:color w:val="auto"/>
          <w:sz w:val="24"/>
          <w:szCs w:val="24"/>
          <w:highlight w:val="none"/>
        </w:rPr>
        <w:t>二、技术指标及要求</w:t>
      </w:r>
    </w:p>
    <w:p w14:paraId="2FFE4A14">
      <w:pPr>
        <w:pStyle w:val="4"/>
        <w:rPr>
          <w:color w:val="auto"/>
          <w:sz w:val="24"/>
          <w:szCs w:val="24"/>
          <w:highlight w:val="none"/>
        </w:rPr>
      </w:pPr>
      <w:bookmarkStart w:id="34" w:name="_Toc32125"/>
      <w:bookmarkStart w:id="35" w:name="_Toc12821"/>
      <w:bookmarkStart w:id="36" w:name="_Toc11626"/>
      <w:r>
        <w:rPr>
          <w:rFonts w:hint="eastAsia"/>
          <w:color w:val="auto"/>
          <w:sz w:val="24"/>
          <w:szCs w:val="24"/>
          <w:highlight w:val="none"/>
        </w:rPr>
        <w:t>1、数学基础</w:t>
      </w:r>
      <w:bookmarkEnd w:id="34"/>
      <w:bookmarkEnd w:id="35"/>
      <w:bookmarkEnd w:id="36"/>
    </w:p>
    <w:p w14:paraId="547FB24B">
      <w:pPr>
        <w:pStyle w:val="4"/>
        <w:rPr>
          <w:color w:val="auto"/>
          <w:sz w:val="24"/>
          <w:szCs w:val="24"/>
          <w:highlight w:val="none"/>
        </w:rPr>
      </w:pPr>
      <w:bookmarkStart w:id="37" w:name="_Toc18501"/>
      <w:bookmarkStart w:id="38" w:name="_Toc516654628"/>
      <w:r>
        <w:rPr>
          <w:rFonts w:hint="eastAsia"/>
          <w:color w:val="auto"/>
          <w:sz w:val="24"/>
          <w:szCs w:val="24"/>
          <w:highlight w:val="none"/>
        </w:rPr>
        <w:t>（1）平面坐标系</w:t>
      </w:r>
      <w:bookmarkEnd w:id="37"/>
      <w:bookmarkEnd w:id="38"/>
    </w:p>
    <w:p w14:paraId="51905A72">
      <w:pPr>
        <w:spacing w:line="360" w:lineRule="auto"/>
        <w:rPr>
          <w:rFonts w:eastAsia="仿宋_GB2312"/>
          <w:color w:val="auto"/>
          <w:sz w:val="24"/>
          <w:highlight w:val="none"/>
        </w:rPr>
      </w:pPr>
      <w:r>
        <w:rPr>
          <w:rFonts w:hint="eastAsia" w:eastAsia="仿宋_GB2312"/>
          <w:color w:val="auto"/>
          <w:sz w:val="24"/>
          <w:highlight w:val="none"/>
        </w:rPr>
        <w:t>采用2000国家大地坐标系（CGCS2000）。</w:t>
      </w:r>
    </w:p>
    <w:p w14:paraId="57A2F576">
      <w:pPr>
        <w:spacing w:line="360" w:lineRule="auto"/>
        <w:rPr>
          <w:rFonts w:eastAsia="仿宋_GB2312"/>
          <w:color w:val="auto"/>
          <w:sz w:val="24"/>
          <w:highlight w:val="none"/>
        </w:rPr>
      </w:pPr>
      <w:r>
        <w:rPr>
          <w:rFonts w:hint="eastAsia" w:eastAsia="仿宋_GB2312"/>
          <w:color w:val="auto"/>
          <w:sz w:val="24"/>
          <w:highlight w:val="none"/>
        </w:rPr>
        <w:t>平面坐标投影方式为高斯-克吕格投影，按3°分带提供成果，单位为“米”，保留2位小数，保留带号。</w:t>
      </w:r>
    </w:p>
    <w:p w14:paraId="67444B1C">
      <w:pPr>
        <w:pStyle w:val="4"/>
        <w:rPr>
          <w:color w:val="auto"/>
          <w:sz w:val="24"/>
          <w:szCs w:val="24"/>
          <w:highlight w:val="none"/>
        </w:rPr>
      </w:pPr>
      <w:bookmarkStart w:id="39" w:name="_Toc516654629"/>
      <w:bookmarkStart w:id="40" w:name="_Toc30276"/>
      <w:r>
        <w:rPr>
          <w:rFonts w:hint="eastAsia"/>
          <w:color w:val="auto"/>
          <w:sz w:val="24"/>
          <w:szCs w:val="24"/>
          <w:highlight w:val="none"/>
        </w:rPr>
        <w:t>（2）高程基准</w:t>
      </w:r>
      <w:bookmarkEnd w:id="39"/>
      <w:bookmarkEnd w:id="40"/>
    </w:p>
    <w:p w14:paraId="302D81A9">
      <w:pPr>
        <w:spacing w:line="360" w:lineRule="auto"/>
        <w:ind w:firstLine="480" w:firstLineChars="200"/>
        <w:rPr>
          <w:rFonts w:eastAsia="仿宋_GB2312"/>
          <w:color w:val="auto"/>
          <w:sz w:val="24"/>
          <w:highlight w:val="none"/>
        </w:rPr>
      </w:pPr>
      <w:r>
        <w:rPr>
          <w:rFonts w:hint="eastAsia" w:eastAsia="仿宋_GB2312"/>
          <w:color w:val="auto"/>
          <w:sz w:val="24"/>
          <w:highlight w:val="none"/>
        </w:rPr>
        <w:t>采用1985国家高程基准。</w:t>
      </w:r>
    </w:p>
    <w:p w14:paraId="12F98B52">
      <w:pPr>
        <w:pStyle w:val="4"/>
        <w:rPr>
          <w:color w:val="auto"/>
          <w:sz w:val="24"/>
          <w:szCs w:val="24"/>
          <w:highlight w:val="none"/>
        </w:rPr>
      </w:pPr>
      <w:bookmarkStart w:id="41" w:name="_Toc25202"/>
      <w:bookmarkStart w:id="42" w:name="_Toc19605"/>
      <w:bookmarkStart w:id="43" w:name="_Toc31304"/>
      <w:r>
        <w:rPr>
          <w:rFonts w:hint="eastAsia"/>
          <w:color w:val="auto"/>
          <w:sz w:val="24"/>
          <w:szCs w:val="24"/>
          <w:highlight w:val="none"/>
        </w:rPr>
        <w:t>2、影像地面分辨率</w:t>
      </w:r>
      <w:bookmarkEnd w:id="41"/>
      <w:bookmarkEnd w:id="42"/>
      <w:bookmarkEnd w:id="43"/>
    </w:p>
    <w:p w14:paraId="0C2BB70F">
      <w:pPr>
        <w:spacing w:line="360" w:lineRule="auto"/>
        <w:ind w:firstLine="480" w:firstLineChars="200"/>
        <w:rPr>
          <w:rFonts w:eastAsia="仿宋_GB2312"/>
          <w:color w:val="auto"/>
          <w:sz w:val="24"/>
          <w:highlight w:val="none"/>
        </w:rPr>
      </w:pPr>
      <w:r>
        <w:rPr>
          <w:rFonts w:hint="eastAsia" w:eastAsia="仿宋_GB2312"/>
          <w:color w:val="auto"/>
          <w:sz w:val="24"/>
          <w:highlight w:val="none"/>
        </w:rPr>
        <w:t>影像地面分辨率（地面采样间隔GSD）优于0.2米。</w:t>
      </w:r>
    </w:p>
    <w:p w14:paraId="558B5CFF">
      <w:pPr>
        <w:pStyle w:val="4"/>
        <w:rPr>
          <w:color w:val="auto"/>
          <w:sz w:val="24"/>
          <w:szCs w:val="24"/>
          <w:highlight w:val="none"/>
        </w:rPr>
      </w:pPr>
      <w:bookmarkStart w:id="44" w:name="_Toc10164"/>
      <w:bookmarkStart w:id="45" w:name="_Toc13470"/>
      <w:bookmarkStart w:id="46" w:name="_Toc13326"/>
      <w:r>
        <w:rPr>
          <w:rFonts w:hint="eastAsia"/>
          <w:color w:val="auto"/>
          <w:sz w:val="24"/>
          <w:szCs w:val="24"/>
          <w:highlight w:val="none"/>
        </w:rPr>
        <w:t>3、数学精度</w:t>
      </w:r>
      <w:bookmarkEnd w:id="44"/>
      <w:bookmarkEnd w:id="45"/>
      <w:bookmarkEnd w:id="46"/>
    </w:p>
    <w:p w14:paraId="747E7645">
      <w:pPr>
        <w:spacing w:line="360" w:lineRule="auto"/>
        <w:ind w:firstLine="480" w:firstLineChars="200"/>
        <w:rPr>
          <w:rFonts w:eastAsia="仿宋_GB2312"/>
          <w:color w:val="auto"/>
          <w:sz w:val="24"/>
          <w:highlight w:val="none"/>
        </w:rPr>
      </w:pPr>
      <w:bookmarkStart w:id="47" w:name="_Toc516654633"/>
      <w:bookmarkStart w:id="48" w:name="_Toc24438"/>
      <w:r>
        <w:rPr>
          <w:rFonts w:hint="eastAsia" w:eastAsia="仿宋_GB2312"/>
          <w:color w:val="auto"/>
          <w:sz w:val="24"/>
          <w:highlight w:val="none"/>
        </w:rPr>
        <w:t>DOM精度要求</w:t>
      </w:r>
      <w:bookmarkEnd w:id="47"/>
      <w:bookmarkEnd w:id="48"/>
      <w:r>
        <w:rPr>
          <w:rFonts w:hint="eastAsia" w:eastAsia="仿宋_GB2312"/>
          <w:color w:val="auto"/>
          <w:sz w:val="24"/>
          <w:highlight w:val="none"/>
        </w:rPr>
        <w:t>：</w:t>
      </w:r>
    </w:p>
    <w:p w14:paraId="3B4492D3">
      <w:pPr>
        <w:spacing w:line="360" w:lineRule="auto"/>
        <w:ind w:firstLine="480" w:firstLineChars="200"/>
        <w:rPr>
          <w:rFonts w:eastAsia="仿宋_GB2312"/>
          <w:color w:val="auto"/>
          <w:sz w:val="24"/>
          <w:highlight w:val="none"/>
        </w:rPr>
      </w:pPr>
      <w:r>
        <w:rPr>
          <w:rFonts w:hint="eastAsia" w:eastAsia="仿宋_GB2312"/>
          <w:color w:val="auto"/>
          <w:sz w:val="24"/>
          <w:highlight w:val="none"/>
        </w:rPr>
        <w:t>① 地面分辨率为0.2米，数字正射影像图明显地物点的平面位置中误差参，不应大于下表规定。</w:t>
      </w:r>
    </w:p>
    <w:p w14:paraId="2AE801AE">
      <w:pPr>
        <w:pStyle w:val="12"/>
        <w:keepNext/>
        <w:spacing w:line="360" w:lineRule="auto"/>
        <w:rPr>
          <w:rFonts w:ascii="仿宋" w:hAnsi="仿宋" w:eastAsia="仿宋" w:cs="Times New Roman"/>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仿宋" w:hAnsi="仿宋" w:eastAsia="仿宋" w:cs="Times New Roman"/>
          <w:color w:val="auto"/>
          <w:sz w:val="24"/>
          <w:szCs w:val="24"/>
          <w:highlight w:val="none"/>
        </w:rPr>
        <w:t>数字正射影像图分辨率及平面中误差精度指标（单位：米）</w:t>
      </w:r>
    </w:p>
    <w:tbl>
      <w:tblPr>
        <w:tblStyle w:val="33"/>
        <w:tblW w:w="9505" w:type="dxa"/>
        <w:jc w:val="center"/>
        <w:tblLayout w:type="fixed"/>
        <w:tblCellMar>
          <w:top w:w="0" w:type="dxa"/>
          <w:left w:w="108" w:type="dxa"/>
          <w:bottom w:w="0" w:type="dxa"/>
          <w:right w:w="108" w:type="dxa"/>
        </w:tblCellMar>
      </w:tblPr>
      <w:tblGrid>
        <w:gridCol w:w="1980"/>
        <w:gridCol w:w="1845"/>
        <w:gridCol w:w="3000"/>
        <w:gridCol w:w="2680"/>
      </w:tblGrid>
      <w:tr w14:paraId="2925242D">
        <w:tblPrEx>
          <w:tblCellMar>
            <w:top w:w="0" w:type="dxa"/>
            <w:left w:w="108" w:type="dxa"/>
            <w:bottom w:w="0" w:type="dxa"/>
            <w:right w:w="108" w:type="dxa"/>
          </w:tblCellMar>
        </w:tblPrEx>
        <w:trPr>
          <w:trHeight w:val="330" w:hRule="atLeast"/>
          <w:tblHeader/>
          <w:jc w:val="center"/>
        </w:trPr>
        <w:tc>
          <w:tcPr>
            <w:tcW w:w="1980" w:type="dxa"/>
            <w:tcBorders>
              <w:top w:val="single" w:color="auto" w:sz="8" w:space="0"/>
              <w:left w:val="single" w:color="auto" w:sz="8" w:space="0"/>
              <w:bottom w:val="single" w:color="auto" w:sz="8" w:space="0"/>
              <w:right w:val="single" w:color="auto" w:sz="8" w:space="0"/>
            </w:tcBorders>
            <w:shd w:val="clear" w:color="auto" w:fill="F2F2F2"/>
            <w:vAlign w:val="center"/>
          </w:tcPr>
          <w:p w14:paraId="53FF6500">
            <w:pPr>
              <w:spacing w:line="360" w:lineRule="auto"/>
              <w:ind w:left="-466" w:leftChars="-222" w:firstLine="480"/>
              <w:jc w:val="center"/>
              <w:rPr>
                <w:rFonts w:ascii="宋体" w:hAnsi="宋体" w:cs="宋体"/>
                <w:color w:val="auto"/>
                <w:sz w:val="24"/>
                <w:highlight w:val="none"/>
              </w:rPr>
            </w:pPr>
            <w:r>
              <w:rPr>
                <w:rFonts w:hint="eastAsia" w:ascii="宋体" w:hAnsi="宋体" w:cs="宋体"/>
                <w:color w:val="auto"/>
                <w:sz w:val="24"/>
                <w:highlight w:val="none"/>
              </w:rPr>
              <w:t>比例尺</w:t>
            </w:r>
          </w:p>
        </w:tc>
        <w:tc>
          <w:tcPr>
            <w:tcW w:w="1845" w:type="dxa"/>
            <w:tcBorders>
              <w:top w:val="single" w:color="auto" w:sz="8" w:space="0"/>
              <w:left w:val="nil"/>
              <w:bottom w:val="single" w:color="auto" w:sz="8" w:space="0"/>
              <w:right w:val="single" w:color="auto" w:sz="8" w:space="0"/>
            </w:tcBorders>
            <w:shd w:val="clear" w:color="auto" w:fill="F2F2F2"/>
            <w:vAlign w:val="center"/>
          </w:tcPr>
          <w:p w14:paraId="29A16DDD">
            <w:pPr>
              <w:spacing w:line="360" w:lineRule="auto"/>
              <w:ind w:left="-466" w:leftChars="-222" w:firstLine="480"/>
              <w:jc w:val="center"/>
              <w:rPr>
                <w:rFonts w:ascii="宋体" w:hAnsi="宋体" w:cs="宋体"/>
                <w:color w:val="auto"/>
                <w:sz w:val="24"/>
                <w:highlight w:val="none"/>
              </w:rPr>
            </w:pPr>
            <w:r>
              <w:rPr>
                <w:rFonts w:hint="eastAsia" w:ascii="宋体" w:hAnsi="宋体" w:cs="宋体"/>
                <w:color w:val="auto"/>
                <w:sz w:val="24"/>
                <w:highlight w:val="none"/>
              </w:rPr>
              <w:t>地面分辨率</w:t>
            </w:r>
          </w:p>
        </w:tc>
        <w:tc>
          <w:tcPr>
            <w:tcW w:w="3000" w:type="dxa"/>
            <w:tcBorders>
              <w:top w:val="single" w:color="auto" w:sz="8" w:space="0"/>
              <w:left w:val="nil"/>
              <w:bottom w:val="single" w:color="auto" w:sz="8" w:space="0"/>
              <w:right w:val="single" w:color="auto" w:sz="8" w:space="0"/>
            </w:tcBorders>
            <w:shd w:val="clear" w:color="auto" w:fill="F2F2F2"/>
            <w:vAlign w:val="center"/>
          </w:tcPr>
          <w:p w14:paraId="1D163D2C">
            <w:pPr>
              <w:spacing w:line="360" w:lineRule="auto"/>
              <w:ind w:left="-466" w:leftChars="-222" w:firstLine="480"/>
              <w:jc w:val="center"/>
              <w:rPr>
                <w:rFonts w:ascii="宋体" w:hAnsi="宋体" w:cs="宋体"/>
                <w:color w:val="auto"/>
                <w:sz w:val="24"/>
                <w:highlight w:val="none"/>
              </w:rPr>
            </w:pPr>
            <w:r>
              <w:rPr>
                <w:rFonts w:hint="eastAsia" w:ascii="宋体" w:hAnsi="宋体" w:cs="宋体"/>
                <w:color w:val="auto"/>
                <w:sz w:val="24"/>
                <w:highlight w:val="none"/>
              </w:rPr>
              <w:t>平地、丘陵地平面中误差</w:t>
            </w:r>
          </w:p>
        </w:tc>
        <w:tc>
          <w:tcPr>
            <w:tcW w:w="2680" w:type="dxa"/>
            <w:tcBorders>
              <w:top w:val="single" w:color="auto" w:sz="8" w:space="0"/>
              <w:left w:val="nil"/>
              <w:bottom w:val="single" w:color="auto" w:sz="8" w:space="0"/>
              <w:right w:val="single" w:color="auto" w:sz="8" w:space="0"/>
            </w:tcBorders>
            <w:shd w:val="clear" w:color="auto" w:fill="F2F2F2"/>
            <w:vAlign w:val="center"/>
          </w:tcPr>
          <w:p w14:paraId="30142EAF">
            <w:pPr>
              <w:spacing w:line="360" w:lineRule="auto"/>
              <w:ind w:left="-466" w:leftChars="-222" w:firstLine="480"/>
              <w:jc w:val="center"/>
              <w:rPr>
                <w:rFonts w:ascii="宋体" w:hAnsi="宋体" w:cs="宋体"/>
                <w:color w:val="auto"/>
                <w:sz w:val="24"/>
                <w:highlight w:val="none"/>
              </w:rPr>
            </w:pPr>
            <w:r>
              <w:rPr>
                <w:rFonts w:hint="eastAsia" w:ascii="宋体" w:hAnsi="宋体" w:cs="宋体"/>
                <w:color w:val="auto"/>
                <w:sz w:val="24"/>
                <w:highlight w:val="none"/>
              </w:rPr>
              <w:t>山地、高山地平面中误差</w:t>
            </w:r>
          </w:p>
        </w:tc>
      </w:tr>
      <w:tr w14:paraId="76EA6BE8">
        <w:tblPrEx>
          <w:tblCellMar>
            <w:top w:w="0" w:type="dxa"/>
            <w:left w:w="108" w:type="dxa"/>
            <w:bottom w:w="0" w:type="dxa"/>
            <w:right w:w="108" w:type="dxa"/>
          </w:tblCellMar>
        </w:tblPrEx>
        <w:trPr>
          <w:trHeight w:val="396" w:hRule="atLeast"/>
          <w:jc w:val="center"/>
        </w:trPr>
        <w:tc>
          <w:tcPr>
            <w:tcW w:w="1980" w:type="dxa"/>
            <w:tcBorders>
              <w:top w:val="nil"/>
              <w:left w:val="single" w:color="auto" w:sz="8" w:space="0"/>
              <w:bottom w:val="single" w:color="auto" w:sz="8" w:space="0"/>
              <w:right w:val="single" w:color="auto" w:sz="8" w:space="0"/>
            </w:tcBorders>
            <w:vAlign w:val="center"/>
          </w:tcPr>
          <w:p w14:paraId="48910AF7">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1:2000</w:t>
            </w:r>
          </w:p>
        </w:tc>
        <w:tc>
          <w:tcPr>
            <w:tcW w:w="1845" w:type="dxa"/>
            <w:tcBorders>
              <w:top w:val="nil"/>
              <w:left w:val="nil"/>
              <w:bottom w:val="single" w:color="auto" w:sz="8" w:space="0"/>
              <w:right w:val="single" w:color="auto" w:sz="8" w:space="0"/>
            </w:tcBorders>
            <w:vAlign w:val="center"/>
          </w:tcPr>
          <w:p w14:paraId="48A43955">
            <w:pPr>
              <w:spacing w:line="360" w:lineRule="auto"/>
              <w:jc w:val="center"/>
              <w:rPr>
                <w:rFonts w:ascii="宋体" w:hAnsi="宋体" w:cs="宋体"/>
                <w:color w:val="auto"/>
                <w:sz w:val="24"/>
                <w:highlight w:val="none"/>
              </w:rPr>
            </w:pPr>
            <w:r>
              <w:rPr>
                <w:rFonts w:hint="eastAsia" w:ascii="宋体" w:hAnsi="宋体" w:cs="宋体"/>
                <w:color w:val="auto"/>
                <w:sz w:val="24"/>
                <w:highlight w:val="none"/>
              </w:rPr>
              <w:t>0.2</w:t>
            </w:r>
          </w:p>
        </w:tc>
        <w:tc>
          <w:tcPr>
            <w:tcW w:w="3000" w:type="dxa"/>
            <w:tcBorders>
              <w:top w:val="nil"/>
              <w:left w:val="nil"/>
              <w:bottom w:val="single" w:color="auto" w:sz="8" w:space="0"/>
              <w:right w:val="single" w:color="auto" w:sz="8" w:space="0"/>
            </w:tcBorders>
            <w:vAlign w:val="center"/>
          </w:tcPr>
          <w:p w14:paraId="715C50DD">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2680" w:type="dxa"/>
            <w:tcBorders>
              <w:top w:val="nil"/>
              <w:left w:val="nil"/>
              <w:bottom w:val="single" w:color="auto" w:sz="8" w:space="0"/>
              <w:right w:val="single" w:color="auto" w:sz="8" w:space="0"/>
            </w:tcBorders>
            <w:vAlign w:val="center"/>
          </w:tcPr>
          <w:p w14:paraId="1A3B21E8">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1.6</w:t>
            </w:r>
          </w:p>
        </w:tc>
      </w:tr>
    </w:tbl>
    <w:p w14:paraId="374A743C">
      <w:pPr>
        <w:spacing w:line="360" w:lineRule="auto"/>
        <w:ind w:firstLine="480" w:firstLineChars="200"/>
        <w:rPr>
          <w:rFonts w:eastAsia="仿宋_GB2312"/>
          <w:color w:val="auto"/>
          <w:sz w:val="24"/>
          <w:highlight w:val="none"/>
        </w:rPr>
      </w:pPr>
      <w:r>
        <w:rPr>
          <w:rFonts w:hint="eastAsia" w:eastAsia="仿宋_GB2312"/>
          <w:color w:val="auto"/>
          <w:sz w:val="24"/>
          <w:highlight w:val="none"/>
        </w:rPr>
        <w:t>②数据内容：DOM成果由影像数据、影像空间信息文件和元数据文件组成。</w:t>
      </w:r>
    </w:p>
    <w:p w14:paraId="70E26EEB">
      <w:pPr>
        <w:spacing w:line="360" w:lineRule="auto"/>
        <w:ind w:firstLine="480" w:firstLineChars="200"/>
        <w:rPr>
          <w:rFonts w:eastAsia="仿宋_GB2312"/>
          <w:color w:val="auto"/>
          <w:sz w:val="24"/>
          <w:highlight w:val="none"/>
        </w:rPr>
      </w:pPr>
      <w:r>
        <w:rPr>
          <w:rFonts w:hint="eastAsia" w:eastAsia="仿宋_GB2312"/>
          <w:color w:val="auto"/>
          <w:sz w:val="24"/>
          <w:highlight w:val="none"/>
        </w:rPr>
        <w:t>③数据格式：DOM影像色彩模式为24位（比特），采用无压缩的GEOTIFF格式存储；影像空间信息文件为ASCII文本格式，坐标起算点为影像左上角像素中心坐标；元数据文件采用XLS格式。</w:t>
      </w:r>
    </w:p>
    <w:p w14:paraId="60BF7027">
      <w:pPr>
        <w:spacing w:line="360" w:lineRule="auto"/>
        <w:ind w:firstLine="480" w:firstLineChars="200"/>
        <w:rPr>
          <w:rFonts w:eastAsia="仿宋_GB2312"/>
          <w:color w:val="auto"/>
          <w:sz w:val="24"/>
          <w:highlight w:val="none"/>
        </w:rPr>
      </w:pPr>
      <w:r>
        <w:rPr>
          <w:rFonts w:hint="eastAsia" w:eastAsia="仿宋_GB2312"/>
          <w:color w:val="auto"/>
          <w:sz w:val="24"/>
          <w:highlight w:val="none"/>
        </w:rPr>
        <w:t>④ 接边精度误差不大于2个像元。</w:t>
      </w:r>
    </w:p>
    <w:p w14:paraId="16B4EBAE">
      <w:pPr>
        <w:spacing w:line="360" w:lineRule="auto"/>
        <w:ind w:firstLine="480" w:firstLineChars="200"/>
        <w:rPr>
          <w:rFonts w:eastAsia="仿宋_GB2312"/>
          <w:color w:val="auto"/>
          <w:sz w:val="24"/>
          <w:highlight w:val="none"/>
        </w:rPr>
      </w:pPr>
      <w:r>
        <w:rPr>
          <w:rFonts w:hint="eastAsia" w:eastAsia="仿宋_GB2312"/>
          <w:color w:val="auto"/>
          <w:sz w:val="24"/>
          <w:highlight w:val="none"/>
        </w:rPr>
        <w:t>⑤数据按范围线外扩50米，以标准非压缩TIFF格式保存。</w:t>
      </w:r>
    </w:p>
    <w:p w14:paraId="71FB0D98">
      <w:pPr>
        <w:spacing w:line="360" w:lineRule="auto"/>
        <w:ind w:firstLine="480" w:firstLineChars="200"/>
        <w:rPr>
          <w:rFonts w:eastAsia="仿宋_GB2312"/>
          <w:color w:val="auto"/>
          <w:sz w:val="24"/>
          <w:highlight w:val="none"/>
        </w:rPr>
      </w:pPr>
      <w:r>
        <w:rPr>
          <w:rFonts w:hint="eastAsia" w:eastAsia="仿宋_GB2312"/>
          <w:color w:val="auto"/>
          <w:sz w:val="24"/>
          <w:highlight w:val="none"/>
        </w:rPr>
        <w:t>⑥ DOM质量：色彩模式为RGB真彩色，影像图应反差适中，色调均匀，无偏色，纹理清楚，层次丰富，无明显失真，灰度直方图一般呈正态分布，无明显的拼接痕迹，无影像缺损而造成无法判读影像信息和精度的损失。幅与幅之间的色调基本一致，能辨别与地面分辨率相适应的细小地物影像，影像拼接处过渡自然，不影响像点观测，满足外业精确调绘和室内判读的要求。</w:t>
      </w:r>
    </w:p>
    <w:p w14:paraId="4C4100C3">
      <w:pPr>
        <w:pStyle w:val="85"/>
        <w:ind w:firstLine="480"/>
        <w:rPr>
          <w:rFonts w:ascii="Times New Roman" w:hAnsi="Times New Roman" w:eastAsia="仿宋_GB2312"/>
          <w:color w:val="auto"/>
          <w:szCs w:val="24"/>
          <w:highlight w:val="none"/>
          <w:lang w:eastAsia="zh-CN"/>
        </w:rPr>
      </w:pPr>
      <w:r>
        <w:rPr>
          <w:rFonts w:hint="eastAsia" w:ascii="Times New Roman" w:hAnsi="Times New Roman" w:eastAsia="仿宋_GB2312"/>
          <w:color w:val="auto"/>
          <w:szCs w:val="24"/>
          <w:highlight w:val="none"/>
          <w:lang w:eastAsia="zh-CN"/>
        </w:rPr>
        <w:t>⑦ 数据正射影像图完成后需进行内业精度检测。</w:t>
      </w:r>
    </w:p>
    <w:p w14:paraId="1427BD74">
      <w:pPr>
        <w:pStyle w:val="4"/>
        <w:rPr>
          <w:color w:val="auto"/>
          <w:sz w:val="24"/>
          <w:szCs w:val="24"/>
          <w:highlight w:val="none"/>
        </w:rPr>
      </w:pPr>
      <w:r>
        <w:rPr>
          <w:rFonts w:hint="eastAsia"/>
          <w:color w:val="auto"/>
          <w:sz w:val="24"/>
          <w:szCs w:val="24"/>
          <w:highlight w:val="none"/>
        </w:rPr>
        <w:t>三、航摄要求</w:t>
      </w:r>
    </w:p>
    <w:p w14:paraId="707AF664">
      <w:pPr>
        <w:pStyle w:val="4"/>
        <w:rPr>
          <w:color w:val="auto"/>
          <w:sz w:val="24"/>
          <w:szCs w:val="24"/>
          <w:highlight w:val="none"/>
        </w:rPr>
      </w:pPr>
      <w:bookmarkStart w:id="49" w:name="_Toc5597"/>
      <w:bookmarkStart w:id="50" w:name="_Toc394678256"/>
      <w:r>
        <w:rPr>
          <w:rFonts w:hint="eastAsia"/>
          <w:color w:val="auto"/>
          <w:sz w:val="24"/>
          <w:szCs w:val="24"/>
          <w:highlight w:val="none"/>
        </w:rPr>
        <w:t>1、航摄主要技术指标</w:t>
      </w:r>
      <w:bookmarkEnd w:id="49"/>
      <w:bookmarkEnd w:id="50"/>
    </w:p>
    <w:p w14:paraId="537F4F3B">
      <w:pPr>
        <w:spacing w:line="360" w:lineRule="auto"/>
        <w:ind w:firstLine="480"/>
        <w:rPr>
          <w:rFonts w:eastAsia="仿宋_GB2312"/>
          <w:color w:val="auto"/>
          <w:sz w:val="24"/>
          <w:highlight w:val="none"/>
        </w:rPr>
      </w:pPr>
      <w:r>
        <w:rPr>
          <w:rFonts w:hint="eastAsia" w:eastAsia="仿宋_GB2312"/>
          <w:color w:val="auto"/>
          <w:sz w:val="24"/>
          <w:highlight w:val="none"/>
        </w:rPr>
        <w:t>（1）像片重叠度</w:t>
      </w:r>
    </w:p>
    <w:p w14:paraId="11EB5BD3">
      <w:pPr>
        <w:spacing w:line="360" w:lineRule="auto"/>
        <w:ind w:firstLine="480"/>
        <w:rPr>
          <w:rFonts w:eastAsia="仿宋_GB2312"/>
          <w:color w:val="auto"/>
          <w:sz w:val="24"/>
          <w:highlight w:val="none"/>
        </w:rPr>
      </w:pPr>
      <w:r>
        <w:rPr>
          <w:rFonts w:hint="eastAsia" w:eastAsia="仿宋_GB2312"/>
          <w:color w:val="auto"/>
          <w:sz w:val="24"/>
          <w:highlight w:val="none"/>
        </w:rPr>
        <w:t>航向重叠度一般应为：70%-80%；旁向重叠度一般应为：45%-60%。</w:t>
      </w:r>
    </w:p>
    <w:p w14:paraId="525F4C74">
      <w:pPr>
        <w:spacing w:line="360" w:lineRule="auto"/>
        <w:ind w:firstLine="480"/>
        <w:rPr>
          <w:rFonts w:eastAsia="仿宋_GB2312"/>
          <w:color w:val="auto"/>
          <w:sz w:val="24"/>
          <w:highlight w:val="none"/>
        </w:rPr>
      </w:pPr>
      <w:r>
        <w:rPr>
          <w:rFonts w:hint="eastAsia" w:eastAsia="仿宋_GB2312"/>
          <w:color w:val="auto"/>
          <w:sz w:val="24"/>
          <w:highlight w:val="none"/>
        </w:rPr>
        <w:t>（2）像片倾斜角</w:t>
      </w:r>
    </w:p>
    <w:p w14:paraId="6B46D42B">
      <w:pPr>
        <w:spacing w:line="360" w:lineRule="auto"/>
        <w:ind w:firstLine="480"/>
        <w:rPr>
          <w:rFonts w:eastAsia="仿宋_GB2312"/>
          <w:color w:val="auto"/>
          <w:sz w:val="24"/>
          <w:highlight w:val="none"/>
        </w:rPr>
      </w:pPr>
      <w:r>
        <w:rPr>
          <w:rFonts w:hint="eastAsia" w:eastAsia="仿宋_GB2312"/>
          <w:color w:val="auto"/>
          <w:sz w:val="24"/>
          <w:highlight w:val="none"/>
        </w:rPr>
        <w:t>航摄成果像片倾斜角一般不宜超过12°，最大不超过15°。</w:t>
      </w:r>
    </w:p>
    <w:p w14:paraId="1827B3D4">
      <w:pPr>
        <w:spacing w:line="360" w:lineRule="auto"/>
        <w:ind w:firstLine="480"/>
        <w:rPr>
          <w:rFonts w:eastAsia="仿宋_GB2312"/>
          <w:color w:val="auto"/>
          <w:sz w:val="24"/>
          <w:highlight w:val="none"/>
        </w:rPr>
      </w:pPr>
      <w:r>
        <w:rPr>
          <w:rFonts w:hint="eastAsia" w:eastAsia="仿宋_GB2312"/>
          <w:color w:val="auto"/>
          <w:sz w:val="24"/>
          <w:highlight w:val="none"/>
        </w:rPr>
        <w:t>（3）像片旋偏角</w:t>
      </w:r>
    </w:p>
    <w:p w14:paraId="67A37EB5">
      <w:pPr>
        <w:spacing w:line="360" w:lineRule="auto"/>
        <w:ind w:firstLine="480"/>
        <w:rPr>
          <w:rFonts w:eastAsia="仿宋_GB2312"/>
          <w:color w:val="auto"/>
          <w:sz w:val="24"/>
          <w:highlight w:val="none"/>
        </w:rPr>
      </w:pPr>
      <w:r>
        <w:rPr>
          <w:rFonts w:hint="eastAsia" w:eastAsia="仿宋_GB2312"/>
          <w:color w:val="auto"/>
          <w:sz w:val="24"/>
          <w:highlight w:val="none"/>
        </w:rPr>
        <w:t>航摄成果像片旋偏角一般不大于 15°，最大不大于25°。</w:t>
      </w:r>
    </w:p>
    <w:p w14:paraId="68F0F3BF">
      <w:pPr>
        <w:spacing w:line="360" w:lineRule="auto"/>
        <w:ind w:firstLine="480"/>
        <w:rPr>
          <w:rFonts w:eastAsia="仿宋_GB2312"/>
          <w:color w:val="auto"/>
          <w:sz w:val="24"/>
          <w:highlight w:val="none"/>
        </w:rPr>
      </w:pPr>
      <w:r>
        <w:rPr>
          <w:rFonts w:hint="eastAsia" w:eastAsia="仿宋_GB2312"/>
          <w:color w:val="auto"/>
          <w:sz w:val="24"/>
          <w:highlight w:val="none"/>
        </w:rPr>
        <w:t>（4）航高保持度</w:t>
      </w:r>
    </w:p>
    <w:p w14:paraId="49B58058">
      <w:pPr>
        <w:spacing w:line="360" w:lineRule="auto"/>
        <w:ind w:firstLine="480"/>
        <w:rPr>
          <w:rFonts w:eastAsia="仿宋_GB2312"/>
          <w:color w:val="auto"/>
          <w:sz w:val="24"/>
          <w:highlight w:val="none"/>
        </w:rPr>
      </w:pPr>
      <w:r>
        <w:rPr>
          <w:rFonts w:hint="eastAsia" w:eastAsia="仿宋_GB2312"/>
          <w:color w:val="auto"/>
          <w:sz w:val="24"/>
          <w:highlight w:val="none"/>
        </w:rPr>
        <w:t>同一航线上相邻像片的航高高差不应大于30m，最大航高与最小航高之差不应大于50m,航摄分区内实际航高与设计航高之差不应大于50m。</w:t>
      </w:r>
    </w:p>
    <w:p w14:paraId="70493EFE">
      <w:pPr>
        <w:spacing w:line="360" w:lineRule="auto"/>
        <w:ind w:firstLine="480"/>
        <w:rPr>
          <w:rFonts w:eastAsia="仿宋_GB2312"/>
          <w:color w:val="auto"/>
          <w:sz w:val="24"/>
          <w:highlight w:val="none"/>
        </w:rPr>
      </w:pPr>
      <w:r>
        <w:rPr>
          <w:rFonts w:hint="eastAsia" w:eastAsia="仿宋_GB2312"/>
          <w:color w:val="auto"/>
          <w:sz w:val="24"/>
          <w:highlight w:val="none"/>
        </w:rPr>
        <w:t>（5）摄区覆盖范围保证</w:t>
      </w:r>
    </w:p>
    <w:p w14:paraId="4BD426E4">
      <w:pPr>
        <w:spacing w:line="360" w:lineRule="auto"/>
        <w:ind w:firstLine="480"/>
        <w:rPr>
          <w:rFonts w:eastAsia="仿宋_GB2312"/>
          <w:color w:val="auto"/>
          <w:sz w:val="24"/>
          <w:highlight w:val="none"/>
        </w:rPr>
      </w:pPr>
      <w:r>
        <w:rPr>
          <w:rFonts w:hint="eastAsia" w:eastAsia="仿宋_GB2312"/>
          <w:color w:val="auto"/>
          <w:sz w:val="24"/>
          <w:highlight w:val="none"/>
        </w:rPr>
        <w:t>航向覆盖范围超出摄区边界不少于两条基线。旁向覆盖范围超出摄区边界一般不少于像幅的50％。</w:t>
      </w:r>
    </w:p>
    <w:p w14:paraId="6285DCDB">
      <w:pPr>
        <w:spacing w:line="360" w:lineRule="auto"/>
        <w:ind w:firstLine="480"/>
        <w:rPr>
          <w:rFonts w:eastAsia="仿宋_GB2312"/>
          <w:color w:val="auto"/>
          <w:sz w:val="24"/>
          <w:highlight w:val="none"/>
        </w:rPr>
      </w:pPr>
      <w:r>
        <w:rPr>
          <w:rFonts w:hint="eastAsia" w:eastAsia="仿宋_GB2312"/>
          <w:color w:val="auto"/>
          <w:sz w:val="24"/>
          <w:highlight w:val="none"/>
        </w:rPr>
        <w:t>（6）影像质量</w:t>
      </w:r>
    </w:p>
    <w:p w14:paraId="0A8DB2EC">
      <w:pPr>
        <w:spacing w:line="360" w:lineRule="auto"/>
        <w:ind w:firstLine="480"/>
        <w:rPr>
          <w:rFonts w:ascii="宋体" w:hAnsi="宋体" w:cs="宋体"/>
          <w:color w:val="auto"/>
          <w:sz w:val="24"/>
          <w:highlight w:val="none"/>
        </w:rPr>
      </w:pPr>
      <w:r>
        <w:rPr>
          <w:rFonts w:hint="eastAsia" w:eastAsia="仿宋_GB2312"/>
          <w:color w:val="auto"/>
          <w:sz w:val="24"/>
          <w:highlight w:val="none"/>
        </w:rPr>
        <w:t>影像应清晰，层次丰富，反差适中，色调柔和；应能辨认出与地面分辨率相适应的细小地物影像，能建立清晰的立体相对；影像上不应有云、云影、烟、大面积反光、污点等缺陷；像点位移一般不宜大于0.5个像素，最大不应大于1个像素；不应出现因机上振动、镜头污染、相机快门故障引起的影像模糊的现象。</w:t>
      </w:r>
    </w:p>
    <w:p w14:paraId="06B7DE57">
      <w:pPr>
        <w:pStyle w:val="4"/>
        <w:rPr>
          <w:color w:val="auto"/>
          <w:sz w:val="24"/>
          <w:szCs w:val="24"/>
          <w:highlight w:val="none"/>
        </w:rPr>
      </w:pPr>
      <w:bookmarkStart w:id="51" w:name="_Toc5462"/>
      <w:r>
        <w:rPr>
          <w:rFonts w:hint="eastAsia"/>
          <w:color w:val="auto"/>
          <w:sz w:val="24"/>
          <w:szCs w:val="24"/>
          <w:highlight w:val="none"/>
        </w:rPr>
        <w:t>四、像片控制测量</w:t>
      </w:r>
      <w:bookmarkEnd w:id="51"/>
      <w:r>
        <w:rPr>
          <w:rFonts w:hint="eastAsia"/>
          <w:color w:val="auto"/>
          <w:sz w:val="24"/>
          <w:szCs w:val="24"/>
          <w:highlight w:val="none"/>
        </w:rPr>
        <w:t>要求</w:t>
      </w:r>
    </w:p>
    <w:p w14:paraId="03147580">
      <w:pPr>
        <w:spacing w:line="360" w:lineRule="auto"/>
        <w:ind w:firstLine="480"/>
        <w:rPr>
          <w:rFonts w:eastAsia="仿宋_GB2312"/>
          <w:color w:val="auto"/>
          <w:sz w:val="24"/>
          <w:highlight w:val="none"/>
        </w:rPr>
      </w:pPr>
      <w:r>
        <w:rPr>
          <w:rFonts w:hint="eastAsia" w:eastAsia="仿宋_GB2312"/>
          <w:color w:val="auto"/>
          <w:sz w:val="24"/>
          <w:highlight w:val="none"/>
        </w:rPr>
        <w:t>本任务可采用免像控无人机航摄方式，航摄成果成图具备均匀的地理精度。</w:t>
      </w:r>
    </w:p>
    <w:p w14:paraId="3F6E370D">
      <w:pPr>
        <w:pStyle w:val="4"/>
        <w:rPr>
          <w:color w:val="auto"/>
          <w:sz w:val="24"/>
          <w:szCs w:val="24"/>
          <w:highlight w:val="none"/>
        </w:rPr>
      </w:pPr>
      <w:r>
        <w:rPr>
          <w:rFonts w:hint="eastAsia"/>
          <w:color w:val="auto"/>
          <w:sz w:val="24"/>
          <w:szCs w:val="24"/>
          <w:highlight w:val="none"/>
        </w:rPr>
        <w:t>五、成果上交要求</w:t>
      </w:r>
    </w:p>
    <w:p w14:paraId="771D4AB0">
      <w:pPr>
        <w:pStyle w:val="15"/>
        <w:spacing w:line="360" w:lineRule="auto"/>
        <w:ind w:firstLine="422"/>
        <w:rPr>
          <w:rFonts w:eastAsia="仿宋_GB2312"/>
          <w:color w:val="auto"/>
          <w:sz w:val="24"/>
          <w:highlight w:val="none"/>
        </w:rPr>
      </w:pPr>
      <w:r>
        <w:rPr>
          <w:rFonts w:hint="eastAsia" w:eastAsia="仿宋_GB2312"/>
          <w:color w:val="auto"/>
          <w:sz w:val="24"/>
          <w:highlight w:val="none"/>
        </w:rPr>
        <w:t>全部电子成果以 4TB及以上容量移动硬盘介质存储并提交（文档资料除装订成纸质外，还需要扫描成电子版，提交硬盘作为成果数据备份将不再返还）。项目成果应至少包含以下内容：</w:t>
      </w:r>
    </w:p>
    <w:p w14:paraId="11F5E6C5">
      <w:pPr>
        <w:spacing w:line="360" w:lineRule="auto"/>
        <w:ind w:firstLine="480" w:firstLineChars="200"/>
        <w:rPr>
          <w:rFonts w:eastAsia="仿宋_GB2312"/>
          <w:color w:val="auto"/>
          <w:sz w:val="24"/>
          <w:highlight w:val="none"/>
        </w:rPr>
      </w:pPr>
      <w:r>
        <w:rPr>
          <w:rFonts w:hint="eastAsia" w:eastAsia="仿宋_GB2312"/>
          <w:color w:val="auto"/>
          <w:sz w:val="24"/>
          <w:highlight w:val="none"/>
        </w:rPr>
        <w:t>1、航空摄影成果</w:t>
      </w:r>
    </w:p>
    <w:p w14:paraId="76FB3C24">
      <w:pPr>
        <w:spacing w:line="360" w:lineRule="auto"/>
        <w:ind w:firstLine="480" w:firstLineChars="200"/>
        <w:rPr>
          <w:rFonts w:eastAsia="仿宋_GB2312"/>
          <w:color w:val="auto"/>
          <w:sz w:val="24"/>
          <w:highlight w:val="none"/>
        </w:rPr>
      </w:pPr>
      <w:r>
        <w:rPr>
          <w:rFonts w:hint="eastAsia" w:eastAsia="仿宋_GB2312"/>
          <w:color w:val="auto"/>
          <w:sz w:val="24"/>
          <w:highlight w:val="none"/>
        </w:rPr>
        <w:t>（1）数字航空摄影真彩色影像数据；</w:t>
      </w:r>
    </w:p>
    <w:p w14:paraId="68689741">
      <w:pPr>
        <w:spacing w:line="360" w:lineRule="auto"/>
        <w:ind w:firstLine="480" w:firstLineChars="200"/>
        <w:rPr>
          <w:rFonts w:eastAsia="仿宋_GB2312"/>
          <w:color w:val="auto"/>
          <w:sz w:val="24"/>
          <w:highlight w:val="none"/>
        </w:rPr>
      </w:pPr>
      <w:r>
        <w:rPr>
          <w:rFonts w:hint="eastAsia" w:eastAsia="仿宋_GB2312"/>
          <w:color w:val="auto"/>
          <w:sz w:val="24"/>
          <w:highlight w:val="none"/>
        </w:rPr>
        <w:t xml:space="preserve">（2）数字航摄仪技术参数（电子文档）； </w:t>
      </w:r>
    </w:p>
    <w:p w14:paraId="39E255E8">
      <w:pPr>
        <w:spacing w:line="360" w:lineRule="auto"/>
        <w:ind w:firstLine="480" w:firstLineChars="200"/>
        <w:rPr>
          <w:rFonts w:eastAsia="仿宋_GB2312"/>
          <w:color w:val="auto"/>
          <w:sz w:val="24"/>
          <w:highlight w:val="none"/>
        </w:rPr>
      </w:pPr>
      <w:r>
        <w:rPr>
          <w:rFonts w:hint="eastAsia" w:eastAsia="仿宋_GB2312"/>
          <w:color w:val="auto"/>
          <w:sz w:val="24"/>
          <w:highlight w:val="none"/>
        </w:rPr>
        <w:t xml:space="preserve">（3）数字航空摄影POS成果； </w:t>
      </w:r>
    </w:p>
    <w:p w14:paraId="52C0C894">
      <w:pPr>
        <w:spacing w:line="360" w:lineRule="auto"/>
        <w:ind w:firstLine="480" w:firstLineChars="200"/>
        <w:rPr>
          <w:rFonts w:eastAsia="仿宋_GB2312"/>
          <w:color w:val="auto"/>
          <w:sz w:val="24"/>
          <w:highlight w:val="none"/>
        </w:rPr>
      </w:pPr>
      <w:r>
        <w:rPr>
          <w:rFonts w:hint="eastAsia" w:eastAsia="仿宋_GB2312"/>
          <w:color w:val="auto"/>
          <w:sz w:val="24"/>
          <w:highlight w:val="none"/>
        </w:rPr>
        <w:t xml:space="preserve">（4）摄影航线、像片结合图（电子文档）； </w:t>
      </w:r>
    </w:p>
    <w:p w14:paraId="73C08E19">
      <w:pPr>
        <w:spacing w:line="360" w:lineRule="auto"/>
        <w:ind w:firstLine="480" w:firstLineChars="200"/>
        <w:rPr>
          <w:rFonts w:eastAsia="仿宋_GB2312"/>
          <w:color w:val="auto"/>
          <w:sz w:val="24"/>
          <w:highlight w:val="none"/>
        </w:rPr>
      </w:pPr>
      <w:r>
        <w:rPr>
          <w:rFonts w:hint="eastAsia" w:eastAsia="仿宋_GB2312"/>
          <w:color w:val="auto"/>
          <w:sz w:val="24"/>
          <w:highlight w:val="none"/>
        </w:rPr>
        <w:t>（5）摄区范围完成情况图（电子文档）；</w:t>
      </w:r>
    </w:p>
    <w:p w14:paraId="759D1CBE">
      <w:pPr>
        <w:spacing w:line="360" w:lineRule="auto"/>
        <w:ind w:firstLine="480" w:firstLineChars="200"/>
        <w:rPr>
          <w:rFonts w:eastAsia="仿宋_GB2312"/>
          <w:color w:val="auto"/>
          <w:sz w:val="24"/>
          <w:highlight w:val="none"/>
        </w:rPr>
      </w:pPr>
      <w:r>
        <w:rPr>
          <w:rFonts w:hint="eastAsia" w:eastAsia="仿宋_GB2312"/>
          <w:color w:val="auto"/>
          <w:sz w:val="24"/>
          <w:highlight w:val="none"/>
        </w:rPr>
        <w:t xml:space="preserve">（6）航空摄影飞行记录（电子文档）； </w:t>
      </w:r>
    </w:p>
    <w:p w14:paraId="3CE03DF9">
      <w:pPr>
        <w:spacing w:line="360" w:lineRule="auto"/>
        <w:ind w:firstLine="480" w:firstLineChars="200"/>
        <w:rPr>
          <w:rFonts w:eastAsia="仿宋_GB2312"/>
          <w:color w:val="auto"/>
          <w:sz w:val="24"/>
          <w:highlight w:val="none"/>
        </w:rPr>
      </w:pPr>
      <w:r>
        <w:rPr>
          <w:rFonts w:hint="eastAsia" w:eastAsia="仿宋_GB2312"/>
          <w:color w:val="auto"/>
          <w:sz w:val="24"/>
          <w:highlight w:val="none"/>
        </w:rPr>
        <w:t>2、数字正射影像成果</w:t>
      </w:r>
    </w:p>
    <w:p w14:paraId="6DEE07D0">
      <w:pPr>
        <w:spacing w:line="360" w:lineRule="auto"/>
        <w:ind w:firstLine="480" w:firstLineChars="200"/>
        <w:rPr>
          <w:rFonts w:eastAsia="仿宋_GB2312"/>
          <w:color w:val="auto"/>
          <w:sz w:val="24"/>
          <w:highlight w:val="none"/>
        </w:rPr>
      </w:pPr>
      <w:r>
        <w:rPr>
          <w:rFonts w:hint="eastAsia" w:eastAsia="仿宋_GB2312"/>
          <w:color w:val="auto"/>
          <w:sz w:val="24"/>
          <w:highlight w:val="none"/>
        </w:rPr>
        <w:t>（1）以县域为单位未裁切的拼接DOM成果（电子资料）；</w:t>
      </w:r>
    </w:p>
    <w:p w14:paraId="7A068CB6">
      <w:pPr>
        <w:spacing w:line="360" w:lineRule="auto"/>
        <w:ind w:firstLine="480" w:firstLineChars="200"/>
        <w:rPr>
          <w:rFonts w:eastAsia="仿宋_GB2312"/>
          <w:color w:val="auto"/>
          <w:sz w:val="24"/>
          <w:highlight w:val="none"/>
        </w:rPr>
      </w:pPr>
      <w:r>
        <w:rPr>
          <w:rFonts w:hint="eastAsia" w:eastAsia="仿宋_GB2312"/>
          <w:color w:val="auto"/>
          <w:sz w:val="24"/>
          <w:highlight w:val="none"/>
        </w:rPr>
        <w:t>（2）元数据（电子资料）。</w:t>
      </w:r>
    </w:p>
    <w:p w14:paraId="41735320">
      <w:pPr>
        <w:spacing w:line="360" w:lineRule="auto"/>
        <w:ind w:firstLine="480" w:firstLineChars="200"/>
        <w:rPr>
          <w:rFonts w:eastAsia="仿宋_GB2312"/>
          <w:color w:val="auto"/>
          <w:sz w:val="24"/>
          <w:highlight w:val="none"/>
        </w:rPr>
      </w:pPr>
      <w:r>
        <w:rPr>
          <w:rFonts w:hint="eastAsia" w:eastAsia="仿宋_GB2312"/>
          <w:color w:val="auto"/>
          <w:sz w:val="24"/>
          <w:highlight w:val="none"/>
        </w:rPr>
        <w:t>3、数字表面模型</w:t>
      </w:r>
    </w:p>
    <w:p w14:paraId="19F70BF6">
      <w:pPr>
        <w:spacing w:line="360" w:lineRule="auto"/>
        <w:ind w:firstLine="480" w:firstLineChars="200"/>
        <w:rPr>
          <w:rFonts w:eastAsia="仿宋_GB2312"/>
          <w:color w:val="auto"/>
          <w:sz w:val="24"/>
          <w:highlight w:val="none"/>
        </w:rPr>
      </w:pPr>
      <w:r>
        <w:rPr>
          <w:rFonts w:hint="eastAsia" w:eastAsia="仿宋_GB2312"/>
          <w:color w:val="auto"/>
          <w:sz w:val="24"/>
          <w:highlight w:val="none"/>
        </w:rPr>
        <w:t>数字表面模型（DSM）成果（电子资料）；</w:t>
      </w:r>
    </w:p>
    <w:p w14:paraId="06B5B050">
      <w:pPr>
        <w:spacing w:line="360" w:lineRule="auto"/>
        <w:ind w:firstLine="480" w:firstLineChars="200"/>
        <w:rPr>
          <w:rFonts w:eastAsia="仿宋_GB2312"/>
          <w:color w:val="auto"/>
          <w:sz w:val="24"/>
          <w:highlight w:val="none"/>
        </w:rPr>
      </w:pPr>
      <w:r>
        <w:rPr>
          <w:rFonts w:hint="eastAsia" w:eastAsia="仿宋_GB2312"/>
          <w:color w:val="auto"/>
          <w:sz w:val="24"/>
          <w:highlight w:val="none"/>
        </w:rPr>
        <w:t xml:space="preserve">4、其他成果资料 </w:t>
      </w:r>
    </w:p>
    <w:p w14:paraId="33F17DC3">
      <w:pPr>
        <w:spacing w:line="360" w:lineRule="auto"/>
        <w:ind w:firstLine="480" w:firstLineChars="200"/>
        <w:rPr>
          <w:rFonts w:eastAsia="仿宋_GB2312"/>
          <w:color w:val="auto"/>
          <w:sz w:val="24"/>
          <w:highlight w:val="none"/>
        </w:rPr>
      </w:pPr>
      <w:r>
        <w:rPr>
          <w:rFonts w:hint="eastAsia" w:eastAsia="仿宋_GB2312"/>
          <w:color w:val="auto"/>
          <w:sz w:val="24"/>
          <w:highlight w:val="none"/>
        </w:rPr>
        <w:t xml:space="preserve">（1）项目实施方案、技术设计书、技术总结、项目总结（电子文档）； </w:t>
      </w:r>
    </w:p>
    <w:p w14:paraId="041B0C23">
      <w:pPr>
        <w:spacing w:line="360" w:lineRule="auto"/>
        <w:ind w:firstLine="480" w:firstLineChars="200"/>
        <w:rPr>
          <w:rFonts w:eastAsia="仿宋_GB2312"/>
          <w:color w:val="auto"/>
          <w:sz w:val="24"/>
          <w:highlight w:val="none"/>
        </w:rPr>
      </w:pPr>
      <w:r>
        <w:rPr>
          <w:rFonts w:hint="eastAsia" w:eastAsia="仿宋_GB2312"/>
          <w:color w:val="auto"/>
          <w:sz w:val="24"/>
          <w:highlight w:val="none"/>
        </w:rPr>
        <w:t>（2）成果移交清单（纸质文件和电子文档）；</w:t>
      </w:r>
    </w:p>
    <w:p w14:paraId="5A556B42">
      <w:pPr>
        <w:spacing w:line="360" w:lineRule="auto"/>
        <w:ind w:firstLine="480" w:firstLineChars="200"/>
        <w:rPr>
          <w:rFonts w:eastAsia="仿宋_GB2312"/>
          <w:color w:val="auto"/>
          <w:sz w:val="24"/>
          <w:highlight w:val="none"/>
        </w:rPr>
      </w:pPr>
      <w:r>
        <w:rPr>
          <w:rFonts w:hint="eastAsia" w:eastAsia="仿宋_GB2312"/>
          <w:color w:val="auto"/>
          <w:sz w:val="24"/>
          <w:highlight w:val="none"/>
        </w:rPr>
        <w:t xml:space="preserve">（3）内业空三加密成果（电子资料）； </w:t>
      </w:r>
    </w:p>
    <w:p w14:paraId="63DD4E1E">
      <w:pPr>
        <w:spacing w:line="360" w:lineRule="auto"/>
        <w:ind w:firstLine="480" w:firstLineChars="200"/>
        <w:rPr>
          <w:rFonts w:eastAsia="仿宋_GB2312"/>
          <w:color w:val="auto"/>
          <w:sz w:val="24"/>
          <w:highlight w:val="none"/>
        </w:rPr>
      </w:pPr>
      <w:r>
        <w:rPr>
          <w:rFonts w:hint="eastAsia" w:eastAsia="仿宋_GB2312"/>
          <w:color w:val="auto"/>
          <w:sz w:val="24"/>
          <w:highlight w:val="none"/>
        </w:rPr>
        <w:t>（4）具有CMA证书的第三方检验机构出具的质检报告（纸质文件和电子文档）。</w:t>
      </w:r>
    </w:p>
    <w:p w14:paraId="1490B2FE">
      <w:pPr>
        <w:spacing w:line="360" w:lineRule="auto"/>
        <w:ind w:firstLine="482" w:firstLineChars="200"/>
        <w:rPr>
          <w:rFonts w:eastAsia="仿宋_GB2312"/>
          <w:b/>
          <w:bCs/>
          <w:color w:val="auto"/>
          <w:sz w:val="24"/>
          <w:highlight w:val="none"/>
        </w:rPr>
      </w:pPr>
      <w:r>
        <w:rPr>
          <w:rFonts w:hint="eastAsia" w:eastAsia="仿宋_GB2312"/>
          <w:b/>
          <w:bCs/>
          <w:color w:val="auto"/>
          <w:sz w:val="24"/>
          <w:highlight w:val="none"/>
        </w:rPr>
        <w:t>六、成果质量检查</w:t>
      </w:r>
    </w:p>
    <w:p w14:paraId="371402C3">
      <w:pPr>
        <w:spacing w:line="360" w:lineRule="auto"/>
        <w:ind w:firstLine="480" w:firstLineChars="200"/>
        <w:rPr>
          <w:rFonts w:eastAsia="仿宋_GB2312"/>
          <w:color w:val="auto"/>
          <w:sz w:val="24"/>
          <w:highlight w:val="none"/>
        </w:rPr>
      </w:pPr>
      <w:r>
        <w:rPr>
          <w:rFonts w:hint="eastAsia" w:eastAsia="仿宋_GB2312"/>
          <w:color w:val="auto"/>
          <w:sz w:val="24"/>
          <w:highlight w:val="none"/>
        </w:rPr>
        <w:t>项目执行“两级检查、一级验收”制度。两级检查（一级检查、二级检查）均由作业单位组织实施。所有成果须通过两级检查，并经具备相应资质的第三方检验机构检验合格、出具合格检验报告后，方可提交。该第三方检验机构必须持有CMA证书，且其检验检测能力范围须涵盖测绘航空摄影、摄影测量与遥感、工程测量。</w:t>
      </w:r>
    </w:p>
    <w:p w14:paraId="399B3AD7">
      <w:pPr>
        <w:rPr>
          <w:rFonts w:ascii="宋体" w:hAnsi="宋体" w:cs="宋体"/>
          <w:color w:val="auto"/>
          <w:highlight w:val="none"/>
        </w:rPr>
      </w:pPr>
      <w:r>
        <w:rPr>
          <w:rFonts w:ascii="宋体" w:hAnsi="宋体" w:cs="宋体"/>
          <w:color w:val="auto"/>
          <w:highlight w:val="none"/>
        </w:rPr>
        <w:br w:type="page"/>
      </w:r>
    </w:p>
    <w:p w14:paraId="55F3A5F0">
      <w:pPr>
        <w:rPr>
          <w:rFonts w:ascii="宋体" w:hAnsi="宋体" w:cs="宋体"/>
          <w:color w:val="auto"/>
          <w:highlight w:val="none"/>
        </w:rPr>
      </w:pPr>
    </w:p>
    <w:p w14:paraId="0C29500C">
      <w:pPr>
        <w:rPr>
          <w:rFonts w:ascii="宋体" w:hAnsi="宋体" w:cs="宋体"/>
          <w:color w:val="auto"/>
          <w:highlight w:val="none"/>
        </w:rPr>
      </w:pPr>
    </w:p>
    <w:p w14:paraId="33870CDC">
      <w:pPr>
        <w:pStyle w:val="2"/>
        <w:rPr>
          <w:rFonts w:ascii="宋体" w:hAnsi="宋体" w:cs="宋体"/>
          <w:color w:val="auto"/>
          <w:highlight w:val="none"/>
        </w:rPr>
      </w:pPr>
      <w:bookmarkStart w:id="52" w:name="_Toc23763"/>
      <w:r>
        <w:rPr>
          <w:rFonts w:hint="eastAsia" w:ascii="宋体" w:hAnsi="宋体" w:cs="宋体"/>
          <w:color w:val="auto"/>
          <w:highlight w:val="none"/>
        </w:rPr>
        <w:t>第四章  评审程序、评审方法和评审标准</w:t>
      </w:r>
      <w:bookmarkEnd w:id="52"/>
    </w:p>
    <w:p w14:paraId="64B3FC08">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一、评审程序和评审方法</w:t>
      </w:r>
    </w:p>
    <w:p w14:paraId="24476007">
      <w:pPr>
        <w:spacing w:line="360" w:lineRule="auto"/>
        <w:ind w:firstLine="482" w:firstLineChars="200"/>
        <w:rPr>
          <w:rFonts w:ascii="宋体" w:hAnsi="宋体" w:cs="宋体"/>
          <w:b/>
          <w:bCs/>
          <w:color w:val="auto"/>
          <w:sz w:val="24"/>
          <w:highlight w:val="none"/>
        </w:rPr>
      </w:pPr>
    </w:p>
    <w:p w14:paraId="748483F4">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1.资格审查</w:t>
      </w:r>
    </w:p>
    <w:p w14:paraId="03524326">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1.1响应文件开启后，磋商小组依法对供应商的资格证明文件进行审查。</w:t>
      </w:r>
    </w:p>
    <w:p w14:paraId="06071FFB">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（1）查询渠道：“信用中国”网站（www.creditchina.gov.cn）、中国政府采购网（</w:t>
      </w:r>
      <w:r>
        <w:rPr>
          <w:color w:val="auto"/>
          <w:highlight w:val="none"/>
        </w:rPr>
        <w:fldChar w:fldCharType="begin"/>
      </w:r>
      <w:r>
        <w:rPr>
          <w:color w:val="auto"/>
          <w:highlight w:val="none"/>
        </w:rPr>
        <w:instrText xml:space="preserve"> HYPERLINK "http://www.ccgp.gov.cn" </w:instrText>
      </w:r>
      <w:r>
        <w:rPr>
          <w:color w:val="auto"/>
          <w:highlight w:val="none"/>
        </w:rPr>
        <w:fldChar w:fldCharType="separate"/>
      </w:r>
      <w:r>
        <w:rPr>
          <w:rFonts w:hint="eastAsia" w:ascii="宋体" w:hAnsi="宋体" w:cs="宋体"/>
          <w:color w:val="auto"/>
          <w:highlight w:val="none"/>
        </w:rPr>
        <w:t>www.ccgp.gov.cn</w:t>
      </w:r>
      <w:r>
        <w:rPr>
          <w:rFonts w:hint="eastAsia" w:ascii="宋体" w:hAnsi="宋体" w:cs="宋体"/>
          <w:color w:val="auto"/>
          <w:highlight w:val="none"/>
        </w:rPr>
        <w:fldChar w:fldCharType="end"/>
      </w:r>
      <w:r>
        <w:rPr>
          <w:rFonts w:hint="eastAsia" w:ascii="宋体" w:hAnsi="宋体" w:cs="宋体"/>
          <w:color w:val="auto"/>
          <w:szCs w:val="21"/>
          <w:highlight w:val="none"/>
        </w:rPr>
        <w:t>）</w:t>
      </w:r>
    </w:p>
    <w:p w14:paraId="4F062876">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（2）信用查询截止时点：资格审查结束前</w:t>
      </w:r>
    </w:p>
    <w:p w14:paraId="68B4FAE1">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（3）查询记录和证据留存方式：通过广西政府采购云平台链接到相关查询网站进行查询及记录。</w:t>
      </w:r>
    </w:p>
    <w:p w14:paraId="1DB9ED7A">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（4）信用信息使用规则：根据财政部《关于在政府采购活动中查询及使用信用记录有关问题的通知》（财库〔2016〕125号）的规定，对在“信用中国”网站(www.creditchina.gov.cn)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14:paraId="1BFDFC78">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1.2资格审查标准为本磋商文件中载明对供应商资格要求的条件。资格审查采用合格制，凡符合磋商文件规定的供应商资格要求的响应文件均通过资格审查。</w:t>
      </w:r>
    </w:p>
    <w:p w14:paraId="1FDB84C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1.3供应商有下列情形之一的，资格审查不通过，其响应文件按无效响应处理：</w:t>
      </w:r>
    </w:p>
    <w:p w14:paraId="0019651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（1）不具备磋商文件中规定的资格要求的；</w:t>
      </w:r>
    </w:p>
    <w:p w14:paraId="57FFE42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（2）响应文件的资格证明文件缺少任一项“供应商须知前附表”资格证明文件规定的“必须提供”的文件资料的；</w:t>
      </w:r>
    </w:p>
    <w:p w14:paraId="2A98D9B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（3）响应文件中的资格证明文件出现任一项不符合“供应商须知前附表”资格证明文件规定的“必须提供”的文件资料要求或者无效的；</w:t>
      </w:r>
    </w:p>
    <w:p w14:paraId="01FD497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（4）同一合同项下的不同供应商，单位负责人为同一人或者存在直接控股、管理关系的；为本项目提供过整体设计、规范编制或者项目管理、监理、检测等服务的供应商，再参加该采购项目的其他采购活动的。</w:t>
      </w:r>
    </w:p>
    <w:p w14:paraId="756584D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1.4通过资格审查的合格供应商不足3家的，不得进入符合性审查环节，采购人或者采购代理机构应当重新开展采购活动。</w:t>
      </w:r>
    </w:p>
    <w:p w14:paraId="00911C21">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2.符合性审查</w:t>
      </w:r>
    </w:p>
    <w:p w14:paraId="718BE350">
      <w:pPr>
        <w:spacing w:line="360" w:lineRule="auto"/>
        <w:ind w:firstLine="420" w:firstLineChars="200"/>
        <w:rPr>
          <w:rFonts w:ascii="宋体" w:hAnsi="宋体" w:cs="宋体"/>
          <w:color w:val="auto"/>
          <w:szCs w:val="21"/>
          <w:highlight w:val="none"/>
        </w:rPr>
      </w:pPr>
      <w:bookmarkStart w:id="53" w:name="_Hlk42528882"/>
      <w:r>
        <w:rPr>
          <w:rFonts w:hint="eastAsia" w:ascii="宋体" w:hAnsi="宋体" w:cs="宋体"/>
          <w:color w:val="auto"/>
          <w:szCs w:val="21"/>
          <w:highlight w:val="none"/>
        </w:rPr>
        <w:t>2.1由磋商小组对资格审查的合格供应商的响应文件的竞标报价、商务、技术等实质性要求进行符合性审查，以确定其是否满足磋商文件的实质性要求。</w:t>
      </w:r>
    </w:p>
    <w:bookmarkEnd w:id="53"/>
    <w:p w14:paraId="2385F66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2.2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24A01B1E">
      <w:pPr>
        <w:spacing w:line="360" w:lineRule="auto"/>
        <w:ind w:firstLine="420" w:firstLineChars="200"/>
        <w:rPr>
          <w:rFonts w:ascii="宋体" w:hAnsi="宋体" w:cs="宋体"/>
          <w:color w:val="auto"/>
          <w:spacing w:val="-6"/>
          <w:szCs w:val="21"/>
          <w:highlight w:val="none"/>
        </w:rPr>
      </w:pPr>
      <w:r>
        <w:rPr>
          <w:rFonts w:hint="eastAsia" w:ascii="宋体" w:hAnsi="宋体" w:cs="宋体"/>
          <w:color w:val="auto"/>
          <w:szCs w:val="21"/>
          <w:highlight w:val="none"/>
        </w:rPr>
        <w:t>2.3磋商小组要求供应商澄清、说明或者更正响应文件应当以电子澄清函形式作出。供应商的澄清、说明或者更正应当以电子回函形式按照磋商小组的要求作出明确的澄清、说明或者更正，未按磋商小组的要求作出明确澄清、说明或者更正的供应商的响应文件将按照有利于采购人的原则由磋商小组进行判定。供应商的澄清、说明或者更正必须由法定代表人或者其授权代表签字或加盖供应商公章</w:t>
      </w:r>
      <w:r>
        <w:rPr>
          <w:rFonts w:hint="eastAsia" w:ascii="宋体" w:hAnsi="宋体" w:cs="宋体"/>
          <w:color w:val="auto"/>
          <w:spacing w:val="-6"/>
          <w:szCs w:val="21"/>
          <w:highlight w:val="none"/>
        </w:rPr>
        <w:t>。供应商为自然人的，必须由本人签字并附身份证明。</w:t>
      </w:r>
    </w:p>
    <w:p w14:paraId="2B35D70E">
      <w:pPr>
        <w:spacing w:line="360" w:lineRule="auto"/>
        <w:ind w:firstLine="396" w:firstLineChars="200"/>
        <w:rPr>
          <w:rFonts w:ascii="宋体" w:hAnsi="宋体" w:cs="宋体"/>
          <w:color w:val="auto"/>
          <w:szCs w:val="21"/>
          <w:highlight w:val="none"/>
        </w:rPr>
      </w:pPr>
      <w:r>
        <w:rPr>
          <w:rFonts w:hint="eastAsia" w:ascii="宋体" w:hAnsi="宋体" w:cs="宋体"/>
          <w:color w:val="auto"/>
          <w:spacing w:val="-6"/>
          <w:szCs w:val="21"/>
          <w:highlight w:val="none"/>
        </w:rPr>
        <w:t>2.4</w:t>
      </w:r>
      <w:r>
        <w:rPr>
          <w:rFonts w:hint="eastAsia" w:ascii="宋体" w:hAnsi="宋体" w:cs="宋体"/>
          <w:color w:val="auto"/>
          <w:szCs w:val="21"/>
          <w:highlight w:val="none"/>
        </w:rPr>
        <w:t xml:space="preserve">首次响应文件报价出现前后不一致的，按照下列规定修正： </w:t>
      </w:r>
    </w:p>
    <w:p w14:paraId="4157B98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（1）响应文件中报价表内容与响应文件中相应内容不一致的，以报价表为准；</w:t>
      </w:r>
    </w:p>
    <w:p w14:paraId="3D0F28A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（2）大写金额和小写金额不一致的，以大写金额为准；</w:t>
      </w:r>
    </w:p>
    <w:p w14:paraId="084252B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（3）单价金额小数点或者百分比有明显错位的，以报价表的总价为准，并修改单价；</w:t>
      </w:r>
    </w:p>
    <w:p w14:paraId="4693621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（4）总价金额与按单价汇总金额不一致的，以单价金额计算结果为准。</w:t>
      </w:r>
    </w:p>
    <w:p w14:paraId="6D54E1B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同时出现两种以上不一致的，按照以上（1）-（4）规定的顺序逐条进行修正。修正后的报价经供应商确认后产生约束力，供应商不确认的，其响应文件按无效响应处理。</w:t>
      </w:r>
    </w:p>
    <w:p w14:paraId="05DBF99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2.5商务技术报价评审</w:t>
      </w:r>
    </w:p>
    <w:p w14:paraId="2826AD8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在评审时，如发现下列情形之一的，将被视为响应文件无效响应处理：</w:t>
      </w:r>
    </w:p>
    <w:p w14:paraId="0561371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（1）商务技术评审</w:t>
      </w:r>
    </w:p>
    <w:p w14:paraId="5FDF481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1）响应文件未按磋商文件要求签署、盖章；</w:t>
      </w:r>
    </w:p>
    <w:p w14:paraId="3D0CF8D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2）委托代理人未能出具有效身份证或者出具的身份证与授权委托书中的信息不符的； </w:t>
      </w:r>
    </w:p>
    <w:p w14:paraId="4DFB801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3）提交的磋商保证金无效的或者未按照磋商文件的规定提交磋商保证金；</w:t>
      </w:r>
    </w:p>
    <w:p w14:paraId="4529B7F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4）响应文件中的报价商务技术文件出现任一项不符合“供应商须知前附表”中“必须提供”或者“委托时必须提供”文件资料要求的规定或者提供的报价商务技术文件无效。</w:t>
      </w:r>
    </w:p>
    <w:p w14:paraId="60B66A9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5）商务条款中标“▲”的条款发生负偏离或者允许负偏离的条款数超过“供应商须知前附表”规定项数的；</w:t>
      </w:r>
    </w:p>
    <w:p w14:paraId="4CD271E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6）未对竞标有效期作出响应或者响应文件承诺的竞标有效期不满足磋商文件要求；</w:t>
      </w:r>
    </w:p>
    <w:p w14:paraId="11DC9DE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7）响应文件的实质性内容未使用中文表述、使用计量单位不符合磋商文件要求；</w:t>
      </w:r>
    </w:p>
    <w:p w14:paraId="63A2C3D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8）响应文件中的文件资料因填写不齐全或者内容虚假或者出现其他情形而导致被磋商小组认定无效；</w:t>
      </w:r>
    </w:p>
    <w:p w14:paraId="493741C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9）响应文件含有采购人不能接受的附加条件；</w:t>
      </w:r>
    </w:p>
    <w:p w14:paraId="655E472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10）属于“供应商须知正文”第7.5条情形；</w:t>
      </w:r>
    </w:p>
    <w:p w14:paraId="61E7931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11）技术要求中标“▲”的条款发生负偏离或允许负偏离的条款数超过“供应商须知前附表”规定项数的；</w:t>
      </w:r>
    </w:p>
    <w:p w14:paraId="534C4E7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12）虚假竞标，或者出现其他情形而导致被磋商小组认定无效；</w:t>
      </w:r>
    </w:p>
    <w:p w14:paraId="4207F87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13）</w:t>
      </w:r>
      <w:bookmarkStart w:id="54" w:name="_Hlk71704147"/>
      <w:r>
        <w:rPr>
          <w:rFonts w:hint="eastAsia" w:ascii="宋体" w:hAnsi="宋体" w:cs="宋体"/>
          <w:color w:val="auto"/>
          <w:szCs w:val="21"/>
          <w:highlight w:val="none"/>
        </w:rPr>
        <w:t>磋商文件未载明允许提供备选（替代）竞标方案或明确不允许提供备选（替代）竞标方案时，供应商提供了备选（替代）竞标方案的；</w:t>
      </w:r>
      <w:bookmarkEnd w:id="54"/>
    </w:p>
    <w:p w14:paraId="73552BA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14）响应文件标注的项目名称或者项目编号与磋商文件标注的项目名称或者项目编号不一致的；</w:t>
      </w:r>
    </w:p>
    <w:p w14:paraId="22ED32D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15）竞争性磋商文件明确不允许分包，响应文件拟分包的；</w:t>
      </w:r>
    </w:p>
    <w:p w14:paraId="797BF87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16）未响应磋商文件实质性要求；</w:t>
      </w:r>
    </w:p>
    <w:p w14:paraId="7A50A8A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17）法律、法规和磋商文件规定的其他无效情形。</w:t>
      </w:r>
    </w:p>
    <w:p w14:paraId="21AC12C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（2）报价评审</w:t>
      </w:r>
    </w:p>
    <w:p w14:paraId="1961C08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 响应文件未提供“供应商须知前附表” 报价商务技术文件中规定的“竞标报价表”；</w:t>
      </w:r>
    </w:p>
    <w:p w14:paraId="5947DA9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2）未采用人民币报价或者未按照磋商文件标明的币种报价；</w:t>
      </w:r>
    </w:p>
    <w:p w14:paraId="0BBF599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供应商未就所竞标分标进行报价或者存在漏项报价；供应商未就所竞标分标的单项内容作唯一报价；供应商未就所竞标分标的全部内容作完整唯一总价报价；供应商响应文件中存在有选择、有条件报价的（磋商文件允许有备选方案或者其他约定的除外）；</w:t>
      </w:r>
    </w:p>
    <w:p w14:paraId="177D4FC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4）最后报价超过所竞标分标规定的采购预算金额或者最高限价的（如本项目公布了最高限价）；</w:t>
      </w:r>
      <w:bookmarkStart w:id="55" w:name="_Hlk42596405"/>
      <w:r>
        <w:rPr>
          <w:rFonts w:hint="eastAsia" w:ascii="宋体" w:hAnsi="宋体" w:cs="宋体"/>
          <w:color w:val="auto"/>
          <w:szCs w:val="21"/>
          <w:highlight w:val="none"/>
        </w:rPr>
        <w:t xml:space="preserve"> </w:t>
      </w:r>
      <w:bookmarkEnd w:id="55"/>
    </w:p>
    <w:p w14:paraId="4ACC72C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5）修正后的报价，供应商不确认的；或者经供应商确认修正后的最后报价超过所竞标分标规定的采购预算金额或者最高限价（如本项目公布了最高限价）；</w:t>
      </w:r>
    </w:p>
    <w:p w14:paraId="196DC79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6）响应文件响应的标的数量及单位与竞争性磋商文件要求实质性不一致的。</w:t>
      </w:r>
    </w:p>
    <w:p w14:paraId="70D4342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2.6磋商小组对响应文件进行评审，未实质性响应磋商文件的响应文件按无效响应处理，磋商小组应当将资格和符合性不通过的情况告知有关供应商。磋商小组从符合磋商文件规定的相应资格条件的供应商名单中确定不少于3家的供应商参加磋商。</w:t>
      </w:r>
    </w:p>
    <w:p w14:paraId="07AE5BE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2.7非政府购买服务项目，通过符合性审查的合格供应商不足3家的，不得进入磋商环节，采购人或者采购代理机构应当重新开展采购活动。政府购买服务项目，按《财政部关于政府采购竞争性磋商采购方式管理暂行办法有关问题的补充通知》（财库〔2015〕124号）规定，采购过程中通过符合性审查的供应商（社会资本）只有2家的，磋商采购活动可以继续进行。</w:t>
      </w:r>
    </w:p>
    <w:p w14:paraId="7671193A">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3.磋商程序</w:t>
      </w:r>
    </w:p>
    <w:p w14:paraId="169D2568">
      <w:pPr>
        <w:spacing w:line="360" w:lineRule="auto"/>
        <w:ind w:firstLine="420" w:firstLineChars="200"/>
        <w:rPr>
          <w:rFonts w:ascii="宋体" w:hAnsi="宋体" w:cs="宋体"/>
          <w:color w:val="auto"/>
          <w:szCs w:val="21"/>
          <w:highlight w:val="none"/>
        </w:rPr>
      </w:pPr>
      <w:r>
        <w:rPr>
          <w:rFonts w:hint="eastAsia" w:ascii="宋体" w:hAnsi="宋体" w:cs="宋体"/>
          <w:color w:val="auto"/>
          <w:kern w:val="0"/>
          <w:szCs w:val="21"/>
          <w:highlight w:val="none"/>
        </w:rPr>
        <w:t>3.1磋商小组按照“供应商须知前附表”</w:t>
      </w:r>
      <w:r>
        <w:rPr>
          <w:rFonts w:hint="eastAsia" w:ascii="宋体" w:hAnsi="宋体" w:cs="宋体"/>
          <w:color w:val="auto"/>
          <w:szCs w:val="21"/>
          <w:highlight w:val="none"/>
        </w:rPr>
        <w:t xml:space="preserve"> </w:t>
      </w:r>
      <w:r>
        <w:rPr>
          <w:rFonts w:hint="eastAsia" w:ascii="宋体" w:hAnsi="宋体" w:cs="宋体"/>
          <w:color w:val="auto"/>
          <w:kern w:val="0"/>
          <w:szCs w:val="21"/>
          <w:highlight w:val="none"/>
        </w:rPr>
        <w:t>确定的</w:t>
      </w:r>
      <w:r>
        <w:rPr>
          <w:rFonts w:hint="eastAsia" w:ascii="宋体" w:hAnsi="宋体" w:cs="宋体"/>
          <w:color w:val="auto"/>
          <w:szCs w:val="21"/>
          <w:highlight w:val="none"/>
        </w:rPr>
        <w:t>顺序，集中与单一供应商分别进行磋商，并给予所有参加磋商的供应商平等的磋商机会。符合磋商资格的供应商必须在接到磋商通知后规定时间内参加磋商，未在规定时间内参加磋商的视同放弃参加磋商权利，其响应文件按无效响应处理。</w:t>
      </w:r>
    </w:p>
    <w:p w14:paraId="5C89E86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3.2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14:paraId="083C7FC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3.3对磋商文件作出的实质性变动是磋商文件的有效组成部分，由磋商小组及时以电子磋商记录形式同时通知所有参加磋商的供应商。</w:t>
      </w:r>
    </w:p>
    <w:p w14:paraId="50B1974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3.4供应商必须按照磋商文件的变动情况和磋商小组的要求以电子回函的形式重新提交响应文件，并由其法定代表人或者授权代表签字或者加盖供应商公章。供应商为自然人的，必须由本人签字并附身份证明。参加磋商的供应商未在规定时间内以电子回函的形式重新提交响应文件的，视同退出磋商。</w:t>
      </w:r>
    </w:p>
    <w:p w14:paraId="64B1A60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3.5磋商中，</w:t>
      </w:r>
      <w:r>
        <w:rPr>
          <w:rFonts w:hint="eastAsia" w:ascii="宋体" w:hAnsi="宋体" w:cs="宋体"/>
          <w:color w:val="auto"/>
          <w:spacing w:val="-6"/>
          <w:szCs w:val="21"/>
          <w:highlight w:val="none"/>
        </w:rPr>
        <w:t>磋商的任何一方不得透露与磋商有关的其他供应商的技术资料、价格和其他信息。</w:t>
      </w:r>
    </w:p>
    <w:p w14:paraId="1CE3C790">
      <w:pPr>
        <w:tabs>
          <w:tab w:val="left" w:pos="2835"/>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3.6对磋商过程提交的响应文件进行有效性、完整性和响应程度审查，通过审查的合格供应商不足3家的，采购人或者采购代理机构应当重新开展采购活动。</w:t>
      </w:r>
    </w:p>
    <w:p w14:paraId="19AA9218">
      <w:pPr>
        <w:widowControl/>
        <w:tabs>
          <w:tab w:val="left" w:pos="540"/>
        </w:tabs>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3.7</w:t>
      </w:r>
      <w:r>
        <w:rPr>
          <w:rFonts w:hint="eastAsia" w:ascii="宋体" w:hAnsi="宋体" w:cs="宋体"/>
          <w:color w:val="auto"/>
          <w:highlight w:val="none"/>
        </w:rPr>
        <w:t>根据《财政部关于政府采购竞争性磋商采购方式管理暂行办法有关问题的补充通知》（财库〔2015〕124号）的规定，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14:paraId="376ACE0F">
      <w:pPr>
        <w:spacing w:line="360" w:lineRule="auto"/>
        <w:ind w:firstLine="482" w:firstLineChars="200"/>
        <w:rPr>
          <w:rFonts w:ascii="宋体" w:hAnsi="宋体" w:cs="宋体"/>
          <w:color w:val="auto"/>
          <w:szCs w:val="21"/>
          <w:highlight w:val="none"/>
        </w:rPr>
      </w:pPr>
      <w:r>
        <w:rPr>
          <w:rFonts w:hint="eastAsia" w:ascii="宋体" w:hAnsi="宋体" w:cs="宋体"/>
          <w:b/>
          <w:bCs/>
          <w:color w:val="auto"/>
          <w:sz w:val="24"/>
          <w:highlight w:val="none"/>
        </w:rPr>
        <w:t>4. 最后报价</w:t>
      </w:r>
    </w:p>
    <w:p w14:paraId="5C6459D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4.1磋商文件能够详细列明采购标的的技术、服务要求的，磋商结束后，由磋商小组要求所有继续参加磋商的供应商在规定时间内以电子文件形式提交最后报价，除本章第2.7、3.7、4.3条外，提交最后报价的供应商不得少于3家，否则必须重新采购。</w:t>
      </w:r>
    </w:p>
    <w:p w14:paraId="492F599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4.2磋商文件不能详细列明采购标的的技术、服务要求，需经磋商由供应商提供最后设计方案或者解决方案的，磋商结束后，由磋商小组按照少数服从多数的原则投票推荐3家以上供应商的设计方案或者解决方案，并要求其在规定时间内以电子文件形式提交最后报价。</w:t>
      </w:r>
    </w:p>
    <w:p w14:paraId="7A0A524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4.3 最后报价是供应商响应文件的有效组成部分。符合《政府采购竞争性磋商采购方式管理暂行办法》（财库〔2014〕214号）第三条第四项“市场竞争不充分的科研项目，以及需要扶持的科技成果转化项目”和</w:t>
      </w:r>
      <w:r>
        <w:rPr>
          <w:rFonts w:hint="eastAsia" w:ascii="宋体" w:hAnsi="宋体" w:cs="宋体"/>
          <w:color w:val="auto"/>
          <w:highlight w:val="none"/>
        </w:rPr>
        <w:t>本章第3.8条情形的，</w:t>
      </w:r>
      <w:r>
        <w:rPr>
          <w:rFonts w:hint="eastAsia" w:ascii="宋体" w:hAnsi="宋体" w:cs="宋体"/>
          <w:color w:val="auto"/>
          <w:szCs w:val="21"/>
          <w:highlight w:val="none"/>
        </w:rPr>
        <w:t>提交最后报价的供应商可以为2家。</w:t>
      </w:r>
    </w:p>
    <w:p w14:paraId="7AAAC03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4.4已经提交响应文件的供应商，在提交最后报价之前，可以根据磋商情况退出磋商，退出磋商的供应商的响应文件按无效响应处理。采购人、采购代理机构将退还退出磋商的供应商的保证金。</w:t>
      </w:r>
    </w:p>
    <w:p w14:paraId="276E94C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4.5供应商未在规定时间内提交最后报价的，视同退出磋商。</w:t>
      </w:r>
    </w:p>
    <w:p w14:paraId="1613397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4.6磋商小组收齐某一分标最后报价后或达到规定时间后统一开启，磋商小组对最后报价进行有效性、完整性和响应程度的审查。</w:t>
      </w:r>
    </w:p>
    <w:p w14:paraId="44C0088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4.7响应文件最后报价出现前后不一致的，按照本章第2.4条的规定修正。 </w:t>
      </w:r>
    </w:p>
    <w:p w14:paraId="5AD1329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4.8经供应商确认修正后的最后报价作为评审及签订合同的依据。</w:t>
      </w:r>
    </w:p>
    <w:p w14:paraId="107427E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4.9供应商出现最后报价按无效响应处理或者响应文件按无效响应处理时</w:t>
      </w:r>
      <w:r>
        <w:rPr>
          <w:rFonts w:hint="eastAsia" w:ascii="宋体" w:hAnsi="宋体" w:cs="宋体"/>
          <w:color w:val="auto"/>
          <w:sz w:val="22"/>
          <w:szCs w:val="22"/>
          <w:highlight w:val="none"/>
        </w:rPr>
        <w:t>，磋商小组应当告知有关供应商</w:t>
      </w:r>
      <w:r>
        <w:rPr>
          <w:rFonts w:hint="eastAsia" w:ascii="宋体" w:hAnsi="宋体" w:cs="宋体"/>
          <w:color w:val="auto"/>
          <w:szCs w:val="21"/>
          <w:highlight w:val="none"/>
        </w:rPr>
        <w:t>。</w:t>
      </w:r>
    </w:p>
    <w:p w14:paraId="74898FE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4.10最后报价结束后，磋商小组不得再与供应商进行任何形式的商谈。</w:t>
      </w:r>
    </w:p>
    <w:p w14:paraId="6308C013">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5.比较与评价</w:t>
      </w:r>
    </w:p>
    <w:p w14:paraId="6643770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5.1评审方法：综合评分法。</w:t>
      </w:r>
    </w:p>
    <w:p w14:paraId="511DD7E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5.2经磋商确定最终采购需求和提交最后报价的供应商后，由磋商小组采用综合评分法对提交最后报价的供应商的响应文件和最后报价进行综合评分。</w:t>
      </w:r>
    </w:p>
    <w:p w14:paraId="0601925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5.3评审时，磋商小组各成员应当独立对每个有效响应的文件进行评价、打分，然后汇总每个供应商每项评分因素的得分。</w:t>
      </w:r>
    </w:p>
    <w:p w14:paraId="5633E9E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（1）磋商小组按照磋商文件中规定的评审标准计算各供应商的报价得分。项目评审过程中，不得去掉最后报价中的最高报价和最低报价。</w:t>
      </w:r>
    </w:p>
    <w:p w14:paraId="0AE63C4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（2）各供应商的得分为磋商小组所有成员的有效评分的算术平均数。</w:t>
      </w:r>
    </w:p>
    <w:p w14:paraId="699EEEE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5.4评标价为供应商的最后报价进行政策性扣除后的价格，评标价只是作为评审时使用。最终成交供应商的成交金额等于最后报价（如有修正，以确认修正后的最后报价为准）。</w:t>
      </w:r>
    </w:p>
    <w:p w14:paraId="11AA2970">
      <w:pPr>
        <w:spacing w:line="360" w:lineRule="auto"/>
        <w:ind w:firstLine="420" w:firstLineChars="200"/>
        <w:rPr>
          <w:rFonts w:ascii="宋体" w:hAnsi="宋体" w:cs="宋体"/>
          <w:color w:val="auto"/>
          <w:kern w:val="0"/>
          <w:szCs w:val="21"/>
          <w:highlight w:val="none"/>
        </w:rPr>
      </w:pPr>
      <w:r>
        <w:rPr>
          <w:rFonts w:hint="eastAsia" w:ascii="宋体" w:hAnsi="宋体" w:cs="宋体"/>
          <w:color w:val="auto"/>
          <w:szCs w:val="21"/>
          <w:highlight w:val="none"/>
        </w:rPr>
        <w:t>5.5由磋商小组根据综合评分情况，按照评审得分由高到低顺序推荐3名以上成交候选供应商，并编写评</w:t>
      </w:r>
      <w:r>
        <w:rPr>
          <w:rFonts w:hint="eastAsia" w:ascii="宋体" w:hAnsi="宋体" w:cs="宋体"/>
          <w:color w:val="auto"/>
          <w:kern w:val="0"/>
          <w:szCs w:val="21"/>
          <w:highlight w:val="none"/>
        </w:rPr>
        <w:t>审报告。符合本章第</w:t>
      </w:r>
      <w:r>
        <w:rPr>
          <w:rFonts w:hint="eastAsia" w:ascii="宋体" w:hAnsi="宋体" w:cs="宋体"/>
          <w:color w:val="auto"/>
          <w:szCs w:val="21"/>
          <w:highlight w:val="none"/>
        </w:rPr>
        <w:t>2.7、3.7、4.3</w:t>
      </w:r>
      <w:r>
        <w:rPr>
          <w:rFonts w:hint="eastAsia" w:ascii="宋体" w:hAnsi="宋体" w:cs="宋体"/>
          <w:color w:val="auto"/>
          <w:kern w:val="0"/>
          <w:szCs w:val="21"/>
          <w:highlight w:val="none"/>
        </w:rPr>
        <w:t>条情形的，可以推荐2家成交候选供应商。评审得分相同的，按照最后报价由低到高的顺序推荐。评审得分且最后报价相同的，按照技术指标优劣顺序推荐。</w:t>
      </w:r>
    </w:p>
    <w:p w14:paraId="67C618AA">
      <w:pPr>
        <w:spacing w:line="360" w:lineRule="auto"/>
        <w:ind w:firstLine="420" w:firstLineChars="200"/>
        <w:rPr>
          <w:rFonts w:ascii="宋体" w:hAnsi="宋体" w:cs="宋体"/>
          <w:color w:val="auto"/>
          <w:szCs w:val="21"/>
          <w:highlight w:val="none"/>
        </w:rPr>
      </w:pPr>
      <w:r>
        <w:rPr>
          <w:rFonts w:hint="eastAsia" w:ascii="宋体" w:hAnsi="宋体" w:cs="宋体"/>
          <w:color w:val="auto"/>
          <w:kern w:val="0"/>
          <w:szCs w:val="21"/>
          <w:highlight w:val="none"/>
        </w:rPr>
        <w:t>5.6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4B8E200A">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br w:type="page"/>
      </w:r>
      <w:r>
        <w:rPr>
          <w:rFonts w:hint="eastAsia" w:ascii="宋体" w:hAnsi="宋体" w:cs="宋体"/>
          <w:b/>
          <w:color w:val="auto"/>
          <w:sz w:val="32"/>
          <w:szCs w:val="32"/>
          <w:highlight w:val="none"/>
        </w:rPr>
        <w:t>二、评审标准</w:t>
      </w:r>
    </w:p>
    <w:p w14:paraId="56113601">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6.评审依据：磋商小组将以磋商响应文件为评审依据，对供应商的报价、技术、商务等方面内容按百分制打分（计分方法按四舍五入取至百分位）。</w:t>
      </w:r>
    </w:p>
    <w:p w14:paraId="6D6434EF">
      <w:pPr>
        <w:spacing w:line="360" w:lineRule="auto"/>
        <w:ind w:firstLine="422" w:firstLineChars="200"/>
        <w:rPr>
          <w:rFonts w:ascii="宋体" w:hAnsi="宋体" w:cs="宋体"/>
          <w:bCs/>
          <w:color w:val="auto"/>
          <w:szCs w:val="21"/>
          <w:highlight w:val="none"/>
        </w:rPr>
      </w:pPr>
      <w:r>
        <w:rPr>
          <w:rFonts w:hint="eastAsia" w:ascii="宋体" w:hAnsi="宋体" w:cs="宋体"/>
          <w:b/>
          <w:color w:val="auto"/>
          <w:szCs w:val="21"/>
          <w:highlight w:val="none"/>
        </w:rPr>
        <w:t>供应商</w:t>
      </w:r>
      <w:r>
        <w:rPr>
          <w:rFonts w:hint="eastAsia" w:hAnsi="宋体" w:cs="宋体"/>
          <w:b/>
          <w:bCs/>
          <w:color w:val="auto"/>
          <w:highlight w:val="none"/>
        </w:rPr>
        <w:t>可以就本项目一个或多个分标竞标，一家供应商最多只能中一个分标，本项目评标顺序为分标1、2、3、4；如某供应商推荐为分标1第一成交候选供应商，则该供应商不进入后续分标成交候选供应商排名，依据评标顺序，后续分标成交候选供应商推荐以此类推。</w:t>
      </w:r>
    </w:p>
    <w:p w14:paraId="2958356C">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分标1、2、3、4</w:t>
      </w:r>
    </w:p>
    <w:tbl>
      <w:tblPr>
        <w:tblStyle w:val="33"/>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1280"/>
        <w:gridCol w:w="709"/>
        <w:gridCol w:w="1244"/>
        <w:gridCol w:w="5665"/>
      </w:tblGrid>
      <w:tr w14:paraId="1A153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730" w:type="dxa"/>
            <w:vAlign w:val="center"/>
          </w:tcPr>
          <w:p w14:paraId="3FD1416B">
            <w:pPr>
              <w:adjustRightInd w:val="0"/>
              <w:spacing w:line="410" w:lineRule="exact"/>
              <w:jc w:val="center"/>
              <w:textAlignment w:val="baseline"/>
              <w:rPr>
                <w:rFonts w:ascii="宋体" w:hAnsi="宋体" w:cs="宋体"/>
                <w:b/>
                <w:color w:val="auto"/>
                <w:szCs w:val="21"/>
                <w:highlight w:val="none"/>
              </w:rPr>
            </w:pPr>
            <w:r>
              <w:rPr>
                <w:rFonts w:hint="eastAsia" w:ascii="宋体" w:hAnsi="宋体" w:cs="宋体"/>
                <w:b/>
                <w:color w:val="auto"/>
                <w:szCs w:val="21"/>
                <w:highlight w:val="none"/>
              </w:rPr>
              <w:t>序号</w:t>
            </w:r>
          </w:p>
        </w:tc>
        <w:tc>
          <w:tcPr>
            <w:tcW w:w="1280" w:type="dxa"/>
            <w:vAlign w:val="center"/>
          </w:tcPr>
          <w:p w14:paraId="0733222A">
            <w:pPr>
              <w:adjustRightInd w:val="0"/>
              <w:spacing w:line="410" w:lineRule="exact"/>
              <w:jc w:val="center"/>
              <w:textAlignment w:val="baseline"/>
              <w:rPr>
                <w:rFonts w:ascii="宋体" w:hAnsi="宋体" w:cs="宋体"/>
                <w:color w:val="auto"/>
                <w:szCs w:val="21"/>
                <w:highlight w:val="none"/>
              </w:rPr>
            </w:pPr>
            <w:r>
              <w:rPr>
                <w:rFonts w:hint="eastAsia" w:ascii="宋体" w:hAnsi="宋体" w:cs="宋体"/>
                <w:b/>
                <w:color w:val="auto"/>
                <w:szCs w:val="21"/>
                <w:highlight w:val="none"/>
              </w:rPr>
              <w:t>评审因素</w:t>
            </w:r>
          </w:p>
        </w:tc>
        <w:tc>
          <w:tcPr>
            <w:tcW w:w="709" w:type="dxa"/>
            <w:vAlign w:val="center"/>
          </w:tcPr>
          <w:p w14:paraId="18DFF2E9">
            <w:pPr>
              <w:adjustRightInd w:val="0"/>
              <w:spacing w:line="410" w:lineRule="exact"/>
              <w:jc w:val="center"/>
              <w:textAlignment w:val="baseline"/>
              <w:rPr>
                <w:rFonts w:ascii="宋体" w:hAnsi="宋体" w:cs="宋体"/>
                <w:b/>
                <w:color w:val="auto"/>
                <w:szCs w:val="21"/>
                <w:highlight w:val="none"/>
              </w:rPr>
            </w:pPr>
            <w:r>
              <w:rPr>
                <w:rFonts w:hint="eastAsia" w:ascii="宋体" w:hAnsi="宋体" w:cs="宋体"/>
                <w:b/>
                <w:color w:val="auto"/>
                <w:szCs w:val="21"/>
                <w:highlight w:val="none"/>
              </w:rPr>
              <w:t>分值</w:t>
            </w:r>
          </w:p>
        </w:tc>
        <w:tc>
          <w:tcPr>
            <w:tcW w:w="6909" w:type="dxa"/>
            <w:gridSpan w:val="2"/>
            <w:vAlign w:val="center"/>
          </w:tcPr>
          <w:p w14:paraId="5237C260">
            <w:pPr>
              <w:adjustRightInd w:val="0"/>
              <w:spacing w:line="410" w:lineRule="exact"/>
              <w:jc w:val="center"/>
              <w:textAlignment w:val="baseline"/>
              <w:rPr>
                <w:rFonts w:ascii="宋体" w:hAnsi="宋体" w:cs="宋体"/>
                <w:b/>
                <w:color w:val="auto"/>
                <w:szCs w:val="21"/>
                <w:highlight w:val="none"/>
              </w:rPr>
            </w:pPr>
            <w:r>
              <w:rPr>
                <w:rFonts w:hint="eastAsia" w:ascii="宋体" w:hAnsi="宋体" w:cs="宋体"/>
                <w:b/>
                <w:color w:val="auto"/>
                <w:szCs w:val="21"/>
                <w:highlight w:val="none"/>
              </w:rPr>
              <w:t>评标标准</w:t>
            </w:r>
          </w:p>
        </w:tc>
      </w:tr>
      <w:tr w14:paraId="7E322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30" w:type="dxa"/>
            <w:vAlign w:val="center"/>
          </w:tcPr>
          <w:p w14:paraId="35B01244">
            <w:pPr>
              <w:adjustRightInd w:val="0"/>
              <w:spacing w:line="360" w:lineRule="auto"/>
              <w:jc w:val="center"/>
              <w:textAlignment w:val="baseline"/>
              <w:rPr>
                <w:rFonts w:ascii="宋体" w:hAnsi="宋体" w:cs="宋体"/>
                <w:b/>
                <w:color w:val="auto"/>
                <w:szCs w:val="21"/>
                <w:highlight w:val="none"/>
              </w:rPr>
            </w:pPr>
            <w:r>
              <w:rPr>
                <w:rFonts w:hint="eastAsia" w:ascii="宋体" w:hAnsi="宋体" w:cs="宋体"/>
                <w:b/>
                <w:color w:val="auto"/>
                <w:szCs w:val="21"/>
                <w:highlight w:val="none"/>
              </w:rPr>
              <w:t>1</w:t>
            </w:r>
          </w:p>
        </w:tc>
        <w:tc>
          <w:tcPr>
            <w:tcW w:w="1280" w:type="dxa"/>
            <w:vAlign w:val="center"/>
          </w:tcPr>
          <w:p w14:paraId="2014B09D">
            <w:pPr>
              <w:adjustRightInd w:val="0"/>
              <w:spacing w:line="360" w:lineRule="auto"/>
              <w:jc w:val="center"/>
              <w:textAlignment w:val="baseline"/>
              <w:rPr>
                <w:rFonts w:ascii="宋体" w:hAnsi="宋体" w:cs="宋体"/>
                <w:b/>
                <w:color w:val="auto"/>
                <w:szCs w:val="21"/>
                <w:highlight w:val="none"/>
              </w:rPr>
            </w:pPr>
            <w:r>
              <w:rPr>
                <w:rFonts w:hint="eastAsia" w:ascii="宋体" w:hAnsi="宋体" w:cs="宋体"/>
                <w:b/>
                <w:color w:val="auto"/>
                <w:szCs w:val="21"/>
                <w:highlight w:val="none"/>
              </w:rPr>
              <w:t>报价</w:t>
            </w:r>
          </w:p>
        </w:tc>
        <w:tc>
          <w:tcPr>
            <w:tcW w:w="709" w:type="dxa"/>
            <w:vAlign w:val="center"/>
          </w:tcPr>
          <w:p w14:paraId="7ABA7EEA">
            <w:pPr>
              <w:adjustRightInd w:val="0"/>
              <w:spacing w:line="360" w:lineRule="auto"/>
              <w:jc w:val="center"/>
              <w:textAlignment w:val="baseline"/>
              <w:rPr>
                <w:rFonts w:ascii="宋体" w:hAnsi="宋体" w:cs="宋体"/>
                <w:b/>
                <w:color w:val="auto"/>
                <w:szCs w:val="21"/>
                <w:highlight w:val="none"/>
              </w:rPr>
            </w:pPr>
            <w:r>
              <w:rPr>
                <w:rFonts w:hint="eastAsia" w:ascii="宋体" w:hAnsi="宋体" w:cs="宋体"/>
                <w:b/>
                <w:color w:val="auto"/>
                <w:szCs w:val="21"/>
                <w:highlight w:val="none"/>
              </w:rPr>
              <w:t>10分</w:t>
            </w:r>
          </w:p>
        </w:tc>
        <w:tc>
          <w:tcPr>
            <w:tcW w:w="6909" w:type="dxa"/>
            <w:gridSpan w:val="2"/>
            <w:vAlign w:val="center"/>
          </w:tcPr>
          <w:p w14:paraId="62987CDB">
            <w:pPr>
              <w:pStyle w:val="19"/>
              <w:spacing w:line="360" w:lineRule="auto"/>
              <w:rPr>
                <w:rFonts w:hAnsi="宋体" w:cs="Courier New"/>
                <w:b/>
                <w:bCs/>
                <w:color w:val="auto"/>
                <w:kern w:val="2"/>
                <w:sz w:val="21"/>
                <w:highlight w:val="none"/>
              </w:rPr>
            </w:pPr>
            <w:r>
              <w:rPr>
                <w:rFonts w:hint="eastAsia" w:hAnsi="宋体" w:cs="Courier New"/>
                <w:b/>
                <w:bCs/>
                <w:color w:val="auto"/>
                <w:kern w:val="2"/>
                <w:sz w:val="21"/>
                <w:highlight w:val="none"/>
              </w:rPr>
              <w:t>一、政府采购政策扣除</w:t>
            </w:r>
          </w:p>
          <w:p w14:paraId="51720518">
            <w:pPr>
              <w:pStyle w:val="19"/>
              <w:spacing w:line="360" w:lineRule="auto"/>
              <w:ind w:firstLine="420" w:firstLineChars="200"/>
              <w:rPr>
                <w:rFonts w:hAnsi="宋体" w:cs="Courier New"/>
                <w:b/>
                <w:bCs/>
                <w:color w:val="auto"/>
                <w:kern w:val="2"/>
                <w:sz w:val="21"/>
                <w:highlight w:val="none"/>
              </w:rPr>
            </w:pPr>
            <w:r>
              <w:rPr>
                <w:rFonts w:hint="eastAsia" w:hAnsi="宋体"/>
                <w:bCs/>
                <w:color w:val="auto"/>
                <w:sz w:val="21"/>
                <w:highlight w:val="none"/>
              </w:rPr>
              <w:t>本项目属于专门面向中小企业采购的项目，不再享受价格扣除优惠政策。</w:t>
            </w:r>
          </w:p>
          <w:p w14:paraId="4564F2CF">
            <w:pPr>
              <w:pStyle w:val="19"/>
              <w:spacing w:line="360" w:lineRule="auto"/>
              <w:rPr>
                <w:rFonts w:hAnsi="宋体"/>
                <w:b/>
                <w:color w:val="auto"/>
                <w:sz w:val="21"/>
                <w:highlight w:val="none"/>
              </w:rPr>
            </w:pPr>
            <w:r>
              <w:rPr>
                <w:rFonts w:hint="eastAsia" w:hAnsi="宋体" w:cs="Courier New"/>
                <w:b/>
                <w:bCs/>
                <w:color w:val="auto"/>
                <w:kern w:val="2"/>
                <w:sz w:val="21"/>
                <w:highlight w:val="none"/>
              </w:rPr>
              <w:t>二、</w:t>
            </w:r>
            <w:r>
              <w:rPr>
                <w:rFonts w:hint="eastAsia" w:hAnsi="宋体"/>
                <w:b/>
                <w:color w:val="auto"/>
                <w:sz w:val="21"/>
                <w:highlight w:val="none"/>
              </w:rPr>
              <w:t>报价分（满分10分）</w:t>
            </w:r>
          </w:p>
          <w:p w14:paraId="10BED658">
            <w:pPr>
              <w:pStyle w:val="19"/>
              <w:spacing w:line="360" w:lineRule="auto"/>
              <w:ind w:firstLine="420" w:firstLineChars="200"/>
              <w:rPr>
                <w:rFonts w:hAnsi="宋体"/>
                <w:bCs/>
                <w:color w:val="auto"/>
                <w:sz w:val="21"/>
                <w:highlight w:val="none"/>
              </w:rPr>
            </w:pPr>
            <w:r>
              <w:rPr>
                <w:rFonts w:hint="eastAsia" w:hAnsi="宋体"/>
                <w:bCs/>
                <w:color w:val="auto"/>
                <w:sz w:val="21"/>
                <w:highlight w:val="none"/>
              </w:rPr>
              <w:t>1、报价分采用低价优先法计算，满足竞争性磋商文件要求的有效供应商最低的最后报价为评标基准价，其报价分为满分。</w:t>
            </w:r>
          </w:p>
          <w:p w14:paraId="3ACD3713">
            <w:pPr>
              <w:pStyle w:val="19"/>
              <w:spacing w:line="360" w:lineRule="auto"/>
              <w:ind w:firstLine="420" w:firstLineChars="200"/>
              <w:rPr>
                <w:rFonts w:hAnsi="宋体"/>
                <w:bCs/>
                <w:color w:val="auto"/>
                <w:sz w:val="21"/>
                <w:highlight w:val="none"/>
              </w:rPr>
            </w:pPr>
            <w:r>
              <w:rPr>
                <w:rFonts w:hint="eastAsia" w:hAnsi="宋体"/>
                <w:bCs/>
                <w:color w:val="auto"/>
                <w:sz w:val="21"/>
                <w:highlight w:val="none"/>
              </w:rPr>
              <w:t>2、其他供应商的价格分统一按照下列公式计算：</w:t>
            </w:r>
          </w:p>
          <w:p w14:paraId="1D85712A">
            <w:pPr>
              <w:pStyle w:val="19"/>
              <w:spacing w:line="420" w:lineRule="exact"/>
              <w:rPr>
                <w:rFonts w:hAnsi="宋体" w:cs="宋体"/>
                <w:bCs/>
                <w:color w:val="auto"/>
                <w:kern w:val="2"/>
                <w:sz w:val="21"/>
                <w:highlight w:val="none"/>
              </w:rPr>
            </w:pPr>
            <w:r>
              <w:rPr>
                <w:rFonts w:hint="eastAsia" w:hAnsi="宋体"/>
                <w:bCs/>
                <w:color w:val="auto"/>
                <w:sz w:val="21"/>
                <w:highlight w:val="none"/>
              </w:rPr>
              <w:t>某有效供应商的报价分=（评标基准价／某有效供应商最后报价）×10分</w:t>
            </w:r>
          </w:p>
        </w:tc>
      </w:tr>
      <w:tr w14:paraId="5A2DD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jc w:val="center"/>
        </w:trPr>
        <w:tc>
          <w:tcPr>
            <w:tcW w:w="730" w:type="dxa"/>
            <w:vMerge w:val="restart"/>
            <w:vAlign w:val="center"/>
          </w:tcPr>
          <w:p w14:paraId="10F2DFDD">
            <w:pPr>
              <w:adjustRightInd w:val="0"/>
              <w:spacing w:line="360" w:lineRule="auto"/>
              <w:jc w:val="center"/>
              <w:textAlignment w:val="baseline"/>
              <w:rPr>
                <w:rFonts w:ascii="宋体" w:hAnsi="宋体" w:cs="宋体"/>
                <w:b/>
                <w:color w:val="auto"/>
                <w:szCs w:val="21"/>
                <w:highlight w:val="none"/>
              </w:rPr>
            </w:pPr>
            <w:r>
              <w:rPr>
                <w:rFonts w:hint="eastAsia" w:ascii="宋体" w:hAnsi="宋体" w:cs="宋体"/>
                <w:b/>
                <w:color w:val="auto"/>
                <w:szCs w:val="21"/>
                <w:highlight w:val="none"/>
              </w:rPr>
              <w:t>2</w:t>
            </w:r>
          </w:p>
        </w:tc>
        <w:tc>
          <w:tcPr>
            <w:tcW w:w="1280" w:type="dxa"/>
            <w:vMerge w:val="restart"/>
            <w:vAlign w:val="center"/>
          </w:tcPr>
          <w:p w14:paraId="193BD149">
            <w:pPr>
              <w:adjustRightInd w:val="0"/>
              <w:spacing w:line="360" w:lineRule="auto"/>
              <w:jc w:val="center"/>
              <w:textAlignment w:val="baseline"/>
              <w:rPr>
                <w:rFonts w:ascii="宋体" w:hAnsi="宋体" w:cs="宋体"/>
                <w:b/>
                <w:color w:val="auto"/>
                <w:szCs w:val="21"/>
                <w:highlight w:val="none"/>
              </w:rPr>
            </w:pPr>
            <w:r>
              <w:rPr>
                <w:rFonts w:hint="eastAsia" w:ascii="宋体" w:hAnsi="宋体" w:cs="宋体"/>
                <w:b/>
                <w:color w:val="auto"/>
                <w:szCs w:val="21"/>
                <w:highlight w:val="none"/>
              </w:rPr>
              <w:t>技术分</w:t>
            </w:r>
          </w:p>
        </w:tc>
        <w:tc>
          <w:tcPr>
            <w:tcW w:w="709" w:type="dxa"/>
            <w:vMerge w:val="restart"/>
            <w:vAlign w:val="center"/>
          </w:tcPr>
          <w:p w14:paraId="4EEC9D91">
            <w:pPr>
              <w:adjustRightInd w:val="0"/>
              <w:spacing w:line="360" w:lineRule="auto"/>
              <w:jc w:val="center"/>
              <w:textAlignment w:val="baseline"/>
              <w:rPr>
                <w:rFonts w:ascii="宋体" w:hAnsi="宋体" w:cs="宋体"/>
                <w:b/>
                <w:color w:val="auto"/>
                <w:szCs w:val="21"/>
                <w:highlight w:val="none"/>
              </w:rPr>
            </w:pPr>
            <w:r>
              <w:rPr>
                <w:rFonts w:hint="eastAsia" w:ascii="宋体" w:hAnsi="宋体" w:cs="宋体"/>
                <w:b/>
                <w:color w:val="auto"/>
                <w:szCs w:val="21"/>
                <w:highlight w:val="none"/>
              </w:rPr>
              <w:t>55分</w:t>
            </w:r>
          </w:p>
        </w:tc>
        <w:tc>
          <w:tcPr>
            <w:tcW w:w="1244" w:type="dxa"/>
          </w:tcPr>
          <w:p w14:paraId="4292BB2E">
            <w:pPr>
              <w:spacing w:line="360" w:lineRule="exact"/>
              <w:jc w:val="left"/>
              <w:rPr>
                <w:rFonts w:ascii="宋体" w:hAnsi="宋体" w:cs="宋体"/>
                <w:color w:val="auto"/>
                <w:highlight w:val="none"/>
              </w:rPr>
            </w:pPr>
          </w:p>
          <w:p w14:paraId="52EA487E">
            <w:pPr>
              <w:spacing w:line="360" w:lineRule="exact"/>
              <w:rPr>
                <w:rFonts w:ascii="宋体" w:hAnsi="宋体" w:cs="宋体"/>
                <w:color w:val="auto"/>
                <w:highlight w:val="none"/>
              </w:rPr>
            </w:pPr>
          </w:p>
          <w:p w14:paraId="67D26136">
            <w:pPr>
              <w:spacing w:line="360" w:lineRule="exact"/>
              <w:rPr>
                <w:rFonts w:ascii="宋体" w:hAnsi="宋体" w:cs="宋体"/>
                <w:bCs/>
                <w:color w:val="auto"/>
                <w:szCs w:val="21"/>
                <w:highlight w:val="none"/>
              </w:rPr>
            </w:pPr>
            <w:r>
              <w:rPr>
                <w:rFonts w:hint="eastAsia" w:ascii="宋体" w:hAnsi="宋体" w:cs="宋体"/>
                <w:b/>
                <w:bCs/>
                <w:color w:val="auto"/>
                <w:highlight w:val="none"/>
              </w:rPr>
              <w:t>项目认识与实施方案分（满分10 分）</w:t>
            </w:r>
          </w:p>
        </w:tc>
        <w:tc>
          <w:tcPr>
            <w:tcW w:w="5665" w:type="dxa"/>
            <w:vAlign w:val="center"/>
          </w:tcPr>
          <w:p w14:paraId="024D0441">
            <w:pPr>
              <w:spacing w:line="36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磋商小组按照分档标准确定档次和相应分值，不满足三档要求的不得分。</w:t>
            </w:r>
          </w:p>
          <w:p w14:paraId="34DED997">
            <w:pPr>
              <w:pStyle w:val="85"/>
              <w:ind w:firstLine="420"/>
              <w:rPr>
                <w:rFonts w:cs="宋体"/>
                <w:color w:val="auto"/>
                <w:sz w:val="21"/>
                <w:highlight w:val="none"/>
                <w:lang w:eastAsia="zh-CN"/>
              </w:rPr>
            </w:pPr>
            <w:r>
              <w:rPr>
                <w:rFonts w:hint="eastAsia" w:cs="宋体"/>
                <w:color w:val="auto"/>
                <w:sz w:val="21"/>
                <w:highlight w:val="none"/>
                <w:lang w:eastAsia="zh-CN"/>
              </w:rPr>
              <w:t>一档（10分）：</w:t>
            </w:r>
            <w:r>
              <w:rPr>
                <w:rFonts w:hint="eastAsia" w:cs="宋体"/>
                <w:color w:val="auto"/>
                <w:sz w:val="21"/>
                <w:highlight w:val="none"/>
              </w:rPr>
              <w:t xml:space="preserve"> 总体工序设计思路清晰，全面准确提出总体和各阶段的工作要点，</w:t>
            </w:r>
            <w:r>
              <w:rPr>
                <w:rFonts w:hint="eastAsia" w:cs="宋体"/>
                <w:color w:val="auto"/>
                <w:sz w:val="21"/>
                <w:highlight w:val="none"/>
                <w:lang w:eastAsia="zh-CN"/>
              </w:rPr>
              <w:t>工作内容完整，技术路线正确，作业流程科学合理，航摄方法符合需求；</w:t>
            </w:r>
          </w:p>
          <w:p w14:paraId="10EF48D2">
            <w:pPr>
              <w:pStyle w:val="85"/>
              <w:ind w:firstLine="420"/>
              <w:rPr>
                <w:rFonts w:cs="宋体"/>
                <w:color w:val="auto"/>
                <w:sz w:val="21"/>
                <w:highlight w:val="none"/>
                <w:lang w:eastAsia="zh-CN"/>
              </w:rPr>
            </w:pPr>
            <w:r>
              <w:rPr>
                <w:rFonts w:hint="eastAsia" w:cs="宋体"/>
                <w:color w:val="auto"/>
                <w:sz w:val="21"/>
                <w:highlight w:val="none"/>
                <w:lang w:eastAsia="zh-CN"/>
              </w:rPr>
              <w:t>二档（8分）：</w:t>
            </w:r>
            <w:r>
              <w:rPr>
                <w:rFonts w:hint="eastAsia" w:cs="宋体"/>
                <w:color w:val="auto"/>
                <w:sz w:val="21"/>
                <w:highlight w:val="none"/>
              </w:rPr>
              <w:t>总体工序设计思路较清晰，准确提出总体和各阶段的工作要点</w:t>
            </w:r>
            <w:r>
              <w:rPr>
                <w:rFonts w:hint="eastAsia" w:cs="宋体"/>
                <w:color w:val="auto"/>
                <w:sz w:val="21"/>
                <w:highlight w:val="none"/>
                <w:lang w:eastAsia="zh-CN"/>
              </w:rPr>
              <w:t>工作，内容较完整，技术路线，作业流程较合理，航摄方法较符合需求；</w:t>
            </w:r>
          </w:p>
          <w:p w14:paraId="361A1281">
            <w:pPr>
              <w:pStyle w:val="85"/>
              <w:ind w:firstLine="420"/>
              <w:rPr>
                <w:rFonts w:cs="宋体"/>
                <w:bCs/>
                <w:color w:val="auto"/>
                <w:highlight w:val="none"/>
              </w:rPr>
            </w:pPr>
            <w:r>
              <w:rPr>
                <w:rFonts w:hint="eastAsia" w:cs="宋体"/>
                <w:color w:val="auto"/>
                <w:sz w:val="21"/>
                <w:highlight w:val="none"/>
                <w:lang w:eastAsia="zh-CN"/>
              </w:rPr>
              <w:t>三档（6分）：</w:t>
            </w:r>
            <w:r>
              <w:rPr>
                <w:rFonts w:hint="eastAsia" w:cs="宋体"/>
                <w:color w:val="auto"/>
                <w:sz w:val="21"/>
                <w:highlight w:val="none"/>
              </w:rPr>
              <w:t>总体工序设计思路</w:t>
            </w:r>
            <w:r>
              <w:rPr>
                <w:rFonts w:hint="eastAsia" w:cs="宋体"/>
                <w:color w:val="auto"/>
                <w:sz w:val="21"/>
                <w:highlight w:val="none"/>
                <w:lang w:eastAsia="zh-CN"/>
              </w:rPr>
              <w:t>基本</w:t>
            </w:r>
            <w:r>
              <w:rPr>
                <w:rFonts w:hint="eastAsia" w:cs="宋体"/>
                <w:color w:val="auto"/>
                <w:sz w:val="21"/>
                <w:highlight w:val="none"/>
              </w:rPr>
              <w:t>清晰，提出总体和各阶段的工作要点</w:t>
            </w:r>
            <w:r>
              <w:rPr>
                <w:rFonts w:hint="eastAsia" w:cs="宋体"/>
                <w:color w:val="auto"/>
                <w:sz w:val="21"/>
                <w:highlight w:val="none"/>
                <w:lang w:eastAsia="zh-CN"/>
              </w:rPr>
              <w:t>简单。</w:t>
            </w:r>
          </w:p>
        </w:tc>
      </w:tr>
      <w:tr w14:paraId="66353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730" w:type="dxa"/>
            <w:vMerge w:val="continue"/>
            <w:vAlign w:val="center"/>
          </w:tcPr>
          <w:p w14:paraId="7C960471">
            <w:pPr>
              <w:adjustRightInd w:val="0"/>
              <w:spacing w:line="360" w:lineRule="auto"/>
              <w:jc w:val="center"/>
              <w:textAlignment w:val="baseline"/>
              <w:rPr>
                <w:rFonts w:ascii="宋体" w:hAnsi="宋体" w:cs="宋体"/>
                <w:b/>
                <w:color w:val="auto"/>
                <w:szCs w:val="21"/>
                <w:highlight w:val="none"/>
              </w:rPr>
            </w:pPr>
          </w:p>
        </w:tc>
        <w:tc>
          <w:tcPr>
            <w:tcW w:w="1280" w:type="dxa"/>
            <w:vMerge w:val="continue"/>
            <w:vAlign w:val="center"/>
          </w:tcPr>
          <w:p w14:paraId="0A2ECA73">
            <w:pPr>
              <w:adjustRightInd w:val="0"/>
              <w:spacing w:line="360" w:lineRule="auto"/>
              <w:jc w:val="center"/>
              <w:textAlignment w:val="baseline"/>
              <w:rPr>
                <w:rFonts w:ascii="宋体" w:hAnsi="宋体" w:cs="宋体"/>
                <w:b/>
                <w:color w:val="auto"/>
                <w:szCs w:val="21"/>
                <w:highlight w:val="none"/>
              </w:rPr>
            </w:pPr>
          </w:p>
        </w:tc>
        <w:tc>
          <w:tcPr>
            <w:tcW w:w="709" w:type="dxa"/>
            <w:vMerge w:val="continue"/>
            <w:vAlign w:val="center"/>
          </w:tcPr>
          <w:p w14:paraId="1AD9DC00">
            <w:pPr>
              <w:adjustRightInd w:val="0"/>
              <w:spacing w:line="360" w:lineRule="auto"/>
              <w:jc w:val="center"/>
              <w:textAlignment w:val="baseline"/>
              <w:rPr>
                <w:rFonts w:ascii="宋体" w:hAnsi="宋体" w:cs="宋体"/>
                <w:b/>
                <w:color w:val="auto"/>
                <w:szCs w:val="21"/>
                <w:highlight w:val="none"/>
              </w:rPr>
            </w:pPr>
          </w:p>
        </w:tc>
        <w:tc>
          <w:tcPr>
            <w:tcW w:w="1244" w:type="dxa"/>
            <w:vAlign w:val="center"/>
          </w:tcPr>
          <w:p w14:paraId="1261C216">
            <w:pPr>
              <w:spacing w:line="360" w:lineRule="exact"/>
              <w:jc w:val="center"/>
              <w:rPr>
                <w:rFonts w:ascii="宋体" w:hAnsi="宋体" w:cs="宋体"/>
                <w:b/>
                <w:bCs/>
                <w:color w:val="auto"/>
                <w:highlight w:val="none"/>
              </w:rPr>
            </w:pPr>
            <w:r>
              <w:rPr>
                <w:rFonts w:hint="eastAsia" w:ascii="宋体" w:hAnsi="宋体" w:cs="宋体"/>
                <w:b/>
                <w:bCs/>
                <w:color w:val="auto"/>
                <w:highlight w:val="none"/>
              </w:rPr>
              <w:t>进度计划</w:t>
            </w:r>
          </w:p>
          <w:p w14:paraId="45FF003A">
            <w:pPr>
              <w:spacing w:line="360" w:lineRule="exact"/>
              <w:jc w:val="center"/>
              <w:rPr>
                <w:rFonts w:hAnsi="宋体" w:cs="宋体"/>
                <w:bCs/>
                <w:color w:val="auto"/>
                <w:highlight w:val="none"/>
              </w:rPr>
            </w:pPr>
            <w:r>
              <w:rPr>
                <w:rFonts w:hint="eastAsia" w:ascii="宋体" w:hAnsi="宋体" w:cs="宋体"/>
                <w:b/>
                <w:bCs/>
                <w:color w:val="auto"/>
                <w:highlight w:val="none"/>
              </w:rPr>
              <w:t>（满分10分）</w:t>
            </w:r>
          </w:p>
        </w:tc>
        <w:tc>
          <w:tcPr>
            <w:tcW w:w="5665" w:type="dxa"/>
            <w:vAlign w:val="center"/>
          </w:tcPr>
          <w:p w14:paraId="28FA6315">
            <w:pPr>
              <w:spacing w:line="36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磋商小组按照分档标准确定档次和相应分值，不满足三档要求的不得分。</w:t>
            </w:r>
          </w:p>
          <w:p w14:paraId="0426D9A4">
            <w:pPr>
              <w:pStyle w:val="85"/>
              <w:ind w:firstLine="420"/>
              <w:rPr>
                <w:rFonts w:cs="宋体"/>
                <w:color w:val="auto"/>
                <w:sz w:val="21"/>
                <w:highlight w:val="none"/>
              </w:rPr>
            </w:pPr>
            <w:r>
              <w:rPr>
                <w:rFonts w:hint="eastAsia" w:cs="宋体"/>
                <w:color w:val="auto"/>
                <w:sz w:val="21"/>
                <w:highlight w:val="none"/>
              </w:rPr>
              <w:t>一档（10分）：人员及设备配备方案、项目进度安排及进度保障措施项目进度安排合理、保障措施清晰明确、措施详细可行、制度完善、规范性强、符合现场实际情况；</w:t>
            </w:r>
          </w:p>
          <w:p w14:paraId="57A47FA1">
            <w:pPr>
              <w:pStyle w:val="85"/>
              <w:ind w:firstLine="420"/>
              <w:rPr>
                <w:rFonts w:cs="宋体"/>
                <w:color w:val="auto"/>
                <w:sz w:val="21"/>
                <w:highlight w:val="none"/>
              </w:rPr>
            </w:pPr>
            <w:r>
              <w:rPr>
                <w:rFonts w:hint="eastAsia" w:cs="宋体"/>
                <w:color w:val="auto"/>
                <w:sz w:val="21"/>
                <w:highlight w:val="none"/>
              </w:rPr>
              <w:t>二档（8分）：人员及设备配备方案、项目进度安排及进度保障措施项目进度安排</w:t>
            </w:r>
            <w:r>
              <w:rPr>
                <w:rFonts w:hint="eastAsia" w:cs="宋体"/>
                <w:color w:val="auto"/>
                <w:sz w:val="21"/>
                <w:highlight w:val="none"/>
                <w:lang w:eastAsia="zh-CN"/>
              </w:rPr>
              <w:t>较</w:t>
            </w:r>
            <w:r>
              <w:rPr>
                <w:rFonts w:hint="eastAsia" w:cs="宋体"/>
                <w:color w:val="auto"/>
                <w:sz w:val="21"/>
                <w:highlight w:val="none"/>
              </w:rPr>
              <w:t>合理、保障措施较清晰、措施较可行、制度较完善、规范；</w:t>
            </w:r>
          </w:p>
          <w:p w14:paraId="7E81B28B">
            <w:pPr>
              <w:pStyle w:val="85"/>
              <w:ind w:firstLine="420"/>
              <w:rPr>
                <w:rFonts w:cs="宋体"/>
                <w:bCs/>
                <w:color w:val="auto"/>
                <w:highlight w:val="none"/>
                <w:lang w:eastAsia="zh-CN"/>
              </w:rPr>
            </w:pPr>
            <w:r>
              <w:rPr>
                <w:rFonts w:hint="eastAsia" w:cs="宋体"/>
                <w:color w:val="auto"/>
                <w:sz w:val="21"/>
                <w:highlight w:val="none"/>
              </w:rPr>
              <w:t>三档（6分）：人员及设备配备方案、项目进度安排及进度保障措施项目进度安排基本合理、保障措施、制度基本可行。</w:t>
            </w:r>
          </w:p>
        </w:tc>
      </w:tr>
      <w:tr w14:paraId="29290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0" w:type="dxa"/>
            <w:vMerge w:val="continue"/>
            <w:vAlign w:val="center"/>
          </w:tcPr>
          <w:p w14:paraId="65A36392">
            <w:pPr>
              <w:adjustRightInd w:val="0"/>
              <w:spacing w:line="360" w:lineRule="auto"/>
              <w:jc w:val="center"/>
              <w:textAlignment w:val="baseline"/>
              <w:rPr>
                <w:rFonts w:ascii="宋体" w:hAnsi="宋体" w:cs="宋体"/>
                <w:b/>
                <w:color w:val="auto"/>
                <w:szCs w:val="21"/>
                <w:highlight w:val="none"/>
              </w:rPr>
            </w:pPr>
          </w:p>
        </w:tc>
        <w:tc>
          <w:tcPr>
            <w:tcW w:w="1280" w:type="dxa"/>
            <w:vMerge w:val="continue"/>
            <w:vAlign w:val="center"/>
          </w:tcPr>
          <w:p w14:paraId="68096B0E">
            <w:pPr>
              <w:adjustRightInd w:val="0"/>
              <w:spacing w:line="360" w:lineRule="auto"/>
              <w:jc w:val="center"/>
              <w:textAlignment w:val="baseline"/>
              <w:rPr>
                <w:rFonts w:ascii="宋体" w:hAnsi="宋体" w:cs="宋体"/>
                <w:b/>
                <w:color w:val="auto"/>
                <w:szCs w:val="21"/>
                <w:highlight w:val="none"/>
              </w:rPr>
            </w:pPr>
          </w:p>
        </w:tc>
        <w:tc>
          <w:tcPr>
            <w:tcW w:w="709" w:type="dxa"/>
            <w:vMerge w:val="continue"/>
            <w:vAlign w:val="center"/>
          </w:tcPr>
          <w:p w14:paraId="7E4284F9">
            <w:pPr>
              <w:adjustRightInd w:val="0"/>
              <w:spacing w:line="360" w:lineRule="auto"/>
              <w:jc w:val="center"/>
              <w:textAlignment w:val="baseline"/>
              <w:rPr>
                <w:rFonts w:ascii="宋体" w:hAnsi="宋体" w:cs="宋体"/>
                <w:b/>
                <w:color w:val="auto"/>
                <w:szCs w:val="21"/>
                <w:highlight w:val="none"/>
              </w:rPr>
            </w:pPr>
          </w:p>
        </w:tc>
        <w:tc>
          <w:tcPr>
            <w:tcW w:w="1244" w:type="dxa"/>
            <w:vAlign w:val="center"/>
          </w:tcPr>
          <w:p w14:paraId="79105BCA">
            <w:pPr>
              <w:spacing w:line="360" w:lineRule="exact"/>
              <w:rPr>
                <w:rFonts w:ascii="宋体" w:hAnsi="宋体" w:cs="宋体"/>
                <w:bCs/>
                <w:color w:val="auto"/>
                <w:szCs w:val="21"/>
                <w:highlight w:val="none"/>
              </w:rPr>
            </w:pPr>
            <w:r>
              <w:rPr>
                <w:rFonts w:hint="eastAsia" w:ascii="宋体" w:hAnsi="宋体" w:cs="宋体"/>
                <w:b/>
                <w:bCs/>
                <w:color w:val="auto"/>
                <w:highlight w:val="none"/>
              </w:rPr>
              <w:t>质量保证措施（满分10分）</w:t>
            </w:r>
          </w:p>
        </w:tc>
        <w:tc>
          <w:tcPr>
            <w:tcW w:w="5665" w:type="dxa"/>
            <w:vAlign w:val="center"/>
          </w:tcPr>
          <w:p w14:paraId="52413AD0">
            <w:pPr>
              <w:spacing w:line="36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磋商小组按照分档标准确定档次和相应分值，不满足三档要求的不得分。</w:t>
            </w:r>
          </w:p>
          <w:p w14:paraId="2F38E7F0">
            <w:pPr>
              <w:pStyle w:val="85"/>
              <w:ind w:firstLine="420"/>
              <w:rPr>
                <w:rFonts w:cs="宋体"/>
                <w:color w:val="auto"/>
                <w:sz w:val="21"/>
                <w:highlight w:val="none"/>
                <w:lang w:eastAsia="zh-CN"/>
              </w:rPr>
            </w:pPr>
            <w:r>
              <w:rPr>
                <w:rFonts w:hint="eastAsia" w:cs="宋体"/>
                <w:color w:val="auto"/>
                <w:sz w:val="21"/>
                <w:highlight w:val="none"/>
                <w:lang w:eastAsia="zh-CN"/>
              </w:rPr>
              <w:t>一档（10分）：质量目标明确，保证措施具有针对性、可行性，成果质量检查方案完整、措施合理；</w:t>
            </w:r>
          </w:p>
          <w:p w14:paraId="4CA85F78">
            <w:pPr>
              <w:pStyle w:val="85"/>
              <w:ind w:firstLine="420"/>
              <w:rPr>
                <w:rFonts w:cs="宋体"/>
                <w:color w:val="auto"/>
                <w:sz w:val="21"/>
                <w:highlight w:val="none"/>
                <w:lang w:eastAsia="zh-CN"/>
              </w:rPr>
            </w:pPr>
            <w:r>
              <w:rPr>
                <w:rFonts w:hint="eastAsia" w:cs="宋体"/>
                <w:color w:val="auto"/>
                <w:sz w:val="21"/>
                <w:highlight w:val="none"/>
                <w:lang w:eastAsia="zh-CN"/>
              </w:rPr>
              <w:t>二档（8分）：质量目标明确，保证措施较有针对性、可行性，成果质量检查方案较完整、措施较合理；</w:t>
            </w:r>
          </w:p>
          <w:p w14:paraId="7A74E3FC">
            <w:pPr>
              <w:pStyle w:val="85"/>
              <w:ind w:firstLine="420"/>
              <w:rPr>
                <w:color w:val="auto"/>
                <w:highlight w:val="none"/>
              </w:rPr>
            </w:pPr>
            <w:r>
              <w:rPr>
                <w:rFonts w:hint="eastAsia" w:cs="宋体"/>
                <w:color w:val="auto"/>
                <w:sz w:val="21"/>
                <w:highlight w:val="none"/>
                <w:lang w:eastAsia="zh-CN"/>
              </w:rPr>
              <w:t>三档（6分）：质量目标模糊，成果质量检查方案及措施简单。</w:t>
            </w:r>
          </w:p>
        </w:tc>
      </w:tr>
      <w:tr w14:paraId="71BA7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0" w:type="dxa"/>
            <w:vMerge w:val="continue"/>
            <w:vAlign w:val="center"/>
          </w:tcPr>
          <w:p w14:paraId="0A7BBCE5">
            <w:pPr>
              <w:adjustRightInd w:val="0"/>
              <w:spacing w:line="360" w:lineRule="auto"/>
              <w:jc w:val="center"/>
              <w:textAlignment w:val="baseline"/>
              <w:rPr>
                <w:rFonts w:ascii="宋体" w:hAnsi="宋体" w:cs="宋体"/>
                <w:b/>
                <w:color w:val="auto"/>
                <w:szCs w:val="21"/>
                <w:highlight w:val="none"/>
              </w:rPr>
            </w:pPr>
          </w:p>
        </w:tc>
        <w:tc>
          <w:tcPr>
            <w:tcW w:w="1280" w:type="dxa"/>
            <w:vMerge w:val="continue"/>
            <w:vAlign w:val="center"/>
          </w:tcPr>
          <w:p w14:paraId="15D38C2F">
            <w:pPr>
              <w:adjustRightInd w:val="0"/>
              <w:spacing w:line="360" w:lineRule="auto"/>
              <w:jc w:val="center"/>
              <w:textAlignment w:val="baseline"/>
              <w:rPr>
                <w:rFonts w:ascii="宋体" w:hAnsi="宋体" w:cs="宋体"/>
                <w:b/>
                <w:color w:val="auto"/>
                <w:szCs w:val="21"/>
                <w:highlight w:val="none"/>
              </w:rPr>
            </w:pPr>
          </w:p>
        </w:tc>
        <w:tc>
          <w:tcPr>
            <w:tcW w:w="709" w:type="dxa"/>
            <w:vMerge w:val="continue"/>
            <w:vAlign w:val="center"/>
          </w:tcPr>
          <w:p w14:paraId="2CDBEC18">
            <w:pPr>
              <w:adjustRightInd w:val="0"/>
              <w:spacing w:line="360" w:lineRule="auto"/>
              <w:jc w:val="center"/>
              <w:textAlignment w:val="baseline"/>
              <w:rPr>
                <w:rFonts w:ascii="宋体" w:hAnsi="宋体" w:cs="宋体"/>
                <w:b/>
                <w:color w:val="auto"/>
                <w:szCs w:val="21"/>
                <w:highlight w:val="none"/>
              </w:rPr>
            </w:pPr>
          </w:p>
        </w:tc>
        <w:tc>
          <w:tcPr>
            <w:tcW w:w="1244" w:type="dxa"/>
            <w:vAlign w:val="center"/>
          </w:tcPr>
          <w:p w14:paraId="59F20017">
            <w:pPr>
              <w:spacing w:line="360" w:lineRule="exact"/>
              <w:rPr>
                <w:rFonts w:ascii="宋体" w:hAnsi="宋体" w:cs="宋体"/>
                <w:b/>
                <w:color w:val="auto"/>
                <w:szCs w:val="21"/>
                <w:highlight w:val="none"/>
              </w:rPr>
            </w:pPr>
            <w:r>
              <w:rPr>
                <w:rFonts w:hint="eastAsia" w:ascii="宋体" w:hAnsi="宋体" w:cs="宋体"/>
                <w:b/>
                <w:bCs/>
                <w:color w:val="auto"/>
                <w:highlight w:val="none"/>
              </w:rPr>
              <w:t>安全保证措施（满分10分）</w:t>
            </w:r>
          </w:p>
        </w:tc>
        <w:tc>
          <w:tcPr>
            <w:tcW w:w="5665" w:type="dxa"/>
            <w:vAlign w:val="center"/>
          </w:tcPr>
          <w:p w14:paraId="631315D7">
            <w:pPr>
              <w:spacing w:line="36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磋商小组按照分档标准确定档次和相应分值，不满足三档要求的不得分。</w:t>
            </w:r>
          </w:p>
          <w:p w14:paraId="4008A1ED">
            <w:pPr>
              <w:pStyle w:val="85"/>
              <w:ind w:firstLine="420"/>
              <w:rPr>
                <w:rFonts w:cs="宋体"/>
                <w:color w:val="auto"/>
                <w:sz w:val="21"/>
                <w:highlight w:val="none"/>
                <w:lang w:eastAsia="zh-CN"/>
              </w:rPr>
            </w:pPr>
            <w:r>
              <w:rPr>
                <w:rFonts w:hint="eastAsia" w:cs="宋体"/>
                <w:color w:val="auto"/>
                <w:sz w:val="21"/>
                <w:highlight w:val="none"/>
                <w:lang w:eastAsia="zh-CN"/>
              </w:rPr>
              <w:t>一档（10分）：安全保障措施详细，对各种情况均有考虑，提出了具体保障措施，针对性强、内容全面；</w:t>
            </w:r>
          </w:p>
          <w:p w14:paraId="23FE739A">
            <w:pPr>
              <w:pStyle w:val="85"/>
              <w:ind w:firstLine="420"/>
              <w:rPr>
                <w:rFonts w:cs="宋体"/>
                <w:color w:val="auto"/>
                <w:sz w:val="21"/>
                <w:highlight w:val="none"/>
                <w:lang w:eastAsia="zh-CN"/>
              </w:rPr>
            </w:pPr>
            <w:r>
              <w:rPr>
                <w:rFonts w:hint="eastAsia" w:cs="宋体"/>
                <w:color w:val="auto"/>
                <w:sz w:val="21"/>
                <w:highlight w:val="none"/>
                <w:lang w:eastAsia="zh-CN"/>
              </w:rPr>
              <w:t>二档（8分）：安全保障措施较详细，对各种情况均有描述，具体保障措施较全面。</w:t>
            </w:r>
          </w:p>
          <w:p w14:paraId="50488D5A">
            <w:pPr>
              <w:pStyle w:val="85"/>
              <w:ind w:firstLine="420"/>
              <w:rPr>
                <w:color w:val="auto"/>
                <w:highlight w:val="none"/>
              </w:rPr>
            </w:pPr>
            <w:r>
              <w:rPr>
                <w:rFonts w:hint="eastAsia" w:cs="宋体"/>
                <w:color w:val="auto"/>
                <w:sz w:val="21"/>
                <w:highlight w:val="none"/>
                <w:lang w:eastAsia="zh-CN"/>
              </w:rPr>
              <w:t>三档（6分）：安全保障措施及内容不全面。</w:t>
            </w:r>
          </w:p>
        </w:tc>
      </w:tr>
      <w:tr w14:paraId="5C1A3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30" w:type="dxa"/>
            <w:vMerge w:val="continue"/>
            <w:vAlign w:val="center"/>
          </w:tcPr>
          <w:p w14:paraId="78334877">
            <w:pPr>
              <w:adjustRightInd w:val="0"/>
              <w:spacing w:line="360" w:lineRule="auto"/>
              <w:jc w:val="center"/>
              <w:textAlignment w:val="baseline"/>
              <w:rPr>
                <w:rFonts w:ascii="宋体" w:hAnsi="宋体" w:cs="宋体"/>
                <w:b/>
                <w:color w:val="auto"/>
                <w:szCs w:val="21"/>
                <w:highlight w:val="none"/>
              </w:rPr>
            </w:pPr>
          </w:p>
        </w:tc>
        <w:tc>
          <w:tcPr>
            <w:tcW w:w="1280" w:type="dxa"/>
            <w:vMerge w:val="continue"/>
            <w:vAlign w:val="center"/>
          </w:tcPr>
          <w:p w14:paraId="4C06FCF8">
            <w:pPr>
              <w:adjustRightInd w:val="0"/>
              <w:spacing w:line="360" w:lineRule="auto"/>
              <w:jc w:val="center"/>
              <w:textAlignment w:val="baseline"/>
              <w:rPr>
                <w:rFonts w:ascii="宋体" w:hAnsi="宋体" w:cs="宋体"/>
                <w:b/>
                <w:color w:val="auto"/>
                <w:szCs w:val="21"/>
                <w:highlight w:val="none"/>
              </w:rPr>
            </w:pPr>
          </w:p>
        </w:tc>
        <w:tc>
          <w:tcPr>
            <w:tcW w:w="709" w:type="dxa"/>
            <w:vMerge w:val="continue"/>
            <w:vAlign w:val="center"/>
          </w:tcPr>
          <w:p w14:paraId="3C73DA39">
            <w:pPr>
              <w:adjustRightInd w:val="0"/>
              <w:spacing w:line="360" w:lineRule="auto"/>
              <w:jc w:val="center"/>
              <w:textAlignment w:val="baseline"/>
              <w:rPr>
                <w:rFonts w:ascii="宋体" w:hAnsi="宋体" w:cs="宋体"/>
                <w:b/>
                <w:color w:val="auto"/>
                <w:szCs w:val="21"/>
                <w:highlight w:val="none"/>
              </w:rPr>
            </w:pPr>
          </w:p>
        </w:tc>
        <w:tc>
          <w:tcPr>
            <w:tcW w:w="1244" w:type="dxa"/>
            <w:vAlign w:val="center"/>
          </w:tcPr>
          <w:p w14:paraId="6B29CEC8">
            <w:pPr>
              <w:spacing w:line="360" w:lineRule="exact"/>
              <w:rPr>
                <w:rFonts w:ascii="宋体" w:hAnsi="宋体" w:cs="宋体"/>
                <w:b/>
                <w:color w:val="auto"/>
                <w:szCs w:val="21"/>
                <w:highlight w:val="none"/>
              </w:rPr>
            </w:pPr>
            <w:r>
              <w:rPr>
                <w:rFonts w:hint="eastAsia" w:ascii="宋体" w:hAnsi="宋体" w:cs="宋体"/>
                <w:b/>
                <w:bCs/>
                <w:color w:val="auto"/>
                <w:highlight w:val="none"/>
              </w:rPr>
              <w:t>保密措施（满分10分）</w:t>
            </w:r>
          </w:p>
        </w:tc>
        <w:tc>
          <w:tcPr>
            <w:tcW w:w="5665" w:type="dxa"/>
            <w:vAlign w:val="center"/>
          </w:tcPr>
          <w:p w14:paraId="4B9FE99A">
            <w:pPr>
              <w:spacing w:line="36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磋商小组按照分档标准确定档次和相应分值，不满足三档要求的不得分。</w:t>
            </w:r>
          </w:p>
          <w:p w14:paraId="1D6CE30E">
            <w:pPr>
              <w:pStyle w:val="85"/>
              <w:ind w:firstLine="420"/>
              <w:rPr>
                <w:rFonts w:cs="宋体"/>
                <w:color w:val="auto"/>
                <w:sz w:val="21"/>
                <w:highlight w:val="none"/>
                <w:lang w:eastAsia="zh-CN"/>
              </w:rPr>
            </w:pPr>
            <w:r>
              <w:rPr>
                <w:rFonts w:hint="eastAsia" w:cs="宋体"/>
                <w:color w:val="auto"/>
                <w:sz w:val="21"/>
                <w:highlight w:val="none"/>
                <w:lang w:eastAsia="zh-CN"/>
              </w:rPr>
              <w:t>一档（10分）：保密措施清晰明确、措施详细可行、制度完善、规范性强；项目档案资料管理方面有详细规定制度，在工作人员关于保密制度及培训均有安排；</w:t>
            </w:r>
          </w:p>
          <w:p w14:paraId="288614ED">
            <w:pPr>
              <w:pStyle w:val="85"/>
              <w:ind w:firstLine="420"/>
              <w:rPr>
                <w:rFonts w:cs="宋体"/>
                <w:color w:val="auto"/>
                <w:sz w:val="21"/>
                <w:highlight w:val="none"/>
                <w:lang w:eastAsia="zh-CN"/>
              </w:rPr>
            </w:pPr>
            <w:r>
              <w:rPr>
                <w:rFonts w:hint="eastAsia" w:cs="宋体"/>
                <w:color w:val="auto"/>
                <w:sz w:val="21"/>
                <w:highlight w:val="none"/>
                <w:lang w:eastAsia="zh-CN"/>
              </w:rPr>
              <w:t>二档（8分）：保密措施可行、制度完善、规范性较强；档案资料及工作人员管理制度有简单描述。</w:t>
            </w:r>
          </w:p>
          <w:p w14:paraId="553EA3B6">
            <w:pPr>
              <w:pStyle w:val="85"/>
              <w:ind w:firstLine="420"/>
              <w:rPr>
                <w:color w:val="auto"/>
                <w:highlight w:val="none"/>
              </w:rPr>
            </w:pPr>
            <w:r>
              <w:rPr>
                <w:rFonts w:hint="eastAsia" w:cs="宋体"/>
                <w:color w:val="auto"/>
                <w:sz w:val="21"/>
                <w:highlight w:val="none"/>
                <w:lang w:eastAsia="zh-CN"/>
              </w:rPr>
              <w:t>三档（6分）：保密措施简单。</w:t>
            </w:r>
          </w:p>
        </w:tc>
      </w:tr>
      <w:tr w14:paraId="5A6FB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30" w:type="dxa"/>
            <w:vMerge w:val="continue"/>
            <w:vAlign w:val="center"/>
          </w:tcPr>
          <w:p w14:paraId="126D41AE">
            <w:pPr>
              <w:rPr>
                <w:color w:val="auto"/>
                <w:highlight w:val="none"/>
              </w:rPr>
            </w:pPr>
          </w:p>
        </w:tc>
        <w:tc>
          <w:tcPr>
            <w:tcW w:w="1280" w:type="dxa"/>
            <w:vMerge w:val="continue"/>
            <w:vAlign w:val="center"/>
          </w:tcPr>
          <w:p w14:paraId="2DB27775">
            <w:pPr>
              <w:rPr>
                <w:color w:val="auto"/>
                <w:highlight w:val="none"/>
              </w:rPr>
            </w:pPr>
          </w:p>
        </w:tc>
        <w:tc>
          <w:tcPr>
            <w:tcW w:w="709" w:type="dxa"/>
            <w:vMerge w:val="continue"/>
            <w:vAlign w:val="center"/>
          </w:tcPr>
          <w:p w14:paraId="67A06619">
            <w:pPr>
              <w:rPr>
                <w:color w:val="auto"/>
                <w:highlight w:val="none"/>
              </w:rPr>
            </w:pPr>
          </w:p>
        </w:tc>
        <w:tc>
          <w:tcPr>
            <w:tcW w:w="1244" w:type="dxa"/>
            <w:vAlign w:val="center"/>
          </w:tcPr>
          <w:p w14:paraId="2EA0A9AE">
            <w:pPr>
              <w:pStyle w:val="82"/>
              <w:spacing w:before="65" w:line="228" w:lineRule="auto"/>
              <w:jc w:val="center"/>
              <w:rPr>
                <w:b/>
                <w:bCs/>
                <w:color w:val="auto"/>
                <w:sz w:val="21"/>
                <w:szCs w:val="21"/>
                <w:highlight w:val="none"/>
                <w:lang w:eastAsia="zh-CN"/>
              </w:rPr>
            </w:pPr>
            <w:r>
              <w:rPr>
                <w:rFonts w:hint="eastAsia"/>
                <w:b/>
                <w:bCs/>
                <w:color w:val="auto"/>
                <w:sz w:val="21"/>
                <w:szCs w:val="21"/>
                <w:highlight w:val="none"/>
                <w:lang w:eastAsia="zh-CN"/>
              </w:rPr>
              <w:t>售后服务</w:t>
            </w:r>
          </w:p>
          <w:p w14:paraId="1D827D08">
            <w:pPr>
              <w:spacing w:line="262" w:lineRule="auto"/>
              <w:rPr>
                <w:color w:val="auto"/>
                <w:highlight w:val="none"/>
              </w:rPr>
            </w:pPr>
            <w:r>
              <w:rPr>
                <w:rFonts w:hint="eastAsia" w:ascii="宋体" w:hAnsi="宋体" w:cs="宋体"/>
                <w:b/>
                <w:bCs/>
                <w:color w:val="auto"/>
                <w:szCs w:val="21"/>
                <w:highlight w:val="none"/>
              </w:rPr>
              <w:t>（满分5分）</w:t>
            </w:r>
          </w:p>
        </w:tc>
        <w:tc>
          <w:tcPr>
            <w:tcW w:w="5665" w:type="dxa"/>
          </w:tcPr>
          <w:p w14:paraId="0CE38408">
            <w:pPr>
              <w:spacing w:line="36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磋商小组按照分档标准确定档次和相应分值，不满足三档要求的不得分。</w:t>
            </w:r>
          </w:p>
          <w:p w14:paraId="1207365C">
            <w:pPr>
              <w:pStyle w:val="85"/>
              <w:ind w:firstLine="420"/>
              <w:rPr>
                <w:rFonts w:cs="宋体"/>
                <w:color w:val="auto"/>
                <w:sz w:val="21"/>
                <w:highlight w:val="none"/>
                <w:lang w:eastAsia="zh-CN"/>
              </w:rPr>
            </w:pPr>
            <w:r>
              <w:rPr>
                <w:rFonts w:hint="eastAsia" w:cs="宋体"/>
                <w:color w:val="auto"/>
                <w:sz w:val="21"/>
                <w:highlight w:val="none"/>
                <w:lang w:eastAsia="zh-CN"/>
              </w:rPr>
              <w:t>一档（5分）：售后服务方案及承诺详细、全面，方案包含有项目售后维护、应急保障方案且描述了项目售后维护和应急保障方案的方法以及实现方式；安排有充足的专职售后服务人员且职责明确。</w:t>
            </w:r>
          </w:p>
          <w:p w14:paraId="73410AA7">
            <w:pPr>
              <w:pStyle w:val="85"/>
              <w:ind w:firstLine="420"/>
              <w:rPr>
                <w:rFonts w:cs="宋体"/>
                <w:color w:val="auto"/>
                <w:sz w:val="21"/>
                <w:highlight w:val="none"/>
                <w:lang w:eastAsia="zh-CN"/>
              </w:rPr>
            </w:pPr>
            <w:r>
              <w:rPr>
                <w:rFonts w:hint="eastAsia" w:cs="宋体"/>
                <w:color w:val="auto"/>
                <w:sz w:val="21"/>
                <w:highlight w:val="none"/>
                <w:lang w:eastAsia="zh-CN"/>
              </w:rPr>
              <w:t>二档（4分）：售后服务方案及承诺较详细、全面，安排有专职的售后服务人员且职责较明确，应用及操作培训计划较明确。</w:t>
            </w:r>
          </w:p>
          <w:p w14:paraId="18AE881B">
            <w:pPr>
              <w:pStyle w:val="85"/>
              <w:ind w:firstLine="420"/>
              <w:rPr>
                <w:rFonts w:cs="宋体"/>
                <w:b/>
                <w:bCs/>
                <w:color w:val="auto"/>
                <w:highlight w:val="none"/>
              </w:rPr>
            </w:pPr>
            <w:r>
              <w:rPr>
                <w:rFonts w:hint="eastAsia" w:cs="宋体"/>
                <w:color w:val="auto"/>
                <w:sz w:val="21"/>
                <w:highlight w:val="none"/>
                <w:lang w:eastAsia="zh-CN"/>
              </w:rPr>
              <w:t>三档（3分）：售后服务方案简单。</w:t>
            </w:r>
          </w:p>
        </w:tc>
      </w:tr>
      <w:tr w14:paraId="2E358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730" w:type="dxa"/>
            <w:vMerge w:val="restart"/>
            <w:vAlign w:val="center"/>
          </w:tcPr>
          <w:p w14:paraId="186F6759">
            <w:pPr>
              <w:adjustRightInd w:val="0"/>
              <w:spacing w:line="360" w:lineRule="auto"/>
              <w:jc w:val="center"/>
              <w:textAlignment w:val="baseline"/>
              <w:rPr>
                <w:rFonts w:ascii="宋体" w:hAnsi="宋体" w:cs="宋体"/>
                <w:b/>
                <w:color w:val="auto"/>
                <w:szCs w:val="21"/>
                <w:highlight w:val="none"/>
              </w:rPr>
            </w:pPr>
            <w:r>
              <w:rPr>
                <w:rFonts w:hint="eastAsia" w:ascii="宋体" w:hAnsi="宋体" w:cs="宋体"/>
                <w:b/>
                <w:color w:val="auto"/>
                <w:szCs w:val="21"/>
                <w:highlight w:val="none"/>
              </w:rPr>
              <w:t>3</w:t>
            </w:r>
          </w:p>
        </w:tc>
        <w:tc>
          <w:tcPr>
            <w:tcW w:w="1280" w:type="dxa"/>
            <w:vMerge w:val="restart"/>
            <w:vAlign w:val="center"/>
          </w:tcPr>
          <w:p w14:paraId="1C601CB7">
            <w:pPr>
              <w:adjustRightInd w:val="0"/>
              <w:spacing w:line="360" w:lineRule="auto"/>
              <w:jc w:val="center"/>
              <w:textAlignment w:val="baseline"/>
              <w:rPr>
                <w:rFonts w:ascii="宋体" w:hAnsi="宋体" w:cs="宋体"/>
                <w:b/>
                <w:color w:val="auto"/>
                <w:szCs w:val="21"/>
                <w:highlight w:val="none"/>
              </w:rPr>
            </w:pPr>
            <w:r>
              <w:rPr>
                <w:rFonts w:hint="eastAsia" w:ascii="宋体" w:hAnsi="宋体" w:cs="宋体"/>
                <w:b/>
                <w:color w:val="auto"/>
                <w:szCs w:val="21"/>
                <w:highlight w:val="none"/>
              </w:rPr>
              <w:t>商务分</w:t>
            </w:r>
          </w:p>
        </w:tc>
        <w:tc>
          <w:tcPr>
            <w:tcW w:w="709" w:type="dxa"/>
            <w:vMerge w:val="restart"/>
            <w:vAlign w:val="center"/>
          </w:tcPr>
          <w:p w14:paraId="5428E37E">
            <w:pPr>
              <w:adjustRightInd w:val="0"/>
              <w:spacing w:line="360" w:lineRule="auto"/>
              <w:jc w:val="center"/>
              <w:textAlignment w:val="baseline"/>
              <w:rPr>
                <w:rFonts w:ascii="宋体" w:hAnsi="宋体" w:cs="宋体"/>
                <w:b/>
                <w:color w:val="auto"/>
                <w:szCs w:val="21"/>
                <w:highlight w:val="none"/>
              </w:rPr>
            </w:pPr>
            <w:r>
              <w:rPr>
                <w:rFonts w:hint="eastAsia" w:ascii="宋体" w:hAnsi="宋体" w:cs="宋体"/>
                <w:b/>
                <w:color w:val="auto"/>
                <w:kern w:val="0"/>
                <w:szCs w:val="21"/>
                <w:highlight w:val="none"/>
              </w:rPr>
              <w:t>35分</w:t>
            </w:r>
          </w:p>
        </w:tc>
        <w:tc>
          <w:tcPr>
            <w:tcW w:w="1244" w:type="dxa"/>
          </w:tcPr>
          <w:p w14:paraId="0FC7427D">
            <w:pPr>
              <w:spacing w:line="262" w:lineRule="auto"/>
              <w:rPr>
                <w:rFonts w:ascii="宋体" w:hAnsi="宋体" w:cs="宋体"/>
                <w:color w:val="auto"/>
                <w:szCs w:val="21"/>
                <w:highlight w:val="none"/>
              </w:rPr>
            </w:pPr>
          </w:p>
          <w:p w14:paraId="5F9E05E1">
            <w:pPr>
              <w:spacing w:line="262" w:lineRule="auto"/>
              <w:rPr>
                <w:color w:val="auto"/>
                <w:highlight w:val="none"/>
              </w:rPr>
            </w:pPr>
            <w:r>
              <w:rPr>
                <w:rFonts w:hint="eastAsia" w:ascii="宋体" w:hAnsi="宋体" w:cs="宋体"/>
                <w:b/>
                <w:bCs/>
                <w:color w:val="auto"/>
                <w:szCs w:val="21"/>
                <w:highlight w:val="none"/>
              </w:rPr>
              <w:t>业绩（满分8分）</w:t>
            </w:r>
          </w:p>
        </w:tc>
        <w:tc>
          <w:tcPr>
            <w:tcW w:w="5665" w:type="dxa"/>
          </w:tcPr>
          <w:p w14:paraId="4835773E">
            <w:pPr>
              <w:pStyle w:val="85"/>
              <w:ind w:firstLine="420"/>
              <w:rPr>
                <w:rFonts w:cs="宋体"/>
                <w:color w:val="auto"/>
                <w:sz w:val="21"/>
                <w:highlight w:val="none"/>
                <w:lang w:eastAsia="zh-CN"/>
              </w:rPr>
            </w:pPr>
            <w:r>
              <w:rPr>
                <w:rFonts w:hint="eastAsia" w:cs="宋体"/>
                <w:color w:val="auto"/>
                <w:sz w:val="21"/>
                <w:highlight w:val="none"/>
                <w:lang w:eastAsia="zh-CN"/>
              </w:rPr>
              <w:t>2023年1月1日以来（以合同签订时间为准），独立承担单个测绘航空摄影类（包含航空遥感影像获取、倾斜摄影）或者航空摄影测量与遥感类（包含正射影像、倾斜模型制作）合同，每提供</w:t>
            </w:r>
            <w:r>
              <w:rPr>
                <w:rFonts w:cs="宋体"/>
                <w:color w:val="auto"/>
                <w:sz w:val="21"/>
                <w:highlight w:val="none"/>
                <w:lang w:eastAsia="zh-CN"/>
              </w:rPr>
              <w:t>1个合同得 1分</w:t>
            </w:r>
            <w:r>
              <w:rPr>
                <w:rFonts w:hint="eastAsia" w:cs="宋体"/>
                <w:color w:val="auto"/>
                <w:sz w:val="21"/>
                <w:highlight w:val="none"/>
                <w:lang w:eastAsia="zh-CN"/>
              </w:rPr>
              <w:t>，</w:t>
            </w:r>
            <w:r>
              <w:rPr>
                <w:rFonts w:hint="eastAsia" w:cs="宋体"/>
                <w:b/>
                <w:bCs/>
                <w:color w:val="auto"/>
                <w:sz w:val="21"/>
                <w:highlight w:val="none"/>
                <w:lang w:eastAsia="zh-CN"/>
              </w:rPr>
              <w:t>满分</w:t>
            </w:r>
            <w:r>
              <w:rPr>
                <w:rFonts w:cs="宋体"/>
                <w:b/>
                <w:bCs/>
                <w:color w:val="auto"/>
                <w:sz w:val="21"/>
                <w:highlight w:val="none"/>
                <w:lang w:eastAsia="zh-CN"/>
              </w:rPr>
              <w:t>8分。</w:t>
            </w:r>
          </w:p>
          <w:p w14:paraId="7273FADC">
            <w:pPr>
              <w:pStyle w:val="85"/>
              <w:ind w:firstLine="420"/>
              <w:rPr>
                <w:rFonts w:cs="宋体"/>
                <w:color w:val="auto"/>
                <w:sz w:val="21"/>
                <w:highlight w:val="none"/>
                <w:lang w:eastAsia="zh-CN"/>
              </w:rPr>
            </w:pPr>
            <w:r>
              <w:rPr>
                <w:rFonts w:hint="eastAsia" w:cs="宋体"/>
                <w:color w:val="auto"/>
                <w:sz w:val="21"/>
                <w:highlight w:val="none"/>
                <w:lang w:eastAsia="zh-CN"/>
              </w:rPr>
              <w:t>注：</w:t>
            </w:r>
          </w:p>
          <w:p w14:paraId="1D9B266A">
            <w:pPr>
              <w:pStyle w:val="85"/>
              <w:ind w:firstLine="420"/>
              <w:rPr>
                <w:rFonts w:cs="宋体"/>
                <w:color w:val="auto"/>
                <w:sz w:val="21"/>
                <w:highlight w:val="none"/>
                <w:lang w:eastAsia="zh-CN"/>
              </w:rPr>
            </w:pPr>
            <w:r>
              <w:rPr>
                <w:rFonts w:hint="eastAsia" w:cs="宋体"/>
                <w:color w:val="auto"/>
                <w:sz w:val="21"/>
                <w:highlight w:val="none"/>
                <w:lang w:eastAsia="zh-CN"/>
              </w:rPr>
              <w:t>1、响应文件中须提供业绩合同材料扫描件并加盖公章；否则不得分；</w:t>
            </w:r>
          </w:p>
          <w:p w14:paraId="60DC04EE">
            <w:pPr>
              <w:pStyle w:val="85"/>
              <w:ind w:firstLine="420"/>
              <w:rPr>
                <w:color w:val="auto"/>
                <w:highlight w:val="none"/>
              </w:rPr>
            </w:pPr>
            <w:r>
              <w:rPr>
                <w:rFonts w:hint="eastAsia" w:cs="宋体"/>
                <w:color w:val="auto"/>
                <w:sz w:val="21"/>
                <w:highlight w:val="none"/>
                <w:lang w:eastAsia="zh-CN"/>
              </w:rPr>
              <w:t>2、正在履约或已履约完成的项目业绩均予以认可。</w:t>
            </w:r>
          </w:p>
        </w:tc>
      </w:tr>
      <w:tr w14:paraId="03E48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730" w:type="dxa"/>
            <w:vMerge w:val="continue"/>
            <w:vAlign w:val="center"/>
          </w:tcPr>
          <w:p w14:paraId="27643FF7">
            <w:pPr>
              <w:adjustRightInd w:val="0"/>
              <w:spacing w:line="360" w:lineRule="auto"/>
              <w:jc w:val="center"/>
              <w:textAlignment w:val="baseline"/>
              <w:rPr>
                <w:rFonts w:ascii="宋体" w:hAnsi="宋体" w:cs="宋体"/>
                <w:b/>
                <w:color w:val="auto"/>
                <w:szCs w:val="21"/>
                <w:highlight w:val="none"/>
              </w:rPr>
            </w:pPr>
          </w:p>
        </w:tc>
        <w:tc>
          <w:tcPr>
            <w:tcW w:w="1280" w:type="dxa"/>
            <w:vMerge w:val="continue"/>
            <w:vAlign w:val="center"/>
          </w:tcPr>
          <w:p w14:paraId="3E6B9AF6">
            <w:pPr>
              <w:adjustRightInd w:val="0"/>
              <w:spacing w:line="360" w:lineRule="auto"/>
              <w:jc w:val="center"/>
              <w:textAlignment w:val="baseline"/>
              <w:rPr>
                <w:rFonts w:ascii="宋体" w:hAnsi="宋体" w:cs="宋体"/>
                <w:b/>
                <w:color w:val="auto"/>
                <w:szCs w:val="21"/>
                <w:highlight w:val="none"/>
              </w:rPr>
            </w:pPr>
          </w:p>
        </w:tc>
        <w:tc>
          <w:tcPr>
            <w:tcW w:w="709" w:type="dxa"/>
            <w:vMerge w:val="continue"/>
            <w:vAlign w:val="center"/>
          </w:tcPr>
          <w:p w14:paraId="11FEC577">
            <w:pPr>
              <w:adjustRightInd w:val="0"/>
              <w:spacing w:line="360" w:lineRule="auto"/>
              <w:jc w:val="center"/>
              <w:textAlignment w:val="baseline"/>
              <w:rPr>
                <w:rFonts w:ascii="宋体" w:hAnsi="宋体" w:cs="宋体"/>
                <w:b/>
                <w:color w:val="auto"/>
                <w:kern w:val="0"/>
                <w:szCs w:val="21"/>
                <w:highlight w:val="none"/>
              </w:rPr>
            </w:pPr>
          </w:p>
        </w:tc>
        <w:tc>
          <w:tcPr>
            <w:tcW w:w="1244" w:type="dxa"/>
            <w:vAlign w:val="center"/>
          </w:tcPr>
          <w:p w14:paraId="51F0CEA2">
            <w:pPr>
              <w:spacing w:line="262" w:lineRule="auto"/>
              <w:jc w:val="center"/>
              <w:rPr>
                <w:rFonts w:ascii="宋体" w:hAnsi="宋体" w:cs="宋体"/>
                <w:b/>
                <w:bCs/>
                <w:color w:val="auto"/>
                <w:szCs w:val="21"/>
                <w:highlight w:val="none"/>
              </w:rPr>
            </w:pPr>
            <w:r>
              <w:rPr>
                <w:rFonts w:hint="eastAsia" w:ascii="宋体" w:hAnsi="宋体" w:cs="宋体"/>
                <w:b/>
                <w:bCs/>
                <w:color w:val="auto"/>
                <w:szCs w:val="21"/>
                <w:highlight w:val="none"/>
              </w:rPr>
              <w:t>拟投入人员团队</w:t>
            </w:r>
          </w:p>
          <w:p w14:paraId="3015B01F">
            <w:pPr>
              <w:spacing w:line="262" w:lineRule="auto"/>
              <w:jc w:val="center"/>
              <w:rPr>
                <w:color w:val="auto"/>
                <w:highlight w:val="none"/>
              </w:rPr>
            </w:pPr>
            <w:r>
              <w:rPr>
                <w:rFonts w:hint="eastAsia" w:ascii="宋体" w:hAnsi="宋体" w:cs="宋体"/>
                <w:b/>
                <w:bCs/>
                <w:color w:val="auto"/>
                <w:szCs w:val="21"/>
                <w:highlight w:val="none"/>
              </w:rPr>
              <w:t>（满分14分）</w:t>
            </w:r>
          </w:p>
        </w:tc>
        <w:tc>
          <w:tcPr>
            <w:tcW w:w="5665" w:type="dxa"/>
          </w:tcPr>
          <w:p w14:paraId="307932E3">
            <w:pPr>
              <w:pStyle w:val="85"/>
              <w:ind w:firstLine="420"/>
              <w:rPr>
                <w:rFonts w:cs="宋体"/>
                <w:b/>
                <w:bCs/>
                <w:color w:val="auto"/>
                <w:sz w:val="21"/>
                <w:highlight w:val="none"/>
                <w:lang w:eastAsia="zh-CN"/>
              </w:rPr>
            </w:pPr>
            <w:r>
              <w:rPr>
                <w:rFonts w:hint="eastAsia" w:cs="宋体"/>
                <w:color w:val="auto"/>
                <w:sz w:val="21"/>
                <w:highlight w:val="none"/>
                <w:lang w:eastAsia="zh-CN"/>
              </w:rPr>
              <w:t>（1）项目参与人员具有测绘类高级工程师及以上职称的，每个得2分；有注册测绘师资格的，每个得1分；</w:t>
            </w:r>
            <w:r>
              <w:rPr>
                <w:rFonts w:hint="eastAsia" w:cs="宋体"/>
                <w:b/>
                <w:bCs/>
                <w:color w:val="auto"/>
                <w:sz w:val="21"/>
                <w:highlight w:val="none"/>
                <w:lang w:eastAsia="zh-CN"/>
              </w:rPr>
              <w:t>满分4分。</w:t>
            </w:r>
          </w:p>
          <w:p w14:paraId="515FEF5B">
            <w:pPr>
              <w:pStyle w:val="85"/>
              <w:ind w:firstLine="420"/>
              <w:rPr>
                <w:rFonts w:cs="宋体"/>
                <w:color w:val="auto"/>
                <w:sz w:val="21"/>
                <w:highlight w:val="none"/>
                <w:lang w:eastAsia="zh-CN"/>
              </w:rPr>
            </w:pPr>
            <w:r>
              <w:rPr>
                <w:rFonts w:hint="eastAsia" w:cs="宋体"/>
                <w:color w:val="auto"/>
                <w:sz w:val="21"/>
                <w:highlight w:val="none"/>
                <w:lang w:eastAsia="zh-CN"/>
              </w:rPr>
              <w:t>注：提供有效的证书证明文件（原件扫描件加盖投标人公章，同一人有多种证书，仅计算一次，不累计记分。</w:t>
            </w:r>
          </w:p>
          <w:p w14:paraId="211A0EC0">
            <w:pPr>
              <w:pStyle w:val="85"/>
              <w:ind w:firstLine="420"/>
              <w:rPr>
                <w:rFonts w:cs="宋体"/>
                <w:color w:val="auto"/>
                <w:sz w:val="21"/>
                <w:highlight w:val="none"/>
                <w:lang w:eastAsia="zh-CN"/>
              </w:rPr>
            </w:pPr>
            <w:r>
              <w:rPr>
                <w:rFonts w:hint="eastAsia" w:cs="宋体"/>
                <w:color w:val="auto"/>
                <w:sz w:val="21"/>
                <w:highlight w:val="none"/>
                <w:lang w:eastAsia="zh-CN"/>
              </w:rPr>
              <w:t>（2）</w:t>
            </w:r>
            <w:bookmarkStart w:id="56" w:name="OLE_LINK15"/>
            <w:bookmarkStart w:id="57" w:name="OLE_LINK16"/>
            <w:r>
              <w:rPr>
                <w:rFonts w:hint="eastAsia" w:cs="宋体"/>
                <w:color w:val="auto"/>
                <w:sz w:val="21"/>
                <w:highlight w:val="none"/>
                <w:lang w:eastAsia="zh-CN"/>
              </w:rPr>
              <w:t>项目参与人员须持有中国民航局颁发的有效民用无人驾驶航空器操控员执照（涵盖以下任一机型：固定翼、</w:t>
            </w:r>
            <w:r>
              <w:rPr>
                <w:rFonts w:cs="宋体"/>
                <w:color w:val="auto"/>
                <w:sz w:val="21"/>
                <w:highlight w:val="none"/>
                <w:lang w:eastAsia="zh-CN"/>
              </w:rPr>
              <w:t>垂起固定翼</w:t>
            </w:r>
            <w:r>
              <w:rPr>
                <w:rFonts w:hint="eastAsia" w:cs="宋体"/>
                <w:color w:val="auto"/>
                <w:sz w:val="21"/>
                <w:highlight w:val="none"/>
                <w:lang w:eastAsia="zh-CN"/>
              </w:rPr>
              <w:t>或</w:t>
            </w:r>
            <w:r>
              <w:rPr>
                <w:rFonts w:cs="宋体"/>
                <w:color w:val="auto"/>
                <w:sz w:val="21"/>
                <w:highlight w:val="none"/>
                <w:lang w:eastAsia="zh-CN"/>
              </w:rPr>
              <w:t>旋翼无人机）</w:t>
            </w:r>
            <w:r>
              <w:rPr>
                <w:rFonts w:hint="eastAsia" w:cs="宋体"/>
                <w:color w:val="auto"/>
                <w:sz w:val="21"/>
                <w:highlight w:val="none"/>
                <w:lang w:eastAsia="zh-CN"/>
              </w:rPr>
              <w:t>。</w:t>
            </w:r>
            <w:bookmarkEnd w:id="56"/>
            <w:bookmarkEnd w:id="57"/>
            <w:r>
              <w:rPr>
                <w:rFonts w:hint="eastAsia" w:cs="宋体"/>
                <w:color w:val="auto"/>
                <w:sz w:val="21"/>
                <w:highlight w:val="none"/>
                <w:lang w:eastAsia="zh-CN"/>
              </w:rPr>
              <w:t>每名得2分，</w:t>
            </w:r>
            <w:r>
              <w:rPr>
                <w:rFonts w:hint="eastAsia" w:cs="宋体"/>
                <w:b/>
                <w:bCs/>
                <w:color w:val="auto"/>
                <w:sz w:val="21"/>
                <w:highlight w:val="none"/>
                <w:lang w:eastAsia="zh-CN"/>
              </w:rPr>
              <w:t>满分10分</w:t>
            </w:r>
            <w:r>
              <w:rPr>
                <w:rFonts w:hint="eastAsia" w:cs="宋体"/>
                <w:color w:val="auto"/>
                <w:sz w:val="21"/>
                <w:highlight w:val="none"/>
                <w:lang w:eastAsia="zh-CN"/>
              </w:rPr>
              <w:t>。执照须提供有效的证书证明文件（原件扫描件加盖公章）。</w:t>
            </w:r>
          </w:p>
          <w:p w14:paraId="34821A0F">
            <w:pPr>
              <w:pStyle w:val="85"/>
              <w:ind w:firstLine="420"/>
              <w:rPr>
                <w:color w:val="auto"/>
                <w:highlight w:val="none"/>
              </w:rPr>
            </w:pPr>
            <w:r>
              <w:rPr>
                <w:rFonts w:hint="eastAsia" w:cs="宋体"/>
                <w:color w:val="auto"/>
                <w:sz w:val="21"/>
                <w:highlight w:val="none"/>
                <w:lang w:eastAsia="zh-CN"/>
              </w:rPr>
              <w:t>注：以上所有人员须提供由县级以上（含县级）社会养老保险经办机构出具的供应商为项目实施人员交纳的开标截止时间前3个月（指投标截止之日当月前3个月）内任意一个月社保证明的原件或复印件扫描件；如供应商为截标时间前60日以内成立的公司或项目人员为近一个月（指竞标截止之日当日前一个月）内入职的新员工的，可以提供供应商与项目实施人员签订的劳动合同的原件或复印件扫描件代替社保证明；退休聘用人员，提供聘用合同及退休证明复印件扫描件代替社保证明；临时聘用人员，仅须提供聘用合同复印件扫描件，否则不得分。扫描件均需加盖公章。</w:t>
            </w:r>
            <w:r>
              <w:rPr>
                <w:rFonts w:hint="eastAsia" w:cs="宋体"/>
                <w:b/>
                <w:bCs/>
                <w:color w:val="auto"/>
                <w:sz w:val="21"/>
                <w:highlight w:val="none"/>
                <w:lang w:eastAsia="zh-CN"/>
              </w:rPr>
              <w:t>本项目要求拟投入人员必须专职为本项目服务，供应商必须在首次响应文件中承诺拟投入人员在本项目首次响应文件提交截止时间后没有在其他项目合同期内担任任何职务，否则不得分；如在签订合同前发现成交供应商虚假承诺，取消其成交供应商资格，没收竞标保证金，并上报同级监管部门。</w:t>
            </w:r>
          </w:p>
        </w:tc>
      </w:tr>
      <w:tr w14:paraId="592EC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730" w:type="dxa"/>
            <w:vMerge w:val="continue"/>
            <w:vAlign w:val="center"/>
          </w:tcPr>
          <w:p w14:paraId="2199C030">
            <w:pPr>
              <w:adjustRightInd w:val="0"/>
              <w:spacing w:line="360" w:lineRule="auto"/>
              <w:jc w:val="center"/>
              <w:textAlignment w:val="baseline"/>
              <w:rPr>
                <w:rFonts w:ascii="宋体" w:hAnsi="宋体" w:cs="宋体"/>
                <w:b/>
                <w:color w:val="auto"/>
                <w:szCs w:val="21"/>
                <w:highlight w:val="none"/>
              </w:rPr>
            </w:pPr>
          </w:p>
        </w:tc>
        <w:tc>
          <w:tcPr>
            <w:tcW w:w="1280" w:type="dxa"/>
            <w:vMerge w:val="continue"/>
            <w:vAlign w:val="center"/>
          </w:tcPr>
          <w:p w14:paraId="3D515F72">
            <w:pPr>
              <w:adjustRightInd w:val="0"/>
              <w:spacing w:line="360" w:lineRule="auto"/>
              <w:jc w:val="center"/>
              <w:textAlignment w:val="baseline"/>
              <w:rPr>
                <w:rFonts w:ascii="宋体" w:hAnsi="宋体" w:cs="宋体"/>
                <w:b/>
                <w:color w:val="auto"/>
                <w:szCs w:val="21"/>
                <w:highlight w:val="none"/>
              </w:rPr>
            </w:pPr>
          </w:p>
        </w:tc>
        <w:tc>
          <w:tcPr>
            <w:tcW w:w="709" w:type="dxa"/>
            <w:vMerge w:val="continue"/>
            <w:vAlign w:val="center"/>
          </w:tcPr>
          <w:p w14:paraId="13F5113D">
            <w:pPr>
              <w:adjustRightInd w:val="0"/>
              <w:spacing w:line="360" w:lineRule="auto"/>
              <w:jc w:val="center"/>
              <w:textAlignment w:val="baseline"/>
              <w:rPr>
                <w:rFonts w:ascii="宋体" w:hAnsi="宋体" w:cs="宋体"/>
                <w:b/>
                <w:color w:val="auto"/>
                <w:kern w:val="0"/>
                <w:szCs w:val="21"/>
                <w:highlight w:val="none"/>
              </w:rPr>
            </w:pPr>
          </w:p>
        </w:tc>
        <w:tc>
          <w:tcPr>
            <w:tcW w:w="1244" w:type="dxa"/>
            <w:vAlign w:val="center"/>
          </w:tcPr>
          <w:p w14:paraId="29C8B17B">
            <w:pPr>
              <w:spacing w:line="262" w:lineRule="auto"/>
              <w:rPr>
                <w:rFonts w:ascii="宋体" w:hAnsi="宋体" w:cs="宋体"/>
                <w:b/>
                <w:bCs/>
                <w:color w:val="auto"/>
                <w:szCs w:val="21"/>
                <w:highlight w:val="none"/>
              </w:rPr>
            </w:pPr>
            <w:r>
              <w:rPr>
                <w:rFonts w:hint="eastAsia" w:ascii="宋体" w:hAnsi="宋体" w:cs="宋体"/>
                <w:b/>
                <w:bCs/>
                <w:color w:val="auto"/>
                <w:szCs w:val="21"/>
                <w:highlight w:val="none"/>
              </w:rPr>
              <w:t xml:space="preserve">设备能力 </w:t>
            </w:r>
          </w:p>
          <w:p w14:paraId="14660FC3">
            <w:pPr>
              <w:spacing w:line="262" w:lineRule="auto"/>
              <w:rPr>
                <w:color w:val="auto"/>
                <w:highlight w:val="none"/>
              </w:rPr>
            </w:pPr>
            <w:r>
              <w:rPr>
                <w:rFonts w:hint="eastAsia" w:ascii="宋体" w:hAnsi="宋体" w:cs="宋体"/>
                <w:b/>
                <w:bCs/>
                <w:color w:val="auto"/>
                <w:szCs w:val="21"/>
                <w:highlight w:val="none"/>
              </w:rPr>
              <w:t>（满分13分）</w:t>
            </w:r>
          </w:p>
        </w:tc>
        <w:tc>
          <w:tcPr>
            <w:tcW w:w="5665" w:type="dxa"/>
          </w:tcPr>
          <w:p w14:paraId="13E8D032">
            <w:pPr>
              <w:pStyle w:val="85"/>
              <w:ind w:firstLine="420"/>
              <w:rPr>
                <w:rFonts w:cs="宋体"/>
                <w:color w:val="auto"/>
                <w:sz w:val="21"/>
                <w:highlight w:val="none"/>
                <w:lang w:eastAsia="zh-CN"/>
              </w:rPr>
            </w:pPr>
            <w:r>
              <w:rPr>
                <w:rFonts w:hint="eastAsia" w:cs="宋体"/>
                <w:color w:val="auto"/>
                <w:sz w:val="21"/>
                <w:highlight w:val="none"/>
                <w:lang w:eastAsia="zh-CN"/>
              </w:rPr>
              <w:t>供应商拟投入以下任一类型的无人机：固定翼、垂起固定翼或旋翼无人机2套及以下的，每套得2分；每增加1套得3分。</w:t>
            </w:r>
            <w:r>
              <w:rPr>
                <w:rFonts w:hint="eastAsia" w:cs="宋体"/>
                <w:b/>
                <w:bCs/>
                <w:color w:val="auto"/>
                <w:sz w:val="21"/>
                <w:highlight w:val="none"/>
                <w:lang w:eastAsia="zh-CN"/>
              </w:rPr>
              <w:t>满分13分。</w:t>
            </w:r>
          </w:p>
          <w:p w14:paraId="1DDBEC60">
            <w:pPr>
              <w:pStyle w:val="85"/>
              <w:ind w:firstLine="420"/>
              <w:rPr>
                <w:color w:val="auto"/>
                <w:highlight w:val="none"/>
              </w:rPr>
            </w:pPr>
            <w:r>
              <w:rPr>
                <w:rFonts w:hint="eastAsia" w:cs="宋体"/>
                <w:color w:val="auto"/>
                <w:sz w:val="21"/>
                <w:highlight w:val="none"/>
                <w:lang w:eastAsia="zh-CN"/>
              </w:rPr>
              <w:t>注：相应文件中提供购置发票扫描件并加盖公章，发票须能体现供应商名称；</w:t>
            </w:r>
            <w:bookmarkStart w:id="58" w:name="OLE_LINK11"/>
            <w:bookmarkStart w:id="59" w:name="OLE_LINK12"/>
            <w:bookmarkStart w:id="60" w:name="OLE_LINK14"/>
            <w:bookmarkStart w:id="61" w:name="OLE_LINK19"/>
            <w:bookmarkStart w:id="62" w:name="OLE_LINK13"/>
            <w:r>
              <w:rPr>
                <w:rFonts w:hint="eastAsia" w:cs="宋体"/>
                <w:color w:val="auto"/>
                <w:sz w:val="21"/>
                <w:highlight w:val="none"/>
                <w:lang w:eastAsia="zh-CN"/>
              </w:rPr>
              <w:t>如自行研发生产固定翼、垂起固定翼或旋翼无人机的供应商</w:t>
            </w:r>
            <w:bookmarkEnd w:id="58"/>
            <w:bookmarkEnd w:id="59"/>
            <w:r>
              <w:rPr>
                <w:rFonts w:hint="eastAsia" w:cs="宋体"/>
                <w:color w:val="auto"/>
                <w:sz w:val="21"/>
                <w:highlight w:val="none"/>
                <w:lang w:eastAsia="zh-CN"/>
              </w:rPr>
              <w:t>，须提供拟投入本项目无人机的出厂合格证明和唯一产品识别码、有效期内无人机保险证明，保险证明须能体现投标人名称。</w:t>
            </w:r>
            <w:bookmarkEnd w:id="60"/>
            <w:bookmarkEnd w:id="61"/>
            <w:bookmarkEnd w:id="62"/>
            <w:r>
              <w:rPr>
                <w:rFonts w:hint="eastAsia" w:cs="宋体"/>
                <w:color w:val="auto"/>
                <w:sz w:val="21"/>
                <w:highlight w:val="none"/>
                <w:lang w:eastAsia="zh-CN"/>
              </w:rPr>
              <w:t>以上材料须提供原件或复印件扫描件并加盖公章。否则不得分。</w:t>
            </w:r>
            <w:r>
              <w:rPr>
                <w:rFonts w:hint="eastAsia" w:cs="宋体"/>
                <w:b/>
                <w:bCs/>
                <w:color w:val="auto"/>
                <w:sz w:val="21"/>
                <w:highlight w:val="none"/>
                <w:lang w:eastAsia="zh-CN"/>
              </w:rPr>
              <w:t>本项目要求拟投入的无人机必须专职为本项目服务，供应必须在首次响应文件中承诺拟投入人员在本项目首次响应文件提交截止时间后没有在其他项目合同期内执行飞行测量任务，否则不得分；如在签订合同前发现成交供应商虚假承诺，取消其成交供应商资格，没收竞标保证金，并上报同级监管部门。</w:t>
            </w:r>
          </w:p>
        </w:tc>
      </w:tr>
      <w:tr w14:paraId="71674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28" w:type="dxa"/>
            <w:gridSpan w:val="5"/>
            <w:vAlign w:val="center"/>
          </w:tcPr>
          <w:p w14:paraId="04300369">
            <w:pPr>
              <w:pStyle w:val="19"/>
              <w:spacing w:line="360" w:lineRule="auto"/>
              <w:rPr>
                <w:rFonts w:hAnsi="宋体" w:cs="宋体"/>
                <w:bCs/>
                <w:color w:val="auto"/>
                <w:kern w:val="2"/>
                <w:sz w:val="21"/>
                <w:highlight w:val="none"/>
              </w:rPr>
            </w:pPr>
            <w:r>
              <w:rPr>
                <w:rFonts w:hint="eastAsia" w:hAnsi="宋体" w:cs="宋体"/>
                <w:b/>
                <w:bCs/>
                <w:color w:val="auto"/>
                <w:kern w:val="2"/>
                <w:sz w:val="21"/>
                <w:highlight w:val="none"/>
              </w:rPr>
              <w:t>总得分=1+2+3。</w:t>
            </w:r>
          </w:p>
        </w:tc>
      </w:tr>
    </w:tbl>
    <w:p w14:paraId="75EFE933">
      <w:pPr>
        <w:rPr>
          <w:rFonts w:ascii="宋体" w:hAnsi="宋体" w:cs="宋体"/>
          <w:bCs/>
          <w:color w:val="auto"/>
          <w:szCs w:val="21"/>
          <w:highlight w:val="none"/>
        </w:rPr>
      </w:pPr>
    </w:p>
    <w:p w14:paraId="57BC94A9">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7. 供应商可以就本项目一个或多个分标竞标，一家供应商最多只能中一个分标，本项目评标顺序为分标1、2、3、4；如某供应商推荐为分标1第一成交候选供应商，则该供应商不进入后续分标成交候选供应商排名，依据评标顺序，后续分标成交候选供应商推荐以此类推。</w:t>
      </w:r>
    </w:p>
    <w:p w14:paraId="4E8B0E06">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由磋商小组根据综合评分情况，按照评审得分由高到低顺序推荐3名成交候选供应商，并编写评审报告。符合本章第2.7、3.7、4.3条情形的，可以推荐2家成交候选供应商。评审得分相同的，按照最后报价（不计算价格折扣）由低到高的顺序推荐。评审得分且最后报价（不计算价格折扣）相同的，按照技术分高低顺序推荐。</w:t>
      </w:r>
    </w:p>
    <w:p w14:paraId="01291466">
      <w:pPr>
        <w:rPr>
          <w:rFonts w:ascii="宋体" w:hAnsi="宋体" w:cs="宋体"/>
          <w:color w:val="auto"/>
          <w:highlight w:val="none"/>
        </w:rPr>
      </w:pPr>
    </w:p>
    <w:p w14:paraId="6A934A2B">
      <w:pPr>
        <w:pStyle w:val="2"/>
        <w:rPr>
          <w:rFonts w:ascii="宋体" w:hAnsi="宋体" w:cs="宋体"/>
          <w:color w:val="auto"/>
          <w:highlight w:val="none"/>
        </w:rPr>
      </w:pPr>
      <w:r>
        <w:rPr>
          <w:rFonts w:hint="eastAsia" w:ascii="宋体" w:hAnsi="宋体" w:cs="宋体"/>
          <w:color w:val="auto"/>
          <w:highlight w:val="none"/>
        </w:rPr>
        <w:br w:type="page"/>
      </w:r>
    </w:p>
    <w:p w14:paraId="609DC78F">
      <w:pPr>
        <w:pStyle w:val="2"/>
        <w:rPr>
          <w:rFonts w:ascii="宋体" w:hAnsi="宋体" w:cs="宋体"/>
          <w:color w:val="auto"/>
          <w:highlight w:val="none"/>
        </w:rPr>
      </w:pPr>
    </w:p>
    <w:p w14:paraId="57963490">
      <w:pPr>
        <w:pStyle w:val="2"/>
        <w:rPr>
          <w:rFonts w:ascii="宋体" w:hAnsi="宋体" w:cs="宋体"/>
          <w:color w:val="auto"/>
          <w:highlight w:val="none"/>
        </w:rPr>
      </w:pPr>
    </w:p>
    <w:p w14:paraId="297287B2">
      <w:pPr>
        <w:pStyle w:val="2"/>
        <w:rPr>
          <w:rFonts w:ascii="宋体" w:hAnsi="宋体" w:cs="宋体"/>
          <w:color w:val="auto"/>
          <w:highlight w:val="none"/>
        </w:rPr>
      </w:pPr>
    </w:p>
    <w:p w14:paraId="35E156B5">
      <w:pPr>
        <w:pStyle w:val="2"/>
        <w:rPr>
          <w:rFonts w:ascii="宋体" w:hAnsi="宋体" w:cs="宋体"/>
          <w:color w:val="auto"/>
          <w:highlight w:val="none"/>
        </w:rPr>
      </w:pPr>
      <w:bookmarkStart w:id="63" w:name="_Toc11011"/>
      <w:r>
        <w:rPr>
          <w:rFonts w:hint="eastAsia" w:ascii="宋体" w:hAnsi="宋体" w:cs="宋体"/>
          <w:color w:val="auto"/>
          <w:highlight w:val="none"/>
        </w:rPr>
        <w:t>第五章 响应文件格式</w:t>
      </w:r>
      <w:bookmarkEnd w:id="63"/>
    </w:p>
    <w:p w14:paraId="177D2DAD">
      <w:pPr>
        <w:spacing w:line="240" w:lineRule="atLeast"/>
        <w:rPr>
          <w:rFonts w:ascii="宋体" w:hAnsi="宋体" w:cs="宋体"/>
          <w:b/>
          <w:color w:val="auto"/>
          <w:sz w:val="32"/>
          <w:szCs w:val="32"/>
          <w:highlight w:val="none"/>
        </w:rPr>
      </w:pPr>
    </w:p>
    <w:p w14:paraId="2242DBA2">
      <w:pPr>
        <w:spacing w:line="240" w:lineRule="atLeast"/>
        <w:rPr>
          <w:rFonts w:ascii="宋体" w:hAnsi="宋体" w:cs="宋体"/>
          <w:b/>
          <w:color w:val="auto"/>
          <w:sz w:val="32"/>
          <w:szCs w:val="32"/>
          <w:highlight w:val="none"/>
        </w:rPr>
      </w:pPr>
    </w:p>
    <w:p w14:paraId="1EDF25FA">
      <w:pPr>
        <w:spacing w:line="240" w:lineRule="atLeast"/>
        <w:rPr>
          <w:rFonts w:ascii="宋体" w:hAnsi="宋体" w:cs="宋体"/>
          <w:b/>
          <w:color w:val="auto"/>
          <w:sz w:val="32"/>
          <w:szCs w:val="32"/>
          <w:highlight w:val="none"/>
        </w:rPr>
      </w:pPr>
    </w:p>
    <w:p w14:paraId="5E5A4FEC">
      <w:pPr>
        <w:spacing w:line="240" w:lineRule="atLeast"/>
        <w:rPr>
          <w:rFonts w:ascii="宋体" w:hAnsi="宋体" w:cs="宋体"/>
          <w:b/>
          <w:color w:val="auto"/>
          <w:sz w:val="32"/>
          <w:szCs w:val="32"/>
          <w:highlight w:val="none"/>
        </w:rPr>
      </w:pPr>
    </w:p>
    <w:p w14:paraId="40138D39">
      <w:pPr>
        <w:spacing w:line="240" w:lineRule="atLeast"/>
        <w:rPr>
          <w:rFonts w:ascii="宋体" w:hAnsi="宋体" w:cs="宋体"/>
          <w:b/>
          <w:color w:val="auto"/>
          <w:sz w:val="32"/>
          <w:szCs w:val="32"/>
          <w:highlight w:val="none"/>
        </w:rPr>
      </w:pPr>
    </w:p>
    <w:p w14:paraId="72DB5E52">
      <w:pPr>
        <w:spacing w:line="240" w:lineRule="atLeast"/>
        <w:rPr>
          <w:rFonts w:ascii="宋体" w:hAnsi="宋体" w:cs="宋体"/>
          <w:b/>
          <w:color w:val="auto"/>
          <w:sz w:val="32"/>
          <w:szCs w:val="32"/>
          <w:highlight w:val="none"/>
        </w:rPr>
      </w:pPr>
    </w:p>
    <w:p w14:paraId="387D5B51">
      <w:pPr>
        <w:spacing w:line="240" w:lineRule="atLeast"/>
        <w:rPr>
          <w:rFonts w:ascii="宋体" w:hAnsi="宋体" w:cs="宋体"/>
          <w:b/>
          <w:color w:val="auto"/>
          <w:sz w:val="32"/>
          <w:szCs w:val="32"/>
          <w:highlight w:val="none"/>
        </w:rPr>
      </w:pPr>
    </w:p>
    <w:p w14:paraId="76F708C7">
      <w:pPr>
        <w:spacing w:line="240" w:lineRule="atLeast"/>
        <w:rPr>
          <w:rFonts w:ascii="宋体" w:hAnsi="宋体" w:cs="宋体"/>
          <w:b/>
          <w:color w:val="auto"/>
          <w:sz w:val="32"/>
          <w:szCs w:val="32"/>
          <w:highlight w:val="none"/>
        </w:rPr>
      </w:pPr>
    </w:p>
    <w:p w14:paraId="02F67B69">
      <w:pPr>
        <w:spacing w:line="240" w:lineRule="atLeast"/>
        <w:rPr>
          <w:rFonts w:ascii="宋体" w:hAnsi="宋体" w:cs="宋体"/>
          <w:b/>
          <w:color w:val="auto"/>
          <w:sz w:val="32"/>
          <w:szCs w:val="32"/>
          <w:highlight w:val="none"/>
        </w:rPr>
      </w:pPr>
    </w:p>
    <w:p w14:paraId="7524278C">
      <w:pPr>
        <w:spacing w:line="240" w:lineRule="atLeast"/>
        <w:rPr>
          <w:rFonts w:ascii="宋体" w:hAnsi="宋体" w:cs="宋体"/>
          <w:bCs/>
          <w:color w:val="auto"/>
          <w:sz w:val="32"/>
          <w:szCs w:val="32"/>
          <w:highlight w:val="none"/>
        </w:rPr>
      </w:pPr>
    </w:p>
    <w:p w14:paraId="67AA85CC">
      <w:pPr>
        <w:rPr>
          <w:rFonts w:ascii="宋体" w:hAnsi="宋体" w:cs="宋体"/>
          <w:b/>
          <w:color w:val="auto"/>
          <w:sz w:val="32"/>
          <w:szCs w:val="32"/>
          <w:highlight w:val="none"/>
        </w:rPr>
      </w:pPr>
      <w:bookmarkStart w:id="64" w:name="_Toc35611516"/>
      <w:bookmarkStart w:id="65" w:name="_Toc44229899"/>
      <w:bookmarkStart w:id="66" w:name="_Toc31723070"/>
      <w:bookmarkStart w:id="67" w:name="_Toc35611438"/>
      <w:bookmarkStart w:id="68" w:name="_Toc31728084"/>
      <w:bookmarkStart w:id="69" w:name="_Toc71365925"/>
      <w:r>
        <w:rPr>
          <w:rFonts w:hint="eastAsia" w:ascii="宋体" w:hAnsi="宋体" w:cs="宋体"/>
          <w:b/>
          <w:color w:val="auto"/>
          <w:sz w:val="32"/>
          <w:szCs w:val="32"/>
          <w:highlight w:val="none"/>
        </w:rPr>
        <w:br w:type="page"/>
      </w:r>
      <w:r>
        <w:rPr>
          <w:rFonts w:hint="eastAsia" w:ascii="宋体" w:hAnsi="宋体" w:cs="宋体"/>
          <w:b/>
          <w:color w:val="auto"/>
          <w:sz w:val="32"/>
          <w:szCs w:val="32"/>
          <w:highlight w:val="none"/>
        </w:rPr>
        <w:t>一、资格证明文件格式</w:t>
      </w:r>
      <w:bookmarkEnd w:id="64"/>
      <w:bookmarkEnd w:id="65"/>
      <w:bookmarkEnd w:id="66"/>
      <w:bookmarkEnd w:id="67"/>
      <w:bookmarkEnd w:id="68"/>
      <w:bookmarkEnd w:id="69"/>
    </w:p>
    <w:p w14:paraId="37339167">
      <w:pPr>
        <w:snapToGrid w:val="0"/>
        <w:spacing w:before="156" w:beforeLines="50" w:after="50" w:line="360" w:lineRule="auto"/>
        <w:jc w:val="left"/>
        <w:rPr>
          <w:rFonts w:ascii="宋体" w:hAnsi="宋体" w:cs="宋体"/>
          <w:b/>
          <w:color w:val="auto"/>
          <w:sz w:val="24"/>
          <w:highlight w:val="none"/>
        </w:rPr>
      </w:pPr>
      <w:r>
        <w:rPr>
          <w:rFonts w:hint="eastAsia" w:ascii="宋体" w:hAnsi="宋体" w:cs="宋体"/>
          <w:b/>
          <w:color w:val="auto"/>
          <w:sz w:val="32"/>
          <w:szCs w:val="32"/>
          <w:highlight w:val="none"/>
        </w:rPr>
        <w:t>1.资格证明文件封面格式：</w:t>
      </w:r>
      <w:r>
        <w:rPr>
          <w:rFonts w:hint="eastAsia" w:ascii="宋体" w:hAnsi="宋体" w:cs="宋体"/>
          <w:b/>
          <w:color w:val="auto"/>
          <w:sz w:val="24"/>
          <w:highlight w:val="none"/>
        </w:rPr>
        <w:t xml:space="preserve"> </w:t>
      </w:r>
    </w:p>
    <w:p w14:paraId="4F272256">
      <w:pPr>
        <w:snapToGrid w:val="0"/>
        <w:spacing w:before="156" w:beforeLines="50" w:after="50"/>
        <w:rPr>
          <w:rFonts w:ascii="宋体" w:hAnsi="宋体" w:cs="宋体"/>
          <w:bCs/>
          <w:color w:val="auto"/>
          <w:sz w:val="32"/>
          <w:szCs w:val="20"/>
          <w:highlight w:val="none"/>
        </w:rPr>
      </w:pPr>
      <w:r>
        <w:rPr>
          <w:rFonts w:hint="eastAsia" w:ascii="宋体" w:hAnsi="宋体" w:cs="宋体"/>
          <w:color w:val="auto"/>
          <w:sz w:val="24"/>
          <w:highlight w:val="none"/>
        </w:rPr>
        <w:t xml:space="preserve">                                                    </w:t>
      </w:r>
    </w:p>
    <w:p w14:paraId="4E257B7F">
      <w:pPr>
        <w:snapToGrid w:val="0"/>
        <w:spacing w:before="156" w:beforeLines="50" w:after="50"/>
        <w:rPr>
          <w:rFonts w:ascii="宋体" w:hAnsi="宋体" w:cs="宋体"/>
          <w:color w:val="auto"/>
          <w:sz w:val="24"/>
          <w:szCs w:val="20"/>
          <w:highlight w:val="none"/>
        </w:rPr>
      </w:pPr>
    </w:p>
    <w:p w14:paraId="358A45EA">
      <w:pPr>
        <w:snapToGrid w:val="0"/>
        <w:spacing w:before="156" w:beforeLines="50" w:after="50"/>
        <w:jc w:val="center"/>
        <w:rPr>
          <w:rFonts w:ascii="宋体" w:hAnsi="宋体" w:cs="宋体"/>
          <w:bCs/>
          <w:color w:val="auto"/>
          <w:sz w:val="84"/>
          <w:szCs w:val="84"/>
          <w:highlight w:val="none"/>
        </w:rPr>
      </w:pPr>
      <w:r>
        <w:rPr>
          <w:rFonts w:hint="eastAsia" w:ascii="宋体" w:hAnsi="宋体" w:cs="宋体"/>
          <w:bCs/>
          <w:color w:val="auto"/>
          <w:sz w:val="84"/>
          <w:szCs w:val="84"/>
          <w:highlight w:val="none"/>
        </w:rPr>
        <w:t>响  应  文  件</w:t>
      </w:r>
    </w:p>
    <w:p w14:paraId="4B25990A">
      <w:pPr>
        <w:snapToGrid w:val="0"/>
        <w:spacing w:before="156" w:beforeLines="50" w:after="50"/>
        <w:jc w:val="center"/>
        <w:rPr>
          <w:rFonts w:ascii="宋体" w:hAnsi="宋体" w:cs="宋体"/>
          <w:bCs/>
          <w:color w:val="auto"/>
          <w:sz w:val="44"/>
          <w:szCs w:val="44"/>
          <w:highlight w:val="none"/>
        </w:rPr>
      </w:pPr>
    </w:p>
    <w:p w14:paraId="6D7CF17A">
      <w:pPr>
        <w:snapToGrid w:val="0"/>
        <w:spacing w:before="156" w:beforeLines="50" w:after="50"/>
        <w:jc w:val="center"/>
        <w:rPr>
          <w:rFonts w:ascii="宋体" w:hAnsi="宋体" w:cs="宋体"/>
          <w:bCs/>
          <w:color w:val="auto"/>
          <w:sz w:val="32"/>
          <w:szCs w:val="32"/>
          <w:highlight w:val="none"/>
        </w:rPr>
      </w:pPr>
      <w:r>
        <w:rPr>
          <w:rFonts w:hint="eastAsia" w:ascii="宋体" w:hAnsi="宋体" w:cs="宋体"/>
          <w:bCs/>
          <w:color w:val="auto"/>
          <w:sz w:val="32"/>
          <w:szCs w:val="32"/>
          <w:highlight w:val="none"/>
        </w:rPr>
        <w:t>资  格  证  明  文  件</w:t>
      </w:r>
    </w:p>
    <w:p w14:paraId="35012E89">
      <w:pPr>
        <w:snapToGrid w:val="0"/>
        <w:spacing w:before="156" w:beforeLines="50" w:after="50"/>
        <w:rPr>
          <w:rFonts w:ascii="宋体" w:hAnsi="宋体" w:cs="宋体"/>
          <w:bCs/>
          <w:color w:val="auto"/>
          <w:sz w:val="24"/>
          <w:szCs w:val="20"/>
          <w:highlight w:val="none"/>
        </w:rPr>
      </w:pPr>
    </w:p>
    <w:p w14:paraId="791B4080">
      <w:pPr>
        <w:snapToGrid w:val="0"/>
        <w:spacing w:before="156" w:beforeLines="50" w:after="50"/>
        <w:rPr>
          <w:rFonts w:ascii="宋体" w:hAnsi="宋体" w:cs="宋体"/>
          <w:bCs/>
          <w:color w:val="auto"/>
          <w:sz w:val="24"/>
          <w:szCs w:val="20"/>
          <w:highlight w:val="none"/>
        </w:rPr>
      </w:pPr>
    </w:p>
    <w:p w14:paraId="54399F52">
      <w:pPr>
        <w:snapToGrid w:val="0"/>
        <w:spacing w:before="156" w:beforeLines="50" w:after="50"/>
        <w:rPr>
          <w:rFonts w:ascii="宋体" w:hAnsi="宋体" w:cs="宋体"/>
          <w:bCs/>
          <w:color w:val="auto"/>
          <w:sz w:val="24"/>
          <w:szCs w:val="20"/>
          <w:highlight w:val="none"/>
        </w:rPr>
      </w:pPr>
    </w:p>
    <w:p w14:paraId="0049FD6D">
      <w:pPr>
        <w:snapToGrid w:val="0"/>
        <w:spacing w:before="156" w:beforeLines="50" w:after="50"/>
        <w:ind w:firstLine="640" w:firstLineChars="200"/>
        <w:rPr>
          <w:rFonts w:ascii="宋体" w:hAnsi="宋体" w:cs="宋体"/>
          <w:bCs/>
          <w:color w:val="auto"/>
          <w:sz w:val="32"/>
          <w:szCs w:val="32"/>
          <w:highlight w:val="none"/>
        </w:rPr>
      </w:pPr>
      <w:r>
        <w:rPr>
          <w:rFonts w:hint="eastAsia" w:ascii="宋体" w:hAnsi="宋体" w:cs="宋体"/>
          <w:bCs/>
          <w:color w:val="auto"/>
          <w:sz w:val="32"/>
          <w:szCs w:val="32"/>
          <w:highlight w:val="none"/>
        </w:rPr>
        <w:t>项目名称：</w:t>
      </w:r>
    </w:p>
    <w:p w14:paraId="537D3EBF">
      <w:pPr>
        <w:snapToGrid w:val="0"/>
        <w:spacing w:before="156" w:beforeLines="50" w:after="50"/>
        <w:ind w:firstLine="720" w:firstLineChars="225"/>
        <w:rPr>
          <w:rFonts w:ascii="宋体" w:hAnsi="宋体" w:cs="宋体"/>
          <w:bCs/>
          <w:color w:val="auto"/>
          <w:sz w:val="32"/>
          <w:szCs w:val="32"/>
          <w:highlight w:val="none"/>
        </w:rPr>
      </w:pPr>
    </w:p>
    <w:p w14:paraId="4B96AEC5">
      <w:pPr>
        <w:snapToGrid w:val="0"/>
        <w:spacing w:before="156" w:beforeLines="50" w:after="50"/>
        <w:ind w:firstLine="720" w:firstLineChars="225"/>
        <w:rPr>
          <w:rFonts w:ascii="宋体" w:hAnsi="宋体" w:cs="宋体"/>
          <w:bCs/>
          <w:color w:val="auto"/>
          <w:sz w:val="32"/>
          <w:szCs w:val="32"/>
          <w:highlight w:val="none"/>
        </w:rPr>
      </w:pPr>
      <w:r>
        <w:rPr>
          <w:rFonts w:hint="eastAsia" w:ascii="宋体" w:hAnsi="宋体" w:cs="宋体"/>
          <w:bCs/>
          <w:color w:val="auto"/>
          <w:sz w:val="32"/>
          <w:szCs w:val="32"/>
          <w:highlight w:val="none"/>
        </w:rPr>
        <w:t>项目编号：</w:t>
      </w:r>
    </w:p>
    <w:p w14:paraId="22D309B5">
      <w:pPr>
        <w:snapToGrid w:val="0"/>
        <w:spacing w:before="156" w:beforeLines="50" w:after="50"/>
        <w:ind w:firstLine="720" w:firstLineChars="225"/>
        <w:rPr>
          <w:rFonts w:ascii="宋体" w:hAnsi="宋体" w:cs="宋体"/>
          <w:bCs/>
          <w:color w:val="auto"/>
          <w:sz w:val="32"/>
          <w:szCs w:val="32"/>
          <w:highlight w:val="none"/>
        </w:rPr>
      </w:pPr>
      <w:r>
        <w:rPr>
          <w:rFonts w:hint="eastAsia" w:ascii="宋体" w:hAnsi="宋体" w:cs="宋体"/>
          <w:bCs/>
          <w:color w:val="auto"/>
          <w:sz w:val="32"/>
          <w:szCs w:val="32"/>
          <w:highlight w:val="none"/>
        </w:rPr>
        <w:t xml:space="preserve"> </w:t>
      </w:r>
    </w:p>
    <w:p w14:paraId="2FD6C95E">
      <w:pPr>
        <w:snapToGrid w:val="0"/>
        <w:spacing w:before="156" w:beforeLines="50" w:after="50"/>
        <w:ind w:firstLine="720" w:firstLineChars="225"/>
        <w:rPr>
          <w:rFonts w:ascii="宋体" w:hAnsi="宋体" w:cs="宋体"/>
          <w:bCs/>
          <w:color w:val="auto"/>
          <w:sz w:val="32"/>
          <w:szCs w:val="32"/>
          <w:highlight w:val="none"/>
        </w:rPr>
      </w:pPr>
      <w:r>
        <w:rPr>
          <w:rFonts w:hint="eastAsia" w:ascii="宋体" w:hAnsi="宋体" w:cs="宋体"/>
          <w:bCs/>
          <w:color w:val="auto"/>
          <w:sz w:val="32"/>
          <w:szCs w:val="32"/>
          <w:highlight w:val="none"/>
        </w:rPr>
        <w:t>所竞分标：</w:t>
      </w:r>
    </w:p>
    <w:p w14:paraId="2A527CEE">
      <w:pPr>
        <w:snapToGrid w:val="0"/>
        <w:spacing w:before="156" w:beforeLines="50" w:after="50"/>
        <w:ind w:firstLine="720" w:firstLineChars="225"/>
        <w:rPr>
          <w:rFonts w:ascii="宋体" w:hAnsi="宋体" w:cs="宋体"/>
          <w:bCs/>
          <w:color w:val="auto"/>
          <w:sz w:val="32"/>
          <w:szCs w:val="32"/>
          <w:highlight w:val="none"/>
        </w:rPr>
      </w:pPr>
    </w:p>
    <w:p w14:paraId="4835F326">
      <w:pPr>
        <w:pStyle w:val="7"/>
        <w:snapToGrid w:val="0"/>
        <w:spacing w:before="50" w:after="50"/>
        <w:ind w:firstLine="720" w:firstLineChars="225"/>
        <w:rPr>
          <w:rFonts w:ascii="宋体" w:hAnsi="宋体" w:cs="宋体"/>
          <w:bCs/>
          <w:color w:val="auto"/>
          <w:sz w:val="32"/>
          <w:szCs w:val="32"/>
          <w:highlight w:val="none"/>
        </w:rPr>
      </w:pPr>
      <w:r>
        <w:rPr>
          <w:rFonts w:hint="eastAsia" w:ascii="宋体" w:hAnsi="宋体" w:cs="宋体"/>
          <w:bCs/>
          <w:color w:val="auto"/>
          <w:sz w:val="32"/>
          <w:szCs w:val="32"/>
          <w:highlight w:val="none"/>
        </w:rPr>
        <w:t>供应商名称：</w:t>
      </w:r>
    </w:p>
    <w:p w14:paraId="36B1FF14">
      <w:pPr>
        <w:pStyle w:val="7"/>
        <w:snapToGrid w:val="0"/>
        <w:spacing w:before="50" w:after="50"/>
        <w:ind w:firstLine="720" w:firstLineChars="225"/>
        <w:rPr>
          <w:rFonts w:ascii="宋体" w:hAnsi="宋体" w:cs="宋体"/>
          <w:bCs/>
          <w:color w:val="auto"/>
          <w:sz w:val="32"/>
          <w:szCs w:val="32"/>
          <w:highlight w:val="none"/>
        </w:rPr>
      </w:pPr>
    </w:p>
    <w:p w14:paraId="382E338F">
      <w:pPr>
        <w:pStyle w:val="7"/>
        <w:snapToGrid w:val="0"/>
        <w:spacing w:before="50" w:after="50"/>
        <w:ind w:firstLine="720" w:firstLineChars="225"/>
        <w:rPr>
          <w:rFonts w:ascii="宋体" w:hAnsi="宋体" w:cs="宋体"/>
          <w:bCs/>
          <w:color w:val="auto"/>
          <w:sz w:val="32"/>
          <w:szCs w:val="32"/>
          <w:highlight w:val="none"/>
        </w:rPr>
      </w:pPr>
    </w:p>
    <w:p w14:paraId="336F48FC">
      <w:pPr>
        <w:pStyle w:val="7"/>
        <w:snapToGrid w:val="0"/>
        <w:spacing w:before="50" w:after="50"/>
        <w:ind w:firstLine="1280" w:firstLineChars="400"/>
        <w:rPr>
          <w:rFonts w:ascii="宋体" w:hAnsi="宋体" w:cs="宋体"/>
          <w:bCs/>
          <w:color w:val="auto"/>
          <w:sz w:val="32"/>
          <w:szCs w:val="32"/>
          <w:highlight w:val="none"/>
        </w:rPr>
      </w:pPr>
    </w:p>
    <w:p w14:paraId="089B09A3">
      <w:pPr>
        <w:snapToGrid w:val="0"/>
        <w:spacing w:before="156" w:beforeLines="50" w:after="50"/>
        <w:jc w:val="center"/>
        <w:rPr>
          <w:rFonts w:ascii="宋体" w:hAnsi="宋体" w:cs="宋体"/>
          <w:color w:val="auto"/>
          <w:sz w:val="32"/>
          <w:szCs w:val="32"/>
          <w:highlight w:val="none"/>
        </w:rPr>
      </w:pPr>
      <w:r>
        <w:rPr>
          <w:rFonts w:hint="eastAsia" w:ascii="宋体" w:hAnsi="宋体" w:cs="宋体"/>
          <w:color w:val="auto"/>
          <w:sz w:val="32"/>
          <w:szCs w:val="32"/>
          <w:highlight w:val="none"/>
        </w:rPr>
        <w:t>年    月    日</w:t>
      </w:r>
    </w:p>
    <w:p w14:paraId="054D1913">
      <w:pPr>
        <w:snapToGrid w:val="0"/>
        <w:spacing w:before="156" w:beforeLines="50" w:after="50" w:line="360" w:lineRule="auto"/>
        <w:ind w:left="142"/>
        <w:jc w:val="left"/>
        <w:rPr>
          <w:rFonts w:ascii="宋体" w:hAnsi="宋体" w:cs="宋体"/>
          <w:b/>
          <w:bCs/>
          <w:color w:val="auto"/>
          <w:sz w:val="32"/>
          <w:szCs w:val="32"/>
          <w:highlight w:val="none"/>
        </w:rPr>
      </w:pPr>
      <w:r>
        <w:rPr>
          <w:rFonts w:hint="eastAsia" w:ascii="宋体" w:hAnsi="宋体" w:cs="宋体"/>
          <w:color w:val="auto"/>
          <w:sz w:val="24"/>
          <w:highlight w:val="none"/>
        </w:rPr>
        <w:br w:type="page"/>
      </w:r>
      <w:r>
        <w:rPr>
          <w:rFonts w:hint="eastAsia" w:ascii="宋体" w:hAnsi="宋体" w:cs="宋体"/>
          <w:b/>
          <w:bCs/>
          <w:color w:val="auto"/>
          <w:sz w:val="32"/>
          <w:szCs w:val="32"/>
          <w:highlight w:val="none"/>
        </w:rPr>
        <w:t>2.资格证明文件目录</w:t>
      </w:r>
    </w:p>
    <w:p w14:paraId="5F2A1B91">
      <w:pPr>
        <w:snapToGrid w:val="0"/>
        <w:spacing w:before="156" w:beforeLines="50" w:after="50" w:line="360" w:lineRule="auto"/>
        <w:ind w:firstLine="645"/>
        <w:rPr>
          <w:rFonts w:ascii="宋体" w:hAnsi="宋体" w:cs="宋体"/>
          <w:color w:val="auto"/>
          <w:sz w:val="32"/>
          <w:szCs w:val="32"/>
          <w:highlight w:val="none"/>
        </w:rPr>
      </w:pPr>
      <w:r>
        <w:rPr>
          <w:rFonts w:hint="eastAsia" w:ascii="宋体" w:hAnsi="宋体" w:cs="宋体"/>
          <w:color w:val="auto"/>
          <w:sz w:val="32"/>
          <w:szCs w:val="32"/>
          <w:highlight w:val="none"/>
        </w:rPr>
        <w:t>根据磋商文件规定及供应商提供的材料自行编写目录（部分格式后附）。</w:t>
      </w:r>
    </w:p>
    <w:p w14:paraId="4DA91EF9">
      <w:pPr>
        <w:snapToGrid w:val="0"/>
        <w:spacing w:before="156" w:beforeLines="50" w:after="50"/>
        <w:rPr>
          <w:rFonts w:ascii="宋体" w:hAnsi="宋体" w:cs="宋体"/>
          <w:color w:val="auto"/>
          <w:sz w:val="24"/>
          <w:szCs w:val="20"/>
          <w:highlight w:val="none"/>
        </w:rPr>
      </w:pPr>
      <w:r>
        <w:rPr>
          <w:rFonts w:hint="eastAsia" w:ascii="宋体" w:hAnsi="宋体" w:cs="宋体"/>
          <w:color w:val="auto"/>
          <w:sz w:val="24"/>
          <w:szCs w:val="20"/>
          <w:highlight w:val="none"/>
        </w:rPr>
        <w:t xml:space="preserve"> </w:t>
      </w:r>
    </w:p>
    <w:p w14:paraId="37D79222">
      <w:pPr>
        <w:spacing w:line="300" w:lineRule="auto"/>
        <w:rPr>
          <w:rFonts w:ascii="宋体" w:hAnsi="宋体" w:cs="宋体"/>
          <w:color w:val="auto"/>
          <w:szCs w:val="21"/>
          <w:highlight w:val="none"/>
        </w:rPr>
      </w:pPr>
    </w:p>
    <w:p w14:paraId="6BF8FCB5">
      <w:pPr>
        <w:spacing w:line="300" w:lineRule="auto"/>
        <w:rPr>
          <w:rFonts w:ascii="宋体" w:hAnsi="宋体" w:cs="宋体"/>
          <w:color w:val="auto"/>
          <w:szCs w:val="21"/>
          <w:highlight w:val="none"/>
        </w:rPr>
      </w:pPr>
    </w:p>
    <w:p w14:paraId="27410594">
      <w:pPr>
        <w:spacing w:line="300" w:lineRule="auto"/>
        <w:rPr>
          <w:rFonts w:ascii="宋体" w:hAnsi="宋体" w:cs="宋体"/>
          <w:color w:val="auto"/>
          <w:szCs w:val="21"/>
          <w:highlight w:val="none"/>
        </w:rPr>
      </w:pPr>
    </w:p>
    <w:p w14:paraId="4FDF52E2">
      <w:pPr>
        <w:spacing w:line="300" w:lineRule="auto"/>
        <w:rPr>
          <w:rFonts w:ascii="宋体" w:hAnsi="宋体" w:cs="宋体"/>
          <w:color w:val="auto"/>
          <w:szCs w:val="21"/>
          <w:highlight w:val="none"/>
        </w:rPr>
      </w:pPr>
    </w:p>
    <w:p w14:paraId="72B736A6">
      <w:pPr>
        <w:spacing w:line="300" w:lineRule="auto"/>
        <w:rPr>
          <w:rFonts w:ascii="宋体" w:hAnsi="宋体" w:cs="宋体"/>
          <w:color w:val="auto"/>
          <w:szCs w:val="21"/>
          <w:highlight w:val="none"/>
        </w:rPr>
      </w:pPr>
    </w:p>
    <w:p w14:paraId="78A0A5F4">
      <w:pPr>
        <w:spacing w:line="300" w:lineRule="auto"/>
        <w:rPr>
          <w:rFonts w:ascii="宋体" w:hAnsi="宋体" w:cs="宋体"/>
          <w:color w:val="auto"/>
          <w:szCs w:val="21"/>
          <w:highlight w:val="none"/>
        </w:rPr>
      </w:pPr>
    </w:p>
    <w:p w14:paraId="727FCC4D">
      <w:pPr>
        <w:spacing w:line="300" w:lineRule="auto"/>
        <w:rPr>
          <w:rFonts w:ascii="宋体" w:hAnsi="宋体" w:cs="宋体"/>
          <w:color w:val="auto"/>
          <w:szCs w:val="21"/>
          <w:highlight w:val="none"/>
        </w:rPr>
      </w:pPr>
    </w:p>
    <w:p w14:paraId="13267FC8">
      <w:pPr>
        <w:spacing w:line="300" w:lineRule="auto"/>
        <w:rPr>
          <w:rFonts w:ascii="宋体" w:hAnsi="宋体" w:cs="宋体"/>
          <w:color w:val="auto"/>
          <w:szCs w:val="21"/>
          <w:highlight w:val="none"/>
        </w:rPr>
      </w:pPr>
    </w:p>
    <w:p w14:paraId="26B2696E">
      <w:pPr>
        <w:spacing w:line="300" w:lineRule="auto"/>
        <w:rPr>
          <w:rFonts w:ascii="宋体" w:hAnsi="宋体" w:cs="宋体"/>
          <w:color w:val="auto"/>
          <w:szCs w:val="21"/>
          <w:highlight w:val="none"/>
        </w:rPr>
      </w:pPr>
    </w:p>
    <w:p w14:paraId="7299A25C">
      <w:pPr>
        <w:spacing w:line="300" w:lineRule="auto"/>
        <w:rPr>
          <w:rFonts w:ascii="宋体" w:hAnsi="宋体" w:cs="宋体"/>
          <w:color w:val="auto"/>
          <w:szCs w:val="21"/>
          <w:highlight w:val="none"/>
        </w:rPr>
      </w:pPr>
    </w:p>
    <w:p w14:paraId="2DFA5482">
      <w:pPr>
        <w:spacing w:line="300" w:lineRule="auto"/>
        <w:rPr>
          <w:rFonts w:ascii="宋体" w:hAnsi="宋体" w:cs="宋体"/>
          <w:color w:val="auto"/>
          <w:szCs w:val="21"/>
          <w:highlight w:val="none"/>
        </w:rPr>
      </w:pPr>
    </w:p>
    <w:p w14:paraId="2FEFF1DD">
      <w:pPr>
        <w:spacing w:line="300" w:lineRule="auto"/>
        <w:rPr>
          <w:rFonts w:ascii="宋体" w:hAnsi="宋体" w:cs="宋体"/>
          <w:color w:val="auto"/>
          <w:szCs w:val="21"/>
          <w:highlight w:val="none"/>
        </w:rPr>
      </w:pPr>
    </w:p>
    <w:p w14:paraId="0B4B9C19">
      <w:pPr>
        <w:spacing w:line="300" w:lineRule="auto"/>
        <w:rPr>
          <w:rFonts w:ascii="宋体" w:hAnsi="宋体" w:cs="宋体"/>
          <w:color w:val="auto"/>
          <w:szCs w:val="21"/>
          <w:highlight w:val="none"/>
        </w:rPr>
      </w:pPr>
    </w:p>
    <w:p w14:paraId="58D0F189">
      <w:pPr>
        <w:spacing w:line="300" w:lineRule="auto"/>
        <w:rPr>
          <w:rFonts w:ascii="宋体" w:hAnsi="宋体" w:cs="宋体"/>
          <w:color w:val="auto"/>
          <w:szCs w:val="21"/>
          <w:highlight w:val="none"/>
        </w:rPr>
      </w:pPr>
    </w:p>
    <w:p w14:paraId="52DCCFFE">
      <w:pPr>
        <w:spacing w:line="300" w:lineRule="auto"/>
        <w:rPr>
          <w:rFonts w:ascii="宋体" w:hAnsi="宋体" w:cs="宋体"/>
          <w:color w:val="auto"/>
          <w:szCs w:val="21"/>
          <w:highlight w:val="none"/>
        </w:rPr>
      </w:pPr>
    </w:p>
    <w:p w14:paraId="7E0DF165">
      <w:pPr>
        <w:spacing w:line="320" w:lineRule="exact"/>
        <w:jc w:val="left"/>
        <w:rPr>
          <w:rFonts w:ascii="宋体" w:hAnsi="宋体" w:cs="宋体"/>
          <w:color w:val="auto"/>
          <w:szCs w:val="21"/>
          <w:highlight w:val="none"/>
        </w:rPr>
      </w:pPr>
      <w:r>
        <w:rPr>
          <w:rFonts w:hint="eastAsia" w:ascii="宋体" w:hAnsi="宋体" w:cs="宋体"/>
          <w:color w:val="auto"/>
          <w:szCs w:val="21"/>
          <w:highlight w:val="none"/>
        </w:rPr>
        <w:br w:type="page"/>
      </w:r>
      <w:r>
        <w:rPr>
          <w:rFonts w:hint="eastAsia" w:ascii="宋体" w:hAnsi="宋体" w:cs="宋体"/>
          <w:color w:val="auto"/>
          <w:szCs w:val="21"/>
          <w:highlight w:val="none"/>
        </w:rPr>
        <w:t xml:space="preserve"> </w:t>
      </w:r>
    </w:p>
    <w:p w14:paraId="44FD68D6">
      <w:pPr>
        <w:wordWrap w:val="0"/>
        <w:spacing w:before="156" w:beforeLines="50" w:after="50" w:line="320" w:lineRule="exact"/>
        <w:ind w:right="482" w:firstLine="210" w:firstLineChars="100"/>
        <w:contextualSpacing/>
        <w:jc w:val="center"/>
        <w:rPr>
          <w:rFonts w:ascii="宋体" w:hAnsi="宋体" w:cs="宋体"/>
          <w:color w:val="auto"/>
          <w:szCs w:val="21"/>
          <w:highlight w:val="none"/>
        </w:rPr>
      </w:pPr>
    </w:p>
    <w:p w14:paraId="519BF8C1">
      <w:pPr>
        <w:spacing w:line="320" w:lineRule="exact"/>
        <w:jc w:val="center"/>
        <w:rPr>
          <w:rFonts w:ascii="宋体" w:hAnsi="宋体" w:cs="宋体"/>
          <w:b/>
          <w:color w:val="auto"/>
          <w:sz w:val="32"/>
          <w:szCs w:val="32"/>
          <w:highlight w:val="none"/>
        </w:rPr>
      </w:pPr>
      <w:r>
        <w:rPr>
          <w:rFonts w:hint="eastAsia" w:ascii="宋体" w:hAnsi="宋体" w:cs="宋体"/>
          <w:b/>
          <w:color w:val="auto"/>
          <w:sz w:val="32"/>
          <w:szCs w:val="32"/>
          <w:highlight w:val="none"/>
        </w:rPr>
        <w:t>供应商直接控股、管理关系信息表</w:t>
      </w:r>
    </w:p>
    <w:p w14:paraId="3F21A0FF">
      <w:pPr>
        <w:snapToGrid w:val="0"/>
        <w:spacing w:before="156" w:beforeLines="50" w:after="50" w:line="360" w:lineRule="auto"/>
        <w:jc w:val="center"/>
        <w:rPr>
          <w:rFonts w:ascii="宋体" w:hAnsi="宋体" w:cs="宋体"/>
          <w:b/>
          <w:color w:val="auto"/>
          <w:sz w:val="24"/>
          <w:highlight w:val="none"/>
        </w:rPr>
      </w:pPr>
    </w:p>
    <w:p w14:paraId="078BA983">
      <w:pPr>
        <w:spacing w:line="360" w:lineRule="auto"/>
        <w:contextualSpacing/>
        <w:jc w:val="center"/>
        <w:rPr>
          <w:rFonts w:ascii="宋体" w:hAnsi="宋体" w:cs="宋体"/>
          <w:b/>
          <w:color w:val="auto"/>
          <w:sz w:val="32"/>
          <w:szCs w:val="32"/>
          <w:highlight w:val="none"/>
        </w:rPr>
      </w:pPr>
      <w:r>
        <w:rPr>
          <w:rFonts w:hint="eastAsia" w:ascii="宋体" w:hAnsi="宋体" w:cs="宋体"/>
          <w:b/>
          <w:color w:val="auto"/>
          <w:sz w:val="32"/>
          <w:szCs w:val="32"/>
          <w:highlight w:val="none"/>
        </w:rPr>
        <w:t>供应商直接控股股东信息表</w:t>
      </w:r>
    </w:p>
    <w:p w14:paraId="317BE5A0">
      <w:pPr>
        <w:spacing w:line="360" w:lineRule="auto"/>
        <w:contextualSpacing/>
        <w:jc w:val="center"/>
        <w:rPr>
          <w:rFonts w:ascii="宋体" w:hAnsi="宋体" w:cs="宋体"/>
          <w:b/>
          <w:color w:val="auto"/>
          <w:sz w:val="24"/>
          <w:highlight w:val="none"/>
        </w:rPr>
      </w:pPr>
    </w:p>
    <w:tbl>
      <w:tblPr>
        <w:tblStyle w:val="33"/>
        <w:tblW w:w="0" w:type="auto"/>
        <w:jc w:val="center"/>
        <w:shd w:val="clear" w:color="auto" w:fill="FBFBFB"/>
        <w:tblLayout w:type="fixed"/>
        <w:tblCellMar>
          <w:top w:w="0" w:type="dxa"/>
          <w:left w:w="0" w:type="dxa"/>
          <w:bottom w:w="0" w:type="dxa"/>
          <w:right w:w="0" w:type="dxa"/>
        </w:tblCellMar>
      </w:tblPr>
      <w:tblGrid>
        <w:gridCol w:w="880"/>
        <w:gridCol w:w="2655"/>
        <w:gridCol w:w="1455"/>
        <w:gridCol w:w="4287"/>
        <w:gridCol w:w="870"/>
      </w:tblGrid>
      <w:tr w14:paraId="01A3370C">
        <w:tblPrEx>
          <w:shd w:val="clear" w:color="auto" w:fill="FBFBFB"/>
          <w:tblCellMar>
            <w:top w:w="0" w:type="dxa"/>
            <w:left w:w="0" w:type="dxa"/>
            <w:bottom w:w="0" w:type="dxa"/>
            <w:right w:w="0" w:type="dxa"/>
          </w:tblCellMar>
        </w:tblPrEx>
        <w:trPr>
          <w:tblHeade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F220213">
            <w:pPr>
              <w:widowControl/>
              <w:spacing w:line="360" w:lineRule="auto"/>
              <w:contextualSpacing/>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8154CA2">
            <w:pPr>
              <w:widowControl/>
              <w:spacing w:line="360" w:lineRule="auto"/>
              <w:contextualSpacing/>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直接控股股东名称</w:t>
            </w: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9388B24">
            <w:pPr>
              <w:widowControl/>
              <w:spacing w:line="360" w:lineRule="auto"/>
              <w:contextualSpacing/>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出资比例</w:t>
            </w: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A271E70">
            <w:pPr>
              <w:widowControl/>
              <w:spacing w:line="360" w:lineRule="auto"/>
              <w:contextualSpacing/>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身份证号码或者统一社会信用代码</w:t>
            </w: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56FD3C9">
            <w:pPr>
              <w:widowControl/>
              <w:spacing w:line="360" w:lineRule="auto"/>
              <w:contextualSpacing/>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14:paraId="00E962B4">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8FEF801">
            <w:pPr>
              <w:widowControl/>
              <w:spacing w:line="360" w:lineRule="auto"/>
              <w:contextualSpacing/>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3C2BE83">
            <w:pPr>
              <w:widowControl/>
              <w:spacing w:line="360" w:lineRule="auto"/>
              <w:contextualSpacing/>
              <w:jc w:val="center"/>
              <w:rPr>
                <w:rFonts w:ascii="宋体" w:hAnsi="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D6756C2">
            <w:pPr>
              <w:widowControl/>
              <w:spacing w:line="360" w:lineRule="auto"/>
              <w:contextualSpacing/>
              <w:jc w:val="center"/>
              <w:rPr>
                <w:rFonts w:ascii="宋体" w:hAnsi="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70BBB8C">
            <w:pPr>
              <w:widowControl/>
              <w:spacing w:line="360" w:lineRule="auto"/>
              <w:contextualSpacing/>
              <w:jc w:val="center"/>
              <w:rPr>
                <w:rFonts w:ascii="宋体" w:hAnsi="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93DD658">
            <w:pPr>
              <w:widowControl/>
              <w:spacing w:line="360" w:lineRule="auto"/>
              <w:contextualSpacing/>
              <w:jc w:val="center"/>
              <w:rPr>
                <w:rFonts w:ascii="宋体" w:hAnsi="宋体" w:cs="宋体"/>
                <w:color w:val="auto"/>
                <w:kern w:val="0"/>
                <w:sz w:val="24"/>
                <w:highlight w:val="none"/>
              </w:rPr>
            </w:pPr>
          </w:p>
        </w:tc>
      </w:tr>
      <w:tr w14:paraId="03CF3E2D">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FEC9180">
            <w:pPr>
              <w:widowControl/>
              <w:spacing w:line="360" w:lineRule="auto"/>
              <w:contextualSpacing/>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4A66ED1">
            <w:pPr>
              <w:widowControl/>
              <w:spacing w:line="360" w:lineRule="auto"/>
              <w:contextualSpacing/>
              <w:jc w:val="center"/>
              <w:rPr>
                <w:rFonts w:ascii="宋体" w:hAnsi="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22BE9B1">
            <w:pPr>
              <w:widowControl/>
              <w:spacing w:line="360" w:lineRule="auto"/>
              <w:contextualSpacing/>
              <w:jc w:val="center"/>
              <w:rPr>
                <w:rFonts w:ascii="宋体" w:hAnsi="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794D4BF">
            <w:pPr>
              <w:widowControl/>
              <w:spacing w:line="360" w:lineRule="auto"/>
              <w:contextualSpacing/>
              <w:jc w:val="center"/>
              <w:rPr>
                <w:rFonts w:ascii="宋体" w:hAnsi="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E382D48">
            <w:pPr>
              <w:widowControl/>
              <w:spacing w:line="360" w:lineRule="auto"/>
              <w:contextualSpacing/>
              <w:jc w:val="center"/>
              <w:rPr>
                <w:rFonts w:ascii="宋体" w:hAnsi="宋体" w:cs="宋体"/>
                <w:color w:val="auto"/>
                <w:kern w:val="0"/>
                <w:sz w:val="24"/>
                <w:highlight w:val="none"/>
              </w:rPr>
            </w:pPr>
          </w:p>
        </w:tc>
      </w:tr>
      <w:tr w14:paraId="61FC4384">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E4604F0">
            <w:pPr>
              <w:widowControl/>
              <w:spacing w:line="360" w:lineRule="auto"/>
              <w:contextualSpacing/>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6397F91">
            <w:pPr>
              <w:widowControl/>
              <w:spacing w:line="360" w:lineRule="auto"/>
              <w:contextualSpacing/>
              <w:jc w:val="center"/>
              <w:rPr>
                <w:rFonts w:ascii="宋体" w:hAnsi="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3F1F0CF">
            <w:pPr>
              <w:widowControl/>
              <w:spacing w:line="360" w:lineRule="auto"/>
              <w:contextualSpacing/>
              <w:jc w:val="center"/>
              <w:rPr>
                <w:rFonts w:ascii="宋体" w:hAnsi="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8D05246">
            <w:pPr>
              <w:widowControl/>
              <w:spacing w:line="360" w:lineRule="auto"/>
              <w:contextualSpacing/>
              <w:jc w:val="center"/>
              <w:rPr>
                <w:rFonts w:ascii="宋体" w:hAnsi="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DB2BF57">
            <w:pPr>
              <w:widowControl/>
              <w:spacing w:line="360" w:lineRule="auto"/>
              <w:contextualSpacing/>
              <w:jc w:val="center"/>
              <w:rPr>
                <w:rFonts w:ascii="宋体" w:hAnsi="宋体" w:cs="宋体"/>
                <w:color w:val="auto"/>
                <w:kern w:val="0"/>
                <w:sz w:val="24"/>
                <w:highlight w:val="none"/>
              </w:rPr>
            </w:pPr>
          </w:p>
        </w:tc>
      </w:tr>
      <w:tr w14:paraId="0E139BA6">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3377F25">
            <w:pPr>
              <w:widowControl/>
              <w:spacing w:line="360" w:lineRule="auto"/>
              <w:contextualSpacing/>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E223747">
            <w:pPr>
              <w:widowControl/>
              <w:spacing w:line="360" w:lineRule="auto"/>
              <w:contextualSpacing/>
              <w:jc w:val="center"/>
              <w:rPr>
                <w:rFonts w:ascii="宋体" w:hAnsi="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E49965F">
            <w:pPr>
              <w:widowControl/>
              <w:spacing w:line="360" w:lineRule="auto"/>
              <w:contextualSpacing/>
              <w:jc w:val="center"/>
              <w:rPr>
                <w:rFonts w:ascii="宋体" w:hAnsi="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177A2E2">
            <w:pPr>
              <w:widowControl/>
              <w:spacing w:line="360" w:lineRule="auto"/>
              <w:contextualSpacing/>
              <w:jc w:val="center"/>
              <w:rPr>
                <w:rFonts w:ascii="宋体" w:hAnsi="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D01403F">
            <w:pPr>
              <w:widowControl/>
              <w:spacing w:line="360" w:lineRule="auto"/>
              <w:contextualSpacing/>
              <w:jc w:val="center"/>
              <w:rPr>
                <w:rFonts w:ascii="宋体" w:hAnsi="宋体" w:cs="宋体"/>
                <w:color w:val="auto"/>
                <w:kern w:val="0"/>
                <w:sz w:val="24"/>
                <w:highlight w:val="none"/>
              </w:rPr>
            </w:pPr>
          </w:p>
        </w:tc>
      </w:tr>
    </w:tbl>
    <w:p w14:paraId="33AE7FD7">
      <w:pPr>
        <w:spacing w:line="360" w:lineRule="auto"/>
        <w:contextualSpacing/>
        <w:jc w:val="left"/>
        <w:rPr>
          <w:rFonts w:ascii="宋体" w:hAnsi="宋体" w:cs="宋体"/>
          <w:color w:val="auto"/>
          <w:sz w:val="24"/>
          <w:highlight w:val="none"/>
        </w:rPr>
      </w:pPr>
      <w:r>
        <w:rPr>
          <w:rFonts w:hint="eastAsia" w:ascii="宋体" w:hAnsi="宋体" w:cs="宋体"/>
          <w:color w:val="auto"/>
          <w:sz w:val="24"/>
          <w:highlight w:val="none"/>
        </w:rPr>
        <w:t>注：</w:t>
      </w:r>
    </w:p>
    <w:p w14:paraId="6D638100">
      <w:pPr>
        <w:spacing w:line="360" w:lineRule="auto"/>
        <w:ind w:firstLine="480" w:firstLineChars="200"/>
        <w:contextualSpacing/>
        <w:jc w:val="left"/>
        <w:rPr>
          <w:rFonts w:ascii="宋体" w:hAnsi="宋体" w:cs="宋体"/>
          <w:color w:val="auto"/>
          <w:sz w:val="24"/>
          <w:highlight w:val="none"/>
        </w:rPr>
      </w:pPr>
      <w:r>
        <w:rPr>
          <w:rFonts w:hint="eastAsia" w:ascii="宋体" w:hAnsi="宋体" w:cs="宋体"/>
          <w:color w:val="auto"/>
          <w:sz w:val="24"/>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6995947B">
      <w:pPr>
        <w:spacing w:line="360" w:lineRule="auto"/>
        <w:ind w:firstLine="480" w:firstLineChars="200"/>
        <w:contextualSpacing/>
        <w:jc w:val="left"/>
        <w:rPr>
          <w:rFonts w:ascii="宋体" w:hAnsi="宋体" w:cs="宋体"/>
          <w:color w:val="auto"/>
          <w:sz w:val="24"/>
          <w:highlight w:val="none"/>
        </w:rPr>
      </w:pPr>
      <w:r>
        <w:rPr>
          <w:rFonts w:hint="eastAsia" w:ascii="宋体" w:hAnsi="宋体" w:cs="宋体"/>
          <w:color w:val="auto"/>
          <w:sz w:val="24"/>
          <w:highlight w:val="none"/>
        </w:rPr>
        <w:t>2.本表所指的控股关系仅限于直接控股关系，不包括间接的控股关系。公司实际控制人与公司之间的关系不属于本表所指的直接控股关系。</w:t>
      </w:r>
    </w:p>
    <w:p w14:paraId="20EF62F6">
      <w:pPr>
        <w:spacing w:line="360" w:lineRule="auto"/>
        <w:ind w:firstLine="480" w:firstLineChars="200"/>
        <w:contextualSpacing/>
        <w:jc w:val="left"/>
        <w:rPr>
          <w:rFonts w:ascii="宋体" w:hAnsi="宋体" w:cs="宋体"/>
          <w:color w:val="auto"/>
          <w:sz w:val="24"/>
          <w:highlight w:val="none"/>
        </w:rPr>
      </w:pPr>
      <w:r>
        <w:rPr>
          <w:rFonts w:hint="eastAsia" w:ascii="宋体" w:hAnsi="宋体" w:cs="宋体"/>
          <w:color w:val="auto"/>
          <w:sz w:val="24"/>
          <w:highlight w:val="none"/>
        </w:rPr>
        <w:t>3.供应商不存在直接控股股东的，则填“无”。</w:t>
      </w:r>
    </w:p>
    <w:p w14:paraId="185F60D0">
      <w:pPr>
        <w:snapToGrid w:val="0"/>
        <w:spacing w:line="360" w:lineRule="auto"/>
        <w:jc w:val="left"/>
        <w:rPr>
          <w:rFonts w:ascii="宋体" w:hAnsi="宋体" w:cs="宋体"/>
          <w:color w:val="auto"/>
          <w:sz w:val="24"/>
          <w:highlight w:val="none"/>
        </w:rPr>
      </w:pPr>
    </w:p>
    <w:p w14:paraId="3B4ACADD">
      <w:pPr>
        <w:snapToGrid w:val="0"/>
        <w:spacing w:line="360" w:lineRule="auto"/>
        <w:jc w:val="left"/>
        <w:rPr>
          <w:rFonts w:ascii="宋体" w:hAnsi="宋体" w:cs="宋体"/>
          <w:color w:val="auto"/>
          <w:sz w:val="24"/>
          <w:highlight w:val="none"/>
        </w:rPr>
      </w:pPr>
    </w:p>
    <w:p w14:paraId="6A1E7F2B">
      <w:pPr>
        <w:snapToGrid w:val="0"/>
        <w:spacing w:line="360" w:lineRule="auto"/>
        <w:jc w:val="left"/>
        <w:rPr>
          <w:rFonts w:ascii="宋体" w:hAnsi="宋体" w:cs="宋体"/>
          <w:color w:val="auto"/>
          <w:sz w:val="24"/>
          <w:highlight w:val="none"/>
        </w:rPr>
      </w:pPr>
    </w:p>
    <w:p w14:paraId="5FFDFA28">
      <w:pPr>
        <w:snapToGrid w:val="0"/>
        <w:spacing w:before="156" w:beforeLines="50" w:line="360" w:lineRule="auto"/>
        <w:ind w:right="480" w:firstLine="3480" w:firstLineChars="1450"/>
        <w:rPr>
          <w:rFonts w:ascii="宋体" w:hAnsi="宋体" w:cs="宋体"/>
          <w:color w:val="auto"/>
          <w:sz w:val="24"/>
          <w:highlight w:val="none"/>
          <w:u w:val="single"/>
        </w:rPr>
      </w:pPr>
      <w:r>
        <w:rPr>
          <w:rFonts w:hint="eastAsia" w:ascii="宋体" w:hAnsi="宋体" w:cs="宋体"/>
          <w:color w:val="auto"/>
          <w:sz w:val="24"/>
          <w:highlight w:val="none"/>
        </w:rPr>
        <w:t>法定代表人或者委托代理人签字：</w:t>
      </w:r>
      <w:r>
        <w:rPr>
          <w:rFonts w:hint="eastAsia" w:ascii="宋体" w:hAnsi="宋体" w:cs="宋体"/>
          <w:color w:val="auto"/>
          <w:sz w:val="24"/>
          <w:highlight w:val="none"/>
          <w:u w:val="single"/>
        </w:rPr>
        <w:t xml:space="preserve">                </w:t>
      </w:r>
    </w:p>
    <w:p w14:paraId="163525E4">
      <w:pPr>
        <w:snapToGrid w:val="0"/>
        <w:spacing w:before="156" w:beforeLines="50" w:after="50" w:line="360" w:lineRule="auto"/>
        <w:ind w:right="480" w:firstLine="3480" w:firstLineChars="1450"/>
        <w:rPr>
          <w:rFonts w:ascii="宋体" w:hAnsi="宋体" w:cs="宋体"/>
          <w:color w:val="auto"/>
          <w:sz w:val="24"/>
          <w:highlight w:val="none"/>
          <w:u w:val="single"/>
        </w:rPr>
      </w:pPr>
      <w:r>
        <w:rPr>
          <w:rFonts w:hint="eastAsia" w:ascii="宋体" w:hAnsi="宋体" w:cs="宋体"/>
          <w:color w:val="auto"/>
          <w:sz w:val="24"/>
          <w:highlight w:val="none"/>
        </w:rPr>
        <w:t>供应商（盖公章 ）：</w:t>
      </w:r>
      <w:r>
        <w:rPr>
          <w:rFonts w:hint="eastAsia" w:ascii="宋体" w:hAnsi="宋体" w:cs="宋体"/>
          <w:color w:val="auto"/>
          <w:sz w:val="24"/>
          <w:highlight w:val="none"/>
          <w:u w:val="single"/>
        </w:rPr>
        <w:t xml:space="preserve">                           </w:t>
      </w:r>
    </w:p>
    <w:p w14:paraId="7F488CAC">
      <w:pPr>
        <w:snapToGrid w:val="0"/>
        <w:spacing w:before="156" w:beforeLines="50" w:after="50" w:line="360" w:lineRule="auto"/>
        <w:ind w:right="480" w:firstLine="5280" w:firstLineChars="2200"/>
        <w:rPr>
          <w:rFonts w:ascii="宋体" w:hAnsi="宋体" w:cs="宋体"/>
          <w:color w:val="auto"/>
          <w:sz w:val="28"/>
          <w:szCs w:val="28"/>
          <w:highlight w:val="none"/>
        </w:rPr>
      </w:pPr>
      <w:r>
        <w:rPr>
          <w:rFonts w:hint="eastAsia" w:ascii="宋体" w:hAnsi="宋体" w:cs="宋体"/>
          <w:color w:val="auto"/>
          <w:sz w:val="24"/>
          <w:highlight w:val="none"/>
        </w:rPr>
        <w:t>年    月    日</w:t>
      </w:r>
    </w:p>
    <w:p w14:paraId="6EB7637C">
      <w:pPr>
        <w:snapToGrid w:val="0"/>
        <w:jc w:val="center"/>
        <w:rPr>
          <w:rFonts w:ascii="宋体" w:hAnsi="宋体" w:cs="宋体"/>
          <w:b/>
          <w:color w:val="auto"/>
          <w:sz w:val="28"/>
          <w:szCs w:val="28"/>
          <w:highlight w:val="none"/>
        </w:rPr>
      </w:pPr>
      <w:r>
        <w:rPr>
          <w:rFonts w:hint="eastAsia" w:ascii="宋体" w:hAnsi="宋体" w:cs="宋体"/>
          <w:b/>
          <w:color w:val="auto"/>
          <w:sz w:val="28"/>
          <w:szCs w:val="28"/>
          <w:highlight w:val="none"/>
        </w:rPr>
        <w:br w:type="page"/>
      </w:r>
    </w:p>
    <w:p w14:paraId="1D59C5FB">
      <w:pPr>
        <w:spacing w:line="320" w:lineRule="exact"/>
        <w:jc w:val="center"/>
        <w:rPr>
          <w:rFonts w:ascii="宋体" w:hAnsi="宋体" w:cs="宋体"/>
          <w:b/>
          <w:color w:val="auto"/>
          <w:sz w:val="32"/>
          <w:szCs w:val="32"/>
          <w:highlight w:val="none"/>
        </w:rPr>
      </w:pPr>
      <w:r>
        <w:rPr>
          <w:rFonts w:hint="eastAsia" w:ascii="宋体" w:hAnsi="宋体" w:cs="宋体"/>
          <w:b/>
          <w:color w:val="auto"/>
          <w:sz w:val="32"/>
          <w:szCs w:val="32"/>
          <w:highlight w:val="none"/>
        </w:rPr>
        <w:t>供应商直接管理关系信息表</w:t>
      </w:r>
    </w:p>
    <w:p w14:paraId="5DD8BF63">
      <w:pPr>
        <w:snapToGrid w:val="0"/>
        <w:spacing w:line="360" w:lineRule="auto"/>
        <w:jc w:val="center"/>
        <w:rPr>
          <w:rFonts w:ascii="宋体" w:hAnsi="宋体" w:cs="宋体"/>
          <w:b/>
          <w:color w:val="auto"/>
          <w:sz w:val="24"/>
          <w:highlight w:val="none"/>
        </w:rPr>
      </w:pPr>
    </w:p>
    <w:tbl>
      <w:tblPr>
        <w:tblStyle w:val="33"/>
        <w:tblW w:w="0" w:type="auto"/>
        <w:jc w:val="center"/>
        <w:shd w:val="clear" w:color="auto" w:fill="FBFBFB"/>
        <w:tblLayout w:type="fixed"/>
        <w:tblCellMar>
          <w:top w:w="0" w:type="dxa"/>
          <w:left w:w="0" w:type="dxa"/>
          <w:bottom w:w="0" w:type="dxa"/>
          <w:right w:w="0" w:type="dxa"/>
        </w:tblCellMar>
      </w:tblPr>
      <w:tblGrid>
        <w:gridCol w:w="808"/>
        <w:gridCol w:w="3600"/>
        <w:gridCol w:w="3555"/>
        <w:gridCol w:w="1689"/>
      </w:tblGrid>
      <w:tr w14:paraId="57256823">
        <w:tblPrEx>
          <w:shd w:val="clear" w:color="auto" w:fill="FBFBFB"/>
          <w:tblCellMar>
            <w:top w:w="0" w:type="dxa"/>
            <w:left w:w="0" w:type="dxa"/>
            <w:bottom w:w="0" w:type="dxa"/>
            <w:right w:w="0" w:type="dxa"/>
          </w:tblCellMar>
        </w:tblPrEx>
        <w:trPr>
          <w:tblHeade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E964D1F">
            <w:pPr>
              <w:widowControl/>
              <w:spacing w:line="360" w:lineRule="auto"/>
              <w:contextualSpacing/>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66FFFFA">
            <w:pPr>
              <w:widowControl/>
              <w:spacing w:line="360" w:lineRule="auto"/>
              <w:contextualSpacing/>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直接管理关系单位名称</w:t>
            </w: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DFD12A6">
            <w:pPr>
              <w:widowControl/>
              <w:spacing w:line="360" w:lineRule="auto"/>
              <w:contextualSpacing/>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统一社会信用代码</w:t>
            </w: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DCD044B">
            <w:pPr>
              <w:widowControl/>
              <w:spacing w:line="360" w:lineRule="auto"/>
              <w:contextualSpacing/>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14:paraId="077BE8D1">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F68D209">
            <w:pPr>
              <w:widowControl/>
              <w:spacing w:line="360" w:lineRule="auto"/>
              <w:contextualSpacing/>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C411888">
            <w:pPr>
              <w:widowControl/>
              <w:spacing w:line="360" w:lineRule="auto"/>
              <w:contextualSpacing/>
              <w:jc w:val="center"/>
              <w:rPr>
                <w:rFonts w:ascii="宋体" w:hAnsi="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681E613">
            <w:pPr>
              <w:widowControl/>
              <w:spacing w:line="360" w:lineRule="auto"/>
              <w:contextualSpacing/>
              <w:jc w:val="center"/>
              <w:rPr>
                <w:rFonts w:ascii="宋体" w:hAnsi="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3D2B109">
            <w:pPr>
              <w:widowControl/>
              <w:spacing w:line="360" w:lineRule="auto"/>
              <w:contextualSpacing/>
              <w:jc w:val="center"/>
              <w:rPr>
                <w:rFonts w:ascii="宋体" w:hAnsi="宋体" w:cs="宋体"/>
                <w:color w:val="auto"/>
                <w:kern w:val="0"/>
                <w:sz w:val="24"/>
                <w:highlight w:val="none"/>
              </w:rPr>
            </w:pPr>
          </w:p>
        </w:tc>
      </w:tr>
      <w:tr w14:paraId="3FE556E3">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BD8D340">
            <w:pPr>
              <w:widowControl/>
              <w:spacing w:line="360" w:lineRule="auto"/>
              <w:contextualSpacing/>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82D8092">
            <w:pPr>
              <w:widowControl/>
              <w:spacing w:line="360" w:lineRule="auto"/>
              <w:contextualSpacing/>
              <w:jc w:val="center"/>
              <w:rPr>
                <w:rFonts w:ascii="宋体" w:hAnsi="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C43B3EE">
            <w:pPr>
              <w:widowControl/>
              <w:spacing w:line="360" w:lineRule="auto"/>
              <w:contextualSpacing/>
              <w:jc w:val="center"/>
              <w:rPr>
                <w:rFonts w:ascii="宋体" w:hAnsi="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AC9892B">
            <w:pPr>
              <w:widowControl/>
              <w:spacing w:line="360" w:lineRule="auto"/>
              <w:contextualSpacing/>
              <w:jc w:val="center"/>
              <w:rPr>
                <w:rFonts w:ascii="宋体" w:hAnsi="宋体" w:cs="宋体"/>
                <w:color w:val="auto"/>
                <w:kern w:val="0"/>
                <w:sz w:val="24"/>
                <w:highlight w:val="none"/>
              </w:rPr>
            </w:pPr>
          </w:p>
        </w:tc>
      </w:tr>
      <w:tr w14:paraId="6FA4E00D">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81BD2F9">
            <w:pPr>
              <w:widowControl/>
              <w:spacing w:line="360" w:lineRule="auto"/>
              <w:contextualSpacing/>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B543220">
            <w:pPr>
              <w:widowControl/>
              <w:spacing w:line="360" w:lineRule="auto"/>
              <w:contextualSpacing/>
              <w:jc w:val="center"/>
              <w:rPr>
                <w:rFonts w:ascii="宋体" w:hAnsi="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E37C26A">
            <w:pPr>
              <w:widowControl/>
              <w:spacing w:line="360" w:lineRule="auto"/>
              <w:contextualSpacing/>
              <w:jc w:val="center"/>
              <w:rPr>
                <w:rFonts w:ascii="宋体" w:hAnsi="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DFA1A6E">
            <w:pPr>
              <w:widowControl/>
              <w:spacing w:line="360" w:lineRule="auto"/>
              <w:contextualSpacing/>
              <w:jc w:val="center"/>
              <w:rPr>
                <w:rFonts w:ascii="宋体" w:hAnsi="宋体" w:cs="宋体"/>
                <w:color w:val="auto"/>
                <w:kern w:val="0"/>
                <w:sz w:val="24"/>
                <w:highlight w:val="none"/>
              </w:rPr>
            </w:pPr>
          </w:p>
        </w:tc>
      </w:tr>
      <w:tr w14:paraId="6E041454">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B9189EF">
            <w:pPr>
              <w:widowControl/>
              <w:spacing w:line="360" w:lineRule="auto"/>
              <w:contextualSpacing/>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F3F5DD4">
            <w:pPr>
              <w:widowControl/>
              <w:spacing w:line="360" w:lineRule="auto"/>
              <w:contextualSpacing/>
              <w:jc w:val="center"/>
              <w:rPr>
                <w:rFonts w:ascii="宋体" w:hAnsi="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518330D">
            <w:pPr>
              <w:widowControl/>
              <w:spacing w:line="360" w:lineRule="auto"/>
              <w:contextualSpacing/>
              <w:jc w:val="center"/>
              <w:rPr>
                <w:rFonts w:ascii="宋体" w:hAnsi="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6E842A2">
            <w:pPr>
              <w:widowControl/>
              <w:spacing w:line="360" w:lineRule="auto"/>
              <w:contextualSpacing/>
              <w:jc w:val="center"/>
              <w:rPr>
                <w:rFonts w:ascii="宋体" w:hAnsi="宋体" w:cs="宋体"/>
                <w:color w:val="auto"/>
                <w:kern w:val="0"/>
                <w:sz w:val="24"/>
                <w:highlight w:val="none"/>
              </w:rPr>
            </w:pPr>
          </w:p>
        </w:tc>
      </w:tr>
    </w:tbl>
    <w:p w14:paraId="4382ECB9">
      <w:pPr>
        <w:spacing w:line="360" w:lineRule="auto"/>
        <w:contextualSpacing/>
        <w:jc w:val="left"/>
        <w:rPr>
          <w:rFonts w:ascii="宋体" w:hAnsi="宋体" w:cs="宋体"/>
          <w:color w:val="auto"/>
          <w:sz w:val="24"/>
          <w:highlight w:val="none"/>
        </w:rPr>
      </w:pPr>
      <w:r>
        <w:rPr>
          <w:rFonts w:hint="eastAsia" w:ascii="宋体" w:hAnsi="宋体" w:cs="宋体"/>
          <w:color w:val="auto"/>
          <w:sz w:val="24"/>
          <w:highlight w:val="none"/>
        </w:rPr>
        <w:t>注：</w:t>
      </w:r>
    </w:p>
    <w:p w14:paraId="18543D34">
      <w:pPr>
        <w:spacing w:line="360" w:lineRule="auto"/>
        <w:ind w:firstLine="480" w:firstLineChars="200"/>
        <w:contextualSpacing/>
        <w:jc w:val="left"/>
        <w:rPr>
          <w:rFonts w:ascii="宋体" w:hAnsi="宋体" w:cs="宋体"/>
          <w:color w:val="auto"/>
          <w:sz w:val="24"/>
          <w:highlight w:val="none"/>
        </w:rPr>
      </w:pPr>
      <w:r>
        <w:rPr>
          <w:rFonts w:hint="eastAsia" w:ascii="宋体" w:hAnsi="宋体" w:cs="宋体"/>
          <w:color w:val="auto"/>
          <w:sz w:val="24"/>
          <w:highlight w:val="none"/>
        </w:rPr>
        <w:t>1.管理关系：是指不具有出资持股关系的其他单位之间存在的管理与被管理关系，如一些上下级关系的事业单位和团体组织。</w:t>
      </w:r>
    </w:p>
    <w:p w14:paraId="7E4CEB46">
      <w:pPr>
        <w:spacing w:line="360" w:lineRule="auto"/>
        <w:ind w:firstLine="480" w:firstLineChars="200"/>
        <w:contextualSpacing/>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pacing w:val="-6"/>
          <w:sz w:val="24"/>
          <w:highlight w:val="none"/>
        </w:rPr>
        <w:t>本表所指的管理关系仅限于直接管理关系，不包括间接的管理关系。</w:t>
      </w:r>
    </w:p>
    <w:p w14:paraId="0D589BED">
      <w:pPr>
        <w:spacing w:line="360" w:lineRule="auto"/>
        <w:ind w:firstLine="480" w:firstLineChars="200"/>
        <w:contextualSpacing/>
        <w:jc w:val="left"/>
        <w:rPr>
          <w:rFonts w:ascii="宋体" w:hAnsi="宋体" w:cs="宋体"/>
          <w:color w:val="auto"/>
          <w:sz w:val="24"/>
          <w:highlight w:val="none"/>
        </w:rPr>
      </w:pPr>
      <w:r>
        <w:rPr>
          <w:rFonts w:hint="eastAsia" w:ascii="宋体" w:hAnsi="宋体" w:cs="宋体"/>
          <w:color w:val="auto"/>
          <w:sz w:val="24"/>
          <w:highlight w:val="none"/>
        </w:rPr>
        <w:t>3.供应商不存在直接管理关系的，则填“无”。</w:t>
      </w:r>
    </w:p>
    <w:p w14:paraId="23FDCCE9">
      <w:pPr>
        <w:spacing w:line="360" w:lineRule="auto"/>
        <w:contextualSpacing/>
        <w:jc w:val="left"/>
        <w:rPr>
          <w:rFonts w:ascii="宋体" w:hAnsi="宋体" w:cs="宋体"/>
          <w:color w:val="auto"/>
          <w:sz w:val="24"/>
          <w:highlight w:val="none"/>
        </w:rPr>
      </w:pPr>
    </w:p>
    <w:p w14:paraId="3BF42C20">
      <w:pPr>
        <w:spacing w:line="360" w:lineRule="auto"/>
        <w:contextualSpacing/>
        <w:jc w:val="left"/>
        <w:rPr>
          <w:rFonts w:ascii="宋体" w:hAnsi="宋体" w:cs="宋体"/>
          <w:color w:val="auto"/>
          <w:sz w:val="24"/>
          <w:highlight w:val="none"/>
        </w:rPr>
      </w:pPr>
    </w:p>
    <w:p w14:paraId="0E44E3F9">
      <w:pPr>
        <w:spacing w:line="360" w:lineRule="auto"/>
        <w:contextualSpacing/>
        <w:jc w:val="left"/>
        <w:rPr>
          <w:rFonts w:ascii="宋体" w:hAnsi="宋体" w:cs="宋体"/>
          <w:color w:val="auto"/>
          <w:sz w:val="24"/>
          <w:highlight w:val="none"/>
        </w:rPr>
      </w:pPr>
    </w:p>
    <w:p w14:paraId="1DD1A2C6">
      <w:pPr>
        <w:spacing w:line="360" w:lineRule="auto"/>
        <w:contextualSpacing/>
        <w:jc w:val="left"/>
        <w:rPr>
          <w:rFonts w:ascii="宋体" w:hAnsi="宋体" w:cs="宋体"/>
          <w:color w:val="auto"/>
          <w:sz w:val="24"/>
          <w:highlight w:val="none"/>
        </w:rPr>
      </w:pPr>
    </w:p>
    <w:p w14:paraId="5C04C5A2">
      <w:pPr>
        <w:spacing w:line="360" w:lineRule="auto"/>
        <w:contextualSpacing/>
        <w:jc w:val="left"/>
        <w:rPr>
          <w:rFonts w:ascii="宋体" w:hAnsi="宋体" w:cs="宋体"/>
          <w:color w:val="auto"/>
          <w:sz w:val="24"/>
          <w:highlight w:val="none"/>
        </w:rPr>
      </w:pPr>
    </w:p>
    <w:p w14:paraId="22181526">
      <w:pPr>
        <w:spacing w:line="360" w:lineRule="auto"/>
        <w:contextualSpacing/>
        <w:jc w:val="left"/>
        <w:rPr>
          <w:rFonts w:ascii="宋体" w:hAnsi="宋体" w:cs="宋体"/>
          <w:color w:val="auto"/>
          <w:sz w:val="24"/>
          <w:highlight w:val="none"/>
        </w:rPr>
      </w:pPr>
    </w:p>
    <w:p w14:paraId="236FAA01">
      <w:pPr>
        <w:spacing w:line="360" w:lineRule="auto"/>
        <w:ind w:right="480" w:firstLine="3360" w:firstLineChars="1400"/>
        <w:contextualSpacing/>
        <w:rPr>
          <w:rFonts w:ascii="宋体" w:hAnsi="宋体" w:cs="宋体"/>
          <w:color w:val="auto"/>
          <w:sz w:val="24"/>
          <w:highlight w:val="none"/>
          <w:u w:val="single"/>
        </w:rPr>
      </w:pPr>
      <w:r>
        <w:rPr>
          <w:rFonts w:hint="eastAsia" w:ascii="宋体" w:hAnsi="宋体" w:cs="宋体"/>
          <w:color w:val="auto"/>
          <w:sz w:val="24"/>
          <w:highlight w:val="none"/>
        </w:rPr>
        <w:t>法定代表人或者委托代理人签字：</w:t>
      </w:r>
      <w:r>
        <w:rPr>
          <w:rFonts w:hint="eastAsia" w:ascii="宋体" w:hAnsi="宋体" w:cs="宋体"/>
          <w:color w:val="auto"/>
          <w:sz w:val="24"/>
          <w:highlight w:val="none"/>
          <w:u w:val="single"/>
        </w:rPr>
        <w:t xml:space="preserve">               </w:t>
      </w:r>
    </w:p>
    <w:p w14:paraId="4E20E8E4">
      <w:pPr>
        <w:spacing w:line="360" w:lineRule="auto"/>
        <w:ind w:right="480" w:firstLine="3360" w:firstLineChars="1400"/>
        <w:contextualSpacing/>
        <w:rPr>
          <w:rFonts w:ascii="宋体" w:hAnsi="宋体" w:cs="宋体"/>
          <w:color w:val="auto"/>
          <w:sz w:val="24"/>
          <w:highlight w:val="none"/>
        </w:rPr>
      </w:pPr>
      <w:r>
        <w:rPr>
          <w:rFonts w:hint="eastAsia" w:ascii="宋体" w:hAnsi="宋体" w:cs="宋体"/>
          <w:color w:val="auto"/>
          <w:sz w:val="24"/>
          <w:highlight w:val="none"/>
        </w:rPr>
        <w:t>供应商（盖公章）：</w:t>
      </w:r>
      <w:r>
        <w:rPr>
          <w:rFonts w:hint="eastAsia" w:ascii="宋体" w:hAnsi="宋体" w:cs="宋体"/>
          <w:color w:val="auto"/>
          <w:sz w:val="24"/>
          <w:highlight w:val="none"/>
          <w:u w:val="single"/>
        </w:rPr>
        <w:t xml:space="preserve">                </w:t>
      </w:r>
    </w:p>
    <w:p w14:paraId="605327D8">
      <w:pPr>
        <w:spacing w:line="360" w:lineRule="auto"/>
        <w:ind w:right="480" w:firstLine="240" w:firstLineChars="100"/>
        <w:contextualSpacing/>
        <w:jc w:val="center"/>
        <w:rPr>
          <w:rFonts w:ascii="宋体" w:hAnsi="宋体" w:cs="宋体"/>
          <w:color w:val="auto"/>
          <w:sz w:val="28"/>
          <w:szCs w:val="28"/>
          <w:highlight w:val="none"/>
        </w:rPr>
      </w:pPr>
      <w:r>
        <w:rPr>
          <w:rFonts w:hint="eastAsia" w:ascii="宋体" w:hAnsi="宋体" w:cs="宋体"/>
          <w:color w:val="auto"/>
          <w:sz w:val="24"/>
          <w:highlight w:val="none"/>
        </w:rPr>
        <w:t xml:space="preserve">                                        年    月    日</w:t>
      </w:r>
    </w:p>
    <w:p w14:paraId="16CF7018">
      <w:pPr>
        <w:spacing w:line="320" w:lineRule="exact"/>
        <w:jc w:val="center"/>
        <w:rPr>
          <w:rFonts w:ascii="宋体" w:hAnsi="宋体" w:cs="宋体"/>
          <w:b/>
          <w:color w:val="auto"/>
          <w:sz w:val="32"/>
          <w:szCs w:val="32"/>
          <w:highlight w:val="none"/>
        </w:rPr>
      </w:pPr>
      <w:r>
        <w:rPr>
          <w:rFonts w:hint="eastAsia" w:ascii="宋体" w:hAnsi="宋体" w:cs="宋体"/>
          <w:color w:val="auto"/>
          <w:sz w:val="28"/>
          <w:szCs w:val="28"/>
          <w:highlight w:val="none"/>
        </w:rPr>
        <w:br w:type="page"/>
      </w:r>
      <w:r>
        <w:rPr>
          <w:rFonts w:hint="eastAsia" w:ascii="宋体" w:hAnsi="宋体" w:cs="宋体"/>
          <w:b/>
          <w:color w:val="auto"/>
          <w:sz w:val="32"/>
          <w:szCs w:val="32"/>
          <w:highlight w:val="none"/>
        </w:rPr>
        <w:t>竞标声明</w:t>
      </w:r>
    </w:p>
    <w:p w14:paraId="0D17D5EF">
      <w:pPr>
        <w:spacing w:line="320" w:lineRule="exact"/>
        <w:jc w:val="center"/>
        <w:rPr>
          <w:rFonts w:ascii="宋体" w:hAnsi="宋体" w:cs="宋体"/>
          <w:color w:val="auto"/>
          <w:sz w:val="24"/>
          <w:szCs w:val="20"/>
          <w:highlight w:val="none"/>
        </w:rPr>
      </w:pPr>
    </w:p>
    <w:p w14:paraId="42503DC4">
      <w:pPr>
        <w:spacing w:line="360" w:lineRule="auto"/>
        <w:contextualSpacing/>
        <w:rPr>
          <w:rFonts w:ascii="宋体" w:hAnsi="宋体" w:cs="宋体"/>
          <w:color w:val="auto"/>
          <w:sz w:val="24"/>
          <w:highlight w:val="none"/>
        </w:rPr>
      </w:pPr>
      <w:r>
        <w:rPr>
          <w:rFonts w:hint="eastAsia" w:ascii="宋体" w:hAnsi="宋体" w:cs="宋体"/>
          <w:color w:val="auto"/>
          <w:sz w:val="24"/>
          <w:highlight w:val="none"/>
        </w:rPr>
        <w:t>致：</w:t>
      </w:r>
      <w:r>
        <w:rPr>
          <w:rFonts w:hint="eastAsia" w:ascii="宋体" w:hAnsi="宋体" w:cs="宋体"/>
          <w:color w:val="auto"/>
          <w:sz w:val="24"/>
          <w:highlight w:val="none"/>
          <w:u w:val="single"/>
        </w:rPr>
        <w:t>（采购人名称）</w:t>
      </w:r>
      <w:r>
        <w:rPr>
          <w:rFonts w:hint="eastAsia" w:ascii="宋体" w:hAnsi="宋体" w:cs="宋体"/>
          <w:color w:val="auto"/>
          <w:sz w:val="24"/>
          <w:highlight w:val="none"/>
        </w:rPr>
        <w:t>：</w:t>
      </w:r>
    </w:p>
    <w:p w14:paraId="286C13F6">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u w:val="single"/>
        </w:rPr>
        <w:t>（供应商名称）</w:t>
      </w:r>
      <w:r>
        <w:rPr>
          <w:rFonts w:hint="eastAsia" w:ascii="宋体" w:hAnsi="宋体" w:cs="宋体"/>
          <w:color w:val="auto"/>
          <w:sz w:val="24"/>
          <w:highlight w:val="none"/>
        </w:rPr>
        <w:t>系中华人民共和国合法供应商，经营地址</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54043F5D">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我方愿意参加贵方组织的</w:t>
      </w:r>
      <w:r>
        <w:rPr>
          <w:rFonts w:hint="eastAsia" w:ascii="宋体" w:hAnsi="宋体" w:cs="宋体"/>
          <w:color w:val="auto"/>
          <w:sz w:val="24"/>
          <w:highlight w:val="none"/>
          <w:u w:val="single"/>
        </w:rPr>
        <w:t>（项目名称）</w:t>
      </w:r>
      <w:r>
        <w:rPr>
          <w:rFonts w:hint="eastAsia" w:ascii="宋体" w:hAnsi="宋体" w:cs="宋体"/>
          <w:color w:val="auto"/>
          <w:sz w:val="24"/>
          <w:highlight w:val="none"/>
        </w:rPr>
        <w:t>项目的竞标，为便于贵方公正、择优地确定成交供应商及其竞标产品和服务，我方就本次竞标有关事项郑重声明如下：</w:t>
      </w:r>
    </w:p>
    <w:p w14:paraId="3139BE16">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1.我方向贵方提交的所有响应文件、资料都是准确的和真实的。</w:t>
      </w:r>
    </w:p>
    <w:p w14:paraId="56EF3778">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2.我方不是为本次采购项目提供整体设计、规范编制或者项目管理、监理、检测等服务的供应商。</w:t>
      </w:r>
    </w:p>
    <w:p w14:paraId="785394A5">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3.在此，我方宣布同意如下：</w:t>
      </w:r>
    </w:p>
    <w:p w14:paraId="0B504C46">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（1）将按磋商文件的约定履行合同责任和义务；</w:t>
      </w:r>
    </w:p>
    <w:p w14:paraId="6DB7C9D4">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（2）已详细审查全部磋商文件，包括澄清或者更正公告（如有）；</w:t>
      </w:r>
    </w:p>
    <w:p w14:paraId="653354C9">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（3）同意提供按照贵方可能要求的与磋商有关的一切数据或者资料；</w:t>
      </w:r>
    </w:p>
    <w:p w14:paraId="2CBA26A5">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（4）响应磋商文件规定的竞标有效期。</w:t>
      </w:r>
    </w:p>
    <w:p w14:paraId="0B227095">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4.我方承诺符合《中华人民共和国政府采购法》第二十二条规定：</w:t>
      </w:r>
    </w:p>
    <w:p w14:paraId="30056C62">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46DD70CB">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（2）具有良好的商业信誉和健全的财务会计制度；</w:t>
      </w:r>
    </w:p>
    <w:p w14:paraId="45974607">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490C10FA">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5485F678">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64F424DA">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（6）法律、行政法规规定的其他条件。</w:t>
      </w:r>
    </w:p>
    <w:p w14:paraId="6A6AE85A">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14:paraId="3848F5F9">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6.根据《中华人民共和国政府采购法实施条例》第五十条要求对政府采购合同进行公告，但政府采购合同中涉及国家秘密、商业秘密的内容除外。我方就对本次响应文件进行注明如下：（两项内容中必须选择一项）</w:t>
      </w:r>
    </w:p>
    <w:p w14:paraId="7FC6D6B5">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□我方本次响应文件</w:t>
      </w:r>
      <w:r>
        <w:rPr>
          <w:rFonts w:hint="eastAsia" w:ascii="宋体" w:hAnsi="宋体" w:cs="宋体"/>
          <w:color w:val="auto"/>
          <w:kern w:val="0"/>
          <w:sz w:val="24"/>
          <w:highlight w:val="none"/>
        </w:rPr>
        <w:t>内容中</w:t>
      </w:r>
      <w:r>
        <w:rPr>
          <w:rFonts w:hint="eastAsia" w:ascii="宋体" w:hAnsi="宋体" w:cs="宋体"/>
          <w:color w:val="auto"/>
          <w:sz w:val="24"/>
          <w:highlight w:val="none"/>
        </w:rPr>
        <w:t>未</w:t>
      </w:r>
      <w:r>
        <w:rPr>
          <w:rFonts w:hint="eastAsia" w:ascii="宋体" w:hAnsi="宋体" w:cs="宋体"/>
          <w:color w:val="auto"/>
          <w:kern w:val="0"/>
          <w:sz w:val="24"/>
          <w:highlight w:val="none"/>
        </w:rPr>
        <w:t>涉及商业秘密；</w:t>
      </w:r>
    </w:p>
    <w:p w14:paraId="77834CEB">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□我方本次响应文件</w:t>
      </w:r>
      <w:r>
        <w:rPr>
          <w:rFonts w:hint="eastAsia" w:ascii="宋体" w:hAnsi="宋体" w:cs="宋体"/>
          <w:color w:val="auto"/>
          <w:kern w:val="0"/>
          <w:sz w:val="24"/>
          <w:highlight w:val="none"/>
        </w:rPr>
        <w:t>涉及商业秘密的内容有：</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1BEA7D19">
      <w:pPr>
        <w:pStyle w:val="19"/>
        <w:spacing w:line="360" w:lineRule="auto"/>
        <w:ind w:firstLine="480" w:firstLineChars="200"/>
        <w:contextualSpacing/>
        <w:rPr>
          <w:rFonts w:hAnsi="宋体" w:cs="宋体"/>
          <w:color w:val="auto"/>
          <w:sz w:val="24"/>
          <w:szCs w:val="24"/>
          <w:highlight w:val="none"/>
          <w:u w:val="single"/>
        </w:rPr>
      </w:pPr>
      <w:r>
        <w:rPr>
          <w:rFonts w:hint="eastAsia" w:hAnsi="宋体" w:cs="宋体"/>
          <w:color w:val="auto"/>
          <w:sz w:val="24"/>
          <w:szCs w:val="24"/>
          <w:highlight w:val="none"/>
        </w:rPr>
        <w:t>7.与本磋商有关的一切正式往来信函请寄：</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邮政编号：</w:t>
      </w:r>
      <w:r>
        <w:rPr>
          <w:rFonts w:hint="eastAsia" w:hAnsi="宋体" w:cs="宋体"/>
          <w:color w:val="auto"/>
          <w:sz w:val="24"/>
          <w:szCs w:val="24"/>
          <w:highlight w:val="none"/>
          <w:u w:val="single"/>
        </w:rPr>
        <w:t xml:space="preserve">        </w:t>
      </w:r>
    </w:p>
    <w:p w14:paraId="7B724A7A">
      <w:pPr>
        <w:pStyle w:val="19"/>
        <w:spacing w:line="360" w:lineRule="auto"/>
        <w:ind w:firstLine="480" w:firstLineChars="200"/>
        <w:contextualSpacing/>
        <w:rPr>
          <w:rFonts w:hAnsi="宋体" w:cs="宋体"/>
          <w:color w:val="auto"/>
          <w:sz w:val="24"/>
          <w:szCs w:val="24"/>
          <w:highlight w:val="none"/>
        </w:rPr>
      </w:pPr>
      <w:r>
        <w:rPr>
          <w:rFonts w:hint="eastAsia" w:hAnsi="宋体" w:cs="宋体"/>
          <w:color w:val="auto"/>
          <w:sz w:val="24"/>
          <w:szCs w:val="24"/>
          <w:highlight w:val="none"/>
        </w:rPr>
        <w:t>电话/传真：</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 xml:space="preserve"> 电子函件：</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 xml:space="preserve">    </w:t>
      </w:r>
    </w:p>
    <w:p w14:paraId="6984F591">
      <w:pPr>
        <w:pStyle w:val="17"/>
        <w:tabs>
          <w:tab w:val="left" w:pos="939"/>
        </w:tabs>
        <w:spacing w:line="360" w:lineRule="auto"/>
        <w:ind w:left="141" w:leftChars="67" w:firstLine="360" w:firstLineChars="150"/>
        <w:rPr>
          <w:rFonts w:ascii="宋体" w:hAnsi="宋体" w:cs="宋体"/>
          <w:color w:val="auto"/>
          <w:sz w:val="24"/>
          <w:highlight w:val="none"/>
        </w:rPr>
      </w:pPr>
      <w:r>
        <w:rPr>
          <w:rFonts w:hint="eastAsia" w:ascii="宋体" w:hAnsi="宋体" w:cs="宋体"/>
          <w:color w:val="auto"/>
          <w:sz w:val="24"/>
          <w:highlight w:val="none"/>
        </w:rPr>
        <w:t>开户银行：</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帐号：</w:t>
      </w:r>
      <w:r>
        <w:rPr>
          <w:rFonts w:hint="eastAsia" w:ascii="宋体" w:hAnsi="宋体" w:cs="宋体"/>
          <w:color w:val="auto"/>
          <w:sz w:val="24"/>
          <w:highlight w:val="none"/>
          <w:u w:val="single"/>
        </w:rPr>
        <w:t xml:space="preserve">                               </w:t>
      </w:r>
    </w:p>
    <w:p w14:paraId="709D0608">
      <w:pPr>
        <w:pStyle w:val="17"/>
        <w:tabs>
          <w:tab w:val="left" w:pos="939"/>
        </w:tabs>
        <w:spacing w:line="360" w:lineRule="auto"/>
        <w:ind w:left="0" w:leftChars="0" w:firstLine="480" w:firstLineChars="200"/>
        <w:rPr>
          <w:rFonts w:ascii="宋体" w:hAnsi="宋体" w:cs="宋体"/>
          <w:color w:val="auto"/>
          <w:sz w:val="24"/>
          <w:highlight w:val="none"/>
        </w:rPr>
      </w:pPr>
      <w:r>
        <w:rPr>
          <w:rFonts w:hint="eastAsia" w:ascii="宋体" w:hAnsi="宋体" w:cs="宋体"/>
          <w:color w:val="auto"/>
          <w:sz w:val="24"/>
          <w:highlight w:val="none"/>
        </w:rPr>
        <w:t>8.以上事项如有虚假或者隐瞒，我方愿意承担一切后果，并不再寻求任何旨在减轻或者免除法律责任的辩解。</w:t>
      </w:r>
    </w:p>
    <w:p w14:paraId="5D4C8654">
      <w:pPr>
        <w:pStyle w:val="17"/>
        <w:tabs>
          <w:tab w:val="left" w:pos="939"/>
        </w:tabs>
        <w:spacing w:line="360" w:lineRule="auto"/>
        <w:ind w:left="141" w:leftChars="67" w:firstLine="360" w:firstLineChars="150"/>
        <w:rPr>
          <w:rFonts w:ascii="宋体" w:hAnsi="宋体" w:cs="宋体"/>
          <w:color w:val="auto"/>
          <w:sz w:val="24"/>
          <w:highlight w:val="none"/>
        </w:rPr>
      </w:pPr>
      <w:r>
        <w:rPr>
          <w:rFonts w:hint="eastAsia" w:ascii="宋体" w:hAnsi="宋体" w:cs="宋体"/>
          <w:color w:val="auto"/>
          <w:sz w:val="24"/>
          <w:highlight w:val="none"/>
        </w:rPr>
        <w:t>特此承诺。</w:t>
      </w:r>
    </w:p>
    <w:p w14:paraId="61326123">
      <w:pPr>
        <w:pStyle w:val="17"/>
        <w:tabs>
          <w:tab w:val="left" w:pos="939"/>
        </w:tabs>
        <w:spacing w:line="360" w:lineRule="auto"/>
        <w:ind w:left="0" w:leftChars="0" w:firstLine="480" w:firstLineChars="200"/>
        <w:rPr>
          <w:rFonts w:ascii="宋体" w:hAnsi="宋体" w:cs="宋体"/>
          <w:color w:val="auto"/>
          <w:sz w:val="24"/>
          <w:highlight w:val="none"/>
        </w:rPr>
      </w:pPr>
    </w:p>
    <w:p w14:paraId="5ABE024E">
      <w:pPr>
        <w:spacing w:line="360" w:lineRule="auto"/>
        <w:ind w:firstLine="4320" w:firstLineChars="1800"/>
        <w:contextualSpacing/>
        <w:rPr>
          <w:rFonts w:ascii="宋体" w:hAnsi="宋体" w:cs="宋体"/>
          <w:color w:val="auto"/>
          <w:sz w:val="24"/>
          <w:highlight w:val="none"/>
        </w:rPr>
      </w:pPr>
      <w:r>
        <w:rPr>
          <w:rFonts w:hint="eastAsia" w:ascii="宋体" w:hAnsi="宋体" w:cs="宋体"/>
          <w:color w:val="auto"/>
          <w:sz w:val="24"/>
          <w:highlight w:val="none"/>
        </w:rPr>
        <w:t>法定代表人（签字）：</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14:paraId="42C7644B">
      <w:pPr>
        <w:spacing w:line="360" w:lineRule="auto"/>
        <w:ind w:firstLine="4320" w:firstLineChars="1800"/>
        <w:contextualSpacing/>
        <w:rPr>
          <w:rFonts w:ascii="宋体" w:hAnsi="宋体" w:cs="宋体"/>
          <w:color w:val="auto"/>
          <w:sz w:val="24"/>
          <w:highlight w:val="none"/>
          <w:u w:val="single"/>
        </w:rPr>
      </w:pPr>
      <w:r>
        <w:rPr>
          <w:rFonts w:hint="eastAsia" w:ascii="宋体" w:hAnsi="宋体" w:cs="宋体"/>
          <w:color w:val="auto"/>
          <w:sz w:val="24"/>
          <w:highlight w:val="none"/>
        </w:rPr>
        <w:t>供应商（盖公章）：</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14:paraId="4D3332DB">
      <w:pPr>
        <w:spacing w:line="360" w:lineRule="auto"/>
        <w:ind w:right="480" w:firstLine="240" w:firstLineChars="100"/>
        <w:contextualSpacing/>
        <w:jc w:val="center"/>
        <w:rPr>
          <w:rFonts w:ascii="宋体" w:hAnsi="宋体" w:cs="宋体"/>
          <w:color w:val="auto"/>
          <w:sz w:val="24"/>
          <w:highlight w:val="none"/>
        </w:rPr>
      </w:pPr>
      <w:r>
        <w:rPr>
          <w:rFonts w:hint="eastAsia" w:ascii="宋体" w:hAnsi="宋体" w:cs="宋体"/>
          <w:color w:val="auto"/>
          <w:sz w:val="24"/>
          <w:highlight w:val="none"/>
        </w:rPr>
        <w:t xml:space="preserve">                                                   年    月    日</w:t>
      </w:r>
    </w:p>
    <w:p w14:paraId="4EF400D7">
      <w:pPr>
        <w:snapToGrid w:val="0"/>
        <w:spacing w:before="156" w:beforeLines="50" w:after="50" w:line="360" w:lineRule="auto"/>
        <w:ind w:right="480"/>
        <w:rPr>
          <w:rFonts w:ascii="宋体" w:hAnsi="宋体" w:cs="宋体"/>
          <w:b/>
          <w:color w:val="auto"/>
          <w:sz w:val="32"/>
          <w:szCs w:val="32"/>
          <w:highlight w:val="none"/>
        </w:rPr>
      </w:pPr>
      <w:r>
        <w:rPr>
          <w:rFonts w:hint="eastAsia" w:ascii="宋体" w:hAnsi="宋体" w:cs="宋体"/>
          <w:color w:val="auto"/>
          <w:sz w:val="24"/>
          <w:highlight w:val="none"/>
        </w:rPr>
        <w:br w:type="page"/>
      </w:r>
      <w:r>
        <w:rPr>
          <w:rFonts w:hint="eastAsia" w:ascii="宋体" w:hAnsi="宋体" w:cs="宋体"/>
          <w:b/>
          <w:bCs/>
          <w:color w:val="auto"/>
          <w:sz w:val="32"/>
          <w:szCs w:val="32"/>
          <w:highlight w:val="none"/>
        </w:rPr>
        <w:t>二、</w:t>
      </w:r>
      <w:r>
        <w:rPr>
          <w:rFonts w:hint="eastAsia" w:ascii="宋体" w:hAnsi="宋体" w:cs="宋体"/>
          <w:b/>
          <w:color w:val="auto"/>
          <w:sz w:val="32"/>
          <w:szCs w:val="32"/>
          <w:highlight w:val="none"/>
        </w:rPr>
        <w:t>报价商务技术文件格式</w:t>
      </w:r>
    </w:p>
    <w:p w14:paraId="546B6FE3">
      <w:pPr>
        <w:snapToGrid w:val="0"/>
        <w:spacing w:before="156" w:beforeLines="50" w:after="50" w:line="360" w:lineRule="auto"/>
        <w:jc w:val="left"/>
        <w:rPr>
          <w:rFonts w:ascii="宋体" w:hAnsi="宋体" w:cs="宋体"/>
          <w:b/>
          <w:color w:val="auto"/>
          <w:sz w:val="32"/>
          <w:szCs w:val="32"/>
          <w:highlight w:val="none"/>
        </w:rPr>
      </w:pPr>
      <w:r>
        <w:rPr>
          <w:rFonts w:hint="eastAsia" w:ascii="宋体" w:hAnsi="宋体" w:cs="宋体"/>
          <w:b/>
          <w:color w:val="auto"/>
          <w:sz w:val="32"/>
          <w:szCs w:val="32"/>
          <w:highlight w:val="none"/>
        </w:rPr>
        <w:t>1.报价商务技术文件封面格式</w:t>
      </w:r>
    </w:p>
    <w:p w14:paraId="0C753133">
      <w:pPr>
        <w:snapToGrid w:val="0"/>
        <w:spacing w:before="156" w:beforeLines="50" w:after="50"/>
        <w:rPr>
          <w:rFonts w:ascii="宋体" w:hAnsi="宋体" w:cs="宋体"/>
          <w:bCs/>
          <w:color w:val="auto"/>
          <w:sz w:val="32"/>
          <w:szCs w:val="20"/>
          <w:highlight w:val="none"/>
        </w:rPr>
      </w:pPr>
      <w:r>
        <w:rPr>
          <w:rFonts w:hint="eastAsia" w:ascii="宋体" w:hAnsi="宋体" w:cs="宋体"/>
          <w:color w:val="auto"/>
          <w:sz w:val="24"/>
          <w:highlight w:val="none"/>
        </w:rPr>
        <w:t xml:space="preserve">                                                   </w:t>
      </w:r>
    </w:p>
    <w:p w14:paraId="0D8C3E68">
      <w:pPr>
        <w:snapToGrid w:val="0"/>
        <w:spacing w:before="156" w:beforeLines="50" w:after="50"/>
        <w:rPr>
          <w:rFonts w:ascii="宋体" w:hAnsi="宋体" w:cs="宋体"/>
          <w:color w:val="auto"/>
          <w:sz w:val="24"/>
          <w:szCs w:val="20"/>
          <w:highlight w:val="none"/>
        </w:rPr>
      </w:pPr>
    </w:p>
    <w:p w14:paraId="28C15EB4">
      <w:pPr>
        <w:snapToGrid w:val="0"/>
        <w:spacing w:before="156" w:beforeLines="50" w:after="50"/>
        <w:jc w:val="center"/>
        <w:rPr>
          <w:rFonts w:ascii="宋体" w:hAnsi="宋体" w:cs="宋体"/>
          <w:bCs/>
          <w:color w:val="auto"/>
          <w:sz w:val="84"/>
          <w:szCs w:val="84"/>
          <w:highlight w:val="none"/>
        </w:rPr>
      </w:pPr>
      <w:r>
        <w:rPr>
          <w:rFonts w:hint="eastAsia" w:ascii="宋体" w:hAnsi="宋体" w:cs="宋体"/>
          <w:bCs/>
          <w:color w:val="auto"/>
          <w:sz w:val="84"/>
          <w:szCs w:val="84"/>
          <w:highlight w:val="none"/>
        </w:rPr>
        <w:t>响  应  文  件</w:t>
      </w:r>
    </w:p>
    <w:p w14:paraId="57141270">
      <w:pPr>
        <w:snapToGrid w:val="0"/>
        <w:spacing w:before="156" w:beforeLines="50" w:after="50"/>
        <w:jc w:val="center"/>
        <w:rPr>
          <w:rFonts w:ascii="宋体" w:hAnsi="宋体" w:cs="宋体"/>
          <w:bCs/>
          <w:color w:val="auto"/>
          <w:sz w:val="32"/>
          <w:szCs w:val="32"/>
          <w:highlight w:val="none"/>
        </w:rPr>
      </w:pPr>
      <w:r>
        <w:rPr>
          <w:rFonts w:hint="eastAsia" w:ascii="宋体" w:hAnsi="宋体" w:cs="宋体"/>
          <w:bCs/>
          <w:color w:val="auto"/>
          <w:sz w:val="32"/>
          <w:szCs w:val="32"/>
          <w:highlight w:val="none"/>
        </w:rPr>
        <w:t>报  价  商  务  技  术  文  件</w:t>
      </w:r>
    </w:p>
    <w:p w14:paraId="0E09E74D">
      <w:pPr>
        <w:snapToGrid w:val="0"/>
        <w:spacing w:before="156" w:beforeLines="50" w:after="50"/>
        <w:rPr>
          <w:rFonts w:ascii="宋体" w:hAnsi="宋体" w:cs="宋体"/>
          <w:bCs/>
          <w:color w:val="auto"/>
          <w:sz w:val="24"/>
          <w:szCs w:val="20"/>
          <w:highlight w:val="none"/>
        </w:rPr>
      </w:pPr>
    </w:p>
    <w:p w14:paraId="57C7D3A9">
      <w:pPr>
        <w:snapToGrid w:val="0"/>
        <w:spacing w:before="156" w:beforeLines="50" w:after="50"/>
        <w:rPr>
          <w:rFonts w:ascii="宋体" w:hAnsi="宋体" w:cs="宋体"/>
          <w:bCs/>
          <w:color w:val="auto"/>
          <w:sz w:val="24"/>
          <w:szCs w:val="20"/>
          <w:highlight w:val="none"/>
        </w:rPr>
      </w:pPr>
    </w:p>
    <w:p w14:paraId="758516FA">
      <w:pPr>
        <w:snapToGrid w:val="0"/>
        <w:spacing w:before="156" w:beforeLines="50" w:after="50"/>
        <w:rPr>
          <w:rFonts w:ascii="宋体" w:hAnsi="宋体" w:cs="宋体"/>
          <w:bCs/>
          <w:color w:val="auto"/>
          <w:sz w:val="24"/>
          <w:szCs w:val="20"/>
          <w:highlight w:val="none"/>
        </w:rPr>
      </w:pPr>
    </w:p>
    <w:p w14:paraId="6F190C64">
      <w:pPr>
        <w:snapToGrid w:val="0"/>
        <w:spacing w:before="156" w:beforeLines="50" w:after="50"/>
        <w:rPr>
          <w:rFonts w:ascii="宋体" w:hAnsi="宋体" w:cs="宋体"/>
          <w:bCs/>
          <w:color w:val="auto"/>
          <w:sz w:val="24"/>
          <w:szCs w:val="20"/>
          <w:highlight w:val="none"/>
        </w:rPr>
      </w:pPr>
    </w:p>
    <w:p w14:paraId="27ABEFF6">
      <w:pPr>
        <w:snapToGrid w:val="0"/>
        <w:spacing w:before="156" w:beforeLines="50" w:after="50"/>
        <w:rPr>
          <w:rFonts w:ascii="宋体" w:hAnsi="宋体" w:cs="宋体"/>
          <w:bCs/>
          <w:color w:val="auto"/>
          <w:sz w:val="24"/>
          <w:szCs w:val="20"/>
          <w:highlight w:val="none"/>
        </w:rPr>
      </w:pPr>
    </w:p>
    <w:p w14:paraId="30864B7F">
      <w:pPr>
        <w:snapToGrid w:val="0"/>
        <w:spacing w:before="156" w:beforeLines="50" w:after="50"/>
        <w:ind w:firstLine="640" w:firstLineChars="200"/>
        <w:rPr>
          <w:rFonts w:ascii="宋体" w:hAnsi="宋体" w:cs="宋体"/>
          <w:bCs/>
          <w:color w:val="auto"/>
          <w:sz w:val="32"/>
          <w:szCs w:val="32"/>
          <w:highlight w:val="none"/>
        </w:rPr>
      </w:pPr>
      <w:r>
        <w:rPr>
          <w:rFonts w:hint="eastAsia" w:ascii="宋体" w:hAnsi="宋体" w:cs="宋体"/>
          <w:bCs/>
          <w:color w:val="auto"/>
          <w:sz w:val="32"/>
          <w:szCs w:val="32"/>
          <w:highlight w:val="none"/>
        </w:rPr>
        <w:t>项目名称：</w:t>
      </w:r>
    </w:p>
    <w:p w14:paraId="6A6CB218">
      <w:pPr>
        <w:snapToGrid w:val="0"/>
        <w:spacing w:before="156" w:beforeLines="50" w:after="50"/>
        <w:ind w:firstLine="720" w:firstLineChars="225"/>
        <w:rPr>
          <w:rFonts w:ascii="宋体" w:hAnsi="宋体" w:cs="宋体"/>
          <w:bCs/>
          <w:color w:val="auto"/>
          <w:sz w:val="32"/>
          <w:szCs w:val="32"/>
          <w:highlight w:val="none"/>
        </w:rPr>
      </w:pPr>
    </w:p>
    <w:p w14:paraId="2011EF66">
      <w:pPr>
        <w:snapToGrid w:val="0"/>
        <w:spacing w:before="156" w:beforeLines="50" w:after="50"/>
        <w:ind w:firstLine="640" w:firstLineChars="200"/>
        <w:rPr>
          <w:rFonts w:ascii="宋体" w:hAnsi="宋体" w:cs="宋体"/>
          <w:bCs/>
          <w:color w:val="auto"/>
          <w:sz w:val="32"/>
          <w:szCs w:val="32"/>
          <w:highlight w:val="none"/>
        </w:rPr>
      </w:pPr>
      <w:r>
        <w:rPr>
          <w:rFonts w:hint="eastAsia" w:ascii="宋体" w:hAnsi="宋体" w:cs="宋体"/>
          <w:bCs/>
          <w:color w:val="auto"/>
          <w:sz w:val="32"/>
          <w:szCs w:val="32"/>
          <w:highlight w:val="none"/>
        </w:rPr>
        <w:t>项目编号：</w:t>
      </w:r>
    </w:p>
    <w:p w14:paraId="59303BFE">
      <w:pPr>
        <w:snapToGrid w:val="0"/>
        <w:spacing w:before="156" w:beforeLines="50" w:after="50"/>
        <w:ind w:firstLine="720" w:firstLineChars="225"/>
        <w:rPr>
          <w:rFonts w:ascii="宋体" w:hAnsi="宋体" w:cs="宋体"/>
          <w:bCs/>
          <w:color w:val="auto"/>
          <w:sz w:val="32"/>
          <w:szCs w:val="32"/>
          <w:highlight w:val="none"/>
        </w:rPr>
      </w:pPr>
      <w:r>
        <w:rPr>
          <w:rFonts w:hint="eastAsia" w:ascii="宋体" w:hAnsi="宋体" w:cs="宋体"/>
          <w:bCs/>
          <w:color w:val="auto"/>
          <w:sz w:val="32"/>
          <w:szCs w:val="32"/>
          <w:highlight w:val="none"/>
        </w:rPr>
        <w:t xml:space="preserve"> </w:t>
      </w:r>
    </w:p>
    <w:p w14:paraId="5A276EDB">
      <w:pPr>
        <w:snapToGrid w:val="0"/>
        <w:spacing w:before="156" w:beforeLines="50" w:after="50"/>
        <w:ind w:firstLine="640" w:firstLineChars="200"/>
        <w:rPr>
          <w:rFonts w:ascii="宋体" w:hAnsi="宋体" w:cs="宋体"/>
          <w:bCs/>
          <w:color w:val="auto"/>
          <w:sz w:val="32"/>
          <w:szCs w:val="32"/>
          <w:highlight w:val="none"/>
        </w:rPr>
      </w:pPr>
      <w:r>
        <w:rPr>
          <w:rFonts w:hint="eastAsia" w:ascii="宋体" w:hAnsi="宋体" w:cs="宋体"/>
          <w:bCs/>
          <w:color w:val="auto"/>
          <w:sz w:val="32"/>
          <w:szCs w:val="32"/>
          <w:highlight w:val="none"/>
        </w:rPr>
        <w:t>所竞分标：</w:t>
      </w:r>
    </w:p>
    <w:p w14:paraId="27C0736D">
      <w:pPr>
        <w:snapToGrid w:val="0"/>
        <w:spacing w:before="156" w:beforeLines="50" w:after="50"/>
        <w:ind w:firstLine="720" w:firstLineChars="225"/>
        <w:rPr>
          <w:rFonts w:ascii="宋体" w:hAnsi="宋体" w:cs="宋体"/>
          <w:bCs/>
          <w:color w:val="auto"/>
          <w:sz w:val="32"/>
          <w:szCs w:val="32"/>
          <w:highlight w:val="none"/>
        </w:rPr>
      </w:pPr>
    </w:p>
    <w:p w14:paraId="6ADC57CA">
      <w:pPr>
        <w:pStyle w:val="7"/>
        <w:snapToGrid w:val="0"/>
        <w:spacing w:before="50" w:after="50"/>
        <w:ind w:firstLine="640" w:firstLineChars="200"/>
        <w:rPr>
          <w:rFonts w:ascii="宋体" w:hAnsi="宋体" w:cs="宋体"/>
          <w:bCs/>
          <w:color w:val="auto"/>
          <w:sz w:val="32"/>
          <w:szCs w:val="32"/>
          <w:highlight w:val="none"/>
        </w:rPr>
      </w:pPr>
      <w:r>
        <w:rPr>
          <w:rFonts w:hint="eastAsia" w:ascii="宋体" w:hAnsi="宋体" w:cs="宋体"/>
          <w:bCs/>
          <w:color w:val="auto"/>
          <w:sz w:val="32"/>
          <w:szCs w:val="32"/>
          <w:highlight w:val="none"/>
        </w:rPr>
        <w:t>供应商名称：</w:t>
      </w:r>
    </w:p>
    <w:p w14:paraId="2320FADE">
      <w:pPr>
        <w:pStyle w:val="7"/>
        <w:snapToGrid w:val="0"/>
        <w:spacing w:before="50" w:after="50"/>
        <w:ind w:firstLine="720" w:firstLineChars="225"/>
        <w:rPr>
          <w:rFonts w:ascii="宋体" w:hAnsi="宋体" w:cs="宋体"/>
          <w:bCs/>
          <w:color w:val="auto"/>
          <w:sz w:val="32"/>
          <w:szCs w:val="32"/>
          <w:highlight w:val="none"/>
        </w:rPr>
      </w:pPr>
    </w:p>
    <w:p w14:paraId="5529681F">
      <w:pPr>
        <w:pStyle w:val="7"/>
        <w:snapToGrid w:val="0"/>
        <w:spacing w:before="50" w:after="50"/>
        <w:ind w:firstLine="720" w:firstLineChars="225"/>
        <w:rPr>
          <w:rFonts w:ascii="宋体" w:hAnsi="宋体" w:cs="宋体"/>
          <w:bCs/>
          <w:color w:val="auto"/>
          <w:sz w:val="32"/>
          <w:szCs w:val="32"/>
          <w:highlight w:val="none"/>
        </w:rPr>
      </w:pPr>
    </w:p>
    <w:p w14:paraId="3298662D">
      <w:pPr>
        <w:pStyle w:val="7"/>
        <w:snapToGrid w:val="0"/>
        <w:spacing w:before="50" w:after="50"/>
        <w:ind w:firstLine="1280" w:firstLineChars="400"/>
        <w:rPr>
          <w:rFonts w:ascii="宋体" w:hAnsi="宋体" w:cs="宋体"/>
          <w:bCs/>
          <w:color w:val="auto"/>
          <w:sz w:val="32"/>
          <w:szCs w:val="32"/>
          <w:highlight w:val="none"/>
        </w:rPr>
      </w:pPr>
    </w:p>
    <w:p w14:paraId="5DAFB40B">
      <w:pPr>
        <w:snapToGrid w:val="0"/>
        <w:spacing w:before="156" w:beforeLines="50" w:after="50"/>
        <w:jc w:val="center"/>
        <w:rPr>
          <w:rFonts w:ascii="宋体" w:hAnsi="宋体" w:cs="宋体"/>
          <w:color w:val="auto"/>
          <w:sz w:val="32"/>
          <w:szCs w:val="32"/>
          <w:highlight w:val="none"/>
        </w:rPr>
      </w:pPr>
      <w:r>
        <w:rPr>
          <w:rFonts w:hint="eastAsia" w:ascii="宋体" w:hAnsi="宋体" w:cs="宋体"/>
          <w:color w:val="auto"/>
          <w:sz w:val="32"/>
          <w:szCs w:val="32"/>
          <w:highlight w:val="none"/>
        </w:rPr>
        <w:t>年    月    日</w:t>
      </w:r>
    </w:p>
    <w:p w14:paraId="42707E84">
      <w:pPr>
        <w:snapToGrid w:val="0"/>
        <w:spacing w:before="156" w:beforeLines="50" w:after="50" w:line="360" w:lineRule="auto"/>
        <w:ind w:left="142"/>
        <w:jc w:val="left"/>
        <w:rPr>
          <w:rFonts w:ascii="宋体" w:hAnsi="宋体" w:cs="宋体"/>
          <w:b/>
          <w:bCs/>
          <w:color w:val="auto"/>
          <w:sz w:val="24"/>
          <w:highlight w:val="none"/>
        </w:rPr>
      </w:pPr>
      <w:r>
        <w:rPr>
          <w:rFonts w:hint="eastAsia" w:ascii="宋体" w:hAnsi="宋体" w:cs="宋体"/>
          <w:color w:val="auto"/>
          <w:sz w:val="24"/>
          <w:highlight w:val="none"/>
        </w:rPr>
        <w:br w:type="page"/>
      </w:r>
      <w:r>
        <w:rPr>
          <w:rFonts w:hint="eastAsia" w:ascii="宋体" w:hAnsi="宋体" w:cs="宋体"/>
          <w:b/>
          <w:bCs/>
          <w:color w:val="auto"/>
          <w:sz w:val="32"/>
          <w:szCs w:val="32"/>
          <w:highlight w:val="none"/>
        </w:rPr>
        <w:t>2.报价商务技术文件目录</w:t>
      </w:r>
    </w:p>
    <w:p w14:paraId="2B6D8937">
      <w:pPr>
        <w:snapToGrid w:val="0"/>
        <w:spacing w:before="156" w:beforeLines="50" w:after="50" w:line="360" w:lineRule="auto"/>
        <w:ind w:firstLine="640" w:firstLineChars="200"/>
        <w:rPr>
          <w:rFonts w:ascii="宋体" w:hAnsi="宋体" w:cs="宋体"/>
          <w:color w:val="auto"/>
          <w:sz w:val="32"/>
          <w:szCs w:val="32"/>
          <w:highlight w:val="none"/>
        </w:rPr>
      </w:pPr>
      <w:r>
        <w:rPr>
          <w:rFonts w:hint="eastAsia" w:ascii="宋体" w:hAnsi="宋体" w:cs="宋体"/>
          <w:color w:val="auto"/>
          <w:sz w:val="32"/>
          <w:szCs w:val="32"/>
          <w:highlight w:val="none"/>
        </w:rPr>
        <w:t>根据磋商文件规定及供应商提供的材料自行编写目录（部分格式后附）。</w:t>
      </w:r>
    </w:p>
    <w:p w14:paraId="427CDA77">
      <w:pPr>
        <w:spacing w:line="400" w:lineRule="exact"/>
        <w:rPr>
          <w:rFonts w:ascii="宋体" w:hAnsi="宋体" w:cs="宋体"/>
          <w:color w:val="auto"/>
          <w:sz w:val="32"/>
          <w:szCs w:val="32"/>
          <w:highlight w:val="none"/>
        </w:rPr>
      </w:pPr>
    </w:p>
    <w:p w14:paraId="1EF7A21B">
      <w:pPr>
        <w:spacing w:line="520" w:lineRule="exact"/>
        <w:jc w:val="center"/>
        <w:rPr>
          <w:rFonts w:ascii="宋体" w:hAnsi="宋体" w:cs="宋体"/>
          <w:color w:val="auto"/>
          <w:sz w:val="32"/>
          <w:szCs w:val="32"/>
          <w:highlight w:val="none"/>
        </w:rPr>
      </w:pPr>
      <w:r>
        <w:rPr>
          <w:rFonts w:hint="eastAsia" w:ascii="宋体" w:hAnsi="宋体" w:cs="宋体"/>
          <w:color w:val="auto"/>
          <w:sz w:val="44"/>
          <w:szCs w:val="44"/>
          <w:highlight w:val="none"/>
        </w:rPr>
        <w:br w:type="page"/>
      </w:r>
      <w:r>
        <w:rPr>
          <w:rFonts w:hint="eastAsia" w:ascii="宋体" w:hAnsi="宋体" w:cs="宋体"/>
          <w:color w:val="auto"/>
          <w:sz w:val="44"/>
          <w:szCs w:val="44"/>
          <w:highlight w:val="none"/>
        </w:rPr>
        <w:t>无串通竞标行为的承诺函</w:t>
      </w:r>
    </w:p>
    <w:p w14:paraId="0DD7B853">
      <w:pPr>
        <w:spacing w:line="360" w:lineRule="auto"/>
        <w:ind w:firstLine="640" w:firstLineChars="200"/>
        <w:contextualSpacing/>
        <w:rPr>
          <w:rFonts w:ascii="宋体" w:hAnsi="宋体" w:cs="宋体"/>
          <w:color w:val="auto"/>
          <w:sz w:val="32"/>
          <w:szCs w:val="32"/>
          <w:highlight w:val="none"/>
        </w:rPr>
      </w:pPr>
    </w:p>
    <w:p w14:paraId="332C8E61">
      <w:pPr>
        <w:spacing w:line="360" w:lineRule="auto"/>
        <w:ind w:firstLine="482" w:firstLineChars="200"/>
        <w:contextualSpacing/>
        <w:rPr>
          <w:rFonts w:ascii="宋体" w:hAnsi="宋体" w:cs="宋体"/>
          <w:b/>
          <w:bCs/>
          <w:color w:val="auto"/>
          <w:sz w:val="24"/>
          <w:highlight w:val="none"/>
        </w:rPr>
      </w:pPr>
      <w:r>
        <w:rPr>
          <w:rFonts w:hint="eastAsia" w:ascii="宋体" w:hAnsi="宋体" w:cs="宋体"/>
          <w:b/>
          <w:bCs/>
          <w:color w:val="auto"/>
          <w:sz w:val="24"/>
          <w:highlight w:val="none"/>
        </w:rPr>
        <w:t>一、我方承诺无下列相互串通竞标的情形：</w:t>
      </w:r>
    </w:p>
    <w:p w14:paraId="5BABAAAC">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 xml:space="preserve">1.不同供应商的响应文件由同一单位或者个人编制； </w:t>
      </w:r>
    </w:p>
    <w:p w14:paraId="36C9E332">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2.不同供应商委托同一单位或者个人办理竞标事宜；</w:t>
      </w:r>
    </w:p>
    <w:p w14:paraId="4480DD1E">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3.不同供应商的响应文件载明的项目管理员为同一个人；</w:t>
      </w:r>
    </w:p>
    <w:p w14:paraId="0A860C2D">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4.不</w:t>
      </w:r>
      <w:r>
        <w:rPr>
          <w:rFonts w:hint="eastAsia" w:ascii="宋体" w:hAnsi="宋体" w:cs="宋体"/>
          <w:color w:val="auto"/>
          <w:spacing w:val="-6"/>
          <w:sz w:val="24"/>
          <w:highlight w:val="none"/>
        </w:rPr>
        <w:t>同供应商的响应文件异常一致或者竞标报价呈规律性差异；</w:t>
      </w:r>
    </w:p>
    <w:p w14:paraId="4AE5307B">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5.不同供应商的响应文件相互混装；</w:t>
      </w:r>
    </w:p>
    <w:p w14:paraId="62505954">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6.不同供应商的磋商保证金从同一单位或者个人账户转出。</w:t>
      </w:r>
    </w:p>
    <w:p w14:paraId="3DA5A09E">
      <w:pPr>
        <w:spacing w:line="360" w:lineRule="auto"/>
        <w:ind w:firstLine="482" w:firstLineChars="200"/>
        <w:contextualSpacing/>
        <w:rPr>
          <w:rFonts w:ascii="宋体" w:hAnsi="宋体" w:cs="宋体"/>
          <w:b/>
          <w:bCs/>
          <w:color w:val="auto"/>
          <w:sz w:val="24"/>
          <w:highlight w:val="none"/>
        </w:rPr>
      </w:pPr>
      <w:r>
        <w:rPr>
          <w:rFonts w:hint="eastAsia" w:ascii="宋体" w:hAnsi="宋体" w:cs="宋体"/>
          <w:b/>
          <w:bCs/>
          <w:color w:val="auto"/>
          <w:sz w:val="24"/>
          <w:highlight w:val="none"/>
        </w:rPr>
        <w:t>二、我方承诺无下列恶意串通的情形：</w:t>
      </w:r>
    </w:p>
    <w:p w14:paraId="5AF7EF79">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1.供应商直接或者间接从采购人或者采购代理机构处获得其他供应商的相关信息并修改其响应文件；</w:t>
      </w:r>
    </w:p>
    <w:p w14:paraId="54E08606">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2.供应商按照采购人或者采购代理机构的授意撤换、修改响应文件；</w:t>
      </w:r>
    </w:p>
    <w:p w14:paraId="02C73EBB">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3.供</w:t>
      </w:r>
      <w:r>
        <w:rPr>
          <w:rFonts w:hint="eastAsia" w:ascii="宋体" w:hAnsi="宋体" w:cs="宋体"/>
          <w:color w:val="auto"/>
          <w:spacing w:val="-6"/>
          <w:sz w:val="24"/>
          <w:highlight w:val="none"/>
        </w:rPr>
        <w:t>应商之间协商报价、技术方案等响应文件的实质性内容；</w:t>
      </w:r>
    </w:p>
    <w:p w14:paraId="761042FE">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4.属于同一集团、协会、商会等组织成员的供应商按照该组织要求协同参加政府采购活动；</w:t>
      </w:r>
    </w:p>
    <w:p w14:paraId="6803E826">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5.供应商之间事先约定一致抬高或者压低竞标报价，或者在竞争性磋商项目中事先约定轮流以高价位或者低价位成交，或者事先约定由某一特定供应商成交，然后再参加竞标；</w:t>
      </w:r>
    </w:p>
    <w:p w14:paraId="074C01AC">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6.供应商之间商定部分供应商放弃参加政府采购活动或者放弃成交；</w:t>
      </w:r>
    </w:p>
    <w:p w14:paraId="725C3917">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7.供应商与采购人或者采购代理机构之间、供应商相互之间，为</w:t>
      </w:r>
      <w:r>
        <w:rPr>
          <w:rFonts w:hint="eastAsia" w:ascii="宋体" w:hAnsi="宋体" w:cs="宋体"/>
          <w:color w:val="auto"/>
          <w:spacing w:val="-6"/>
          <w:sz w:val="24"/>
          <w:highlight w:val="none"/>
        </w:rPr>
        <w:t>谋求特定供应商成交或者排斥其他供应商的其他串通行为。</w:t>
      </w:r>
    </w:p>
    <w:p w14:paraId="32C219FD">
      <w:pPr>
        <w:spacing w:line="360" w:lineRule="auto"/>
        <w:ind w:firstLine="480" w:firstLineChars="200"/>
        <w:contextualSpacing/>
        <w:rPr>
          <w:rFonts w:ascii="宋体" w:hAnsi="宋体" w:cs="宋体"/>
          <w:color w:val="auto"/>
          <w:sz w:val="24"/>
          <w:highlight w:val="none"/>
        </w:rPr>
      </w:pPr>
    </w:p>
    <w:p w14:paraId="541E82BE">
      <w:pPr>
        <w:spacing w:line="360" w:lineRule="auto"/>
        <w:ind w:firstLine="482" w:firstLineChars="200"/>
        <w:contextualSpacing/>
        <w:rPr>
          <w:rFonts w:ascii="宋体" w:hAnsi="宋体" w:cs="宋体"/>
          <w:b/>
          <w:bCs/>
          <w:color w:val="auto"/>
          <w:sz w:val="24"/>
          <w:highlight w:val="none"/>
        </w:rPr>
      </w:pPr>
      <w:r>
        <w:rPr>
          <w:rFonts w:hint="eastAsia" w:ascii="宋体" w:hAnsi="宋体" w:cs="宋体"/>
          <w:b/>
          <w:bCs/>
          <w:color w:val="auto"/>
          <w:sz w:val="24"/>
          <w:highlight w:val="none"/>
        </w:rPr>
        <w:t>以上情形一经核查属实，我方愿意承担一切后果，并不再寻求任何旨在减轻或者免除法律责任的辩解。</w:t>
      </w:r>
    </w:p>
    <w:p w14:paraId="3EF85CA2">
      <w:pPr>
        <w:spacing w:line="360" w:lineRule="auto"/>
        <w:contextualSpacing/>
        <w:rPr>
          <w:rFonts w:ascii="宋体" w:hAnsi="宋体" w:cs="宋体"/>
          <w:color w:val="auto"/>
          <w:sz w:val="24"/>
          <w:highlight w:val="none"/>
        </w:rPr>
      </w:pPr>
    </w:p>
    <w:p w14:paraId="2CC21E5E">
      <w:pPr>
        <w:spacing w:line="360" w:lineRule="auto"/>
        <w:ind w:firstLine="3600" w:firstLineChars="1500"/>
        <w:contextualSpacing/>
        <w:rPr>
          <w:rFonts w:ascii="宋体" w:hAnsi="宋体" w:cs="宋体"/>
          <w:color w:val="auto"/>
          <w:sz w:val="24"/>
          <w:highlight w:val="none"/>
        </w:rPr>
      </w:pPr>
      <w:r>
        <w:rPr>
          <w:rFonts w:hint="eastAsia" w:ascii="宋体" w:hAnsi="宋体" w:cs="宋体"/>
          <w:color w:val="auto"/>
          <w:sz w:val="24"/>
          <w:highlight w:val="none"/>
        </w:rPr>
        <w:t>供应商（盖公章）：</w:t>
      </w:r>
    </w:p>
    <w:p w14:paraId="23B6C09E">
      <w:pPr>
        <w:spacing w:line="360" w:lineRule="auto"/>
        <w:ind w:firstLine="480" w:firstLineChars="200"/>
        <w:contextualSpacing/>
        <w:jc w:val="center"/>
        <w:rPr>
          <w:rFonts w:ascii="宋体" w:hAnsi="宋体" w:cs="宋体"/>
          <w:color w:val="auto"/>
          <w:sz w:val="32"/>
          <w:szCs w:val="32"/>
          <w:highlight w:val="none"/>
        </w:rPr>
      </w:pPr>
      <w:r>
        <w:rPr>
          <w:rFonts w:hint="eastAsia" w:ascii="宋体" w:hAnsi="宋体" w:cs="宋体"/>
          <w:color w:val="auto"/>
          <w:sz w:val="24"/>
          <w:highlight w:val="none"/>
        </w:rPr>
        <w:t xml:space="preserve">                               年   月   日</w:t>
      </w:r>
    </w:p>
    <w:p w14:paraId="609B97F7">
      <w:pPr>
        <w:pStyle w:val="24"/>
        <w:tabs>
          <w:tab w:val="right" w:leader="dot" w:pos="8398"/>
        </w:tabs>
        <w:rPr>
          <w:color w:val="auto"/>
          <w:highlight w:val="none"/>
        </w:rPr>
      </w:pPr>
      <w:r>
        <w:rPr>
          <w:rFonts w:hint="eastAsia" w:ascii="宋体" w:hAnsi="宋体" w:cs="宋体"/>
          <w:bCs/>
          <w:color w:val="auto"/>
          <w:sz w:val="44"/>
          <w:szCs w:val="44"/>
          <w:highlight w:val="none"/>
        </w:rPr>
        <w:br w:type="page"/>
      </w:r>
    </w:p>
    <w:p w14:paraId="42ACC93A">
      <w:pPr>
        <w:spacing w:line="520" w:lineRule="exact"/>
        <w:jc w:val="center"/>
        <w:rPr>
          <w:rFonts w:ascii="宋体" w:hAnsi="宋体" w:cs="宋体"/>
          <w:bCs/>
          <w:color w:val="auto"/>
          <w:sz w:val="32"/>
          <w:szCs w:val="32"/>
          <w:highlight w:val="none"/>
        </w:rPr>
      </w:pPr>
      <w:r>
        <w:rPr>
          <w:rFonts w:hint="eastAsia" w:ascii="宋体" w:hAnsi="宋体" w:cs="宋体"/>
          <w:bCs/>
          <w:color w:val="auto"/>
          <w:sz w:val="44"/>
          <w:szCs w:val="44"/>
          <w:highlight w:val="none"/>
        </w:rPr>
        <w:t>竞  标  报  价  表</w:t>
      </w:r>
    </w:p>
    <w:p w14:paraId="6EB7BB16">
      <w:pPr>
        <w:spacing w:line="440" w:lineRule="exact"/>
        <w:jc w:val="center"/>
        <w:rPr>
          <w:rFonts w:ascii="宋体" w:hAnsi="宋体" w:cs="宋体"/>
          <w:bCs/>
          <w:color w:val="auto"/>
          <w:sz w:val="32"/>
          <w:szCs w:val="32"/>
          <w:highlight w:val="none"/>
        </w:rPr>
      </w:pPr>
    </w:p>
    <w:p w14:paraId="74506C89">
      <w:pPr>
        <w:spacing w:line="360" w:lineRule="auto"/>
        <w:contextualSpacing/>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项目编号：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分标号：</w:t>
      </w:r>
      <w:r>
        <w:rPr>
          <w:rFonts w:hint="eastAsia" w:ascii="宋体" w:hAnsi="宋体" w:cs="宋体"/>
          <w:color w:val="auto"/>
          <w:sz w:val="24"/>
          <w:highlight w:val="none"/>
          <w:u w:val="single"/>
        </w:rPr>
        <w:t xml:space="preserve">        </w:t>
      </w:r>
    </w:p>
    <w:p w14:paraId="318EDF01">
      <w:pPr>
        <w:spacing w:line="360" w:lineRule="auto"/>
        <w:contextualSpacing/>
        <w:rPr>
          <w:rFonts w:ascii="宋体" w:hAnsi="宋体" w:cs="宋体"/>
          <w:color w:val="auto"/>
          <w:sz w:val="24"/>
          <w:highlight w:val="none"/>
        </w:rPr>
      </w:pPr>
      <w:r>
        <w:rPr>
          <w:rFonts w:hint="eastAsia" w:ascii="宋体" w:hAnsi="宋体" w:cs="宋体"/>
          <w:color w:val="auto"/>
          <w:sz w:val="24"/>
          <w:highlight w:val="none"/>
        </w:rPr>
        <w:t>供应商名称：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14:paraId="76663C3A">
      <w:pPr>
        <w:spacing w:line="360" w:lineRule="auto"/>
        <w:contextualSpacing/>
        <w:rPr>
          <w:rFonts w:ascii="宋体" w:hAnsi="宋体" w:cs="宋体"/>
          <w:color w:val="auto"/>
          <w:sz w:val="24"/>
          <w:highlight w:val="none"/>
        </w:rPr>
      </w:pPr>
      <w:r>
        <w:rPr>
          <w:rFonts w:hint="eastAsia" w:ascii="宋体" w:hAnsi="宋体" w:cs="宋体"/>
          <w:color w:val="auto"/>
          <w:sz w:val="24"/>
          <w:highlight w:val="none"/>
        </w:rPr>
        <w:t xml:space="preserve">                                                单位：元</w:t>
      </w:r>
    </w:p>
    <w:tbl>
      <w:tblPr>
        <w:tblStyle w:val="33"/>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2989"/>
        <w:gridCol w:w="1009"/>
        <w:gridCol w:w="767"/>
        <w:gridCol w:w="2044"/>
        <w:gridCol w:w="1303"/>
        <w:gridCol w:w="1327"/>
      </w:tblGrid>
      <w:tr w14:paraId="5D264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773" w:type="dxa"/>
            <w:tcBorders>
              <w:top w:val="single" w:color="auto" w:sz="4" w:space="0"/>
              <w:left w:val="single" w:color="auto" w:sz="4" w:space="0"/>
              <w:bottom w:val="single" w:color="auto" w:sz="4" w:space="0"/>
              <w:right w:val="single" w:color="auto" w:sz="4" w:space="0"/>
            </w:tcBorders>
            <w:vAlign w:val="center"/>
          </w:tcPr>
          <w:p w14:paraId="5981DEE1">
            <w:pPr>
              <w:spacing w:line="360" w:lineRule="auto"/>
              <w:contextualSpacing/>
              <w:jc w:val="center"/>
              <w:rPr>
                <w:rFonts w:ascii="宋体" w:hAnsi="宋体" w:cs="宋体"/>
                <w:color w:val="auto"/>
                <w:sz w:val="24"/>
                <w:highlight w:val="none"/>
              </w:rPr>
            </w:pPr>
            <w:r>
              <w:rPr>
                <w:rFonts w:hint="eastAsia" w:ascii="宋体" w:hAnsi="宋体" w:cs="宋体"/>
                <w:color w:val="auto"/>
                <w:sz w:val="24"/>
                <w:highlight w:val="none"/>
              </w:rPr>
              <w:t>序号</w:t>
            </w:r>
          </w:p>
        </w:tc>
        <w:tc>
          <w:tcPr>
            <w:tcW w:w="2989" w:type="dxa"/>
            <w:tcBorders>
              <w:top w:val="single" w:color="auto" w:sz="4" w:space="0"/>
              <w:left w:val="single" w:color="auto" w:sz="4" w:space="0"/>
              <w:bottom w:val="single" w:color="auto" w:sz="4" w:space="0"/>
              <w:right w:val="single" w:color="auto" w:sz="4" w:space="0"/>
            </w:tcBorders>
            <w:vAlign w:val="center"/>
          </w:tcPr>
          <w:p w14:paraId="7EACCE95">
            <w:pPr>
              <w:spacing w:line="360" w:lineRule="auto"/>
              <w:contextualSpacing/>
              <w:jc w:val="center"/>
              <w:rPr>
                <w:rFonts w:ascii="宋体" w:hAnsi="宋体" w:cs="宋体"/>
                <w:color w:val="auto"/>
                <w:sz w:val="24"/>
                <w:highlight w:val="none"/>
              </w:rPr>
            </w:pPr>
            <w:r>
              <w:rPr>
                <w:rFonts w:hint="eastAsia" w:ascii="宋体" w:hAnsi="宋体" w:cs="宋体"/>
                <w:color w:val="auto"/>
                <w:sz w:val="24"/>
                <w:highlight w:val="none"/>
              </w:rPr>
              <w:t>标的名称</w:t>
            </w:r>
          </w:p>
        </w:tc>
        <w:tc>
          <w:tcPr>
            <w:tcW w:w="1009" w:type="dxa"/>
            <w:tcBorders>
              <w:top w:val="single" w:color="auto" w:sz="4" w:space="0"/>
              <w:left w:val="single" w:color="auto" w:sz="4" w:space="0"/>
              <w:bottom w:val="single" w:color="auto" w:sz="4" w:space="0"/>
              <w:right w:val="single" w:color="auto" w:sz="4" w:space="0"/>
            </w:tcBorders>
            <w:vAlign w:val="center"/>
          </w:tcPr>
          <w:p w14:paraId="4BDC82E5">
            <w:pPr>
              <w:spacing w:line="360" w:lineRule="auto"/>
              <w:contextualSpacing/>
              <w:jc w:val="center"/>
              <w:rPr>
                <w:rFonts w:ascii="宋体" w:hAnsi="宋体" w:cs="宋体"/>
                <w:color w:val="auto"/>
                <w:sz w:val="24"/>
                <w:highlight w:val="none"/>
              </w:rPr>
            </w:pPr>
            <w:r>
              <w:rPr>
                <w:rFonts w:hint="eastAsia" w:ascii="宋体" w:hAnsi="宋体" w:cs="宋体"/>
                <w:color w:val="auto"/>
                <w:sz w:val="24"/>
                <w:highlight w:val="none"/>
              </w:rPr>
              <w:t>数量</w:t>
            </w:r>
          </w:p>
        </w:tc>
        <w:tc>
          <w:tcPr>
            <w:tcW w:w="767" w:type="dxa"/>
            <w:tcBorders>
              <w:top w:val="single" w:color="auto" w:sz="4" w:space="0"/>
              <w:left w:val="single" w:color="auto" w:sz="4" w:space="0"/>
              <w:bottom w:val="single" w:color="auto" w:sz="4" w:space="0"/>
              <w:right w:val="single" w:color="auto" w:sz="4" w:space="0"/>
            </w:tcBorders>
            <w:vAlign w:val="center"/>
          </w:tcPr>
          <w:p w14:paraId="2022AFFE">
            <w:pPr>
              <w:spacing w:line="360" w:lineRule="auto"/>
              <w:contextualSpacing/>
              <w:jc w:val="center"/>
              <w:rPr>
                <w:rFonts w:ascii="宋体" w:hAnsi="宋体" w:cs="宋体"/>
                <w:color w:val="auto"/>
                <w:sz w:val="24"/>
                <w:highlight w:val="none"/>
              </w:rPr>
            </w:pPr>
            <w:r>
              <w:rPr>
                <w:rFonts w:hint="eastAsia" w:ascii="宋体" w:hAnsi="宋体" w:cs="宋体"/>
                <w:color w:val="auto"/>
                <w:sz w:val="24"/>
                <w:highlight w:val="none"/>
              </w:rPr>
              <w:t>单位</w:t>
            </w:r>
          </w:p>
        </w:tc>
        <w:tc>
          <w:tcPr>
            <w:tcW w:w="2044" w:type="dxa"/>
            <w:tcBorders>
              <w:top w:val="single" w:color="auto" w:sz="4" w:space="0"/>
              <w:left w:val="single" w:color="auto" w:sz="4" w:space="0"/>
              <w:bottom w:val="single" w:color="auto" w:sz="4" w:space="0"/>
              <w:right w:val="single" w:color="auto" w:sz="4" w:space="0"/>
            </w:tcBorders>
            <w:vAlign w:val="center"/>
          </w:tcPr>
          <w:p w14:paraId="766BE4D0">
            <w:pPr>
              <w:spacing w:line="360" w:lineRule="auto"/>
              <w:contextualSpacing/>
              <w:jc w:val="center"/>
              <w:rPr>
                <w:rFonts w:ascii="宋体" w:hAnsi="宋体" w:cs="宋体"/>
                <w:color w:val="auto"/>
                <w:sz w:val="24"/>
                <w:highlight w:val="none"/>
              </w:rPr>
            </w:pPr>
            <w:r>
              <w:rPr>
                <w:rFonts w:hint="eastAsia" w:ascii="宋体" w:hAnsi="宋体" w:cs="宋体"/>
                <w:color w:val="auto"/>
                <w:sz w:val="24"/>
                <w:highlight w:val="none"/>
              </w:rPr>
              <w:t>单价</w:t>
            </w:r>
          </w:p>
        </w:tc>
        <w:tc>
          <w:tcPr>
            <w:tcW w:w="1303" w:type="dxa"/>
            <w:tcBorders>
              <w:top w:val="single" w:color="auto" w:sz="4" w:space="0"/>
              <w:left w:val="single" w:color="auto" w:sz="4" w:space="0"/>
              <w:bottom w:val="single" w:color="auto" w:sz="4" w:space="0"/>
              <w:right w:val="single" w:color="auto" w:sz="4" w:space="0"/>
            </w:tcBorders>
            <w:vAlign w:val="center"/>
          </w:tcPr>
          <w:p w14:paraId="2E891C78">
            <w:pPr>
              <w:spacing w:line="360" w:lineRule="auto"/>
              <w:contextualSpacing/>
              <w:jc w:val="center"/>
              <w:rPr>
                <w:rFonts w:ascii="宋体" w:hAnsi="宋体" w:cs="宋体"/>
                <w:color w:val="auto"/>
                <w:sz w:val="24"/>
                <w:highlight w:val="none"/>
              </w:rPr>
            </w:pPr>
            <w:r>
              <w:rPr>
                <w:rFonts w:hint="eastAsia" w:ascii="宋体" w:hAnsi="宋体" w:cs="宋体"/>
                <w:color w:val="auto"/>
                <w:sz w:val="24"/>
                <w:highlight w:val="none"/>
              </w:rPr>
              <w:t>总价</w:t>
            </w:r>
          </w:p>
        </w:tc>
        <w:tc>
          <w:tcPr>
            <w:tcW w:w="1327" w:type="dxa"/>
            <w:tcBorders>
              <w:top w:val="single" w:color="auto" w:sz="4" w:space="0"/>
              <w:left w:val="single" w:color="auto" w:sz="4" w:space="0"/>
              <w:bottom w:val="single" w:color="auto" w:sz="4" w:space="0"/>
              <w:right w:val="single" w:color="auto" w:sz="4" w:space="0"/>
            </w:tcBorders>
            <w:vAlign w:val="center"/>
          </w:tcPr>
          <w:p w14:paraId="4B33AE44">
            <w:pPr>
              <w:spacing w:line="360" w:lineRule="auto"/>
              <w:contextualSpacing/>
              <w:jc w:val="center"/>
              <w:rPr>
                <w:rFonts w:ascii="宋体" w:hAnsi="宋体" w:cs="宋体"/>
                <w:color w:val="auto"/>
                <w:sz w:val="24"/>
                <w:highlight w:val="none"/>
              </w:rPr>
            </w:pPr>
            <w:r>
              <w:rPr>
                <w:rFonts w:hint="eastAsia" w:ascii="宋体" w:hAnsi="宋体" w:cs="宋体"/>
                <w:color w:val="auto"/>
                <w:sz w:val="24"/>
                <w:highlight w:val="none"/>
              </w:rPr>
              <w:t>备注</w:t>
            </w:r>
          </w:p>
        </w:tc>
      </w:tr>
      <w:tr w14:paraId="2ADC9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773" w:type="dxa"/>
            <w:tcBorders>
              <w:top w:val="single" w:color="auto" w:sz="4" w:space="0"/>
              <w:left w:val="single" w:color="auto" w:sz="4" w:space="0"/>
              <w:bottom w:val="single" w:color="auto" w:sz="4" w:space="0"/>
              <w:right w:val="single" w:color="auto" w:sz="4" w:space="0"/>
            </w:tcBorders>
            <w:vAlign w:val="center"/>
          </w:tcPr>
          <w:p w14:paraId="10AEF35C">
            <w:pPr>
              <w:spacing w:line="360" w:lineRule="auto"/>
              <w:contextualSpacing/>
              <w:jc w:val="center"/>
              <w:rPr>
                <w:rFonts w:ascii="宋体" w:hAnsi="宋体" w:cs="宋体"/>
                <w:color w:val="auto"/>
                <w:sz w:val="24"/>
                <w:highlight w:val="none"/>
              </w:rPr>
            </w:pPr>
            <w:r>
              <w:rPr>
                <w:rFonts w:hint="eastAsia" w:ascii="宋体" w:hAnsi="宋体" w:cs="宋体"/>
                <w:color w:val="auto"/>
                <w:sz w:val="24"/>
                <w:highlight w:val="none"/>
              </w:rPr>
              <w:t>1</w:t>
            </w:r>
          </w:p>
        </w:tc>
        <w:tc>
          <w:tcPr>
            <w:tcW w:w="2989" w:type="dxa"/>
            <w:tcBorders>
              <w:top w:val="single" w:color="auto" w:sz="4" w:space="0"/>
              <w:left w:val="single" w:color="auto" w:sz="4" w:space="0"/>
              <w:bottom w:val="single" w:color="auto" w:sz="4" w:space="0"/>
              <w:right w:val="single" w:color="auto" w:sz="4" w:space="0"/>
            </w:tcBorders>
            <w:vAlign w:val="center"/>
          </w:tcPr>
          <w:p w14:paraId="6A0057F7">
            <w:pPr>
              <w:spacing w:line="360" w:lineRule="auto"/>
              <w:contextualSpacing/>
              <w:jc w:val="center"/>
              <w:rPr>
                <w:rFonts w:ascii="宋体" w:hAnsi="宋体" w:cs="宋体"/>
                <w:color w:val="auto"/>
                <w:sz w:val="24"/>
                <w:highlight w:val="none"/>
              </w:rPr>
            </w:pPr>
          </w:p>
        </w:tc>
        <w:tc>
          <w:tcPr>
            <w:tcW w:w="1009" w:type="dxa"/>
            <w:tcBorders>
              <w:top w:val="single" w:color="auto" w:sz="4" w:space="0"/>
              <w:left w:val="single" w:color="auto" w:sz="4" w:space="0"/>
              <w:bottom w:val="single" w:color="auto" w:sz="4" w:space="0"/>
              <w:right w:val="single" w:color="auto" w:sz="4" w:space="0"/>
            </w:tcBorders>
            <w:vAlign w:val="center"/>
          </w:tcPr>
          <w:p w14:paraId="6A23FF62">
            <w:pPr>
              <w:spacing w:line="360" w:lineRule="auto"/>
              <w:contextualSpacing/>
              <w:jc w:val="center"/>
              <w:rPr>
                <w:rFonts w:ascii="宋体" w:hAnsi="宋体" w:cs="宋体"/>
                <w:color w:val="auto"/>
                <w:sz w:val="24"/>
                <w:highlight w:val="none"/>
              </w:rPr>
            </w:pPr>
          </w:p>
        </w:tc>
        <w:tc>
          <w:tcPr>
            <w:tcW w:w="767" w:type="dxa"/>
            <w:tcBorders>
              <w:top w:val="single" w:color="auto" w:sz="4" w:space="0"/>
              <w:left w:val="single" w:color="auto" w:sz="4" w:space="0"/>
              <w:bottom w:val="single" w:color="auto" w:sz="4" w:space="0"/>
              <w:right w:val="single" w:color="auto" w:sz="4" w:space="0"/>
            </w:tcBorders>
          </w:tcPr>
          <w:p w14:paraId="45F75FBC">
            <w:pPr>
              <w:spacing w:line="360" w:lineRule="auto"/>
              <w:contextualSpacing/>
              <w:rPr>
                <w:rFonts w:ascii="宋体" w:hAnsi="宋体" w:cs="宋体"/>
                <w:color w:val="auto"/>
                <w:sz w:val="24"/>
                <w:highlight w:val="none"/>
              </w:rPr>
            </w:pPr>
          </w:p>
        </w:tc>
        <w:tc>
          <w:tcPr>
            <w:tcW w:w="2044" w:type="dxa"/>
            <w:tcBorders>
              <w:top w:val="single" w:color="auto" w:sz="4" w:space="0"/>
              <w:left w:val="single" w:color="auto" w:sz="4" w:space="0"/>
              <w:bottom w:val="single" w:color="auto" w:sz="4" w:space="0"/>
              <w:right w:val="single" w:color="auto" w:sz="4" w:space="0"/>
            </w:tcBorders>
          </w:tcPr>
          <w:p w14:paraId="4BA9DA8C">
            <w:pPr>
              <w:spacing w:line="360" w:lineRule="auto"/>
              <w:contextualSpacing/>
              <w:rPr>
                <w:rFonts w:ascii="宋体" w:hAnsi="宋体" w:cs="宋体"/>
                <w:color w:val="auto"/>
                <w:sz w:val="24"/>
                <w:highlight w:val="none"/>
              </w:rPr>
            </w:pPr>
          </w:p>
        </w:tc>
        <w:tc>
          <w:tcPr>
            <w:tcW w:w="1303" w:type="dxa"/>
            <w:tcBorders>
              <w:top w:val="single" w:color="auto" w:sz="4" w:space="0"/>
              <w:left w:val="single" w:color="auto" w:sz="4" w:space="0"/>
              <w:bottom w:val="single" w:color="auto" w:sz="4" w:space="0"/>
              <w:right w:val="single" w:color="auto" w:sz="4" w:space="0"/>
            </w:tcBorders>
          </w:tcPr>
          <w:p w14:paraId="5BCD6F67">
            <w:pPr>
              <w:spacing w:line="360" w:lineRule="auto"/>
              <w:contextualSpacing/>
              <w:rPr>
                <w:rFonts w:ascii="宋体" w:hAnsi="宋体" w:cs="宋体"/>
                <w:color w:val="auto"/>
                <w:sz w:val="24"/>
                <w:highlight w:val="none"/>
              </w:rPr>
            </w:pPr>
          </w:p>
        </w:tc>
        <w:tc>
          <w:tcPr>
            <w:tcW w:w="1327" w:type="dxa"/>
            <w:tcBorders>
              <w:top w:val="single" w:color="auto" w:sz="4" w:space="0"/>
              <w:left w:val="single" w:color="auto" w:sz="4" w:space="0"/>
              <w:bottom w:val="single" w:color="auto" w:sz="4" w:space="0"/>
              <w:right w:val="single" w:color="auto" w:sz="4" w:space="0"/>
            </w:tcBorders>
            <w:vAlign w:val="center"/>
          </w:tcPr>
          <w:p w14:paraId="418176ED">
            <w:pPr>
              <w:spacing w:line="360" w:lineRule="auto"/>
              <w:contextualSpacing/>
              <w:rPr>
                <w:rFonts w:ascii="宋体" w:hAnsi="宋体" w:cs="宋体"/>
                <w:color w:val="auto"/>
                <w:sz w:val="24"/>
                <w:highlight w:val="none"/>
              </w:rPr>
            </w:pPr>
          </w:p>
        </w:tc>
      </w:tr>
      <w:tr w14:paraId="6C404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10212" w:type="dxa"/>
            <w:gridSpan w:val="7"/>
            <w:tcBorders>
              <w:top w:val="single" w:color="auto" w:sz="4" w:space="0"/>
              <w:left w:val="single" w:color="auto" w:sz="4" w:space="0"/>
              <w:bottom w:val="single" w:color="auto" w:sz="4" w:space="0"/>
              <w:right w:val="single" w:color="auto" w:sz="4" w:space="0"/>
            </w:tcBorders>
            <w:vAlign w:val="center"/>
          </w:tcPr>
          <w:p w14:paraId="4F424027">
            <w:pPr>
              <w:spacing w:line="360" w:lineRule="auto"/>
              <w:contextualSpacing/>
              <w:rPr>
                <w:rFonts w:ascii="宋体" w:hAnsi="宋体" w:cs="宋体"/>
                <w:color w:val="auto"/>
                <w:sz w:val="24"/>
                <w:highlight w:val="none"/>
              </w:rPr>
            </w:pPr>
            <w:r>
              <w:rPr>
                <w:rFonts w:hint="eastAsia" w:ascii="宋体" w:hAnsi="宋体" w:cs="宋体"/>
                <w:color w:val="auto"/>
                <w:sz w:val="24"/>
                <w:highlight w:val="none"/>
              </w:rPr>
              <w:t>合计金额大写：人民币</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tc>
      </w:tr>
      <w:tr w14:paraId="4CAFD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10212" w:type="dxa"/>
            <w:gridSpan w:val="7"/>
            <w:tcBorders>
              <w:top w:val="single" w:color="auto" w:sz="4" w:space="0"/>
              <w:left w:val="single" w:color="auto" w:sz="4" w:space="0"/>
              <w:bottom w:val="single" w:color="auto" w:sz="4" w:space="0"/>
              <w:right w:val="single" w:color="auto" w:sz="4" w:space="0"/>
            </w:tcBorders>
            <w:vAlign w:val="center"/>
          </w:tcPr>
          <w:p w14:paraId="7FA1BF11">
            <w:pPr>
              <w:spacing w:line="360" w:lineRule="auto"/>
              <w:contextualSpacing/>
              <w:rPr>
                <w:rFonts w:ascii="宋体" w:hAnsi="宋体" w:cs="宋体"/>
                <w:color w:val="auto"/>
                <w:sz w:val="24"/>
                <w:highlight w:val="none"/>
              </w:rPr>
            </w:pPr>
            <w:r>
              <w:rPr>
                <w:rFonts w:hint="eastAsia" w:ascii="宋体" w:hAnsi="宋体" w:cs="宋体"/>
                <w:color w:val="auto"/>
                <w:sz w:val="24"/>
                <w:highlight w:val="none"/>
              </w:rPr>
              <w:t>合同履约期限（提交服务成果时间）：</w:t>
            </w:r>
          </w:p>
        </w:tc>
      </w:tr>
    </w:tbl>
    <w:p w14:paraId="2297FF7B">
      <w:pPr>
        <w:spacing w:line="360" w:lineRule="auto"/>
        <w:contextualSpacing/>
        <w:jc w:val="left"/>
        <w:rPr>
          <w:rFonts w:ascii="宋体" w:hAnsi="宋体" w:cs="宋体"/>
          <w:color w:val="auto"/>
          <w:sz w:val="24"/>
          <w:highlight w:val="none"/>
        </w:rPr>
      </w:pPr>
    </w:p>
    <w:p w14:paraId="63C8CC18">
      <w:pPr>
        <w:spacing w:line="360" w:lineRule="auto"/>
        <w:contextualSpacing/>
        <w:jc w:val="left"/>
        <w:rPr>
          <w:rFonts w:ascii="宋体" w:hAnsi="宋体" w:cs="宋体"/>
          <w:color w:val="auto"/>
          <w:sz w:val="24"/>
          <w:highlight w:val="none"/>
        </w:rPr>
      </w:pPr>
      <w:r>
        <w:rPr>
          <w:rFonts w:hint="eastAsia" w:ascii="宋体" w:hAnsi="宋体" w:cs="宋体"/>
          <w:color w:val="auto"/>
          <w:sz w:val="24"/>
          <w:highlight w:val="none"/>
        </w:rPr>
        <w:t xml:space="preserve">注: </w:t>
      </w:r>
    </w:p>
    <w:p w14:paraId="523ABB9E">
      <w:pPr>
        <w:spacing w:line="360" w:lineRule="auto"/>
        <w:ind w:firstLine="480" w:firstLineChars="200"/>
        <w:contextualSpacing/>
        <w:jc w:val="left"/>
        <w:rPr>
          <w:rFonts w:ascii="宋体" w:hAnsi="宋体" w:cs="宋体"/>
          <w:color w:val="auto"/>
          <w:sz w:val="24"/>
          <w:highlight w:val="none"/>
        </w:rPr>
      </w:pPr>
      <w:r>
        <w:rPr>
          <w:rFonts w:hint="eastAsia" w:ascii="宋体" w:hAnsi="宋体" w:cs="宋体"/>
          <w:color w:val="auto"/>
          <w:sz w:val="24"/>
          <w:highlight w:val="none"/>
        </w:rPr>
        <w:t>1.供应商的报价表必须加盖供应商公章并由法定代表人或者委托代理人签字，</w:t>
      </w:r>
      <w:r>
        <w:rPr>
          <w:rFonts w:hint="eastAsia" w:ascii="宋体" w:hAnsi="宋体" w:cs="宋体"/>
          <w:b/>
          <w:color w:val="auto"/>
          <w:sz w:val="24"/>
          <w:highlight w:val="none"/>
        </w:rPr>
        <w:t>否则其响应文件按无效响应处理</w:t>
      </w:r>
      <w:r>
        <w:rPr>
          <w:rFonts w:hint="eastAsia" w:ascii="宋体" w:hAnsi="宋体" w:cs="宋体"/>
          <w:color w:val="auto"/>
          <w:sz w:val="24"/>
          <w:highlight w:val="none"/>
        </w:rPr>
        <w:t>。</w:t>
      </w:r>
    </w:p>
    <w:p w14:paraId="6803030B">
      <w:pPr>
        <w:spacing w:line="360" w:lineRule="auto"/>
        <w:ind w:firstLine="480" w:firstLineChars="200"/>
        <w:contextualSpacing/>
        <w:jc w:val="left"/>
        <w:rPr>
          <w:rFonts w:ascii="宋体" w:hAnsi="宋体" w:cs="宋体"/>
          <w:b/>
          <w:color w:val="auto"/>
          <w:sz w:val="24"/>
          <w:highlight w:val="none"/>
        </w:rPr>
      </w:pPr>
      <w:r>
        <w:rPr>
          <w:rFonts w:hint="eastAsia" w:ascii="宋体" w:hAnsi="宋体" w:cs="宋体"/>
          <w:bCs/>
          <w:color w:val="auto"/>
          <w:sz w:val="24"/>
          <w:highlight w:val="none"/>
        </w:rPr>
        <w:t>2.</w:t>
      </w:r>
      <w:r>
        <w:rPr>
          <w:rFonts w:hint="eastAsia" w:ascii="宋体" w:hAnsi="宋体" w:cs="宋体"/>
          <w:color w:val="auto"/>
          <w:sz w:val="24"/>
          <w:highlight w:val="none"/>
        </w:rPr>
        <w:t>报价一经涂改，应在涂改处加盖供应商公章或者由法定代表人或者委托代理人签字或者盖章</w:t>
      </w:r>
      <w:r>
        <w:rPr>
          <w:rFonts w:hint="eastAsia" w:ascii="宋体" w:hAnsi="宋体" w:cs="宋体"/>
          <w:b/>
          <w:color w:val="auto"/>
          <w:sz w:val="24"/>
          <w:highlight w:val="none"/>
        </w:rPr>
        <w:t>，否则其响应文件按无效响应处理。</w:t>
      </w:r>
    </w:p>
    <w:p w14:paraId="5C3C3C78">
      <w:pPr>
        <w:spacing w:line="360" w:lineRule="auto"/>
        <w:ind w:right="-817" w:rightChars="-389"/>
        <w:contextualSpacing/>
        <w:rPr>
          <w:rFonts w:ascii="宋体" w:hAnsi="宋体" w:cs="宋体"/>
          <w:color w:val="auto"/>
          <w:sz w:val="24"/>
          <w:highlight w:val="none"/>
        </w:rPr>
      </w:pPr>
    </w:p>
    <w:p w14:paraId="3D4DF594">
      <w:pPr>
        <w:spacing w:line="360" w:lineRule="auto"/>
        <w:ind w:right="-817" w:rightChars="-389" w:firstLine="2640" w:firstLineChars="1100"/>
        <w:contextualSpacing/>
        <w:rPr>
          <w:rFonts w:ascii="宋体" w:hAnsi="宋体" w:cs="宋体"/>
          <w:color w:val="auto"/>
          <w:sz w:val="24"/>
          <w:highlight w:val="none"/>
        </w:rPr>
      </w:pPr>
      <w:r>
        <w:rPr>
          <w:rFonts w:hint="eastAsia" w:ascii="宋体" w:hAnsi="宋体" w:cs="宋体"/>
          <w:color w:val="auto"/>
          <w:sz w:val="24"/>
          <w:highlight w:val="none"/>
        </w:rPr>
        <w:t xml:space="preserve">法定代表人或者委托代理人（签字）：                    </w:t>
      </w:r>
    </w:p>
    <w:p w14:paraId="6BA15962">
      <w:pPr>
        <w:spacing w:line="360" w:lineRule="auto"/>
        <w:ind w:right="-817" w:rightChars="-389" w:firstLine="2640" w:firstLineChars="1100"/>
        <w:contextualSpacing/>
        <w:rPr>
          <w:rFonts w:ascii="宋体" w:hAnsi="宋体" w:cs="宋体"/>
          <w:color w:val="auto"/>
          <w:sz w:val="24"/>
          <w:highlight w:val="none"/>
        </w:rPr>
      </w:pPr>
      <w:r>
        <w:rPr>
          <w:rFonts w:hint="eastAsia" w:ascii="宋体" w:hAnsi="宋体" w:cs="宋体"/>
          <w:color w:val="auto"/>
          <w:sz w:val="24"/>
          <w:highlight w:val="none"/>
        </w:rPr>
        <w:t xml:space="preserve">供应商（盖公章）：      </w:t>
      </w:r>
    </w:p>
    <w:p w14:paraId="1DE6D07E">
      <w:pPr>
        <w:spacing w:line="360" w:lineRule="auto"/>
        <w:ind w:right="-817" w:rightChars="-389" w:firstLine="4080" w:firstLineChars="1700"/>
        <w:contextualSpacing/>
        <w:rPr>
          <w:rFonts w:ascii="宋体" w:hAnsi="宋体" w:cs="宋体"/>
          <w:b/>
          <w:color w:val="auto"/>
          <w:sz w:val="24"/>
          <w:highlight w:val="none"/>
        </w:rPr>
      </w:pPr>
      <w:r>
        <w:rPr>
          <w:rFonts w:hint="eastAsia" w:ascii="宋体" w:hAnsi="宋体" w:cs="宋体"/>
          <w:color w:val="auto"/>
          <w:sz w:val="24"/>
          <w:highlight w:val="none"/>
        </w:rPr>
        <w:t>日期：   年   月   日</w:t>
      </w:r>
    </w:p>
    <w:p w14:paraId="482AD4E9">
      <w:pPr>
        <w:spacing w:before="312" w:beforeLines="100" w:after="156" w:afterLines="50" w:line="520" w:lineRule="exact"/>
        <w:jc w:val="center"/>
        <w:rPr>
          <w:rFonts w:ascii="宋体" w:hAnsi="宋体" w:cs="宋体"/>
          <w:color w:val="auto"/>
          <w:sz w:val="32"/>
          <w:szCs w:val="32"/>
          <w:highlight w:val="none"/>
        </w:rPr>
      </w:pPr>
      <w:r>
        <w:rPr>
          <w:rFonts w:hint="eastAsia" w:ascii="宋体" w:hAnsi="宋体" w:cs="宋体"/>
          <w:b/>
          <w:color w:val="auto"/>
          <w:sz w:val="32"/>
          <w:szCs w:val="32"/>
          <w:highlight w:val="none"/>
        </w:rPr>
        <w:br w:type="page"/>
      </w:r>
      <w:r>
        <w:rPr>
          <w:rFonts w:hint="eastAsia" w:ascii="宋体" w:hAnsi="宋体" w:cs="宋体"/>
          <w:bCs/>
          <w:color w:val="auto"/>
          <w:sz w:val="44"/>
          <w:szCs w:val="44"/>
          <w:highlight w:val="none"/>
        </w:rPr>
        <w:t>法定代表人身份证明</w:t>
      </w:r>
    </w:p>
    <w:p w14:paraId="7C82A7B7">
      <w:pPr>
        <w:spacing w:line="360" w:lineRule="auto"/>
        <w:ind w:left="540"/>
        <w:contextualSpacing/>
        <w:rPr>
          <w:rFonts w:ascii="宋体" w:hAnsi="宋体" w:cs="宋体"/>
          <w:color w:val="auto"/>
          <w:sz w:val="32"/>
          <w:szCs w:val="32"/>
          <w:highlight w:val="none"/>
        </w:rPr>
      </w:pPr>
    </w:p>
    <w:p w14:paraId="7BD876EF">
      <w:pPr>
        <w:spacing w:line="360" w:lineRule="auto"/>
        <w:ind w:left="540"/>
        <w:contextualSpacing/>
        <w:rPr>
          <w:rFonts w:ascii="宋体" w:hAnsi="宋体" w:cs="宋体"/>
          <w:color w:val="auto"/>
          <w:sz w:val="24"/>
          <w:highlight w:val="none"/>
        </w:rPr>
      </w:pPr>
      <w:r>
        <w:rPr>
          <w:rFonts w:hint="eastAsia" w:ascii="宋体" w:hAnsi="宋体" w:cs="宋体"/>
          <w:color w:val="auto"/>
          <w:sz w:val="24"/>
          <w:highlight w:val="none"/>
        </w:rPr>
        <w:t>供应商名称：</w:t>
      </w:r>
      <w:r>
        <w:rPr>
          <w:rFonts w:hint="eastAsia" w:ascii="宋体" w:hAnsi="宋体" w:cs="宋体"/>
          <w:color w:val="auto"/>
          <w:sz w:val="24"/>
          <w:highlight w:val="none"/>
          <w:u w:val="single"/>
        </w:rPr>
        <w:t xml:space="preserve">                                                        </w:t>
      </w:r>
    </w:p>
    <w:p w14:paraId="779DD336">
      <w:pPr>
        <w:spacing w:line="360" w:lineRule="auto"/>
        <w:ind w:left="540"/>
        <w:contextualSpacing/>
        <w:rPr>
          <w:rFonts w:ascii="宋体" w:hAnsi="宋体" w:cs="宋体"/>
          <w:color w:val="auto"/>
          <w:sz w:val="24"/>
          <w:highlight w:val="none"/>
        </w:rPr>
      </w:pPr>
      <w:r>
        <w:rPr>
          <w:rFonts w:hint="eastAsia" w:ascii="宋体" w:hAnsi="宋体" w:cs="宋体"/>
          <w:color w:val="auto"/>
          <w:sz w:val="24"/>
          <w:highlight w:val="none"/>
        </w:rPr>
        <w:t>地    址：</w:t>
      </w:r>
      <w:r>
        <w:rPr>
          <w:rFonts w:hint="eastAsia" w:ascii="宋体" w:hAnsi="宋体" w:cs="宋体"/>
          <w:color w:val="auto"/>
          <w:sz w:val="24"/>
          <w:highlight w:val="none"/>
          <w:u w:val="single"/>
        </w:rPr>
        <w:t xml:space="preserve">                                                        </w:t>
      </w:r>
    </w:p>
    <w:p w14:paraId="7C9D1FA4">
      <w:pPr>
        <w:spacing w:line="360" w:lineRule="auto"/>
        <w:ind w:left="540"/>
        <w:contextualSpacing/>
        <w:rPr>
          <w:rFonts w:ascii="宋体" w:hAnsi="宋体" w:cs="宋体"/>
          <w:color w:val="auto"/>
          <w:sz w:val="24"/>
          <w:highlight w:val="none"/>
        </w:rPr>
      </w:pPr>
      <w:r>
        <w:rPr>
          <w:rFonts w:hint="eastAsia" w:ascii="宋体" w:hAnsi="宋体" w:cs="宋体"/>
          <w:color w:val="auto"/>
          <w:sz w:val="24"/>
          <w:highlight w:val="none"/>
        </w:rPr>
        <w:t>姓    名：</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性     别：</w:t>
      </w:r>
      <w:r>
        <w:rPr>
          <w:rFonts w:hint="eastAsia" w:ascii="宋体" w:hAnsi="宋体" w:cs="宋体"/>
          <w:color w:val="auto"/>
          <w:sz w:val="24"/>
          <w:highlight w:val="none"/>
          <w:u w:val="single"/>
        </w:rPr>
        <w:t xml:space="preserve">                </w:t>
      </w:r>
    </w:p>
    <w:p w14:paraId="1F0B93D8">
      <w:pPr>
        <w:spacing w:line="360" w:lineRule="auto"/>
        <w:ind w:left="540"/>
        <w:contextualSpacing/>
        <w:rPr>
          <w:rFonts w:ascii="宋体" w:hAnsi="宋体" w:cs="宋体"/>
          <w:color w:val="auto"/>
          <w:sz w:val="24"/>
          <w:highlight w:val="none"/>
          <w:u w:val="single"/>
        </w:rPr>
      </w:pPr>
      <w:r>
        <w:rPr>
          <w:rFonts w:hint="eastAsia" w:ascii="宋体" w:hAnsi="宋体" w:cs="宋体"/>
          <w:color w:val="auto"/>
          <w:sz w:val="24"/>
          <w:highlight w:val="none"/>
        </w:rPr>
        <w:t>年    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职     务：</w:t>
      </w:r>
      <w:r>
        <w:rPr>
          <w:rFonts w:hint="eastAsia" w:ascii="宋体" w:hAnsi="宋体" w:cs="宋体"/>
          <w:color w:val="auto"/>
          <w:sz w:val="24"/>
          <w:highlight w:val="none"/>
          <w:u w:val="single"/>
        </w:rPr>
        <w:t xml:space="preserve">                </w:t>
      </w:r>
    </w:p>
    <w:p w14:paraId="278EE062">
      <w:pPr>
        <w:spacing w:line="360" w:lineRule="auto"/>
        <w:ind w:left="540"/>
        <w:contextualSpacing/>
        <w:rPr>
          <w:rFonts w:ascii="宋体" w:hAnsi="宋体" w:cs="宋体"/>
          <w:color w:val="auto"/>
          <w:sz w:val="24"/>
          <w:highlight w:val="none"/>
        </w:rPr>
      </w:pPr>
      <w:r>
        <w:rPr>
          <w:rFonts w:hint="eastAsia" w:ascii="宋体" w:hAnsi="宋体" w:cs="宋体"/>
          <w:color w:val="auto"/>
          <w:sz w:val="24"/>
          <w:highlight w:val="none"/>
        </w:rPr>
        <w:t>身份证号码：</w:t>
      </w:r>
      <w:r>
        <w:rPr>
          <w:rFonts w:hint="eastAsia" w:ascii="宋体" w:hAnsi="宋体" w:cs="宋体"/>
          <w:color w:val="auto"/>
          <w:sz w:val="24"/>
          <w:highlight w:val="none"/>
          <w:u w:val="single"/>
        </w:rPr>
        <w:t xml:space="preserve">                                        </w:t>
      </w:r>
    </w:p>
    <w:p w14:paraId="27793CF6">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系</w:t>
      </w:r>
      <w:r>
        <w:rPr>
          <w:rFonts w:hint="eastAsia" w:ascii="宋体" w:hAnsi="宋体" w:cs="宋体"/>
          <w:color w:val="auto"/>
          <w:sz w:val="24"/>
          <w:highlight w:val="none"/>
          <w:u w:val="single"/>
        </w:rPr>
        <w:t>（供应商名称）</w:t>
      </w:r>
      <w:r>
        <w:rPr>
          <w:rFonts w:hint="eastAsia" w:ascii="宋体" w:hAnsi="宋体" w:cs="宋体"/>
          <w:color w:val="auto"/>
          <w:sz w:val="24"/>
          <w:highlight w:val="none"/>
        </w:rPr>
        <w:t>的法定代表人。</w:t>
      </w:r>
    </w:p>
    <w:p w14:paraId="18364A2A">
      <w:pPr>
        <w:spacing w:line="360" w:lineRule="auto"/>
        <w:ind w:left="540"/>
        <w:contextualSpacing/>
        <w:rPr>
          <w:rFonts w:ascii="宋体" w:hAnsi="宋体" w:cs="宋体"/>
          <w:color w:val="auto"/>
          <w:sz w:val="24"/>
          <w:highlight w:val="none"/>
        </w:rPr>
      </w:pPr>
      <w:r>
        <w:rPr>
          <w:rFonts w:hint="eastAsia" w:ascii="宋体" w:hAnsi="宋体" w:cs="宋体"/>
          <w:color w:val="auto"/>
          <w:sz w:val="24"/>
          <w:highlight w:val="none"/>
        </w:rPr>
        <w:t>特此证明。</w:t>
      </w:r>
    </w:p>
    <w:p w14:paraId="5AB2B044">
      <w:pPr>
        <w:spacing w:line="360" w:lineRule="auto"/>
        <w:ind w:left="540"/>
        <w:contextualSpacing/>
        <w:rPr>
          <w:rFonts w:ascii="宋体" w:hAnsi="宋体" w:cs="宋体"/>
          <w:color w:val="auto"/>
          <w:sz w:val="24"/>
          <w:highlight w:val="none"/>
        </w:rPr>
      </w:pPr>
    </w:p>
    <w:p w14:paraId="73BF840F">
      <w:pPr>
        <w:spacing w:line="360" w:lineRule="auto"/>
        <w:ind w:left="540"/>
        <w:contextualSpacing/>
        <w:rPr>
          <w:rFonts w:ascii="宋体" w:hAnsi="宋体" w:cs="宋体"/>
          <w:color w:val="auto"/>
          <w:sz w:val="24"/>
          <w:highlight w:val="none"/>
        </w:rPr>
      </w:pPr>
    </w:p>
    <w:p w14:paraId="64E7D540">
      <w:pPr>
        <w:spacing w:line="360" w:lineRule="auto"/>
        <w:ind w:left="540"/>
        <w:contextualSpacing/>
        <w:rPr>
          <w:rFonts w:ascii="宋体" w:hAnsi="宋体" w:cs="宋体"/>
          <w:color w:val="auto"/>
          <w:sz w:val="24"/>
          <w:highlight w:val="none"/>
        </w:rPr>
      </w:pPr>
    </w:p>
    <w:p w14:paraId="25666BBD">
      <w:pPr>
        <w:spacing w:line="360" w:lineRule="auto"/>
        <w:ind w:left="540"/>
        <w:contextualSpacing/>
        <w:rPr>
          <w:rFonts w:ascii="宋体" w:hAnsi="宋体" w:cs="宋体"/>
          <w:color w:val="auto"/>
          <w:sz w:val="24"/>
          <w:highlight w:val="none"/>
        </w:rPr>
      </w:pPr>
      <w:r>
        <w:rPr>
          <w:rFonts w:hint="eastAsia" w:ascii="宋体" w:hAnsi="宋体" w:cs="宋体"/>
          <w:color w:val="auto"/>
          <w:sz w:val="24"/>
          <w:highlight w:val="none"/>
        </w:rPr>
        <w:t>附件：法定代表人有效身份证正反面复印件</w:t>
      </w:r>
    </w:p>
    <w:p w14:paraId="6B69A4EB">
      <w:pPr>
        <w:spacing w:line="360" w:lineRule="auto"/>
        <w:ind w:left="540"/>
        <w:contextualSpacing/>
        <w:rPr>
          <w:rFonts w:ascii="宋体" w:hAnsi="宋体" w:cs="宋体"/>
          <w:color w:val="auto"/>
          <w:sz w:val="24"/>
          <w:highlight w:val="none"/>
        </w:rPr>
      </w:pPr>
    </w:p>
    <w:p w14:paraId="2C4F5A8D">
      <w:pPr>
        <w:spacing w:line="360" w:lineRule="auto"/>
        <w:ind w:left="540"/>
        <w:contextualSpacing/>
        <w:jc w:val="center"/>
        <w:rPr>
          <w:rFonts w:ascii="宋体" w:hAnsi="宋体" w:cs="宋体"/>
          <w:color w:val="auto"/>
          <w:sz w:val="24"/>
          <w:highlight w:val="none"/>
        </w:rPr>
      </w:pPr>
      <w:r>
        <w:rPr>
          <w:rFonts w:hint="eastAsia" w:ascii="宋体" w:hAnsi="宋体" w:cs="宋体"/>
          <w:color w:val="auto"/>
          <w:sz w:val="24"/>
          <w:highlight w:val="none"/>
        </w:rPr>
        <w:t xml:space="preserve">                                    供应商（盖公章）：</w:t>
      </w:r>
      <w:r>
        <w:rPr>
          <w:rFonts w:hint="eastAsia" w:ascii="宋体" w:hAnsi="宋体" w:cs="宋体"/>
          <w:color w:val="auto"/>
          <w:sz w:val="24"/>
          <w:highlight w:val="none"/>
          <w:u w:val="single"/>
        </w:rPr>
        <w:t xml:space="preserve">               </w:t>
      </w:r>
    </w:p>
    <w:p w14:paraId="0071B3E7">
      <w:pPr>
        <w:spacing w:line="360" w:lineRule="auto"/>
        <w:contextualSpacing/>
        <w:jc w:val="right"/>
        <w:rPr>
          <w:rFonts w:ascii="宋体" w:hAnsi="宋体" w:cs="宋体"/>
          <w:color w:val="auto"/>
          <w:sz w:val="24"/>
          <w:highlight w:val="none"/>
        </w:rPr>
      </w:pP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407D3AAF">
      <w:pPr>
        <w:spacing w:line="360" w:lineRule="auto"/>
        <w:contextualSpacing/>
        <w:jc w:val="center"/>
        <w:rPr>
          <w:rFonts w:ascii="宋体" w:hAnsi="宋体" w:cs="宋体"/>
          <w:b/>
          <w:color w:val="auto"/>
          <w:sz w:val="24"/>
          <w:highlight w:val="none"/>
        </w:rPr>
      </w:pPr>
    </w:p>
    <w:p w14:paraId="6EE65CD7">
      <w:pPr>
        <w:spacing w:line="360" w:lineRule="auto"/>
        <w:contextualSpacing/>
        <w:jc w:val="left"/>
        <w:rPr>
          <w:rFonts w:ascii="宋体" w:hAnsi="宋体" w:cs="宋体"/>
          <w:color w:val="auto"/>
          <w:sz w:val="24"/>
          <w:highlight w:val="none"/>
        </w:rPr>
      </w:pPr>
    </w:p>
    <w:p w14:paraId="6AB4F5F9">
      <w:pPr>
        <w:adjustRightInd w:val="0"/>
        <w:snapToGrid w:val="0"/>
        <w:spacing w:line="300" w:lineRule="auto"/>
        <w:jc w:val="left"/>
        <w:rPr>
          <w:rFonts w:ascii="宋体" w:hAnsi="宋体" w:cs="宋体"/>
          <w:b/>
          <w:color w:val="auto"/>
          <w:szCs w:val="21"/>
          <w:highlight w:val="none"/>
        </w:rPr>
      </w:pPr>
    </w:p>
    <w:p w14:paraId="2A715C6D">
      <w:pPr>
        <w:spacing w:line="500" w:lineRule="exact"/>
        <w:jc w:val="center"/>
        <w:rPr>
          <w:rFonts w:ascii="宋体" w:hAnsi="宋体" w:cs="宋体"/>
          <w:color w:val="auto"/>
          <w:sz w:val="44"/>
          <w:szCs w:val="44"/>
          <w:highlight w:val="none"/>
        </w:rPr>
      </w:pPr>
      <w:r>
        <w:rPr>
          <w:rFonts w:hint="eastAsia" w:ascii="宋体" w:hAnsi="宋体" w:cs="宋体"/>
          <w:color w:val="auto"/>
          <w:sz w:val="44"/>
          <w:szCs w:val="44"/>
          <w:highlight w:val="none"/>
        </w:rPr>
        <w:br w:type="page"/>
      </w:r>
      <w:r>
        <w:rPr>
          <w:rFonts w:hint="eastAsia" w:ascii="宋体" w:hAnsi="宋体" w:cs="宋体"/>
          <w:color w:val="auto"/>
          <w:sz w:val="44"/>
          <w:szCs w:val="44"/>
          <w:highlight w:val="none"/>
        </w:rPr>
        <w:t xml:space="preserve"> </w:t>
      </w:r>
    </w:p>
    <w:p w14:paraId="16F2C10D">
      <w:pPr>
        <w:spacing w:line="520" w:lineRule="exact"/>
        <w:jc w:val="center"/>
        <w:rPr>
          <w:rFonts w:ascii="宋体" w:hAnsi="宋体" w:cs="宋体"/>
          <w:color w:val="auto"/>
          <w:sz w:val="44"/>
          <w:szCs w:val="44"/>
          <w:highlight w:val="none"/>
        </w:rPr>
      </w:pPr>
      <w:bookmarkStart w:id="70" w:name="_Hlk65853643"/>
      <w:r>
        <w:rPr>
          <w:rFonts w:hint="eastAsia" w:ascii="宋体" w:hAnsi="宋体" w:cs="宋体"/>
          <w:color w:val="auto"/>
          <w:sz w:val="44"/>
          <w:szCs w:val="44"/>
          <w:highlight w:val="none"/>
        </w:rPr>
        <w:t>授权委托书</w:t>
      </w:r>
    </w:p>
    <w:p w14:paraId="379C1B5F">
      <w:pPr>
        <w:spacing w:line="520" w:lineRule="exact"/>
        <w:jc w:val="center"/>
        <w:rPr>
          <w:rFonts w:ascii="宋体" w:hAnsi="宋体" w:cs="宋体"/>
          <w:color w:val="auto"/>
          <w:sz w:val="44"/>
          <w:szCs w:val="44"/>
          <w:highlight w:val="none"/>
        </w:rPr>
      </w:pPr>
      <w:r>
        <w:rPr>
          <w:rFonts w:hint="eastAsia" w:ascii="宋体" w:hAnsi="宋体" w:cs="宋体"/>
          <w:color w:val="auto"/>
          <w:sz w:val="32"/>
          <w:szCs w:val="32"/>
          <w:highlight w:val="none"/>
        </w:rPr>
        <w:t>（如有委托时）</w:t>
      </w:r>
    </w:p>
    <w:p w14:paraId="577FAB0F">
      <w:pPr>
        <w:spacing w:line="520" w:lineRule="exact"/>
        <w:rPr>
          <w:rFonts w:ascii="宋体" w:hAnsi="宋体" w:cs="宋体"/>
          <w:color w:val="auto"/>
          <w:sz w:val="32"/>
          <w:szCs w:val="32"/>
          <w:highlight w:val="none"/>
        </w:rPr>
      </w:pPr>
    </w:p>
    <w:p w14:paraId="1CEC969C">
      <w:pPr>
        <w:spacing w:line="360" w:lineRule="auto"/>
        <w:rPr>
          <w:rFonts w:ascii="宋体" w:hAnsi="宋体" w:cs="宋体"/>
          <w:color w:val="auto"/>
          <w:sz w:val="24"/>
          <w:highlight w:val="none"/>
        </w:rPr>
      </w:pPr>
      <w:r>
        <w:rPr>
          <w:rFonts w:hint="eastAsia" w:ascii="宋体" w:hAnsi="宋体" w:cs="宋体"/>
          <w:color w:val="auto"/>
          <w:sz w:val="24"/>
          <w:highlight w:val="none"/>
        </w:rPr>
        <w:t>致：</w:t>
      </w:r>
      <w:r>
        <w:rPr>
          <w:rFonts w:hint="eastAsia" w:ascii="宋体" w:hAnsi="宋体" w:cs="宋体"/>
          <w:color w:val="auto"/>
          <w:sz w:val="24"/>
          <w:highlight w:val="none"/>
          <w:u w:val="single"/>
        </w:rPr>
        <w:t>（采购人名称）</w:t>
      </w:r>
      <w:r>
        <w:rPr>
          <w:rFonts w:hint="eastAsia" w:ascii="宋体" w:hAnsi="宋体" w:cs="宋体"/>
          <w:color w:val="auto"/>
          <w:sz w:val="24"/>
          <w:highlight w:val="none"/>
        </w:rPr>
        <w:t>：</w:t>
      </w:r>
    </w:p>
    <w:p w14:paraId="5FDB742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w:t>
      </w:r>
      <w:r>
        <w:rPr>
          <w:rFonts w:hint="eastAsia" w:ascii="宋体" w:hAnsi="宋体" w:cs="宋体"/>
          <w:color w:val="auto"/>
          <w:sz w:val="24"/>
          <w:highlight w:val="none"/>
          <w:u w:val="single"/>
        </w:rPr>
        <w:t xml:space="preserve">  （姓名）  </w:t>
      </w:r>
      <w:r>
        <w:rPr>
          <w:rFonts w:hint="eastAsia" w:ascii="宋体" w:hAnsi="宋体" w:cs="宋体"/>
          <w:color w:val="auto"/>
          <w:sz w:val="24"/>
          <w:highlight w:val="none"/>
        </w:rPr>
        <w:t>系</w:t>
      </w:r>
      <w:r>
        <w:rPr>
          <w:rFonts w:hint="eastAsia" w:ascii="宋体" w:hAnsi="宋体" w:cs="宋体"/>
          <w:color w:val="auto"/>
          <w:sz w:val="24"/>
          <w:highlight w:val="none"/>
          <w:u w:val="single"/>
        </w:rPr>
        <w:t xml:space="preserve">  （供应商名称）  </w:t>
      </w:r>
      <w:r>
        <w:rPr>
          <w:rFonts w:hint="eastAsia" w:ascii="宋体" w:hAnsi="宋体" w:cs="宋体"/>
          <w:color w:val="auto"/>
          <w:sz w:val="24"/>
          <w:highlight w:val="none"/>
        </w:rPr>
        <w:t>的（</w:t>
      </w:r>
      <w:r>
        <w:rPr>
          <w:rFonts w:hint="eastAsia" w:ascii="宋体" w:hAnsi="宋体" w:cs="宋体"/>
          <w:color w:val="auto"/>
          <w:sz w:val="24"/>
          <w:highlight w:val="none"/>
          <w:u w:val="single"/>
        </w:rPr>
        <w:t>法定代表人/负责人/自然人本人</w:t>
      </w:r>
      <w:r>
        <w:rPr>
          <w:rFonts w:hint="eastAsia" w:ascii="宋体" w:hAnsi="宋体" w:cs="宋体"/>
          <w:color w:val="auto"/>
          <w:sz w:val="24"/>
          <w:highlight w:val="none"/>
        </w:rPr>
        <w:t>），现授权</w:t>
      </w:r>
      <w:r>
        <w:rPr>
          <w:rFonts w:hint="eastAsia" w:ascii="宋体" w:hAnsi="宋体" w:cs="宋体"/>
          <w:color w:val="auto"/>
          <w:sz w:val="24"/>
          <w:highlight w:val="none"/>
          <w:u w:val="single"/>
        </w:rPr>
        <w:t xml:space="preserve"> （姓名） </w:t>
      </w:r>
      <w:r>
        <w:rPr>
          <w:rFonts w:hint="eastAsia" w:ascii="宋体" w:hAnsi="宋体" w:cs="宋体"/>
          <w:color w:val="auto"/>
          <w:sz w:val="24"/>
          <w:highlight w:val="none"/>
        </w:rPr>
        <w:t>以我方的名义参加</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项目的竞标活动，并代表我方全权办理针对上述项目的所有采购程序和环节的具体事务和签署相关文件。</w:t>
      </w:r>
    </w:p>
    <w:p w14:paraId="2237099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我方对委托代理人的签字事项负全部责任。</w:t>
      </w:r>
    </w:p>
    <w:p w14:paraId="7D9A189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本授权书自签署之日起生效，在撤销授权的书面通知以前，本授权书一直有效。委托代理人在授权书有效期内签署的所有文件不因授权的撤销而失效。</w:t>
      </w:r>
    </w:p>
    <w:p w14:paraId="01491A1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委托代理人无转委托权，特此委托。</w:t>
      </w:r>
    </w:p>
    <w:p w14:paraId="3AB5405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附：法定代表人身份证明及委托代理人有效身份证正反面复印件</w:t>
      </w:r>
    </w:p>
    <w:p w14:paraId="56B5D22E">
      <w:pPr>
        <w:spacing w:line="360" w:lineRule="auto"/>
        <w:rPr>
          <w:rFonts w:ascii="宋体" w:hAnsi="宋体" w:cs="宋体"/>
          <w:color w:val="auto"/>
          <w:sz w:val="24"/>
          <w:highlight w:val="none"/>
        </w:rPr>
      </w:pPr>
    </w:p>
    <w:p w14:paraId="21FAE6B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委托代理人（签字）：         法定代表人（签字或者盖章）：                    </w:t>
      </w:r>
    </w:p>
    <w:p w14:paraId="660F1FD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委托代理人身份证号码：                              </w:t>
      </w:r>
    </w:p>
    <w:p w14:paraId="045BFD2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64BD3D4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供应商（盖公章）：                      </w:t>
      </w:r>
    </w:p>
    <w:p w14:paraId="72DD69D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年    月    日</w:t>
      </w:r>
    </w:p>
    <w:p w14:paraId="70420D2E">
      <w:pPr>
        <w:spacing w:line="360" w:lineRule="auto"/>
        <w:rPr>
          <w:rFonts w:ascii="宋体" w:hAnsi="宋体" w:cs="宋体"/>
          <w:color w:val="auto"/>
          <w:sz w:val="24"/>
          <w:highlight w:val="none"/>
        </w:rPr>
      </w:pPr>
    </w:p>
    <w:p w14:paraId="4276F122">
      <w:pPr>
        <w:spacing w:line="360" w:lineRule="auto"/>
        <w:rPr>
          <w:rFonts w:ascii="宋体" w:hAnsi="宋体" w:cs="宋体"/>
          <w:color w:val="auto"/>
          <w:sz w:val="24"/>
          <w:highlight w:val="none"/>
        </w:rPr>
      </w:pPr>
      <w:r>
        <w:rPr>
          <w:rFonts w:hint="eastAsia" w:ascii="宋体" w:hAnsi="宋体" w:cs="宋体"/>
          <w:color w:val="auto"/>
          <w:sz w:val="24"/>
          <w:highlight w:val="none"/>
        </w:rPr>
        <w:t>注：1. 法定代表人必须在授权委托书上亲笔签字或者盖章，委托代理人必须在授权委托书上亲笔签字，</w:t>
      </w:r>
      <w:r>
        <w:rPr>
          <w:rFonts w:hint="eastAsia" w:ascii="宋体" w:hAnsi="宋体" w:cs="宋体"/>
          <w:b/>
          <w:color w:val="auto"/>
          <w:sz w:val="24"/>
          <w:highlight w:val="none"/>
        </w:rPr>
        <w:t>否则其响应文件按无效响应处理。</w:t>
      </w:r>
    </w:p>
    <w:p w14:paraId="3A396657">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bookmarkStart w:id="71" w:name="_Hlk65853109"/>
      <w:bookmarkStart w:id="72" w:name="_Hlk65853542"/>
      <w:r>
        <w:rPr>
          <w:rFonts w:hint="eastAsia" w:ascii="宋体" w:hAnsi="宋体" w:cs="宋体"/>
          <w:color w:val="auto"/>
          <w:sz w:val="24"/>
          <w:highlight w:val="none"/>
        </w:rPr>
        <w:t>法人、其他组织竞标时“我方”是指“我单位”，自然人竞标时“我方”是指“本人”。</w:t>
      </w:r>
      <w:bookmarkEnd w:id="71"/>
    </w:p>
    <w:bookmarkEnd w:id="72"/>
    <w:p w14:paraId="27F1E7B1">
      <w:pPr>
        <w:spacing w:line="360" w:lineRule="auto"/>
        <w:ind w:firstLine="420" w:firstLineChars="200"/>
        <w:jc w:val="left"/>
        <w:rPr>
          <w:rFonts w:ascii="宋体" w:hAnsi="宋体" w:cs="宋体"/>
          <w:color w:val="auto"/>
          <w:szCs w:val="21"/>
          <w:highlight w:val="none"/>
        </w:rPr>
      </w:pPr>
    </w:p>
    <w:bookmarkEnd w:id="70"/>
    <w:p w14:paraId="3F8257EA">
      <w:pPr>
        <w:rPr>
          <w:rFonts w:ascii="宋体" w:hAnsi="宋体" w:cs="宋体"/>
          <w:bCs/>
          <w:color w:val="auto"/>
          <w:sz w:val="44"/>
          <w:szCs w:val="44"/>
          <w:highlight w:val="none"/>
        </w:rPr>
      </w:pPr>
      <w:r>
        <w:rPr>
          <w:rFonts w:hint="eastAsia" w:ascii="宋体" w:hAnsi="宋体" w:cs="宋体"/>
          <w:bCs/>
          <w:color w:val="auto"/>
          <w:sz w:val="44"/>
          <w:szCs w:val="44"/>
          <w:highlight w:val="none"/>
        </w:rPr>
        <w:br w:type="page"/>
      </w:r>
    </w:p>
    <w:p w14:paraId="32B67C6A">
      <w:pPr>
        <w:spacing w:line="500" w:lineRule="exact"/>
        <w:jc w:val="center"/>
        <w:rPr>
          <w:rFonts w:ascii="宋体" w:hAnsi="宋体" w:cs="宋体"/>
          <w:bCs/>
          <w:color w:val="auto"/>
          <w:sz w:val="44"/>
          <w:szCs w:val="44"/>
          <w:highlight w:val="none"/>
        </w:rPr>
      </w:pPr>
      <w:r>
        <w:rPr>
          <w:rFonts w:hint="eastAsia" w:ascii="宋体" w:hAnsi="宋体" w:cs="宋体"/>
          <w:bCs/>
          <w:color w:val="auto"/>
          <w:sz w:val="44"/>
          <w:szCs w:val="44"/>
          <w:highlight w:val="none"/>
        </w:rPr>
        <w:t>商务要求偏离表</w:t>
      </w:r>
    </w:p>
    <w:p w14:paraId="724F24D7">
      <w:pPr>
        <w:spacing w:line="360" w:lineRule="auto"/>
        <w:contextualSpacing/>
        <w:jc w:val="left"/>
        <w:rPr>
          <w:rFonts w:ascii="宋体" w:hAnsi="宋体" w:cs="宋体"/>
          <w:color w:val="auto"/>
          <w:sz w:val="24"/>
          <w:highlight w:val="none"/>
        </w:rPr>
      </w:pPr>
    </w:p>
    <w:p w14:paraId="07529655">
      <w:pPr>
        <w:pStyle w:val="19"/>
        <w:spacing w:line="360" w:lineRule="auto"/>
        <w:contextualSpacing/>
        <w:rPr>
          <w:rFonts w:hAnsi="宋体" w:cs="宋体"/>
          <w:color w:val="auto"/>
          <w:sz w:val="24"/>
          <w:szCs w:val="24"/>
          <w:highlight w:val="none"/>
        </w:rPr>
      </w:pPr>
      <w:r>
        <w:rPr>
          <w:rFonts w:hint="eastAsia" w:hAnsi="宋体" w:cs="宋体"/>
          <w:color w:val="auto"/>
          <w:sz w:val="24"/>
          <w:szCs w:val="24"/>
          <w:highlight w:val="none"/>
        </w:rPr>
        <w:t>所竞分标：</w:t>
      </w:r>
      <w:r>
        <w:rPr>
          <w:rFonts w:hint="eastAsia" w:hAnsi="宋体" w:cs="宋体"/>
          <w:color w:val="auto"/>
          <w:sz w:val="24"/>
          <w:szCs w:val="24"/>
          <w:highlight w:val="none"/>
          <w:u w:val="single"/>
        </w:rPr>
        <w:t xml:space="preserve">              </w:t>
      </w:r>
    </w:p>
    <w:p w14:paraId="1B950D85">
      <w:pPr>
        <w:spacing w:line="360" w:lineRule="auto"/>
        <w:contextualSpacing/>
        <w:jc w:val="left"/>
        <w:rPr>
          <w:rFonts w:ascii="宋体" w:hAnsi="宋体" w:cs="宋体"/>
          <w:color w:val="auto"/>
          <w:sz w:val="24"/>
          <w:highlight w:val="none"/>
          <w:u w:val="single"/>
        </w:rPr>
      </w:pPr>
    </w:p>
    <w:tbl>
      <w:tblPr>
        <w:tblStyle w:val="33"/>
        <w:tblpPr w:leftFromText="180" w:rightFromText="180" w:vertAnchor="text" w:horzAnchor="margin" w:tblpY="-9"/>
        <w:tblOverlap w:val="never"/>
        <w:tblW w:w="930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78"/>
        <w:gridCol w:w="2668"/>
        <w:gridCol w:w="2350"/>
        <w:gridCol w:w="2112"/>
      </w:tblGrid>
      <w:tr w14:paraId="7C0451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2178" w:type="dxa"/>
            <w:tcBorders>
              <w:top w:val="single" w:color="auto" w:sz="4" w:space="0"/>
              <w:left w:val="single" w:color="auto" w:sz="4" w:space="0"/>
              <w:bottom w:val="single" w:color="auto" w:sz="4" w:space="0"/>
              <w:right w:val="single" w:color="auto" w:sz="4" w:space="0"/>
            </w:tcBorders>
            <w:vAlign w:val="center"/>
          </w:tcPr>
          <w:p w14:paraId="12ADBEF3">
            <w:pPr>
              <w:spacing w:line="360" w:lineRule="auto"/>
              <w:contextualSpacing/>
              <w:jc w:val="center"/>
              <w:rPr>
                <w:rFonts w:ascii="宋体" w:hAnsi="宋体" w:cs="宋体"/>
                <w:color w:val="auto"/>
                <w:sz w:val="24"/>
                <w:highlight w:val="none"/>
              </w:rPr>
            </w:pPr>
            <w:r>
              <w:rPr>
                <w:rFonts w:hint="eastAsia" w:ascii="宋体" w:hAnsi="宋体" w:cs="宋体"/>
                <w:color w:val="auto"/>
                <w:sz w:val="24"/>
                <w:highlight w:val="none"/>
              </w:rPr>
              <w:t>项目</w:t>
            </w:r>
          </w:p>
        </w:tc>
        <w:tc>
          <w:tcPr>
            <w:tcW w:w="2668" w:type="dxa"/>
            <w:tcBorders>
              <w:top w:val="single" w:color="auto" w:sz="4" w:space="0"/>
              <w:left w:val="single" w:color="auto" w:sz="4" w:space="0"/>
              <w:bottom w:val="single" w:color="auto" w:sz="4" w:space="0"/>
              <w:right w:val="single" w:color="auto" w:sz="4" w:space="0"/>
            </w:tcBorders>
            <w:vAlign w:val="center"/>
          </w:tcPr>
          <w:p w14:paraId="7D48950C">
            <w:pPr>
              <w:spacing w:line="360" w:lineRule="auto"/>
              <w:contextualSpacing/>
              <w:jc w:val="center"/>
              <w:rPr>
                <w:rFonts w:ascii="宋体" w:hAnsi="宋体" w:cs="宋体"/>
                <w:color w:val="auto"/>
                <w:sz w:val="24"/>
                <w:highlight w:val="none"/>
              </w:rPr>
            </w:pPr>
            <w:r>
              <w:rPr>
                <w:rFonts w:hint="eastAsia" w:ascii="宋体" w:hAnsi="宋体" w:cs="宋体"/>
                <w:color w:val="auto"/>
                <w:sz w:val="24"/>
                <w:highlight w:val="none"/>
              </w:rPr>
              <w:t>磋商文件商务要求</w:t>
            </w:r>
          </w:p>
        </w:tc>
        <w:tc>
          <w:tcPr>
            <w:tcW w:w="2350" w:type="dxa"/>
            <w:tcBorders>
              <w:top w:val="single" w:color="auto" w:sz="4" w:space="0"/>
              <w:left w:val="single" w:color="auto" w:sz="4" w:space="0"/>
              <w:bottom w:val="single" w:color="auto" w:sz="4" w:space="0"/>
              <w:right w:val="single" w:color="auto" w:sz="4" w:space="0"/>
            </w:tcBorders>
            <w:vAlign w:val="center"/>
          </w:tcPr>
          <w:p w14:paraId="559A1F60">
            <w:pPr>
              <w:spacing w:line="360" w:lineRule="auto"/>
              <w:contextualSpacing/>
              <w:jc w:val="center"/>
              <w:rPr>
                <w:rFonts w:ascii="宋体" w:hAnsi="宋体" w:cs="宋体"/>
                <w:color w:val="auto"/>
                <w:sz w:val="24"/>
                <w:highlight w:val="none"/>
              </w:rPr>
            </w:pPr>
            <w:r>
              <w:rPr>
                <w:rFonts w:hint="eastAsia" w:ascii="宋体" w:hAnsi="宋体" w:cs="宋体"/>
                <w:color w:val="auto"/>
                <w:sz w:val="24"/>
                <w:highlight w:val="none"/>
              </w:rPr>
              <w:t>供应商的响应</w:t>
            </w:r>
          </w:p>
        </w:tc>
        <w:tc>
          <w:tcPr>
            <w:tcW w:w="2112" w:type="dxa"/>
            <w:tcBorders>
              <w:top w:val="single" w:color="auto" w:sz="4" w:space="0"/>
              <w:left w:val="single" w:color="auto" w:sz="4" w:space="0"/>
              <w:bottom w:val="single" w:color="auto" w:sz="4" w:space="0"/>
              <w:right w:val="single" w:color="auto" w:sz="4" w:space="0"/>
            </w:tcBorders>
            <w:vAlign w:val="center"/>
          </w:tcPr>
          <w:p w14:paraId="3676C253">
            <w:pPr>
              <w:spacing w:line="360" w:lineRule="auto"/>
              <w:contextualSpacing/>
              <w:jc w:val="center"/>
              <w:rPr>
                <w:rFonts w:ascii="宋体" w:hAnsi="宋体" w:cs="宋体"/>
                <w:color w:val="auto"/>
                <w:sz w:val="24"/>
                <w:highlight w:val="none"/>
              </w:rPr>
            </w:pPr>
            <w:r>
              <w:rPr>
                <w:rFonts w:hint="eastAsia" w:ascii="宋体" w:hAnsi="宋体" w:cs="宋体"/>
                <w:color w:val="auto"/>
                <w:sz w:val="24"/>
                <w:highlight w:val="none"/>
              </w:rPr>
              <w:t>偏离说明</w:t>
            </w:r>
          </w:p>
        </w:tc>
      </w:tr>
      <w:tr w14:paraId="685FB7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2178" w:type="dxa"/>
            <w:tcBorders>
              <w:top w:val="single" w:color="auto" w:sz="4" w:space="0"/>
              <w:left w:val="single" w:color="auto" w:sz="4" w:space="0"/>
              <w:bottom w:val="single" w:color="auto" w:sz="4" w:space="0"/>
              <w:right w:val="single" w:color="auto" w:sz="4" w:space="0"/>
            </w:tcBorders>
            <w:vAlign w:val="center"/>
          </w:tcPr>
          <w:p w14:paraId="57A530DD">
            <w:pPr>
              <w:jc w:val="center"/>
              <w:rPr>
                <w:rFonts w:ascii="宋体" w:hAnsi="宋体" w:cs="宋体"/>
                <w:color w:val="auto"/>
                <w:sz w:val="24"/>
                <w:highlight w:val="none"/>
              </w:rPr>
            </w:pPr>
            <w:r>
              <w:rPr>
                <w:rFonts w:hint="eastAsia" w:ascii="宋体" w:hAnsi="宋体" w:cs="宋体"/>
                <w:bCs/>
                <w:color w:val="auto"/>
                <w:szCs w:val="21"/>
                <w:highlight w:val="none"/>
              </w:rPr>
              <w:t>磋商报价要求</w:t>
            </w:r>
          </w:p>
        </w:tc>
        <w:tc>
          <w:tcPr>
            <w:tcW w:w="2668" w:type="dxa"/>
            <w:tcBorders>
              <w:top w:val="single" w:color="auto" w:sz="4" w:space="0"/>
              <w:left w:val="single" w:color="auto" w:sz="4" w:space="0"/>
              <w:bottom w:val="single" w:color="auto" w:sz="4" w:space="0"/>
              <w:right w:val="single" w:color="auto" w:sz="4" w:space="0"/>
            </w:tcBorders>
            <w:vAlign w:val="center"/>
          </w:tcPr>
          <w:p w14:paraId="56C174FF">
            <w:pPr>
              <w:spacing w:line="360" w:lineRule="auto"/>
              <w:contextualSpacing/>
              <w:jc w:val="center"/>
              <w:rPr>
                <w:rFonts w:ascii="宋体" w:hAnsi="宋体" w:cs="宋体"/>
                <w:color w:val="auto"/>
                <w:sz w:val="24"/>
                <w:highlight w:val="none"/>
              </w:rPr>
            </w:pPr>
          </w:p>
        </w:tc>
        <w:tc>
          <w:tcPr>
            <w:tcW w:w="2350" w:type="dxa"/>
            <w:tcBorders>
              <w:top w:val="single" w:color="auto" w:sz="4" w:space="0"/>
              <w:left w:val="single" w:color="auto" w:sz="4" w:space="0"/>
              <w:bottom w:val="single" w:color="auto" w:sz="4" w:space="0"/>
              <w:right w:val="single" w:color="auto" w:sz="4" w:space="0"/>
            </w:tcBorders>
            <w:vAlign w:val="center"/>
          </w:tcPr>
          <w:p w14:paraId="3C69844F">
            <w:pPr>
              <w:spacing w:line="360" w:lineRule="auto"/>
              <w:contextualSpacing/>
              <w:jc w:val="center"/>
              <w:rPr>
                <w:rFonts w:ascii="宋体" w:hAnsi="宋体" w:cs="宋体"/>
                <w:color w:val="auto"/>
                <w:sz w:val="24"/>
                <w:highlight w:val="none"/>
              </w:rPr>
            </w:pPr>
          </w:p>
        </w:tc>
        <w:tc>
          <w:tcPr>
            <w:tcW w:w="2112" w:type="dxa"/>
            <w:tcBorders>
              <w:top w:val="single" w:color="auto" w:sz="4" w:space="0"/>
              <w:left w:val="single" w:color="auto" w:sz="4" w:space="0"/>
              <w:bottom w:val="single" w:color="auto" w:sz="4" w:space="0"/>
              <w:right w:val="single" w:color="auto" w:sz="4" w:space="0"/>
            </w:tcBorders>
            <w:vAlign w:val="center"/>
          </w:tcPr>
          <w:p w14:paraId="63EBE6B3">
            <w:pPr>
              <w:spacing w:line="360" w:lineRule="auto"/>
              <w:contextualSpacing/>
              <w:jc w:val="center"/>
              <w:rPr>
                <w:rFonts w:ascii="宋体" w:hAnsi="宋体" w:cs="宋体"/>
                <w:color w:val="auto"/>
                <w:sz w:val="24"/>
                <w:highlight w:val="none"/>
              </w:rPr>
            </w:pPr>
          </w:p>
        </w:tc>
      </w:tr>
      <w:tr w14:paraId="421B57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2178" w:type="dxa"/>
            <w:tcBorders>
              <w:top w:val="single" w:color="auto" w:sz="4" w:space="0"/>
              <w:left w:val="single" w:color="auto" w:sz="4" w:space="0"/>
              <w:bottom w:val="single" w:color="auto" w:sz="4" w:space="0"/>
              <w:right w:val="single" w:color="auto" w:sz="4" w:space="0"/>
            </w:tcBorders>
            <w:vAlign w:val="center"/>
          </w:tcPr>
          <w:p w14:paraId="463D2031">
            <w:pPr>
              <w:jc w:val="center"/>
              <w:rPr>
                <w:rFonts w:ascii="宋体" w:hAnsi="宋体" w:cs="宋体"/>
                <w:color w:val="auto"/>
                <w:sz w:val="24"/>
                <w:highlight w:val="none"/>
              </w:rPr>
            </w:pPr>
            <w:r>
              <w:rPr>
                <w:rFonts w:hint="eastAsia" w:ascii="宋体" w:hAnsi="宋体" w:cs="宋体"/>
                <w:bCs/>
                <w:color w:val="auto"/>
                <w:szCs w:val="21"/>
                <w:highlight w:val="none"/>
              </w:rPr>
              <w:t>合同履约期限（提交服务成果时间）和地点</w:t>
            </w:r>
          </w:p>
        </w:tc>
        <w:tc>
          <w:tcPr>
            <w:tcW w:w="2668" w:type="dxa"/>
            <w:tcBorders>
              <w:top w:val="single" w:color="auto" w:sz="4" w:space="0"/>
              <w:left w:val="single" w:color="auto" w:sz="4" w:space="0"/>
              <w:bottom w:val="single" w:color="auto" w:sz="4" w:space="0"/>
              <w:right w:val="single" w:color="auto" w:sz="4" w:space="0"/>
            </w:tcBorders>
            <w:vAlign w:val="center"/>
          </w:tcPr>
          <w:p w14:paraId="284F3CBF">
            <w:pPr>
              <w:spacing w:line="360" w:lineRule="auto"/>
              <w:contextualSpacing/>
              <w:jc w:val="center"/>
              <w:rPr>
                <w:rFonts w:ascii="宋体" w:hAnsi="宋体" w:cs="宋体"/>
                <w:color w:val="auto"/>
                <w:sz w:val="24"/>
                <w:highlight w:val="none"/>
              </w:rPr>
            </w:pPr>
            <w:bookmarkStart w:id="168" w:name="_GoBack"/>
            <w:bookmarkEnd w:id="168"/>
          </w:p>
        </w:tc>
        <w:tc>
          <w:tcPr>
            <w:tcW w:w="2350" w:type="dxa"/>
            <w:tcBorders>
              <w:top w:val="single" w:color="auto" w:sz="4" w:space="0"/>
              <w:left w:val="single" w:color="auto" w:sz="4" w:space="0"/>
              <w:bottom w:val="single" w:color="auto" w:sz="4" w:space="0"/>
              <w:right w:val="single" w:color="auto" w:sz="4" w:space="0"/>
            </w:tcBorders>
            <w:vAlign w:val="center"/>
          </w:tcPr>
          <w:p w14:paraId="58998658">
            <w:pPr>
              <w:spacing w:line="360" w:lineRule="auto"/>
              <w:ind w:left="43"/>
              <w:contextualSpacing/>
              <w:jc w:val="center"/>
              <w:rPr>
                <w:rFonts w:ascii="宋体" w:hAnsi="宋体" w:cs="宋体"/>
                <w:color w:val="auto"/>
                <w:sz w:val="24"/>
                <w:highlight w:val="none"/>
              </w:rPr>
            </w:pPr>
          </w:p>
        </w:tc>
        <w:tc>
          <w:tcPr>
            <w:tcW w:w="2112" w:type="dxa"/>
            <w:tcBorders>
              <w:top w:val="single" w:color="auto" w:sz="4" w:space="0"/>
              <w:left w:val="single" w:color="auto" w:sz="4" w:space="0"/>
              <w:bottom w:val="single" w:color="auto" w:sz="4" w:space="0"/>
              <w:right w:val="single" w:color="auto" w:sz="4" w:space="0"/>
            </w:tcBorders>
            <w:vAlign w:val="center"/>
          </w:tcPr>
          <w:p w14:paraId="054A848A">
            <w:pPr>
              <w:spacing w:line="360" w:lineRule="auto"/>
              <w:ind w:left="43"/>
              <w:contextualSpacing/>
              <w:jc w:val="center"/>
              <w:rPr>
                <w:rFonts w:ascii="宋体" w:hAnsi="宋体" w:cs="宋体"/>
                <w:color w:val="auto"/>
                <w:sz w:val="24"/>
                <w:highlight w:val="none"/>
              </w:rPr>
            </w:pPr>
          </w:p>
        </w:tc>
      </w:tr>
      <w:tr w14:paraId="5A3200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78" w:type="dxa"/>
            <w:tcBorders>
              <w:top w:val="single" w:color="auto" w:sz="4" w:space="0"/>
              <w:left w:val="single" w:color="auto" w:sz="4" w:space="0"/>
              <w:bottom w:val="single" w:color="auto" w:sz="4" w:space="0"/>
              <w:right w:val="single" w:color="auto" w:sz="4" w:space="0"/>
            </w:tcBorders>
            <w:vAlign w:val="center"/>
          </w:tcPr>
          <w:p w14:paraId="5DAC9F02">
            <w:pPr>
              <w:spacing w:line="360" w:lineRule="auto"/>
              <w:contextualSpacing/>
              <w:jc w:val="center"/>
              <w:rPr>
                <w:rFonts w:ascii="宋体" w:hAnsi="宋体" w:cs="宋体"/>
                <w:color w:val="auto"/>
                <w:sz w:val="24"/>
                <w:highlight w:val="none"/>
              </w:rPr>
            </w:pPr>
            <w:r>
              <w:rPr>
                <w:rFonts w:hint="eastAsia" w:ascii="宋体" w:hAnsi="宋体" w:cs="宋体"/>
                <w:color w:val="auto"/>
                <w:sz w:val="24"/>
                <w:highlight w:val="none"/>
              </w:rPr>
              <w:t>…</w:t>
            </w:r>
          </w:p>
        </w:tc>
        <w:tc>
          <w:tcPr>
            <w:tcW w:w="2668" w:type="dxa"/>
            <w:tcBorders>
              <w:top w:val="single" w:color="auto" w:sz="4" w:space="0"/>
              <w:left w:val="single" w:color="auto" w:sz="4" w:space="0"/>
              <w:bottom w:val="single" w:color="auto" w:sz="4" w:space="0"/>
              <w:right w:val="single" w:color="auto" w:sz="4" w:space="0"/>
            </w:tcBorders>
            <w:vAlign w:val="center"/>
          </w:tcPr>
          <w:p w14:paraId="379BB022">
            <w:pPr>
              <w:spacing w:line="360" w:lineRule="auto"/>
              <w:contextualSpacing/>
              <w:jc w:val="center"/>
              <w:rPr>
                <w:rFonts w:ascii="宋体" w:hAnsi="宋体" w:cs="宋体"/>
                <w:color w:val="auto"/>
                <w:sz w:val="24"/>
                <w:highlight w:val="none"/>
              </w:rPr>
            </w:pPr>
          </w:p>
        </w:tc>
        <w:tc>
          <w:tcPr>
            <w:tcW w:w="2350" w:type="dxa"/>
            <w:tcBorders>
              <w:top w:val="single" w:color="auto" w:sz="4" w:space="0"/>
              <w:left w:val="single" w:color="auto" w:sz="4" w:space="0"/>
              <w:bottom w:val="single" w:color="auto" w:sz="4" w:space="0"/>
              <w:right w:val="single" w:color="auto" w:sz="4" w:space="0"/>
            </w:tcBorders>
            <w:vAlign w:val="center"/>
          </w:tcPr>
          <w:p w14:paraId="58EA14D2">
            <w:pPr>
              <w:spacing w:line="360" w:lineRule="auto"/>
              <w:contextualSpacing/>
              <w:jc w:val="center"/>
              <w:rPr>
                <w:rFonts w:ascii="宋体" w:hAnsi="宋体" w:cs="宋体"/>
                <w:color w:val="auto"/>
                <w:sz w:val="24"/>
                <w:highlight w:val="none"/>
              </w:rPr>
            </w:pPr>
          </w:p>
        </w:tc>
        <w:tc>
          <w:tcPr>
            <w:tcW w:w="2112" w:type="dxa"/>
            <w:tcBorders>
              <w:top w:val="single" w:color="auto" w:sz="4" w:space="0"/>
              <w:left w:val="single" w:color="auto" w:sz="4" w:space="0"/>
              <w:bottom w:val="single" w:color="auto" w:sz="4" w:space="0"/>
              <w:right w:val="single" w:color="auto" w:sz="4" w:space="0"/>
            </w:tcBorders>
            <w:vAlign w:val="center"/>
          </w:tcPr>
          <w:p w14:paraId="23E56903">
            <w:pPr>
              <w:spacing w:line="360" w:lineRule="auto"/>
              <w:contextualSpacing/>
              <w:jc w:val="center"/>
              <w:rPr>
                <w:rFonts w:ascii="宋体" w:hAnsi="宋体" w:cs="宋体"/>
                <w:color w:val="auto"/>
                <w:sz w:val="24"/>
                <w:highlight w:val="none"/>
              </w:rPr>
            </w:pPr>
          </w:p>
        </w:tc>
      </w:tr>
      <w:tr w14:paraId="4E552D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78" w:type="dxa"/>
            <w:tcBorders>
              <w:top w:val="single" w:color="auto" w:sz="4" w:space="0"/>
              <w:left w:val="single" w:color="auto" w:sz="4" w:space="0"/>
              <w:bottom w:val="single" w:color="auto" w:sz="4" w:space="0"/>
              <w:right w:val="single" w:color="auto" w:sz="4" w:space="0"/>
            </w:tcBorders>
            <w:vAlign w:val="center"/>
          </w:tcPr>
          <w:p w14:paraId="273AA4F0">
            <w:pPr>
              <w:spacing w:line="360" w:lineRule="auto"/>
              <w:contextualSpacing/>
              <w:jc w:val="center"/>
              <w:rPr>
                <w:rFonts w:ascii="宋体" w:hAnsi="宋体" w:cs="宋体"/>
                <w:color w:val="auto"/>
                <w:sz w:val="24"/>
                <w:highlight w:val="none"/>
              </w:rPr>
            </w:pPr>
            <w:r>
              <w:rPr>
                <w:rFonts w:hint="eastAsia" w:ascii="宋体" w:hAnsi="宋体" w:cs="宋体"/>
                <w:color w:val="auto"/>
                <w:sz w:val="24"/>
                <w:highlight w:val="none"/>
              </w:rPr>
              <w:t>…</w:t>
            </w:r>
          </w:p>
        </w:tc>
        <w:tc>
          <w:tcPr>
            <w:tcW w:w="2668" w:type="dxa"/>
            <w:tcBorders>
              <w:top w:val="single" w:color="auto" w:sz="4" w:space="0"/>
              <w:left w:val="single" w:color="auto" w:sz="4" w:space="0"/>
              <w:bottom w:val="single" w:color="auto" w:sz="4" w:space="0"/>
              <w:right w:val="single" w:color="auto" w:sz="4" w:space="0"/>
            </w:tcBorders>
            <w:vAlign w:val="center"/>
          </w:tcPr>
          <w:p w14:paraId="1FDE07D1">
            <w:pPr>
              <w:spacing w:line="360" w:lineRule="auto"/>
              <w:contextualSpacing/>
              <w:jc w:val="center"/>
              <w:rPr>
                <w:rFonts w:ascii="宋体" w:hAnsi="宋体" w:cs="宋体"/>
                <w:color w:val="auto"/>
                <w:sz w:val="24"/>
                <w:highlight w:val="none"/>
              </w:rPr>
            </w:pPr>
          </w:p>
        </w:tc>
        <w:tc>
          <w:tcPr>
            <w:tcW w:w="2350" w:type="dxa"/>
            <w:tcBorders>
              <w:top w:val="single" w:color="auto" w:sz="4" w:space="0"/>
              <w:left w:val="single" w:color="auto" w:sz="4" w:space="0"/>
              <w:bottom w:val="single" w:color="auto" w:sz="4" w:space="0"/>
              <w:right w:val="single" w:color="auto" w:sz="4" w:space="0"/>
            </w:tcBorders>
            <w:vAlign w:val="center"/>
          </w:tcPr>
          <w:p w14:paraId="6D618363">
            <w:pPr>
              <w:spacing w:line="360" w:lineRule="auto"/>
              <w:contextualSpacing/>
              <w:jc w:val="center"/>
              <w:rPr>
                <w:rFonts w:ascii="宋体" w:hAnsi="宋体" w:cs="宋体"/>
                <w:color w:val="auto"/>
                <w:sz w:val="24"/>
                <w:highlight w:val="none"/>
              </w:rPr>
            </w:pPr>
          </w:p>
        </w:tc>
        <w:tc>
          <w:tcPr>
            <w:tcW w:w="2112" w:type="dxa"/>
            <w:tcBorders>
              <w:top w:val="single" w:color="auto" w:sz="4" w:space="0"/>
              <w:left w:val="single" w:color="auto" w:sz="4" w:space="0"/>
              <w:bottom w:val="single" w:color="auto" w:sz="4" w:space="0"/>
              <w:right w:val="single" w:color="auto" w:sz="4" w:space="0"/>
            </w:tcBorders>
            <w:vAlign w:val="center"/>
          </w:tcPr>
          <w:p w14:paraId="57646B34">
            <w:pPr>
              <w:spacing w:line="360" w:lineRule="auto"/>
              <w:contextualSpacing/>
              <w:jc w:val="center"/>
              <w:rPr>
                <w:rFonts w:ascii="宋体" w:hAnsi="宋体" w:cs="宋体"/>
                <w:color w:val="auto"/>
                <w:sz w:val="24"/>
                <w:highlight w:val="none"/>
              </w:rPr>
            </w:pPr>
          </w:p>
        </w:tc>
      </w:tr>
    </w:tbl>
    <w:p w14:paraId="7A5F0AF7">
      <w:pPr>
        <w:pStyle w:val="14"/>
        <w:spacing w:after="0" w:line="360" w:lineRule="auto"/>
        <w:ind w:firstLine="240" w:firstLineChars="100"/>
        <w:contextualSpacing/>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w:t>
      </w:r>
    </w:p>
    <w:p w14:paraId="3A8BCEA1">
      <w:pPr>
        <w:pStyle w:val="14"/>
        <w:spacing w:after="0" w:line="360" w:lineRule="auto"/>
        <w:ind w:firstLine="240" w:firstLineChars="100"/>
        <w:contextualSpacing/>
        <w:rPr>
          <w:rFonts w:ascii="宋体" w:hAnsi="宋体" w:cs="宋体"/>
          <w:color w:val="auto"/>
          <w:kern w:val="0"/>
          <w:sz w:val="24"/>
          <w:szCs w:val="24"/>
          <w:highlight w:val="none"/>
        </w:rPr>
      </w:pPr>
    </w:p>
    <w:p w14:paraId="2F516069">
      <w:pPr>
        <w:pStyle w:val="14"/>
        <w:spacing w:after="0" w:line="360" w:lineRule="auto"/>
        <w:ind w:firstLine="240" w:firstLineChars="100"/>
        <w:contextualSpacing/>
        <w:rPr>
          <w:rFonts w:ascii="宋体" w:hAnsi="宋体" w:cs="宋体"/>
          <w:color w:val="auto"/>
          <w:kern w:val="0"/>
          <w:sz w:val="24"/>
          <w:szCs w:val="24"/>
          <w:highlight w:val="none"/>
        </w:rPr>
      </w:pPr>
    </w:p>
    <w:p w14:paraId="38392982">
      <w:pPr>
        <w:pStyle w:val="14"/>
        <w:spacing w:after="0" w:line="360" w:lineRule="auto"/>
        <w:ind w:firstLine="240" w:firstLineChars="100"/>
        <w:contextualSpacing/>
        <w:rPr>
          <w:rFonts w:ascii="宋体" w:hAnsi="宋体" w:cs="宋体"/>
          <w:color w:val="auto"/>
          <w:kern w:val="0"/>
          <w:sz w:val="24"/>
          <w:szCs w:val="24"/>
          <w:highlight w:val="none"/>
        </w:rPr>
      </w:pPr>
    </w:p>
    <w:p w14:paraId="3A959256">
      <w:pPr>
        <w:pStyle w:val="14"/>
        <w:spacing w:after="0" w:line="360" w:lineRule="auto"/>
        <w:ind w:firstLine="240" w:firstLineChars="100"/>
        <w:contextualSpacing/>
        <w:rPr>
          <w:rFonts w:ascii="宋体" w:hAnsi="宋体" w:cs="宋体"/>
          <w:color w:val="auto"/>
          <w:kern w:val="0"/>
          <w:sz w:val="24"/>
          <w:szCs w:val="24"/>
          <w:highlight w:val="none"/>
        </w:rPr>
      </w:pPr>
    </w:p>
    <w:p w14:paraId="2A8271EB">
      <w:pPr>
        <w:pStyle w:val="14"/>
        <w:spacing w:after="0" w:line="360" w:lineRule="auto"/>
        <w:ind w:firstLine="240" w:firstLineChars="100"/>
        <w:contextualSpacing/>
        <w:rPr>
          <w:rFonts w:ascii="宋体" w:hAnsi="宋体" w:cs="宋体"/>
          <w:color w:val="auto"/>
          <w:kern w:val="0"/>
          <w:sz w:val="24"/>
          <w:szCs w:val="24"/>
          <w:highlight w:val="none"/>
        </w:rPr>
      </w:pPr>
    </w:p>
    <w:p w14:paraId="37AD46DA">
      <w:pPr>
        <w:pStyle w:val="14"/>
        <w:spacing w:after="0" w:line="360" w:lineRule="auto"/>
        <w:ind w:firstLine="240" w:firstLineChars="100"/>
        <w:contextualSpacing/>
        <w:rPr>
          <w:rFonts w:ascii="宋体" w:hAnsi="宋体" w:cs="宋体"/>
          <w:color w:val="auto"/>
          <w:kern w:val="0"/>
          <w:sz w:val="24"/>
          <w:szCs w:val="24"/>
          <w:highlight w:val="none"/>
        </w:rPr>
      </w:pPr>
      <w:r>
        <w:rPr>
          <w:rFonts w:hint="eastAsia" w:ascii="宋体" w:hAnsi="宋体" w:cs="宋体"/>
          <w:color w:val="auto"/>
          <w:kern w:val="0"/>
          <w:sz w:val="24"/>
          <w:szCs w:val="24"/>
          <w:highlight w:val="none"/>
        </w:rPr>
        <w:t>注：</w:t>
      </w:r>
    </w:p>
    <w:p w14:paraId="5FC374A7">
      <w:pPr>
        <w:pStyle w:val="14"/>
        <w:spacing w:after="0" w:line="360" w:lineRule="auto"/>
        <w:contextualSpacing/>
        <w:rPr>
          <w:rFonts w:ascii="宋体" w:hAnsi="宋体" w:cs="宋体"/>
          <w:color w:val="auto"/>
          <w:kern w:val="0"/>
          <w:sz w:val="24"/>
          <w:szCs w:val="24"/>
          <w:highlight w:val="none"/>
        </w:rPr>
      </w:pPr>
      <w:r>
        <w:rPr>
          <w:rFonts w:hint="eastAsia" w:ascii="宋体" w:hAnsi="宋体" w:cs="宋体"/>
          <w:color w:val="auto"/>
          <w:kern w:val="0"/>
          <w:sz w:val="24"/>
          <w:szCs w:val="24"/>
          <w:highlight w:val="none"/>
        </w:rPr>
        <w:t>1. 说明：应对照磋商文件“第三章 采购需求”中的商务要求逐条作出明确响应，并作出偏离说明。</w:t>
      </w:r>
    </w:p>
    <w:p w14:paraId="56A1552F">
      <w:pPr>
        <w:spacing w:line="360" w:lineRule="auto"/>
        <w:contextualSpacing/>
        <w:jc w:val="left"/>
        <w:rPr>
          <w:rFonts w:ascii="宋体" w:hAnsi="宋体" w:cs="宋体"/>
          <w:color w:val="auto"/>
          <w:sz w:val="24"/>
          <w:highlight w:val="none"/>
          <w:u w:val="single"/>
        </w:rPr>
      </w:pPr>
      <w:r>
        <w:rPr>
          <w:rFonts w:hint="eastAsia" w:ascii="宋体" w:hAnsi="宋体" w:cs="宋体"/>
          <w:color w:val="auto"/>
          <w:kern w:val="0"/>
          <w:sz w:val="24"/>
          <w:highlight w:val="none"/>
        </w:rPr>
        <w:t>2.供应商应根据自身的承诺，对照磋商文件要求在“偏离说明”中注明“正偏离”、“负偏离”或者“无偏离”。既不属于“正偏离”也不属于“负偏离”即为“无偏离”。</w:t>
      </w:r>
    </w:p>
    <w:p w14:paraId="063378DE">
      <w:pPr>
        <w:spacing w:line="360" w:lineRule="auto"/>
        <w:ind w:right="-817" w:rightChars="-389"/>
        <w:contextualSpacing/>
        <w:rPr>
          <w:rFonts w:ascii="宋体" w:hAnsi="宋体" w:cs="宋体"/>
          <w:color w:val="auto"/>
          <w:sz w:val="24"/>
          <w:highlight w:val="none"/>
        </w:rPr>
      </w:pPr>
    </w:p>
    <w:p w14:paraId="177B304B">
      <w:pPr>
        <w:spacing w:line="360" w:lineRule="auto"/>
        <w:ind w:right="-817" w:rightChars="-389" w:firstLine="4800" w:firstLineChars="2000"/>
        <w:contextualSpacing/>
        <w:rPr>
          <w:rFonts w:ascii="宋体" w:hAnsi="宋体" w:cs="宋体"/>
          <w:color w:val="auto"/>
          <w:sz w:val="24"/>
          <w:highlight w:val="none"/>
        </w:rPr>
      </w:pPr>
      <w:r>
        <w:rPr>
          <w:rFonts w:hint="eastAsia" w:ascii="宋体" w:hAnsi="宋体" w:cs="宋体"/>
          <w:color w:val="auto"/>
          <w:sz w:val="24"/>
          <w:highlight w:val="none"/>
        </w:rPr>
        <w:t xml:space="preserve">法定代表人或者委托代理人（签字）：                    </w:t>
      </w:r>
    </w:p>
    <w:p w14:paraId="1A1BAAA0">
      <w:pPr>
        <w:spacing w:line="360" w:lineRule="auto"/>
        <w:ind w:right="-817" w:rightChars="-389" w:firstLine="4800" w:firstLineChars="2000"/>
        <w:contextualSpacing/>
        <w:rPr>
          <w:rFonts w:ascii="宋体" w:hAnsi="宋体" w:cs="宋体"/>
          <w:color w:val="auto"/>
          <w:sz w:val="24"/>
          <w:highlight w:val="none"/>
        </w:rPr>
      </w:pPr>
      <w:r>
        <w:rPr>
          <w:rFonts w:hint="eastAsia" w:ascii="宋体" w:hAnsi="宋体" w:cs="宋体"/>
          <w:color w:val="auto"/>
          <w:sz w:val="24"/>
          <w:highlight w:val="none"/>
        </w:rPr>
        <w:t xml:space="preserve">供应商（盖公章）：      </w:t>
      </w:r>
    </w:p>
    <w:p w14:paraId="7E806F89">
      <w:pPr>
        <w:spacing w:line="360" w:lineRule="auto"/>
        <w:ind w:right="-817" w:rightChars="-389" w:firstLine="4800" w:firstLineChars="2000"/>
        <w:contextualSpacing/>
        <w:rPr>
          <w:rFonts w:ascii="宋体" w:hAnsi="宋体" w:cs="宋体"/>
          <w:b/>
          <w:color w:val="auto"/>
          <w:sz w:val="32"/>
          <w:szCs w:val="32"/>
          <w:highlight w:val="none"/>
        </w:rPr>
      </w:pPr>
      <w:r>
        <w:rPr>
          <w:rFonts w:hint="eastAsia" w:ascii="宋体" w:hAnsi="宋体" w:cs="宋体"/>
          <w:color w:val="auto"/>
          <w:sz w:val="24"/>
          <w:highlight w:val="none"/>
        </w:rPr>
        <w:t>日期：   年   月   日</w:t>
      </w:r>
    </w:p>
    <w:p w14:paraId="1C1C758C">
      <w:pPr>
        <w:adjustRightInd w:val="0"/>
        <w:snapToGrid w:val="0"/>
        <w:spacing w:line="520" w:lineRule="exact"/>
        <w:ind w:firstLine="7040" w:firstLineChars="1600"/>
        <w:jc w:val="center"/>
        <w:rPr>
          <w:rFonts w:ascii="宋体" w:hAnsi="宋体" w:cs="宋体"/>
          <w:bCs/>
          <w:color w:val="auto"/>
          <w:sz w:val="44"/>
          <w:szCs w:val="44"/>
          <w:highlight w:val="none"/>
        </w:rPr>
      </w:pPr>
    </w:p>
    <w:p w14:paraId="23098625">
      <w:pPr>
        <w:adjustRightInd w:val="0"/>
        <w:snapToGrid w:val="0"/>
        <w:spacing w:line="520" w:lineRule="exact"/>
        <w:ind w:firstLine="7040" w:firstLineChars="1600"/>
        <w:jc w:val="center"/>
        <w:rPr>
          <w:rFonts w:ascii="宋体" w:hAnsi="宋体" w:cs="宋体"/>
          <w:bCs/>
          <w:color w:val="auto"/>
          <w:sz w:val="44"/>
          <w:szCs w:val="44"/>
          <w:highlight w:val="none"/>
        </w:rPr>
      </w:pPr>
    </w:p>
    <w:p w14:paraId="2B57A95D">
      <w:pPr>
        <w:adjustRightInd w:val="0"/>
        <w:snapToGrid w:val="0"/>
        <w:spacing w:line="520" w:lineRule="exact"/>
        <w:ind w:firstLine="7040" w:firstLineChars="1600"/>
        <w:jc w:val="center"/>
        <w:rPr>
          <w:rFonts w:ascii="宋体" w:hAnsi="宋体" w:cs="宋体"/>
          <w:bCs/>
          <w:color w:val="auto"/>
          <w:sz w:val="44"/>
          <w:szCs w:val="44"/>
          <w:highlight w:val="none"/>
        </w:rPr>
      </w:pPr>
    </w:p>
    <w:p w14:paraId="3088D244">
      <w:pPr>
        <w:adjustRightInd w:val="0"/>
        <w:snapToGrid w:val="0"/>
        <w:spacing w:line="520" w:lineRule="exact"/>
        <w:ind w:firstLine="7040" w:firstLineChars="1600"/>
        <w:jc w:val="center"/>
        <w:rPr>
          <w:rFonts w:ascii="宋体" w:hAnsi="宋体" w:cs="宋体"/>
          <w:bCs/>
          <w:color w:val="auto"/>
          <w:sz w:val="44"/>
          <w:szCs w:val="44"/>
          <w:highlight w:val="none"/>
        </w:rPr>
      </w:pPr>
    </w:p>
    <w:p w14:paraId="391C4B93">
      <w:pPr>
        <w:adjustRightInd w:val="0"/>
        <w:snapToGrid w:val="0"/>
        <w:spacing w:line="300" w:lineRule="auto"/>
        <w:jc w:val="center"/>
        <w:rPr>
          <w:rFonts w:ascii="宋体" w:hAnsi="宋体" w:cs="宋体"/>
          <w:bCs/>
          <w:color w:val="auto"/>
          <w:sz w:val="44"/>
          <w:szCs w:val="44"/>
          <w:highlight w:val="none"/>
        </w:rPr>
      </w:pPr>
      <w:r>
        <w:rPr>
          <w:rFonts w:hint="eastAsia" w:ascii="宋体" w:hAnsi="宋体" w:cs="宋体"/>
          <w:bCs/>
          <w:color w:val="auto"/>
          <w:sz w:val="44"/>
          <w:szCs w:val="44"/>
          <w:highlight w:val="none"/>
        </w:rPr>
        <w:br w:type="page"/>
      </w:r>
      <w:r>
        <w:rPr>
          <w:rFonts w:hint="eastAsia" w:ascii="宋体" w:hAnsi="宋体" w:cs="宋体"/>
          <w:bCs/>
          <w:color w:val="auto"/>
          <w:sz w:val="44"/>
          <w:szCs w:val="44"/>
          <w:highlight w:val="none"/>
        </w:rPr>
        <w:t>技术要求偏离表</w:t>
      </w:r>
    </w:p>
    <w:p w14:paraId="65A3D0C0">
      <w:pPr>
        <w:spacing w:line="520" w:lineRule="exact"/>
        <w:rPr>
          <w:rFonts w:ascii="宋体" w:hAnsi="宋体" w:cs="宋体"/>
          <w:color w:val="auto"/>
          <w:sz w:val="32"/>
          <w:szCs w:val="32"/>
          <w:highlight w:val="none"/>
        </w:rPr>
      </w:pPr>
    </w:p>
    <w:p w14:paraId="0DC4FE09">
      <w:pPr>
        <w:spacing w:line="360" w:lineRule="auto"/>
        <w:contextualSpacing/>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single"/>
        </w:rPr>
        <w:t xml:space="preserve">                 </w:t>
      </w:r>
    </w:p>
    <w:p w14:paraId="3E4D79B3">
      <w:pPr>
        <w:spacing w:line="360" w:lineRule="auto"/>
        <w:contextualSpacing/>
        <w:rPr>
          <w:rFonts w:ascii="宋体" w:hAnsi="宋体" w:cs="宋体"/>
          <w:color w:val="auto"/>
          <w:sz w:val="24"/>
          <w:highlight w:val="none"/>
        </w:rPr>
      </w:pPr>
      <w:r>
        <w:rPr>
          <w:rFonts w:hint="eastAsia" w:ascii="宋体" w:hAnsi="宋体" w:cs="宋体"/>
          <w:color w:val="auto"/>
          <w:sz w:val="24"/>
          <w:highlight w:val="none"/>
        </w:rPr>
        <w:t>采购项目名称：</w:t>
      </w:r>
      <w:r>
        <w:rPr>
          <w:rFonts w:hint="eastAsia" w:ascii="宋体" w:hAnsi="宋体" w:cs="宋体"/>
          <w:color w:val="auto"/>
          <w:sz w:val="24"/>
          <w:highlight w:val="none"/>
          <w:u w:val="single"/>
        </w:rPr>
        <w:t xml:space="preserve">                 </w:t>
      </w:r>
    </w:p>
    <w:p w14:paraId="01CE0A47">
      <w:pPr>
        <w:spacing w:line="360" w:lineRule="auto"/>
        <w:contextualSpacing/>
        <w:rPr>
          <w:rFonts w:ascii="宋体" w:hAnsi="宋体" w:cs="宋体"/>
          <w:color w:val="auto"/>
          <w:sz w:val="24"/>
          <w:highlight w:val="none"/>
          <w:u w:val="single"/>
        </w:rPr>
      </w:pPr>
      <w:r>
        <w:rPr>
          <w:rFonts w:hint="eastAsia" w:ascii="宋体" w:hAnsi="宋体" w:cs="宋体"/>
          <w:color w:val="auto"/>
          <w:sz w:val="24"/>
          <w:highlight w:val="none"/>
        </w:rPr>
        <w:t>分标号：</w:t>
      </w:r>
      <w:r>
        <w:rPr>
          <w:rFonts w:hint="eastAsia" w:ascii="宋体" w:hAnsi="宋体" w:cs="宋体"/>
          <w:color w:val="auto"/>
          <w:sz w:val="24"/>
          <w:highlight w:val="none"/>
          <w:u w:val="single"/>
        </w:rPr>
        <w:t xml:space="preserve">                       </w:t>
      </w:r>
    </w:p>
    <w:tbl>
      <w:tblPr>
        <w:tblStyle w:val="33"/>
        <w:tblW w:w="5000"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1014"/>
        <w:gridCol w:w="1014"/>
        <w:gridCol w:w="3368"/>
        <w:gridCol w:w="3031"/>
        <w:gridCol w:w="1655"/>
      </w:tblGrid>
      <w:tr w14:paraId="359EAAE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03" w:type="pct"/>
            <w:vAlign w:val="center"/>
          </w:tcPr>
          <w:p w14:paraId="62E117AC">
            <w:pPr>
              <w:pStyle w:val="16"/>
              <w:spacing w:line="360" w:lineRule="auto"/>
              <w:ind w:firstLine="0" w:firstLineChars="0"/>
              <w:contextualSpacing/>
              <w:jc w:val="center"/>
              <w:rPr>
                <w:rFonts w:ascii="宋体" w:hAnsi="宋体" w:eastAsia="宋体" w:cs="宋体"/>
                <w:color w:val="auto"/>
                <w:kern w:val="2"/>
                <w:sz w:val="24"/>
                <w:szCs w:val="24"/>
                <w:highlight w:val="none"/>
              </w:rPr>
            </w:pPr>
            <w:bookmarkStart w:id="73" w:name="_Toc254970729"/>
            <w:bookmarkStart w:id="74" w:name="_Toc295404981"/>
            <w:bookmarkStart w:id="75" w:name="_Toc173066401"/>
            <w:bookmarkStart w:id="76" w:name="_Toc383699906"/>
            <w:bookmarkStart w:id="77" w:name="_Toc297193185"/>
            <w:bookmarkStart w:id="78" w:name="_Toc173211900"/>
            <w:bookmarkStart w:id="79" w:name="_Toc301781611"/>
            <w:bookmarkStart w:id="80" w:name="_Toc254970588"/>
            <w:bookmarkStart w:id="81" w:name="_Toc373333689"/>
            <w:r>
              <w:rPr>
                <w:rFonts w:hint="eastAsia" w:ascii="宋体" w:hAnsi="宋体" w:eastAsia="宋体" w:cs="宋体"/>
                <w:color w:val="auto"/>
                <w:kern w:val="2"/>
                <w:sz w:val="24"/>
                <w:szCs w:val="24"/>
                <w:highlight w:val="none"/>
              </w:rPr>
              <w:t>序号</w:t>
            </w:r>
            <w:bookmarkEnd w:id="73"/>
            <w:bookmarkEnd w:id="74"/>
            <w:bookmarkEnd w:id="75"/>
            <w:bookmarkEnd w:id="76"/>
            <w:bookmarkEnd w:id="77"/>
            <w:bookmarkEnd w:id="78"/>
            <w:bookmarkEnd w:id="79"/>
            <w:bookmarkEnd w:id="80"/>
            <w:bookmarkEnd w:id="81"/>
          </w:p>
        </w:tc>
        <w:tc>
          <w:tcPr>
            <w:tcW w:w="503" w:type="pct"/>
            <w:tcBorders>
              <w:right w:val="single" w:color="auto" w:sz="4" w:space="0"/>
            </w:tcBorders>
            <w:vAlign w:val="center"/>
          </w:tcPr>
          <w:p w14:paraId="695D2D97">
            <w:pPr>
              <w:pStyle w:val="16"/>
              <w:spacing w:line="360" w:lineRule="auto"/>
              <w:ind w:firstLine="0" w:firstLineChars="0"/>
              <w:contextualSpacing/>
              <w:jc w:val="center"/>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名称</w:t>
            </w:r>
          </w:p>
        </w:tc>
        <w:tc>
          <w:tcPr>
            <w:tcW w:w="1670" w:type="pct"/>
            <w:tcBorders>
              <w:left w:val="single" w:color="auto" w:sz="4" w:space="0"/>
            </w:tcBorders>
            <w:vAlign w:val="center"/>
          </w:tcPr>
          <w:p w14:paraId="75BFFE69">
            <w:pPr>
              <w:pStyle w:val="16"/>
              <w:spacing w:line="360" w:lineRule="auto"/>
              <w:ind w:firstLine="0" w:firstLineChars="0"/>
              <w:contextualSpacing/>
              <w:jc w:val="center"/>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磋商文件技术要求</w:t>
            </w:r>
          </w:p>
        </w:tc>
        <w:tc>
          <w:tcPr>
            <w:tcW w:w="1503" w:type="pct"/>
            <w:vAlign w:val="center"/>
          </w:tcPr>
          <w:p w14:paraId="495E12A8">
            <w:pPr>
              <w:pStyle w:val="16"/>
              <w:spacing w:line="360" w:lineRule="auto"/>
              <w:ind w:firstLine="0" w:firstLineChars="0"/>
              <w:contextualSpacing/>
              <w:jc w:val="center"/>
              <w:rPr>
                <w:rFonts w:ascii="宋体" w:hAnsi="宋体" w:eastAsia="宋体" w:cs="宋体"/>
                <w:color w:val="auto"/>
                <w:kern w:val="2"/>
                <w:sz w:val="24"/>
                <w:szCs w:val="24"/>
                <w:highlight w:val="none"/>
              </w:rPr>
            </w:pPr>
            <w:bookmarkStart w:id="82" w:name="_Toc301781613"/>
            <w:bookmarkStart w:id="83" w:name="_Toc254970590"/>
            <w:bookmarkStart w:id="84" w:name="_Toc173066403"/>
            <w:bookmarkStart w:id="85" w:name="_Toc373333691"/>
            <w:bookmarkStart w:id="86" w:name="_Toc383699908"/>
            <w:bookmarkStart w:id="87" w:name="_Toc297193187"/>
            <w:bookmarkStart w:id="88" w:name="_Toc295404983"/>
            <w:bookmarkStart w:id="89" w:name="_Toc173211902"/>
            <w:bookmarkStart w:id="90" w:name="_Toc254970731"/>
            <w:r>
              <w:rPr>
                <w:rFonts w:hint="eastAsia" w:ascii="宋体" w:hAnsi="宋体" w:eastAsia="宋体" w:cs="宋体"/>
                <w:color w:val="auto"/>
                <w:kern w:val="2"/>
                <w:sz w:val="24"/>
                <w:szCs w:val="24"/>
                <w:highlight w:val="none"/>
              </w:rPr>
              <w:t>竞标响应</w:t>
            </w:r>
            <w:bookmarkEnd w:id="82"/>
            <w:bookmarkEnd w:id="83"/>
            <w:bookmarkEnd w:id="84"/>
            <w:bookmarkEnd w:id="85"/>
            <w:bookmarkEnd w:id="86"/>
            <w:bookmarkEnd w:id="87"/>
            <w:bookmarkEnd w:id="88"/>
            <w:bookmarkEnd w:id="89"/>
            <w:bookmarkEnd w:id="90"/>
          </w:p>
        </w:tc>
        <w:tc>
          <w:tcPr>
            <w:tcW w:w="820" w:type="pct"/>
            <w:vAlign w:val="center"/>
          </w:tcPr>
          <w:p w14:paraId="66F6EDD0">
            <w:pPr>
              <w:pStyle w:val="16"/>
              <w:spacing w:line="360" w:lineRule="auto"/>
              <w:ind w:firstLine="0" w:firstLineChars="0"/>
              <w:contextualSpacing/>
              <w:jc w:val="center"/>
              <w:rPr>
                <w:rFonts w:ascii="宋体" w:hAnsi="宋体" w:eastAsia="宋体" w:cs="宋体"/>
                <w:color w:val="auto"/>
                <w:kern w:val="2"/>
                <w:sz w:val="24"/>
                <w:szCs w:val="24"/>
                <w:highlight w:val="none"/>
              </w:rPr>
            </w:pPr>
            <w:bookmarkStart w:id="91" w:name="_Toc254970732"/>
            <w:bookmarkStart w:id="92" w:name="_Toc383699909"/>
            <w:bookmarkStart w:id="93" w:name="_Toc254970591"/>
            <w:bookmarkStart w:id="94" w:name="_Toc301781614"/>
            <w:bookmarkStart w:id="95" w:name="_Toc173066404"/>
            <w:bookmarkStart w:id="96" w:name="_Toc297193188"/>
            <w:bookmarkStart w:id="97" w:name="_Toc295404984"/>
            <w:bookmarkStart w:id="98" w:name="_Toc373333692"/>
            <w:bookmarkStart w:id="99" w:name="_Toc173211903"/>
            <w:r>
              <w:rPr>
                <w:rFonts w:hint="eastAsia" w:ascii="宋体" w:hAnsi="宋体" w:eastAsia="宋体" w:cs="宋体"/>
                <w:color w:val="auto"/>
                <w:kern w:val="2"/>
                <w:sz w:val="24"/>
                <w:szCs w:val="24"/>
                <w:highlight w:val="none"/>
              </w:rPr>
              <w:t>偏离</w:t>
            </w:r>
            <w:bookmarkEnd w:id="91"/>
            <w:bookmarkEnd w:id="92"/>
            <w:bookmarkEnd w:id="93"/>
            <w:bookmarkEnd w:id="94"/>
            <w:bookmarkEnd w:id="95"/>
            <w:bookmarkEnd w:id="96"/>
            <w:bookmarkEnd w:id="97"/>
            <w:bookmarkEnd w:id="98"/>
            <w:bookmarkEnd w:id="99"/>
            <w:bookmarkStart w:id="100" w:name="_Toc297193189"/>
            <w:bookmarkStart w:id="101" w:name="_Toc254970592"/>
            <w:bookmarkStart w:id="102" w:name="_Toc173066405"/>
            <w:bookmarkStart w:id="103" w:name="_Toc173211904"/>
            <w:bookmarkStart w:id="104" w:name="_Toc301781615"/>
            <w:bookmarkStart w:id="105" w:name="_Toc254970733"/>
            <w:bookmarkStart w:id="106" w:name="_Toc295404985"/>
            <w:bookmarkStart w:id="107" w:name="_Toc373333693"/>
            <w:bookmarkStart w:id="108" w:name="_Toc383699910"/>
            <w:r>
              <w:rPr>
                <w:rFonts w:hint="eastAsia" w:ascii="宋体" w:hAnsi="宋体" w:eastAsia="宋体" w:cs="宋体"/>
                <w:color w:val="auto"/>
                <w:kern w:val="2"/>
                <w:sz w:val="24"/>
                <w:szCs w:val="24"/>
                <w:highlight w:val="none"/>
              </w:rPr>
              <w:t>说明</w:t>
            </w:r>
            <w:bookmarkEnd w:id="100"/>
            <w:bookmarkEnd w:id="101"/>
            <w:bookmarkEnd w:id="102"/>
            <w:bookmarkEnd w:id="103"/>
            <w:bookmarkEnd w:id="104"/>
            <w:bookmarkEnd w:id="105"/>
            <w:bookmarkEnd w:id="106"/>
            <w:bookmarkEnd w:id="107"/>
            <w:bookmarkEnd w:id="108"/>
          </w:p>
        </w:tc>
      </w:tr>
      <w:tr w14:paraId="1899416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03" w:type="pct"/>
            <w:vAlign w:val="center"/>
          </w:tcPr>
          <w:p w14:paraId="2AA74EFF">
            <w:pPr>
              <w:pStyle w:val="16"/>
              <w:spacing w:line="360" w:lineRule="auto"/>
              <w:ind w:firstLine="0" w:firstLineChars="0"/>
              <w:contextualSpacing/>
              <w:jc w:val="center"/>
              <w:rPr>
                <w:rFonts w:ascii="宋体" w:hAnsi="宋体" w:eastAsia="宋体" w:cs="宋体"/>
                <w:color w:val="auto"/>
                <w:kern w:val="2"/>
                <w:sz w:val="24"/>
                <w:szCs w:val="24"/>
                <w:highlight w:val="none"/>
              </w:rPr>
            </w:pPr>
            <w:bookmarkStart w:id="109" w:name="_Toc301781616"/>
            <w:bookmarkStart w:id="110" w:name="_Toc254970734"/>
            <w:bookmarkStart w:id="111" w:name="_Toc297193190"/>
            <w:bookmarkStart w:id="112" w:name="_Toc173066406"/>
            <w:bookmarkStart w:id="113" w:name="_Toc254970593"/>
            <w:bookmarkStart w:id="114" w:name="_Toc173211905"/>
            <w:bookmarkStart w:id="115" w:name="_Toc373333694"/>
            <w:bookmarkStart w:id="116" w:name="_Toc383699911"/>
            <w:bookmarkStart w:id="117" w:name="_Toc295404986"/>
            <w:r>
              <w:rPr>
                <w:rFonts w:hint="eastAsia" w:ascii="宋体" w:hAnsi="宋体" w:eastAsia="宋体" w:cs="宋体"/>
                <w:color w:val="auto"/>
                <w:kern w:val="2"/>
                <w:sz w:val="24"/>
                <w:szCs w:val="24"/>
                <w:highlight w:val="none"/>
              </w:rPr>
              <w:t>1</w:t>
            </w:r>
            <w:bookmarkEnd w:id="109"/>
            <w:bookmarkEnd w:id="110"/>
            <w:bookmarkEnd w:id="111"/>
            <w:bookmarkEnd w:id="112"/>
            <w:bookmarkEnd w:id="113"/>
            <w:bookmarkEnd w:id="114"/>
            <w:bookmarkEnd w:id="115"/>
            <w:bookmarkEnd w:id="116"/>
            <w:bookmarkEnd w:id="117"/>
          </w:p>
        </w:tc>
        <w:tc>
          <w:tcPr>
            <w:tcW w:w="503" w:type="pct"/>
            <w:tcBorders>
              <w:right w:val="single" w:color="auto" w:sz="4" w:space="0"/>
            </w:tcBorders>
            <w:vAlign w:val="center"/>
          </w:tcPr>
          <w:p w14:paraId="77F692B3">
            <w:pPr>
              <w:pStyle w:val="16"/>
              <w:spacing w:line="360" w:lineRule="auto"/>
              <w:ind w:firstLine="0" w:firstLineChars="0"/>
              <w:contextualSpacing/>
              <w:jc w:val="center"/>
              <w:rPr>
                <w:rFonts w:ascii="宋体" w:hAnsi="宋体" w:eastAsia="宋体" w:cs="宋体"/>
                <w:color w:val="auto"/>
                <w:kern w:val="2"/>
                <w:sz w:val="24"/>
                <w:szCs w:val="24"/>
                <w:highlight w:val="none"/>
              </w:rPr>
            </w:pPr>
          </w:p>
        </w:tc>
        <w:tc>
          <w:tcPr>
            <w:tcW w:w="1670" w:type="pct"/>
            <w:tcBorders>
              <w:left w:val="single" w:color="auto" w:sz="4" w:space="0"/>
            </w:tcBorders>
            <w:vAlign w:val="center"/>
          </w:tcPr>
          <w:p w14:paraId="4D919C32">
            <w:pPr>
              <w:pStyle w:val="16"/>
              <w:spacing w:line="360" w:lineRule="auto"/>
              <w:ind w:firstLine="0" w:firstLineChars="0"/>
              <w:contextualSpacing/>
              <w:jc w:val="center"/>
              <w:rPr>
                <w:rFonts w:ascii="宋体" w:hAnsi="宋体" w:eastAsia="宋体" w:cs="宋体"/>
                <w:color w:val="auto"/>
                <w:kern w:val="2"/>
                <w:sz w:val="24"/>
                <w:szCs w:val="24"/>
                <w:highlight w:val="none"/>
              </w:rPr>
            </w:pPr>
          </w:p>
        </w:tc>
        <w:tc>
          <w:tcPr>
            <w:tcW w:w="1503" w:type="pct"/>
            <w:vAlign w:val="center"/>
          </w:tcPr>
          <w:p w14:paraId="0DD3343A">
            <w:pPr>
              <w:pStyle w:val="16"/>
              <w:spacing w:line="360" w:lineRule="auto"/>
              <w:ind w:firstLine="0" w:firstLineChars="0"/>
              <w:contextualSpacing/>
              <w:jc w:val="center"/>
              <w:rPr>
                <w:rFonts w:ascii="宋体" w:hAnsi="宋体" w:eastAsia="宋体" w:cs="宋体"/>
                <w:color w:val="auto"/>
                <w:kern w:val="2"/>
                <w:sz w:val="24"/>
                <w:szCs w:val="24"/>
                <w:highlight w:val="none"/>
              </w:rPr>
            </w:pPr>
          </w:p>
        </w:tc>
        <w:tc>
          <w:tcPr>
            <w:tcW w:w="820" w:type="pct"/>
            <w:vAlign w:val="center"/>
          </w:tcPr>
          <w:p w14:paraId="1AA4E829">
            <w:pPr>
              <w:pStyle w:val="16"/>
              <w:spacing w:line="360" w:lineRule="auto"/>
              <w:ind w:firstLine="0" w:firstLineChars="0"/>
              <w:contextualSpacing/>
              <w:jc w:val="center"/>
              <w:rPr>
                <w:rFonts w:ascii="宋体" w:hAnsi="宋体" w:eastAsia="宋体" w:cs="宋体"/>
                <w:color w:val="auto"/>
                <w:kern w:val="2"/>
                <w:sz w:val="24"/>
                <w:szCs w:val="24"/>
                <w:highlight w:val="none"/>
              </w:rPr>
            </w:pPr>
          </w:p>
        </w:tc>
      </w:tr>
      <w:tr w14:paraId="272A6F1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03" w:type="pct"/>
            <w:vAlign w:val="center"/>
          </w:tcPr>
          <w:p w14:paraId="79AED7E4">
            <w:pPr>
              <w:pStyle w:val="16"/>
              <w:spacing w:line="360" w:lineRule="auto"/>
              <w:ind w:firstLine="0" w:firstLineChars="0"/>
              <w:contextualSpacing/>
              <w:jc w:val="center"/>
              <w:rPr>
                <w:rFonts w:ascii="宋体" w:hAnsi="宋体" w:eastAsia="宋体" w:cs="宋体"/>
                <w:color w:val="auto"/>
                <w:kern w:val="2"/>
                <w:sz w:val="24"/>
                <w:szCs w:val="24"/>
                <w:highlight w:val="none"/>
              </w:rPr>
            </w:pPr>
            <w:bookmarkStart w:id="118" w:name="_Toc297193191"/>
            <w:bookmarkStart w:id="119" w:name="_Toc373333695"/>
            <w:bookmarkStart w:id="120" w:name="_Toc173211906"/>
            <w:bookmarkStart w:id="121" w:name="_Toc383699912"/>
            <w:bookmarkStart w:id="122" w:name="_Toc295404987"/>
            <w:bookmarkStart w:id="123" w:name="_Toc173066407"/>
            <w:bookmarkStart w:id="124" w:name="_Toc301781617"/>
            <w:bookmarkStart w:id="125" w:name="_Toc254970594"/>
            <w:bookmarkStart w:id="126" w:name="_Toc254970735"/>
            <w:r>
              <w:rPr>
                <w:rFonts w:hint="eastAsia" w:ascii="宋体" w:hAnsi="宋体" w:eastAsia="宋体" w:cs="宋体"/>
                <w:color w:val="auto"/>
                <w:kern w:val="2"/>
                <w:sz w:val="24"/>
                <w:szCs w:val="24"/>
                <w:highlight w:val="none"/>
              </w:rPr>
              <w:t>2</w:t>
            </w:r>
            <w:bookmarkEnd w:id="118"/>
            <w:bookmarkEnd w:id="119"/>
            <w:bookmarkEnd w:id="120"/>
            <w:bookmarkEnd w:id="121"/>
            <w:bookmarkEnd w:id="122"/>
            <w:bookmarkEnd w:id="123"/>
            <w:bookmarkEnd w:id="124"/>
            <w:bookmarkEnd w:id="125"/>
            <w:bookmarkEnd w:id="126"/>
          </w:p>
        </w:tc>
        <w:tc>
          <w:tcPr>
            <w:tcW w:w="503" w:type="pct"/>
            <w:tcBorders>
              <w:right w:val="single" w:color="auto" w:sz="4" w:space="0"/>
            </w:tcBorders>
            <w:vAlign w:val="center"/>
          </w:tcPr>
          <w:p w14:paraId="214A8860">
            <w:pPr>
              <w:pStyle w:val="16"/>
              <w:spacing w:line="360" w:lineRule="auto"/>
              <w:ind w:firstLine="0" w:firstLineChars="0"/>
              <w:contextualSpacing/>
              <w:jc w:val="center"/>
              <w:rPr>
                <w:rFonts w:ascii="宋体" w:hAnsi="宋体" w:eastAsia="宋体" w:cs="宋体"/>
                <w:color w:val="auto"/>
                <w:kern w:val="2"/>
                <w:sz w:val="24"/>
                <w:szCs w:val="24"/>
                <w:highlight w:val="none"/>
              </w:rPr>
            </w:pPr>
          </w:p>
        </w:tc>
        <w:tc>
          <w:tcPr>
            <w:tcW w:w="1670" w:type="pct"/>
            <w:tcBorders>
              <w:left w:val="single" w:color="auto" w:sz="4" w:space="0"/>
            </w:tcBorders>
            <w:vAlign w:val="center"/>
          </w:tcPr>
          <w:p w14:paraId="62269915">
            <w:pPr>
              <w:pStyle w:val="16"/>
              <w:spacing w:line="360" w:lineRule="auto"/>
              <w:ind w:firstLine="0" w:firstLineChars="0"/>
              <w:contextualSpacing/>
              <w:jc w:val="center"/>
              <w:rPr>
                <w:rFonts w:ascii="宋体" w:hAnsi="宋体" w:eastAsia="宋体" w:cs="宋体"/>
                <w:color w:val="auto"/>
                <w:kern w:val="2"/>
                <w:sz w:val="24"/>
                <w:szCs w:val="24"/>
                <w:highlight w:val="none"/>
              </w:rPr>
            </w:pPr>
          </w:p>
        </w:tc>
        <w:tc>
          <w:tcPr>
            <w:tcW w:w="1503" w:type="pct"/>
            <w:vAlign w:val="center"/>
          </w:tcPr>
          <w:p w14:paraId="5FB56360">
            <w:pPr>
              <w:pStyle w:val="16"/>
              <w:spacing w:line="360" w:lineRule="auto"/>
              <w:ind w:firstLine="0" w:firstLineChars="0"/>
              <w:contextualSpacing/>
              <w:jc w:val="center"/>
              <w:rPr>
                <w:rFonts w:ascii="宋体" w:hAnsi="宋体" w:eastAsia="宋体" w:cs="宋体"/>
                <w:color w:val="auto"/>
                <w:kern w:val="2"/>
                <w:sz w:val="24"/>
                <w:szCs w:val="24"/>
                <w:highlight w:val="none"/>
              </w:rPr>
            </w:pPr>
          </w:p>
        </w:tc>
        <w:tc>
          <w:tcPr>
            <w:tcW w:w="820" w:type="pct"/>
            <w:vAlign w:val="center"/>
          </w:tcPr>
          <w:p w14:paraId="2B5BBF37">
            <w:pPr>
              <w:pStyle w:val="16"/>
              <w:spacing w:line="360" w:lineRule="auto"/>
              <w:ind w:firstLine="0" w:firstLineChars="0"/>
              <w:contextualSpacing/>
              <w:jc w:val="center"/>
              <w:rPr>
                <w:rFonts w:ascii="宋体" w:hAnsi="宋体" w:eastAsia="宋体" w:cs="宋体"/>
                <w:color w:val="auto"/>
                <w:kern w:val="2"/>
                <w:sz w:val="24"/>
                <w:szCs w:val="24"/>
                <w:highlight w:val="none"/>
              </w:rPr>
            </w:pPr>
          </w:p>
        </w:tc>
      </w:tr>
      <w:tr w14:paraId="34B96EF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03" w:type="pct"/>
            <w:vAlign w:val="center"/>
          </w:tcPr>
          <w:p w14:paraId="44D8F362">
            <w:pPr>
              <w:pStyle w:val="16"/>
              <w:spacing w:line="360" w:lineRule="auto"/>
              <w:ind w:firstLine="0" w:firstLineChars="0"/>
              <w:contextualSpacing/>
              <w:jc w:val="center"/>
              <w:rPr>
                <w:rFonts w:ascii="宋体" w:hAnsi="宋体" w:eastAsia="宋体" w:cs="宋体"/>
                <w:color w:val="auto"/>
                <w:kern w:val="2"/>
                <w:sz w:val="24"/>
                <w:szCs w:val="24"/>
                <w:highlight w:val="none"/>
              </w:rPr>
            </w:pPr>
            <w:bookmarkStart w:id="127" w:name="_Toc295404988"/>
            <w:bookmarkStart w:id="128" w:name="_Toc254970736"/>
            <w:bookmarkStart w:id="129" w:name="_Toc254970595"/>
            <w:bookmarkStart w:id="130" w:name="_Toc373333696"/>
            <w:bookmarkStart w:id="131" w:name="_Toc173066408"/>
            <w:bookmarkStart w:id="132" w:name="_Toc173211907"/>
            <w:bookmarkStart w:id="133" w:name="_Toc383699913"/>
            <w:bookmarkStart w:id="134" w:name="_Toc297193192"/>
            <w:bookmarkStart w:id="135" w:name="_Toc301781618"/>
            <w:r>
              <w:rPr>
                <w:rFonts w:hint="eastAsia" w:ascii="宋体" w:hAnsi="宋体" w:eastAsia="宋体" w:cs="宋体"/>
                <w:color w:val="auto"/>
                <w:kern w:val="2"/>
                <w:sz w:val="24"/>
                <w:szCs w:val="24"/>
                <w:highlight w:val="none"/>
              </w:rPr>
              <w:t>3</w:t>
            </w:r>
            <w:bookmarkEnd w:id="127"/>
            <w:bookmarkEnd w:id="128"/>
            <w:bookmarkEnd w:id="129"/>
            <w:bookmarkEnd w:id="130"/>
            <w:bookmarkEnd w:id="131"/>
            <w:bookmarkEnd w:id="132"/>
            <w:bookmarkEnd w:id="133"/>
            <w:bookmarkEnd w:id="134"/>
            <w:bookmarkEnd w:id="135"/>
          </w:p>
        </w:tc>
        <w:tc>
          <w:tcPr>
            <w:tcW w:w="503" w:type="pct"/>
            <w:tcBorders>
              <w:right w:val="single" w:color="auto" w:sz="4" w:space="0"/>
            </w:tcBorders>
            <w:vAlign w:val="center"/>
          </w:tcPr>
          <w:p w14:paraId="4D5F3EB4">
            <w:pPr>
              <w:pStyle w:val="16"/>
              <w:spacing w:line="360" w:lineRule="auto"/>
              <w:ind w:firstLine="0" w:firstLineChars="0"/>
              <w:contextualSpacing/>
              <w:jc w:val="center"/>
              <w:rPr>
                <w:rFonts w:ascii="宋体" w:hAnsi="宋体" w:eastAsia="宋体" w:cs="宋体"/>
                <w:color w:val="auto"/>
                <w:kern w:val="2"/>
                <w:sz w:val="24"/>
                <w:szCs w:val="24"/>
                <w:highlight w:val="none"/>
              </w:rPr>
            </w:pPr>
          </w:p>
        </w:tc>
        <w:tc>
          <w:tcPr>
            <w:tcW w:w="1670" w:type="pct"/>
            <w:tcBorders>
              <w:left w:val="single" w:color="auto" w:sz="4" w:space="0"/>
            </w:tcBorders>
            <w:vAlign w:val="center"/>
          </w:tcPr>
          <w:p w14:paraId="11387275">
            <w:pPr>
              <w:pStyle w:val="16"/>
              <w:spacing w:line="360" w:lineRule="auto"/>
              <w:ind w:firstLine="0" w:firstLineChars="0"/>
              <w:contextualSpacing/>
              <w:jc w:val="center"/>
              <w:rPr>
                <w:rFonts w:ascii="宋体" w:hAnsi="宋体" w:eastAsia="宋体" w:cs="宋体"/>
                <w:color w:val="auto"/>
                <w:kern w:val="2"/>
                <w:sz w:val="24"/>
                <w:szCs w:val="24"/>
                <w:highlight w:val="none"/>
              </w:rPr>
            </w:pPr>
          </w:p>
        </w:tc>
        <w:tc>
          <w:tcPr>
            <w:tcW w:w="1503" w:type="pct"/>
            <w:vAlign w:val="center"/>
          </w:tcPr>
          <w:p w14:paraId="3CC18725">
            <w:pPr>
              <w:pStyle w:val="16"/>
              <w:spacing w:line="360" w:lineRule="auto"/>
              <w:ind w:firstLine="0" w:firstLineChars="0"/>
              <w:contextualSpacing/>
              <w:jc w:val="center"/>
              <w:rPr>
                <w:rFonts w:ascii="宋体" w:hAnsi="宋体" w:eastAsia="宋体" w:cs="宋体"/>
                <w:color w:val="auto"/>
                <w:kern w:val="2"/>
                <w:sz w:val="24"/>
                <w:szCs w:val="24"/>
                <w:highlight w:val="none"/>
              </w:rPr>
            </w:pPr>
          </w:p>
        </w:tc>
        <w:tc>
          <w:tcPr>
            <w:tcW w:w="820" w:type="pct"/>
            <w:vAlign w:val="center"/>
          </w:tcPr>
          <w:p w14:paraId="571E3927">
            <w:pPr>
              <w:pStyle w:val="16"/>
              <w:spacing w:line="360" w:lineRule="auto"/>
              <w:ind w:firstLine="0" w:firstLineChars="0"/>
              <w:contextualSpacing/>
              <w:jc w:val="center"/>
              <w:rPr>
                <w:rFonts w:ascii="宋体" w:hAnsi="宋体" w:eastAsia="宋体" w:cs="宋体"/>
                <w:color w:val="auto"/>
                <w:kern w:val="2"/>
                <w:sz w:val="24"/>
                <w:szCs w:val="24"/>
                <w:highlight w:val="none"/>
              </w:rPr>
            </w:pPr>
          </w:p>
        </w:tc>
      </w:tr>
      <w:tr w14:paraId="3A0A1E0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03" w:type="pct"/>
            <w:vAlign w:val="center"/>
          </w:tcPr>
          <w:p w14:paraId="07C7C08F">
            <w:pPr>
              <w:pStyle w:val="16"/>
              <w:spacing w:line="360" w:lineRule="auto"/>
              <w:ind w:firstLine="0" w:firstLineChars="0"/>
              <w:contextualSpacing/>
              <w:jc w:val="center"/>
              <w:rPr>
                <w:rFonts w:ascii="宋体" w:hAnsi="宋体" w:eastAsia="宋体" w:cs="宋体"/>
                <w:color w:val="auto"/>
                <w:kern w:val="2"/>
                <w:sz w:val="24"/>
                <w:szCs w:val="24"/>
                <w:highlight w:val="none"/>
              </w:rPr>
            </w:pPr>
            <w:bookmarkStart w:id="136" w:name="_Toc254970596"/>
            <w:bookmarkStart w:id="137" w:name="_Toc301781619"/>
            <w:bookmarkStart w:id="138" w:name="_Toc295404989"/>
            <w:bookmarkStart w:id="139" w:name="_Toc297193193"/>
            <w:bookmarkStart w:id="140" w:name="_Toc254970737"/>
            <w:bookmarkStart w:id="141" w:name="_Toc383699914"/>
            <w:bookmarkStart w:id="142" w:name="_Toc173211908"/>
            <w:bookmarkStart w:id="143" w:name="_Toc373333697"/>
            <w:bookmarkStart w:id="144" w:name="_Toc173066409"/>
            <w:r>
              <w:rPr>
                <w:rFonts w:hint="eastAsia" w:ascii="宋体" w:hAnsi="宋体" w:eastAsia="宋体" w:cs="宋体"/>
                <w:color w:val="auto"/>
                <w:kern w:val="2"/>
                <w:sz w:val="24"/>
                <w:szCs w:val="24"/>
                <w:highlight w:val="none"/>
              </w:rPr>
              <w:t>4</w:t>
            </w:r>
            <w:bookmarkEnd w:id="136"/>
            <w:bookmarkEnd w:id="137"/>
            <w:bookmarkEnd w:id="138"/>
            <w:bookmarkEnd w:id="139"/>
            <w:bookmarkEnd w:id="140"/>
            <w:bookmarkEnd w:id="141"/>
            <w:bookmarkEnd w:id="142"/>
            <w:bookmarkEnd w:id="143"/>
            <w:bookmarkEnd w:id="144"/>
          </w:p>
        </w:tc>
        <w:tc>
          <w:tcPr>
            <w:tcW w:w="503" w:type="pct"/>
            <w:tcBorders>
              <w:right w:val="single" w:color="auto" w:sz="4" w:space="0"/>
            </w:tcBorders>
            <w:vAlign w:val="center"/>
          </w:tcPr>
          <w:p w14:paraId="00A1A170">
            <w:pPr>
              <w:pStyle w:val="16"/>
              <w:spacing w:line="360" w:lineRule="auto"/>
              <w:ind w:firstLine="0" w:firstLineChars="0"/>
              <w:contextualSpacing/>
              <w:jc w:val="center"/>
              <w:rPr>
                <w:rFonts w:ascii="宋体" w:hAnsi="宋体" w:eastAsia="宋体" w:cs="宋体"/>
                <w:color w:val="auto"/>
                <w:kern w:val="2"/>
                <w:sz w:val="24"/>
                <w:szCs w:val="24"/>
                <w:highlight w:val="none"/>
              </w:rPr>
            </w:pPr>
          </w:p>
        </w:tc>
        <w:tc>
          <w:tcPr>
            <w:tcW w:w="1670" w:type="pct"/>
            <w:tcBorders>
              <w:left w:val="single" w:color="auto" w:sz="4" w:space="0"/>
            </w:tcBorders>
            <w:vAlign w:val="center"/>
          </w:tcPr>
          <w:p w14:paraId="1EB56A0D">
            <w:pPr>
              <w:pStyle w:val="16"/>
              <w:spacing w:line="360" w:lineRule="auto"/>
              <w:ind w:firstLine="0" w:firstLineChars="0"/>
              <w:contextualSpacing/>
              <w:jc w:val="center"/>
              <w:rPr>
                <w:rFonts w:ascii="宋体" w:hAnsi="宋体" w:eastAsia="宋体" w:cs="宋体"/>
                <w:color w:val="auto"/>
                <w:kern w:val="2"/>
                <w:sz w:val="24"/>
                <w:szCs w:val="24"/>
                <w:highlight w:val="none"/>
              </w:rPr>
            </w:pPr>
          </w:p>
        </w:tc>
        <w:tc>
          <w:tcPr>
            <w:tcW w:w="1503" w:type="pct"/>
            <w:vAlign w:val="center"/>
          </w:tcPr>
          <w:p w14:paraId="13ED0DA7">
            <w:pPr>
              <w:pStyle w:val="16"/>
              <w:spacing w:line="360" w:lineRule="auto"/>
              <w:ind w:firstLine="0" w:firstLineChars="0"/>
              <w:contextualSpacing/>
              <w:jc w:val="center"/>
              <w:rPr>
                <w:rFonts w:ascii="宋体" w:hAnsi="宋体" w:eastAsia="宋体" w:cs="宋体"/>
                <w:color w:val="auto"/>
                <w:kern w:val="2"/>
                <w:sz w:val="24"/>
                <w:szCs w:val="24"/>
                <w:highlight w:val="none"/>
              </w:rPr>
            </w:pPr>
          </w:p>
        </w:tc>
        <w:tc>
          <w:tcPr>
            <w:tcW w:w="820" w:type="pct"/>
            <w:vAlign w:val="center"/>
          </w:tcPr>
          <w:p w14:paraId="6A5B9223">
            <w:pPr>
              <w:pStyle w:val="16"/>
              <w:spacing w:line="360" w:lineRule="auto"/>
              <w:ind w:firstLine="0" w:firstLineChars="0"/>
              <w:contextualSpacing/>
              <w:jc w:val="center"/>
              <w:rPr>
                <w:rFonts w:ascii="宋体" w:hAnsi="宋体" w:eastAsia="宋体" w:cs="宋体"/>
                <w:color w:val="auto"/>
                <w:kern w:val="2"/>
                <w:sz w:val="24"/>
                <w:szCs w:val="24"/>
                <w:highlight w:val="none"/>
              </w:rPr>
            </w:pPr>
          </w:p>
        </w:tc>
      </w:tr>
      <w:tr w14:paraId="3E679ED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03" w:type="pct"/>
            <w:vAlign w:val="center"/>
          </w:tcPr>
          <w:p w14:paraId="6E1098FA">
            <w:pPr>
              <w:pStyle w:val="16"/>
              <w:spacing w:line="360" w:lineRule="auto"/>
              <w:ind w:firstLine="0" w:firstLineChars="0"/>
              <w:contextualSpacing/>
              <w:jc w:val="center"/>
              <w:rPr>
                <w:rFonts w:ascii="宋体" w:hAnsi="宋体" w:eastAsia="宋体" w:cs="宋体"/>
                <w:color w:val="auto"/>
                <w:kern w:val="2"/>
                <w:sz w:val="24"/>
                <w:szCs w:val="24"/>
                <w:highlight w:val="none"/>
              </w:rPr>
            </w:pPr>
            <w:bookmarkStart w:id="145" w:name="_Toc173211909"/>
            <w:bookmarkStart w:id="146" w:name="_Toc373333698"/>
            <w:bookmarkStart w:id="147" w:name="_Toc297193194"/>
            <w:bookmarkStart w:id="148" w:name="_Toc301781620"/>
            <w:bookmarkStart w:id="149" w:name="_Toc173066410"/>
            <w:bookmarkStart w:id="150" w:name="_Toc295404990"/>
            <w:bookmarkStart w:id="151" w:name="_Toc254970738"/>
            <w:bookmarkStart w:id="152" w:name="_Toc383699915"/>
            <w:bookmarkStart w:id="153" w:name="_Toc254970597"/>
            <w:r>
              <w:rPr>
                <w:rFonts w:hint="eastAsia" w:ascii="宋体" w:hAnsi="宋体" w:eastAsia="宋体" w:cs="宋体"/>
                <w:color w:val="auto"/>
                <w:kern w:val="2"/>
                <w:sz w:val="24"/>
                <w:szCs w:val="24"/>
                <w:highlight w:val="none"/>
              </w:rPr>
              <w:t>5</w:t>
            </w:r>
            <w:bookmarkEnd w:id="145"/>
            <w:bookmarkEnd w:id="146"/>
            <w:bookmarkEnd w:id="147"/>
            <w:bookmarkEnd w:id="148"/>
            <w:bookmarkEnd w:id="149"/>
            <w:bookmarkEnd w:id="150"/>
            <w:bookmarkEnd w:id="151"/>
            <w:bookmarkEnd w:id="152"/>
            <w:bookmarkEnd w:id="153"/>
          </w:p>
        </w:tc>
        <w:tc>
          <w:tcPr>
            <w:tcW w:w="503" w:type="pct"/>
            <w:tcBorders>
              <w:right w:val="single" w:color="auto" w:sz="4" w:space="0"/>
            </w:tcBorders>
            <w:vAlign w:val="center"/>
          </w:tcPr>
          <w:p w14:paraId="442DCF41">
            <w:pPr>
              <w:pStyle w:val="16"/>
              <w:spacing w:line="360" w:lineRule="auto"/>
              <w:ind w:firstLine="0" w:firstLineChars="0"/>
              <w:contextualSpacing/>
              <w:jc w:val="center"/>
              <w:rPr>
                <w:rFonts w:ascii="宋体" w:hAnsi="宋体" w:eastAsia="宋体" w:cs="宋体"/>
                <w:color w:val="auto"/>
                <w:kern w:val="2"/>
                <w:sz w:val="24"/>
                <w:szCs w:val="24"/>
                <w:highlight w:val="none"/>
              </w:rPr>
            </w:pPr>
          </w:p>
        </w:tc>
        <w:tc>
          <w:tcPr>
            <w:tcW w:w="1670" w:type="pct"/>
            <w:tcBorders>
              <w:left w:val="single" w:color="auto" w:sz="4" w:space="0"/>
            </w:tcBorders>
            <w:vAlign w:val="center"/>
          </w:tcPr>
          <w:p w14:paraId="5D65BB6F">
            <w:pPr>
              <w:pStyle w:val="16"/>
              <w:spacing w:line="360" w:lineRule="auto"/>
              <w:ind w:firstLine="0" w:firstLineChars="0"/>
              <w:contextualSpacing/>
              <w:jc w:val="center"/>
              <w:rPr>
                <w:rFonts w:ascii="宋体" w:hAnsi="宋体" w:eastAsia="宋体" w:cs="宋体"/>
                <w:color w:val="auto"/>
                <w:kern w:val="2"/>
                <w:sz w:val="24"/>
                <w:szCs w:val="24"/>
                <w:highlight w:val="none"/>
              </w:rPr>
            </w:pPr>
          </w:p>
        </w:tc>
        <w:tc>
          <w:tcPr>
            <w:tcW w:w="1503" w:type="pct"/>
            <w:vAlign w:val="center"/>
          </w:tcPr>
          <w:p w14:paraId="6093DD1C">
            <w:pPr>
              <w:pStyle w:val="16"/>
              <w:spacing w:line="360" w:lineRule="auto"/>
              <w:ind w:firstLine="0" w:firstLineChars="0"/>
              <w:contextualSpacing/>
              <w:jc w:val="center"/>
              <w:rPr>
                <w:rFonts w:ascii="宋体" w:hAnsi="宋体" w:eastAsia="宋体" w:cs="宋体"/>
                <w:color w:val="auto"/>
                <w:kern w:val="2"/>
                <w:sz w:val="24"/>
                <w:szCs w:val="24"/>
                <w:highlight w:val="none"/>
              </w:rPr>
            </w:pPr>
          </w:p>
        </w:tc>
        <w:tc>
          <w:tcPr>
            <w:tcW w:w="820" w:type="pct"/>
            <w:vAlign w:val="center"/>
          </w:tcPr>
          <w:p w14:paraId="0CF2E910">
            <w:pPr>
              <w:pStyle w:val="16"/>
              <w:spacing w:line="360" w:lineRule="auto"/>
              <w:ind w:firstLine="0" w:firstLineChars="0"/>
              <w:contextualSpacing/>
              <w:jc w:val="center"/>
              <w:rPr>
                <w:rFonts w:ascii="宋体" w:hAnsi="宋体" w:eastAsia="宋体" w:cs="宋体"/>
                <w:color w:val="auto"/>
                <w:kern w:val="2"/>
                <w:sz w:val="24"/>
                <w:szCs w:val="24"/>
                <w:highlight w:val="none"/>
              </w:rPr>
            </w:pPr>
          </w:p>
        </w:tc>
      </w:tr>
      <w:tr w14:paraId="155A923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503" w:type="pct"/>
            <w:vAlign w:val="center"/>
          </w:tcPr>
          <w:p w14:paraId="02AFE548">
            <w:pPr>
              <w:pStyle w:val="16"/>
              <w:spacing w:line="360" w:lineRule="auto"/>
              <w:ind w:firstLine="0" w:firstLineChars="0"/>
              <w:contextualSpacing/>
              <w:jc w:val="center"/>
              <w:rPr>
                <w:rFonts w:ascii="宋体" w:hAnsi="宋体" w:eastAsia="宋体" w:cs="宋体"/>
                <w:color w:val="auto"/>
                <w:kern w:val="2"/>
                <w:sz w:val="24"/>
                <w:szCs w:val="24"/>
                <w:highlight w:val="none"/>
              </w:rPr>
            </w:pPr>
            <w:bookmarkStart w:id="154" w:name="_Toc301781621"/>
            <w:bookmarkStart w:id="155" w:name="_Toc297193195"/>
            <w:bookmarkStart w:id="156" w:name="_Toc173066415"/>
            <w:bookmarkStart w:id="157" w:name="_Toc254970743"/>
            <w:bookmarkStart w:id="158" w:name="_Toc373333699"/>
            <w:bookmarkStart w:id="159" w:name="_Toc173211914"/>
            <w:bookmarkStart w:id="160" w:name="_Toc295404991"/>
            <w:bookmarkStart w:id="161" w:name="_Toc254970602"/>
            <w:bookmarkStart w:id="162" w:name="_Toc383699916"/>
            <w:r>
              <w:rPr>
                <w:rFonts w:hint="eastAsia" w:ascii="宋体" w:hAnsi="宋体" w:eastAsia="宋体" w:cs="宋体"/>
                <w:color w:val="auto"/>
                <w:kern w:val="2"/>
                <w:sz w:val="24"/>
                <w:szCs w:val="24"/>
                <w:highlight w:val="none"/>
              </w:rPr>
              <w:t>…</w:t>
            </w:r>
            <w:bookmarkEnd w:id="154"/>
            <w:bookmarkEnd w:id="155"/>
            <w:bookmarkEnd w:id="156"/>
            <w:bookmarkEnd w:id="157"/>
            <w:bookmarkEnd w:id="158"/>
            <w:bookmarkEnd w:id="159"/>
            <w:bookmarkEnd w:id="160"/>
            <w:bookmarkEnd w:id="161"/>
            <w:bookmarkEnd w:id="162"/>
          </w:p>
        </w:tc>
        <w:tc>
          <w:tcPr>
            <w:tcW w:w="503" w:type="pct"/>
            <w:tcBorders>
              <w:right w:val="single" w:color="auto" w:sz="4" w:space="0"/>
            </w:tcBorders>
            <w:vAlign w:val="center"/>
          </w:tcPr>
          <w:p w14:paraId="03701BAF">
            <w:pPr>
              <w:pStyle w:val="16"/>
              <w:spacing w:line="360" w:lineRule="auto"/>
              <w:ind w:firstLine="0" w:firstLineChars="0"/>
              <w:contextualSpacing/>
              <w:jc w:val="center"/>
              <w:rPr>
                <w:rFonts w:ascii="宋体" w:hAnsi="宋体" w:eastAsia="宋体" w:cs="宋体"/>
                <w:color w:val="auto"/>
                <w:kern w:val="2"/>
                <w:sz w:val="24"/>
                <w:szCs w:val="24"/>
                <w:highlight w:val="none"/>
              </w:rPr>
            </w:pPr>
          </w:p>
        </w:tc>
        <w:tc>
          <w:tcPr>
            <w:tcW w:w="1670" w:type="pct"/>
            <w:tcBorders>
              <w:left w:val="single" w:color="auto" w:sz="4" w:space="0"/>
            </w:tcBorders>
            <w:vAlign w:val="center"/>
          </w:tcPr>
          <w:p w14:paraId="5362AA7D">
            <w:pPr>
              <w:pStyle w:val="16"/>
              <w:spacing w:line="360" w:lineRule="auto"/>
              <w:ind w:firstLine="0" w:firstLineChars="0"/>
              <w:contextualSpacing/>
              <w:jc w:val="center"/>
              <w:rPr>
                <w:rFonts w:ascii="宋体" w:hAnsi="宋体" w:eastAsia="宋体" w:cs="宋体"/>
                <w:color w:val="auto"/>
                <w:kern w:val="2"/>
                <w:sz w:val="24"/>
                <w:szCs w:val="24"/>
                <w:highlight w:val="none"/>
              </w:rPr>
            </w:pPr>
          </w:p>
        </w:tc>
        <w:tc>
          <w:tcPr>
            <w:tcW w:w="1503" w:type="pct"/>
            <w:vAlign w:val="center"/>
          </w:tcPr>
          <w:p w14:paraId="4D5DEA09">
            <w:pPr>
              <w:pStyle w:val="16"/>
              <w:spacing w:line="360" w:lineRule="auto"/>
              <w:ind w:firstLine="0" w:firstLineChars="0"/>
              <w:contextualSpacing/>
              <w:jc w:val="center"/>
              <w:rPr>
                <w:rFonts w:ascii="宋体" w:hAnsi="宋体" w:eastAsia="宋体" w:cs="宋体"/>
                <w:color w:val="auto"/>
                <w:kern w:val="2"/>
                <w:sz w:val="24"/>
                <w:szCs w:val="24"/>
                <w:highlight w:val="none"/>
              </w:rPr>
            </w:pPr>
          </w:p>
        </w:tc>
        <w:tc>
          <w:tcPr>
            <w:tcW w:w="820" w:type="pct"/>
            <w:tcBorders>
              <w:right w:val="single" w:color="auto" w:sz="4" w:space="0"/>
            </w:tcBorders>
            <w:vAlign w:val="center"/>
          </w:tcPr>
          <w:p w14:paraId="78FB114B">
            <w:pPr>
              <w:pStyle w:val="16"/>
              <w:spacing w:line="360" w:lineRule="auto"/>
              <w:ind w:firstLine="0" w:firstLineChars="0"/>
              <w:contextualSpacing/>
              <w:jc w:val="center"/>
              <w:rPr>
                <w:rFonts w:ascii="宋体" w:hAnsi="宋体" w:eastAsia="宋体" w:cs="宋体"/>
                <w:color w:val="auto"/>
                <w:kern w:val="2"/>
                <w:sz w:val="24"/>
                <w:szCs w:val="24"/>
                <w:highlight w:val="none"/>
              </w:rPr>
            </w:pPr>
          </w:p>
        </w:tc>
      </w:tr>
    </w:tbl>
    <w:p w14:paraId="4E02B79C">
      <w:pPr>
        <w:adjustRightInd w:val="0"/>
        <w:spacing w:line="360" w:lineRule="auto"/>
        <w:contextualSpacing/>
        <w:rPr>
          <w:rFonts w:ascii="宋体" w:hAnsi="宋体" w:cs="宋体"/>
          <w:color w:val="auto"/>
          <w:sz w:val="24"/>
          <w:highlight w:val="none"/>
        </w:rPr>
      </w:pPr>
    </w:p>
    <w:p w14:paraId="4F91B009">
      <w:pPr>
        <w:pStyle w:val="16"/>
        <w:spacing w:line="360" w:lineRule="auto"/>
        <w:ind w:firstLine="0" w:firstLineChars="0"/>
        <w:contextualSpacing/>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p>
    <w:p w14:paraId="4BCD2468">
      <w:pPr>
        <w:pStyle w:val="16"/>
        <w:spacing w:line="360" w:lineRule="auto"/>
        <w:ind w:firstLine="0" w:firstLineChars="0"/>
        <w:contextualSpacing/>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 说明：应对照磋商文件“第三章 采购需求”中的技术要求逐条作出明确响应，并作出偏离说明。</w:t>
      </w:r>
    </w:p>
    <w:p w14:paraId="084BB582">
      <w:pPr>
        <w:pStyle w:val="16"/>
        <w:spacing w:line="360" w:lineRule="auto"/>
        <w:ind w:firstLine="0" w:firstLineChars="0"/>
        <w:contextualSpacing/>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2.供应商应根据自身的承诺，对照磋商文件要求，在“偏离说明”中注明“正偏离”、“负偏离”或者“无偏离”。既不属于“正偏离”也不属于“负偏离”即为“无偏离”。</w:t>
      </w:r>
    </w:p>
    <w:p w14:paraId="6689EA2F">
      <w:pPr>
        <w:spacing w:line="360" w:lineRule="auto"/>
        <w:ind w:right="-817" w:rightChars="-389"/>
        <w:contextualSpacing/>
        <w:rPr>
          <w:rFonts w:ascii="宋体" w:hAnsi="宋体" w:cs="宋体"/>
          <w:color w:val="auto"/>
          <w:sz w:val="24"/>
          <w:highlight w:val="none"/>
        </w:rPr>
      </w:pPr>
    </w:p>
    <w:p w14:paraId="72224180">
      <w:pPr>
        <w:spacing w:line="360" w:lineRule="auto"/>
        <w:ind w:right="-817" w:rightChars="-389" w:firstLine="960" w:firstLineChars="400"/>
        <w:contextualSpacing/>
        <w:rPr>
          <w:rFonts w:ascii="宋体" w:hAnsi="宋体" w:cs="宋体"/>
          <w:color w:val="auto"/>
          <w:sz w:val="24"/>
          <w:highlight w:val="none"/>
        </w:rPr>
      </w:pPr>
      <w:r>
        <w:rPr>
          <w:rFonts w:hint="eastAsia" w:ascii="宋体" w:hAnsi="宋体" w:cs="宋体"/>
          <w:color w:val="auto"/>
          <w:sz w:val="24"/>
          <w:highlight w:val="none"/>
        </w:rPr>
        <w:t xml:space="preserve">法定代表人或者委托代理人（签字）：                    </w:t>
      </w:r>
    </w:p>
    <w:p w14:paraId="2E26A652">
      <w:pPr>
        <w:spacing w:line="360" w:lineRule="auto"/>
        <w:ind w:right="-817" w:rightChars="-389" w:firstLine="2640" w:firstLineChars="1100"/>
        <w:contextualSpacing/>
        <w:rPr>
          <w:rFonts w:ascii="宋体" w:hAnsi="宋体" w:cs="宋体"/>
          <w:color w:val="auto"/>
          <w:sz w:val="24"/>
          <w:highlight w:val="none"/>
        </w:rPr>
      </w:pPr>
      <w:r>
        <w:rPr>
          <w:rFonts w:hint="eastAsia" w:ascii="宋体" w:hAnsi="宋体" w:cs="宋体"/>
          <w:color w:val="auto"/>
          <w:sz w:val="24"/>
          <w:highlight w:val="none"/>
        </w:rPr>
        <w:t xml:space="preserve">供应商（盖公章）：      </w:t>
      </w:r>
    </w:p>
    <w:p w14:paraId="3DFB168E">
      <w:pPr>
        <w:spacing w:line="360" w:lineRule="auto"/>
        <w:ind w:right="-817" w:rightChars="-389" w:firstLine="4080" w:firstLineChars="1700"/>
        <w:contextualSpacing/>
        <w:rPr>
          <w:rFonts w:ascii="宋体" w:hAnsi="宋体" w:cs="宋体"/>
          <w:color w:val="auto"/>
          <w:sz w:val="24"/>
          <w:highlight w:val="none"/>
        </w:rPr>
      </w:pPr>
      <w:r>
        <w:rPr>
          <w:rFonts w:hint="eastAsia" w:ascii="宋体" w:hAnsi="宋体" w:cs="宋体"/>
          <w:color w:val="auto"/>
          <w:sz w:val="24"/>
          <w:highlight w:val="none"/>
        </w:rPr>
        <w:t>日期：   年   月   日</w:t>
      </w:r>
    </w:p>
    <w:p w14:paraId="3A3E6F1D">
      <w:pPr>
        <w:jc w:val="center"/>
        <w:rPr>
          <w:rFonts w:ascii="宋体" w:hAnsi="宋体" w:cs="宋体"/>
          <w:b/>
          <w:color w:val="auto"/>
          <w:sz w:val="32"/>
          <w:szCs w:val="32"/>
          <w:highlight w:val="none"/>
        </w:rPr>
      </w:pPr>
      <w:r>
        <w:rPr>
          <w:rFonts w:hint="eastAsia" w:ascii="宋体" w:hAnsi="宋体" w:cs="宋体"/>
          <w:color w:val="auto"/>
          <w:sz w:val="24"/>
          <w:highlight w:val="none"/>
        </w:rPr>
        <w:br w:type="page"/>
      </w:r>
      <w:r>
        <w:rPr>
          <w:rFonts w:hint="eastAsia" w:ascii="宋体" w:hAnsi="宋体" w:cs="宋体"/>
          <w:bCs/>
          <w:color w:val="auto"/>
          <w:sz w:val="44"/>
          <w:szCs w:val="44"/>
          <w:highlight w:val="none"/>
        </w:rPr>
        <w:t>服务承诺函</w:t>
      </w:r>
    </w:p>
    <w:p w14:paraId="29B80DDC">
      <w:pPr>
        <w:spacing w:line="320" w:lineRule="exact"/>
        <w:jc w:val="center"/>
        <w:rPr>
          <w:rFonts w:ascii="宋体" w:hAnsi="宋体" w:cs="宋体"/>
          <w:color w:val="auto"/>
          <w:sz w:val="24"/>
          <w:szCs w:val="20"/>
          <w:highlight w:val="none"/>
        </w:rPr>
      </w:pPr>
    </w:p>
    <w:p w14:paraId="4BCAFFEB">
      <w:pPr>
        <w:spacing w:line="480" w:lineRule="auto"/>
        <w:contextualSpacing/>
        <w:rPr>
          <w:rFonts w:ascii="宋体" w:hAnsi="宋体" w:cs="宋体"/>
          <w:color w:val="auto"/>
          <w:sz w:val="24"/>
          <w:highlight w:val="none"/>
        </w:rPr>
      </w:pPr>
      <w:r>
        <w:rPr>
          <w:rFonts w:hint="eastAsia" w:ascii="宋体" w:hAnsi="宋体" w:cs="宋体"/>
          <w:color w:val="auto"/>
          <w:sz w:val="24"/>
          <w:highlight w:val="none"/>
        </w:rPr>
        <w:t>致：</w:t>
      </w:r>
      <w:r>
        <w:rPr>
          <w:rFonts w:hint="eastAsia" w:ascii="宋体" w:hAnsi="宋体" w:cs="宋体"/>
          <w:color w:val="auto"/>
          <w:sz w:val="24"/>
          <w:highlight w:val="none"/>
          <w:u w:val="single"/>
        </w:rPr>
        <w:t>（采购人名称）</w:t>
      </w:r>
      <w:r>
        <w:rPr>
          <w:rFonts w:hint="eastAsia" w:ascii="宋体" w:hAnsi="宋体" w:cs="宋体"/>
          <w:color w:val="auto"/>
          <w:sz w:val="24"/>
          <w:highlight w:val="none"/>
        </w:rPr>
        <w:t>：</w:t>
      </w:r>
    </w:p>
    <w:p w14:paraId="67C1DD53">
      <w:pPr>
        <w:spacing w:line="48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我方参加贵方组织的</w:t>
      </w:r>
      <w:r>
        <w:rPr>
          <w:rFonts w:hint="eastAsia" w:ascii="宋体" w:hAnsi="宋体" w:cs="宋体"/>
          <w:color w:val="auto"/>
          <w:sz w:val="24"/>
          <w:highlight w:val="none"/>
          <w:u w:val="single"/>
        </w:rPr>
        <w:t>（项目名称）</w:t>
      </w:r>
      <w:r>
        <w:rPr>
          <w:rFonts w:hint="eastAsia" w:ascii="宋体" w:hAnsi="宋体" w:cs="宋体"/>
          <w:color w:val="auto"/>
          <w:sz w:val="24"/>
          <w:highlight w:val="none"/>
        </w:rPr>
        <w:t>项目的竞标，现就竞标有关承诺如下：</w:t>
      </w:r>
    </w:p>
    <w:p w14:paraId="5262B5EF">
      <w:pPr>
        <w:spacing w:line="48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1、本项目拟投入人员专职为本项目服务，在本项目首次响应文件提交截止时间后没有在其他项目合同期内担任任何职务。</w:t>
      </w:r>
    </w:p>
    <w:p w14:paraId="77261E26">
      <w:pPr>
        <w:spacing w:line="480" w:lineRule="auto"/>
        <w:ind w:firstLine="480" w:firstLineChars="200"/>
        <w:contextualSpacing/>
        <w:rPr>
          <w:rFonts w:ascii="宋体" w:hAnsi="宋体" w:cs="宋体"/>
          <w:color w:val="auto"/>
          <w:sz w:val="24"/>
          <w:highlight w:val="none"/>
        </w:rPr>
      </w:pPr>
      <w:r>
        <w:rPr>
          <w:rFonts w:ascii="宋体" w:hAnsi="宋体" w:cs="宋体"/>
          <w:color w:val="auto"/>
          <w:sz w:val="24"/>
          <w:highlight w:val="none"/>
        </w:rPr>
        <w:t>2、</w:t>
      </w:r>
      <w:r>
        <w:rPr>
          <w:rFonts w:hint="eastAsia" w:cs="宋体"/>
          <w:color w:val="auto"/>
          <w:sz w:val="24"/>
          <w:highlight w:val="none"/>
        </w:rPr>
        <w:t>拟投入的无人机专职为本项目服务，在本项目首次响应文件提交截止时间后没有在其他项目合同期内执行飞行测量任务。</w:t>
      </w:r>
    </w:p>
    <w:p w14:paraId="342EE8F9">
      <w:pPr>
        <w:pStyle w:val="17"/>
        <w:tabs>
          <w:tab w:val="left" w:pos="939"/>
        </w:tabs>
        <w:spacing w:line="480" w:lineRule="auto"/>
        <w:ind w:left="0" w:leftChars="0" w:firstLine="480" w:firstLineChars="200"/>
        <w:rPr>
          <w:rFonts w:ascii="宋体" w:hAnsi="宋体" w:cs="宋体"/>
          <w:color w:val="auto"/>
          <w:sz w:val="24"/>
          <w:highlight w:val="none"/>
        </w:rPr>
      </w:pPr>
      <w:r>
        <w:rPr>
          <w:rFonts w:hint="eastAsia" w:ascii="宋体" w:hAnsi="宋体" w:cs="宋体"/>
          <w:color w:val="auto"/>
          <w:sz w:val="24"/>
          <w:highlight w:val="none"/>
        </w:rPr>
        <w:t>以上承诺如有虚假，我方愿意承担一切后果，并不再寻求任何旨在减轻或者免除法律责任的辩解。</w:t>
      </w:r>
    </w:p>
    <w:p w14:paraId="67E663E1">
      <w:pPr>
        <w:pStyle w:val="17"/>
        <w:tabs>
          <w:tab w:val="left" w:pos="939"/>
        </w:tabs>
        <w:spacing w:line="480" w:lineRule="auto"/>
        <w:ind w:left="141" w:leftChars="67" w:firstLine="360" w:firstLineChars="150"/>
        <w:rPr>
          <w:rFonts w:ascii="宋体" w:hAnsi="宋体" w:cs="宋体"/>
          <w:color w:val="auto"/>
          <w:sz w:val="24"/>
          <w:highlight w:val="none"/>
        </w:rPr>
      </w:pPr>
      <w:r>
        <w:rPr>
          <w:rFonts w:hint="eastAsia" w:ascii="宋体" w:hAnsi="宋体" w:cs="宋体"/>
          <w:color w:val="auto"/>
          <w:sz w:val="24"/>
          <w:highlight w:val="none"/>
        </w:rPr>
        <w:t>特此承诺。</w:t>
      </w:r>
    </w:p>
    <w:p w14:paraId="6E210678">
      <w:pPr>
        <w:rPr>
          <w:rFonts w:ascii="宋体" w:hAnsi="宋体" w:cs="宋体"/>
          <w:color w:val="auto"/>
          <w:sz w:val="24"/>
          <w:highlight w:val="none"/>
        </w:rPr>
      </w:pPr>
    </w:p>
    <w:p w14:paraId="254E6F07">
      <w:pPr>
        <w:spacing w:line="360" w:lineRule="auto"/>
        <w:ind w:firstLine="4320" w:firstLineChars="1800"/>
        <w:contextualSpacing/>
        <w:rPr>
          <w:rFonts w:ascii="宋体" w:hAnsi="宋体" w:cs="宋体"/>
          <w:color w:val="auto"/>
          <w:sz w:val="24"/>
          <w:highlight w:val="none"/>
        </w:rPr>
      </w:pPr>
      <w:r>
        <w:rPr>
          <w:rFonts w:hint="eastAsia" w:ascii="宋体" w:hAnsi="宋体" w:cs="宋体"/>
          <w:color w:val="auto"/>
          <w:sz w:val="24"/>
          <w:highlight w:val="none"/>
        </w:rPr>
        <w:t>法定代表人或者委托代理人（签字）：</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14:paraId="3FD9602F">
      <w:pPr>
        <w:spacing w:line="360" w:lineRule="auto"/>
        <w:ind w:firstLine="4320" w:firstLineChars="1800"/>
        <w:contextualSpacing/>
        <w:rPr>
          <w:rFonts w:ascii="宋体" w:hAnsi="宋体" w:cs="宋体"/>
          <w:color w:val="auto"/>
          <w:sz w:val="24"/>
          <w:highlight w:val="none"/>
          <w:u w:val="single"/>
        </w:rPr>
      </w:pPr>
      <w:r>
        <w:rPr>
          <w:rFonts w:hint="eastAsia" w:ascii="宋体" w:hAnsi="宋体" w:cs="宋体"/>
          <w:color w:val="auto"/>
          <w:sz w:val="24"/>
          <w:highlight w:val="none"/>
        </w:rPr>
        <w:t>供应商（盖公章）：</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14:paraId="6519613D">
      <w:pPr>
        <w:spacing w:line="360" w:lineRule="auto"/>
        <w:ind w:right="480" w:firstLine="240" w:firstLineChars="100"/>
        <w:contextualSpacing/>
        <w:jc w:val="center"/>
        <w:rPr>
          <w:rFonts w:ascii="宋体" w:hAnsi="宋体" w:cs="宋体"/>
          <w:color w:val="auto"/>
          <w:sz w:val="24"/>
          <w:highlight w:val="none"/>
        </w:rPr>
      </w:pPr>
      <w:r>
        <w:rPr>
          <w:rFonts w:hint="eastAsia" w:ascii="宋体" w:hAnsi="宋体" w:cs="宋体"/>
          <w:color w:val="auto"/>
          <w:sz w:val="24"/>
          <w:highlight w:val="none"/>
        </w:rPr>
        <w:t xml:space="preserve">                                                   年    月    日</w:t>
      </w:r>
    </w:p>
    <w:p w14:paraId="742D07A4">
      <w:pPr>
        <w:rPr>
          <w:rFonts w:ascii="宋体" w:hAnsi="宋体" w:cs="宋体"/>
          <w:b/>
          <w:color w:val="auto"/>
          <w:sz w:val="24"/>
          <w:highlight w:val="none"/>
        </w:rPr>
      </w:pPr>
    </w:p>
    <w:p w14:paraId="05049F6D">
      <w:pPr>
        <w:rPr>
          <w:rFonts w:ascii="宋体" w:hAnsi="宋体" w:cs="宋体"/>
          <w:b/>
          <w:color w:val="auto"/>
          <w:sz w:val="24"/>
          <w:highlight w:val="none"/>
        </w:rPr>
      </w:pPr>
      <w:r>
        <w:rPr>
          <w:rFonts w:hint="eastAsia" w:ascii="宋体" w:hAnsi="宋体" w:cs="宋体"/>
          <w:b/>
          <w:color w:val="auto"/>
          <w:sz w:val="24"/>
          <w:highlight w:val="none"/>
        </w:rPr>
        <w:br w:type="page"/>
      </w:r>
    </w:p>
    <w:p w14:paraId="03B9E5CB">
      <w:pPr>
        <w:snapToGrid w:val="0"/>
        <w:spacing w:before="156" w:beforeLines="50" w:after="50"/>
        <w:ind w:left="142"/>
        <w:jc w:val="left"/>
        <w:rPr>
          <w:rFonts w:ascii="宋体" w:hAnsi="宋体" w:cs="宋体"/>
          <w:b/>
          <w:color w:val="auto"/>
          <w:sz w:val="24"/>
          <w:highlight w:val="none"/>
        </w:rPr>
      </w:pPr>
      <w:r>
        <w:rPr>
          <w:rFonts w:hint="eastAsia" w:ascii="宋体" w:hAnsi="宋体" w:cs="宋体"/>
          <w:b/>
          <w:color w:val="auto"/>
          <w:sz w:val="24"/>
          <w:highlight w:val="none"/>
        </w:rPr>
        <w:t>项目实施人员一览表格式</w:t>
      </w:r>
    </w:p>
    <w:p w14:paraId="516FE520">
      <w:pPr>
        <w:snapToGrid w:val="0"/>
        <w:spacing w:before="156" w:beforeLines="50" w:after="50"/>
        <w:ind w:left="142"/>
        <w:jc w:val="left"/>
        <w:rPr>
          <w:rFonts w:ascii="宋体" w:hAnsi="宋体" w:cs="宋体"/>
          <w:b/>
          <w:color w:val="auto"/>
          <w:sz w:val="24"/>
          <w:highlight w:val="none"/>
        </w:rPr>
      </w:pPr>
    </w:p>
    <w:p w14:paraId="3DD362B2">
      <w:pPr>
        <w:spacing w:line="360" w:lineRule="auto"/>
        <w:ind w:left="142"/>
        <w:contextualSpacing/>
        <w:jc w:val="center"/>
        <w:rPr>
          <w:rFonts w:ascii="宋体" w:hAnsi="宋体" w:cs="宋体"/>
          <w:b/>
          <w:color w:val="auto"/>
          <w:sz w:val="32"/>
          <w:szCs w:val="32"/>
          <w:highlight w:val="none"/>
        </w:rPr>
      </w:pPr>
      <w:r>
        <w:rPr>
          <w:rFonts w:hint="eastAsia" w:ascii="宋体" w:hAnsi="宋体" w:cs="宋体"/>
          <w:b/>
          <w:color w:val="auto"/>
          <w:sz w:val="32"/>
          <w:szCs w:val="32"/>
          <w:highlight w:val="none"/>
        </w:rPr>
        <w:t>项目实施人员一览表</w:t>
      </w:r>
    </w:p>
    <w:p w14:paraId="2B229B9A">
      <w:pPr>
        <w:pStyle w:val="19"/>
        <w:spacing w:line="360" w:lineRule="auto"/>
        <w:contextualSpacing/>
        <w:rPr>
          <w:rFonts w:hAnsi="宋体" w:cs="宋体"/>
          <w:color w:val="auto"/>
          <w:sz w:val="24"/>
          <w:szCs w:val="24"/>
          <w:highlight w:val="none"/>
        </w:rPr>
      </w:pPr>
      <w:r>
        <w:rPr>
          <w:rFonts w:hint="eastAsia" w:hAnsi="宋体" w:cs="宋体"/>
          <w:color w:val="auto"/>
          <w:sz w:val="24"/>
          <w:szCs w:val="24"/>
          <w:highlight w:val="none"/>
        </w:rPr>
        <w:t>所竞分标：</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分标</w:t>
      </w:r>
    </w:p>
    <w:tbl>
      <w:tblPr>
        <w:tblStyle w:val="33"/>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2905"/>
        <w:gridCol w:w="1309"/>
        <w:gridCol w:w="1956"/>
        <w:gridCol w:w="1935"/>
      </w:tblGrid>
      <w:tr w14:paraId="6FADF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44A74A60">
            <w:pPr>
              <w:spacing w:line="360" w:lineRule="auto"/>
              <w:contextualSpacing/>
              <w:jc w:val="center"/>
              <w:rPr>
                <w:rFonts w:ascii="宋体" w:hAnsi="宋体" w:cs="宋体"/>
                <w:color w:val="auto"/>
                <w:sz w:val="24"/>
                <w:szCs w:val="20"/>
                <w:highlight w:val="none"/>
              </w:rPr>
            </w:pPr>
            <w:r>
              <w:rPr>
                <w:rFonts w:hint="eastAsia" w:ascii="宋体" w:hAnsi="宋体" w:cs="宋体"/>
                <w:color w:val="auto"/>
                <w:sz w:val="24"/>
                <w:szCs w:val="20"/>
                <w:highlight w:val="none"/>
              </w:rPr>
              <w:t>姓名</w:t>
            </w:r>
          </w:p>
        </w:tc>
        <w:tc>
          <w:tcPr>
            <w:tcW w:w="709" w:type="dxa"/>
            <w:vAlign w:val="center"/>
          </w:tcPr>
          <w:p w14:paraId="253BF84B">
            <w:pPr>
              <w:spacing w:line="360" w:lineRule="auto"/>
              <w:contextualSpacing/>
              <w:jc w:val="center"/>
              <w:rPr>
                <w:rFonts w:ascii="宋体" w:hAnsi="宋体" w:cs="宋体"/>
                <w:color w:val="auto"/>
                <w:sz w:val="24"/>
                <w:szCs w:val="20"/>
                <w:highlight w:val="none"/>
              </w:rPr>
            </w:pPr>
            <w:r>
              <w:rPr>
                <w:rFonts w:hint="eastAsia" w:ascii="宋体" w:hAnsi="宋体" w:cs="宋体"/>
                <w:color w:val="auto"/>
                <w:sz w:val="24"/>
                <w:szCs w:val="20"/>
                <w:highlight w:val="none"/>
              </w:rPr>
              <w:t>职务</w:t>
            </w:r>
          </w:p>
        </w:tc>
        <w:tc>
          <w:tcPr>
            <w:tcW w:w="2905" w:type="dxa"/>
            <w:vAlign w:val="center"/>
          </w:tcPr>
          <w:p w14:paraId="7AC47039">
            <w:pPr>
              <w:spacing w:line="360" w:lineRule="auto"/>
              <w:contextualSpacing/>
              <w:jc w:val="center"/>
              <w:rPr>
                <w:rFonts w:ascii="宋体" w:hAnsi="宋体" w:cs="宋体"/>
                <w:color w:val="auto"/>
                <w:sz w:val="24"/>
                <w:szCs w:val="20"/>
                <w:highlight w:val="none"/>
              </w:rPr>
            </w:pPr>
            <w:r>
              <w:rPr>
                <w:rFonts w:hint="eastAsia" w:ascii="宋体" w:hAnsi="宋体" w:cs="宋体"/>
                <w:color w:val="auto"/>
                <w:sz w:val="24"/>
                <w:szCs w:val="20"/>
                <w:highlight w:val="none"/>
              </w:rPr>
              <w:t>专业技术资格（职称）或者职业资格或者执业资格证或者其他证书</w:t>
            </w:r>
          </w:p>
        </w:tc>
        <w:tc>
          <w:tcPr>
            <w:tcW w:w="1309" w:type="dxa"/>
            <w:vAlign w:val="center"/>
          </w:tcPr>
          <w:p w14:paraId="4C235655">
            <w:pPr>
              <w:spacing w:line="360" w:lineRule="auto"/>
              <w:contextualSpacing/>
              <w:jc w:val="center"/>
              <w:rPr>
                <w:rFonts w:ascii="宋体" w:hAnsi="宋体" w:cs="宋体"/>
                <w:color w:val="auto"/>
                <w:sz w:val="24"/>
                <w:szCs w:val="20"/>
                <w:highlight w:val="none"/>
              </w:rPr>
            </w:pPr>
            <w:r>
              <w:rPr>
                <w:rFonts w:hint="eastAsia" w:ascii="宋体" w:hAnsi="宋体" w:cs="宋体"/>
                <w:color w:val="auto"/>
                <w:sz w:val="24"/>
                <w:szCs w:val="20"/>
                <w:highlight w:val="none"/>
              </w:rPr>
              <w:t>证书编号</w:t>
            </w:r>
          </w:p>
        </w:tc>
        <w:tc>
          <w:tcPr>
            <w:tcW w:w="1956" w:type="dxa"/>
            <w:vAlign w:val="center"/>
          </w:tcPr>
          <w:p w14:paraId="3E127299">
            <w:pPr>
              <w:spacing w:line="360" w:lineRule="auto"/>
              <w:contextualSpacing/>
              <w:jc w:val="center"/>
              <w:rPr>
                <w:rFonts w:ascii="宋体" w:hAnsi="宋体" w:cs="宋体"/>
                <w:color w:val="auto"/>
                <w:sz w:val="24"/>
                <w:szCs w:val="20"/>
                <w:highlight w:val="none"/>
              </w:rPr>
            </w:pPr>
            <w:r>
              <w:rPr>
                <w:rFonts w:hint="eastAsia" w:ascii="宋体" w:hAnsi="宋体" w:cs="宋体"/>
                <w:color w:val="auto"/>
                <w:sz w:val="24"/>
                <w:szCs w:val="20"/>
                <w:highlight w:val="none"/>
              </w:rPr>
              <w:t>参加本单位</w:t>
            </w:r>
          </w:p>
          <w:p w14:paraId="505459E2">
            <w:pPr>
              <w:spacing w:line="360" w:lineRule="auto"/>
              <w:contextualSpacing/>
              <w:jc w:val="center"/>
              <w:rPr>
                <w:rFonts w:ascii="宋体" w:hAnsi="宋体" w:cs="宋体"/>
                <w:color w:val="auto"/>
                <w:sz w:val="24"/>
                <w:szCs w:val="20"/>
                <w:highlight w:val="none"/>
              </w:rPr>
            </w:pPr>
            <w:r>
              <w:rPr>
                <w:rFonts w:hint="eastAsia" w:ascii="宋体" w:hAnsi="宋体" w:cs="宋体"/>
                <w:color w:val="auto"/>
                <w:sz w:val="24"/>
                <w:szCs w:val="20"/>
                <w:highlight w:val="none"/>
              </w:rPr>
              <w:t>工作时间</w:t>
            </w:r>
          </w:p>
        </w:tc>
        <w:tc>
          <w:tcPr>
            <w:tcW w:w="1935" w:type="dxa"/>
            <w:vAlign w:val="center"/>
          </w:tcPr>
          <w:p w14:paraId="2373F2CD">
            <w:pPr>
              <w:spacing w:line="360" w:lineRule="auto"/>
              <w:contextualSpacing/>
              <w:jc w:val="center"/>
              <w:rPr>
                <w:rFonts w:ascii="宋体" w:hAnsi="宋体" w:cs="宋体"/>
                <w:color w:val="auto"/>
                <w:sz w:val="24"/>
                <w:szCs w:val="20"/>
                <w:highlight w:val="none"/>
              </w:rPr>
            </w:pPr>
            <w:r>
              <w:rPr>
                <w:rFonts w:hint="eastAsia" w:ascii="宋体" w:hAnsi="宋体" w:cs="宋体"/>
                <w:color w:val="auto"/>
                <w:sz w:val="24"/>
                <w:szCs w:val="20"/>
                <w:highlight w:val="none"/>
              </w:rPr>
              <w:t>劳动合同编号</w:t>
            </w:r>
          </w:p>
        </w:tc>
      </w:tr>
      <w:tr w14:paraId="501FD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612EAF3D">
            <w:pPr>
              <w:spacing w:line="360" w:lineRule="auto"/>
              <w:contextualSpacing/>
              <w:jc w:val="center"/>
              <w:rPr>
                <w:rFonts w:ascii="宋体" w:hAnsi="宋体" w:cs="宋体"/>
                <w:color w:val="auto"/>
                <w:sz w:val="24"/>
                <w:szCs w:val="20"/>
                <w:highlight w:val="none"/>
              </w:rPr>
            </w:pPr>
          </w:p>
        </w:tc>
        <w:tc>
          <w:tcPr>
            <w:tcW w:w="709" w:type="dxa"/>
            <w:vAlign w:val="center"/>
          </w:tcPr>
          <w:p w14:paraId="2B7F91EE">
            <w:pPr>
              <w:spacing w:line="360" w:lineRule="auto"/>
              <w:contextualSpacing/>
              <w:jc w:val="center"/>
              <w:rPr>
                <w:rFonts w:ascii="宋体" w:hAnsi="宋体" w:cs="宋体"/>
                <w:color w:val="auto"/>
                <w:sz w:val="24"/>
                <w:szCs w:val="20"/>
                <w:highlight w:val="none"/>
              </w:rPr>
            </w:pPr>
          </w:p>
        </w:tc>
        <w:tc>
          <w:tcPr>
            <w:tcW w:w="2905" w:type="dxa"/>
            <w:vAlign w:val="center"/>
          </w:tcPr>
          <w:p w14:paraId="182F7474">
            <w:pPr>
              <w:spacing w:line="360" w:lineRule="auto"/>
              <w:contextualSpacing/>
              <w:jc w:val="center"/>
              <w:rPr>
                <w:rFonts w:ascii="宋体" w:hAnsi="宋体" w:cs="宋体"/>
                <w:color w:val="auto"/>
                <w:sz w:val="24"/>
                <w:szCs w:val="20"/>
                <w:highlight w:val="none"/>
              </w:rPr>
            </w:pPr>
          </w:p>
        </w:tc>
        <w:tc>
          <w:tcPr>
            <w:tcW w:w="1309" w:type="dxa"/>
            <w:vAlign w:val="center"/>
          </w:tcPr>
          <w:p w14:paraId="141C93CD">
            <w:pPr>
              <w:spacing w:line="360" w:lineRule="auto"/>
              <w:contextualSpacing/>
              <w:jc w:val="center"/>
              <w:rPr>
                <w:rFonts w:ascii="宋体" w:hAnsi="宋体" w:cs="宋体"/>
                <w:color w:val="auto"/>
                <w:sz w:val="24"/>
                <w:szCs w:val="20"/>
                <w:highlight w:val="none"/>
              </w:rPr>
            </w:pPr>
          </w:p>
        </w:tc>
        <w:tc>
          <w:tcPr>
            <w:tcW w:w="1956" w:type="dxa"/>
            <w:vAlign w:val="center"/>
          </w:tcPr>
          <w:p w14:paraId="6C50CF70">
            <w:pPr>
              <w:spacing w:line="360" w:lineRule="auto"/>
              <w:contextualSpacing/>
              <w:jc w:val="center"/>
              <w:rPr>
                <w:rFonts w:ascii="宋体" w:hAnsi="宋体" w:cs="宋体"/>
                <w:color w:val="auto"/>
                <w:sz w:val="24"/>
                <w:szCs w:val="20"/>
                <w:highlight w:val="none"/>
              </w:rPr>
            </w:pPr>
          </w:p>
        </w:tc>
        <w:tc>
          <w:tcPr>
            <w:tcW w:w="1935" w:type="dxa"/>
            <w:vAlign w:val="center"/>
          </w:tcPr>
          <w:p w14:paraId="6A9AE2DA">
            <w:pPr>
              <w:spacing w:line="360" w:lineRule="auto"/>
              <w:contextualSpacing/>
              <w:jc w:val="center"/>
              <w:rPr>
                <w:rFonts w:ascii="宋体" w:hAnsi="宋体" w:cs="宋体"/>
                <w:color w:val="auto"/>
                <w:sz w:val="24"/>
                <w:szCs w:val="20"/>
                <w:highlight w:val="none"/>
              </w:rPr>
            </w:pPr>
          </w:p>
        </w:tc>
      </w:tr>
      <w:tr w14:paraId="66988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07959438">
            <w:pPr>
              <w:spacing w:line="360" w:lineRule="auto"/>
              <w:contextualSpacing/>
              <w:jc w:val="center"/>
              <w:rPr>
                <w:rFonts w:ascii="宋体" w:hAnsi="宋体" w:cs="宋体"/>
                <w:color w:val="auto"/>
                <w:sz w:val="24"/>
                <w:szCs w:val="20"/>
                <w:highlight w:val="none"/>
              </w:rPr>
            </w:pPr>
          </w:p>
        </w:tc>
        <w:tc>
          <w:tcPr>
            <w:tcW w:w="709" w:type="dxa"/>
            <w:vAlign w:val="center"/>
          </w:tcPr>
          <w:p w14:paraId="1391E816">
            <w:pPr>
              <w:spacing w:line="360" w:lineRule="auto"/>
              <w:contextualSpacing/>
              <w:jc w:val="center"/>
              <w:rPr>
                <w:rFonts w:ascii="宋体" w:hAnsi="宋体" w:cs="宋体"/>
                <w:color w:val="auto"/>
                <w:sz w:val="24"/>
                <w:szCs w:val="20"/>
                <w:highlight w:val="none"/>
              </w:rPr>
            </w:pPr>
          </w:p>
        </w:tc>
        <w:tc>
          <w:tcPr>
            <w:tcW w:w="2905" w:type="dxa"/>
            <w:vAlign w:val="center"/>
          </w:tcPr>
          <w:p w14:paraId="66BFDAE4">
            <w:pPr>
              <w:spacing w:line="360" w:lineRule="auto"/>
              <w:contextualSpacing/>
              <w:jc w:val="center"/>
              <w:rPr>
                <w:rFonts w:ascii="宋体" w:hAnsi="宋体" w:cs="宋体"/>
                <w:color w:val="auto"/>
                <w:sz w:val="24"/>
                <w:szCs w:val="20"/>
                <w:highlight w:val="none"/>
              </w:rPr>
            </w:pPr>
          </w:p>
        </w:tc>
        <w:tc>
          <w:tcPr>
            <w:tcW w:w="1309" w:type="dxa"/>
            <w:vAlign w:val="center"/>
          </w:tcPr>
          <w:p w14:paraId="74DC5B6C">
            <w:pPr>
              <w:spacing w:line="360" w:lineRule="auto"/>
              <w:contextualSpacing/>
              <w:jc w:val="center"/>
              <w:rPr>
                <w:rFonts w:ascii="宋体" w:hAnsi="宋体" w:cs="宋体"/>
                <w:color w:val="auto"/>
                <w:sz w:val="24"/>
                <w:szCs w:val="20"/>
                <w:highlight w:val="none"/>
              </w:rPr>
            </w:pPr>
          </w:p>
        </w:tc>
        <w:tc>
          <w:tcPr>
            <w:tcW w:w="1956" w:type="dxa"/>
            <w:vAlign w:val="center"/>
          </w:tcPr>
          <w:p w14:paraId="16FA57FA">
            <w:pPr>
              <w:spacing w:line="360" w:lineRule="auto"/>
              <w:contextualSpacing/>
              <w:jc w:val="center"/>
              <w:rPr>
                <w:rFonts w:ascii="宋体" w:hAnsi="宋体" w:cs="宋体"/>
                <w:color w:val="auto"/>
                <w:sz w:val="24"/>
                <w:szCs w:val="20"/>
                <w:highlight w:val="none"/>
              </w:rPr>
            </w:pPr>
          </w:p>
        </w:tc>
        <w:tc>
          <w:tcPr>
            <w:tcW w:w="1935" w:type="dxa"/>
            <w:vAlign w:val="center"/>
          </w:tcPr>
          <w:p w14:paraId="62F79213">
            <w:pPr>
              <w:spacing w:line="360" w:lineRule="auto"/>
              <w:contextualSpacing/>
              <w:jc w:val="center"/>
              <w:rPr>
                <w:rFonts w:ascii="宋体" w:hAnsi="宋体" w:cs="宋体"/>
                <w:color w:val="auto"/>
                <w:sz w:val="24"/>
                <w:szCs w:val="20"/>
                <w:highlight w:val="none"/>
              </w:rPr>
            </w:pPr>
          </w:p>
        </w:tc>
      </w:tr>
      <w:tr w14:paraId="5B91C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65FA1A86">
            <w:pPr>
              <w:spacing w:line="360" w:lineRule="auto"/>
              <w:contextualSpacing/>
              <w:jc w:val="center"/>
              <w:rPr>
                <w:rFonts w:ascii="宋体" w:hAnsi="宋体" w:cs="宋体"/>
                <w:color w:val="auto"/>
                <w:sz w:val="24"/>
                <w:szCs w:val="20"/>
                <w:highlight w:val="none"/>
              </w:rPr>
            </w:pPr>
          </w:p>
        </w:tc>
        <w:tc>
          <w:tcPr>
            <w:tcW w:w="709" w:type="dxa"/>
            <w:vAlign w:val="center"/>
          </w:tcPr>
          <w:p w14:paraId="586BA452">
            <w:pPr>
              <w:spacing w:line="360" w:lineRule="auto"/>
              <w:contextualSpacing/>
              <w:jc w:val="center"/>
              <w:rPr>
                <w:rFonts w:ascii="宋体" w:hAnsi="宋体" w:cs="宋体"/>
                <w:color w:val="auto"/>
                <w:sz w:val="24"/>
                <w:szCs w:val="20"/>
                <w:highlight w:val="none"/>
              </w:rPr>
            </w:pPr>
          </w:p>
        </w:tc>
        <w:tc>
          <w:tcPr>
            <w:tcW w:w="2905" w:type="dxa"/>
            <w:vAlign w:val="center"/>
          </w:tcPr>
          <w:p w14:paraId="00FA03B9">
            <w:pPr>
              <w:spacing w:line="360" w:lineRule="auto"/>
              <w:contextualSpacing/>
              <w:jc w:val="center"/>
              <w:rPr>
                <w:rFonts w:ascii="宋体" w:hAnsi="宋体" w:cs="宋体"/>
                <w:color w:val="auto"/>
                <w:sz w:val="24"/>
                <w:szCs w:val="20"/>
                <w:highlight w:val="none"/>
              </w:rPr>
            </w:pPr>
          </w:p>
        </w:tc>
        <w:tc>
          <w:tcPr>
            <w:tcW w:w="1309" w:type="dxa"/>
            <w:vAlign w:val="center"/>
          </w:tcPr>
          <w:p w14:paraId="49D21FD3">
            <w:pPr>
              <w:spacing w:line="360" w:lineRule="auto"/>
              <w:contextualSpacing/>
              <w:jc w:val="center"/>
              <w:rPr>
                <w:rFonts w:ascii="宋体" w:hAnsi="宋体" w:cs="宋体"/>
                <w:color w:val="auto"/>
                <w:sz w:val="24"/>
                <w:szCs w:val="20"/>
                <w:highlight w:val="none"/>
              </w:rPr>
            </w:pPr>
          </w:p>
        </w:tc>
        <w:tc>
          <w:tcPr>
            <w:tcW w:w="1956" w:type="dxa"/>
            <w:vAlign w:val="center"/>
          </w:tcPr>
          <w:p w14:paraId="2DFE058F">
            <w:pPr>
              <w:spacing w:line="360" w:lineRule="auto"/>
              <w:contextualSpacing/>
              <w:jc w:val="center"/>
              <w:rPr>
                <w:rFonts w:ascii="宋体" w:hAnsi="宋体" w:cs="宋体"/>
                <w:color w:val="auto"/>
                <w:sz w:val="24"/>
                <w:szCs w:val="20"/>
                <w:highlight w:val="none"/>
              </w:rPr>
            </w:pPr>
          </w:p>
        </w:tc>
        <w:tc>
          <w:tcPr>
            <w:tcW w:w="1935" w:type="dxa"/>
            <w:vAlign w:val="center"/>
          </w:tcPr>
          <w:p w14:paraId="2B81372C">
            <w:pPr>
              <w:spacing w:line="360" w:lineRule="auto"/>
              <w:contextualSpacing/>
              <w:jc w:val="center"/>
              <w:rPr>
                <w:rFonts w:ascii="宋体" w:hAnsi="宋体" w:cs="宋体"/>
                <w:color w:val="auto"/>
                <w:sz w:val="24"/>
                <w:szCs w:val="20"/>
                <w:highlight w:val="none"/>
              </w:rPr>
            </w:pPr>
          </w:p>
        </w:tc>
      </w:tr>
    </w:tbl>
    <w:p w14:paraId="7309FB95">
      <w:pPr>
        <w:spacing w:line="360" w:lineRule="auto"/>
        <w:contextualSpacing/>
        <w:jc w:val="left"/>
        <w:rPr>
          <w:rFonts w:ascii="宋体" w:hAnsi="宋体" w:cs="宋体"/>
          <w:color w:val="auto"/>
          <w:sz w:val="24"/>
          <w:szCs w:val="20"/>
          <w:highlight w:val="none"/>
        </w:rPr>
      </w:pPr>
      <w:r>
        <w:rPr>
          <w:rFonts w:hint="eastAsia" w:ascii="宋体" w:hAnsi="宋体" w:cs="宋体"/>
          <w:color w:val="auto"/>
          <w:sz w:val="24"/>
          <w:szCs w:val="20"/>
          <w:highlight w:val="none"/>
        </w:rPr>
        <w:t>注：</w:t>
      </w:r>
    </w:p>
    <w:p w14:paraId="5FE985B5">
      <w:pPr>
        <w:spacing w:line="360" w:lineRule="auto"/>
        <w:contextualSpacing/>
        <w:jc w:val="left"/>
        <w:rPr>
          <w:rFonts w:ascii="宋体" w:hAnsi="宋体" w:cs="宋体"/>
          <w:color w:val="auto"/>
          <w:sz w:val="24"/>
          <w:szCs w:val="20"/>
          <w:highlight w:val="none"/>
        </w:rPr>
      </w:pPr>
      <w:r>
        <w:rPr>
          <w:rFonts w:hint="eastAsia" w:ascii="宋体" w:hAnsi="宋体" w:cs="宋体"/>
          <w:color w:val="auto"/>
          <w:sz w:val="24"/>
          <w:szCs w:val="20"/>
          <w:highlight w:val="none"/>
        </w:rPr>
        <w:t>1.在填写时，如本表格不适合供应商的实际情况，可根据本表格式自行制表填写。</w:t>
      </w:r>
    </w:p>
    <w:p w14:paraId="3E576B07">
      <w:pPr>
        <w:spacing w:line="360" w:lineRule="auto"/>
        <w:contextualSpacing/>
        <w:jc w:val="left"/>
        <w:rPr>
          <w:rFonts w:ascii="宋体" w:hAnsi="宋体" w:cs="宋体"/>
          <w:color w:val="auto"/>
          <w:sz w:val="24"/>
          <w:szCs w:val="20"/>
          <w:highlight w:val="none"/>
        </w:rPr>
      </w:pPr>
      <w:r>
        <w:rPr>
          <w:rFonts w:hint="eastAsia" w:ascii="宋体" w:hAnsi="宋体" w:cs="宋体"/>
          <w:color w:val="auto"/>
          <w:sz w:val="24"/>
          <w:szCs w:val="20"/>
          <w:highlight w:val="none"/>
        </w:rPr>
        <w:t>2.供应商应当附本表所列证书的复印件并加盖供应商公章。</w:t>
      </w:r>
    </w:p>
    <w:p w14:paraId="5382B2AA">
      <w:pPr>
        <w:spacing w:line="360" w:lineRule="auto"/>
        <w:contextualSpacing/>
        <w:rPr>
          <w:rFonts w:ascii="宋体" w:hAnsi="宋体" w:cs="宋体"/>
          <w:color w:val="auto"/>
          <w:spacing w:val="20"/>
          <w:sz w:val="24"/>
          <w:szCs w:val="20"/>
          <w:highlight w:val="none"/>
          <w:u w:val="single"/>
        </w:rPr>
      </w:pPr>
      <w:r>
        <w:rPr>
          <w:rFonts w:hint="eastAsia" w:ascii="宋体" w:hAnsi="宋体" w:cs="宋体"/>
          <w:color w:val="auto"/>
          <w:sz w:val="24"/>
          <w:highlight w:val="none"/>
        </w:rPr>
        <w:t>法定代表人或者委托代理人</w:t>
      </w:r>
      <w:r>
        <w:rPr>
          <w:rFonts w:hint="eastAsia" w:ascii="宋体" w:hAnsi="宋体" w:cs="宋体"/>
          <w:color w:val="auto"/>
          <w:spacing w:val="20"/>
          <w:sz w:val="24"/>
          <w:highlight w:val="none"/>
        </w:rPr>
        <w:t>签字：</w:t>
      </w:r>
      <w:r>
        <w:rPr>
          <w:rFonts w:hint="eastAsia" w:ascii="宋体" w:hAnsi="宋体" w:cs="宋体"/>
          <w:color w:val="auto"/>
          <w:spacing w:val="20"/>
          <w:sz w:val="24"/>
          <w:highlight w:val="none"/>
          <w:u w:val="single"/>
        </w:rPr>
        <w:t xml:space="preserve">        </w:t>
      </w:r>
    </w:p>
    <w:p w14:paraId="1C22478A">
      <w:pPr>
        <w:spacing w:line="360" w:lineRule="auto"/>
        <w:contextualSpacing/>
        <w:jc w:val="left"/>
        <w:rPr>
          <w:rFonts w:ascii="宋体" w:hAnsi="宋体" w:cs="宋体"/>
          <w:color w:val="auto"/>
          <w:sz w:val="24"/>
          <w:szCs w:val="20"/>
          <w:highlight w:val="none"/>
        </w:rPr>
      </w:pPr>
      <w:r>
        <w:rPr>
          <w:rFonts w:hint="eastAsia" w:ascii="宋体" w:hAnsi="宋体" w:cs="宋体"/>
          <w:color w:val="auto"/>
          <w:spacing w:val="20"/>
          <w:sz w:val="24"/>
          <w:highlight w:val="none"/>
        </w:rPr>
        <w:t>供应商（盖公章）：</w:t>
      </w:r>
      <w:r>
        <w:rPr>
          <w:rFonts w:hint="eastAsia" w:ascii="宋体" w:hAnsi="宋体" w:cs="宋体"/>
          <w:color w:val="auto"/>
          <w:spacing w:val="20"/>
          <w:sz w:val="24"/>
          <w:highlight w:val="none"/>
          <w:u w:val="single"/>
        </w:rPr>
        <w:t xml:space="preserve">            </w:t>
      </w:r>
      <w:r>
        <w:rPr>
          <w:rFonts w:hint="eastAsia" w:ascii="宋体" w:hAnsi="宋体" w:cs="宋体"/>
          <w:color w:val="auto"/>
          <w:spacing w:val="20"/>
          <w:sz w:val="24"/>
          <w:highlight w:val="none"/>
        </w:rPr>
        <w:t xml:space="preserve">              日 期：</w:t>
      </w:r>
      <w:r>
        <w:rPr>
          <w:rFonts w:hint="eastAsia" w:ascii="宋体" w:hAnsi="宋体" w:cs="宋体"/>
          <w:color w:val="auto"/>
          <w:spacing w:val="20"/>
          <w:sz w:val="24"/>
          <w:highlight w:val="none"/>
          <w:u w:val="single"/>
        </w:rPr>
        <w:t xml:space="preserve">         </w:t>
      </w:r>
    </w:p>
    <w:p w14:paraId="73D3142E">
      <w:pPr>
        <w:snapToGrid w:val="0"/>
        <w:spacing w:before="50" w:after="156" w:afterLines="50"/>
        <w:jc w:val="left"/>
        <w:rPr>
          <w:rFonts w:ascii="宋体" w:hAnsi="宋体" w:cs="宋体"/>
          <w:color w:val="auto"/>
          <w:sz w:val="24"/>
          <w:szCs w:val="20"/>
          <w:highlight w:val="none"/>
        </w:rPr>
      </w:pPr>
    </w:p>
    <w:p w14:paraId="3B444DCD">
      <w:pPr>
        <w:snapToGrid w:val="0"/>
        <w:spacing w:before="50" w:after="50" w:line="360" w:lineRule="auto"/>
        <w:ind w:right="-817" w:rightChars="-389" w:firstLine="5461" w:firstLineChars="1700"/>
        <w:rPr>
          <w:rFonts w:ascii="宋体" w:hAnsi="宋体" w:cs="宋体"/>
          <w:b/>
          <w:color w:val="auto"/>
          <w:sz w:val="32"/>
          <w:szCs w:val="32"/>
          <w:highlight w:val="none"/>
        </w:rPr>
      </w:pPr>
    </w:p>
    <w:p w14:paraId="0EC0893B">
      <w:pPr>
        <w:spacing w:line="300" w:lineRule="auto"/>
        <w:rPr>
          <w:rFonts w:ascii="宋体" w:hAnsi="宋体" w:cs="宋体"/>
          <w:color w:val="auto"/>
          <w:szCs w:val="21"/>
          <w:highlight w:val="none"/>
        </w:rPr>
      </w:pPr>
      <w:r>
        <w:rPr>
          <w:rFonts w:hint="eastAsia" w:ascii="宋体" w:hAnsi="宋体" w:cs="宋体"/>
          <w:b/>
          <w:bCs/>
          <w:color w:val="auto"/>
          <w:sz w:val="24"/>
          <w:highlight w:val="none"/>
        </w:rPr>
        <w:br w:type="page"/>
      </w:r>
      <w:r>
        <w:rPr>
          <w:rFonts w:hint="eastAsia" w:ascii="宋体" w:hAnsi="宋体" w:cs="宋体"/>
          <w:b/>
          <w:bCs/>
          <w:color w:val="auto"/>
          <w:sz w:val="24"/>
          <w:highlight w:val="none"/>
        </w:rPr>
        <w:t>其他文书、文件格式</w:t>
      </w:r>
    </w:p>
    <w:p w14:paraId="555AE49F">
      <w:pPr>
        <w:jc w:val="center"/>
        <w:rPr>
          <w:rFonts w:ascii="宋体" w:hAnsi="宋体" w:cs="宋体"/>
          <w:color w:val="auto"/>
          <w:sz w:val="44"/>
          <w:szCs w:val="44"/>
          <w:highlight w:val="none"/>
        </w:rPr>
      </w:pPr>
      <w:bookmarkStart w:id="163" w:name="_Toc71365926"/>
      <w:r>
        <w:rPr>
          <w:rFonts w:hint="eastAsia" w:ascii="宋体" w:hAnsi="宋体" w:cs="宋体"/>
          <w:color w:val="auto"/>
          <w:sz w:val="44"/>
          <w:szCs w:val="44"/>
          <w:highlight w:val="none"/>
        </w:rPr>
        <w:t>中小企业声明函（服务）</w:t>
      </w:r>
      <w:bookmarkEnd w:id="163"/>
    </w:p>
    <w:p w14:paraId="7281F714">
      <w:pPr>
        <w:spacing w:before="2" w:line="500" w:lineRule="exact"/>
        <w:ind w:firstLine="708" w:firstLineChars="294"/>
        <w:rPr>
          <w:rFonts w:ascii="宋体" w:hAnsi="宋体" w:cs="宋体"/>
          <w:b/>
          <w:bCs/>
          <w:color w:val="auto"/>
          <w:sz w:val="24"/>
          <w:highlight w:val="none"/>
        </w:rPr>
      </w:pPr>
    </w:p>
    <w:p w14:paraId="558F902F">
      <w:pPr>
        <w:pStyle w:val="15"/>
        <w:spacing w:line="500" w:lineRule="exact"/>
        <w:ind w:right="142" w:firstLine="705" w:firstLineChars="294"/>
        <w:rPr>
          <w:rFonts w:ascii="宋体" w:hAnsi="宋体" w:cs="宋体"/>
          <w:color w:val="auto"/>
          <w:sz w:val="24"/>
          <w:highlight w:val="none"/>
        </w:rPr>
      </w:pPr>
      <w:r>
        <w:rPr>
          <w:rFonts w:hint="eastAsia" w:ascii="宋体" w:hAnsi="宋体" w:cs="宋体"/>
          <w:color w:val="auto"/>
          <w:sz w:val="24"/>
          <w:highlight w:val="none"/>
        </w:rPr>
        <w:t>本公司（联合体）郑重声明，根据《政府采购促进中小企业发展管理办法》（财库﹝2020﹞46号）的规定，本公司（联合体）参加</w:t>
      </w:r>
      <w:r>
        <w:rPr>
          <w:rFonts w:hint="eastAsia" w:ascii="宋体" w:hAnsi="宋体" w:cs="宋体"/>
          <w:color w:val="auto"/>
          <w:sz w:val="24"/>
          <w:highlight w:val="none"/>
          <w:u w:val="single"/>
        </w:rPr>
        <w:t>（单位名称）</w:t>
      </w:r>
      <w:r>
        <w:rPr>
          <w:rFonts w:hint="eastAsia" w:ascii="宋体" w:hAnsi="宋体" w:cs="宋体"/>
          <w:color w:val="auto"/>
          <w:sz w:val="24"/>
          <w:highlight w:val="none"/>
        </w:rPr>
        <w:t>的</w:t>
      </w:r>
      <w:r>
        <w:rPr>
          <w:rFonts w:hint="eastAsia" w:ascii="宋体" w:hAnsi="宋体" w:cs="宋体"/>
          <w:color w:val="auto"/>
          <w:sz w:val="24"/>
          <w:highlight w:val="none"/>
          <w:u w:val="single"/>
        </w:rPr>
        <w:t>（项目名称）</w:t>
      </w:r>
      <w:r>
        <w:rPr>
          <w:rFonts w:hint="eastAsia" w:ascii="宋体" w:hAnsi="宋体" w:cs="宋体"/>
          <w:color w:val="auto"/>
          <w:sz w:val="24"/>
          <w:highlight w:val="none"/>
        </w:rPr>
        <w:t>采购活动，服务全部由符合政策要求的中小企业承接。相关企业（含联合体中的中小企业、签订分包意向协议的中小企业）的具体情况如下：</w:t>
      </w:r>
    </w:p>
    <w:p w14:paraId="24547B9B">
      <w:pPr>
        <w:tabs>
          <w:tab w:val="left" w:pos="1384"/>
          <w:tab w:val="left" w:pos="4562"/>
          <w:tab w:val="left" w:pos="6803"/>
        </w:tabs>
        <w:spacing w:before="13" w:line="500" w:lineRule="exact"/>
        <w:ind w:right="142" w:firstLine="772" w:firstLineChars="322"/>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u w:val="single"/>
        </w:rPr>
        <w:t>（标的名称）</w:t>
      </w:r>
      <w:r>
        <w:rPr>
          <w:rFonts w:hint="eastAsia" w:ascii="宋体" w:hAnsi="宋体" w:cs="宋体"/>
          <w:color w:val="auto"/>
          <w:sz w:val="24"/>
          <w:highlight w:val="none"/>
        </w:rPr>
        <w:t>，属于</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w:t>
      </w:r>
      <w:r>
        <w:rPr>
          <w:rFonts w:hint="eastAsia" w:ascii="宋体" w:hAnsi="宋体" w:cs="宋体"/>
          <w:color w:val="auto"/>
          <w:kern w:val="24"/>
          <w:sz w:val="24"/>
          <w:highlight w:val="none"/>
        </w:rPr>
        <w:t>承接企业</w:t>
      </w:r>
      <w:r>
        <w:rPr>
          <w:rFonts w:hint="eastAsia" w:ascii="宋体" w:hAnsi="宋体" w:cs="宋体"/>
          <w:color w:val="auto"/>
          <w:sz w:val="24"/>
          <w:highlight w:val="none"/>
        </w:rPr>
        <w:t>为</w:t>
      </w:r>
      <w:r>
        <w:rPr>
          <w:rFonts w:hint="eastAsia" w:ascii="宋体" w:hAnsi="宋体" w:cs="宋体"/>
          <w:color w:val="auto"/>
          <w:sz w:val="24"/>
          <w:highlight w:val="none"/>
          <w:u w:val="single"/>
        </w:rPr>
        <w:t>（企业名称）</w:t>
      </w:r>
      <w:r>
        <w:rPr>
          <w:rFonts w:hint="eastAsia" w:ascii="宋体" w:hAnsi="宋体" w:cs="宋体"/>
          <w:color w:val="auto"/>
          <w:sz w:val="24"/>
          <w:highlight w:val="none"/>
        </w:rPr>
        <w:t>，从业人员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（中型企业、小型企业、微型企业）</w:t>
      </w:r>
      <w:r>
        <w:rPr>
          <w:rFonts w:hint="eastAsia" w:ascii="宋体" w:hAnsi="宋体" w:cs="宋体"/>
          <w:color w:val="auto"/>
          <w:sz w:val="24"/>
          <w:highlight w:val="none"/>
        </w:rPr>
        <w:t>；</w:t>
      </w:r>
    </w:p>
    <w:p w14:paraId="466D5B98">
      <w:pPr>
        <w:tabs>
          <w:tab w:val="left" w:pos="1065"/>
          <w:tab w:val="left" w:pos="4262"/>
          <w:tab w:val="left" w:pos="6477"/>
        </w:tabs>
        <w:spacing w:before="20" w:line="500" w:lineRule="exact"/>
        <w:ind w:right="84" w:firstLine="772" w:firstLineChars="322"/>
        <w:rPr>
          <w:rFonts w:ascii="宋体" w:hAnsi="宋体" w:cs="宋体"/>
          <w:color w:val="auto"/>
          <w:sz w:val="24"/>
          <w:highlight w:val="none"/>
          <w:u w:val="single"/>
        </w:rPr>
      </w:pPr>
      <w:r>
        <w:rPr>
          <w:rFonts w:hint="eastAsia" w:ascii="宋体" w:hAnsi="宋体" w:cs="宋体"/>
          <w:color w:val="auto"/>
          <w:sz w:val="24"/>
          <w:highlight w:val="none"/>
        </w:rPr>
        <w:t>2.</w:t>
      </w:r>
      <w:r>
        <w:rPr>
          <w:rFonts w:hint="eastAsia" w:ascii="宋体" w:hAnsi="宋体" w:cs="宋体"/>
          <w:color w:val="auto"/>
          <w:sz w:val="24"/>
          <w:highlight w:val="none"/>
          <w:u w:val="single"/>
        </w:rPr>
        <w:t>（标的名称）</w:t>
      </w:r>
      <w:r>
        <w:rPr>
          <w:rFonts w:hint="eastAsia" w:ascii="宋体" w:hAnsi="宋体" w:cs="宋体"/>
          <w:color w:val="auto"/>
          <w:sz w:val="24"/>
          <w:highlight w:val="none"/>
        </w:rPr>
        <w:t>，属于</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w:t>
      </w:r>
      <w:r>
        <w:rPr>
          <w:rFonts w:hint="eastAsia" w:ascii="宋体" w:hAnsi="宋体" w:cs="宋体"/>
          <w:color w:val="auto"/>
          <w:kern w:val="24"/>
          <w:sz w:val="24"/>
          <w:highlight w:val="none"/>
        </w:rPr>
        <w:t>承接企业</w:t>
      </w:r>
      <w:r>
        <w:rPr>
          <w:rFonts w:hint="eastAsia" w:ascii="宋体" w:hAnsi="宋体" w:cs="宋体"/>
          <w:color w:val="auto"/>
          <w:sz w:val="24"/>
          <w:highlight w:val="none"/>
        </w:rPr>
        <w:t>为</w:t>
      </w:r>
      <w:r>
        <w:rPr>
          <w:rFonts w:hint="eastAsia" w:ascii="宋体" w:hAnsi="宋体" w:cs="宋体"/>
          <w:color w:val="auto"/>
          <w:sz w:val="24"/>
          <w:highlight w:val="none"/>
          <w:u w:val="single"/>
        </w:rPr>
        <w:t>（企业名称）</w:t>
      </w:r>
      <w:r>
        <w:rPr>
          <w:rFonts w:hint="eastAsia" w:ascii="宋体" w:hAnsi="宋体" w:cs="宋体"/>
          <w:color w:val="auto"/>
          <w:sz w:val="24"/>
          <w:highlight w:val="none"/>
        </w:rPr>
        <w:t>，从业人员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（中型企业、小型企业、微型企业）</w:t>
      </w:r>
      <w:r>
        <w:rPr>
          <w:rFonts w:hint="eastAsia" w:ascii="宋体" w:hAnsi="宋体" w:cs="宋体"/>
          <w:color w:val="auto"/>
          <w:sz w:val="24"/>
          <w:highlight w:val="none"/>
        </w:rPr>
        <w:t>；</w:t>
      </w:r>
    </w:p>
    <w:p w14:paraId="75614A46">
      <w:pPr>
        <w:pStyle w:val="15"/>
        <w:spacing w:before="34" w:line="500" w:lineRule="exact"/>
        <w:ind w:right="142" w:firstLine="705" w:firstLineChars="294"/>
        <w:rPr>
          <w:rFonts w:ascii="宋体" w:hAnsi="宋体" w:cs="宋体"/>
          <w:color w:val="auto"/>
          <w:sz w:val="24"/>
          <w:highlight w:val="none"/>
        </w:rPr>
      </w:pPr>
      <w:r>
        <w:rPr>
          <w:rFonts w:hint="eastAsia" w:ascii="宋体" w:hAnsi="宋体" w:cs="宋体"/>
          <w:color w:val="auto"/>
          <w:sz w:val="24"/>
          <w:highlight w:val="none"/>
        </w:rPr>
        <w:t xml:space="preserve">…… </w:t>
      </w:r>
    </w:p>
    <w:p w14:paraId="48D7F335">
      <w:pPr>
        <w:pStyle w:val="15"/>
        <w:spacing w:before="34" w:line="500" w:lineRule="exact"/>
        <w:ind w:right="142" w:firstLine="705" w:firstLineChars="294"/>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4BE5EC8E">
      <w:pPr>
        <w:pStyle w:val="15"/>
        <w:spacing w:before="25" w:line="500" w:lineRule="exact"/>
        <w:ind w:right="142" w:firstLine="705" w:firstLineChars="294"/>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63B8AAF9">
      <w:pPr>
        <w:pStyle w:val="15"/>
        <w:spacing w:before="56" w:line="500" w:lineRule="exact"/>
        <w:ind w:right="1808" w:firstLine="705" w:firstLineChars="294"/>
        <w:rPr>
          <w:rFonts w:ascii="宋体" w:hAnsi="宋体" w:cs="宋体"/>
          <w:color w:val="auto"/>
          <w:sz w:val="24"/>
          <w:highlight w:val="none"/>
        </w:rPr>
      </w:pPr>
    </w:p>
    <w:p w14:paraId="4B88DDF3">
      <w:pPr>
        <w:pStyle w:val="15"/>
        <w:spacing w:before="56" w:line="500" w:lineRule="exact"/>
        <w:ind w:right="650" w:firstLine="5625" w:firstLineChars="2344"/>
        <w:rPr>
          <w:rFonts w:ascii="宋体" w:hAnsi="宋体" w:cs="宋体"/>
          <w:color w:val="auto"/>
          <w:sz w:val="24"/>
          <w:highlight w:val="none"/>
        </w:rPr>
      </w:pPr>
      <w:r>
        <w:rPr>
          <w:rFonts w:hint="eastAsia" w:ascii="宋体" w:hAnsi="宋体" w:cs="宋体"/>
          <w:color w:val="auto"/>
          <w:sz w:val="24"/>
          <w:highlight w:val="none"/>
        </w:rPr>
        <w:t xml:space="preserve">企业名称（章）： </w:t>
      </w:r>
    </w:p>
    <w:p w14:paraId="7F033D89">
      <w:pPr>
        <w:pStyle w:val="15"/>
        <w:spacing w:before="56" w:line="500" w:lineRule="exact"/>
        <w:ind w:right="1808" w:firstLine="5625" w:firstLineChars="2344"/>
        <w:rPr>
          <w:rFonts w:ascii="宋体" w:hAnsi="宋体" w:cs="宋体"/>
          <w:color w:val="auto"/>
          <w:sz w:val="24"/>
          <w:highlight w:val="none"/>
        </w:rPr>
      </w:pPr>
      <w:r>
        <w:rPr>
          <w:rFonts w:hint="eastAsia" w:ascii="宋体" w:hAnsi="宋体" w:cs="宋体"/>
          <w:color w:val="auto"/>
          <w:sz w:val="24"/>
          <w:highlight w:val="none"/>
        </w:rPr>
        <w:t>日 期：</w:t>
      </w:r>
    </w:p>
    <w:p w14:paraId="47EC42BE">
      <w:pPr>
        <w:spacing w:line="520" w:lineRule="exact"/>
        <w:jc w:val="left"/>
        <w:rPr>
          <w:rFonts w:ascii="宋体" w:hAnsi="宋体" w:cs="宋体"/>
          <w:color w:val="auto"/>
          <w:sz w:val="24"/>
          <w:highlight w:val="none"/>
        </w:rPr>
      </w:pPr>
      <w:r>
        <w:rPr>
          <w:rFonts w:hint="eastAsia" w:ascii="宋体" w:hAnsi="宋体" w:cs="宋体"/>
          <w:color w:val="auto"/>
          <w:sz w:val="24"/>
          <w:highlight w:val="none"/>
        </w:rPr>
        <w:t>注：享受《政府采购促进中小企业发展管理办法》（财库〔2020〕46号）规定的中小企业扶持政策的，采购人、采购代理机构应当随成交结果公开成交供应商的《中小企业声明函》。从业人员、营业收入、资产总额填报上一年度数据，无上一年度数据的新成立企业可不填报。</w:t>
      </w:r>
    </w:p>
    <w:p w14:paraId="00C8A77E">
      <w:pPr>
        <w:spacing w:line="520" w:lineRule="exact"/>
        <w:jc w:val="center"/>
        <w:rPr>
          <w:rFonts w:ascii="宋体" w:hAnsi="宋体" w:cs="宋体"/>
          <w:color w:val="auto"/>
          <w:sz w:val="24"/>
          <w:highlight w:val="none"/>
        </w:rPr>
      </w:pPr>
    </w:p>
    <w:p w14:paraId="0D8532FA">
      <w:pPr>
        <w:pStyle w:val="19"/>
        <w:jc w:val="left"/>
        <w:rPr>
          <w:rFonts w:hAnsi="宋体" w:cs="宋体"/>
          <w:color w:val="auto"/>
          <w:sz w:val="32"/>
          <w:szCs w:val="32"/>
          <w:highlight w:val="none"/>
        </w:rPr>
      </w:pPr>
      <w:r>
        <w:rPr>
          <w:rFonts w:hint="eastAsia" w:hAnsi="宋体" w:cs="宋体"/>
          <w:color w:val="auto"/>
          <w:sz w:val="24"/>
          <w:highlight w:val="none"/>
        </w:rPr>
        <w:br w:type="page"/>
      </w:r>
      <w:r>
        <w:rPr>
          <w:rFonts w:hint="eastAsia" w:hAnsi="宋体" w:cs="宋体"/>
          <w:color w:val="auto"/>
          <w:sz w:val="32"/>
          <w:szCs w:val="32"/>
          <w:highlight w:val="none"/>
        </w:rPr>
        <w:t>附：</w:t>
      </w:r>
    </w:p>
    <w:p w14:paraId="7C3B3FDB">
      <w:pPr>
        <w:jc w:val="center"/>
        <w:rPr>
          <w:rFonts w:ascii="宋体" w:hAnsi="宋体" w:cs="宋体"/>
          <w:color w:val="auto"/>
          <w:sz w:val="44"/>
          <w:szCs w:val="44"/>
          <w:highlight w:val="none"/>
        </w:rPr>
      </w:pPr>
      <w:r>
        <w:rPr>
          <w:rFonts w:hint="eastAsia" w:ascii="宋体" w:hAnsi="宋体" w:cs="宋体"/>
          <w:color w:val="auto"/>
          <w:sz w:val="44"/>
          <w:szCs w:val="44"/>
          <w:highlight w:val="none"/>
        </w:rPr>
        <w:t>中小微企业划型标准</w:t>
      </w:r>
    </w:p>
    <w:p w14:paraId="2FF172BB">
      <w:pPr>
        <w:ind w:left="1871"/>
        <w:rPr>
          <w:rFonts w:ascii="宋体" w:hAnsi="宋体" w:cs="宋体"/>
          <w:color w:val="auto"/>
          <w:szCs w:val="21"/>
          <w:highlight w:val="none"/>
        </w:rPr>
      </w:pPr>
    </w:p>
    <w:tbl>
      <w:tblPr>
        <w:tblStyle w:val="33"/>
        <w:tblW w:w="7983" w:type="dxa"/>
        <w:jc w:val="center"/>
        <w:tblLayout w:type="fixed"/>
        <w:tblCellMar>
          <w:top w:w="0" w:type="dxa"/>
          <w:left w:w="108" w:type="dxa"/>
          <w:bottom w:w="0" w:type="dxa"/>
          <w:right w:w="108" w:type="dxa"/>
        </w:tblCellMar>
      </w:tblPr>
      <w:tblGrid>
        <w:gridCol w:w="1701"/>
        <w:gridCol w:w="1384"/>
        <w:gridCol w:w="913"/>
        <w:gridCol w:w="1620"/>
        <w:gridCol w:w="1440"/>
        <w:gridCol w:w="925"/>
      </w:tblGrid>
      <w:tr w14:paraId="727AF9C0">
        <w:tblPrEx>
          <w:tblCellMar>
            <w:top w:w="0" w:type="dxa"/>
            <w:left w:w="108" w:type="dxa"/>
            <w:bottom w:w="0" w:type="dxa"/>
            <w:right w:w="108" w:type="dxa"/>
          </w:tblCellMar>
        </w:tblPrEx>
        <w:trPr>
          <w:trHeight w:val="285" w:hRule="atLeast"/>
          <w:jc w:val="center"/>
        </w:trPr>
        <w:tc>
          <w:tcPr>
            <w:tcW w:w="1701" w:type="dxa"/>
            <w:tcBorders>
              <w:top w:val="single" w:color="auto" w:sz="4" w:space="0"/>
              <w:left w:val="single" w:color="auto" w:sz="4" w:space="0"/>
              <w:bottom w:val="single" w:color="auto" w:sz="4" w:space="0"/>
              <w:right w:val="single" w:color="auto" w:sz="4" w:space="0"/>
            </w:tcBorders>
            <w:vAlign w:val="center"/>
          </w:tcPr>
          <w:p w14:paraId="712C646C">
            <w:pPr>
              <w:widowControl/>
              <w:jc w:val="left"/>
              <w:rPr>
                <w:rFonts w:ascii="宋体" w:hAnsi="宋体" w:cs="宋体"/>
                <w:b/>
                <w:color w:val="auto"/>
                <w:kern w:val="0"/>
                <w:sz w:val="24"/>
                <w:highlight w:val="none"/>
              </w:rPr>
            </w:pPr>
            <w:r>
              <w:rPr>
                <w:rFonts w:hint="eastAsia" w:ascii="宋体" w:hAnsi="宋体" w:cs="宋体"/>
                <w:b/>
                <w:color w:val="auto"/>
                <w:kern w:val="0"/>
                <w:sz w:val="24"/>
                <w:highlight w:val="none"/>
              </w:rPr>
              <w:t>行业名称</w:t>
            </w:r>
          </w:p>
        </w:tc>
        <w:tc>
          <w:tcPr>
            <w:tcW w:w="1384" w:type="dxa"/>
            <w:tcBorders>
              <w:top w:val="single" w:color="auto" w:sz="4" w:space="0"/>
              <w:left w:val="nil"/>
              <w:bottom w:val="single" w:color="auto" w:sz="4" w:space="0"/>
              <w:right w:val="single" w:color="auto" w:sz="4" w:space="0"/>
            </w:tcBorders>
            <w:vAlign w:val="center"/>
          </w:tcPr>
          <w:p w14:paraId="740F0A6A">
            <w:pPr>
              <w:widowControl/>
              <w:jc w:val="left"/>
              <w:rPr>
                <w:rFonts w:ascii="宋体" w:hAnsi="宋体" w:cs="宋体"/>
                <w:b/>
                <w:color w:val="auto"/>
                <w:kern w:val="0"/>
                <w:sz w:val="24"/>
                <w:highlight w:val="none"/>
              </w:rPr>
            </w:pPr>
            <w:r>
              <w:rPr>
                <w:rFonts w:hint="eastAsia" w:ascii="宋体" w:hAnsi="宋体" w:cs="宋体"/>
                <w:b/>
                <w:color w:val="auto"/>
                <w:kern w:val="0"/>
                <w:sz w:val="24"/>
                <w:highlight w:val="none"/>
              </w:rPr>
              <w:t>指标名称</w:t>
            </w:r>
          </w:p>
        </w:tc>
        <w:tc>
          <w:tcPr>
            <w:tcW w:w="913" w:type="dxa"/>
            <w:tcBorders>
              <w:top w:val="single" w:color="auto" w:sz="4" w:space="0"/>
              <w:left w:val="nil"/>
              <w:bottom w:val="single" w:color="auto" w:sz="4" w:space="0"/>
              <w:right w:val="single" w:color="auto" w:sz="4" w:space="0"/>
            </w:tcBorders>
            <w:vAlign w:val="center"/>
          </w:tcPr>
          <w:p w14:paraId="449E88D8">
            <w:pPr>
              <w:widowControl/>
              <w:jc w:val="left"/>
              <w:rPr>
                <w:rFonts w:ascii="宋体" w:hAnsi="宋体" w:cs="宋体"/>
                <w:b/>
                <w:color w:val="auto"/>
                <w:kern w:val="0"/>
                <w:sz w:val="24"/>
                <w:highlight w:val="none"/>
              </w:rPr>
            </w:pPr>
            <w:r>
              <w:rPr>
                <w:rFonts w:hint="eastAsia" w:ascii="宋体" w:hAnsi="宋体" w:cs="宋体"/>
                <w:b/>
                <w:color w:val="auto"/>
                <w:kern w:val="0"/>
                <w:sz w:val="24"/>
                <w:highlight w:val="none"/>
              </w:rPr>
              <w:t>计量单位</w:t>
            </w:r>
          </w:p>
        </w:tc>
        <w:tc>
          <w:tcPr>
            <w:tcW w:w="1620" w:type="dxa"/>
            <w:tcBorders>
              <w:top w:val="single" w:color="auto" w:sz="4" w:space="0"/>
              <w:left w:val="nil"/>
              <w:bottom w:val="single" w:color="auto" w:sz="4" w:space="0"/>
              <w:right w:val="single" w:color="auto" w:sz="4" w:space="0"/>
            </w:tcBorders>
            <w:vAlign w:val="center"/>
          </w:tcPr>
          <w:p w14:paraId="4DA4CB5D">
            <w:pPr>
              <w:widowControl/>
              <w:jc w:val="left"/>
              <w:rPr>
                <w:rFonts w:ascii="宋体" w:hAnsi="宋体" w:cs="宋体"/>
                <w:b/>
                <w:color w:val="auto"/>
                <w:kern w:val="0"/>
                <w:sz w:val="24"/>
                <w:highlight w:val="none"/>
              </w:rPr>
            </w:pPr>
            <w:r>
              <w:rPr>
                <w:rFonts w:hint="eastAsia" w:ascii="宋体" w:hAnsi="宋体" w:cs="宋体"/>
                <w:b/>
                <w:color w:val="auto"/>
                <w:kern w:val="0"/>
                <w:sz w:val="24"/>
                <w:highlight w:val="none"/>
              </w:rPr>
              <w:t>中型</w:t>
            </w:r>
          </w:p>
        </w:tc>
        <w:tc>
          <w:tcPr>
            <w:tcW w:w="1440" w:type="dxa"/>
            <w:tcBorders>
              <w:top w:val="single" w:color="auto" w:sz="4" w:space="0"/>
              <w:left w:val="nil"/>
              <w:bottom w:val="single" w:color="auto" w:sz="4" w:space="0"/>
              <w:right w:val="single" w:color="auto" w:sz="4" w:space="0"/>
            </w:tcBorders>
            <w:vAlign w:val="center"/>
          </w:tcPr>
          <w:p w14:paraId="6F99F06A">
            <w:pPr>
              <w:widowControl/>
              <w:jc w:val="left"/>
              <w:rPr>
                <w:rFonts w:ascii="宋体" w:hAnsi="宋体" w:cs="宋体"/>
                <w:b/>
                <w:color w:val="auto"/>
                <w:kern w:val="0"/>
                <w:sz w:val="24"/>
                <w:highlight w:val="none"/>
              </w:rPr>
            </w:pPr>
            <w:r>
              <w:rPr>
                <w:rFonts w:hint="eastAsia" w:ascii="宋体" w:hAnsi="宋体" w:cs="宋体"/>
                <w:b/>
                <w:color w:val="auto"/>
                <w:kern w:val="0"/>
                <w:sz w:val="24"/>
                <w:highlight w:val="none"/>
              </w:rPr>
              <w:t>小型</w:t>
            </w:r>
          </w:p>
        </w:tc>
        <w:tc>
          <w:tcPr>
            <w:tcW w:w="925" w:type="dxa"/>
            <w:tcBorders>
              <w:top w:val="single" w:color="auto" w:sz="4" w:space="0"/>
              <w:left w:val="nil"/>
              <w:bottom w:val="single" w:color="auto" w:sz="4" w:space="0"/>
              <w:right w:val="single" w:color="auto" w:sz="4" w:space="0"/>
            </w:tcBorders>
            <w:vAlign w:val="center"/>
          </w:tcPr>
          <w:p w14:paraId="5BB776CC">
            <w:pPr>
              <w:widowControl/>
              <w:jc w:val="left"/>
              <w:rPr>
                <w:rFonts w:ascii="宋体" w:hAnsi="宋体" w:cs="宋体"/>
                <w:b/>
                <w:color w:val="auto"/>
                <w:kern w:val="0"/>
                <w:sz w:val="24"/>
                <w:highlight w:val="none"/>
              </w:rPr>
            </w:pPr>
            <w:r>
              <w:rPr>
                <w:rFonts w:hint="eastAsia" w:ascii="宋体" w:hAnsi="宋体" w:cs="宋体"/>
                <w:b/>
                <w:color w:val="auto"/>
                <w:kern w:val="0"/>
                <w:sz w:val="24"/>
                <w:highlight w:val="none"/>
              </w:rPr>
              <w:t>微型</w:t>
            </w:r>
          </w:p>
        </w:tc>
      </w:tr>
      <w:tr w14:paraId="561F3E63">
        <w:tblPrEx>
          <w:tblCellMar>
            <w:top w:w="0" w:type="dxa"/>
            <w:left w:w="108" w:type="dxa"/>
            <w:bottom w:w="0" w:type="dxa"/>
            <w:right w:w="108" w:type="dxa"/>
          </w:tblCellMar>
        </w:tblPrEx>
        <w:trPr>
          <w:trHeight w:val="225" w:hRule="atLeast"/>
          <w:jc w:val="center"/>
        </w:trPr>
        <w:tc>
          <w:tcPr>
            <w:tcW w:w="1701" w:type="dxa"/>
            <w:tcBorders>
              <w:top w:val="nil"/>
              <w:left w:val="single" w:color="auto" w:sz="4" w:space="0"/>
              <w:bottom w:val="single" w:color="auto" w:sz="4" w:space="0"/>
              <w:right w:val="single" w:color="auto" w:sz="4" w:space="0"/>
            </w:tcBorders>
            <w:vAlign w:val="bottom"/>
          </w:tcPr>
          <w:p w14:paraId="08BC47A4">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农、林、牧、渔</w:t>
            </w:r>
          </w:p>
        </w:tc>
        <w:tc>
          <w:tcPr>
            <w:tcW w:w="1384" w:type="dxa"/>
            <w:tcBorders>
              <w:top w:val="nil"/>
              <w:left w:val="nil"/>
              <w:bottom w:val="single" w:color="auto" w:sz="4" w:space="0"/>
              <w:right w:val="single" w:color="auto" w:sz="4" w:space="0"/>
            </w:tcBorders>
            <w:vAlign w:val="center"/>
          </w:tcPr>
          <w:p w14:paraId="1BFD612F">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22F92A4A">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6F8D68E7">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500≤Y＜20000</w:t>
            </w:r>
          </w:p>
        </w:tc>
        <w:tc>
          <w:tcPr>
            <w:tcW w:w="1440" w:type="dxa"/>
            <w:tcBorders>
              <w:top w:val="nil"/>
              <w:left w:val="nil"/>
              <w:bottom w:val="single" w:color="auto" w:sz="4" w:space="0"/>
              <w:right w:val="single" w:color="auto" w:sz="4" w:space="0"/>
            </w:tcBorders>
            <w:vAlign w:val="center"/>
          </w:tcPr>
          <w:p w14:paraId="2AAE4FC7">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50≤Y＜500</w:t>
            </w:r>
          </w:p>
        </w:tc>
        <w:tc>
          <w:tcPr>
            <w:tcW w:w="925" w:type="dxa"/>
            <w:tcBorders>
              <w:top w:val="nil"/>
              <w:left w:val="nil"/>
              <w:bottom w:val="single" w:color="auto" w:sz="4" w:space="0"/>
              <w:right w:val="single" w:color="auto" w:sz="4" w:space="0"/>
            </w:tcBorders>
            <w:vAlign w:val="center"/>
          </w:tcPr>
          <w:p w14:paraId="4EE9E357">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w:t>
            </w:r>
          </w:p>
        </w:tc>
      </w:tr>
      <w:tr w14:paraId="72A6F322">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6DF56CF1">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工业</w:t>
            </w:r>
          </w:p>
        </w:tc>
        <w:tc>
          <w:tcPr>
            <w:tcW w:w="1384" w:type="dxa"/>
            <w:tcBorders>
              <w:top w:val="nil"/>
              <w:left w:val="nil"/>
              <w:bottom w:val="single" w:color="auto" w:sz="4" w:space="0"/>
              <w:right w:val="single" w:color="auto" w:sz="4" w:space="0"/>
            </w:tcBorders>
            <w:vAlign w:val="center"/>
          </w:tcPr>
          <w:p w14:paraId="38C37B25">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0AE33643">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14:paraId="6DC7DBB5">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40" w:type="dxa"/>
            <w:tcBorders>
              <w:top w:val="nil"/>
              <w:left w:val="nil"/>
              <w:bottom w:val="single" w:color="auto" w:sz="4" w:space="0"/>
              <w:right w:val="single" w:color="auto" w:sz="4" w:space="0"/>
            </w:tcBorders>
            <w:vAlign w:val="center"/>
          </w:tcPr>
          <w:p w14:paraId="41E5D4C7">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925" w:type="dxa"/>
            <w:tcBorders>
              <w:top w:val="nil"/>
              <w:left w:val="nil"/>
              <w:bottom w:val="single" w:color="auto" w:sz="4" w:space="0"/>
              <w:right w:val="single" w:color="auto" w:sz="4" w:space="0"/>
            </w:tcBorders>
            <w:vAlign w:val="center"/>
          </w:tcPr>
          <w:p w14:paraId="44517383">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1B92BB41">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71BD329A">
            <w:pPr>
              <w:widowControl/>
              <w:jc w:val="left"/>
              <w:rPr>
                <w:rFonts w:ascii="宋体" w:hAnsi="宋体"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4E08FED3">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01163D0B">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1EBBF160">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2000≤Y＜40000</w:t>
            </w:r>
          </w:p>
        </w:tc>
        <w:tc>
          <w:tcPr>
            <w:tcW w:w="1440" w:type="dxa"/>
            <w:tcBorders>
              <w:top w:val="nil"/>
              <w:left w:val="nil"/>
              <w:bottom w:val="single" w:color="auto" w:sz="4" w:space="0"/>
              <w:right w:val="single" w:color="auto" w:sz="4" w:space="0"/>
            </w:tcBorders>
            <w:vAlign w:val="center"/>
          </w:tcPr>
          <w:p w14:paraId="2D7D1464">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300≤Y＜2000</w:t>
            </w:r>
          </w:p>
        </w:tc>
        <w:tc>
          <w:tcPr>
            <w:tcW w:w="925" w:type="dxa"/>
            <w:tcBorders>
              <w:top w:val="nil"/>
              <w:left w:val="nil"/>
              <w:bottom w:val="single" w:color="auto" w:sz="4" w:space="0"/>
              <w:right w:val="single" w:color="auto" w:sz="4" w:space="0"/>
            </w:tcBorders>
            <w:vAlign w:val="center"/>
          </w:tcPr>
          <w:p w14:paraId="54D62184">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w:t>
            </w:r>
          </w:p>
        </w:tc>
      </w:tr>
      <w:tr w14:paraId="17DA41DE">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2ABA78C9">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建筑业</w:t>
            </w:r>
          </w:p>
        </w:tc>
        <w:tc>
          <w:tcPr>
            <w:tcW w:w="1384" w:type="dxa"/>
            <w:tcBorders>
              <w:top w:val="nil"/>
              <w:left w:val="nil"/>
              <w:bottom w:val="single" w:color="auto" w:sz="4" w:space="0"/>
              <w:right w:val="single" w:color="auto" w:sz="4" w:space="0"/>
            </w:tcBorders>
            <w:vAlign w:val="center"/>
          </w:tcPr>
          <w:p w14:paraId="66B76200">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7309E241">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6F73CDF4">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6000≤Y＜80000</w:t>
            </w:r>
          </w:p>
        </w:tc>
        <w:tc>
          <w:tcPr>
            <w:tcW w:w="1440" w:type="dxa"/>
            <w:tcBorders>
              <w:top w:val="nil"/>
              <w:left w:val="nil"/>
              <w:bottom w:val="single" w:color="auto" w:sz="4" w:space="0"/>
              <w:right w:val="single" w:color="auto" w:sz="4" w:space="0"/>
            </w:tcBorders>
            <w:vAlign w:val="center"/>
          </w:tcPr>
          <w:p w14:paraId="2DEE476B">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300≤Y＜6000</w:t>
            </w:r>
          </w:p>
        </w:tc>
        <w:tc>
          <w:tcPr>
            <w:tcW w:w="925" w:type="dxa"/>
            <w:tcBorders>
              <w:top w:val="nil"/>
              <w:left w:val="nil"/>
              <w:bottom w:val="single" w:color="auto" w:sz="4" w:space="0"/>
              <w:right w:val="single" w:color="auto" w:sz="4" w:space="0"/>
            </w:tcBorders>
            <w:vAlign w:val="center"/>
          </w:tcPr>
          <w:p w14:paraId="72BD9196">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w:t>
            </w:r>
          </w:p>
        </w:tc>
      </w:tr>
      <w:tr w14:paraId="0D583307">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3F1EB66A">
            <w:pPr>
              <w:widowControl/>
              <w:jc w:val="left"/>
              <w:rPr>
                <w:rFonts w:ascii="宋体" w:hAnsi="宋体"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37DFB49F">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913" w:type="dxa"/>
            <w:tcBorders>
              <w:top w:val="nil"/>
              <w:left w:val="nil"/>
              <w:bottom w:val="single" w:color="auto" w:sz="4" w:space="0"/>
              <w:right w:val="single" w:color="auto" w:sz="4" w:space="0"/>
            </w:tcBorders>
            <w:vAlign w:val="center"/>
          </w:tcPr>
          <w:p w14:paraId="7D2C13DC">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3FE23648">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5000≤Z＜80000</w:t>
            </w:r>
          </w:p>
        </w:tc>
        <w:tc>
          <w:tcPr>
            <w:tcW w:w="1440" w:type="dxa"/>
            <w:tcBorders>
              <w:top w:val="nil"/>
              <w:left w:val="nil"/>
              <w:bottom w:val="single" w:color="auto" w:sz="4" w:space="0"/>
              <w:right w:val="single" w:color="auto" w:sz="4" w:space="0"/>
            </w:tcBorders>
            <w:vAlign w:val="center"/>
          </w:tcPr>
          <w:p w14:paraId="20EFEDE4">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300≤Z＜5000</w:t>
            </w:r>
          </w:p>
        </w:tc>
        <w:tc>
          <w:tcPr>
            <w:tcW w:w="925" w:type="dxa"/>
            <w:tcBorders>
              <w:top w:val="nil"/>
              <w:left w:val="nil"/>
              <w:bottom w:val="single" w:color="auto" w:sz="4" w:space="0"/>
              <w:right w:val="single" w:color="auto" w:sz="4" w:space="0"/>
            </w:tcBorders>
            <w:vAlign w:val="center"/>
          </w:tcPr>
          <w:p w14:paraId="66202A83">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Z＜300</w:t>
            </w:r>
          </w:p>
        </w:tc>
      </w:tr>
      <w:tr w14:paraId="0F4F9DF6">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50A48C60">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批发业</w:t>
            </w:r>
          </w:p>
        </w:tc>
        <w:tc>
          <w:tcPr>
            <w:tcW w:w="1384" w:type="dxa"/>
            <w:tcBorders>
              <w:top w:val="nil"/>
              <w:left w:val="nil"/>
              <w:bottom w:val="single" w:color="auto" w:sz="4" w:space="0"/>
              <w:right w:val="single" w:color="auto" w:sz="4" w:space="0"/>
            </w:tcBorders>
            <w:vAlign w:val="center"/>
          </w:tcPr>
          <w:p w14:paraId="15872437">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1C6E862F">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14:paraId="4E9A2439">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20≤X＜200</w:t>
            </w:r>
          </w:p>
        </w:tc>
        <w:tc>
          <w:tcPr>
            <w:tcW w:w="1440" w:type="dxa"/>
            <w:tcBorders>
              <w:top w:val="nil"/>
              <w:left w:val="nil"/>
              <w:bottom w:val="single" w:color="auto" w:sz="4" w:space="0"/>
              <w:right w:val="single" w:color="auto" w:sz="4" w:space="0"/>
            </w:tcBorders>
            <w:vAlign w:val="center"/>
          </w:tcPr>
          <w:p w14:paraId="08631E73">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5≤X＜20</w:t>
            </w:r>
          </w:p>
        </w:tc>
        <w:tc>
          <w:tcPr>
            <w:tcW w:w="925" w:type="dxa"/>
            <w:tcBorders>
              <w:top w:val="nil"/>
              <w:left w:val="nil"/>
              <w:bottom w:val="single" w:color="auto" w:sz="4" w:space="0"/>
              <w:right w:val="single" w:color="auto" w:sz="4" w:space="0"/>
            </w:tcBorders>
            <w:vAlign w:val="center"/>
          </w:tcPr>
          <w:p w14:paraId="37EBE742">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X＜5</w:t>
            </w:r>
          </w:p>
        </w:tc>
      </w:tr>
      <w:tr w14:paraId="38DB0AC9">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51216BF6">
            <w:pPr>
              <w:widowControl/>
              <w:jc w:val="left"/>
              <w:rPr>
                <w:rFonts w:ascii="宋体" w:hAnsi="宋体"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125120B7">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2A45A796">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7F92485D">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5000≤Y＜40000</w:t>
            </w:r>
          </w:p>
        </w:tc>
        <w:tc>
          <w:tcPr>
            <w:tcW w:w="1440" w:type="dxa"/>
            <w:tcBorders>
              <w:top w:val="nil"/>
              <w:left w:val="nil"/>
              <w:bottom w:val="single" w:color="auto" w:sz="4" w:space="0"/>
              <w:right w:val="single" w:color="auto" w:sz="4" w:space="0"/>
            </w:tcBorders>
            <w:vAlign w:val="center"/>
          </w:tcPr>
          <w:p w14:paraId="208CA565">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1000≤Y＜5000</w:t>
            </w:r>
          </w:p>
        </w:tc>
        <w:tc>
          <w:tcPr>
            <w:tcW w:w="925" w:type="dxa"/>
            <w:tcBorders>
              <w:top w:val="nil"/>
              <w:left w:val="nil"/>
              <w:bottom w:val="single" w:color="auto" w:sz="4" w:space="0"/>
              <w:right w:val="single" w:color="auto" w:sz="4" w:space="0"/>
            </w:tcBorders>
            <w:vAlign w:val="center"/>
          </w:tcPr>
          <w:p w14:paraId="5ED61921">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w:t>
            </w:r>
          </w:p>
        </w:tc>
      </w:tr>
      <w:tr w14:paraId="379A5BDE">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287D820B">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零售业</w:t>
            </w:r>
          </w:p>
        </w:tc>
        <w:tc>
          <w:tcPr>
            <w:tcW w:w="1384" w:type="dxa"/>
            <w:tcBorders>
              <w:top w:val="nil"/>
              <w:left w:val="nil"/>
              <w:bottom w:val="single" w:color="auto" w:sz="4" w:space="0"/>
              <w:right w:val="single" w:color="auto" w:sz="4" w:space="0"/>
            </w:tcBorders>
            <w:vAlign w:val="center"/>
          </w:tcPr>
          <w:p w14:paraId="590FF3D3">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213A4D39">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14:paraId="16FC1F10">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50≤X＜300</w:t>
            </w:r>
          </w:p>
        </w:tc>
        <w:tc>
          <w:tcPr>
            <w:tcW w:w="1440" w:type="dxa"/>
            <w:tcBorders>
              <w:top w:val="nil"/>
              <w:left w:val="nil"/>
              <w:bottom w:val="single" w:color="auto" w:sz="4" w:space="0"/>
              <w:right w:val="single" w:color="auto" w:sz="4" w:space="0"/>
            </w:tcBorders>
            <w:vAlign w:val="center"/>
          </w:tcPr>
          <w:p w14:paraId="44B6F3D0">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10≤X＜50</w:t>
            </w:r>
          </w:p>
        </w:tc>
        <w:tc>
          <w:tcPr>
            <w:tcW w:w="925" w:type="dxa"/>
            <w:tcBorders>
              <w:top w:val="nil"/>
              <w:left w:val="nil"/>
              <w:bottom w:val="single" w:color="auto" w:sz="4" w:space="0"/>
              <w:right w:val="single" w:color="auto" w:sz="4" w:space="0"/>
            </w:tcBorders>
            <w:vAlign w:val="center"/>
          </w:tcPr>
          <w:p w14:paraId="1995D1F3">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01425866">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349E07E4">
            <w:pPr>
              <w:widowControl/>
              <w:jc w:val="left"/>
              <w:rPr>
                <w:rFonts w:ascii="宋体" w:hAnsi="宋体"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6252911B">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33ACC453">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5573C6F6">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500≤Y＜20000</w:t>
            </w:r>
          </w:p>
        </w:tc>
        <w:tc>
          <w:tcPr>
            <w:tcW w:w="1440" w:type="dxa"/>
            <w:tcBorders>
              <w:top w:val="nil"/>
              <w:left w:val="nil"/>
              <w:bottom w:val="single" w:color="auto" w:sz="4" w:space="0"/>
              <w:right w:val="single" w:color="auto" w:sz="4" w:space="0"/>
            </w:tcBorders>
            <w:vAlign w:val="center"/>
          </w:tcPr>
          <w:p w14:paraId="1B8E69A2">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100≤Y＜500</w:t>
            </w:r>
          </w:p>
        </w:tc>
        <w:tc>
          <w:tcPr>
            <w:tcW w:w="925" w:type="dxa"/>
            <w:tcBorders>
              <w:top w:val="nil"/>
              <w:left w:val="nil"/>
              <w:bottom w:val="single" w:color="auto" w:sz="4" w:space="0"/>
              <w:right w:val="single" w:color="auto" w:sz="4" w:space="0"/>
            </w:tcBorders>
            <w:vAlign w:val="center"/>
          </w:tcPr>
          <w:p w14:paraId="4512601D">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5C5014E1">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4B8E0C1E">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交通运输业</w:t>
            </w:r>
          </w:p>
        </w:tc>
        <w:tc>
          <w:tcPr>
            <w:tcW w:w="1384" w:type="dxa"/>
            <w:tcBorders>
              <w:top w:val="nil"/>
              <w:left w:val="nil"/>
              <w:bottom w:val="single" w:color="auto" w:sz="4" w:space="0"/>
              <w:right w:val="single" w:color="auto" w:sz="4" w:space="0"/>
            </w:tcBorders>
            <w:vAlign w:val="center"/>
          </w:tcPr>
          <w:p w14:paraId="0CBCDE43">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487B8C62">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14:paraId="3295D355">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40" w:type="dxa"/>
            <w:tcBorders>
              <w:top w:val="nil"/>
              <w:left w:val="nil"/>
              <w:bottom w:val="single" w:color="auto" w:sz="4" w:space="0"/>
              <w:right w:val="single" w:color="auto" w:sz="4" w:space="0"/>
            </w:tcBorders>
            <w:vAlign w:val="center"/>
          </w:tcPr>
          <w:p w14:paraId="4FC21663">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925" w:type="dxa"/>
            <w:tcBorders>
              <w:top w:val="nil"/>
              <w:left w:val="nil"/>
              <w:bottom w:val="single" w:color="auto" w:sz="4" w:space="0"/>
              <w:right w:val="single" w:color="auto" w:sz="4" w:space="0"/>
            </w:tcBorders>
            <w:vAlign w:val="center"/>
          </w:tcPr>
          <w:p w14:paraId="0236CC98">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1E121EDE">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1F4A7237">
            <w:pPr>
              <w:widowControl/>
              <w:jc w:val="left"/>
              <w:rPr>
                <w:rFonts w:ascii="宋体" w:hAnsi="宋体"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48BA4D1A">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34E280E6">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60C9E54A">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3000≤Y＜30000</w:t>
            </w:r>
          </w:p>
        </w:tc>
        <w:tc>
          <w:tcPr>
            <w:tcW w:w="1440" w:type="dxa"/>
            <w:tcBorders>
              <w:top w:val="nil"/>
              <w:left w:val="nil"/>
              <w:bottom w:val="single" w:color="auto" w:sz="4" w:space="0"/>
              <w:right w:val="single" w:color="auto" w:sz="4" w:space="0"/>
            </w:tcBorders>
            <w:vAlign w:val="center"/>
          </w:tcPr>
          <w:p w14:paraId="26ED9E70">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200≤Y＜3000</w:t>
            </w:r>
          </w:p>
        </w:tc>
        <w:tc>
          <w:tcPr>
            <w:tcW w:w="925" w:type="dxa"/>
            <w:tcBorders>
              <w:top w:val="nil"/>
              <w:left w:val="nil"/>
              <w:bottom w:val="single" w:color="auto" w:sz="4" w:space="0"/>
              <w:right w:val="single" w:color="auto" w:sz="4" w:space="0"/>
            </w:tcBorders>
            <w:vAlign w:val="center"/>
          </w:tcPr>
          <w:p w14:paraId="4B26F591">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w:t>
            </w:r>
          </w:p>
        </w:tc>
      </w:tr>
      <w:tr w14:paraId="724C9994">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6B05D791">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仓储业</w:t>
            </w:r>
          </w:p>
        </w:tc>
        <w:tc>
          <w:tcPr>
            <w:tcW w:w="1384" w:type="dxa"/>
            <w:tcBorders>
              <w:top w:val="nil"/>
              <w:left w:val="nil"/>
              <w:bottom w:val="single" w:color="auto" w:sz="4" w:space="0"/>
              <w:right w:val="single" w:color="auto" w:sz="4" w:space="0"/>
            </w:tcBorders>
            <w:vAlign w:val="center"/>
          </w:tcPr>
          <w:p w14:paraId="0ECE8B0D">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487BD6C3">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14:paraId="3CEA592F">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100≤X＜200</w:t>
            </w:r>
          </w:p>
        </w:tc>
        <w:tc>
          <w:tcPr>
            <w:tcW w:w="1440" w:type="dxa"/>
            <w:tcBorders>
              <w:top w:val="nil"/>
              <w:left w:val="nil"/>
              <w:bottom w:val="single" w:color="auto" w:sz="4" w:space="0"/>
              <w:right w:val="single" w:color="auto" w:sz="4" w:space="0"/>
            </w:tcBorders>
            <w:vAlign w:val="center"/>
          </w:tcPr>
          <w:p w14:paraId="1895F5EA">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20≤X＜100</w:t>
            </w:r>
          </w:p>
        </w:tc>
        <w:tc>
          <w:tcPr>
            <w:tcW w:w="925" w:type="dxa"/>
            <w:tcBorders>
              <w:top w:val="nil"/>
              <w:left w:val="nil"/>
              <w:bottom w:val="single" w:color="auto" w:sz="4" w:space="0"/>
              <w:right w:val="single" w:color="auto" w:sz="4" w:space="0"/>
            </w:tcBorders>
            <w:vAlign w:val="center"/>
          </w:tcPr>
          <w:p w14:paraId="122FE0EE">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615E894E">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2A0332C5">
            <w:pPr>
              <w:widowControl/>
              <w:jc w:val="left"/>
              <w:rPr>
                <w:rFonts w:ascii="宋体" w:hAnsi="宋体"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3DF10EE2">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18A52F98">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588281BB">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1000≤Y＜30000</w:t>
            </w:r>
          </w:p>
        </w:tc>
        <w:tc>
          <w:tcPr>
            <w:tcW w:w="1440" w:type="dxa"/>
            <w:tcBorders>
              <w:top w:val="nil"/>
              <w:left w:val="nil"/>
              <w:bottom w:val="single" w:color="auto" w:sz="4" w:space="0"/>
              <w:right w:val="single" w:color="auto" w:sz="4" w:space="0"/>
            </w:tcBorders>
            <w:vAlign w:val="center"/>
          </w:tcPr>
          <w:p w14:paraId="5006FBF3">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925" w:type="dxa"/>
            <w:tcBorders>
              <w:top w:val="nil"/>
              <w:left w:val="nil"/>
              <w:bottom w:val="single" w:color="auto" w:sz="4" w:space="0"/>
              <w:right w:val="single" w:color="auto" w:sz="4" w:space="0"/>
            </w:tcBorders>
            <w:vAlign w:val="center"/>
          </w:tcPr>
          <w:p w14:paraId="080E2F63">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7DDD0B7C">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36CB2918">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邮政业</w:t>
            </w:r>
          </w:p>
        </w:tc>
        <w:tc>
          <w:tcPr>
            <w:tcW w:w="1384" w:type="dxa"/>
            <w:tcBorders>
              <w:top w:val="nil"/>
              <w:left w:val="nil"/>
              <w:bottom w:val="single" w:color="auto" w:sz="4" w:space="0"/>
              <w:right w:val="single" w:color="auto" w:sz="4" w:space="0"/>
            </w:tcBorders>
            <w:vAlign w:val="center"/>
          </w:tcPr>
          <w:p w14:paraId="25F5E0FE">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60127B0F">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14:paraId="1ABBBEF5">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40" w:type="dxa"/>
            <w:tcBorders>
              <w:top w:val="nil"/>
              <w:left w:val="nil"/>
              <w:bottom w:val="single" w:color="auto" w:sz="4" w:space="0"/>
              <w:right w:val="single" w:color="auto" w:sz="4" w:space="0"/>
            </w:tcBorders>
            <w:vAlign w:val="center"/>
          </w:tcPr>
          <w:p w14:paraId="4D5F3FA5">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925" w:type="dxa"/>
            <w:tcBorders>
              <w:top w:val="nil"/>
              <w:left w:val="nil"/>
              <w:bottom w:val="single" w:color="auto" w:sz="4" w:space="0"/>
              <w:right w:val="single" w:color="auto" w:sz="4" w:space="0"/>
            </w:tcBorders>
            <w:vAlign w:val="center"/>
          </w:tcPr>
          <w:p w14:paraId="2917B4B7">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28FC46C8">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4691B1E5">
            <w:pPr>
              <w:widowControl/>
              <w:jc w:val="left"/>
              <w:rPr>
                <w:rFonts w:ascii="宋体" w:hAnsi="宋体"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4CCAF764">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4FF575F0">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61662AC1">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2000≤Y＜30000</w:t>
            </w:r>
          </w:p>
        </w:tc>
        <w:tc>
          <w:tcPr>
            <w:tcW w:w="1440" w:type="dxa"/>
            <w:tcBorders>
              <w:top w:val="nil"/>
              <w:left w:val="nil"/>
              <w:bottom w:val="single" w:color="auto" w:sz="4" w:space="0"/>
              <w:right w:val="single" w:color="auto" w:sz="4" w:space="0"/>
            </w:tcBorders>
            <w:vAlign w:val="center"/>
          </w:tcPr>
          <w:p w14:paraId="08AC6D92">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925" w:type="dxa"/>
            <w:tcBorders>
              <w:top w:val="nil"/>
              <w:left w:val="nil"/>
              <w:bottom w:val="single" w:color="auto" w:sz="4" w:space="0"/>
              <w:right w:val="single" w:color="auto" w:sz="4" w:space="0"/>
            </w:tcBorders>
            <w:vAlign w:val="center"/>
          </w:tcPr>
          <w:p w14:paraId="3F9789D9">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36791926">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1CD0FB42">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住宿业</w:t>
            </w:r>
          </w:p>
        </w:tc>
        <w:tc>
          <w:tcPr>
            <w:tcW w:w="1384" w:type="dxa"/>
            <w:tcBorders>
              <w:top w:val="nil"/>
              <w:left w:val="nil"/>
              <w:bottom w:val="single" w:color="auto" w:sz="4" w:space="0"/>
              <w:right w:val="single" w:color="auto" w:sz="4" w:space="0"/>
            </w:tcBorders>
            <w:vAlign w:val="center"/>
          </w:tcPr>
          <w:p w14:paraId="6DEDB125">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1C056D6C">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14:paraId="0C738121">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440" w:type="dxa"/>
            <w:tcBorders>
              <w:top w:val="nil"/>
              <w:left w:val="nil"/>
              <w:bottom w:val="single" w:color="auto" w:sz="4" w:space="0"/>
              <w:right w:val="single" w:color="auto" w:sz="4" w:space="0"/>
            </w:tcBorders>
            <w:vAlign w:val="center"/>
          </w:tcPr>
          <w:p w14:paraId="32A82B95">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25" w:type="dxa"/>
            <w:tcBorders>
              <w:top w:val="nil"/>
              <w:left w:val="nil"/>
              <w:bottom w:val="single" w:color="auto" w:sz="4" w:space="0"/>
              <w:right w:val="single" w:color="auto" w:sz="4" w:space="0"/>
            </w:tcBorders>
            <w:vAlign w:val="center"/>
          </w:tcPr>
          <w:p w14:paraId="3A3D9D22">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5F31CD11">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3A1B9324">
            <w:pPr>
              <w:widowControl/>
              <w:jc w:val="left"/>
              <w:rPr>
                <w:rFonts w:ascii="宋体" w:hAnsi="宋体"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1DAFA92D">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26ABA21B">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5B389F81">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2000≤Y＜10000</w:t>
            </w:r>
          </w:p>
        </w:tc>
        <w:tc>
          <w:tcPr>
            <w:tcW w:w="1440" w:type="dxa"/>
            <w:tcBorders>
              <w:top w:val="nil"/>
              <w:left w:val="nil"/>
              <w:bottom w:val="single" w:color="auto" w:sz="4" w:space="0"/>
              <w:right w:val="single" w:color="auto" w:sz="4" w:space="0"/>
            </w:tcBorders>
            <w:vAlign w:val="center"/>
          </w:tcPr>
          <w:p w14:paraId="6AA72EE3">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925" w:type="dxa"/>
            <w:tcBorders>
              <w:top w:val="nil"/>
              <w:left w:val="nil"/>
              <w:bottom w:val="single" w:color="auto" w:sz="4" w:space="0"/>
              <w:right w:val="single" w:color="auto" w:sz="4" w:space="0"/>
            </w:tcBorders>
            <w:vAlign w:val="center"/>
          </w:tcPr>
          <w:p w14:paraId="7040CDEB">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06C3F74F">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117EE5D1">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餐饮业</w:t>
            </w:r>
          </w:p>
        </w:tc>
        <w:tc>
          <w:tcPr>
            <w:tcW w:w="1384" w:type="dxa"/>
            <w:tcBorders>
              <w:top w:val="nil"/>
              <w:left w:val="nil"/>
              <w:bottom w:val="single" w:color="auto" w:sz="4" w:space="0"/>
              <w:right w:val="single" w:color="auto" w:sz="4" w:space="0"/>
            </w:tcBorders>
            <w:vAlign w:val="center"/>
          </w:tcPr>
          <w:p w14:paraId="1F475E7D">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2D988EDA">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14:paraId="20981CD8">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440" w:type="dxa"/>
            <w:tcBorders>
              <w:top w:val="nil"/>
              <w:left w:val="nil"/>
              <w:bottom w:val="single" w:color="auto" w:sz="4" w:space="0"/>
              <w:right w:val="single" w:color="auto" w:sz="4" w:space="0"/>
            </w:tcBorders>
            <w:vAlign w:val="center"/>
          </w:tcPr>
          <w:p w14:paraId="258AF44C">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25" w:type="dxa"/>
            <w:tcBorders>
              <w:top w:val="nil"/>
              <w:left w:val="nil"/>
              <w:bottom w:val="single" w:color="auto" w:sz="4" w:space="0"/>
              <w:right w:val="single" w:color="auto" w:sz="4" w:space="0"/>
            </w:tcBorders>
            <w:vAlign w:val="center"/>
          </w:tcPr>
          <w:p w14:paraId="74180AC9">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48D93F68">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6BBF689F">
            <w:pPr>
              <w:widowControl/>
              <w:jc w:val="left"/>
              <w:rPr>
                <w:rFonts w:ascii="宋体" w:hAnsi="宋体"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2528D567">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5461B56A">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5F1CB552">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2000≤Y＜10000</w:t>
            </w:r>
          </w:p>
        </w:tc>
        <w:tc>
          <w:tcPr>
            <w:tcW w:w="1440" w:type="dxa"/>
            <w:tcBorders>
              <w:top w:val="nil"/>
              <w:left w:val="nil"/>
              <w:bottom w:val="single" w:color="auto" w:sz="4" w:space="0"/>
              <w:right w:val="single" w:color="auto" w:sz="4" w:space="0"/>
            </w:tcBorders>
            <w:vAlign w:val="center"/>
          </w:tcPr>
          <w:p w14:paraId="59931C2F">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925" w:type="dxa"/>
            <w:tcBorders>
              <w:top w:val="nil"/>
              <w:left w:val="nil"/>
              <w:bottom w:val="single" w:color="auto" w:sz="4" w:space="0"/>
              <w:right w:val="single" w:color="auto" w:sz="4" w:space="0"/>
            </w:tcBorders>
            <w:vAlign w:val="center"/>
          </w:tcPr>
          <w:p w14:paraId="7927AB58">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328EEE41">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1074313B">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信息传输业</w:t>
            </w:r>
          </w:p>
        </w:tc>
        <w:tc>
          <w:tcPr>
            <w:tcW w:w="1384" w:type="dxa"/>
            <w:tcBorders>
              <w:top w:val="nil"/>
              <w:left w:val="nil"/>
              <w:bottom w:val="single" w:color="auto" w:sz="4" w:space="0"/>
              <w:right w:val="single" w:color="auto" w:sz="4" w:space="0"/>
            </w:tcBorders>
            <w:vAlign w:val="center"/>
          </w:tcPr>
          <w:p w14:paraId="03E1BEC9">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088ED55A">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14:paraId="25AE0519">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100≤X＜2000</w:t>
            </w:r>
          </w:p>
        </w:tc>
        <w:tc>
          <w:tcPr>
            <w:tcW w:w="1440" w:type="dxa"/>
            <w:tcBorders>
              <w:top w:val="nil"/>
              <w:left w:val="nil"/>
              <w:bottom w:val="single" w:color="auto" w:sz="4" w:space="0"/>
              <w:right w:val="single" w:color="auto" w:sz="4" w:space="0"/>
            </w:tcBorders>
            <w:vAlign w:val="center"/>
          </w:tcPr>
          <w:p w14:paraId="50C8F89A">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25" w:type="dxa"/>
            <w:tcBorders>
              <w:top w:val="nil"/>
              <w:left w:val="nil"/>
              <w:bottom w:val="single" w:color="auto" w:sz="4" w:space="0"/>
              <w:right w:val="single" w:color="auto" w:sz="4" w:space="0"/>
            </w:tcBorders>
            <w:vAlign w:val="center"/>
          </w:tcPr>
          <w:p w14:paraId="1C836D56">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5CD0F69D">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6DE5ECA9">
            <w:pPr>
              <w:widowControl/>
              <w:jc w:val="left"/>
              <w:rPr>
                <w:rFonts w:ascii="宋体" w:hAnsi="宋体"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096BF22F">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73662E6B">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04BAEB2A">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1000≤Y＜100000</w:t>
            </w:r>
          </w:p>
        </w:tc>
        <w:tc>
          <w:tcPr>
            <w:tcW w:w="1440" w:type="dxa"/>
            <w:tcBorders>
              <w:top w:val="nil"/>
              <w:left w:val="nil"/>
              <w:bottom w:val="single" w:color="auto" w:sz="4" w:space="0"/>
              <w:right w:val="single" w:color="auto" w:sz="4" w:space="0"/>
            </w:tcBorders>
            <w:vAlign w:val="center"/>
          </w:tcPr>
          <w:p w14:paraId="7A6483A8">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925" w:type="dxa"/>
            <w:tcBorders>
              <w:top w:val="nil"/>
              <w:left w:val="nil"/>
              <w:bottom w:val="single" w:color="auto" w:sz="4" w:space="0"/>
              <w:right w:val="single" w:color="auto" w:sz="4" w:space="0"/>
            </w:tcBorders>
            <w:vAlign w:val="center"/>
          </w:tcPr>
          <w:p w14:paraId="588BD600">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5EE92F07">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4538A8F5">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软件和信息技术服务业</w:t>
            </w:r>
          </w:p>
        </w:tc>
        <w:tc>
          <w:tcPr>
            <w:tcW w:w="1384" w:type="dxa"/>
            <w:tcBorders>
              <w:top w:val="nil"/>
              <w:left w:val="nil"/>
              <w:bottom w:val="single" w:color="auto" w:sz="4" w:space="0"/>
              <w:right w:val="single" w:color="auto" w:sz="4" w:space="0"/>
            </w:tcBorders>
            <w:vAlign w:val="center"/>
          </w:tcPr>
          <w:p w14:paraId="6D3B3A87">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3F843335">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14:paraId="116D5A04">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440" w:type="dxa"/>
            <w:tcBorders>
              <w:top w:val="nil"/>
              <w:left w:val="nil"/>
              <w:bottom w:val="single" w:color="auto" w:sz="4" w:space="0"/>
              <w:right w:val="single" w:color="auto" w:sz="4" w:space="0"/>
            </w:tcBorders>
            <w:vAlign w:val="center"/>
          </w:tcPr>
          <w:p w14:paraId="6D3A9860">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25" w:type="dxa"/>
            <w:tcBorders>
              <w:top w:val="nil"/>
              <w:left w:val="nil"/>
              <w:bottom w:val="single" w:color="auto" w:sz="4" w:space="0"/>
              <w:right w:val="single" w:color="auto" w:sz="4" w:space="0"/>
            </w:tcBorders>
            <w:vAlign w:val="center"/>
          </w:tcPr>
          <w:p w14:paraId="214AA8B5">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528CA875">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66DC009F">
            <w:pPr>
              <w:widowControl/>
              <w:jc w:val="left"/>
              <w:rPr>
                <w:rFonts w:ascii="宋体" w:hAnsi="宋体"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17FF9B94">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54F793CD">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74E6E20B">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1000≤Y＜10000</w:t>
            </w:r>
          </w:p>
        </w:tc>
        <w:tc>
          <w:tcPr>
            <w:tcW w:w="1440" w:type="dxa"/>
            <w:tcBorders>
              <w:top w:val="nil"/>
              <w:left w:val="nil"/>
              <w:bottom w:val="single" w:color="auto" w:sz="4" w:space="0"/>
              <w:right w:val="single" w:color="auto" w:sz="4" w:space="0"/>
            </w:tcBorders>
            <w:vAlign w:val="center"/>
          </w:tcPr>
          <w:p w14:paraId="3FAB0B0A">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50≤Y＜1000</w:t>
            </w:r>
          </w:p>
        </w:tc>
        <w:tc>
          <w:tcPr>
            <w:tcW w:w="925" w:type="dxa"/>
            <w:tcBorders>
              <w:top w:val="nil"/>
              <w:left w:val="nil"/>
              <w:bottom w:val="single" w:color="auto" w:sz="4" w:space="0"/>
              <w:right w:val="single" w:color="auto" w:sz="4" w:space="0"/>
            </w:tcBorders>
            <w:vAlign w:val="center"/>
          </w:tcPr>
          <w:p w14:paraId="1B470E3E">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w:t>
            </w:r>
          </w:p>
        </w:tc>
      </w:tr>
      <w:tr w14:paraId="7CA90A6E">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487B0664">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房地产开发经营</w:t>
            </w:r>
          </w:p>
        </w:tc>
        <w:tc>
          <w:tcPr>
            <w:tcW w:w="1384" w:type="dxa"/>
            <w:tcBorders>
              <w:top w:val="nil"/>
              <w:left w:val="nil"/>
              <w:bottom w:val="single" w:color="auto" w:sz="4" w:space="0"/>
              <w:right w:val="single" w:color="auto" w:sz="4" w:space="0"/>
            </w:tcBorders>
            <w:vAlign w:val="center"/>
          </w:tcPr>
          <w:p w14:paraId="497D14C8">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45C1A3CE">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0462FAFA">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1000≤Y＜200000</w:t>
            </w:r>
          </w:p>
        </w:tc>
        <w:tc>
          <w:tcPr>
            <w:tcW w:w="1440" w:type="dxa"/>
            <w:tcBorders>
              <w:top w:val="nil"/>
              <w:left w:val="nil"/>
              <w:bottom w:val="single" w:color="auto" w:sz="4" w:space="0"/>
              <w:right w:val="single" w:color="auto" w:sz="4" w:space="0"/>
            </w:tcBorders>
            <w:vAlign w:val="center"/>
          </w:tcPr>
          <w:p w14:paraId="68317423">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100≤X＜1000</w:t>
            </w:r>
          </w:p>
        </w:tc>
        <w:tc>
          <w:tcPr>
            <w:tcW w:w="925" w:type="dxa"/>
            <w:tcBorders>
              <w:top w:val="nil"/>
              <w:left w:val="nil"/>
              <w:bottom w:val="single" w:color="auto" w:sz="4" w:space="0"/>
              <w:right w:val="single" w:color="auto" w:sz="4" w:space="0"/>
            </w:tcBorders>
            <w:vAlign w:val="center"/>
          </w:tcPr>
          <w:p w14:paraId="51047A1E">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w:t>
            </w:r>
          </w:p>
        </w:tc>
      </w:tr>
      <w:tr w14:paraId="1F05A5D0">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18D94D6D">
            <w:pPr>
              <w:widowControl/>
              <w:jc w:val="left"/>
              <w:rPr>
                <w:rFonts w:ascii="宋体" w:hAnsi="宋体"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13A2F4F1">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913" w:type="dxa"/>
            <w:tcBorders>
              <w:top w:val="nil"/>
              <w:left w:val="nil"/>
              <w:bottom w:val="single" w:color="auto" w:sz="4" w:space="0"/>
              <w:right w:val="single" w:color="auto" w:sz="4" w:space="0"/>
            </w:tcBorders>
            <w:vAlign w:val="center"/>
          </w:tcPr>
          <w:p w14:paraId="1708ECCF">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35CA763C">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5000≤Z＜10000</w:t>
            </w:r>
          </w:p>
        </w:tc>
        <w:tc>
          <w:tcPr>
            <w:tcW w:w="1440" w:type="dxa"/>
            <w:tcBorders>
              <w:top w:val="nil"/>
              <w:left w:val="nil"/>
              <w:bottom w:val="single" w:color="auto" w:sz="4" w:space="0"/>
              <w:right w:val="single" w:color="auto" w:sz="4" w:space="0"/>
            </w:tcBorders>
            <w:vAlign w:val="center"/>
          </w:tcPr>
          <w:p w14:paraId="42BA9D76">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2000≤Y＜5000</w:t>
            </w:r>
          </w:p>
        </w:tc>
        <w:tc>
          <w:tcPr>
            <w:tcW w:w="925" w:type="dxa"/>
            <w:tcBorders>
              <w:top w:val="nil"/>
              <w:left w:val="nil"/>
              <w:bottom w:val="single" w:color="auto" w:sz="4" w:space="0"/>
              <w:right w:val="single" w:color="auto" w:sz="4" w:space="0"/>
            </w:tcBorders>
            <w:vAlign w:val="center"/>
          </w:tcPr>
          <w:p w14:paraId="2FAB6C05">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Y＜2000</w:t>
            </w:r>
          </w:p>
        </w:tc>
      </w:tr>
      <w:tr w14:paraId="56A4171B">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42CE408E">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物业管理</w:t>
            </w:r>
          </w:p>
        </w:tc>
        <w:tc>
          <w:tcPr>
            <w:tcW w:w="1384" w:type="dxa"/>
            <w:tcBorders>
              <w:top w:val="nil"/>
              <w:left w:val="nil"/>
              <w:bottom w:val="single" w:color="auto" w:sz="4" w:space="0"/>
              <w:right w:val="single" w:color="auto" w:sz="4" w:space="0"/>
            </w:tcBorders>
            <w:vAlign w:val="center"/>
          </w:tcPr>
          <w:p w14:paraId="0D7CC088">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2BAB1C77">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14:paraId="742AB62A">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40" w:type="dxa"/>
            <w:tcBorders>
              <w:top w:val="nil"/>
              <w:left w:val="nil"/>
              <w:bottom w:val="single" w:color="auto" w:sz="4" w:space="0"/>
              <w:right w:val="single" w:color="auto" w:sz="4" w:space="0"/>
            </w:tcBorders>
            <w:vAlign w:val="center"/>
          </w:tcPr>
          <w:p w14:paraId="644172A3">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925" w:type="dxa"/>
            <w:tcBorders>
              <w:top w:val="nil"/>
              <w:left w:val="nil"/>
              <w:bottom w:val="single" w:color="auto" w:sz="4" w:space="0"/>
              <w:right w:val="single" w:color="auto" w:sz="4" w:space="0"/>
            </w:tcBorders>
            <w:vAlign w:val="center"/>
          </w:tcPr>
          <w:p w14:paraId="0649C11C">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w:t>
            </w:r>
          </w:p>
        </w:tc>
      </w:tr>
      <w:tr w14:paraId="00B7CCDB">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00ED443A">
            <w:pPr>
              <w:widowControl/>
              <w:jc w:val="left"/>
              <w:rPr>
                <w:rFonts w:ascii="宋体" w:hAnsi="宋体"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1F7AB368">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56EA231A">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60E7599E">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1000≤Y＜5000</w:t>
            </w:r>
          </w:p>
        </w:tc>
        <w:tc>
          <w:tcPr>
            <w:tcW w:w="1440" w:type="dxa"/>
            <w:tcBorders>
              <w:top w:val="nil"/>
              <w:left w:val="nil"/>
              <w:bottom w:val="single" w:color="auto" w:sz="4" w:space="0"/>
              <w:right w:val="single" w:color="auto" w:sz="4" w:space="0"/>
            </w:tcBorders>
            <w:vAlign w:val="center"/>
          </w:tcPr>
          <w:p w14:paraId="65E5C445">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500≤Y＜1000</w:t>
            </w:r>
          </w:p>
        </w:tc>
        <w:tc>
          <w:tcPr>
            <w:tcW w:w="925" w:type="dxa"/>
            <w:tcBorders>
              <w:top w:val="nil"/>
              <w:left w:val="nil"/>
              <w:bottom w:val="single" w:color="auto" w:sz="4" w:space="0"/>
              <w:right w:val="single" w:color="auto" w:sz="4" w:space="0"/>
            </w:tcBorders>
            <w:vAlign w:val="center"/>
          </w:tcPr>
          <w:p w14:paraId="60D87E56">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Y＜500</w:t>
            </w:r>
          </w:p>
        </w:tc>
      </w:tr>
      <w:tr w14:paraId="1E5868DF">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6C4B0948">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租赁和商务服务业</w:t>
            </w:r>
          </w:p>
        </w:tc>
        <w:tc>
          <w:tcPr>
            <w:tcW w:w="1384" w:type="dxa"/>
            <w:tcBorders>
              <w:top w:val="nil"/>
              <w:left w:val="nil"/>
              <w:bottom w:val="single" w:color="auto" w:sz="4" w:space="0"/>
              <w:right w:val="single" w:color="auto" w:sz="4" w:space="0"/>
            </w:tcBorders>
            <w:vAlign w:val="center"/>
          </w:tcPr>
          <w:p w14:paraId="1D32C21B">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654DC74C">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14:paraId="62F344B4">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440" w:type="dxa"/>
            <w:tcBorders>
              <w:top w:val="nil"/>
              <w:left w:val="nil"/>
              <w:bottom w:val="single" w:color="auto" w:sz="4" w:space="0"/>
              <w:right w:val="single" w:color="auto" w:sz="4" w:space="0"/>
            </w:tcBorders>
            <w:vAlign w:val="center"/>
          </w:tcPr>
          <w:p w14:paraId="6884A3B9">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25" w:type="dxa"/>
            <w:tcBorders>
              <w:top w:val="nil"/>
              <w:left w:val="nil"/>
              <w:bottom w:val="single" w:color="auto" w:sz="4" w:space="0"/>
              <w:right w:val="single" w:color="auto" w:sz="4" w:space="0"/>
            </w:tcBorders>
            <w:vAlign w:val="center"/>
          </w:tcPr>
          <w:p w14:paraId="622E9A97">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6AEBC16A">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2C230E4A">
            <w:pPr>
              <w:widowControl/>
              <w:jc w:val="left"/>
              <w:rPr>
                <w:rFonts w:ascii="宋体" w:hAnsi="宋体"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7D3D89C7">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913" w:type="dxa"/>
            <w:tcBorders>
              <w:top w:val="nil"/>
              <w:left w:val="nil"/>
              <w:bottom w:val="single" w:color="auto" w:sz="4" w:space="0"/>
              <w:right w:val="single" w:color="auto" w:sz="4" w:space="0"/>
            </w:tcBorders>
            <w:vAlign w:val="center"/>
          </w:tcPr>
          <w:p w14:paraId="2A49F4E5">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6CC4B594">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8000≤Z＜120000</w:t>
            </w:r>
          </w:p>
        </w:tc>
        <w:tc>
          <w:tcPr>
            <w:tcW w:w="1440" w:type="dxa"/>
            <w:tcBorders>
              <w:top w:val="nil"/>
              <w:left w:val="nil"/>
              <w:bottom w:val="single" w:color="auto" w:sz="4" w:space="0"/>
              <w:right w:val="single" w:color="auto" w:sz="4" w:space="0"/>
            </w:tcBorders>
            <w:vAlign w:val="center"/>
          </w:tcPr>
          <w:p w14:paraId="3C218711">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100≤Z＜8000</w:t>
            </w:r>
          </w:p>
        </w:tc>
        <w:tc>
          <w:tcPr>
            <w:tcW w:w="925" w:type="dxa"/>
            <w:tcBorders>
              <w:top w:val="nil"/>
              <w:left w:val="nil"/>
              <w:bottom w:val="single" w:color="auto" w:sz="4" w:space="0"/>
              <w:right w:val="single" w:color="auto" w:sz="4" w:space="0"/>
            </w:tcBorders>
            <w:vAlign w:val="center"/>
          </w:tcPr>
          <w:p w14:paraId="0654A779">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3713D023">
        <w:tblPrEx>
          <w:tblCellMar>
            <w:top w:w="0" w:type="dxa"/>
            <w:left w:w="108" w:type="dxa"/>
            <w:bottom w:w="0" w:type="dxa"/>
            <w:right w:w="108" w:type="dxa"/>
          </w:tblCellMar>
        </w:tblPrEx>
        <w:trPr>
          <w:trHeight w:val="225" w:hRule="atLeast"/>
          <w:jc w:val="center"/>
        </w:trPr>
        <w:tc>
          <w:tcPr>
            <w:tcW w:w="1701" w:type="dxa"/>
            <w:tcBorders>
              <w:top w:val="nil"/>
              <w:left w:val="single" w:color="auto" w:sz="4" w:space="0"/>
              <w:bottom w:val="single" w:color="auto" w:sz="4" w:space="0"/>
              <w:right w:val="single" w:color="auto" w:sz="4" w:space="0"/>
            </w:tcBorders>
            <w:vAlign w:val="bottom"/>
          </w:tcPr>
          <w:p w14:paraId="5F4EDE27">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其他未列明行业</w:t>
            </w:r>
          </w:p>
        </w:tc>
        <w:tc>
          <w:tcPr>
            <w:tcW w:w="1384" w:type="dxa"/>
            <w:tcBorders>
              <w:top w:val="nil"/>
              <w:left w:val="nil"/>
              <w:bottom w:val="single" w:color="auto" w:sz="4" w:space="0"/>
              <w:right w:val="single" w:color="auto" w:sz="4" w:space="0"/>
            </w:tcBorders>
            <w:vAlign w:val="center"/>
          </w:tcPr>
          <w:p w14:paraId="1FDCC79F">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62B8805A">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14:paraId="0104B201">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440" w:type="dxa"/>
            <w:tcBorders>
              <w:top w:val="nil"/>
              <w:left w:val="nil"/>
              <w:bottom w:val="single" w:color="auto" w:sz="4" w:space="0"/>
              <w:right w:val="single" w:color="auto" w:sz="4" w:space="0"/>
            </w:tcBorders>
            <w:vAlign w:val="center"/>
          </w:tcPr>
          <w:p w14:paraId="78BDE260">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25" w:type="dxa"/>
            <w:tcBorders>
              <w:top w:val="nil"/>
              <w:left w:val="nil"/>
              <w:bottom w:val="single" w:color="auto" w:sz="4" w:space="0"/>
              <w:right w:val="single" w:color="auto" w:sz="4" w:space="0"/>
            </w:tcBorders>
            <w:vAlign w:val="center"/>
          </w:tcPr>
          <w:p w14:paraId="55CF0898">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bl>
    <w:p w14:paraId="62D72252">
      <w:pPr>
        <w:spacing w:line="360" w:lineRule="auto"/>
        <w:ind w:firstLine="525" w:firstLineChars="250"/>
        <w:rPr>
          <w:rFonts w:ascii="宋体" w:hAnsi="宋体" w:cs="宋体"/>
          <w:color w:val="auto"/>
          <w:szCs w:val="21"/>
          <w:highlight w:val="none"/>
        </w:rPr>
      </w:pPr>
    </w:p>
    <w:p w14:paraId="2E07B264">
      <w:pPr>
        <w:spacing w:line="360" w:lineRule="auto"/>
        <w:ind w:firstLine="525" w:firstLineChars="250"/>
        <w:rPr>
          <w:rFonts w:ascii="宋体" w:hAnsi="宋体" w:cs="宋体"/>
          <w:color w:val="auto"/>
          <w:szCs w:val="21"/>
          <w:highlight w:val="none"/>
        </w:rPr>
      </w:pPr>
      <w:r>
        <w:rPr>
          <w:rFonts w:hint="eastAsia" w:ascii="宋体" w:hAnsi="宋体" w:cs="宋体"/>
          <w:color w:val="auto"/>
          <w:szCs w:val="21"/>
          <w:highlight w:val="none"/>
        </w:rPr>
        <w:t>说明：上述标准参照《关于印发中小企业划型标准规定的通知》（工信部联企业[2011]300号），大型、中型和小型企业须同时满足所列指标的下限，否则下划一档；微型企业只须满足所列指标中的一项即可。</w:t>
      </w:r>
    </w:p>
    <w:p w14:paraId="267983D9">
      <w:pPr>
        <w:spacing w:line="520" w:lineRule="exact"/>
        <w:jc w:val="center"/>
        <w:rPr>
          <w:rFonts w:ascii="宋体" w:hAnsi="宋体" w:cs="宋体"/>
          <w:color w:val="auto"/>
          <w:sz w:val="32"/>
          <w:szCs w:val="32"/>
          <w:highlight w:val="none"/>
        </w:rPr>
      </w:pPr>
      <w:r>
        <w:rPr>
          <w:rFonts w:hint="eastAsia" w:ascii="宋体" w:hAnsi="宋体" w:cs="宋体"/>
          <w:color w:val="auto"/>
          <w:sz w:val="24"/>
          <w:highlight w:val="none"/>
        </w:rPr>
        <w:br w:type="page"/>
      </w:r>
      <w:r>
        <w:rPr>
          <w:rFonts w:hint="eastAsia" w:ascii="宋体" w:hAnsi="宋体" w:cs="宋体"/>
          <w:color w:val="auto"/>
          <w:sz w:val="44"/>
          <w:szCs w:val="44"/>
          <w:highlight w:val="none"/>
        </w:rPr>
        <w:t>残疾人福利性单位声明函</w:t>
      </w:r>
    </w:p>
    <w:p w14:paraId="2FEE7F58">
      <w:pPr>
        <w:spacing w:line="360" w:lineRule="auto"/>
        <w:contextualSpacing/>
        <w:rPr>
          <w:rFonts w:ascii="宋体" w:hAnsi="宋体" w:cs="宋体"/>
          <w:color w:val="auto"/>
          <w:sz w:val="32"/>
          <w:szCs w:val="32"/>
          <w:highlight w:val="none"/>
        </w:rPr>
      </w:pPr>
    </w:p>
    <w:p w14:paraId="083082F7">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单位的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项目采购活动提供本单位制造的货物（由本单位承担工程/提供服务），或者提供其他残疾人福利性单位制造的货物（不包括使用非残疾人福利性单位注册商标的货物）。</w:t>
      </w:r>
    </w:p>
    <w:p w14:paraId="6D6CCE98">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6DF57DFF">
      <w:pPr>
        <w:spacing w:line="360" w:lineRule="auto"/>
        <w:contextualSpacing/>
        <w:rPr>
          <w:rFonts w:ascii="宋体" w:hAnsi="宋体" w:cs="宋体"/>
          <w:color w:val="auto"/>
          <w:sz w:val="24"/>
          <w:highlight w:val="none"/>
        </w:rPr>
      </w:pPr>
    </w:p>
    <w:p w14:paraId="66B682DE">
      <w:pPr>
        <w:spacing w:line="360" w:lineRule="auto"/>
        <w:contextualSpacing/>
        <w:rPr>
          <w:rFonts w:ascii="宋体" w:hAnsi="宋体" w:cs="宋体"/>
          <w:color w:val="auto"/>
          <w:sz w:val="24"/>
          <w:highlight w:val="none"/>
        </w:rPr>
      </w:pPr>
    </w:p>
    <w:p w14:paraId="46872E8B">
      <w:pPr>
        <w:spacing w:line="360" w:lineRule="auto"/>
        <w:contextualSpacing/>
        <w:rPr>
          <w:rFonts w:ascii="宋体" w:hAnsi="宋体" w:cs="宋体"/>
          <w:color w:val="auto"/>
          <w:sz w:val="24"/>
          <w:highlight w:val="none"/>
        </w:rPr>
      </w:pPr>
    </w:p>
    <w:p w14:paraId="1359BF47">
      <w:pPr>
        <w:spacing w:line="360" w:lineRule="auto"/>
        <w:ind w:firstLine="2400" w:firstLineChars="1000"/>
        <w:contextualSpacing/>
        <w:rPr>
          <w:rFonts w:ascii="宋体" w:hAnsi="宋体" w:cs="宋体"/>
          <w:color w:val="auto"/>
          <w:sz w:val="24"/>
          <w:highlight w:val="none"/>
        </w:rPr>
      </w:pPr>
      <w:r>
        <w:rPr>
          <w:rFonts w:hint="eastAsia" w:ascii="宋体" w:hAnsi="宋体" w:cs="宋体"/>
          <w:color w:val="auto"/>
          <w:sz w:val="24"/>
          <w:highlight w:val="none"/>
        </w:rPr>
        <w:t>单位名称（盖章）：</w:t>
      </w:r>
    </w:p>
    <w:p w14:paraId="3C3C2AD5">
      <w:pPr>
        <w:spacing w:line="360" w:lineRule="auto"/>
        <w:ind w:firstLine="3600" w:firstLineChars="1500"/>
        <w:contextualSpacing/>
        <w:rPr>
          <w:rFonts w:ascii="宋体" w:hAnsi="宋体" w:cs="宋体"/>
          <w:color w:val="auto"/>
          <w:sz w:val="24"/>
          <w:highlight w:val="none"/>
        </w:rPr>
      </w:pPr>
      <w:r>
        <w:rPr>
          <w:rFonts w:hint="eastAsia" w:ascii="宋体" w:hAnsi="宋体" w:cs="宋体"/>
          <w:color w:val="auto"/>
          <w:sz w:val="24"/>
          <w:highlight w:val="none"/>
        </w:rPr>
        <w:t>日  期：</w:t>
      </w:r>
    </w:p>
    <w:p w14:paraId="3FAEC391">
      <w:pPr>
        <w:spacing w:line="360" w:lineRule="auto"/>
        <w:contextualSpacing/>
        <w:rPr>
          <w:rFonts w:ascii="宋体" w:hAnsi="宋体" w:cs="宋体"/>
          <w:color w:val="auto"/>
          <w:sz w:val="24"/>
          <w:highlight w:val="none"/>
        </w:rPr>
      </w:pPr>
    </w:p>
    <w:p w14:paraId="6B413A1E">
      <w:pPr>
        <w:spacing w:line="360" w:lineRule="auto"/>
        <w:contextualSpacing/>
        <w:rPr>
          <w:rFonts w:ascii="宋体" w:hAnsi="宋体" w:cs="宋体"/>
          <w:color w:val="auto"/>
          <w:sz w:val="24"/>
          <w:highlight w:val="none"/>
        </w:rPr>
      </w:pPr>
    </w:p>
    <w:p w14:paraId="682DAD15">
      <w:pPr>
        <w:spacing w:line="360" w:lineRule="auto"/>
        <w:contextualSpacing/>
        <w:rPr>
          <w:rFonts w:ascii="宋体" w:hAnsi="宋体" w:cs="宋体"/>
          <w:color w:val="auto"/>
          <w:sz w:val="24"/>
          <w:highlight w:val="none"/>
        </w:rPr>
      </w:pPr>
    </w:p>
    <w:p w14:paraId="24595CF4">
      <w:pPr>
        <w:spacing w:line="360" w:lineRule="auto"/>
        <w:contextualSpacing/>
        <w:rPr>
          <w:rFonts w:ascii="宋体" w:hAnsi="宋体" w:cs="宋体"/>
          <w:color w:val="auto"/>
          <w:sz w:val="24"/>
          <w:highlight w:val="none"/>
        </w:rPr>
      </w:pPr>
      <w:r>
        <w:rPr>
          <w:rFonts w:hint="eastAsia" w:ascii="宋体" w:hAnsi="宋体" w:cs="宋体"/>
          <w:color w:val="auto"/>
          <w:sz w:val="24"/>
          <w:highlight w:val="none"/>
        </w:rPr>
        <w:t>注：请根据自己的真实情况出具《残疾人福利性单位声明函》。依法享受中小企业优惠政策的，采购人或者采购代理机构在公告中标结果时，同时公告其《残疾人福利性单位声明函》，接受社会监督。</w:t>
      </w:r>
    </w:p>
    <w:p w14:paraId="372FD018">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p>
    <w:p w14:paraId="6C97467C">
      <w:pPr>
        <w:spacing w:line="360" w:lineRule="auto"/>
        <w:jc w:val="center"/>
        <w:rPr>
          <w:rFonts w:ascii="宋体" w:hAnsi="宋体" w:cs="宋体"/>
          <w:b/>
          <w:bCs/>
          <w:color w:val="auto"/>
          <w:sz w:val="32"/>
          <w:szCs w:val="32"/>
          <w:highlight w:val="none"/>
        </w:rPr>
      </w:pPr>
      <w:r>
        <w:rPr>
          <w:rFonts w:hint="eastAsia" w:ascii="宋体" w:hAnsi="宋体" w:cs="宋体"/>
          <w:color w:val="auto"/>
          <w:sz w:val="44"/>
          <w:szCs w:val="44"/>
          <w:highlight w:val="none"/>
        </w:rPr>
        <w:t>质疑函</w:t>
      </w:r>
      <w:r>
        <w:rPr>
          <w:rFonts w:hint="eastAsia" w:ascii="宋体" w:hAnsi="宋体" w:cs="宋体"/>
          <w:color w:val="auto"/>
          <w:sz w:val="28"/>
          <w:szCs w:val="28"/>
          <w:highlight w:val="none"/>
        </w:rPr>
        <w:t>（格式）</w:t>
      </w:r>
    </w:p>
    <w:p w14:paraId="2D909C6B">
      <w:pPr>
        <w:pStyle w:val="19"/>
        <w:spacing w:line="360" w:lineRule="auto"/>
        <w:ind w:firstLine="482" w:firstLineChars="200"/>
        <w:contextualSpacing/>
        <w:rPr>
          <w:rFonts w:hAnsi="宋体" w:cs="宋体"/>
          <w:b/>
          <w:bCs/>
          <w:color w:val="auto"/>
          <w:sz w:val="24"/>
          <w:szCs w:val="24"/>
          <w:highlight w:val="none"/>
        </w:rPr>
      </w:pPr>
      <w:r>
        <w:rPr>
          <w:rFonts w:hint="eastAsia" w:hAnsi="宋体" w:cs="宋体"/>
          <w:b/>
          <w:bCs/>
          <w:color w:val="auto"/>
          <w:sz w:val="24"/>
          <w:szCs w:val="24"/>
          <w:highlight w:val="none"/>
        </w:rPr>
        <w:t>一、质疑供应商基本信息：</w:t>
      </w:r>
    </w:p>
    <w:p w14:paraId="0196C36E">
      <w:pPr>
        <w:pStyle w:val="19"/>
        <w:spacing w:line="360" w:lineRule="auto"/>
        <w:ind w:firstLine="480" w:firstLineChars="200"/>
        <w:contextualSpacing/>
        <w:rPr>
          <w:rFonts w:hAnsi="宋体" w:cs="宋体"/>
          <w:bCs/>
          <w:color w:val="auto"/>
          <w:sz w:val="24"/>
          <w:szCs w:val="24"/>
          <w:highlight w:val="none"/>
          <w:u w:val="single"/>
        </w:rPr>
      </w:pPr>
      <w:r>
        <w:rPr>
          <w:rFonts w:hint="eastAsia" w:hAnsi="宋体" w:cs="宋体"/>
          <w:bCs/>
          <w:color w:val="auto"/>
          <w:sz w:val="24"/>
          <w:szCs w:val="24"/>
          <w:highlight w:val="none"/>
        </w:rPr>
        <w:t>质疑供应商：</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 xml:space="preserve">                 </w:t>
      </w:r>
    </w:p>
    <w:p w14:paraId="3EB17D95">
      <w:pPr>
        <w:pStyle w:val="19"/>
        <w:spacing w:line="360" w:lineRule="auto"/>
        <w:ind w:firstLine="480" w:firstLineChars="200"/>
        <w:contextualSpacing/>
        <w:rPr>
          <w:rFonts w:hAnsi="宋体" w:cs="宋体"/>
          <w:bCs/>
          <w:color w:val="auto"/>
          <w:sz w:val="24"/>
          <w:szCs w:val="24"/>
          <w:highlight w:val="none"/>
        </w:rPr>
      </w:pPr>
      <w:r>
        <w:rPr>
          <w:rFonts w:hint="eastAsia" w:hAnsi="宋体" w:cs="宋体"/>
          <w:bCs/>
          <w:color w:val="auto"/>
          <w:sz w:val="24"/>
          <w:szCs w:val="24"/>
          <w:highlight w:val="none"/>
        </w:rPr>
        <w:t>地址：</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邮编：</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 xml:space="preserve">                 </w:t>
      </w:r>
    </w:p>
    <w:p w14:paraId="3A28ECF8">
      <w:pPr>
        <w:pStyle w:val="19"/>
        <w:spacing w:line="360" w:lineRule="auto"/>
        <w:ind w:firstLine="480" w:firstLineChars="200"/>
        <w:contextualSpacing/>
        <w:rPr>
          <w:rFonts w:hAnsi="宋体" w:cs="宋体"/>
          <w:bCs/>
          <w:color w:val="auto"/>
          <w:sz w:val="24"/>
          <w:szCs w:val="24"/>
          <w:highlight w:val="none"/>
        </w:rPr>
      </w:pPr>
      <w:r>
        <w:rPr>
          <w:rFonts w:hint="eastAsia" w:hAnsi="宋体" w:cs="宋体"/>
          <w:bCs/>
          <w:color w:val="auto"/>
          <w:sz w:val="24"/>
          <w:szCs w:val="24"/>
          <w:highlight w:val="none"/>
        </w:rPr>
        <w:t>联系人：</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联系电话：</w:t>
      </w:r>
      <w:r>
        <w:rPr>
          <w:rFonts w:hint="eastAsia" w:hAnsi="宋体" w:cs="宋体"/>
          <w:bCs/>
          <w:color w:val="auto"/>
          <w:sz w:val="24"/>
          <w:szCs w:val="24"/>
          <w:highlight w:val="none"/>
          <w:u w:val="single"/>
        </w:rPr>
        <w:t xml:space="preserve">                 </w:t>
      </w:r>
    </w:p>
    <w:p w14:paraId="39C7E3A8">
      <w:pPr>
        <w:pStyle w:val="19"/>
        <w:spacing w:line="360" w:lineRule="auto"/>
        <w:ind w:firstLine="480" w:firstLineChars="200"/>
        <w:contextualSpacing/>
        <w:rPr>
          <w:rFonts w:hAnsi="宋体" w:cs="宋体"/>
          <w:bCs/>
          <w:color w:val="auto"/>
          <w:sz w:val="24"/>
          <w:szCs w:val="24"/>
          <w:highlight w:val="none"/>
        </w:rPr>
      </w:pPr>
      <w:r>
        <w:rPr>
          <w:rFonts w:hint="eastAsia" w:hAnsi="宋体" w:cs="宋体"/>
          <w:bCs/>
          <w:color w:val="auto"/>
          <w:sz w:val="24"/>
          <w:szCs w:val="24"/>
          <w:highlight w:val="none"/>
        </w:rPr>
        <w:t>授权代表：</w:t>
      </w:r>
      <w:r>
        <w:rPr>
          <w:rFonts w:hint="eastAsia" w:hAnsi="宋体" w:cs="宋体"/>
          <w:bCs/>
          <w:color w:val="auto"/>
          <w:sz w:val="24"/>
          <w:szCs w:val="24"/>
          <w:highlight w:val="none"/>
          <w:u w:val="single"/>
        </w:rPr>
        <w:t xml:space="preserve">                      </w:t>
      </w:r>
    </w:p>
    <w:p w14:paraId="0783A6B7">
      <w:pPr>
        <w:pStyle w:val="19"/>
        <w:spacing w:line="360" w:lineRule="auto"/>
        <w:ind w:firstLine="480" w:firstLineChars="200"/>
        <w:contextualSpacing/>
        <w:rPr>
          <w:rFonts w:hAnsi="宋体" w:cs="宋体"/>
          <w:bCs/>
          <w:color w:val="auto"/>
          <w:sz w:val="24"/>
          <w:szCs w:val="24"/>
          <w:highlight w:val="none"/>
          <w:u w:val="single"/>
        </w:rPr>
      </w:pPr>
      <w:r>
        <w:rPr>
          <w:rFonts w:hint="eastAsia" w:hAnsi="宋体" w:cs="宋体"/>
          <w:bCs/>
          <w:color w:val="auto"/>
          <w:sz w:val="24"/>
          <w:szCs w:val="24"/>
          <w:highlight w:val="none"/>
        </w:rPr>
        <w:t>联系电话：</w:t>
      </w:r>
      <w:r>
        <w:rPr>
          <w:rFonts w:hint="eastAsia" w:hAnsi="宋体" w:cs="宋体"/>
          <w:bCs/>
          <w:color w:val="auto"/>
          <w:sz w:val="24"/>
          <w:szCs w:val="24"/>
          <w:highlight w:val="none"/>
          <w:u w:val="single"/>
        </w:rPr>
        <w:t xml:space="preserve">                      </w:t>
      </w:r>
    </w:p>
    <w:p w14:paraId="6DDDA7A5">
      <w:pPr>
        <w:pStyle w:val="19"/>
        <w:spacing w:line="360" w:lineRule="auto"/>
        <w:ind w:firstLine="480" w:firstLineChars="200"/>
        <w:contextualSpacing/>
        <w:rPr>
          <w:rFonts w:hAnsi="宋体" w:cs="宋体"/>
          <w:bCs/>
          <w:color w:val="auto"/>
          <w:sz w:val="24"/>
          <w:szCs w:val="24"/>
          <w:highlight w:val="none"/>
        </w:rPr>
      </w:pPr>
      <w:r>
        <w:rPr>
          <w:rFonts w:hint="eastAsia" w:hAnsi="宋体" w:cs="宋体"/>
          <w:bCs/>
          <w:color w:val="auto"/>
          <w:sz w:val="24"/>
          <w:szCs w:val="24"/>
          <w:highlight w:val="none"/>
        </w:rPr>
        <w:t>地址：</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邮编：</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 xml:space="preserve">     </w:t>
      </w:r>
    </w:p>
    <w:p w14:paraId="0675DE00">
      <w:pPr>
        <w:pStyle w:val="19"/>
        <w:spacing w:line="360" w:lineRule="auto"/>
        <w:ind w:firstLine="482" w:firstLineChars="200"/>
        <w:contextualSpacing/>
        <w:rPr>
          <w:rFonts w:hAnsi="宋体" w:cs="宋体"/>
          <w:b/>
          <w:bCs/>
          <w:color w:val="auto"/>
          <w:sz w:val="24"/>
          <w:szCs w:val="24"/>
          <w:highlight w:val="none"/>
        </w:rPr>
      </w:pPr>
      <w:r>
        <w:rPr>
          <w:rFonts w:hint="eastAsia" w:hAnsi="宋体" w:cs="宋体"/>
          <w:b/>
          <w:bCs/>
          <w:color w:val="auto"/>
          <w:sz w:val="24"/>
          <w:szCs w:val="24"/>
          <w:highlight w:val="none"/>
        </w:rPr>
        <w:t>二、质疑项目基本情况：</w:t>
      </w:r>
    </w:p>
    <w:p w14:paraId="396D519E">
      <w:pPr>
        <w:pStyle w:val="19"/>
        <w:spacing w:line="360" w:lineRule="auto"/>
        <w:ind w:left="25" w:leftChars="12" w:firstLine="472" w:firstLineChars="197"/>
        <w:contextualSpacing/>
        <w:rPr>
          <w:rFonts w:hAnsi="宋体" w:cs="宋体"/>
          <w:color w:val="auto"/>
          <w:sz w:val="24"/>
          <w:szCs w:val="24"/>
          <w:highlight w:val="none"/>
        </w:rPr>
      </w:pPr>
      <w:r>
        <w:rPr>
          <w:rFonts w:hint="eastAsia" w:hAnsi="宋体" w:cs="宋体"/>
          <w:bCs/>
          <w:color w:val="auto"/>
          <w:sz w:val="24"/>
          <w:szCs w:val="24"/>
          <w:highlight w:val="none"/>
        </w:rPr>
        <w:t>质疑</w:t>
      </w:r>
      <w:r>
        <w:rPr>
          <w:rFonts w:hint="eastAsia" w:hAnsi="宋体" w:cs="宋体"/>
          <w:color w:val="auto"/>
          <w:sz w:val="24"/>
          <w:szCs w:val="24"/>
          <w:highlight w:val="none"/>
        </w:rPr>
        <w:t>项目的名称：</w:t>
      </w:r>
      <w:r>
        <w:rPr>
          <w:rFonts w:hint="eastAsia" w:hAnsi="宋体" w:cs="宋体"/>
          <w:bCs/>
          <w:color w:val="auto"/>
          <w:sz w:val="24"/>
          <w:szCs w:val="24"/>
          <w:highlight w:val="none"/>
          <w:u w:val="single"/>
        </w:rPr>
        <w:t xml:space="preserve">                                     </w:t>
      </w:r>
    </w:p>
    <w:p w14:paraId="69E9360E">
      <w:pPr>
        <w:pStyle w:val="19"/>
        <w:spacing w:line="360" w:lineRule="auto"/>
        <w:ind w:left="25" w:leftChars="12" w:firstLine="472" w:firstLineChars="197"/>
        <w:contextualSpacing/>
        <w:rPr>
          <w:rFonts w:hAnsi="宋体" w:cs="宋体"/>
          <w:color w:val="auto"/>
          <w:sz w:val="24"/>
          <w:szCs w:val="24"/>
          <w:highlight w:val="none"/>
        </w:rPr>
      </w:pPr>
      <w:r>
        <w:rPr>
          <w:rFonts w:hint="eastAsia" w:hAnsi="宋体" w:cs="宋体"/>
          <w:bCs/>
          <w:color w:val="auto"/>
          <w:sz w:val="24"/>
          <w:szCs w:val="24"/>
          <w:highlight w:val="none"/>
        </w:rPr>
        <w:t>质疑</w:t>
      </w:r>
      <w:r>
        <w:rPr>
          <w:rFonts w:hint="eastAsia" w:hAnsi="宋体" w:cs="宋体"/>
          <w:color w:val="auto"/>
          <w:sz w:val="24"/>
          <w:szCs w:val="24"/>
          <w:highlight w:val="none"/>
        </w:rPr>
        <w:t>项目的编号：</w:t>
      </w:r>
      <w:r>
        <w:rPr>
          <w:rFonts w:hint="eastAsia" w:hAnsi="宋体" w:cs="宋体"/>
          <w:bCs/>
          <w:color w:val="auto"/>
          <w:sz w:val="24"/>
          <w:szCs w:val="24"/>
          <w:highlight w:val="none"/>
          <w:u w:val="single"/>
        </w:rPr>
        <w:t xml:space="preserve">                                     </w:t>
      </w:r>
    </w:p>
    <w:p w14:paraId="1E00D9DD">
      <w:pPr>
        <w:pStyle w:val="19"/>
        <w:spacing w:line="360" w:lineRule="auto"/>
        <w:ind w:left="25" w:leftChars="12" w:firstLine="472" w:firstLineChars="197"/>
        <w:contextualSpacing/>
        <w:rPr>
          <w:rFonts w:hAnsi="宋体" w:cs="宋体"/>
          <w:color w:val="auto"/>
          <w:sz w:val="24"/>
          <w:szCs w:val="24"/>
          <w:highlight w:val="none"/>
        </w:rPr>
      </w:pPr>
      <w:r>
        <w:rPr>
          <w:rFonts w:hint="eastAsia" w:hAnsi="宋体" w:cs="宋体"/>
          <w:color w:val="auto"/>
          <w:sz w:val="24"/>
          <w:szCs w:val="24"/>
          <w:highlight w:val="none"/>
        </w:rPr>
        <w:t>采购人名称：</w:t>
      </w:r>
      <w:r>
        <w:rPr>
          <w:rFonts w:hint="eastAsia" w:hAnsi="宋体" w:cs="宋体"/>
          <w:bCs/>
          <w:color w:val="auto"/>
          <w:sz w:val="24"/>
          <w:szCs w:val="24"/>
          <w:highlight w:val="none"/>
          <w:u w:val="single"/>
        </w:rPr>
        <w:t xml:space="preserve">                                         </w:t>
      </w:r>
    </w:p>
    <w:p w14:paraId="28A251C4">
      <w:pPr>
        <w:pStyle w:val="19"/>
        <w:spacing w:line="360" w:lineRule="auto"/>
        <w:ind w:left="25" w:leftChars="12" w:firstLine="472" w:firstLineChars="197"/>
        <w:contextualSpacing/>
        <w:rPr>
          <w:rFonts w:hAnsi="宋体" w:cs="宋体"/>
          <w:color w:val="auto"/>
          <w:sz w:val="24"/>
          <w:szCs w:val="24"/>
          <w:highlight w:val="none"/>
        </w:rPr>
      </w:pPr>
      <w:r>
        <w:rPr>
          <w:rFonts w:hint="eastAsia" w:hAnsi="宋体" w:cs="宋体"/>
          <w:color w:val="auto"/>
          <w:sz w:val="24"/>
          <w:szCs w:val="24"/>
          <w:highlight w:val="none"/>
        </w:rPr>
        <w:t>质疑事项：</w:t>
      </w:r>
    </w:p>
    <w:p w14:paraId="4DC69F6F">
      <w:pPr>
        <w:pStyle w:val="19"/>
        <w:spacing w:line="360" w:lineRule="auto"/>
        <w:ind w:left="25" w:leftChars="12" w:firstLine="352" w:firstLineChars="147"/>
        <w:contextualSpacing/>
        <w:rPr>
          <w:rFonts w:hAnsi="宋体" w:cs="宋体"/>
          <w:color w:val="auto"/>
          <w:sz w:val="24"/>
          <w:szCs w:val="24"/>
          <w:highlight w:val="none"/>
        </w:rPr>
      </w:pPr>
      <w:r>
        <w:rPr>
          <w:rFonts w:hint="eastAsia" w:hAnsi="宋体" w:cs="宋体"/>
          <w:color w:val="auto"/>
          <w:sz w:val="24"/>
          <w:szCs w:val="24"/>
          <w:highlight w:val="none"/>
        </w:rPr>
        <w:t>□采购文件   采购文件获取日期：</w:t>
      </w:r>
      <w:r>
        <w:rPr>
          <w:rFonts w:hint="eastAsia" w:hAnsi="宋体" w:cs="宋体"/>
          <w:bCs/>
          <w:color w:val="auto"/>
          <w:sz w:val="24"/>
          <w:szCs w:val="24"/>
          <w:highlight w:val="none"/>
          <w:u w:val="single"/>
        </w:rPr>
        <w:t xml:space="preserve">                                   </w:t>
      </w:r>
    </w:p>
    <w:p w14:paraId="16702496">
      <w:pPr>
        <w:pStyle w:val="19"/>
        <w:spacing w:line="360" w:lineRule="auto"/>
        <w:ind w:left="25" w:leftChars="12" w:firstLine="352" w:firstLineChars="147"/>
        <w:contextualSpacing/>
        <w:rPr>
          <w:rFonts w:hAnsi="宋体" w:cs="宋体"/>
          <w:color w:val="auto"/>
          <w:sz w:val="24"/>
          <w:szCs w:val="24"/>
          <w:highlight w:val="none"/>
        </w:rPr>
      </w:pPr>
      <w:r>
        <w:rPr>
          <w:rFonts w:hint="eastAsia" w:hAnsi="宋体" w:cs="宋体"/>
          <w:color w:val="auto"/>
          <w:sz w:val="24"/>
          <w:szCs w:val="24"/>
          <w:highlight w:val="none"/>
        </w:rPr>
        <w:t xml:space="preserve">□采购过程   </w:t>
      </w:r>
    </w:p>
    <w:p w14:paraId="3E7DF04A">
      <w:pPr>
        <w:pStyle w:val="19"/>
        <w:spacing w:line="360" w:lineRule="auto"/>
        <w:ind w:left="25" w:leftChars="12" w:firstLine="352" w:firstLineChars="147"/>
        <w:contextualSpacing/>
        <w:rPr>
          <w:rFonts w:hAnsi="宋体" w:cs="宋体"/>
          <w:bCs/>
          <w:color w:val="auto"/>
          <w:sz w:val="24"/>
          <w:szCs w:val="24"/>
          <w:highlight w:val="none"/>
          <w:u w:val="single"/>
        </w:rPr>
      </w:pPr>
      <w:r>
        <w:rPr>
          <w:rFonts w:hint="eastAsia" w:hAnsi="宋体" w:cs="宋体"/>
          <w:color w:val="auto"/>
          <w:sz w:val="24"/>
          <w:szCs w:val="24"/>
          <w:highlight w:val="none"/>
        </w:rPr>
        <w:t xml:space="preserve">□成交结果   </w:t>
      </w:r>
    </w:p>
    <w:p w14:paraId="1206316B">
      <w:pPr>
        <w:pStyle w:val="19"/>
        <w:spacing w:line="360" w:lineRule="auto"/>
        <w:ind w:left="25" w:leftChars="12" w:firstLine="472" w:firstLineChars="196"/>
        <w:contextualSpacing/>
        <w:rPr>
          <w:rFonts w:hAnsi="宋体" w:cs="宋体"/>
          <w:b/>
          <w:color w:val="auto"/>
          <w:sz w:val="24"/>
          <w:szCs w:val="24"/>
          <w:highlight w:val="none"/>
        </w:rPr>
      </w:pPr>
      <w:r>
        <w:rPr>
          <w:rFonts w:hint="eastAsia" w:hAnsi="宋体" w:cs="宋体"/>
          <w:b/>
          <w:color w:val="auto"/>
          <w:sz w:val="24"/>
          <w:szCs w:val="24"/>
          <w:highlight w:val="none"/>
        </w:rPr>
        <w:t>三、质疑事项具体内容</w:t>
      </w:r>
    </w:p>
    <w:p w14:paraId="66DD835B">
      <w:pPr>
        <w:pStyle w:val="19"/>
        <w:spacing w:line="360" w:lineRule="auto"/>
        <w:ind w:left="25" w:leftChars="12" w:firstLine="472" w:firstLineChars="197"/>
        <w:contextualSpacing/>
        <w:rPr>
          <w:rFonts w:hAnsi="宋体" w:cs="宋体"/>
          <w:color w:val="auto"/>
          <w:sz w:val="24"/>
          <w:szCs w:val="24"/>
          <w:highlight w:val="none"/>
        </w:rPr>
      </w:pPr>
      <w:r>
        <w:rPr>
          <w:rFonts w:hint="eastAsia" w:hAnsi="宋体" w:cs="宋体"/>
          <w:color w:val="auto"/>
          <w:sz w:val="24"/>
          <w:szCs w:val="24"/>
          <w:highlight w:val="none"/>
        </w:rPr>
        <w:t>质疑事项1：</w:t>
      </w:r>
      <w:r>
        <w:rPr>
          <w:rFonts w:hint="eastAsia" w:hAnsi="宋体" w:cs="宋体"/>
          <w:bCs/>
          <w:color w:val="auto"/>
          <w:sz w:val="24"/>
          <w:szCs w:val="24"/>
          <w:highlight w:val="none"/>
          <w:u w:val="single"/>
        </w:rPr>
        <w:t xml:space="preserve">                                                                    </w:t>
      </w:r>
    </w:p>
    <w:p w14:paraId="10E887D6">
      <w:pPr>
        <w:pStyle w:val="19"/>
        <w:spacing w:line="360" w:lineRule="auto"/>
        <w:ind w:left="25" w:leftChars="12" w:firstLine="472" w:firstLineChars="197"/>
        <w:contextualSpacing/>
        <w:rPr>
          <w:rFonts w:hAnsi="宋体" w:cs="宋体"/>
          <w:color w:val="auto"/>
          <w:sz w:val="24"/>
          <w:szCs w:val="24"/>
          <w:highlight w:val="none"/>
        </w:rPr>
      </w:pPr>
      <w:r>
        <w:rPr>
          <w:rFonts w:hint="eastAsia" w:hAnsi="宋体" w:cs="宋体"/>
          <w:color w:val="auto"/>
          <w:sz w:val="24"/>
          <w:szCs w:val="24"/>
          <w:highlight w:val="none"/>
        </w:rPr>
        <w:t>事实依据：</w:t>
      </w:r>
      <w:r>
        <w:rPr>
          <w:rFonts w:hint="eastAsia" w:hAnsi="宋体" w:cs="宋体"/>
          <w:bCs/>
          <w:color w:val="auto"/>
          <w:sz w:val="24"/>
          <w:szCs w:val="24"/>
          <w:highlight w:val="none"/>
          <w:u w:val="single"/>
        </w:rPr>
        <w:t xml:space="preserve">                                                                      </w:t>
      </w:r>
    </w:p>
    <w:p w14:paraId="534B03E3">
      <w:pPr>
        <w:pStyle w:val="19"/>
        <w:spacing w:line="360" w:lineRule="auto"/>
        <w:ind w:left="25" w:leftChars="12" w:firstLine="472" w:firstLineChars="197"/>
        <w:contextualSpacing/>
        <w:rPr>
          <w:rFonts w:hAnsi="宋体" w:cs="宋体"/>
          <w:color w:val="auto"/>
          <w:sz w:val="24"/>
          <w:szCs w:val="24"/>
          <w:highlight w:val="none"/>
        </w:rPr>
      </w:pPr>
      <w:r>
        <w:rPr>
          <w:rFonts w:hint="eastAsia" w:hAnsi="宋体" w:cs="宋体"/>
          <w:color w:val="auto"/>
          <w:sz w:val="24"/>
          <w:szCs w:val="24"/>
          <w:highlight w:val="none"/>
        </w:rPr>
        <w:t>法律依据：</w:t>
      </w:r>
      <w:r>
        <w:rPr>
          <w:rFonts w:hint="eastAsia" w:hAnsi="宋体" w:cs="宋体"/>
          <w:color w:val="auto"/>
          <w:sz w:val="24"/>
          <w:szCs w:val="24"/>
          <w:highlight w:val="none"/>
          <w:u w:val="single"/>
        </w:rPr>
        <w:t xml:space="preserve">                                                        </w:t>
      </w:r>
      <w:r>
        <w:rPr>
          <w:rFonts w:hint="eastAsia" w:hAnsi="宋体" w:cs="宋体"/>
          <w:bCs/>
          <w:color w:val="auto"/>
          <w:sz w:val="24"/>
          <w:szCs w:val="24"/>
          <w:highlight w:val="none"/>
          <w:u w:val="single"/>
        </w:rPr>
        <w:t xml:space="preserve">               </w:t>
      </w:r>
    </w:p>
    <w:p w14:paraId="144C23C1">
      <w:pPr>
        <w:pStyle w:val="19"/>
        <w:spacing w:line="360" w:lineRule="auto"/>
        <w:ind w:left="25" w:leftChars="12" w:firstLine="472" w:firstLineChars="197"/>
        <w:contextualSpacing/>
        <w:rPr>
          <w:rFonts w:hAnsi="宋体" w:cs="宋体"/>
          <w:color w:val="auto"/>
          <w:sz w:val="24"/>
          <w:szCs w:val="24"/>
          <w:highlight w:val="none"/>
        </w:rPr>
      </w:pPr>
      <w:r>
        <w:rPr>
          <w:rFonts w:hint="eastAsia" w:hAnsi="宋体" w:cs="宋体"/>
          <w:color w:val="auto"/>
          <w:sz w:val="24"/>
          <w:szCs w:val="24"/>
          <w:highlight w:val="none"/>
        </w:rPr>
        <w:t>质疑事项2</w:t>
      </w:r>
    </w:p>
    <w:p w14:paraId="5B764AD1">
      <w:pPr>
        <w:pStyle w:val="19"/>
        <w:spacing w:line="360" w:lineRule="auto"/>
        <w:ind w:left="25" w:leftChars="12" w:firstLine="472" w:firstLineChars="197"/>
        <w:contextualSpacing/>
        <w:rPr>
          <w:rFonts w:hAnsi="宋体" w:cs="宋体"/>
          <w:color w:val="auto"/>
          <w:sz w:val="24"/>
          <w:szCs w:val="24"/>
          <w:highlight w:val="none"/>
        </w:rPr>
      </w:pPr>
      <w:r>
        <w:rPr>
          <w:rFonts w:hint="eastAsia" w:hAnsi="宋体" w:cs="宋体"/>
          <w:color w:val="auto"/>
          <w:sz w:val="24"/>
          <w:szCs w:val="24"/>
          <w:highlight w:val="none"/>
        </w:rPr>
        <w:t>……</w:t>
      </w:r>
    </w:p>
    <w:p w14:paraId="4B011FD4">
      <w:pPr>
        <w:pStyle w:val="19"/>
        <w:spacing w:line="360" w:lineRule="auto"/>
        <w:ind w:left="25" w:leftChars="12" w:firstLine="472" w:firstLineChars="197"/>
        <w:contextualSpacing/>
        <w:rPr>
          <w:rFonts w:hAnsi="宋体" w:cs="宋体"/>
          <w:color w:val="auto"/>
          <w:sz w:val="24"/>
          <w:szCs w:val="24"/>
          <w:highlight w:val="none"/>
        </w:rPr>
      </w:pPr>
      <w:r>
        <w:rPr>
          <w:rFonts w:hint="eastAsia" w:hAnsi="宋体" w:cs="宋体"/>
          <w:color w:val="auto"/>
          <w:sz w:val="24"/>
          <w:szCs w:val="24"/>
          <w:highlight w:val="none"/>
        </w:rPr>
        <w:t>四、与质疑事项相关的质疑请求：</w:t>
      </w:r>
    </w:p>
    <w:p w14:paraId="1A5BB8D4">
      <w:pPr>
        <w:pStyle w:val="19"/>
        <w:spacing w:line="360" w:lineRule="auto"/>
        <w:ind w:left="25" w:leftChars="12" w:firstLine="472" w:firstLineChars="197"/>
        <w:contextualSpacing/>
        <w:rPr>
          <w:rFonts w:hAnsi="宋体" w:cs="宋体"/>
          <w:color w:val="auto"/>
          <w:sz w:val="24"/>
          <w:szCs w:val="24"/>
          <w:highlight w:val="none"/>
        </w:rPr>
      </w:pPr>
      <w:r>
        <w:rPr>
          <w:rFonts w:hint="eastAsia" w:hAnsi="宋体" w:cs="宋体"/>
          <w:color w:val="auto"/>
          <w:sz w:val="24"/>
          <w:szCs w:val="24"/>
          <w:highlight w:val="none"/>
        </w:rPr>
        <w:t>请求：</w:t>
      </w:r>
      <w:r>
        <w:rPr>
          <w:rFonts w:hint="eastAsia" w:hAnsi="宋体" w:cs="宋体"/>
          <w:bCs/>
          <w:color w:val="auto"/>
          <w:sz w:val="24"/>
          <w:szCs w:val="24"/>
          <w:highlight w:val="none"/>
          <w:u w:val="single"/>
        </w:rPr>
        <w:t xml:space="preserve">                                                                </w:t>
      </w:r>
    </w:p>
    <w:p w14:paraId="01364750">
      <w:pPr>
        <w:pStyle w:val="19"/>
        <w:spacing w:line="360" w:lineRule="auto"/>
        <w:ind w:left="25" w:leftChars="12" w:firstLine="352" w:firstLineChars="147"/>
        <w:contextualSpacing/>
        <w:rPr>
          <w:rFonts w:hAnsi="宋体" w:cs="宋体"/>
          <w:color w:val="auto"/>
          <w:sz w:val="24"/>
          <w:szCs w:val="24"/>
          <w:highlight w:val="none"/>
        </w:rPr>
      </w:pPr>
    </w:p>
    <w:p w14:paraId="0FD1BF34">
      <w:pPr>
        <w:pStyle w:val="19"/>
        <w:spacing w:line="360" w:lineRule="auto"/>
        <w:ind w:left="25" w:leftChars="12" w:firstLine="472" w:firstLineChars="197"/>
        <w:contextualSpacing/>
        <w:rPr>
          <w:rFonts w:hAnsi="宋体" w:cs="宋体"/>
          <w:color w:val="auto"/>
          <w:sz w:val="24"/>
          <w:szCs w:val="24"/>
          <w:highlight w:val="none"/>
        </w:rPr>
      </w:pPr>
      <w:r>
        <w:rPr>
          <w:rFonts w:hint="eastAsia" w:hAnsi="宋体" w:cs="宋体"/>
          <w:color w:val="auto"/>
          <w:sz w:val="24"/>
          <w:szCs w:val="24"/>
          <w:highlight w:val="none"/>
        </w:rPr>
        <w:t>签字（签章）：                                       公章：</w:t>
      </w:r>
    </w:p>
    <w:p w14:paraId="260C12B3">
      <w:pPr>
        <w:pStyle w:val="19"/>
        <w:spacing w:line="360" w:lineRule="auto"/>
        <w:ind w:firstLine="480" w:firstLineChars="200"/>
        <w:contextualSpacing/>
        <w:rPr>
          <w:rFonts w:hAnsi="宋体" w:cs="宋体"/>
          <w:b/>
          <w:color w:val="auto"/>
          <w:sz w:val="24"/>
          <w:szCs w:val="24"/>
          <w:highlight w:val="none"/>
        </w:rPr>
      </w:pPr>
      <w:r>
        <w:rPr>
          <w:rFonts w:hint="eastAsia" w:hAnsi="宋体" w:cs="宋体"/>
          <w:color w:val="auto"/>
          <w:sz w:val="24"/>
          <w:szCs w:val="24"/>
          <w:highlight w:val="none"/>
        </w:rPr>
        <w:t>日期：</w:t>
      </w:r>
    </w:p>
    <w:p w14:paraId="6B61F1B6">
      <w:pPr>
        <w:pStyle w:val="19"/>
        <w:spacing w:line="360" w:lineRule="auto"/>
        <w:contextualSpacing/>
        <w:rPr>
          <w:rFonts w:hAnsi="宋体" w:cs="宋体"/>
          <w:b/>
          <w:color w:val="auto"/>
          <w:sz w:val="24"/>
          <w:szCs w:val="24"/>
          <w:highlight w:val="none"/>
        </w:rPr>
      </w:pPr>
      <w:r>
        <w:rPr>
          <w:rFonts w:hint="eastAsia" w:hAnsi="宋体" w:cs="宋体"/>
          <w:b/>
          <w:color w:val="auto"/>
          <w:sz w:val="24"/>
          <w:szCs w:val="24"/>
          <w:highlight w:val="none"/>
        </w:rPr>
        <w:t>说明：</w:t>
      </w:r>
    </w:p>
    <w:p w14:paraId="239B79C2">
      <w:pPr>
        <w:pStyle w:val="19"/>
        <w:spacing w:line="360" w:lineRule="auto"/>
        <w:ind w:left="25" w:leftChars="12" w:firstLine="354" w:firstLineChars="147"/>
        <w:contextualSpacing/>
        <w:rPr>
          <w:rFonts w:hAnsi="宋体" w:cs="宋体"/>
          <w:b/>
          <w:bCs/>
          <w:color w:val="auto"/>
          <w:sz w:val="24"/>
          <w:szCs w:val="24"/>
          <w:highlight w:val="none"/>
        </w:rPr>
      </w:pPr>
      <w:r>
        <w:rPr>
          <w:rFonts w:hint="eastAsia" w:hAnsi="宋体" w:cs="宋体"/>
          <w:b/>
          <w:color w:val="auto"/>
          <w:sz w:val="24"/>
          <w:szCs w:val="24"/>
          <w:highlight w:val="none"/>
        </w:rPr>
        <w:t>1.供应商提出质疑时，应提交质疑函和必要的证明材料</w:t>
      </w:r>
      <w:r>
        <w:rPr>
          <w:rFonts w:hint="eastAsia" w:hAnsi="宋体" w:cs="宋体"/>
          <w:b/>
          <w:bCs/>
          <w:color w:val="auto"/>
          <w:sz w:val="24"/>
          <w:szCs w:val="24"/>
          <w:highlight w:val="none"/>
        </w:rPr>
        <w:t>。</w:t>
      </w:r>
    </w:p>
    <w:p w14:paraId="776FC8F8">
      <w:pPr>
        <w:pStyle w:val="19"/>
        <w:spacing w:line="360" w:lineRule="auto"/>
        <w:ind w:left="25" w:leftChars="12" w:firstLine="354" w:firstLineChars="147"/>
        <w:contextualSpacing/>
        <w:rPr>
          <w:rFonts w:hAnsi="宋体" w:cs="宋体"/>
          <w:b/>
          <w:color w:val="auto"/>
          <w:sz w:val="24"/>
          <w:szCs w:val="24"/>
          <w:highlight w:val="none"/>
        </w:rPr>
      </w:pPr>
      <w:r>
        <w:rPr>
          <w:rFonts w:hint="eastAsia" w:hAnsi="宋体" w:cs="宋体"/>
          <w:b/>
          <w:color w:val="auto"/>
          <w:sz w:val="24"/>
          <w:szCs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3E78D5D4">
      <w:pPr>
        <w:pStyle w:val="19"/>
        <w:spacing w:line="360" w:lineRule="auto"/>
        <w:ind w:left="25" w:leftChars="12" w:firstLine="354" w:firstLineChars="147"/>
        <w:contextualSpacing/>
        <w:rPr>
          <w:rFonts w:hAnsi="宋体" w:cs="宋体"/>
          <w:b/>
          <w:color w:val="auto"/>
          <w:sz w:val="24"/>
          <w:szCs w:val="24"/>
          <w:highlight w:val="none"/>
        </w:rPr>
      </w:pPr>
      <w:r>
        <w:rPr>
          <w:rFonts w:hint="eastAsia" w:hAnsi="宋体" w:cs="宋体"/>
          <w:b/>
          <w:color w:val="auto"/>
          <w:sz w:val="24"/>
          <w:szCs w:val="24"/>
          <w:highlight w:val="none"/>
        </w:rPr>
        <w:t>3.质疑函的质疑事项应具体、明确，并有必要的事实依据和法律依据。</w:t>
      </w:r>
    </w:p>
    <w:p w14:paraId="63B79DED">
      <w:pPr>
        <w:pStyle w:val="19"/>
        <w:spacing w:line="360" w:lineRule="auto"/>
        <w:ind w:left="25" w:leftChars="12" w:firstLine="354" w:firstLineChars="147"/>
        <w:contextualSpacing/>
        <w:rPr>
          <w:rFonts w:hAnsi="宋体" w:cs="宋体"/>
          <w:b/>
          <w:color w:val="auto"/>
          <w:sz w:val="24"/>
          <w:szCs w:val="24"/>
          <w:highlight w:val="none"/>
        </w:rPr>
      </w:pPr>
      <w:r>
        <w:rPr>
          <w:rFonts w:hint="eastAsia" w:hAnsi="宋体" w:cs="宋体"/>
          <w:b/>
          <w:color w:val="auto"/>
          <w:sz w:val="24"/>
          <w:szCs w:val="24"/>
          <w:highlight w:val="none"/>
        </w:rPr>
        <w:t>4.质疑函的质疑请求应与质疑事项相关。</w:t>
      </w:r>
    </w:p>
    <w:p w14:paraId="60F02C11">
      <w:pPr>
        <w:pStyle w:val="19"/>
        <w:spacing w:line="360" w:lineRule="auto"/>
        <w:ind w:left="25" w:leftChars="12" w:firstLine="354" w:firstLineChars="147"/>
        <w:contextualSpacing/>
        <w:rPr>
          <w:rFonts w:hAnsi="宋体" w:cs="宋体"/>
          <w:b/>
          <w:color w:val="auto"/>
          <w:highlight w:val="none"/>
        </w:rPr>
      </w:pPr>
      <w:r>
        <w:rPr>
          <w:rFonts w:hint="eastAsia" w:hAnsi="宋体" w:cs="宋体"/>
          <w:b/>
          <w:color w:val="auto"/>
          <w:sz w:val="24"/>
          <w:szCs w:val="24"/>
          <w:highlight w:val="none"/>
        </w:rPr>
        <w:t>5.质疑供应商为法人或者其他组织的，质疑函应由法定代表人、主要负责人，或者其授权代表签字或者盖章，并加盖公章。</w:t>
      </w:r>
    </w:p>
    <w:p w14:paraId="57BD533A">
      <w:pPr>
        <w:pStyle w:val="19"/>
        <w:snapToGrid w:val="0"/>
        <w:rPr>
          <w:rFonts w:hAnsi="宋体" w:cs="宋体"/>
          <w:b/>
          <w:color w:val="auto"/>
          <w:sz w:val="24"/>
          <w:szCs w:val="24"/>
          <w:highlight w:val="none"/>
        </w:rPr>
      </w:pPr>
    </w:p>
    <w:p w14:paraId="4437E95F">
      <w:pPr>
        <w:rPr>
          <w:rFonts w:ascii="宋体" w:hAnsi="宋体" w:cs="宋体"/>
          <w:color w:val="auto"/>
          <w:sz w:val="32"/>
          <w:szCs w:val="40"/>
          <w:highlight w:val="none"/>
        </w:rPr>
      </w:pPr>
    </w:p>
    <w:p w14:paraId="64560262">
      <w:pPr>
        <w:rPr>
          <w:rFonts w:ascii="宋体" w:hAnsi="宋体" w:cs="宋体"/>
          <w:color w:val="auto"/>
          <w:sz w:val="32"/>
          <w:szCs w:val="40"/>
          <w:highlight w:val="none"/>
        </w:rPr>
      </w:pPr>
    </w:p>
    <w:p w14:paraId="5758F33E">
      <w:pPr>
        <w:rPr>
          <w:rFonts w:ascii="宋体" w:hAnsi="宋体" w:cs="宋体"/>
          <w:color w:val="auto"/>
          <w:sz w:val="32"/>
          <w:szCs w:val="40"/>
          <w:highlight w:val="none"/>
        </w:rPr>
      </w:pPr>
    </w:p>
    <w:p w14:paraId="1D7079A8">
      <w:pPr>
        <w:rPr>
          <w:rFonts w:ascii="宋体" w:hAnsi="宋体" w:cs="宋体"/>
          <w:color w:val="auto"/>
          <w:sz w:val="32"/>
          <w:szCs w:val="40"/>
          <w:highlight w:val="none"/>
        </w:rPr>
      </w:pPr>
    </w:p>
    <w:p w14:paraId="2388D8C1">
      <w:pPr>
        <w:rPr>
          <w:rFonts w:ascii="宋体" w:hAnsi="宋体" w:cs="宋体"/>
          <w:color w:val="auto"/>
          <w:sz w:val="32"/>
          <w:szCs w:val="40"/>
          <w:highlight w:val="none"/>
        </w:rPr>
      </w:pPr>
    </w:p>
    <w:p w14:paraId="5D94BCB7">
      <w:pPr>
        <w:rPr>
          <w:rFonts w:ascii="宋体" w:hAnsi="宋体" w:cs="宋体"/>
          <w:color w:val="auto"/>
          <w:sz w:val="32"/>
          <w:szCs w:val="40"/>
          <w:highlight w:val="none"/>
        </w:rPr>
      </w:pPr>
    </w:p>
    <w:p w14:paraId="6BAE2EED">
      <w:pPr>
        <w:rPr>
          <w:rFonts w:ascii="宋体" w:hAnsi="宋体" w:cs="宋体"/>
          <w:color w:val="auto"/>
          <w:sz w:val="32"/>
          <w:szCs w:val="40"/>
          <w:highlight w:val="none"/>
        </w:rPr>
      </w:pPr>
    </w:p>
    <w:p w14:paraId="440C1AB4">
      <w:pPr>
        <w:rPr>
          <w:rFonts w:ascii="宋体" w:hAnsi="宋体" w:cs="宋体"/>
          <w:color w:val="auto"/>
          <w:sz w:val="32"/>
          <w:szCs w:val="40"/>
          <w:highlight w:val="none"/>
        </w:rPr>
      </w:pPr>
    </w:p>
    <w:p w14:paraId="296953F3">
      <w:pPr>
        <w:rPr>
          <w:rFonts w:ascii="宋体" w:hAnsi="宋体" w:cs="宋体"/>
          <w:color w:val="auto"/>
          <w:sz w:val="32"/>
          <w:szCs w:val="40"/>
          <w:highlight w:val="none"/>
        </w:rPr>
      </w:pPr>
    </w:p>
    <w:p w14:paraId="32906A58">
      <w:pPr>
        <w:rPr>
          <w:rFonts w:ascii="宋体" w:hAnsi="宋体" w:cs="宋体"/>
          <w:color w:val="auto"/>
          <w:sz w:val="32"/>
          <w:szCs w:val="40"/>
          <w:highlight w:val="none"/>
        </w:rPr>
      </w:pPr>
    </w:p>
    <w:p w14:paraId="51EA4E5F">
      <w:pPr>
        <w:rPr>
          <w:rFonts w:ascii="宋体" w:hAnsi="宋体" w:cs="宋体"/>
          <w:color w:val="auto"/>
          <w:sz w:val="32"/>
          <w:szCs w:val="40"/>
          <w:highlight w:val="none"/>
        </w:rPr>
      </w:pPr>
    </w:p>
    <w:p w14:paraId="2AD226C7">
      <w:pPr>
        <w:rPr>
          <w:rFonts w:ascii="宋体" w:hAnsi="宋体" w:cs="宋体"/>
          <w:color w:val="auto"/>
          <w:sz w:val="32"/>
          <w:szCs w:val="40"/>
          <w:highlight w:val="none"/>
        </w:rPr>
      </w:pPr>
    </w:p>
    <w:p w14:paraId="22FFFB86">
      <w:pPr>
        <w:rPr>
          <w:rFonts w:ascii="宋体" w:hAnsi="宋体" w:cs="宋体"/>
          <w:color w:val="auto"/>
          <w:sz w:val="32"/>
          <w:szCs w:val="40"/>
          <w:highlight w:val="none"/>
        </w:rPr>
      </w:pPr>
    </w:p>
    <w:p w14:paraId="0F7FB4C5">
      <w:pPr>
        <w:rPr>
          <w:rFonts w:ascii="宋体" w:hAnsi="宋体" w:cs="宋体"/>
          <w:color w:val="auto"/>
          <w:sz w:val="32"/>
          <w:szCs w:val="40"/>
          <w:highlight w:val="none"/>
        </w:rPr>
      </w:pPr>
    </w:p>
    <w:p w14:paraId="2AEA5C77">
      <w:pPr>
        <w:spacing w:line="360" w:lineRule="auto"/>
        <w:jc w:val="center"/>
        <w:rPr>
          <w:rFonts w:ascii="宋体" w:hAnsi="宋体" w:cs="宋体"/>
          <w:color w:val="auto"/>
          <w:sz w:val="24"/>
          <w:highlight w:val="none"/>
        </w:rPr>
      </w:pPr>
      <w:r>
        <w:rPr>
          <w:rFonts w:hint="eastAsia" w:ascii="宋体" w:hAnsi="宋体" w:cs="宋体"/>
          <w:color w:val="auto"/>
          <w:sz w:val="44"/>
          <w:szCs w:val="44"/>
          <w:highlight w:val="none"/>
        </w:rPr>
        <w:br w:type="page"/>
      </w:r>
      <w:r>
        <w:rPr>
          <w:rFonts w:hint="eastAsia" w:ascii="宋体" w:hAnsi="宋体" w:cs="宋体"/>
          <w:color w:val="auto"/>
          <w:sz w:val="44"/>
          <w:szCs w:val="44"/>
          <w:highlight w:val="none"/>
        </w:rPr>
        <w:t>投诉书</w:t>
      </w:r>
      <w:r>
        <w:rPr>
          <w:rFonts w:hint="eastAsia" w:ascii="宋体" w:hAnsi="宋体" w:cs="宋体"/>
          <w:color w:val="auto"/>
          <w:sz w:val="28"/>
          <w:szCs w:val="28"/>
          <w:highlight w:val="none"/>
        </w:rPr>
        <w:t>（格式）</w:t>
      </w:r>
    </w:p>
    <w:p w14:paraId="1B8C3D21">
      <w:pPr>
        <w:pStyle w:val="19"/>
        <w:snapToGrid w:val="0"/>
        <w:spacing w:line="360" w:lineRule="auto"/>
        <w:ind w:firstLine="482" w:firstLineChars="200"/>
        <w:rPr>
          <w:rFonts w:hAnsi="宋体" w:cs="宋体"/>
          <w:b/>
          <w:bCs/>
          <w:color w:val="auto"/>
          <w:sz w:val="24"/>
          <w:szCs w:val="24"/>
          <w:highlight w:val="none"/>
        </w:rPr>
      </w:pPr>
      <w:r>
        <w:rPr>
          <w:rFonts w:hint="eastAsia" w:hAnsi="宋体" w:cs="宋体"/>
          <w:b/>
          <w:bCs/>
          <w:color w:val="auto"/>
          <w:sz w:val="24"/>
          <w:szCs w:val="24"/>
          <w:highlight w:val="none"/>
        </w:rPr>
        <w:t>一、投诉相关主体基本情况：</w:t>
      </w:r>
    </w:p>
    <w:p w14:paraId="0D3CCBA7">
      <w:pPr>
        <w:pStyle w:val="19"/>
        <w:snapToGrid w:val="0"/>
        <w:spacing w:line="360" w:lineRule="auto"/>
        <w:ind w:firstLine="480" w:firstLineChars="200"/>
        <w:rPr>
          <w:rFonts w:hAnsi="宋体" w:cs="宋体"/>
          <w:bCs/>
          <w:color w:val="auto"/>
          <w:sz w:val="24"/>
          <w:szCs w:val="24"/>
          <w:highlight w:val="none"/>
          <w:u w:val="single"/>
        </w:rPr>
      </w:pPr>
      <w:r>
        <w:rPr>
          <w:rFonts w:hint="eastAsia" w:hAnsi="宋体" w:cs="宋体"/>
          <w:bCs/>
          <w:color w:val="auto"/>
          <w:sz w:val="24"/>
          <w:szCs w:val="24"/>
          <w:highlight w:val="none"/>
        </w:rPr>
        <w:t>供应商：</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 xml:space="preserve">                 </w:t>
      </w:r>
    </w:p>
    <w:p w14:paraId="7264CF93">
      <w:pPr>
        <w:pStyle w:val="19"/>
        <w:snapToGrid w:val="0"/>
        <w:spacing w:line="360" w:lineRule="auto"/>
        <w:ind w:firstLine="480" w:firstLineChars="200"/>
        <w:rPr>
          <w:rFonts w:hAnsi="宋体" w:cs="宋体"/>
          <w:bCs/>
          <w:color w:val="auto"/>
          <w:sz w:val="24"/>
          <w:szCs w:val="24"/>
          <w:highlight w:val="none"/>
        </w:rPr>
      </w:pPr>
      <w:r>
        <w:rPr>
          <w:rFonts w:hint="eastAsia" w:hAnsi="宋体" w:cs="宋体"/>
          <w:bCs/>
          <w:color w:val="auto"/>
          <w:sz w:val="24"/>
          <w:szCs w:val="24"/>
          <w:highlight w:val="none"/>
        </w:rPr>
        <w:t>地址：</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邮编：</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 xml:space="preserve">                 </w:t>
      </w:r>
    </w:p>
    <w:p w14:paraId="1A443B39">
      <w:pPr>
        <w:pStyle w:val="19"/>
        <w:snapToGrid w:val="0"/>
        <w:spacing w:line="360" w:lineRule="auto"/>
        <w:ind w:firstLine="480" w:firstLineChars="200"/>
        <w:rPr>
          <w:rFonts w:hAnsi="宋体" w:cs="宋体"/>
          <w:bCs/>
          <w:color w:val="auto"/>
          <w:sz w:val="24"/>
          <w:szCs w:val="24"/>
          <w:highlight w:val="none"/>
          <w:u w:val="single"/>
        </w:rPr>
      </w:pPr>
      <w:r>
        <w:rPr>
          <w:rFonts w:hint="eastAsia" w:hAnsi="宋体" w:cs="宋体"/>
          <w:bCs/>
          <w:color w:val="auto"/>
          <w:sz w:val="24"/>
          <w:szCs w:val="24"/>
          <w:highlight w:val="none"/>
        </w:rPr>
        <w:t>法定代表人/主要负责人：</w:t>
      </w:r>
      <w:r>
        <w:rPr>
          <w:rFonts w:hint="eastAsia" w:hAnsi="宋体" w:cs="宋体"/>
          <w:bCs/>
          <w:color w:val="auto"/>
          <w:sz w:val="24"/>
          <w:szCs w:val="24"/>
          <w:highlight w:val="none"/>
          <w:u w:val="single"/>
        </w:rPr>
        <w:t xml:space="preserve">                                                         </w:t>
      </w:r>
    </w:p>
    <w:p w14:paraId="5D00DADF">
      <w:pPr>
        <w:pStyle w:val="19"/>
        <w:snapToGrid w:val="0"/>
        <w:spacing w:line="360" w:lineRule="auto"/>
        <w:ind w:firstLine="480" w:firstLineChars="200"/>
        <w:rPr>
          <w:rFonts w:hAnsi="宋体" w:cs="宋体"/>
          <w:bCs/>
          <w:color w:val="auto"/>
          <w:sz w:val="24"/>
          <w:szCs w:val="24"/>
          <w:highlight w:val="none"/>
        </w:rPr>
      </w:pPr>
      <w:r>
        <w:rPr>
          <w:rFonts w:hint="eastAsia" w:hAnsi="宋体" w:cs="宋体"/>
          <w:bCs/>
          <w:color w:val="auto"/>
          <w:sz w:val="24"/>
          <w:szCs w:val="24"/>
          <w:highlight w:val="none"/>
        </w:rPr>
        <w:t>联系电话：</w:t>
      </w:r>
      <w:r>
        <w:rPr>
          <w:rFonts w:hint="eastAsia" w:hAnsi="宋体" w:cs="宋体"/>
          <w:bCs/>
          <w:color w:val="auto"/>
          <w:sz w:val="24"/>
          <w:szCs w:val="24"/>
          <w:highlight w:val="none"/>
          <w:u w:val="single"/>
        </w:rPr>
        <w:t xml:space="preserve">                                         </w:t>
      </w:r>
    </w:p>
    <w:p w14:paraId="3D7976C3">
      <w:pPr>
        <w:pStyle w:val="19"/>
        <w:snapToGrid w:val="0"/>
        <w:spacing w:line="360" w:lineRule="auto"/>
        <w:ind w:firstLine="480" w:firstLineChars="200"/>
        <w:rPr>
          <w:rFonts w:hAnsi="宋体" w:cs="宋体"/>
          <w:bCs/>
          <w:color w:val="auto"/>
          <w:sz w:val="24"/>
          <w:szCs w:val="24"/>
          <w:highlight w:val="none"/>
          <w:u w:val="single"/>
        </w:rPr>
      </w:pPr>
      <w:r>
        <w:rPr>
          <w:rFonts w:hint="eastAsia" w:hAnsi="宋体" w:cs="宋体"/>
          <w:bCs/>
          <w:color w:val="auto"/>
          <w:sz w:val="24"/>
          <w:szCs w:val="24"/>
          <w:highlight w:val="none"/>
        </w:rPr>
        <w:t>授权代表：</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联系电话：</w:t>
      </w:r>
      <w:r>
        <w:rPr>
          <w:rFonts w:hint="eastAsia" w:hAnsi="宋体" w:cs="宋体"/>
          <w:bCs/>
          <w:color w:val="auto"/>
          <w:sz w:val="24"/>
          <w:szCs w:val="24"/>
          <w:highlight w:val="none"/>
          <w:u w:val="single"/>
        </w:rPr>
        <w:t xml:space="preserve">                   </w:t>
      </w:r>
    </w:p>
    <w:p w14:paraId="7355E091">
      <w:pPr>
        <w:pStyle w:val="19"/>
        <w:snapToGrid w:val="0"/>
        <w:spacing w:line="360" w:lineRule="auto"/>
        <w:ind w:firstLine="480" w:firstLineChars="200"/>
        <w:rPr>
          <w:rFonts w:hAnsi="宋体" w:cs="宋体"/>
          <w:bCs/>
          <w:color w:val="auto"/>
          <w:sz w:val="24"/>
          <w:szCs w:val="24"/>
          <w:highlight w:val="none"/>
          <w:u w:val="single"/>
        </w:rPr>
      </w:pPr>
      <w:r>
        <w:rPr>
          <w:rFonts w:hint="eastAsia" w:hAnsi="宋体" w:cs="宋体"/>
          <w:bCs/>
          <w:color w:val="auto"/>
          <w:sz w:val="24"/>
          <w:szCs w:val="24"/>
          <w:highlight w:val="none"/>
        </w:rPr>
        <w:t>地址：</w:t>
      </w:r>
      <w:r>
        <w:rPr>
          <w:rFonts w:hint="eastAsia" w:hAnsi="宋体" w:cs="宋体"/>
          <w:bCs/>
          <w:color w:val="auto"/>
          <w:sz w:val="24"/>
          <w:szCs w:val="24"/>
          <w:highlight w:val="none"/>
          <w:u w:val="single"/>
        </w:rPr>
        <w:t xml:space="preserve">                                                            </w:t>
      </w:r>
    </w:p>
    <w:p w14:paraId="14B724E4">
      <w:pPr>
        <w:pStyle w:val="19"/>
        <w:snapToGrid w:val="0"/>
        <w:spacing w:line="360" w:lineRule="auto"/>
        <w:ind w:firstLine="480" w:firstLineChars="200"/>
        <w:rPr>
          <w:rFonts w:hAnsi="宋体" w:cs="宋体"/>
          <w:bCs/>
          <w:color w:val="auto"/>
          <w:sz w:val="24"/>
          <w:szCs w:val="24"/>
          <w:highlight w:val="none"/>
        </w:rPr>
      </w:pPr>
      <w:r>
        <w:rPr>
          <w:rFonts w:hint="eastAsia" w:hAnsi="宋体" w:cs="宋体"/>
          <w:bCs/>
          <w:color w:val="auto"/>
          <w:sz w:val="24"/>
          <w:szCs w:val="24"/>
          <w:highlight w:val="none"/>
        </w:rPr>
        <w:t>邮编：</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 xml:space="preserve">   </w:t>
      </w:r>
    </w:p>
    <w:p w14:paraId="03E89786">
      <w:pPr>
        <w:pStyle w:val="19"/>
        <w:snapToGrid w:val="0"/>
        <w:spacing w:line="360" w:lineRule="auto"/>
        <w:ind w:firstLine="480" w:firstLineChars="200"/>
        <w:rPr>
          <w:rFonts w:hAnsi="宋体" w:cs="宋体"/>
          <w:bCs/>
          <w:color w:val="auto"/>
          <w:sz w:val="24"/>
          <w:szCs w:val="24"/>
          <w:highlight w:val="none"/>
        </w:rPr>
      </w:pPr>
      <w:r>
        <w:rPr>
          <w:rFonts w:hint="eastAsia" w:hAnsi="宋体" w:cs="宋体"/>
          <w:bCs/>
          <w:color w:val="auto"/>
          <w:sz w:val="24"/>
          <w:szCs w:val="24"/>
          <w:highlight w:val="none"/>
        </w:rPr>
        <w:t>被投诉人1：</w:t>
      </w:r>
    </w:p>
    <w:p w14:paraId="49AC9BB2">
      <w:pPr>
        <w:pStyle w:val="19"/>
        <w:snapToGrid w:val="0"/>
        <w:spacing w:line="360" w:lineRule="auto"/>
        <w:ind w:firstLine="480" w:firstLineChars="200"/>
        <w:rPr>
          <w:rFonts w:hAnsi="宋体" w:cs="宋体"/>
          <w:bCs/>
          <w:color w:val="auto"/>
          <w:sz w:val="24"/>
          <w:szCs w:val="24"/>
          <w:highlight w:val="none"/>
          <w:u w:val="single"/>
        </w:rPr>
      </w:pPr>
      <w:r>
        <w:rPr>
          <w:rFonts w:hint="eastAsia" w:hAnsi="宋体" w:cs="宋体"/>
          <w:bCs/>
          <w:color w:val="auto"/>
          <w:sz w:val="24"/>
          <w:szCs w:val="24"/>
          <w:highlight w:val="none"/>
        </w:rPr>
        <w:t>地址：</w:t>
      </w:r>
      <w:r>
        <w:rPr>
          <w:rFonts w:hint="eastAsia" w:hAnsi="宋体" w:cs="宋体"/>
          <w:bCs/>
          <w:color w:val="auto"/>
          <w:sz w:val="24"/>
          <w:szCs w:val="24"/>
          <w:highlight w:val="none"/>
          <w:u w:val="single"/>
        </w:rPr>
        <w:t xml:space="preserve">                                                            </w:t>
      </w:r>
    </w:p>
    <w:p w14:paraId="274B3267">
      <w:pPr>
        <w:pStyle w:val="19"/>
        <w:snapToGrid w:val="0"/>
        <w:spacing w:line="360" w:lineRule="auto"/>
        <w:ind w:firstLine="480" w:firstLineChars="200"/>
        <w:rPr>
          <w:rFonts w:hAnsi="宋体" w:cs="宋体"/>
          <w:bCs/>
          <w:color w:val="auto"/>
          <w:sz w:val="24"/>
          <w:szCs w:val="24"/>
          <w:highlight w:val="none"/>
        </w:rPr>
      </w:pPr>
      <w:r>
        <w:rPr>
          <w:rFonts w:hint="eastAsia" w:hAnsi="宋体" w:cs="宋体"/>
          <w:bCs/>
          <w:color w:val="auto"/>
          <w:sz w:val="24"/>
          <w:szCs w:val="24"/>
          <w:highlight w:val="none"/>
        </w:rPr>
        <w:t>邮编：</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 xml:space="preserve">  </w:t>
      </w:r>
    </w:p>
    <w:p w14:paraId="53E41D68">
      <w:pPr>
        <w:pStyle w:val="19"/>
        <w:snapToGrid w:val="0"/>
        <w:spacing w:line="360" w:lineRule="auto"/>
        <w:ind w:firstLine="480" w:firstLineChars="200"/>
        <w:rPr>
          <w:rFonts w:hAnsi="宋体" w:cs="宋体"/>
          <w:bCs/>
          <w:color w:val="auto"/>
          <w:sz w:val="24"/>
          <w:szCs w:val="24"/>
          <w:highlight w:val="none"/>
          <w:u w:val="single"/>
        </w:rPr>
      </w:pPr>
      <w:r>
        <w:rPr>
          <w:rFonts w:hint="eastAsia" w:hAnsi="宋体" w:cs="宋体"/>
          <w:bCs/>
          <w:color w:val="auto"/>
          <w:sz w:val="24"/>
          <w:szCs w:val="24"/>
          <w:highlight w:val="none"/>
        </w:rPr>
        <w:t>联系人：</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联系电话：</w:t>
      </w:r>
      <w:r>
        <w:rPr>
          <w:rFonts w:hint="eastAsia" w:hAnsi="宋体" w:cs="宋体"/>
          <w:bCs/>
          <w:color w:val="auto"/>
          <w:sz w:val="24"/>
          <w:szCs w:val="24"/>
          <w:highlight w:val="none"/>
          <w:u w:val="single"/>
        </w:rPr>
        <w:t xml:space="preserve">                </w:t>
      </w:r>
    </w:p>
    <w:p w14:paraId="0F855FF7">
      <w:pPr>
        <w:pStyle w:val="19"/>
        <w:snapToGrid w:val="0"/>
        <w:spacing w:line="360" w:lineRule="auto"/>
        <w:ind w:firstLine="480" w:firstLineChars="200"/>
        <w:rPr>
          <w:rFonts w:hAnsi="宋体" w:cs="宋体"/>
          <w:bCs/>
          <w:color w:val="auto"/>
          <w:sz w:val="24"/>
          <w:szCs w:val="24"/>
          <w:highlight w:val="none"/>
        </w:rPr>
      </w:pPr>
      <w:r>
        <w:rPr>
          <w:rFonts w:hint="eastAsia" w:hAnsi="宋体" w:cs="宋体"/>
          <w:bCs/>
          <w:color w:val="auto"/>
          <w:sz w:val="24"/>
          <w:szCs w:val="24"/>
          <w:highlight w:val="none"/>
        </w:rPr>
        <w:t>被投诉人2：</w:t>
      </w:r>
    </w:p>
    <w:p w14:paraId="0BE0EB30">
      <w:pPr>
        <w:pStyle w:val="19"/>
        <w:snapToGrid w:val="0"/>
        <w:spacing w:line="360" w:lineRule="auto"/>
        <w:ind w:firstLine="480" w:firstLineChars="200"/>
        <w:rPr>
          <w:rFonts w:hAnsi="宋体" w:cs="宋体"/>
          <w:bCs/>
          <w:color w:val="auto"/>
          <w:sz w:val="24"/>
          <w:szCs w:val="24"/>
          <w:highlight w:val="none"/>
        </w:rPr>
      </w:pPr>
      <w:r>
        <w:rPr>
          <w:rFonts w:hint="eastAsia" w:hAnsi="宋体" w:cs="宋体"/>
          <w:bCs/>
          <w:color w:val="auto"/>
          <w:sz w:val="24"/>
          <w:szCs w:val="24"/>
          <w:highlight w:val="none"/>
        </w:rPr>
        <w:t>……</w:t>
      </w:r>
    </w:p>
    <w:p w14:paraId="3FADE647">
      <w:pPr>
        <w:pStyle w:val="19"/>
        <w:snapToGrid w:val="0"/>
        <w:spacing w:line="360" w:lineRule="auto"/>
        <w:ind w:firstLine="480" w:firstLineChars="200"/>
        <w:rPr>
          <w:rFonts w:hAnsi="宋体" w:cs="宋体"/>
          <w:bCs/>
          <w:color w:val="auto"/>
          <w:sz w:val="24"/>
          <w:szCs w:val="24"/>
          <w:highlight w:val="none"/>
          <w:u w:val="single"/>
        </w:rPr>
      </w:pPr>
      <w:r>
        <w:rPr>
          <w:rFonts w:hint="eastAsia" w:hAnsi="宋体" w:cs="宋体"/>
          <w:bCs/>
          <w:color w:val="auto"/>
          <w:sz w:val="24"/>
          <w:szCs w:val="24"/>
          <w:highlight w:val="none"/>
        </w:rPr>
        <w:t>相关供应商：</w:t>
      </w:r>
      <w:r>
        <w:rPr>
          <w:rFonts w:hint="eastAsia" w:hAnsi="宋体" w:cs="宋体"/>
          <w:bCs/>
          <w:color w:val="auto"/>
          <w:sz w:val="24"/>
          <w:szCs w:val="24"/>
          <w:highlight w:val="none"/>
          <w:u w:val="single"/>
        </w:rPr>
        <w:t xml:space="preserve">                                                                       </w:t>
      </w:r>
    </w:p>
    <w:p w14:paraId="23EE9EC6">
      <w:pPr>
        <w:pStyle w:val="19"/>
        <w:snapToGrid w:val="0"/>
        <w:spacing w:line="360" w:lineRule="auto"/>
        <w:ind w:firstLine="480" w:firstLineChars="200"/>
        <w:rPr>
          <w:rFonts w:hAnsi="宋体" w:cs="宋体"/>
          <w:bCs/>
          <w:color w:val="auto"/>
          <w:sz w:val="24"/>
          <w:szCs w:val="24"/>
          <w:highlight w:val="none"/>
          <w:u w:val="single"/>
        </w:rPr>
      </w:pPr>
      <w:r>
        <w:rPr>
          <w:rFonts w:hint="eastAsia" w:hAnsi="宋体" w:cs="宋体"/>
          <w:bCs/>
          <w:color w:val="auto"/>
          <w:sz w:val="24"/>
          <w:szCs w:val="24"/>
          <w:highlight w:val="none"/>
        </w:rPr>
        <w:t>地址：</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邮编：</w:t>
      </w:r>
      <w:r>
        <w:rPr>
          <w:rFonts w:hint="eastAsia" w:hAnsi="宋体" w:cs="宋体"/>
          <w:bCs/>
          <w:color w:val="auto"/>
          <w:sz w:val="24"/>
          <w:szCs w:val="24"/>
          <w:highlight w:val="none"/>
          <w:u w:val="single"/>
        </w:rPr>
        <w:t xml:space="preserve">                         </w:t>
      </w:r>
    </w:p>
    <w:p w14:paraId="775929CE">
      <w:pPr>
        <w:pStyle w:val="19"/>
        <w:snapToGrid w:val="0"/>
        <w:spacing w:line="360" w:lineRule="auto"/>
        <w:ind w:firstLine="480" w:firstLineChars="200"/>
        <w:rPr>
          <w:rFonts w:hAnsi="宋体" w:cs="宋体"/>
          <w:bCs/>
          <w:color w:val="auto"/>
          <w:sz w:val="24"/>
          <w:szCs w:val="24"/>
          <w:highlight w:val="none"/>
        </w:rPr>
      </w:pPr>
      <w:r>
        <w:rPr>
          <w:rFonts w:hint="eastAsia" w:hAnsi="宋体" w:cs="宋体"/>
          <w:bCs/>
          <w:color w:val="auto"/>
          <w:sz w:val="24"/>
          <w:szCs w:val="24"/>
          <w:highlight w:val="none"/>
        </w:rPr>
        <w:t>联系人：</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联系电话：</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 xml:space="preserve">                </w:t>
      </w:r>
    </w:p>
    <w:p w14:paraId="02261AC1">
      <w:pPr>
        <w:pStyle w:val="19"/>
        <w:snapToGrid w:val="0"/>
        <w:spacing w:line="360" w:lineRule="auto"/>
        <w:ind w:firstLine="482" w:firstLineChars="200"/>
        <w:rPr>
          <w:rFonts w:hAnsi="宋体" w:cs="宋体"/>
          <w:b/>
          <w:bCs/>
          <w:color w:val="auto"/>
          <w:sz w:val="24"/>
          <w:szCs w:val="24"/>
          <w:highlight w:val="none"/>
        </w:rPr>
      </w:pPr>
      <w:r>
        <w:rPr>
          <w:rFonts w:hint="eastAsia" w:hAnsi="宋体" w:cs="宋体"/>
          <w:b/>
          <w:bCs/>
          <w:color w:val="auto"/>
          <w:sz w:val="24"/>
          <w:szCs w:val="24"/>
          <w:highlight w:val="none"/>
        </w:rPr>
        <w:t>二、投诉项目基本情况：</w:t>
      </w:r>
    </w:p>
    <w:p w14:paraId="1B83A1C1">
      <w:pPr>
        <w:pStyle w:val="19"/>
        <w:spacing w:line="360" w:lineRule="auto"/>
        <w:ind w:left="25" w:leftChars="12" w:firstLine="472" w:firstLineChars="197"/>
        <w:rPr>
          <w:rFonts w:hAnsi="宋体" w:cs="宋体"/>
          <w:color w:val="auto"/>
          <w:sz w:val="24"/>
          <w:szCs w:val="24"/>
          <w:highlight w:val="none"/>
        </w:rPr>
      </w:pPr>
      <w:r>
        <w:rPr>
          <w:rFonts w:hint="eastAsia" w:hAnsi="宋体" w:cs="宋体"/>
          <w:bCs/>
          <w:color w:val="auto"/>
          <w:sz w:val="24"/>
          <w:szCs w:val="24"/>
          <w:highlight w:val="none"/>
        </w:rPr>
        <w:t>采购</w:t>
      </w:r>
      <w:r>
        <w:rPr>
          <w:rFonts w:hint="eastAsia" w:hAnsi="宋体" w:cs="宋体"/>
          <w:color w:val="auto"/>
          <w:sz w:val="24"/>
          <w:szCs w:val="24"/>
          <w:highlight w:val="none"/>
        </w:rPr>
        <w:t>项目的名称：</w:t>
      </w:r>
      <w:r>
        <w:rPr>
          <w:rFonts w:hint="eastAsia" w:hAnsi="宋体" w:cs="宋体"/>
          <w:bCs/>
          <w:color w:val="auto"/>
          <w:sz w:val="24"/>
          <w:szCs w:val="24"/>
          <w:highlight w:val="none"/>
          <w:u w:val="single"/>
        </w:rPr>
        <w:t xml:space="preserve">                                                                   </w:t>
      </w:r>
    </w:p>
    <w:p w14:paraId="53B03CEB">
      <w:pPr>
        <w:pStyle w:val="19"/>
        <w:spacing w:line="360" w:lineRule="auto"/>
        <w:ind w:left="25" w:leftChars="12" w:firstLine="472" w:firstLineChars="197"/>
        <w:rPr>
          <w:rFonts w:hAnsi="宋体" w:cs="宋体"/>
          <w:color w:val="auto"/>
          <w:sz w:val="24"/>
          <w:szCs w:val="24"/>
          <w:highlight w:val="none"/>
        </w:rPr>
      </w:pPr>
      <w:r>
        <w:rPr>
          <w:rFonts w:hint="eastAsia" w:hAnsi="宋体" w:cs="宋体"/>
          <w:bCs/>
          <w:color w:val="auto"/>
          <w:sz w:val="24"/>
          <w:szCs w:val="24"/>
          <w:highlight w:val="none"/>
        </w:rPr>
        <w:t>采购</w:t>
      </w:r>
      <w:r>
        <w:rPr>
          <w:rFonts w:hint="eastAsia" w:hAnsi="宋体" w:cs="宋体"/>
          <w:color w:val="auto"/>
          <w:sz w:val="24"/>
          <w:szCs w:val="24"/>
          <w:highlight w:val="none"/>
        </w:rPr>
        <w:t>项目的编号：</w:t>
      </w:r>
      <w:r>
        <w:rPr>
          <w:rFonts w:hint="eastAsia" w:hAnsi="宋体" w:cs="宋体"/>
          <w:bCs/>
          <w:color w:val="auto"/>
          <w:sz w:val="24"/>
          <w:szCs w:val="24"/>
          <w:highlight w:val="none"/>
          <w:u w:val="single"/>
        </w:rPr>
        <w:t xml:space="preserve">                                          </w:t>
      </w:r>
    </w:p>
    <w:p w14:paraId="35C45700">
      <w:pPr>
        <w:pStyle w:val="19"/>
        <w:spacing w:line="360" w:lineRule="auto"/>
        <w:ind w:left="25" w:leftChars="12" w:firstLine="472" w:firstLineChars="197"/>
        <w:rPr>
          <w:rFonts w:hAnsi="宋体" w:cs="宋体"/>
          <w:bCs/>
          <w:color w:val="auto"/>
          <w:sz w:val="24"/>
          <w:szCs w:val="24"/>
          <w:highlight w:val="none"/>
          <w:u w:val="single"/>
        </w:rPr>
      </w:pPr>
      <w:r>
        <w:rPr>
          <w:rFonts w:hint="eastAsia" w:hAnsi="宋体" w:cs="宋体"/>
          <w:color w:val="auto"/>
          <w:sz w:val="24"/>
          <w:szCs w:val="24"/>
          <w:highlight w:val="none"/>
        </w:rPr>
        <w:t>采购人名称：</w:t>
      </w:r>
      <w:r>
        <w:rPr>
          <w:rFonts w:hint="eastAsia" w:hAnsi="宋体" w:cs="宋体"/>
          <w:bCs/>
          <w:color w:val="auto"/>
          <w:sz w:val="24"/>
          <w:szCs w:val="24"/>
          <w:highlight w:val="none"/>
          <w:u w:val="single"/>
        </w:rPr>
        <w:t xml:space="preserve">                                                                        </w:t>
      </w:r>
    </w:p>
    <w:p w14:paraId="4AA1D95A">
      <w:pPr>
        <w:pStyle w:val="19"/>
        <w:spacing w:line="360" w:lineRule="auto"/>
        <w:ind w:left="25" w:leftChars="12" w:firstLine="472" w:firstLineChars="197"/>
        <w:rPr>
          <w:rFonts w:hAnsi="宋体" w:cs="宋体"/>
          <w:bCs/>
          <w:color w:val="auto"/>
          <w:sz w:val="24"/>
          <w:szCs w:val="24"/>
          <w:highlight w:val="none"/>
          <w:u w:val="single"/>
        </w:rPr>
      </w:pPr>
      <w:r>
        <w:rPr>
          <w:rFonts w:hint="eastAsia" w:hAnsi="宋体" w:cs="宋体"/>
          <w:color w:val="auto"/>
          <w:sz w:val="24"/>
          <w:szCs w:val="24"/>
          <w:highlight w:val="none"/>
        </w:rPr>
        <w:t>代理机构名称：</w:t>
      </w:r>
      <w:r>
        <w:rPr>
          <w:rFonts w:hint="eastAsia" w:hAnsi="宋体" w:cs="宋体"/>
          <w:bCs/>
          <w:color w:val="auto"/>
          <w:sz w:val="24"/>
          <w:szCs w:val="24"/>
          <w:highlight w:val="none"/>
          <w:u w:val="single"/>
        </w:rPr>
        <w:t xml:space="preserve">                                                                      </w:t>
      </w:r>
    </w:p>
    <w:p w14:paraId="1AB01EBD">
      <w:pPr>
        <w:pStyle w:val="19"/>
        <w:spacing w:line="360" w:lineRule="auto"/>
        <w:ind w:left="25" w:leftChars="12" w:firstLine="472" w:firstLineChars="197"/>
        <w:rPr>
          <w:rFonts w:hAnsi="宋体" w:cs="宋体"/>
          <w:bCs/>
          <w:color w:val="auto"/>
          <w:sz w:val="24"/>
          <w:szCs w:val="24"/>
          <w:highlight w:val="none"/>
          <w:u w:val="single"/>
        </w:rPr>
      </w:pPr>
      <w:r>
        <w:rPr>
          <w:rFonts w:hint="eastAsia" w:hAnsi="宋体" w:cs="宋体"/>
          <w:bCs/>
          <w:color w:val="auto"/>
          <w:sz w:val="24"/>
          <w:szCs w:val="24"/>
          <w:highlight w:val="none"/>
        </w:rPr>
        <w:t>竞争性磋商文件公告：</w:t>
      </w:r>
      <w:r>
        <w:rPr>
          <w:rFonts w:hint="eastAsia" w:hAnsi="宋体" w:cs="宋体"/>
          <w:bCs/>
          <w:color w:val="auto"/>
          <w:sz w:val="24"/>
          <w:szCs w:val="24"/>
          <w:highlight w:val="none"/>
          <w:u w:val="single"/>
        </w:rPr>
        <w:t>是/否</w:t>
      </w:r>
      <w:r>
        <w:rPr>
          <w:rFonts w:hint="eastAsia" w:hAnsi="宋体" w:cs="宋体"/>
          <w:bCs/>
          <w:color w:val="auto"/>
          <w:sz w:val="24"/>
          <w:szCs w:val="24"/>
          <w:highlight w:val="none"/>
        </w:rPr>
        <w:t>公告期限：</w:t>
      </w:r>
      <w:r>
        <w:rPr>
          <w:rFonts w:hint="eastAsia" w:hAnsi="宋体" w:cs="宋体"/>
          <w:bCs/>
          <w:color w:val="auto"/>
          <w:sz w:val="24"/>
          <w:szCs w:val="24"/>
          <w:highlight w:val="none"/>
          <w:u w:val="single"/>
        </w:rPr>
        <w:t xml:space="preserve">                                                       </w:t>
      </w:r>
    </w:p>
    <w:p w14:paraId="30BBAC90">
      <w:pPr>
        <w:pStyle w:val="19"/>
        <w:spacing w:line="360" w:lineRule="auto"/>
        <w:ind w:left="25" w:leftChars="12" w:firstLine="472" w:firstLineChars="197"/>
        <w:rPr>
          <w:rFonts w:hAnsi="宋体" w:cs="宋体"/>
          <w:b/>
          <w:color w:val="auto"/>
          <w:sz w:val="24"/>
          <w:szCs w:val="24"/>
          <w:highlight w:val="none"/>
        </w:rPr>
      </w:pPr>
      <w:r>
        <w:rPr>
          <w:rFonts w:hint="eastAsia" w:hAnsi="宋体" w:cs="宋体"/>
          <w:bCs/>
          <w:color w:val="auto"/>
          <w:sz w:val="24"/>
          <w:szCs w:val="24"/>
          <w:highlight w:val="none"/>
        </w:rPr>
        <w:t>采购结果公告：</w:t>
      </w:r>
      <w:r>
        <w:rPr>
          <w:rFonts w:hint="eastAsia" w:hAnsi="宋体" w:cs="宋体"/>
          <w:bCs/>
          <w:color w:val="auto"/>
          <w:sz w:val="24"/>
          <w:szCs w:val="24"/>
          <w:highlight w:val="none"/>
          <w:u w:val="single"/>
        </w:rPr>
        <w:t>是/否</w:t>
      </w:r>
      <w:r>
        <w:rPr>
          <w:rFonts w:hint="eastAsia" w:hAnsi="宋体" w:cs="宋体"/>
          <w:bCs/>
          <w:color w:val="auto"/>
          <w:sz w:val="24"/>
          <w:szCs w:val="24"/>
          <w:highlight w:val="none"/>
        </w:rPr>
        <w:t>公告期限：</w:t>
      </w:r>
      <w:r>
        <w:rPr>
          <w:rFonts w:hint="eastAsia" w:hAnsi="宋体" w:cs="宋体"/>
          <w:bCs/>
          <w:color w:val="auto"/>
          <w:sz w:val="24"/>
          <w:szCs w:val="24"/>
          <w:highlight w:val="none"/>
          <w:u w:val="single"/>
        </w:rPr>
        <w:t xml:space="preserve">                                                       </w:t>
      </w:r>
    </w:p>
    <w:p w14:paraId="2B7AE538">
      <w:pPr>
        <w:pStyle w:val="19"/>
        <w:spacing w:line="360" w:lineRule="auto"/>
        <w:ind w:left="25" w:leftChars="12" w:firstLine="472" w:firstLineChars="196"/>
        <w:rPr>
          <w:rFonts w:hAnsi="宋体" w:cs="宋体"/>
          <w:b/>
          <w:color w:val="auto"/>
          <w:sz w:val="24"/>
          <w:szCs w:val="24"/>
          <w:highlight w:val="none"/>
        </w:rPr>
      </w:pPr>
      <w:r>
        <w:rPr>
          <w:rFonts w:hint="eastAsia" w:hAnsi="宋体" w:cs="宋体"/>
          <w:b/>
          <w:color w:val="auto"/>
          <w:sz w:val="24"/>
          <w:szCs w:val="24"/>
          <w:highlight w:val="none"/>
        </w:rPr>
        <w:t>三、质疑基本情况</w:t>
      </w:r>
    </w:p>
    <w:p w14:paraId="5FA4610A">
      <w:pPr>
        <w:pStyle w:val="19"/>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投诉人于</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年</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月</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日，向</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提出质疑，质疑事项为：</w:t>
      </w:r>
    </w:p>
    <w:p w14:paraId="30490045">
      <w:pPr>
        <w:pStyle w:val="19"/>
        <w:spacing w:line="360" w:lineRule="auto"/>
        <w:ind w:firstLine="241"/>
        <w:rPr>
          <w:rFonts w:hAnsi="宋体" w:cs="宋体"/>
          <w:bCs/>
          <w:color w:val="auto"/>
          <w:sz w:val="24"/>
          <w:szCs w:val="24"/>
          <w:highlight w:val="none"/>
          <w:u w:val="single"/>
        </w:rPr>
      </w:pPr>
      <w:r>
        <w:rPr>
          <w:rFonts w:hint="eastAsia" w:hAnsi="宋体" w:cs="宋体"/>
          <w:color w:val="auto"/>
          <w:sz w:val="24"/>
          <w:szCs w:val="24"/>
          <w:highlight w:val="none"/>
        </w:rPr>
        <w:t xml:space="preserve">    </w:t>
      </w:r>
      <w:r>
        <w:rPr>
          <w:rFonts w:hint="eastAsia" w:hAnsi="宋体" w:cs="宋体"/>
          <w:bCs/>
          <w:color w:val="auto"/>
          <w:sz w:val="24"/>
          <w:szCs w:val="24"/>
          <w:highlight w:val="none"/>
          <w:u w:val="single"/>
        </w:rPr>
        <w:t xml:space="preserve">                                                                                      </w:t>
      </w:r>
    </w:p>
    <w:p w14:paraId="2E3AD5B5">
      <w:pPr>
        <w:pStyle w:val="19"/>
        <w:spacing w:line="360" w:lineRule="auto"/>
        <w:ind w:firstLine="241"/>
        <w:rPr>
          <w:rFonts w:hAnsi="宋体" w:cs="宋体"/>
          <w:bCs/>
          <w:color w:val="auto"/>
          <w:sz w:val="24"/>
          <w:szCs w:val="24"/>
          <w:highlight w:val="none"/>
          <w:u w:val="single"/>
        </w:rPr>
      </w:pPr>
      <w:r>
        <w:rPr>
          <w:rFonts w:hint="eastAsia" w:hAnsi="宋体" w:cs="宋体"/>
          <w:bCs/>
          <w:color w:val="auto"/>
          <w:sz w:val="24"/>
          <w:szCs w:val="24"/>
          <w:highlight w:val="none"/>
        </w:rPr>
        <w:t xml:space="preserve">    </w:t>
      </w:r>
      <w:r>
        <w:rPr>
          <w:rFonts w:hint="eastAsia" w:hAnsi="宋体" w:cs="宋体"/>
          <w:bCs/>
          <w:color w:val="auto"/>
          <w:sz w:val="24"/>
          <w:szCs w:val="24"/>
          <w:highlight w:val="none"/>
          <w:u w:val="single"/>
        </w:rPr>
        <w:t xml:space="preserve">                                                                                      </w:t>
      </w:r>
    </w:p>
    <w:p w14:paraId="55CFD784">
      <w:pPr>
        <w:pStyle w:val="19"/>
        <w:spacing w:line="360" w:lineRule="auto"/>
        <w:ind w:firstLine="480" w:firstLineChars="200"/>
        <w:rPr>
          <w:rFonts w:hAnsi="宋体" w:cs="宋体"/>
          <w:color w:val="auto"/>
          <w:sz w:val="24"/>
          <w:szCs w:val="24"/>
          <w:highlight w:val="none"/>
        </w:rPr>
      </w:pPr>
      <w:r>
        <w:rPr>
          <w:rFonts w:hint="eastAsia" w:hAnsi="宋体" w:cs="宋体"/>
          <w:bCs/>
          <w:color w:val="auto"/>
          <w:sz w:val="24"/>
          <w:szCs w:val="24"/>
          <w:highlight w:val="none"/>
          <w:u w:val="single"/>
        </w:rPr>
        <w:t>采购人/代理机构</w:t>
      </w:r>
      <w:r>
        <w:rPr>
          <w:rFonts w:hint="eastAsia" w:hAnsi="宋体" w:cs="宋体"/>
          <w:bCs/>
          <w:color w:val="auto"/>
          <w:sz w:val="24"/>
          <w:szCs w:val="24"/>
          <w:highlight w:val="none"/>
        </w:rPr>
        <w:t>于</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年</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月</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日，</w:t>
      </w:r>
      <w:r>
        <w:rPr>
          <w:rFonts w:hint="eastAsia" w:hAnsi="宋体" w:cs="宋体"/>
          <w:bCs/>
          <w:color w:val="auto"/>
          <w:sz w:val="24"/>
          <w:szCs w:val="24"/>
          <w:highlight w:val="none"/>
        </w:rPr>
        <w:t xml:space="preserve">就质疑事项作出了答复/没有在法定期限内作出答复。                                                                                             </w:t>
      </w:r>
    </w:p>
    <w:p w14:paraId="60BC3A69">
      <w:pPr>
        <w:pStyle w:val="19"/>
        <w:spacing w:line="360" w:lineRule="auto"/>
        <w:ind w:left="25" w:leftChars="12" w:firstLine="472" w:firstLineChars="196"/>
        <w:rPr>
          <w:rFonts w:hAnsi="宋体" w:cs="宋体"/>
          <w:b/>
          <w:color w:val="auto"/>
          <w:sz w:val="24"/>
          <w:szCs w:val="24"/>
          <w:highlight w:val="none"/>
        </w:rPr>
      </w:pPr>
      <w:r>
        <w:rPr>
          <w:rFonts w:hint="eastAsia" w:hAnsi="宋体" w:cs="宋体"/>
          <w:b/>
          <w:color w:val="auto"/>
          <w:sz w:val="24"/>
          <w:szCs w:val="24"/>
          <w:highlight w:val="none"/>
        </w:rPr>
        <w:t>四、投诉事项具体内容</w:t>
      </w:r>
    </w:p>
    <w:p w14:paraId="007F6C74">
      <w:pPr>
        <w:pStyle w:val="19"/>
        <w:spacing w:line="360" w:lineRule="auto"/>
        <w:ind w:left="25" w:leftChars="12" w:firstLine="472" w:firstLineChars="197"/>
        <w:rPr>
          <w:rFonts w:hAnsi="宋体" w:cs="宋体"/>
          <w:bCs/>
          <w:color w:val="auto"/>
          <w:sz w:val="24"/>
          <w:szCs w:val="24"/>
          <w:highlight w:val="none"/>
          <w:u w:val="single"/>
        </w:rPr>
      </w:pPr>
      <w:r>
        <w:rPr>
          <w:rFonts w:hint="eastAsia" w:hAnsi="宋体" w:cs="宋体"/>
          <w:color w:val="auto"/>
          <w:sz w:val="24"/>
          <w:szCs w:val="24"/>
          <w:highlight w:val="none"/>
        </w:rPr>
        <w:t>投诉事项1：</w:t>
      </w:r>
      <w:r>
        <w:rPr>
          <w:rFonts w:hint="eastAsia" w:hAnsi="宋体" w:cs="宋体"/>
          <w:bCs/>
          <w:color w:val="auto"/>
          <w:sz w:val="24"/>
          <w:szCs w:val="24"/>
          <w:highlight w:val="none"/>
          <w:u w:val="single"/>
        </w:rPr>
        <w:t xml:space="preserve">                                                                           </w:t>
      </w:r>
    </w:p>
    <w:p w14:paraId="306E3B31">
      <w:pPr>
        <w:pStyle w:val="19"/>
        <w:spacing w:line="360" w:lineRule="auto"/>
        <w:ind w:firstLine="480" w:firstLineChars="200"/>
        <w:rPr>
          <w:rFonts w:hAnsi="宋体" w:cs="宋体"/>
          <w:bCs/>
          <w:color w:val="auto"/>
          <w:sz w:val="24"/>
          <w:szCs w:val="24"/>
          <w:highlight w:val="none"/>
          <w:u w:val="single"/>
        </w:rPr>
      </w:pPr>
      <w:r>
        <w:rPr>
          <w:rFonts w:hint="eastAsia" w:hAnsi="宋体" w:cs="宋体"/>
          <w:bCs/>
          <w:color w:val="auto"/>
          <w:sz w:val="24"/>
          <w:szCs w:val="24"/>
          <w:highlight w:val="none"/>
        </w:rPr>
        <w:t>事实依据：</w:t>
      </w:r>
      <w:r>
        <w:rPr>
          <w:rFonts w:hint="eastAsia" w:hAnsi="宋体" w:cs="宋体"/>
          <w:color w:val="auto"/>
          <w:sz w:val="24"/>
          <w:szCs w:val="24"/>
          <w:highlight w:val="none"/>
        </w:rPr>
        <w:t xml:space="preserve"> </w:t>
      </w:r>
      <w:r>
        <w:rPr>
          <w:rFonts w:hint="eastAsia" w:hAnsi="宋体" w:cs="宋体"/>
          <w:bCs/>
          <w:color w:val="auto"/>
          <w:sz w:val="24"/>
          <w:szCs w:val="24"/>
          <w:highlight w:val="none"/>
          <w:u w:val="single"/>
        </w:rPr>
        <w:t xml:space="preserve">                                                                                      </w:t>
      </w:r>
    </w:p>
    <w:p w14:paraId="0C381DA5">
      <w:pPr>
        <w:pStyle w:val="19"/>
        <w:spacing w:line="360" w:lineRule="auto"/>
        <w:ind w:left="25" w:leftChars="12" w:firstLine="472" w:firstLineChars="197"/>
        <w:rPr>
          <w:rFonts w:hAnsi="宋体" w:cs="宋体"/>
          <w:color w:val="auto"/>
          <w:sz w:val="24"/>
          <w:szCs w:val="24"/>
          <w:highlight w:val="none"/>
        </w:rPr>
      </w:pPr>
      <w:r>
        <w:rPr>
          <w:rFonts w:hint="eastAsia" w:hAnsi="宋体" w:cs="宋体"/>
          <w:bCs/>
          <w:color w:val="auto"/>
          <w:sz w:val="24"/>
          <w:szCs w:val="24"/>
          <w:highlight w:val="none"/>
          <w:u w:val="single"/>
        </w:rPr>
        <w:t xml:space="preserve">                                                                                        </w:t>
      </w:r>
    </w:p>
    <w:p w14:paraId="3912A808">
      <w:pPr>
        <w:pStyle w:val="19"/>
        <w:spacing w:line="360" w:lineRule="auto"/>
        <w:ind w:firstLine="480" w:firstLineChars="200"/>
        <w:rPr>
          <w:rFonts w:hAnsi="宋体" w:cs="宋体"/>
          <w:bCs/>
          <w:color w:val="auto"/>
          <w:sz w:val="24"/>
          <w:szCs w:val="24"/>
          <w:highlight w:val="none"/>
          <w:u w:val="single"/>
        </w:rPr>
      </w:pPr>
      <w:r>
        <w:rPr>
          <w:rFonts w:hint="eastAsia" w:hAnsi="宋体" w:cs="宋体"/>
          <w:bCs/>
          <w:color w:val="auto"/>
          <w:sz w:val="24"/>
          <w:szCs w:val="24"/>
          <w:highlight w:val="none"/>
        </w:rPr>
        <w:t>法律依据：</w:t>
      </w:r>
      <w:r>
        <w:rPr>
          <w:rFonts w:hint="eastAsia" w:hAnsi="宋体" w:cs="宋体"/>
          <w:color w:val="auto"/>
          <w:sz w:val="24"/>
          <w:szCs w:val="24"/>
          <w:highlight w:val="none"/>
        </w:rPr>
        <w:t xml:space="preserve"> </w:t>
      </w:r>
      <w:r>
        <w:rPr>
          <w:rFonts w:hint="eastAsia" w:hAnsi="宋体" w:cs="宋体"/>
          <w:bCs/>
          <w:color w:val="auto"/>
          <w:sz w:val="24"/>
          <w:szCs w:val="24"/>
          <w:highlight w:val="none"/>
          <w:u w:val="single"/>
        </w:rPr>
        <w:t xml:space="preserve">                                                                                      </w:t>
      </w:r>
    </w:p>
    <w:p w14:paraId="6B4314B7">
      <w:pPr>
        <w:pStyle w:val="19"/>
        <w:spacing w:line="360" w:lineRule="auto"/>
        <w:ind w:left="25" w:leftChars="12" w:firstLine="352" w:firstLineChars="147"/>
        <w:rPr>
          <w:rFonts w:hAnsi="宋体" w:cs="宋体"/>
          <w:bCs/>
          <w:color w:val="auto"/>
          <w:sz w:val="24"/>
          <w:szCs w:val="24"/>
          <w:highlight w:val="none"/>
          <w:u w:val="single"/>
        </w:rPr>
      </w:pPr>
      <w:r>
        <w:rPr>
          <w:rFonts w:hint="eastAsia" w:hAnsi="宋体" w:cs="宋体"/>
          <w:bCs/>
          <w:color w:val="auto"/>
          <w:sz w:val="24"/>
          <w:szCs w:val="24"/>
          <w:highlight w:val="none"/>
        </w:rPr>
        <w:t xml:space="preserve"> </w:t>
      </w:r>
      <w:r>
        <w:rPr>
          <w:rFonts w:hint="eastAsia" w:hAnsi="宋体" w:cs="宋体"/>
          <w:bCs/>
          <w:color w:val="auto"/>
          <w:sz w:val="24"/>
          <w:szCs w:val="24"/>
          <w:highlight w:val="none"/>
          <w:u w:val="single"/>
        </w:rPr>
        <w:t xml:space="preserve">                                                                                        </w:t>
      </w:r>
    </w:p>
    <w:p w14:paraId="0A4ACCE6">
      <w:pPr>
        <w:pStyle w:val="19"/>
        <w:spacing w:line="360" w:lineRule="auto"/>
        <w:ind w:left="25" w:leftChars="12" w:firstLine="472" w:firstLineChars="197"/>
        <w:rPr>
          <w:rFonts w:hAnsi="宋体" w:cs="宋体"/>
          <w:bCs/>
          <w:color w:val="auto"/>
          <w:sz w:val="24"/>
          <w:szCs w:val="24"/>
          <w:highlight w:val="none"/>
        </w:rPr>
      </w:pPr>
      <w:r>
        <w:rPr>
          <w:rFonts w:hint="eastAsia" w:hAnsi="宋体" w:cs="宋体"/>
          <w:color w:val="auto"/>
          <w:sz w:val="24"/>
          <w:szCs w:val="24"/>
          <w:highlight w:val="none"/>
        </w:rPr>
        <w:t xml:space="preserve">投诉事项2  </w:t>
      </w:r>
      <w:r>
        <w:rPr>
          <w:rFonts w:hint="eastAsia" w:hAnsi="宋体" w:cs="宋体"/>
          <w:bCs/>
          <w:color w:val="auto"/>
          <w:sz w:val="24"/>
          <w:szCs w:val="24"/>
          <w:highlight w:val="none"/>
        </w:rPr>
        <w:t xml:space="preserve">   </w:t>
      </w:r>
    </w:p>
    <w:p w14:paraId="268337BE">
      <w:pPr>
        <w:pStyle w:val="19"/>
        <w:spacing w:line="360" w:lineRule="auto"/>
        <w:ind w:left="25" w:leftChars="12" w:firstLine="472" w:firstLineChars="197"/>
        <w:rPr>
          <w:rFonts w:hAnsi="宋体" w:cs="宋体"/>
          <w:bCs/>
          <w:color w:val="auto"/>
          <w:sz w:val="24"/>
          <w:szCs w:val="24"/>
          <w:highlight w:val="none"/>
        </w:rPr>
      </w:pPr>
      <w:r>
        <w:rPr>
          <w:rFonts w:hint="eastAsia" w:hAnsi="宋体" w:cs="宋体"/>
          <w:bCs/>
          <w:color w:val="auto"/>
          <w:sz w:val="24"/>
          <w:szCs w:val="24"/>
          <w:highlight w:val="none"/>
        </w:rPr>
        <w:t>……</w:t>
      </w:r>
    </w:p>
    <w:p w14:paraId="6BC4D317">
      <w:pPr>
        <w:pStyle w:val="19"/>
        <w:spacing w:line="360" w:lineRule="auto"/>
        <w:ind w:left="25" w:leftChars="12" w:firstLine="472" w:firstLineChars="196"/>
        <w:rPr>
          <w:rFonts w:hAnsi="宋体" w:cs="宋体"/>
          <w:b/>
          <w:color w:val="auto"/>
          <w:sz w:val="24"/>
          <w:szCs w:val="24"/>
          <w:highlight w:val="none"/>
        </w:rPr>
      </w:pPr>
      <w:r>
        <w:rPr>
          <w:rFonts w:hint="eastAsia" w:hAnsi="宋体" w:cs="宋体"/>
          <w:b/>
          <w:color w:val="auto"/>
          <w:sz w:val="24"/>
          <w:szCs w:val="24"/>
          <w:highlight w:val="none"/>
        </w:rPr>
        <w:t>五、与投诉事项相关的投诉请求：</w:t>
      </w:r>
    </w:p>
    <w:p w14:paraId="4565903A">
      <w:pPr>
        <w:pStyle w:val="19"/>
        <w:spacing w:line="360" w:lineRule="auto"/>
        <w:ind w:left="25" w:leftChars="12" w:firstLine="472" w:firstLineChars="197"/>
        <w:rPr>
          <w:rFonts w:hAnsi="宋体" w:cs="宋体"/>
          <w:color w:val="auto"/>
          <w:sz w:val="24"/>
          <w:szCs w:val="24"/>
          <w:highlight w:val="none"/>
        </w:rPr>
      </w:pPr>
      <w:r>
        <w:rPr>
          <w:rFonts w:hint="eastAsia" w:hAnsi="宋体" w:cs="宋体"/>
          <w:color w:val="auto"/>
          <w:sz w:val="24"/>
          <w:szCs w:val="24"/>
          <w:highlight w:val="none"/>
        </w:rPr>
        <w:t>请求：</w:t>
      </w:r>
      <w:r>
        <w:rPr>
          <w:rFonts w:hint="eastAsia" w:hAnsi="宋体" w:cs="宋体"/>
          <w:bCs/>
          <w:color w:val="auto"/>
          <w:sz w:val="24"/>
          <w:szCs w:val="24"/>
          <w:highlight w:val="none"/>
          <w:u w:val="single"/>
        </w:rPr>
        <w:t xml:space="preserve">                                                                                 </w:t>
      </w:r>
    </w:p>
    <w:p w14:paraId="41537384">
      <w:pPr>
        <w:pStyle w:val="19"/>
        <w:spacing w:line="360" w:lineRule="auto"/>
        <w:ind w:left="25" w:leftChars="12" w:firstLine="352" w:firstLineChars="147"/>
        <w:rPr>
          <w:rFonts w:hAnsi="宋体" w:cs="宋体"/>
          <w:color w:val="auto"/>
          <w:sz w:val="24"/>
          <w:szCs w:val="24"/>
          <w:highlight w:val="none"/>
        </w:rPr>
      </w:pPr>
    </w:p>
    <w:p w14:paraId="07281347">
      <w:pPr>
        <w:pStyle w:val="19"/>
        <w:spacing w:line="360" w:lineRule="auto"/>
        <w:ind w:left="25" w:leftChars="12" w:firstLine="472" w:firstLineChars="197"/>
        <w:rPr>
          <w:rFonts w:hAnsi="宋体" w:cs="宋体"/>
          <w:color w:val="auto"/>
          <w:sz w:val="24"/>
          <w:szCs w:val="24"/>
          <w:highlight w:val="none"/>
        </w:rPr>
      </w:pPr>
      <w:r>
        <w:rPr>
          <w:rFonts w:hint="eastAsia" w:hAnsi="宋体" w:cs="宋体"/>
          <w:color w:val="auto"/>
          <w:sz w:val="24"/>
          <w:szCs w:val="24"/>
          <w:highlight w:val="none"/>
        </w:rPr>
        <w:t>签字（签章）：                                       公章：</w:t>
      </w:r>
    </w:p>
    <w:p w14:paraId="330FB059">
      <w:pPr>
        <w:pStyle w:val="19"/>
        <w:spacing w:line="360" w:lineRule="auto"/>
        <w:ind w:left="25" w:leftChars="12" w:firstLine="352" w:firstLineChars="147"/>
        <w:rPr>
          <w:rFonts w:hAnsi="宋体" w:cs="宋体"/>
          <w:color w:val="auto"/>
          <w:sz w:val="24"/>
          <w:szCs w:val="24"/>
          <w:highlight w:val="none"/>
        </w:rPr>
      </w:pPr>
    </w:p>
    <w:p w14:paraId="1FB74CCB">
      <w:pPr>
        <w:pStyle w:val="19"/>
        <w:spacing w:line="360" w:lineRule="auto"/>
        <w:ind w:left="25" w:leftChars="12" w:firstLine="472" w:firstLineChars="197"/>
        <w:rPr>
          <w:rFonts w:hAnsi="宋体" w:cs="宋体"/>
          <w:color w:val="auto"/>
          <w:sz w:val="24"/>
          <w:szCs w:val="24"/>
          <w:highlight w:val="none"/>
        </w:rPr>
      </w:pPr>
      <w:r>
        <w:rPr>
          <w:rFonts w:hint="eastAsia" w:hAnsi="宋体" w:cs="宋体"/>
          <w:color w:val="auto"/>
          <w:sz w:val="24"/>
          <w:szCs w:val="24"/>
          <w:highlight w:val="none"/>
        </w:rPr>
        <w:t>日期：</w:t>
      </w:r>
    </w:p>
    <w:p w14:paraId="23892B0E">
      <w:pPr>
        <w:pStyle w:val="19"/>
        <w:spacing w:line="360" w:lineRule="auto"/>
        <w:ind w:left="25" w:leftChars="12" w:firstLine="472" w:firstLineChars="197"/>
        <w:rPr>
          <w:rFonts w:hAnsi="宋体" w:cs="宋体"/>
          <w:b/>
          <w:color w:val="auto"/>
          <w:sz w:val="24"/>
          <w:szCs w:val="24"/>
          <w:highlight w:val="none"/>
        </w:rPr>
      </w:pPr>
      <w:r>
        <w:rPr>
          <w:rFonts w:hint="eastAsia" w:hAnsi="宋体" w:cs="宋体"/>
          <w:bCs/>
          <w:color w:val="auto"/>
          <w:sz w:val="24"/>
          <w:szCs w:val="24"/>
          <w:highlight w:val="none"/>
        </w:rPr>
        <w:t xml:space="preserve">                                                                                 </w:t>
      </w:r>
    </w:p>
    <w:p w14:paraId="0CD614B1">
      <w:pPr>
        <w:pStyle w:val="19"/>
        <w:snapToGrid w:val="0"/>
        <w:spacing w:line="360" w:lineRule="auto"/>
        <w:rPr>
          <w:rFonts w:hAnsi="宋体" w:cs="宋体"/>
          <w:b/>
          <w:color w:val="auto"/>
          <w:sz w:val="24"/>
          <w:szCs w:val="24"/>
          <w:highlight w:val="none"/>
        </w:rPr>
      </w:pPr>
      <w:r>
        <w:rPr>
          <w:rFonts w:hint="eastAsia" w:hAnsi="宋体" w:cs="宋体"/>
          <w:b/>
          <w:color w:val="auto"/>
          <w:sz w:val="24"/>
          <w:szCs w:val="24"/>
          <w:highlight w:val="none"/>
        </w:rPr>
        <w:t>说明：</w:t>
      </w:r>
    </w:p>
    <w:p w14:paraId="08F81924">
      <w:pPr>
        <w:pStyle w:val="19"/>
        <w:spacing w:line="360" w:lineRule="auto"/>
        <w:ind w:left="25" w:leftChars="12" w:firstLine="354" w:firstLineChars="147"/>
        <w:rPr>
          <w:rFonts w:hAnsi="宋体" w:cs="宋体"/>
          <w:b/>
          <w:bCs/>
          <w:color w:val="auto"/>
          <w:sz w:val="24"/>
          <w:szCs w:val="24"/>
          <w:highlight w:val="none"/>
        </w:rPr>
      </w:pPr>
      <w:r>
        <w:rPr>
          <w:rFonts w:hint="eastAsia" w:hAnsi="宋体" w:cs="宋体"/>
          <w:b/>
          <w:color w:val="auto"/>
          <w:sz w:val="24"/>
          <w:szCs w:val="24"/>
          <w:highlight w:val="none"/>
        </w:rPr>
        <w:t>1.投诉人提起投诉时，应当提交投诉书和必要的证明材料，并按照被投诉人和与投诉事项有关的供应商数量提供投诉书副本</w:t>
      </w:r>
      <w:r>
        <w:rPr>
          <w:rFonts w:hint="eastAsia" w:hAnsi="宋体" w:cs="宋体"/>
          <w:b/>
          <w:bCs/>
          <w:color w:val="auto"/>
          <w:sz w:val="24"/>
          <w:szCs w:val="24"/>
          <w:highlight w:val="none"/>
        </w:rPr>
        <w:t>。</w:t>
      </w:r>
    </w:p>
    <w:p w14:paraId="07475EA6">
      <w:pPr>
        <w:pStyle w:val="19"/>
        <w:spacing w:line="360" w:lineRule="auto"/>
        <w:ind w:left="25" w:leftChars="12" w:firstLine="354" w:firstLineChars="147"/>
        <w:rPr>
          <w:rFonts w:hAnsi="宋体" w:cs="宋体"/>
          <w:b/>
          <w:color w:val="auto"/>
          <w:sz w:val="24"/>
          <w:szCs w:val="24"/>
          <w:highlight w:val="none"/>
        </w:rPr>
      </w:pPr>
      <w:r>
        <w:rPr>
          <w:rFonts w:hint="eastAsia" w:hAnsi="宋体" w:cs="宋体"/>
          <w:b/>
          <w:color w:val="auto"/>
          <w:sz w:val="24"/>
          <w:szCs w:val="24"/>
          <w:highlight w:val="none"/>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6EE420A2">
      <w:pPr>
        <w:pStyle w:val="19"/>
        <w:spacing w:line="360" w:lineRule="auto"/>
        <w:ind w:left="25" w:leftChars="12" w:firstLine="354" w:firstLineChars="147"/>
        <w:rPr>
          <w:rFonts w:hAnsi="宋体" w:cs="宋体"/>
          <w:b/>
          <w:color w:val="auto"/>
          <w:sz w:val="24"/>
          <w:szCs w:val="24"/>
          <w:highlight w:val="none"/>
        </w:rPr>
      </w:pPr>
      <w:r>
        <w:rPr>
          <w:rFonts w:hint="eastAsia" w:hAnsi="宋体" w:cs="宋体"/>
          <w:b/>
          <w:color w:val="auto"/>
          <w:sz w:val="24"/>
          <w:szCs w:val="24"/>
          <w:highlight w:val="none"/>
        </w:rPr>
        <w:t>3.投诉书应简要列明质疑事项，质疑函、质疑答复等作为附件材料提供。</w:t>
      </w:r>
    </w:p>
    <w:p w14:paraId="43A5E38F">
      <w:pPr>
        <w:pStyle w:val="19"/>
        <w:spacing w:line="360" w:lineRule="auto"/>
        <w:ind w:left="25" w:leftChars="12" w:firstLine="354" w:firstLineChars="147"/>
        <w:rPr>
          <w:rFonts w:hAnsi="宋体" w:cs="宋体"/>
          <w:b/>
          <w:color w:val="auto"/>
          <w:sz w:val="24"/>
          <w:szCs w:val="24"/>
          <w:highlight w:val="none"/>
        </w:rPr>
      </w:pPr>
      <w:r>
        <w:rPr>
          <w:rFonts w:hint="eastAsia" w:hAnsi="宋体" w:cs="宋体"/>
          <w:b/>
          <w:color w:val="auto"/>
          <w:sz w:val="24"/>
          <w:szCs w:val="24"/>
          <w:highlight w:val="none"/>
        </w:rPr>
        <w:t>4.投诉书的投诉事项应具体、明确，并有必要的事实依据和法律依据。</w:t>
      </w:r>
    </w:p>
    <w:p w14:paraId="1C45745D">
      <w:pPr>
        <w:pStyle w:val="19"/>
        <w:spacing w:line="360" w:lineRule="auto"/>
        <w:ind w:left="25" w:leftChars="12" w:firstLine="354" w:firstLineChars="147"/>
        <w:rPr>
          <w:rFonts w:hAnsi="宋体" w:cs="宋体"/>
          <w:b/>
          <w:color w:val="auto"/>
          <w:sz w:val="24"/>
          <w:szCs w:val="24"/>
          <w:highlight w:val="none"/>
        </w:rPr>
      </w:pPr>
      <w:r>
        <w:rPr>
          <w:rFonts w:hint="eastAsia" w:hAnsi="宋体" w:cs="宋体"/>
          <w:b/>
          <w:color w:val="auto"/>
          <w:sz w:val="24"/>
          <w:szCs w:val="24"/>
          <w:highlight w:val="none"/>
        </w:rPr>
        <w:t>5.投诉书的投诉请求应与投诉事项相关。</w:t>
      </w:r>
    </w:p>
    <w:p w14:paraId="05E113A3">
      <w:pPr>
        <w:pStyle w:val="19"/>
        <w:spacing w:line="360" w:lineRule="auto"/>
        <w:ind w:left="25" w:leftChars="12" w:firstLine="354" w:firstLineChars="147"/>
        <w:rPr>
          <w:rFonts w:hAnsi="宋体" w:cs="宋体"/>
          <w:b/>
          <w:color w:val="auto"/>
          <w:highlight w:val="none"/>
        </w:rPr>
      </w:pPr>
      <w:r>
        <w:rPr>
          <w:rFonts w:hint="eastAsia" w:hAnsi="宋体" w:cs="宋体"/>
          <w:b/>
          <w:color w:val="auto"/>
          <w:sz w:val="24"/>
          <w:szCs w:val="24"/>
          <w:highlight w:val="none"/>
        </w:rPr>
        <w:t>6.投诉人为法人或者其他组织的，投诉书应由法定代表人、主要负责人，或者其授权代表签字或者盖章，并加盖公章。</w:t>
      </w:r>
    </w:p>
    <w:p w14:paraId="209E508C">
      <w:pPr>
        <w:pStyle w:val="2"/>
        <w:rPr>
          <w:color w:val="auto"/>
          <w:highlight w:val="none"/>
        </w:rPr>
      </w:pPr>
      <w:bookmarkStart w:id="164" w:name="_Toc20110"/>
      <w:bookmarkStart w:id="165" w:name="_Toc10662"/>
      <w:bookmarkStart w:id="166" w:name="_Toc1723"/>
    </w:p>
    <w:p w14:paraId="03E02FDF">
      <w:pPr>
        <w:pStyle w:val="2"/>
        <w:rPr>
          <w:color w:val="auto"/>
          <w:highlight w:val="none"/>
        </w:rPr>
      </w:pPr>
    </w:p>
    <w:p w14:paraId="664B9A9B">
      <w:pPr>
        <w:pStyle w:val="2"/>
        <w:rPr>
          <w:color w:val="auto"/>
          <w:highlight w:val="none"/>
        </w:rPr>
      </w:pPr>
      <w:bookmarkStart w:id="167" w:name="_Toc20705"/>
      <w:r>
        <w:rPr>
          <w:rFonts w:hint="eastAsia"/>
          <w:color w:val="auto"/>
          <w:highlight w:val="none"/>
        </w:rPr>
        <w:t>第六章 合同文本</w:t>
      </w:r>
      <w:bookmarkEnd w:id="164"/>
      <w:bookmarkEnd w:id="165"/>
      <w:bookmarkEnd w:id="166"/>
      <w:bookmarkEnd w:id="167"/>
    </w:p>
    <w:p w14:paraId="35AB2839">
      <w:pPr>
        <w:rPr>
          <w:color w:val="auto"/>
          <w:highlight w:val="none"/>
        </w:rPr>
      </w:pPr>
      <w:r>
        <w:rPr>
          <w:rFonts w:hint="eastAsia"/>
          <w:color w:val="auto"/>
          <w:highlight w:val="none"/>
        </w:rPr>
        <w:br w:type="page"/>
      </w:r>
    </w:p>
    <w:p w14:paraId="733BB88F">
      <w:pPr>
        <w:rPr>
          <w:color w:val="auto"/>
          <w:highlight w:val="none"/>
        </w:rPr>
      </w:pPr>
    </w:p>
    <w:p w14:paraId="761592B8">
      <w:pPr>
        <w:jc w:val="center"/>
        <w:rPr>
          <w:b/>
          <w:bCs/>
          <w:color w:val="auto"/>
          <w:sz w:val="44"/>
          <w:szCs w:val="44"/>
          <w:highlight w:val="none"/>
        </w:rPr>
      </w:pPr>
      <w:r>
        <w:rPr>
          <w:rFonts w:hint="eastAsia"/>
          <w:b/>
          <w:bCs/>
          <w:color w:val="auto"/>
          <w:sz w:val="44"/>
          <w:szCs w:val="44"/>
          <w:highlight w:val="none"/>
        </w:rPr>
        <w:t>广西壮族自治区政府采购合同</w:t>
      </w:r>
    </w:p>
    <w:p w14:paraId="23DA243D">
      <w:pPr>
        <w:rPr>
          <w:rFonts w:ascii="宋体" w:hAnsi="宋体" w:cs="宋体"/>
          <w:color w:val="auto"/>
          <w:szCs w:val="21"/>
          <w:highlight w:val="none"/>
        </w:rPr>
      </w:pPr>
    </w:p>
    <w:p w14:paraId="27DCF13C">
      <w:pPr>
        <w:rPr>
          <w:rFonts w:ascii="宋体" w:hAnsi="宋体" w:cs="宋体"/>
          <w:color w:val="auto"/>
          <w:szCs w:val="21"/>
          <w:highlight w:val="none"/>
        </w:rPr>
      </w:pPr>
    </w:p>
    <w:p w14:paraId="6C5FD496">
      <w:pPr>
        <w:rPr>
          <w:rFonts w:ascii="宋体" w:hAnsi="宋体" w:cs="宋体"/>
          <w:color w:val="auto"/>
          <w:szCs w:val="21"/>
          <w:highlight w:val="none"/>
        </w:rPr>
      </w:pPr>
    </w:p>
    <w:p w14:paraId="034A413E">
      <w:pPr>
        <w:rPr>
          <w:rFonts w:ascii="宋体" w:hAnsi="宋体" w:cs="宋体"/>
          <w:color w:val="auto"/>
          <w:szCs w:val="21"/>
          <w:highlight w:val="none"/>
        </w:rPr>
      </w:pPr>
    </w:p>
    <w:p w14:paraId="45A5FD86">
      <w:pPr>
        <w:rPr>
          <w:rFonts w:ascii="宋体" w:hAnsi="宋体" w:cs="宋体"/>
          <w:color w:val="auto"/>
          <w:szCs w:val="21"/>
          <w:highlight w:val="none"/>
        </w:rPr>
      </w:pPr>
    </w:p>
    <w:p w14:paraId="32C83851">
      <w:pPr>
        <w:ind w:left="2947" w:leftChars="646" w:hanging="1590" w:hangingChars="495"/>
        <w:rPr>
          <w:rFonts w:ascii="宋体" w:hAnsi="宋体" w:cs="宋体"/>
          <w:b/>
          <w:color w:val="auto"/>
          <w:sz w:val="28"/>
          <w:szCs w:val="28"/>
          <w:highlight w:val="none"/>
          <w:u w:val="single"/>
        </w:rPr>
      </w:pPr>
      <w:r>
        <w:rPr>
          <w:rFonts w:hint="eastAsia" w:ascii="宋体" w:hAnsi="宋体" w:cs="宋体"/>
          <w:b/>
          <w:color w:val="auto"/>
          <w:sz w:val="32"/>
          <w:szCs w:val="32"/>
          <w:highlight w:val="none"/>
        </w:rPr>
        <w:t>合同名称：</w:t>
      </w:r>
      <w:r>
        <w:rPr>
          <w:rFonts w:hint="eastAsia" w:ascii="宋体" w:hAnsi="宋体" w:cs="宋体"/>
          <w:b/>
          <w:color w:val="auto"/>
          <w:sz w:val="32"/>
          <w:szCs w:val="32"/>
          <w:highlight w:val="none"/>
          <w:u w:val="single"/>
        </w:rPr>
        <w:t>露天矿山</w:t>
      </w:r>
      <w:r>
        <w:rPr>
          <w:rFonts w:ascii="宋体" w:hAnsi="宋体" w:cs="宋体"/>
          <w:b/>
          <w:color w:val="auto"/>
          <w:sz w:val="32"/>
          <w:szCs w:val="32"/>
          <w:highlight w:val="none"/>
          <w:u w:val="single"/>
        </w:rPr>
        <w:t>0.2米分辨率航空影像获取和正射影像生产</w:t>
      </w:r>
    </w:p>
    <w:p w14:paraId="42C53B77">
      <w:pPr>
        <w:ind w:firstLine="1365" w:firstLineChars="425"/>
        <w:rPr>
          <w:rFonts w:ascii="宋体" w:hAnsi="宋体" w:cs="宋体"/>
          <w:b/>
          <w:color w:val="auto"/>
          <w:sz w:val="32"/>
          <w:szCs w:val="32"/>
          <w:highlight w:val="none"/>
          <w:u w:val="single"/>
        </w:rPr>
      </w:pPr>
      <w:r>
        <w:rPr>
          <w:rFonts w:hint="eastAsia" w:ascii="宋体" w:hAnsi="宋体" w:cs="宋体"/>
          <w:b/>
          <w:color w:val="auto"/>
          <w:sz w:val="32"/>
          <w:szCs w:val="32"/>
          <w:highlight w:val="none"/>
        </w:rPr>
        <w:t>合同编号：</w:t>
      </w:r>
    </w:p>
    <w:p w14:paraId="1283CB79">
      <w:pPr>
        <w:ind w:firstLine="892" w:firstLineChars="425"/>
        <w:jc w:val="center"/>
        <w:rPr>
          <w:rFonts w:ascii="宋体" w:hAnsi="宋体" w:cs="宋体"/>
          <w:color w:val="auto"/>
          <w:szCs w:val="21"/>
          <w:highlight w:val="none"/>
        </w:rPr>
      </w:pPr>
    </w:p>
    <w:p w14:paraId="74DAA776">
      <w:pPr>
        <w:ind w:firstLine="892" w:firstLineChars="425"/>
        <w:jc w:val="center"/>
        <w:rPr>
          <w:rFonts w:ascii="宋体" w:hAnsi="宋体" w:cs="宋体"/>
          <w:color w:val="auto"/>
          <w:szCs w:val="21"/>
          <w:highlight w:val="none"/>
        </w:rPr>
      </w:pPr>
    </w:p>
    <w:p w14:paraId="059DBA6E">
      <w:pPr>
        <w:ind w:firstLine="892" w:firstLineChars="425"/>
        <w:jc w:val="center"/>
        <w:rPr>
          <w:rFonts w:ascii="宋体" w:hAnsi="宋体" w:cs="宋体"/>
          <w:color w:val="auto"/>
          <w:szCs w:val="21"/>
          <w:highlight w:val="none"/>
        </w:rPr>
      </w:pPr>
    </w:p>
    <w:p w14:paraId="39CC4DFF">
      <w:pPr>
        <w:spacing w:line="340" w:lineRule="exact"/>
        <w:ind w:firstLine="1365" w:firstLineChars="425"/>
        <w:rPr>
          <w:rFonts w:ascii="宋体" w:hAnsi="宋体" w:cs="宋体"/>
          <w:b/>
          <w:color w:val="auto"/>
          <w:sz w:val="32"/>
          <w:szCs w:val="32"/>
          <w:highlight w:val="none"/>
        </w:rPr>
      </w:pPr>
      <w:r>
        <w:rPr>
          <w:rFonts w:hint="eastAsia" w:ascii="宋体" w:hAnsi="宋体" w:cs="宋体"/>
          <w:b/>
          <w:color w:val="auto"/>
          <w:sz w:val="32"/>
          <w:szCs w:val="32"/>
          <w:highlight w:val="none"/>
        </w:rPr>
        <w:t>采购单位（甲方）</w:t>
      </w:r>
      <w:r>
        <w:rPr>
          <w:rFonts w:hint="eastAsia" w:ascii="宋体" w:hAnsi="宋体" w:cs="宋体"/>
          <w:color w:val="auto"/>
          <w:sz w:val="28"/>
          <w:szCs w:val="28"/>
          <w:highlight w:val="none"/>
          <w:u w:val="single"/>
        </w:rPr>
        <w:t>广西壮族自治区自然资源调查监测院</w:t>
      </w:r>
    </w:p>
    <w:p w14:paraId="6A74841E">
      <w:pPr>
        <w:spacing w:line="340" w:lineRule="exact"/>
        <w:ind w:firstLine="1365" w:firstLineChars="425"/>
        <w:rPr>
          <w:rFonts w:ascii="宋体" w:hAnsi="宋体" w:cs="宋体"/>
          <w:b/>
          <w:color w:val="auto"/>
          <w:sz w:val="32"/>
          <w:szCs w:val="32"/>
          <w:highlight w:val="none"/>
        </w:rPr>
      </w:pPr>
    </w:p>
    <w:p w14:paraId="188FE0C9">
      <w:pPr>
        <w:spacing w:line="340" w:lineRule="exact"/>
        <w:ind w:left="3911" w:leftChars="646" w:hanging="2554" w:hangingChars="795"/>
        <w:rPr>
          <w:rFonts w:ascii="宋体" w:hAnsi="宋体" w:cs="宋体"/>
          <w:b/>
          <w:color w:val="auto"/>
          <w:sz w:val="32"/>
          <w:szCs w:val="32"/>
          <w:highlight w:val="none"/>
        </w:rPr>
      </w:pPr>
      <w:r>
        <w:rPr>
          <w:rFonts w:hint="eastAsia" w:ascii="宋体" w:hAnsi="宋体" w:cs="宋体"/>
          <w:b/>
          <w:color w:val="auto"/>
          <w:sz w:val="32"/>
          <w:szCs w:val="32"/>
          <w:highlight w:val="none"/>
        </w:rPr>
        <w:t>供 应 商（乙方）</w:t>
      </w:r>
    </w:p>
    <w:p w14:paraId="088B0380">
      <w:pPr>
        <w:ind w:firstLine="892" w:firstLineChars="425"/>
        <w:jc w:val="center"/>
        <w:rPr>
          <w:rFonts w:ascii="宋体" w:hAnsi="宋体" w:cs="宋体"/>
          <w:color w:val="auto"/>
          <w:szCs w:val="21"/>
          <w:highlight w:val="none"/>
        </w:rPr>
      </w:pPr>
    </w:p>
    <w:p w14:paraId="0A186468">
      <w:pPr>
        <w:ind w:firstLine="892" w:firstLineChars="425"/>
        <w:jc w:val="center"/>
        <w:rPr>
          <w:rFonts w:ascii="宋体" w:hAnsi="宋体" w:cs="宋体"/>
          <w:color w:val="auto"/>
          <w:szCs w:val="21"/>
          <w:highlight w:val="none"/>
        </w:rPr>
      </w:pPr>
    </w:p>
    <w:p w14:paraId="7A890442">
      <w:pPr>
        <w:ind w:firstLine="892" w:firstLineChars="425"/>
        <w:jc w:val="center"/>
        <w:rPr>
          <w:rFonts w:ascii="宋体" w:hAnsi="宋体" w:cs="宋体"/>
          <w:color w:val="auto"/>
          <w:szCs w:val="21"/>
          <w:highlight w:val="none"/>
        </w:rPr>
      </w:pPr>
    </w:p>
    <w:p w14:paraId="3659D826">
      <w:pPr>
        <w:ind w:firstLine="892" w:firstLineChars="425"/>
        <w:jc w:val="center"/>
        <w:rPr>
          <w:rFonts w:ascii="宋体" w:hAnsi="宋体" w:cs="宋体"/>
          <w:color w:val="auto"/>
          <w:szCs w:val="21"/>
          <w:highlight w:val="none"/>
        </w:rPr>
      </w:pPr>
    </w:p>
    <w:p w14:paraId="5ECEC26E">
      <w:pPr>
        <w:ind w:firstLine="892" w:firstLineChars="425"/>
        <w:jc w:val="center"/>
        <w:rPr>
          <w:rFonts w:ascii="宋体" w:hAnsi="宋体" w:cs="宋体"/>
          <w:color w:val="auto"/>
          <w:szCs w:val="21"/>
          <w:highlight w:val="none"/>
        </w:rPr>
      </w:pPr>
    </w:p>
    <w:p w14:paraId="1DF9B754">
      <w:pPr>
        <w:ind w:firstLine="892" w:firstLineChars="425"/>
        <w:jc w:val="center"/>
        <w:rPr>
          <w:rFonts w:ascii="宋体" w:hAnsi="宋体" w:cs="宋体"/>
          <w:color w:val="auto"/>
          <w:szCs w:val="21"/>
          <w:highlight w:val="none"/>
        </w:rPr>
      </w:pPr>
    </w:p>
    <w:p w14:paraId="1A56049A">
      <w:pPr>
        <w:ind w:firstLine="1365" w:firstLineChars="425"/>
        <w:rPr>
          <w:rFonts w:ascii="宋体" w:hAnsi="宋体" w:cs="宋体"/>
          <w:b/>
          <w:color w:val="auto"/>
          <w:sz w:val="32"/>
          <w:szCs w:val="32"/>
          <w:highlight w:val="none"/>
          <w:u w:val="single"/>
        </w:rPr>
      </w:pPr>
      <w:r>
        <w:rPr>
          <w:rFonts w:hint="eastAsia" w:ascii="宋体" w:hAnsi="宋体" w:cs="宋体"/>
          <w:b/>
          <w:color w:val="auto"/>
          <w:sz w:val="32"/>
          <w:szCs w:val="32"/>
          <w:highlight w:val="none"/>
        </w:rPr>
        <w:t>签订合同地点：</w:t>
      </w:r>
      <w:r>
        <w:rPr>
          <w:rFonts w:hint="eastAsia" w:ascii="宋体" w:hAnsi="宋体" w:cs="宋体"/>
          <w:b/>
          <w:color w:val="auto"/>
          <w:sz w:val="32"/>
          <w:szCs w:val="32"/>
          <w:highlight w:val="none"/>
          <w:u w:val="single"/>
        </w:rPr>
        <w:t xml:space="preserve">                    </w:t>
      </w:r>
    </w:p>
    <w:p w14:paraId="7FAD5ABE">
      <w:pPr>
        <w:ind w:firstLine="1365" w:firstLineChars="425"/>
        <w:rPr>
          <w:rFonts w:ascii="宋体" w:hAnsi="宋体" w:cs="宋体"/>
          <w:b/>
          <w:color w:val="auto"/>
          <w:sz w:val="32"/>
          <w:szCs w:val="32"/>
          <w:highlight w:val="none"/>
        </w:rPr>
      </w:pPr>
      <w:r>
        <w:rPr>
          <w:rFonts w:hint="eastAsia" w:ascii="宋体" w:hAnsi="宋体" w:cs="宋体"/>
          <w:b/>
          <w:color w:val="auto"/>
          <w:sz w:val="32"/>
          <w:szCs w:val="32"/>
          <w:highlight w:val="none"/>
        </w:rPr>
        <w:t>签订合同时间：</w:t>
      </w:r>
      <w:r>
        <w:rPr>
          <w:rFonts w:hint="eastAsia" w:ascii="宋体" w:hAnsi="宋体" w:cs="宋体"/>
          <w:b/>
          <w:color w:val="auto"/>
          <w:sz w:val="32"/>
          <w:szCs w:val="32"/>
          <w:highlight w:val="none"/>
          <w:u w:val="single"/>
        </w:rPr>
        <w:t xml:space="preserve">                    </w:t>
      </w:r>
    </w:p>
    <w:p w14:paraId="55B37A0E">
      <w:pPr>
        <w:jc w:val="center"/>
        <w:rPr>
          <w:rFonts w:ascii="宋体" w:hAnsi="宋体" w:cs="宋体"/>
          <w:color w:val="auto"/>
          <w:szCs w:val="21"/>
          <w:highlight w:val="none"/>
        </w:rPr>
      </w:pPr>
    </w:p>
    <w:p w14:paraId="3A53DCB2">
      <w:pPr>
        <w:jc w:val="center"/>
        <w:rPr>
          <w:rFonts w:ascii="宋体" w:hAnsi="宋体" w:cs="宋体"/>
          <w:color w:val="auto"/>
          <w:szCs w:val="21"/>
          <w:highlight w:val="none"/>
        </w:rPr>
      </w:pPr>
    </w:p>
    <w:p w14:paraId="2BB4FA4A">
      <w:pPr>
        <w:pStyle w:val="15"/>
        <w:rPr>
          <w:rFonts w:ascii="宋体" w:hAnsi="宋体" w:cs="宋体"/>
          <w:color w:val="auto"/>
          <w:highlight w:val="none"/>
        </w:rPr>
      </w:pPr>
    </w:p>
    <w:p w14:paraId="74F8B03F">
      <w:pPr>
        <w:pStyle w:val="85"/>
        <w:ind w:firstLine="0" w:firstLineChars="0"/>
        <w:rPr>
          <w:rFonts w:cs="宋体"/>
          <w:color w:val="auto"/>
          <w:highlight w:val="none"/>
          <w:u w:val="single"/>
        </w:rPr>
      </w:pPr>
    </w:p>
    <w:p w14:paraId="0D479F82">
      <w:pPr>
        <w:pStyle w:val="85"/>
        <w:ind w:firstLine="0" w:firstLineChars="0"/>
        <w:rPr>
          <w:rFonts w:cs="宋体"/>
          <w:color w:val="auto"/>
          <w:highlight w:val="none"/>
          <w:u w:val="single"/>
        </w:rPr>
      </w:pPr>
      <w:r>
        <w:rPr>
          <w:rFonts w:hint="eastAsia" w:cs="宋体"/>
          <w:color w:val="auto"/>
          <w:highlight w:val="none"/>
          <w:u w:val="single"/>
        </w:rPr>
        <w:t>说明：本合同文本为</w:t>
      </w:r>
      <w:r>
        <w:rPr>
          <w:rFonts w:hint="eastAsia" w:cs="宋体"/>
          <w:color w:val="auto"/>
          <w:highlight w:val="none"/>
          <w:u w:val="single"/>
          <w:lang w:eastAsia="zh-CN"/>
        </w:rPr>
        <w:t>采购人</w:t>
      </w:r>
      <w:r>
        <w:rPr>
          <w:rFonts w:hint="eastAsia" w:cs="宋体"/>
          <w:color w:val="auto"/>
          <w:highlight w:val="none"/>
          <w:u w:val="single"/>
        </w:rPr>
        <w:t>与</w:t>
      </w:r>
      <w:r>
        <w:rPr>
          <w:rFonts w:hint="eastAsia" w:cs="宋体"/>
          <w:color w:val="auto"/>
          <w:highlight w:val="none"/>
          <w:u w:val="single"/>
          <w:lang w:eastAsia="zh-CN"/>
        </w:rPr>
        <w:t>成交供应商</w:t>
      </w:r>
      <w:r>
        <w:rPr>
          <w:rFonts w:hint="eastAsia" w:cs="宋体"/>
          <w:color w:val="auto"/>
          <w:highlight w:val="none"/>
          <w:u w:val="single"/>
        </w:rPr>
        <w:t>需要签订的正式文本，除将招标结果内容逐项填入外，其他已填写内容不得更改。各投标人应对本合同文本中的条款全部响应，如有偏离需在商务偏离表中注明。</w:t>
      </w:r>
    </w:p>
    <w:p w14:paraId="5517C8A0">
      <w:pPr>
        <w:pStyle w:val="85"/>
        <w:ind w:firstLine="0" w:firstLineChars="0"/>
        <w:rPr>
          <w:rFonts w:cs="宋体"/>
          <w:color w:val="auto"/>
          <w:highlight w:val="none"/>
          <w:u w:val="single"/>
        </w:rPr>
      </w:pPr>
    </w:p>
    <w:p w14:paraId="41677CB0">
      <w:pPr>
        <w:snapToGrid w:val="0"/>
        <w:spacing w:line="400" w:lineRule="exact"/>
        <w:jc w:val="center"/>
        <w:rPr>
          <w:rFonts w:ascii="宋体" w:hAnsi="宋体" w:cs="宋体"/>
          <w:b/>
          <w:bCs/>
          <w:color w:val="auto"/>
          <w:sz w:val="32"/>
          <w:szCs w:val="32"/>
          <w:highlight w:val="none"/>
        </w:rPr>
      </w:pPr>
    </w:p>
    <w:p w14:paraId="25ECB9B3">
      <w:pPr>
        <w:rPr>
          <w:rFonts w:ascii="宋体" w:hAnsi="宋体"/>
          <w:b/>
          <w:bCs/>
          <w:color w:val="auto"/>
          <w:sz w:val="32"/>
          <w:szCs w:val="32"/>
          <w:highlight w:val="none"/>
        </w:rPr>
      </w:pPr>
      <w:r>
        <w:rPr>
          <w:rFonts w:hint="eastAsia" w:ascii="宋体" w:hAnsi="宋体"/>
          <w:b/>
          <w:bCs/>
          <w:color w:val="auto"/>
          <w:sz w:val="32"/>
          <w:szCs w:val="32"/>
          <w:highlight w:val="none"/>
        </w:rPr>
        <w:br w:type="page"/>
      </w:r>
    </w:p>
    <w:p w14:paraId="410DD797">
      <w:pPr>
        <w:snapToGrid w:val="0"/>
        <w:spacing w:line="400" w:lineRule="exact"/>
        <w:jc w:val="center"/>
        <w:rPr>
          <w:rFonts w:ascii="宋体" w:hAnsi="宋体"/>
          <w:b/>
          <w:bCs/>
          <w:color w:val="auto"/>
          <w:sz w:val="32"/>
          <w:szCs w:val="32"/>
          <w:highlight w:val="none"/>
        </w:rPr>
      </w:pPr>
      <w:r>
        <w:rPr>
          <w:rFonts w:hint="eastAsia" w:ascii="宋体" w:hAnsi="宋体"/>
          <w:b/>
          <w:bCs/>
          <w:color w:val="auto"/>
          <w:sz w:val="32"/>
          <w:szCs w:val="32"/>
          <w:highlight w:val="none"/>
        </w:rPr>
        <w:t>《广西壮族自治区政府采购合同》</w:t>
      </w:r>
    </w:p>
    <w:p w14:paraId="188DF968">
      <w:pPr>
        <w:snapToGrid w:val="0"/>
        <w:jc w:val="left"/>
        <w:rPr>
          <w:rFonts w:ascii="宋体" w:hAnsi="宋体"/>
          <w:bCs/>
          <w:color w:val="auto"/>
          <w:szCs w:val="21"/>
          <w:highlight w:val="none"/>
        </w:rPr>
      </w:pPr>
    </w:p>
    <w:p w14:paraId="3CA922A6">
      <w:pPr>
        <w:snapToGrid w:val="0"/>
        <w:spacing w:line="360" w:lineRule="auto"/>
        <w:rPr>
          <w:rFonts w:ascii="宋体" w:hAnsi="宋体"/>
          <w:color w:val="auto"/>
          <w:szCs w:val="21"/>
          <w:highlight w:val="none"/>
          <w:u w:val="single"/>
        </w:rPr>
      </w:pPr>
      <w:r>
        <w:rPr>
          <w:rFonts w:hint="eastAsia" w:ascii="宋体" w:hAnsi="宋体"/>
          <w:color w:val="auto"/>
          <w:szCs w:val="21"/>
          <w:highlight w:val="none"/>
        </w:rPr>
        <w:t>采购人（甲方）</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r>
        <w:rPr>
          <w:rFonts w:hint="eastAsia" w:ascii="宋体" w:hAnsi="宋体"/>
          <w:color w:val="auto"/>
          <w:spacing w:val="-20"/>
          <w:szCs w:val="21"/>
          <w:highlight w:val="none"/>
        </w:rPr>
        <w:t>采 购 计 划 号</w:t>
      </w:r>
      <w:r>
        <w:rPr>
          <w:rFonts w:hint="eastAsia" w:ascii="宋体" w:hAnsi="宋体"/>
          <w:color w:val="auto"/>
          <w:szCs w:val="21"/>
          <w:highlight w:val="none"/>
          <w:u w:val="single"/>
        </w:rPr>
        <w:t xml:space="preserve">                    </w:t>
      </w:r>
    </w:p>
    <w:p w14:paraId="16C17541">
      <w:pPr>
        <w:snapToGrid w:val="0"/>
        <w:spacing w:line="360" w:lineRule="auto"/>
        <w:rPr>
          <w:rFonts w:ascii="宋体" w:hAnsi="宋体"/>
          <w:color w:val="auto"/>
          <w:szCs w:val="21"/>
          <w:highlight w:val="none"/>
          <w:u w:val="single"/>
        </w:rPr>
      </w:pPr>
      <w:r>
        <w:rPr>
          <w:rFonts w:hint="eastAsia" w:ascii="宋体" w:hAnsi="宋体"/>
          <w:color w:val="auto"/>
          <w:szCs w:val="21"/>
          <w:highlight w:val="none"/>
        </w:rPr>
        <w:t>供 应 商（乙方）</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r>
        <w:rPr>
          <w:rFonts w:hint="eastAsia" w:ascii="宋体" w:hAnsi="宋体"/>
          <w:color w:val="auto"/>
          <w:spacing w:val="-20"/>
          <w:szCs w:val="21"/>
          <w:highlight w:val="none"/>
        </w:rPr>
        <w:t>招  标  编  号</w:t>
      </w:r>
      <w:r>
        <w:rPr>
          <w:rFonts w:hint="eastAsia" w:ascii="宋体" w:hAnsi="宋体"/>
          <w:color w:val="auto"/>
          <w:szCs w:val="21"/>
          <w:highlight w:val="none"/>
          <w:u w:val="single"/>
        </w:rPr>
        <w:t xml:space="preserve">                     </w:t>
      </w:r>
    </w:p>
    <w:p w14:paraId="3A9E9194">
      <w:pPr>
        <w:snapToGrid w:val="0"/>
        <w:spacing w:line="360" w:lineRule="auto"/>
        <w:rPr>
          <w:rFonts w:ascii="宋体" w:hAnsi="宋体"/>
          <w:color w:val="auto"/>
          <w:szCs w:val="21"/>
          <w:highlight w:val="none"/>
          <w:u w:val="single"/>
        </w:rPr>
      </w:pPr>
      <w:r>
        <w:rPr>
          <w:rFonts w:hint="eastAsia" w:ascii="宋体" w:hAnsi="宋体"/>
          <w:color w:val="auto"/>
          <w:szCs w:val="21"/>
          <w:highlight w:val="none"/>
        </w:rPr>
        <w:t xml:space="preserve">签  订  地  点  </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签 订 时 间</w:t>
      </w:r>
      <w:r>
        <w:rPr>
          <w:rFonts w:hint="eastAsia" w:ascii="宋体" w:hAnsi="宋体"/>
          <w:color w:val="auto"/>
          <w:szCs w:val="21"/>
          <w:highlight w:val="none"/>
          <w:u w:val="single"/>
        </w:rPr>
        <w:t xml:space="preserve">                    </w:t>
      </w:r>
    </w:p>
    <w:p w14:paraId="154419F3">
      <w:pPr>
        <w:spacing w:line="360" w:lineRule="auto"/>
        <w:rPr>
          <w:rFonts w:ascii="宋体" w:hAnsi="宋体" w:cs="宋体"/>
          <w:color w:val="auto"/>
          <w:szCs w:val="21"/>
          <w:highlight w:val="none"/>
        </w:rPr>
      </w:pPr>
      <w:r>
        <w:rPr>
          <w:rFonts w:hint="eastAsia" w:ascii="宋体" w:hAnsi="宋体" w:cs="宋体"/>
          <w:color w:val="auto"/>
          <w:szCs w:val="21"/>
          <w:highlight w:val="none"/>
        </w:rPr>
        <w:t>本合同为中小企业预留合同：</w:t>
      </w:r>
      <w:r>
        <w:rPr>
          <w:rFonts w:hint="eastAsia" w:ascii="宋体" w:hAnsi="宋体" w:cs="宋体"/>
          <w:color w:val="auto"/>
          <w:szCs w:val="21"/>
          <w:highlight w:val="none"/>
          <w:u w:val="single"/>
        </w:rPr>
        <w:t>（是/否）</w:t>
      </w:r>
      <w:r>
        <w:rPr>
          <w:rFonts w:hint="eastAsia" w:ascii="宋体" w:hAnsi="宋体" w:cs="宋体"/>
          <w:color w:val="auto"/>
          <w:szCs w:val="21"/>
          <w:highlight w:val="none"/>
        </w:rPr>
        <w:t>。</w:t>
      </w:r>
    </w:p>
    <w:p w14:paraId="2605AED1">
      <w:pPr>
        <w:spacing w:line="360" w:lineRule="auto"/>
        <w:ind w:firstLine="420" w:firstLineChars="200"/>
        <w:rPr>
          <w:rFonts w:ascii="宋体"/>
          <w:color w:val="auto"/>
          <w:szCs w:val="21"/>
          <w:highlight w:val="none"/>
          <w:lang w:bidi="ar"/>
        </w:rPr>
      </w:pPr>
    </w:p>
    <w:p w14:paraId="54202D28">
      <w:pPr>
        <w:spacing w:line="360" w:lineRule="auto"/>
        <w:ind w:firstLine="420" w:firstLineChars="200"/>
        <w:rPr>
          <w:rFonts w:ascii="宋体"/>
          <w:color w:val="auto"/>
          <w:szCs w:val="21"/>
          <w:highlight w:val="none"/>
        </w:rPr>
      </w:pPr>
      <w:r>
        <w:rPr>
          <w:rFonts w:hint="eastAsia" w:ascii="宋体"/>
          <w:color w:val="auto"/>
          <w:szCs w:val="21"/>
          <w:highlight w:val="none"/>
          <w:lang w:bidi="ar"/>
        </w:rPr>
        <w:t xml:space="preserve"> </w:t>
      </w:r>
      <w:r>
        <w:rPr>
          <w:rFonts w:hint="eastAsia" w:ascii="宋体" w:hAnsi="宋体" w:cs="宋体"/>
          <w:color w:val="auto"/>
          <w:szCs w:val="21"/>
          <w:highlight w:val="none"/>
        </w:rPr>
        <w:t>根据《中华人民共和国政府采购法》、《中华人民共和国民法典》等法律、法规规定，按照</w:t>
      </w:r>
      <w:r>
        <w:rPr>
          <w:rFonts w:hint="eastAsia" w:ascii="宋体" w:hAnsi="宋体"/>
          <w:color w:val="auto"/>
          <w:szCs w:val="21"/>
          <w:highlight w:val="none"/>
        </w:rPr>
        <w:t>招标文件规定条款和乙方投标文件及其承诺，甲乙双方签订本合同。</w:t>
      </w:r>
    </w:p>
    <w:p w14:paraId="21E0E376">
      <w:pPr>
        <w:pStyle w:val="85"/>
        <w:ind w:firstLine="422"/>
        <w:jc w:val="left"/>
        <w:rPr>
          <w:color w:val="auto"/>
          <w:sz w:val="21"/>
          <w:highlight w:val="none"/>
        </w:rPr>
      </w:pPr>
      <w:r>
        <w:rPr>
          <w:rFonts w:hint="eastAsia"/>
          <w:b/>
          <w:bCs/>
          <w:color w:val="auto"/>
          <w:sz w:val="21"/>
          <w:highlight w:val="none"/>
          <w:lang w:eastAsia="zh-CN"/>
        </w:rPr>
        <w:t xml:space="preserve">第一条 </w:t>
      </w:r>
      <w:r>
        <w:rPr>
          <w:rFonts w:hint="eastAsia"/>
          <w:b/>
          <w:bCs/>
          <w:color w:val="auto"/>
          <w:sz w:val="21"/>
          <w:highlight w:val="none"/>
        </w:rPr>
        <w:t>项目实施范围、内容</w:t>
      </w:r>
      <w:r>
        <w:rPr>
          <w:rFonts w:hint="eastAsia"/>
          <w:b/>
          <w:bCs/>
          <w:color w:val="auto"/>
          <w:sz w:val="21"/>
          <w:highlight w:val="none"/>
          <w:lang w:eastAsia="zh-CN"/>
        </w:rPr>
        <w:t>和</w:t>
      </w:r>
      <w:r>
        <w:rPr>
          <w:rFonts w:hint="eastAsia"/>
          <w:b/>
          <w:bCs/>
          <w:color w:val="auto"/>
          <w:sz w:val="21"/>
          <w:highlight w:val="none"/>
        </w:rPr>
        <w:t>要求</w:t>
      </w:r>
      <w:r>
        <w:rPr>
          <w:rFonts w:hint="eastAsia"/>
          <w:color w:val="auto"/>
          <w:sz w:val="21"/>
          <w:highlight w:val="none"/>
        </w:rPr>
        <w:t xml:space="preserve">                       </w:t>
      </w:r>
    </w:p>
    <w:p w14:paraId="108371F2">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（一）项目概况</w:t>
      </w:r>
    </w:p>
    <w:p w14:paraId="681FED48">
      <w:pPr>
        <w:pStyle w:val="85"/>
        <w:ind w:firstLine="420"/>
        <w:jc w:val="left"/>
        <w:rPr>
          <w:color w:val="auto"/>
          <w:sz w:val="21"/>
          <w:highlight w:val="none"/>
          <w:lang w:eastAsia="zh-CN"/>
        </w:rPr>
      </w:pPr>
      <w:r>
        <w:rPr>
          <w:rFonts w:hint="eastAsia"/>
          <w:color w:val="auto"/>
          <w:sz w:val="21"/>
          <w:highlight w:val="none"/>
          <w:lang w:eastAsia="zh-CN"/>
        </w:rPr>
        <w:t>甲方将</w:t>
      </w:r>
      <w:r>
        <w:rPr>
          <w:rFonts w:hint="eastAsia"/>
          <w:b/>
          <w:color w:val="auto"/>
          <w:sz w:val="21"/>
          <w:highlight w:val="none"/>
          <w:u w:val="single"/>
          <w:lang w:eastAsia="zh-CN"/>
        </w:rPr>
        <w:t xml:space="preserve">                </w:t>
      </w:r>
      <w:r>
        <w:rPr>
          <w:rFonts w:hint="eastAsia"/>
          <w:color w:val="auto"/>
          <w:sz w:val="21"/>
          <w:highlight w:val="none"/>
          <w:lang w:eastAsia="zh-CN"/>
        </w:rPr>
        <w:t>委托由乙方承担完成（任务区相关技术指标及要求概况见表1）。乙方以采购项目的磋商文件为依据具体履行完成本合同，并向甲方提交经验收符合磋商文件要求成果资料。</w:t>
      </w:r>
    </w:p>
    <w:p w14:paraId="0C8D7273">
      <w:pPr>
        <w:spacing w:before="72" w:after="72" w:line="380" w:lineRule="exact"/>
        <w:jc w:val="left"/>
        <w:rPr>
          <w:rFonts w:ascii="宋体" w:hAnsi="宋体"/>
          <w:color w:val="auto"/>
          <w:szCs w:val="21"/>
          <w:highlight w:val="none"/>
        </w:rPr>
      </w:pPr>
      <w:r>
        <w:rPr>
          <w:rFonts w:hint="eastAsia" w:ascii="宋体" w:hAnsi="宋体"/>
          <w:color w:val="auto"/>
          <w:szCs w:val="21"/>
          <w:highlight w:val="none"/>
        </w:rPr>
        <w:t>表1任务区技术指标及要求概况表</w:t>
      </w:r>
    </w:p>
    <w:tbl>
      <w:tblPr>
        <w:tblStyle w:val="3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2160"/>
        <w:gridCol w:w="676"/>
        <w:gridCol w:w="1022"/>
        <w:gridCol w:w="2262"/>
        <w:gridCol w:w="720"/>
        <w:gridCol w:w="1440"/>
      </w:tblGrid>
      <w:tr w14:paraId="064324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jc w:val="center"/>
        </w:trPr>
        <w:tc>
          <w:tcPr>
            <w:tcW w:w="2160" w:type="dxa"/>
            <w:vAlign w:val="center"/>
          </w:tcPr>
          <w:p w14:paraId="547D9D5C">
            <w:pPr>
              <w:spacing w:line="380" w:lineRule="exact"/>
              <w:jc w:val="left"/>
              <w:rPr>
                <w:rFonts w:hAnsi="宋体"/>
                <w:color w:val="auto"/>
                <w:szCs w:val="21"/>
                <w:highlight w:val="none"/>
              </w:rPr>
            </w:pPr>
            <w:r>
              <w:rPr>
                <w:rFonts w:hint="eastAsia" w:hAnsi="宋体"/>
                <w:color w:val="auto"/>
                <w:szCs w:val="21"/>
                <w:highlight w:val="none"/>
              </w:rPr>
              <w:t>任务区名称</w:t>
            </w:r>
          </w:p>
        </w:tc>
        <w:tc>
          <w:tcPr>
            <w:tcW w:w="6120" w:type="dxa"/>
            <w:gridSpan w:val="5"/>
            <w:vAlign w:val="center"/>
          </w:tcPr>
          <w:p w14:paraId="46F5C171">
            <w:pPr>
              <w:spacing w:line="380" w:lineRule="exact"/>
              <w:jc w:val="left"/>
              <w:rPr>
                <w:rFonts w:hAnsi="宋体"/>
                <w:color w:val="auto"/>
                <w:szCs w:val="21"/>
                <w:highlight w:val="none"/>
              </w:rPr>
            </w:pPr>
          </w:p>
        </w:tc>
      </w:tr>
      <w:tr w14:paraId="7F0AB7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jc w:val="center"/>
        </w:trPr>
        <w:tc>
          <w:tcPr>
            <w:tcW w:w="2160" w:type="dxa"/>
            <w:vAlign w:val="center"/>
          </w:tcPr>
          <w:p w14:paraId="0F2584DE">
            <w:pPr>
              <w:spacing w:line="380" w:lineRule="exact"/>
              <w:jc w:val="left"/>
              <w:rPr>
                <w:rFonts w:hAnsi="宋体"/>
                <w:color w:val="auto"/>
                <w:szCs w:val="21"/>
                <w:highlight w:val="none"/>
              </w:rPr>
            </w:pPr>
            <w:r>
              <w:rPr>
                <w:rFonts w:hint="eastAsia" w:hAnsi="宋体"/>
                <w:color w:val="auto"/>
                <w:szCs w:val="21"/>
                <w:highlight w:val="none"/>
              </w:rPr>
              <w:t>面积（Km</w:t>
            </w:r>
            <w:r>
              <w:rPr>
                <w:rFonts w:hint="eastAsia" w:hAnsi="宋体"/>
                <w:color w:val="auto"/>
                <w:szCs w:val="21"/>
                <w:highlight w:val="none"/>
                <w:vertAlign w:val="superscript"/>
              </w:rPr>
              <w:t>2</w:t>
            </w:r>
            <w:r>
              <w:rPr>
                <w:rFonts w:hint="eastAsia" w:hAnsi="宋体"/>
                <w:color w:val="auto"/>
                <w:szCs w:val="21"/>
                <w:highlight w:val="none"/>
              </w:rPr>
              <w:t>）</w:t>
            </w:r>
          </w:p>
        </w:tc>
        <w:tc>
          <w:tcPr>
            <w:tcW w:w="1698" w:type="dxa"/>
            <w:gridSpan w:val="2"/>
            <w:vAlign w:val="center"/>
          </w:tcPr>
          <w:p w14:paraId="3262704E">
            <w:pPr>
              <w:spacing w:line="380" w:lineRule="exact"/>
              <w:jc w:val="left"/>
              <w:rPr>
                <w:rFonts w:hAnsi="宋体"/>
                <w:color w:val="auto"/>
                <w:szCs w:val="21"/>
                <w:highlight w:val="none"/>
              </w:rPr>
            </w:pPr>
          </w:p>
        </w:tc>
        <w:tc>
          <w:tcPr>
            <w:tcW w:w="2262" w:type="dxa"/>
            <w:vAlign w:val="center"/>
          </w:tcPr>
          <w:p w14:paraId="1950DC5A">
            <w:pPr>
              <w:spacing w:line="380" w:lineRule="exact"/>
              <w:jc w:val="left"/>
              <w:rPr>
                <w:rFonts w:hAnsi="宋体"/>
                <w:color w:val="auto"/>
                <w:szCs w:val="21"/>
                <w:highlight w:val="none"/>
              </w:rPr>
            </w:pPr>
            <w:r>
              <w:rPr>
                <w:rFonts w:hint="eastAsia" w:hAnsi="宋体"/>
                <w:color w:val="auto"/>
                <w:szCs w:val="21"/>
                <w:highlight w:val="none"/>
              </w:rPr>
              <w:t>成图比例尺</w:t>
            </w:r>
          </w:p>
        </w:tc>
        <w:tc>
          <w:tcPr>
            <w:tcW w:w="2160" w:type="dxa"/>
            <w:gridSpan w:val="2"/>
            <w:vAlign w:val="center"/>
          </w:tcPr>
          <w:p w14:paraId="21B3D76D">
            <w:pPr>
              <w:spacing w:line="380" w:lineRule="exact"/>
              <w:jc w:val="left"/>
              <w:rPr>
                <w:rFonts w:hAnsi="宋体"/>
                <w:color w:val="auto"/>
                <w:szCs w:val="21"/>
                <w:highlight w:val="none"/>
              </w:rPr>
            </w:pPr>
          </w:p>
        </w:tc>
      </w:tr>
      <w:tr w14:paraId="47F168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jc w:val="center"/>
        </w:trPr>
        <w:tc>
          <w:tcPr>
            <w:tcW w:w="2160" w:type="dxa"/>
            <w:vAlign w:val="center"/>
          </w:tcPr>
          <w:p w14:paraId="7618C11E">
            <w:pPr>
              <w:spacing w:line="380" w:lineRule="exact"/>
              <w:jc w:val="left"/>
              <w:rPr>
                <w:rFonts w:hAnsi="宋体"/>
                <w:color w:val="auto"/>
                <w:szCs w:val="21"/>
                <w:highlight w:val="none"/>
              </w:rPr>
            </w:pPr>
            <w:r>
              <w:rPr>
                <w:rFonts w:hint="eastAsia" w:hAnsi="宋体"/>
                <w:color w:val="auto"/>
                <w:szCs w:val="21"/>
                <w:highlight w:val="none"/>
              </w:rPr>
              <w:t>航摄仪类型</w:t>
            </w:r>
          </w:p>
        </w:tc>
        <w:tc>
          <w:tcPr>
            <w:tcW w:w="1698" w:type="dxa"/>
            <w:gridSpan w:val="2"/>
            <w:vAlign w:val="center"/>
          </w:tcPr>
          <w:p w14:paraId="55384A52">
            <w:pPr>
              <w:spacing w:line="380" w:lineRule="exact"/>
              <w:jc w:val="left"/>
              <w:rPr>
                <w:rFonts w:hAnsi="宋体"/>
                <w:color w:val="auto"/>
                <w:szCs w:val="21"/>
                <w:highlight w:val="none"/>
              </w:rPr>
            </w:pPr>
          </w:p>
        </w:tc>
        <w:tc>
          <w:tcPr>
            <w:tcW w:w="2262" w:type="dxa"/>
            <w:vAlign w:val="center"/>
          </w:tcPr>
          <w:p w14:paraId="4F36AD40">
            <w:pPr>
              <w:spacing w:line="380" w:lineRule="exact"/>
              <w:jc w:val="left"/>
              <w:rPr>
                <w:rFonts w:hAnsi="宋体"/>
                <w:color w:val="auto"/>
                <w:szCs w:val="21"/>
                <w:highlight w:val="none"/>
              </w:rPr>
            </w:pPr>
            <w:r>
              <w:rPr>
                <w:rFonts w:hint="eastAsia" w:hAnsi="宋体"/>
                <w:color w:val="auto"/>
                <w:szCs w:val="21"/>
                <w:highlight w:val="none"/>
              </w:rPr>
              <w:t>最低点地面分辨率</w:t>
            </w:r>
          </w:p>
        </w:tc>
        <w:tc>
          <w:tcPr>
            <w:tcW w:w="2160" w:type="dxa"/>
            <w:gridSpan w:val="2"/>
            <w:vAlign w:val="center"/>
          </w:tcPr>
          <w:p w14:paraId="6BBC5871">
            <w:pPr>
              <w:spacing w:line="380" w:lineRule="exact"/>
              <w:jc w:val="left"/>
              <w:rPr>
                <w:rFonts w:hAnsi="宋体"/>
                <w:color w:val="auto"/>
                <w:szCs w:val="21"/>
                <w:highlight w:val="none"/>
              </w:rPr>
            </w:pPr>
          </w:p>
        </w:tc>
      </w:tr>
      <w:tr w14:paraId="01C46C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jc w:val="center"/>
        </w:trPr>
        <w:tc>
          <w:tcPr>
            <w:tcW w:w="2160" w:type="dxa"/>
            <w:vAlign w:val="center"/>
          </w:tcPr>
          <w:p w14:paraId="7A62DEDD">
            <w:pPr>
              <w:spacing w:line="380" w:lineRule="exact"/>
              <w:jc w:val="left"/>
              <w:rPr>
                <w:rFonts w:hAnsi="宋体"/>
                <w:color w:val="auto"/>
                <w:szCs w:val="21"/>
                <w:highlight w:val="none"/>
              </w:rPr>
            </w:pPr>
            <w:r>
              <w:rPr>
                <w:rFonts w:hint="eastAsia" w:hAnsi="宋体"/>
                <w:color w:val="auto"/>
                <w:szCs w:val="21"/>
                <w:highlight w:val="none"/>
              </w:rPr>
              <w:t>DOM地面分辨率</w:t>
            </w:r>
          </w:p>
        </w:tc>
        <w:tc>
          <w:tcPr>
            <w:tcW w:w="6120" w:type="dxa"/>
            <w:gridSpan w:val="5"/>
            <w:vAlign w:val="center"/>
          </w:tcPr>
          <w:p w14:paraId="4648D5B5">
            <w:pPr>
              <w:spacing w:line="380" w:lineRule="exact"/>
              <w:jc w:val="left"/>
              <w:rPr>
                <w:rFonts w:hAnsi="宋体"/>
                <w:color w:val="auto"/>
                <w:szCs w:val="21"/>
                <w:highlight w:val="none"/>
              </w:rPr>
            </w:pPr>
          </w:p>
        </w:tc>
      </w:tr>
      <w:tr w14:paraId="3FDBB1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jc w:val="center"/>
        </w:trPr>
        <w:tc>
          <w:tcPr>
            <w:tcW w:w="2160" w:type="dxa"/>
            <w:tcBorders>
              <w:right w:val="single" w:color="auto" w:sz="4" w:space="0"/>
            </w:tcBorders>
            <w:vAlign w:val="center"/>
          </w:tcPr>
          <w:p w14:paraId="7B400260">
            <w:pPr>
              <w:spacing w:line="380" w:lineRule="exact"/>
              <w:jc w:val="left"/>
              <w:rPr>
                <w:rFonts w:hAnsi="宋体"/>
                <w:color w:val="auto"/>
                <w:szCs w:val="21"/>
                <w:highlight w:val="none"/>
              </w:rPr>
            </w:pPr>
            <w:r>
              <w:rPr>
                <w:rFonts w:hint="eastAsia" w:hAnsi="宋体"/>
                <w:color w:val="auto"/>
                <w:szCs w:val="21"/>
                <w:highlight w:val="none"/>
              </w:rPr>
              <w:t>项目完成截止时间</w:t>
            </w:r>
          </w:p>
        </w:tc>
        <w:tc>
          <w:tcPr>
            <w:tcW w:w="6120" w:type="dxa"/>
            <w:gridSpan w:val="5"/>
            <w:tcBorders>
              <w:left w:val="single" w:color="auto" w:sz="4" w:space="0"/>
            </w:tcBorders>
            <w:vAlign w:val="center"/>
          </w:tcPr>
          <w:p w14:paraId="78BF1DB0">
            <w:pPr>
              <w:spacing w:line="380" w:lineRule="exact"/>
              <w:ind w:firstLine="420" w:firstLineChars="200"/>
              <w:jc w:val="left"/>
              <w:rPr>
                <w:rFonts w:ascii="隶书" w:hAnsi="宋体" w:eastAsia="隶书"/>
                <w:color w:val="auto"/>
                <w:szCs w:val="21"/>
                <w:highlight w:val="none"/>
              </w:rPr>
            </w:pPr>
            <w:r>
              <w:rPr>
                <w:rFonts w:hint="eastAsia" w:hAnsi="宋体"/>
                <w:color w:val="auto"/>
                <w:szCs w:val="21"/>
                <w:highlight w:val="none"/>
              </w:rPr>
              <w:t>年   月   日</w:t>
            </w:r>
          </w:p>
        </w:tc>
      </w:tr>
      <w:tr w14:paraId="707B1B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jc w:val="center"/>
        </w:trPr>
        <w:tc>
          <w:tcPr>
            <w:tcW w:w="2160" w:type="dxa"/>
            <w:vAlign w:val="center"/>
          </w:tcPr>
          <w:p w14:paraId="720521C9">
            <w:pPr>
              <w:spacing w:line="380" w:lineRule="exact"/>
              <w:jc w:val="left"/>
              <w:rPr>
                <w:rFonts w:hAnsi="宋体"/>
                <w:color w:val="auto"/>
                <w:szCs w:val="21"/>
                <w:highlight w:val="none"/>
              </w:rPr>
            </w:pPr>
            <w:r>
              <w:rPr>
                <w:rFonts w:hint="eastAsia" w:hAnsi="宋体"/>
                <w:color w:val="auto"/>
                <w:szCs w:val="21"/>
                <w:highlight w:val="none"/>
              </w:rPr>
              <w:t>合同单价</w:t>
            </w:r>
          </w:p>
        </w:tc>
        <w:tc>
          <w:tcPr>
            <w:tcW w:w="676" w:type="dxa"/>
            <w:tcBorders>
              <w:right w:val="single" w:color="auto" w:sz="4" w:space="0"/>
            </w:tcBorders>
            <w:vAlign w:val="center"/>
          </w:tcPr>
          <w:p w14:paraId="01CAF9E0">
            <w:pPr>
              <w:spacing w:line="380" w:lineRule="exact"/>
              <w:jc w:val="left"/>
              <w:rPr>
                <w:rFonts w:hAnsi="宋体"/>
                <w:color w:val="auto"/>
                <w:szCs w:val="21"/>
                <w:highlight w:val="none"/>
              </w:rPr>
            </w:pPr>
            <w:r>
              <w:rPr>
                <w:rFonts w:hint="eastAsia" w:hAnsi="宋体"/>
                <w:color w:val="auto"/>
                <w:szCs w:val="21"/>
                <w:highlight w:val="none"/>
              </w:rPr>
              <w:t>大写</w:t>
            </w:r>
          </w:p>
        </w:tc>
        <w:tc>
          <w:tcPr>
            <w:tcW w:w="3284" w:type="dxa"/>
            <w:gridSpan w:val="2"/>
            <w:tcBorders>
              <w:left w:val="single" w:color="auto" w:sz="4" w:space="0"/>
              <w:right w:val="single" w:color="auto" w:sz="4" w:space="0"/>
            </w:tcBorders>
            <w:vAlign w:val="center"/>
          </w:tcPr>
          <w:p w14:paraId="33779BAB">
            <w:pPr>
              <w:spacing w:line="380" w:lineRule="exact"/>
              <w:ind w:left="130" w:leftChars="62" w:firstLine="420" w:firstLineChars="200"/>
              <w:jc w:val="left"/>
              <w:rPr>
                <w:rFonts w:hAnsi="宋体"/>
                <w:color w:val="auto"/>
                <w:szCs w:val="21"/>
                <w:highlight w:val="none"/>
              </w:rPr>
            </w:pPr>
            <w:r>
              <w:rPr>
                <w:rFonts w:hint="eastAsia" w:hAnsi="宋体"/>
                <w:color w:val="auto"/>
                <w:szCs w:val="21"/>
                <w:highlight w:val="none"/>
              </w:rPr>
              <w:t>仟  佰  拾  万  仟  佰  拾  圆  角  分</w:t>
            </w:r>
          </w:p>
        </w:tc>
        <w:tc>
          <w:tcPr>
            <w:tcW w:w="720" w:type="dxa"/>
            <w:tcBorders>
              <w:left w:val="single" w:color="auto" w:sz="4" w:space="0"/>
              <w:right w:val="single" w:color="auto" w:sz="4" w:space="0"/>
            </w:tcBorders>
            <w:vAlign w:val="center"/>
          </w:tcPr>
          <w:p w14:paraId="3DD6E369">
            <w:pPr>
              <w:spacing w:line="380" w:lineRule="exact"/>
              <w:ind w:left="120"/>
              <w:jc w:val="left"/>
              <w:rPr>
                <w:rFonts w:hAnsi="宋体"/>
                <w:color w:val="auto"/>
                <w:szCs w:val="21"/>
                <w:highlight w:val="none"/>
              </w:rPr>
            </w:pPr>
            <w:r>
              <w:rPr>
                <w:rFonts w:hint="eastAsia" w:hAnsi="宋体"/>
                <w:color w:val="auto"/>
                <w:szCs w:val="21"/>
                <w:highlight w:val="none"/>
              </w:rPr>
              <w:t>小写</w:t>
            </w:r>
          </w:p>
        </w:tc>
        <w:tc>
          <w:tcPr>
            <w:tcW w:w="1440" w:type="dxa"/>
            <w:tcBorders>
              <w:left w:val="single" w:color="auto" w:sz="4" w:space="0"/>
            </w:tcBorders>
            <w:vAlign w:val="center"/>
          </w:tcPr>
          <w:p w14:paraId="60A8E5F2">
            <w:pPr>
              <w:spacing w:line="380" w:lineRule="exact"/>
              <w:ind w:left="73" w:leftChars="35"/>
              <w:jc w:val="left"/>
              <w:rPr>
                <w:rFonts w:hAnsi="宋体"/>
                <w:color w:val="auto"/>
                <w:szCs w:val="21"/>
                <w:highlight w:val="none"/>
              </w:rPr>
            </w:pPr>
            <w:r>
              <w:rPr>
                <w:rFonts w:hint="eastAsia" w:hAnsi="宋体"/>
                <w:color w:val="auto"/>
                <w:szCs w:val="21"/>
                <w:highlight w:val="none"/>
              </w:rPr>
              <w:t>￥：</w:t>
            </w:r>
          </w:p>
        </w:tc>
      </w:tr>
      <w:tr w14:paraId="2CC343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jc w:val="center"/>
        </w:trPr>
        <w:tc>
          <w:tcPr>
            <w:tcW w:w="2160" w:type="dxa"/>
            <w:vAlign w:val="center"/>
          </w:tcPr>
          <w:p w14:paraId="6705AECF">
            <w:pPr>
              <w:spacing w:line="380" w:lineRule="exact"/>
              <w:jc w:val="left"/>
              <w:rPr>
                <w:rFonts w:hAnsi="宋体"/>
                <w:color w:val="auto"/>
                <w:szCs w:val="21"/>
                <w:highlight w:val="none"/>
              </w:rPr>
            </w:pPr>
            <w:r>
              <w:rPr>
                <w:rFonts w:hint="eastAsia" w:hAnsi="宋体"/>
                <w:color w:val="auto"/>
                <w:szCs w:val="21"/>
                <w:highlight w:val="none"/>
              </w:rPr>
              <w:t>合同总价款</w:t>
            </w:r>
          </w:p>
        </w:tc>
        <w:tc>
          <w:tcPr>
            <w:tcW w:w="676" w:type="dxa"/>
            <w:tcBorders>
              <w:right w:val="single" w:color="auto" w:sz="4" w:space="0"/>
            </w:tcBorders>
            <w:vAlign w:val="center"/>
          </w:tcPr>
          <w:p w14:paraId="40FBE2D0">
            <w:pPr>
              <w:spacing w:line="380" w:lineRule="exact"/>
              <w:jc w:val="left"/>
              <w:rPr>
                <w:rFonts w:hAnsi="宋体"/>
                <w:color w:val="auto"/>
                <w:szCs w:val="21"/>
                <w:highlight w:val="none"/>
              </w:rPr>
            </w:pPr>
            <w:r>
              <w:rPr>
                <w:rFonts w:hint="eastAsia" w:hAnsi="宋体"/>
                <w:color w:val="auto"/>
                <w:szCs w:val="21"/>
                <w:highlight w:val="none"/>
              </w:rPr>
              <w:t>大写</w:t>
            </w:r>
          </w:p>
        </w:tc>
        <w:tc>
          <w:tcPr>
            <w:tcW w:w="3284" w:type="dxa"/>
            <w:gridSpan w:val="2"/>
            <w:tcBorders>
              <w:left w:val="single" w:color="auto" w:sz="4" w:space="0"/>
              <w:right w:val="single" w:color="auto" w:sz="4" w:space="0"/>
            </w:tcBorders>
            <w:vAlign w:val="center"/>
          </w:tcPr>
          <w:p w14:paraId="335F8276">
            <w:pPr>
              <w:spacing w:line="380" w:lineRule="exact"/>
              <w:ind w:left="130" w:leftChars="62" w:firstLine="420" w:firstLineChars="200"/>
              <w:jc w:val="left"/>
              <w:rPr>
                <w:rFonts w:hAnsi="宋体"/>
                <w:color w:val="auto"/>
                <w:szCs w:val="21"/>
                <w:highlight w:val="none"/>
              </w:rPr>
            </w:pPr>
            <w:r>
              <w:rPr>
                <w:rFonts w:hint="eastAsia" w:hAnsi="宋体"/>
                <w:color w:val="auto"/>
                <w:szCs w:val="21"/>
                <w:highlight w:val="none"/>
              </w:rPr>
              <w:t>仟  佰  拾  万  仟  佰  拾  圆  角  分</w:t>
            </w:r>
          </w:p>
        </w:tc>
        <w:tc>
          <w:tcPr>
            <w:tcW w:w="720" w:type="dxa"/>
            <w:tcBorders>
              <w:left w:val="single" w:color="auto" w:sz="4" w:space="0"/>
              <w:right w:val="single" w:color="auto" w:sz="4" w:space="0"/>
            </w:tcBorders>
            <w:vAlign w:val="center"/>
          </w:tcPr>
          <w:p w14:paraId="1B8A7C63">
            <w:pPr>
              <w:spacing w:line="380" w:lineRule="exact"/>
              <w:ind w:left="120"/>
              <w:jc w:val="left"/>
              <w:rPr>
                <w:rFonts w:hAnsi="宋体"/>
                <w:color w:val="auto"/>
                <w:szCs w:val="21"/>
                <w:highlight w:val="none"/>
              </w:rPr>
            </w:pPr>
            <w:r>
              <w:rPr>
                <w:rFonts w:hint="eastAsia" w:hAnsi="宋体"/>
                <w:color w:val="auto"/>
                <w:szCs w:val="21"/>
                <w:highlight w:val="none"/>
              </w:rPr>
              <w:t>小写</w:t>
            </w:r>
          </w:p>
        </w:tc>
        <w:tc>
          <w:tcPr>
            <w:tcW w:w="1440" w:type="dxa"/>
            <w:tcBorders>
              <w:left w:val="single" w:color="auto" w:sz="4" w:space="0"/>
            </w:tcBorders>
            <w:vAlign w:val="center"/>
          </w:tcPr>
          <w:p w14:paraId="0616900D">
            <w:pPr>
              <w:spacing w:line="380" w:lineRule="exact"/>
              <w:ind w:left="73" w:leftChars="35"/>
              <w:jc w:val="left"/>
              <w:rPr>
                <w:rFonts w:hAnsi="宋体"/>
                <w:color w:val="auto"/>
                <w:szCs w:val="21"/>
                <w:highlight w:val="none"/>
              </w:rPr>
            </w:pPr>
            <w:r>
              <w:rPr>
                <w:rFonts w:hint="eastAsia" w:hAnsi="宋体"/>
                <w:color w:val="auto"/>
                <w:szCs w:val="21"/>
                <w:highlight w:val="none"/>
              </w:rPr>
              <w:t>￥：</w:t>
            </w:r>
          </w:p>
        </w:tc>
      </w:tr>
      <w:tr w14:paraId="4A0CFE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5" w:hRule="atLeast"/>
          <w:jc w:val="center"/>
        </w:trPr>
        <w:tc>
          <w:tcPr>
            <w:tcW w:w="2160" w:type="dxa"/>
            <w:vAlign w:val="center"/>
          </w:tcPr>
          <w:p w14:paraId="6B4B5E0B">
            <w:pPr>
              <w:spacing w:line="380" w:lineRule="exact"/>
              <w:jc w:val="left"/>
              <w:rPr>
                <w:rFonts w:hAnsi="宋体"/>
                <w:b/>
                <w:bCs/>
                <w:color w:val="auto"/>
                <w:szCs w:val="21"/>
                <w:highlight w:val="none"/>
              </w:rPr>
            </w:pPr>
            <w:r>
              <w:rPr>
                <w:rFonts w:hint="eastAsia" w:hAnsi="宋体"/>
                <w:b/>
                <w:bCs/>
                <w:color w:val="auto"/>
                <w:szCs w:val="21"/>
                <w:highlight w:val="none"/>
              </w:rPr>
              <w:t xml:space="preserve">备 </w:t>
            </w:r>
            <w:r>
              <w:rPr>
                <w:rFonts w:hAnsi="宋体"/>
                <w:b/>
                <w:bCs/>
                <w:color w:val="auto"/>
                <w:szCs w:val="21"/>
                <w:highlight w:val="none"/>
              </w:rPr>
              <w:t xml:space="preserve">    </w:t>
            </w:r>
            <w:r>
              <w:rPr>
                <w:rFonts w:hint="eastAsia" w:hAnsi="宋体"/>
                <w:b/>
                <w:bCs/>
                <w:color w:val="auto"/>
                <w:szCs w:val="21"/>
                <w:highlight w:val="none"/>
              </w:rPr>
              <w:t>注</w:t>
            </w:r>
          </w:p>
        </w:tc>
        <w:tc>
          <w:tcPr>
            <w:tcW w:w="6120" w:type="dxa"/>
            <w:gridSpan w:val="5"/>
            <w:vAlign w:val="center"/>
          </w:tcPr>
          <w:p w14:paraId="577F9456">
            <w:pPr>
              <w:pStyle w:val="85"/>
              <w:spacing w:line="240" w:lineRule="auto"/>
              <w:ind w:firstLine="0" w:firstLineChars="0"/>
              <w:jc w:val="left"/>
              <w:rPr>
                <w:rFonts w:ascii="Calibri" w:hAnsi="Calibri"/>
                <w:color w:val="auto"/>
                <w:sz w:val="21"/>
                <w:highlight w:val="none"/>
                <w:lang w:eastAsia="zh-CN"/>
              </w:rPr>
            </w:pPr>
            <w:r>
              <w:rPr>
                <w:rFonts w:hint="eastAsia" w:ascii="Calibri" w:hAnsi="Calibri"/>
                <w:color w:val="auto"/>
                <w:sz w:val="21"/>
                <w:highlight w:val="none"/>
                <w:lang w:eastAsia="zh-CN"/>
              </w:rPr>
              <w:t>注：1、项目具体技术需求及采购人地址等详见磋商文件、响应文件及询标记录。</w:t>
            </w:r>
          </w:p>
          <w:p w14:paraId="427570AC">
            <w:pPr>
              <w:jc w:val="left"/>
              <w:rPr>
                <w:rFonts w:hAnsi="宋体"/>
                <w:color w:val="auto"/>
                <w:szCs w:val="21"/>
                <w:highlight w:val="none"/>
              </w:rPr>
            </w:pPr>
            <w:r>
              <w:rPr>
                <w:rFonts w:hint="eastAsia"/>
                <w:color w:val="auto"/>
                <w:szCs w:val="21"/>
                <w:highlight w:val="none"/>
              </w:rPr>
              <w:t>2、以上合同总价包含项目达到预期使用效果所需的一切费用。</w:t>
            </w:r>
          </w:p>
        </w:tc>
      </w:tr>
    </w:tbl>
    <w:p w14:paraId="3E8BC14F">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（二）成果资料内容及质量</w:t>
      </w:r>
    </w:p>
    <w:p w14:paraId="473FA409">
      <w:pPr>
        <w:pStyle w:val="85"/>
        <w:ind w:firstLine="420"/>
        <w:jc w:val="left"/>
        <w:rPr>
          <w:color w:val="auto"/>
          <w:sz w:val="21"/>
          <w:highlight w:val="none"/>
          <w:lang w:eastAsia="zh-CN"/>
        </w:rPr>
      </w:pPr>
      <w:r>
        <w:rPr>
          <w:rFonts w:hint="eastAsia"/>
          <w:color w:val="auto"/>
          <w:sz w:val="21"/>
          <w:highlight w:val="none"/>
          <w:lang w:eastAsia="zh-CN"/>
        </w:rPr>
        <w:t>成果资料的内容及质量按照招标文件中规定的标准和要求执行。</w:t>
      </w:r>
    </w:p>
    <w:p w14:paraId="7ADFF6DC">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（三）成果提交时间和技术服务</w:t>
      </w:r>
    </w:p>
    <w:p w14:paraId="47E99B6F">
      <w:pPr>
        <w:spacing w:line="460" w:lineRule="exact"/>
        <w:ind w:firstLine="420" w:firstLineChars="200"/>
        <w:jc w:val="left"/>
        <w:rPr>
          <w:rFonts w:ascii="宋体" w:hAnsi="宋体"/>
          <w:color w:val="auto"/>
          <w:szCs w:val="21"/>
          <w:highlight w:val="none"/>
        </w:rPr>
      </w:pPr>
      <w:r>
        <w:rPr>
          <w:rFonts w:hint="eastAsia" w:ascii="宋体" w:hAnsi="宋体"/>
          <w:color w:val="auto"/>
          <w:szCs w:val="21"/>
          <w:highlight w:val="none"/>
        </w:rPr>
        <w:t>1、成果提交时间：</w:t>
      </w:r>
    </w:p>
    <w:p w14:paraId="13A25EA8">
      <w:pPr>
        <w:spacing w:line="360" w:lineRule="auto"/>
        <w:ind w:firstLine="420" w:firstLineChars="200"/>
        <w:rPr>
          <w:rFonts w:ascii="宋体" w:hAnsi="宋体"/>
          <w:color w:val="auto"/>
          <w:highlight w:val="none"/>
        </w:rPr>
      </w:pPr>
      <w:r>
        <w:rPr>
          <w:rFonts w:hint="eastAsia" w:ascii="宋体" w:hAnsi="宋体"/>
          <w:color w:val="auto"/>
          <w:highlight w:val="none"/>
        </w:rPr>
        <w:t>露天矿山0.2米分辨率航空影像获取和正射影像生产服务采购：签订合同以后30个自然日内完成不少于45%数字正射影像初步成果制作与内部质量检查并提交；签订合同以后60个自然日内完成不少于90%数字正射影像初步成果制作与内部质量检查并提交；签订合同以后70个自然日内完成所有数字正射影像初步成果与内部质量检查并提交；签订合同以后80个自然日内，项目成果由供应商通过具有CMA证书（证书检验检测的能力范围需包含测绘航空摄影、摄影测量与遥感、工程测量）的第三方检验机构检验合格，提交所有项目成果。</w:t>
      </w:r>
    </w:p>
    <w:p w14:paraId="3A9C9FEF">
      <w:pPr>
        <w:spacing w:line="460" w:lineRule="exact"/>
        <w:ind w:firstLine="420" w:firstLineChars="200"/>
        <w:jc w:val="left"/>
        <w:rPr>
          <w:rFonts w:ascii="宋体" w:hAnsi="宋体"/>
          <w:color w:val="auto"/>
          <w:szCs w:val="21"/>
          <w:highlight w:val="none"/>
        </w:rPr>
      </w:pPr>
      <w:r>
        <w:rPr>
          <w:rFonts w:hint="eastAsia" w:ascii="宋体" w:hAnsi="宋体"/>
          <w:color w:val="auto"/>
          <w:szCs w:val="21"/>
          <w:highlight w:val="none"/>
        </w:rPr>
        <w:t xml:space="preserve">2、技术服务： </w:t>
      </w:r>
    </w:p>
    <w:p w14:paraId="0BB6A185">
      <w:pPr>
        <w:pStyle w:val="85"/>
        <w:ind w:firstLine="384" w:firstLineChars="183"/>
        <w:jc w:val="left"/>
        <w:rPr>
          <w:color w:val="auto"/>
          <w:sz w:val="21"/>
          <w:highlight w:val="none"/>
          <w:lang w:eastAsia="zh-CN"/>
        </w:rPr>
      </w:pPr>
      <w:r>
        <w:rPr>
          <w:rFonts w:hint="eastAsia"/>
          <w:color w:val="auto"/>
          <w:sz w:val="21"/>
          <w:highlight w:val="none"/>
          <w:lang w:eastAsia="zh-CN"/>
        </w:rPr>
        <w:t>在项目验收后，如因需要增加服务内容而产生的费用，双方另议；如果所提供服务未达标或有偏差，乙方必须及时免费修正。</w:t>
      </w:r>
    </w:p>
    <w:p w14:paraId="04393E6B">
      <w:pPr>
        <w:spacing w:line="400" w:lineRule="exact"/>
        <w:ind w:firstLine="210" w:firstLineChars="100"/>
        <w:jc w:val="left"/>
        <w:rPr>
          <w:rFonts w:ascii="宋体" w:hAnsi="宋体"/>
          <w:color w:val="auto"/>
          <w:szCs w:val="21"/>
          <w:highlight w:val="none"/>
        </w:rPr>
      </w:pPr>
      <w:r>
        <w:rPr>
          <w:rFonts w:hint="eastAsia" w:ascii="宋体" w:hAnsi="宋体"/>
          <w:color w:val="auto"/>
          <w:szCs w:val="21"/>
          <w:highlight w:val="none"/>
        </w:rPr>
        <w:t>（四）项目过程质量监督检查和验收</w:t>
      </w:r>
    </w:p>
    <w:p w14:paraId="545C4D75">
      <w:pPr>
        <w:pStyle w:val="86"/>
        <w:numPr>
          <w:ilvl w:val="0"/>
          <w:numId w:val="0"/>
        </w:numPr>
        <w:ind w:firstLine="420" w:firstLineChars="200"/>
        <w:jc w:val="left"/>
        <w:rPr>
          <w:color w:val="auto"/>
          <w:sz w:val="21"/>
          <w:szCs w:val="21"/>
          <w:highlight w:val="none"/>
        </w:rPr>
      </w:pPr>
      <w:r>
        <w:rPr>
          <w:rFonts w:hint="eastAsia"/>
          <w:color w:val="auto"/>
          <w:sz w:val="21"/>
          <w:szCs w:val="21"/>
          <w:highlight w:val="none"/>
        </w:rPr>
        <w:t>1、项目开展后，甲方分期对乙方项目的过程质量进行监督检查，对过程质量监督检查中发现的问题，乙方应按甲方整改通知要求及限期进行全面修改和完善，并重新提交甲方进行过程质量监督检查，如乙方未按甲方要求进行修改完善，甲方有权对本项目进行调整或终止本项目合同。</w:t>
      </w:r>
    </w:p>
    <w:p w14:paraId="0DE9B9BC">
      <w:pPr>
        <w:pStyle w:val="86"/>
        <w:numPr>
          <w:ilvl w:val="0"/>
          <w:numId w:val="0"/>
        </w:numPr>
        <w:ind w:firstLine="420" w:firstLineChars="200"/>
        <w:jc w:val="left"/>
        <w:rPr>
          <w:color w:val="auto"/>
          <w:sz w:val="21"/>
          <w:szCs w:val="21"/>
          <w:highlight w:val="none"/>
        </w:rPr>
      </w:pPr>
      <w:r>
        <w:rPr>
          <w:rFonts w:hint="eastAsia"/>
          <w:color w:val="auto"/>
          <w:sz w:val="21"/>
          <w:szCs w:val="21"/>
          <w:highlight w:val="none"/>
        </w:rPr>
        <w:t>2、验收不合格的，乙方依照“第五条 违约责任”和其他法律法规有关规定承担违约责任。</w:t>
      </w:r>
    </w:p>
    <w:p w14:paraId="0FA1C595">
      <w:pPr>
        <w:pStyle w:val="86"/>
        <w:numPr>
          <w:ilvl w:val="0"/>
          <w:numId w:val="0"/>
        </w:numPr>
        <w:ind w:firstLine="420" w:firstLineChars="200"/>
        <w:jc w:val="left"/>
        <w:rPr>
          <w:color w:val="auto"/>
          <w:sz w:val="21"/>
          <w:szCs w:val="21"/>
          <w:highlight w:val="none"/>
        </w:rPr>
      </w:pPr>
      <w:r>
        <w:rPr>
          <w:rFonts w:hint="eastAsia"/>
          <w:color w:val="auto"/>
          <w:sz w:val="21"/>
          <w:szCs w:val="21"/>
          <w:highlight w:val="none"/>
        </w:rPr>
        <w:t>3、成果资料经验收合格并按验收意见修改完善后，乙方应及时将成果资料移交甲方。移交地点为甲方住所地： 南宁市。</w:t>
      </w:r>
    </w:p>
    <w:p w14:paraId="152FB014">
      <w:pPr>
        <w:spacing w:line="400" w:lineRule="exact"/>
        <w:ind w:firstLine="210" w:firstLineChars="100"/>
        <w:jc w:val="left"/>
        <w:rPr>
          <w:rFonts w:ascii="宋体" w:hAnsi="宋体"/>
          <w:color w:val="auto"/>
          <w:szCs w:val="21"/>
          <w:highlight w:val="none"/>
        </w:rPr>
      </w:pPr>
      <w:r>
        <w:rPr>
          <w:rFonts w:hint="eastAsia" w:ascii="宋体" w:hAnsi="宋体"/>
          <w:color w:val="auto"/>
          <w:szCs w:val="21"/>
          <w:highlight w:val="none"/>
        </w:rPr>
        <w:t>（五）质量保证</w:t>
      </w:r>
    </w:p>
    <w:p w14:paraId="12F7B2F4">
      <w:pPr>
        <w:pStyle w:val="86"/>
        <w:numPr>
          <w:ilvl w:val="0"/>
          <w:numId w:val="0"/>
        </w:numPr>
        <w:ind w:firstLine="420" w:firstLineChars="200"/>
        <w:jc w:val="left"/>
        <w:rPr>
          <w:color w:val="auto"/>
          <w:sz w:val="21"/>
          <w:szCs w:val="21"/>
          <w:highlight w:val="none"/>
        </w:rPr>
      </w:pPr>
      <w:r>
        <w:rPr>
          <w:rFonts w:hint="eastAsia"/>
          <w:color w:val="auto"/>
          <w:sz w:val="21"/>
          <w:szCs w:val="21"/>
          <w:highlight w:val="none"/>
        </w:rPr>
        <w:t>1、乙方对交付甲方的成果资料承诺其质量保证期限为1年。若在保证期限内出现质量问题，乙方除能证明是因甲方使用、保管不当的原因造成外，乙方应向甲方支付合同总价款4%的赔偿金。双方对质量检定不能认同时，由第三方质量监督检验机构提供检验证明。</w:t>
      </w:r>
    </w:p>
    <w:p w14:paraId="49317884">
      <w:pPr>
        <w:pStyle w:val="86"/>
        <w:numPr>
          <w:ilvl w:val="0"/>
          <w:numId w:val="0"/>
        </w:numPr>
        <w:ind w:firstLine="420" w:firstLineChars="200"/>
        <w:jc w:val="left"/>
        <w:rPr>
          <w:color w:val="auto"/>
          <w:sz w:val="21"/>
          <w:szCs w:val="21"/>
          <w:highlight w:val="none"/>
        </w:rPr>
      </w:pPr>
      <w:r>
        <w:rPr>
          <w:rFonts w:hint="eastAsia"/>
          <w:color w:val="auto"/>
          <w:sz w:val="21"/>
          <w:szCs w:val="21"/>
          <w:highlight w:val="none"/>
        </w:rPr>
        <w:t>2、甲方在使用乙方提供的成果资料时，由于存在质量缺陷致使该成果资料无法正常使用，则乙方应返还甲方已支付的全部合同价款，并按合同总价款的10%向甲方支付违约金。</w:t>
      </w:r>
    </w:p>
    <w:p w14:paraId="77E02E4B">
      <w:pPr>
        <w:spacing w:line="460" w:lineRule="atLeast"/>
        <w:ind w:firstLine="413" w:firstLineChars="196"/>
        <w:jc w:val="left"/>
        <w:rPr>
          <w:rFonts w:ascii="宋体" w:hAnsi="宋体"/>
          <w:b/>
          <w:color w:val="auto"/>
          <w:szCs w:val="21"/>
          <w:highlight w:val="none"/>
        </w:rPr>
      </w:pPr>
      <w:r>
        <w:rPr>
          <w:rFonts w:hint="eastAsia" w:hAnsi="宋体"/>
          <w:b/>
          <w:color w:val="auto"/>
          <w:szCs w:val="21"/>
          <w:highlight w:val="none"/>
        </w:rPr>
        <w:t>第二条</w:t>
      </w:r>
      <w:r>
        <w:rPr>
          <w:rFonts w:hAnsi="宋体"/>
          <w:b/>
          <w:color w:val="auto"/>
          <w:szCs w:val="21"/>
          <w:highlight w:val="none"/>
        </w:rPr>
        <w:t xml:space="preserve">  </w:t>
      </w:r>
      <w:r>
        <w:rPr>
          <w:rFonts w:hint="eastAsia" w:ascii="宋体" w:hAnsi="宋体"/>
          <w:b/>
          <w:color w:val="auto"/>
          <w:szCs w:val="21"/>
          <w:highlight w:val="none"/>
        </w:rPr>
        <w:t>项目费用和支付方式</w:t>
      </w:r>
    </w:p>
    <w:p w14:paraId="2625CB93">
      <w:pPr>
        <w:spacing w:line="400" w:lineRule="exact"/>
        <w:ind w:firstLine="422" w:firstLineChars="200"/>
        <w:jc w:val="left"/>
        <w:rPr>
          <w:rFonts w:ascii="宋体" w:hAnsi="宋体"/>
          <w:color w:val="auto"/>
          <w:szCs w:val="21"/>
          <w:highlight w:val="none"/>
        </w:rPr>
      </w:pPr>
      <w:r>
        <w:rPr>
          <w:rFonts w:hint="eastAsia" w:ascii="宋体" w:hAnsi="宋体"/>
          <w:b/>
          <w:color w:val="auto"/>
          <w:szCs w:val="21"/>
          <w:highlight w:val="none"/>
        </w:rPr>
        <w:t>（一）本项目合同总金额：</w:t>
      </w:r>
      <w:r>
        <w:rPr>
          <w:rFonts w:hint="eastAsia" w:ascii="宋体" w:hAnsi="宋体"/>
          <w:color w:val="auto"/>
          <w:szCs w:val="21"/>
          <w:highlight w:val="none"/>
          <w:u w:val="single"/>
        </w:rPr>
        <w:t>人民币       整（￥       元）</w:t>
      </w:r>
      <w:r>
        <w:rPr>
          <w:rFonts w:hint="eastAsia" w:ascii="宋体" w:hAnsi="宋体"/>
          <w:color w:val="auto"/>
          <w:szCs w:val="21"/>
          <w:highlight w:val="none"/>
        </w:rPr>
        <w:t>。合同合计金额包括人工费、服务费、</w:t>
      </w:r>
      <w:r>
        <w:rPr>
          <w:rFonts w:ascii="宋体" w:hAnsi="宋体"/>
          <w:color w:val="auto"/>
          <w:szCs w:val="21"/>
          <w:highlight w:val="none"/>
        </w:rPr>
        <w:t>必要的保险费用和各项税金</w:t>
      </w:r>
      <w:r>
        <w:rPr>
          <w:rFonts w:hint="eastAsia" w:ascii="宋体" w:hAnsi="宋体"/>
          <w:color w:val="auto"/>
          <w:szCs w:val="21"/>
          <w:highlight w:val="none"/>
        </w:rPr>
        <w:t>及实施本项目所需的其他一切费用。</w:t>
      </w:r>
    </w:p>
    <w:p w14:paraId="4EED6EF5">
      <w:pPr>
        <w:spacing w:line="460" w:lineRule="atLeast"/>
        <w:ind w:firstLine="422" w:firstLineChars="200"/>
        <w:jc w:val="left"/>
        <w:rPr>
          <w:rFonts w:ascii="宋体" w:hAnsi="宋体" w:cs="Courier New"/>
          <w:color w:val="auto"/>
          <w:szCs w:val="21"/>
          <w:highlight w:val="none"/>
        </w:rPr>
      </w:pPr>
      <w:r>
        <w:rPr>
          <w:rFonts w:hint="eastAsia" w:ascii="宋体" w:hAnsi="宋体"/>
          <w:b/>
          <w:color w:val="auto"/>
          <w:szCs w:val="21"/>
          <w:highlight w:val="none"/>
        </w:rPr>
        <w:t>（二）付款方式：</w:t>
      </w:r>
      <w:r>
        <w:rPr>
          <w:rFonts w:hint="eastAsia" w:ascii="宋体" w:hAnsi="宋体"/>
          <w:color w:val="auto"/>
          <w:szCs w:val="21"/>
          <w:highlight w:val="none"/>
          <w:u w:val="single"/>
        </w:rPr>
        <w:t>银行转账。</w:t>
      </w:r>
    </w:p>
    <w:p w14:paraId="339D0264">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1、本合同所有费用计算和支付均以人民币为准。</w:t>
      </w:r>
    </w:p>
    <w:p w14:paraId="65442E6B">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2、根据财政国库管理制度改革的有关规定，甲方应向乙方支付的上述合同价款实行财政授权支付方式予以支付。即甲方对乙方填写的结算申请单进行审核后10个工作日内为乙方办理拨付经费支付手续。</w:t>
      </w:r>
    </w:p>
    <w:p w14:paraId="07C885AE">
      <w:p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、本项目原则上当年进行结算，各年度结算数额以乙方提交的成果数量为依据。</w:t>
      </w:r>
    </w:p>
    <w:p w14:paraId="0AA0D1DA">
      <w:pPr>
        <w:spacing w:line="360" w:lineRule="auto"/>
        <w:ind w:firstLine="420" w:firstLineChars="200"/>
        <w:rPr>
          <w:rFonts w:ascii="宋体" w:hAnsi="宋体"/>
          <w:color w:val="auto"/>
          <w:highlight w:val="none"/>
        </w:rPr>
      </w:pPr>
      <w:r>
        <w:rPr>
          <w:rFonts w:hint="eastAsia" w:ascii="宋体" w:hAnsi="宋体"/>
          <w:color w:val="auto"/>
          <w:highlight w:val="none"/>
        </w:rPr>
        <w:t>4、签订合同以后：进场并开展实质工作以后支付15%预付款；30个自然日内提交不少于45%正射影像成果，并按实际提交成果比例支付进度款；签订合同以后60个自然日内提交不少于90%正射影像成果，并按实际提交成果比例支付进度款，但款项支付比例最高不能超过90%。签订合同以后80个自然日内，供应商通过具有CMA证书（证书检验检测的能力范围需包含测绘航空摄影、摄影测量与遥感、工程测量）的第三方检验机构检验并出具合格检验报告后，提交所有项目成果，最后支付剩余款项。</w:t>
      </w:r>
    </w:p>
    <w:p w14:paraId="2B05EB44">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5、乙方应在取得相应合同价款之日起七个工作日内向甲方提供工商税务部门认可的正式发票。</w:t>
      </w:r>
    </w:p>
    <w:p w14:paraId="0032A89D">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6、</w:t>
      </w:r>
      <w:r>
        <w:rPr>
          <w:rFonts w:hint="eastAsia" w:ascii="宋体" w:hAnsi="宋体" w:cs="宋体"/>
          <w:color w:val="auto"/>
          <w:szCs w:val="21"/>
          <w:highlight w:val="none"/>
        </w:rPr>
        <w:t>项目成果资料质保期为1年，履约保证金为合同总价的2%（按各分标分别缴纳)，履约保证金待质保期满后无息退还。</w:t>
      </w:r>
    </w:p>
    <w:p w14:paraId="5B584557">
      <w:pPr>
        <w:spacing w:line="460" w:lineRule="atLeast"/>
        <w:ind w:firstLine="413" w:firstLineChars="196"/>
        <w:jc w:val="left"/>
        <w:rPr>
          <w:rFonts w:hAnsi="宋体"/>
          <w:b/>
          <w:color w:val="auto"/>
          <w:szCs w:val="21"/>
          <w:highlight w:val="none"/>
        </w:rPr>
      </w:pPr>
      <w:r>
        <w:rPr>
          <w:rFonts w:hint="eastAsia" w:hAnsi="宋体"/>
          <w:b/>
          <w:color w:val="auto"/>
          <w:szCs w:val="21"/>
          <w:highlight w:val="none"/>
        </w:rPr>
        <w:t>第三条  双方的权利和义务</w:t>
      </w:r>
    </w:p>
    <w:p w14:paraId="31A8F31F">
      <w:pPr>
        <w:pStyle w:val="72"/>
        <w:numPr>
          <w:ilvl w:val="0"/>
          <w:numId w:val="2"/>
        </w:numPr>
        <w:spacing w:line="460" w:lineRule="atLeast"/>
        <w:ind w:firstLineChars="0"/>
        <w:jc w:val="left"/>
        <w:rPr>
          <w:rFonts w:ascii="宋体" w:hAnsi="宋体"/>
          <w:b/>
          <w:color w:val="auto"/>
          <w:szCs w:val="21"/>
          <w:highlight w:val="none"/>
        </w:rPr>
      </w:pPr>
      <w:r>
        <w:rPr>
          <w:rFonts w:hint="eastAsia" w:ascii="宋体" w:hAnsi="宋体"/>
          <w:b/>
          <w:color w:val="auto"/>
          <w:szCs w:val="21"/>
          <w:highlight w:val="none"/>
        </w:rPr>
        <w:t>甲方的权利和义务</w:t>
      </w:r>
    </w:p>
    <w:p w14:paraId="0086AFF2">
      <w:pPr>
        <w:spacing w:line="360" w:lineRule="auto"/>
        <w:ind w:firstLine="420" w:firstLineChars="200"/>
        <w:rPr>
          <w:rFonts w:ascii="宋体" w:hAnsi="宋体" w:cs="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、甲方有权要求乙方按时、按质、按量、按计划与合同协议约定完成本项目，并有权</w:t>
      </w:r>
      <w:r>
        <w:rPr>
          <w:rFonts w:hint="eastAsia" w:ascii="宋体" w:hAnsi="宋体" w:cs="宋体"/>
          <w:color w:val="auto"/>
          <w:szCs w:val="21"/>
          <w:highlight w:val="none"/>
        </w:rPr>
        <w:t>按照乙方提交的实施方案对乙方工作情况进行实施过程监督。</w:t>
      </w:r>
    </w:p>
    <w:p w14:paraId="275478EF">
      <w:pPr>
        <w:spacing w:line="360" w:lineRule="auto"/>
        <w:ind w:firstLine="420" w:firstLineChars="200"/>
        <w:rPr>
          <w:rFonts w:ascii="宋体" w:hAnsi="宋体" w:cs="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w:t>
      </w:r>
      <w:r>
        <w:rPr>
          <w:rFonts w:hint="eastAsia" w:ascii="宋体" w:hAnsi="宋体" w:cs="宋体"/>
          <w:color w:val="auto"/>
          <w:szCs w:val="21"/>
          <w:highlight w:val="none"/>
        </w:rPr>
        <w:t>根据项目整体进度安排，甲方将对乙方实施过程中的重要时间节点进行监督，如发现实施进度严重滞后或者投入人员和装备未达到上报实施方案内容等情况，甲方有权责令乙方进行整改，并要求乙方加大人员及设备投入，按时完成既定时间约定服务工作内容。</w:t>
      </w:r>
    </w:p>
    <w:p w14:paraId="1D73D591">
      <w:pPr>
        <w:spacing w:line="360" w:lineRule="auto"/>
        <w:ind w:firstLine="420" w:firstLineChars="200"/>
        <w:rPr>
          <w:rFonts w:ascii="宋体" w:hAnsi="宋体" w:cs="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w:t>
      </w:r>
      <w:r>
        <w:rPr>
          <w:rFonts w:hint="eastAsia" w:ascii="宋体" w:hAnsi="宋体" w:cs="宋体"/>
          <w:color w:val="auto"/>
          <w:szCs w:val="21"/>
          <w:highlight w:val="none"/>
        </w:rPr>
        <w:t>乙方项目投入人员及设备数量应得到甲方的认可，不得少于实施方案约定数量。</w:t>
      </w:r>
    </w:p>
    <w:p w14:paraId="1B5DFD6C">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4</w:t>
      </w:r>
      <w:r>
        <w:rPr>
          <w:rFonts w:hint="eastAsia" w:ascii="宋体" w:hAnsi="宋体"/>
          <w:color w:val="auto"/>
          <w:szCs w:val="21"/>
          <w:highlight w:val="none"/>
        </w:rPr>
        <w:t>、甲方有权要求乙方更换不合格的工作人员。</w:t>
      </w:r>
    </w:p>
    <w:p w14:paraId="51AD9186">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5</w:t>
      </w:r>
      <w:r>
        <w:rPr>
          <w:rFonts w:hint="eastAsia" w:ascii="宋体" w:hAnsi="宋体"/>
          <w:color w:val="auto"/>
          <w:szCs w:val="21"/>
          <w:highlight w:val="none"/>
        </w:rPr>
        <w:t>、按合同要求及时向乙方支付产品和服务费用。</w:t>
      </w:r>
    </w:p>
    <w:p w14:paraId="5503D059">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6</w:t>
      </w:r>
      <w:r>
        <w:rPr>
          <w:rFonts w:hint="eastAsia" w:ascii="宋体" w:hAnsi="宋体"/>
          <w:color w:val="auto"/>
          <w:szCs w:val="21"/>
          <w:highlight w:val="none"/>
        </w:rPr>
        <w:t>、如采购项目涉及采购标的知识产权归属的，产权归属为：甲方。</w:t>
      </w:r>
    </w:p>
    <w:p w14:paraId="757BCEBE">
      <w:pPr>
        <w:spacing w:line="400" w:lineRule="exact"/>
        <w:ind w:firstLine="210" w:firstLineChars="100"/>
        <w:jc w:val="left"/>
        <w:rPr>
          <w:rFonts w:ascii="宋体" w:hAnsi="宋体"/>
          <w:color w:val="auto"/>
          <w:szCs w:val="21"/>
          <w:highlight w:val="none"/>
        </w:rPr>
      </w:pPr>
      <w:r>
        <w:rPr>
          <w:rFonts w:hint="eastAsia" w:ascii="宋体" w:hAnsi="宋体"/>
          <w:color w:val="auto"/>
          <w:szCs w:val="21"/>
          <w:highlight w:val="none"/>
        </w:rPr>
        <w:t>处理方式：甲方在中华人民共和国境内使用乙方提供的产品及服务时免受第三方提出的侵犯其专利权或其它知识产权的起诉。如果第三方提出侵权指控，乙方应承担由此而引起的一切法律责任和费用。</w:t>
      </w:r>
    </w:p>
    <w:p w14:paraId="3399694A">
      <w:pPr>
        <w:pStyle w:val="72"/>
        <w:numPr>
          <w:ilvl w:val="0"/>
          <w:numId w:val="2"/>
        </w:numPr>
        <w:spacing w:line="460" w:lineRule="atLeast"/>
        <w:ind w:firstLineChars="0"/>
        <w:jc w:val="left"/>
        <w:rPr>
          <w:rFonts w:ascii="宋体" w:hAnsi="宋体"/>
          <w:b/>
          <w:color w:val="auto"/>
          <w:szCs w:val="21"/>
          <w:highlight w:val="none"/>
        </w:rPr>
      </w:pPr>
      <w:r>
        <w:rPr>
          <w:rFonts w:hint="eastAsia" w:ascii="宋体" w:hAnsi="宋体"/>
          <w:b/>
          <w:color w:val="auto"/>
          <w:szCs w:val="21"/>
          <w:highlight w:val="none"/>
        </w:rPr>
        <w:t>乙方的权利和义务</w:t>
      </w:r>
    </w:p>
    <w:p w14:paraId="608FEEA9">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、严格履行合同文件（含招标文件等）约定和承诺的服务内容和质量标准，保证甲方项目的相关工作质量和进度。</w:t>
      </w:r>
    </w:p>
    <w:p w14:paraId="38C0EEAF">
      <w:pPr>
        <w:spacing w:line="400" w:lineRule="exact"/>
        <w:ind w:firstLine="420" w:firstLineChars="200"/>
        <w:jc w:val="left"/>
        <w:rPr>
          <w:rFonts w:ascii="宋体" w:hAnsi="宋体"/>
          <w:b/>
          <w:color w:val="auto"/>
          <w:szCs w:val="21"/>
          <w:highlight w:val="none"/>
        </w:rPr>
      </w:pPr>
      <w:r>
        <w:rPr>
          <w:rFonts w:ascii="宋体" w:hAnsi="宋体"/>
          <w:color w:val="auto"/>
          <w:szCs w:val="21"/>
          <w:highlight w:val="none"/>
        </w:rPr>
        <w:t>2</w:t>
      </w:r>
      <w:r>
        <w:rPr>
          <w:rFonts w:hint="eastAsia" w:ascii="宋体" w:hAnsi="宋体"/>
          <w:color w:val="auto"/>
          <w:szCs w:val="21"/>
          <w:highlight w:val="none"/>
        </w:rPr>
        <w:t>、必须严格实施乙方响应文件中承诺的人力及设备资源配置。</w:t>
      </w:r>
      <w:r>
        <w:rPr>
          <w:rFonts w:hint="eastAsia" w:ascii="宋体" w:hAnsi="宋体"/>
          <w:b/>
          <w:color w:val="auto"/>
          <w:szCs w:val="21"/>
          <w:highlight w:val="none"/>
        </w:rPr>
        <w:t>在必须补充或更换人员时，必须补充或更换优于或等同于响应文件所承诺资质的服务人员，并需取得甲方书面同意。</w:t>
      </w:r>
    </w:p>
    <w:p w14:paraId="3C559B3E">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乙方项目负责人及服务团队成员须与响应文件保持一致。合同存续期内，未经甲方书面要求或同意，项目负责人不应调整。项目负责人及服务团队成员必须保证在岗工作时间和重要活动在岗，如有变化，须取得甲方同意。</w:t>
      </w:r>
    </w:p>
    <w:p w14:paraId="1B1A15F8">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4</w:t>
      </w:r>
      <w:r>
        <w:rPr>
          <w:rFonts w:hint="eastAsia" w:ascii="宋体" w:hAnsi="宋体"/>
          <w:color w:val="auto"/>
          <w:szCs w:val="21"/>
          <w:highlight w:val="none"/>
        </w:rPr>
        <w:t>、乙方依本合同约定向甲方提供的报告、资料、文件等内容及服务成果后，甲方即对上述内容享有充分、完整和排他的著作权和知识产权。未经甲方书面许可，乙方不得向任何第三方提供上述报告、资料、文件等内容及服务成果。即使向履行本合同有关的人员提供，也应注意保密并限于履行合同的必需范围。</w:t>
      </w:r>
    </w:p>
    <w:p w14:paraId="21DC15C4">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5</w:t>
      </w:r>
      <w:r>
        <w:rPr>
          <w:rFonts w:hint="eastAsia" w:ascii="宋体" w:hAnsi="宋体"/>
          <w:color w:val="auto"/>
          <w:szCs w:val="21"/>
          <w:highlight w:val="none"/>
        </w:rPr>
        <w:t>、乙方服务人员应履行保密义务。如乙方因违反本条约定给甲方造成损失的，乙方应当承担相应的法律责任，并赔偿由此给甲方造成的一切损失。</w:t>
      </w:r>
    </w:p>
    <w:p w14:paraId="57206B61">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6、未经甲方许可，乙方不得留存复制品及技术资料、不得以任何形式向任何第三方提供或复制成果资料。对认定为不合格且不能提供甲方使用的成果资料，应按国家有关规定予以销毁。在任何情况下，乙方对所完成的成果资料均不享有留置权。</w:t>
      </w:r>
    </w:p>
    <w:p w14:paraId="3F8CD5D4">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7、当甲方出现无故拖欠费用时，乙方有权采取适当方式进行催缴，若甲方仍未支付费用，乙方有权停止工作。</w:t>
      </w:r>
    </w:p>
    <w:p w14:paraId="15830451">
      <w:pPr>
        <w:spacing w:line="360" w:lineRule="auto"/>
        <w:ind w:firstLine="420" w:firstLineChars="200"/>
        <w:rPr>
          <w:rFonts w:ascii="宋体" w:hAnsi="宋体" w:cs="宋体"/>
          <w:color w:val="auto"/>
          <w:szCs w:val="21"/>
          <w:highlight w:val="none"/>
        </w:rPr>
      </w:pPr>
      <w:r>
        <w:rPr>
          <w:rFonts w:hint="eastAsia" w:ascii="宋体" w:hAnsi="宋体"/>
          <w:color w:val="auto"/>
          <w:szCs w:val="21"/>
          <w:highlight w:val="none"/>
        </w:rPr>
        <w:t>8、</w:t>
      </w:r>
      <w:r>
        <w:rPr>
          <w:rFonts w:hint="eastAsia" w:ascii="宋体" w:hAnsi="宋体" w:cs="宋体"/>
          <w:color w:val="auto"/>
          <w:szCs w:val="21"/>
          <w:highlight w:val="none"/>
        </w:rPr>
        <w:t>乙方在作业期间应遵守国家相关法律、法规，严格按照安全生产工作要求组织作业，杜绝安全事故发生，在合同履约过程中发生的安全事故，乙方自行承担全部责任。每次飞行作业均由乙方自行申请飞行空域以及进行飞行计划报批，并对航摄的合法合规性和飞行安全负责。</w:t>
      </w:r>
    </w:p>
    <w:p w14:paraId="4CE71BB1">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9、应按《无人驾驶航空器飞行管理暂行条例》规定，乙方作业人员应当具有与无人机型号相匹配民用无人机驾驶航空器操控员执照，无人机进行实名登记，并购买相关保险（包括但不仅限于第三方责任险），合同履行过程中，乙方应加强安全生产管理，并自行承担各项安全生产责任，甲方对此不承担任何责任和义务。</w:t>
      </w:r>
    </w:p>
    <w:p w14:paraId="49BA740F">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10、乙方应配合甲方完成成果资料的保密审查工作，并负责成果资料移交甲方前的</w:t>
      </w:r>
      <w:r>
        <w:rPr>
          <w:rFonts w:ascii="宋体" w:hAnsi="宋体"/>
          <w:color w:val="auto"/>
          <w:szCs w:val="21"/>
          <w:highlight w:val="none"/>
        </w:rPr>
        <w:t>妥善保管</w:t>
      </w:r>
      <w:r>
        <w:rPr>
          <w:rFonts w:hint="eastAsia" w:ascii="宋体" w:hAnsi="宋体"/>
          <w:color w:val="auto"/>
          <w:szCs w:val="21"/>
          <w:highlight w:val="none"/>
        </w:rPr>
        <w:t>工作。</w:t>
      </w:r>
      <w:r>
        <w:rPr>
          <w:rFonts w:ascii="宋体" w:hAnsi="宋体"/>
          <w:color w:val="auto"/>
          <w:szCs w:val="21"/>
          <w:highlight w:val="none"/>
        </w:rPr>
        <w:t>因保管不善造成毁损、灭失的，应当承担</w:t>
      </w:r>
      <w:r>
        <w:rPr>
          <w:rFonts w:hint="eastAsia" w:ascii="宋体" w:hAnsi="宋体"/>
          <w:color w:val="auto"/>
          <w:szCs w:val="21"/>
          <w:highlight w:val="none"/>
        </w:rPr>
        <w:t>相应</w:t>
      </w:r>
      <w:r>
        <w:rPr>
          <w:rFonts w:ascii="宋体" w:hAnsi="宋体"/>
          <w:color w:val="auto"/>
          <w:szCs w:val="21"/>
          <w:highlight w:val="none"/>
        </w:rPr>
        <w:t>责任。</w:t>
      </w:r>
    </w:p>
    <w:p w14:paraId="7F230DCF">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11、由于乙方原因造成返工、需进行二次验收或多次验收所发生的费用及由此给甲方造成的损失由乙方承担。</w:t>
      </w:r>
    </w:p>
    <w:p w14:paraId="100A7A82">
      <w:pPr>
        <w:spacing w:line="460" w:lineRule="atLeast"/>
        <w:ind w:firstLine="413" w:firstLineChars="196"/>
        <w:jc w:val="left"/>
        <w:rPr>
          <w:rFonts w:hAnsi="宋体"/>
          <w:b/>
          <w:color w:val="auto"/>
          <w:szCs w:val="21"/>
          <w:highlight w:val="none"/>
        </w:rPr>
      </w:pPr>
      <w:r>
        <w:rPr>
          <w:rFonts w:hint="eastAsia" w:hAnsi="宋体"/>
          <w:b/>
          <w:color w:val="auto"/>
          <w:szCs w:val="21"/>
          <w:highlight w:val="none"/>
        </w:rPr>
        <w:t>第四条  知识产权及保密条款</w:t>
      </w:r>
    </w:p>
    <w:p w14:paraId="69AFD248">
      <w:pPr>
        <w:spacing w:line="460" w:lineRule="atLeast"/>
        <w:ind w:firstLine="422" w:firstLineChars="200"/>
        <w:jc w:val="left"/>
        <w:rPr>
          <w:rFonts w:ascii="宋体" w:hAnsi="宋体"/>
          <w:b/>
          <w:color w:val="auto"/>
          <w:szCs w:val="21"/>
          <w:highlight w:val="none"/>
        </w:rPr>
      </w:pPr>
      <w:r>
        <w:rPr>
          <w:rFonts w:hint="eastAsia" w:ascii="宋体" w:hAnsi="宋体"/>
          <w:b/>
          <w:color w:val="auto"/>
          <w:szCs w:val="21"/>
          <w:highlight w:val="none"/>
        </w:rPr>
        <w:t>（一）知识产权归属</w:t>
      </w:r>
    </w:p>
    <w:p w14:paraId="2461C38A">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甲方委托乙方实施的项目成果及相关文档资料著作权归 甲方 所有，乙方不得使用任何技术手段限制甲方使用。乙方不得向第三方提供项目成果及相关文档资料。项目完成后，乙方不得保留项目成果及相关文档资料。</w:t>
      </w:r>
    </w:p>
    <w:p w14:paraId="31C15F66">
      <w:pPr>
        <w:spacing w:line="460" w:lineRule="atLeast"/>
        <w:ind w:firstLine="422" w:firstLineChars="200"/>
        <w:jc w:val="left"/>
        <w:rPr>
          <w:rFonts w:ascii="宋体" w:hAnsi="宋体"/>
          <w:b/>
          <w:color w:val="auto"/>
          <w:szCs w:val="21"/>
          <w:highlight w:val="none"/>
        </w:rPr>
      </w:pPr>
      <w:r>
        <w:rPr>
          <w:rFonts w:hint="eastAsia" w:ascii="宋体" w:hAnsi="宋体"/>
          <w:b/>
          <w:color w:val="auto"/>
          <w:szCs w:val="21"/>
          <w:highlight w:val="none"/>
        </w:rPr>
        <w:t>（二）转委托</w:t>
      </w:r>
    </w:p>
    <w:p w14:paraId="6E700156">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本项目不允许转包。</w:t>
      </w:r>
    </w:p>
    <w:p w14:paraId="13B0AD27">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本项目未经甲方允许不得分包。</w:t>
      </w:r>
    </w:p>
    <w:p w14:paraId="624DFDD1">
      <w:pPr>
        <w:spacing w:line="460" w:lineRule="atLeast"/>
        <w:ind w:firstLine="422" w:firstLineChars="200"/>
        <w:jc w:val="left"/>
        <w:rPr>
          <w:rFonts w:ascii="宋体" w:hAnsi="宋体"/>
          <w:b/>
          <w:color w:val="auto"/>
          <w:szCs w:val="21"/>
          <w:highlight w:val="none"/>
        </w:rPr>
      </w:pPr>
      <w:r>
        <w:rPr>
          <w:rFonts w:hint="eastAsia" w:ascii="宋体" w:hAnsi="宋体"/>
          <w:b/>
          <w:color w:val="auto"/>
          <w:szCs w:val="21"/>
          <w:highlight w:val="none"/>
        </w:rPr>
        <w:t>（三）保密条款。</w:t>
      </w:r>
    </w:p>
    <w:p w14:paraId="5A65F9CF">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1、本项目实施产生的测绘成果资料属于国家秘密，甲乙双方都应当按照国家有关保密法规，保守国家秘密。</w:t>
      </w:r>
    </w:p>
    <w:p w14:paraId="6CD326C2">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2、甲乙双方都负有保守对方的单位商业秘密的义务，保密范围包括但不限于技术情报、财政数据资料及其他公开后对对方造成影响或损失的秘密。</w:t>
      </w:r>
    </w:p>
    <w:p w14:paraId="5694AE93">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3、未经一方同意，另一方不得以任何形式公开合同及其相关附件的内容。</w:t>
      </w:r>
    </w:p>
    <w:p w14:paraId="0E2B4ACD">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4、双方应对参加项目工作人员严格要求，遵守保密协议。</w:t>
      </w:r>
    </w:p>
    <w:p w14:paraId="74B766C5">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5、任何一方违反保密条款，造成失泄密事故的，应自行承担相应法律责任；给对方造成损失，应按对方的实际损失承担赔偿责任。</w:t>
      </w:r>
    </w:p>
    <w:p w14:paraId="3CFFBA37">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6、本条款不因合同的变更、解除和终止而失效。</w:t>
      </w:r>
    </w:p>
    <w:p w14:paraId="1E40287A">
      <w:pPr>
        <w:spacing w:line="460" w:lineRule="atLeast"/>
        <w:ind w:firstLine="413" w:firstLineChars="196"/>
        <w:jc w:val="left"/>
        <w:rPr>
          <w:rFonts w:hAnsi="宋体"/>
          <w:b/>
          <w:color w:val="auto"/>
          <w:szCs w:val="21"/>
          <w:highlight w:val="none"/>
        </w:rPr>
      </w:pPr>
      <w:r>
        <w:rPr>
          <w:rFonts w:hint="eastAsia" w:hAnsi="宋体"/>
          <w:b/>
          <w:color w:val="auto"/>
          <w:szCs w:val="21"/>
          <w:highlight w:val="none"/>
        </w:rPr>
        <w:t>第五条  违约责任</w:t>
      </w:r>
    </w:p>
    <w:p w14:paraId="1894BE5E">
      <w:pPr>
        <w:spacing w:line="460" w:lineRule="atLeast"/>
        <w:ind w:firstLine="422" w:firstLineChars="200"/>
        <w:jc w:val="left"/>
        <w:rPr>
          <w:rFonts w:ascii="宋体" w:hAnsi="宋体"/>
          <w:b/>
          <w:color w:val="auto"/>
          <w:szCs w:val="21"/>
          <w:highlight w:val="none"/>
        </w:rPr>
      </w:pPr>
      <w:r>
        <w:rPr>
          <w:rFonts w:hint="eastAsia" w:ascii="宋体" w:hAnsi="宋体"/>
          <w:b/>
          <w:color w:val="auto"/>
          <w:szCs w:val="21"/>
          <w:highlight w:val="none"/>
        </w:rPr>
        <w:t>（一）甲方违约责任。</w:t>
      </w:r>
    </w:p>
    <w:p w14:paraId="4FB07D34">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甲方逾期30个工作日未向乙方支付合同金额，造成项目实施停滞、延误的，甲方应承担相应的责任，每延期一日，则赔偿乙方应付而未付款的3‰的违约金（受财政限制因素除外）。</w:t>
      </w:r>
    </w:p>
    <w:p w14:paraId="6B178B8A">
      <w:pPr>
        <w:spacing w:line="460" w:lineRule="atLeast"/>
        <w:ind w:firstLine="422" w:firstLineChars="200"/>
        <w:jc w:val="left"/>
        <w:rPr>
          <w:rFonts w:ascii="宋体" w:hAnsi="宋体"/>
          <w:b/>
          <w:color w:val="auto"/>
          <w:szCs w:val="21"/>
          <w:highlight w:val="none"/>
        </w:rPr>
      </w:pPr>
      <w:r>
        <w:rPr>
          <w:rFonts w:hint="eastAsia" w:ascii="宋体" w:hAnsi="宋体"/>
          <w:b/>
          <w:color w:val="auto"/>
          <w:szCs w:val="21"/>
          <w:highlight w:val="none"/>
        </w:rPr>
        <w:t>（二）乙方违约责任。</w:t>
      </w:r>
    </w:p>
    <w:p w14:paraId="3CA86F89">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1、乙方在</w:t>
      </w:r>
      <w:r>
        <w:rPr>
          <w:rFonts w:hint="eastAsia" w:ascii="宋体" w:hAnsi="宋体"/>
          <w:color w:val="auto"/>
          <w:szCs w:val="21"/>
          <w:highlight w:val="none"/>
          <w:lang w:val="en-US" w:eastAsia="zh-CN"/>
        </w:rPr>
        <w:t>响应</w:t>
      </w:r>
      <w:r>
        <w:rPr>
          <w:rFonts w:hint="eastAsia" w:ascii="宋体" w:hAnsi="宋体"/>
          <w:color w:val="auto"/>
          <w:szCs w:val="21"/>
          <w:highlight w:val="none"/>
        </w:rPr>
        <w:t>文件及其询标回函中的各项承诺应在本合同中完全响应。乙方无正当理由改变承诺、变更合同要求，甲方将追究乙方相应违约责任。</w:t>
      </w:r>
    </w:p>
    <w:p w14:paraId="1DFB9586">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若乙方未能按本合同约定的期限向甲方交付约定数量及合格的成果资料，则每逾期一日应向甲方支付合同总价款的5‰的违约金。逾期超过30日，甲方有权解除本合同，如甲方选择解除合同，乙方应在解除合同之日起45日内向甲方返还已支付的合同价款，并向甲方支付合同总价款10%的违约金。</w:t>
      </w:r>
    </w:p>
    <w:p w14:paraId="36AF3A4C">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3、若乙方逾期进场，致使项目完成受到潜在影响，甲方有权解除本合同，乙方应在解除合同之日起45日内向甲方支付合同总价款10%的违约金。</w:t>
      </w:r>
    </w:p>
    <w:p w14:paraId="58E253CC">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4、乙方进场后发生不可抗力事件而影响合同履行的，不能免除乙方的违约责任。</w:t>
      </w:r>
    </w:p>
    <w:p w14:paraId="1A31D383">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5、乙方未经甲方同意擅自变更合同约定，甲方有权解除本合同，乙方应在解除合同之日起45日内向甲方返还已支付的合同价款，并向甲方支付合同总价款10%的违约金。</w:t>
      </w:r>
    </w:p>
    <w:p w14:paraId="23AC7114">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6、若乙方违反本合同第四条第（二）款的约定，则甲方有权解除本合同, 乙方应在解除合同之日起45日内向甲方返还已支付的合同价款，并向甲方支付合同总价款10%的违约金。</w:t>
      </w:r>
    </w:p>
    <w:p w14:paraId="4C67A76F">
      <w:pPr>
        <w:spacing w:line="460" w:lineRule="atLeast"/>
        <w:ind w:firstLine="413" w:firstLineChars="196"/>
        <w:jc w:val="left"/>
        <w:rPr>
          <w:rFonts w:hAnsi="宋体"/>
          <w:b/>
          <w:color w:val="auto"/>
          <w:szCs w:val="21"/>
          <w:highlight w:val="none"/>
        </w:rPr>
      </w:pPr>
      <w:r>
        <w:rPr>
          <w:rFonts w:hint="eastAsia" w:hAnsi="宋体"/>
          <w:b/>
          <w:color w:val="auto"/>
          <w:szCs w:val="21"/>
          <w:highlight w:val="none"/>
        </w:rPr>
        <w:t>第六条  争议解决和合同终止</w:t>
      </w:r>
    </w:p>
    <w:p w14:paraId="43C728E5">
      <w:pPr>
        <w:spacing w:line="460" w:lineRule="atLeast"/>
        <w:ind w:firstLine="422" w:firstLineChars="200"/>
        <w:jc w:val="left"/>
        <w:rPr>
          <w:rFonts w:ascii="宋体" w:hAnsi="宋体"/>
          <w:b/>
          <w:color w:val="auto"/>
          <w:szCs w:val="21"/>
          <w:highlight w:val="none"/>
        </w:rPr>
      </w:pPr>
      <w:r>
        <w:rPr>
          <w:rFonts w:hint="eastAsia" w:ascii="宋体" w:hAnsi="宋体"/>
          <w:b/>
          <w:color w:val="auto"/>
          <w:szCs w:val="21"/>
          <w:highlight w:val="none"/>
        </w:rPr>
        <w:t>（一）不可抗力。</w:t>
      </w:r>
    </w:p>
    <w:p w14:paraId="21B68997">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1、自然灾害、政府行为、社会异常事件、天气因素等不能预见、不能避免、不能克服的客观事件为不可抗力事件。</w:t>
      </w:r>
    </w:p>
    <w:p w14:paraId="4CF4B167">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由于不可抗力事件对乙方履行合同产生影响时，乙方应及时向甲方书面通报，向甲方提供事件详情以及合同不能履行、或部分不能履行、或需要延期履行的有关部门出具的客观有效证明及乙方的综合情况报告。</w:t>
      </w:r>
    </w:p>
    <w:p w14:paraId="46FCEF94">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3、乙方若未履行或迟延履行上述义务，即使发生不可抗力，仍不能免除乙方应承担的的违约责任。</w:t>
      </w:r>
    </w:p>
    <w:p w14:paraId="4290D085">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4、由于不可抗力事件致使乙方无法在规定的时间完成本合同，则：</w:t>
      </w:r>
    </w:p>
    <w:p w14:paraId="5F6DDD86">
      <w:pPr>
        <w:spacing w:line="400" w:lineRule="exact"/>
        <w:ind w:firstLine="210" w:firstLineChars="100"/>
        <w:jc w:val="left"/>
        <w:rPr>
          <w:rFonts w:ascii="宋体" w:hAnsi="宋体"/>
          <w:color w:val="auto"/>
          <w:szCs w:val="21"/>
          <w:highlight w:val="none"/>
        </w:rPr>
      </w:pPr>
      <w:r>
        <w:rPr>
          <w:rFonts w:hint="eastAsia" w:ascii="宋体" w:hAnsi="宋体"/>
          <w:color w:val="auto"/>
          <w:szCs w:val="21"/>
          <w:highlight w:val="none"/>
        </w:rPr>
        <w:t>（1）若双方同意续延合同，则签署延期补充协议，合同总价款不变。</w:t>
      </w:r>
    </w:p>
    <w:p w14:paraId="2E5165B4">
      <w:pPr>
        <w:spacing w:line="400" w:lineRule="exact"/>
        <w:ind w:firstLine="210" w:firstLineChars="100"/>
        <w:jc w:val="left"/>
        <w:rPr>
          <w:rFonts w:ascii="宋体" w:hAnsi="宋体"/>
          <w:color w:val="auto"/>
          <w:szCs w:val="21"/>
          <w:highlight w:val="none"/>
        </w:rPr>
      </w:pPr>
      <w:r>
        <w:rPr>
          <w:rFonts w:hint="eastAsia" w:ascii="宋体" w:hAnsi="宋体"/>
          <w:color w:val="auto"/>
          <w:szCs w:val="21"/>
          <w:highlight w:val="none"/>
        </w:rPr>
        <w:t>（2）若乙方要求续延合同而甲方不同意，甲方有权终止合同，乙方应在解除合同之日起45日内向甲方返还已支付的合同价款，并向甲方支付合同总价款10%的违约金。</w:t>
      </w:r>
    </w:p>
    <w:p w14:paraId="783B1494">
      <w:pPr>
        <w:spacing w:line="400" w:lineRule="exact"/>
        <w:ind w:firstLine="211" w:firstLineChars="100"/>
        <w:jc w:val="left"/>
        <w:rPr>
          <w:rFonts w:ascii="宋体" w:hAnsi="宋体"/>
          <w:b/>
          <w:color w:val="auto"/>
          <w:szCs w:val="21"/>
          <w:highlight w:val="none"/>
        </w:rPr>
      </w:pPr>
      <w:r>
        <w:rPr>
          <w:rFonts w:hint="eastAsia" w:ascii="宋体" w:hAnsi="宋体"/>
          <w:b/>
          <w:color w:val="auto"/>
          <w:szCs w:val="21"/>
          <w:highlight w:val="none"/>
        </w:rPr>
        <w:t>（二）争议解决。</w:t>
      </w:r>
    </w:p>
    <w:p w14:paraId="4B4363D6">
      <w:pPr>
        <w:spacing w:line="400" w:lineRule="exact"/>
        <w:ind w:firstLine="210" w:firstLineChars="100"/>
        <w:jc w:val="left"/>
        <w:rPr>
          <w:rFonts w:ascii="宋体" w:hAnsi="宋体"/>
          <w:color w:val="auto"/>
          <w:szCs w:val="21"/>
          <w:highlight w:val="none"/>
        </w:rPr>
      </w:pPr>
      <w:r>
        <w:rPr>
          <w:rFonts w:hint="eastAsia" w:ascii="宋体" w:hAnsi="宋体"/>
          <w:color w:val="auto"/>
          <w:szCs w:val="21"/>
          <w:highlight w:val="none"/>
        </w:rPr>
        <w:t>本合同在履行过程中若发生纠纷，双方应友好协商解决。经双方协商不能达成一致时，任何一方均有权向甲方所在地的人民法院提起诉讼。</w:t>
      </w:r>
    </w:p>
    <w:p w14:paraId="6444F300">
      <w:pPr>
        <w:numPr>
          <w:ilvl w:val="0"/>
          <w:numId w:val="2"/>
        </w:numPr>
        <w:spacing w:line="400" w:lineRule="exact"/>
        <w:jc w:val="left"/>
        <w:rPr>
          <w:rFonts w:ascii="宋体" w:hAnsi="宋体"/>
          <w:b/>
          <w:color w:val="auto"/>
          <w:szCs w:val="21"/>
          <w:highlight w:val="none"/>
        </w:rPr>
      </w:pPr>
      <w:r>
        <w:rPr>
          <w:rFonts w:hint="eastAsia" w:ascii="宋体" w:hAnsi="宋体"/>
          <w:b/>
          <w:color w:val="auto"/>
          <w:szCs w:val="21"/>
          <w:highlight w:val="none"/>
        </w:rPr>
        <w:t>合同终止。</w:t>
      </w:r>
    </w:p>
    <w:p w14:paraId="78462B06">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1、除本合同约定外，甲、乙双方均不得随意变更、解除本合同，甲、乙双方任何一方要求变更或解除本合同时，应向对方提出书面请求，由双方协商确定。</w:t>
      </w:r>
    </w:p>
    <w:p w14:paraId="0D78C53B">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2、由于不可抗力事件对乙方履行合同产生影响时，甲、乙双方可协商延续或终止合同。</w:t>
      </w:r>
    </w:p>
    <w:p w14:paraId="621FA45D">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3、如果乙方存在下列情况，则本合同自动终止：提出破产申请、被判破产、被提请破产申请或停止经营。甲方保留向乙方索赔的权利。</w:t>
      </w:r>
    </w:p>
    <w:p w14:paraId="75033869">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4、如果一方未按合同规定履行义务，给对方造成严重损失时，对方可以提出解除合同；任何一方若有依据证实另一方无法履行本合同时，可提出解除合同。</w:t>
      </w:r>
    </w:p>
    <w:p w14:paraId="6F5D429A">
      <w:pPr>
        <w:spacing w:line="460" w:lineRule="atLeast"/>
        <w:ind w:firstLine="422" w:firstLineChars="200"/>
        <w:jc w:val="left"/>
        <w:rPr>
          <w:rFonts w:ascii="宋体" w:hAnsi="宋体"/>
          <w:b/>
          <w:color w:val="auto"/>
          <w:szCs w:val="21"/>
          <w:highlight w:val="none"/>
        </w:rPr>
      </w:pPr>
      <w:r>
        <w:rPr>
          <w:rFonts w:hint="eastAsia" w:ascii="宋体" w:hAnsi="宋体"/>
          <w:b/>
          <w:color w:val="auto"/>
          <w:szCs w:val="21"/>
          <w:highlight w:val="none"/>
        </w:rPr>
        <w:t>第八条  其他</w:t>
      </w:r>
    </w:p>
    <w:p w14:paraId="3FB07C15">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1、本合同自双方签章之日起生效。</w:t>
      </w:r>
    </w:p>
    <w:p w14:paraId="30949722">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本合同未尽事宜，双方协商解决。由双方协商另签署书面修改的并经广西财政厅政府采购监督管理处备案后的《补充协议》，作为主合同不可分割的一部分，与本合同具有同等效力。《补充协议》与本合同相抵触部分，以《补充协议》为准。</w:t>
      </w:r>
    </w:p>
    <w:p w14:paraId="7DEA1957">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3、本合同附件为本合同不可分割部分。</w:t>
      </w:r>
    </w:p>
    <w:p w14:paraId="0DE3A57C">
      <w:pPr>
        <w:spacing w:line="300" w:lineRule="auto"/>
        <w:ind w:firstLine="420" w:firstLineChars="200"/>
        <w:jc w:val="left"/>
        <w:rPr>
          <w:rFonts w:ascii="宋体" w:cs="宋体"/>
          <w:color w:val="auto"/>
          <w:szCs w:val="21"/>
          <w:highlight w:val="none"/>
        </w:rPr>
      </w:pPr>
      <w:r>
        <w:rPr>
          <w:rFonts w:hint="eastAsia" w:ascii="宋体" w:hAnsi="宋体"/>
          <w:color w:val="auto"/>
          <w:szCs w:val="21"/>
          <w:highlight w:val="none"/>
        </w:rPr>
        <w:t>4、本合同一式四份，具有同等法律效力，财政部门（政府采购监管部门）、采购代理机构各一份，甲方一份，乙方一份，具有同等法律效力。</w:t>
      </w:r>
      <w:r>
        <w:rPr>
          <w:rFonts w:hint="eastAsia" w:ascii="宋体" w:cs="宋体"/>
          <w:color w:val="auto"/>
          <w:szCs w:val="21"/>
          <w:highlight w:val="none"/>
          <w:lang w:bidi="ar"/>
        </w:rPr>
        <w:t xml:space="preserve"> </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07"/>
        <w:gridCol w:w="4646"/>
      </w:tblGrid>
      <w:tr w14:paraId="2EA70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62" w:hRule="atLeast"/>
        </w:trPr>
        <w:tc>
          <w:tcPr>
            <w:tcW w:w="4707" w:type="dxa"/>
            <w:tcBorders>
              <w:top w:val="single" w:color="auto" w:sz="4" w:space="0"/>
              <w:left w:val="single" w:color="auto" w:sz="4" w:space="0"/>
              <w:bottom w:val="single" w:color="auto" w:sz="4" w:space="0"/>
              <w:right w:val="single" w:color="auto" w:sz="4" w:space="0"/>
            </w:tcBorders>
            <w:vAlign w:val="center"/>
          </w:tcPr>
          <w:p w14:paraId="2170B0DF">
            <w:pPr>
              <w:snapToGrid w:val="0"/>
              <w:spacing w:line="360" w:lineRule="exact"/>
              <w:rPr>
                <w:rFonts w:ascii="宋体" w:cs="宋体"/>
                <w:color w:val="auto"/>
                <w:szCs w:val="21"/>
                <w:highlight w:val="none"/>
              </w:rPr>
            </w:pPr>
            <w:r>
              <w:rPr>
                <w:rFonts w:hint="eastAsia" w:ascii="宋体" w:hAnsi="宋体" w:cs="宋体"/>
                <w:color w:val="auto"/>
                <w:szCs w:val="21"/>
                <w:highlight w:val="none"/>
                <w:lang w:bidi="ar"/>
              </w:rPr>
              <w:t>甲方（章）：</w:t>
            </w:r>
          </w:p>
          <w:p w14:paraId="0F4DCEBF">
            <w:pPr>
              <w:snapToGrid w:val="0"/>
              <w:spacing w:line="360" w:lineRule="exact"/>
              <w:rPr>
                <w:rFonts w:ascii="宋体" w:cs="宋体"/>
                <w:color w:val="auto"/>
                <w:szCs w:val="21"/>
                <w:highlight w:val="none"/>
              </w:rPr>
            </w:pPr>
          </w:p>
          <w:p w14:paraId="42616E21">
            <w:pPr>
              <w:snapToGrid w:val="0"/>
              <w:spacing w:line="360" w:lineRule="exact"/>
              <w:rPr>
                <w:rFonts w:ascii="宋体" w:cs="宋体"/>
                <w:color w:val="auto"/>
                <w:szCs w:val="21"/>
                <w:highlight w:val="none"/>
              </w:rPr>
            </w:pPr>
          </w:p>
          <w:p w14:paraId="4DC4800E">
            <w:pPr>
              <w:snapToGrid w:val="0"/>
              <w:spacing w:line="360" w:lineRule="exact"/>
              <w:ind w:firstLine="945" w:firstLineChars="450"/>
              <w:jc w:val="right"/>
              <w:rPr>
                <w:rFonts w:ascii="宋体" w:cs="宋体"/>
                <w:color w:val="auto"/>
                <w:szCs w:val="21"/>
                <w:highlight w:val="none"/>
              </w:rPr>
            </w:pPr>
            <w:r>
              <w:rPr>
                <w:rFonts w:hint="eastAsia" w:ascii="宋体" w:hAnsi="宋体" w:cs="宋体"/>
                <w:color w:val="auto"/>
                <w:szCs w:val="21"/>
                <w:highlight w:val="none"/>
                <w:lang w:bidi="ar"/>
              </w:rPr>
              <w:t>年   月   日</w:t>
            </w:r>
          </w:p>
        </w:tc>
        <w:tc>
          <w:tcPr>
            <w:tcW w:w="4646" w:type="dxa"/>
            <w:tcBorders>
              <w:top w:val="single" w:color="auto" w:sz="4" w:space="0"/>
              <w:left w:val="single" w:color="auto" w:sz="4" w:space="0"/>
              <w:bottom w:val="single" w:color="auto" w:sz="4" w:space="0"/>
              <w:right w:val="single" w:color="auto" w:sz="4" w:space="0"/>
            </w:tcBorders>
            <w:vAlign w:val="center"/>
          </w:tcPr>
          <w:p w14:paraId="1E11545E">
            <w:pPr>
              <w:snapToGrid w:val="0"/>
              <w:spacing w:line="360" w:lineRule="exact"/>
              <w:rPr>
                <w:rFonts w:ascii="宋体" w:cs="宋体"/>
                <w:color w:val="auto"/>
                <w:szCs w:val="21"/>
                <w:highlight w:val="none"/>
              </w:rPr>
            </w:pPr>
            <w:r>
              <w:rPr>
                <w:rFonts w:hint="eastAsia" w:ascii="宋体" w:hAnsi="宋体" w:cs="宋体"/>
                <w:color w:val="auto"/>
                <w:szCs w:val="21"/>
                <w:highlight w:val="none"/>
                <w:lang w:bidi="ar"/>
              </w:rPr>
              <w:t>乙方（章）：</w:t>
            </w:r>
          </w:p>
          <w:p w14:paraId="7A96A506">
            <w:pPr>
              <w:snapToGrid w:val="0"/>
              <w:spacing w:line="360" w:lineRule="exact"/>
              <w:jc w:val="right"/>
              <w:rPr>
                <w:rFonts w:ascii="宋体" w:cs="宋体"/>
                <w:color w:val="auto"/>
                <w:szCs w:val="21"/>
                <w:highlight w:val="none"/>
              </w:rPr>
            </w:pPr>
          </w:p>
          <w:p w14:paraId="1EC8290D">
            <w:pPr>
              <w:snapToGrid w:val="0"/>
              <w:spacing w:line="360" w:lineRule="exact"/>
              <w:jc w:val="right"/>
              <w:rPr>
                <w:rFonts w:ascii="宋体" w:cs="宋体"/>
                <w:color w:val="auto"/>
                <w:szCs w:val="21"/>
                <w:highlight w:val="none"/>
              </w:rPr>
            </w:pPr>
          </w:p>
          <w:p w14:paraId="0989E249">
            <w:pPr>
              <w:snapToGrid w:val="0"/>
              <w:spacing w:line="360" w:lineRule="exact"/>
              <w:jc w:val="right"/>
              <w:rPr>
                <w:rFonts w:ascii="宋体" w:cs="宋体"/>
                <w:color w:val="auto"/>
                <w:szCs w:val="21"/>
                <w:highlight w:val="none"/>
              </w:rPr>
            </w:pPr>
            <w:r>
              <w:rPr>
                <w:rFonts w:hint="eastAsia" w:ascii="宋体" w:hAnsi="宋体" w:cs="宋体"/>
                <w:color w:val="auto"/>
                <w:szCs w:val="21"/>
                <w:highlight w:val="none"/>
                <w:lang w:bidi="ar"/>
              </w:rPr>
              <w:t>年   月   日</w:t>
            </w:r>
          </w:p>
        </w:tc>
      </w:tr>
      <w:tr w14:paraId="396DF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1" w:hRule="atLeast"/>
        </w:trPr>
        <w:tc>
          <w:tcPr>
            <w:tcW w:w="4707" w:type="dxa"/>
            <w:tcBorders>
              <w:top w:val="single" w:color="auto" w:sz="4" w:space="0"/>
              <w:left w:val="single" w:color="auto" w:sz="4" w:space="0"/>
              <w:bottom w:val="single" w:color="auto" w:sz="4" w:space="0"/>
              <w:right w:val="single" w:color="auto" w:sz="4" w:space="0"/>
            </w:tcBorders>
            <w:vAlign w:val="center"/>
          </w:tcPr>
          <w:p w14:paraId="577BE2D9">
            <w:pPr>
              <w:snapToGrid w:val="0"/>
              <w:spacing w:line="360" w:lineRule="exact"/>
              <w:rPr>
                <w:rFonts w:ascii="宋体" w:cs="宋体"/>
                <w:color w:val="auto"/>
                <w:szCs w:val="21"/>
                <w:highlight w:val="none"/>
              </w:rPr>
            </w:pPr>
            <w:r>
              <w:rPr>
                <w:rFonts w:hint="eastAsia" w:ascii="宋体" w:hAnsi="宋体" w:cs="宋体"/>
                <w:color w:val="auto"/>
                <w:szCs w:val="21"/>
                <w:highlight w:val="none"/>
                <w:lang w:bidi="ar"/>
              </w:rPr>
              <w:t>单位地址 :</w:t>
            </w:r>
          </w:p>
        </w:tc>
        <w:tc>
          <w:tcPr>
            <w:tcW w:w="4646" w:type="dxa"/>
            <w:tcBorders>
              <w:top w:val="single" w:color="auto" w:sz="4" w:space="0"/>
              <w:left w:val="single" w:color="auto" w:sz="4" w:space="0"/>
              <w:bottom w:val="single" w:color="auto" w:sz="4" w:space="0"/>
              <w:right w:val="single" w:color="auto" w:sz="4" w:space="0"/>
            </w:tcBorders>
            <w:vAlign w:val="center"/>
          </w:tcPr>
          <w:p w14:paraId="3C54B0EB">
            <w:pPr>
              <w:snapToGrid w:val="0"/>
              <w:spacing w:line="360" w:lineRule="exact"/>
              <w:rPr>
                <w:rFonts w:ascii="宋体" w:cs="宋体"/>
                <w:color w:val="auto"/>
                <w:szCs w:val="21"/>
                <w:highlight w:val="none"/>
              </w:rPr>
            </w:pPr>
            <w:r>
              <w:rPr>
                <w:rFonts w:hint="eastAsia" w:ascii="宋体" w:hAnsi="宋体" w:cs="宋体"/>
                <w:color w:val="auto"/>
                <w:szCs w:val="21"/>
                <w:highlight w:val="none"/>
                <w:lang w:bidi="ar"/>
              </w:rPr>
              <w:t>单位地址：</w:t>
            </w:r>
          </w:p>
        </w:tc>
      </w:tr>
      <w:tr w14:paraId="26582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4" w:hRule="atLeast"/>
        </w:trPr>
        <w:tc>
          <w:tcPr>
            <w:tcW w:w="4707" w:type="dxa"/>
            <w:tcBorders>
              <w:top w:val="single" w:color="auto" w:sz="4" w:space="0"/>
              <w:left w:val="single" w:color="auto" w:sz="4" w:space="0"/>
              <w:bottom w:val="single" w:color="auto" w:sz="4" w:space="0"/>
              <w:right w:val="single" w:color="auto" w:sz="4" w:space="0"/>
            </w:tcBorders>
            <w:vAlign w:val="center"/>
          </w:tcPr>
          <w:p w14:paraId="084CDEC5">
            <w:pPr>
              <w:snapToGrid w:val="0"/>
              <w:spacing w:line="360" w:lineRule="exact"/>
              <w:rPr>
                <w:rFonts w:ascii="宋体" w:cs="宋体"/>
                <w:color w:val="auto"/>
                <w:szCs w:val="21"/>
                <w:highlight w:val="none"/>
              </w:rPr>
            </w:pPr>
            <w:r>
              <w:rPr>
                <w:rFonts w:hint="eastAsia" w:ascii="宋体" w:hAnsi="宋体" w:cs="宋体"/>
                <w:color w:val="auto"/>
                <w:szCs w:val="21"/>
                <w:highlight w:val="none"/>
                <w:lang w:bidi="ar"/>
              </w:rPr>
              <w:t>法定代表人：</w:t>
            </w:r>
          </w:p>
        </w:tc>
        <w:tc>
          <w:tcPr>
            <w:tcW w:w="4646" w:type="dxa"/>
            <w:tcBorders>
              <w:top w:val="single" w:color="auto" w:sz="4" w:space="0"/>
              <w:left w:val="single" w:color="auto" w:sz="4" w:space="0"/>
              <w:bottom w:val="single" w:color="auto" w:sz="4" w:space="0"/>
              <w:right w:val="single" w:color="auto" w:sz="4" w:space="0"/>
            </w:tcBorders>
            <w:vAlign w:val="center"/>
          </w:tcPr>
          <w:p w14:paraId="1F77894D">
            <w:pPr>
              <w:snapToGrid w:val="0"/>
              <w:spacing w:line="360" w:lineRule="exact"/>
              <w:rPr>
                <w:rFonts w:ascii="宋体" w:cs="宋体"/>
                <w:color w:val="auto"/>
                <w:szCs w:val="21"/>
                <w:highlight w:val="none"/>
              </w:rPr>
            </w:pPr>
            <w:r>
              <w:rPr>
                <w:rFonts w:hint="eastAsia" w:ascii="宋体" w:hAnsi="宋体" w:cs="宋体"/>
                <w:color w:val="auto"/>
                <w:szCs w:val="21"/>
                <w:highlight w:val="none"/>
                <w:lang w:bidi="ar"/>
              </w:rPr>
              <w:t>法定代表人：</w:t>
            </w:r>
          </w:p>
        </w:tc>
      </w:tr>
      <w:tr w14:paraId="12DE3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4707" w:type="dxa"/>
            <w:tcBorders>
              <w:top w:val="single" w:color="auto" w:sz="4" w:space="0"/>
              <w:left w:val="single" w:color="auto" w:sz="4" w:space="0"/>
              <w:bottom w:val="single" w:color="auto" w:sz="4" w:space="0"/>
              <w:right w:val="single" w:color="auto" w:sz="4" w:space="0"/>
            </w:tcBorders>
            <w:vAlign w:val="center"/>
          </w:tcPr>
          <w:p w14:paraId="44356969">
            <w:pPr>
              <w:snapToGrid w:val="0"/>
              <w:spacing w:line="360" w:lineRule="exact"/>
              <w:rPr>
                <w:rFonts w:ascii="宋体" w:cs="宋体"/>
                <w:color w:val="auto"/>
                <w:szCs w:val="21"/>
                <w:highlight w:val="none"/>
              </w:rPr>
            </w:pPr>
            <w:r>
              <w:rPr>
                <w:rFonts w:hint="eastAsia" w:ascii="宋体" w:hAnsi="宋体" w:cs="宋体"/>
                <w:color w:val="auto"/>
                <w:szCs w:val="21"/>
                <w:highlight w:val="none"/>
                <w:lang w:bidi="ar"/>
              </w:rPr>
              <w:t>委托代理人：</w:t>
            </w:r>
          </w:p>
        </w:tc>
        <w:tc>
          <w:tcPr>
            <w:tcW w:w="4646" w:type="dxa"/>
            <w:tcBorders>
              <w:top w:val="single" w:color="auto" w:sz="4" w:space="0"/>
              <w:left w:val="single" w:color="auto" w:sz="4" w:space="0"/>
              <w:bottom w:val="single" w:color="auto" w:sz="4" w:space="0"/>
              <w:right w:val="single" w:color="auto" w:sz="4" w:space="0"/>
            </w:tcBorders>
            <w:vAlign w:val="center"/>
          </w:tcPr>
          <w:p w14:paraId="0067B514">
            <w:pPr>
              <w:snapToGrid w:val="0"/>
              <w:spacing w:line="360" w:lineRule="exact"/>
              <w:rPr>
                <w:rFonts w:ascii="宋体" w:cs="宋体"/>
                <w:color w:val="auto"/>
                <w:szCs w:val="21"/>
                <w:highlight w:val="none"/>
              </w:rPr>
            </w:pPr>
            <w:r>
              <w:rPr>
                <w:rFonts w:hint="eastAsia" w:ascii="宋体" w:hAnsi="宋体" w:cs="宋体"/>
                <w:color w:val="auto"/>
                <w:szCs w:val="21"/>
                <w:highlight w:val="none"/>
                <w:lang w:bidi="ar"/>
              </w:rPr>
              <w:t>委托代理人：</w:t>
            </w:r>
          </w:p>
        </w:tc>
      </w:tr>
      <w:tr w14:paraId="1FCC5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4" w:hRule="atLeast"/>
        </w:trPr>
        <w:tc>
          <w:tcPr>
            <w:tcW w:w="4707" w:type="dxa"/>
            <w:tcBorders>
              <w:top w:val="single" w:color="auto" w:sz="4" w:space="0"/>
              <w:left w:val="single" w:color="auto" w:sz="4" w:space="0"/>
              <w:bottom w:val="single" w:color="auto" w:sz="4" w:space="0"/>
              <w:right w:val="single" w:color="auto" w:sz="4" w:space="0"/>
            </w:tcBorders>
            <w:vAlign w:val="center"/>
          </w:tcPr>
          <w:p w14:paraId="70845605">
            <w:pPr>
              <w:snapToGrid w:val="0"/>
              <w:spacing w:line="360" w:lineRule="exact"/>
              <w:rPr>
                <w:rFonts w:ascii="宋体" w:cs="宋体"/>
                <w:color w:val="auto"/>
                <w:szCs w:val="21"/>
                <w:highlight w:val="none"/>
              </w:rPr>
            </w:pPr>
            <w:r>
              <w:rPr>
                <w:rFonts w:hint="eastAsia" w:ascii="宋体" w:hAnsi="宋体" w:cs="宋体"/>
                <w:color w:val="auto"/>
                <w:szCs w:val="21"/>
                <w:highlight w:val="none"/>
                <w:lang w:bidi="ar"/>
              </w:rPr>
              <w:t>电话：</w:t>
            </w:r>
          </w:p>
        </w:tc>
        <w:tc>
          <w:tcPr>
            <w:tcW w:w="4646" w:type="dxa"/>
            <w:tcBorders>
              <w:top w:val="single" w:color="auto" w:sz="4" w:space="0"/>
              <w:left w:val="single" w:color="auto" w:sz="4" w:space="0"/>
              <w:bottom w:val="single" w:color="auto" w:sz="4" w:space="0"/>
              <w:right w:val="single" w:color="auto" w:sz="4" w:space="0"/>
            </w:tcBorders>
            <w:vAlign w:val="center"/>
          </w:tcPr>
          <w:p w14:paraId="28457262">
            <w:pPr>
              <w:snapToGrid w:val="0"/>
              <w:spacing w:line="360" w:lineRule="exact"/>
              <w:rPr>
                <w:rFonts w:ascii="宋体" w:cs="宋体"/>
                <w:color w:val="auto"/>
                <w:szCs w:val="21"/>
                <w:highlight w:val="none"/>
              </w:rPr>
            </w:pPr>
            <w:r>
              <w:rPr>
                <w:rFonts w:hint="eastAsia" w:ascii="宋体" w:hAnsi="宋体" w:cs="宋体"/>
                <w:color w:val="auto"/>
                <w:szCs w:val="21"/>
                <w:highlight w:val="none"/>
                <w:lang w:bidi="ar"/>
              </w:rPr>
              <w:t>电话：</w:t>
            </w:r>
          </w:p>
        </w:tc>
      </w:tr>
      <w:tr w14:paraId="37604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3" w:hRule="atLeast"/>
        </w:trPr>
        <w:tc>
          <w:tcPr>
            <w:tcW w:w="4707" w:type="dxa"/>
            <w:tcBorders>
              <w:top w:val="single" w:color="auto" w:sz="4" w:space="0"/>
              <w:left w:val="single" w:color="auto" w:sz="4" w:space="0"/>
              <w:bottom w:val="single" w:color="auto" w:sz="4" w:space="0"/>
              <w:right w:val="single" w:color="auto" w:sz="4" w:space="0"/>
            </w:tcBorders>
            <w:vAlign w:val="center"/>
          </w:tcPr>
          <w:p w14:paraId="3A2CC1E9">
            <w:pPr>
              <w:snapToGrid w:val="0"/>
              <w:spacing w:line="360" w:lineRule="exact"/>
              <w:rPr>
                <w:rFonts w:ascii="宋体" w:cs="宋体"/>
                <w:color w:val="auto"/>
                <w:szCs w:val="21"/>
                <w:highlight w:val="none"/>
              </w:rPr>
            </w:pPr>
            <w:r>
              <w:rPr>
                <w:rFonts w:hint="eastAsia" w:ascii="宋体" w:hAnsi="宋体" w:cs="宋体"/>
                <w:color w:val="auto"/>
                <w:szCs w:val="21"/>
                <w:highlight w:val="none"/>
                <w:lang w:bidi="ar"/>
              </w:rPr>
              <w:t>电子邮箱：</w:t>
            </w:r>
          </w:p>
        </w:tc>
        <w:tc>
          <w:tcPr>
            <w:tcW w:w="4646" w:type="dxa"/>
            <w:tcBorders>
              <w:top w:val="single" w:color="auto" w:sz="4" w:space="0"/>
              <w:left w:val="single" w:color="auto" w:sz="4" w:space="0"/>
              <w:bottom w:val="single" w:color="auto" w:sz="4" w:space="0"/>
              <w:right w:val="single" w:color="auto" w:sz="4" w:space="0"/>
            </w:tcBorders>
            <w:vAlign w:val="center"/>
          </w:tcPr>
          <w:p w14:paraId="39B73573">
            <w:pPr>
              <w:snapToGrid w:val="0"/>
              <w:spacing w:line="360" w:lineRule="exact"/>
              <w:rPr>
                <w:rFonts w:ascii="宋体" w:cs="宋体"/>
                <w:color w:val="auto"/>
                <w:szCs w:val="21"/>
                <w:highlight w:val="none"/>
              </w:rPr>
            </w:pPr>
            <w:r>
              <w:rPr>
                <w:rFonts w:hint="eastAsia" w:ascii="宋体" w:hAnsi="宋体" w:cs="宋体"/>
                <w:color w:val="auto"/>
                <w:szCs w:val="21"/>
                <w:highlight w:val="none"/>
                <w:lang w:bidi="ar"/>
              </w:rPr>
              <w:t>电子邮箱：</w:t>
            </w:r>
          </w:p>
        </w:tc>
      </w:tr>
      <w:tr w14:paraId="28C3E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6" w:hRule="atLeast"/>
        </w:trPr>
        <w:tc>
          <w:tcPr>
            <w:tcW w:w="4707" w:type="dxa"/>
            <w:tcBorders>
              <w:top w:val="single" w:color="auto" w:sz="4" w:space="0"/>
              <w:left w:val="single" w:color="auto" w:sz="4" w:space="0"/>
              <w:bottom w:val="single" w:color="auto" w:sz="4" w:space="0"/>
              <w:right w:val="single" w:color="auto" w:sz="4" w:space="0"/>
            </w:tcBorders>
            <w:vAlign w:val="center"/>
          </w:tcPr>
          <w:p w14:paraId="6459762E">
            <w:pPr>
              <w:snapToGrid w:val="0"/>
              <w:spacing w:line="360" w:lineRule="exact"/>
              <w:rPr>
                <w:rFonts w:ascii="宋体" w:cs="宋体"/>
                <w:color w:val="auto"/>
                <w:szCs w:val="21"/>
                <w:highlight w:val="none"/>
              </w:rPr>
            </w:pPr>
            <w:r>
              <w:rPr>
                <w:rFonts w:hint="eastAsia" w:ascii="宋体" w:hAnsi="宋体" w:cs="宋体"/>
                <w:color w:val="auto"/>
                <w:szCs w:val="21"/>
                <w:highlight w:val="none"/>
                <w:lang w:bidi="ar"/>
              </w:rPr>
              <w:t>开户银行：</w:t>
            </w:r>
          </w:p>
        </w:tc>
        <w:tc>
          <w:tcPr>
            <w:tcW w:w="4646" w:type="dxa"/>
            <w:tcBorders>
              <w:top w:val="single" w:color="auto" w:sz="4" w:space="0"/>
              <w:left w:val="single" w:color="auto" w:sz="4" w:space="0"/>
              <w:bottom w:val="single" w:color="auto" w:sz="4" w:space="0"/>
              <w:right w:val="single" w:color="auto" w:sz="4" w:space="0"/>
            </w:tcBorders>
            <w:vAlign w:val="center"/>
          </w:tcPr>
          <w:p w14:paraId="1A1166D5">
            <w:pPr>
              <w:snapToGrid w:val="0"/>
              <w:spacing w:line="360" w:lineRule="exact"/>
              <w:rPr>
                <w:rFonts w:ascii="宋体" w:cs="宋体"/>
                <w:color w:val="auto"/>
                <w:szCs w:val="21"/>
                <w:highlight w:val="none"/>
              </w:rPr>
            </w:pPr>
            <w:r>
              <w:rPr>
                <w:rFonts w:hint="eastAsia" w:ascii="宋体" w:hAnsi="宋体" w:cs="宋体"/>
                <w:color w:val="auto"/>
                <w:szCs w:val="21"/>
                <w:highlight w:val="none"/>
                <w:lang w:bidi="ar"/>
              </w:rPr>
              <w:t>开户银行：</w:t>
            </w:r>
          </w:p>
        </w:tc>
      </w:tr>
      <w:tr w14:paraId="0D440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8" w:hRule="atLeast"/>
        </w:trPr>
        <w:tc>
          <w:tcPr>
            <w:tcW w:w="4707" w:type="dxa"/>
            <w:tcBorders>
              <w:top w:val="single" w:color="auto" w:sz="4" w:space="0"/>
              <w:left w:val="single" w:color="auto" w:sz="4" w:space="0"/>
              <w:bottom w:val="single" w:color="auto" w:sz="4" w:space="0"/>
              <w:right w:val="single" w:color="auto" w:sz="4" w:space="0"/>
            </w:tcBorders>
            <w:vAlign w:val="center"/>
          </w:tcPr>
          <w:p w14:paraId="198791E3">
            <w:pPr>
              <w:snapToGrid w:val="0"/>
              <w:spacing w:line="360" w:lineRule="exact"/>
              <w:rPr>
                <w:rFonts w:ascii="宋体" w:cs="宋体"/>
                <w:color w:val="auto"/>
                <w:szCs w:val="21"/>
                <w:highlight w:val="none"/>
              </w:rPr>
            </w:pPr>
            <w:r>
              <w:rPr>
                <w:rFonts w:hint="eastAsia" w:ascii="宋体" w:hAnsi="宋体" w:cs="宋体"/>
                <w:color w:val="auto"/>
                <w:szCs w:val="21"/>
                <w:highlight w:val="none"/>
                <w:lang w:bidi="ar"/>
              </w:rPr>
              <w:t>账号：</w:t>
            </w:r>
          </w:p>
        </w:tc>
        <w:tc>
          <w:tcPr>
            <w:tcW w:w="4646" w:type="dxa"/>
            <w:tcBorders>
              <w:top w:val="single" w:color="auto" w:sz="4" w:space="0"/>
              <w:left w:val="single" w:color="auto" w:sz="4" w:space="0"/>
              <w:bottom w:val="single" w:color="auto" w:sz="4" w:space="0"/>
              <w:right w:val="single" w:color="auto" w:sz="4" w:space="0"/>
            </w:tcBorders>
            <w:vAlign w:val="center"/>
          </w:tcPr>
          <w:p w14:paraId="6FC2BE19">
            <w:pPr>
              <w:snapToGrid w:val="0"/>
              <w:spacing w:line="360" w:lineRule="exact"/>
              <w:rPr>
                <w:rFonts w:ascii="宋体" w:cs="宋体"/>
                <w:color w:val="auto"/>
                <w:szCs w:val="21"/>
                <w:highlight w:val="none"/>
              </w:rPr>
            </w:pPr>
            <w:r>
              <w:rPr>
                <w:rFonts w:hint="eastAsia" w:ascii="宋体" w:hAnsi="宋体" w:cs="宋体"/>
                <w:color w:val="auto"/>
                <w:szCs w:val="21"/>
                <w:highlight w:val="none"/>
                <w:lang w:bidi="ar"/>
              </w:rPr>
              <w:t>账号：</w:t>
            </w:r>
          </w:p>
        </w:tc>
      </w:tr>
      <w:tr w14:paraId="5B2DE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trPr>
        <w:tc>
          <w:tcPr>
            <w:tcW w:w="4707" w:type="dxa"/>
            <w:tcBorders>
              <w:top w:val="single" w:color="auto" w:sz="4" w:space="0"/>
              <w:left w:val="single" w:color="auto" w:sz="4" w:space="0"/>
              <w:bottom w:val="single" w:color="auto" w:sz="4" w:space="0"/>
              <w:right w:val="single" w:color="auto" w:sz="4" w:space="0"/>
            </w:tcBorders>
            <w:vAlign w:val="center"/>
          </w:tcPr>
          <w:p w14:paraId="657FC25E">
            <w:pPr>
              <w:snapToGrid w:val="0"/>
              <w:spacing w:line="360" w:lineRule="exact"/>
              <w:rPr>
                <w:rFonts w:ascii="宋体" w:cs="宋体"/>
                <w:color w:val="auto"/>
                <w:szCs w:val="21"/>
                <w:highlight w:val="none"/>
              </w:rPr>
            </w:pPr>
            <w:r>
              <w:rPr>
                <w:rFonts w:hint="eastAsia" w:ascii="宋体" w:hAnsi="宋体" w:cs="宋体"/>
                <w:color w:val="auto"/>
                <w:szCs w:val="21"/>
                <w:highlight w:val="none"/>
                <w:lang w:bidi="ar"/>
              </w:rPr>
              <w:t>邮政编码：</w:t>
            </w:r>
          </w:p>
        </w:tc>
        <w:tc>
          <w:tcPr>
            <w:tcW w:w="4646" w:type="dxa"/>
            <w:tcBorders>
              <w:top w:val="single" w:color="auto" w:sz="4" w:space="0"/>
              <w:left w:val="single" w:color="auto" w:sz="4" w:space="0"/>
              <w:bottom w:val="single" w:color="auto" w:sz="4" w:space="0"/>
              <w:right w:val="single" w:color="auto" w:sz="4" w:space="0"/>
            </w:tcBorders>
            <w:vAlign w:val="center"/>
          </w:tcPr>
          <w:p w14:paraId="021B8B37">
            <w:pPr>
              <w:snapToGrid w:val="0"/>
              <w:spacing w:line="360" w:lineRule="exact"/>
              <w:rPr>
                <w:rFonts w:ascii="宋体" w:cs="宋体"/>
                <w:color w:val="auto"/>
                <w:szCs w:val="21"/>
                <w:highlight w:val="none"/>
              </w:rPr>
            </w:pPr>
            <w:r>
              <w:rPr>
                <w:rFonts w:hint="eastAsia" w:ascii="宋体" w:hAnsi="宋体" w:cs="宋体"/>
                <w:color w:val="auto"/>
                <w:szCs w:val="21"/>
                <w:highlight w:val="none"/>
                <w:lang w:bidi="ar"/>
              </w:rPr>
              <w:t>邮政编码：</w:t>
            </w:r>
          </w:p>
        </w:tc>
      </w:tr>
    </w:tbl>
    <w:p w14:paraId="46D995F2">
      <w:pPr>
        <w:spacing w:line="520" w:lineRule="exact"/>
        <w:rPr>
          <w:rFonts w:ascii="宋体" w:hAnsi="宋体" w:cs="宋体"/>
          <w:b/>
          <w:color w:val="auto"/>
          <w:sz w:val="32"/>
          <w:szCs w:val="32"/>
          <w:highlight w:val="none"/>
        </w:rPr>
      </w:pPr>
    </w:p>
    <w:p w14:paraId="28EDD418">
      <w:pPr>
        <w:spacing w:before="4"/>
        <w:rPr>
          <w:rFonts w:ascii="宋体" w:hAnsi="宋体" w:cs="宋体"/>
          <w:color w:val="auto"/>
          <w:sz w:val="6"/>
          <w:szCs w:val="6"/>
          <w:highlight w:val="none"/>
        </w:rPr>
      </w:pPr>
    </w:p>
    <w:sectPr>
      <w:footerReference r:id="rId12" w:type="first"/>
      <w:footerReference r:id="rId11" w:type="default"/>
      <w:pgSz w:w="11906" w:h="16838"/>
      <w:pgMar w:top="1134" w:right="1020" w:bottom="1134" w:left="1020" w:header="851" w:footer="567"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0000000000000000000"/>
    <w:charset w:val="86"/>
    <w:family w:val="script"/>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MingLiU">
    <w:altName w:val="PMingLiU-ExtB"/>
    <w:panose1 w:val="02010609000101010101"/>
    <w:charset w:val="88"/>
    <w:family w:val="modern"/>
    <w:pitch w:val="default"/>
    <w:sig w:usb0="00000000" w:usb1="00000000" w:usb2="00000010" w:usb3="00000000" w:csb0="00100000" w:csb1="00000000"/>
  </w:font>
  <w:font w:name="PMingLiU-ExtB">
    <w:panose1 w:val="02020500000000000000"/>
    <w:charset w:val="88"/>
    <w:family w:val="auto"/>
    <w:pitch w:val="default"/>
    <w:sig w:usb0="8000002F" w:usb1="02000008" w:usb2="00000000" w:usb3="00000000" w:csb0="00100001"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7C03A7">
    <w:pPr>
      <w:pStyle w:val="22"/>
      <w:tabs>
        <w:tab w:val="center" w:pos="4439"/>
        <w:tab w:val="clear" w:pos="4153"/>
      </w:tabs>
      <w:jc w:val="both"/>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1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0E26B4DE">
                          <w:pPr>
                            <w:pStyle w:val="22"/>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shape id="文本框 5123"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yOz/cgBAACeAwAADgAAAGRycy9lMm9Eb2MueG1srVPNjtMwEL4j8Q6W&#10;7zRp0aIqaroCVYuQECAtPIDrTBpL/pPHbdIXgDfgxIU7z9XnYOwkXVgue+DizJ+/me/zZHM7GM1O&#10;EFA5W/PlouQMrHSNsoeaf/l892LNGUZhG6GdhZqfAfnt9vmzTe8rWLnO6QYCIxCLVe9r3sXoq6JA&#10;2YERuHAeLCVbF4yI5IZD0QTRE7rRxaosXxW9C40PTgIiRXdjkk+I4SmArm2VhJ2TRwM2jqgBtIhE&#10;CTvlkW/ztG0LMn5sW4TIdM2JacwnNSF7n85iuxHVIQjfKTmNIJ4ywiNORihLTa9QOxEFOwb1D5RR&#10;Mjh0bVxIZ4qRSFaEWCzLR9rcd8JD5kJSo7+Kjv8PVn44fQpMNTW/4cwKQw9++f7t8uPX5edXdrNc&#10;vUwK9R4rKrz3VBqHN26gvZnjSMFEfGiDSV+ixChP+p6v+sIQmUyX1qv1uqSUpNzsEH7xcN0HjG/B&#10;GZaMmgd6wKyrOL3HOJbOJambdXdK6/yI2v4VIMwxAnkLptuJyThxsuKwHyZ6e9eciV1Pm1BzS4vP&#10;mX5nSei0NLMRZmM/Gakj+tfHSGPk6RLqCEWskkPPlvlNK5b24k8/Vz38Vt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Jsjs/3IAQAAngMAAA4AAAAAAAAAAQAgAAAAHgEAAGRycy9lMm9Eb2Mu&#10;eG1sUEsFBgAAAAAGAAYAWQEAAFgFAAAAAA==&#10;">
              <v:fill on="f" focussize="0,0"/>
              <v:stroke on="f"/>
              <v:imagedata o:title=""/>
              <o:lock v:ext="edit" aspectratio="f"/>
              <v:textbox inset="0mm,0mm,0mm,0mm" style="mso-fit-shape-to-text:t;">
                <w:txbxContent>
                  <w:p w14:paraId="0E26B4DE">
                    <w:pPr>
                      <w:pStyle w:val="22"/>
                    </w:pPr>
                    <w:r>
                      <w:fldChar w:fldCharType="begin"/>
                    </w:r>
                    <w:r>
                      <w:instrText xml:space="preserve"> PAGE  \* MERGEFORMAT </w:instrText>
                    </w:r>
                    <w:r>
                      <w:fldChar w:fldCharType="separate"/>
                    </w:r>
                    <w:r>
                      <w:t>1</w:t>
                    </w:r>
                    <w:r>
                      <w:fldChar w:fldCharType="end"/>
                    </w:r>
                  </w:p>
                </w:txbxContent>
              </v:textbox>
            </v:shape>
          </w:pict>
        </mc:Fallback>
      </mc:AlternateContent>
    </w:r>
  </w:p>
  <w:p w14:paraId="2BB3C634">
    <w:pPr>
      <w:pStyle w:val="2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AA913B">
    <w:pPr>
      <w:pStyle w:val="2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4FAC14">
    <w:pPr>
      <w:pStyle w:val="22"/>
      <w:tabs>
        <w:tab w:val="center" w:pos="4439"/>
        <w:tab w:val="clear" w:pos="4153"/>
      </w:tabs>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51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04C02552"/>
                      </w:txbxContent>
                    </wps:txbx>
                    <wps:bodyPr wrap="none" lIns="0" tIns="0" rIns="0" bIns="0">
                      <a:spAutoFit/>
                    </wps:bodyPr>
                  </wps:wsp>
                </a:graphicData>
              </a:graphic>
            </wp:anchor>
          </w:drawing>
        </mc:Choice>
        <mc:Fallback>
          <w:pict>
            <v:shape id="文本框 5124"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UHoU8gBAACeAwAADgAAAGRycy9lMm9Eb2MueG1srVPNjtMwEL4j8Q6W&#10;7zRpBasqaroCVYuQECAtPIDrTBpL/pPHbdIXgDfgxIU7z9XnYOwkXVgue+DizJ+/me/zZHM7GM1O&#10;EFA5W/PlouQMrHSNsoeaf/l892LNGUZhG6GdhZqfAfnt9vmzTe8rWLnO6QYCIxCLVe9r3sXoq6JA&#10;2YERuHAeLCVbF4yI5IZD0QTRE7rRxaosb4rehcYHJwGRorsxySfE8BRA17ZKws7JowEbR9QAWkSi&#10;hJ3yyLd52rYFGT+2LUJkuubENOaTmpC9T2ex3YjqEITvlJxGEE8Z4REnI5SlpleonYiCHYP6B8oo&#10;GRy6Ni6kM8VIJCtCLJblI23uO+EhcyGp0V9Fx/8HKz+cPgWmmprfcGaFoQe/fP92+fHr8vMre7Vc&#10;vUwK9R4rKrz3VBqHN26gvZnjSMFEfGiDSV+ixChP+p6v+sIQmUyX1qv1uqSUpNzsEH7xcN0HjG/B&#10;GZaMmgd6wKyrOL3HOJbOJambdXdK6/yI2v4VIMwxAnkLptuJyThxsuKwHyZ6e9eciV1Pm1BzS4vP&#10;mX5nSei0NLMRZmM/Gakj+tfHSGPk6RLqCEWskkPPlvlNK5b24k8/Vz38Vt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IlB6FPIAQAAngMAAA4AAAAAAAAAAQAgAAAAHgEAAGRycy9lMm9Eb2Mu&#10;eG1sUEsFBgAAAAAGAAYAWQEAAFgFAAAAAA==&#10;">
              <v:fill on="f" focussize="0,0"/>
              <v:stroke on="f"/>
              <v:imagedata o:title=""/>
              <o:lock v:ext="edit" aspectratio="f"/>
              <v:textbox inset="0mm,0mm,0mm,0mm" style="mso-fit-shape-to-text:t;">
                <w:txbxContent>
                  <w:p w14:paraId="04C02552"/>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47838A">
    <w:pPr>
      <w:pStyle w:val="22"/>
      <w:tabs>
        <w:tab w:val="center" w:pos="4439"/>
        <w:tab w:val="clear" w:pos="4153"/>
      </w:tabs>
      <w:jc w:val="both"/>
    </w:pPr>
  </w:p>
  <w:p w14:paraId="13E3D859">
    <w:pPr>
      <w:pStyle w:val="2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8F68AB">
    <w:pPr>
      <w:pStyle w:val="22"/>
      <w:tabs>
        <w:tab w:val="center" w:pos="4439"/>
        <w:tab w:val="clear" w:pos="4153"/>
      </w:tabs>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51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536F9A99"/>
                      </w:txbxContent>
                    </wps:txbx>
                    <wps:bodyPr wrap="none" lIns="0" tIns="0" rIns="0" bIns="0">
                      <a:spAutoFit/>
                    </wps:bodyPr>
                  </wps:wsp>
                </a:graphicData>
              </a:graphic>
            </wp:anchor>
          </w:drawing>
        </mc:Choice>
        <mc:Fallback>
          <w:pict>
            <v:shape id="文本框 51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BW6PMgBAACeAwAADgAAAGRycy9lMm9Eb2MueG1srVPNjtMwEL4j8Q6W&#10;7zRpJZYqaroCVYuQECAtPIDrTBpL/pPHbdIXgDfgxIU7z9XnYOwkXVgue+DizJ+/me/zZHM7GM1O&#10;EFA5W/PlouQMrHSNsoeaf/l892LNGUZhG6GdhZqfAfnt9vmzTe8rWLnO6QYCIxCLVe9r3sXoq6JA&#10;2YERuHAeLCVbF4yI5IZD0QTRE7rRxaosb4rehcYHJwGRorsxySfE8BRA17ZKws7JowEbR9QAWkSi&#10;hJ3yyLd52rYFGT+2LUJkuubENOaTmpC9T2ex3YjqEITvlJxGEE8Z4REnI5SlpleonYiCHYP6B8oo&#10;GRy6Ni6kM8VIJCtCLJblI23uO+EhcyGp0V9Fx/8HKz+cPgWmmpq/4swKQw9++f7t8uPX5edX9nK5&#10;ukkK9R4rKrz3VBqHN26gvZnjSMFEfGiDSV+ixChP+p6v+sIQmUyX1qv1uqSUpNzsEH7xcN0HjG/B&#10;GZaMmgd6wKyrOL3HOJbOJambdXdK6/yI2v4VIMwxAnkLptuJyThxsuKwHyZ6e9eciV1Pm1BzS4vP&#10;mX5nSei0NLMRZmM/Gakj+tfHSGPk6RLqCEWskkPPlvlNK5b24k8/Vz38Vt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HwVujzIAQAAngMAAA4AAAAAAAAAAQAgAAAAHgEAAGRycy9lMm9Eb2Mu&#10;eG1sUEsFBgAAAAAGAAYAWQEAAFgFAAAAAA==&#10;">
              <v:fill on="f" focussize="0,0"/>
              <v:stroke on="f"/>
              <v:imagedata o:title=""/>
              <o:lock v:ext="edit" aspectratio="f"/>
              <v:textbox inset="0mm,0mm,0mm,0mm" style="mso-fit-shape-to-text:t;">
                <w:txbxContent>
                  <w:p w14:paraId="536F9A99"/>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C6AC19">
    <w:pPr>
      <w:pStyle w:val="22"/>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51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6199FCA3">
                          <w:pPr>
                            <w:pStyle w:val="22"/>
                            <w:jc w:val="center"/>
                          </w:pPr>
                          <w:r>
                            <w:fldChar w:fldCharType="begin"/>
                          </w:r>
                          <w:r>
                            <w:instrText xml:space="preserve"> PAGE  \* MERGEFORMAT </w:instrText>
                          </w:r>
                          <w:r>
                            <w:fldChar w:fldCharType="separate"/>
                          </w:r>
                          <w:r>
                            <w:t>71</w:t>
                          </w:r>
                          <w:r>
                            <w:fldChar w:fldCharType="end"/>
                          </w:r>
                        </w:p>
                      </w:txbxContent>
                    </wps:txbx>
                    <wps:bodyPr wrap="none" lIns="0" tIns="0" rIns="0" bIns="0">
                      <a:spAutoFit/>
                    </wps:bodyPr>
                  </wps:wsp>
                </a:graphicData>
              </a:graphic>
            </wp:anchor>
          </w:drawing>
        </mc:Choice>
        <mc:Fallback>
          <w:pict>
            <v:shape id="文本框 512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mWu+ckBAACeAwAADgAAAGRycy9lMm9Eb2MueG1srVPNjtMwEL4j8Q6W&#10;7zRpEaiKmq5A1SIkBEjLPoDrOI0l22N53CZ9AXgDTly481x9DsZO0oXlsgcuzvz5m/k+TzY3gzXs&#10;pAJqcDVfLkrOlJPQaHeo+f2X2xdrzjAK1wgDTtX8rJDfbJ8/2/S+UivowDQqMAJxWPW+5l2MvioK&#10;lJ2yAhfglaNkC8GKSG44FE0QPaFbU6zK8nXRQ2h8AKkQKbobk3xCDE8BhLbVUu1AHq1ycUQNyohI&#10;lLDTHvk2T9u2SsZPbYsqMlNzYhrzSU3I3qez2G5EdQjCd1pOI4injPCIkxXaUdMr1E5EwY5B/wNl&#10;tQyA0MaFBFuMRLIixGJZPtLmrhNeZS4kNfqr6Pj/YOXH0+fAdFPzl5w5YenBL9+/XX78uvz8yl4t&#10;V8ukUO+xosI7T6VxeAsD7c0cRwom4kMbbPoSJUZ50vd81VcNkcl0ab1ar0tKScrNDuEXD9d9wPhO&#10;gWXJqHmgB8y6itMHjGPpXJK6ObjVxuRHNO6vAGGOEZW3YLqdmIwTJysO+2Git4fmTOx62oSaO1p8&#10;zsx7R0KnpZmNMBv7yUgd0b85RhojT5dQRyhilRx6tsxvWrG0F3/6uerht9r+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iZa75yQEAAJ4DAAAOAAAAAAAAAAEAIAAAAB4BAABkcnMvZTJvRG9j&#10;LnhtbFBLBQYAAAAABgAGAFkBAABZBQAAAAA=&#10;">
              <v:fill on="f" focussize="0,0"/>
              <v:stroke on="f"/>
              <v:imagedata o:title=""/>
              <o:lock v:ext="edit" aspectratio="f"/>
              <v:textbox inset="0mm,0mm,0mm,0mm" style="mso-fit-shape-to-text:t;">
                <w:txbxContent>
                  <w:p w14:paraId="6199FCA3">
                    <w:pPr>
                      <w:pStyle w:val="22"/>
                      <w:jc w:val="center"/>
                    </w:pPr>
                    <w:r>
                      <w:fldChar w:fldCharType="begin"/>
                    </w:r>
                    <w:r>
                      <w:instrText xml:space="preserve"> PAGE  \* MERGEFORMAT </w:instrText>
                    </w:r>
                    <w:r>
                      <w:fldChar w:fldCharType="separate"/>
                    </w:r>
                    <w:r>
                      <w:t>71</w:t>
                    </w:r>
                    <w:r>
                      <w:fldChar w:fldCharType="end"/>
                    </w:r>
                  </w:p>
                </w:txbxContent>
              </v:textbox>
            </v:shape>
          </w:pict>
        </mc:Fallback>
      </mc:AlternateContent>
    </w:r>
  </w:p>
  <w:p w14:paraId="1F0D1F32">
    <w:pPr>
      <w:pStyle w:val="22"/>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EECACB">
    <w:pPr>
      <w:pStyle w:val="2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51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544A993C">
                          <w:pPr>
                            <w:pStyle w:val="22"/>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a:spAutoFit/>
                    </wps:bodyPr>
                  </wps:wsp>
                </a:graphicData>
              </a:graphic>
            </wp:anchor>
          </w:drawing>
        </mc:Choice>
        <mc:Fallback>
          <w:pict>
            <v:shape id="文本框 512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dYXsskBAACeAwAADgAAAGRycy9lMm9Eb2MueG1srVNLbtswEN0XyB0I&#10;7mPJQloYguWghZGgQNEWSHMAmiItAvyBQ1vyBdobdNVN9z2Xz9EhJTltusmiG2p+fDPvcbS+HYwm&#10;RxFAOdvQ5aKkRFjuWmX3DX38cne9ogQisy3TzoqGngTQ283Vq3Xva1G5zulWBIIgFureN7SL0ddF&#10;AbwThsHCeWExKV0wLKIb9kUbWI/oRhdVWb4pehdaHxwXABjdjkk6IYaXADopFRdbxw9G2DiiBqFZ&#10;RErQKQ90k6eVUvD4SUoQkeiGItOYT2yC9i6dxWbN6n1gvlN8GoG9ZIRnnAxTFpteoLYsMnII6h8o&#10;o3hw4GRccGeKkUhWBFksy2faPHTMi8wFpQZ/ER3+Hyz/ePwciGobekOJZQYf/Pz92/nHr/PPr+T1&#10;sqqSQr2HGgsfPJbG4Z0bcG/mOGAwER9kMOmLlAjmUd/TRV8xRMLTpVW1WpWY4pibHcQvnq77APFe&#10;OEOS0dCAD5h1ZccPEMfSuSR1s+5OaZ0fUdu/Aog5RkTegul2YjJOnKw47IaJ3s61J2TX4yY01OLi&#10;U6LfWxQ6Lc1shNnYTUbqCP7tIeIYebqEOkIhq+Tgs2V+04qlvfjTz1VPv9Xm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B51heyyQEAAJ4DAAAOAAAAAAAAAAEAIAAAAB4BAABkcnMvZTJvRG9j&#10;LnhtbFBLBQYAAAAABgAGAFkBAABZBQAAAAA=&#10;">
              <v:fill on="f" focussize="0,0"/>
              <v:stroke on="f"/>
              <v:imagedata o:title=""/>
              <o:lock v:ext="edit" aspectratio="f"/>
              <v:textbox inset="0mm,0mm,0mm,0mm" style="mso-fit-shape-to-text:t;">
                <w:txbxContent>
                  <w:p w14:paraId="544A993C">
                    <w:pPr>
                      <w:pStyle w:val="22"/>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F83982">
    <w:pPr>
      <w:pStyle w:val="2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EFB2EB">
    <w:pPr>
      <w:pStyle w:val="2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9D4713">
    <w:pPr>
      <w:pStyle w:val="23"/>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B982E30"/>
    <w:multiLevelType w:val="multilevel"/>
    <w:tmpl w:val="2B982E30"/>
    <w:lvl w:ilvl="0" w:tentative="0">
      <w:start w:val="1"/>
      <w:numFmt w:val="japaneseCounting"/>
      <w:lvlText w:val="（%1）"/>
      <w:lvlJc w:val="left"/>
      <w:pPr>
        <w:ind w:left="1247" w:hanging="765"/>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1">
    <w:nsid w:val="5EE75099"/>
    <w:multiLevelType w:val="multilevel"/>
    <w:tmpl w:val="5EE75099"/>
    <w:lvl w:ilvl="0" w:tentative="0">
      <w:start w:val="1"/>
      <w:numFmt w:val="chineseCountingThousand"/>
      <w:pStyle w:val="86"/>
      <w:suff w:val="nothing"/>
      <w:lvlText w:val="第%1章 "/>
      <w:lvlJc w:val="left"/>
      <w:pPr>
        <w:ind w:left="200" w:firstLine="0"/>
      </w:pPr>
      <w:rPr>
        <w:rFonts w:hint="eastAsia" w:ascii="黑体" w:hAnsi="黑体" w:eastAsia="黑体" w:cs="宋体"/>
        <w:b w:val="0"/>
        <w:i w:val="0"/>
        <w:sz w:val="36"/>
      </w:rPr>
    </w:lvl>
    <w:lvl w:ilvl="1" w:tentative="0">
      <w:start w:val="1"/>
      <w:numFmt w:val="chineseCountingThousand"/>
      <w:suff w:val="nothing"/>
      <w:lvlText w:val="%2、"/>
      <w:lvlJc w:val="left"/>
      <w:pPr>
        <w:ind w:left="2978" w:firstLine="0"/>
      </w:pPr>
      <w:rPr>
        <w:rFonts w:hint="eastAsia" w:ascii="黑体" w:hAnsi="黑体" w:eastAsia="黑体" w:cs="宋体"/>
        <w:b w:val="0"/>
        <w:i w:val="0"/>
        <w:sz w:val="32"/>
      </w:rPr>
    </w:lvl>
    <w:lvl w:ilvl="2" w:tentative="0">
      <w:start w:val="1"/>
      <w:numFmt w:val="decimal"/>
      <w:suff w:val="nothing"/>
      <w:lvlText w:val="%3."/>
      <w:lvlJc w:val="left"/>
      <w:pPr>
        <w:ind w:left="200" w:firstLine="0"/>
      </w:pPr>
      <w:rPr>
        <w:rFonts w:hint="eastAsia" w:ascii="黑体" w:hAnsi="黑体" w:eastAsia="黑体" w:cs="宋体"/>
        <w:b w:val="0"/>
        <w:i w:val="0"/>
        <w:sz w:val="28"/>
      </w:rPr>
    </w:lvl>
    <w:lvl w:ilvl="3" w:tentative="0">
      <w:start w:val="1"/>
      <w:numFmt w:val="decimal"/>
      <w:suff w:val="nothing"/>
      <w:lvlText w:val="%3.%4 "/>
      <w:lvlJc w:val="left"/>
      <w:pPr>
        <w:tabs>
          <w:tab w:val="left" w:pos="0"/>
        </w:tabs>
        <w:ind w:left="200" w:firstLine="0"/>
      </w:pPr>
      <w:rPr>
        <w:rFonts w:hint="eastAsia" w:ascii="宋体" w:hAnsi="宋体" w:eastAsia="宋体" w:cs="宋体"/>
        <w:b/>
        <w:i w:val="0"/>
        <w:sz w:val="24"/>
      </w:rPr>
    </w:lvl>
    <w:lvl w:ilvl="4" w:tentative="0">
      <w:start w:val="1"/>
      <w:numFmt w:val="decimal"/>
      <w:suff w:val="nothing"/>
      <w:lvlText w:val="%3.%4.%5 "/>
      <w:lvlJc w:val="left"/>
      <w:pPr>
        <w:tabs>
          <w:tab w:val="left" w:pos="0"/>
        </w:tabs>
        <w:ind w:left="0" w:firstLine="0"/>
      </w:pPr>
      <w:rPr>
        <w:rFonts w:hint="eastAsia" w:ascii="宋体" w:hAnsi="宋体" w:eastAsia="宋体" w:cs="宋体"/>
        <w:b/>
      </w:rPr>
    </w:lvl>
    <w:lvl w:ilvl="5" w:tentative="0">
      <w:start w:val="1"/>
      <w:numFmt w:val="decimal"/>
      <w:suff w:val="nothing"/>
      <w:lvlText w:val="%3.%4.%5.%6 "/>
      <w:lvlJc w:val="left"/>
      <w:pPr>
        <w:tabs>
          <w:tab w:val="left" w:pos="0"/>
        </w:tabs>
        <w:ind w:left="200" w:firstLine="0"/>
      </w:pPr>
      <w:rPr>
        <w:rFonts w:hint="eastAsia" w:ascii="宋体" w:hAnsi="宋体" w:eastAsia="宋体" w:cs="宋体"/>
      </w:rPr>
    </w:lvl>
    <w:lvl w:ilvl="6" w:tentative="0">
      <w:start w:val="1"/>
      <w:numFmt w:val="lowerLetter"/>
      <w:suff w:val="nothing"/>
      <w:lvlText w:val="%7．"/>
      <w:lvlJc w:val="left"/>
      <w:pPr>
        <w:ind w:left="200" w:firstLine="402"/>
      </w:pPr>
      <w:rPr>
        <w:rFonts w:hint="eastAsia" w:ascii="宋体" w:hAnsi="宋体" w:eastAsia="宋体" w:cs="宋体"/>
      </w:rPr>
    </w:lvl>
    <w:lvl w:ilvl="7" w:tentative="0">
      <w:start w:val="1"/>
      <w:numFmt w:val="lowerLetter"/>
      <w:suff w:val="nothing"/>
      <w:lvlText w:val="%8）"/>
      <w:lvlJc w:val="left"/>
      <w:pPr>
        <w:ind w:left="200" w:firstLine="402"/>
      </w:pPr>
      <w:rPr>
        <w:rFonts w:hint="eastAsia"/>
      </w:rPr>
    </w:lvl>
    <w:lvl w:ilvl="8" w:tentative="0">
      <w:start w:val="1"/>
      <w:numFmt w:val="lowerRoman"/>
      <w:suff w:val="nothing"/>
      <w:lvlText w:val="%9. "/>
      <w:lvlJc w:val="left"/>
      <w:pPr>
        <w:ind w:left="200" w:firstLine="402"/>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formatting="1"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M5M2RkMWNiMTliYTQ5YmViYzVkY2E5Njg4MTliNDEifQ=="/>
    <w:docVar w:name="KSO_WPS_MARK_KEY" w:val="b95ecb36-b825-4aab-a484-008294de2a68"/>
  </w:docVars>
  <w:rsids>
    <w:rsidRoot w:val="00F34B14"/>
    <w:rsid w:val="00000672"/>
    <w:rsid w:val="00001013"/>
    <w:rsid w:val="00001799"/>
    <w:rsid w:val="00001AF2"/>
    <w:rsid w:val="00001ECA"/>
    <w:rsid w:val="00002D29"/>
    <w:rsid w:val="00002EAF"/>
    <w:rsid w:val="00003B93"/>
    <w:rsid w:val="0000474D"/>
    <w:rsid w:val="00005164"/>
    <w:rsid w:val="00005FDF"/>
    <w:rsid w:val="00006851"/>
    <w:rsid w:val="00006AC0"/>
    <w:rsid w:val="000070B3"/>
    <w:rsid w:val="000076B8"/>
    <w:rsid w:val="000109DC"/>
    <w:rsid w:val="00010D39"/>
    <w:rsid w:val="0001172C"/>
    <w:rsid w:val="00011BC9"/>
    <w:rsid w:val="00011C99"/>
    <w:rsid w:val="00012854"/>
    <w:rsid w:val="00012EA6"/>
    <w:rsid w:val="00013359"/>
    <w:rsid w:val="000139CF"/>
    <w:rsid w:val="00013AA4"/>
    <w:rsid w:val="00013DFE"/>
    <w:rsid w:val="000141EA"/>
    <w:rsid w:val="00014CA1"/>
    <w:rsid w:val="00016ABC"/>
    <w:rsid w:val="00016DE6"/>
    <w:rsid w:val="000177DB"/>
    <w:rsid w:val="000179C9"/>
    <w:rsid w:val="00017CCC"/>
    <w:rsid w:val="00020227"/>
    <w:rsid w:val="00020263"/>
    <w:rsid w:val="00020455"/>
    <w:rsid w:val="00020813"/>
    <w:rsid w:val="000220B2"/>
    <w:rsid w:val="0002264C"/>
    <w:rsid w:val="00022731"/>
    <w:rsid w:val="00022792"/>
    <w:rsid w:val="00024463"/>
    <w:rsid w:val="00025461"/>
    <w:rsid w:val="00025636"/>
    <w:rsid w:val="00025E36"/>
    <w:rsid w:val="00026855"/>
    <w:rsid w:val="00026886"/>
    <w:rsid w:val="0002785D"/>
    <w:rsid w:val="000279F1"/>
    <w:rsid w:val="000307BE"/>
    <w:rsid w:val="000313DC"/>
    <w:rsid w:val="000329E0"/>
    <w:rsid w:val="000352E9"/>
    <w:rsid w:val="00035494"/>
    <w:rsid w:val="00036125"/>
    <w:rsid w:val="000365AC"/>
    <w:rsid w:val="00036A07"/>
    <w:rsid w:val="00036C95"/>
    <w:rsid w:val="0003780B"/>
    <w:rsid w:val="00040571"/>
    <w:rsid w:val="00040973"/>
    <w:rsid w:val="0004156E"/>
    <w:rsid w:val="00041713"/>
    <w:rsid w:val="00041C18"/>
    <w:rsid w:val="00044263"/>
    <w:rsid w:val="0004440C"/>
    <w:rsid w:val="000451F1"/>
    <w:rsid w:val="00046B5E"/>
    <w:rsid w:val="000470CB"/>
    <w:rsid w:val="000479FF"/>
    <w:rsid w:val="000509D9"/>
    <w:rsid w:val="000512AF"/>
    <w:rsid w:val="00051ACB"/>
    <w:rsid w:val="000533E7"/>
    <w:rsid w:val="00055D41"/>
    <w:rsid w:val="00056EF6"/>
    <w:rsid w:val="00057CD6"/>
    <w:rsid w:val="00057DA1"/>
    <w:rsid w:val="00060DCE"/>
    <w:rsid w:val="000610E3"/>
    <w:rsid w:val="000614F3"/>
    <w:rsid w:val="000623B4"/>
    <w:rsid w:val="00062405"/>
    <w:rsid w:val="00062B42"/>
    <w:rsid w:val="000634A7"/>
    <w:rsid w:val="00063B0B"/>
    <w:rsid w:val="00063F81"/>
    <w:rsid w:val="00064847"/>
    <w:rsid w:val="00064F97"/>
    <w:rsid w:val="00065E08"/>
    <w:rsid w:val="000673E2"/>
    <w:rsid w:val="0007027E"/>
    <w:rsid w:val="0007063F"/>
    <w:rsid w:val="000707FD"/>
    <w:rsid w:val="00070949"/>
    <w:rsid w:val="000711E4"/>
    <w:rsid w:val="000720A1"/>
    <w:rsid w:val="000724D9"/>
    <w:rsid w:val="00072AED"/>
    <w:rsid w:val="00073F47"/>
    <w:rsid w:val="0007492F"/>
    <w:rsid w:val="00074ED8"/>
    <w:rsid w:val="00075B7E"/>
    <w:rsid w:val="00077266"/>
    <w:rsid w:val="00077ACA"/>
    <w:rsid w:val="00077C70"/>
    <w:rsid w:val="000813B5"/>
    <w:rsid w:val="0008191E"/>
    <w:rsid w:val="00081BA3"/>
    <w:rsid w:val="00081D2E"/>
    <w:rsid w:val="00081F89"/>
    <w:rsid w:val="00082619"/>
    <w:rsid w:val="00082D02"/>
    <w:rsid w:val="00083871"/>
    <w:rsid w:val="00083B91"/>
    <w:rsid w:val="0008473C"/>
    <w:rsid w:val="0008520B"/>
    <w:rsid w:val="000857DE"/>
    <w:rsid w:val="000860BD"/>
    <w:rsid w:val="0008694B"/>
    <w:rsid w:val="000871B8"/>
    <w:rsid w:val="00087B0A"/>
    <w:rsid w:val="000904D2"/>
    <w:rsid w:val="000916DA"/>
    <w:rsid w:val="00092442"/>
    <w:rsid w:val="000929EF"/>
    <w:rsid w:val="00092C26"/>
    <w:rsid w:val="000933BE"/>
    <w:rsid w:val="0009560F"/>
    <w:rsid w:val="0009588E"/>
    <w:rsid w:val="000959EE"/>
    <w:rsid w:val="00096DB9"/>
    <w:rsid w:val="00097183"/>
    <w:rsid w:val="000972CB"/>
    <w:rsid w:val="00097608"/>
    <w:rsid w:val="000A1175"/>
    <w:rsid w:val="000A13F3"/>
    <w:rsid w:val="000A23B1"/>
    <w:rsid w:val="000A2B0E"/>
    <w:rsid w:val="000A398F"/>
    <w:rsid w:val="000A437F"/>
    <w:rsid w:val="000A448C"/>
    <w:rsid w:val="000A509C"/>
    <w:rsid w:val="000A54A7"/>
    <w:rsid w:val="000A5712"/>
    <w:rsid w:val="000A6007"/>
    <w:rsid w:val="000A65A6"/>
    <w:rsid w:val="000A70E3"/>
    <w:rsid w:val="000A7275"/>
    <w:rsid w:val="000A7A12"/>
    <w:rsid w:val="000A7A72"/>
    <w:rsid w:val="000B1202"/>
    <w:rsid w:val="000B13B8"/>
    <w:rsid w:val="000B1801"/>
    <w:rsid w:val="000B1D0C"/>
    <w:rsid w:val="000B2273"/>
    <w:rsid w:val="000B2BC6"/>
    <w:rsid w:val="000B2D03"/>
    <w:rsid w:val="000B37F2"/>
    <w:rsid w:val="000B3815"/>
    <w:rsid w:val="000B3C7B"/>
    <w:rsid w:val="000B4321"/>
    <w:rsid w:val="000B6A6B"/>
    <w:rsid w:val="000B6C95"/>
    <w:rsid w:val="000B79FC"/>
    <w:rsid w:val="000C1679"/>
    <w:rsid w:val="000C1EE3"/>
    <w:rsid w:val="000C2F93"/>
    <w:rsid w:val="000C3AE7"/>
    <w:rsid w:val="000C3CC9"/>
    <w:rsid w:val="000C6DE4"/>
    <w:rsid w:val="000C7202"/>
    <w:rsid w:val="000D0A89"/>
    <w:rsid w:val="000D1389"/>
    <w:rsid w:val="000D1798"/>
    <w:rsid w:val="000D2626"/>
    <w:rsid w:val="000D29A2"/>
    <w:rsid w:val="000D320C"/>
    <w:rsid w:val="000D341C"/>
    <w:rsid w:val="000D411D"/>
    <w:rsid w:val="000D4589"/>
    <w:rsid w:val="000D4809"/>
    <w:rsid w:val="000D5D7F"/>
    <w:rsid w:val="000D73DD"/>
    <w:rsid w:val="000D7DE6"/>
    <w:rsid w:val="000E1C51"/>
    <w:rsid w:val="000E28AB"/>
    <w:rsid w:val="000E2E3E"/>
    <w:rsid w:val="000E310E"/>
    <w:rsid w:val="000E3583"/>
    <w:rsid w:val="000E370E"/>
    <w:rsid w:val="000E3AF0"/>
    <w:rsid w:val="000E4E04"/>
    <w:rsid w:val="000E693B"/>
    <w:rsid w:val="000E6EC9"/>
    <w:rsid w:val="000E70B4"/>
    <w:rsid w:val="000E7B62"/>
    <w:rsid w:val="000F0E1E"/>
    <w:rsid w:val="000F1A1B"/>
    <w:rsid w:val="000F2A95"/>
    <w:rsid w:val="000F3281"/>
    <w:rsid w:val="000F32FD"/>
    <w:rsid w:val="000F3733"/>
    <w:rsid w:val="000F5F8B"/>
    <w:rsid w:val="000F6153"/>
    <w:rsid w:val="000F64AA"/>
    <w:rsid w:val="000F7339"/>
    <w:rsid w:val="000F7AF4"/>
    <w:rsid w:val="000F7C33"/>
    <w:rsid w:val="000F7F0C"/>
    <w:rsid w:val="001004D6"/>
    <w:rsid w:val="00101D1B"/>
    <w:rsid w:val="00102676"/>
    <w:rsid w:val="001029C1"/>
    <w:rsid w:val="00103646"/>
    <w:rsid w:val="00103918"/>
    <w:rsid w:val="00104897"/>
    <w:rsid w:val="00104EDE"/>
    <w:rsid w:val="00105CDA"/>
    <w:rsid w:val="00106BEE"/>
    <w:rsid w:val="0010711C"/>
    <w:rsid w:val="00107BDF"/>
    <w:rsid w:val="00107C74"/>
    <w:rsid w:val="0011091C"/>
    <w:rsid w:val="00111266"/>
    <w:rsid w:val="001112EB"/>
    <w:rsid w:val="0011247D"/>
    <w:rsid w:val="00112FFB"/>
    <w:rsid w:val="00113678"/>
    <w:rsid w:val="00113A7D"/>
    <w:rsid w:val="00113C3E"/>
    <w:rsid w:val="00115132"/>
    <w:rsid w:val="00115E11"/>
    <w:rsid w:val="00115EEE"/>
    <w:rsid w:val="00115F56"/>
    <w:rsid w:val="00116CA9"/>
    <w:rsid w:val="00116F38"/>
    <w:rsid w:val="001170A4"/>
    <w:rsid w:val="00117AE7"/>
    <w:rsid w:val="00117B85"/>
    <w:rsid w:val="00117CBD"/>
    <w:rsid w:val="0012006A"/>
    <w:rsid w:val="001212D1"/>
    <w:rsid w:val="00121979"/>
    <w:rsid w:val="00122064"/>
    <w:rsid w:val="00124341"/>
    <w:rsid w:val="00124492"/>
    <w:rsid w:val="00124B12"/>
    <w:rsid w:val="001250A0"/>
    <w:rsid w:val="001263B8"/>
    <w:rsid w:val="00130217"/>
    <w:rsid w:val="00130783"/>
    <w:rsid w:val="00130A47"/>
    <w:rsid w:val="00132B47"/>
    <w:rsid w:val="001337F8"/>
    <w:rsid w:val="001348B4"/>
    <w:rsid w:val="001351CB"/>
    <w:rsid w:val="00135530"/>
    <w:rsid w:val="00135947"/>
    <w:rsid w:val="001359A2"/>
    <w:rsid w:val="00135F92"/>
    <w:rsid w:val="00136020"/>
    <w:rsid w:val="0013641C"/>
    <w:rsid w:val="00136445"/>
    <w:rsid w:val="00137389"/>
    <w:rsid w:val="00140132"/>
    <w:rsid w:val="00141C9C"/>
    <w:rsid w:val="001424DE"/>
    <w:rsid w:val="0014277F"/>
    <w:rsid w:val="00142A96"/>
    <w:rsid w:val="001434BE"/>
    <w:rsid w:val="00143AAD"/>
    <w:rsid w:val="00144050"/>
    <w:rsid w:val="00144369"/>
    <w:rsid w:val="0014479F"/>
    <w:rsid w:val="001452B4"/>
    <w:rsid w:val="00145320"/>
    <w:rsid w:val="001476D3"/>
    <w:rsid w:val="001509CF"/>
    <w:rsid w:val="00150D1D"/>
    <w:rsid w:val="001525AA"/>
    <w:rsid w:val="00152A87"/>
    <w:rsid w:val="00152AC1"/>
    <w:rsid w:val="00153BB5"/>
    <w:rsid w:val="00154342"/>
    <w:rsid w:val="00154518"/>
    <w:rsid w:val="00155512"/>
    <w:rsid w:val="00156303"/>
    <w:rsid w:val="00156359"/>
    <w:rsid w:val="00156DD6"/>
    <w:rsid w:val="0016086E"/>
    <w:rsid w:val="00160D0C"/>
    <w:rsid w:val="00160DD1"/>
    <w:rsid w:val="00161172"/>
    <w:rsid w:val="00161998"/>
    <w:rsid w:val="00161E65"/>
    <w:rsid w:val="00162597"/>
    <w:rsid w:val="001629AF"/>
    <w:rsid w:val="001629FD"/>
    <w:rsid w:val="001630EF"/>
    <w:rsid w:val="0016428A"/>
    <w:rsid w:val="001647C9"/>
    <w:rsid w:val="00165627"/>
    <w:rsid w:val="00165987"/>
    <w:rsid w:val="001661A3"/>
    <w:rsid w:val="00167226"/>
    <w:rsid w:val="001677C9"/>
    <w:rsid w:val="0016782B"/>
    <w:rsid w:val="0016784D"/>
    <w:rsid w:val="00167853"/>
    <w:rsid w:val="00167887"/>
    <w:rsid w:val="001720EF"/>
    <w:rsid w:val="00172CA8"/>
    <w:rsid w:val="00173256"/>
    <w:rsid w:val="00173B0E"/>
    <w:rsid w:val="00173E03"/>
    <w:rsid w:val="001747F4"/>
    <w:rsid w:val="0017512C"/>
    <w:rsid w:val="00175541"/>
    <w:rsid w:val="001756AF"/>
    <w:rsid w:val="0017586A"/>
    <w:rsid w:val="00175BA6"/>
    <w:rsid w:val="00175FDC"/>
    <w:rsid w:val="00176CA7"/>
    <w:rsid w:val="00176D0C"/>
    <w:rsid w:val="00176F8E"/>
    <w:rsid w:val="001778C5"/>
    <w:rsid w:val="00177E56"/>
    <w:rsid w:val="00177F0A"/>
    <w:rsid w:val="00180DA0"/>
    <w:rsid w:val="00181EAD"/>
    <w:rsid w:val="00182862"/>
    <w:rsid w:val="00184F57"/>
    <w:rsid w:val="00185091"/>
    <w:rsid w:val="00185544"/>
    <w:rsid w:val="00185617"/>
    <w:rsid w:val="00186FE1"/>
    <w:rsid w:val="00187A14"/>
    <w:rsid w:val="0019171E"/>
    <w:rsid w:val="00192368"/>
    <w:rsid w:val="001923A0"/>
    <w:rsid w:val="001928B1"/>
    <w:rsid w:val="00193537"/>
    <w:rsid w:val="00193846"/>
    <w:rsid w:val="00193CA5"/>
    <w:rsid w:val="00193FD7"/>
    <w:rsid w:val="00195424"/>
    <w:rsid w:val="001955FF"/>
    <w:rsid w:val="00197EDD"/>
    <w:rsid w:val="001A02B3"/>
    <w:rsid w:val="001A04BB"/>
    <w:rsid w:val="001A08D0"/>
    <w:rsid w:val="001A0E82"/>
    <w:rsid w:val="001A1B39"/>
    <w:rsid w:val="001A2120"/>
    <w:rsid w:val="001A2256"/>
    <w:rsid w:val="001A28C6"/>
    <w:rsid w:val="001A2E69"/>
    <w:rsid w:val="001A30F7"/>
    <w:rsid w:val="001A3C34"/>
    <w:rsid w:val="001A3EDE"/>
    <w:rsid w:val="001A4222"/>
    <w:rsid w:val="001A50EA"/>
    <w:rsid w:val="001A5E24"/>
    <w:rsid w:val="001A624D"/>
    <w:rsid w:val="001A6795"/>
    <w:rsid w:val="001A6B27"/>
    <w:rsid w:val="001A6D8B"/>
    <w:rsid w:val="001A6DAA"/>
    <w:rsid w:val="001A7717"/>
    <w:rsid w:val="001A793A"/>
    <w:rsid w:val="001B125A"/>
    <w:rsid w:val="001B1EBA"/>
    <w:rsid w:val="001B2142"/>
    <w:rsid w:val="001B2C23"/>
    <w:rsid w:val="001B2F2B"/>
    <w:rsid w:val="001B327A"/>
    <w:rsid w:val="001B35DE"/>
    <w:rsid w:val="001B3A13"/>
    <w:rsid w:val="001B3F5C"/>
    <w:rsid w:val="001B57C9"/>
    <w:rsid w:val="001B59FF"/>
    <w:rsid w:val="001B6512"/>
    <w:rsid w:val="001B65D7"/>
    <w:rsid w:val="001B6752"/>
    <w:rsid w:val="001B6768"/>
    <w:rsid w:val="001B6F1F"/>
    <w:rsid w:val="001B79E3"/>
    <w:rsid w:val="001B7ECC"/>
    <w:rsid w:val="001C025B"/>
    <w:rsid w:val="001C115F"/>
    <w:rsid w:val="001C1EAB"/>
    <w:rsid w:val="001C25A7"/>
    <w:rsid w:val="001C318C"/>
    <w:rsid w:val="001C35C4"/>
    <w:rsid w:val="001C37B7"/>
    <w:rsid w:val="001C4287"/>
    <w:rsid w:val="001C4479"/>
    <w:rsid w:val="001C5190"/>
    <w:rsid w:val="001C6081"/>
    <w:rsid w:val="001C73EB"/>
    <w:rsid w:val="001C7B48"/>
    <w:rsid w:val="001C7CFB"/>
    <w:rsid w:val="001D0CFB"/>
    <w:rsid w:val="001D1A0D"/>
    <w:rsid w:val="001D343C"/>
    <w:rsid w:val="001D58A1"/>
    <w:rsid w:val="001D58C2"/>
    <w:rsid w:val="001D5A8A"/>
    <w:rsid w:val="001D61CA"/>
    <w:rsid w:val="001D6E87"/>
    <w:rsid w:val="001D735E"/>
    <w:rsid w:val="001D73C8"/>
    <w:rsid w:val="001D7BC6"/>
    <w:rsid w:val="001E129E"/>
    <w:rsid w:val="001E175C"/>
    <w:rsid w:val="001E1B0E"/>
    <w:rsid w:val="001E3B63"/>
    <w:rsid w:val="001E5A94"/>
    <w:rsid w:val="001F2A2E"/>
    <w:rsid w:val="001F2FDF"/>
    <w:rsid w:val="001F3356"/>
    <w:rsid w:val="001F3C63"/>
    <w:rsid w:val="001F4460"/>
    <w:rsid w:val="001F711A"/>
    <w:rsid w:val="001F75B0"/>
    <w:rsid w:val="0020057C"/>
    <w:rsid w:val="002008A0"/>
    <w:rsid w:val="00200CE5"/>
    <w:rsid w:val="00200F7C"/>
    <w:rsid w:val="002014DB"/>
    <w:rsid w:val="0020150B"/>
    <w:rsid w:val="00201E12"/>
    <w:rsid w:val="00202295"/>
    <w:rsid w:val="002033B5"/>
    <w:rsid w:val="0020382C"/>
    <w:rsid w:val="00203FBD"/>
    <w:rsid w:val="0020437A"/>
    <w:rsid w:val="0020454C"/>
    <w:rsid w:val="00204740"/>
    <w:rsid w:val="00205129"/>
    <w:rsid w:val="0020521F"/>
    <w:rsid w:val="0020532C"/>
    <w:rsid w:val="002114C7"/>
    <w:rsid w:val="0021302C"/>
    <w:rsid w:val="00213B1C"/>
    <w:rsid w:val="00213F1E"/>
    <w:rsid w:val="00214202"/>
    <w:rsid w:val="002148E3"/>
    <w:rsid w:val="00214B9E"/>
    <w:rsid w:val="0021552D"/>
    <w:rsid w:val="002156AE"/>
    <w:rsid w:val="00215E99"/>
    <w:rsid w:val="0022054D"/>
    <w:rsid w:val="00220A95"/>
    <w:rsid w:val="0022107B"/>
    <w:rsid w:val="00223DDB"/>
    <w:rsid w:val="00223FA4"/>
    <w:rsid w:val="00223FB0"/>
    <w:rsid w:val="00224067"/>
    <w:rsid w:val="0022421C"/>
    <w:rsid w:val="00224C4A"/>
    <w:rsid w:val="00224E83"/>
    <w:rsid w:val="00225664"/>
    <w:rsid w:val="0022663D"/>
    <w:rsid w:val="00227F2D"/>
    <w:rsid w:val="00231851"/>
    <w:rsid w:val="002319FB"/>
    <w:rsid w:val="00231B89"/>
    <w:rsid w:val="00231F11"/>
    <w:rsid w:val="00231F5E"/>
    <w:rsid w:val="002346B4"/>
    <w:rsid w:val="00234F6E"/>
    <w:rsid w:val="002355BE"/>
    <w:rsid w:val="002358EA"/>
    <w:rsid w:val="00236578"/>
    <w:rsid w:val="00236DE9"/>
    <w:rsid w:val="00237342"/>
    <w:rsid w:val="00237D5A"/>
    <w:rsid w:val="00240AEF"/>
    <w:rsid w:val="00240D75"/>
    <w:rsid w:val="002415AE"/>
    <w:rsid w:val="00241D3C"/>
    <w:rsid w:val="00242109"/>
    <w:rsid w:val="00243189"/>
    <w:rsid w:val="002439AB"/>
    <w:rsid w:val="00243C19"/>
    <w:rsid w:val="00244AE8"/>
    <w:rsid w:val="00244DC9"/>
    <w:rsid w:val="00245587"/>
    <w:rsid w:val="002459B4"/>
    <w:rsid w:val="00245F2B"/>
    <w:rsid w:val="002466CD"/>
    <w:rsid w:val="00247F3A"/>
    <w:rsid w:val="00250122"/>
    <w:rsid w:val="00250755"/>
    <w:rsid w:val="00251043"/>
    <w:rsid w:val="00251C4A"/>
    <w:rsid w:val="0025271C"/>
    <w:rsid w:val="002533CD"/>
    <w:rsid w:val="002535EA"/>
    <w:rsid w:val="00254EAB"/>
    <w:rsid w:val="002557AF"/>
    <w:rsid w:val="0025589C"/>
    <w:rsid w:val="00255B62"/>
    <w:rsid w:val="002566B1"/>
    <w:rsid w:val="002575E3"/>
    <w:rsid w:val="00257A74"/>
    <w:rsid w:val="00257C5D"/>
    <w:rsid w:val="002603C1"/>
    <w:rsid w:val="002609A1"/>
    <w:rsid w:val="002612B1"/>
    <w:rsid w:val="00263BBE"/>
    <w:rsid w:val="00266165"/>
    <w:rsid w:val="00266F2C"/>
    <w:rsid w:val="0027125E"/>
    <w:rsid w:val="00271767"/>
    <w:rsid w:val="00272293"/>
    <w:rsid w:val="002723C8"/>
    <w:rsid w:val="00273C2A"/>
    <w:rsid w:val="00273CBE"/>
    <w:rsid w:val="002746B1"/>
    <w:rsid w:val="00274BAD"/>
    <w:rsid w:val="002756BF"/>
    <w:rsid w:val="00282D56"/>
    <w:rsid w:val="0028352B"/>
    <w:rsid w:val="002835B0"/>
    <w:rsid w:val="00283BD5"/>
    <w:rsid w:val="00283C74"/>
    <w:rsid w:val="0028407E"/>
    <w:rsid w:val="0028410F"/>
    <w:rsid w:val="00284572"/>
    <w:rsid w:val="002850AA"/>
    <w:rsid w:val="00285221"/>
    <w:rsid w:val="00286FB5"/>
    <w:rsid w:val="00287763"/>
    <w:rsid w:val="00290606"/>
    <w:rsid w:val="002909B2"/>
    <w:rsid w:val="0029198B"/>
    <w:rsid w:val="00291D6D"/>
    <w:rsid w:val="00291FF1"/>
    <w:rsid w:val="00292967"/>
    <w:rsid w:val="00292AA2"/>
    <w:rsid w:val="00293361"/>
    <w:rsid w:val="00294F10"/>
    <w:rsid w:val="002952B1"/>
    <w:rsid w:val="00295D11"/>
    <w:rsid w:val="00296FB6"/>
    <w:rsid w:val="002A0001"/>
    <w:rsid w:val="002A0BD9"/>
    <w:rsid w:val="002A0C3A"/>
    <w:rsid w:val="002A0DF8"/>
    <w:rsid w:val="002A1130"/>
    <w:rsid w:val="002A1880"/>
    <w:rsid w:val="002A23B7"/>
    <w:rsid w:val="002A3A57"/>
    <w:rsid w:val="002A4B4F"/>
    <w:rsid w:val="002A500F"/>
    <w:rsid w:val="002A57A8"/>
    <w:rsid w:val="002A6DEF"/>
    <w:rsid w:val="002A770B"/>
    <w:rsid w:val="002B013E"/>
    <w:rsid w:val="002B058D"/>
    <w:rsid w:val="002B0C16"/>
    <w:rsid w:val="002B2AC5"/>
    <w:rsid w:val="002B3528"/>
    <w:rsid w:val="002B3539"/>
    <w:rsid w:val="002B4532"/>
    <w:rsid w:val="002B5042"/>
    <w:rsid w:val="002B69CC"/>
    <w:rsid w:val="002B6D71"/>
    <w:rsid w:val="002C0145"/>
    <w:rsid w:val="002C03AE"/>
    <w:rsid w:val="002C0C1C"/>
    <w:rsid w:val="002C17CB"/>
    <w:rsid w:val="002C40E2"/>
    <w:rsid w:val="002C53AD"/>
    <w:rsid w:val="002C54C2"/>
    <w:rsid w:val="002C5D34"/>
    <w:rsid w:val="002C60BB"/>
    <w:rsid w:val="002C661A"/>
    <w:rsid w:val="002C71F0"/>
    <w:rsid w:val="002D0D6F"/>
    <w:rsid w:val="002D25FC"/>
    <w:rsid w:val="002D4AC6"/>
    <w:rsid w:val="002D5BF5"/>
    <w:rsid w:val="002D5EE8"/>
    <w:rsid w:val="002D7018"/>
    <w:rsid w:val="002D7360"/>
    <w:rsid w:val="002D7648"/>
    <w:rsid w:val="002D7C80"/>
    <w:rsid w:val="002E109C"/>
    <w:rsid w:val="002E193E"/>
    <w:rsid w:val="002E1A94"/>
    <w:rsid w:val="002E1D55"/>
    <w:rsid w:val="002E26C4"/>
    <w:rsid w:val="002E2734"/>
    <w:rsid w:val="002E30A5"/>
    <w:rsid w:val="002E4443"/>
    <w:rsid w:val="002E47E4"/>
    <w:rsid w:val="002E4BF9"/>
    <w:rsid w:val="002E4D61"/>
    <w:rsid w:val="002E68A7"/>
    <w:rsid w:val="002E6E6C"/>
    <w:rsid w:val="002F016E"/>
    <w:rsid w:val="002F0522"/>
    <w:rsid w:val="002F16DD"/>
    <w:rsid w:val="002F199D"/>
    <w:rsid w:val="002F213C"/>
    <w:rsid w:val="002F2453"/>
    <w:rsid w:val="002F352D"/>
    <w:rsid w:val="002F381E"/>
    <w:rsid w:val="002F4084"/>
    <w:rsid w:val="002F4A08"/>
    <w:rsid w:val="002F4ADB"/>
    <w:rsid w:val="002F531E"/>
    <w:rsid w:val="002F548D"/>
    <w:rsid w:val="002F5ACC"/>
    <w:rsid w:val="002F704B"/>
    <w:rsid w:val="002F72C3"/>
    <w:rsid w:val="002F768C"/>
    <w:rsid w:val="002F7D1E"/>
    <w:rsid w:val="00300201"/>
    <w:rsid w:val="0030025A"/>
    <w:rsid w:val="00302CCB"/>
    <w:rsid w:val="00302EFC"/>
    <w:rsid w:val="00303243"/>
    <w:rsid w:val="00303BCC"/>
    <w:rsid w:val="00303F2B"/>
    <w:rsid w:val="00303F8D"/>
    <w:rsid w:val="00304840"/>
    <w:rsid w:val="0030572D"/>
    <w:rsid w:val="0030586A"/>
    <w:rsid w:val="0030622D"/>
    <w:rsid w:val="00306811"/>
    <w:rsid w:val="00306F32"/>
    <w:rsid w:val="003074C5"/>
    <w:rsid w:val="00307A3C"/>
    <w:rsid w:val="00307FA4"/>
    <w:rsid w:val="00310290"/>
    <w:rsid w:val="00310CC1"/>
    <w:rsid w:val="00312504"/>
    <w:rsid w:val="00312B89"/>
    <w:rsid w:val="00313026"/>
    <w:rsid w:val="00313913"/>
    <w:rsid w:val="0031421F"/>
    <w:rsid w:val="00314B31"/>
    <w:rsid w:val="00315A65"/>
    <w:rsid w:val="003165D7"/>
    <w:rsid w:val="00317BA7"/>
    <w:rsid w:val="00320BE2"/>
    <w:rsid w:val="00321886"/>
    <w:rsid w:val="00321EDC"/>
    <w:rsid w:val="00323694"/>
    <w:rsid w:val="00323BE7"/>
    <w:rsid w:val="00324C3A"/>
    <w:rsid w:val="00324D63"/>
    <w:rsid w:val="003255AF"/>
    <w:rsid w:val="003256EB"/>
    <w:rsid w:val="003259DB"/>
    <w:rsid w:val="00327E56"/>
    <w:rsid w:val="003314D9"/>
    <w:rsid w:val="00331653"/>
    <w:rsid w:val="00331A48"/>
    <w:rsid w:val="00331BCC"/>
    <w:rsid w:val="003330C9"/>
    <w:rsid w:val="0033364C"/>
    <w:rsid w:val="00334415"/>
    <w:rsid w:val="00335EA1"/>
    <w:rsid w:val="0033691E"/>
    <w:rsid w:val="00336A6A"/>
    <w:rsid w:val="00336CCB"/>
    <w:rsid w:val="003411D1"/>
    <w:rsid w:val="003416BA"/>
    <w:rsid w:val="00342148"/>
    <w:rsid w:val="00342E38"/>
    <w:rsid w:val="00342F99"/>
    <w:rsid w:val="0034575A"/>
    <w:rsid w:val="00345F57"/>
    <w:rsid w:val="00346A51"/>
    <w:rsid w:val="0034727B"/>
    <w:rsid w:val="00350458"/>
    <w:rsid w:val="00350E6C"/>
    <w:rsid w:val="003518A6"/>
    <w:rsid w:val="00351E7F"/>
    <w:rsid w:val="00352953"/>
    <w:rsid w:val="00354062"/>
    <w:rsid w:val="0035459E"/>
    <w:rsid w:val="00355C0D"/>
    <w:rsid w:val="003566A9"/>
    <w:rsid w:val="00356988"/>
    <w:rsid w:val="003569D3"/>
    <w:rsid w:val="00356CE9"/>
    <w:rsid w:val="003570BB"/>
    <w:rsid w:val="00357128"/>
    <w:rsid w:val="0035755E"/>
    <w:rsid w:val="00357A80"/>
    <w:rsid w:val="00361441"/>
    <w:rsid w:val="00361B8B"/>
    <w:rsid w:val="00363F39"/>
    <w:rsid w:val="003640FC"/>
    <w:rsid w:val="0036445C"/>
    <w:rsid w:val="00364627"/>
    <w:rsid w:val="00364AB0"/>
    <w:rsid w:val="00364D71"/>
    <w:rsid w:val="00365579"/>
    <w:rsid w:val="003667B0"/>
    <w:rsid w:val="003667DD"/>
    <w:rsid w:val="00366B48"/>
    <w:rsid w:val="00367764"/>
    <w:rsid w:val="00370316"/>
    <w:rsid w:val="00370DC7"/>
    <w:rsid w:val="00371CBD"/>
    <w:rsid w:val="00371F20"/>
    <w:rsid w:val="003721E3"/>
    <w:rsid w:val="00372B98"/>
    <w:rsid w:val="003737B7"/>
    <w:rsid w:val="0037392D"/>
    <w:rsid w:val="003739D4"/>
    <w:rsid w:val="003740CC"/>
    <w:rsid w:val="003745F4"/>
    <w:rsid w:val="0037491A"/>
    <w:rsid w:val="00374E79"/>
    <w:rsid w:val="0037529A"/>
    <w:rsid w:val="00375388"/>
    <w:rsid w:val="00375559"/>
    <w:rsid w:val="00375FB9"/>
    <w:rsid w:val="00376170"/>
    <w:rsid w:val="00376851"/>
    <w:rsid w:val="00376FA2"/>
    <w:rsid w:val="00377133"/>
    <w:rsid w:val="00377A3B"/>
    <w:rsid w:val="00377E3C"/>
    <w:rsid w:val="00380874"/>
    <w:rsid w:val="00380BBE"/>
    <w:rsid w:val="00381D70"/>
    <w:rsid w:val="0038235E"/>
    <w:rsid w:val="003829D0"/>
    <w:rsid w:val="0038326A"/>
    <w:rsid w:val="0038444F"/>
    <w:rsid w:val="003861F0"/>
    <w:rsid w:val="00387051"/>
    <w:rsid w:val="00387ECF"/>
    <w:rsid w:val="0039021B"/>
    <w:rsid w:val="003903F7"/>
    <w:rsid w:val="00390429"/>
    <w:rsid w:val="00390666"/>
    <w:rsid w:val="003906A0"/>
    <w:rsid w:val="00391E03"/>
    <w:rsid w:val="003931AF"/>
    <w:rsid w:val="0039366C"/>
    <w:rsid w:val="00393EC8"/>
    <w:rsid w:val="00395E42"/>
    <w:rsid w:val="00396409"/>
    <w:rsid w:val="00396A2D"/>
    <w:rsid w:val="00396FC3"/>
    <w:rsid w:val="003A1A94"/>
    <w:rsid w:val="003A204E"/>
    <w:rsid w:val="003A2D25"/>
    <w:rsid w:val="003A5728"/>
    <w:rsid w:val="003A60AB"/>
    <w:rsid w:val="003A60E7"/>
    <w:rsid w:val="003A7092"/>
    <w:rsid w:val="003A72A1"/>
    <w:rsid w:val="003A7611"/>
    <w:rsid w:val="003A7D1F"/>
    <w:rsid w:val="003B0A61"/>
    <w:rsid w:val="003B0B6A"/>
    <w:rsid w:val="003B22F7"/>
    <w:rsid w:val="003B29CF"/>
    <w:rsid w:val="003B3A90"/>
    <w:rsid w:val="003B3D01"/>
    <w:rsid w:val="003B534F"/>
    <w:rsid w:val="003B751E"/>
    <w:rsid w:val="003B7A79"/>
    <w:rsid w:val="003C0659"/>
    <w:rsid w:val="003C0FE1"/>
    <w:rsid w:val="003C151A"/>
    <w:rsid w:val="003C350C"/>
    <w:rsid w:val="003C3903"/>
    <w:rsid w:val="003C3BA0"/>
    <w:rsid w:val="003C4580"/>
    <w:rsid w:val="003C5658"/>
    <w:rsid w:val="003C5C5E"/>
    <w:rsid w:val="003C6746"/>
    <w:rsid w:val="003C7555"/>
    <w:rsid w:val="003C7898"/>
    <w:rsid w:val="003C7B16"/>
    <w:rsid w:val="003D0FF5"/>
    <w:rsid w:val="003D104E"/>
    <w:rsid w:val="003D11A3"/>
    <w:rsid w:val="003D1537"/>
    <w:rsid w:val="003D183C"/>
    <w:rsid w:val="003D2D1B"/>
    <w:rsid w:val="003D48C7"/>
    <w:rsid w:val="003D4C27"/>
    <w:rsid w:val="003D7109"/>
    <w:rsid w:val="003D7C75"/>
    <w:rsid w:val="003D7CE8"/>
    <w:rsid w:val="003E0514"/>
    <w:rsid w:val="003E1032"/>
    <w:rsid w:val="003E12C8"/>
    <w:rsid w:val="003E1904"/>
    <w:rsid w:val="003E1E29"/>
    <w:rsid w:val="003E285E"/>
    <w:rsid w:val="003E3124"/>
    <w:rsid w:val="003E3300"/>
    <w:rsid w:val="003E43D3"/>
    <w:rsid w:val="003E458E"/>
    <w:rsid w:val="003E48E1"/>
    <w:rsid w:val="003E50F4"/>
    <w:rsid w:val="003E59BB"/>
    <w:rsid w:val="003E6225"/>
    <w:rsid w:val="003E65AC"/>
    <w:rsid w:val="003E66AE"/>
    <w:rsid w:val="003E72B9"/>
    <w:rsid w:val="003E7612"/>
    <w:rsid w:val="003E7ED4"/>
    <w:rsid w:val="003F0E52"/>
    <w:rsid w:val="003F0F6B"/>
    <w:rsid w:val="003F1FC6"/>
    <w:rsid w:val="003F1FE3"/>
    <w:rsid w:val="003F2359"/>
    <w:rsid w:val="003F3232"/>
    <w:rsid w:val="003F3865"/>
    <w:rsid w:val="003F38AC"/>
    <w:rsid w:val="003F3D55"/>
    <w:rsid w:val="003F44E2"/>
    <w:rsid w:val="003F4632"/>
    <w:rsid w:val="003F47BA"/>
    <w:rsid w:val="003F4FE6"/>
    <w:rsid w:val="003F5638"/>
    <w:rsid w:val="003F59E9"/>
    <w:rsid w:val="003F6617"/>
    <w:rsid w:val="004019B1"/>
    <w:rsid w:val="00402332"/>
    <w:rsid w:val="004025C2"/>
    <w:rsid w:val="00403195"/>
    <w:rsid w:val="004033A9"/>
    <w:rsid w:val="00403E55"/>
    <w:rsid w:val="0040407C"/>
    <w:rsid w:val="0040416C"/>
    <w:rsid w:val="00404681"/>
    <w:rsid w:val="00405445"/>
    <w:rsid w:val="00405AC1"/>
    <w:rsid w:val="00406923"/>
    <w:rsid w:val="00407198"/>
    <w:rsid w:val="0040763D"/>
    <w:rsid w:val="00410D17"/>
    <w:rsid w:val="00410EBA"/>
    <w:rsid w:val="00412039"/>
    <w:rsid w:val="004127AF"/>
    <w:rsid w:val="00412AA9"/>
    <w:rsid w:val="00413442"/>
    <w:rsid w:val="00413821"/>
    <w:rsid w:val="00413BA5"/>
    <w:rsid w:val="004141A3"/>
    <w:rsid w:val="0041421A"/>
    <w:rsid w:val="00414909"/>
    <w:rsid w:val="0041582F"/>
    <w:rsid w:val="00416112"/>
    <w:rsid w:val="00417AE0"/>
    <w:rsid w:val="00417BAA"/>
    <w:rsid w:val="0042042B"/>
    <w:rsid w:val="00420B45"/>
    <w:rsid w:val="00420D7A"/>
    <w:rsid w:val="00421257"/>
    <w:rsid w:val="00422193"/>
    <w:rsid w:val="004223DE"/>
    <w:rsid w:val="00422A10"/>
    <w:rsid w:val="00424D17"/>
    <w:rsid w:val="00425DFD"/>
    <w:rsid w:val="004263A3"/>
    <w:rsid w:val="00427713"/>
    <w:rsid w:val="00427CCC"/>
    <w:rsid w:val="0043013A"/>
    <w:rsid w:val="00430421"/>
    <w:rsid w:val="00430A36"/>
    <w:rsid w:val="00430B4F"/>
    <w:rsid w:val="00431084"/>
    <w:rsid w:val="004310D7"/>
    <w:rsid w:val="004322D6"/>
    <w:rsid w:val="00432589"/>
    <w:rsid w:val="00432A94"/>
    <w:rsid w:val="00432C95"/>
    <w:rsid w:val="00433827"/>
    <w:rsid w:val="00433A40"/>
    <w:rsid w:val="00434B70"/>
    <w:rsid w:val="00435779"/>
    <w:rsid w:val="004360C8"/>
    <w:rsid w:val="00436823"/>
    <w:rsid w:val="004371D5"/>
    <w:rsid w:val="0044006B"/>
    <w:rsid w:val="0044033F"/>
    <w:rsid w:val="00440630"/>
    <w:rsid w:val="00440B89"/>
    <w:rsid w:val="00441F0F"/>
    <w:rsid w:val="00442965"/>
    <w:rsid w:val="004432B1"/>
    <w:rsid w:val="004432B6"/>
    <w:rsid w:val="00444157"/>
    <w:rsid w:val="0044417C"/>
    <w:rsid w:val="0044433F"/>
    <w:rsid w:val="00444DB3"/>
    <w:rsid w:val="00445617"/>
    <w:rsid w:val="00445A2F"/>
    <w:rsid w:val="0044684E"/>
    <w:rsid w:val="00446F22"/>
    <w:rsid w:val="0045019F"/>
    <w:rsid w:val="00450320"/>
    <w:rsid w:val="004503A4"/>
    <w:rsid w:val="0045052E"/>
    <w:rsid w:val="00450555"/>
    <w:rsid w:val="004506FA"/>
    <w:rsid w:val="00450DC6"/>
    <w:rsid w:val="004516A5"/>
    <w:rsid w:val="00451753"/>
    <w:rsid w:val="00451E9C"/>
    <w:rsid w:val="0045226B"/>
    <w:rsid w:val="0045280F"/>
    <w:rsid w:val="004535AE"/>
    <w:rsid w:val="0045444D"/>
    <w:rsid w:val="0045463A"/>
    <w:rsid w:val="00454AC9"/>
    <w:rsid w:val="00455050"/>
    <w:rsid w:val="004554A3"/>
    <w:rsid w:val="00455A6E"/>
    <w:rsid w:val="00455EAD"/>
    <w:rsid w:val="004578EB"/>
    <w:rsid w:val="004604D5"/>
    <w:rsid w:val="00460697"/>
    <w:rsid w:val="0046117B"/>
    <w:rsid w:val="00461FC2"/>
    <w:rsid w:val="004639AD"/>
    <w:rsid w:val="00464AB7"/>
    <w:rsid w:val="00465DE5"/>
    <w:rsid w:val="00467EF8"/>
    <w:rsid w:val="00470879"/>
    <w:rsid w:val="00472429"/>
    <w:rsid w:val="004725E5"/>
    <w:rsid w:val="00472751"/>
    <w:rsid w:val="00473128"/>
    <w:rsid w:val="00475078"/>
    <w:rsid w:val="00475767"/>
    <w:rsid w:val="004761F7"/>
    <w:rsid w:val="004779A0"/>
    <w:rsid w:val="004808E3"/>
    <w:rsid w:val="00481016"/>
    <w:rsid w:val="0048204C"/>
    <w:rsid w:val="004821BB"/>
    <w:rsid w:val="0048237A"/>
    <w:rsid w:val="00482698"/>
    <w:rsid w:val="004826FE"/>
    <w:rsid w:val="004827D5"/>
    <w:rsid w:val="00482AF2"/>
    <w:rsid w:val="004830C9"/>
    <w:rsid w:val="00483347"/>
    <w:rsid w:val="00483E2E"/>
    <w:rsid w:val="00484B69"/>
    <w:rsid w:val="00485406"/>
    <w:rsid w:val="0048590F"/>
    <w:rsid w:val="00486D60"/>
    <w:rsid w:val="00491049"/>
    <w:rsid w:val="00491FA1"/>
    <w:rsid w:val="00492A25"/>
    <w:rsid w:val="004938A3"/>
    <w:rsid w:val="0049558B"/>
    <w:rsid w:val="00496350"/>
    <w:rsid w:val="004971CE"/>
    <w:rsid w:val="0049797C"/>
    <w:rsid w:val="004A0DAD"/>
    <w:rsid w:val="004A1405"/>
    <w:rsid w:val="004A1FC6"/>
    <w:rsid w:val="004A2E5F"/>
    <w:rsid w:val="004A38C2"/>
    <w:rsid w:val="004A3C03"/>
    <w:rsid w:val="004A3DB7"/>
    <w:rsid w:val="004A463B"/>
    <w:rsid w:val="004A5088"/>
    <w:rsid w:val="004A5255"/>
    <w:rsid w:val="004A6CB0"/>
    <w:rsid w:val="004A70FF"/>
    <w:rsid w:val="004A7EDE"/>
    <w:rsid w:val="004B0D93"/>
    <w:rsid w:val="004B1FA4"/>
    <w:rsid w:val="004B23EC"/>
    <w:rsid w:val="004B29AC"/>
    <w:rsid w:val="004B35DF"/>
    <w:rsid w:val="004B3627"/>
    <w:rsid w:val="004B4922"/>
    <w:rsid w:val="004B57DF"/>
    <w:rsid w:val="004B5976"/>
    <w:rsid w:val="004B60F7"/>
    <w:rsid w:val="004B6A0C"/>
    <w:rsid w:val="004B722E"/>
    <w:rsid w:val="004B72E8"/>
    <w:rsid w:val="004C01A5"/>
    <w:rsid w:val="004C0412"/>
    <w:rsid w:val="004C2138"/>
    <w:rsid w:val="004C3940"/>
    <w:rsid w:val="004C51FD"/>
    <w:rsid w:val="004C65A8"/>
    <w:rsid w:val="004C6689"/>
    <w:rsid w:val="004C691F"/>
    <w:rsid w:val="004D139A"/>
    <w:rsid w:val="004D14DC"/>
    <w:rsid w:val="004D17C6"/>
    <w:rsid w:val="004D2858"/>
    <w:rsid w:val="004D2E49"/>
    <w:rsid w:val="004D35BA"/>
    <w:rsid w:val="004D38E5"/>
    <w:rsid w:val="004D3C5A"/>
    <w:rsid w:val="004D449A"/>
    <w:rsid w:val="004D4701"/>
    <w:rsid w:val="004D47C7"/>
    <w:rsid w:val="004D4AD8"/>
    <w:rsid w:val="004D4B2B"/>
    <w:rsid w:val="004D4F35"/>
    <w:rsid w:val="004D51EE"/>
    <w:rsid w:val="004D5D45"/>
    <w:rsid w:val="004D618D"/>
    <w:rsid w:val="004D62A9"/>
    <w:rsid w:val="004D6FC3"/>
    <w:rsid w:val="004D7476"/>
    <w:rsid w:val="004D7716"/>
    <w:rsid w:val="004E0306"/>
    <w:rsid w:val="004E0572"/>
    <w:rsid w:val="004E1641"/>
    <w:rsid w:val="004E1686"/>
    <w:rsid w:val="004E1818"/>
    <w:rsid w:val="004E1990"/>
    <w:rsid w:val="004E25A8"/>
    <w:rsid w:val="004E3930"/>
    <w:rsid w:val="004E3ED9"/>
    <w:rsid w:val="004E5866"/>
    <w:rsid w:val="004E6097"/>
    <w:rsid w:val="004E61EF"/>
    <w:rsid w:val="004E63C6"/>
    <w:rsid w:val="004E67AC"/>
    <w:rsid w:val="004E76A7"/>
    <w:rsid w:val="004E7B03"/>
    <w:rsid w:val="004F0064"/>
    <w:rsid w:val="004F06AC"/>
    <w:rsid w:val="004F0E50"/>
    <w:rsid w:val="004F1D2A"/>
    <w:rsid w:val="004F243F"/>
    <w:rsid w:val="004F252C"/>
    <w:rsid w:val="004F36A3"/>
    <w:rsid w:val="004F3E0C"/>
    <w:rsid w:val="004F4308"/>
    <w:rsid w:val="004F7160"/>
    <w:rsid w:val="00500258"/>
    <w:rsid w:val="00500B2D"/>
    <w:rsid w:val="00501A99"/>
    <w:rsid w:val="00503180"/>
    <w:rsid w:val="005038A4"/>
    <w:rsid w:val="00505450"/>
    <w:rsid w:val="005100B7"/>
    <w:rsid w:val="005105DE"/>
    <w:rsid w:val="005113C9"/>
    <w:rsid w:val="00512050"/>
    <w:rsid w:val="00512055"/>
    <w:rsid w:val="0051280C"/>
    <w:rsid w:val="00512842"/>
    <w:rsid w:val="005128BE"/>
    <w:rsid w:val="0051356F"/>
    <w:rsid w:val="00513E7C"/>
    <w:rsid w:val="005140BB"/>
    <w:rsid w:val="005142C6"/>
    <w:rsid w:val="00514FBE"/>
    <w:rsid w:val="00514FD9"/>
    <w:rsid w:val="0051550A"/>
    <w:rsid w:val="0051608F"/>
    <w:rsid w:val="00516480"/>
    <w:rsid w:val="00520815"/>
    <w:rsid w:val="00520843"/>
    <w:rsid w:val="00520EF8"/>
    <w:rsid w:val="005210F7"/>
    <w:rsid w:val="00521753"/>
    <w:rsid w:val="00521F1C"/>
    <w:rsid w:val="0052239D"/>
    <w:rsid w:val="005224EE"/>
    <w:rsid w:val="00522879"/>
    <w:rsid w:val="00523BB1"/>
    <w:rsid w:val="00524B23"/>
    <w:rsid w:val="0052570E"/>
    <w:rsid w:val="005260CD"/>
    <w:rsid w:val="00526265"/>
    <w:rsid w:val="0052655D"/>
    <w:rsid w:val="005265E0"/>
    <w:rsid w:val="00526BC3"/>
    <w:rsid w:val="00531761"/>
    <w:rsid w:val="0053248F"/>
    <w:rsid w:val="00532561"/>
    <w:rsid w:val="005327AB"/>
    <w:rsid w:val="00532AB8"/>
    <w:rsid w:val="00532D98"/>
    <w:rsid w:val="0053332A"/>
    <w:rsid w:val="0053358A"/>
    <w:rsid w:val="00534668"/>
    <w:rsid w:val="00534DDD"/>
    <w:rsid w:val="00535291"/>
    <w:rsid w:val="00535A94"/>
    <w:rsid w:val="00537874"/>
    <w:rsid w:val="0053795F"/>
    <w:rsid w:val="00537D3D"/>
    <w:rsid w:val="00540511"/>
    <w:rsid w:val="00540578"/>
    <w:rsid w:val="00540808"/>
    <w:rsid w:val="0054080E"/>
    <w:rsid w:val="00540D1A"/>
    <w:rsid w:val="00540EA1"/>
    <w:rsid w:val="00541E5A"/>
    <w:rsid w:val="0054358E"/>
    <w:rsid w:val="00543AF4"/>
    <w:rsid w:val="00543F53"/>
    <w:rsid w:val="00544191"/>
    <w:rsid w:val="0054440C"/>
    <w:rsid w:val="005448EC"/>
    <w:rsid w:val="00544C0A"/>
    <w:rsid w:val="00544F39"/>
    <w:rsid w:val="005457FB"/>
    <w:rsid w:val="005458CD"/>
    <w:rsid w:val="00546F89"/>
    <w:rsid w:val="00546F90"/>
    <w:rsid w:val="00547EFB"/>
    <w:rsid w:val="005522F2"/>
    <w:rsid w:val="005531DF"/>
    <w:rsid w:val="00553874"/>
    <w:rsid w:val="00554577"/>
    <w:rsid w:val="00554AD8"/>
    <w:rsid w:val="00554F78"/>
    <w:rsid w:val="00555DA1"/>
    <w:rsid w:val="00556366"/>
    <w:rsid w:val="005565DF"/>
    <w:rsid w:val="00556BF7"/>
    <w:rsid w:val="00556E53"/>
    <w:rsid w:val="00557F60"/>
    <w:rsid w:val="00561730"/>
    <w:rsid w:val="00561B97"/>
    <w:rsid w:val="00562084"/>
    <w:rsid w:val="00562149"/>
    <w:rsid w:val="005640EB"/>
    <w:rsid w:val="00567B5D"/>
    <w:rsid w:val="00570757"/>
    <w:rsid w:val="00573733"/>
    <w:rsid w:val="00573F8B"/>
    <w:rsid w:val="00574528"/>
    <w:rsid w:val="00574554"/>
    <w:rsid w:val="00574737"/>
    <w:rsid w:val="00574E06"/>
    <w:rsid w:val="005751BB"/>
    <w:rsid w:val="00576089"/>
    <w:rsid w:val="00576415"/>
    <w:rsid w:val="005764B1"/>
    <w:rsid w:val="00576852"/>
    <w:rsid w:val="00576D06"/>
    <w:rsid w:val="005779E4"/>
    <w:rsid w:val="00577A03"/>
    <w:rsid w:val="00580EC7"/>
    <w:rsid w:val="0058283D"/>
    <w:rsid w:val="0058289C"/>
    <w:rsid w:val="005835A5"/>
    <w:rsid w:val="005836C7"/>
    <w:rsid w:val="0058408E"/>
    <w:rsid w:val="00585374"/>
    <w:rsid w:val="005854CA"/>
    <w:rsid w:val="00585FAB"/>
    <w:rsid w:val="005901F7"/>
    <w:rsid w:val="00590B77"/>
    <w:rsid w:val="00590D9A"/>
    <w:rsid w:val="005913A3"/>
    <w:rsid w:val="005940D4"/>
    <w:rsid w:val="00594A7B"/>
    <w:rsid w:val="0059580E"/>
    <w:rsid w:val="00595D90"/>
    <w:rsid w:val="00596A6F"/>
    <w:rsid w:val="00596D75"/>
    <w:rsid w:val="00596FCE"/>
    <w:rsid w:val="005A11BC"/>
    <w:rsid w:val="005A11CC"/>
    <w:rsid w:val="005A1525"/>
    <w:rsid w:val="005A1E17"/>
    <w:rsid w:val="005A24EF"/>
    <w:rsid w:val="005A252B"/>
    <w:rsid w:val="005A2A8F"/>
    <w:rsid w:val="005A2FDF"/>
    <w:rsid w:val="005A3204"/>
    <w:rsid w:val="005A3341"/>
    <w:rsid w:val="005A3C3D"/>
    <w:rsid w:val="005A46EC"/>
    <w:rsid w:val="005A5EAE"/>
    <w:rsid w:val="005A6407"/>
    <w:rsid w:val="005A726C"/>
    <w:rsid w:val="005B07EC"/>
    <w:rsid w:val="005B2B11"/>
    <w:rsid w:val="005B32A4"/>
    <w:rsid w:val="005B3371"/>
    <w:rsid w:val="005B338D"/>
    <w:rsid w:val="005B33A1"/>
    <w:rsid w:val="005B3852"/>
    <w:rsid w:val="005B3BAF"/>
    <w:rsid w:val="005B4DA3"/>
    <w:rsid w:val="005B5BEE"/>
    <w:rsid w:val="005B77D2"/>
    <w:rsid w:val="005C019B"/>
    <w:rsid w:val="005C08D0"/>
    <w:rsid w:val="005C1AED"/>
    <w:rsid w:val="005C2136"/>
    <w:rsid w:val="005C2D8A"/>
    <w:rsid w:val="005C30F5"/>
    <w:rsid w:val="005C51A5"/>
    <w:rsid w:val="005C557A"/>
    <w:rsid w:val="005C566F"/>
    <w:rsid w:val="005C5C47"/>
    <w:rsid w:val="005C5C89"/>
    <w:rsid w:val="005C61DD"/>
    <w:rsid w:val="005C6438"/>
    <w:rsid w:val="005C6B8B"/>
    <w:rsid w:val="005C727F"/>
    <w:rsid w:val="005D02E3"/>
    <w:rsid w:val="005D1F34"/>
    <w:rsid w:val="005D2C1F"/>
    <w:rsid w:val="005D34B2"/>
    <w:rsid w:val="005D3B54"/>
    <w:rsid w:val="005D40CD"/>
    <w:rsid w:val="005D6B59"/>
    <w:rsid w:val="005D784B"/>
    <w:rsid w:val="005E03E4"/>
    <w:rsid w:val="005E0454"/>
    <w:rsid w:val="005E05F6"/>
    <w:rsid w:val="005E2442"/>
    <w:rsid w:val="005E3111"/>
    <w:rsid w:val="005E3CA0"/>
    <w:rsid w:val="005E3F85"/>
    <w:rsid w:val="005E4A5F"/>
    <w:rsid w:val="005E57B0"/>
    <w:rsid w:val="005E5B01"/>
    <w:rsid w:val="005E6D3B"/>
    <w:rsid w:val="005F009E"/>
    <w:rsid w:val="005F0DF1"/>
    <w:rsid w:val="005F1516"/>
    <w:rsid w:val="005F229E"/>
    <w:rsid w:val="005F2564"/>
    <w:rsid w:val="005F3822"/>
    <w:rsid w:val="005F4635"/>
    <w:rsid w:val="005F4900"/>
    <w:rsid w:val="005F4E52"/>
    <w:rsid w:val="005F572D"/>
    <w:rsid w:val="005F6181"/>
    <w:rsid w:val="005F6338"/>
    <w:rsid w:val="005F6D58"/>
    <w:rsid w:val="005F7383"/>
    <w:rsid w:val="0060058E"/>
    <w:rsid w:val="00602A3C"/>
    <w:rsid w:val="00603EFD"/>
    <w:rsid w:val="0060475B"/>
    <w:rsid w:val="00604BED"/>
    <w:rsid w:val="00604FB6"/>
    <w:rsid w:val="00605387"/>
    <w:rsid w:val="00606302"/>
    <w:rsid w:val="00606D8C"/>
    <w:rsid w:val="006076FD"/>
    <w:rsid w:val="0061143F"/>
    <w:rsid w:val="006114D8"/>
    <w:rsid w:val="00613553"/>
    <w:rsid w:val="00613601"/>
    <w:rsid w:val="00613791"/>
    <w:rsid w:val="00614AF6"/>
    <w:rsid w:val="006150D6"/>
    <w:rsid w:val="00615245"/>
    <w:rsid w:val="0061590D"/>
    <w:rsid w:val="0061732A"/>
    <w:rsid w:val="00617EEE"/>
    <w:rsid w:val="00620A1F"/>
    <w:rsid w:val="0062169D"/>
    <w:rsid w:val="0062181E"/>
    <w:rsid w:val="0062211B"/>
    <w:rsid w:val="00622BB7"/>
    <w:rsid w:val="00622C1E"/>
    <w:rsid w:val="00623389"/>
    <w:rsid w:val="00623DAA"/>
    <w:rsid w:val="00623FAF"/>
    <w:rsid w:val="006265C4"/>
    <w:rsid w:val="0062670C"/>
    <w:rsid w:val="0062678A"/>
    <w:rsid w:val="006270AF"/>
    <w:rsid w:val="006311E2"/>
    <w:rsid w:val="00633C69"/>
    <w:rsid w:val="00634367"/>
    <w:rsid w:val="006359B3"/>
    <w:rsid w:val="00640082"/>
    <w:rsid w:val="00640291"/>
    <w:rsid w:val="00640EFE"/>
    <w:rsid w:val="00641D6D"/>
    <w:rsid w:val="00641FAC"/>
    <w:rsid w:val="00643664"/>
    <w:rsid w:val="00643CAA"/>
    <w:rsid w:val="00644F16"/>
    <w:rsid w:val="006453F1"/>
    <w:rsid w:val="006455EB"/>
    <w:rsid w:val="006456C2"/>
    <w:rsid w:val="00645A65"/>
    <w:rsid w:val="006477F0"/>
    <w:rsid w:val="006478E4"/>
    <w:rsid w:val="0065171A"/>
    <w:rsid w:val="00652680"/>
    <w:rsid w:val="00652E4A"/>
    <w:rsid w:val="00653CDE"/>
    <w:rsid w:val="00654585"/>
    <w:rsid w:val="0065566E"/>
    <w:rsid w:val="00655AB6"/>
    <w:rsid w:val="00656061"/>
    <w:rsid w:val="00656281"/>
    <w:rsid w:val="0065636A"/>
    <w:rsid w:val="00657003"/>
    <w:rsid w:val="00660238"/>
    <w:rsid w:val="006602EF"/>
    <w:rsid w:val="00661277"/>
    <w:rsid w:val="006619E0"/>
    <w:rsid w:val="00663AE1"/>
    <w:rsid w:val="00663FEA"/>
    <w:rsid w:val="00664803"/>
    <w:rsid w:val="006657C5"/>
    <w:rsid w:val="006661A4"/>
    <w:rsid w:val="00666AC0"/>
    <w:rsid w:val="006670E0"/>
    <w:rsid w:val="006671B8"/>
    <w:rsid w:val="00667275"/>
    <w:rsid w:val="00667532"/>
    <w:rsid w:val="0066783E"/>
    <w:rsid w:val="00667E53"/>
    <w:rsid w:val="006711C4"/>
    <w:rsid w:val="006713AB"/>
    <w:rsid w:val="00672CA5"/>
    <w:rsid w:val="00673711"/>
    <w:rsid w:val="00673F82"/>
    <w:rsid w:val="00674F74"/>
    <w:rsid w:val="0067508F"/>
    <w:rsid w:val="00677576"/>
    <w:rsid w:val="0068051E"/>
    <w:rsid w:val="00680B9D"/>
    <w:rsid w:val="00681F13"/>
    <w:rsid w:val="0068231C"/>
    <w:rsid w:val="00682344"/>
    <w:rsid w:val="00682F28"/>
    <w:rsid w:val="00683515"/>
    <w:rsid w:val="00684842"/>
    <w:rsid w:val="006859AA"/>
    <w:rsid w:val="00685BD6"/>
    <w:rsid w:val="00687116"/>
    <w:rsid w:val="006878A6"/>
    <w:rsid w:val="00687D5F"/>
    <w:rsid w:val="00690022"/>
    <w:rsid w:val="00690437"/>
    <w:rsid w:val="00690679"/>
    <w:rsid w:val="00690DC3"/>
    <w:rsid w:val="00690E65"/>
    <w:rsid w:val="00690FB5"/>
    <w:rsid w:val="006911B7"/>
    <w:rsid w:val="00691387"/>
    <w:rsid w:val="0069188E"/>
    <w:rsid w:val="00691974"/>
    <w:rsid w:val="00692BF6"/>
    <w:rsid w:val="00692CE6"/>
    <w:rsid w:val="00693186"/>
    <w:rsid w:val="00693381"/>
    <w:rsid w:val="00693B6C"/>
    <w:rsid w:val="006942AE"/>
    <w:rsid w:val="00695421"/>
    <w:rsid w:val="006956FF"/>
    <w:rsid w:val="00697BD3"/>
    <w:rsid w:val="00697DFA"/>
    <w:rsid w:val="006A16D5"/>
    <w:rsid w:val="006A1772"/>
    <w:rsid w:val="006A1780"/>
    <w:rsid w:val="006A21DD"/>
    <w:rsid w:val="006A26C6"/>
    <w:rsid w:val="006A3302"/>
    <w:rsid w:val="006A3B28"/>
    <w:rsid w:val="006A418C"/>
    <w:rsid w:val="006A4FEE"/>
    <w:rsid w:val="006A5549"/>
    <w:rsid w:val="006A703E"/>
    <w:rsid w:val="006A7BE3"/>
    <w:rsid w:val="006A7D32"/>
    <w:rsid w:val="006B01D1"/>
    <w:rsid w:val="006B0DF4"/>
    <w:rsid w:val="006B16EA"/>
    <w:rsid w:val="006B1780"/>
    <w:rsid w:val="006B224E"/>
    <w:rsid w:val="006B376E"/>
    <w:rsid w:val="006B4589"/>
    <w:rsid w:val="006B4A81"/>
    <w:rsid w:val="006B5157"/>
    <w:rsid w:val="006B610E"/>
    <w:rsid w:val="006B6805"/>
    <w:rsid w:val="006B6C07"/>
    <w:rsid w:val="006B6DE0"/>
    <w:rsid w:val="006C0132"/>
    <w:rsid w:val="006C16C3"/>
    <w:rsid w:val="006C2187"/>
    <w:rsid w:val="006C32F4"/>
    <w:rsid w:val="006C3C54"/>
    <w:rsid w:val="006C4B6B"/>
    <w:rsid w:val="006C4CE1"/>
    <w:rsid w:val="006C4F9F"/>
    <w:rsid w:val="006C653C"/>
    <w:rsid w:val="006C71A2"/>
    <w:rsid w:val="006C73EC"/>
    <w:rsid w:val="006C7E3D"/>
    <w:rsid w:val="006D0C1D"/>
    <w:rsid w:val="006D2E9D"/>
    <w:rsid w:val="006D4A4E"/>
    <w:rsid w:val="006D4C42"/>
    <w:rsid w:val="006D5389"/>
    <w:rsid w:val="006D53A2"/>
    <w:rsid w:val="006D5809"/>
    <w:rsid w:val="006D607E"/>
    <w:rsid w:val="006D6E12"/>
    <w:rsid w:val="006D70CB"/>
    <w:rsid w:val="006D715C"/>
    <w:rsid w:val="006D7363"/>
    <w:rsid w:val="006D774E"/>
    <w:rsid w:val="006E0754"/>
    <w:rsid w:val="006E2668"/>
    <w:rsid w:val="006E2D39"/>
    <w:rsid w:val="006E2D63"/>
    <w:rsid w:val="006E32B0"/>
    <w:rsid w:val="006E348E"/>
    <w:rsid w:val="006E396A"/>
    <w:rsid w:val="006E3D63"/>
    <w:rsid w:val="006E585E"/>
    <w:rsid w:val="006E58BF"/>
    <w:rsid w:val="006E5DD8"/>
    <w:rsid w:val="006E5EA1"/>
    <w:rsid w:val="006E6DEE"/>
    <w:rsid w:val="006E7D4B"/>
    <w:rsid w:val="006F0527"/>
    <w:rsid w:val="006F0760"/>
    <w:rsid w:val="006F11E2"/>
    <w:rsid w:val="006F2574"/>
    <w:rsid w:val="006F3231"/>
    <w:rsid w:val="006F3DE3"/>
    <w:rsid w:val="006F4787"/>
    <w:rsid w:val="006F4BE6"/>
    <w:rsid w:val="006F61D8"/>
    <w:rsid w:val="006F62B7"/>
    <w:rsid w:val="006F70BC"/>
    <w:rsid w:val="006F726C"/>
    <w:rsid w:val="006F7E7C"/>
    <w:rsid w:val="0070174E"/>
    <w:rsid w:val="007018DB"/>
    <w:rsid w:val="00701DE6"/>
    <w:rsid w:val="00702740"/>
    <w:rsid w:val="0070381B"/>
    <w:rsid w:val="0070796C"/>
    <w:rsid w:val="007109BB"/>
    <w:rsid w:val="00710EBF"/>
    <w:rsid w:val="007110B8"/>
    <w:rsid w:val="0071209F"/>
    <w:rsid w:val="007121DA"/>
    <w:rsid w:val="007125A2"/>
    <w:rsid w:val="00712656"/>
    <w:rsid w:val="00713DD9"/>
    <w:rsid w:val="00713F79"/>
    <w:rsid w:val="007148A8"/>
    <w:rsid w:val="00716AC8"/>
    <w:rsid w:val="00716E54"/>
    <w:rsid w:val="0072033C"/>
    <w:rsid w:val="00720B1B"/>
    <w:rsid w:val="00720EDC"/>
    <w:rsid w:val="00721062"/>
    <w:rsid w:val="00721E5D"/>
    <w:rsid w:val="007229D4"/>
    <w:rsid w:val="007230F8"/>
    <w:rsid w:val="0072318A"/>
    <w:rsid w:val="007233F4"/>
    <w:rsid w:val="00724044"/>
    <w:rsid w:val="007248D3"/>
    <w:rsid w:val="00724DF8"/>
    <w:rsid w:val="00725137"/>
    <w:rsid w:val="00725378"/>
    <w:rsid w:val="00727A43"/>
    <w:rsid w:val="00727FF2"/>
    <w:rsid w:val="00730550"/>
    <w:rsid w:val="00730C2A"/>
    <w:rsid w:val="00730FB4"/>
    <w:rsid w:val="00731434"/>
    <w:rsid w:val="00731E59"/>
    <w:rsid w:val="00731F63"/>
    <w:rsid w:val="007323E0"/>
    <w:rsid w:val="00732911"/>
    <w:rsid w:val="00732B4E"/>
    <w:rsid w:val="0073360F"/>
    <w:rsid w:val="00733721"/>
    <w:rsid w:val="00733DE2"/>
    <w:rsid w:val="00734142"/>
    <w:rsid w:val="007352EA"/>
    <w:rsid w:val="0073792F"/>
    <w:rsid w:val="00740C81"/>
    <w:rsid w:val="00740DA6"/>
    <w:rsid w:val="00741B4B"/>
    <w:rsid w:val="00741D1E"/>
    <w:rsid w:val="00741DD6"/>
    <w:rsid w:val="00741EE2"/>
    <w:rsid w:val="0074207F"/>
    <w:rsid w:val="00742367"/>
    <w:rsid w:val="00742EAA"/>
    <w:rsid w:val="00743360"/>
    <w:rsid w:val="00743818"/>
    <w:rsid w:val="00743857"/>
    <w:rsid w:val="007441FB"/>
    <w:rsid w:val="00744517"/>
    <w:rsid w:val="0074522A"/>
    <w:rsid w:val="00747295"/>
    <w:rsid w:val="00747386"/>
    <w:rsid w:val="00747829"/>
    <w:rsid w:val="00747DE2"/>
    <w:rsid w:val="007502D0"/>
    <w:rsid w:val="007504BF"/>
    <w:rsid w:val="007506CD"/>
    <w:rsid w:val="0075267F"/>
    <w:rsid w:val="007526EC"/>
    <w:rsid w:val="00753C48"/>
    <w:rsid w:val="00754250"/>
    <w:rsid w:val="00754FE4"/>
    <w:rsid w:val="00755216"/>
    <w:rsid w:val="00756236"/>
    <w:rsid w:val="00756271"/>
    <w:rsid w:val="00756348"/>
    <w:rsid w:val="0075641E"/>
    <w:rsid w:val="00756521"/>
    <w:rsid w:val="00756AB7"/>
    <w:rsid w:val="00757053"/>
    <w:rsid w:val="00757673"/>
    <w:rsid w:val="0076106D"/>
    <w:rsid w:val="007623FB"/>
    <w:rsid w:val="00762517"/>
    <w:rsid w:val="00763240"/>
    <w:rsid w:val="0076354C"/>
    <w:rsid w:val="0076376A"/>
    <w:rsid w:val="007648AD"/>
    <w:rsid w:val="0076504E"/>
    <w:rsid w:val="00767BFD"/>
    <w:rsid w:val="00767EA0"/>
    <w:rsid w:val="0077068F"/>
    <w:rsid w:val="00771EDF"/>
    <w:rsid w:val="00771FEC"/>
    <w:rsid w:val="007724B4"/>
    <w:rsid w:val="00772A90"/>
    <w:rsid w:val="00772F8D"/>
    <w:rsid w:val="0077408D"/>
    <w:rsid w:val="00774270"/>
    <w:rsid w:val="007743F6"/>
    <w:rsid w:val="00775679"/>
    <w:rsid w:val="0077574F"/>
    <w:rsid w:val="00775823"/>
    <w:rsid w:val="00777153"/>
    <w:rsid w:val="007774D0"/>
    <w:rsid w:val="007777CC"/>
    <w:rsid w:val="00777B32"/>
    <w:rsid w:val="0078051E"/>
    <w:rsid w:val="00781089"/>
    <w:rsid w:val="00782B6A"/>
    <w:rsid w:val="007834AD"/>
    <w:rsid w:val="007838F3"/>
    <w:rsid w:val="00785184"/>
    <w:rsid w:val="007856FE"/>
    <w:rsid w:val="00785F46"/>
    <w:rsid w:val="007865F4"/>
    <w:rsid w:val="00786D5C"/>
    <w:rsid w:val="00786E96"/>
    <w:rsid w:val="00787BB6"/>
    <w:rsid w:val="00787DFF"/>
    <w:rsid w:val="00787F93"/>
    <w:rsid w:val="00791E6D"/>
    <w:rsid w:val="00791EB5"/>
    <w:rsid w:val="00793307"/>
    <w:rsid w:val="0079343F"/>
    <w:rsid w:val="00793696"/>
    <w:rsid w:val="007955DA"/>
    <w:rsid w:val="00796F65"/>
    <w:rsid w:val="007A11C2"/>
    <w:rsid w:val="007A18BB"/>
    <w:rsid w:val="007A27DD"/>
    <w:rsid w:val="007A41BF"/>
    <w:rsid w:val="007A490A"/>
    <w:rsid w:val="007A6268"/>
    <w:rsid w:val="007A7B95"/>
    <w:rsid w:val="007B0297"/>
    <w:rsid w:val="007B02FA"/>
    <w:rsid w:val="007B08C7"/>
    <w:rsid w:val="007B0F53"/>
    <w:rsid w:val="007B21AE"/>
    <w:rsid w:val="007B2570"/>
    <w:rsid w:val="007B3113"/>
    <w:rsid w:val="007B3304"/>
    <w:rsid w:val="007B3BF0"/>
    <w:rsid w:val="007B55FE"/>
    <w:rsid w:val="007B7490"/>
    <w:rsid w:val="007C0525"/>
    <w:rsid w:val="007C13F7"/>
    <w:rsid w:val="007C152F"/>
    <w:rsid w:val="007C218D"/>
    <w:rsid w:val="007C2D28"/>
    <w:rsid w:val="007C3E22"/>
    <w:rsid w:val="007C4E19"/>
    <w:rsid w:val="007C58C1"/>
    <w:rsid w:val="007C6218"/>
    <w:rsid w:val="007C6484"/>
    <w:rsid w:val="007C67C6"/>
    <w:rsid w:val="007C78BE"/>
    <w:rsid w:val="007C7A5D"/>
    <w:rsid w:val="007C7E59"/>
    <w:rsid w:val="007D0476"/>
    <w:rsid w:val="007D0B91"/>
    <w:rsid w:val="007D1452"/>
    <w:rsid w:val="007D1563"/>
    <w:rsid w:val="007D3DCB"/>
    <w:rsid w:val="007D460C"/>
    <w:rsid w:val="007D4996"/>
    <w:rsid w:val="007D4AD3"/>
    <w:rsid w:val="007D4B4D"/>
    <w:rsid w:val="007D5D19"/>
    <w:rsid w:val="007D5FDC"/>
    <w:rsid w:val="007D6176"/>
    <w:rsid w:val="007D69CD"/>
    <w:rsid w:val="007D6D68"/>
    <w:rsid w:val="007E1D01"/>
    <w:rsid w:val="007E32DA"/>
    <w:rsid w:val="007E4998"/>
    <w:rsid w:val="007E4A9C"/>
    <w:rsid w:val="007E6914"/>
    <w:rsid w:val="007E7F78"/>
    <w:rsid w:val="007F0179"/>
    <w:rsid w:val="007F2C13"/>
    <w:rsid w:val="007F2CEC"/>
    <w:rsid w:val="007F3327"/>
    <w:rsid w:val="007F3435"/>
    <w:rsid w:val="007F531B"/>
    <w:rsid w:val="007F55DE"/>
    <w:rsid w:val="007F762D"/>
    <w:rsid w:val="007F78F0"/>
    <w:rsid w:val="007F78FF"/>
    <w:rsid w:val="008001C5"/>
    <w:rsid w:val="00800F6C"/>
    <w:rsid w:val="00801065"/>
    <w:rsid w:val="00802C0B"/>
    <w:rsid w:val="00805040"/>
    <w:rsid w:val="008051FC"/>
    <w:rsid w:val="008055A9"/>
    <w:rsid w:val="008056C4"/>
    <w:rsid w:val="008057FD"/>
    <w:rsid w:val="00805D8B"/>
    <w:rsid w:val="0081010F"/>
    <w:rsid w:val="00810A0B"/>
    <w:rsid w:val="00810BB6"/>
    <w:rsid w:val="00810E1F"/>
    <w:rsid w:val="00810E8E"/>
    <w:rsid w:val="00812C44"/>
    <w:rsid w:val="008135E1"/>
    <w:rsid w:val="00813779"/>
    <w:rsid w:val="00813E26"/>
    <w:rsid w:val="0081481D"/>
    <w:rsid w:val="00814BE8"/>
    <w:rsid w:val="00814F6E"/>
    <w:rsid w:val="00815B84"/>
    <w:rsid w:val="008166F6"/>
    <w:rsid w:val="00816BE9"/>
    <w:rsid w:val="00817D10"/>
    <w:rsid w:val="00822518"/>
    <w:rsid w:val="008226F5"/>
    <w:rsid w:val="00823109"/>
    <w:rsid w:val="00823FC6"/>
    <w:rsid w:val="00824306"/>
    <w:rsid w:val="00825C74"/>
    <w:rsid w:val="00825CFA"/>
    <w:rsid w:val="00826AB9"/>
    <w:rsid w:val="00826E0E"/>
    <w:rsid w:val="00827D11"/>
    <w:rsid w:val="00827E0F"/>
    <w:rsid w:val="00827F6E"/>
    <w:rsid w:val="00831758"/>
    <w:rsid w:val="008317D9"/>
    <w:rsid w:val="0083279F"/>
    <w:rsid w:val="00833250"/>
    <w:rsid w:val="008334DB"/>
    <w:rsid w:val="00833B7F"/>
    <w:rsid w:val="00833E8E"/>
    <w:rsid w:val="00834906"/>
    <w:rsid w:val="00836075"/>
    <w:rsid w:val="00836417"/>
    <w:rsid w:val="00837526"/>
    <w:rsid w:val="00837B5A"/>
    <w:rsid w:val="008407A7"/>
    <w:rsid w:val="0084322B"/>
    <w:rsid w:val="0084341D"/>
    <w:rsid w:val="00843711"/>
    <w:rsid w:val="00843F81"/>
    <w:rsid w:val="00844087"/>
    <w:rsid w:val="008448F1"/>
    <w:rsid w:val="0084519E"/>
    <w:rsid w:val="00845CAE"/>
    <w:rsid w:val="008462C5"/>
    <w:rsid w:val="00846370"/>
    <w:rsid w:val="00846873"/>
    <w:rsid w:val="008477E7"/>
    <w:rsid w:val="00847C2B"/>
    <w:rsid w:val="00850272"/>
    <w:rsid w:val="008506B9"/>
    <w:rsid w:val="0085086F"/>
    <w:rsid w:val="00851822"/>
    <w:rsid w:val="00851C16"/>
    <w:rsid w:val="008532BF"/>
    <w:rsid w:val="008539B2"/>
    <w:rsid w:val="00853BF4"/>
    <w:rsid w:val="00854294"/>
    <w:rsid w:val="00854295"/>
    <w:rsid w:val="0085572E"/>
    <w:rsid w:val="0085788B"/>
    <w:rsid w:val="00857A9E"/>
    <w:rsid w:val="00857DE2"/>
    <w:rsid w:val="0086003D"/>
    <w:rsid w:val="008607CC"/>
    <w:rsid w:val="00863A8E"/>
    <w:rsid w:val="00863B59"/>
    <w:rsid w:val="00864025"/>
    <w:rsid w:val="0086407F"/>
    <w:rsid w:val="008645E3"/>
    <w:rsid w:val="00864E79"/>
    <w:rsid w:val="0086661F"/>
    <w:rsid w:val="00866A0D"/>
    <w:rsid w:val="00866DB5"/>
    <w:rsid w:val="0086701D"/>
    <w:rsid w:val="0086702B"/>
    <w:rsid w:val="008672E2"/>
    <w:rsid w:val="0086784E"/>
    <w:rsid w:val="0087063A"/>
    <w:rsid w:val="0087121C"/>
    <w:rsid w:val="008719D4"/>
    <w:rsid w:val="00871FD2"/>
    <w:rsid w:val="00872084"/>
    <w:rsid w:val="00872827"/>
    <w:rsid w:val="00872A32"/>
    <w:rsid w:val="00874911"/>
    <w:rsid w:val="008754E4"/>
    <w:rsid w:val="00876EAE"/>
    <w:rsid w:val="00880106"/>
    <w:rsid w:val="00880F95"/>
    <w:rsid w:val="00882B44"/>
    <w:rsid w:val="008838AD"/>
    <w:rsid w:val="00885BC9"/>
    <w:rsid w:val="008864B3"/>
    <w:rsid w:val="008865E5"/>
    <w:rsid w:val="008871B0"/>
    <w:rsid w:val="00890B57"/>
    <w:rsid w:val="008916BA"/>
    <w:rsid w:val="00891DEB"/>
    <w:rsid w:val="0089217C"/>
    <w:rsid w:val="00892790"/>
    <w:rsid w:val="00893671"/>
    <w:rsid w:val="00894D50"/>
    <w:rsid w:val="00895838"/>
    <w:rsid w:val="00895A1E"/>
    <w:rsid w:val="00895A72"/>
    <w:rsid w:val="00895CDF"/>
    <w:rsid w:val="00896679"/>
    <w:rsid w:val="00896D8C"/>
    <w:rsid w:val="008A0FC9"/>
    <w:rsid w:val="008A1956"/>
    <w:rsid w:val="008A1A7C"/>
    <w:rsid w:val="008A2CE2"/>
    <w:rsid w:val="008A30EB"/>
    <w:rsid w:val="008A40D3"/>
    <w:rsid w:val="008A469C"/>
    <w:rsid w:val="008A51D1"/>
    <w:rsid w:val="008A5DCE"/>
    <w:rsid w:val="008A75D3"/>
    <w:rsid w:val="008B04AE"/>
    <w:rsid w:val="008B05DD"/>
    <w:rsid w:val="008B07B8"/>
    <w:rsid w:val="008B17E8"/>
    <w:rsid w:val="008B2E7C"/>
    <w:rsid w:val="008B368E"/>
    <w:rsid w:val="008B399A"/>
    <w:rsid w:val="008B45F0"/>
    <w:rsid w:val="008B4A70"/>
    <w:rsid w:val="008B502F"/>
    <w:rsid w:val="008B6DFC"/>
    <w:rsid w:val="008B7227"/>
    <w:rsid w:val="008B7B00"/>
    <w:rsid w:val="008C02FB"/>
    <w:rsid w:val="008C04E0"/>
    <w:rsid w:val="008C191C"/>
    <w:rsid w:val="008C1DA4"/>
    <w:rsid w:val="008C2138"/>
    <w:rsid w:val="008C29B0"/>
    <w:rsid w:val="008C2CD5"/>
    <w:rsid w:val="008C3618"/>
    <w:rsid w:val="008C39E7"/>
    <w:rsid w:val="008C3E75"/>
    <w:rsid w:val="008C43AD"/>
    <w:rsid w:val="008C6118"/>
    <w:rsid w:val="008C6341"/>
    <w:rsid w:val="008C653D"/>
    <w:rsid w:val="008C731F"/>
    <w:rsid w:val="008C74D9"/>
    <w:rsid w:val="008C7B1D"/>
    <w:rsid w:val="008D1804"/>
    <w:rsid w:val="008D2050"/>
    <w:rsid w:val="008D337B"/>
    <w:rsid w:val="008D3B2D"/>
    <w:rsid w:val="008D58D9"/>
    <w:rsid w:val="008D5AD4"/>
    <w:rsid w:val="008D695E"/>
    <w:rsid w:val="008D6DD5"/>
    <w:rsid w:val="008D6E59"/>
    <w:rsid w:val="008D7155"/>
    <w:rsid w:val="008D76E0"/>
    <w:rsid w:val="008E0B29"/>
    <w:rsid w:val="008E141A"/>
    <w:rsid w:val="008E1A44"/>
    <w:rsid w:val="008E211F"/>
    <w:rsid w:val="008E28E6"/>
    <w:rsid w:val="008E3232"/>
    <w:rsid w:val="008E3674"/>
    <w:rsid w:val="008E3B6C"/>
    <w:rsid w:val="008E3DE7"/>
    <w:rsid w:val="008E5227"/>
    <w:rsid w:val="008E562C"/>
    <w:rsid w:val="008E6540"/>
    <w:rsid w:val="008E77D4"/>
    <w:rsid w:val="008E7ADD"/>
    <w:rsid w:val="008F0869"/>
    <w:rsid w:val="008F091F"/>
    <w:rsid w:val="008F17B2"/>
    <w:rsid w:val="008F22B3"/>
    <w:rsid w:val="008F357B"/>
    <w:rsid w:val="008F44CA"/>
    <w:rsid w:val="008F49D3"/>
    <w:rsid w:val="008F6519"/>
    <w:rsid w:val="008F7012"/>
    <w:rsid w:val="008F7ADA"/>
    <w:rsid w:val="008F7B17"/>
    <w:rsid w:val="00900042"/>
    <w:rsid w:val="0090008E"/>
    <w:rsid w:val="0090034B"/>
    <w:rsid w:val="0090087C"/>
    <w:rsid w:val="00901121"/>
    <w:rsid w:val="00901B35"/>
    <w:rsid w:val="00902623"/>
    <w:rsid w:val="00902A67"/>
    <w:rsid w:val="00902C5E"/>
    <w:rsid w:val="00902F6B"/>
    <w:rsid w:val="00903CF9"/>
    <w:rsid w:val="00904BE4"/>
    <w:rsid w:val="0090504A"/>
    <w:rsid w:val="009051F5"/>
    <w:rsid w:val="00905221"/>
    <w:rsid w:val="00905A7C"/>
    <w:rsid w:val="00905D7E"/>
    <w:rsid w:val="00907037"/>
    <w:rsid w:val="0091112C"/>
    <w:rsid w:val="0091160A"/>
    <w:rsid w:val="0091199D"/>
    <w:rsid w:val="00911B4E"/>
    <w:rsid w:val="00912E04"/>
    <w:rsid w:val="00913258"/>
    <w:rsid w:val="00913851"/>
    <w:rsid w:val="0091389B"/>
    <w:rsid w:val="00913BB0"/>
    <w:rsid w:val="0091456C"/>
    <w:rsid w:val="00914C58"/>
    <w:rsid w:val="00914D78"/>
    <w:rsid w:val="0091564D"/>
    <w:rsid w:val="009156DA"/>
    <w:rsid w:val="00915774"/>
    <w:rsid w:val="00916BC5"/>
    <w:rsid w:val="0091726A"/>
    <w:rsid w:val="00917C01"/>
    <w:rsid w:val="00920184"/>
    <w:rsid w:val="00920EA4"/>
    <w:rsid w:val="00921624"/>
    <w:rsid w:val="00921792"/>
    <w:rsid w:val="00921BEA"/>
    <w:rsid w:val="009227BE"/>
    <w:rsid w:val="009238FD"/>
    <w:rsid w:val="00923998"/>
    <w:rsid w:val="00923DB4"/>
    <w:rsid w:val="0092420B"/>
    <w:rsid w:val="0092430E"/>
    <w:rsid w:val="00926112"/>
    <w:rsid w:val="0092625F"/>
    <w:rsid w:val="00926B28"/>
    <w:rsid w:val="00926D9C"/>
    <w:rsid w:val="00927028"/>
    <w:rsid w:val="00927763"/>
    <w:rsid w:val="00927A2D"/>
    <w:rsid w:val="00927B37"/>
    <w:rsid w:val="0093183B"/>
    <w:rsid w:val="009321B1"/>
    <w:rsid w:val="00932ED7"/>
    <w:rsid w:val="0093422D"/>
    <w:rsid w:val="0093483B"/>
    <w:rsid w:val="00934CF9"/>
    <w:rsid w:val="00934DD7"/>
    <w:rsid w:val="00935CB2"/>
    <w:rsid w:val="009369A9"/>
    <w:rsid w:val="00936CF7"/>
    <w:rsid w:val="00937783"/>
    <w:rsid w:val="00937EAD"/>
    <w:rsid w:val="00937F28"/>
    <w:rsid w:val="00940FE1"/>
    <w:rsid w:val="00942306"/>
    <w:rsid w:val="009424B8"/>
    <w:rsid w:val="009432E2"/>
    <w:rsid w:val="00944668"/>
    <w:rsid w:val="00944DC6"/>
    <w:rsid w:val="00944F3C"/>
    <w:rsid w:val="009458B0"/>
    <w:rsid w:val="00945B52"/>
    <w:rsid w:val="00945B7A"/>
    <w:rsid w:val="00945F05"/>
    <w:rsid w:val="00946348"/>
    <w:rsid w:val="009463FF"/>
    <w:rsid w:val="00947224"/>
    <w:rsid w:val="00947797"/>
    <w:rsid w:val="009478A2"/>
    <w:rsid w:val="009533BD"/>
    <w:rsid w:val="00953808"/>
    <w:rsid w:val="009539A6"/>
    <w:rsid w:val="00953CC3"/>
    <w:rsid w:val="00954032"/>
    <w:rsid w:val="00954537"/>
    <w:rsid w:val="0095472D"/>
    <w:rsid w:val="00955342"/>
    <w:rsid w:val="00955FBB"/>
    <w:rsid w:val="0095694B"/>
    <w:rsid w:val="00956A73"/>
    <w:rsid w:val="00956BD5"/>
    <w:rsid w:val="00956D84"/>
    <w:rsid w:val="009577B5"/>
    <w:rsid w:val="00957B44"/>
    <w:rsid w:val="009608E6"/>
    <w:rsid w:val="00960F57"/>
    <w:rsid w:val="00961C90"/>
    <w:rsid w:val="00965443"/>
    <w:rsid w:val="00965954"/>
    <w:rsid w:val="00965A21"/>
    <w:rsid w:val="00965E55"/>
    <w:rsid w:val="0096608E"/>
    <w:rsid w:val="00966522"/>
    <w:rsid w:val="00966C33"/>
    <w:rsid w:val="00967F53"/>
    <w:rsid w:val="00970F18"/>
    <w:rsid w:val="00971CF1"/>
    <w:rsid w:val="00971F5D"/>
    <w:rsid w:val="009721E9"/>
    <w:rsid w:val="00973772"/>
    <w:rsid w:val="0097560A"/>
    <w:rsid w:val="00975E1E"/>
    <w:rsid w:val="00975E70"/>
    <w:rsid w:val="009761DE"/>
    <w:rsid w:val="009766FA"/>
    <w:rsid w:val="00977A95"/>
    <w:rsid w:val="00977CD6"/>
    <w:rsid w:val="0098048B"/>
    <w:rsid w:val="00980908"/>
    <w:rsid w:val="00980DF9"/>
    <w:rsid w:val="00981CD8"/>
    <w:rsid w:val="0098243D"/>
    <w:rsid w:val="00982D26"/>
    <w:rsid w:val="00983B6E"/>
    <w:rsid w:val="00983FE5"/>
    <w:rsid w:val="009849E9"/>
    <w:rsid w:val="00984AFF"/>
    <w:rsid w:val="00984E4B"/>
    <w:rsid w:val="009859E4"/>
    <w:rsid w:val="00987812"/>
    <w:rsid w:val="00987F24"/>
    <w:rsid w:val="00990225"/>
    <w:rsid w:val="00991307"/>
    <w:rsid w:val="00992A13"/>
    <w:rsid w:val="00994AAD"/>
    <w:rsid w:val="00995150"/>
    <w:rsid w:val="00995475"/>
    <w:rsid w:val="00995D67"/>
    <w:rsid w:val="00996E5D"/>
    <w:rsid w:val="00997613"/>
    <w:rsid w:val="009A013B"/>
    <w:rsid w:val="009A02F4"/>
    <w:rsid w:val="009A06BF"/>
    <w:rsid w:val="009A0D17"/>
    <w:rsid w:val="009A2494"/>
    <w:rsid w:val="009A32B1"/>
    <w:rsid w:val="009A33A3"/>
    <w:rsid w:val="009A36F2"/>
    <w:rsid w:val="009A40C3"/>
    <w:rsid w:val="009A40D5"/>
    <w:rsid w:val="009A5268"/>
    <w:rsid w:val="009A57D0"/>
    <w:rsid w:val="009A5BAA"/>
    <w:rsid w:val="009A6559"/>
    <w:rsid w:val="009A68FC"/>
    <w:rsid w:val="009A6CE4"/>
    <w:rsid w:val="009A6EC3"/>
    <w:rsid w:val="009A7514"/>
    <w:rsid w:val="009A7E7A"/>
    <w:rsid w:val="009B0925"/>
    <w:rsid w:val="009B1584"/>
    <w:rsid w:val="009B18F0"/>
    <w:rsid w:val="009B1F4C"/>
    <w:rsid w:val="009B2471"/>
    <w:rsid w:val="009B314F"/>
    <w:rsid w:val="009B439C"/>
    <w:rsid w:val="009B49A1"/>
    <w:rsid w:val="009B4A6C"/>
    <w:rsid w:val="009B4DA8"/>
    <w:rsid w:val="009B519A"/>
    <w:rsid w:val="009B620C"/>
    <w:rsid w:val="009B6753"/>
    <w:rsid w:val="009B676C"/>
    <w:rsid w:val="009B6A26"/>
    <w:rsid w:val="009B743A"/>
    <w:rsid w:val="009B7DC0"/>
    <w:rsid w:val="009C079D"/>
    <w:rsid w:val="009C0D70"/>
    <w:rsid w:val="009C13D1"/>
    <w:rsid w:val="009C2913"/>
    <w:rsid w:val="009C2BD4"/>
    <w:rsid w:val="009C3E72"/>
    <w:rsid w:val="009C4AE8"/>
    <w:rsid w:val="009C5AFE"/>
    <w:rsid w:val="009C6606"/>
    <w:rsid w:val="009C6CE5"/>
    <w:rsid w:val="009C6D50"/>
    <w:rsid w:val="009C7547"/>
    <w:rsid w:val="009D05EC"/>
    <w:rsid w:val="009D18D4"/>
    <w:rsid w:val="009D1A1F"/>
    <w:rsid w:val="009D2F60"/>
    <w:rsid w:val="009D3A2E"/>
    <w:rsid w:val="009D5ADE"/>
    <w:rsid w:val="009D5BAC"/>
    <w:rsid w:val="009D5C56"/>
    <w:rsid w:val="009D6265"/>
    <w:rsid w:val="009D64BD"/>
    <w:rsid w:val="009D6CB1"/>
    <w:rsid w:val="009D7F34"/>
    <w:rsid w:val="009E0286"/>
    <w:rsid w:val="009E153F"/>
    <w:rsid w:val="009E18C5"/>
    <w:rsid w:val="009E322A"/>
    <w:rsid w:val="009E393E"/>
    <w:rsid w:val="009E444E"/>
    <w:rsid w:val="009E4968"/>
    <w:rsid w:val="009E663C"/>
    <w:rsid w:val="009E684A"/>
    <w:rsid w:val="009E6BB1"/>
    <w:rsid w:val="009E6E14"/>
    <w:rsid w:val="009E794A"/>
    <w:rsid w:val="009E7C14"/>
    <w:rsid w:val="009F0494"/>
    <w:rsid w:val="009F0CD9"/>
    <w:rsid w:val="009F1A79"/>
    <w:rsid w:val="009F1F57"/>
    <w:rsid w:val="009F2DDD"/>
    <w:rsid w:val="009F3447"/>
    <w:rsid w:val="009F65F4"/>
    <w:rsid w:val="009F676B"/>
    <w:rsid w:val="009F6D2D"/>
    <w:rsid w:val="009F6D54"/>
    <w:rsid w:val="00A004DF"/>
    <w:rsid w:val="00A00FD5"/>
    <w:rsid w:val="00A012C0"/>
    <w:rsid w:val="00A019A8"/>
    <w:rsid w:val="00A01B03"/>
    <w:rsid w:val="00A01B89"/>
    <w:rsid w:val="00A02C66"/>
    <w:rsid w:val="00A02C84"/>
    <w:rsid w:val="00A0464C"/>
    <w:rsid w:val="00A050BB"/>
    <w:rsid w:val="00A0521B"/>
    <w:rsid w:val="00A054E0"/>
    <w:rsid w:val="00A05D91"/>
    <w:rsid w:val="00A0621A"/>
    <w:rsid w:val="00A0740B"/>
    <w:rsid w:val="00A07ED3"/>
    <w:rsid w:val="00A10CA8"/>
    <w:rsid w:val="00A10F9B"/>
    <w:rsid w:val="00A10FA1"/>
    <w:rsid w:val="00A11042"/>
    <w:rsid w:val="00A12579"/>
    <w:rsid w:val="00A12CDC"/>
    <w:rsid w:val="00A133D8"/>
    <w:rsid w:val="00A15655"/>
    <w:rsid w:val="00A160B0"/>
    <w:rsid w:val="00A1740C"/>
    <w:rsid w:val="00A17904"/>
    <w:rsid w:val="00A20069"/>
    <w:rsid w:val="00A2244D"/>
    <w:rsid w:val="00A2253D"/>
    <w:rsid w:val="00A2267F"/>
    <w:rsid w:val="00A22CDB"/>
    <w:rsid w:val="00A23AEC"/>
    <w:rsid w:val="00A23C18"/>
    <w:rsid w:val="00A23E0A"/>
    <w:rsid w:val="00A247B8"/>
    <w:rsid w:val="00A2495A"/>
    <w:rsid w:val="00A24C7A"/>
    <w:rsid w:val="00A24D8F"/>
    <w:rsid w:val="00A25B8B"/>
    <w:rsid w:val="00A266D3"/>
    <w:rsid w:val="00A2689F"/>
    <w:rsid w:val="00A26ECA"/>
    <w:rsid w:val="00A27461"/>
    <w:rsid w:val="00A27B41"/>
    <w:rsid w:val="00A27D67"/>
    <w:rsid w:val="00A30ABC"/>
    <w:rsid w:val="00A33B74"/>
    <w:rsid w:val="00A3467F"/>
    <w:rsid w:val="00A34B4C"/>
    <w:rsid w:val="00A35030"/>
    <w:rsid w:val="00A3551A"/>
    <w:rsid w:val="00A366A0"/>
    <w:rsid w:val="00A37209"/>
    <w:rsid w:val="00A37584"/>
    <w:rsid w:val="00A376E8"/>
    <w:rsid w:val="00A37F8E"/>
    <w:rsid w:val="00A41537"/>
    <w:rsid w:val="00A41737"/>
    <w:rsid w:val="00A42B8F"/>
    <w:rsid w:val="00A42D8E"/>
    <w:rsid w:val="00A43254"/>
    <w:rsid w:val="00A43896"/>
    <w:rsid w:val="00A43A26"/>
    <w:rsid w:val="00A447A0"/>
    <w:rsid w:val="00A459F5"/>
    <w:rsid w:val="00A45FC0"/>
    <w:rsid w:val="00A46B74"/>
    <w:rsid w:val="00A47BF7"/>
    <w:rsid w:val="00A47ECC"/>
    <w:rsid w:val="00A50171"/>
    <w:rsid w:val="00A504FA"/>
    <w:rsid w:val="00A5102E"/>
    <w:rsid w:val="00A5132E"/>
    <w:rsid w:val="00A51375"/>
    <w:rsid w:val="00A51533"/>
    <w:rsid w:val="00A52D36"/>
    <w:rsid w:val="00A531D4"/>
    <w:rsid w:val="00A54572"/>
    <w:rsid w:val="00A54DA4"/>
    <w:rsid w:val="00A575B8"/>
    <w:rsid w:val="00A61C60"/>
    <w:rsid w:val="00A61ECB"/>
    <w:rsid w:val="00A638A0"/>
    <w:rsid w:val="00A6410C"/>
    <w:rsid w:val="00A647B1"/>
    <w:rsid w:val="00A64DEF"/>
    <w:rsid w:val="00A654D2"/>
    <w:rsid w:val="00A665DF"/>
    <w:rsid w:val="00A6699F"/>
    <w:rsid w:val="00A67FCC"/>
    <w:rsid w:val="00A70AA5"/>
    <w:rsid w:val="00A70C03"/>
    <w:rsid w:val="00A70D0D"/>
    <w:rsid w:val="00A7103D"/>
    <w:rsid w:val="00A71256"/>
    <w:rsid w:val="00A7217B"/>
    <w:rsid w:val="00A73861"/>
    <w:rsid w:val="00A739A6"/>
    <w:rsid w:val="00A740ED"/>
    <w:rsid w:val="00A74C29"/>
    <w:rsid w:val="00A74C62"/>
    <w:rsid w:val="00A75EF9"/>
    <w:rsid w:val="00A7657C"/>
    <w:rsid w:val="00A81592"/>
    <w:rsid w:val="00A82486"/>
    <w:rsid w:val="00A8311C"/>
    <w:rsid w:val="00A835D0"/>
    <w:rsid w:val="00A84C5F"/>
    <w:rsid w:val="00A85930"/>
    <w:rsid w:val="00A863F7"/>
    <w:rsid w:val="00A86604"/>
    <w:rsid w:val="00A87519"/>
    <w:rsid w:val="00A9246D"/>
    <w:rsid w:val="00A92CCA"/>
    <w:rsid w:val="00A92F9F"/>
    <w:rsid w:val="00A93BD0"/>
    <w:rsid w:val="00A93CC2"/>
    <w:rsid w:val="00A94D4B"/>
    <w:rsid w:val="00A974CC"/>
    <w:rsid w:val="00AA2001"/>
    <w:rsid w:val="00AA2B5C"/>
    <w:rsid w:val="00AA32D2"/>
    <w:rsid w:val="00AA3B8B"/>
    <w:rsid w:val="00AA4016"/>
    <w:rsid w:val="00AA4B06"/>
    <w:rsid w:val="00AA4C1F"/>
    <w:rsid w:val="00AA4E80"/>
    <w:rsid w:val="00AA5328"/>
    <w:rsid w:val="00AA5393"/>
    <w:rsid w:val="00AA5D13"/>
    <w:rsid w:val="00AA63D4"/>
    <w:rsid w:val="00AB03FD"/>
    <w:rsid w:val="00AB2000"/>
    <w:rsid w:val="00AB2C54"/>
    <w:rsid w:val="00AB38CB"/>
    <w:rsid w:val="00AB3BEC"/>
    <w:rsid w:val="00AB44E4"/>
    <w:rsid w:val="00AB499C"/>
    <w:rsid w:val="00AB4AEB"/>
    <w:rsid w:val="00AB4E5F"/>
    <w:rsid w:val="00AB5352"/>
    <w:rsid w:val="00AB56AE"/>
    <w:rsid w:val="00AB62D5"/>
    <w:rsid w:val="00AB65B5"/>
    <w:rsid w:val="00AB6DCD"/>
    <w:rsid w:val="00AB6EE0"/>
    <w:rsid w:val="00AB73DC"/>
    <w:rsid w:val="00AC17A2"/>
    <w:rsid w:val="00AC40B7"/>
    <w:rsid w:val="00AC4680"/>
    <w:rsid w:val="00AC516B"/>
    <w:rsid w:val="00AC531F"/>
    <w:rsid w:val="00AC5AAA"/>
    <w:rsid w:val="00AC5B36"/>
    <w:rsid w:val="00AC6377"/>
    <w:rsid w:val="00AC66A4"/>
    <w:rsid w:val="00AC6CB1"/>
    <w:rsid w:val="00AC75E9"/>
    <w:rsid w:val="00AC7D6D"/>
    <w:rsid w:val="00AD0091"/>
    <w:rsid w:val="00AD1A28"/>
    <w:rsid w:val="00AD23EF"/>
    <w:rsid w:val="00AD2662"/>
    <w:rsid w:val="00AD307B"/>
    <w:rsid w:val="00AD3DBC"/>
    <w:rsid w:val="00AD4014"/>
    <w:rsid w:val="00AD41B3"/>
    <w:rsid w:val="00AD5721"/>
    <w:rsid w:val="00AD69F0"/>
    <w:rsid w:val="00AD7127"/>
    <w:rsid w:val="00AD730C"/>
    <w:rsid w:val="00AE123A"/>
    <w:rsid w:val="00AE1539"/>
    <w:rsid w:val="00AE28A7"/>
    <w:rsid w:val="00AE2A98"/>
    <w:rsid w:val="00AE2CF2"/>
    <w:rsid w:val="00AE3012"/>
    <w:rsid w:val="00AE310D"/>
    <w:rsid w:val="00AE3297"/>
    <w:rsid w:val="00AE33A6"/>
    <w:rsid w:val="00AE3729"/>
    <w:rsid w:val="00AE4CCE"/>
    <w:rsid w:val="00AE5C6A"/>
    <w:rsid w:val="00AE5DB7"/>
    <w:rsid w:val="00AE7280"/>
    <w:rsid w:val="00AF01FA"/>
    <w:rsid w:val="00AF033A"/>
    <w:rsid w:val="00AF082B"/>
    <w:rsid w:val="00AF1699"/>
    <w:rsid w:val="00AF1FD3"/>
    <w:rsid w:val="00AF2910"/>
    <w:rsid w:val="00AF34B8"/>
    <w:rsid w:val="00AF3896"/>
    <w:rsid w:val="00AF3FC2"/>
    <w:rsid w:val="00AF4D55"/>
    <w:rsid w:val="00AF4DEC"/>
    <w:rsid w:val="00B0098A"/>
    <w:rsid w:val="00B00A5F"/>
    <w:rsid w:val="00B029B8"/>
    <w:rsid w:val="00B02F60"/>
    <w:rsid w:val="00B02F94"/>
    <w:rsid w:val="00B032B8"/>
    <w:rsid w:val="00B04721"/>
    <w:rsid w:val="00B04B15"/>
    <w:rsid w:val="00B04B46"/>
    <w:rsid w:val="00B0534D"/>
    <w:rsid w:val="00B05685"/>
    <w:rsid w:val="00B05F9F"/>
    <w:rsid w:val="00B06368"/>
    <w:rsid w:val="00B068DA"/>
    <w:rsid w:val="00B06A00"/>
    <w:rsid w:val="00B06FC6"/>
    <w:rsid w:val="00B074C9"/>
    <w:rsid w:val="00B07D9D"/>
    <w:rsid w:val="00B11AE5"/>
    <w:rsid w:val="00B12F43"/>
    <w:rsid w:val="00B12FE6"/>
    <w:rsid w:val="00B1303F"/>
    <w:rsid w:val="00B1364A"/>
    <w:rsid w:val="00B13859"/>
    <w:rsid w:val="00B13EC9"/>
    <w:rsid w:val="00B14319"/>
    <w:rsid w:val="00B14A06"/>
    <w:rsid w:val="00B158E1"/>
    <w:rsid w:val="00B15AEE"/>
    <w:rsid w:val="00B16715"/>
    <w:rsid w:val="00B1768E"/>
    <w:rsid w:val="00B17910"/>
    <w:rsid w:val="00B20F18"/>
    <w:rsid w:val="00B21516"/>
    <w:rsid w:val="00B21A37"/>
    <w:rsid w:val="00B21D23"/>
    <w:rsid w:val="00B21F62"/>
    <w:rsid w:val="00B22CE0"/>
    <w:rsid w:val="00B23738"/>
    <w:rsid w:val="00B23BEF"/>
    <w:rsid w:val="00B23F1F"/>
    <w:rsid w:val="00B247BB"/>
    <w:rsid w:val="00B2504A"/>
    <w:rsid w:val="00B25EE6"/>
    <w:rsid w:val="00B2685C"/>
    <w:rsid w:val="00B30CD6"/>
    <w:rsid w:val="00B3115A"/>
    <w:rsid w:val="00B31825"/>
    <w:rsid w:val="00B31A5C"/>
    <w:rsid w:val="00B32265"/>
    <w:rsid w:val="00B3276D"/>
    <w:rsid w:val="00B33B06"/>
    <w:rsid w:val="00B33C19"/>
    <w:rsid w:val="00B359E2"/>
    <w:rsid w:val="00B35A15"/>
    <w:rsid w:val="00B35B45"/>
    <w:rsid w:val="00B36A99"/>
    <w:rsid w:val="00B40143"/>
    <w:rsid w:val="00B42264"/>
    <w:rsid w:val="00B434B2"/>
    <w:rsid w:val="00B43D45"/>
    <w:rsid w:val="00B459AF"/>
    <w:rsid w:val="00B468F2"/>
    <w:rsid w:val="00B469DE"/>
    <w:rsid w:val="00B47286"/>
    <w:rsid w:val="00B47EB4"/>
    <w:rsid w:val="00B50234"/>
    <w:rsid w:val="00B51BF4"/>
    <w:rsid w:val="00B52C68"/>
    <w:rsid w:val="00B5372B"/>
    <w:rsid w:val="00B542FE"/>
    <w:rsid w:val="00B54566"/>
    <w:rsid w:val="00B55A1B"/>
    <w:rsid w:val="00B561DB"/>
    <w:rsid w:val="00B5692B"/>
    <w:rsid w:val="00B56DF9"/>
    <w:rsid w:val="00B56E80"/>
    <w:rsid w:val="00B600BD"/>
    <w:rsid w:val="00B60C4A"/>
    <w:rsid w:val="00B61274"/>
    <w:rsid w:val="00B61DCE"/>
    <w:rsid w:val="00B62188"/>
    <w:rsid w:val="00B62F79"/>
    <w:rsid w:val="00B62F82"/>
    <w:rsid w:val="00B6306A"/>
    <w:rsid w:val="00B635E3"/>
    <w:rsid w:val="00B662FF"/>
    <w:rsid w:val="00B66679"/>
    <w:rsid w:val="00B70145"/>
    <w:rsid w:val="00B71A92"/>
    <w:rsid w:val="00B71B0A"/>
    <w:rsid w:val="00B721D8"/>
    <w:rsid w:val="00B730CA"/>
    <w:rsid w:val="00B732EA"/>
    <w:rsid w:val="00B7390A"/>
    <w:rsid w:val="00B747C5"/>
    <w:rsid w:val="00B74F2F"/>
    <w:rsid w:val="00B753ED"/>
    <w:rsid w:val="00B7665F"/>
    <w:rsid w:val="00B769BC"/>
    <w:rsid w:val="00B77167"/>
    <w:rsid w:val="00B77349"/>
    <w:rsid w:val="00B7761E"/>
    <w:rsid w:val="00B80A3D"/>
    <w:rsid w:val="00B80B04"/>
    <w:rsid w:val="00B821E4"/>
    <w:rsid w:val="00B823E0"/>
    <w:rsid w:val="00B8260D"/>
    <w:rsid w:val="00B82B78"/>
    <w:rsid w:val="00B845B4"/>
    <w:rsid w:val="00B84662"/>
    <w:rsid w:val="00B84C74"/>
    <w:rsid w:val="00B85191"/>
    <w:rsid w:val="00B858A1"/>
    <w:rsid w:val="00B85FEC"/>
    <w:rsid w:val="00B864A3"/>
    <w:rsid w:val="00B86C2A"/>
    <w:rsid w:val="00B87712"/>
    <w:rsid w:val="00B902A5"/>
    <w:rsid w:val="00B90420"/>
    <w:rsid w:val="00B90848"/>
    <w:rsid w:val="00B91146"/>
    <w:rsid w:val="00B913E4"/>
    <w:rsid w:val="00B91DB9"/>
    <w:rsid w:val="00B91FF3"/>
    <w:rsid w:val="00B925F8"/>
    <w:rsid w:val="00B9370E"/>
    <w:rsid w:val="00B93EFE"/>
    <w:rsid w:val="00B944B9"/>
    <w:rsid w:val="00B94956"/>
    <w:rsid w:val="00B94C7F"/>
    <w:rsid w:val="00B94E93"/>
    <w:rsid w:val="00B956B5"/>
    <w:rsid w:val="00B96DF2"/>
    <w:rsid w:val="00B96E18"/>
    <w:rsid w:val="00B96F5A"/>
    <w:rsid w:val="00B9719E"/>
    <w:rsid w:val="00BA0B39"/>
    <w:rsid w:val="00BA0CB2"/>
    <w:rsid w:val="00BA0E26"/>
    <w:rsid w:val="00BA138B"/>
    <w:rsid w:val="00BA305B"/>
    <w:rsid w:val="00BA31BF"/>
    <w:rsid w:val="00BA3C0F"/>
    <w:rsid w:val="00BA3FC7"/>
    <w:rsid w:val="00BA4075"/>
    <w:rsid w:val="00BA478B"/>
    <w:rsid w:val="00BA5224"/>
    <w:rsid w:val="00BA575E"/>
    <w:rsid w:val="00BA76B7"/>
    <w:rsid w:val="00BA7DDB"/>
    <w:rsid w:val="00BA7E3B"/>
    <w:rsid w:val="00BB078D"/>
    <w:rsid w:val="00BB079C"/>
    <w:rsid w:val="00BB0D7A"/>
    <w:rsid w:val="00BB10E1"/>
    <w:rsid w:val="00BB186A"/>
    <w:rsid w:val="00BB1C05"/>
    <w:rsid w:val="00BB2471"/>
    <w:rsid w:val="00BB3035"/>
    <w:rsid w:val="00BB3633"/>
    <w:rsid w:val="00BB39C1"/>
    <w:rsid w:val="00BB3DF5"/>
    <w:rsid w:val="00BB3EA7"/>
    <w:rsid w:val="00BB5D16"/>
    <w:rsid w:val="00BB6180"/>
    <w:rsid w:val="00BB6469"/>
    <w:rsid w:val="00BB69E6"/>
    <w:rsid w:val="00BB7323"/>
    <w:rsid w:val="00BB7BE5"/>
    <w:rsid w:val="00BC0139"/>
    <w:rsid w:val="00BC08BD"/>
    <w:rsid w:val="00BC11E8"/>
    <w:rsid w:val="00BC1B7A"/>
    <w:rsid w:val="00BC2C17"/>
    <w:rsid w:val="00BC3ACD"/>
    <w:rsid w:val="00BC3B20"/>
    <w:rsid w:val="00BC3EE4"/>
    <w:rsid w:val="00BC588C"/>
    <w:rsid w:val="00BC67FF"/>
    <w:rsid w:val="00BC6E73"/>
    <w:rsid w:val="00BC74D3"/>
    <w:rsid w:val="00BD0014"/>
    <w:rsid w:val="00BD01D8"/>
    <w:rsid w:val="00BD255F"/>
    <w:rsid w:val="00BD2895"/>
    <w:rsid w:val="00BD4236"/>
    <w:rsid w:val="00BD483B"/>
    <w:rsid w:val="00BD5CD4"/>
    <w:rsid w:val="00BD65D9"/>
    <w:rsid w:val="00BD6DF3"/>
    <w:rsid w:val="00BD6E09"/>
    <w:rsid w:val="00BD6EF9"/>
    <w:rsid w:val="00BE0109"/>
    <w:rsid w:val="00BE0ACB"/>
    <w:rsid w:val="00BE180B"/>
    <w:rsid w:val="00BE2260"/>
    <w:rsid w:val="00BE32F3"/>
    <w:rsid w:val="00BE3917"/>
    <w:rsid w:val="00BE50FD"/>
    <w:rsid w:val="00BE51CA"/>
    <w:rsid w:val="00BE537F"/>
    <w:rsid w:val="00BE5D77"/>
    <w:rsid w:val="00BE6D47"/>
    <w:rsid w:val="00BE7032"/>
    <w:rsid w:val="00BE7330"/>
    <w:rsid w:val="00BF01C5"/>
    <w:rsid w:val="00BF061A"/>
    <w:rsid w:val="00BF066A"/>
    <w:rsid w:val="00BF14CC"/>
    <w:rsid w:val="00BF1821"/>
    <w:rsid w:val="00BF30B3"/>
    <w:rsid w:val="00BF4342"/>
    <w:rsid w:val="00BF4704"/>
    <w:rsid w:val="00BF4FFC"/>
    <w:rsid w:val="00BF5050"/>
    <w:rsid w:val="00BF50D1"/>
    <w:rsid w:val="00BF5422"/>
    <w:rsid w:val="00BF59B1"/>
    <w:rsid w:val="00BF6625"/>
    <w:rsid w:val="00BF6A78"/>
    <w:rsid w:val="00BF7695"/>
    <w:rsid w:val="00BF79B4"/>
    <w:rsid w:val="00BF7C61"/>
    <w:rsid w:val="00C01427"/>
    <w:rsid w:val="00C014C7"/>
    <w:rsid w:val="00C047AB"/>
    <w:rsid w:val="00C04E43"/>
    <w:rsid w:val="00C058AF"/>
    <w:rsid w:val="00C05D1E"/>
    <w:rsid w:val="00C075B6"/>
    <w:rsid w:val="00C110FD"/>
    <w:rsid w:val="00C124C1"/>
    <w:rsid w:val="00C128AE"/>
    <w:rsid w:val="00C12BA8"/>
    <w:rsid w:val="00C13094"/>
    <w:rsid w:val="00C136D6"/>
    <w:rsid w:val="00C13D5B"/>
    <w:rsid w:val="00C141D7"/>
    <w:rsid w:val="00C154A3"/>
    <w:rsid w:val="00C16EB9"/>
    <w:rsid w:val="00C1711B"/>
    <w:rsid w:val="00C17AE2"/>
    <w:rsid w:val="00C20140"/>
    <w:rsid w:val="00C20F27"/>
    <w:rsid w:val="00C210A1"/>
    <w:rsid w:val="00C215CF"/>
    <w:rsid w:val="00C22250"/>
    <w:rsid w:val="00C2244B"/>
    <w:rsid w:val="00C22711"/>
    <w:rsid w:val="00C2280A"/>
    <w:rsid w:val="00C22B0D"/>
    <w:rsid w:val="00C22BFF"/>
    <w:rsid w:val="00C23522"/>
    <w:rsid w:val="00C240C1"/>
    <w:rsid w:val="00C24AED"/>
    <w:rsid w:val="00C250D0"/>
    <w:rsid w:val="00C252AC"/>
    <w:rsid w:val="00C25C0F"/>
    <w:rsid w:val="00C26567"/>
    <w:rsid w:val="00C26923"/>
    <w:rsid w:val="00C27214"/>
    <w:rsid w:val="00C27597"/>
    <w:rsid w:val="00C27E5E"/>
    <w:rsid w:val="00C30382"/>
    <w:rsid w:val="00C30772"/>
    <w:rsid w:val="00C30D6F"/>
    <w:rsid w:val="00C31063"/>
    <w:rsid w:val="00C31B7E"/>
    <w:rsid w:val="00C322D1"/>
    <w:rsid w:val="00C3242A"/>
    <w:rsid w:val="00C33201"/>
    <w:rsid w:val="00C33A39"/>
    <w:rsid w:val="00C34619"/>
    <w:rsid w:val="00C348D9"/>
    <w:rsid w:val="00C35D01"/>
    <w:rsid w:val="00C360B3"/>
    <w:rsid w:val="00C37027"/>
    <w:rsid w:val="00C37B19"/>
    <w:rsid w:val="00C37D56"/>
    <w:rsid w:val="00C40D4B"/>
    <w:rsid w:val="00C413CB"/>
    <w:rsid w:val="00C42752"/>
    <w:rsid w:val="00C42973"/>
    <w:rsid w:val="00C44206"/>
    <w:rsid w:val="00C44A36"/>
    <w:rsid w:val="00C46B95"/>
    <w:rsid w:val="00C4712A"/>
    <w:rsid w:val="00C47F88"/>
    <w:rsid w:val="00C5034F"/>
    <w:rsid w:val="00C50830"/>
    <w:rsid w:val="00C52479"/>
    <w:rsid w:val="00C5266E"/>
    <w:rsid w:val="00C52C59"/>
    <w:rsid w:val="00C5349E"/>
    <w:rsid w:val="00C539FF"/>
    <w:rsid w:val="00C544BD"/>
    <w:rsid w:val="00C549BB"/>
    <w:rsid w:val="00C54D3D"/>
    <w:rsid w:val="00C55A30"/>
    <w:rsid w:val="00C56384"/>
    <w:rsid w:val="00C568B6"/>
    <w:rsid w:val="00C60F8C"/>
    <w:rsid w:val="00C61794"/>
    <w:rsid w:val="00C61CB4"/>
    <w:rsid w:val="00C62A48"/>
    <w:rsid w:val="00C62AC4"/>
    <w:rsid w:val="00C62B59"/>
    <w:rsid w:val="00C62F96"/>
    <w:rsid w:val="00C631E1"/>
    <w:rsid w:val="00C638D8"/>
    <w:rsid w:val="00C63AE7"/>
    <w:rsid w:val="00C63D26"/>
    <w:rsid w:val="00C6540A"/>
    <w:rsid w:val="00C668A1"/>
    <w:rsid w:val="00C67223"/>
    <w:rsid w:val="00C707B8"/>
    <w:rsid w:val="00C712AC"/>
    <w:rsid w:val="00C71C15"/>
    <w:rsid w:val="00C71F3D"/>
    <w:rsid w:val="00C72F53"/>
    <w:rsid w:val="00C73BA9"/>
    <w:rsid w:val="00C74035"/>
    <w:rsid w:val="00C748EA"/>
    <w:rsid w:val="00C75531"/>
    <w:rsid w:val="00C77818"/>
    <w:rsid w:val="00C8063F"/>
    <w:rsid w:val="00C80931"/>
    <w:rsid w:val="00C81282"/>
    <w:rsid w:val="00C827B4"/>
    <w:rsid w:val="00C82B40"/>
    <w:rsid w:val="00C83214"/>
    <w:rsid w:val="00C8329F"/>
    <w:rsid w:val="00C84F8A"/>
    <w:rsid w:val="00C85BA4"/>
    <w:rsid w:val="00C8618F"/>
    <w:rsid w:val="00C8625D"/>
    <w:rsid w:val="00C87F3F"/>
    <w:rsid w:val="00C90372"/>
    <w:rsid w:val="00C9041F"/>
    <w:rsid w:val="00C9112E"/>
    <w:rsid w:val="00C9166B"/>
    <w:rsid w:val="00C91945"/>
    <w:rsid w:val="00C91A45"/>
    <w:rsid w:val="00C91FB4"/>
    <w:rsid w:val="00C92150"/>
    <w:rsid w:val="00C92328"/>
    <w:rsid w:val="00C92D42"/>
    <w:rsid w:val="00C938C2"/>
    <w:rsid w:val="00C93F8A"/>
    <w:rsid w:val="00C94EA1"/>
    <w:rsid w:val="00C95745"/>
    <w:rsid w:val="00C95902"/>
    <w:rsid w:val="00C962E3"/>
    <w:rsid w:val="00C978E2"/>
    <w:rsid w:val="00C97997"/>
    <w:rsid w:val="00CA10A2"/>
    <w:rsid w:val="00CA1D83"/>
    <w:rsid w:val="00CA1E61"/>
    <w:rsid w:val="00CA1FCF"/>
    <w:rsid w:val="00CA25C0"/>
    <w:rsid w:val="00CA3451"/>
    <w:rsid w:val="00CA35C6"/>
    <w:rsid w:val="00CA4948"/>
    <w:rsid w:val="00CA4FA3"/>
    <w:rsid w:val="00CA4FF9"/>
    <w:rsid w:val="00CA52F9"/>
    <w:rsid w:val="00CA5368"/>
    <w:rsid w:val="00CA568B"/>
    <w:rsid w:val="00CA573A"/>
    <w:rsid w:val="00CA584D"/>
    <w:rsid w:val="00CA5C58"/>
    <w:rsid w:val="00CB19D7"/>
    <w:rsid w:val="00CB19FE"/>
    <w:rsid w:val="00CB1C3F"/>
    <w:rsid w:val="00CB2364"/>
    <w:rsid w:val="00CB304C"/>
    <w:rsid w:val="00CB3933"/>
    <w:rsid w:val="00CB5010"/>
    <w:rsid w:val="00CB53E8"/>
    <w:rsid w:val="00CB594A"/>
    <w:rsid w:val="00CB5CB2"/>
    <w:rsid w:val="00CB6979"/>
    <w:rsid w:val="00CB7DDE"/>
    <w:rsid w:val="00CC0A3D"/>
    <w:rsid w:val="00CC3C53"/>
    <w:rsid w:val="00CC3D24"/>
    <w:rsid w:val="00CC3F91"/>
    <w:rsid w:val="00CC4ACD"/>
    <w:rsid w:val="00CC4B0A"/>
    <w:rsid w:val="00CC544A"/>
    <w:rsid w:val="00CC57EA"/>
    <w:rsid w:val="00CC5954"/>
    <w:rsid w:val="00CC629B"/>
    <w:rsid w:val="00CC6C4E"/>
    <w:rsid w:val="00CD009D"/>
    <w:rsid w:val="00CD05A2"/>
    <w:rsid w:val="00CD29D4"/>
    <w:rsid w:val="00CD2B5C"/>
    <w:rsid w:val="00CD2FF3"/>
    <w:rsid w:val="00CD3323"/>
    <w:rsid w:val="00CD38F5"/>
    <w:rsid w:val="00CD3BF2"/>
    <w:rsid w:val="00CD437E"/>
    <w:rsid w:val="00CD540B"/>
    <w:rsid w:val="00CD5DAD"/>
    <w:rsid w:val="00CD7037"/>
    <w:rsid w:val="00CD72C5"/>
    <w:rsid w:val="00CD79A7"/>
    <w:rsid w:val="00CE0789"/>
    <w:rsid w:val="00CE0E8D"/>
    <w:rsid w:val="00CE1A03"/>
    <w:rsid w:val="00CE2346"/>
    <w:rsid w:val="00CE25B2"/>
    <w:rsid w:val="00CE3529"/>
    <w:rsid w:val="00CE35C8"/>
    <w:rsid w:val="00CE3962"/>
    <w:rsid w:val="00CE4D0A"/>
    <w:rsid w:val="00CE4D1A"/>
    <w:rsid w:val="00CE4E8A"/>
    <w:rsid w:val="00CE5105"/>
    <w:rsid w:val="00CE56BD"/>
    <w:rsid w:val="00CE5EC0"/>
    <w:rsid w:val="00CE68AD"/>
    <w:rsid w:val="00CE6F9F"/>
    <w:rsid w:val="00CE781A"/>
    <w:rsid w:val="00CE7B08"/>
    <w:rsid w:val="00CE7D52"/>
    <w:rsid w:val="00CF0AB7"/>
    <w:rsid w:val="00CF1D74"/>
    <w:rsid w:val="00CF2BE2"/>
    <w:rsid w:val="00CF3DEB"/>
    <w:rsid w:val="00CF55F9"/>
    <w:rsid w:val="00CF7074"/>
    <w:rsid w:val="00CF7495"/>
    <w:rsid w:val="00D00E12"/>
    <w:rsid w:val="00D01CF9"/>
    <w:rsid w:val="00D02BF7"/>
    <w:rsid w:val="00D02FFD"/>
    <w:rsid w:val="00D0334D"/>
    <w:rsid w:val="00D0374D"/>
    <w:rsid w:val="00D06851"/>
    <w:rsid w:val="00D06D7B"/>
    <w:rsid w:val="00D06DA5"/>
    <w:rsid w:val="00D07191"/>
    <w:rsid w:val="00D07ECE"/>
    <w:rsid w:val="00D07F1D"/>
    <w:rsid w:val="00D10558"/>
    <w:rsid w:val="00D11D4D"/>
    <w:rsid w:val="00D126DC"/>
    <w:rsid w:val="00D12B03"/>
    <w:rsid w:val="00D13E70"/>
    <w:rsid w:val="00D15FCD"/>
    <w:rsid w:val="00D16C58"/>
    <w:rsid w:val="00D17019"/>
    <w:rsid w:val="00D17FC8"/>
    <w:rsid w:val="00D20B44"/>
    <w:rsid w:val="00D21168"/>
    <w:rsid w:val="00D240C6"/>
    <w:rsid w:val="00D2438C"/>
    <w:rsid w:val="00D2585A"/>
    <w:rsid w:val="00D259B0"/>
    <w:rsid w:val="00D26C3F"/>
    <w:rsid w:val="00D27185"/>
    <w:rsid w:val="00D3028A"/>
    <w:rsid w:val="00D31CDD"/>
    <w:rsid w:val="00D33488"/>
    <w:rsid w:val="00D33AB3"/>
    <w:rsid w:val="00D33F24"/>
    <w:rsid w:val="00D34160"/>
    <w:rsid w:val="00D3466D"/>
    <w:rsid w:val="00D346B8"/>
    <w:rsid w:val="00D34DCA"/>
    <w:rsid w:val="00D3575F"/>
    <w:rsid w:val="00D35AC8"/>
    <w:rsid w:val="00D36F87"/>
    <w:rsid w:val="00D37E4E"/>
    <w:rsid w:val="00D4056F"/>
    <w:rsid w:val="00D417D8"/>
    <w:rsid w:val="00D41F78"/>
    <w:rsid w:val="00D42E6C"/>
    <w:rsid w:val="00D4351C"/>
    <w:rsid w:val="00D4353A"/>
    <w:rsid w:val="00D43B80"/>
    <w:rsid w:val="00D44988"/>
    <w:rsid w:val="00D45B4C"/>
    <w:rsid w:val="00D45BA4"/>
    <w:rsid w:val="00D45EF6"/>
    <w:rsid w:val="00D471AF"/>
    <w:rsid w:val="00D471E2"/>
    <w:rsid w:val="00D4724F"/>
    <w:rsid w:val="00D50519"/>
    <w:rsid w:val="00D50614"/>
    <w:rsid w:val="00D50622"/>
    <w:rsid w:val="00D51601"/>
    <w:rsid w:val="00D51ECB"/>
    <w:rsid w:val="00D5264C"/>
    <w:rsid w:val="00D52BBC"/>
    <w:rsid w:val="00D537FE"/>
    <w:rsid w:val="00D53CC9"/>
    <w:rsid w:val="00D53DC6"/>
    <w:rsid w:val="00D54A6A"/>
    <w:rsid w:val="00D54B8F"/>
    <w:rsid w:val="00D55848"/>
    <w:rsid w:val="00D55951"/>
    <w:rsid w:val="00D559F0"/>
    <w:rsid w:val="00D57EB6"/>
    <w:rsid w:val="00D608C0"/>
    <w:rsid w:val="00D60D6D"/>
    <w:rsid w:val="00D6128C"/>
    <w:rsid w:val="00D66D8B"/>
    <w:rsid w:val="00D672EF"/>
    <w:rsid w:val="00D70849"/>
    <w:rsid w:val="00D72297"/>
    <w:rsid w:val="00D72A1C"/>
    <w:rsid w:val="00D7308F"/>
    <w:rsid w:val="00D7313E"/>
    <w:rsid w:val="00D73580"/>
    <w:rsid w:val="00D73802"/>
    <w:rsid w:val="00D73C2C"/>
    <w:rsid w:val="00D73D52"/>
    <w:rsid w:val="00D745E7"/>
    <w:rsid w:val="00D7581F"/>
    <w:rsid w:val="00D774ED"/>
    <w:rsid w:val="00D777C3"/>
    <w:rsid w:val="00D7797C"/>
    <w:rsid w:val="00D77C44"/>
    <w:rsid w:val="00D77F88"/>
    <w:rsid w:val="00D81AFA"/>
    <w:rsid w:val="00D81EAA"/>
    <w:rsid w:val="00D81FE2"/>
    <w:rsid w:val="00D8259F"/>
    <w:rsid w:val="00D825F2"/>
    <w:rsid w:val="00D8285C"/>
    <w:rsid w:val="00D828B1"/>
    <w:rsid w:val="00D82A55"/>
    <w:rsid w:val="00D83D49"/>
    <w:rsid w:val="00D84181"/>
    <w:rsid w:val="00D846AD"/>
    <w:rsid w:val="00D84754"/>
    <w:rsid w:val="00D84F27"/>
    <w:rsid w:val="00D853F0"/>
    <w:rsid w:val="00D85862"/>
    <w:rsid w:val="00D86D47"/>
    <w:rsid w:val="00D8710C"/>
    <w:rsid w:val="00D873C6"/>
    <w:rsid w:val="00D87FCE"/>
    <w:rsid w:val="00D9074A"/>
    <w:rsid w:val="00D9099E"/>
    <w:rsid w:val="00D9193A"/>
    <w:rsid w:val="00D923B2"/>
    <w:rsid w:val="00D92463"/>
    <w:rsid w:val="00D93E64"/>
    <w:rsid w:val="00D93F64"/>
    <w:rsid w:val="00D94CA4"/>
    <w:rsid w:val="00D95E99"/>
    <w:rsid w:val="00D965D5"/>
    <w:rsid w:val="00D97DA2"/>
    <w:rsid w:val="00DA0485"/>
    <w:rsid w:val="00DA1A3A"/>
    <w:rsid w:val="00DA2351"/>
    <w:rsid w:val="00DA249E"/>
    <w:rsid w:val="00DA29C6"/>
    <w:rsid w:val="00DA2D3D"/>
    <w:rsid w:val="00DA3855"/>
    <w:rsid w:val="00DA4C30"/>
    <w:rsid w:val="00DA5C8A"/>
    <w:rsid w:val="00DA6A44"/>
    <w:rsid w:val="00DA7A3C"/>
    <w:rsid w:val="00DB0E38"/>
    <w:rsid w:val="00DB145E"/>
    <w:rsid w:val="00DB1A94"/>
    <w:rsid w:val="00DB1D52"/>
    <w:rsid w:val="00DB1E2B"/>
    <w:rsid w:val="00DB1F62"/>
    <w:rsid w:val="00DB21E7"/>
    <w:rsid w:val="00DB2E03"/>
    <w:rsid w:val="00DB3742"/>
    <w:rsid w:val="00DB3E9B"/>
    <w:rsid w:val="00DB3F4B"/>
    <w:rsid w:val="00DB5375"/>
    <w:rsid w:val="00DB67C1"/>
    <w:rsid w:val="00DB6C0B"/>
    <w:rsid w:val="00DB70F4"/>
    <w:rsid w:val="00DB748A"/>
    <w:rsid w:val="00DC1056"/>
    <w:rsid w:val="00DC1442"/>
    <w:rsid w:val="00DC21D8"/>
    <w:rsid w:val="00DC282A"/>
    <w:rsid w:val="00DC2DE8"/>
    <w:rsid w:val="00DC34DC"/>
    <w:rsid w:val="00DC3780"/>
    <w:rsid w:val="00DC3ADA"/>
    <w:rsid w:val="00DC3CC6"/>
    <w:rsid w:val="00DC3F55"/>
    <w:rsid w:val="00DC4782"/>
    <w:rsid w:val="00DC514A"/>
    <w:rsid w:val="00DC6249"/>
    <w:rsid w:val="00DC67B1"/>
    <w:rsid w:val="00DC7FBC"/>
    <w:rsid w:val="00DD0019"/>
    <w:rsid w:val="00DD132B"/>
    <w:rsid w:val="00DD1725"/>
    <w:rsid w:val="00DD2159"/>
    <w:rsid w:val="00DD218B"/>
    <w:rsid w:val="00DD2A18"/>
    <w:rsid w:val="00DD3044"/>
    <w:rsid w:val="00DD3985"/>
    <w:rsid w:val="00DD61E8"/>
    <w:rsid w:val="00DD62C0"/>
    <w:rsid w:val="00DD64DE"/>
    <w:rsid w:val="00DD7859"/>
    <w:rsid w:val="00DD7B41"/>
    <w:rsid w:val="00DE0784"/>
    <w:rsid w:val="00DE0A1D"/>
    <w:rsid w:val="00DE15B2"/>
    <w:rsid w:val="00DE1A9A"/>
    <w:rsid w:val="00DE3617"/>
    <w:rsid w:val="00DE3D2C"/>
    <w:rsid w:val="00DE5E82"/>
    <w:rsid w:val="00DE5FA6"/>
    <w:rsid w:val="00DE6792"/>
    <w:rsid w:val="00DE6AA1"/>
    <w:rsid w:val="00DE7EF7"/>
    <w:rsid w:val="00DF015B"/>
    <w:rsid w:val="00DF02EC"/>
    <w:rsid w:val="00DF10FC"/>
    <w:rsid w:val="00DF1185"/>
    <w:rsid w:val="00DF1299"/>
    <w:rsid w:val="00DF1A70"/>
    <w:rsid w:val="00DF1E5F"/>
    <w:rsid w:val="00DF23A8"/>
    <w:rsid w:val="00DF2F27"/>
    <w:rsid w:val="00DF36B6"/>
    <w:rsid w:val="00DF4296"/>
    <w:rsid w:val="00DF5267"/>
    <w:rsid w:val="00DF53F0"/>
    <w:rsid w:val="00DF5F38"/>
    <w:rsid w:val="00DF6608"/>
    <w:rsid w:val="00DF6CCC"/>
    <w:rsid w:val="00DF6D0C"/>
    <w:rsid w:val="00DF6F64"/>
    <w:rsid w:val="00DF721E"/>
    <w:rsid w:val="00DF7549"/>
    <w:rsid w:val="00DF7B8A"/>
    <w:rsid w:val="00DF7C87"/>
    <w:rsid w:val="00E009B0"/>
    <w:rsid w:val="00E00A12"/>
    <w:rsid w:val="00E00B39"/>
    <w:rsid w:val="00E00C49"/>
    <w:rsid w:val="00E01C9C"/>
    <w:rsid w:val="00E0219D"/>
    <w:rsid w:val="00E04C0F"/>
    <w:rsid w:val="00E0570B"/>
    <w:rsid w:val="00E06FB8"/>
    <w:rsid w:val="00E10913"/>
    <w:rsid w:val="00E10B87"/>
    <w:rsid w:val="00E121CE"/>
    <w:rsid w:val="00E12209"/>
    <w:rsid w:val="00E1478B"/>
    <w:rsid w:val="00E14FAC"/>
    <w:rsid w:val="00E15007"/>
    <w:rsid w:val="00E16277"/>
    <w:rsid w:val="00E16EC7"/>
    <w:rsid w:val="00E17DCC"/>
    <w:rsid w:val="00E219CE"/>
    <w:rsid w:val="00E21D93"/>
    <w:rsid w:val="00E23812"/>
    <w:rsid w:val="00E24071"/>
    <w:rsid w:val="00E24EBC"/>
    <w:rsid w:val="00E25149"/>
    <w:rsid w:val="00E2522C"/>
    <w:rsid w:val="00E2552F"/>
    <w:rsid w:val="00E2599B"/>
    <w:rsid w:val="00E2710C"/>
    <w:rsid w:val="00E272BD"/>
    <w:rsid w:val="00E27428"/>
    <w:rsid w:val="00E305B4"/>
    <w:rsid w:val="00E31AFA"/>
    <w:rsid w:val="00E31CB7"/>
    <w:rsid w:val="00E324EE"/>
    <w:rsid w:val="00E34DB1"/>
    <w:rsid w:val="00E35931"/>
    <w:rsid w:val="00E359FF"/>
    <w:rsid w:val="00E3699A"/>
    <w:rsid w:val="00E402C5"/>
    <w:rsid w:val="00E402F4"/>
    <w:rsid w:val="00E405F1"/>
    <w:rsid w:val="00E417DB"/>
    <w:rsid w:val="00E4198D"/>
    <w:rsid w:val="00E43054"/>
    <w:rsid w:val="00E43655"/>
    <w:rsid w:val="00E44440"/>
    <w:rsid w:val="00E46013"/>
    <w:rsid w:val="00E47099"/>
    <w:rsid w:val="00E47284"/>
    <w:rsid w:val="00E477A9"/>
    <w:rsid w:val="00E477C3"/>
    <w:rsid w:val="00E51E16"/>
    <w:rsid w:val="00E52DED"/>
    <w:rsid w:val="00E53730"/>
    <w:rsid w:val="00E5438D"/>
    <w:rsid w:val="00E54511"/>
    <w:rsid w:val="00E54E50"/>
    <w:rsid w:val="00E54EC9"/>
    <w:rsid w:val="00E55288"/>
    <w:rsid w:val="00E57577"/>
    <w:rsid w:val="00E60A2E"/>
    <w:rsid w:val="00E60BD7"/>
    <w:rsid w:val="00E62043"/>
    <w:rsid w:val="00E626B9"/>
    <w:rsid w:val="00E627C9"/>
    <w:rsid w:val="00E630F3"/>
    <w:rsid w:val="00E6332F"/>
    <w:rsid w:val="00E637C9"/>
    <w:rsid w:val="00E639E6"/>
    <w:rsid w:val="00E6402D"/>
    <w:rsid w:val="00E6680A"/>
    <w:rsid w:val="00E66F0D"/>
    <w:rsid w:val="00E67741"/>
    <w:rsid w:val="00E67CAE"/>
    <w:rsid w:val="00E70615"/>
    <w:rsid w:val="00E7161E"/>
    <w:rsid w:val="00E71B40"/>
    <w:rsid w:val="00E7207B"/>
    <w:rsid w:val="00E7347A"/>
    <w:rsid w:val="00E75A47"/>
    <w:rsid w:val="00E75BB6"/>
    <w:rsid w:val="00E75D8C"/>
    <w:rsid w:val="00E777BB"/>
    <w:rsid w:val="00E777F2"/>
    <w:rsid w:val="00E802C9"/>
    <w:rsid w:val="00E80342"/>
    <w:rsid w:val="00E80BFB"/>
    <w:rsid w:val="00E80F0A"/>
    <w:rsid w:val="00E815D4"/>
    <w:rsid w:val="00E8291B"/>
    <w:rsid w:val="00E82E70"/>
    <w:rsid w:val="00E82F92"/>
    <w:rsid w:val="00E8395F"/>
    <w:rsid w:val="00E8410F"/>
    <w:rsid w:val="00E849D7"/>
    <w:rsid w:val="00E85E41"/>
    <w:rsid w:val="00E85EA1"/>
    <w:rsid w:val="00E86030"/>
    <w:rsid w:val="00E86703"/>
    <w:rsid w:val="00E900DA"/>
    <w:rsid w:val="00E91044"/>
    <w:rsid w:val="00E910D3"/>
    <w:rsid w:val="00E92154"/>
    <w:rsid w:val="00E923CF"/>
    <w:rsid w:val="00E93685"/>
    <w:rsid w:val="00E93B65"/>
    <w:rsid w:val="00E93C8C"/>
    <w:rsid w:val="00E95111"/>
    <w:rsid w:val="00E95FDF"/>
    <w:rsid w:val="00EA1198"/>
    <w:rsid w:val="00EA14C8"/>
    <w:rsid w:val="00EA2110"/>
    <w:rsid w:val="00EA283A"/>
    <w:rsid w:val="00EA2C90"/>
    <w:rsid w:val="00EA2E07"/>
    <w:rsid w:val="00EA383B"/>
    <w:rsid w:val="00EA48F3"/>
    <w:rsid w:val="00EA60BF"/>
    <w:rsid w:val="00EA6847"/>
    <w:rsid w:val="00EA7365"/>
    <w:rsid w:val="00EA763F"/>
    <w:rsid w:val="00EA77E9"/>
    <w:rsid w:val="00EB05D0"/>
    <w:rsid w:val="00EB1151"/>
    <w:rsid w:val="00EB1D49"/>
    <w:rsid w:val="00EB23D9"/>
    <w:rsid w:val="00EB39A0"/>
    <w:rsid w:val="00EB559F"/>
    <w:rsid w:val="00EB566C"/>
    <w:rsid w:val="00EB5A18"/>
    <w:rsid w:val="00EB5F3D"/>
    <w:rsid w:val="00EB6C97"/>
    <w:rsid w:val="00EC1CEB"/>
    <w:rsid w:val="00EC1DC0"/>
    <w:rsid w:val="00EC1DC2"/>
    <w:rsid w:val="00EC1E09"/>
    <w:rsid w:val="00EC21EC"/>
    <w:rsid w:val="00EC24B8"/>
    <w:rsid w:val="00EC268C"/>
    <w:rsid w:val="00EC3753"/>
    <w:rsid w:val="00EC4E71"/>
    <w:rsid w:val="00EC5F1C"/>
    <w:rsid w:val="00ED0365"/>
    <w:rsid w:val="00ED0865"/>
    <w:rsid w:val="00ED1C60"/>
    <w:rsid w:val="00ED2E25"/>
    <w:rsid w:val="00ED2EB9"/>
    <w:rsid w:val="00ED3722"/>
    <w:rsid w:val="00ED3A31"/>
    <w:rsid w:val="00ED4469"/>
    <w:rsid w:val="00ED44F6"/>
    <w:rsid w:val="00ED5424"/>
    <w:rsid w:val="00ED5F23"/>
    <w:rsid w:val="00ED6A63"/>
    <w:rsid w:val="00ED6DC0"/>
    <w:rsid w:val="00ED7A7A"/>
    <w:rsid w:val="00EE0327"/>
    <w:rsid w:val="00EE038C"/>
    <w:rsid w:val="00EE28C5"/>
    <w:rsid w:val="00EE2F09"/>
    <w:rsid w:val="00EE47C5"/>
    <w:rsid w:val="00EE490C"/>
    <w:rsid w:val="00EE4E57"/>
    <w:rsid w:val="00EE516C"/>
    <w:rsid w:val="00EE5415"/>
    <w:rsid w:val="00EE5738"/>
    <w:rsid w:val="00EE58BD"/>
    <w:rsid w:val="00EE5E59"/>
    <w:rsid w:val="00EE73D0"/>
    <w:rsid w:val="00EE7CB0"/>
    <w:rsid w:val="00EF08A8"/>
    <w:rsid w:val="00EF167B"/>
    <w:rsid w:val="00EF41A8"/>
    <w:rsid w:val="00EF44FB"/>
    <w:rsid w:val="00EF4DF5"/>
    <w:rsid w:val="00EF5122"/>
    <w:rsid w:val="00EF5554"/>
    <w:rsid w:val="00EF5AD8"/>
    <w:rsid w:val="00EF6B90"/>
    <w:rsid w:val="00EF7807"/>
    <w:rsid w:val="00EF79F7"/>
    <w:rsid w:val="00F006C0"/>
    <w:rsid w:val="00F0125F"/>
    <w:rsid w:val="00F019AA"/>
    <w:rsid w:val="00F0267E"/>
    <w:rsid w:val="00F02686"/>
    <w:rsid w:val="00F030C0"/>
    <w:rsid w:val="00F03291"/>
    <w:rsid w:val="00F03A85"/>
    <w:rsid w:val="00F0459B"/>
    <w:rsid w:val="00F04E15"/>
    <w:rsid w:val="00F05DF3"/>
    <w:rsid w:val="00F069EA"/>
    <w:rsid w:val="00F06E85"/>
    <w:rsid w:val="00F070E5"/>
    <w:rsid w:val="00F07DDE"/>
    <w:rsid w:val="00F11675"/>
    <w:rsid w:val="00F12557"/>
    <w:rsid w:val="00F13599"/>
    <w:rsid w:val="00F13B28"/>
    <w:rsid w:val="00F14542"/>
    <w:rsid w:val="00F1520A"/>
    <w:rsid w:val="00F156A0"/>
    <w:rsid w:val="00F15730"/>
    <w:rsid w:val="00F176A6"/>
    <w:rsid w:val="00F202C2"/>
    <w:rsid w:val="00F212A8"/>
    <w:rsid w:val="00F212F6"/>
    <w:rsid w:val="00F21905"/>
    <w:rsid w:val="00F22756"/>
    <w:rsid w:val="00F23248"/>
    <w:rsid w:val="00F23890"/>
    <w:rsid w:val="00F2504D"/>
    <w:rsid w:val="00F2637F"/>
    <w:rsid w:val="00F268F7"/>
    <w:rsid w:val="00F30B83"/>
    <w:rsid w:val="00F30BDB"/>
    <w:rsid w:val="00F30CF8"/>
    <w:rsid w:val="00F31EDF"/>
    <w:rsid w:val="00F32CDE"/>
    <w:rsid w:val="00F32D4C"/>
    <w:rsid w:val="00F3327E"/>
    <w:rsid w:val="00F337E0"/>
    <w:rsid w:val="00F338C3"/>
    <w:rsid w:val="00F34B14"/>
    <w:rsid w:val="00F34F58"/>
    <w:rsid w:val="00F35DA7"/>
    <w:rsid w:val="00F36A6A"/>
    <w:rsid w:val="00F40101"/>
    <w:rsid w:val="00F404F7"/>
    <w:rsid w:val="00F40CCA"/>
    <w:rsid w:val="00F40F46"/>
    <w:rsid w:val="00F42D97"/>
    <w:rsid w:val="00F436B2"/>
    <w:rsid w:val="00F43813"/>
    <w:rsid w:val="00F43FEE"/>
    <w:rsid w:val="00F4492F"/>
    <w:rsid w:val="00F45A72"/>
    <w:rsid w:val="00F46723"/>
    <w:rsid w:val="00F4703B"/>
    <w:rsid w:val="00F4706D"/>
    <w:rsid w:val="00F476E1"/>
    <w:rsid w:val="00F47D1D"/>
    <w:rsid w:val="00F47F29"/>
    <w:rsid w:val="00F50016"/>
    <w:rsid w:val="00F50451"/>
    <w:rsid w:val="00F50A80"/>
    <w:rsid w:val="00F5118A"/>
    <w:rsid w:val="00F51A21"/>
    <w:rsid w:val="00F52614"/>
    <w:rsid w:val="00F5276E"/>
    <w:rsid w:val="00F52E9F"/>
    <w:rsid w:val="00F53304"/>
    <w:rsid w:val="00F53B81"/>
    <w:rsid w:val="00F540FE"/>
    <w:rsid w:val="00F556FF"/>
    <w:rsid w:val="00F55D12"/>
    <w:rsid w:val="00F5687F"/>
    <w:rsid w:val="00F56D3F"/>
    <w:rsid w:val="00F575C7"/>
    <w:rsid w:val="00F57FD0"/>
    <w:rsid w:val="00F60305"/>
    <w:rsid w:val="00F61B12"/>
    <w:rsid w:val="00F61C70"/>
    <w:rsid w:val="00F63264"/>
    <w:rsid w:val="00F634E4"/>
    <w:rsid w:val="00F6379E"/>
    <w:rsid w:val="00F64047"/>
    <w:rsid w:val="00F65171"/>
    <w:rsid w:val="00F6560D"/>
    <w:rsid w:val="00F663A9"/>
    <w:rsid w:val="00F67844"/>
    <w:rsid w:val="00F70799"/>
    <w:rsid w:val="00F70A8B"/>
    <w:rsid w:val="00F70B8D"/>
    <w:rsid w:val="00F71936"/>
    <w:rsid w:val="00F724FB"/>
    <w:rsid w:val="00F726B8"/>
    <w:rsid w:val="00F72A26"/>
    <w:rsid w:val="00F733C3"/>
    <w:rsid w:val="00F746A1"/>
    <w:rsid w:val="00F74820"/>
    <w:rsid w:val="00F75282"/>
    <w:rsid w:val="00F756DD"/>
    <w:rsid w:val="00F77518"/>
    <w:rsid w:val="00F77F4E"/>
    <w:rsid w:val="00F80047"/>
    <w:rsid w:val="00F800C7"/>
    <w:rsid w:val="00F8104D"/>
    <w:rsid w:val="00F8153F"/>
    <w:rsid w:val="00F81587"/>
    <w:rsid w:val="00F81769"/>
    <w:rsid w:val="00F8288F"/>
    <w:rsid w:val="00F8376E"/>
    <w:rsid w:val="00F84802"/>
    <w:rsid w:val="00F85B72"/>
    <w:rsid w:val="00F86540"/>
    <w:rsid w:val="00F865CE"/>
    <w:rsid w:val="00F8766F"/>
    <w:rsid w:val="00F90282"/>
    <w:rsid w:val="00F91082"/>
    <w:rsid w:val="00F9116D"/>
    <w:rsid w:val="00F91250"/>
    <w:rsid w:val="00F91342"/>
    <w:rsid w:val="00F91A9A"/>
    <w:rsid w:val="00F92634"/>
    <w:rsid w:val="00F933F3"/>
    <w:rsid w:val="00F93ABB"/>
    <w:rsid w:val="00F94D79"/>
    <w:rsid w:val="00F954FC"/>
    <w:rsid w:val="00F9658C"/>
    <w:rsid w:val="00F96E05"/>
    <w:rsid w:val="00F97A7F"/>
    <w:rsid w:val="00FA0889"/>
    <w:rsid w:val="00FA16E7"/>
    <w:rsid w:val="00FA31C7"/>
    <w:rsid w:val="00FA472D"/>
    <w:rsid w:val="00FA681F"/>
    <w:rsid w:val="00FB0CBF"/>
    <w:rsid w:val="00FB18F6"/>
    <w:rsid w:val="00FB2A52"/>
    <w:rsid w:val="00FB2B7B"/>
    <w:rsid w:val="00FB2CDD"/>
    <w:rsid w:val="00FB3F92"/>
    <w:rsid w:val="00FB46C8"/>
    <w:rsid w:val="00FB52C7"/>
    <w:rsid w:val="00FB57DC"/>
    <w:rsid w:val="00FB6E19"/>
    <w:rsid w:val="00FB71F6"/>
    <w:rsid w:val="00FB78C5"/>
    <w:rsid w:val="00FB7CF2"/>
    <w:rsid w:val="00FC07AF"/>
    <w:rsid w:val="00FC0AF8"/>
    <w:rsid w:val="00FC0B69"/>
    <w:rsid w:val="00FC1483"/>
    <w:rsid w:val="00FC1C47"/>
    <w:rsid w:val="00FC3102"/>
    <w:rsid w:val="00FC39ED"/>
    <w:rsid w:val="00FC4419"/>
    <w:rsid w:val="00FC47E2"/>
    <w:rsid w:val="00FC4AA5"/>
    <w:rsid w:val="00FC4B88"/>
    <w:rsid w:val="00FC4BB8"/>
    <w:rsid w:val="00FC5148"/>
    <w:rsid w:val="00FC6524"/>
    <w:rsid w:val="00FC6B58"/>
    <w:rsid w:val="00FC75AC"/>
    <w:rsid w:val="00FC7984"/>
    <w:rsid w:val="00FD01BF"/>
    <w:rsid w:val="00FD0525"/>
    <w:rsid w:val="00FD0AB7"/>
    <w:rsid w:val="00FD297D"/>
    <w:rsid w:val="00FD2D13"/>
    <w:rsid w:val="00FD374D"/>
    <w:rsid w:val="00FD3BCD"/>
    <w:rsid w:val="00FD6071"/>
    <w:rsid w:val="00FD633B"/>
    <w:rsid w:val="00FE0794"/>
    <w:rsid w:val="00FE1041"/>
    <w:rsid w:val="00FE1A47"/>
    <w:rsid w:val="00FE24CB"/>
    <w:rsid w:val="00FE2FC2"/>
    <w:rsid w:val="00FE323F"/>
    <w:rsid w:val="00FE3473"/>
    <w:rsid w:val="00FE35CC"/>
    <w:rsid w:val="00FE4049"/>
    <w:rsid w:val="00FE4794"/>
    <w:rsid w:val="00FE480F"/>
    <w:rsid w:val="00FE4998"/>
    <w:rsid w:val="00FE56B7"/>
    <w:rsid w:val="00FE57DE"/>
    <w:rsid w:val="00FE7A68"/>
    <w:rsid w:val="00FF0231"/>
    <w:rsid w:val="00FF1C9B"/>
    <w:rsid w:val="00FF1D49"/>
    <w:rsid w:val="00FF203B"/>
    <w:rsid w:val="00FF2562"/>
    <w:rsid w:val="00FF2B6C"/>
    <w:rsid w:val="00FF3A41"/>
    <w:rsid w:val="00FF3E5B"/>
    <w:rsid w:val="00FF4C8E"/>
    <w:rsid w:val="00FF57E4"/>
    <w:rsid w:val="00FF62AA"/>
    <w:rsid w:val="00FF78E5"/>
    <w:rsid w:val="010827C0"/>
    <w:rsid w:val="0119677B"/>
    <w:rsid w:val="012C5FAF"/>
    <w:rsid w:val="01A237CE"/>
    <w:rsid w:val="01AF3D99"/>
    <w:rsid w:val="01B52C2D"/>
    <w:rsid w:val="01F91C73"/>
    <w:rsid w:val="01F96404"/>
    <w:rsid w:val="0201302D"/>
    <w:rsid w:val="02200AAA"/>
    <w:rsid w:val="02247ACE"/>
    <w:rsid w:val="02337361"/>
    <w:rsid w:val="02511F9D"/>
    <w:rsid w:val="02DB6B5E"/>
    <w:rsid w:val="035100F2"/>
    <w:rsid w:val="036543A8"/>
    <w:rsid w:val="03654FA1"/>
    <w:rsid w:val="03A03330"/>
    <w:rsid w:val="03A314B8"/>
    <w:rsid w:val="03B7227C"/>
    <w:rsid w:val="03BB1D6C"/>
    <w:rsid w:val="03C5243A"/>
    <w:rsid w:val="03D82B98"/>
    <w:rsid w:val="03E47515"/>
    <w:rsid w:val="03F83E8B"/>
    <w:rsid w:val="03FF37B7"/>
    <w:rsid w:val="04140663"/>
    <w:rsid w:val="0451328B"/>
    <w:rsid w:val="046269DF"/>
    <w:rsid w:val="04BF763A"/>
    <w:rsid w:val="04CD61FB"/>
    <w:rsid w:val="04EF7F2B"/>
    <w:rsid w:val="050140F6"/>
    <w:rsid w:val="05067536"/>
    <w:rsid w:val="051929AB"/>
    <w:rsid w:val="05305068"/>
    <w:rsid w:val="05A131E3"/>
    <w:rsid w:val="05AC1B2E"/>
    <w:rsid w:val="05C56868"/>
    <w:rsid w:val="05CB2E5F"/>
    <w:rsid w:val="061C715B"/>
    <w:rsid w:val="06472F82"/>
    <w:rsid w:val="06705FB0"/>
    <w:rsid w:val="068F128E"/>
    <w:rsid w:val="0693415D"/>
    <w:rsid w:val="06EF31F8"/>
    <w:rsid w:val="06F2558C"/>
    <w:rsid w:val="06F62EB9"/>
    <w:rsid w:val="07017BB4"/>
    <w:rsid w:val="07131CDD"/>
    <w:rsid w:val="07A33592"/>
    <w:rsid w:val="07B72767"/>
    <w:rsid w:val="07BB67DE"/>
    <w:rsid w:val="07D63618"/>
    <w:rsid w:val="07E43A81"/>
    <w:rsid w:val="07FB4E2D"/>
    <w:rsid w:val="08077E72"/>
    <w:rsid w:val="0832086E"/>
    <w:rsid w:val="083245C7"/>
    <w:rsid w:val="0843490A"/>
    <w:rsid w:val="08882DD0"/>
    <w:rsid w:val="08946FCA"/>
    <w:rsid w:val="08B80099"/>
    <w:rsid w:val="09364131"/>
    <w:rsid w:val="093F3D8B"/>
    <w:rsid w:val="09666C3E"/>
    <w:rsid w:val="096B752A"/>
    <w:rsid w:val="097474D2"/>
    <w:rsid w:val="0981726F"/>
    <w:rsid w:val="098F7F12"/>
    <w:rsid w:val="09925144"/>
    <w:rsid w:val="09C23374"/>
    <w:rsid w:val="09CA084E"/>
    <w:rsid w:val="09CC2AAC"/>
    <w:rsid w:val="09EF16FD"/>
    <w:rsid w:val="0A092713"/>
    <w:rsid w:val="0A09478D"/>
    <w:rsid w:val="0A256191"/>
    <w:rsid w:val="0A2571AD"/>
    <w:rsid w:val="0A397E8E"/>
    <w:rsid w:val="0A3D797F"/>
    <w:rsid w:val="0A423A07"/>
    <w:rsid w:val="0A4A5BF8"/>
    <w:rsid w:val="0A652D3E"/>
    <w:rsid w:val="0A6E5D8A"/>
    <w:rsid w:val="0A7F7F97"/>
    <w:rsid w:val="0AAF0151"/>
    <w:rsid w:val="0AD876A7"/>
    <w:rsid w:val="0B0E1130"/>
    <w:rsid w:val="0B305702"/>
    <w:rsid w:val="0B326F2A"/>
    <w:rsid w:val="0B372620"/>
    <w:rsid w:val="0B3E3044"/>
    <w:rsid w:val="0B5374D4"/>
    <w:rsid w:val="0BFE313E"/>
    <w:rsid w:val="0C1C1816"/>
    <w:rsid w:val="0C1E2888"/>
    <w:rsid w:val="0C350E08"/>
    <w:rsid w:val="0C4C20FB"/>
    <w:rsid w:val="0C6531BD"/>
    <w:rsid w:val="0C8E61AF"/>
    <w:rsid w:val="0C8F1FE8"/>
    <w:rsid w:val="0C92213C"/>
    <w:rsid w:val="0CAF06D2"/>
    <w:rsid w:val="0CBE28CD"/>
    <w:rsid w:val="0CC2027E"/>
    <w:rsid w:val="0D7B16D9"/>
    <w:rsid w:val="0D84032B"/>
    <w:rsid w:val="0D860CD8"/>
    <w:rsid w:val="0DB13EEB"/>
    <w:rsid w:val="0DB735A4"/>
    <w:rsid w:val="0E14123E"/>
    <w:rsid w:val="0E6454B7"/>
    <w:rsid w:val="0E8A6F0A"/>
    <w:rsid w:val="0E9F560A"/>
    <w:rsid w:val="0ECE329B"/>
    <w:rsid w:val="0EE428AF"/>
    <w:rsid w:val="0EF645A0"/>
    <w:rsid w:val="0F094436"/>
    <w:rsid w:val="0F2A74C4"/>
    <w:rsid w:val="0F5A5D56"/>
    <w:rsid w:val="0F620A10"/>
    <w:rsid w:val="0F6878FA"/>
    <w:rsid w:val="0F711E78"/>
    <w:rsid w:val="0F7729A5"/>
    <w:rsid w:val="0FA61B22"/>
    <w:rsid w:val="10014FAA"/>
    <w:rsid w:val="101E5B5C"/>
    <w:rsid w:val="104A1F3F"/>
    <w:rsid w:val="104A4BA3"/>
    <w:rsid w:val="107240FA"/>
    <w:rsid w:val="108D4996"/>
    <w:rsid w:val="10A27F31"/>
    <w:rsid w:val="10DC1574"/>
    <w:rsid w:val="10E03CC6"/>
    <w:rsid w:val="11101D8E"/>
    <w:rsid w:val="113F5142"/>
    <w:rsid w:val="115B4B8E"/>
    <w:rsid w:val="118916FB"/>
    <w:rsid w:val="11927058"/>
    <w:rsid w:val="11BA7B07"/>
    <w:rsid w:val="11BD2243"/>
    <w:rsid w:val="11C14915"/>
    <w:rsid w:val="11F72B09"/>
    <w:rsid w:val="121045D6"/>
    <w:rsid w:val="122D02D9"/>
    <w:rsid w:val="122D2087"/>
    <w:rsid w:val="12743D83"/>
    <w:rsid w:val="128D0D77"/>
    <w:rsid w:val="12957C2C"/>
    <w:rsid w:val="12AD3208"/>
    <w:rsid w:val="12B96010"/>
    <w:rsid w:val="12FE2018"/>
    <w:rsid w:val="130628D8"/>
    <w:rsid w:val="131928BF"/>
    <w:rsid w:val="131B727A"/>
    <w:rsid w:val="135B2B22"/>
    <w:rsid w:val="137D5290"/>
    <w:rsid w:val="138A3509"/>
    <w:rsid w:val="13914897"/>
    <w:rsid w:val="13946135"/>
    <w:rsid w:val="13AF4F03"/>
    <w:rsid w:val="13E04CDB"/>
    <w:rsid w:val="14096B23"/>
    <w:rsid w:val="144A092A"/>
    <w:rsid w:val="14704A54"/>
    <w:rsid w:val="14736E66"/>
    <w:rsid w:val="147F458F"/>
    <w:rsid w:val="14947BFE"/>
    <w:rsid w:val="149A00A4"/>
    <w:rsid w:val="14B10388"/>
    <w:rsid w:val="14D174E6"/>
    <w:rsid w:val="14E44281"/>
    <w:rsid w:val="15033573"/>
    <w:rsid w:val="1534169A"/>
    <w:rsid w:val="156068E6"/>
    <w:rsid w:val="156D538C"/>
    <w:rsid w:val="159B506F"/>
    <w:rsid w:val="15C03E03"/>
    <w:rsid w:val="15FD16D4"/>
    <w:rsid w:val="16140CAA"/>
    <w:rsid w:val="16290DB7"/>
    <w:rsid w:val="162A25EB"/>
    <w:rsid w:val="16353C00"/>
    <w:rsid w:val="16735895"/>
    <w:rsid w:val="16816E45"/>
    <w:rsid w:val="16881F81"/>
    <w:rsid w:val="16B54D41"/>
    <w:rsid w:val="16C653F4"/>
    <w:rsid w:val="16D01B7A"/>
    <w:rsid w:val="16ED6288"/>
    <w:rsid w:val="16FA4BD2"/>
    <w:rsid w:val="16FD2A55"/>
    <w:rsid w:val="17001FDA"/>
    <w:rsid w:val="17067C1A"/>
    <w:rsid w:val="17233A58"/>
    <w:rsid w:val="173619DD"/>
    <w:rsid w:val="17366761"/>
    <w:rsid w:val="174E2EC4"/>
    <w:rsid w:val="17514A69"/>
    <w:rsid w:val="17567E8F"/>
    <w:rsid w:val="1763654B"/>
    <w:rsid w:val="176F6C9D"/>
    <w:rsid w:val="177C01F0"/>
    <w:rsid w:val="179E3EFA"/>
    <w:rsid w:val="17A252C5"/>
    <w:rsid w:val="17C84600"/>
    <w:rsid w:val="17CE6630"/>
    <w:rsid w:val="17F4641B"/>
    <w:rsid w:val="181D494B"/>
    <w:rsid w:val="18291A50"/>
    <w:rsid w:val="1844637C"/>
    <w:rsid w:val="184B6E30"/>
    <w:rsid w:val="18573BB3"/>
    <w:rsid w:val="185F6D12"/>
    <w:rsid w:val="18772542"/>
    <w:rsid w:val="187F3D33"/>
    <w:rsid w:val="18820F70"/>
    <w:rsid w:val="18972950"/>
    <w:rsid w:val="18F558C8"/>
    <w:rsid w:val="192F0F26"/>
    <w:rsid w:val="195474DE"/>
    <w:rsid w:val="195B507D"/>
    <w:rsid w:val="19BE25EF"/>
    <w:rsid w:val="19EE7E5D"/>
    <w:rsid w:val="1A1D50D7"/>
    <w:rsid w:val="1A5F0EA6"/>
    <w:rsid w:val="1A7B3BAB"/>
    <w:rsid w:val="1A8B76DB"/>
    <w:rsid w:val="1A98650B"/>
    <w:rsid w:val="1AA94BBC"/>
    <w:rsid w:val="1AAA4452"/>
    <w:rsid w:val="1AC252C2"/>
    <w:rsid w:val="1AC63078"/>
    <w:rsid w:val="1AD11A1D"/>
    <w:rsid w:val="1AFF0AFE"/>
    <w:rsid w:val="1B412001"/>
    <w:rsid w:val="1B4F19F8"/>
    <w:rsid w:val="1B5A7857"/>
    <w:rsid w:val="1BA972F6"/>
    <w:rsid w:val="1BE50DD1"/>
    <w:rsid w:val="1C1F23FA"/>
    <w:rsid w:val="1C4306F9"/>
    <w:rsid w:val="1C4526C3"/>
    <w:rsid w:val="1C5D5C5E"/>
    <w:rsid w:val="1C6B432E"/>
    <w:rsid w:val="1C8101E5"/>
    <w:rsid w:val="1C8409D2"/>
    <w:rsid w:val="1C970A1D"/>
    <w:rsid w:val="1CCE2EE5"/>
    <w:rsid w:val="1CDA72AF"/>
    <w:rsid w:val="1CDF6F49"/>
    <w:rsid w:val="1CEF7146"/>
    <w:rsid w:val="1D0A6375"/>
    <w:rsid w:val="1D181B85"/>
    <w:rsid w:val="1D322C47"/>
    <w:rsid w:val="1DB7314C"/>
    <w:rsid w:val="1DBE272D"/>
    <w:rsid w:val="1DC31AF1"/>
    <w:rsid w:val="1DE1641B"/>
    <w:rsid w:val="1DE5046B"/>
    <w:rsid w:val="1E1F1D09"/>
    <w:rsid w:val="1E3E4FB4"/>
    <w:rsid w:val="1E4852D2"/>
    <w:rsid w:val="1E4F2A7A"/>
    <w:rsid w:val="1E694596"/>
    <w:rsid w:val="1E70765E"/>
    <w:rsid w:val="1E9621D4"/>
    <w:rsid w:val="1EB202A6"/>
    <w:rsid w:val="1EC76CCF"/>
    <w:rsid w:val="1ECC44FA"/>
    <w:rsid w:val="1ED6486B"/>
    <w:rsid w:val="1EDB63FC"/>
    <w:rsid w:val="1F063325"/>
    <w:rsid w:val="1F1617FB"/>
    <w:rsid w:val="1F1C1B35"/>
    <w:rsid w:val="1F1F5219"/>
    <w:rsid w:val="1F300115"/>
    <w:rsid w:val="1F3A0E0F"/>
    <w:rsid w:val="1F5642FC"/>
    <w:rsid w:val="1F5F3A9B"/>
    <w:rsid w:val="1FAE057F"/>
    <w:rsid w:val="1FBC5DF5"/>
    <w:rsid w:val="1FF90588"/>
    <w:rsid w:val="2018762F"/>
    <w:rsid w:val="202A22FB"/>
    <w:rsid w:val="202B5346"/>
    <w:rsid w:val="202C2386"/>
    <w:rsid w:val="20400F91"/>
    <w:rsid w:val="20514B81"/>
    <w:rsid w:val="2056255B"/>
    <w:rsid w:val="20574407"/>
    <w:rsid w:val="206A570B"/>
    <w:rsid w:val="20BD452B"/>
    <w:rsid w:val="20C3623F"/>
    <w:rsid w:val="20DA182C"/>
    <w:rsid w:val="20F46465"/>
    <w:rsid w:val="210900A7"/>
    <w:rsid w:val="212156C5"/>
    <w:rsid w:val="2148258B"/>
    <w:rsid w:val="21611D4D"/>
    <w:rsid w:val="216B4602"/>
    <w:rsid w:val="21771E62"/>
    <w:rsid w:val="21781212"/>
    <w:rsid w:val="21B83F86"/>
    <w:rsid w:val="21EA380F"/>
    <w:rsid w:val="221178A8"/>
    <w:rsid w:val="221213CF"/>
    <w:rsid w:val="222919CC"/>
    <w:rsid w:val="22327A92"/>
    <w:rsid w:val="223D23F1"/>
    <w:rsid w:val="2254540E"/>
    <w:rsid w:val="226C668D"/>
    <w:rsid w:val="22AD188F"/>
    <w:rsid w:val="22FF181D"/>
    <w:rsid w:val="230063DC"/>
    <w:rsid w:val="23151AAF"/>
    <w:rsid w:val="231D53A2"/>
    <w:rsid w:val="23447FE4"/>
    <w:rsid w:val="235B5EFE"/>
    <w:rsid w:val="236D5383"/>
    <w:rsid w:val="23863CED"/>
    <w:rsid w:val="239A7798"/>
    <w:rsid w:val="239F377F"/>
    <w:rsid w:val="23A35E53"/>
    <w:rsid w:val="23B24AE2"/>
    <w:rsid w:val="23B7504C"/>
    <w:rsid w:val="23C84DE9"/>
    <w:rsid w:val="23D63FF3"/>
    <w:rsid w:val="2419690F"/>
    <w:rsid w:val="24571307"/>
    <w:rsid w:val="24715ECA"/>
    <w:rsid w:val="24754E93"/>
    <w:rsid w:val="247E43DB"/>
    <w:rsid w:val="24967F5F"/>
    <w:rsid w:val="249C557D"/>
    <w:rsid w:val="24F829C8"/>
    <w:rsid w:val="25110A2A"/>
    <w:rsid w:val="25145328"/>
    <w:rsid w:val="25240D0A"/>
    <w:rsid w:val="256C0944"/>
    <w:rsid w:val="25733194"/>
    <w:rsid w:val="25967363"/>
    <w:rsid w:val="259A582D"/>
    <w:rsid w:val="259F2E44"/>
    <w:rsid w:val="25E65E18"/>
    <w:rsid w:val="26446DE3"/>
    <w:rsid w:val="2674607E"/>
    <w:rsid w:val="267A740D"/>
    <w:rsid w:val="267E514F"/>
    <w:rsid w:val="269669E7"/>
    <w:rsid w:val="269E134D"/>
    <w:rsid w:val="26A270C1"/>
    <w:rsid w:val="26CE2F65"/>
    <w:rsid w:val="26D7699F"/>
    <w:rsid w:val="26FB054E"/>
    <w:rsid w:val="27174C5C"/>
    <w:rsid w:val="272C0399"/>
    <w:rsid w:val="277A5AEB"/>
    <w:rsid w:val="2789543C"/>
    <w:rsid w:val="27AA633E"/>
    <w:rsid w:val="27AF043B"/>
    <w:rsid w:val="27B0578B"/>
    <w:rsid w:val="27B87198"/>
    <w:rsid w:val="27BC5F2F"/>
    <w:rsid w:val="27DC037F"/>
    <w:rsid w:val="28177609"/>
    <w:rsid w:val="281E1EFD"/>
    <w:rsid w:val="287B5CFE"/>
    <w:rsid w:val="28A3717E"/>
    <w:rsid w:val="28CB21A2"/>
    <w:rsid w:val="29197878"/>
    <w:rsid w:val="29260276"/>
    <w:rsid w:val="29283150"/>
    <w:rsid w:val="29316245"/>
    <w:rsid w:val="299802D6"/>
    <w:rsid w:val="29AE5D4B"/>
    <w:rsid w:val="29B75078"/>
    <w:rsid w:val="29D75F7F"/>
    <w:rsid w:val="29E22D43"/>
    <w:rsid w:val="29FB2613"/>
    <w:rsid w:val="2A13795C"/>
    <w:rsid w:val="2A1E2D2D"/>
    <w:rsid w:val="2A3019E9"/>
    <w:rsid w:val="2A353998"/>
    <w:rsid w:val="2A9D41C3"/>
    <w:rsid w:val="2AA212FD"/>
    <w:rsid w:val="2AA607D0"/>
    <w:rsid w:val="2AF61758"/>
    <w:rsid w:val="2B095AA2"/>
    <w:rsid w:val="2B195E43"/>
    <w:rsid w:val="2B6C7A10"/>
    <w:rsid w:val="2B724B56"/>
    <w:rsid w:val="2B774624"/>
    <w:rsid w:val="2B81687D"/>
    <w:rsid w:val="2B8608E2"/>
    <w:rsid w:val="2B876854"/>
    <w:rsid w:val="2BA14AB8"/>
    <w:rsid w:val="2BD126E4"/>
    <w:rsid w:val="2BDD6474"/>
    <w:rsid w:val="2BEC6A86"/>
    <w:rsid w:val="2BEE242F"/>
    <w:rsid w:val="2BF52B8C"/>
    <w:rsid w:val="2C35005E"/>
    <w:rsid w:val="2C7A72BE"/>
    <w:rsid w:val="2C864D5D"/>
    <w:rsid w:val="2C9A7D75"/>
    <w:rsid w:val="2CA64B3B"/>
    <w:rsid w:val="2CC17412"/>
    <w:rsid w:val="2CD60BF4"/>
    <w:rsid w:val="2CD86C3B"/>
    <w:rsid w:val="2D183B14"/>
    <w:rsid w:val="2D283E6C"/>
    <w:rsid w:val="2D7C1E99"/>
    <w:rsid w:val="2D9350C5"/>
    <w:rsid w:val="2DA505AE"/>
    <w:rsid w:val="2DC45B3D"/>
    <w:rsid w:val="2DE735DA"/>
    <w:rsid w:val="2DF57CF0"/>
    <w:rsid w:val="2DF87595"/>
    <w:rsid w:val="2E426A62"/>
    <w:rsid w:val="2E4507CD"/>
    <w:rsid w:val="2E4B4177"/>
    <w:rsid w:val="2E4C78E1"/>
    <w:rsid w:val="2E587F47"/>
    <w:rsid w:val="2E65368C"/>
    <w:rsid w:val="2E70537D"/>
    <w:rsid w:val="2E7B23A5"/>
    <w:rsid w:val="2E8452CD"/>
    <w:rsid w:val="2E962881"/>
    <w:rsid w:val="2E9976CE"/>
    <w:rsid w:val="2E9A74E5"/>
    <w:rsid w:val="2EA60904"/>
    <w:rsid w:val="2EE00DC3"/>
    <w:rsid w:val="2EF01DEE"/>
    <w:rsid w:val="2F1877C3"/>
    <w:rsid w:val="2F3B2F8F"/>
    <w:rsid w:val="2F401D3C"/>
    <w:rsid w:val="2F4800A8"/>
    <w:rsid w:val="2F5051AF"/>
    <w:rsid w:val="2F5B24E1"/>
    <w:rsid w:val="2F80100D"/>
    <w:rsid w:val="2F9C5CDB"/>
    <w:rsid w:val="2FA23C5C"/>
    <w:rsid w:val="2FA95C88"/>
    <w:rsid w:val="2FBC149F"/>
    <w:rsid w:val="2FD61B58"/>
    <w:rsid w:val="2FD86E9B"/>
    <w:rsid w:val="2FDE37A5"/>
    <w:rsid w:val="2FE14059"/>
    <w:rsid w:val="2FF3270A"/>
    <w:rsid w:val="2FF80CC3"/>
    <w:rsid w:val="30221C48"/>
    <w:rsid w:val="3034687E"/>
    <w:rsid w:val="303B19BB"/>
    <w:rsid w:val="3041370F"/>
    <w:rsid w:val="30570A65"/>
    <w:rsid w:val="3060369A"/>
    <w:rsid w:val="30B87FED"/>
    <w:rsid w:val="30CF0057"/>
    <w:rsid w:val="30D0332C"/>
    <w:rsid w:val="30E5141E"/>
    <w:rsid w:val="30FE2A72"/>
    <w:rsid w:val="31002774"/>
    <w:rsid w:val="310148F0"/>
    <w:rsid w:val="312B50A3"/>
    <w:rsid w:val="313F18A3"/>
    <w:rsid w:val="31683980"/>
    <w:rsid w:val="31894FD2"/>
    <w:rsid w:val="318F27BC"/>
    <w:rsid w:val="31A55C86"/>
    <w:rsid w:val="31FF0F84"/>
    <w:rsid w:val="32057A20"/>
    <w:rsid w:val="3216448E"/>
    <w:rsid w:val="322A0A17"/>
    <w:rsid w:val="32453A27"/>
    <w:rsid w:val="32543208"/>
    <w:rsid w:val="3263064A"/>
    <w:rsid w:val="32A43132"/>
    <w:rsid w:val="32AC0C06"/>
    <w:rsid w:val="32BD2B5B"/>
    <w:rsid w:val="33272EB3"/>
    <w:rsid w:val="33280362"/>
    <w:rsid w:val="33344EF5"/>
    <w:rsid w:val="333472C1"/>
    <w:rsid w:val="334868C9"/>
    <w:rsid w:val="335135AD"/>
    <w:rsid w:val="335C05C6"/>
    <w:rsid w:val="338C209D"/>
    <w:rsid w:val="33C00B55"/>
    <w:rsid w:val="33E47F39"/>
    <w:rsid w:val="3438197C"/>
    <w:rsid w:val="3463556B"/>
    <w:rsid w:val="346F4329"/>
    <w:rsid w:val="349A203C"/>
    <w:rsid w:val="34AB094C"/>
    <w:rsid w:val="34D20697"/>
    <w:rsid w:val="350607E9"/>
    <w:rsid w:val="35066A3B"/>
    <w:rsid w:val="35147F85"/>
    <w:rsid w:val="353177BD"/>
    <w:rsid w:val="3537750C"/>
    <w:rsid w:val="3537798C"/>
    <w:rsid w:val="35464696"/>
    <w:rsid w:val="356C32E1"/>
    <w:rsid w:val="35725E7F"/>
    <w:rsid w:val="35737CAC"/>
    <w:rsid w:val="35784B06"/>
    <w:rsid w:val="358E67B3"/>
    <w:rsid w:val="359671E2"/>
    <w:rsid w:val="35C13FC9"/>
    <w:rsid w:val="35EF127D"/>
    <w:rsid w:val="36032A68"/>
    <w:rsid w:val="36107446"/>
    <w:rsid w:val="361376DE"/>
    <w:rsid w:val="36154A5C"/>
    <w:rsid w:val="364257B6"/>
    <w:rsid w:val="365810C1"/>
    <w:rsid w:val="36CC7811"/>
    <w:rsid w:val="36CD03FF"/>
    <w:rsid w:val="36D64360"/>
    <w:rsid w:val="36EB413B"/>
    <w:rsid w:val="36ED7342"/>
    <w:rsid w:val="36F01751"/>
    <w:rsid w:val="37205E40"/>
    <w:rsid w:val="37226CD7"/>
    <w:rsid w:val="37246F13"/>
    <w:rsid w:val="373D24BC"/>
    <w:rsid w:val="373D42AF"/>
    <w:rsid w:val="37517D16"/>
    <w:rsid w:val="37537F32"/>
    <w:rsid w:val="376D14AF"/>
    <w:rsid w:val="377A2C27"/>
    <w:rsid w:val="378D6B0A"/>
    <w:rsid w:val="37EA5922"/>
    <w:rsid w:val="381D69EA"/>
    <w:rsid w:val="38251228"/>
    <w:rsid w:val="38276B93"/>
    <w:rsid w:val="382C2678"/>
    <w:rsid w:val="386F48F8"/>
    <w:rsid w:val="387A3C2D"/>
    <w:rsid w:val="388C36FB"/>
    <w:rsid w:val="38A8605B"/>
    <w:rsid w:val="38AC3431"/>
    <w:rsid w:val="38C509BB"/>
    <w:rsid w:val="38D66725"/>
    <w:rsid w:val="38E31989"/>
    <w:rsid w:val="38FC35F8"/>
    <w:rsid w:val="390A63CE"/>
    <w:rsid w:val="392F2E16"/>
    <w:rsid w:val="39522A4F"/>
    <w:rsid w:val="39B43358"/>
    <w:rsid w:val="39DE1D35"/>
    <w:rsid w:val="39E00529"/>
    <w:rsid w:val="3A0B64A7"/>
    <w:rsid w:val="3A2B2AA0"/>
    <w:rsid w:val="3A377697"/>
    <w:rsid w:val="3A3D0823"/>
    <w:rsid w:val="3A40479E"/>
    <w:rsid w:val="3A574DDA"/>
    <w:rsid w:val="3A7E2CEE"/>
    <w:rsid w:val="3AC32CD9"/>
    <w:rsid w:val="3AD3075A"/>
    <w:rsid w:val="3AF74C02"/>
    <w:rsid w:val="3B08125F"/>
    <w:rsid w:val="3B117D69"/>
    <w:rsid w:val="3B143534"/>
    <w:rsid w:val="3B1B48C3"/>
    <w:rsid w:val="3B314D58"/>
    <w:rsid w:val="3B535B37"/>
    <w:rsid w:val="3B6031D3"/>
    <w:rsid w:val="3B657F1A"/>
    <w:rsid w:val="3B6C15C2"/>
    <w:rsid w:val="3B890DC1"/>
    <w:rsid w:val="3BA65070"/>
    <w:rsid w:val="3C0059A5"/>
    <w:rsid w:val="3C134E78"/>
    <w:rsid w:val="3C2D1349"/>
    <w:rsid w:val="3C406CD7"/>
    <w:rsid w:val="3C4A1903"/>
    <w:rsid w:val="3C4D31A2"/>
    <w:rsid w:val="3C526A0A"/>
    <w:rsid w:val="3C5E0698"/>
    <w:rsid w:val="3C6436E5"/>
    <w:rsid w:val="3C683F6D"/>
    <w:rsid w:val="3C686A41"/>
    <w:rsid w:val="3C88242C"/>
    <w:rsid w:val="3C885F88"/>
    <w:rsid w:val="3C8B21EB"/>
    <w:rsid w:val="3C926E07"/>
    <w:rsid w:val="3CA24F0A"/>
    <w:rsid w:val="3CB4104C"/>
    <w:rsid w:val="3CBD0327"/>
    <w:rsid w:val="3CCB6EDB"/>
    <w:rsid w:val="3D07507C"/>
    <w:rsid w:val="3D1141CF"/>
    <w:rsid w:val="3D1E051B"/>
    <w:rsid w:val="3D566798"/>
    <w:rsid w:val="3D580050"/>
    <w:rsid w:val="3D7F5B5C"/>
    <w:rsid w:val="3D812C57"/>
    <w:rsid w:val="3D8E57A9"/>
    <w:rsid w:val="3D9B618F"/>
    <w:rsid w:val="3DA05553"/>
    <w:rsid w:val="3DCC6348"/>
    <w:rsid w:val="3DEC579F"/>
    <w:rsid w:val="3DF6345D"/>
    <w:rsid w:val="3E0D0E3B"/>
    <w:rsid w:val="3E1B68A6"/>
    <w:rsid w:val="3E233DBE"/>
    <w:rsid w:val="3E2B5515"/>
    <w:rsid w:val="3E3F4D6C"/>
    <w:rsid w:val="3E4D4F28"/>
    <w:rsid w:val="3E524A9F"/>
    <w:rsid w:val="3E817133"/>
    <w:rsid w:val="3E8E4943"/>
    <w:rsid w:val="3EBC63BD"/>
    <w:rsid w:val="3ECB7CDF"/>
    <w:rsid w:val="3ECC7453"/>
    <w:rsid w:val="3ED61746"/>
    <w:rsid w:val="3ED92EC4"/>
    <w:rsid w:val="3EE13701"/>
    <w:rsid w:val="3F1A4BB3"/>
    <w:rsid w:val="3F3874BF"/>
    <w:rsid w:val="3F3E3276"/>
    <w:rsid w:val="3F5A2E5F"/>
    <w:rsid w:val="3F713622"/>
    <w:rsid w:val="3FB362C2"/>
    <w:rsid w:val="3FB45515"/>
    <w:rsid w:val="3FB6105E"/>
    <w:rsid w:val="3FB90C6E"/>
    <w:rsid w:val="3FC731E3"/>
    <w:rsid w:val="3FEC0F24"/>
    <w:rsid w:val="3FEE07F8"/>
    <w:rsid w:val="400022D9"/>
    <w:rsid w:val="40153FD6"/>
    <w:rsid w:val="40192BA6"/>
    <w:rsid w:val="4031543E"/>
    <w:rsid w:val="40D44BB8"/>
    <w:rsid w:val="40F63E08"/>
    <w:rsid w:val="40F8373D"/>
    <w:rsid w:val="41114D6F"/>
    <w:rsid w:val="416274F1"/>
    <w:rsid w:val="416B088F"/>
    <w:rsid w:val="41760AA5"/>
    <w:rsid w:val="41766EA9"/>
    <w:rsid w:val="41935450"/>
    <w:rsid w:val="41AD09C3"/>
    <w:rsid w:val="41B65373"/>
    <w:rsid w:val="41DE664A"/>
    <w:rsid w:val="41E6725D"/>
    <w:rsid w:val="41F77652"/>
    <w:rsid w:val="4217445F"/>
    <w:rsid w:val="423D5A66"/>
    <w:rsid w:val="42550A18"/>
    <w:rsid w:val="426E308D"/>
    <w:rsid w:val="429D496A"/>
    <w:rsid w:val="42A038DB"/>
    <w:rsid w:val="42A16911"/>
    <w:rsid w:val="42C4395D"/>
    <w:rsid w:val="42F473A1"/>
    <w:rsid w:val="431A7B56"/>
    <w:rsid w:val="43362BE2"/>
    <w:rsid w:val="437217EA"/>
    <w:rsid w:val="4392187A"/>
    <w:rsid w:val="43AB7156"/>
    <w:rsid w:val="43DE0B83"/>
    <w:rsid w:val="441E62C0"/>
    <w:rsid w:val="442102EF"/>
    <w:rsid w:val="442D4712"/>
    <w:rsid w:val="4434212B"/>
    <w:rsid w:val="443C665A"/>
    <w:rsid w:val="44916AD9"/>
    <w:rsid w:val="449D7506"/>
    <w:rsid w:val="44A71A4C"/>
    <w:rsid w:val="45062140"/>
    <w:rsid w:val="45325D14"/>
    <w:rsid w:val="45327DE5"/>
    <w:rsid w:val="45571063"/>
    <w:rsid w:val="456F23DB"/>
    <w:rsid w:val="45811C7C"/>
    <w:rsid w:val="45906116"/>
    <w:rsid w:val="45917908"/>
    <w:rsid w:val="45931B8C"/>
    <w:rsid w:val="459B015E"/>
    <w:rsid w:val="459B6D2C"/>
    <w:rsid w:val="45DF4F21"/>
    <w:rsid w:val="45EF2552"/>
    <w:rsid w:val="460B6AC0"/>
    <w:rsid w:val="463B22BD"/>
    <w:rsid w:val="464C1EC6"/>
    <w:rsid w:val="466E61EE"/>
    <w:rsid w:val="46733CB9"/>
    <w:rsid w:val="467550A7"/>
    <w:rsid w:val="468B3EFB"/>
    <w:rsid w:val="468E6891"/>
    <w:rsid w:val="46955E71"/>
    <w:rsid w:val="46C95B1B"/>
    <w:rsid w:val="46FA2EE3"/>
    <w:rsid w:val="470A6193"/>
    <w:rsid w:val="471548BC"/>
    <w:rsid w:val="47385210"/>
    <w:rsid w:val="47555600"/>
    <w:rsid w:val="475F1FDB"/>
    <w:rsid w:val="476D1D47"/>
    <w:rsid w:val="479559FD"/>
    <w:rsid w:val="47A0743D"/>
    <w:rsid w:val="47A617A5"/>
    <w:rsid w:val="47C56F66"/>
    <w:rsid w:val="47D31E1A"/>
    <w:rsid w:val="47DC4F5C"/>
    <w:rsid w:val="4840005F"/>
    <w:rsid w:val="484F7DD9"/>
    <w:rsid w:val="48552BC8"/>
    <w:rsid w:val="48B40671"/>
    <w:rsid w:val="48BC6F7A"/>
    <w:rsid w:val="48F8074C"/>
    <w:rsid w:val="49042FF5"/>
    <w:rsid w:val="49076335"/>
    <w:rsid w:val="4922291D"/>
    <w:rsid w:val="492B4C09"/>
    <w:rsid w:val="492B6619"/>
    <w:rsid w:val="49604478"/>
    <w:rsid w:val="499B5738"/>
    <w:rsid w:val="499F244D"/>
    <w:rsid w:val="49B900C8"/>
    <w:rsid w:val="49CF169A"/>
    <w:rsid w:val="4A1953E5"/>
    <w:rsid w:val="4A1E617D"/>
    <w:rsid w:val="4A7E670F"/>
    <w:rsid w:val="4A970798"/>
    <w:rsid w:val="4A973F3F"/>
    <w:rsid w:val="4A9D48C2"/>
    <w:rsid w:val="4ABB577A"/>
    <w:rsid w:val="4ABC3301"/>
    <w:rsid w:val="4AC31D20"/>
    <w:rsid w:val="4AC83F74"/>
    <w:rsid w:val="4ACE1952"/>
    <w:rsid w:val="4AF96BC7"/>
    <w:rsid w:val="4B0C003F"/>
    <w:rsid w:val="4B136655"/>
    <w:rsid w:val="4B643D98"/>
    <w:rsid w:val="4B702A09"/>
    <w:rsid w:val="4B862A85"/>
    <w:rsid w:val="4B8F39AF"/>
    <w:rsid w:val="4BA53E30"/>
    <w:rsid w:val="4BB94F2D"/>
    <w:rsid w:val="4BDD0672"/>
    <w:rsid w:val="4BE33F9B"/>
    <w:rsid w:val="4BF36441"/>
    <w:rsid w:val="4C2832E3"/>
    <w:rsid w:val="4C4D68A6"/>
    <w:rsid w:val="4C7E1155"/>
    <w:rsid w:val="4C8E7362"/>
    <w:rsid w:val="4C9F7D59"/>
    <w:rsid w:val="4CA010CC"/>
    <w:rsid w:val="4CB708CE"/>
    <w:rsid w:val="4CD7788D"/>
    <w:rsid w:val="4CDE5035"/>
    <w:rsid w:val="4CE54D31"/>
    <w:rsid w:val="4CEF36E2"/>
    <w:rsid w:val="4CEF4DC5"/>
    <w:rsid w:val="4D1D595E"/>
    <w:rsid w:val="4D2E492A"/>
    <w:rsid w:val="4DAD1323"/>
    <w:rsid w:val="4DAE0576"/>
    <w:rsid w:val="4DB43081"/>
    <w:rsid w:val="4DBA440F"/>
    <w:rsid w:val="4DCC61A3"/>
    <w:rsid w:val="4DDA7116"/>
    <w:rsid w:val="4E257655"/>
    <w:rsid w:val="4E263853"/>
    <w:rsid w:val="4E2D4BE1"/>
    <w:rsid w:val="4E375A60"/>
    <w:rsid w:val="4E4A29CE"/>
    <w:rsid w:val="4E5A1BC6"/>
    <w:rsid w:val="4E612ADD"/>
    <w:rsid w:val="4E7B70F2"/>
    <w:rsid w:val="4EA54611"/>
    <w:rsid w:val="4ED01321"/>
    <w:rsid w:val="4EE01C53"/>
    <w:rsid w:val="4EF56E5A"/>
    <w:rsid w:val="4EFF09F2"/>
    <w:rsid w:val="4F017C92"/>
    <w:rsid w:val="4F372380"/>
    <w:rsid w:val="4F372FFB"/>
    <w:rsid w:val="4F50685F"/>
    <w:rsid w:val="4F552D33"/>
    <w:rsid w:val="4F604F02"/>
    <w:rsid w:val="4F6D6A9E"/>
    <w:rsid w:val="4FAC106B"/>
    <w:rsid w:val="4FAD6032"/>
    <w:rsid w:val="4FDC1C12"/>
    <w:rsid w:val="4FDD1914"/>
    <w:rsid w:val="4FED287A"/>
    <w:rsid w:val="500D6A78"/>
    <w:rsid w:val="50137E07"/>
    <w:rsid w:val="501F792A"/>
    <w:rsid w:val="502320A0"/>
    <w:rsid w:val="5025116D"/>
    <w:rsid w:val="505B6B08"/>
    <w:rsid w:val="505C3744"/>
    <w:rsid w:val="505E5526"/>
    <w:rsid w:val="50CE76FD"/>
    <w:rsid w:val="50DE66D4"/>
    <w:rsid w:val="5119769F"/>
    <w:rsid w:val="511F7661"/>
    <w:rsid w:val="51262341"/>
    <w:rsid w:val="512978E2"/>
    <w:rsid w:val="513E4D75"/>
    <w:rsid w:val="517F61AE"/>
    <w:rsid w:val="519C2EC4"/>
    <w:rsid w:val="51B94AD4"/>
    <w:rsid w:val="51D07D5D"/>
    <w:rsid w:val="51DF6918"/>
    <w:rsid w:val="521B663F"/>
    <w:rsid w:val="52395ECD"/>
    <w:rsid w:val="52575E63"/>
    <w:rsid w:val="52650DED"/>
    <w:rsid w:val="52860CDE"/>
    <w:rsid w:val="52887E58"/>
    <w:rsid w:val="52BD6456"/>
    <w:rsid w:val="52C10D75"/>
    <w:rsid w:val="52E71BFE"/>
    <w:rsid w:val="533F163E"/>
    <w:rsid w:val="53586243"/>
    <w:rsid w:val="53626BF3"/>
    <w:rsid w:val="53832C97"/>
    <w:rsid w:val="53C27FF8"/>
    <w:rsid w:val="53D76A77"/>
    <w:rsid w:val="544246B9"/>
    <w:rsid w:val="54794B5F"/>
    <w:rsid w:val="549E1A80"/>
    <w:rsid w:val="54A77640"/>
    <w:rsid w:val="54BA1986"/>
    <w:rsid w:val="54C658F4"/>
    <w:rsid w:val="54EB3100"/>
    <w:rsid w:val="5503044A"/>
    <w:rsid w:val="550C4BD7"/>
    <w:rsid w:val="55102A40"/>
    <w:rsid w:val="55275A0F"/>
    <w:rsid w:val="554B0C61"/>
    <w:rsid w:val="554C1D56"/>
    <w:rsid w:val="555109BF"/>
    <w:rsid w:val="555278AF"/>
    <w:rsid w:val="55572986"/>
    <w:rsid w:val="55757355"/>
    <w:rsid w:val="558E2819"/>
    <w:rsid w:val="55BF49AE"/>
    <w:rsid w:val="55C37BD9"/>
    <w:rsid w:val="55CE6CAA"/>
    <w:rsid w:val="55D2686D"/>
    <w:rsid w:val="55E942E3"/>
    <w:rsid w:val="56233DAE"/>
    <w:rsid w:val="564E6D54"/>
    <w:rsid w:val="56507986"/>
    <w:rsid w:val="565340FA"/>
    <w:rsid w:val="565A22EB"/>
    <w:rsid w:val="565C6063"/>
    <w:rsid w:val="566841AB"/>
    <w:rsid w:val="568C38D5"/>
    <w:rsid w:val="568D27BB"/>
    <w:rsid w:val="56AD5F59"/>
    <w:rsid w:val="56AE5057"/>
    <w:rsid w:val="56B04601"/>
    <w:rsid w:val="56B22127"/>
    <w:rsid w:val="56E764C8"/>
    <w:rsid w:val="570C524E"/>
    <w:rsid w:val="575136EE"/>
    <w:rsid w:val="57645F73"/>
    <w:rsid w:val="576E2576"/>
    <w:rsid w:val="579049BE"/>
    <w:rsid w:val="579B0E0D"/>
    <w:rsid w:val="57A66625"/>
    <w:rsid w:val="57AB06F3"/>
    <w:rsid w:val="57B12A52"/>
    <w:rsid w:val="57BB4B36"/>
    <w:rsid w:val="57E01845"/>
    <w:rsid w:val="57EE5248"/>
    <w:rsid w:val="584658BF"/>
    <w:rsid w:val="58777AE3"/>
    <w:rsid w:val="588F4785"/>
    <w:rsid w:val="58C5233B"/>
    <w:rsid w:val="58C70DCE"/>
    <w:rsid w:val="59080725"/>
    <w:rsid w:val="59114324"/>
    <w:rsid w:val="5952374E"/>
    <w:rsid w:val="59777658"/>
    <w:rsid w:val="597C6A1D"/>
    <w:rsid w:val="598F0487"/>
    <w:rsid w:val="598F04FE"/>
    <w:rsid w:val="59A860E0"/>
    <w:rsid w:val="59B43CF0"/>
    <w:rsid w:val="59E30CB0"/>
    <w:rsid w:val="5A161AA5"/>
    <w:rsid w:val="5A1E62F5"/>
    <w:rsid w:val="5A2F2CC8"/>
    <w:rsid w:val="5A5534F6"/>
    <w:rsid w:val="5A6516AD"/>
    <w:rsid w:val="5A7F64E2"/>
    <w:rsid w:val="5A8D7AED"/>
    <w:rsid w:val="5A8E77E6"/>
    <w:rsid w:val="5A981634"/>
    <w:rsid w:val="5A9E0BA0"/>
    <w:rsid w:val="5AB67D0C"/>
    <w:rsid w:val="5ADB6D24"/>
    <w:rsid w:val="5AE05C9A"/>
    <w:rsid w:val="5AF947C9"/>
    <w:rsid w:val="5B060C94"/>
    <w:rsid w:val="5B1F1D55"/>
    <w:rsid w:val="5B20432C"/>
    <w:rsid w:val="5B317B51"/>
    <w:rsid w:val="5B4D68C3"/>
    <w:rsid w:val="5B5E10B5"/>
    <w:rsid w:val="5B6657AD"/>
    <w:rsid w:val="5B697EEF"/>
    <w:rsid w:val="5BD06439"/>
    <w:rsid w:val="5BEF34D6"/>
    <w:rsid w:val="5C10702D"/>
    <w:rsid w:val="5C1212B5"/>
    <w:rsid w:val="5C152601"/>
    <w:rsid w:val="5C2238AB"/>
    <w:rsid w:val="5C563555"/>
    <w:rsid w:val="5C581F57"/>
    <w:rsid w:val="5C591F03"/>
    <w:rsid w:val="5C877BB2"/>
    <w:rsid w:val="5C8A1B2F"/>
    <w:rsid w:val="5C9F4EFC"/>
    <w:rsid w:val="5CBB785C"/>
    <w:rsid w:val="5CCB58BF"/>
    <w:rsid w:val="5D2C3FDA"/>
    <w:rsid w:val="5D3F048D"/>
    <w:rsid w:val="5D501790"/>
    <w:rsid w:val="5D693414"/>
    <w:rsid w:val="5D7142FE"/>
    <w:rsid w:val="5D79648E"/>
    <w:rsid w:val="5D7E58D3"/>
    <w:rsid w:val="5D95186C"/>
    <w:rsid w:val="5DB744C7"/>
    <w:rsid w:val="5DE1109B"/>
    <w:rsid w:val="5DED477A"/>
    <w:rsid w:val="5DF66D9E"/>
    <w:rsid w:val="5DFB43B4"/>
    <w:rsid w:val="5DFC351B"/>
    <w:rsid w:val="5E1426A9"/>
    <w:rsid w:val="5E251431"/>
    <w:rsid w:val="5E954808"/>
    <w:rsid w:val="5EA22C56"/>
    <w:rsid w:val="5EBA0DC9"/>
    <w:rsid w:val="5F3B73F3"/>
    <w:rsid w:val="5F447FDD"/>
    <w:rsid w:val="5F463F63"/>
    <w:rsid w:val="5F561B72"/>
    <w:rsid w:val="5F5924E9"/>
    <w:rsid w:val="5FCF5AF8"/>
    <w:rsid w:val="5FF44DA7"/>
    <w:rsid w:val="5FF732CD"/>
    <w:rsid w:val="5FF75D1E"/>
    <w:rsid w:val="600D6620"/>
    <w:rsid w:val="6037544B"/>
    <w:rsid w:val="603B318E"/>
    <w:rsid w:val="6052125F"/>
    <w:rsid w:val="606007BB"/>
    <w:rsid w:val="60771CEC"/>
    <w:rsid w:val="609E54CA"/>
    <w:rsid w:val="60AC7F66"/>
    <w:rsid w:val="60C50CA9"/>
    <w:rsid w:val="60C95281"/>
    <w:rsid w:val="60EE58F6"/>
    <w:rsid w:val="611F485D"/>
    <w:rsid w:val="6149254E"/>
    <w:rsid w:val="615B1CEA"/>
    <w:rsid w:val="61730EFA"/>
    <w:rsid w:val="6180680C"/>
    <w:rsid w:val="6181445A"/>
    <w:rsid w:val="619C463D"/>
    <w:rsid w:val="61AB60F1"/>
    <w:rsid w:val="61BF10D9"/>
    <w:rsid w:val="61FC6D54"/>
    <w:rsid w:val="620470D5"/>
    <w:rsid w:val="623B56C7"/>
    <w:rsid w:val="62400F9F"/>
    <w:rsid w:val="625B6730"/>
    <w:rsid w:val="627209BD"/>
    <w:rsid w:val="628726BA"/>
    <w:rsid w:val="62AC22DC"/>
    <w:rsid w:val="62EF025F"/>
    <w:rsid w:val="632838CD"/>
    <w:rsid w:val="638A3663"/>
    <w:rsid w:val="638E37D8"/>
    <w:rsid w:val="63972D7A"/>
    <w:rsid w:val="63A22BFD"/>
    <w:rsid w:val="63BA6ABF"/>
    <w:rsid w:val="63CB6517"/>
    <w:rsid w:val="63D30291"/>
    <w:rsid w:val="63D61FE2"/>
    <w:rsid w:val="63E35DF8"/>
    <w:rsid w:val="63F33C04"/>
    <w:rsid w:val="64055F8C"/>
    <w:rsid w:val="645542BC"/>
    <w:rsid w:val="6472739A"/>
    <w:rsid w:val="64E45EF7"/>
    <w:rsid w:val="64F16511"/>
    <w:rsid w:val="64F56A29"/>
    <w:rsid w:val="64F91EF5"/>
    <w:rsid w:val="64FD3107"/>
    <w:rsid w:val="6507580D"/>
    <w:rsid w:val="6523128F"/>
    <w:rsid w:val="65353AE7"/>
    <w:rsid w:val="657607C4"/>
    <w:rsid w:val="65802BD8"/>
    <w:rsid w:val="65B5753E"/>
    <w:rsid w:val="65F659AF"/>
    <w:rsid w:val="660E46E0"/>
    <w:rsid w:val="665C0356"/>
    <w:rsid w:val="66640969"/>
    <w:rsid w:val="6691014E"/>
    <w:rsid w:val="66BA15B6"/>
    <w:rsid w:val="66C64D00"/>
    <w:rsid w:val="66C87CCE"/>
    <w:rsid w:val="66C969E6"/>
    <w:rsid w:val="670C5884"/>
    <w:rsid w:val="6731217B"/>
    <w:rsid w:val="67424E02"/>
    <w:rsid w:val="674F5576"/>
    <w:rsid w:val="675D3EA4"/>
    <w:rsid w:val="677060D3"/>
    <w:rsid w:val="677243C5"/>
    <w:rsid w:val="677435B2"/>
    <w:rsid w:val="67902011"/>
    <w:rsid w:val="67C21F06"/>
    <w:rsid w:val="67EF75F1"/>
    <w:rsid w:val="680372D4"/>
    <w:rsid w:val="68352BB8"/>
    <w:rsid w:val="68412CE1"/>
    <w:rsid w:val="684F4F11"/>
    <w:rsid w:val="6859473E"/>
    <w:rsid w:val="68644A48"/>
    <w:rsid w:val="68AA5354"/>
    <w:rsid w:val="68BE60F6"/>
    <w:rsid w:val="68CF4DBB"/>
    <w:rsid w:val="68D128E1"/>
    <w:rsid w:val="68DD74D8"/>
    <w:rsid w:val="68E151AE"/>
    <w:rsid w:val="69034A64"/>
    <w:rsid w:val="69124F16"/>
    <w:rsid w:val="692C3C07"/>
    <w:rsid w:val="69540E1C"/>
    <w:rsid w:val="6973675D"/>
    <w:rsid w:val="69BA15C7"/>
    <w:rsid w:val="69CD5C14"/>
    <w:rsid w:val="69CF0D33"/>
    <w:rsid w:val="69CF2482"/>
    <w:rsid w:val="69D72179"/>
    <w:rsid w:val="69FF347E"/>
    <w:rsid w:val="6A077EF9"/>
    <w:rsid w:val="6A2B7301"/>
    <w:rsid w:val="6A4378D2"/>
    <w:rsid w:val="6A503CD9"/>
    <w:rsid w:val="6AB57FE0"/>
    <w:rsid w:val="6ADB40DC"/>
    <w:rsid w:val="6B9946B3"/>
    <w:rsid w:val="6BAC13E3"/>
    <w:rsid w:val="6BDD0871"/>
    <w:rsid w:val="6BF402A7"/>
    <w:rsid w:val="6C1E27F0"/>
    <w:rsid w:val="6C276F3A"/>
    <w:rsid w:val="6C5C5C0D"/>
    <w:rsid w:val="6C7007C7"/>
    <w:rsid w:val="6C763D3D"/>
    <w:rsid w:val="6C7C7008"/>
    <w:rsid w:val="6C8549F4"/>
    <w:rsid w:val="6C8B2DA7"/>
    <w:rsid w:val="6C8E32FA"/>
    <w:rsid w:val="6CEA5182"/>
    <w:rsid w:val="6CED5B4D"/>
    <w:rsid w:val="6D0B5802"/>
    <w:rsid w:val="6D6F1396"/>
    <w:rsid w:val="6D7361B0"/>
    <w:rsid w:val="6D7636BA"/>
    <w:rsid w:val="6D7952F5"/>
    <w:rsid w:val="6D945A51"/>
    <w:rsid w:val="6DA32372"/>
    <w:rsid w:val="6DBC51E2"/>
    <w:rsid w:val="6DD96DB6"/>
    <w:rsid w:val="6DE76850"/>
    <w:rsid w:val="6E296D1B"/>
    <w:rsid w:val="6E66310E"/>
    <w:rsid w:val="6E932DE0"/>
    <w:rsid w:val="6EA7112B"/>
    <w:rsid w:val="6ECE2FB7"/>
    <w:rsid w:val="6EE47802"/>
    <w:rsid w:val="6EE97C7B"/>
    <w:rsid w:val="6EF91340"/>
    <w:rsid w:val="6EFB3C2C"/>
    <w:rsid w:val="6EFC020C"/>
    <w:rsid w:val="6EFD3419"/>
    <w:rsid w:val="6F1141AB"/>
    <w:rsid w:val="6F1B6617"/>
    <w:rsid w:val="6F234695"/>
    <w:rsid w:val="6F4E5CAC"/>
    <w:rsid w:val="6F4F27B2"/>
    <w:rsid w:val="6F5E1A6F"/>
    <w:rsid w:val="6F80296B"/>
    <w:rsid w:val="6FB20BD4"/>
    <w:rsid w:val="6FB27657"/>
    <w:rsid w:val="6FBA59BE"/>
    <w:rsid w:val="6FE949B4"/>
    <w:rsid w:val="70296B3E"/>
    <w:rsid w:val="7049646A"/>
    <w:rsid w:val="7057153F"/>
    <w:rsid w:val="70611204"/>
    <w:rsid w:val="70BC724E"/>
    <w:rsid w:val="710C6DC7"/>
    <w:rsid w:val="7119271A"/>
    <w:rsid w:val="71197B07"/>
    <w:rsid w:val="71621977"/>
    <w:rsid w:val="7165620F"/>
    <w:rsid w:val="717039F8"/>
    <w:rsid w:val="718F6E95"/>
    <w:rsid w:val="7197202C"/>
    <w:rsid w:val="71EC42E8"/>
    <w:rsid w:val="71FD3831"/>
    <w:rsid w:val="721B697B"/>
    <w:rsid w:val="721C028A"/>
    <w:rsid w:val="72233A82"/>
    <w:rsid w:val="72565C05"/>
    <w:rsid w:val="72605B9A"/>
    <w:rsid w:val="727367B7"/>
    <w:rsid w:val="72971B60"/>
    <w:rsid w:val="72C264DB"/>
    <w:rsid w:val="72C54B39"/>
    <w:rsid w:val="72C6616E"/>
    <w:rsid w:val="72D07765"/>
    <w:rsid w:val="72EB459F"/>
    <w:rsid w:val="72F35B4A"/>
    <w:rsid w:val="72FA0C86"/>
    <w:rsid w:val="73027B3B"/>
    <w:rsid w:val="730648A1"/>
    <w:rsid w:val="732C5B69"/>
    <w:rsid w:val="734B6169"/>
    <w:rsid w:val="735E7467"/>
    <w:rsid w:val="73707765"/>
    <w:rsid w:val="737E5413"/>
    <w:rsid w:val="73942F67"/>
    <w:rsid w:val="73BC1A45"/>
    <w:rsid w:val="73C951CB"/>
    <w:rsid w:val="73E3367E"/>
    <w:rsid w:val="73EB6821"/>
    <w:rsid w:val="74281823"/>
    <w:rsid w:val="74327C85"/>
    <w:rsid w:val="744C0855"/>
    <w:rsid w:val="74673DB7"/>
    <w:rsid w:val="747A3D00"/>
    <w:rsid w:val="747B1BB4"/>
    <w:rsid w:val="74A0585D"/>
    <w:rsid w:val="74BA1345"/>
    <w:rsid w:val="74D13AD5"/>
    <w:rsid w:val="74E50DAE"/>
    <w:rsid w:val="74F02341"/>
    <w:rsid w:val="74FA2C30"/>
    <w:rsid w:val="7521699E"/>
    <w:rsid w:val="752C4326"/>
    <w:rsid w:val="752D668A"/>
    <w:rsid w:val="754D5C4B"/>
    <w:rsid w:val="755723C0"/>
    <w:rsid w:val="75D27C98"/>
    <w:rsid w:val="75E82186"/>
    <w:rsid w:val="75EF1F90"/>
    <w:rsid w:val="75FD6934"/>
    <w:rsid w:val="761024BB"/>
    <w:rsid w:val="76183420"/>
    <w:rsid w:val="7630676D"/>
    <w:rsid w:val="764F0490"/>
    <w:rsid w:val="766F3739"/>
    <w:rsid w:val="76BA0E58"/>
    <w:rsid w:val="76C240A7"/>
    <w:rsid w:val="76CE33B8"/>
    <w:rsid w:val="76D637B8"/>
    <w:rsid w:val="76DA416A"/>
    <w:rsid w:val="76F229C2"/>
    <w:rsid w:val="770E33B0"/>
    <w:rsid w:val="771D13E7"/>
    <w:rsid w:val="77336515"/>
    <w:rsid w:val="775246B7"/>
    <w:rsid w:val="776D5ECB"/>
    <w:rsid w:val="77705C44"/>
    <w:rsid w:val="7772528F"/>
    <w:rsid w:val="77BA09E4"/>
    <w:rsid w:val="77DC4DFE"/>
    <w:rsid w:val="780A719E"/>
    <w:rsid w:val="781E69D1"/>
    <w:rsid w:val="78395DAD"/>
    <w:rsid w:val="78914753"/>
    <w:rsid w:val="78957D19"/>
    <w:rsid w:val="78B90C9C"/>
    <w:rsid w:val="78B95140"/>
    <w:rsid w:val="78BD30E4"/>
    <w:rsid w:val="78E81581"/>
    <w:rsid w:val="7901747F"/>
    <w:rsid w:val="7908420F"/>
    <w:rsid w:val="798E4CA2"/>
    <w:rsid w:val="79AD7444"/>
    <w:rsid w:val="79C36276"/>
    <w:rsid w:val="79E32474"/>
    <w:rsid w:val="7A0B6B44"/>
    <w:rsid w:val="7A263B6B"/>
    <w:rsid w:val="7A2B5BC9"/>
    <w:rsid w:val="7A3C7DD6"/>
    <w:rsid w:val="7A454EDD"/>
    <w:rsid w:val="7A650681"/>
    <w:rsid w:val="7A7A34B3"/>
    <w:rsid w:val="7AA1584C"/>
    <w:rsid w:val="7AD87333"/>
    <w:rsid w:val="7AEF309B"/>
    <w:rsid w:val="7AF46346"/>
    <w:rsid w:val="7AF53DCD"/>
    <w:rsid w:val="7B0F5EBF"/>
    <w:rsid w:val="7B130FB9"/>
    <w:rsid w:val="7B324450"/>
    <w:rsid w:val="7B4F1915"/>
    <w:rsid w:val="7B5A4FB8"/>
    <w:rsid w:val="7B5B0730"/>
    <w:rsid w:val="7B656EB9"/>
    <w:rsid w:val="7B705F89"/>
    <w:rsid w:val="7BD32BE2"/>
    <w:rsid w:val="7BD71E38"/>
    <w:rsid w:val="7BD826EA"/>
    <w:rsid w:val="7BDF6C6B"/>
    <w:rsid w:val="7BE84708"/>
    <w:rsid w:val="7BEE62DE"/>
    <w:rsid w:val="7BF64EDE"/>
    <w:rsid w:val="7C09018C"/>
    <w:rsid w:val="7C400C1E"/>
    <w:rsid w:val="7C4128C5"/>
    <w:rsid w:val="7C75137E"/>
    <w:rsid w:val="7CBE0F77"/>
    <w:rsid w:val="7D0C419B"/>
    <w:rsid w:val="7D181A6A"/>
    <w:rsid w:val="7D3D633F"/>
    <w:rsid w:val="7D513B99"/>
    <w:rsid w:val="7D537911"/>
    <w:rsid w:val="7D80675E"/>
    <w:rsid w:val="7D8F476B"/>
    <w:rsid w:val="7D951CD7"/>
    <w:rsid w:val="7DA03048"/>
    <w:rsid w:val="7DA37C8F"/>
    <w:rsid w:val="7DD11708"/>
    <w:rsid w:val="7DEE4A4F"/>
    <w:rsid w:val="7E036801"/>
    <w:rsid w:val="7E1339DF"/>
    <w:rsid w:val="7E171E3C"/>
    <w:rsid w:val="7E2412AD"/>
    <w:rsid w:val="7E402F77"/>
    <w:rsid w:val="7EAE6230"/>
    <w:rsid w:val="7EBD579E"/>
    <w:rsid w:val="7EC167BD"/>
    <w:rsid w:val="7ECA3C03"/>
    <w:rsid w:val="7ED14F91"/>
    <w:rsid w:val="7EFE4FFA"/>
    <w:rsid w:val="7F0E3631"/>
    <w:rsid w:val="7F272D9E"/>
    <w:rsid w:val="7F823E73"/>
    <w:rsid w:val="7F961332"/>
    <w:rsid w:val="7FA206DC"/>
    <w:rsid w:val="7FCF6F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iPriority="9" w:name="heading 6"/>
    <w:lsdException w:qFormat="1" w:unhideWhenUsed="0" w:uiPriority="0" w:semiHidden="0" w:name="heading 7"/>
    <w:lsdException w:qFormat="1" w:unhideWhenUsed="0" w:uiPriority="9" w:semiHidden="0"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qFormat="1" w:uiPriority="39" w:semiHidden="0" w:name="toc 1"/>
    <w:lsdException w:qFormat="1" w:uiPriority="39" w:semiHidden="0" w:name="toc 2"/>
    <w:lsdException w:qFormat="1" w:uiPriority="39" w:name="toc 3"/>
    <w:lsdException w:uiPriority="39" w:name="toc 4"/>
    <w:lsdException w:uiPriority="39" w:name="toc 5"/>
    <w:lsdException w:qFormat="1" w:unhideWhenUsed="0" w:uiPriority="9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qFormat="1" w:uiPriority="99" w:semiHidden="0"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iPriority="99"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iPriority="99" w:semiHidden="0"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1"/>
    <w:autoRedefine/>
    <w:qFormat/>
    <w:uiPriority w:val="9"/>
    <w:pPr>
      <w:keepNext/>
      <w:keepLines/>
      <w:spacing w:before="340" w:after="330" w:line="578" w:lineRule="auto"/>
      <w:jc w:val="center"/>
      <w:outlineLvl w:val="0"/>
    </w:pPr>
    <w:rPr>
      <w:b/>
      <w:bCs/>
      <w:kern w:val="44"/>
      <w:sz w:val="36"/>
      <w:szCs w:val="44"/>
    </w:rPr>
  </w:style>
  <w:style w:type="paragraph" w:styleId="3">
    <w:name w:val="heading 2"/>
    <w:basedOn w:val="1"/>
    <w:next w:val="1"/>
    <w:link w:val="42"/>
    <w:autoRedefine/>
    <w:qFormat/>
    <w:uiPriority w:val="9"/>
    <w:pPr>
      <w:keepNext/>
      <w:keepLines/>
      <w:spacing w:before="260" w:after="260" w:line="416" w:lineRule="auto"/>
      <w:outlineLvl w:val="1"/>
    </w:pPr>
    <w:rPr>
      <w:rFonts w:ascii="Cambria" w:hAnsi="Cambria"/>
      <w:b/>
      <w:bCs/>
      <w:sz w:val="32"/>
      <w:szCs w:val="32"/>
    </w:rPr>
  </w:style>
  <w:style w:type="paragraph" w:styleId="4">
    <w:name w:val="heading 3"/>
    <w:basedOn w:val="1"/>
    <w:next w:val="1"/>
    <w:qFormat/>
    <w:uiPriority w:val="0"/>
    <w:pPr>
      <w:keepNext/>
      <w:keepLines/>
      <w:spacing w:before="260" w:after="260" w:line="416" w:lineRule="auto"/>
      <w:outlineLvl w:val="2"/>
    </w:pPr>
    <w:rPr>
      <w:b/>
      <w:bCs/>
      <w:kern w:val="0"/>
      <w:sz w:val="32"/>
      <w:szCs w:val="32"/>
    </w:rPr>
  </w:style>
  <w:style w:type="paragraph" w:styleId="5">
    <w:name w:val="heading 4"/>
    <w:basedOn w:val="1"/>
    <w:next w:val="1"/>
    <w:autoRedefine/>
    <w:qFormat/>
    <w:uiPriority w:val="9"/>
    <w:pPr>
      <w:keepNext/>
      <w:keepLines/>
      <w:spacing w:before="280" w:after="290" w:line="376" w:lineRule="auto"/>
      <w:outlineLvl w:val="3"/>
    </w:pPr>
    <w:rPr>
      <w:rFonts w:ascii="Cambria" w:hAnsi="Cambria"/>
      <w:b/>
      <w:bCs/>
      <w:sz w:val="28"/>
      <w:szCs w:val="28"/>
    </w:rPr>
  </w:style>
  <w:style w:type="paragraph" w:styleId="6">
    <w:name w:val="heading 5"/>
    <w:basedOn w:val="1"/>
    <w:next w:val="7"/>
    <w:link w:val="43"/>
    <w:autoRedefine/>
    <w:qFormat/>
    <w:uiPriority w:val="9"/>
    <w:pPr>
      <w:keepNext/>
      <w:keepLines/>
      <w:spacing w:before="280" w:after="290" w:line="376" w:lineRule="auto"/>
      <w:outlineLvl w:val="4"/>
    </w:pPr>
    <w:rPr>
      <w:b/>
      <w:bCs/>
      <w:sz w:val="28"/>
      <w:szCs w:val="28"/>
    </w:rPr>
  </w:style>
  <w:style w:type="paragraph" w:styleId="8">
    <w:name w:val="heading 7"/>
    <w:basedOn w:val="1"/>
    <w:next w:val="1"/>
    <w:link w:val="44"/>
    <w:autoRedefine/>
    <w:qFormat/>
    <w:uiPriority w:val="0"/>
    <w:pPr>
      <w:keepNext/>
      <w:keepLines/>
      <w:spacing w:before="240" w:after="64" w:line="320" w:lineRule="auto"/>
      <w:outlineLvl w:val="6"/>
    </w:pPr>
    <w:rPr>
      <w:b/>
      <w:bCs/>
      <w:sz w:val="24"/>
    </w:rPr>
  </w:style>
  <w:style w:type="paragraph" w:styleId="9">
    <w:name w:val="heading 8"/>
    <w:basedOn w:val="1"/>
    <w:next w:val="1"/>
    <w:link w:val="45"/>
    <w:autoRedefine/>
    <w:qFormat/>
    <w:uiPriority w:val="9"/>
    <w:pPr>
      <w:keepNext/>
      <w:keepLines/>
      <w:spacing w:before="240" w:after="64" w:line="320" w:lineRule="auto"/>
      <w:outlineLvl w:val="7"/>
    </w:pPr>
    <w:rPr>
      <w:rFonts w:ascii="等线 Light" w:hAnsi="等线 Light" w:eastAsia="等线 Light"/>
      <w:sz w:val="24"/>
    </w:rPr>
  </w:style>
  <w:style w:type="character" w:default="1" w:styleId="35">
    <w:name w:val="Default Paragraph Font"/>
    <w:semiHidden/>
    <w:unhideWhenUsed/>
    <w:qFormat/>
    <w:uiPriority w:val="1"/>
  </w:style>
  <w:style w:type="table" w:default="1" w:styleId="33">
    <w:name w:val="Normal Table"/>
    <w:semiHidden/>
    <w:unhideWhenUsed/>
    <w:qFormat/>
    <w:uiPriority w:val="99"/>
    <w:tblPr>
      <w:tblCellMar>
        <w:top w:w="0" w:type="dxa"/>
        <w:left w:w="108" w:type="dxa"/>
        <w:bottom w:w="0" w:type="dxa"/>
        <w:right w:w="108" w:type="dxa"/>
      </w:tblCellMar>
    </w:tblPr>
  </w:style>
  <w:style w:type="paragraph" w:styleId="7">
    <w:name w:val="Normal Indent"/>
    <w:basedOn w:val="1"/>
    <w:autoRedefine/>
    <w:qFormat/>
    <w:uiPriority w:val="0"/>
    <w:pPr>
      <w:ind w:firstLine="420"/>
    </w:pPr>
    <w:rPr>
      <w:szCs w:val="20"/>
    </w:rPr>
  </w:style>
  <w:style w:type="paragraph" w:styleId="10">
    <w:name w:val="index 8"/>
    <w:basedOn w:val="1"/>
    <w:next w:val="1"/>
    <w:autoRedefine/>
    <w:qFormat/>
    <w:uiPriority w:val="0"/>
    <w:pPr>
      <w:ind w:left="2940"/>
    </w:pPr>
  </w:style>
  <w:style w:type="paragraph" w:styleId="11">
    <w:name w:val="List Number"/>
    <w:basedOn w:val="1"/>
    <w:autoRedefine/>
    <w:qFormat/>
    <w:uiPriority w:val="0"/>
    <w:pPr>
      <w:widowControl/>
      <w:tabs>
        <w:tab w:val="left" w:pos="454"/>
        <w:tab w:val="left" w:pos="720"/>
        <w:tab w:val="left" w:pos="840"/>
      </w:tabs>
      <w:spacing w:afterLines="50"/>
      <w:ind w:left="454" w:hanging="284"/>
      <w:jc w:val="left"/>
    </w:pPr>
    <w:rPr>
      <w:kern w:val="0"/>
      <w:sz w:val="24"/>
      <w:szCs w:val="20"/>
    </w:rPr>
  </w:style>
  <w:style w:type="paragraph" w:styleId="12">
    <w:name w:val="caption"/>
    <w:basedOn w:val="1"/>
    <w:next w:val="1"/>
    <w:autoRedefine/>
    <w:qFormat/>
    <w:uiPriority w:val="0"/>
    <w:pPr>
      <w:spacing w:before="152" w:after="160"/>
    </w:pPr>
    <w:rPr>
      <w:rFonts w:ascii="Arial" w:hAnsi="Arial" w:eastAsia="黑体" w:cs="Arial"/>
      <w:sz w:val="20"/>
      <w:szCs w:val="20"/>
    </w:rPr>
  </w:style>
  <w:style w:type="paragraph" w:styleId="13">
    <w:name w:val="annotation text"/>
    <w:basedOn w:val="1"/>
    <w:link w:val="46"/>
    <w:autoRedefine/>
    <w:qFormat/>
    <w:uiPriority w:val="0"/>
    <w:pPr>
      <w:jc w:val="left"/>
    </w:pPr>
  </w:style>
  <w:style w:type="paragraph" w:styleId="14">
    <w:name w:val="Body Text 3"/>
    <w:basedOn w:val="1"/>
    <w:link w:val="47"/>
    <w:autoRedefine/>
    <w:unhideWhenUsed/>
    <w:qFormat/>
    <w:uiPriority w:val="99"/>
    <w:pPr>
      <w:spacing w:after="120"/>
    </w:pPr>
    <w:rPr>
      <w:sz w:val="16"/>
      <w:szCs w:val="16"/>
    </w:rPr>
  </w:style>
  <w:style w:type="paragraph" w:styleId="15">
    <w:name w:val="Body Text"/>
    <w:basedOn w:val="1"/>
    <w:link w:val="48"/>
    <w:autoRedefine/>
    <w:unhideWhenUsed/>
    <w:qFormat/>
    <w:uiPriority w:val="0"/>
    <w:pPr>
      <w:spacing w:after="120"/>
    </w:pPr>
  </w:style>
  <w:style w:type="paragraph" w:styleId="16">
    <w:name w:val="Body Text Indent"/>
    <w:basedOn w:val="1"/>
    <w:link w:val="49"/>
    <w:autoRedefine/>
    <w:qFormat/>
    <w:uiPriority w:val="0"/>
    <w:pPr>
      <w:ind w:firstLine="830" w:firstLineChars="352"/>
    </w:pPr>
    <w:rPr>
      <w:rFonts w:ascii="仿宋_GB2312" w:eastAsia="仿宋_GB2312"/>
      <w:kern w:val="0"/>
      <w:sz w:val="32"/>
      <w:szCs w:val="20"/>
    </w:rPr>
  </w:style>
  <w:style w:type="paragraph" w:styleId="17">
    <w:name w:val="List 2"/>
    <w:basedOn w:val="1"/>
    <w:autoRedefine/>
    <w:unhideWhenUsed/>
    <w:qFormat/>
    <w:uiPriority w:val="99"/>
    <w:pPr>
      <w:ind w:left="100" w:leftChars="200" w:hanging="200" w:hangingChars="200"/>
      <w:contextualSpacing/>
    </w:pPr>
  </w:style>
  <w:style w:type="paragraph" w:styleId="18">
    <w:name w:val="toc 3"/>
    <w:basedOn w:val="1"/>
    <w:next w:val="1"/>
    <w:semiHidden/>
    <w:unhideWhenUsed/>
    <w:qFormat/>
    <w:uiPriority w:val="39"/>
    <w:pPr>
      <w:ind w:left="840" w:leftChars="400"/>
    </w:pPr>
  </w:style>
  <w:style w:type="paragraph" w:styleId="19">
    <w:name w:val="Plain Text"/>
    <w:basedOn w:val="1"/>
    <w:next w:val="1"/>
    <w:link w:val="50"/>
    <w:autoRedefine/>
    <w:qFormat/>
    <w:uiPriority w:val="0"/>
    <w:rPr>
      <w:rFonts w:ascii="宋体" w:hAnsi="Courier New"/>
      <w:kern w:val="0"/>
      <w:sz w:val="20"/>
      <w:szCs w:val="21"/>
    </w:rPr>
  </w:style>
  <w:style w:type="paragraph" w:styleId="20">
    <w:name w:val="Date"/>
    <w:basedOn w:val="1"/>
    <w:next w:val="1"/>
    <w:link w:val="51"/>
    <w:autoRedefine/>
    <w:unhideWhenUsed/>
    <w:qFormat/>
    <w:uiPriority w:val="99"/>
    <w:pPr>
      <w:ind w:left="100" w:leftChars="2500"/>
    </w:pPr>
  </w:style>
  <w:style w:type="paragraph" w:styleId="21">
    <w:name w:val="Balloon Text"/>
    <w:basedOn w:val="1"/>
    <w:autoRedefine/>
    <w:semiHidden/>
    <w:qFormat/>
    <w:uiPriority w:val="0"/>
    <w:rPr>
      <w:sz w:val="18"/>
      <w:szCs w:val="18"/>
    </w:rPr>
  </w:style>
  <w:style w:type="paragraph" w:styleId="22">
    <w:name w:val="footer"/>
    <w:basedOn w:val="1"/>
    <w:link w:val="52"/>
    <w:autoRedefine/>
    <w:unhideWhenUsed/>
    <w:qFormat/>
    <w:uiPriority w:val="99"/>
    <w:pPr>
      <w:tabs>
        <w:tab w:val="center" w:pos="4153"/>
        <w:tab w:val="right" w:pos="8306"/>
      </w:tabs>
      <w:snapToGrid w:val="0"/>
      <w:jc w:val="left"/>
    </w:pPr>
    <w:rPr>
      <w:kern w:val="0"/>
      <w:sz w:val="18"/>
      <w:szCs w:val="18"/>
    </w:rPr>
  </w:style>
  <w:style w:type="paragraph" w:styleId="23">
    <w:name w:val="header"/>
    <w:basedOn w:val="1"/>
    <w:link w:val="53"/>
    <w:autoRedefine/>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24">
    <w:name w:val="toc 1"/>
    <w:basedOn w:val="1"/>
    <w:next w:val="1"/>
    <w:autoRedefine/>
    <w:unhideWhenUsed/>
    <w:qFormat/>
    <w:uiPriority w:val="39"/>
  </w:style>
  <w:style w:type="paragraph" w:styleId="25">
    <w:name w:val="toc 6"/>
    <w:basedOn w:val="1"/>
    <w:next w:val="1"/>
    <w:autoRedefine/>
    <w:semiHidden/>
    <w:qFormat/>
    <w:uiPriority w:val="99"/>
    <w:pPr>
      <w:ind w:left="2100" w:leftChars="1000"/>
    </w:pPr>
  </w:style>
  <w:style w:type="paragraph" w:styleId="26">
    <w:name w:val="toc 2"/>
    <w:basedOn w:val="1"/>
    <w:next w:val="1"/>
    <w:autoRedefine/>
    <w:unhideWhenUsed/>
    <w:qFormat/>
    <w:uiPriority w:val="39"/>
    <w:pPr>
      <w:tabs>
        <w:tab w:val="right" w:leader="dot" w:pos="8296"/>
      </w:tabs>
      <w:ind w:left="420" w:leftChars="200"/>
    </w:pPr>
  </w:style>
  <w:style w:type="paragraph" w:styleId="27">
    <w:name w:val="Body Text 2"/>
    <w:basedOn w:val="1"/>
    <w:next w:val="15"/>
    <w:autoRedefine/>
    <w:qFormat/>
    <w:uiPriority w:val="0"/>
    <w:pPr>
      <w:spacing w:line="480" w:lineRule="auto"/>
    </w:pPr>
    <w:rPr>
      <w:kern w:val="0"/>
      <w:sz w:val="20"/>
    </w:rPr>
  </w:style>
  <w:style w:type="paragraph" w:styleId="28">
    <w:name w:val="Normal (Web)"/>
    <w:basedOn w:val="1"/>
    <w:autoRedefine/>
    <w:unhideWhenUsed/>
    <w:qFormat/>
    <w:uiPriority w:val="99"/>
    <w:rPr>
      <w:rFonts w:ascii="Calibri" w:hAnsi="Calibri"/>
      <w:kern w:val="0"/>
      <w:sz w:val="24"/>
    </w:rPr>
  </w:style>
  <w:style w:type="paragraph" w:styleId="29">
    <w:name w:val="Title"/>
    <w:basedOn w:val="1"/>
    <w:next w:val="1"/>
    <w:autoRedefine/>
    <w:qFormat/>
    <w:uiPriority w:val="0"/>
    <w:pPr>
      <w:spacing w:before="60" w:after="120" w:line="560" w:lineRule="exact"/>
      <w:jc w:val="center"/>
      <w:outlineLvl w:val="0"/>
    </w:pPr>
    <w:rPr>
      <w:rFonts w:eastAsia="方正小标宋简体"/>
      <w:bCs/>
      <w:sz w:val="44"/>
      <w:szCs w:val="32"/>
    </w:rPr>
  </w:style>
  <w:style w:type="paragraph" w:styleId="30">
    <w:name w:val="annotation subject"/>
    <w:basedOn w:val="13"/>
    <w:next w:val="13"/>
    <w:link w:val="54"/>
    <w:autoRedefine/>
    <w:qFormat/>
    <w:uiPriority w:val="99"/>
    <w:rPr>
      <w:b/>
      <w:bCs/>
    </w:rPr>
  </w:style>
  <w:style w:type="paragraph" w:styleId="31">
    <w:name w:val="Body Text First Indent"/>
    <w:basedOn w:val="15"/>
    <w:next w:val="25"/>
    <w:autoRedefine/>
    <w:unhideWhenUsed/>
    <w:qFormat/>
    <w:uiPriority w:val="99"/>
    <w:pPr>
      <w:ind w:firstLine="420" w:firstLineChars="100"/>
    </w:pPr>
  </w:style>
  <w:style w:type="paragraph" w:styleId="32">
    <w:name w:val="Body Text First Indent 2"/>
    <w:basedOn w:val="16"/>
    <w:next w:val="15"/>
    <w:autoRedefine/>
    <w:qFormat/>
    <w:uiPriority w:val="0"/>
    <w:pPr>
      <w:spacing w:line="360" w:lineRule="auto"/>
      <w:ind w:firstLine="0"/>
    </w:pPr>
    <w:rPr>
      <w:sz w:val="24"/>
    </w:rPr>
  </w:style>
  <w:style w:type="table" w:styleId="34">
    <w:name w:val="Table Grid"/>
    <w:basedOn w:val="33"/>
    <w:autoRedefine/>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6">
    <w:name w:val="endnote reference"/>
    <w:autoRedefine/>
    <w:unhideWhenUsed/>
    <w:qFormat/>
    <w:uiPriority w:val="99"/>
    <w:rPr>
      <w:vertAlign w:val="superscript"/>
    </w:rPr>
  </w:style>
  <w:style w:type="character" w:styleId="37">
    <w:name w:val="Hyperlink"/>
    <w:autoRedefine/>
    <w:unhideWhenUsed/>
    <w:qFormat/>
    <w:uiPriority w:val="99"/>
    <w:rPr>
      <w:color w:val="0000FF"/>
      <w:u w:val="single"/>
    </w:rPr>
  </w:style>
  <w:style w:type="character" w:styleId="38">
    <w:name w:val="annotation reference"/>
    <w:autoRedefine/>
    <w:qFormat/>
    <w:uiPriority w:val="0"/>
    <w:rPr>
      <w:sz w:val="21"/>
      <w:szCs w:val="21"/>
    </w:rPr>
  </w:style>
  <w:style w:type="paragraph" w:customStyle="1" w:styleId="39">
    <w:name w:val="目录 81"/>
    <w:next w:val="1"/>
    <w:autoRedefine/>
    <w:qFormat/>
    <w:uiPriority w:val="0"/>
    <w:pPr>
      <w:wordWrap w:val="0"/>
      <w:ind w:left="2975"/>
      <w:jc w:val="both"/>
    </w:pPr>
    <w:rPr>
      <w:rFonts w:ascii="Times New Roman" w:hAnsi="Times New Roman" w:eastAsia="宋体" w:cs="Times New Roman"/>
      <w:sz w:val="21"/>
      <w:szCs w:val="22"/>
      <w:lang w:val="en-US" w:eastAsia="zh-CN" w:bidi="ar-SA"/>
    </w:rPr>
  </w:style>
  <w:style w:type="paragraph" w:customStyle="1" w:styleId="40">
    <w:name w:val="Default"/>
    <w:autoRedefine/>
    <w:qFormat/>
    <w:uiPriority w:val="0"/>
    <w:pPr>
      <w:widowControl w:val="0"/>
      <w:autoSpaceDE w:val="0"/>
      <w:autoSpaceDN w:val="0"/>
      <w:adjustRightInd w:val="0"/>
    </w:pPr>
    <w:rPr>
      <w:rFonts w:ascii="宋体" w:hAnsi="Calibri" w:eastAsia="宋体" w:cs="Times New Roman"/>
      <w:color w:val="000000"/>
      <w:sz w:val="24"/>
      <w:szCs w:val="24"/>
      <w:lang w:val="en-US" w:eastAsia="zh-CN" w:bidi="ar-SA"/>
    </w:rPr>
  </w:style>
  <w:style w:type="character" w:customStyle="1" w:styleId="41">
    <w:name w:val="标题 1 Char"/>
    <w:link w:val="2"/>
    <w:autoRedefine/>
    <w:qFormat/>
    <w:uiPriority w:val="9"/>
    <w:rPr>
      <w:rFonts w:ascii="Times New Roman" w:hAnsi="Times New Roman" w:eastAsia="宋体"/>
      <w:b/>
      <w:bCs/>
      <w:kern w:val="44"/>
      <w:sz w:val="36"/>
      <w:szCs w:val="44"/>
    </w:rPr>
  </w:style>
  <w:style w:type="character" w:customStyle="1" w:styleId="42">
    <w:name w:val="标题 2 Char1"/>
    <w:link w:val="3"/>
    <w:autoRedefine/>
    <w:qFormat/>
    <w:uiPriority w:val="9"/>
    <w:rPr>
      <w:rFonts w:ascii="Cambria" w:hAnsi="Cambria" w:eastAsia="宋体" w:cs="Times New Roman"/>
      <w:b/>
      <w:bCs/>
      <w:kern w:val="2"/>
      <w:sz w:val="32"/>
      <w:szCs w:val="32"/>
    </w:rPr>
  </w:style>
  <w:style w:type="character" w:customStyle="1" w:styleId="43">
    <w:name w:val="标题 5 Char"/>
    <w:link w:val="6"/>
    <w:autoRedefine/>
    <w:semiHidden/>
    <w:qFormat/>
    <w:uiPriority w:val="9"/>
    <w:rPr>
      <w:rFonts w:ascii="Times New Roman" w:hAnsi="Times New Roman"/>
      <w:b/>
      <w:bCs/>
      <w:kern w:val="2"/>
      <w:sz w:val="28"/>
      <w:szCs w:val="28"/>
    </w:rPr>
  </w:style>
  <w:style w:type="character" w:customStyle="1" w:styleId="44">
    <w:name w:val="标题 7 Char"/>
    <w:link w:val="8"/>
    <w:autoRedefine/>
    <w:qFormat/>
    <w:uiPriority w:val="0"/>
    <w:rPr>
      <w:b/>
      <w:bCs/>
      <w:kern w:val="2"/>
      <w:sz w:val="24"/>
      <w:szCs w:val="24"/>
    </w:rPr>
  </w:style>
  <w:style w:type="character" w:customStyle="1" w:styleId="45">
    <w:name w:val="标题 8 Char1"/>
    <w:link w:val="9"/>
    <w:autoRedefine/>
    <w:semiHidden/>
    <w:qFormat/>
    <w:uiPriority w:val="9"/>
    <w:rPr>
      <w:rFonts w:ascii="等线 Light" w:hAnsi="等线 Light" w:eastAsia="等线 Light" w:cs="Times New Roman"/>
      <w:kern w:val="2"/>
      <w:sz w:val="24"/>
      <w:szCs w:val="24"/>
    </w:rPr>
  </w:style>
  <w:style w:type="character" w:customStyle="1" w:styleId="46">
    <w:name w:val="批注文字 Char1"/>
    <w:link w:val="13"/>
    <w:autoRedefine/>
    <w:qFormat/>
    <w:uiPriority w:val="0"/>
    <w:rPr>
      <w:rFonts w:ascii="Times New Roman" w:hAnsi="Times New Roman"/>
      <w:kern w:val="2"/>
      <w:sz w:val="21"/>
      <w:szCs w:val="24"/>
    </w:rPr>
  </w:style>
  <w:style w:type="character" w:customStyle="1" w:styleId="47">
    <w:name w:val="正文文本 3 Char"/>
    <w:link w:val="14"/>
    <w:autoRedefine/>
    <w:semiHidden/>
    <w:qFormat/>
    <w:uiPriority w:val="99"/>
    <w:rPr>
      <w:kern w:val="2"/>
      <w:sz w:val="16"/>
      <w:szCs w:val="16"/>
    </w:rPr>
  </w:style>
  <w:style w:type="character" w:customStyle="1" w:styleId="48">
    <w:name w:val="正文文本 Char1"/>
    <w:link w:val="15"/>
    <w:autoRedefine/>
    <w:qFormat/>
    <w:uiPriority w:val="0"/>
    <w:rPr>
      <w:rFonts w:ascii="Times New Roman" w:hAnsi="Times New Roman"/>
      <w:kern w:val="2"/>
      <w:sz w:val="21"/>
      <w:szCs w:val="24"/>
    </w:rPr>
  </w:style>
  <w:style w:type="character" w:customStyle="1" w:styleId="49">
    <w:name w:val="正文文本缩进 Char"/>
    <w:link w:val="16"/>
    <w:autoRedefine/>
    <w:qFormat/>
    <w:uiPriority w:val="0"/>
    <w:rPr>
      <w:rFonts w:ascii="仿宋_GB2312" w:hAnsi="Times New Roman" w:eastAsia="仿宋_GB2312" w:cs="Times New Roman"/>
      <w:sz w:val="32"/>
      <w:szCs w:val="20"/>
    </w:rPr>
  </w:style>
  <w:style w:type="character" w:customStyle="1" w:styleId="50">
    <w:name w:val="纯文本 Char1"/>
    <w:link w:val="19"/>
    <w:autoRedefine/>
    <w:qFormat/>
    <w:uiPriority w:val="0"/>
    <w:rPr>
      <w:rFonts w:ascii="宋体" w:hAnsi="Courier New" w:eastAsia="宋体" w:cs="Courier New"/>
      <w:szCs w:val="21"/>
    </w:rPr>
  </w:style>
  <w:style w:type="character" w:customStyle="1" w:styleId="51">
    <w:name w:val="日期 Char"/>
    <w:link w:val="20"/>
    <w:autoRedefine/>
    <w:semiHidden/>
    <w:qFormat/>
    <w:uiPriority w:val="99"/>
    <w:rPr>
      <w:rFonts w:ascii="Times New Roman" w:hAnsi="Times New Roman"/>
      <w:kern w:val="2"/>
      <w:sz w:val="21"/>
      <w:szCs w:val="24"/>
    </w:rPr>
  </w:style>
  <w:style w:type="character" w:customStyle="1" w:styleId="52">
    <w:name w:val="页脚 Char"/>
    <w:link w:val="22"/>
    <w:autoRedefine/>
    <w:qFormat/>
    <w:uiPriority w:val="99"/>
    <w:rPr>
      <w:sz w:val="18"/>
      <w:szCs w:val="18"/>
    </w:rPr>
  </w:style>
  <w:style w:type="character" w:customStyle="1" w:styleId="53">
    <w:name w:val="页眉 Char"/>
    <w:link w:val="23"/>
    <w:autoRedefine/>
    <w:qFormat/>
    <w:uiPriority w:val="99"/>
    <w:rPr>
      <w:sz w:val="18"/>
      <w:szCs w:val="18"/>
    </w:rPr>
  </w:style>
  <w:style w:type="character" w:customStyle="1" w:styleId="54">
    <w:name w:val="批注主题 Char"/>
    <w:link w:val="30"/>
    <w:autoRedefine/>
    <w:qFormat/>
    <w:uiPriority w:val="99"/>
    <w:rPr>
      <w:rFonts w:ascii="Times New Roman" w:hAnsi="Times New Roman"/>
      <w:b/>
      <w:bCs/>
      <w:kern w:val="2"/>
      <w:sz w:val="21"/>
      <w:szCs w:val="24"/>
    </w:rPr>
  </w:style>
  <w:style w:type="paragraph" w:customStyle="1" w:styleId="55">
    <w:name w:val="表格文字"/>
    <w:basedOn w:val="1"/>
    <w:autoRedefine/>
    <w:qFormat/>
    <w:uiPriority w:val="99"/>
    <w:pPr>
      <w:spacing w:before="25" w:after="25"/>
      <w:jc w:val="left"/>
    </w:pPr>
    <w:rPr>
      <w:bCs/>
      <w:spacing w:val="10"/>
      <w:kern w:val="0"/>
      <w:sz w:val="24"/>
    </w:rPr>
  </w:style>
  <w:style w:type="character" w:customStyle="1" w:styleId="56">
    <w:name w:val="标题 1 字符1"/>
    <w:autoRedefine/>
    <w:qFormat/>
    <w:uiPriority w:val="0"/>
    <w:rPr>
      <w:b/>
      <w:bCs/>
      <w:kern w:val="44"/>
      <w:sz w:val="44"/>
      <w:szCs w:val="44"/>
    </w:rPr>
  </w:style>
  <w:style w:type="character" w:customStyle="1" w:styleId="57">
    <w:name w:val="textcontents"/>
    <w:autoRedefine/>
    <w:qFormat/>
    <w:uiPriority w:val="0"/>
  </w:style>
  <w:style w:type="character" w:customStyle="1" w:styleId="58">
    <w:name w:val="批注文字 Char"/>
    <w:autoRedefine/>
    <w:qFormat/>
    <w:uiPriority w:val="0"/>
    <w:rPr>
      <w:rFonts w:ascii="Times New Roman" w:hAnsi="Times New Roman"/>
      <w:kern w:val="2"/>
      <w:sz w:val="21"/>
      <w:szCs w:val="24"/>
    </w:rPr>
  </w:style>
  <w:style w:type="character" w:customStyle="1" w:styleId="59">
    <w:name w:val="纯文本 字符"/>
    <w:autoRedefine/>
    <w:qFormat/>
    <w:uiPriority w:val="0"/>
    <w:rPr>
      <w:rFonts w:ascii="宋体" w:hAnsi="Courier New" w:eastAsia="宋体" w:cs="Courier New"/>
      <w:szCs w:val="21"/>
    </w:rPr>
  </w:style>
  <w:style w:type="character" w:customStyle="1" w:styleId="60">
    <w:name w:val="纯文本 Char"/>
    <w:autoRedefine/>
    <w:qFormat/>
    <w:uiPriority w:val="0"/>
    <w:rPr>
      <w:rFonts w:ascii="宋体" w:hAnsi="Courier New" w:eastAsia="宋体" w:cs="Courier New"/>
      <w:szCs w:val="21"/>
    </w:rPr>
  </w:style>
  <w:style w:type="character" w:customStyle="1" w:styleId="61">
    <w:name w:val="纯文本 字符2"/>
    <w:autoRedefine/>
    <w:qFormat/>
    <w:uiPriority w:val="0"/>
    <w:rPr>
      <w:rFonts w:ascii="宋体" w:hAnsi="Courier New" w:eastAsia="宋体" w:cs="Courier New"/>
      <w:szCs w:val="21"/>
    </w:rPr>
  </w:style>
  <w:style w:type="character" w:customStyle="1" w:styleId="62">
    <w:name w:val="批注文字 字符1"/>
    <w:autoRedefine/>
    <w:qFormat/>
    <w:uiPriority w:val="0"/>
    <w:rPr>
      <w:rFonts w:ascii="Times New Roman" w:hAnsi="Times New Roman"/>
      <w:kern w:val="2"/>
      <w:sz w:val="21"/>
      <w:szCs w:val="24"/>
    </w:rPr>
  </w:style>
  <w:style w:type="character" w:customStyle="1" w:styleId="63">
    <w:name w:val="正文文本 (26) + 间距 0 pt"/>
    <w:autoRedefine/>
    <w:qFormat/>
    <w:uiPriority w:val="0"/>
    <w:rPr>
      <w:rFonts w:ascii="宋体" w:hAnsi="宋体" w:eastAsia="宋体" w:cs="宋体"/>
      <w:color w:val="000000"/>
      <w:spacing w:val="0"/>
      <w:w w:val="100"/>
      <w:position w:val="0"/>
      <w:sz w:val="22"/>
      <w:szCs w:val="22"/>
      <w:u w:val="none"/>
      <w:lang w:val="zh-CN" w:eastAsia="zh-CN" w:bidi="zh-CN"/>
    </w:rPr>
  </w:style>
  <w:style w:type="character" w:customStyle="1" w:styleId="64">
    <w:name w:val="纯文本 字符1"/>
    <w:autoRedefine/>
    <w:qFormat/>
    <w:uiPriority w:val="0"/>
    <w:rPr>
      <w:rFonts w:ascii="宋体" w:hAnsi="Courier New"/>
    </w:rPr>
  </w:style>
  <w:style w:type="character" w:customStyle="1" w:styleId="65">
    <w:name w:val="正文文本 Char"/>
    <w:autoRedefine/>
    <w:qFormat/>
    <w:uiPriority w:val="0"/>
    <w:rPr>
      <w:rFonts w:ascii="Times New Roman" w:hAnsi="Times New Roman"/>
      <w:kern w:val="2"/>
      <w:sz w:val="21"/>
      <w:szCs w:val="24"/>
    </w:rPr>
  </w:style>
  <w:style w:type="character" w:customStyle="1" w:styleId="66">
    <w:name w:val="批注文字 字符"/>
    <w:autoRedefine/>
    <w:qFormat/>
    <w:uiPriority w:val="0"/>
    <w:rPr>
      <w:rFonts w:ascii="Times New Roman" w:hAnsi="Times New Roman"/>
      <w:kern w:val="2"/>
      <w:sz w:val="21"/>
      <w:szCs w:val="24"/>
    </w:rPr>
  </w:style>
  <w:style w:type="character" w:customStyle="1" w:styleId="67">
    <w:name w:val="标题 2 Char"/>
    <w:autoRedefine/>
    <w:qFormat/>
    <w:uiPriority w:val="9"/>
    <w:rPr>
      <w:rFonts w:ascii="Cambria" w:hAnsi="Cambria" w:eastAsia="宋体" w:cs="Times New Roman"/>
      <w:b/>
      <w:bCs/>
      <w:kern w:val="2"/>
      <w:sz w:val="32"/>
      <w:szCs w:val="32"/>
    </w:rPr>
  </w:style>
  <w:style w:type="character" w:customStyle="1" w:styleId="68">
    <w:name w:val="标题 8 Char"/>
    <w:autoRedefine/>
    <w:qFormat/>
    <w:uiPriority w:val="0"/>
    <w:rPr>
      <w:rFonts w:ascii="Arial" w:hAnsi="Arial" w:eastAsia="黑体"/>
      <w:kern w:val="2"/>
      <w:sz w:val="24"/>
      <w:szCs w:val="24"/>
    </w:rPr>
  </w:style>
  <w:style w:type="character" w:customStyle="1" w:styleId="69">
    <w:name w:val="apple-style-span"/>
    <w:autoRedefine/>
    <w:qFormat/>
    <w:uiPriority w:val="0"/>
  </w:style>
  <w:style w:type="paragraph" w:customStyle="1" w:styleId="70">
    <w:name w:val="默认段落字体 Para Char Char Char Char Char Char Char Char Char1 Char Char Char Char"/>
    <w:basedOn w:val="1"/>
    <w:autoRedefine/>
    <w:qFormat/>
    <w:uiPriority w:val="0"/>
    <w:rPr>
      <w:rFonts w:ascii="Tahoma" w:hAnsi="Tahoma"/>
      <w:sz w:val="24"/>
      <w:szCs w:val="20"/>
    </w:rPr>
  </w:style>
  <w:style w:type="paragraph" w:customStyle="1" w:styleId="71">
    <w:name w:val="表内文字"/>
    <w:basedOn w:val="1"/>
    <w:autoRedefine/>
    <w:qFormat/>
    <w:uiPriority w:val="0"/>
    <w:pPr>
      <w:snapToGrid w:val="0"/>
      <w:spacing w:before="50" w:after="50"/>
      <w:jc w:val="center"/>
    </w:pPr>
    <w:rPr>
      <w:rFonts w:ascii="仿宋_GB2312" w:hAnsi="宋体" w:eastAsia="仿宋_GB2312"/>
      <w:b/>
      <w:color w:val="000000"/>
      <w:sz w:val="32"/>
      <w:szCs w:val="32"/>
    </w:rPr>
  </w:style>
  <w:style w:type="paragraph" w:styleId="72">
    <w:name w:val="List Paragraph"/>
    <w:basedOn w:val="1"/>
    <w:autoRedefine/>
    <w:qFormat/>
    <w:uiPriority w:val="34"/>
    <w:pPr>
      <w:ind w:firstLine="420" w:firstLineChars="200"/>
    </w:pPr>
  </w:style>
  <w:style w:type="paragraph" w:customStyle="1" w:styleId="73">
    <w:name w:val="Table Paragraph"/>
    <w:basedOn w:val="1"/>
    <w:autoRedefine/>
    <w:qFormat/>
    <w:uiPriority w:val="1"/>
    <w:pPr>
      <w:jc w:val="left"/>
    </w:pPr>
    <w:rPr>
      <w:rFonts w:ascii="Calibri" w:hAnsi="Calibri"/>
      <w:kern w:val="0"/>
      <w:sz w:val="22"/>
      <w:szCs w:val="22"/>
      <w:lang w:eastAsia="en-US"/>
    </w:rPr>
  </w:style>
  <w:style w:type="character" w:customStyle="1" w:styleId="74">
    <w:name w:val="正文文本 字符"/>
    <w:autoRedefine/>
    <w:qFormat/>
    <w:uiPriority w:val="0"/>
    <w:rPr>
      <w:rFonts w:ascii="Times New Roman" w:hAnsi="Times New Roman"/>
      <w:kern w:val="2"/>
      <w:sz w:val="21"/>
      <w:szCs w:val="24"/>
    </w:rPr>
  </w:style>
  <w:style w:type="character" w:customStyle="1" w:styleId="75">
    <w:name w:val="批注文字 Char2"/>
    <w:autoRedefine/>
    <w:qFormat/>
    <w:uiPriority w:val="0"/>
    <w:rPr>
      <w:rFonts w:ascii="Times New Roman" w:hAnsi="Times New Roman"/>
      <w:kern w:val="2"/>
      <w:sz w:val="21"/>
      <w:szCs w:val="24"/>
    </w:rPr>
  </w:style>
  <w:style w:type="paragraph" w:customStyle="1" w:styleId="76">
    <w:name w:val="样式 正文缩进正文（首行缩进两字）首行缩进两字 + 首行缩进:  2 字符1"/>
    <w:basedOn w:val="7"/>
    <w:autoRedefine/>
    <w:qFormat/>
    <w:uiPriority w:val="0"/>
    <w:pPr>
      <w:autoSpaceDE w:val="0"/>
      <w:autoSpaceDN w:val="0"/>
      <w:spacing w:beforeLines="50" w:afterLines="50" w:line="500" w:lineRule="exact"/>
      <w:ind w:firstLine="200"/>
      <w:jc w:val="left"/>
    </w:pPr>
    <w:rPr>
      <w:rFonts w:ascii="楷体_GB2312" w:eastAsia="楷体_GB2312"/>
      <w:color w:val="000000"/>
      <w:kern w:val="0"/>
      <w:sz w:val="28"/>
    </w:rPr>
  </w:style>
  <w:style w:type="paragraph" w:customStyle="1" w:styleId="77">
    <w:name w:val="列出段落3"/>
    <w:basedOn w:val="1"/>
    <w:autoRedefine/>
    <w:qFormat/>
    <w:uiPriority w:val="0"/>
    <w:pPr>
      <w:widowControl/>
      <w:spacing w:line="400" w:lineRule="exact"/>
      <w:ind w:firstLine="420" w:firstLineChars="200"/>
      <w:jc w:val="left"/>
    </w:pPr>
  </w:style>
  <w:style w:type="paragraph" w:customStyle="1" w:styleId="78">
    <w:name w:val="正文文本2"/>
    <w:basedOn w:val="1"/>
    <w:autoRedefine/>
    <w:qFormat/>
    <w:uiPriority w:val="0"/>
    <w:pPr>
      <w:shd w:val="clear" w:color="auto" w:fill="FFFFFF"/>
      <w:spacing w:after="300" w:line="0" w:lineRule="atLeast"/>
    </w:pPr>
    <w:rPr>
      <w:rFonts w:ascii="MingLiU" w:hAnsi="MingLiU" w:eastAsia="MingLiU"/>
      <w:color w:val="000000"/>
      <w:kern w:val="0"/>
      <w:sz w:val="22"/>
      <w:szCs w:val="22"/>
      <w:shd w:val="clear" w:color="auto" w:fill="FFFFFF"/>
      <w:lang w:val="zh-TW"/>
    </w:rPr>
  </w:style>
  <w:style w:type="paragraph" w:customStyle="1" w:styleId="79">
    <w:name w:val="列出段落1"/>
    <w:autoRedefine/>
    <w:qFormat/>
    <w:uiPriority w:val="0"/>
    <w:pPr>
      <w:ind w:firstLine="200" w:firstLineChars="200"/>
    </w:pPr>
    <w:rPr>
      <w:rFonts w:ascii="Calibri" w:hAnsi="Calibri" w:eastAsia="宋体" w:cs="Times New Roman"/>
      <w:kern w:val="2"/>
      <w:sz w:val="21"/>
      <w:szCs w:val="22"/>
      <w:lang w:val="en-US" w:eastAsia="zh-CN" w:bidi="ar-SA"/>
    </w:rPr>
  </w:style>
  <w:style w:type="table" w:customStyle="1" w:styleId="80">
    <w:name w:val="Table Normal"/>
    <w:autoRedefine/>
    <w:unhideWhenUsed/>
    <w:qFormat/>
    <w:uiPriority w:val="0"/>
    <w:tblPr>
      <w:tblCellMar>
        <w:top w:w="0" w:type="dxa"/>
        <w:left w:w="0" w:type="dxa"/>
        <w:bottom w:w="0" w:type="dxa"/>
        <w:right w:w="0" w:type="dxa"/>
      </w:tblCellMar>
    </w:tblPr>
  </w:style>
  <w:style w:type="paragraph" w:customStyle="1" w:styleId="81">
    <w:name w:val="正文文本首行缩进1"/>
    <w:basedOn w:val="15"/>
    <w:autoRedefine/>
    <w:qFormat/>
    <w:uiPriority w:val="0"/>
    <w:pPr>
      <w:ind w:firstLine="100" w:firstLineChars="100"/>
    </w:pPr>
  </w:style>
  <w:style w:type="paragraph" w:customStyle="1" w:styleId="82">
    <w:name w:val="Table Text"/>
    <w:basedOn w:val="1"/>
    <w:autoRedefine/>
    <w:semiHidden/>
    <w:qFormat/>
    <w:uiPriority w:val="0"/>
    <w:rPr>
      <w:rFonts w:ascii="宋体" w:hAnsi="宋体" w:cs="宋体"/>
      <w:sz w:val="24"/>
      <w:lang w:eastAsia="en-US"/>
    </w:rPr>
  </w:style>
  <w:style w:type="table" w:customStyle="1" w:styleId="83">
    <w:name w:val="网格型1"/>
    <w:basedOn w:val="33"/>
    <w:autoRedefine/>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4">
    <w:name w:val="正文缩进2"/>
    <w:autoRedefine/>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paragraph" w:customStyle="1" w:styleId="85">
    <w:name w:val="正文@中勤招标"/>
    <w:basedOn w:val="1"/>
    <w:autoRedefine/>
    <w:qFormat/>
    <w:uiPriority w:val="0"/>
    <w:pPr>
      <w:adjustRightInd w:val="0"/>
      <w:spacing w:line="360" w:lineRule="auto"/>
      <w:ind w:firstLine="200" w:firstLineChars="200"/>
    </w:pPr>
    <w:rPr>
      <w:rFonts w:ascii="宋体" w:hAnsi="宋体"/>
      <w:sz w:val="24"/>
      <w:szCs w:val="21"/>
      <w:lang w:eastAsia="zh-Hans"/>
    </w:rPr>
  </w:style>
  <w:style w:type="paragraph" w:customStyle="1" w:styleId="86">
    <w:name w:val="小标题"/>
    <w:basedOn w:val="1"/>
    <w:autoRedefine/>
    <w:qFormat/>
    <w:uiPriority w:val="0"/>
    <w:pPr>
      <w:numPr>
        <w:ilvl w:val="0"/>
        <w:numId w:val="1"/>
      </w:numPr>
      <w:spacing w:line="360" w:lineRule="auto"/>
    </w:pPr>
    <w:rPr>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jpeg"/><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广西国泰招标</Company>
  <Pages>78</Pages>
  <Words>16457</Words>
  <Characters>17680</Characters>
  <Lines>386</Lines>
  <Paragraphs>108</Paragraphs>
  <TotalTime>1</TotalTime>
  <ScaleCrop>false</ScaleCrop>
  <LinksUpToDate>false</LinksUpToDate>
  <CharactersWithSpaces>17999</CharactersWithSpaces>
  <Application>WPS Office_12.1.0.21539_F1E327BC-269C-435d-A152-05C5408002CA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2024-10-17T04:19:00Z</dcterms:created>
  <dc:creator>广西国泰招标</dc:creator>
  <cp:lastModifiedBy>a祖</cp:lastModifiedBy>
  <cp:lastPrinted>2025-07-15T08:14:00Z</cp:lastPrinted>
  <dcterms:modified xsi:type="dcterms:W3CDTF">2025-07-15T09:16:06Z</dcterms:modified>
  <dc:title>竞争性谈判文件规范</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2052-12.1.0.21539</vt:lpwstr>
  </property>
  <property fmtid="{D5CDD505-2E9C-101B-9397-08002B2CF9AE}" pid="3" name="ICV">
    <vt:lpwstr>A44CFA2840B040E8AA528AA253B8A2CB_13</vt:lpwstr>
  </property>
  <property fmtid="{D5CDD505-2E9C-101B-9397-08002B2CF9AE}" pid="4" name="KSOTemplateDocerSaveRecord">
    <vt:lpwstr>eyJoZGlkIjoiMjhkMThkOGYwZGZlODY3MzVhNDkyMTVhYzJkNDQxMWMiLCJ1c2VySWQiOiI0MTE2MDU5MjgifQ==</vt:lpwstr>
  </property>
</Properties>
</file>