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B73EA">
      <w:pPr>
        <w:pStyle w:val="19"/>
        <w:jc w:val="center"/>
        <w:rPr>
          <w:rFonts w:hAnsi="宋体" w:cs="宋体"/>
          <w:color w:val="auto"/>
          <w:spacing w:val="30"/>
          <w:kern w:val="52"/>
          <w:sz w:val="64"/>
          <w:szCs w:val="64"/>
          <w:highlight w:val="none"/>
        </w:rPr>
      </w:pPr>
      <w:r>
        <w:rPr>
          <w:rFonts w:hAnsi="宋体" w:cs="宋体"/>
          <w:color w:val="auto"/>
          <w:highlight w:val="none"/>
        </w:rPr>
        <w:drawing>
          <wp:inline distT="0" distB="0" distL="114300" distR="114300">
            <wp:extent cx="1028700" cy="962025"/>
            <wp:effectExtent l="0" t="0" r="0" b="9525"/>
            <wp:docPr id="2" name="图片 1" descr="国泰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国泰标志"/>
                    <pic:cNvPicPr>
                      <a:picLocks noChangeAspect="1"/>
                    </pic:cNvPicPr>
                  </pic:nvPicPr>
                  <pic:blipFill>
                    <a:blip r:embed="rId14"/>
                    <a:stretch>
                      <a:fillRect/>
                    </a:stretch>
                  </pic:blipFill>
                  <pic:spPr>
                    <a:xfrm>
                      <a:off x="0" y="0"/>
                      <a:ext cx="1028700" cy="962025"/>
                    </a:xfrm>
                    <a:prstGeom prst="rect">
                      <a:avLst/>
                    </a:prstGeom>
                    <a:noFill/>
                    <a:ln>
                      <a:noFill/>
                    </a:ln>
                  </pic:spPr>
                </pic:pic>
              </a:graphicData>
            </a:graphic>
          </wp:inline>
        </w:drawing>
      </w:r>
    </w:p>
    <w:p w14:paraId="1E14EFC4">
      <w:pPr>
        <w:pStyle w:val="19"/>
        <w:jc w:val="center"/>
        <w:rPr>
          <w:rFonts w:hAnsi="宋体" w:cs="宋体"/>
          <w:color w:val="auto"/>
          <w:spacing w:val="30"/>
          <w:kern w:val="52"/>
          <w:sz w:val="64"/>
          <w:szCs w:val="64"/>
          <w:highlight w:val="none"/>
        </w:rPr>
      </w:pPr>
      <w:r>
        <w:rPr>
          <w:rFonts w:hint="eastAsia" w:hAnsi="宋体" w:cs="宋体"/>
          <w:color w:val="auto"/>
          <w:spacing w:val="30"/>
          <w:kern w:val="52"/>
          <w:sz w:val="64"/>
          <w:szCs w:val="64"/>
          <w:highlight w:val="none"/>
        </w:rPr>
        <w:t>广西国泰招标咨询有限公司</w:t>
      </w:r>
    </w:p>
    <w:p w14:paraId="6B6854A2">
      <w:pPr>
        <w:pStyle w:val="19"/>
        <w:jc w:val="center"/>
        <w:rPr>
          <w:rFonts w:hAnsi="宋体" w:cs="宋体"/>
          <w:b/>
          <w:color w:val="auto"/>
          <w:sz w:val="44"/>
          <w:szCs w:val="44"/>
          <w:highlight w:val="none"/>
        </w:rPr>
      </w:pPr>
      <w:r>
        <w:rPr>
          <w:color w:val="auto"/>
          <w:highlight w:val="none"/>
        </w:rPr>
        <w:pict>
          <v:line id="_x0000_s1026" o:spid="_x0000_s1026" o:spt="20" style="position:absolute;left:0pt;margin-left:9pt;margin-top:7.8pt;height:0pt;width:432pt;z-index:251663360;mso-width-relative:page;mso-height-relative:page;" coordsize="21600,21600" o:gfxdata="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vawUM1AAAAAgBAAAP&#10;AAAAAAAAAAEAIAAAACIAAABkcnMvZG93bnJldi54bWxQSwECFAAUAAAACACHTuJAqlxkR+MBAADe&#10;AwAADgAAAAAAAAABACAAAAAjAQAAZHJzL2Uyb0RvYy54bWxQSwUGAAAAAAYABgBZAQAAeAUAAAAA&#10;">
            <v:path arrowok="t"/>
            <v:fill focussize="0,0"/>
            <v:stroke weight="1pt"/>
            <v:imagedata o:title=""/>
            <o:lock v:ext="edit"/>
          </v:line>
        </w:pict>
      </w:r>
    </w:p>
    <w:p w14:paraId="2FF3D840">
      <w:pPr>
        <w:snapToGrid w:val="0"/>
        <w:spacing w:beforeLines="50" w:line="360" w:lineRule="auto"/>
        <w:jc w:val="center"/>
        <w:rPr>
          <w:rFonts w:ascii="宋体" w:cs="宋体"/>
          <w:color w:val="auto"/>
          <w:sz w:val="120"/>
          <w:szCs w:val="120"/>
          <w:highlight w:val="none"/>
        </w:rPr>
      </w:pPr>
      <w:r>
        <w:rPr>
          <w:rFonts w:hint="eastAsia" w:ascii="宋体" w:hAnsi="宋体" w:cs="宋体"/>
          <w:color w:val="auto"/>
          <w:sz w:val="120"/>
          <w:szCs w:val="120"/>
          <w:highlight w:val="none"/>
        </w:rPr>
        <w:t>竞争性磋商文件</w:t>
      </w:r>
    </w:p>
    <w:p w14:paraId="18BE9B91">
      <w:pPr>
        <w:snapToGrid w:val="0"/>
        <w:spacing w:line="360" w:lineRule="auto"/>
        <w:rPr>
          <w:rFonts w:ascii="宋体" w:cs="宋体"/>
          <w:b/>
          <w:color w:val="auto"/>
          <w:sz w:val="48"/>
          <w:szCs w:val="48"/>
          <w:highlight w:val="none"/>
        </w:rPr>
      </w:pPr>
    </w:p>
    <w:p w14:paraId="1FB40409">
      <w:pPr>
        <w:pStyle w:val="19"/>
        <w:snapToGrid w:val="0"/>
        <w:spacing w:line="360" w:lineRule="auto"/>
        <w:ind w:firstLine="1205" w:firstLineChars="400"/>
        <w:rPr>
          <w:rFonts w:hAnsi="宋体" w:cs="宋体"/>
          <w:b/>
          <w:bCs/>
          <w:color w:val="auto"/>
          <w:sz w:val="30"/>
          <w:szCs w:val="30"/>
          <w:highlight w:val="none"/>
        </w:rPr>
      </w:pPr>
    </w:p>
    <w:p w14:paraId="318324D2">
      <w:pPr>
        <w:pStyle w:val="19"/>
        <w:snapToGrid w:val="0"/>
        <w:spacing w:line="360" w:lineRule="auto"/>
        <w:ind w:left="2699" w:leftChars="568" w:hanging="1506" w:hangingChars="500"/>
        <w:rPr>
          <w:rFonts w:hAnsi="宋体" w:cs="宋体"/>
          <w:b/>
          <w:bCs/>
          <w:color w:val="auto"/>
          <w:sz w:val="30"/>
          <w:szCs w:val="30"/>
          <w:highlight w:val="none"/>
        </w:rPr>
      </w:pPr>
      <w:r>
        <w:rPr>
          <w:rFonts w:hint="eastAsia" w:hAnsi="宋体" w:cs="宋体"/>
          <w:b/>
          <w:bCs/>
          <w:color w:val="auto"/>
          <w:sz w:val="30"/>
          <w:szCs w:val="30"/>
          <w:highlight w:val="none"/>
        </w:rPr>
        <w:t>项目</w:t>
      </w:r>
      <w:r>
        <w:rPr>
          <w:rFonts w:hint="eastAsia" w:hAnsi="宋体" w:cs="宋体"/>
          <w:b/>
          <w:bCs/>
          <w:color w:val="auto"/>
          <w:w w:val="95"/>
          <w:sz w:val="30"/>
          <w:szCs w:val="30"/>
          <w:highlight w:val="none"/>
        </w:rPr>
        <w:t>名称</w:t>
      </w:r>
      <w:r>
        <w:rPr>
          <w:rFonts w:hint="eastAsia" w:hAnsi="宋体" w:cs="宋体"/>
          <w:b/>
          <w:bCs/>
          <w:color w:val="auto"/>
          <w:sz w:val="30"/>
          <w:szCs w:val="30"/>
          <w:highlight w:val="none"/>
        </w:rPr>
        <w:t>：</w:t>
      </w:r>
      <w:r>
        <w:rPr>
          <w:rFonts w:hint="eastAsia" w:hAnsi="宋体" w:cs="宋体"/>
          <w:b/>
          <w:color w:val="auto"/>
          <w:sz w:val="32"/>
          <w:szCs w:val="32"/>
          <w:highlight w:val="none"/>
        </w:rPr>
        <w:t>广西农情固定观察点数据采集运营和广西三农摄影比赛暨采风活动项目</w:t>
      </w:r>
    </w:p>
    <w:p w14:paraId="1352B312">
      <w:pPr>
        <w:pStyle w:val="19"/>
        <w:snapToGrid w:val="0"/>
        <w:spacing w:line="360" w:lineRule="auto"/>
        <w:ind w:firstLine="1205" w:firstLineChars="400"/>
        <w:rPr>
          <w:rFonts w:hAnsi="宋体" w:cs="宋体"/>
          <w:b/>
          <w:bCs/>
          <w:color w:val="auto"/>
          <w:sz w:val="30"/>
          <w:szCs w:val="30"/>
          <w:highlight w:val="none"/>
        </w:rPr>
      </w:pPr>
      <w:r>
        <w:rPr>
          <w:rFonts w:hint="eastAsia" w:hAnsi="宋体" w:cs="宋体"/>
          <w:b/>
          <w:bCs/>
          <w:color w:val="auto"/>
          <w:sz w:val="30"/>
          <w:szCs w:val="30"/>
          <w:highlight w:val="none"/>
        </w:rPr>
        <w:t>项目编号：</w:t>
      </w:r>
      <w:r>
        <w:rPr>
          <w:rFonts w:hint="eastAsia" w:hAnsi="宋体" w:cs="宋体"/>
          <w:b/>
          <w:color w:val="auto"/>
          <w:sz w:val="32"/>
          <w:szCs w:val="32"/>
          <w:highlight w:val="none"/>
        </w:rPr>
        <w:t>GXZC2025-C3-001212-GTZB</w:t>
      </w:r>
    </w:p>
    <w:p w14:paraId="7A3C3A9C">
      <w:pPr>
        <w:snapToGrid w:val="0"/>
        <w:spacing w:line="360" w:lineRule="auto"/>
        <w:rPr>
          <w:rFonts w:ascii="宋体" w:cs="宋体"/>
          <w:color w:val="auto"/>
          <w:sz w:val="30"/>
          <w:szCs w:val="72"/>
          <w:highlight w:val="none"/>
        </w:rPr>
      </w:pPr>
    </w:p>
    <w:p w14:paraId="7BA61F93">
      <w:pPr>
        <w:pStyle w:val="19"/>
        <w:snapToGrid w:val="0"/>
        <w:spacing w:line="360" w:lineRule="auto"/>
        <w:ind w:firstLine="1431" w:firstLineChars="500"/>
        <w:rPr>
          <w:rFonts w:hAnsi="宋体" w:cs="宋体"/>
          <w:b/>
          <w:bCs/>
          <w:color w:val="auto"/>
          <w:w w:val="95"/>
          <w:sz w:val="30"/>
          <w:szCs w:val="30"/>
          <w:highlight w:val="none"/>
        </w:rPr>
      </w:pPr>
    </w:p>
    <w:p w14:paraId="0F6D4F52">
      <w:pPr>
        <w:pStyle w:val="19"/>
        <w:snapToGrid w:val="0"/>
        <w:spacing w:line="360" w:lineRule="auto"/>
        <w:ind w:firstLine="1431" w:firstLineChars="500"/>
        <w:rPr>
          <w:rFonts w:hAnsi="宋体" w:cs="宋体"/>
          <w:b/>
          <w:bCs/>
          <w:color w:val="auto"/>
          <w:w w:val="95"/>
          <w:sz w:val="30"/>
          <w:szCs w:val="30"/>
          <w:highlight w:val="none"/>
        </w:rPr>
      </w:pPr>
    </w:p>
    <w:p w14:paraId="33B91EF7">
      <w:pPr>
        <w:pStyle w:val="19"/>
        <w:snapToGrid w:val="0"/>
        <w:spacing w:line="360" w:lineRule="auto"/>
        <w:ind w:firstLine="1431" w:firstLineChars="500"/>
        <w:rPr>
          <w:rFonts w:hAnsi="宋体" w:cs="宋体"/>
          <w:b/>
          <w:bCs/>
          <w:color w:val="auto"/>
          <w:w w:val="95"/>
          <w:sz w:val="30"/>
          <w:szCs w:val="30"/>
          <w:highlight w:val="none"/>
        </w:rPr>
      </w:pPr>
      <w:r>
        <w:rPr>
          <w:rFonts w:hint="eastAsia" w:hAnsi="宋体" w:cs="宋体"/>
          <w:b/>
          <w:bCs/>
          <w:color w:val="auto"/>
          <w:w w:val="95"/>
          <w:sz w:val="30"/>
          <w:szCs w:val="30"/>
          <w:highlight w:val="none"/>
        </w:rPr>
        <w:t>采</w:t>
      </w:r>
      <w:r>
        <w:rPr>
          <w:rFonts w:hAnsi="宋体" w:cs="宋体"/>
          <w:b/>
          <w:bCs/>
          <w:color w:val="auto"/>
          <w:w w:val="95"/>
          <w:sz w:val="30"/>
          <w:szCs w:val="30"/>
          <w:highlight w:val="none"/>
        </w:rPr>
        <w:t xml:space="preserve"> </w:t>
      </w:r>
      <w:r>
        <w:rPr>
          <w:rFonts w:hint="eastAsia" w:hAnsi="宋体" w:cs="宋体"/>
          <w:b/>
          <w:bCs/>
          <w:color w:val="auto"/>
          <w:w w:val="95"/>
          <w:sz w:val="30"/>
          <w:szCs w:val="30"/>
          <w:highlight w:val="none"/>
        </w:rPr>
        <w:t>购</w:t>
      </w:r>
      <w:r>
        <w:rPr>
          <w:rFonts w:hAnsi="宋体" w:cs="宋体"/>
          <w:b/>
          <w:bCs/>
          <w:color w:val="auto"/>
          <w:w w:val="95"/>
          <w:sz w:val="30"/>
          <w:szCs w:val="30"/>
          <w:highlight w:val="none"/>
        </w:rPr>
        <w:t xml:space="preserve"> </w:t>
      </w:r>
      <w:r>
        <w:rPr>
          <w:rFonts w:hint="eastAsia" w:hAnsi="宋体" w:cs="宋体"/>
          <w:b/>
          <w:bCs/>
          <w:color w:val="auto"/>
          <w:w w:val="95"/>
          <w:sz w:val="30"/>
          <w:szCs w:val="30"/>
          <w:highlight w:val="none"/>
        </w:rPr>
        <w:t>人：</w:t>
      </w:r>
      <w:r>
        <w:rPr>
          <w:rFonts w:hint="eastAsia" w:hAnsi="宋体" w:cs="宋体"/>
          <w:b/>
          <w:color w:val="auto"/>
          <w:sz w:val="32"/>
          <w:szCs w:val="32"/>
          <w:highlight w:val="none"/>
        </w:rPr>
        <w:t>广西壮族自治区农业信息中心</w:t>
      </w:r>
    </w:p>
    <w:p w14:paraId="012EB180">
      <w:pPr>
        <w:pStyle w:val="19"/>
        <w:snapToGrid w:val="0"/>
        <w:spacing w:line="360" w:lineRule="auto"/>
        <w:ind w:firstLine="1431" w:firstLineChars="500"/>
        <w:rPr>
          <w:rFonts w:hAnsi="宋体" w:cs="宋体"/>
          <w:b/>
          <w:bCs/>
          <w:color w:val="auto"/>
          <w:w w:val="95"/>
          <w:sz w:val="30"/>
          <w:szCs w:val="30"/>
          <w:highlight w:val="none"/>
        </w:rPr>
      </w:pPr>
      <w:r>
        <w:rPr>
          <w:rFonts w:hint="eastAsia" w:hAnsi="宋体" w:cs="宋体"/>
          <w:b/>
          <w:bCs/>
          <w:color w:val="auto"/>
          <w:w w:val="95"/>
          <w:sz w:val="30"/>
          <w:szCs w:val="30"/>
          <w:highlight w:val="none"/>
        </w:rPr>
        <w:t>采购代理机构：</w:t>
      </w:r>
      <w:r>
        <w:rPr>
          <w:rFonts w:hint="eastAsia" w:hAnsi="宋体" w:cs="宋体"/>
          <w:b/>
          <w:color w:val="auto"/>
          <w:sz w:val="32"/>
          <w:szCs w:val="32"/>
          <w:highlight w:val="none"/>
        </w:rPr>
        <w:t>广西国泰招标咨询有限公司</w:t>
      </w:r>
    </w:p>
    <w:p w14:paraId="218E17E8">
      <w:pPr>
        <w:pStyle w:val="19"/>
        <w:snapToGrid w:val="0"/>
        <w:spacing w:line="360" w:lineRule="auto"/>
        <w:ind w:left="420" w:firstLine="841" w:firstLineChars="294"/>
        <w:rPr>
          <w:rFonts w:hAnsi="宋体" w:cs="宋体"/>
          <w:b/>
          <w:bCs/>
          <w:color w:val="auto"/>
          <w:w w:val="95"/>
          <w:sz w:val="30"/>
          <w:szCs w:val="30"/>
          <w:highlight w:val="none"/>
        </w:rPr>
      </w:pPr>
      <w:r>
        <w:rPr>
          <w:rFonts w:hAnsi="宋体" w:cs="宋体"/>
          <w:b/>
          <w:bCs/>
          <w:color w:val="auto"/>
          <w:w w:val="95"/>
          <w:sz w:val="30"/>
          <w:szCs w:val="30"/>
          <w:highlight w:val="none"/>
        </w:rPr>
        <w:t xml:space="preserve">                2025</w:t>
      </w:r>
      <w:r>
        <w:rPr>
          <w:rFonts w:hint="eastAsia" w:hAnsi="宋体" w:cs="宋体"/>
          <w:b/>
          <w:bCs/>
          <w:color w:val="auto"/>
          <w:w w:val="95"/>
          <w:sz w:val="30"/>
          <w:szCs w:val="30"/>
          <w:highlight w:val="none"/>
        </w:rPr>
        <w:t>年5月</w:t>
      </w:r>
    </w:p>
    <w:p w14:paraId="44D0145B">
      <w:pPr>
        <w:tabs>
          <w:tab w:val="left" w:pos="1080"/>
        </w:tabs>
        <w:spacing w:line="360" w:lineRule="auto"/>
        <w:ind w:firstLine="883" w:firstLineChars="200"/>
        <w:rPr>
          <w:rFonts w:ascii="宋体" w:cs="宋体"/>
          <w:b/>
          <w:color w:val="auto"/>
          <w:sz w:val="44"/>
          <w:szCs w:val="4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587" w:header="851" w:footer="992" w:gutter="0"/>
          <w:pgNumType w:start="0"/>
          <w:cols w:space="720" w:num="1"/>
          <w:titlePg/>
          <w:docGrid w:type="lines" w:linePitch="312" w:charSpace="0"/>
        </w:sectPr>
      </w:pPr>
    </w:p>
    <w:p w14:paraId="2B5E5236">
      <w:pPr>
        <w:pStyle w:val="61"/>
        <w:rPr>
          <w:color w:val="auto"/>
          <w:highlight w:val="none"/>
        </w:rPr>
      </w:pPr>
    </w:p>
    <w:p w14:paraId="0B25DB93">
      <w:pPr>
        <w:spacing w:line="360" w:lineRule="auto"/>
        <w:jc w:val="center"/>
        <w:rPr>
          <w:rFonts w:ascii="宋体" w:cs="宋体"/>
          <w:b/>
          <w:color w:val="auto"/>
          <w:sz w:val="44"/>
          <w:szCs w:val="44"/>
          <w:highlight w:val="none"/>
        </w:rPr>
      </w:pPr>
      <w:r>
        <w:rPr>
          <w:rFonts w:hint="eastAsia" w:ascii="宋体" w:hAnsi="宋体" w:cs="宋体"/>
          <w:b/>
          <w:color w:val="auto"/>
          <w:sz w:val="44"/>
          <w:szCs w:val="44"/>
          <w:highlight w:val="none"/>
        </w:rPr>
        <w:t>目</w:t>
      </w:r>
      <w:r>
        <w:rPr>
          <w:rFonts w:ascii="宋体" w:hAnsi="宋体" w:cs="宋体"/>
          <w:b/>
          <w:color w:val="auto"/>
          <w:sz w:val="44"/>
          <w:szCs w:val="44"/>
          <w:highlight w:val="none"/>
        </w:rPr>
        <w:t xml:space="preserve">  </w:t>
      </w:r>
      <w:r>
        <w:rPr>
          <w:rFonts w:hint="eastAsia" w:ascii="宋体" w:hAnsi="宋体" w:cs="宋体"/>
          <w:b/>
          <w:color w:val="auto"/>
          <w:sz w:val="44"/>
          <w:szCs w:val="44"/>
          <w:highlight w:val="none"/>
        </w:rPr>
        <w:t>录</w:t>
      </w:r>
    </w:p>
    <w:p w14:paraId="2BADACE3">
      <w:pPr>
        <w:spacing w:line="400" w:lineRule="exact"/>
        <w:jc w:val="center"/>
        <w:rPr>
          <w:rFonts w:ascii="宋体" w:cs="宋体"/>
          <w:b/>
          <w:color w:val="auto"/>
          <w:sz w:val="44"/>
          <w:szCs w:val="44"/>
          <w:highlight w:val="none"/>
        </w:rPr>
      </w:pPr>
    </w:p>
    <w:p w14:paraId="40A23261">
      <w:pPr>
        <w:pStyle w:val="24"/>
        <w:tabs>
          <w:tab w:val="right" w:leader="dot" w:pos="8879"/>
        </w:tabs>
        <w:rPr>
          <w:rFonts w:ascii="宋体" w:cs="宋体"/>
          <w:b/>
          <w:bCs/>
          <w:color w:val="auto"/>
          <w:sz w:val="28"/>
          <w:szCs w:val="28"/>
          <w:highlight w:val="none"/>
        </w:rPr>
      </w:pPr>
      <w:r>
        <w:rPr>
          <w:rFonts w:ascii="宋体" w:hAnsi="宋体" w:cs="宋体"/>
          <w:b/>
          <w:color w:val="auto"/>
          <w:sz w:val="24"/>
          <w:highlight w:val="none"/>
        </w:rPr>
        <w:fldChar w:fldCharType="begin"/>
      </w:r>
      <w:r>
        <w:rPr>
          <w:rFonts w:ascii="宋体" w:hAnsi="宋体" w:cs="宋体"/>
          <w:b/>
          <w:color w:val="auto"/>
          <w:sz w:val="24"/>
          <w:highlight w:val="none"/>
        </w:rPr>
        <w:instrText xml:space="preserve">TOC \o "1-3" \h \u </w:instrText>
      </w:r>
      <w:r>
        <w:rPr>
          <w:rFonts w:ascii="宋体" w:hAnsi="宋体" w:cs="宋体"/>
          <w:b/>
          <w:color w:val="auto"/>
          <w:sz w:val="24"/>
          <w:highlight w:val="none"/>
        </w:rPr>
        <w:fldChar w:fldCharType="separate"/>
      </w:r>
      <w:r>
        <w:rPr>
          <w:color w:val="auto"/>
          <w:highlight w:val="none"/>
        </w:rPr>
        <w:fldChar w:fldCharType="begin"/>
      </w:r>
      <w:r>
        <w:rPr>
          <w:color w:val="auto"/>
          <w:highlight w:val="none"/>
        </w:rPr>
        <w:instrText xml:space="preserve"> HYPERLINK \l "_Toc24302" </w:instrText>
      </w:r>
      <w:r>
        <w:rPr>
          <w:color w:val="auto"/>
          <w:highlight w:val="none"/>
        </w:rPr>
        <w:fldChar w:fldCharType="separate"/>
      </w:r>
      <w:r>
        <w:rPr>
          <w:rFonts w:hint="eastAsia" w:ascii="宋体" w:hAnsi="宋体" w:cs="宋体"/>
          <w:b/>
          <w:bCs/>
          <w:color w:val="auto"/>
          <w:sz w:val="28"/>
          <w:szCs w:val="28"/>
          <w:highlight w:val="none"/>
        </w:rPr>
        <w:t>第一章</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竞争性磋商公告</w:t>
      </w:r>
      <w:r>
        <w:rPr>
          <w:rFonts w:ascii="宋体" w:cs="宋体"/>
          <w:b/>
          <w:bCs/>
          <w:color w:val="auto"/>
          <w:sz w:val="28"/>
          <w:szCs w:val="28"/>
          <w:highlight w:val="none"/>
        </w:rPr>
        <w:tab/>
      </w: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PAGEREF _Toc24302 \h </w:instrText>
      </w:r>
      <w:r>
        <w:rPr>
          <w:rFonts w:ascii="宋体" w:hAnsi="宋体" w:cs="宋体"/>
          <w:b/>
          <w:bCs/>
          <w:color w:val="auto"/>
          <w:sz w:val="28"/>
          <w:szCs w:val="28"/>
          <w:highlight w:val="none"/>
        </w:rPr>
        <w:fldChar w:fldCharType="separate"/>
      </w:r>
      <w:r>
        <w:rPr>
          <w:rFonts w:ascii="宋体" w:hAnsi="宋体" w:cs="宋体"/>
          <w:b/>
          <w:bCs/>
          <w:color w:val="auto"/>
          <w:sz w:val="28"/>
          <w:szCs w:val="28"/>
          <w:highlight w:val="none"/>
        </w:rPr>
        <w:t>1</w:t>
      </w:r>
      <w:r>
        <w:rPr>
          <w:rFonts w:ascii="宋体" w:hAnsi="宋体" w:cs="宋体"/>
          <w:b/>
          <w:bCs/>
          <w:color w:val="auto"/>
          <w:sz w:val="28"/>
          <w:szCs w:val="28"/>
          <w:highlight w:val="none"/>
        </w:rPr>
        <w:fldChar w:fldCharType="end"/>
      </w:r>
      <w:r>
        <w:rPr>
          <w:rFonts w:ascii="宋体" w:hAnsi="宋体" w:cs="宋体"/>
          <w:b/>
          <w:bCs/>
          <w:color w:val="auto"/>
          <w:sz w:val="28"/>
          <w:szCs w:val="28"/>
          <w:highlight w:val="none"/>
        </w:rPr>
        <w:fldChar w:fldCharType="end"/>
      </w:r>
    </w:p>
    <w:p w14:paraId="673001FA">
      <w:pPr>
        <w:pStyle w:val="24"/>
        <w:tabs>
          <w:tab w:val="right" w:leader="dot" w:pos="8879"/>
        </w:tabs>
        <w:rPr>
          <w:rFonts w:ascii="宋体" w:cs="宋体"/>
          <w:b/>
          <w:bCs/>
          <w:color w:val="auto"/>
          <w:sz w:val="28"/>
          <w:szCs w:val="28"/>
          <w:highlight w:val="none"/>
        </w:rPr>
      </w:pPr>
      <w:r>
        <w:rPr>
          <w:color w:val="auto"/>
          <w:highlight w:val="none"/>
        </w:rPr>
        <w:fldChar w:fldCharType="begin"/>
      </w:r>
      <w:r>
        <w:rPr>
          <w:color w:val="auto"/>
          <w:highlight w:val="none"/>
        </w:rPr>
        <w:instrText xml:space="preserve"> HYPERLINK \l "_Toc23903" </w:instrText>
      </w:r>
      <w:r>
        <w:rPr>
          <w:color w:val="auto"/>
          <w:highlight w:val="none"/>
        </w:rPr>
        <w:fldChar w:fldCharType="separate"/>
      </w:r>
      <w:r>
        <w:rPr>
          <w:rFonts w:hint="eastAsia" w:ascii="宋体" w:hAnsi="宋体" w:cs="宋体"/>
          <w:b/>
          <w:bCs/>
          <w:color w:val="auto"/>
          <w:sz w:val="28"/>
          <w:szCs w:val="28"/>
          <w:highlight w:val="none"/>
        </w:rPr>
        <w:t>第二章</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供应商须知</w:t>
      </w:r>
      <w:r>
        <w:rPr>
          <w:rFonts w:ascii="宋体" w:cs="宋体"/>
          <w:b/>
          <w:bCs/>
          <w:color w:val="auto"/>
          <w:sz w:val="28"/>
          <w:szCs w:val="28"/>
          <w:highlight w:val="none"/>
        </w:rPr>
        <w:tab/>
      </w: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PAGEREF _Toc23903 \h </w:instrText>
      </w:r>
      <w:r>
        <w:rPr>
          <w:rFonts w:ascii="宋体" w:hAnsi="宋体" w:cs="宋体"/>
          <w:b/>
          <w:bCs/>
          <w:color w:val="auto"/>
          <w:sz w:val="28"/>
          <w:szCs w:val="28"/>
          <w:highlight w:val="none"/>
        </w:rPr>
        <w:fldChar w:fldCharType="separate"/>
      </w:r>
      <w:r>
        <w:rPr>
          <w:rFonts w:ascii="宋体" w:hAnsi="宋体" w:cs="宋体"/>
          <w:b/>
          <w:bCs/>
          <w:color w:val="auto"/>
          <w:sz w:val="28"/>
          <w:szCs w:val="28"/>
          <w:highlight w:val="none"/>
        </w:rPr>
        <w:t>5</w:t>
      </w:r>
      <w:r>
        <w:rPr>
          <w:rFonts w:ascii="宋体" w:hAnsi="宋体" w:cs="宋体"/>
          <w:b/>
          <w:bCs/>
          <w:color w:val="auto"/>
          <w:sz w:val="28"/>
          <w:szCs w:val="28"/>
          <w:highlight w:val="none"/>
        </w:rPr>
        <w:fldChar w:fldCharType="end"/>
      </w:r>
      <w:r>
        <w:rPr>
          <w:rFonts w:ascii="宋体" w:hAnsi="宋体" w:cs="宋体"/>
          <w:b/>
          <w:bCs/>
          <w:color w:val="auto"/>
          <w:sz w:val="28"/>
          <w:szCs w:val="28"/>
          <w:highlight w:val="none"/>
        </w:rPr>
        <w:fldChar w:fldCharType="end"/>
      </w:r>
    </w:p>
    <w:p w14:paraId="245281EA">
      <w:pPr>
        <w:pStyle w:val="24"/>
        <w:tabs>
          <w:tab w:val="right" w:leader="dot" w:pos="8879"/>
        </w:tabs>
        <w:rPr>
          <w:rFonts w:ascii="宋体" w:cs="宋体"/>
          <w:b/>
          <w:bCs/>
          <w:color w:val="auto"/>
          <w:sz w:val="28"/>
          <w:szCs w:val="28"/>
          <w:highlight w:val="none"/>
        </w:rPr>
      </w:pPr>
      <w:r>
        <w:rPr>
          <w:color w:val="auto"/>
          <w:highlight w:val="none"/>
        </w:rPr>
        <w:fldChar w:fldCharType="begin"/>
      </w:r>
      <w:r>
        <w:rPr>
          <w:color w:val="auto"/>
          <w:highlight w:val="none"/>
        </w:rPr>
        <w:instrText xml:space="preserve"> HYPERLINK \l "_Toc8379" </w:instrText>
      </w:r>
      <w:r>
        <w:rPr>
          <w:color w:val="auto"/>
          <w:highlight w:val="none"/>
        </w:rPr>
        <w:fldChar w:fldCharType="separate"/>
      </w:r>
      <w:r>
        <w:rPr>
          <w:rFonts w:hint="eastAsia" w:ascii="宋体" w:hAnsi="宋体" w:cs="宋体"/>
          <w:b/>
          <w:bCs/>
          <w:color w:val="auto"/>
          <w:sz w:val="28"/>
          <w:szCs w:val="28"/>
          <w:highlight w:val="none"/>
        </w:rPr>
        <w:t>第三章</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采购需求</w:t>
      </w:r>
      <w:r>
        <w:rPr>
          <w:rFonts w:ascii="宋体" w:cs="宋体"/>
          <w:b/>
          <w:bCs/>
          <w:color w:val="auto"/>
          <w:sz w:val="28"/>
          <w:szCs w:val="28"/>
          <w:highlight w:val="none"/>
        </w:rPr>
        <w:tab/>
      </w: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PAGEREF _Toc8379 \h </w:instrText>
      </w:r>
      <w:r>
        <w:rPr>
          <w:rFonts w:ascii="宋体" w:hAnsi="宋体" w:cs="宋体"/>
          <w:b/>
          <w:bCs/>
          <w:color w:val="auto"/>
          <w:sz w:val="28"/>
          <w:szCs w:val="28"/>
          <w:highlight w:val="none"/>
        </w:rPr>
        <w:fldChar w:fldCharType="separate"/>
      </w:r>
      <w:r>
        <w:rPr>
          <w:rFonts w:ascii="宋体" w:hAnsi="宋体" w:cs="宋体"/>
          <w:b/>
          <w:bCs/>
          <w:color w:val="auto"/>
          <w:sz w:val="28"/>
          <w:szCs w:val="28"/>
          <w:highlight w:val="none"/>
        </w:rPr>
        <w:t>21</w:t>
      </w:r>
      <w:r>
        <w:rPr>
          <w:rFonts w:ascii="宋体" w:hAnsi="宋体" w:cs="宋体"/>
          <w:b/>
          <w:bCs/>
          <w:color w:val="auto"/>
          <w:sz w:val="28"/>
          <w:szCs w:val="28"/>
          <w:highlight w:val="none"/>
        </w:rPr>
        <w:fldChar w:fldCharType="end"/>
      </w:r>
      <w:r>
        <w:rPr>
          <w:rFonts w:ascii="宋体" w:hAnsi="宋体" w:cs="宋体"/>
          <w:b/>
          <w:bCs/>
          <w:color w:val="auto"/>
          <w:sz w:val="28"/>
          <w:szCs w:val="28"/>
          <w:highlight w:val="none"/>
        </w:rPr>
        <w:fldChar w:fldCharType="end"/>
      </w:r>
    </w:p>
    <w:p w14:paraId="700180F8">
      <w:pPr>
        <w:pStyle w:val="24"/>
        <w:tabs>
          <w:tab w:val="right" w:leader="dot" w:pos="8879"/>
        </w:tabs>
        <w:rPr>
          <w:rFonts w:ascii="宋体" w:cs="宋体"/>
          <w:b/>
          <w:bCs/>
          <w:color w:val="auto"/>
          <w:sz w:val="28"/>
          <w:szCs w:val="28"/>
          <w:highlight w:val="none"/>
        </w:rPr>
      </w:pPr>
      <w:r>
        <w:rPr>
          <w:color w:val="auto"/>
          <w:highlight w:val="none"/>
        </w:rPr>
        <w:fldChar w:fldCharType="begin"/>
      </w:r>
      <w:r>
        <w:rPr>
          <w:color w:val="auto"/>
          <w:highlight w:val="none"/>
        </w:rPr>
        <w:instrText xml:space="preserve"> HYPERLINK \l "_Toc9102" </w:instrText>
      </w:r>
      <w:r>
        <w:rPr>
          <w:color w:val="auto"/>
          <w:highlight w:val="none"/>
        </w:rPr>
        <w:fldChar w:fldCharType="separate"/>
      </w:r>
      <w:r>
        <w:rPr>
          <w:rFonts w:hint="eastAsia" w:ascii="宋体" w:hAnsi="宋体" w:cs="宋体"/>
          <w:b/>
          <w:bCs/>
          <w:color w:val="auto"/>
          <w:sz w:val="28"/>
          <w:szCs w:val="28"/>
          <w:highlight w:val="none"/>
        </w:rPr>
        <w:t>第四章</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评审程序、评审方法和评审标准</w:t>
      </w:r>
      <w:r>
        <w:rPr>
          <w:rFonts w:ascii="宋体" w:cs="宋体"/>
          <w:b/>
          <w:bCs/>
          <w:color w:val="auto"/>
          <w:sz w:val="28"/>
          <w:szCs w:val="28"/>
          <w:highlight w:val="none"/>
        </w:rPr>
        <w:tab/>
      </w: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PAGEREF _Toc9102 \h </w:instrText>
      </w:r>
      <w:r>
        <w:rPr>
          <w:rFonts w:ascii="宋体" w:hAnsi="宋体" w:cs="宋体"/>
          <w:b/>
          <w:bCs/>
          <w:color w:val="auto"/>
          <w:sz w:val="28"/>
          <w:szCs w:val="28"/>
          <w:highlight w:val="none"/>
        </w:rPr>
        <w:fldChar w:fldCharType="separate"/>
      </w:r>
      <w:r>
        <w:rPr>
          <w:rFonts w:ascii="宋体" w:hAnsi="宋体" w:cs="宋体"/>
          <w:b/>
          <w:bCs/>
          <w:color w:val="auto"/>
          <w:sz w:val="28"/>
          <w:szCs w:val="28"/>
          <w:highlight w:val="none"/>
        </w:rPr>
        <w:t>27</w:t>
      </w:r>
      <w:r>
        <w:rPr>
          <w:rFonts w:ascii="宋体" w:hAnsi="宋体" w:cs="宋体"/>
          <w:b/>
          <w:bCs/>
          <w:color w:val="auto"/>
          <w:sz w:val="28"/>
          <w:szCs w:val="28"/>
          <w:highlight w:val="none"/>
        </w:rPr>
        <w:fldChar w:fldCharType="end"/>
      </w:r>
      <w:r>
        <w:rPr>
          <w:rFonts w:ascii="宋体" w:hAnsi="宋体" w:cs="宋体"/>
          <w:b/>
          <w:bCs/>
          <w:color w:val="auto"/>
          <w:sz w:val="28"/>
          <w:szCs w:val="28"/>
          <w:highlight w:val="none"/>
        </w:rPr>
        <w:fldChar w:fldCharType="end"/>
      </w:r>
    </w:p>
    <w:p w14:paraId="5374F967">
      <w:pPr>
        <w:pStyle w:val="24"/>
        <w:tabs>
          <w:tab w:val="right" w:leader="dot" w:pos="8879"/>
        </w:tabs>
        <w:rPr>
          <w:rFonts w:ascii="宋体" w:cs="宋体"/>
          <w:b/>
          <w:bCs/>
          <w:color w:val="auto"/>
          <w:sz w:val="28"/>
          <w:szCs w:val="28"/>
          <w:highlight w:val="none"/>
        </w:rPr>
      </w:pPr>
      <w:r>
        <w:rPr>
          <w:color w:val="auto"/>
          <w:highlight w:val="none"/>
        </w:rPr>
        <w:fldChar w:fldCharType="begin"/>
      </w:r>
      <w:r>
        <w:rPr>
          <w:color w:val="auto"/>
          <w:highlight w:val="none"/>
        </w:rPr>
        <w:instrText xml:space="preserve"> HYPERLINK \l "_Toc22926" </w:instrText>
      </w:r>
      <w:r>
        <w:rPr>
          <w:color w:val="auto"/>
          <w:highlight w:val="none"/>
        </w:rPr>
        <w:fldChar w:fldCharType="separate"/>
      </w:r>
      <w:r>
        <w:rPr>
          <w:rFonts w:hint="eastAsia" w:ascii="宋体" w:hAnsi="宋体" w:cs="宋体"/>
          <w:b/>
          <w:bCs/>
          <w:color w:val="auto"/>
          <w:sz w:val="28"/>
          <w:szCs w:val="28"/>
          <w:highlight w:val="none"/>
        </w:rPr>
        <w:t>第五章</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响应文件格式</w:t>
      </w:r>
      <w:r>
        <w:rPr>
          <w:rFonts w:ascii="宋体" w:cs="宋体"/>
          <w:b/>
          <w:bCs/>
          <w:color w:val="auto"/>
          <w:sz w:val="28"/>
          <w:szCs w:val="28"/>
          <w:highlight w:val="none"/>
        </w:rPr>
        <w:tab/>
      </w: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PAGEREF _Toc22926 \h </w:instrText>
      </w:r>
      <w:r>
        <w:rPr>
          <w:rFonts w:ascii="宋体" w:hAnsi="宋体" w:cs="宋体"/>
          <w:b/>
          <w:bCs/>
          <w:color w:val="auto"/>
          <w:sz w:val="28"/>
          <w:szCs w:val="28"/>
          <w:highlight w:val="none"/>
        </w:rPr>
        <w:fldChar w:fldCharType="separate"/>
      </w:r>
      <w:r>
        <w:rPr>
          <w:rFonts w:ascii="宋体" w:hAnsi="宋体" w:cs="宋体"/>
          <w:b/>
          <w:bCs/>
          <w:color w:val="auto"/>
          <w:sz w:val="28"/>
          <w:szCs w:val="28"/>
          <w:highlight w:val="none"/>
        </w:rPr>
        <w:t>38</w:t>
      </w:r>
      <w:r>
        <w:rPr>
          <w:rFonts w:ascii="宋体" w:hAnsi="宋体" w:cs="宋体"/>
          <w:b/>
          <w:bCs/>
          <w:color w:val="auto"/>
          <w:sz w:val="28"/>
          <w:szCs w:val="28"/>
          <w:highlight w:val="none"/>
        </w:rPr>
        <w:fldChar w:fldCharType="end"/>
      </w:r>
      <w:r>
        <w:rPr>
          <w:rFonts w:ascii="宋体" w:hAnsi="宋体" w:cs="宋体"/>
          <w:b/>
          <w:bCs/>
          <w:color w:val="auto"/>
          <w:sz w:val="28"/>
          <w:szCs w:val="28"/>
          <w:highlight w:val="none"/>
        </w:rPr>
        <w:fldChar w:fldCharType="end"/>
      </w:r>
    </w:p>
    <w:p w14:paraId="70469717">
      <w:pPr>
        <w:pStyle w:val="24"/>
        <w:tabs>
          <w:tab w:val="right" w:leader="dot" w:pos="8879"/>
        </w:tabs>
        <w:rPr>
          <w:color w:val="auto"/>
          <w:highlight w:val="none"/>
        </w:rPr>
      </w:pPr>
      <w:r>
        <w:rPr>
          <w:color w:val="auto"/>
          <w:highlight w:val="none"/>
        </w:rPr>
        <w:fldChar w:fldCharType="begin"/>
      </w:r>
      <w:r>
        <w:rPr>
          <w:color w:val="auto"/>
          <w:highlight w:val="none"/>
        </w:rPr>
        <w:instrText xml:space="preserve"> HYPERLINK \l "_Toc19603" </w:instrText>
      </w:r>
      <w:r>
        <w:rPr>
          <w:color w:val="auto"/>
          <w:highlight w:val="none"/>
        </w:rPr>
        <w:fldChar w:fldCharType="separate"/>
      </w:r>
      <w:r>
        <w:rPr>
          <w:rFonts w:hint="eastAsia" w:ascii="宋体" w:hAnsi="宋体" w:cs="宋体"/>
          <w:b/>
          <w:bCs/>
          <w:color w:val="auto"/>
          <w:sz w:val="28"/>
          <w:szCs w:val="28"/>
          <w:highlight w:val="none"/>
        </w:rPr>
        <w:t>第六章</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合同文本</w:t>
      </w:r>
      <w:r>
        <w:rPr>
          <w:rFonts w:ascii="宋体" w:cs="宋体"/>
          <w:b/>
          <w:bCs/>
          <w:color w:val="auto"/>
          <w:sz w:val="28"/>
          <w:szCs w:val="28"/>
          <w:highlight w:val="none"/>
        </w:rPr>
        <w:tab/>
      </w: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PAGEREF _Toc19603 \h </w:instrText>
      </w:r>
      <w:r>
        <w:rPr>
          <w:rFonts w:ascii="宋体" w:hAnsi="宋体" w:cs="宋体"/>
          <w:b/>
          <w:bCs/>
          <w:color w:val="auto"/>
          <w:sz w:val="28"/>
          <w:szCs w:val="28"/>
          <w:highlight w:val="none"/>
        </w:rPr>
        <w:fldChar w:fldCharType="separate"/>
      </w:r>
      <w:r>
        <w:rPr>
          <w:rFonts w:ascii="宋体" w:hAnsi="宋体" w:cs="宋体"/>
          <w:b/>
          <w:bCs/>
          <w:color w:val="auto"/>
          <w:sz w:val="28"/>
          <w:szCs w:val="28"/>
          <w:highlight w:val="none"/>
        </w:rPr>
        <w:t>61</w:t>
      </w:r>
      <w:r>
        <w:rPr>
          <w:rFonts w:ascii="宋体" w:hAnsi="宋体" w:cs="宋体"/>
          <w:b/>
          <w:bCs/>
          <w:color w:val="auto"/>
          <w:sz w:val="28"/>
          <w:szCs w:val="28"/>
          <w:highlight w:val="none"/>
        </w:rPr>
        <w:fldChar w:fldCharType="end"/>
      </w:r>
      <w:r>
        <w:rPr>
          <w:rFonts w:ascii="宋体" w:hAnsi="宋体" w:cs="宋体"/>
          <w:b/>
          <w:bCs/>
          <w:color w:val="auto"/>
          <w:sz w:val="28"/>
          <w:szCs w:val="28"/>
          <w:highlight w:val="none"/>
        </w:rPr>
        <w:fldChar w:fldCharType="end"/>
      </w:r>
    </w:p>
    <w:p w14:paraId="18517579">
      <w:pPr>
        <w:pStyle w:val="26"/>
        <w:tabs>
          <w:tab w:val="right" w:leader="dot" w:pos="8931"/>
          <w:tab w:val="clear" w:pos="8296"/>
        </w:tabs>
        <w:snapToGrid w:val="0"/>
        <w:spacing w:line="500" w:lineRule="atLeast"/>
        <w:ind w:left="0" w:leftChars="0"/>
        <w:rPr>
          <w:rFonts w:ascii="宋体" w:cs="宋体"/>
          <w:b/>
          <w:color w:val="auto"/>
          <w:sz w:val="24"/>
          <w:highlight w:val="none"/>
        </w:rPr>
      </w:pPr>
      <w:r>
        <w:rPr>
          <w:rFonts w:ascii="宋体" w:hAnsi="宋体" w:cs="宋体"/>
          <w:b/>
          <w:color w:val="auto"/>
          <w:sz w:val="24"/>
          <w:highlight w:val="none"/>
        </w:rPr>
        <w:fldChar w:fldCharType="end"/>
      </w:r>
    </w:p>
    <w:p w14:paraId="02B5F08F">
      <w:pPr>
        <w:spacing w:line="400" w:lineRule="exact"/>
        <w:jc w:val="left"/>
        <w:rPr>
          <w:rFonts w:ascii="宋体" w:cs="宋体"/>
          <w:b/>
          <w:color w:val="auto"/>
          <w:sz w:val="32"/>
          <w:szCs w:val="32"/>
          <w:highlight w:val="none"/>
        </w:rPr>
      </w:pPr>
    </w:p>
    <w:p w14:paraId="79F6B99C">
      <w:pPr>
        <w:spacing w:line="400" w:lineRule="exact"/>
        <w:jc w:val="center"/>
        <w:rPr>
          <w:rFonts w:ascii="宋体" w:cs="宋体"/>
          <w:b/>
          <w:color w:val="auto"/>
          <w:sz w:val="32"/>
          <w:szCs w:val="32"/>
          <w:highlight w:val="none"/>
        </w:rPr>
      </w:pPr>
    </w:p>
    <w:p w14:paraId="53ECBD73">
      <w:pPr>
        <w:spacing w:line="400" w:lineRule="exact"/>
        <w:jc w:val="center"/>
        <w:rPr>
          <w:rFonts w:ascii="宋体" w:cs="宋体"/>
          <w:b/>
          <w:color w:val="auto"/>
          <w:sz w:val="32"/>
          <w:szCs w:val="32"/>
          <w:highlight w:val="none"/>
        </w:rPr>
      </w:pPr>
    </w:p>
    <w:p w14:paraId="17D9A644">
      <w:pPr>
        <w:spacing w:line="400" w:lineRule="exact"/>
        <w:jc w:val="center"/>
        <w:rPr>
          <w:rFonts w:ascii="宋体" w:cs="宋体"/>
          <w:b/>
          <w:color w:val="auto"/>
          <w:sz w:val="32"/>
          <w:szCs w:val="32"/>
          <w:highlight w:val="none"/>
        </w:rPr>
      </w:pPr>
      <w:bookmarkStart w:id="192" w:name="_GoBack"/>
      <w:bookmarkEnd w:id="192"/>
    </w:p>
    <w:p w14:paraId="43D47C4C">
      <w:pPr>
        <w:spacing w:line="400" w:lineRule="exact"/>
        <w:rPr>
          <w:rFonts w:ascii="宋体" w:cs="宋体"/>
          <w:b/>
          <w:color w:val="auto"/>
          <w:sz w:val="32"/>
          <w:szCs w:val="32"/>
          <w:highlight w:val="none"/>
        </w:rPr>
      </w:pPr>
    </w:p>
    <w:p w14:paraId="43FB7931">
      <w:pPr>
        <w:rPr>
          <w:color w:val="auto"/>
          <w:highlight w:val="none"/>
        </w:rPr>
      </w:pPr>
    </w:p>
    <w:p w14:paraId="018BC4B9">
      <w:pPr>
        <w:rPr>
          <w:color w:val="auto"/>
          <w:highlight w:val="none"/>
        </w:rPr>
      </w:pPr>
    </w:p>
    <w:p w14:paraId="3D3D8750">
      <w:pPr>
        <w:rPr>
          <w:color w:val="auto"/>
          <w:highlight w:val="none"/>
        </w:rPr>
      </w:pPr>
    </w:p>
    <w:p w14:paraId="73717CA6">
      <w:pPr>
        <w:rPr>
          <w:color w:val="auto"/>
          <w:highlight w:val="none"/>
        </w:rPr>
      </w:pPr>
    </w:p>
    <w:p w14:paraId="200F86AC">
      <w:pPr>
        <w:rPr>
          <w:color w:val="auto"/>
          <w:highlight w:val="none"/>
        </w:rPr>
      </w:pPr>
    </w:p>
    <w:p w14:paraId="2055BBD6">
      <w:pPr>
        <w:rPr>
          <w:color w:val="auto"/>
          <w:highlight w:val="none"/>
        </w:rPr>
      </w:pPr>
    </w:p>
    <w:p w14:paraId="5DDCBFE5">
      <w:pPr>
        <w:rPr>
          <w:color w:val="auto"/>
          <w:highlight w:val="none"/>
        </w:rPr>
      </w:pPr>
    </w:p>
    <w:p w14:paraId="04A2FC09">
      <w:pPr>
        <w:rPr>
          <w:color w:val="auto"/>
          <w:highlight w:val="none"/>
        </w:rPr>
      </w:pPr>
    </w:p>
    <w:p w14:paraId="7E518CCF">
      <w:pPr>
        <w:rPr>
          <w:color w:val="auto"/>
          <w:highlight w:val="none"/>
        </w:rPr>
      </w:pPr>
    </w:p>
    <w:p w14:paraId="5A7EEA7B">
      <w:pPr>
        <w:rPr>
          <w:color w:val="auto"/>
          <w:highlight w:val="none"/>
        </w:rPr>
      </w:pPr>
    </w:p>
    <w:p w14:paraId="6B3573DC">
      <w:pPr>
        <w:rPr>
          <w:color w:val="auto"/>
          <w:highlight w:val="none"/>
        </w:rPr>
      </w:pPr>
    </w:p>
    <w:p w14:paraId="198527BD">
      <w:pPr>
        <w:rPr>
          <w:color w:val="auto"/>
          <w:highlight w:val="none"/>
        </w:rPr>
      </w:pPr>
    </w:p>
    <w:p w14:paraId="11A140DB">
      <w:pPr>
        <w:rPr>
          <w:color w:val="auto"/>
          <w:highlight w:val="none"/>
        </w:rPr>
      </w:pPr>
    </w:p>
    <w:p w14:paraId="6966DAAE">
      <w:pPr>
        <w:rPr>
          <w:color w:val="auto"/>
          <w:highlight w:val="none"/>
        </w:rPr>
      </w:pPr>
    </w:p>
    <w:p w14:paraId="32099251">
      <w:pPr>
        <w:rPr>
          <w:color w:val="auto"/>
          <w:highlight w:val="none"/>
        </w:rPr>
      </w:pPr>
    </w:p>
    <w:p w14:paraId="2C4B292F">
      <w:pPr>
        <w:rPr>
          <w:color w:val="auto"/>
          <w:highlight w:val="none"/>
        </w:rPr>
      </w:pPr>
    </w:p>
    <w:p w14:paraId="088ED858">
      <w:pPr>
        <w:rPr>
          <w:color w:val="auto"/>
          <w:highlight w:val="none"/>
        </w:rPr>
      </w:pPr>
    </w:p>
    <w:p w14:paraId="62D4DCD0">
      <w:pPr>
        <w:rPr>
          <w:color w:val="auto"/>
          <w:highlight w:val="none"/>
        </w:rPr>
      </w:pPr>
    </w:p>
    <w:p w14:paraId="23EE3B78">
      <w:pPr>
        <w:rPr>
          <w:color w:val="auto"/>
          <w:highlight w:val="none"/>
        </w:rPr>
      </w:pPr>
    </w:p>
    <w:p w14:paraId="638DF4E1">
      <w:pPr>
        <w:tabs>
          <w:tab w:val="center" w:pos="4439"/>
        </w:tabs>
        <w:jc w:val="left"/>
        <w:rPr>
          <w:color w:val="auto"/>
          <w:highlight w:val="none"/>
        </w:rPr>
        <w:sectPr>
          <w:footerReference r:id="rId10" w:type="first"/>
          <w:footerReference r:id="rId9" w:type="default"/>
          <w:pgSz w:w="11906" w:h="16838"/>
          <w:pgMar w:top="1440" w:right="1440" w:bottom="1440" w:left="1587" w:header="851" w:footer="992" w:gutter="0"/>
          <w:pgNumType w:start="0"/>
          <w:cols w:space="720" w:num="1"/>
          <w:titlePg/>
          <w:docGrid w:type="lines" w:linePitch="312" w:charSpace="0"/>
        </w:sectPr>
      </w:pPr>
      <w:r>
        <w:rPr>
          <w:color w:val="auto"/>
          <w:highlight w:val="none"/>
        </w:rPr>
        <w:tab/>
      </w:r>
    </w:p>
    <w:p w14:paraId="0F4C6546">
      <w:pPr>
        <w:pStyle w:val="3"/>
        <w:rPr>
          <w:rFonts w:ascii="宋体" w:cs="宋体"/>
          <w:color w:val="auto"/>
          <w:sz w:val="32"/>
          <w:szCs w:val="32"/>
          <w:highlight w:val="none"/>
        </w:rPr>
      </w:pPr>
      <w:bookmarkStart w:id="0" w:name="_Toc24302"/>
      <w:bookmarkStart w:id="1" w:name="_Toc24200"/>
      <w:r>
        <w:rPr>
          <w:rFonts w:hint="eastAsia"/>
          <w:color w:val="auto"/>
          <w:highlight w:val="none"/>
        </w:rPr>
        <w:t>第一章</w:t>
      </w:r>
      <w:r>
        <w:rPr>
          <w:color w:val="auto"/>
          <w:highlight w:val="none"/>
        </w:rPr>
        <w:t xml:space="preserve"> </w:t>
      </w:r>
      <w:r>
        <w:rPr>
          <w:rFonts w:hint="eastAsia"/>
          <w:color w:val="auto"/>
          <w:highlight w:val="none"/>
        </w:rPr>
        <w:t>竞争性磋商公告</w:t>
      </w:r>
      <w:bookmarkEnd w:id="0"/>
      <w:bookmarkEnd w:id="1"/>
    </w:p>
    <w:p w14:paraId="31740CA6">
      <w:pPr>
        <w:pStyle w:val="19"/>
        <w:jc w:val="center"/>
        <w:rPr>
          <w:rFonts w:hAnsi="宋体" w:cs="宋体"/>
          <w:b/>
          <w:color w:val="auto"/>
          <w:sz w:val="30"/>
          <w:szCs w:val="30"/>
          <w:highlight w:val="none"/>
        </w:rPr>
      </w:pPr>
      <w:r>
        <w:rPr>
          <w:rFonts w:hint="eastAsia" w:hAnsi="宋体" w:cs="宋体"/>
          <w:b/>
          <w:color w:val="auto"/>
          <w:sz w:val="30"/>
          <w:szCs w:val="30"/>
          <w:highlight w:val="none"/>
        </w:rPr>
        <w:t>广西国泰招标咨询有限公司关于</w:t>
      </w:r>
    </w:p>
    <w:p w14:paraId="7236E3AA">
      <w:pPr>
        <w:pStyle w:val="19"/>
        <w:jc w:val="center"/>
        <w:rPr>
          <w:rFonts w:hAnsi="宋体" w:cs="宋体"/>
          <w:b/>
          <w:color w:val="auto"/>
          <w:sz w:val="30"/>
          <w:szCs w:val="30"/>
          <w:highlight w:val="none"/>
        </w:rPr>
      </w:pPr>
      <w:r>
        <w:rPr>
          <w:rFonts w:hint="eastAsia" w:hAnsi="宋体" w:cs="宋体"/>
          <w:b/>
          <w:color w:val="auto"/>
          <w:sz w:val="30"/>
          <w:szCs w:val="30"/>
          <w:highlight w:val="none"/>
        </w:rPr>
        <w:t>广西农情固定观察点数据采集运营和广西三农摄影比赛暨采风活动项目（GXZC2025-C3-001212-GTZB）</w:t>
      </w:r>
    </w:p>
    <w:p w14:paraId="57601588">
      <w:pPr>
        <w:pStyle w:val="19"/>
        <w:jc w:val="center"/>
        <w:rPr>
          <w:rFonts w:hAnsi="宋体" w:cs="宋体"/>
          <w:b/>
          <w:color w:val="auto"/>
          <w:sz w:val="30"/>
          <w:szCs w:val="30"/>
          <w:highlight w:val="none"/>
        </w:rPr>
      </w:pPr>
      <w:r>
        <w:rPr>
          <w:rFonts w:hint="eastAsia" w:hAnsi="宋体" w:cs="宋体"/>
          <w:b/>
          <w:color w:val="auto"/>
          <w:sz w:val="30"/>
          <w:szCs w:val="30"/>
          <w:highlight w:val="none"/>
        </w:rPr>
        <w:t>竞争性磋商公告</w:t>
      </w:r>
    </w:p>
    <w:p w14:paraId="52ECB37F">
      <w:pPr>
        <w:spacing w:line="360" w:lineRule="auto"/>
        <w:jc w:val="center"/>
        <w:rPr>
          <w:rFonts w:ascii="宋体" w:cs="宋体"/>
          <w:color w:val="auto"/>
          <w:szCs w:val="21"/>
          <w:highlight w:val="none"/>
        </w:rPr>
      </w:pPr>
    </w:p>
    <w:p w14:paraId="10393E4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cs="宋体"/>
          <w:color w:val="auto"/>
          <w:szCs w:val="21"/>
          <w:highlight w:val="none"/>
        </w:rPr>
      </w:pPr>
      <w:bookmarkStart w:id="2" w:name="_Hlk37430271"/>
      <w:r>
        <w:rPr>
          <w:rFonts w:hint="eastAsia" w:ascii="宋体" w:hAnsi="宋体" w:cs="宋体"/>
          <w:color w:val="auto"/>
          <w:szCs w:val="21"/>
          <w:highlight w:val="none"/>
        </w:rPr>
        <w:t>项目概况</w:t>
      </w:r>
    </w:p>
    <w:p w14:paraId="46872D9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广西农情固定观察点数据采集运营和广西三农摄影比赛暨采风活动项目采购项目的潜在供应商应在广西政府采购云平台（</w:t>
      </w:r>
      <w:r>
        <w:rPr>
          <w:rFonts w:ascii="宋体" w:hAnsi="宋体" w:cs="宋体"/>
          <w:color w:val="auto"/>
          <w:szCs w:val="21"/>
          <w:highlight w:val="none"/>
        </w:rPr>
        <w:t>https://www.gcy.zfcg.gxzf.gov.cn/</w:t>
      </w:r>
      <w:r>
        <w:rPr>
          <w:rFonts w:hint="eastAsia" w:ascii="宋体" w:hAnsi="宋体" w:cs="宋体"/>
          <w:color w:val="auto"/>
          <w:szCs w:val="21"/>
          <w:highlight w:val="none"/>
        </w:rPr>
        <w:t>）获取采购文件，并于</w:t>
      </w:r>
      <w:r>
        <w:rPr>
          <w:rFonts w:hint="eastAsia" w:ascii="宋体" w:hAnsi="宋体" w:cs="宋体"/>
          <w:color w:val="auto"/>
          <w:szCs w:val="21"/>
          <w:highlight w:val="none"/>
          <w:lang w:eastAsia="zh-CN"/>
        </w:rPr>
        <w:t>2025年6月11日</w:t>
      </w:r>
      <w:r>
        <w:rPr>
          <w:rFonts w:ascii="宋体" w:hAnsi="宋体" w:cs="宋体"/>
          <w:color w:val="auto"/>
          <w:szCs w:val="21"/>
          <w:highlight w:val="none"/>
        </w:rPr>
        <w:t>09</w:t>
      </w:r>
      <w:r>
        <w:rPr>
          <w:rFonts w:hint="eastAsia" w:ascii="宋体" w:hAnsi="宋体" w:cs="宋体"/>
          <w:color w:val="auto"/>
          <w:szCs w:val="21"/>
          <w:highlight w:val="none"/>
        </w:rPr>
        <w:t>时</w:t>
      </w:r>
      <w:r>
        <w:rPr>
          <w:rFonts w:ascii="宋体" w:cs="宋体"/>
          <w:color w:val="auto"/>
          <w:szCs w:val="21"/>
          <w:highlight w:val="none"/>
        </w:rPr>
        <w:t>00</w:t>
      </w:r>
      <w:r>
        <w:rPr>
          <w:rFonts w:hint="eastAsia" w:ascii="宋体" w:hAnsi="宋体" w:cs="宋体"/>
          <w:color w:val="auto"/>
          <w:szCs w:val="21"/>
          <w:highlight w:val="none"/>
        </w:rPr>
        <w:t>分</w:t>
      </w:r>
      <w:r>
        <w:rPr>
          <w:rFonts w:hint="eastAsia" w:ascii="宋体" w:hAnsi="宋体" w:cs="宋体"/>
          <w:bCs/>
          <w:color w:val="auto"/>
          <w:szCs w:val="21"/>
          <w:highlight w:val="none"/>
        </w:rPr>
        <w:t>（北京时间）前提交响应文件</w:t>
      </w:r>
      <w:r>
        <w:rPr>
          <w:rFonts w:hint="eastAsia" w:ascii="宋体" w:hAnsi="宋体" w:cs="宋体"/>
          <w:color w:val="auto"/>
          <w:szCs w:val="21"/>
          <w:highlight w:val="none"/>
        </w:rPr>
        <w:t>。</w:t>
      </w:r>
    </w:p>
    <w:p w14:paraId="49A9EE17">
      <w:pPr>
        <w:spacing w:line="360" w:lineRule="auto"/>
        <w:ind w:firstLine="354" w:firstLineChars="147"/>
        <w:rPr>
          <w:rFonts w:ascii="宋体" w:cs="宋体"/>
          <w:b/>
          <w:color w:val="auto"/>
          <w:sz w:val="24"/>
          <w:highlight w:val="none"/>
        </w:rPr>
      </w:pPr>
      <w:bookmarkStart w:id="3" w:name="_Toc28359089"/>
      <w:bookmarkStart w:id="4" w:name="_Toc71365905"/>
      <w:bookmarkStart w:id="5" w:name="_Toc35393798"/>
      <w:bookmarkStart w:id="6" w:name="_Toc44229878"/>
      <w:bookmarkStart w:id="7" w:name="_Toc28359012"/>
      <w:bookmarkStart w:id="8" w:name="_Toc35393629"/>
    </w:p>
    <w:bookmarkEnd w:id="3"/>
    <w:bookmarkEnd w:id="4"/>
    <w:bookmarkEnd w:id="5"/>
    <w:bookmarkEnd w:id="6"/>
    <w:bookmarkEnd w:id="7"/>
    <w:bookmarkEnd w:id="8"/>
    <w:p w14:paraId="1DD70ABE">
      <w:pPr>
        <w:spacing w:line="360" w:lineRule="auto"/>
        <w:ind w:firstLine="354" w:firstLineChars="147"/>
        <w:rPr>
          <w:rFonts w:ascii="宋体" w:cs="宋体"/>
          <w:b/>
          <w:color w:val="auto"/>
          <w:sz w:val="24"/>
          <w:highlight w:val="none"/>
        </w:rPr>
      </w:pPr>
      <w:bookmarkStart w:id="9" w:name="_Hlk37429674"/>
      <w:bookmarkStart w:id="10" w:name="_Toc28359095"/>
      <w:bookmarkStart w:id="11" w:name="_Toc35393636"/>
      <w:bookmarkStart w:id="12" w:name="_Toc28359018"/>
      <w:bookmarkStart w:id="13" w:name="_Toc44229885"/>
      <w:bookmarkStart w:id="14" w:name="_Toc35393805"/>
      <w:r>
        <w:rPr>
          <w:rFonts w:hint="eastAsia" w:ascii="宋体" w:hAnsi="宋体" w:cs="宋体"/>
          <w:b/>
          <w:color w:val="auto"/>
          <w:sz w:val="24"/>
          <w:highlight w:val="none"/>
        </w:rPr>
        <w:t>一、项目基本情况</w:t>
      </w:r>
    </w:p>
    <w:p w14:paraId="03DAC24C">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项目编号：GXZC2025-C3-001212-GTZB</w:t>
      </w:r>
    </w:p>
    <w:p w14:paraId="50D6DA3F">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项目名称：广西农情固定观察点数据采集运营和广西三农摄影比赛暨采风活动项目</w:t>
      </w:r>
    </w:p>
    <w:p w14:paraId="624C4DFC">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采购方式：竞争性磋商</w:t>
      </w:r>
    </w:p>
    <w:p w14:paraId="711A8373">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预算金额：</w:t>
      </w:r>
      <w:r>
        <w:rPr>
          <w:rFonts w:hint="eastAsia" w:ascii="宋体" w:hAnsi="宋体"/>
          <w:color w:val="auto"/>
          <w:highlight w:val="none"/>
        </w:rPr>
        <w:t>预算总金额为</w:t>
      </w:r>
      <w:r>
        <w:rPr>
          <w:rFonts w:ascii="宋体" w:hAnsi="宋体" w:cs="宋体"/>
          <w:iCs/>
          <w:color w:val="auto"/>
          <w:szCs w:val="21"/>
          <w:highlight w:val="none"/>
        </w:rPr>
        <w:t>227.00</w:t>
      </w:r>
      <w:r>
        <w:rPr>
          <w:rFonts w:hint="eastAsia" w:ascii="宋体" w:hAnsi="宋体" w:cs="宋体"/>
          <w:iCs/>
          <w:color w:val="auto"/>
          <w:szCs w:val="21"/>
          <w:highlight w:val="none"/>
        </w:rPr>
        <w:t>万元</w:t>
      </w:r>
      <w:r>
        <w:rPr>
          <w:rFonts w:hint="eastAsia" w:ascii="宋体" w:hAnsi="宋体"/>
          <w:color w:val="auto"/>
          <w:highlight w:val="none"/>
        </w:rPr>
        <w:t>，其中：</w:t>
      </w:r>
      <w:r>
        <w:rPr>
          <w:rFonts w:hint="eastAsia" w:ascii="宋体" w:hAnsi="宋体"/>
          <w:color w:val="auto"/>
          <w:szCs w:val="21"/>
          <w:highlight w:val="none"/>
        </w:rPr>
        <w:t>分标</w:t>
      </w:r>
      <w:r>
        <w:rPr>
          <w:rFonts w:ascii="宋体" w:hAnsi="宋体"/>
          <w:color w:val="auto"/>
          <w:szCs w:val="21"/>
          <w:highlight w:val="none"/>
        </w:rPr>
        <w:t>1</w:t>
      </w:r>
      <w:r>
        <w:rPr>
          <w:rFonts w:hint="eastAsia" w:ascii="宋体" w:hAnsi="宋体"/>
          <w:color w:val="auto"/>
          <w:szCs w:val="21"/>
          <w:highlight w:val="none"/>
        </w:rPr>
        <w:t>为</w:t>
      </w:r>
      <w:r>
        <w:rPr>
          <w:rFonts w:ascii="宋体" w:hAnsi="宋体"/>
          <w:color w:val="auto"/>
          <w:szCs w:val="21"/>
          <w:highlight w:val="none"/>
        </w:rPr>
        <w:t>207.00</w:t>
      </w:r>
      <w:r>
        <w:rPr>
          <w:rFonts w:hint="eastAsia" w:ascii="宋体" w:hAnsi="宋体"/>
          <w:color w:val="auto"/>
          <w:szCs w:val="21"/>
          <w:highlight w:val="none"/>
        </w:rPr>
        <w:t>万元；分标</w:t>
      </w:r>
      <w:r>
        <w:rPr>
          <w:rFonts w:ascii="宋体" w:hAnsi="宋体"/>
          <w:color w:val="auto"/>
          <w:szCs w:val="21"/>
          <w:highlight w:val="none"/>
        </w:rPr>
        <w:t>2</w:t>
      </w:r>
      <w:r>
        <w:rPr>
          <w:rFonts w:hint="eastAsia" w:ascii="宋体" w:hAnsi="宋体"/>
          <w:color w:val="auto"/>
          <w:szCs w:val="21"/>
          <w:highlight w:val="none"/>
        </w:rPr>
        <w:t>为</w:t>
      </w:r>
      <w:r>
        <w:rPr>
          <w:rFonts w:ascii="宋体" w:hAnsi="宋体"/>
          <w:color w:val="auto"/>
          <w:szCs w:val="21"/>
          <w:highlight w:val="none"/>
        </w:rPr>
        <w:t>20.00</w:t>
      </w:r>
      <w:r>
        <w:rPr>
          <w:rFonts w:hint="eastAsia" w:ascii="宋体" w:hAnsi="宋体"/>
          <w:color w:val="auto"/>
          <w:szCs w:val="21"/>
          <w:highlight w:val="none"/>
        </w:rPr>
        <w:t>万元。</w:t>
      </w:r>
    </w:p>
    <w:p w14:paraId="7349E80C">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最高限价（如有）：</w:t>
      </w:r>
      <w:r>
        <w:rPr>
          <w:rFonts w:hint="eastAsia" w:ascii="宋体" w:hAnsi="宋体"/>
          <w:color w:val="auto"/>
          <w:szCs w:val="21"/>
          <w:highlight w:val="none"/>
        </w:rPr>
        <w:t>分标</w:t>
      </w:r>
      <w:r>
        <w:rPr>
          <w:rFonts w:ascii="宋体" w:hAnsi="宋体"/>
          <w:color w:val="auto"/>
          <w:szCs w:val="21"/>
          <w:highlight w:val="none"/>
        </w:rPr>
        <w:t>1</w:t>
      </w:r>
      <w:r>
        <w:rPr>
          <w:rFonts w:hint="eastAsia" w:ascii="宋体" w:hAnsi="宋体"/>
          <w:color w:val="auto"/>
          <w:szCs w:val="21"/>
          <w:highlight w:val="none"/>
        </w:rPr>
        <w:t>为</w:t>
      </w:r>
      <w:r>
        <w:rPr>
          <w:rFonts w:ascii="宋体" w:hAnsi="宋体"/>
          <w:color w:val="auto"/>
          <w:szCs w:val="21"/>
          <w:highlight w:val="none"/>
        </w:rPr>
        <w:t>207.00</w:t>
      </w:r>
      <w:r>
        <w:rPr>
          <w:rFonts w:hint="eastAsia" w:ascii="宋体" w:hAnsi="宋体"/>
          <w:color w:val="auto"/>
          <w:szCs w:val="21"/>
          <w:highlight w:val="none"/>
        </w:rPr>
        <w:t>万元；分标</w:t>
      </w:r>
      <w:r>
        <w:rPr>
          <w:rFonts w:ascii="宋体" w:hAnsi="宋体"/>
          <w:color w:val="auto"/>
          <w:szCs w:val="21"/>
          <w:highlight w:val="none"/>
        </w:rPr>
        <w:t>2</w:t>
      </w:r>
      <w:r>
        <w:rPr>
          <w:rFonts w:hint="eastAsia" w:ascii="宋体" w:hAnsi="宋体"/>
          <w:color w:val="auto"/>
          <w:szCs w:val="21"/>
          <w:highlight w:val="none"/>
        </w:rPr>
        <w:t>为</w:t>
      </w:r>
      <w:r>
        <w:rPr>
          <w:rFonts w:ascii="宋体" w:hAnsi="宋体"/>
          <w:color w:val="auto"/>
          <w:szCs w:val="21"/>
          <w:highlight w:val="none"/>
        </w:rPr>
        <w:t>20.00</w:t>
      </w:r>
      <w:r>
        <w:rPr>
          <w:rFonts w:hint="eastAsia" w:ascii="宋体" w:hAnsi="宋体"/>
          <w:color w:val="auto"/>
          <w:szCs w:val="21"/>
          <w:highlight w:val="none"/>
        </w:rPr>
        <w:t>万元。</w:t>
      </w:r>
    </w:p>
    <w:p w14:paraId="5FE555AE">
      <w:pPr>
        <w:spacing w:line="360" w:lineRule="auto"/>
        <w:ind w:firstLine="422" w:firstLineChars="200"/>
        <w:rPr>
          <w:rFonts w:ascii="宋体"/>
          <w:color w:val="auto"/>
          <w:szCs w:val="21"/>
          <w:highlight w:val="none"/>
        </w:rPr>
      </w:pPr>
      <w:r>
        <w:rPr>
          <w:rFonts w:hint="eastAsia" w:ascii="宋体" w:hAnsi="宋体"/>
          <w:b/>
          <w:bCs/>
          <w:color w:val="auto"/>
          <w:szCs w:val="21"/>
          <w:highlight w:val="none"/>
        </w:rPr>
        <w:t>采购需求：</w:t>
      </w:r>
    </w:p>
    <w:tbl>
      <w:tblPr>
        <w:tblStyle w:val="32"/>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65"/>
        <w:gridCol w:w="3424"/>
        <w:gridCol w:w="5793"/>
      </w:tblGrid>
      <w:tr w14:paraId="1E0F6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5000" w:type="pct"/>
            <w:gridSpan w:val="3"/>
            <w:tcBorders>
              <w:top w:val="single" w:color="auto" w:sz="4" w:space="0"/>
              <w:bottom w:val="single" w:color="auto" w:sz="4" w:space="0"/>
            </w:tcBorders>
            <w:vAlign w:val="center"/>
          </w:tcPr>
          <w:p w14:paraId="055EC0ED">
            <w:pPr>
              <w:snapToGrid w:val="0"/>
              <w:spacing w:line="360" w:lineRule="auto"/>
              <w:rPr>
                <w:rFonts w:ascii="宋体"/>
                <w:color w:val="auto"/>
                <w:szCs w:val="21"/>
                <w:highlight w:val="none"/>
              </w:rPr>
            </w:pPr>
            <w:r>
              <w:rPr>
                <w:rFonts w:hint="eastAsia" w:ascii="宋体" w:hAnsi="宋体"/>
                <w:b/>
                <w:bCs/>
                <w:color w:val="auto"/>
                <w:szCs w:val="21"/>
                <w:highlight w:val="none"/>
              </w:rPr>
              <w:t>分标</w:t>
            </w:r>
            <w:r>
              <w:rPr>
                <w:rFonts w:ascii="宋体" w:hAnsi="宋体"/>
                <w:b/>
                <w:bCs/>
                <w:color w:val="auto"/>
                <w:szCs w:val="21"/>
                <w:highlight w:val="none"/>
              </w:rPr>
              <w:t>1</w:t>
            </w:r>
            <w:r>
              <w:rPr>
                <w:rFonts w:hint="eastAsia" w:ascii="宋体" w:hAnsi="宋体"/>
                <w:b/>
                <w:bCs/>
                <w:color w:val="auto"/>
                <w:szCs w:val="21"/>
                <w:highlight w:val="none"/>
              </w:rPr>
              <w:t>；预算金额：</w:t>
            </w:r>
            <w:r>
              <w:rPr>
                <w:rFonts w:ascii="宋体" w:hAnsi="宋体"/>
                <w:b/>
                <w:bCs/>
                <w:color w:val="auto"/>
                <w:szCs w:val="21"/>
                <w:highlight w:val="none"/>
                <w:u w:val="single"/>
              </w:rPr>
              <w:t>207.00</w:t>
            </w:r>
            <w:r>
              <w:rPr>
                <w:rFonts w:hint="eastAsia" w:ascii="宋体" w:hAnsi="宋体"/>
                <w:b/>
                <w:bCs/>
                <w:color w:val="auto"/>
                <w:szCs w:val="21"/>
                <w:highlight w:val="none"/>
                <w:u w:val="single"/>
              </w:rPr>
              <w:t>万元</w:t>
            </w:r>
            <w:r>
              <w:rPr>
                <w:rFonts w:ascii="宋体" w:hAnsi="宋体" w:cs="宋体"/>
                <w:b/>
                <w:bCs/>
                <w:color w:val="auto"/>
                <w:szCs w:val="21"/>
                <w:highlight w:val="none"/>
                <w:u w:val="single"/>
              </w:rPr>
              <w:t xml:space="preserve"> </w:t>
            </w:r>
          </w:p>
        </w:tc>
      </w:tr>
      <w:tr w14:paraId="254C5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429" w:type="pct"/>
            <w:tcBorders>
              <w:top w:val="single" w:color="auto" w:sz="4" w:space="0"/>
              <w:bottom w:val="single" w:color="auto" w:sz="4" w:space="0"/>
              <w:right w:val="single" w:color="auto" w:sz="4" w:space="0"/>
            </w:tcBorders>
            <w:vAlign w:val="center"/>
          </w:tcPr>
          <w:p w14:paraId="533C034A">
            <w:pPr>
              <w:snapToGrid w:val="0"/>
              <w:spacing w:line="360" w:lineRule="auto"/>
              <w:jc w:val="center"/>
              <w:rPr>
                <w:rFonts w:ascii="宋体"/>
                <w:color w:val="auto"/>
                <w:szCs w:val="21"/>
                <w:highlight w:val="none"/>
                <w:u w:val="single"/>
              </w:rPr>
            </w:pPr>
            <w:r>
              <w:rPr>
                <w:rFonts w:hint="eastAsia" w:ascii="宋体" w:hAnsi="宋体"/>
                <w:color w:val="auto"/>
                <w:szCs w:val="21"/>
                <w:highlight w:val="none"/>
              </w:rPr>
              <w:t>序号</w:t>
            </w:r>
          </w:p>
        </w:tc>
        <w:tc>
          <w:tcPr>
            <w:tcW w:w="1698" w:type="pct"/>
            <w:tcBorders>
              <w:top w:val="single" w:color="auto" w:sz="4" w:space="0"/>
              <w:left w:val="single" w:color="auto" w:sz="4" w:space="0"/>
              <w:bottom w:val="single" w:color="auto" w:sz="4" w:space="0"/>
              <w:right w:val="single" w:color="auto" w:sz="4" w:space="0"/>
            </w:tcBorders>
            <w:vAlign w:val="center"/>
          </w:tcPr>
          <w:p w14:paraId="56B1EBD1">
            <w:pPr>
              <w:snapToGrid w:val="0"/>
              <w:spacing w:line="360" w:lineRule="auto"/>
              <w:jc w:val="center"/>
              <w:rPr>
                <w:rFonts w:ascii="宋体"/>
                <w:color w:val="auto"/>
                <w:szCs w:val="21"/>
                <w:highlight w:val="none"/>
                <w:u w:val="single"/>
              </w:rPr>
            </w:pPr>
            <w:r>
              <w:rPr>
                <w:rFonts w:hint="eastAsia" w:ascii="宋体" w:hAnsi="宋体"/>
                <w:color w:val="auto"/>
                <w:szCs w:val="21"/>
                <w:highlight w:val="none"/>
              </w:rPr>
              <w:t>标项名称</w:t>
            </w:r>
          </w:p>
        </w:tc>
        <w:tc>
          <w:tcPr>
            <w:tcW w:w="2871" w:type="pct"/>
            <w:tcBorders>
              <w:top w:val="single" w:color="auto" w:sz="4" w:space="0"/>
              <w:left w:val="single" w:color="auto" w:sz="4" w:space="0"/>
              <w:bottom w:val="single" w:color="auto" w:sz="4" w:space="0"/>
            </w:tcBorders>
            <w:vAlign w:val="center"/>
          </w:tcPr>
          <w:p w14:paraId="1D5B6F2E">
            <w:pPr>
              <w:snapToGrid w:val="0"/>
              <w:spacing w:line="360" w:lineRule="auto"/>
              <w:jc w:val="center"/>
              <w:rPr>
                <w:rFonts w:ascii="宋体"/>
                <w:color w:val="auto"/>
                <w:szCs w:val="21"/>
                <w:highlight w:val="none"/>
                <w:u w:val="single"/>
              </w:rPr>
            </w:pPr>
            <w:r>
              <w:rPr>
                <w:rFonts w:hint="eastAsia" w:ascii="宋体" w:hAnsi="宋体"/>
                <w:color w:val="auto"/>
                <w:szCs w:val="21"/>
                <w:highlight w:val="none"/>
              </w:rPr>
              <w:t>简要规格描述或项目基本概况介绍、用途</w:t>
            </w:r>
          </w:p>
        </w:tc>
      </w:tr>
      <w:tr w14:paraId="7AD4F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429" w:type="pct"/>
            <w:tcBorders>
              <w:top w:val="single" w:color="auto" w:sz="4" w:space="0"/>
              <w:right w:val="single" w:color="auto" w:sz="4" w:space="0"/>
            </w:tcBorders>
            <w:vAlign w:val="center"/>
          </w:tcPr>
          <w:p w14:paraId="314E930E">
            <w:pPr>
              <w:snapToGrid w:val="0"/>
              <w:spacing w:line="360" w:lineRule="auto"/>
              <w:jc w:val="center"/>
              <w:rPr>
                <w:rFonts w:ascii="宋体"/>
                <w:color w:val="auto"/>
                <w:szCs w:val="21"/>
                <w:highlight w:val="none"/>
              </w:rPr>
            </w:pPr>
            <w:r>
              <w:rPr>
                <w:rFonts w:ascii="宋体" w:hAnsi="宋体"/>
                <w:color w:val="auto"/>
                <w:szCs w:val="21"/>
                <w:highlight w:val="none"/>
              </w:rPr>
              <w:t>1</w:t>
            </w:r>
          </w:p>
        </w:tc>
        <w:tc>
          <w:tcPr>
            <w:tcW w:w="1698" w:type="pct"/>
            <w:tcBorders>
              <w:top w:val="single" w:color="auto" w:sz="4" w:space="0"/>
              <w:left w:val="single" w:color="auto" w:sz="4" w:space="0"/>
              <w:bottom w:val="single" w:color="auto" w:sz="4" w:space="0"/>
              <w:right w:val="single" w:color="auto" w:sz="4" w:space="0"/>
            </w:tcBorders>
            <w:vAlign w:val="center"/>
          </w:tcPr>
          <w:p w14:paraId="1CD80879">
            <w:pPr>
              <w:autoSpaceDE w:val="0"/>
              <w:autoSpaceDN w:val="0"/>
              <w:adjustRightInd w:val="0"/>
              <w:jc w:val="center"/>
              <w:rPr>
                <w:rFonts w:ascii="宋体"/>
                <w:color w:val="auto"/>
                <w:szCs w:val="21"/>
                <w:highlight w:val="none"/>
              </w:rPr>
            </w:pPr>
            <w:bookmarkStart w:id="15" w:name="OLE_LINK2"/>
            <w:r>
              <w:rPr>
                <w:rFonts w:hint="eastAsia" w:ascii="宋体"/>
                <w:color w:val="auto"/>
                <w:szCs w:val="21"/>
                <w:highlight w:val="none"/>
              </w:rPr>
              <w:t>广西农情固定观察点数据采集运营</w:t>
            </w:r>
            <w:bookmarkEnd w:id="15"/>
          </w:p>
        </w:tc>
        <w:tc>
          <w:tcPr>
            <w:tcW w:w="2871" w:type="pct"/>
            <w:tcBorders>
              <w:top w:val="single" w:color="auto" w:sz="4" w:space="0"/>
              <w:left w:val="single" w:color="auto" w:sz="4" w:space="0"/>
            </w:tcBorders>
            <w:vAlign w:val="center"/>
          </w:tcPr>
          <w:p w14:paraId="7DA08236">
            <w:pPr>
              <w:tabs>
                <w:tab w:val="left" w:pos="180"/>
                <w:tab w:val="left" w:pos="1620"/>
              </w:tabs>
              <w:spacing w:line="360" w:lineRule="auto"/>
              <w:rPr>
                <w:rFonts w:ascii="宋体"/>
                <w:color w:val="auto"/>
                <w:szCs w:val="21"/>
                <w:highlight w:val="none"/>
              </w:rPr>
            </w:pPr>
            <w:r>
              <w:rPr>
                <w:rFonts w:hint="eastAsia" w:ascii="宋体" w:hAnsi="宋体" w:cs="宋体"/>
                <w:color w:val="auto"/>
                <w:szCs w:val="21"/>
                <w:highlight w:val="none"/>
              </w:rPr>
              <w:t>广西农情固定观察点数据采集运营1项</w:t>
            </w:r>
            <w:r>
              <w:rPr>
                <w:rFonts w:hint="eastAsia" w:ascii="宋体" w:hAnsi="宋体" w:cs="宋体"/>
                <w:color w:val="auto"/>
                <w:kern w:val="0"/>
                <w:sz w:val="22"/>
                <w:szCs w:val="21"/>
                <w:highlight w:val="none"/>
              </w:rPr>
              <w:t>；</w:t>
            </w:r>
            <w:r>
              <w:rPr>
                <w:rFonts w:hint="eastAsia" w:ascii="宋体" w:hAnsi="宋体"/>
                <w:color w:val="auto"/>
                <w:szCs w:val="21"/>
                <w:highlight w:val="none"/>
              </w:rPr>
              <w:t>详细内容详见磋商文件。</w:t>
            </w:r>
          </w:p>
        </w:tc>
      </w:tr>
      <w:tr w14:paraId="308DA8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5000" w:type="pct"/>
            <w:gridSpan w:val="3"/>
            <w:tcBorders>
              <w:top w:val="single" w:color="auto" w:sz="4" w:space="0"/>
              <w:bottom w:val="single" w:color="auto" w:sz="4" w:space="0"/>
            </w:tcBorders>
            <w:vAlign w:val="center"/>
          </w:tcPr>
          <w:p w14:paraId="5A2FAA19">
            <w:pPr>
              <w:spacing w:line="360" w:lineRule="auto"/>
              <w:rPr>
                <w:rFonts w:ascii="宋体"/>
                <w:color w:val="auto"/>
                <w:szCs w:val="21"/>
                <w:highlight w:val="none"/>
              </w:rPr>
            </w:pPr>
            <w:r>
              <w:rPr>
                <w:rFonts w:hint="eastAsia" w:ascii="宋体" w:hAnsi="宋体"/>
                <w:b/>
                <w:bCs/>
                <w:color w:val="auto"/>
                <w:szCs w:val="21"/>
                <w:highlight w:val="none"/>
              </w:rPr>
              <w:t>分标</w:t>
            </w:r>
            <w:r>
              <w:rPr>
                <w:rFonts w:ascii="宋体" w:hAnsi="宋体"/>
                <w:b/>
                <w:bCs/>
                <w:color w:val="auto"/>
                <w:szCs w:val="21"/>
                <w:highlight w:val="none"/>
              </w:rPr>
              <w:t>2</w:t>
            </w:r>
            <w:r>
              <w:rPr>
                <w:rFonts w:hint="eastAsia" w:ascii="宋体" w:hAnsi="宋体"/>
                <w:b/>
                <w:bCs/>
                <w:color w:val="auto"/>
                <w:szCs w:val="21"/>
                <w:highlight w:val="none"/>
              </w:rPr>
              <w:t>；预算金额：</w:t>
            </w:r>
            <w:r>
              <w:rPr>
                <w:rFonts w:ascii="宋体" w:hAnsi="宋体"/>
                <w:b/>
                <w:bCs/>
                <w:color w:val="auto"/>
                <w:szCs w:val="21"/>
                <w:highlight w:val="none"/>
                <w:u w:val="single"/>
              </w:rPr>
              <w:t xml:space="preserve"> 20.00</w:t>
            </w:r>
            <w:r>
              <w:rPr>
                <w:rFonts w:hint="eastAsia" w:ascii="宋体" w:hAnsi="宋体" w:cs="宋体"/>
                <w:b/>
                <w:bCs/>
                <w:color w:val="auto"/>
                <w:szCs w:val="21"/>
                <w:highlight w:val="none"/>
              </w:rPr>
              <w:t>万元</w:t>
            </w:r>
          </w:p>
        </w:tc>
      </w:tr>
      <w:tr w14:paraId="50959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429" w:type="pct"/>
            <w:tcBorders>
              <w:top w:val="single" w:color="auto" w:sz="4" w:space="0"/>
              <w:bottom w:val="single" w:color="auto" w:sz="4" w:space="0"/>
              <w:right w:val="single" w:color="auto" w:sz="4" w:space="0"/>
            </w:tcBorders>
            <w:vAlign w:val="center"/>
          </w:tcPr>
          <w:p w14:paraId="4E9032B2">
            <w:pPr>
              <w:snapToGrid w:val="0"/>
              <w:spacing w:line="360" w:lineRule="auto"/>
              <w:jc w:val="center"/>
              <w:rPr>
                <w:rFonts w:ascii="宋体"/>
                <w:color w:val="auto"/>
                <w:szCs w:val="21"/>
                <w:highlight w:val="none"/>
              </w:rPr>
            </w:pPr>
            <w:r>
              <w:rPr>
                <w:rFonts w:hint="eastAsia" w:ascii="宋体" w:hAnsi="宋体"/>
                <w:color w:val="auto"/>
                <w:szCs w:val="21"/>
                <w:highlight w:val="none"/>
              </w:rPr>
              <w:t>序号</w:t>
            </w:r>
          </w:p>
        </w:tc>
        <w:tc>
          <w:tcPr>
            <w:tcW w:w="1698" w:type="pct"/>
            <w:tcBorders>
              <w:top w:val="single" w:color="auto" w:sz="4" w:space="0"/>
              <w:left w:val="single" w:color="auto" w:sz="4" w:space="0"/>
              <w:bottom w:val="single" w:color="auto" w:sz="4" w:space="0"/>
              <w:right w:val="single" w:color="auto" w:sz="4" w:space="0"/>
            </w:tcBorders>
            <w:vAlign w:val="center"/>
          </w:tcPr>
          <w:p w14:paraId="1B081826">
            <w:pPr>
              <w:snapToGrid w:val="0"/>
              <w:spacing w:line="360" w:lineRule="auto"/>
              <w:jc w:val="center"/>
              <w:rPr>
                <w:rFonts w:ascii="宋体"/>
                <w:color w:val="auto"/>
                <w:szCs w:val="21"/>
                <w:highlight w:val="none"/>
              </w:rPr>
            </w:pPr>
            <w:r>
              <w:rPr>
                <w:rFonts w:hint="eastAsia" w:ascii="宋体" w:hAnsi="宋体"/>
                <w:color w:val="auto"/>
                <w:szCs w:val="21"/>
                <w:highlight w:val="none"/>
              </w:rPr>
              <w:t>标项名称</w:t>
            </w:r>
          </w:p>
        </w:tc>
        <w:tc>
          <w:tcPr>
            <w:tcW w:w="2871" w:type="pct"/>
            <w:tcBorders>
              <w:top w:val="single" w:color="auto" w:sz="4" w:space="0"/>
              <w:left w:val="single" w:color="auto" w:sz="4" w:space="0"/>
              <w:bottom w:val="single" w:color="auto" w:sz="4" w:space="0"/>
            </w:tcBorders>
            <w:vAlign w:val="center"/>
          </w:tcPr>
          <w:p w14:paraId="76850F31">
            <w:pPr>
              <w:snapToGrid w:val="0"/>
              <w:spacing w:line="360" w:lineRule="auto"/>
              <w:jc w:val="center"/>
              <w:rPr>
                <w:rFonts w:ascii="宋体"/>
                <w:color w:val="auto"/>
                <w:szCs w:val="21"/>
                <w:highlight w:val="none"/>
              </w:rPr>
            </w:pPr>
            <w:r>
              <w:rPr>
                <w:rFonts w:hint="eastAsia" w:ascii="宋体" w:hAnsi="宋体"/>
                <w:color w:val="auto"/>
                <w:szCs w:val="21"/>
                <w:highlight w:val="none"/>
              </w:rPr>
              <w:t>简要规格描述或项目基本概况介绍、用途</w:t>
            </w:r>
          </w:p>
        </w:tc>
      </w:tr>
      <w:tr w14:paraId="216BF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2" w:hRule="atLeast"/>
          <w:jc w:val="center"/>
        </w:trPr>
        <w:tc>
          <w:tcPr>
            <w:tcW w:w="429" w:type="pct"/>
            <w:tcBorders>
              <w:top w:val="single" w:color="auto" w:sz="4" w:space="0"/>
              <w:bottom w:val="single" w:color="auto" w:sz="4" w:space="0"/>
              <w:right w:val="single" w:color="auto" w:sz="4" w:space="0"/>
            </w:tcBorders>
            <w:vAlign w:val="center"/>
          </w:tcPr>
          <w:p w14:paraId="1A3AA386">
            <w:pPr>
              <w:snapToGrid w:val="0"/>
              <w:spacing w:line="360" w:lineRule="auto"/>
              <w:jc w:val="center"/>
              <w:rPr>
                <w:rFonts w:ascii="宋体"/>
                <w:color w:val="auto"/>
                <w:szCs w:val="21"/>
                <w:highlight w:val="none"/>
              </w:rPr>
            </w:pPr>
            <w:r>
              <w:rPr>
                <w:rFonts w:ascii="宋体" w:hAnsi="宋体"/>
                <w:color w:val="auto"/>
                <w:szCs w:val="21"/>
                <w:highlight w:val="none"/>
              </w:rPr>
              <w:t>1</w:t>
            </w:r>
          </w:p>
        </w:tc>
        <w:tc>
          <w:tcPr>
            <w:tcW w:w="1698" w:type="pct"/>
            <w:tcBorders>
              <w:top w:val="single" w:color="auto" w:sz="4" w:space="0"/>
              <w:left w:val="single" w:color="auto" w:sz="4" w:space="0"/>
              <w:bottom w:val="single" w:color="auto" w:sz="4" w:space="0"/>
              <w:right w:val="single" w:color="auto" w:sz="4" w:space="0"/>
            </w:tcBorders>
            <w:vAlign w:val="center"/>
          </w:tcPr>
          <w:p w14:paraId="5082176D">
            <w:pPr>
              <w:autoSpaceDE w:val="0"/>
              <w:autoSpaceDN w:val="0"/>
              <w:adjustRightInd w:val="0"/>
              <w:spacing w:before="50" w:after="50" w:line="360" w:lineRule="auto"/>
              <w:jc w:val="center"/>
              <w:rPr>
                <w:rFonts w:ascii="宋体"/>
                <w:color w:val="auto"/>
                <w:szCs w:val="21"/>
                <w:highlight w:val="none"/>
              </w:rPr>
            </w:pPr>
            <w:r>
              <w:rPr>
                <w:rFonts w:ascii="宋体"/>
                <w:color w:val="auto"/>
                <w:szCs w:val="21"/>
                <w:highlight w:val="none"/>
              </w:rPr>
              <w:t>广西三农摄影比赛暨采风活动</w:t>
            </w:r>
          </w:p>
        </w:tc>
        <w:tc>
          <w:tcPr>
            <w:tcW w:w="2871" w:type="pct"/>
            <w:tcBorders>
              <w:top w:val="single" w:color="auto" w:sz="4" w:space="0"/>
              <w:left w:val="single" w:color="auto" w:sz="4" w:space="0"/>
              <w:bottom w:val="single" w:color="auto" w:sz="4" w:space="0"/>
            </w:tcBorders>
            <w:vAlign w:val="center"/>
          </w:tcPr>
          <w:p w14:paraId="115F59FB">
            <w:pPr>
              <w:snapToGrid w:val="0"/>
              <w:spacing w:line="360" w:lineRule="auto"/>
              <w:jc w:val="left"/>
              <w:rPr>
                <w:rFonts w:ascii="宋体"/>
                <w:color w:val="auto"/>
                <w:szCs w:val="21"/>
                <w:highlight w:val="none"/>
              </w:rPr>
            </w:pPr>
            <w:r>
              <w:rPr>
                <w:rFonts w:hint="eastAsia" w:ascii="宋体" w:hAnsi="宋体" w:cs="宋体"/>
                <w:color w:val="auto"/>
                <w:szCs w:val="21"/>
                <w:highlight w:val="none"/>
              </w:rPr>
              <w:t>广西三农摄影比赛暨采风活动1项</w:t>
            </w:r>
            <w:r>
              <w:rPr>
                <w:rFonts w:ascii="宋体" w:hAnsi="宋体" w:cs="宋体"/>
                <w:color w:val="auto"/>
                <w:szCs w:val="21"/>
                <w:highlight w:val="none"/>
              </w:rPr>
              <w:t xml:space="preserve"> </w:t>
            </w:r>
            <w:r>
              <w:rPr>
                <w:rFonts w:hint="eastAsia" w:ascii="宋体" w:hAnsi="宋体" w:cs="宋体"/>
                <w:color w:val="auto"/>
                <w:kern w:val="0"/>
                <w:sz w:val="22"/>
                <w:szCs w:val="21"/>
                <w:highlight w:val="none"/>
              </w:rPr>
              <w:t>；</w:t>
            </w:r>
            <w:r>
              <w:rPr>
                <w:rFonts w:hint="eastAsia" w:ascii="宋体" w:hAnsi="宋体"/>
                <w:color w:val="auto"/>
                <w:szCs w:val="21"/>
                <w:highlight w:val="none"/>
              </w:rPr>
              <w:t>详细内容详见磋商文件。</w:t>
            </w:r>
          </w:p>
        </w:tc>
      </w:tr>
    </w:tbl>
    <w:p w14:paraId="6ABA6AA7">
      <w:pPr>
        <w:spacing w:line="360" w:lineRule="auto"/>
        <w:ind w:firstLine="420" w:firstLineChars="200"/>
        <w:rPr>
          <w:color w:val="auto"/>
          <w:highlight w:val="none"/>
        </w:rPr>
      </w:pPr>
      <w:r>
        <w:rPr>
          <w:rFonts w:hint="eastAsia" w:ascii="宋体" w:hAnsi="宋体"/>
          <w:color w:val="auto"/>
          <w:szCs w:val="21"/>
          <w:highlight w:val="none"/>
        </w:rPr>
        <w:t>合同履约期限：</w:t>
      </w:r>
      <w:r>
        <w:rPr>
          <w:rFonts w:hint="eastAsia"/>
          <w:bCs/>
          <w:color w:val="auto"/>
          <w:highlight w:val="none"/>
        </w:rPr>
        <w:t>详见竞争性磋商文件。</w:t>
      </w:r>
    </w:p>
    <w:p w14:paraId="665063B5">
      <w:pPr>
        <w:spacing w:line="360" w:lineRule="auto"/>
        <w:ind w:firstLine="422" w:firstLineChars="200"/>
        <w:rPr>
          <w:rFonts w:ascii="宋体" w:cs="宋体"/>
          <w:b/>
          <w:bCs/>
          <w:color w:val="auto"/>
          <w:szCs w:val="21"/>
          <w:highlight w:val="none"/>
        </w:rPr>
      </w:pPr>
      <w:r>
        <w:rPr>
          <w:rFonts w:hint="eastAsia" w:ascii="宋体" w:hAnsi="宋体"/>
          <w:b/>
          <w:bCs/>
          <w:color w:val="auto"/>
          <w:szCs w:val="21"/>
          <w:highlight w:val="none"/>
        </w:rPr>
        <w:t>本项目不接受联合体。</w:t>
      </w:r>
    </w:p>
    <w:p w14:paraId="5813558D">
      <w:pPr>
        <w:spacing w:line="360" w:lineRule="auto"/>
        <w:ind w:firstLine="354" w:firstLineChars="147"/>
        <w:rPr>
          <w:rFonts w:ascii="宋体" w:cs="宋体"/>
          <w:b/>
          <w:color w:val="auto"/>
          <w:sz w:val="24"/>
          <w:highlight w:val="none"/>
        </w:rPr>
      </w:pPr>
      <w:r>
        <w:rPr>
          <w:rFonts w:hint="eastAsia" w:ascii="宋体" w:hAnsi="宋体" w:cs="宋体"/>
          <w:b/>
          <w:color w:val="auto"/>
          <w:sz w:val="24"/>
          <w:highlight w:val="none"/>
        </w:rPr>
        <w:t>二、申请人的资格条件：</w:t>
      </w:r>
    </w:p>
    <w:p w14:paraId="03C6BA8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、满足《中华人民共和国政府采购法》第二十二条规定；</w:t>
      </w:r>
    </w:p>
    <w:p w14:paraId="1BD437E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、落实政府采购政策需满足的资格要求：分标</w:t>
      </w:r>
      <w:r>
        <w:rPr>
          <w:rFonts w:ascii="宋体" w:hAnsi="宋体" w:cs="宋体"/>
          <w:color w:val="auto"/>
          <w:szCs w:val="21"/>
          <w:highlight w:val="none"/>
        </w:rPr>
        <w:t>1</w:t>
      </w: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专门面向小微企业采购，供应商应为小微企业或监狱企业或残疾人福利性单位。</w:t>
      </w:r>
      <w:r>
        <w:rPr>
          <w:rFonts w:ascii="宋体" w:cs="宋体"/>
          <w:color w:val="auto"/>
          <w:szCs w:val="21"/>
          <w:highlight w:val="none"/>
        </w:rPr>
        <w:t> </w:t>
      </w:r>
    </w:p>
    <w:p w14:paraId="52FE81E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、本项目的特定资格要求：无</w:t>
      </w:r>
    </w:p>
    <w:p w14:paraId="244A0AE8">
      <w:pPr>
        <w:spacing w:line="360" w:lineRule="auto"/>
        <w:ind w:firstLine="354" w:firstLineChars="147"/>
        <w:rPr>
          <w:rFonts w:ascii="宋体" w:cs="宋体"/>
          <w:b/>
          <w:color w:val="auto"/>
          <w:sz w:val="24"/>
          <w:highlight w:val="none"/>
        </w:rPr>
      </w:pPr>
      <w:r>
        <w:rPr>
          <w:rFonts w:hint="eastAsia" w:ascii="宋体" w:hAnsi="宋体" w:cs="宋体"/>
          <w:b/>
          <w:color w:val="auto"/>
          <w:sz w:val="24"/>
          <w:highlight w:val="none"/>
        </w:rPr>
        <w:t>三、获取竞争性磋商文件</w:t>
      </w:r>
    </w:p>
    <w:p w14:paraId="6AD0CE78">
      <w:pPr>
        <w:spacing w:line="360" w:lineRule="auto"/>
        <w:ind w:firstLine="420" w:firstLineChars="200"/>
        <w:rPr>
          <w:rFonts w:ascii="宋体" w:cs="宋体"/>
          <w:bCs/>
          <w:color w:val="auto"/>
          <w:kern w:val="0"/>
          <w:szCs w:val="21"/>
          <w:highlight w:val="none"/>
        </w:rPr>
      </w:pPr>
      <w:r>
        <w:rPr>
          <w:rFonts w:hint="eastAsia" w:ascii="宋体" w:hAnsi="宋体" w:cs="宋体"/>
          <w:bCs/>
          <w:color w:val="auto"/>
          <w:kern w:val="0"/>
          <w:szCs w:val="21"/>
          <w:highlight w:val="none"/>
        </w:rPr>
        <w:t>时间：</w:t>
      </w:r>
      <w:r>
        <w:rPr>
          <w:rFonts w:ascii="宋体" w:hAnsi="宋体" w:cs="宋体"/>
          <w:color w:val="auto"/>
          <w:highlight w:val="none"/>
        </w:rPr>
        <w:t>2025</w:t>
      </w:r>
      <w:r>
        <w:rPr>
          <w:rFonts w:hint="eastAsia" w:ascii="宋体" w:hAnsi="宋体" w:cs="宋体"/>
          <w:color w:val="auto"/>
          <w:highlight w:val="none"/>
        </w:rPr>
        <w:t>年5月</w:t>
      </w:r>
      <w:r>
        <w:rPr>
          <w:rFonts w:hint="eastAsia" w:ascii="宋体" w:hAnsi="宋体" w:cs="宋体"/>
          <w:color w:val="auto"/>
          <w:highlight w:val="none"/>
          <w:lang w:val="en-US" w:eastAsia="zh-CN"/>
        </w:rPr>
        <w:t>28</w:t>
      </w:r>
      <w:r>
        <w:rPr>
          <w:rFonts w:hint="eastAsia" w:ascii="宋体" w:hAnsi="宋体" w:cs="宋体"/>
          <w:color w:val="auto"/>
          <w:highlight w:val="none"/>
        </w:rPr>
        <w:t>日</w:t>
      </w:r>
      <w:r>
        <w:rPr>
          <w:rFonts w:hint="eastAsia" w:ascii="宋体" w:hAnsi="宋体" w:cs="宋体"/>
          <w:color w:val="auto"/>
          <w:szCs w:val="21"/>
          <w:highlight w:val="none"/>
        </w:rPr>
        <w:t>至</w:t>
      </w:r>
      <w:r>
        <w:rPr>
          <w:rFonts w:ascii="宋体" w:hAnsi="宋体" w:cs="宋体"/>
          <w:color w:val="auto"/>
          <w:highlight w:val="none"/>
        </w:rPr>
        <w:t>2025</w:t>
      </w:r>
      <w:r>
        <w:rPr>
          <w:rFonts w:hint="eastAsia" w:ascii="宋体" w:hAnsi="宋体" w:cs="宋体"/>
          <w:color w:val="auto"/>
          <w:highlight w:val="none"/>
        </w:rPr>
        <w:t>年</w:t>
      </w:r>
      <w:r>
        <w:rPr>
          <w:rFonts w:hint="eastAsia" w:ascii="宋体" w:hAnsi="宋体" w:cs="宋体"/>
          <w:color w:val="auto"/>
          <w:highlight w:val="none"/>
          <w:lang w:val="en-US" w:eastAsia="zh-CN"/>
        </w:rPr>
        <w:t>6</w:t>
      </w:r>
      <w:r>
        <w:rPr>
          <w:rFonts w:hint="eastAsia" w:ascii="宋体" w:hAnsi="宋体" w:cs="宋体"/>
          <w:color w:val="auto"/>
          <w:highlight w:val="none"/>
        </w:rPr>
        <w:t>月</w:t>
      </w:r>
      <w:r>
        <w:rPr>
          <w:rFonts w:hint="eastAsia" w:ascii="宋体" w:hAnsi="宋体" w:cs="宋体"/>
          <w:color w:val="auto"/>
          <w:highlight w:val="none"/>
          <w:lang w:val="en-US" w:eastAsia="zh-CN"/>
        </w:rPr>
        <w:t>5</w:t>
      </w:r>
      <w:r>
        <w:rPr>
          <w:rFonts w:hint="eastAsia" w:ascii="宋体" w:hAnsi="宋体" w:cs="宋体"/>
          <w:color w:val="auto"/>
          <w:highlight w:val="none"/>
        </w:rPr>
        <w:t>日</w:t>
      </w:r>
      <w:r>
        <w:rPr>
          <w:rFonts w:hint="eastAsia" w:ascii="宋体" w:hAnsi="宋体" w:cs="宋体"/>
          <w:color w:val="auto"/>
          <w:szCs w:val="21"/>
          <w:highlight w:val="none"/>
        </w:rPr>
        <w:t>，每天上午</w:t>
      </w:r>
      <w:r>
        <w:rPr>
          <w:rFonts w:ascii="宋体" w:hAnsi="宋体" w:cs="宋体"/>
          <w:color w:val="auto"/>
          <w:szCs w:val="21"/>
          <w:highlight w:val="none"/>
        </w:rPr>
        <w:t>00:00-12:00</w:t>
      </w:r>
      <w:r>
        <w:rPr>
          <w:rFonts w:hint="eastAsia" w:ascii="宋体" w:hAnsi="宋体" w:cs="宋体"/>
          <w:color w:val="auto"/>
          <w:szCs w:val="21"/>
          <w:highlight w:val="none"/>
        </w:rPr>
        <w:t>；下午</w:t>
      </w:r>
      <w:r>
        <w:rPr>
          <w:rFonts w:ascii="宋体" w:hAnsi="宋体" w:cs="宋体"/>
          <w:color w:val="auto"/>
          <w:szCs w:val="21"/>
          <w:highlight w:val="none"/>
        </w:rPr>
        <w:t>1</w:t>
      </w:r>
      <w:r>
        <w:rPr>
          <w:rFonts w:ascii="宋体" w:hAnsi="宋体" w:cs="宋体"/>
          <w:color w:val="auto"/>
          <w:highlight w:val="none"/>
        </w:rPr>
        <w:t>2</w:t>
      </w:r>
      <w:r>
        <w:rPr>
          <w:rFonts w:ascii="宋体" w:hAnsi="宋体" w:cs="宋体"/>
          <w:color w:val="auto"/>
          <w:szCs w:val="21"/>
          <w:highlight w:val="none"/>
        </w:rPr>
        <w:t>:</w:t>
      </w:r>
      <w:r>
        <w:rPr>
          <w:rFonts w:ascii="宋体" w:cs="宋体"/>
          <w:color w:val="auto"/>
          <w:highlight w:val="none"/>
        </w:rPr>
        <w:t>00</w:t>
      </w:r>
      <w:r>
        <w:rPr>
          <w:rFonts w:ascii="宋体" w:hAnsi="宋体" w:cs="宋体"/>
          <w:color w:val="auto"/>
          <w:szCs w:val="21"/>
          <w:highlight w:val="none"/>
        </w:rPr>
        <w:t>-23:</w:t>
      </w:r>
      <w:r>
        <w:rPr>
          <w:rFonts w:ascii="宋体" w:hAnsi="宋体" w:cs="宋体"/>
          <w:color w:val="auto"/>
          <w:highlight w:val="none"/>
        </w:rPr>
        <w:t>59</w:t>
      </w:r>
      <w:r>
        <w:rPr>
          <w:rFonts w:hint="eastAsia" w:ascii="宋体" w:hAnsi="宋体" w:cs="宋体"/>
          <w:color w:val="auto"/>
          <w:szCs w:val="21"/>
          <w:highlight w:val="none"/>
        </w:rPr>
        <w:t>（北京时间，法定节假日除外）</w:t>
      </w:r>
      <w:r>
        <w:rPr>
          <w:rFonts w:hint="eastAsia" w:ascii="宋体" w:hAnsi="宋体" w:cs="宋体"/>
          <w:bCs/>
          <w:color w:val="auto"/>
          <w:kern w:val="0"/>
          <w:szCs w:val="21"/>
          <w:highlight w:val="none"/>
        </w:rPr>
        <w:t>。</w:t>
      </w:r>
    </w:p>
    <w:p w14:paraId="79541869">
      <w:pPr>
        <w:spacing w:line="360" w:lineRule="auto"/>
        <w:ind w:firstLine="420" w:firstLineChars="200"/>
        <w:rPr>
          <w:rFonts w:ascii="宋体" w:cs="宋体"/>
          <w:color w:val="auto"/>
          <w:highlight w:val="none"/>
        </w:rPr>
      </w:pPr>
      <w:r>
        <w:rPr>
          <w:rFonts w:hint="eastAsia" w:ascii="宋体" w:hAnsi="宋体" w:cs="宋体"/>
          <w:bCs/>
          <w:color w:val="auto"/>
          <w:kern w:val="0"/>
          <w:szCs w:val="21"/>
          <w:highlight w:val="none"/>
        </w:rPr>
        <w:t>地点：</w:t>
      </w:r>
      <w:r>
        <w:rPr>
          <w:rFonts w:hint="eastAsia" w:ascii="宋体" w:hAnsi="宋体" w:cs="宋体"/>
          <w:color w:val="auto"/>
          <w:highlight w:val="none"/>
        </w:rPr>
        <w:t>广西政府采购云平台（</w:t>
      </w:r>
      <w:r>
        <w:rPr>
          <w:rFonts w:ascii="宋体" w:hAnsi="宋体" w:cs="宋体"/>
          <w:color w:val="auto"/>
          <w:highlight w:val="none"/>
        </w:rPr>
        <w:t>https://www.gcy.zfcg.gxzf.gov.cn/</w:t>
      </w:r>
      <w:r>
        <w:rPr>
          <w:rFonts w:hint="eastAsia" w:ascii="宋体" w:hAnsi="宋体" w:cs="宋体"/>
          <w:color w:val="auto"/>
          <w:highlight w:val="none"/>
        </w:rPr>
        <w:t>）。</w:t>
      </w:r>
    </w:p>
    <w:p w14:paraId="65D731AD">
      <w:pPr>
        <w:spacing w:line="360" w:lineRule="auto"/>
        <w:ind w:firstLine="420" w:firstLineChars="200"/>
        <w:rPr>
          <w:rFonts w:ascii="宋体" w:cs="宋体"/>
          <w:bCs/>
          <w:color w:val="auto"/>
          <w:kern w:val="0"/>
          <w:szCs w:val="21"/>
          <w:highlight w:val="none"/>
        </w:rPr>
      </w:pPr>
      <w:r>
        <w:rPr>
          <w:rFonts w:hint="eastAsia" w:ascii="宋体" w:hAnsi="宋体" w:cs="宋体"/>
          <w:bCs/>
          <w:color w:val="auto"/>
          <w:kern w:val="0"/>
          <w:szCs w:val="21"/>
          <w:highlight w:val="none"/>
        </w:rPr>
        <w:t>方式：网上下载。供应商登录广西政府采购云平台</w:t>
      </w:r>
      <w:r>
        <w:rPr>
          <w:rFonts w:ascii="宋体" w:hAnsi="宋体" w:cs="宋体"/>
          <w:bCs/>
          <w:color w:val="auto"/>
          <w:kern w:val="0"/>
          <w:szCs w:val="21"/>
          <w:highlight w:val="none"/>
        </w:rPr>
        <w:t>https://www.gcy.zfcg.gxzf.gov.cn/</w:t>
      </w:r>
      <w:r>
        <w:rPr>
          <w:rFonts w:hint="eastAsia" w:ascii="宋体" w:hAnsi="宋体" w:cs="宋体"/>
          <w:bCs/>
          <w:color w:val="auto"/>
          <w:kern w:val="0"/>
          <w:szCs w:val="21"/>
          <w:highlight w:val="none"/>
        </w:rPr>
        <w:t>在线申请获取采购文件（进入“项目采购”应用，在获取采购文件菜单中选择项目，申请获取采购文件）。</w:t>
      </w:r>
    </w:p>
    <w:p w14:paraId="285968F8">
      <w:pPr>
        <w:spacing w:line="360" w:lineRule="auto"/>
        <w:ind w:firstLine="420" w:firstLineChars="200"/>
        <w:rPr>
          <w:rFonts w:ascii="宋体" w:cs="宋体"/>
          <w:color w:val="auto"/>
          <w:szCs w:val="21"/>
          <w:highlight w:val="none"/>
        </w:rPr>
      </w:pPr>
      <w:r>
        <w:rPr>
          <w:rFonts w:hint="eastAsia" w:ascii="宋体" w:hAnsi="宋体" w:cs="宋体"/>
          <w:bCs/>
          <w:color w:val="auto"/>
          <w:kern w:val="0"/>
          <w:szCs w:val="21"/>
          <w:highlight w:val="none"/>
        </w:rPr>
        <w:t>售价：</w:t>
      </w:r>
      <w:r>
        <w:rPr>
          <w:rFonts w:ascii="宋体" w:cs="宋体"/>
          <w:bCs/>
          <w:color w:val="auto"/>
          <w:kern w:val="0"/>
          <w:szCs w:val="21"/>
          <w:highlight w:val="none"/>
        </w:rPr>
        <w:t>0</w:t>
      </w:r>
      <w:r>
        <w:rPr>
          <w:rFonts w:hint="eastAsia" w:ascii="宋体" w:hAnsi="宋体" w:cs="宋体"/>
          <w:bCs/>
          <w:color w:val="auto"/>
          <w:kern w:val="0"/>
          <w:szCs w:val="21"/>
          <w:highlight w:val="none"/>
        </w:rPr>
        <w:t>元。</w:t>
      </w:r>
    </w:p>
    <w:p w14:paraId="3A05CBF6">
      <w:pPr>
        <w:spacing w:line="360" w:lineRule="auto"/>
        <w:ind w:firstLine="354" w:firstLineChars="147"/>
        <w:rPr>
          <w:rFonts w:ascii="宋体" w:cs="宋体"/>
          <w:b/>
          <w:color w:val="auto"/>
          <w:sz w:val="24"/>
          <w:highlight w:val="none"/>
        </w:rPr>
      </w:pPr>
      <w:r>
        <w:rPr>
          <w:rFonts w:hint="eastAsia" w:ascii="宋体" w:hAnsi="宋体" w:cs="宋体"/>
          <w:b/>
          <w:color w:val="auto"/>
          <w:sz w:val="24"/>
          <w:highlight w:val="none"/>
        </w:rPr>
        <w:t>四、响应文件提交</w:t>
      </w:r>
    </w:p>
    <w:p w14:paraId="479E9C24">
      <w:pPr>
        <w:spacing w:line="360" w:lineRule="auto"/>
        <w:ind w:firstLine="420" w:firstLineChars="200"/>
        <w:rPr>
          <w:rFonts w:ascii="宋体" w:cs="宋体"/>
          <w:color w:val="auto"/>
          <w:szCs w:val="21"/>
          <w:highlight w:val="none"/>
          <w:u w:val="single"/>
        </w:rPr>
      </w:pPr>
      <w:r>
        <w:rPr>
          <w:rFonts w:ascii="宋体" w:hAnsi="宋体" w:cs="宋体"/>
          <w:color w:val="auto"/>
          <w:szCs w:val="21"/>
          <w:highlight w:val="none"/>
        </w:rPr>
        <w:t>1</w:t>
      </w:r>
      <w:r>
        <w:rPr>
          <w:rFonts w:hint="eastAsia" w:ascii="宋体" w:hAnsi="宋体" w:cs="宋体"/>
          <w:color w:val="auto"/>
          <w:szCs w:val="21"/>
          <w:highlight w:val="none"/>
        </w:rPr>
        <w:t>、首次响应文件提交截止时间：</w:t>
      </w:r>
      <w:r>
        <w:rPr>
          <w:rFonts w:hint="eastAsia" w:ascii="宋体" w:hAnsi="宋体" w:cs="宋体"/>
          <w:bCs/>
          <w:color w:val="auto"/>
          <w:kern w:val="0"/>
          <w:szCs w:val="21"/>
          <w:highlight w:val="none"/>
          <w:lang w:eastAsia="zh-CN"/>
        </w:rPr>
        <w:t>2025年6月11日</w:t>
      </w:r>
      <w:r>
        <w:rPr>
          <w:rFonts w:ascii="宋体" w:hAnsi="宋体" w:cs="宋体"/>
          <w:bCs/>
          <w:color w:val="auto"/>
          <w:kern w:val="0"/>
          <w:szCs w:val="21"/>
          <w:highlight w:val="none"/>
        </w:rPr>
        <w:t>09</w:t>
      </w:r>
      <w:r>
        <w:rPr>
          <w:rFonts w:hint="eastAsia" w:ascii="宋体" w:hAnsi="宋体" w:cs="宋体"/>
          <w:bCs/>
          <w:color w:val="auto"/>
          <w:kern w:val="0"/>
          <w:szCs w:val="21"/>
          <w:highlight w:val="none"/>
        </w:rPr>
        <w:t>时</w:t>
      </w:r>
      <w:r>
        <w:rPr>
          <w:rFonts w:ascii="宋体" w:cs="宋体"/>
          <w:bCs/>
          <w:color w:val="auto"/>
          <w:kern w:val="0"/>
          <w:szCs w:val="21"/>
          <w:highlight w:val="none"/>
        </w:rPr>
        <w:t>00</w:t>
      </w:r>
      <w:r>
        <w:rPr>
          <w:rFonts w:hint="eastAsia" w:ascii="宋体" w:hAnsi="宋体" w:cs="宋体"/>
          <w:bCs/>
          <w:color w:val="auto"/>
          <w:kern w:val="0"/>
          <w:szCs w:val="21"/>
          <w:highlight w:val="none"/>
        </w:rPr>
        <w:t>分（北京时间）</w:t>
      </w:r>
    </w:p>
    <w:p w14:paraId="4C4C000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、地点：通过广西政府采购云平台（</w:t>
      </w:r>
      <w:r>
        <w:rPr>
          <w:rFonts w:ascii="宋体" w:hAnsi="宋体" w:cs="宋体"/>
          <w:color w:val="auto"/>
          <w:szCs w:val="21"/>
          <w:highlight w:val="none"/>
        </w:rPr>
        <w:t>https://www.gcy.zfcg.gxzf.gov.cn/</w:t>
      </w:r>
      <w:r>
        <w:rPr>
          <w:rFonts w:hint="eastAsia" w:ascii="宋体" w:hAnsi="宋体" w:cs="宋体"/>
          <w:color w:val="auto"/>
          <w:szCs w:val="21"/>
          <w:highlight w:val="none"/>
        </w:rPr>
        <w:t>）在线提交。</w:t>
      </w:r>
    </w:p>
    <w:p w14:paraId="4A0A9FEF">
      <w:pPr>
        <w:spacing w:line="360" w:lineRule="auto"/>
        <w:ind w:firstLine="354" w:firstLineChars="147"/>
        <w:rPr>
          <w:rFonts w:ascii="宋体" w:cs="宋体"/>
          <w:b/>
          <w:color w:val="auto"/>
          <w:sz w:val="24"/>
          <w:highlight w:val="none"/>
        </w:rPr>
      </w:pPr>
      <w:r>
        <w:rPr>
          <w:rFonts w:hint="eastAsia" w:ascii="宋体" w:hAnsi="宋体" w:cs="宋体"/>
          <w:b/>
          <w:color w:val="auto"/>
          <w:sz w:val="24"/>
          <w:highlight w:val="none"/>
        </w:rPr>
        <w:t>五、开启</w:t>
      </w:r>
    </w:p>
    <w:p w14:paraId="02ADDB14">
      <w:pPr>
        <w:spacing w:line="360" w:lineRule="auto"/>
        <w:ind w:firstLine="420" w:firstLineChars="200"/>
        <w:rPr>
          <w:rFonts w:ascii="宋体" w:cs="宋体"/>
          <w:bCs/>
          <w:color w:val="auto"/>
          <w:szCs w:val="21"/>
          <w:highlight w:val="none"/>
          <w:u w:val="single"/>
        </w:rPr>
      </w:pPr>
      <w:r>
        <w:rPr>
          <w:rFonts w:ascii="宋体" w:hAnsi="宋体" w:cs="宋体"/>
          <w:color w:val="auto"/>
          <w:szCs w:val="21"/>
          <w:highlight w:val="none"/>
        </w:rPr>
        <w:t>1</w:t>
      </w:r>
      <w:r>
        <w:rPr>
          <w:rFonts w:hint="eastAsia" w:ascii="宋体" w:hAnsi="宋体" w:cs="宋体"/>
          <w:color w:val="auto"/>
          <w:szCs w:val="21"/>
          <w:highlight w:val="none"/>
        </w:rPr>
        <w:t>、首次响应文件开启时间：</w:t>
      </w:r>
      <w:r>
        <w:rPr>
          <w:rFonts w:hint="eastAsia" w:ascii="宋体" w:hAnsi="宋体" w:cs="宋体"/>
          <w:bCs/>
          <w:color w:val="auto"/>
          <w:kern w:val="0"/>
          <w:szCs w:val="21"/>
          <w:highlight w:val="none"/>
          <w:lang w:eastAsia="zh-CN"/>
        </w:rPr>
        <w:t>2025年6月11日</w:t>
      </w:r>
      <w:r>
        <w:rPr>
          <w:rFonts w:ascii="宋体" w:hAnsi="宋体" w:cs="宋体"/>
          <w:bCs/>
          <w:color w:val="auto"/>
          <w:kern w:val="0"/>
          <w:szCs w:val="21"/>
          <w:highlight w:val="none"/>
        </w:rPr>
        <w:t>09</w:t>
      </w:r>
      <w:r>
        <w:rPr>
          <w:rFonts w:hint="eastAsia" w:ascii="宋体" w:hAnsi="宋体" w:cs="宋体"/>
          <w:bCs/>
          <w:color w:val="auto"/>
          <w:kern w:val="0"/>
          <w:szCs w:val="21"/>
          <w:highlight w:val="none"/>
        </w:rPr>
        <w:t>时</w:t>
      </w:r>
      <w:r>
        <w:rPr>
          <w:rFonts w:ascii="宋体" w:cs="宋体"/>
          <w:bCs/>
          <w:color w:val="auto"/>
          <w:kern w:val="0"/>
          <w:szCs w:val="21"/>
          <w:highlight w:val="none"/>
        </w:rPr>
        <w:t>00</w:t>
      </w:r>
      <w:r>
        <w:rPr>
          <w:rFonts w:hint="eastAsia" w:ascii="宋体" w:hAnsi="宋体" w:cs="宋体"/>
          <w:bCs/>
          <w:color w:val="auto"/>
          <w:kern w:val="0"/>
          <w:szCs w:val="21"/>
          <w:highlight w:val="none"/>
        </w:rPr>
        <w:t>分（北京时间）</w:t>
      </w:r>
    </w:p>
    <w:p w14:paraId="2BF87F8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、地点：本项目将在广西政府采购云平台电子开标大厅解密、开启。</w:t>
      </w:r>
    </w:p>
    <w:p w14:paraId="2C247DA8">
      <w:pPr>
        <w:spacing w:line="360" w:lineRule="auto"/>
        <w:ind w:firstLine="354" w:firstLineChars="147"/>
        <w:rPr>
          <w:rFonts w:ascii="宋体" w:cs="宋体"/>
          <w:b/>
          <w:color w:val="auto"/>
          <w:sz w:val="24"/>
          <w:highlight w:val="none"/>
        </w:rPr>
      </w:pPr>
      <w:r>
        <w:rPr>
          <w:rFonts w:hint="eastAsia" w:ascii="宋体" w:hAnsi="宋体" w:cs="宋体"/>
          <w:b/>
          <w:color w:val="auto"/>
          <w:sz w:val="24"/>
          <w:highlight w:val="none"/>
        </w:rPr>
        <w:t>六、公告期限</w:t>
      </w:r>
    </w:p>
    <w:p w14:paraId="7E900633">
      <w:pPr>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自本公告发布之日起</w:t>
      </w:r>
      <w:r>
        <w:rPr>
          <w:rFonts w:ascii="宋体" w:hAnsi="宋体" w:cs="宋体"/>
          <w:color w:val="auto"/>
          <w:kern w:val="0"/>
          <w:szCs w:val="21"/>
          <w:highlight w:val="none"/>
        </w:rPr>
        <w:t>5</w:t>
      </w:r>
      <w:r>
        <w:rPr>
          <w:rFonts w:hint="eastAsia" w:ascii="宋体" w:hAnsi="宋体" w:cs="宋体"/>
          <w:color w:val="auto"/>
          <w:kern w:val="0"/>
          <w:szCs w:val="21"/>
          <w:highlight w:val="none"/>
        </w:rPr>
        <w:t>个工作日。</w:t>
      </w:r>
    </w:p>
    <w:p w14:paraId="38DF125F">
      <w:pPr>
        <w:spacing w:line="360" w:lineRule="auto"/>
        <w:ind w:firstLine="354" w:firstLineChars="147"/>
        <w:rPr>
          <w:rFonts w:ascii="宋体" w:cs="宋体"/>
          <w:b/>
          <w:color w:val="auto"/>
          <w:sz w:val="24"/>
          <w:highlight w:val="none"/>
        </w:rPr>
      </w:pPr>
      <w:r>
        <w:rPr>
          <w:rFonts w:hint="eastAsia" w:ascii="宋体" w:hAnsi="宋体" w:cs="宋体"/>
          <w:b/>
          <w:color w:val="auto"/>
          <w:sz w:val="24"/>
          <w:highlight w:val="none"/>
        </w:rPr>
        <w:t>七、其他补充事宜</w:t>
      </w:r>
    </w:p>
    <w:p w14:paraId="1077D90D">
      <w:pPr>
        <w:widowControl/>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、磋商保证金（人民币）：分标</w:t>
      </w:r>
      <w:r>
        <w:rPr>
          <w:rFonts w:ascii="宋体" w:hAnsi="宋体" w:cs="宋体"/>
          <w:color w:val="auto"/>
          <w:szCs w:val="21"/>
          <w:highlight w:val="none"/>
        </w:rPr>
        <w:t>1</w:t>
      </w:r>
      <w:r>
        <w:rPr>
          <w:rFonts w:hint="eastAsia" w:ascii="宋体" w:hAnsi="宋体" w:cs="宋体"/>
          <w:color w:val="auto"/>
          <w:szCs w:val="21"/>
          <w:highlight w:val="none"/>
        </w:rPr>
        <w:t>为</w:t>
      </w:r>
      <w:r>
        <w:rPr>
          <w:rFonts w:ascii="宋体" w:hAnsi="宋体" w:cs="宋体"/>
          <w:color w:val="auto"/>
          <w:szCs w:val="21"/>
          <w:highlight w:val="none"/>
        </w:rPr>
        <w:t>20000.00</w:t>
      </w:r>
      <w:r>
        <w:rPr>
          <w:rFonts w:hint="eastAsia" w:ascii="宋体" w:hAnsi="宋体" w:cs="宋体"/>
          <w:color w:val="auto"/>
          <w:szCs w:val="21"/>
          <w:highlight w:val="none"/>
        </w:rPr>
        <w:t>元；分标</w:t>
      </w:r>
      <w:r>
        <w:rPr>
          <w:rFonts w:ascii="宋体" w:hAnsi="宋体" w:cs="宋体"/>
          <w:color w:val="auto"/>
          <w:szCs w:val="21"/>
          <w:highlight w:val="none"/>
        </w:rPr>
        <w:t>2</w:t>
      </w:r>
      <w:r>
        <w:rPr>
          <w:rFonts w:hint="eastAsia" w:ascii="宋体" w:hAnsi="宋体" w:cs="宋体"/>
          <w:color w:val="auto"/>
          <w:szCs w:val="21"/>
          <w:highlight w:val="none"/>
        </w:rPr>
        <w:t>为</w:t>
      </w:r>
      <w:r>
        <w:rPr>
          <w:rFonts w:ascii="宋体" w:hAnsi="宋体" w:cs="宋体"/>
          <w:color w:val="auto"/>
          <w:szCs w:val="21"/>
          <w:highlight w:val="none"/>
        </w:rPr>
        <w:t>2000.00</w:t>
      </w:r>
      <w:r>
        <w:rPr>
          <w:rFonts w:hint="eastAsia" w:ascii="宋体" w:hAnsi="宋体" w:cs="宋体"/>
          <w:color w:val="auto"/>
          <w:szCs w:val="21"/>
          <w:highlight w:val="none"/>
        </w:rPr>
        <w:t>元。</w:t>
      </w:r>
    </w:p>
    <w:p w14:paraId="08C02DCD">
      <w:pPr>
        <w:widowControl/>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251C06B">
      <w:pPr>
        <w:widowControl/>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、根据财政部《关于在政府采购活动中查询及使用信用记录有关问题的通知》（财库〔</w:t>
      </w:r>
      <w:r>
        <w:rPr>
          <w:rFonts w:ascii="宋体" w:hAnsi="宋体" w:cs="宋体"/>
          <w:color w:val="auto"/>
          <w:szCs w:val="21"/>
          <w:highlight w:val="none"/>
        </w:rPr>
        <w:t>2016</w:t>
      </w:r>
      <w:r>
        <w:rPr>
          <w:rFonts w:hint="eastAsia" w:ascii="宋体" w:hAnsi="宋体" w:cs="宋体"/>
          <w:color w:val="auto"/>
          <w:szCs w:val="21"/>
          <w:highlight w:val="none"/>
        </w:rPr>
        <w:t>〕</w:t>
      </w:r>
      <w:r>
        <w:rPr>
          <w:rFonts w:ascii="宋体" w:hAnsi="宋体" w:cs="宋体"/>
          <w:color w:val="auto"/>
          <w:szCs w:val="21"/>
          <w:highlight w:val="none"/>
        </w:rPr>
        <w:t>125</w:t>
      </w:r>
      <w:r>
        <w:rPr>
          <w:rFonts w:hint="eastAsia" w:ascii="宋体" w:hAnsi="宋体" w:cs="宋体"/>
          <w:color w:val="auto"/>
          <w:szCs w:val="21"/>
          <w:highlight w:val="none"/>
        </w:rPr>
        <w:t>号）的规定，对在“信用中国”网站</w:t>
      </w:r>
      <w:r>
        <w:rPr>
          <w:rFonts w:ascii="宋体" w:hAnsi="宋体" w:cs="宋体"/>
          <w:color w:val="auto"/>
          <w:szCs w:val="21"/>
          <w:highlight w:val="none"/>
        </w:rPr>
        <w:t xml:space="preserve">(www.creditchina.gov.cn) </w:t>
      </w:r>
      <w:r>
        <w:rPr>
          <w:rFonts w:hint="eastAsia" w:ascii="宋体" w:hAnsi="宋体" w:cs="宋体"/>
          <w:color w:val="auto"/>
          <w:szCs w:val="21"/>
          <w:highlight w:val="none"/>
        </w:rPr>
        <w:t>、中国政府采购网</w:t>
      </w:r>
      <w:r>
        <w:rPr>
          <w:rFonts w:ascii="宋体" w:hAnsi="宋体" w:cs="宋体"/>
          <w:color w:val="auto"/>
          <w:szCs w:val="21"/>
          <w:highlight w:val="none"/>
        </w:rPr>
        <w:t>(www.ccgp.gov.cn)</w:t>
      </w:r>
      <w:r>
        <w:rPr>
          <w:rFonts w:hint="eastAsia" w:ascii="宋体" w:hAnsi="宋体" w:cs="宋体"/>
          <w:color w:val="auto"/>
          <w:szCs w:val="21"/>
          <w:highlight w:val="none"/>
        </w:rPr>
        <w:t>被列入失信被执行人、重大税收违法案件当事人名单、政府采购严重违法失信行为记录名单及其他不符合《中华人民共和国政府采购法》第二十二条规定条件的供应商，不得参与政府采购活动。</w:t>
      </w:r>
    </w:p>
    <w:p w14:paraId="3294A8ED">
      <w:pPr>
        <w:widowControl/>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、网上查询地址：中国政府采购网（</w:t>
      </w:r>
      <w:r>
        <w:rPr>
          <w:rFonts w:ascii="宋体" w:hAnsi="宋体" w:cs="宋体"/>
          <w:color w:val="auto"/>
          <w:szCs w:val="21"/>
          <w:highlight w:val="none"/>
        </w:rPr>
        <w:t>www.ccgp.gov.cn</w:t>
      </w:r>
      <w:r>
        <w:rPr>
          <w:rFonts w:hint="eastAsia" w:ascii="宋体" w:hAnsi="宋体" w:cs="宋体"/>
          <w:color w:val="auto"/>
          <w:szCs w:val="21"/>
          <w:highlight w:val="none"/>
        </w:rPr>
        <w:t>）、广西政府采购网（</w:t>
      </w:r>
      <w:r>
        <w:rPr>
          <w:rFonts w:ascii="宋体" w:hAnsi="宋体" w:cs="宋体"/>
          <w:color w:val="auto"/>
          <w:szCs w:val="21"/>
          <w:highlight w:val="none"/>
        </w:rPr>
        <w:t>zfcg.gxzf.gov.cn</w:t>
      </w:r>
      <w:r>
        <w:rPr>
          <w:rFonts w:hint="eastAsia" w:ascii="宋体" w:hAnsi="宋体" w:cs="宋体"/>
          <w:color w:val="auto"/>
          <w:szCs w:val="21"/>
          <w:highlight w:val="none"/>
        </w:rPr>
        <w:t>）。</w:t>
      </w:r>
    </w:p>
    <w:p w14:paraId="5900FFDB">
      <w:pPr>
        <w:widowControl/>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、本项目需要落实的政府采购政策：</w:t>
      </w:r>
    </w:p>
    <w:p w14:paraId="6E824A32">
      <w:pPr>
        <w:widowControl/>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）政府采购促进中小企业发展。</w:t>
      </w:r>
    </w:p>
    <w:p w14:paraId="12470BEB">
      <w:pPr>
        <w:widowControl/>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）政府采购支持采用本国产品的政策。</w:t>
      </w:r>
    </w:p>
    <w:p w14:paraId="405B1BE5">
      <w:pPr>
        <w:widowControl/>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）强制采购节能产品；优先采购节能产品、环境标志产品。</w:t>
      </w:r>
    </w:p>
    <w:p w14:paraId="468CA5B9">
      <w:pPr>
        <w:widowControl/>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）政府采购促进残疾人就业政策。</w:t>
      </w:r>
    </w:p>
    <w:p w14:paraId="65706B21">
      <w:pPr>
        <w:widowControl/>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）政府采购支持监狱企业发展。</w:t>
      </w:r>
    </w:p>
    <w:p w14:paraId="1C1BD64F">
      <w:pPr>
        <w:widowControl/>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）扶持不发达地区和少数民族地区政策</w:t>
      </w:r>
    </w:p>
    <w:p w14:paraId="5956874C">
      <w:pPr>
        <w:widowControl/>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、磋商注意事项：</w:t>
      </w:r>
    </w:p>
    <w:bookmarkEnd w:id="9"/>
    <w:p w14:paraId="1826925F">
      <w:pPr>
        <w:spacing w:line="360" w:lineRule="auto"/>
        <w:ind w:firstLine="630" w:firstLineChars="3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）本项目为全流程电子化采购项目，通过“广西政府采购云平台”（</w:t>
      </w:r>
      <w:r>
        <w:rPr>
          <w:rFonts w:ascii="宋体" w:hAnsi="宋体" w:cs="宋体"/>
          <w:color w:val="auto"/>
          <w:szCs w:val="21"/>
          <w:highlight w:val="none"/>
        </w:rPr>
        <w:t>https://www.gcy.zfcg.gxzf.gov.cn/</w:t>
      </w:r>
      <w:r>
        <w:rPr>
          <w:rFonts w:hint="eastAsia" w:ascii="宋体" w:hAnsi="宋体" w:cs="宋体"/>
          <w:color w:val="auto"/>
          <w:szCs w:val="21"/>
          <w:highlight w:val="none"/>
        </w:rPr>
        <w:t>）实行在线电子竞标，供应商应先安装“广西政府采购云平台新版客户端”（新版客户端下载路径：请自行前往广西政府采购网（访问地址</w:t>
      </w:r>
      <w:r>
        <w:rPr>
          <w:rFonts w:ascii="宋体" w:hAnsi="宋体" w:cs="宋体"/>
          <w:color w:val="auto"/>
          <w:szCs w:val="21"/>
          <w:highlight w:val="none"/>
        </w:rPr>
        <w:t>http://zfcg.gxzf.gov.cn/</w:t>
      </w:r>
      <w:r>
        <w:rPr>
          <w:rFonts w:hint="eastAsia" w:ascii="宋体" w:hAnsi="宋体" w:cs="宋体"/>
          <w:color w:val="auto"/>
          <w:szCs w:val="21"/>
          <w:highlight w:val="none"/>
        </w:rPr>
        <w:t>）</w:t>
      </w:r>
      <w:r>
        <w:rPr>
          <w:rFonts w:ascii="宋体" w:hAnsi="宋体" w:cs="宋体"/>
          <w:color w:val="auto"/>
          <w:szCs w:val="21"/>
          <w:highlight w:val="none"/>
        </w:rPr>
        <w:t>—</w:t>
      </w:r>
      <w:r>
        <w:rPr>
          <w:rFonts w:hint="eastAsia" w:ascii="宋体" w:hAnsi="宋体" w:cs="宋体"/>
          <w:color w:val="auto"/>
          <w:szCs w:val="21"/>
          <w:highlight w:val="none"/>
        </w:rPr>
        <w:t>办事服务</w:t>
      </w:r>
      <w:r>
        <w:rPr>
          <w:rFonts w:ascii="宋体" w:hAnsi="宋体" w:cs="宋体"/>
          <w:color w:val="auto"/>
          <w:szCs w:val="21"/>
          <w:highlight w:val="none"/>
        </w:rPr>
        <w:t>—</w:t>
      </w:r>
      <w:r>
        <w:rPr>
          <w:rFonts w:hint="eastAsia" w:ascii="宋体" w:hAnsi="宋体" w:cs="宋体"/>
          <w:color w:val="auto"/>
          <w:szCs w:val="21"/>
          <w:highlight w:val="none"/>
        </w:rPr>
        <w:t>下载专区），并按照本项目竞争性磋商文件和“广西政府采购云平台”的要求编制、加密后在竞标截止时间前通过网络上传至</w:t>
      </w:r>
      <w:r>
        <w:rPr>
          <w:rFonts w:ascii="宋体" w:hAnsi="宋体" w:cs="宋体"/>
          <w:color w:val="auto"/>
          <w:szCs w:val="21"/>
          <w:highlight w:val="none"/>
        </w:rPr>
        <w:t xml:space="preserve"> </w:t>
      </w:r>
      <w:r>
        <w:rPr>
          <w:rFonts w:hint="eastAsia" w:ascii="宋体" w:hAnsi="宋体" w:cs="宋体"/>
          <w:color w:val="auto"/>
          <w:szCs w:val="21"/>
          <w:highlight w:val="none"/>
        </w:rPr>
        <w:t>“广西政府采购云平台”，供应商在“广西政府采购云平台”提交电子响应文件时，请填写参加远程开标活动经办人联系方式。供应商登录“广西政府采购云平台”，依次进入“服务中心</w:t>
      </w:r>
      <w:r>
        <w:rPr>
          <w:rFonts w:ascii="宋体" w:cs="宋体"/>
          <w:color w:val="auto"/>
          <w:szCs w:val="21"/>
          <w:highlight w:val="none"/>
        </w:rPr>
        <w:t>-</w:t>
      </w:r>
      <w:r>
        <w:rPr>
          <w:rFonts w:hint="eastAsia" w:ascii="宋体" w:hAnsi="宋体" w:cs="宋体"/>
          <w:color w:val="auto"/>
          <w:szCs w:val="21"/>
          <w:highlight w:val="none"/>
        </w:rPr>
        <w:t>项目采购</w:t>
      </w:r>
      <w:r>
        <w:rPr>
          <w:rFonts w:ascii="宋体" w:cs="宋体"/>
          <w:color w:val="auto"/>
          <w:szCs w:val="21"/>
          <w:highlight w:val="none"/>
        </w:rPr>
        <w:t>-</w:t>
      </w:r>
      <w:r>
        <w:rPr>
          <w:rFonts w:hint="eastAsia" w:ascii="宋体" w:hAnsi="宋体" w:cs="宋体"/>
          <w:color w:val="auto"/>
          <w:szCs w:val="21"/>
          <w:highlight w:val="none"/>
        </w:rPr>
        <w:t>操作流程</w:t>
      </w:r>
      <w:r>
        <w:rPr>
          <w:rFonts w:ascii="宋体" w:cs="宋体"/>
          <w:color w:val="auto"/>
          <w:szCs w:val="21"/>
          <w:highlight w:val="none"/>
        </w:rPr>
        <w:t>-</w:t>
      </w:r>
      <w:r>
        <w:rPr>
          <w:rFonts w:hint="eastAsia" w:ascii="宋体" w:hAnsi="宋体" w:cs="宋体"/>
          <w:color w:val="auto"/>
          <w:szCs w:val="21"/>
          <w:highlight w:val="none"/>
        </w:rPr>
        <w:t>电子招投标</w:t>
      </w:r>
      <w:r>
        <w:rPr>
          <w:rFonts w:ascii="宋体" w:cs="宋体"/>
          <w:color w:val="auto"/>
          <w:szCs w:val="21"/>
          <w:highlight w:val="none"/>
        </w:rPr>
        <w:t>-</w:t>
      </w:r>
      <w:r>
        <w:rPr>
          <w:rFonts w:hint="eastAsia" w:ascii="宋体" w:hAnsi="宋体" w:cs="宋体"/>
          <w:color w:val="auto"/>
          <w:szCs w:val="21"/>
          <w:highlight w:val="none"/>
        </w:rPr>
        <w:t>政府采购项目电子交易管理操作指南</w:t>
      </w:r>
      <w:r>
        <w:rPr>
          <w:rFonts w:ascii="宋体" w:cs="宋体"/>
          <w:color w:val="auto"/>
          <w:szCs w:val="21"/>
          <w:highlight w:val="none"/>
        </w:rPr>
        <w:t>-</w:t>
      </w:r>
      <w:r>
        <w:rPr>
          <w:rFonts w:hint="eastAsia" w:ascii="宋体" w:hAnsi="宋体" w:cs="宋体"/>
          <w:color w:val="auto"/>
          <w:szCs w:val="21"/>
          <w:highlight w:val="none"/>
        </w:rPr>
        <w:t>供应商”查看电子竞标具体操作流程。</w:t>
      </w:r>
    </w:p>
    <w:p w14:paraId="777F62D5">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）未进行网上注册并办理数字证书（</w:t>
      </w:r>
      <w:r>
        <w:rPr>
          <w:rFonts w:ascii="宋体" w:hAnsi="宋体" w:cs="宋体"/>
          <w:color w:val="auto"/>
          <w:szCs w:val="21"/>
          <w:highlight w:val="none"/>
        </w:rPr>
        <w:t>CA</w:t>
      </w:r>
      <w:r>
        <w:rPr>
          <w:rFonts w:hint="eastAsia" w:ascii="宋体" w:hAnsi="宋体" w:cs="宋体"/>
          <w:color w:val="auto"/>
          <w:szCs w:val="21"/>
          <w:highlight w:val="none"/>
        </w:rPr>
        <w:t>认证）的供应商将无法参与本项目政府采购活动，供应商应当在竞标截止时间前，完成电子交易平台上的</w:t>
      </w:r>
      <w:r>
        <w:rPr>
          <w:rFonts w:ascii="宋体" w:hAnsi="宋体" w:cs="宋体"/>
          <w:color w:val="auto"/>
          <w:szCs w:val="21"/>
          <w:highlight w:val="none"/>
        </w:rPr>
        <w:t>CA</w:t>
      </w:r>
      <w:r>
        <w:rPr>
          <w:rFonts w:hint="eastAsia" w:ascii="宋体" w:hAnsi="宋体" w:cs="宋体"/>
          <w:color w:val="auto"/>
          <w:szCs w:val="21"/>
          <w:highlight w:val="none"/>
        </w:rPr>
        <w:t>数字证书办理及响应文件的提交（供应商可登录“广西政府采购网”，依次进入“办事服务</w:t>
      </w:r>
      <w:r>
        <w:rPr>
          <w:rFonts w:ascii="宋体" w:cs="宋体"/>
          <w:color w:val="auto"/>
          <w:szCs w:val="21"/>
          <w:highlight w:val="none"/>
        </w:rPr>
        <w:t>-</w:t>
      </w:r>
      <w:r>
        <w:rPr>
          <w:rFonts w:hint="eastAsia" w:ascii="宋体" w:hAnsi="宋体" w:cs="宋体"/>
          <w:color w:val="auto"/>
          <w:szCs w:val="21"/>
          <w:highlight w:val="none"/>
        </w:rPr>
        <w:t>下载专区”或者登陆“广西政府采购云平台”，依次进入“服务中心</w:t>
      </w:r>
      <w:r>
        <w:rPr>
          <w:rFonts w:ascii="宋体" w:cs="宋体"/>
          <w:color w:val="auto"/>
          <w:szCs w:val="21"/>
          <w:highlight w:val="none"/>
        </w:rPr>
        <w:t>-</w:t>
      </w:r>
      <w:r>
        <w:rPr>
          <w:rFonts w:hint="eastAsia" w:ascii="宋体" w:hAnsi="宋体" w:cs="宋体"/>
          <w:color w:val="auto"/>
          <w:szCs w:val="21"/>
          <w:highlight w:val="none"/>
        </w:rPr>
        <w:t>入驻与配置”中查看</w:t>
      </w:r>
      <w:r>
        <w:rPr>
          <w:rFonts w:ascii="宋体" w:hAnsi="宋体" w:cs="宋体"/>
          <w:color w:val="auto"/>
          <w:szCs w:val="21"/>
          <w:highlight w:val="none"/>
        </w:rPr>
        <w:t>CA</w:t>
      </w:r>
      <w:r>
        <w:rPr>
          <w:rFonts w:hint="eastAsia" w:ascii="宋体" w:hAnsi="宋体" w:cs="宋体"/>
          <w:color w:val="auto"/>
          <w:szCs w:val="21"/>
          <w:highlight w:val="none"/>
        </w:rPr>
        <w:t>数字证书办理操作流程。如在操作过程中遇到问题或者需要技术支持，请致电</w:t>
      </w:r>
      <w:r>
        <w:rPr>
          <w:rFonts w:hint="eastAsia" w:ascii="宋体" w:hAnsi="宋体" w:cs="宋体"/>
          <w:bCs/>
          <w:color w:val="auto"/>
          <w:kern w:val="0"/>
          <w:szCs w:val="21"/>
          <w:highlight w:val="none"/>
        </w:rPr>
        <w:t>广西政府采购云平台</w:t>
      </w:r>
      <w:r>
        <w:rPr>
          <w:rFonts w:hint="eastAsia" w:ascii="宋体" w:hAnsi="宋体" w:cs="宋体"/>
          <w:color w:val="auto"/>
          <w:szCs w:val="21"/>
          <w:highlight w:val="none"/>
        </w:rPr>
        <w:t>客服热线：</w:t>
      </w:r>
      <w:r>
        <w:rPr>
          <w:rFonts w:ascii="宋体" w:hAnsi="宋体" w:cs="宋体"/>
          <w:color w:val="auto"/>
          <w:szCs w:val="21"/>
          <w:highlight w:val="none"/>
        </w:rPr>
        <w:t>95763</w:t>
      </w:r>
      <w:r>
        <w:rPr>
          <w:rFonts w:hint="eastAsia" w:ascii="宋体" w:hAnsi="宋体" w:cs="宋体"/>
          <w:color w:val="auto"/>
          <w:szCs w:val="21"/>
          <w:highlight w:val="none"/>
        </w:rPr>
        <w:t>）。</w:t>
      </w:r>
    </w:p>
    <w:p w14:paraId="4B87170E">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w:t>
      </w:r>
      <w:r>
        <w:rPr>
          <w:rFonts w:ascii="宋体" w:hAnsi="宋体" w:cs="宋体"/>
          <w:color w:val="auto"/>
          <w:szCs w:val="21"/>
          <w:highlight w:val="none"/>
        </w:rPr>
        <w:t>CA</w:t>
      </w:r>
      <w:r>
        <w:rPr>
          <w:rFonts w:hint="eastAsia" w:ascii="宋体" w:hAnsi="宋体" w:cs="宋体"/>
          <w:color w:val="auto"/>
          <w:szCs w:val="21"/>
          <w:highlight w:val="none"/>
        </w:rPr>
        <w:t>证书在线解密：供应商竞标时，需凭制作响应文件时用来加密的有效数字证书（</w:t>
      </w:r>
      <w:r>
        <w:rPr>
          <w:rFonts w:ascii="宋体" w:hAnsi="宋体" w:cs="宋体"/>
          <w:color w:val="auto"/>
          <w:szCs w:val="21"/>
          <w:highlight w:val="none"/>
        </w:rPr>
        <w:t>CA</w:t>
      </w:r>
      <w:r>
        <w:rPr>
          <w:rFonts w:hint="eastAsia" w:ascii="宋体" w:hAnsi="宋体" w:cs="宋体"/>
          <w:color w:val="auto"/>
          <w:szCs w:val="21"/>
          <w:highlight w:val="none"/>
        </w:rPr>
        <w:t>认证）登录“广西政府采购云平台”电子开标大厅现场按规定时间对加密的响应文件进行解密，否则后果自负。</w:t>
      </w:r>
    </w:p>
    <w:p w14:paraId="4AA3BE6D">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注：</w:t>
      </w:r>
      <w:r>
        <w:rPr>
          <w:rFonts w:ascii="宋体" w:hAnsi="宋体" w:cs="宋体"/>
          <w:color w:val="auto"/>
          <w:szCs w:val="21"/>
          <w:highlight w:val="none"/>
        </w:rPr>
        <w:t>1</w:t>
      </w:r>
      <w:r>
        <w:rPr>
          <w:rFonts w:hint="eastAsia" w:ascii="宋体" w:hAnsi="宋体" w:cs="宋体"/>
          <w:color w:val="auto"/>
          <w:szCs w:val="21"/>
          <w:highlight w:val="none"/>
        </w:rPr>
        <w:t>）为确保网上操作合法、有效和安全，请供应商确保在电子投标过程中能够对相关数据电文进行加密和使用电子签章，妥善保管</w:t>
      </w:r>
      <w:r>
        <w:rPr>
          <w:rFonts w:ascii="宋体" w:hAnsi="宋体" w:cs="宋体"/>
          <w:color w:val="auto"/>
          <w:szCs w:val="21"/>
          <w:highlight w:val="none"/>
        </w:rPr>
        <w:t>CA</w:t>
      </w:r>
      <w:r>
        <w:rPr>
          <w:rFonts w:hint="eastAsia" w:ascii="宋体" w:hAnsi="宋体" w:cs="宋体"/>
          <w:color w:val="auto"/>
          <w:szCs w:val="21"/>
          <w:highlight w:val="none"/>
        </w:rPr>
        <w:t>数字证书并使用有效的</w:t>
      </w:r>
      <w:r>
        <w:rPr>
          <w:rFonts w:ascii="宋体" w:hAnsi="宋体" w:cs="宋体"/>
          <w:color w:val="auto"/>
          <w:szCs w:val="21"/>
          <w:highlight w:val="none"/>
        </w:rPr>
        <w:t>CA</w:t>
      </w:r>
      <w:r>
        <w:rPr>
          <w:rFonts w:hint="eastAsia" w:ascii="宋体" w:hAnsi="宋体" w:cs="宋体"/>
          <w:color w:val="auto"/>
          <w:szCs w:val="21"/>
          <w:highlight w:val="none"/>
        </w:rPr>
        <w:t>数字证书参与整个采购活动。</w:t>
      </w:r>
      <w:r>
        <w:rPr>
          <w:rFonts w:ascii="宋体" w:hAnsi="宋体" w:cs="宋体"/>
          <w:color w:val="auto"/>
          <w:szCs w:val="21"/>
          <w:highlight w:val="none"/>
        </w:rPr>
        <w:t>2</w:t>
      </w:r>
      <w:r>
        <w:rPr>
          <w:rFonts w:hint="eastAsia" w:ascii="宋体" w:hAnsi="宋体" w:cs="宋体"/>
          <w:color w:val="auto"/>
          <w:szCs w:val="21"/>
          <w:highlight w:val="none"/>
        </w:rPr>
        <w:t>）供应商应当在竞标截止时间前完成电子响应文件的上传、提交，竞标截止时间前可以补充、修改或者撤回响应文件。补充或者修改响应文件的，应当先行撤回原响应文件，补充、修改后重新上传、提交，提交响应文件截止时间前未完成上传、提交的，视为撤回响应文件。提交响应文件截止时间以后上传递交的响应文件，“广西政府采购云平台”将予以拒收。</w:t>
      </w:r>
    </w:p>
    <w:p w14:paraId="0B4CBD4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）供应商需要在具备有摄像头及语音功能且互联网网络状况良好的电脑登录“广西政府采购云平台”远程开标大厅参与本次磋商，否则后果自负。</w:t>
      </w:r>
    </w:p>
    <w:p w14:paraId="280A4FA9">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）若对项目采购电子交易系统操作有疑问，可登录“广西政府采购云平台”（</w:t>
      </w:r>
      <w:r>
        <w:rPr>
          <w:rFonts w:ascii="宋体" w:hAnsi="宋体" w:cs="宋体"/>
          <w:color w:val="auto"/>
          <w:szCs w:val="21"/>
          <w:highlight w:val="none"/>
        </w:rPr>
        <w:t>https://www.gcy.zfcg.gxzf.gov.cn/</w:t>
      </w:r>
      <w:r>
        <w:rPr>
          <w:rFonts w:hint="eastAsia" w:ascii="宋体" w:hAnsi="宋体" w:cs="宋体"/>
          <w:color w:val="auto"/>
          <w:szCs w:val="21"/>
          <w:highlight w:val="none"/>
        </w:rPr>
        <w:t>），点击右侧咨询小采，获取采小蜜智能服务管家帮助，或拨打广西政府采购云平台服务热线</w:t>
      </w:r>
      <w:r>
        <w:rPr>
          <w:rFonts w:ascii="宋体" w:hAnsi="宋体" w:cs="宋体"/>
          <w:color w:val="auto"/>
          <w:szCs w:val="21"/>
          <w:highlight w:val="none"/>
        </w:rPr>
        <w:t>95763</w:t>
      </w:r>
      <w:r>
        <w:rPr>
          <w:rFonts w:hint="eastAsia" w:ascii="宋体" w:hAnsi="宋体" w:cs="宋体"/>
          <w:color w:val="auto"/>
          <w:szCs w:val="21"/>
          <w:highlight w:val="none"/>
        </w:rPr>
        <w:t>获取热线服务帮助。</w:t>
      </w:r>
    </w:p>
    <w:p w14:paraId="51DA9D97">
      <w:pPr>
        <w:spacing w:line="360" w:lineRule="auto"/>
        <w:ind w:firstLine="354" w:firstLineChars="147"/>
        <w:rPr>
          <w:rFonts w:ascii="宋体" w:cs="宋体"/>
          <w:b/>
          <w:color w:val="auto"/>
          <w:sz w:val="24"/>
          <w:highlight w:val="none"/>
        </w:rPr>
      </w:pPr>
      <w:r>
        <w:rPr>
          <w:rFonts w:hint="eastAsia" w:ascii="宋体" w:hAnsi="宋体" w:cs="宋体"/>
          <w:b/>
          <w:color w:val="auto"/>
          <w:sz w:val="24"/>
          <w:highlight w:val="none"/>
        </w:rPr>
        <w:t>八、凡对本次采购提出询问，请按以下方式联系。</w:t>
      </w:r>
      <w:bookmarkEnd w:id="10"/>
      <w:bookmarkEnd w:id="11"/>
      <w:bookmarkEnd w:id="12"/>
      <w:bookmarkEnd w:id="13"/>
      <w:bookmarkEnd w:id="14"/>
    </w:p>
    <w:p w14:paraId="71EDD17C">
      <w:pPr>
        <w:spacing w:line="360" w:lineRule="auto"/>
        <w:ind w:firstLine="567" w:firstLineChars="270"/>
        <w:rPr>
          <w:rFonts w:ascii="宋体" w:cs="宋体"/>
          <w:color w:val="auto"/>
          <w:szCs w:val="21"/>
          <w:highlight w:val="none"/>
        </w:rPr>
      </w:pPr>
      <w:bookmarkStart w:id="16" w:name="_Toc35393806"/>
      <w:bookmarkStart w:id="17" w:name="_Toc28359096"/>
      <w:bookmarkStart w:id="18" w:name="_Toc28359019"/>
      <w:bookmarkStart w:id="19" w:name="_Toc35393637"/>
      <w:r>
        <w:rPr>
          <w:rFonts w:ascii="宋体" w:hAnsi="宋体" w:cs="宋体"/>
          <w:color w:val="auto"/>
          <w:szCs w:val="21"/>
          <w:highlight w:val="none"/>
        </w:rPr>
        <w:t>1.</w:t>
      </w:r>
      <w:r>
        <w:rPr>
          <w:rFonts w:hint="eastAsia" w:ascii="宋体" w:hAnsi="宋体" w:cs="宋体"/>
          <w:color w:val="auto"/>
          <w:szCs w:val="21"/>
          <w:highlight w:val="none"/>
        </w:rPr>
        <w:t>采购人信息</w:t>
      </w:r>
    </w:p>
    <w:p w14:paraId="1EBB691D">
      <w:pPr>
        <w:spacing w:line="360" w:lineRule="auto"/>
        <w:ind w:firstLine="567" w:firstLineChars="270"/>
        <w:rPr>
          <w:rFonts w:ascii="宋体" w:cs="宋体"/>
          <w:color w:val="auto"/>
          <w:szCs w:val="21"/>
          <w:highlight w:val="none"/>
        </w:rPr>
      </w:pPr>
      <w:r>
        <w:rPr>
          <w:rFonts w:hint="eastAsia" w:ascii="宋体" w:hAnsi="宋体" w:cs="宋体"/>
          <w:color w:val="auto"/>
          <w:szCs w:val="21"/>
          <w:highlight w:val="none"/>
        </w:rPr>
        <w:t>名</w:t>
      </w:r>
      <w:r>
        <w:rPr>
          <w:rFonts w:ascii="宋体" w:hAnsi="宋体" w:cs="宋体"/>
          <w:color w:val="auto"/>
          <w:szCs w:val="21"/>
          <w:highlight w:val="none"/>
        </w:rPr>
        <w:t xml:space="preserve"> </w:t>
      </w:r>
      <w:r>
        <w:rPr>
          <w:rFonts w:hint="eastAsia" w:ascii="宋体" w:hAnsi="宋体" w:cs="宋体"/>
          <w:color w:val="auto"/>
          <w:szCs w:val="21"/>
          <w:highlight w:val="none"/>
        </w:rPr>
        <w:t>称：广西壮族自治区农业信息中心</w:t>
      </w:r>
    </w:p>
    <w:p w14:paraId="540C616D">
      <w:pPr>
        <w:spacing w:line="360" w:lineRule="auto"/>
        <w:ind w:firstLine="567" w:firstLineChars="270"/>
        <w:rPr>
          <w:rFonts w:ascii="宋体" w:cs="宋体"/>
          <w:color w:val="auto"/>
          <w:szCs w:val="21"/>
          <w:highlight w:val="none"/>
        </w:rPr>
      </w:pPr>
      <w:r>
        <w:rPr>
          <w:rFonts w:hint="eastAsia" w:ascii="宋体" w:hAnsi="宋体" w:cs="宋体"/>
          <w:color w:val="auto"/>
          <w:szCs w:val="21"/>
          <w:highlight w:val="none"/>
        </w:rPr>
        <w:t>地址：广西南宁市七星路</w:t>
      </w:r>
      <w:r>
        <w:rPr>
          <w:rFonts w:ascii="宋体" w:hAnsi="宋体" w:cs="宋体"/>
          <w:color w:val="auto"/>
          <w:szCs w:val="21"/>
          <w:highlight w:val="none"/>
        </w:rPr>
        <w:t>135</w:t>
      </w:r>
      <w:r>
        <w:rPr>
          <w:rFonts w:hint="eastAsia" w:ascii="宋体" w:hAnsi="宋体" w:cs="宋体"/>
          <w:color w:val="auto"/>
          <w:szCs w:val="21"/>
          <w:highlight w:val="none"/>
        </w:rPr>
        <w:t>号　</w:t>
      </w:r>
    </w:p>
    <w:p w14:paraId="5B056AE5">
      <w:pPr>
        <w:spacing w:line="360" w:lineRule="auto"/>
        <w:ind w:firstLine="567" w:firstLineChars="270"/>
        <w:rPr>
          <w:rFonts w:ascii="宋体" w:cs="宋体"/>
          <w:color w:val="auto"/>
          <w:szCs w:val="21"/>
          <w:highlight w:val="none"/>
        </w:rPr>
      </w:pPr>
      <w:r>
        <w:rPr>
          <w:rFonts w:hint="eastAsia" w:ascii="宋体" w:hAnsi="宋体" w:cs="宋体"/>
          <w:color w:val="auto"/>
          <w:szCs w:val="21"/>
          <w:highlight w:val="none"/>
        </w:rPr>
        <w:t>联系方式：陈工　</w:t>
      </w:r>
      <w:bookmarkStart w:id="20" w:name="_Toc28359086"/>
      <w:bookmarkStart w:id="21" w:name="_Toc28359009"/>
      <w:r>
        <w:rPr>
          <w:rFonts w:ascii="宋体" w:hAnsi="宋体" w:cs="宋体"/>
          <w:color w:val="auto"/>
          <w:szCs w:val="21"/>
          <w:highlight w:val="none"/>
        </w:rPr>
        <w:t xml:space="preserve"> 0771-218285</w:t>
      </w:r>
      <w:r>
        <w:rPr>
          <w:rFonts w:hint="eastAsia" w:ascii="宋体" w:hAnsi="宋体" w:cs="宋体"/>
          <w:color w:val="auto"/>
          <w:szCs w:val="21"/>
          <w:highlight w:val="none"/>
        </w:rPr>
        <w:t>3</w:t>
      </w:r>
      <w:r>
        <w:rPr>
          <w:rFonts w:ascii="宋体" w:hAnsi="宋体" w:cs="宋体"/>
          <w:color w:val="auto"/>
          <w:szCs w:val="21"/>
          <w:highlight w:val="none"/>
        </w:rPr>
        <w:t xml:space="preserve">     </w:t>
      </w:r>
    </w:p>
    <w:p w14:paraId="6981093E">
      <w:pPr>
        <w:spacing w:line="360" w:lineRule="auto"/>
        <w:ind w:firstLine="567" w:firstLineChars="27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采购代理机构信息</w:t>
      </w:r>
      <w:bookmarkEnd w:id="20"/>
      <w:bookmarkEnd w:id="21"/>
    </w:p>
    <w:p w14:paraId="54C79D6D">
      <w:pPr>
        <w:spacing w:line="360" w:lineRule="auto"/>
        <w:ind w:firstLine="567" w:firstLineChars="270"/>
        <w:rPr>
          <w:rFonts w:ascii="宋体" w:cs="宋体"/>
          <w:color w:val="auto"/>
          <w:szCs w:val="21"/>
          <w:highlight w:val="none"/>
        </w:rPr>
      </w:pPr>
      <w:r>
        <w:rPr>
          <w:rFonts w:hint="eastAsia" w:ascii="宋体" w:hAnsi="宋体" w:cs="宋体"/>
          <w:color w:val="auto"/>
          <w:szCs w:val="21"/>
          <w:highlight w:val="none"/>
        </w:rPr>
        <w:t>名</w:t>
      </w:r>
      <w:r>
        <w:rPr>
          <w:rFonts w:ascii="宋体" w:hAnsi="宋体" w:cs="宋体"/>
          <w:color w:val="auto"/>
          <w:szCs w:val="21"/>
          <w:highlight w:val="none"/>
        </w:rPr>
        <w:t xml:space="preserve"> </w:t>
      </w:r>
      <w:r>
        <w:rPr>
          <w:rFonts w:hint="eastAsia" w:ascii="宋体" w:hAnsi="宋体" w:cs="宋体"/>
          <w:color w:val="auto"/>
          <w:szCs w:val="21"/>
          <w:highlight w:val="none"/>
        </w:rPr>
        <w:t>称：广西国泰招标咨询有限公司</w:t>
      </w:r>
    </w:p>
    <w:p w14:paraId="3A25C67F">
      <w:pPr>
        <w:spacing w:line="360" w:lineRule="auto"/>
        <w:ind w:firstLine="567" w:firstLineChars="270"/>
        <w:rPr>
          <w:rFonts w:ascii="宋体" w:cs="宋体"/>
          <w:color w:val="auto"/>
          <w:szCs w:val="21"/>
          <w:highlight w:val="none"/>
        </w:rPr>
      </w:pPr>
      <w:r>
        <w:rPr>
          <w:rFonts w:hint="eastAsia" w:ascii="宋体" w:hAnsi="宋体" w:cs="宋体"/>
          <w:color w:val="auto"/>
          <w:szCs w:val="21"/>
          <w:highlight w:val="none"/>
        </w:rPr>
        <w:t>地　址：广西南宁市民族大道</w:t>
      </w:r>
      <w:r>
        <w:rPr>
          <w:rFonts w:ascii="宋体" w:hAnsi="宋体" w:cs="宋体"/>
          <w:color w:val="auto"/>
          <w:szCs w:val="21"/>
          <w:highlight w:val="none"/>
        </w:rPr>
        <w:t>141</w:t>
      </w:r>
      <w:r>
        <w:rPr>
          <w:rFonts w:hint="eastAsia" w:ascii="宋体" w:hAnsi="宋体" w:cs="宋体"/>
          <w:color w:val="auto"/>
          <w:szCs w:val="21"/>
          <w:highlight w:val="none"/>
        </w:rPr>
        <w:t>号中鼎万象东方大厦</w:t>
      </w:r>
      <w:r>
        <w:rPr>
          <w:rFonts w:ascii="宋体" w:hAnsi="宋体" w:cs="宋体"/>
          <w:color w:val="auto"/>
          <w:szCs w:val="21"/>
          <w:highlight w:val="none"/>
        </w:rPr>
        <w:t>D</w:t>
      </w:r>
      <w:r>
        <w:rPr>
          <w:rFonts w:hint="eastAsia" w:ascii="宋体" w:hAnsi="宋体" w:cs="宋体"/>
          <w:color w:val="auto"/>
          <w:szCs w:val="21"/>
          <w:highlight w:val="none"/>
        </w:rPr>
        <w:t>区六层</w:t>
      </w:r>
      <w:r>
        <w:rPr>
          <w:rFonts w:ascii="宋体" w:hAnsi="宋体" w:cs="宋体"/>
          <w:color w:val="auto"/>
          <w:szCs w:val="21"/>
          <w:highlight w:val="none"/>
        </w:rPr>
        <w:t>D607</w:t>
      </w:r>
    </w:p>
    <w:p w14:paraId="6B4CDAA4">
      <w:pPr>
        <w:spacing w:line="360" w:lineRule="auto"/>
        <w:ind w:firstLine="567" w:firstLineChars="270"/>
        <w:rPr>
          <w:rFonts w:ascii="宋体" w:cs="宋体"/>
          <w:color w:val="auto"/>
          <w:szCs w:val="21"/>
          <w:highlight w:val="none"/>
        </w:rPr>
      </w:pPr>
      <w:r>
        <w:rPr>
          <w:rFonts w:hint="eastAsia" w:ascii="宋体" w:hAnsi="宋体" w:cs="宋体"/>
          <w:color w:val="auto"/>
          <w:szCs w:val="21"/>
          <w:highlight w:val="none"/>
        </w:rPr>
        <w:t>联系方式：</w:t>
      </w:r>
      <w:bookmarkStart w:id="22" w:name="_Toc28359087"/>
      <w:bookmarkStart w:id="23" w:name="_Toc28359010"/>
      <w:r>
        <w:rPr>
          <w:rFonts w:hint="eastAsia" w:ascii="宋体" w:hAnsi="宋体" w:cs="宋体"/>
          <w:color w:val="auto"/>
          <w:szCs w:val="21"/>
          <w:highlight w:val="none"/>
        </w:rPr>
        <w:t>黄工</w:t>
      </w:r>
      <w:r>
        <w:rPr>
          <w:rFonts w:ascii="宋体" w:hAnsi="宋体" w:cs="宋体"/>
          <w:color w:val="auto"/>
          <w:szCs w:val="21"/>
          <w:highlight w:val="none"/>
        </w:rPr>
        <w:t xml:space="preserve">   0771-2023496</w:t>
      </w:r>
      <w:r>
        <w:rPr>
          <w:rFonts w:hint="eastAsia" w:ascii="宋体" w:hAnsi="宋体" w:cs="宋体"/>
          <w:color w:val="auto"/>
          <w:szCs w:val="21"/>
          <w:highlight w:val="none"/>
        </w:rPr>
        <w:t>　</w:t>
      </w:r>
    </w:p>
    <w:p w14:paraId="4851A06E">
      <w:pPr>
        <w:spacing w:line="360" w:lineRule="auto"/>
        <w:ind w:firstLine="567" w:firstLineChars="27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项目联系方式</w:t>
      </w:r>
      <w:bookmarkEnd w:id="22"/>
      <w:bookmarkEnd w:id="23"/>
    </w:p>
    <w:p w14:paraId="0714C824">
      <w:pPr>
        <w:spacing w:line="360" w:lineRule="auto"/>
        <w:ind w:firstLine="567" w:firstLineChars="270"/>
        <w:rPr>
          <w:rFonts w:ascii="宋体" w:cs="宋体"/>
          <w:color w:val="auto"/>
          <w:szCs w:val="21"/>
          <w:highlight w:val="none"/>
        </w:rPr>
      </w:pPr>
      <w:r>
        <w:rPr>
          <w:rFonts w:hint="eastAsia" w:ascii="宋体" w:hAnsi="宋体" w:cs="宋体"/>
          <w:color w:val="auto"/>
          <w:szCs w:val="21"/>
          <w:highlight w:val="none"/>
        </w:rPr>
        <w:t>项目联系人：</w:t>
      </w:r>
      <w:r>
        <w:rPr>
          <w:rFonts w:ascii="宋体" w:hAnsi="宋体" w:cs="宋体"/>
          <w:color w:val="auto"/>
          <w:szCs w:val="21"/>
          <w:highlight w:val="none"/>
        </w:rPr>
        <w:t xml:space="preserve">  </w:t>
      </w:r>
      <w:r>
        <w:rPr>
          <w:rFonts w:hint="eastAsia" w:ascii="宋体" w:hAnsi="宋体" w:cs="宋体"/>
          <w:color w:val="auto"/>
          <w:szCs w:val="21"/>
          <w:highlight w:val="none"/>
        </w:rPr>
        <w:t>黄工</w:t>
      </w:r>
      <w:r>
        <w:rPr>
          <w:rFonts w:ascii="宋体" w:hAnsi="宋体" w:cs="宋体"/>
          <w:color w:val="auto"/>
          <w:szCs w:val="21"/>
          <w:highlight w:val="none"/>
        </w:rPr>
        <w:t xml:space="preserve">      </w:t>
      </w:r>
    </w:p>
    <w:p w14:paraId="6B9C0238">
      <w:pPr>
        <w:spacing w:line="360" w:lineRule="auto"/>
        <w:ind w:firstLine="567" w:firstLineChars="270"/>
        <w:rPr>
          <w:rFonts w:ascii="宋体" w:cs="宋体"/>
          <w:color w:val="auto"/>
          <w:szCs w:val="21"/>
          <w:highlight w:val="none"/>
        </w:rPr>
      </w:pPr>
      <w:r>
        <w:rPr>
          <w:rFonts w:hint="eastAsia" w:ascii="宋体" w:hAnsi="宋体" w:cs="宋体"/>
          <w:color w:val="auto"/>
          <w:szCs w:val="21"/>
          <w:highlight w:val="none"/>
        </w:rPr>
        <w:t>电　话：　</w:t>
      </w:r>
      <w:r>
        <w:rPr>
          <w:rFonts w:ascii="宋体" w:hAnsi="宋体" w:cs="宋体"/>
          <w:color w:val="auto"/>
          <w:szCs w:val="21"/>
          <w:highlight w:val="none"/>
        </w:rPr>
        <w:t>0771-2023496</w:t>
      </w:r>
      <w:r>
        <w:rPr>
          <w:rFonts w:hint="eastAsia" w:ascii="宋体" w:hAnsi="宋体" w:cs="宋体"/>
          <w:color w:val="auto"/>
          <w:szCs w:val="21"/>
          <w:highlight w:val="none"/>
        </w:rPr>
        <w:t>　　</w:t>
      </w:r>
    </w:p>
    <w:p w14:paraId="7E529AC6">
      <w:pPr>
        <w:spacing w:line="360" w:lineRule="auto"/>
        <w:ind w:firstLine="567" w:firstLineChars="270"/>
        <w:rPr>
          <w:rFonts w:ascii="宋体" w:cs="宋体"/>
          <w:color w:val="auto"/>
          <w:szCs w:val="21"/>
          <w:highlight w:val="none"/>
        </w:rPr>
      </w:pPr>
      <w:r>
        <w:rPr>
          <w:rFonts w:hint="eastAsia" w:ascii="宋体" w:hAnsi="宋体" w:cs="宋体"/>
          <w:color w:val="auto"/>
          <w:szCs w:val="21"/>
          <w:highlight w:val="none"/>
        </w:rPr>
        <w:t>　　　　　　　　　　</w:t>
      </w:r>
    </w:p>
    <w:p w14:paraId="15057FD9">
      <w:pPr>
        <w:spacing w:line="380" w:lineRule="exact"/>
        <w:rPr>
          <w:rFonts w:ascii="宋体" w:cs="宋体"/>
          <w:color w:val="auto"/>
          <w:szCs w:val="21"/>
          <w:highlight w:val="none"/>
        </w:rPr>
      </w:pPr>
    </w:p>
    <w:p w14:paraId="7C6BC436">
      <w:pPr>
        <w:spacing w:line="360" w:lineRule="auto"/>
        <w:ind w:firstLine="6232" w:firstLineChars="2968"/>
        <w:rPr>
          <w:rFonts w:ascii="宋体" w:cs="宋体"/>
          <w:color w:val="auto"/>
          <w:szCs w:val="21"/>
          <w:highlight w:val="none"/>
        </w:rPr>
      </w:pPr>
      <w:r>
        <w:rPr>
          <w:rFonts w:hint="eastAsia" w:ascii="宋体" w:hAnsi="宋体" w:cs="宋体"/>
          <w:color w:val="auto"/>
          <w:szCs w:val="21"/>
          <w:highlight w:val="none"/>
        </w:rPr>
        <w:t>广西国泰招标咨询有限公司</w:t>
      </w:r>
    </w:p>
    <w:p w14:paraId="52FB7F16">
      <w:pPr>
        <w:spacing w:line="360" w:lineRule="auto"/>
        <w:ind w:firstLine="6652" w:firstLineChars="3168"/>
        <w:rPr>
          <w:rFonts w:ascii="宋体" w:cs="宋体"/>
          <w:color w:val="auto"/>
          <w:szCs w:val="21"/>
          <w:highlight w:val="none"/>
        </w:rPr>
      </w:pPr>
      <w:r>
        <w:rPr>
          <w:rFonts w:ascii="宋体" w:hAnsi="宋体" w:cs="宋体"/>
          <w:color w:val="auto"/>
          <w:szCs w:val="21"/>
          <w:highlight w:val="none"/>
        </w:rPr>
        <w:t>2025</w:t>
      </w:r>
      <w:r>
        <w:rPr>
          <w:rFonts w:hint="eastAsia" w:ascii="宋体" w:hAnsi="宋体" w:cs="宋体"/>
          <w:color w:val="auto"/>
          <w:szCs w:val="21"/>
          <w:highlight w:val="none"/>
        </w:rPr>
        <w:t>年5月</w:t>
      </w:r>
      <w:r>
        <w:rPr>
          <w:rFonts w:hint="eastAsia" w:ascii="宋体" w:hAnsi="宋体" w:cs="宋体"/>
          <w:color w:val="auto"/>
          <w:szCs w:val="21"/>
          <w:highlight w:val="none"/>
          <w:lang w:val="en-US" w:eastAsia="zh-CN"/>
        </w:rPr>
        <w:t>28</w:t>
      </w:r>
      <w:r>
        <w:rPr>
          <w:rFonts w:hint="eastAsia" w:ascii="宋体" w:hAnsi="宋体" w:cs="宋体"/>
          <w:color w:val="auto"/>
          <w:szCs w:val="21"/>
          <w:highlight w:val="none"/>
        </w:rPr>
        <w:t>日</w:t>
      </w:r>
    </w:p>
    <w:p w14:paraId="24E5FD1B">
      <w:pPr>
        <w:pStyle w:val="3"/>
        <w:rPr>
          <w:rFonts w:ascii="宋体" w:cs="宋体"/>
          <w:color w:val="auto"/>
          <w:sz w:val="32"/>
          <w:szCs w:val="32"/>
          <w:highlight w:val="none"/>
        </w:rPr>
      </w:pPr>
      <w:r>
        <w:rPr>
          <w:rFonts w:ascii="宋体" w:hAnsi="宋体" w:cs="宋体"/>
          <w:b w:val="0"/>
          <w:bCs w:val="0"/>
          <w:color w:val="auto"/>
          <w:kern w:val="2"/>
          <w:sz w:val="21"/>
          <w:szCs w:val="21"/>
          <w:highlight w:val="none"/>
        </w:rPr>
        <w:t xml:space="preserve">                                           </w:t>
      </w:r>
      <w:bookmarkEnd w:id="2"/>
      <w:bookmarkEnd w:id="16"/>
      <w:bookmarkEnd w:id="17"/>
      <w:bookmarkEnd w:id="18"/>
      <w:bookmarkEnd w:id="19"/>
      <w:r>
        <w:rPr>
          <w:rFonts w:ascii="宋体" w:hAnsi="宋体" w:cs="宋体"/>
          <w:b w:val="0"/>
          <w:bCs w:val="0"/>
          <w:color w:val="auto"/>
          <w:kern w:val="2"/>
          <w:sz w:val="21"/>
          <w:szCs w:val="21"/>
          <w:highlight w:val="none"/>
        </w:rPr>
        <w:br w:type="page"/>
      </w:r>
      <w:bookmarkStart w:id="24" w:name="_Toc23903"/>
      <w:r>
        <w:rPr>
          <w:rFonts w:hint="eastAsia"/>
          <w:color w:val="auto"/>
          <w:highlight w:val="none"/>
        </w:rPr>
        <w:t>第二章</w:t>
      </w:r>
      <w:r>
        <w:rPr>
          <w:color w:val="auto"/>
          <w:highlight w:val="none"/>
        </w:rPr>
        <w:t xml:space="preserve"> </w:t>
      </w:r>
      <w:r>
        <w:rPr>
          <w:rStyle w:val="38"/>
          <w:rFonts w:hint="eastAsia"/>
          <w:b/>
          <w:color w:val="auto"/>
          <w:sz w:val="36"/>
          <w:highlight w:val="none"/>
        </w:rPr>
        <w:t>供应商须知</w:t>
      </w:r>
      <w:bookmarkEnd w:id="24"/>
    </w:p>
    <w:p w14:paraId="53A84799">
      <w:pPr>
        <w:jc w:val="center"/>
        <w:rPr>
          <w:b/>
          <w:bCs/>
          <w:color w:val="auto"/>
          <w:sz w:val="32"/>
          <w:szCs w:val="32"/>
          <w:highlight w:val="none"/>
        </w:rPr>
      </w:pPr>
      <w:r>
        <w:rPr>
          <w:rFonts w:hint="eastAsia"/>
          <w:b/>
          <w:bCs/>
          <w:color w:val="auto"/>
          <w:sz w:val="32"/>
          <w:szCs w:val="32"/>
          <w:highlight w:val="none"/>
        </w:rPr>
        <w:t>供应商须知前附表</w:t>
      </w:r>
    </w:p>
    <w:p w14:paraId="0C58E392">
      <w:pPr>
        <w:rPr>
          <w:color w:val="auto"/>
          <w:highlight w:val="none"/>
        </w:rPr>
      </w:pPr>
    </w:p>
    <w:tbl>
      <w:tblPr>
        <w:tblStyle w:val="32"/>
        <w:tblW w:w="96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627"/>
      </w:tblGrid>
      <w:tr w14:paraId="57749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368A4790">
            <w:pPr>
              <w:spacing w:line="360" w:lineRule="auto"/>
              <w:jc w:val="center"/>
              <w:rPr>
                <w:rFonts w:ascii="宋体" w:cs="宋体"/>
                <w:b/>
                <w:color w:val="auto"/>
                <w:szCs w:val="21"/>
                <w:highlight w:val="none"/>
              </w:rPr>
            </w:pPr>
            <w:r>
              <w:rPr>
                <w:rFonts w:hint="eastAsia" w:ascii="宋体" w:hAnsi="宋体" w:cs="宋体"/>
                <w:b/>
                <w:color w:val="auto"/>
                <w:szCs w:val="21"/>
                <w:highlight w:val="none"/>
              </w:rPr>
              <w:t>条款号</w:t>
            </w:r>
          </w:p>
        </w:tc>
        <w:tc>
          <w:tcPr>
            <w:tcW w:w="8627" w:type="dxa"/>
          </w:tcPr>
          <w:p w14:paraId="0D8AC6C4">
            <w:pPr>
              <w:spacing w:line="360" w:lineRule="auto"/>
              <w:jc w:val="center"/>
              <w:rPr>
                <w:rFonts w:ascii="宋体" w:cs="宋体"/>
                <w:b/>
                <w:color w:val="auto"/>
                <w:szCs w:val="21"/>
                <w:highlight w:val="none"/>
              </w:rPr>
            </w:pPr>
            <w:r>
              <w:rPr>
                <w:rFonts w:hint="eastAsia" w:ascii="宋体" w:hAnsi="宋体" w:cs="宋体"/>
                <w:b/>
                <w:color w:val="auto"/>
                <w:szCs w:val="21"/>
                <w:highlight w:val="none"/>
              </w:rPr>
              <w:t>内</w:t>
            </w:r>
            <w:r>
              <w:rPr>
                <w:rFonts w:ascii="宋体" w:hAnsi="宋体" w:cs="宋体"/>
                <w:b/>
                <w:color w:val="auto"/>
                <w:szCs w:val="21"/>
                <w:highlight w:val="none"/>
              </w:rPr>
              <w:t xml:space="preserve">    </w:t>
            </w:r>
            <w:r>
              <w:rPr>
                <w:rFonts w:hint="eastAsia" w:ascii="宋体" w:hAnsi="宋体" w:cs="宋体"/>
                <w:b/>
                <w:color w:val="auto"/>
                <w:szCs w:val="21"/>
                <w:highlight w:val="none"/>
              </w:rPr>
              <w:t>容</w:t>
            </w:r>
          </w:p>
        </w:tc>
      </w:tr>
      <w:tr w14:paraId="6C4B9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98F3ABA">
            <w:pPr>
              <w:spacing w:line="360" w:lineRule="auto"/>
              <w:jc w:val="center"/>
              <w:rPr>
                <w:rFonts w:ascii="宋体" w:cs="宋体"/>
                <w:color w:val="auto"/>
                <w:szCs w:val="21"/>
                <w:highlight w:val="none"/>
              </w:rPr>
            </w:pPr>
            <w:r>
              <w:rPr>
                <w:rFonts w:ascii="宋体" w:hAnsi="宋体" w:cs="宋体"/>
                <w:color w:val="auto"/>
                <w:szCs w:val="21"/>
                <w:highlight w:val="none"/>
              </w:rPr>
              <w:t>3</w:t>
            </w:r>
          </w:p>
        </w:tc>
        <w:tc>
          <w:tcPr>
            <w:tcW w:w="8627" w:type="dxa"/>
            <w:vAlign w:val="center"/>
          </w:tcPr>
          <w:p w14:paraId="1104225A">
            <w:pPr>
              <w:spacing w:line="360" w:lineRule="auto"/>
              <w:rPr>
                <w:rFonts w:ascii="宋体" w:cs="宋体"/>
                <w:color w:val="auto"/>
                <w:szCs w:val="21"/>
                <w:highlight w:val="none"/>
              </w:rPr>
            </w:pPr>
            <w:r>
              <w:rPr>
                <w:rFonts w:hint="eastAsia" w:ascii="宋体" w:hAnsi="宋体" w:cs="宋体"/>
                <w:bCs/>
                <w:color w:val="auto"/>
                <w:szCs w:val="21"/>
                <w:highlight w:val="none"/>
              </w:rPr>
              <w:t>供应商的资格条件</w:t>
            </w:r>
            <w:r>
              <w:rPr>
                <w:rFonts w:hint="eastAsia" w:ascii="宋体" w:hAnsi="宋体" w:cs="宋体"/>
                <w:color w:val="auto"/>
                <w:szCs w:val="21"/>
                <w:highlight w:val="none"/>
              </w:rPr>
              <w:t>：详见竞争性磋商公告</w:t>
            </w:r>
          </w:p>
        </w:tc>
      </w:tr>
      <w:tr w14:paraId="37FDC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F5D151B">
            <w:pPr>
              <w:spacing w:line="360" w:lineRule="auto"/>
              <w:jc w:val="center"/>
              <w:rPr>
                <w:rFonts w:ascii="宋体" w:cs="宋体"/>
                <w:color w:val="auto"/>
                <w:szCs w:val="21"/>
                <w:highlight w:val="none"/>
              </w:rPr>
            </w:pPr>
            <w:r>
              <w:rPr>
                <w:rFonts w:ascii="宋体" w:hAnsi="宋体" w:cs="宋体"/>
                <w:color w:val="auto"/>
                <w:szCs w:val="21"/>
                <w:highlight w:val="none"/>
              </w:rPr>
              <w:t>5.1</w:t>
            </w:r>
          </w:p>
        </w:tc>
        <w:tc>
          <w:tcPr>
            <w:tcW w:w="8627" w:type="dxa"/>
            <w:vAlign w:val="center"/>
          </w:tcPr>
          <w:p w14:paraId="7DAACCBC">
            <w:pPr>
              <w:spacing w:line="360" w:lineRule="auto"/>
              <w:rPr>
                <w:rFonts w:ascii="宋体" w:cs="宋体"/>
                <w:color w:val="auto"/>
                <w:szCs w:val="21"/>
                <w:highlight w:val="none"/>
              </w:rPr>
            </w:pPr>
            <w:r>
              <w:rPr>
                <w:rFonts w:hint="eastAsia" w:ascii="宋体" w:hAnsi="宋体" w:cs="宋体"/>
                <w:color w:val="auto"/>
                <w:szCs w:val="21"/>
                <w:highlight w:val="none"/>
              </w:rPr>
              <w:t>是否接受联合体竞标：详见竞争性磋商公告</w:t>
            </w:r>
          </w:p>
        </w:tc>
      </w:tr>
      <w:tr w14:paraId="0EDBA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5EF17E7">
            <w:pPr>
              <w:spacing w:line="360" w:lineRule="auto"/>
              <w:jc w:val="center"/>
              <w:rPr>
                <w:rFonts w:ascii="宋体" w:cs="宋体"/>
                <w:color w:val="auto"/>
                <w:szCs w:val="21"/>
                <w:highlight w:val="none"/>
              </w:rPr>
            </w:pPr>
            <w:r>
              <w:rPr>
                <w:rFonts w:ascii="宋体" w:hAnsi="宋体" w:cs="宋体"/>
                <w:color w:val="auto"/>
                <w:szCs w:val="21"/>
                <w:highlight w:val="none"/>
              </w:rPr>
              <w:t>6.2</w:t>
            </w:r>
          </w:p>
        </w:tc>
        <w:tc>
          <w:tcPr>
            <w:tcW w:w="8627" w:type="dxa"/>
            <w:vAlign w:val="center"/>
          </w:tcPr>
          <w:p w14:paraId="2A83D339">
            <w:pPr>
              <w:pStyle w:val="13"/>
              <w:spacing w:line="400" w:lineRule="exact"/>
              <w:rPr>
                <w:rFonts w:ascii="宋体" w:cs="宋体"/>
                <w:color w:val="auto"/>
                <w:szCs w:val="21"/>
                <w:highlight w:val="none"/>
              </w:rPr>
            </w:pPr>
            <w:r>
              <w:rPr>
                <w:rFonts w:hint="eastAsia" w:ascii="宋体" w:hAnsi="宋体" w:cs="宋体"/>
                <w:color w:val="auto"/>
                <w:szCs w:val="21"/>
                <w:highlight w:val="none"/>
              </w:rPr>
              <w:t>本项目不允许分包。</w:t>
            </w:r>
          </w:p>
        </w:tc>
      </w:tr>
      <w:tr w14:paraId="2FA27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EDF3B34">
            <w:pPr>
              <w:spacing w:line="360" w:lineRule="auto"/>
              <w:jc w:val="center"/>
              <w:rPr>
                <w:rFonts w:ascii="宋体" w:cs="宋体"/>
                <w:color w:val="auto"/>
                <w:szCs w:val="21"/>
                <w:highlight w:val="none"/>
              </w:rPr>
            </w:pPr>
            <w:r>
              <w:rPr>
                <w:rFonts w:ascii="宋体" w:hAnsi="宋体" w:cs="宋体"/>
                <w:color w:val="auto"/>
                <w:szCs w:val="21"/>
                <w:highlight w:val="none"/>
              </w:rPr>
              <w:t>12.1.1</w:t>
            </w:r>
          </w:p>
        </w:tc>
        <w:tc>
          <w:tcPr>
            <w:tcW w:w="8627" w:type="dxa"/>
            <w:vAlign w:val="center"/>
          </w:tcPr>
          <w:p w14:paraId="22657D79">
            <w:pPr>
              <w:snapToGrid w:val="0"/>
              <w:spacing w:line="360" w:lineRule="auto"/>
              <w:jc w:val="left"/>
              <w:rPr>
                <w:rFonts w:ascii="宋体" w:cs="宋体"/>
                <w:b/>
                <w:color w:val="auto"/>
                <w:szCs w:val="21"/>
                <w:highlight w:val="none"/>
              </w:rPr>
            </w:pPr>
            <w:r>
              <w:rPr>
                <w:rFonts w:hint="eastAsia" w:ascii="宋体" w:hAnsi="宋体" w:cs="宋体"/>
                <w:b/>
                <w:color w:val="auto"/>
                <w:szCs w:val="21"/>
                <w:highlight w:val="none"/>
              </w:rPr>
              <w:t>资格证明文件</w:t>
            </w:r>
          </w:p>
          <w:p w14:paraId="74A0A9F3">
            <w:pPr>
              <w:pStyle w:val="13"/>
              <w:spacing w:line="360" w:lineRule="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、供应商为法人或者其他组织的，证明文件为其营业执照复印件（如营业执照或者事业单位法人证书或者执业许可证等）；供应商为自然人的，证明文件为其身份证复印件；（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8886C82">
            <w:pPr>
              <w:spacing w:line="360" w:lineRule="auto"/>
              <w:contextualSpacing/>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、供应商依法缴纳税收的相关材料（</w:t>
            </w:r>
            <w:r>
              <w:rPr>
                <w:rFonts w:ascii="宋体" w:hAnsi="宋体" w:cs="宋体"/>
                <w:color w:val="auto"/>
                <w:szCs w:val="21"/>
                <w:highlight w:val="none"/>
                <w:u w:val="single"/>
              </w:rPr>
              <w:t xml:space="preserve"> 2024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11</w:t>
            </w:r>
            <w:r>
              <w:rPr>
                <w:rFonts w:ascii="宋体" w:hAnsi="宋体" w:cs="宋体"/>
                <w:color w:val="auto"/>
                <w:szCs w:val="21"/>
                <w:highlight w:val="none"/>
                <w:u w:val="single"/>
              </w:rPr>
              <w:t xml:space="preserve"> </w:t>
            </w:r>
            <w:r>
              <w:rPr>
                <w:rFonts w:hint="eastAsia" w:ascii="宋体" w:hAnsi="宋体" w:cs="宋体"/>
                <w:color w:val="auto"/>
                <w:szCs w:val="21"/>
                <w:highlight w:val="none"/>
              </w:rPr>
              <w:t>月至</w:t>
            </w:r>
            <w:r>
              <w:rPr>
                <w:rFonts w:ascii="宋体" w:hAnsi="宋体" w:cs="宋体"/>
                <w:color w:val="auto"/>
                <w:szCs w:val="21"/>
                <w:highlight w:val="none"/>
                <w:u w:val="single"/>
              </w:rPr>
              <w:t xml:space="preserve"> 2025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5</w:t>
            </w:r>
            <w:r>
              <w:rPr>
                <w:rFonts w:ascii="宋体" w:hAnsi="宋体" w:cs="宋体"/>
                <w:color w:val="auto"/>
                <w:szCs w:val="21"/>
                <w:highlight w:val="none"/>
                <w:u w:val="single"/>
              </w:rPr>
              <w:t xml:space="preserve"> </w:t>
            </w:r>
            <w:r>
              <w:rPr>
                <w:rFonts w:hint="eastAsia" w:ascii="宋体" w:hAnsi="宋体" w:cs="宋体"/>
                <w:color w:val="auto"/>
                <w:szCs w:val="21"/>
                <w:highlight w:val="none"/>
              </w:rPr>
              <w:t>月内连续</w:t>
            </w:r>
            <w:r>
              <w:rPr>
                <w:rFonts w:ascii="宋体" w:hAnsi="宋体" w:cs="宋体"/>
                <w:color w:val="auto"/>
                <w:szCs w:val="21"/>
                <w:highlight w:val="none"/>
                <w:u w:val="single"/>
              </w:rPr>
              <w:t xml:space="preserve">  3  </w:t>
            </w:r>
            <w:r>
              <w:rPr>
                <w:rFonts w:hint="eastAsia" w:ascii="宋体" w:hAnsi="宋体" w:cs="宋体"/>
                <w:color w:val="auto"/>
                <w:szCs w:val="21"/>
                <w:highlight w:val="none"/>
              </w:rPr>
              <w:t>个月的依法缴纳税收的凭据复印件；</w:t>
            </w:r>
            <w:r>
              <w:rPr>
                <w:rFonts w:hint="eastAsia" w:ascii="宋体" w:hAnsi="宋体" w:cs="宋体"/>
                <w:color w:val="auto"/>
                <w:highlight w:val="none"/>
              </w:rPr>
              <w:t>依法免税的，必须提供相应文件证明其依法免税。</w:t>
            </w:r>
            <w:r>
              <w:rPr>
                <w:rFonts w:hint="eastAsia" w:ascii="宋体" w:hAnsi="宋体" w:cs="宋体"/>
                <w:color w:val="auto"/>
                <w:szCs w:val="21"/>
                <w:highlight w:val="none"/>
              </w:rPr>
              <w:t>从成立之日起到响应文件提交截止时间止不足要求月数的，只需提供从成立之日起的依法缴纳税收</w:t>
            </w:r>
            <w:r>
              <w:rPr>
                <w:rFonts w:hint="eastAsia" w:ascii="宋体" w:hAnsi="宋体" w:cs="宋体"/>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20D54E7">
            <w:pPr>
              <w:spacing w:line="360" w:lineRule="auto"/>
              <w:contextualSpacing/>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、供应商依法缴纳社会保障资金的相关材料</w:t>
            </w:r>
            <w:r>
              <w:rPr>
                <w:rFonts w:ascii="宋体" w:hAnsi="宋体" w:cs="宋体"/>
                <w:color w:val="auto"/>
                <w:szCs w:val="21"/>
                <w:highlight w:val="none"/>
              </w:rPr>
              <w:t>[</w:t>
            </w:r>
            <w:r>
              <w:rPr>
                <w:rFonts w:ascii="宋体" w:hAnsi="宋体" w:cs="宋体"/>
                <w:color w:val="auto"/>
                <w:szCs w:val="21"/>
                <w:highlight w:val="none"/>
                <w:u w:val="single"/>
              </w:rPr>
              <w:t xml:space="preserve">  2024 </w:t>
            </w:r>
            <w:r>
              <w:rPr>
                <w:rFonts w:hint="eastAsia" w:ascii="宋体" w:hAnsi="宋体" w:cs="宋体"/>
                <w:color w:val="auto"/>
                <w:szCs w:val="21"/>
                <w:highlight w:val="none"/>
              </w:rPr>
              <w:t>年</w:t>
            </w:r>
            <w:r>
              <w:rPr>
                <w:rFonts w:ascii="宋体" w:hAnsi="宋体" w:cs="宋体"/>
                <w:color w:val="auto"/>
                <w:szCs w:val="21"/>
                <w:highlight w:val="none"/>
                <w:u w:val="single"/>
              </w:rPr>
              <w:t xml:space="preserve">  1</w:t>
            </w:r>
            <w:r>
              <w:rPr>
                <w:rFonts w:hint="eastAsia" w:ascii="宋体" w:hAnsi="宋体" w:cs="宋体"/>
                <w:color w:val="auto"/>
                <w:szCs w:val="21"/>
                <w:highlight w:val="none"/>
                <w:u w:val="single"/>
              </w:rPr>
              <w:t>1</w:t>
            </w:r>
            <w:r>
              <w:rPr>
                <w:rFonts w:ascii="宋体" w:hAnsi="宋体" w:cs="宋体"/>
                <w:color w:val="auto"/>
                <w:szCs w:val="21"/>
                <w:highlight w:val="none"/>
                <w:u w:val="single"/>
              </w:rPr>
              <w:t xml:space="preserve"> </w:t>
            </w:r>
            <w:r>
              <w:rPr>
                <w:rFonts w:hint="eastAsia" w:ascii="宋体" w:hAnsi="宋体" w:cs="宋体"/>
                <w:color w:val="auto"/>
                <w:szCs w:val="21"/>
                <w:highlight w:val="none"/>
              </w:rPr>
              <w:t>月至</w:t>
            </w:r>
            <w:r>
              <w:rPr>
                <w:rFonts w:ascii="宋体" w:hAnsi="宋体" w:cs="宋体"/>
                <w:color w:val="auto"/>
                <w:szCs w:val="21"/>
                <w:highlight w:val="none"/>
                <w:u w:val="single"/>
              </w:rPr>
              <w:t xml:space="preserve">  2025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5</w:t>
            </w:r>
            <w:r>
              <w:rPr>
                <w:rFonts w:hint="eastAsia" w:ascii="宋体" w:hAnsi="宋体" w:cs="宋体"/>
                <w:color w:val="auto"/>
                <w:szCs w:val="21"/>
                <w:highlight w:val="none"/>
              </w:rPr>
              <w:t>月连续</w:t>
            </w:r>
            <w:r>
              <w:rPr>
                <w:rFonts w:ascii="宋体" w:hAnsi="宋体" w:cs="宋体"/>
                <w:color w:val="auto"/>
                <w:szCs w:val="21"/>
                <w:highlight w:val="none"/>
                <w:u w:val="single"/>
              </w:rPr>
              <w:t xml:space="preserve">3 </w:t>
            </w:r>
            <w:r>
              <w:rPr>
                <w:rFonts w:hint="eastAsia" w:ascii="宋体" w:hAnsi="宋体" w:cs="宋体"/>
                <w:color w:val="auto"/>
                <w:szCs w:val="21"/>
                <w:highlight w:val="none"/>
              </w:rPr>
              <w:t>个月的依法缴纳社会保障资金的缴费凭证（专用收据或者社会保险缴纳清单）复印件；</w:t>
            </w:r>
            <w:r>
              <w:rPr>
                <w:rFonts w:hint="eastAsia" w:ascii="宋体" w:hAnsi="宋体" w:cs="宋体"/>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从成立之日起到响应文件提交截止时间止不足要求月数的只需提供从成立之日起的依法缴纳社会保障资金的</w:t>
            </w:r>
            <w:r>
              <w:rPr>
                <w:rFonts w:hint="eastAsia" w:ascii="宋体" w:hAnsi="宋体" w:cs="宋体"/>
                <w:color w:val="auto"/>
                <w:highlight w:val="none"/>
              </w:rPr>
              <w:t>相应证明文件</w:t>
            </w:r>
            <w:r>
              <w:rPr>
                <w:rFonts w:ascii="宋体" w:hAnsi="宋体" w:cs="宋体"/>
                <w:color w:val="auto"/>
                <w:szCs w:val="21"/>
                <w:highlight w:val="none"/>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A1C9048">
            <w:pPr>
              <w:spacing w:line="360" w:lineRule="auto"/>
              <w:contextualSpacing/>
              <w:jc w:val="left"/>
              <w:rPr>
                <w:rFonts w:ascii="宋体" w:cs="宋体"/>
                <w:b/>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、供应商财务状况报告（</w:t>
            </w:r>
            <w:r>
              <w:rPr>
                <w:rFonts w:ascii="宋体" w:hAnsi="宋体" w:cs="宋体"/>
                <w:color w:val="auto"/>
                <w:szCs w:val="21"/>
                <w:highlight w:val="none"/>
              </w:rPr>
              <w:t>2023</w:t>
            </w:r>
            <w:r>
              <w:rPr>
                <w:rFonts w:hint="eastAsia" w:ascii="宋体" w:hAnsi="宋体" w:cs="宋体"/>
                <w:color w:val="auto"/>
                <w:szCs w:val="21"/>
                <w:highlight w:val="none"/>
              </w:rPr>
              <w:t>年度财务报表复印件或者银行出具的资信证明；供应商属于</w:t>
            </w:r>
            <w:r>
              <w:rPr>
                <w:rFonts w:hint="eastAsia" w:ascii="宋体" w:hAnsi="宋体" w:cs="宋体"/>
                <w:color w:val="auto"/>
                <w:highlight w:val="none"/>
              </w:rPr>
              <w:t>成立时间</w:t>
            </w:r>
            <w:r>
              <w:rPr>
                <w:rFonts w:hint="eastAsia" w:ascii="宋体" w:hAnsi="宋体" w:cs="宋体"/>
                <w:color w:val="auto"/>
                <w:kern w:val="0"/>
                <w:highlight w:val="none"/>
              </w:rPr>
              <w:t>在规定年度之后</w:t>
            </w:r>
            <w:r>
              <w:rPr>
                <w:rFonts w:hint="eastAsia" w:ascii="宋体" w:hAnsi="宋体" w:cs="宋体"/>
                <w:color w:val="auto"/>
                <w:highlight w:val="none"/>
              </w:rPr>
              <w:t>的</w:t>
            </w:r>
            <w:r>
              <w:rPr>
                <w:rFonts w:hint="eastAsia" w:ascii="宋体" w:hAnsi="宋体" w:cs="宋体"/>
                <w:color w:val="auto"/>
                <w:szCs w:val="21"/>
                <w:highlight w:val="none"/>
              </w:rPr>
              <w:t>法人或其他组织</w:t>
            </w:r>
            <w:r>
              <w:rPr>
                <w:rFonts w:hint="eastAsia" w:ascii="宋体" w:hAnsi="宋体" w:cs="宋体"/>
                <w:color w:val="auto"/>
                <w:highlight w:val="none"/>
              </w:rPr>
              <w:t>，需提供成立之日起至响应文件提交截止时间前的月报表</w:t>
            </w:r>
            <w:r>
              <w:rPr>
                <w:rFonts w:hint="eastAsia" w:ascii="宋体" w:hAnsi="宋体" w:cs="宋体"/>
                <w:color w:val="auto"/>
                <w:szCs w:val="21"/>
                <w:highlight w:val="none"/>
              </w:rPr>
              <w:t>或银行出具的资信证明；资信证明应在有效期内，未注明有效期的，银行出具时间至响应文件提交截止时间不超过一年）；</w:t>
            </w:r>
            <w:r>
              <w:rPr>
                <w:rFonts w:hint="eastAsia" w:ascii="宋体" w:hAnsi="宋体" w:cs="宋体"/>
                <w:bCs/>
                <w:color w:val="auto"/>
                <w:szCs w:val="21"/>
                <w:highlight w:val="none"/>
              </w:rPr>
              <w:t>（</w:t>
            </w:r>
            <w:r>
              <w:rPr>
                <w:rFonts w:hint="eastAsia" w:ascii="宋体" w:hAnsi="宋体" w:cs="宋体"/>
                <w:b/>
                <w:color w:val="auto"/>
                <w:szCs w:val="21"/>
                <w:highlight w:val="none"/>
              </w:rPr>
              <w:t>除自然人外必须提供，否则响应文件按无效响应处理</w:t>
            </w:r>
            <w:r>
              <w:rPr>
                <w:rFonts w:hint="eastAsia" w:ascii="宋体" w:hAnsi="宋体" w:cs="宋体"/>
                <w:bCs/>
                <w:color w:val="auto"/>
                <w:szCs w:val="21"/>
                <w:highlight w:val="none"/>
              </w:rPr>
              <w:t>）</w:t>
            </w:r>
          </w:p>
          <w:p w14:paraId="22E302FD">
            <w:pPr>
              <w:snapToGrid w:val="0"/>
              <w:spacing w:line="360" w:lineRule="auto"/>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、供应商直接控股、管理关系信息表（格式后附）；（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8D6E7B5">
            <w:pPr>
              <w:snapToGrid w:val="0"/>
              <w:spacing w:line="360" w:lineRule="auto"/>
              <w:jc w:val="left"/>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355E118">
            <w:pPr>
              <w:snapToGrid w:val="0"/>
              <w:spacing w:line="360" w:lineRule="auto"/>
              <w:jc w:val="left"/>
              <w:rPr>
                <w:rFonts w:ascii="宋体" w:cs="宋体"/>
                <w:b/>
                <w:bCs/>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本项目为专门面向小微企业采购的项目。供应商必须提供符合要求的中小企业声明函或由省级以上监狱管理局、戒毒管理局（含新疆生产建设兵团）出具的属于监狱企业的证明文件或残疾人福利性单位声明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F1AA2C6">
            <w:pPr>
              <w:snapToGrid w:val="0"/>
              <w:spacing w:line="360" w:lineRule="auto"/>
              <w:jc w:val="left"/>
              <w:rPr>
                <w:rFonts w:asci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、除磋商文件规定必须提供以外，供应商认为需要提供的其他证明材料；</w:t>
            </w:r>
          </w:p>
          <w:p w14:paraId="0516242B">
            <w:pPr>
              <w:snapToGrid w:val="0"/>
              <w:spacing w:line="360" w:lineRule="auto"/>
              <w:ind w:firstLine="422" w:firstLineChars="200"/>
              <w:jc w:val="left"/>
              <w:rPr>
                <w:rFonts w:ascii="宋体" w:cs="宋体"/>
                <w:b/>
                <w:color w:val="auto"/>
                <w:szCs w:val="21"/>
                <w:highlight w:val="none"/>
              </w:rPr>
            </w:pPr>
            <w:r>
              <w:rPr>
                <w:rFonts w:hint="eastAsia" w:ascii="宋体" w:hAnsi="宋体" w:cs="宋体"/>
                <w:b/>
                <w:color w:val="auto"/>
                <w:szCs w:val="21"/>
                <w:highlight w:val="none"/>
              </w:rPr>
              <w:t>注：</w:t>
            </w:r>
          </w:p>
          <w:p w14:paraId="6D2A44FC">
            <w:pPr>
              <w:snapToGrid w:val="0"/>
              <w:spacing w:line="360" w:lineRule="auto"/>
              <w:ind w:firstLine="413" w:firstLineChars="196"/>
              <w:jc w:val="left"/>
              <w:rPr>
                <w:rFonts w:asci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、以上标明“必须提供”的材料属于复印件的，必须加盖供应商公章，否则响应文件按无效响应处理。</w:t>
            </w:r>
          </w:p>
          <w:p w14:paraId="51677931">
            <w:pPr>
              <w:snapToGrid w:val="0"/>
              <w:spacing w:line="360" w:lineRule="auto"/>
              <w:ind w:firstLine="422" w:firstLineChars="200"/>
              <w:jc w:val="left"/>
              <w:rPr>
                <w:rFonts w:ascii="宋体" w:cs="宋体"/>
                <w:b/>
                <w:color w:val="auto"/>
                <w:szCs w:val="21"/>
                <w:highlight w:val="none"/>
              </w:rPr>
            </w:pPr>
            <w:r>
              <w:rPr>
                <w:rFonts w:ascii="宋体" w:hAnsi="宋体" w:cs="宋体"/>
                <w:b/>
                <w:color w:val="auto"/>
                <w:szCs w:val="21"/>
                <w:highlight w:val="none"/>
              </w:rPr>
              <w:t>2</w:t>
            </w:r>
            <w:r>
              <w:rPr>
                <w:rFonts w:hint="eastAsia" w:ascii="宋体" w:hAnsi="宋体" w:cs="宋体"/>
                <w:b/>
                <w:color w:val="auto"/>
                <w:szCs w:val="21"/>
                <w:highlight w:val="none"/>
              </w:rPr>
              <w:t>、竞标声明必须由法定代表人在规定签章处签字并加盖供应商公章，否则响应文件按无效响应处理。</w:t>
            </w:r>
          </w:p>
          <w:p w14:paraId="7EA562E1">
            <w:pPr>
              <w:snapToGrid w:val="0"/>
              <w:spacing w:line="360" w:lineRule="auto"/>
              <w:ind w:firstLine="422" w:firstLineChars="200"/>
              <w:jc w:val="left"/>
              <w:rPr>
                <w:rFonts w:ascii="宋体" w:cs="宋体"/>
                <w:b/>
                <w:color w:val="auto"/>
                <w:szCs w:val="21"/>
                <w:highlight w:val="none"/>
              </w:rPr>
            </w:pPr>
            <w:r>
              <w:rPr>
                <w:rFonts w:ascii="宋体" w:hAnsi="宋体" w:cs="宋体"/>
                <w:b/>
                <w:color w:val="auto"/>
                <w:szCs w:val="21"/>
                <w:highlight w:val="none"/>
              </w:rPr>
              <w:t>3</w:t>
            </w:r>
            <w:r>
              <w:rPr>
                <w:rFonts w:hint="eastAsia" w:ascii="宋体" w:hAnsi="宋体" w:cs="宋体"/>
                <w:b/>
                <w:color w:val="auto"/>
                <w:szCs w:val="21"/>
                <w:highlight w:val="none"/>
              </w:rPr>
              <w:t>、供应商直接控股、管理关系信息表必须由法定代表人或者委托代理人在规定签章处签字并加盖供应商公章，否则响应文件按无效响应处理。</w:t>
            </w:r>
          </w:p>
          <w:p w14:paraId="3829856D">
            <w:pPr>
              <w:pStyle w:val="13"/>
              <w:spacing w:line="360" w:lineRule="auto"/>
              <w:ind w:firstLine="422" w:firstLineChars="200"/>
              <w:rPr>
                <w:rFonts w:ascii="宋体" w:cs="宋体"/>
                <w:b/>
                <w:color w:val="auto"/>
                <w:szCs w:val="21"/>
                <w:highlight w:val="none"/>
              </w:rPr>
            </w:pPr>
            <w:r>
              <w:rPr>
                <w:rFonts w:ascii="宋体" w:hAnsi="宋体" w:cs="宋体"/>
                <w:b/>
                <w:color w:val="auto"/>
                <w:szCs w:val="21"/>
                <w:highlight w:val="none"/>
              </w:rPr>
              <w:t>4</w:t>
            </w:r>
            <w:r>
              <w:rPr>
                <w:rFonts w:hint="eastAsia" w:ascii="宋体" w:hAnsi="宋体" w:cs="宋体"/>
                <w:b/>
                <w:color w:val="auto"/>
                <w:szCs w:val="21"/>
                <w:highlight w:val="none"/>
              </w:rPr>
              <w:t>、</w:t>
            </w:r>
            <w:r>
              <w:rPr>
                <w:rFonts w:hint="eastAsia" w:ascii="宋体" w:hAnsi="宋体" w:cs="宋体"/>
                <w:b/>
                <w:bCs/>
                <w:color w:val="auto"/>
                <w:szCs w:val="21"/>
                <w:highlight w:val="none"/>
              </w:rPr>
              <w:t>分公司参加竞标的，应当取得总公司授权，否则响应文件按无效响应处理。</w:t>
            </w:r>
          </w:p>
        </w:tc>
      </w:tr>
      <w:tr w14:paraId="62FAE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99F94BF">
            <w:pPr>
              <w:spacing w:line="360" w:lineRule="auto"/>
              <w:jc w:val="center"/>
              <w:rPr>
                <w:rFonts w:ascii="宋体" w:cs="宋体"/>
                <w:color w:val="auto"/>
                <w:szCs w:val="21"/>
                <w:highlight w:val="none"/>
              </w:rPr>
            </w:pPr>
            <w:r>
              <w:rPr>
                <w:rFonts w:ascii="宋体" w:hAnsi="宋体" w:cs="宋体"/>
                <w:color w:val="auto"/>
                <w:szCs w:val="21"/>
                <w:highlight w:val="none"/>
              </w:rPr>
              <w:t>12.1.2</w:t>
            </w:r>
          </w:p>
        </w:tc>
        <w:tc>
          <w:tcPr>
            <w:tcW w:w="8627" w:type="dxa"/>
            <w:vAlign w:val="center"/>
          </w:tcPr>
          <w:p w14:paraId="30F829E4">
            <w:pPr>
              <w:spacing w:line="360" w:lineRule="auto"/>
              <w:rPr>
                <w:rFonts w:ascii="宋体" w:cs="宋体"/>
                <w:b/>
                <w:bCs/>
                <w:color w:val="auto"/>
                <w:szCs w:val="21"/>
                <w:highlight w:val="none"/>
              </w:rPr>
            </w:pPr>
            <w:r>
              <w:rPr>
                <w:rFonts w:hint="eastAsia" w:ascii="宋体" w:hAnsi="宋体" w:cs="宋体"/>
                <w:b/>
                <w:bCs/>
                <w:color w:val="auto"/>
                <w:szCs w:val="21"/>
                <w:highlight w:val="none"/>
              </w:rPr>
              <w:t>报价商务技术文件</w:t>
            </w:r>
          </w:p>
          <w:p w14:paraId="78ADCFD3">
            <w:pPr>
              <w:spacing w:line="360" w:lineRule="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5753DC9">
            <w:pPr>
              <w:spacing w:line="360" w:lineRule="auto"/>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、竞标报价表（格式后附）；（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A0438CA">
            <w:pPr>
              <w:snapToGrid w:val="0"/>
              <w:spacing w:line="360" w:lineRule="auto"/>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、法定代表人身份证明及法定代表人有效身份证正反面复印件（格式后附）；（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CF7F9F1">
            <w:pPr>
              <w:spacing w:line="360" w:lineRule="auto"/>
              <w:rPr>
                <w:rFonts w:ascii="宋体" w:cs="宋体"/>
                <w:b/>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2C4F711D">
            <w:pPr>
              <w:spacing w:line="360" w:lineRule="auto"/>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、磋商保证金提交凭证；（</w:t>
            </w:r>
            <w:r>
              <w:rPr>
                <w:rFonts w:hint="eastAsia" w:ascii="宋体" w:hAnsi="宋体" w:cs="宋体"/>
                <w:b/>
                <w:bCs/>
                <w:color w:val="auto"/>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15A57558">
            <w:pPr>
              <w:spacing w:line="360" w:lineRule="auto"/>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、商务要求偏离表（格式后附）；（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D8BCB58">
            <w:pPr>
              <w:spacing w:line="360" w:lineRule="auto"/>
              <w:rPr>
                <w:rFonts w:asci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、服务方案（格式自拟）；（</w:t>
            </w:r>
            <w:r>
              <w:rPr>
                <w:rFonts w:hint="eastAsia" w:ascii="宋体" w:hAnsi="宋体" w:cs="宋体"/>
                <w:b/>
                <w:color w:val="auto"/>
                <w:szCs w:val="21"/>
                <w:highlight w:val="none"/>
              </w:rPr>
              <w:t>根据竞争性磋商文件的要求提供</w:t>
            </w:r>
            <w:r>
              <w:rPr>
                <w:rFonts w:hint="eastAsia" w:ascii="宋体" w:hAnsi="宋体" w:cs="宋体"/>
                <w:color w:val="auto"/>
                <w:szCs w:val="21"/>
                <w:highlight w:val="none"/>
              </w:rPr>
              <w:t>）</w:t>
            </w:r>
          </w:p>
          <w:p w14:paraId="6B7FDEFC">
            <w:pPr>
              <w:spacing w:line="360" w:lineRule="auto"/>
              <w:rPr>
                <w:rFonts w:asci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、技术要求偏离表（格式后附）；（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21B00CE">
            <w:pPr>
              <w:spacing w:line="360" w:lineRule="auto"/>
              <w:rPr>
                <w:rFonts w:asci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、服务承诺书（格式自拟）；（</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5C71936">
            <w:pPr>
              <w:spacing w:line="360" w:lineRule="auto"/>
              <w:rPr>
                <w:rFonts w:asci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、项目实施人员一览表（</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r>
              <w:rPr>
                <w:rFonts w:ascii="宋体" w:hAnsi="宋体" w:cs="宋体"/>
                <w:color w:val="auto"/>
                <w:szCs w:val="21"/>
                <w:highlight w:val="none"/>
              </w:rPr>
              <w:t xml:space="preserve"> </w:t>
            </w:r>
          </w:p>
          <w:p w14:paraId="39682DB1">
            <w:pPr>
              <w:spacing w:line="360" w:lineRule="auto"/>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、对应采购需求的技术要求、商务要求提供的其他文件资料（格式自拟）；</w:t>
            </w:r>
          </w:p>
          <w:p w14:paraId="32AB672C">
            <w:pPr>
              <w:spacing w:line="360" w:lineRule="auto"/>
              <w:rPr>
                <w:rFonts w:ascii="宋体" w:cs="宋体"/>
                <w:b/>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、供应商认为需要提供的其他有关资料。</w:t>
            </w:r>
          </w:p>
          <w:p w14:paraId="2581926B">
            <w:pPr>
              <w:snapToGrid w:val="0"/>
              <w:spacing w:line="360" w:lineRule="auto"/>
              <w:ind w:firstLine="422" w:firstLineChars="200"/>
              <w:jc w:val="left"/>
              <w:rPr>
                <w:rFonts w:ascii="宋体" w:cs="宋体"/>
                <w:b/>
                <w:color w:val="auto"/>
                <w:szCs w:val="21"/>
                <w:highlight w:val="none"/>
              </w:rPr>
            </w:pPr>
            <w:r>
              <w:rPr>
                <w:rFonts w:hint="eastAsia" w:ascii="宋体" w:hAnsi="宋体" w:cs="宋体"/>
                <w:b/>
                <w:color w:val="auto"/>
                <w:szCs w:val="21"/>
                <w:highlight w:val="none"/>
              </w:rPr>
              <w:t>注：以上标明“必须提供”的材料属于复印件的，必须加盖供应商公章，否则响应文件按无效响应处理。</w:t>
            </w:r>
          </w:p>
        </w:tc>
      </w:tr>
      <w:tr w14:paraId="0B03F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607AEC6">
            <w:pPr>
              <w:spacing w:line="360" w:lineRule="auto"/>
              <w:jc w:val="center"/>
              <w:rPr>
                <w:rFonts w:ascii="宋体" w:cs="宋体"/>
                <w:color w:val="auto"/>
                <w:szCs w:val="21"/>
                <w:highlight w:val="none"/>
              </w:rPr>
            </w:pPr>
            <w:r>
              <w:rPr>
                <w:rFonts w:ascii="宋体" w:hAnsi="宋体" w:cs="宋体"/>
                <w:color w:val="auto"/>
                <w:szCs w:val="21"/>
                <w:highlight w:val="none"/>
              </w:rPr>
              <w:t>15.2</w:t>
            </w:r>
          </w:p>
        </w:tc>
        <w:tc>
          <w:tcPr>
            <w:tcW w:w="8627" w:type="dxa"/>
            <w:vAlign w:val="center"/>
          </w:tcPr>
          <w:p w14:paraId="4DF0ED7D">
            <w:pPr>
              <w:snapToGrid w:val="0"/>
              <w:spacing w:line="360" w:lineRule="auto"/>
              <w:jc w:val="left"/>
              <w:rPr>
                <w:rFonts w:ascii="宋体" w:cs="宋体"/>
                <w:color w:val="auto"/>
                <w:szCs w:val="21"/>
                <w:highlight w:val="none"/>
              </w:rPr>
            </w:pPr>
            <w:r>
              <w:rPr>
                <w:rFonts w:hint="eastAsia" w:ascii="宋体" w:hAnsi="宋体"/>
                <w:color w:val="auto"/>
                <w:szCs w:val="21"/>
                <w:highlight w:val="none"/>
              </w:rPr>
              <w:t>竞标报价是履行合同的最终价格，</w:t>
            </w:r>
            <w:r>
              <w:rPr>
                <w:rFonts w:hint="eastAsia" w:ascii="宋体" w:hAnsi="宋体" w:cs="宋体"/>
                <w:color w:val="auto"/>
                <w:szCs w:val="21"/>
                <w:highlight w:val="none"/>
              </w:rPr>
              <w:t>即满足全部采购需求所应提供的服务的价格；包括竞标服务的成本、运输（含保险）（如有）、技术服务、培训、税费等所有费用。</w:t>
            </w:r>
            <w:r>
              <w:rPr>
                <w:rFonts w:hint="eastAsia" w:ascii="宋体" w:hAnsi="宋体"/>
                <w:b/>
                <w:color w:val="auto"/>
                <w:szCs w:val="21"/>
                <w:highlight w:val="none"/>
              </w:rPr>
              <w:t>（采购需求另有约定的，从其约定。）</w:t>
            </w:r>
          </w:p>
        </w:tc>
      </w:tr>
      <w:tr w14:paraId="4F1D8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BC65ADF">
            <w:pPr>
              <w:spacing w:line="360" w:lineRule="auto"/>
              <w:jc w:val="center"/>
              <w:rPr>
                <w:rFonts w:ascii="宋体" w:cs="宋体"/>
                <w:color w:val="auto"/>
                <w:szCs w:val="21"/>
                <w:highlight w:val="none"/>
              </w:rPr>
            </w:pPr>
            <w:r>
              <w:rPr>
                <w:rFonts w:ascii="宋体" w:hAnsi="宋体" w:cs="宋体"/>
                <w:color w:val="auto"/>
                <w:szCs w:val="21"/>
                <w:highlight w:val="none"/>
              </w:rPr>
              <w:t>16.2</w:t>
            </w:r>
          </w:p>
        </w:tc>
        <w:tc>
          <w:tcPr>
            <w:tcW w:w="8627" w:type="dxa"/>
            <w:vAlign w:val="center"/>
          </w:tcPr>
          <w:p w14:paraId="258FF057">
            <w:pPr>
              <w:spacing w:line="360" w:lineRule="auto"/>
              <w:rPr>
                <w:rFonts w:ascii="宋体" w:cs="宋体"/>
                <w:color w:val="auto"/>
                <w:szCs w:val="21"/>
                <w:highlight w:val="none"/>
              </w:rPr>
            </w:pPr>
            <w:r>
              <w:rPr>
                <w:rFonts w:hint="eastAsia" w:ascii="宋体" w:hAnsi="宋体" w:cs="宋体"/>
                <w:color w:val="auto"/>
                <w:szCs w:val="21"/>
                <w:highlight w:val="none"/>
              </w:rPr>
              <w:t>竞标有效期：首次响应文件提交截止之日起</w:t>
            </w:r>
            <w:r>
              <w:rPr>
                <w:rFonts w:ascii="宋体" w:hAnsi="宋体" w:cs="宋体"/>
                <w:color w:val="auto"/>
                <w:szCs w:val="21"/>
                <w:highlight w:val="none"/>
              </w:rPr>
              <w:t>60</w:t>
            </w:r>
            <w:r>
              <w:rPr>
                <w:rFonts w:hint="eastAsia" w:ascii="宋体" w:hAnsi="宋体" w:cs="宋体"/>
                <w:color w:val="auto"/>
                <w:szCs w:val="21"/>
                <w:highlight w:val="none"/>
              </w:rPr>
              <w:t>天内。</w:t>
            </w:r>
          </w:p>
        </w:tc>
      </w:tr>
      <w:tr w14:paraId="737A5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E578236">
            <w:pPr>
              <w:spacing w:line="360" w:lineRule="auto"/>
              <w:jc w:val="center"/>
              <w:rPr>
                <w:rFonts w:ascii="宋体" w:cs="宋体"/>
                <w:color w:val="auto"/>
                <w:szCs w:val="21"/>
                <w:highlight w:val="none"/>
              </w:rPr>
            </w:pPr>
            <w:r>
              <w:rPr>
                <w:rFonts w:ascii="宋体" w:hAnsi="宋体" w:cs="宋体"/>
                <w:color w:val="auto"/>
                <w:szCs w:val="21"/>
                <w:highlight w:val="none"/>
              </w:rPr>
              <w:t>17.1</w:t>
            </w:r>
          </w:p>
        </w:tc>
        <w:tc>
          <w:tcPr>
            <w:tcW w:w="8627" w:type="dxa"/>
            <w:vAlign w:val="center"/>
          </w:tcPr>
          <w:p w14:paraId="2A927CD1">
            <w:pPr>
              <w:snapToGrid w:val="0"/>
              <w:spacing w:line="360" w:lineRule="auto"/>
              <w:rPr>
                <w:rFonts w:ascii="宋体" w:cs="宋体"/>
                <w:color w:val="auto"/>
                <w:szCs w:val="21"/>
                <w:highlight w:val="none"/>
              </w:rPr>
            </w:pPr>
            <w:r>
              <w:rPr>
                <w:rFonts w:hint="eastAsia" w:ascii="宋体" w:hAnsi="宋体" w:cs="宋体"/>
                <w:color w:val="auto"/>
                <w:szCs w:val="21"/>
                <w:highlight w:val="none"/>
              </w:rPr>
              <w:t>本项目收取磋商保证金，具体规定如下：</w:t>
            </w:r>
          </w:p>
          <w:p w14:paraId="64FFCD48">
            <w:pPr>
              <w:widowControl/>
              <w:spacing w:line="360" w:lineRule="auto"/>
              <w:rPr>
                <w:rFonts w:ascii="宋体" w:cs="宋体"/>
                <w:color w:val="auto"/>
                <w:szCs w:val="21"/>
                <w:highlight w:val="none"/>
              </w:rPr>
            </w:pPr>
            <w:r>
              <w:rPr>
                <w:rFonts w:hint="eastAsia" w:ascii="宋体" w:hAnsi="宋体" w:cs="宋体"/>
                <w:color w:val="auto"/>
                <w:szCs w:val="21"/>
                <w:highlight w:val="none"/>
              </w:rPr>
              <w:t>分标</w:t>
            </w:r>
            <w:r>
              <w:rPr>
                <w:rFonts w:ascii="宋体" w:hAnsi="宋体" w:cs="宋体"/>
                <w:color w:val="auto"/>
                <w:szCs w:val="21"/>
                <w:highlight w:val="none"/>
              </w:rPr>
              <w:t>1</w:t>
            </w:r>
            <w:r>
              <w:rPr>
                <w:rFonts w:hint="eastAsia" w:ascii="宋体" w:hAnsi="宋体" w:cs="宋体"/>
                <w:color w:val="auto"/>
                <w:kern w:val="0"/>
                <w:szCs w:val="21"/>
                <w:highlight w:val="none"/>
              </w:rPr>
              <w:t>磋商保证金人民币</w:t>
            </w:r>
            <w:r>
              <w:rPr>
                <w:rFonts w:ascii="宋体" w:hAnsi="宋体" w:cs="宋体"/>
                <w:color w:val="auto"/>
                <w:kern w:val="0"/>
                <w:szCs w:val="21"/>
                <w:highlight w:val="none"/>
                <w:u w:val="single"/>
              </w:rPr>
              <w:t xml:space="preserve"> 20000.00 </w:t>
            </w:r>
            <w:r>
              <w:rPr>
                <w:rFonts w:hint="eastAsia" w:ascii="宋体" w:hAnsi="宋体" w:cs="宋体"/>
                <w:color w:val="auto"/>
                <w:szCs w:val="21"/>
                <w:highlight w:val="none"/>
              </w:rPr>
              <w:t>元；</w:t>
            </w:r>
          </w:p>
          <w:p w14:paraId="46714BEB">
            <w:pPr>
              <w:widowControl/>
              <w:spacing w:line="360" w:lineRule="auto"/>
              <w:rPr>
                <w:rFonts w:ascii="宋体" w:cs="宋体"/>
                <w:color w:val="auto"/>
                <w:szCs w:val="21"/>
                <w:highlight w:val="none"/>
              </w:rPr>
            </w:pPr>
            <w:r>
              <w:rPr>
                <w:rFonts w:hint="eastAsia" w:ascii="宋体" w:hAnsi="宋体" w:cs="宋体"/>
                <w:color w:val="auto"/>
                <w:szCs w:val="21"/>
                <w:highlight w:val="none"/>
              </w:rPr>
              <w:t>分标</w:t>
            </w:r>
            <w:r>
              <w:rPr>
                <w:rFonts w:ascii="宋体" w:hAnsi="宋体" w:cs="宋体"/>
                <w:color w:val="auto"/>
                <w:szCs w:val="21"/>
                <w:highlight w:val="none"/>
              </w:rPr>
              <w:t>2</w:t>
            </w:r>
            <w:r>
              <w:rPr>
                <w:rFonts w:hint="eastAsia" w:ascii="宋体" w:hAnsi="宋体" w:cs="宋体"/>
                <w:color w:val="auto"/>
                <w:kern w:val="0"/>
                <w:szCs w:val="21"/>
                <w:highlight w:val="none"/>
              </w:rPr>
              <w:t>磋商保证金人民币</w:t>
            </w:r>
            <w:r>
              <w:rPr>
                <w:rFonts w:ascii="宋体" w:hAnsi="宋体" w:cs="宋体"/>
                <w:color w:val="auto"/>
                <w:szCs w:val="21"/>
                <w:highlight w:val="none"/>
                <w:u w:val="single"/>
              </w:rPr>
              <w:t xml:space="preserve"> 2000.00</w:t>
            </w:r>
            <w:r>
              <w:rPr>
                <w:rFonts w:hint="eastAsia" w:ascii="宋体" w:hAnsi="宋体" w:cs="宋体"/>
                <w:color w:val="auto"/>
                <w:szCs w:val="21"/>
                <w:highlight w:val="none"/>
              </w:rPr>
              <w:t>元；</w:t>
            </w:r>
          </w:p>
          <w:p w14:paraId="6269336B">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磋商保证金的交纳方式：银行转账、支票、汇票、本票或者金融、担保金融、担保机构出具的保函，禁止采用现钞方式。采用银行转账方式的，在响应文件提交截止时间前交至指定账户并且到账（开户银行：</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广西北部湾银行股份有限公司南宁分行</w:t>
            </w:r>
            <w:r>
              <w:rPr>
                <w:rFonts w:hint="eastAsia" w:ascii="宋体" w:hAnsi="宋体" w:cs="宋体"/>
                <w:color w:val="auto"/>
                <w:kern w:val="0"/>
                <w:szCs w:val="21"/>
                <w:highlight w:val="none"/>
              </w:rPr>
              <w:t>，开户名称：</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广西国泰招标咨询有限公司</w:t>
            </w:r>
            <w:r>
              <w:rPr>
                <w:rFonts w:hint="eastAsia" w:ascii="宋体" w:hAnsi="宋体" w:cs="宋体"/>
                <w:color w:val="auto"/>
                <w:kern w:val="0"/>
                <w:szCs w:val="21"/>
                <w:highlight w:val="none"/>
              </w:rPr>
              <w:t>，银行账号：</w:t>
            </w:r>
            <w:r>
              <w:rPr>
                <w:rFonts w:ascii="宋体" w:hAnsi="宋体" w:cs="宋体"/>
                <w:color w:val="auto"/>
                <w:kern w:val="0"/>
                <w:szCs w:val="21"/>
                <w:highlight w:val="none"/>
                <w:u w:val="single"/>
              </w:rPr>
              <w:t xml:space="preserve"> 0101012090615711</w:t>
            </w:r>
            <w:r>
              <w:rPr>
                <w:rFonts w:hint="eastAsia" w:ascii="宋体" w:hAnsi="宋体" w:cs="宋体"/>
                <w:color w:val="auto"/>
                <w:kern w:val="0"/>
                <w:szCs w:val="21"/>
                <w:highlight w:val="none"/>
              </w:rPr>
              <w:t>）；采用支票、汇票、本票或者保函等方式的，在响应文件提交截止时间前，供应商必须提交支票、汇票、本票或者保函原件（电子保函的打印保函并加盖供应商公章）</w:t>
            </w:r>
          </w:p>
          <w:p w14:paraId="782920C5">
            <w:pPr>
              <w:snapToGrid w:val="0"/>
              <w:spacing w:line="360" w:lineRule="auto"/>
              <w:rPr>
                <w:rFonts w:ascii="宋体" w:cs="宋体"/>
                <w:color w:val="auto"/>
                <w:kern w:val="0"/>
                <w:szCs w:val="21"/>
                <w:highlight w:val="none"/>
              </w:rPr>
            </w:pPr>
            <w:r>
              <w:rPr>
                <w:rFonts w:hint="eastAsia" w:ascii="宋体" w:hAnsi="宋体" w:cs="宋体"/>
                <w:color w:val="auto"/>
                <w:kern w:val="0"/>
                <w:szCs w:val="21"/>
                <w:highlight w:val="none"/>
              </w:rPr>
              <w:t>。否则视为无效磋商保证金。</w:t>
            </w:r>
          </w:p>
          <w:p w14:paraId="0205D2ED">
            <w:pPr>
              <w:snapToGrid w:val="0"/>
              <w:spacing w:line="360" w:lineRule="auto"/>
              <w:rPr>
                <w:rFonts w:ascii="宋体" w:cs="宋体"/>
                <w:color w:val="auto"/>
                <w:szCs w:val="21"/>
                <w:highlight w:val="none"/>
              </w:rPr>
            </w:pPr>
            <w:r>
              <w:rPr>
                <w:rFonts w:hint="eastAsia" w:ascii="宋体" w:hAnsi="宋体" w:cs="宋体"/>
                <w:color w:val="auto"/>
                <w:szCs w:val="21"/>
                <w:highlight w:val="none"/>
              </w:rPr>
              <w:t>相关要求：</w:t>
            </w:r>
          </w:p>
          <w:p w14:paraId="0325AD61">
            <w:pPr>
              <w:snapToGrid w:val="0"/>
              <w:spacing w:line="360" w:lineRule="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、磋商保证金采用银行转账交纳方式的，在响应文件提交截止时间前交至指定账户并且到账，供应商应将银行转账底单的复印件作为磋商保证金提交凭证，放置于报价商务技术文件中，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722ACAF1">
            <w:pPr>
              <w:snapToGrid w:val="0"/>
              <w:spacing w:line="360" w:lineRule="auto"/>
              <w:rPr>
                <w:rFonts w:ascii="宋体" w:cs="宋体"/>
                <w:b/>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、磋商保证金采用支票、汇票、本票或者金融、担保机构出具的保函交纳方式的，供应商应将支票、汇票、本票或者金融、担保机构出具的保函的复印件作为磋商保证金提交凭证，放置于报价商务技术文件中，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r>
              <w:rPr>
                <w:rFonts w:hint="eastAsia" w:ascii="宋体" w:hAnsi="宋体" w:cs="宋体"/>
                <w:b/>
                <w:color w:val="auto"/>
                <w:szCs w:val="21"/>
                <w:highlight w:val="none"/>
              </w:rPr>
              <w:t>供应商必须在首次响应文件提交截止时间前将支票、汇票、本票或者金融、</w:t>
            </w:r>
            <w:r>
              <w:rPr>
                <w:rFonts w:hint="eastAsia" w:ascii="宋体" w:hAnsi="宋体"/>
                <w:b/>
                <w:color w:val="auto"/>
                <w:szCs w:val="21"/>
                <w:highlight w:val="none"/>
              </w:rPr>
              <w:t>担保机构出具</w:t>
            </w:r>
            <w:r>
              <w:rPr>
                <w:rFonts w:hint="eastAsia" w:ascii="宋体" w:hAnsi="宋体"/>
                <w:b/>
                <w:bCs/>
                <w:color w:val="auto"/>
                <w:szCs w:val="21"/>
                <w:highlight w:val="none"/>
              </w:rPr>
              <w:t>的保函原件（电子保函的打印保函并加盖供应商公章）等单独密封提交给采购代理机构</w:t>
            </w:r>
            <w:r>
              <w:rPr>
                <w:rFonts w:hint="eastAsia" w:ascii="宋体" w:hAnsi="宋体" w:cs="宋体"/>
                <w:b/>
                <w:color w:val="auto"/>
                <w:szCs w:val="21"/>
                <w:highlight w:val="none"/>
              </w:rPr>
              <w:t>，由采购代理机构向供应商出具回执，并妥善保管，否则响应文件按无效响应处理。联系人：黄柳娜</w:t>
            </w:r>
            <w:r>
              <w:rPr>
                <w:rFonts w:ascii="宋体" w:hAnsi="宋体" w:cs="宋体"/>
                <w:b/>
                <w:color w:val="auto"/>
                <w:szCs w:val="21"/>
                <w:highlight w:val="none"/>
              </w:rPr>
              <w:t xml:space="preserve">  </w:t>
            </w:r>
            <w:r>
              <w:rPr>
                <w:rFonts w:hint="eastAsia" w:ascii="宋体" w:hAnsi="宋体" w:cs="宋体"/>
                <w:b/>
                <w:color w:val="auto"/>
                <w:szCs w:val="21"/>
                <w:highlight w:val="none"/>
              </w:rPr>
              <w:t>联系电话：</w:t>
            </w:r>
            <w:r>
              <w:rPr>
                <w:rFonts w:ascii="宋体" w:hAnsi="宋体" w:cs="宋体"/>
                <w:b/>
                <w:color w:val="auto"/>
                <w:szCs w:val="21"/>
                <w:highlight w:val="none"/>
              </w:rPr>
              <w:t>0771-2023496</w:t>
            </w:r>
            <w:r>
              <w:rPr>
                <w:rFonts w:hint="eastAsia" w:ascii="宋体" w:hAnsi="宋体" w:cs="宋体"/>
                <w:b/>
                <w:color w:val="auto"/>
                <w:szCs w:val="21"/>
                <w:highlight w:val="none"/>
              </w:rPr>
              <w:t>。</w:t>
            </w:r>
          </w:p>
          <w:p w14:paraId="0F09177C">
            <w:pPr>
              <w:snapToGrid w:val="0"/>
              <w:spacing w:line="360" w:lineRule="auto"/>
              <w:rPr>
                <w:rFonts w:ascii="宋体" w:cs="宋体"/>
                <w:b/>
                <w:color w:val="auto"/>
                <w:szCs w:val="21"/>
                <w:highlight w:val="none"/>
              </w:rPr>
            </w:pPr>
            <w:r>
              <w:rPr>
                <w:rFonts w:hint="eastAsia" w:ascii="宋体" w:hAnsi="宋体" w:cs="宋体"/>
                <w:b/>
                <w:color w:val="auto"/>
                <w:szCs w:val="21"/>
                <w:highlight w:val="none"/>
              </w:rPr>
              <w:t>备注：</w:t>
            </w:r>
            <w:r>
              <w:rPr>
                <w:rFonts w:ascii="宋体" w:hAnsi="宋体" w:cs="宋体"/>
                <w:b/>
                <w:color w:val="auto"/>
                <w:szCs w:val="21"/>
                <w:highlight w:val="none"/>
              </w:rPr>
              <w:t xml:space="preserve"> </w:t>
            </w:r>
          </w:p>
          <w:p w14:paraId="161BFC59">
            <w:pPr>
              <w:snapToGrid w:val="0"/>
              <w:spacing w:line="360" w:lineRule="auto"/>
              <w:rPr>
                <w:rFonts w:asci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、磋商保证金在响应文件提交截止时间后提交的，或者不按规定交纳方式交纳的，或者未足额交纳的（包含保函额度不足的），视为无效磋商保证金。</w:t>
            </w:r>
          </w:p>
          <w:p w14:paraId="16BB1BFA">
            <w:pPr>
              <w:snapToGrid w:val="0"/>
              <w:spacing w:line="360" w:lineRule="auto"/>
              <w:rPr>
                <w:rFonts w:ascii="宋体" w:cs="宋体"/>
                <w:b/>
                <w:color w:val="auto"/>
                <w:szCs w:val="21"/>
                <w:highlight w:val="none"/>
              </w:rPr>
            </w:pPr>
            <w:r>
              <w:rPr>
                <w:rFonts w:ascii="宋体" w:hAnsi="宋体" w:cs="宋体"/>
                <w:b/>
                <w:color w:val="auto"/>
                <w:szCs w:val="21"/>
                <w:highlight w:val="none"/>
              </w:rPr>
              <w:t>2</w:t>
            </w:r>
            <w:r>
              <w:rPr>
                <w:rFonts w:hint="eastAsia" w:ascii="宋体" w:hAnsi="宋体" w:cs="宋体"/>
                <w:b/>
                <w:color w:val="auto"/>
                <w:szCs w:val="21"/>
                <w:highlight w:val="none"/>
              </w:rPr>
              <w:t>、供应商采用现钞方式或者从个人账户（自然人竞标除外）转出的磋商保证金，视为无效磋商保证金。</w:t>
            </w:r>
          </w:p>
          <w:p w14:paraId="7BC03175">
            <w:pPr>
              <w:snapToGrid w:val="0"/>
              <w:spacing w:line="360" w:lineRule="auto"/>
              <w:rPr>
                <w:rFonts w:ascii="宋体" w:cs="宋体"/>
                <w:b/>
                <w:color w:val="auto"/>
                <w:szCs w:val="21"/>
                <w:highlight w:val="none"/>
              </w:rPr>
            </w:pPr>
            <w:r>
              <w:rPr>
                <w:rFonts w:ascii="宋体" w:hAnsi="宋体" w:cs="宋体"/>
                <w:b/>
                <w:color w:val="auto"/>
                <w:szCs w:val="21"/>
                <w:highlight w:val="none"/>
              </w:rPr>
              <w:t>3</w:t>
            </w:r>
            <w:r>
              <w:rPr>
                <w:rFonts w:hint="eastAsia" w:ascii="宋体" w:hAnsi="宋体" w:cs="宋体"/>
                <w:b/>
                <w:color w:val="auto"/>
                <w:szCs w:val="21"/>
                <w:highlight w:val="none"/>
              </w:rPr>
              <w:t>、支票、汇票或者本票出现无效或者背书情形的，视为无效磋商保证金。</w:t>
            </w:r>
          </w:p>
          <w:p w14:paraId="3310BEE6">
            <w:pPr>
              <w:snapToGrid w:val="0"/>
              <w:spacing w:line="360" w:lineRule="auto"/>
              <w:rPr>
                <w:rFonts w:ascii="宋体" w:cs="宋体"/>
                <w:b/>
                <w:color w:val="auto"/>
                <w:szCs w:val="21"/>
                <w:highlight w:val="none"/>
              </w:rPr>
            </w:pPr>
            <w:r>
              <w:rPr>
                <w:rFonts w:ascii="宋体" w:hAnsi="宋体" w:cs="宋体"/>
                <w:b/>
                <w:color w:val="auto"/>
                <w:szCs w:val="21"/>
                <w:highlight w:val="none"/>
              </w:rPr>
              <w:t>4</w:t>
            </w:r>
            <w:r>
              <w:rPr>
                <w:rFonts w:hint="eastAsia" w:ascii="宋体" w:hAnsi="宋体" w:cs="宋体"/>
                <w:b/>
                <w:color w:val="auto"/>
                <w:szCs w:val="21"/>
                <w:highlight w:val="none"/>
              </w:rPr>
              <w:t>、保函有效期低于竞标有效期的，视为无效磋商保证金。</w:t>
            </w:r>
          </w:p>
          <w:p w14:paraId="373B5A31">
            <w:pPr>
              <w:snapToGrid w:val="0"/>
              <w:spacing w:line="360" w:lineRule="auto"/>
              <w:rPr>
                <w:rFonts w:ascii="宋体" w:cs="宋体"/>
                <w:b/>
                <w:color w:val="auto"/>
                <w:szCs w:val="21"/>
                <w:highlight w:val="none"/>
              </w:rPr>
            </w:pPr>
            <w:r>
              <w:rPr>
                <w:rFonts w:ascii="宋体" w:hAnsi="宋体" w:cs="宋体"/>
                <w:b/>
                <w:color w:val="auto"/>
                <w:szCs w:val="21"/>
                <w:highlight w:val="none"/>
              </w:rPr>
              <w:t>5</w:t>
            </w:r>
            <w:r>
              <w:rPr>
                <w:rFonts w:hint="eastAsia" w:ascii="宋体" w:hAnsi="宋体" w:cs="宋体"/>
                <w:b/>
                <w:color w:val="auto"/>
                <w:szCs w:val="21"/>
                <w:highlight w:val="none"/>
              </w:rPr>
              <w:t>、采用金融、担保机构出具保函的，必须为无条件保函，否则视为无效磋商保证金。</w:t>
            </w:r>
          </w:p>
          <w:p w14:paraId="18EA66A4">
            <w:pPr>
              <w:snapToGrid w:val="0"/>
              <w:spacing w:line="360" w:lineRule="auto"/>
              <w:rPr>
                <w:rFonts w:ascii="宋体" w:cs="宋体"/>
                <w:color w:val="auto"/>
                <w:szCs w:val="21"/>
                <w:highlight w:val="none"/>
              </w:rPr>
            </w:pPr>
            <w:r>
              <w:rPr>
                <w:rFonts w:ascii="宋体" w:hAnsi="宋体" w:cs="宋体"/>
                <w:b/>
                <w:color w:val="auto"/>
                <w:szCs w:val="21"/>
                <w:highlight w:val="none"/>
              </w:rPr>
              <w:t>6</w:t>
            </w:r>
            <w:r>
              <w:rPr>
                <w:rFonts w:hint="eastAsia" w:ascii="宋体" w:hAnsi="宋体" w:cs="宋体"/>
                <w:b/>
                <w:color w:val="auto"/>
                <w:szCs w:val="21"/>
                <w:highlight w:val="none"/>
              </w:rPr>
              <w:t>、保证金凭证应注明正确的项目编号、分标号（如有）等信息，否则，信息不明确或有误的将可能被视为无效磋商保证金，并有可能影响保证金的及时退付。</w:t>
            </w:r>
          </w:p>
        </w:tc>
      </w:tr>
      <w:tr w14:paraId="0839A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992" w:type="dxa"/>
            <w:vAlign w:val="center"/>
          </w:tcPr>
          <w:p w14:paraId="083E4153">
            <w:pPr>
              <w:spacing w:line="360" w:lineRule="auto"/>
              <w:jc w:val="center"/>
              <w:rPr>
                <w:rFonts w:ascii="宋体" w:cs="宋体"/>
                <w:color w:val="auto"/>
                <w:szCs w:val="21"/>
                <w:highlight w:val="none"/>
              </w:rPr>
            </w:pPr>
            <w:r>
              <w:rPr>
                <w:rFonts w:ascii="宋体" w:hAnsi="宋体" w:cs="宋体"/>
                <w:color w:val="auto"/>
                <w:szCs w:val="21"/>
                <w:highlight w:val="none"/>
              </w:rPr>
              <w:t>18.2</w:t>
            </w:r>
          </w:p>
        </w:tc>
        <w:tc>
          <w:tcPr>
            <w:tcW w:w="8627" w:type="dxa"/>
            <w:vAlign w:val="center"/>
          </w:tcPr>
          <w:p w14:paraId="4BF748FF">
            <w:pPr>
              <w:spacing w:line="360" w:lineRule="auto"/>
              <w:rPr>
                <w:rFonts w:ascii="宋体" w:cs="宋体"/>
                <w:color w:val="auto"/>
                <w:szCs w:val="21"/>
                <w:highlight w:val="none"/>
              </w:rPr>
            </w:pPr>
            <w:r>
              <w:rPr>
                <w:rFonts w:hint="eastAsia" w:ascii="宋体" w:hAnsi="宋体" w:cs="宋体"/>
                <w:color w:val="auto"/>
                <w:szCs w:val="21"/>
                <w:highlight w:val="none"/>
              </w:rPr>
              <w:t>响应文件应按资格证明文件、报价商务技术文件分别编制，并按广西政府采购云平台的要求编制、加密、上传。</w:t>
            </w:r>
          </w:p>
        </w:tc>
      </w:tr>
      <w:tr w14:paraId="07F1F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6FE69A5">
            <w:pPr>
              <w:spacing w:line="360" w:lineRule="auto"/>
              <w:jc w:val="center"/>
              <w:rPr>
                <w:rFonts w:ascii="宋体" w:cs="宋体"/>
                <w:color w:val="auto"/>
                <w:szCs w:val="21"/>
                <w:highlight w:val="none"/>
              </w:rPr>
            </w:pPr>
            <w:r>
              <w:rPr>
                <w:rFonts w:ascii="宋体" w:hAnsi="宋体" w:cs="宋体"/>
                <w:color w:val="auto"/>
                <w:szCs w:val="21"/>
                <w:highlight w:val="none"/>
              </w:rPr>
              <w:t>20.1</w:t>
            </w:r>
          </w:p>
        </w:tc>
        <w:tc>
          <w:tcPr>
            <w:tcW w:w="8627" w:type="dxa"/>
            <w:vAlign w:val="center"/>
          </w:tcPr>
          <w:p w14:paraId="6345AD0C">
            <w:pPr>
              <w:spacing w:line="360" w:lineRule="auto"/>
              <w:contextualSpacing/>
              <w:rPr>
                <w:rFonts w:ascii="宋体" w:cs="宋体"/>
                <w:color w:val="auto"/>
                <w:szCs w:val="21"/>
                <w:highlight w:val="none"/>
              </w:rPr>
            </w:pPr>
            <w:r>
              <w:rPr>
                <w:rFonts w:hint="eastAsia" w:ascii="宋体" w:hAnsi="宋体" w:cs="宋体"/>
                <w:color w:val="auto"/>
                <w:szCs w:val="21"/>
                <w:highlight w:val="none"/>
              </w:rPr>
              <w:t>首次响应文件提交截止时间：详见竞争性磋商公告。</w:t>
            </w:r>
          </w:p>
          <w:p w14:paraId="6C4CBC7E">
            <w:pPr>
              <w:spacing w:line="360" w:lineRule="auto"/>
              <w:contextualSpacing/>
              <w:rPr>
                <w:rFonts w:ascii="宋体" w:cs="宋体"/>
                <w:color w:val="auto"/>
                <w:szCs w:val="21"/>
                <w:highlight w:val="none"/>
              </w:rPr>
            </w:pPr>
            <w:r>
              <w:rPr>
                <w:rFonts w:hint="eastAsia" w:ascii="宋体" w:hAnsi="宋体" w:cs="宋体"/>
                <w:color w:val="auto"/>
                <w:szCs w:val="21"/>
                <w:highlight w:val="none"/>
              </w:rPr>
              <w:t>首次响应文件提交地点：详见竞争性磋商公告。</w:t>
            </w:r>
          </w:p>
        </w:tc>
      </w:tr>
      <w:tr w14:paraId="3EDAE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EF42989">
            <w:pPr>
              <w:spacing w:line="360" w:lineRule="auto"/>
              <w:jc w:val="center"/>
              <w:rPr>
                <w:rFonts w:ascii="宋体" w:cs="宋体"/>
                <w:color w:val="auto"/>
                <w:szCs w:val="21"/>
                <w:highlight w:val="none"/>
              </w:rPr>
            </w:pPr>
            <w:r>
              <w:rPr>
                <w:rFonts w:ascii="宋体" w:hAnsi="宋体" w:cs="宋体"/>
                <w:color w:val="auto"/>
                <w:szCs w:val="21"/>
                <w:highlight w:val="none"/>
              </w:rPr>
              <w:t>24.1</w:t>
            </w:r>
          </w:p>
        </w:tc>
        <w:tc>
          <w:tcPr>
            <w:tcW w:w="8627" w:type="dxa"/>
            <w:vAlign w:val="center"/>
          </w:tcPr>
          <w:p w14:paraId="3A85544C">
            <w:pPr>
              <w:snapToGrid w:val="0"/>
              <w:spacing w:line="360" w:lineRule="auto"/>
              <w:rPr>
                <w:rFonts w:ascii="宋体" w:cs="宋体"/>
                <w:color w:val="auto"/>
                <w:szCs w:val="21"/>
                <w:highlight w:val="none"/>
                <w:u w:val="single"/>
              </w:rPr>
            </w:pPr>
            <w:r>
              <w:rPr>
                <w:rFonts w:hint="eastAsia" w:ascii="宋体" w:hAnsi="宋体" w:cs="宋体"/>
                <w:color w:val="auto"/>
                <w:szCs w:val="21"/>
                <w:highlight w:val="none"/>
              </w:rPr>
              <w:t>磋商小组的人数：</w:t>
            </w:r>
            <w:r>
              <w:rPr>
                <w:rFonts w:ascii="宋体" w:hAnsi="宋体" w:cs="宋体"/>
                <w:color w:val="auto"/>
                <w:szCs w:val="21"/>
                <w:highlight w:val="none"/>
              </w:rPr>
              <w:t>3</w:t>
            </w:r>
            <w:r>
              <w:rPr>
                <w:rFonts w:hint="eastAsia" w:ascii="宋体" w:hAnsi="宋体" w:cs="宋体"/>
                <w:color w:val="auto"/>
                <w:szCs w:val="21"/>
                <w:highlight w:val="none"/>
              </w:rPr>
              <w:t>人。</w:t>
            </w:r>
          </w:p>
        </w:tc>
      </w:tr>
      <w:tr w14:paraId="06061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2E4006F">
            <w:pPr>
              <w:spacing w:line="360" w:lineRule="auto"/>
              <w:jc w:val="center"/>
              <w:rPr>
                <w:rFonts w:ascii="宋体" w:cs="宋体"/>
                <w:color w:val="auto"/>
                <w:szCs w:val="21"/>
                <w:highlight w:val="none"/>
              </w:rPr>
            </w:pPr>
            <w:r>
              <w:rPr>
                <w:rFonts w:ascii="宋体" w:hAnsi="宋体" w:cs="宋体"/>
                <w:color w:val="auto"/>
                <w:szCs w:val="21"/>
                <w:highlight w:val="none"/>
              </w:rPr>
              <w:t>25.2</w:t>
            </w:r>
          </w:p>
        </w:tc>
        <w:tc>
          <w:tcPr>
            <w:tcW w:w="8627" w:type="dxa"/>
            <w:vAlign w:val="center"/>
          </w:tcPr>
          <w:p w14:paraId="729D77CD">
            <w:pPr>
              <w:snapToGrid w:val="0"/>
              <w:spacing w:line="360" w:lineRule="auto"/>
              <w:rPr>
                <w:rFonts w:ascii="宋体" w:cs="宋体"/>
                <w:color w:val="auto"/>
                <w:szCs w:val="21"/>
                <w:highlight w:val="none"/>
              </w:rPr>
            </w:pPr>
            <w:r>
              <w:rPr>
                <w:rFonts w:hint="eastAsia" w:ascii="宋体" w:hAnsi="宋体" w:cs="宋体"/>
                <w:color w:val="auto"/>
                <w:szCs w:val="21"/>
                <w:highlight w:val="none"/>
              </w:rPr>
              <w:t>采购代理机构将依托电子交易平台发起开始解密指令，</w:t>
            </w:r>
            <w:r>
              <w:rPr>
                <w:rFonts w:hint="eastAsia" w:ascii="宋体" w:hAnsi="宋体" w:cs="宋体"/>
                <w:b/>
                <w:color w:val="auto"/>
                <w:szCs w:val="21"/>
                <w:highlight w:val="none"/>
              </w:rPr>
              <w:t>供应商的法定代表人或其委托代理人须携带加密时所用的</w:t>
            </w:r>
            <w:r>
              <w:rPr>
                <w:rFonts w:ascii="宋体" w:hAnsi="宋体" w:cs="宋体"/>
                <w:b/>
                <w:color w:val="auto"/>
                <w:szCs w:val="21"/>
                <w:highlight w:val="none"/>
              </w:rPr>
              <w:t>CA</w:t>
            </w:r>
            <w:r>
              <w:rPr>
                <w:rFonts w:hint="eastAsia" w:ascii="宋体" w:hAnsi="宋体" w:cs="宋体"/>
                <w:b/>
                <w:color w:val="auto"/>
                <w:szCs w:val="21"/>
                <w:highlight w:val="none"/>
              </w:rPr>
              <w:t>锁按平台提示和采购文件的规定登录到“广西政府采购云平台”电子开标大厅签到并在发起解密指令之时起</w:t>
            </w:r>
            <w:r>
              <w:rPr>
                <w:rFonts w:ascii="宋体" w:hAnsi="宋体" w:cs="宋体"/>
                <w:b/>
                <w:color w:val="auto"/>
                <w:szCs w:val="21"/>
                <w:highlight w:val="none"/>
              </w:rPr>
              <w:t>30</w:t>
            </w:r>
            <w:r>
              <w:rPr>
                <w:rFonts w:hint="eastAsia" w:ascii="宋体" w:hAnsi="宋体" w:cs="宋体"/>
                <w:b/>
                <w:color w:val="auto"/>
                <w:szCs w:val="21"/>
                <w:highlight w:val="none"/>
              </w:rPr>
              <w:t>分钟内完成对电子响应文件在线解密。</w:t>
            </w:r>
            <w:r>
              <w:rPr>
                <w:rFonts w:hint="eastAsia" w:ascii="宋体" w:hAnsi="宋体" w:cs="宋体"/>
                <w:b/>
                <w:bCs/>
                <w:color w:val="auto"/>
                <w:szCs w:val="21"/>
                <w:highlight w:val="none"/>
              </w:rPr>
              <w:t>响应文件未按时解密的，</w:t>
            </w:r>
            <w:r>
              <w:rPr>
                <w:rFonts w:hint="eastAsia" w:ascii="宋体" w:hAnsi="宋体" w:cs="宋体"/>
                <w:b/>
                <w:color w:val="auto"/>
                <w:szCs w:val="21"/>
                <w:highlight w:val="none"/>
              </w:rPr>
              <w:t>视为响应</w:t>
            </w:r>
            <w:r>
              <w:rPr>
                <w:rFonts w:hint="eastAsia" w:ascii="宋体" w:hAnsi="宋体" w:cs="宋体"/>
                <w:b/>
                <w:bCs/>
                <w:color w:val="auto"/>
                <w:szCs w:val="21"/>
                <w:highlight w:val="none"/>
              </w:rPr>
              <w:t>文件无效。</w:t>
            </w:r>
          </w:p>
        </w:tc>
      </w:tr>
      <w:tr w14:paraId="09667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56889870">
            <w:pPr>
              <w:spacing w:line="360" w:lineRule="auto"/>
              <w:jc w:val="center"/>
              <w:rPr>
                <w:rFonts w:ascii="宋体" w:cs="宋体"/>
                <w:color w:val="auto"/>
                <w:szCs w:val="21"/>
                <w:highlight w:val="none"/>
              </w:rPr>
            </w:pPr>
            <w:r>
              <w:rPr>
                <w:rFonts w:ascii="宋体" w:hAnsi="宋体" w:cs="宋体"/>
                <w:color w:val="auto"/>
                <w:szCs w:val="21"/>
                <w:highlight w:val="none"/>
              </w:rPr>
              <w:t>26</w:t>
            </w:r>
          </w:p>
        </w:tc>
        <w:tc>
          <w:tcPr>
            <w:tcW w:w="8627" w:type="dxa"/>
            <w:vAlign w:val="center"/>
          </w:tcPr>
          <w:p w14:paraId="24DE59B2">
            <w:pPr>
              <w:snapToGrid w:val="0"/>
              <w:spacing w:line="360" w:lineRule="auto"/>
              <w:rPr>
                <w:rFonts w:ascii="宋体" w:cs="宋体"/>
                <w:color w:val="auto"/>
                <w:szCs w:val="21"/>
                <w:highlight w:val="none"/>
              </w:rPr>
            </w:pPr>
            <w:r>
              <w:rPr>
                <w:rFonts w:hint="eastAsia" w:ascii="宋体" w:hAnsi="宋体" w:cs="宋体"/>
                <w:color w:val="auto"/>
                <w:szCs w:val="21"/>
                <w:highlight w:val="none"/>
              </w:rPr>
              <w:t>各分标商务要求评审中允许负偏离的条款数为</w:t>
            </w:r>
            <w:r>
              <w:rPr>
                <w:rFonts w:ascii="宋体" w:hAnsi="宋体" w:cs="宋体"/>
                <w:color w:val="auto"/>
                <w:szCs w:val="21"/>
                <w:highlight w:val="none"/>
                <w:u w:val="single"/>
              </w:rPr>
              <w:t xml:space="preserve"> 0  </w:t>
            </w:r>
            <w:r>
              <w:rPr>
                <w:rFonts w:hint="eastAsia" w:ascii="宋体" w:hAnsi="宋体" w:cs="宋体"/>
                <w:color w:val="auto"/>
                <w:szCs w:val="21"/>
                <w:highlight w:val="none"/>
              </w:rPr>
              <w:t>项。</w:t>
            </w:r>
          </w:p>
          <w:p w14:paraId="6B1A0FFB">
            <w:pPr>
              <w:snapToGrid w:val="0"/>
              <w:spacing w:line="360" w:lineRule="auto"/>
              <w:rPr>
                <w:rFonts w:ascii="宋体" w:cs="宋体"/>
                <w:color w:val="auto"/>
                <w:szCs w:val="21"/>
                <w:highlight w:val="none"/>
              </w:rPr>
            </w:pPr>
            <w:r>
              <w:rPr>
                <w:rFonts w:hint="eastAsia" w:ascii="宋体" w:hAnsi="宋体" w:cs="宋体"/>
                <w:color w:val="auto"/>
                <w:szCs w:val="21"/>
                <w:highlight w:val="none"/>
              </w:rPr>
              <w:t>各分标技术要求评审中允许负偏离的条款数为</w:t>
            </w:r>
            <w:r>
              <w:rPr>
                <w:rFonts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62732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92" w:type="dxa"/>
            <w:vMerge w:val="continue"/>
            <w:vAlign w:val="center"/>
          </w:tcPr>
          <w:p w14:paraId="1EC3DB86">
            <w:pPr>
              <w:spacing w:line="360" w:lineRule="auto"/>
              <w:jc w:val="center"/>
              <w:rPr>
                <w:rFonts w:ascii="宋体" w:cs="宋体"/>
                <w:color w:val="auto"/>
                <w:szCs w:val="21"/>
                <w:highlight w:val="none"/>
              </w:rPr>
            </w:pPr>
          </w:p>
        </w:tc>
        <w:tc>
          <w:tcPr>
            <w:tcW w:w="8627" w:type="dxa"/>
            <w:vAlign w:val="center"/>
          </w:tcPr>
          <w:p w14:paraId="55CAFB63">
            <w:pPr>
              <w:pStyle w:val="13"/>
              <w:spacing w:line="320" w:lineRule="exact"/>
              <w:jc w:val="both"/>
              <w:rPr>
                <w:rFonts w:ascii="宋体" w:cs="宋体"/>
                <w:color w:val="auto"/>
                <w:szCs w:val="21"/>
                <w:highlight w:val="none"/>
              </w:rPr>
            </w:pPr>
            <w:r>
              <w:rPr>
                <w:rFonts w:hint="eastAsia" w:ascii="宋体" w:hAnsi="宋体" w:cs="宋体"/>
                <w:color w:val="auto"/>
                <w:szCs w:val="21"/>
                <w:highlight w:val="none"/>
              </w:rPr>
              <w:t>磋商的顺序：按“广西政府采购云平台”系统的编号顺序。</w:t>
            </w:r>
          </w:p>
          <w:p w14:paraId="46DD4826">
            <w:pPr>
              <w:pStyle w:val="13"/>
              <w:spacing w:line="360" w:lineRule="auto"/>
              <w:jc w:val="both"/>
              <w:rPr>
                <w:rFonts w:ascii="宋体" w:cs="宋体"/>
                <w:b/>
                <w:color w:val="auto"/>
                <w:szCs w:val="21"/>
                <w:highlight w:val="none"/>
              </w:rPr>
            </w:pPr>
            <w:r>
              <w:rPr>
                <w:rFonts w:hint="eastAsia" w:ascii="宋体" w:hAnsi="宋体" w:cs="宋体"/>
                <w:b/>
                <w:color w:val="auto"/>
                <w:szCs w:val="21"/>
                <w:highlight w:val="none"/>
              </w:rPr>
              <w:t>符合磋商资格的供应商必须在接到磋商通知后规定时间内参加磋商，未在规定时间内参加磋商的视同放弃参加磋商权利，其响应文件按无效响应处理。</w:t>
            </w:r>
          </w:p>
          <w:p w14:paraId="5CF38D90">
            <w:pPr>
              <w:pStyle w:val="13"/>
              <w:spacing w:line="360" w:lineRule="auto"/>
              <w:jc w:val="both"/>
              <w:rPr>
                <w:rFonts w:ascii="宋体" w:cs="宋体"/>
                <w:b/>
                <w:color w:val="auto"/>
                <w:szCs w:val="21"/>
                <w:highlight w:val="none"/>
              </w:rPr>
            </w:pPr>
            <w:r>
              <w:rPr>
                <w:rFonts w:hint="eastAsia" w:ascii="宋体" w:hAnsi="宋体" w:cs="宋体"/>
                <w:b/>
                <w:color w:val="auto"/>
                <w:szCs w:val="21"/>
                <w:highlight w:val="none"/>
              </w:rPr>
              <w:t>注：参与磋商前，供应商法定代表人或者委托代理人向磋商小组出示本人有效证件原件</w:t>
            </w:r>
            <w:r>
              <w:rPr>
                <w:rFonts w:ascii="宋体" w:hAnsi="宋体" w:cs="宋体"/>
                <w:b/>
                <w:color w:val="auto"/>
                <w:szCs w:val="21"/>
                <w:highlight w:val="none"/>
              </w:rPr>
              <w:t>[</w:t>
            </w:r>
            <w:r>
              <w:rPr>
                <w:rFonts w:hint="eastAsia" w:ascii="宋体" w:hAnsi="宋体" w:cs="宋体"/>
                <w:b/>
                <w:color w:val="auto"/>
                <w:szCs w:val="21"/>
                <w:highlight w:val="none"/>
              </w:rPr>
              <w:t>有效证件可以是身份证（含临时身份证明）或者护照的其中一项</w:t>
            </w:r>
            <w:r>
              <w:rPr>
                <w:rFonts w:ascii="宋体" w:hAnsi="宋体" w:cs="宋体"/>
                <w:b/>
                <w:color w:val="auto"/>
                <w:szCs w:val="21"/>
                <w:highlight w:val="none"/>
              </w:rPr>
              <w:t>]</w:t>
            </w:r>
            <w:r>
              <w:rPr>
                <w:rFonts w:hint="eastAsia" w:ascii="宋体" w:hAnsi="宋体" w:cs="宋体"/>
                <w:b/>
                <w:color w:val="auto"/>
                <w:szCs w:val="21"/>
                <w:highlight w:val="none"/>
              </w:rPr>
              <w:t>。</w:t>
            </w:r>
          </w:p>
        </w:tc>
      </w:tr>
      <w:tr w14:paraId="56FA1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88D49BA">
            <w:pPr>
              <w:spacing w:line="360" w:lineRule="auto"/>
              <w:jc w:val="center"/>
              <w:rPr>
                <w:rFonts w:ascii="宋体" w:cs="宋体"/>
                <w:color w:val="auto"/>
                <w:szCs w:val="21"/>
                <w:highlight w:val="none"/>
              </w:rPr>
            </w:pPr>
            <w:r>
              <w:rPr>
                <w:rFonts w:ascii="宋体" w:hAnsi="宋体" w:cs="宋体"/>
                <w:color w:val="auto"/>
                <w:szCs w:val="21"/>
                <w:highlight w:val="none"/>
              </w:rPr>
              <w:t>28.1</w:t>
            </w:r>
          </w:p>
        </w:tc>
        <w:tc>
          <w:tcPr>
            <w:tcW w:w="8627" w:type="dxa"/>
            <w:vAlign w:val="center"/>
          </w:tcPr>
          <w:p w14:paraId="057E3195">
            <w:pPr>
              <w:autoSpaceDE w:val="0"/>
              <w:autoSpaceDN w:val="0"/>
              <w:snapToGrid w:val="0"/>
              <w:spacing w:line="400" w:lineRule="exact"/>
              <w:textAlignment w:val="bottom"/>
              <w:rPr>
                <w:rFonts w:ascii="宋体" w:cs="宋体"/>
                <w:color w:val="auto"/>
                <w:szCs w:val="21"/>
                <w:highlight w:val="none"/>
              </w:rPr>
            </w:pPr>
            <w:r>
              <w:rPr>
                <w:rFonts w:hint="eastAsia" w:ascii="宋体" w:hAnsi="宋体" w:cs="宋体"/>
                <w:color w:val="auto"/>
                <w:szCs w:val="21"/>
                <w:highlight w:val="none"/>
              </w:rPr>
              <w:t>本项目不收取履约保证金。</w:t>
            </w:r>
          </w:p>
        </w:tc>
      </w:tr>
      <w:tr w14:paraId="31BB6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0B7E1E3">
            <w:pPr>
              <w:spacing w:line="360" w:lineRule="auto"/>
              <w:jc w:val="center"/>
              <w:rPr>
                <w:rFonts w:ascii="宋体" w:cs="宋体"/>
                <w:color w:val="auto"/>
                <w:szCs w:val="21"/>
                <w:highlight w:val="none"/>
              </w:rPr>
            </w:pPr>
            <w:r>
              <w:rPr>
                <w:rFonts w:ascii="宋体" w:hAnsi="宋体" w:cs="宋体"/>
                <w:color w:val="auto"/>
                <w:szCs w:val="21"/>
                <w:highlight w:val="none"/>
              </w:rPr>
              <w:t>29.1</w:t>
            </w:r>
          </w:p>
        </w:tc>
        <w:tc>
          <w:tcPr>
            <w:tcW w:w="8627" w:type="dxa"/>
            <w:vAlign w:val="center"/>
          </w:tcPr>
          <w:p w14:paraId="09677007">
            <w:pPr>
              <w:autoSpaceDE w:val="0"/>
              <w:autoSpaceDN w:val="0"/>
              <w:snapToGrid w:val="0"/>
              <w:spacing w:line="360" w:lineRule="auto"/>
              <w:textAlignment w:val="bottom"/>
              <w:rPr>
                <w:rFonts w:ascii="宋体" w:cs="宋体"/>
                <w:color w:val="auto"/>
                <w:szCs w:val="21"/>
                <w:highlight w:val="none"/>
              </w:rPr>
            </w:pPr>
            <w:r>
              <w:rPr>
                <w:rFonts w:hint="eastAsia" w:ascii="宋体" w:hAnsi="宋体" w:cs="宋体"/>
                <w:color w:val="auto"/>
                <w:szCs w:val="21"/>
                <w:highlight w:val="none"/>
              </w:rPr>
              <w:t>签订合同携带的证明材料：</w:t>
            </w:r>
            <w:r>
              <w:rPr>
                <w:rFonts w:ascii="宋体" w:hAnsi="宋体" w:cs="宋体"/>
                <w:color w:val="auto"/>
                <w:szCs w:val="21"/>
                <w:highlight w:val="none"/>
              </w:rPr>
              <w:t xml:space="preserve"> </w:t>
            </w:r>
          </w:p>
          <w:p w14:paraId="6B448996">
            <w:pPr>
              <w:autoSpaceDE w:val="0"/>
              <w:autoSpaceDN w:val="0"/>
              <w:snapToGrid w:val="0"/>
              <w:spacing w:line="360" w:lineRule="auto"/>
              <w:textAlignment w:val="bottom"/>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、委托代理人负责签订合同的，须携带授权委托书及委托代理人身份证原件等其他资格证件。</w:t>
            </w:r>
          </w:p>
          <w:p w14:paraId="6A88D44B">
            <w:pPr>
              <w:snapToGrid w:val="0"/>
              <w:spacing w:line="360" w:lineRule="auto"/>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、法定代表人负责签订合同的，须携带法定代表人身份证明原件及身份证原件等其他证明材料。</w:t>
            </w:r>
          </w:p>
        </w:tc>
      </w:tr>
      <w:tr w14:paraId="4421B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2443306">
            <w:pPr>
              <w:spacing w:line="360" w:lineRule="auto"/>
              <w:jc w:val="center"/>
              <w:rPr>
                <w:rFonts w:ascii="宋体" w:cs="宋体"/>
                <w:color w:val="auto"/>
                <w:szCs w:val="21"/>
                <w:highlight w:val="none"/>
              </w:rPr>
            </w:pPr>
            <w:r>
              <w:rPr>
                <w:rFonts w:ascii="宋体" w:hAnsi="宋体" w:cs="宋体"/>
                <w:color w:val="auto"/>
                <w:szCs w:val="21"/>
                <w:highlight w:val="none"/>
              </w:rPr>
              <w:t>31.2</w:t>
            </w:r>
          </w:p>
        </w:tc>
        <w:tc>
          <w:tcPr>
            <w:tcW w:w="8627" w:type="dxa"/>
            <w:vAlign w:val="center"/>
          </w:tcPr>
          <w:p w14:paraId="5FC7F95D">
            <w:pPr>
              <w:pStyle w:val="19"/>
              <w:snapToGrid w:val="0"/>
              <w:spacing w:line="360" w:lineRule="auto"/>
              <w:rPr>
                <w:rFonts w:hAnsi="宋体" w:cs="宋体"/>
                <w:color w:val="auto"/>
                <w:sz w:val="21"/>
                <w:highlight w:val="none"/>
              </w:rPr>
            </w:pPr>
            <w:r>
              <w:rPr>
                <w:rFonts w:hint="eastAsia" w:hAnsi="宋体" w:cs="宋体"/>
                <w:color w:val="auto"/>
                <w:sz w:val="21"/>
                <w:highlight w:val="none"/>
              </w:rPr>
              <w:t>接收质疑函方式：以纸质书面形式。</w:t>
            </w:r>
          </w:p>
          <w:p w14:paraId="4228845A">
            <w:pPr>
              <w:pStyle w:val="19"/>
              <w:snapToGrid w:val="0"/>
              <w:spacing w:line="360" w:lineRule="auto"/>
              <w:rPr>
                <w:rFonts w:hAnsi="宋体" w:cs="宋体"/>
                <w:color w:val="auto"/>
                <w:sz w:val="21"/>
                <w:highlight w:val="none"/>
              </w:rPr>
            </w:pPr>
            <w:r>
              <w:rPr>
                <w:rFonts w:hint="eastAsia" w:hAnsi="宋体" w:cs="宋体"/>
                <w:color w:val="auto"/>
                <w:sz w:val="21"/>
                <w:highlight w:val="none"/>
              </w:rPr>
              <w:t>质疑联系部门及联系方式：广西国泰招标咨询有限公司，质疑联系人：黄柳娜</w:t>
            </w:r>
            <w:r>
              <w:rPr>
                <w:rFonts w:hAnsi="宋体" w:cs="宋体"/>
                <w:color w:val="auto"/>
                <w:sz w:val="21"/>
                <w:highlight w:val="none"/>
              </w:rPr>
              <w:t xml:space="preserve">  </w:t>
            </w:r>
            <w:r>
              <w:rPr>
                <w:rFonts w:hint="eastAsia" w:hAnsi="宋体" w:cs="宋体"/>
                <w:color w:val="auto"/>
                <w:sz w:val="21"/>
                <w:highlight w:val="none"/>
              </w:rPr>
              <w:t>联系电话：</w:t>
            </w:r>
            <w:r>
              <w:rPr>
                <w:rFonts w:hAnsi="宋体" w:cs="宋体"/>
                <w:color w:val="auto"/>
                <w:sz w:val="21"/>
                <w:highlight w:val="none"/>
              </w:rPr>
              <w:t>0771-2023496</w:t>
            </w:r>
            <w:r>
              <w:rPr>
                <w:rFonts w:hint="eastAsia" w:hAnsi="宋体" w:cs="宋体"/>
                <w:color w:val="auto"/>
                <w:sz w:val="21"/>
                <w:highlight w:val="none"/>
              </w:rPr>
              <w:t>，通讯地址：广西南宁市民族大道</w:t>
            </w:r>
            <w:r>
              <w:rPr>
                <w:rFonts w:hAnsi="宋体" w:cs="宋体"/>
                <w:color w:val="auto"/>
                <w:sz w:val="21"/>
                <w:highlight w:val="none"/>
              </w:rPr>
              <w:t>141</w:t>
            </w:r>
            <w:r>
              <w:rPr>
                <w:rFonts w:hint="eastAsia" w:hAnsi="宋体" w:cs="宋体"/>
                <w:color w:val="auto"/>
                <w:sz w:val="21"/>
                <w:highlight w:val="none"/>
              </w:rPr>
              <w:t>号中鼎万象东方大厦</w:t>
            </w:r>
            <w:r>
              <w:rPr>
                <w:rFonts w:hAnsi="宋体" w:cs="宋体"/>
                <w:color w:val="auto"/>
                <w:sz w:val="21"/>
                <w:highlight w:val="none"/>
              </w:rPr>
              <w:t>C</w:t>
            </w:r>
            <w:r>
              <w:rPr>
                <w:rFonts w:hint="eastAsia" w:hAnsi="宋体" w:cs="宋体"/>
                <w:color w:val="auto"/>
                <w:sz w:val="21"/>
                <w:highlight w:val="none"/>
              </w:rPr>
              <w:t>区六层</w:t>
            </w:r>
          </w:p>
          <w:p w14:paraId="76CE5AFB">
            <w:pPr>
              <w:pStyle w:val="19"/>
              <w:snapToGrid w:val="0"/>
              <w:spacing w:line="360" w:lineRule="auto"/>
              <w:rPr>
                <w:rFonts w:hAnsi="宋体" w:cs="宋体"/>
                <w:color w:val="auto"/>
                <w:highlight w:val="none"/>
              </w:rPr>
            </w:pPr>
            <w:r>
              <w:rPr>
                <w:rFonts w:hint="eastAsia" w:hAnsi="宋体" w:cs="宋体"/>
                <w:color w:val="auto"/>
                <w:sz w:val="21"/>
                <w:highlight w:val="none"/>
              </w:rPr>
              <w:t>现场提交质疑办理业务时间：工作日，上午</w:t>
            </w:r>
            <w:r>
              <w:rPr>
                <w:rFonts w:hAnsi="宋体" w:cs="宋体"/>
                <w:color w:val="auto"/>
                <w:sz w:val="21"/>
                <w:highlight w:val="none"/>
              </w:rPr>
              <w:t>8:00-12:00</w:t>
            </w:r>
            <w:r>
              <w:rPr>
                <w:rFonts w:hint="eastAsia" w:hAnsi="宋体" w:cs="宋体"/>
                <w:color w:val="auto"/>
                <w:sz w:val="21"/>
                <w:highlight w:val="none"/>
              </w:rPr>
              <w:t>；下午</w:t>
            </w:r>
            <w:r>
              <w:rPr>
                <w:rFonts w:hAnsi="宋体" w:cs="宋体"/>
                <w:color w:val="auto"/>
                <w:sz w:val="21"/>
                <w:highlight w:val="none"/>
              </w:rPr>
              <w:t>15:00-18:00</w:t>
            </w:r>
            <w:r>
              <w:rPr>
                <w:rFonts w:hint="eastAsia" w:hAnsi="宋体" w:cs="宋体"/>
                <w:color w:val="auto"/>
                <w:sz w:val="21"/>
                <w:highlight w:val="none"/>
              </w:rPr>
              <w:t>（北京时间）</w:t>
            </w:r>
          </w:p>
        </w:tc>
      </w:tr>
      <w:tr w14:paraId="5B8E2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14:paraId="575CEFC2">
            <w:pPr>
              <w:spacing w:line="360" w:lineRule="auto"/>
              <w:jc w:val="center"/>
              <w:rPr>
                <w:rFonts w:ascii="宋体" w:cs="宋体"/>
                <w:color w:val="auto"/>
                <w:szCs w:val="21"/>
                <w:highlight w:val="none"/>
              </w:rPr>
            </w:pPr>
            <w:r>
              <w:rPr>
                <w:rFonts w:ascii="宋体" w:hAnsi="宋体" w:cs="宋体"/>
                <w:color w:val="auto"/>
                <w:szCs w:val="21"/>
                <w:highlight w:val="none"/>
              </w:rPr>
              <w:t>32.1</w:t>
            </w:r>
          </w:p>
        </w:tc>
        <w:tc>
          <w:tcPr>
            <w:tcW w:w="8627" w:type="dxa"/>
            <w:vAlign w:val="center"/>
          </w:tcPr>
          <w:p w14:paraId="482AC159">
            <w:pPr>
              <w:pStyle w:val="19"/>
              <w:snapToGrid w:val="0"/>
              <w:spacing w:line="400" w:lineRule="exact"/>
              <w:rPr>
                <w:rFonts w:hAnsi="宋体" w:cs="宋体"/>
                <w:color w:val="auto"/>
                <w:sz w:val="21"/>
                <w:highlight w:val="none"/>
              </w:rPr>
            </w:pPr>
            <w:r>
              <w:rPr>
                <w:rFonts w:hAnsi="宋体" w:cs="宋体"/>
                <w:color w:val="auto"/>
                <w:sz w:val="21"/>
                <w:highlight w:val="none"/>
              </w:rPr>
              <w:t>1</w:t>
            </w:r>
            <w:r>
              <w:rPr>
                <w:rFonts w:hint="eastAsia" w:hAnsi="宋体" w:cs="宋体"/>
                <w:color w:val="auto"/>
                <w:sz w:val="21"/>
                <w:highlight w:val="none"/>
              </w:rPr>
              <w:t>、采购代理服务费支付方式：</w:t>
            </w:r>
            <w:r>
              <w:rPr>
                <w:rFonts w:hint="eastAsia" w:hAnsi="宋体"/>
                <w:color w:val="auto"/>
                <w:sz w:val="21"/>
                <w:highlight w:val="none"/>
              </w:rPr>
              <w:t>本项目的招标代理服务费按以下收费标准向</w:t>
            </w:r>
            <w:r>
              <w:rPr>
                <w:rFonts w:hint="eastAsia" w:hAnsi="宋体" w:cs="宋体"/>
                <w:color w:val="auto"/>
                <w:sz w:val="21"/>
                <w:highlight w:val="none"/>
              </w:rPr>
              <w:t>成交供应商</w:t>
            </w:r>
            <w:r>
              <w:rPr>
                <w:rFonts w:hint="eastAsia" w:hAnsi="宋体"/>
                <w:color w:val="auto"/>
                <w:sz w:val="21"/>
                <w:highlight w:val="none"/>
              </w:rPr>
              <w:t>收取，领取成交通知书前，</w:t>
            </w:r>
            <w:r>
              <w:rPr>
                <w:rFonts w:hint="eastAsia" w:hAnsi="宋体" w:cs="宋体"/>
                <w:color w:val="auto"/>
                <w:sz w:val="21"/>
                <w:highlight w:val="none"/>
              </w:rPr>
              <w:t>成交供应商</w:t>
            </w:r>
            <w:r>
              <w:rPr>
                <w:rFonts w:hint="eastAsia" w:hAnsi="宋体"/>
                <w:color w:val="auto"/>
                <w:sz w:val="21"/>
                <w:highlight w:val="none"/>
              </w:rPr>
              <w:t>应向采购代理机构一次付清招标代理服务费，否则采购代理机构有权不予以办理。</w:t>
            </w:r>
          </w:p>
          <w:p w14:paraId="2BD51455">
            <w:pPr>
              <w:pStyle w:val="19"/>
              <w:snapToGrid w:val="0"/>
              <w:spacing w:line="400" w:lineRule="exact"/>
              <w:rPr>
                <w:rFonts w:hAnsi="宋体" w:cs="宋体"/>
                <w:color w:val="auto"/>
                <w:sz w:val="21"/>
                <w:highlight w:val="none"/>
              </w:rPr>
            </w:pPr>
            <w:r>
              <w:rPr>
                <w:rFonts w:hAnsi="宋体" w:cs="宋体"/>
                <w:color w:val="auto"/>
                <w:sz w:val="21"/>
                <w:highlight w:val="none"/>
              </w:rPr>
              <w:t>2</w:t>
            </w:r>
            <w:r>
              <w:rPr>
                <w:rFonts w:hint="eastAsia" w:hAnsi="宋体" w:cs="宋体"/>
                <w:color w:val="auto"/>
                <w:sz w:val="21"/>
                <w:highlight w:val="none"/>
              </w:rPr>
              <w:t>、采购代理服务费收取标准：以各分标成交金额为计费额，按本须知正文第</w:t>
            </w:r>
            <w:r>
              <w:rPr>
                <w:rFonts w:hAnsi="宋体" w:cs="宋体"/>
                <w:color w:val="auto"/>
                <w:sz w:val="21"/>
                <w:highlight w:val="none"/>
              </w:rPr>
              <w:t>32.2</w:t>
            </w:r>
            <w:r>
              <w:rPr>
                <w:rFonts w:hint="eastAsia" w:hAnsi="宋体" w:cs="宋体"/>
                <w:color w:val="auto"/>
                <w:sz w:val="21"/>
                <w:highlight w:val="none"/>
              </w:rPr>
              <w:t>条规定的收费计算标准（</w:t>
            </w:r>
            <w:r>
              <w:rPr>
                <w:rFonts w:hint="eastAsia" w:hAnsi="宋体" w:cs="宋体"/>
                <w:b/>
                <w:color w:val="auto"/>
                <w:sz w:val="21"/>
                <w:highlight w:val="none"/>
              </w:rPr>
              <w:t>服务类</w:t>
            </w:r>
            <w:r>
              <w:rPr>
                <w:rFonts w:hint="eastAsia" w:hAnsi="宋体" w:cs="宋体"/>
                <w:color w:val="auto"/>
                <w:sz w:val="21"/>
                <w:highlight w:val="none"/>
              </w:rPr>
              <w:t>）采用差额定率累进法计算出收费基准价格，采购代理服务费收费按收费基准价格收取。</w:t>
            </w:r>
          </w:p>
          <w:p w14:paraId="3B1AB5E9">
            <w:pPr>
              <w:pStyle w:val="19"/>
              <w:snapToGrid w:val="0"/>
              <w:spacing w:line="400" w:lineRule="exact"/>
              <w:rPr>
                <w:rFonts w:hAnsi="宋体" w:cs="宋体"/>
                <w:color w:val="auto"/>
                <w:sz w:val="21"/>
                <w:highlight w:val="none"/>
              </w:rPr>
            </w:pPr>
            <w:r>
              <w:rPr>
                <w:rFonts w:hAnsi="宋体" w:cs="宋体"/>
                <w:color w:val="auto"/>
                <w:sz w:val="21"/>
                <w:highlight w:val="none"/>
              </w:rPr>
              <w:t>3</w:t>
            </w:r>
            <w:r>
              <w:rPr>
                <w:rFonts w:hint="eastAsia" w:hAnsi="宋体" w:cs="宋体"/>
                <w:color w:val="auto"/>
                <w:sz w:val="21"/>
                <w:highlight w:val="none"/>
              </w:rPr>
              <w:t>、代理服务费缴费账户信息：</w:t>
            </w:r>
          </w:p>
          <w:p w14:paraId="662CC4BD">
            <w:pPr>
              <w:pStyle w:val="19"/>
              <w:snapToGrid w:val="0"/>
              <w:spacing w:line="400" w:lineRule="exact"/>
              <w:rPr>
                <w:rFonts w:hAnsi="宋体" w:cs="宋体"/>
                <w:color w:val="auto"/>
                <w:sz w:val="21"/>
                <w:highlight w:val="none"/>
              </w:rPr>
            </w:pPr>
            <w:r>
              <w:rPr>
                <w:rFonts w:hint="eastAsia" w:hAnsi="宋体" w:cs="宋体"/>
                <w:color w:val="auto"/>
                <w:sz w:val="21"/>
                <w:highlight w:val="none"/>
              </w:rPr>
              <w:t>开户名称：广西国泰招标咨询有限公司南宁第五分公司</w:t>
            </w:r>
          </w:p>
          <w:p w14:paraId="6FD26D06">
            <w:pPr>
              <w:pStyle w:val="19"/>
              <w:snapToGrid w:val="0"/>
              <w:spacing w:line="400" w:lineRule="exact"/>
              <w:rPr>
                <w:rFonts w:hAnsi="宋体" w:cs="宋体"/>
                <w:color w:val="auto"/>
                <w:sz w:val="21"/>
                <w:highlight w:val="none"/>
              </w:rPr>
            </w:pPr>
            <w:r>
              <w:rPr>
                <w:rFonts w:hint="eastAsia" w:hAnsi="宋体" w:cs="宋体"/>
                <w:color w:val="auto"/>
                <w:sz w:val="21"/>
                <w:highlight w:val="none"/>
              </w:rPr>
              <w:t>开户银行：广西北部湾银行股份有限公司南宁市云景支行</w:t>
            </w:r>
          </w:p>
          <w:p w14:paraId="648D178A">
            <w:pPr>
              <w:pStyle w:val="19"/>
              <w:snapToGrid w:val="0"/>
              <w:spacing w:line="400" w:lineRule="exact"/>
              <w:rPr>
                <w:rFonts w:hAnsi="宋体" w:cs="宋体"/>
                <w:color w:val="auto"/>
                <w:sz w:val="21"/>
                <w:highlight w:val="none"/>
              </w:rPr>
            </w:pPr>
            <w:r>
              <w:rPr>
                <w:rFonts w:hint="eastAsia" w:hAnsi="宋体" w:cs="宋体"/>
                <w:color w:val="auto"/>
                <w:sz w:val="21"/>
                <w:highlight w:val="none"/>
              </w:rPr>
              <w:t>银行账号：</w:t>
            </w:r>
            <w:r>
              <w:rPr>
                <w:rFonts w:hAnsi="宋体" w:cs="宋体"/>
                <w:color w:val="auto"/>
                <w:sz w:val="21"/>
                <w:highlight w:val="none"/>
              </w:rPr>
              <w:t>805022302700001</w:t>
            </w:r>
          </w:p>
        </w:tc>
      </w:tr>
      <w:tr w14:paraId="54958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F1D0FBF">
            <w:pPr>
              <w:spacing w:line="360" w:lineRule="auto"/>
              <w:jc w:val="center"/>
              <w:rPr>
                <w:rFonts w:ascii="宋体" w:cs="宋体"/>
                <w:color w:val="auto"/>
                <w:szCs w:val="21"/>
                <w:highlight w:val="none"/>
              </w:rPr>
            </w:pPr>
            <w:r>
              <w:rPr>
                <w:rFonts w:ascii="宋体" w:hAnsi="宋体" w:cs="宋体"/>
                <w:color w:val="auto"/>
                <w:szCs w:val="21"/>
                <w:highlight w:val="none"/>
              </w:rPr>
              <w:t>33.1</w:t>
            </w:r>
          </w:p>
        </w:tc>
        <w:tc>
          <w:tcPr>
            <w:tcW w:w="8627" w:type="dxa"/>
            <w:vAlign w:val="center"/>
          </w:tcPr>
          <w:p w14:paraId="4F16803D">
            <w:pPr>
              <w:pStyle w:val="19"/>
              <w:snapToGrid w:val="0"/>
              <w:spacing w:line="360" w:lineRule="auto"/>
              <w:rPr>
                <w:rFonts w:hAnsi="宋体" w:cs="宋体"/>
                <w:color w:val="auto"/>
                <w:kern w:val="2"/>
                <w:sz w:val="21"/>
                <w:highlight w:val="none"/>
              </w:rPr>
            </w:pPr>
            <w:r>
              <w:rPr>
                <w:rFonts w:hint="eastAsia" w:hAnsi="宋体" w:cs="宋体"/>
                <w:color w:val="auto"/>
                <w:sz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34E6C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14:paraId="5EDD059B">
            <w:pPr>
              <w:spacing w:line="360" w:lineRule="auto"/>
              <w:jc w:val="center"/>
              <w:rPr>
                <w:rFonts w:ascii="宋体" w:cs="宋体"/>
                <w:color w:val="auto"/>
                <w:szCs w:val="21"/>
                <w:highlight w:val="none"/>
              </w:rPr>
            </w:pPr>
            <w:r>
              <w:rPr>
                <w:rFonts w:ascii="宋体" w:hAnsi="宋体" w:cs="宋体"/>
                <w:color w:val="auto"/>
                <w:szCs w:val="21"/>
                <w:highlight w:val="none"/>
              </w:rPr>
              <w:t>33.2</w:t>
            </w:r>
          </w:p>
        </w:tc>
        <w:tc>
          <w:tcPr>
            <w:tcW w:w="8627" w:type="dxa"/>
            <w:vAlign w:val="center"/>
          </w:tcPr>
          <w:p w14:paraId="568AAE67">
            <w:pPr>
              <w:pStyle w:val="19"/>
              <w:snapToGrid w:val="0"/>
              <w:spacing w:line="360" w:lineRule="auto"/>
              <w:rPr>
                <w:rFonts w:hAnsi="宋体" w:cs="宋体"/>
                <w:color w:val="auto"/>
                <w:sz w:val="21"/>
                <w:highlight w:val="none"/>
              </w:rPr>
            </w:pPr>
            <w:r>
              <w:rPr>
                <w:rFonts w:hAnsi="宋体" w:cs="宋体"/>
                <w:color w:val="auto"/>
                <w:sz w:val="21"/>
                <w:highlight w:val="none"/>
              </w:rPr>
              <w:t>1</w:t>
            </w:r>
            <w:r>
              <w:rPr>
                <w:rFonts w:hint="eastAsia" w:hAnsi="宋体" w:cs="宋体"/>
                <w:color w:val="auto"/>
                <w:sz w:val="21"/>
                <w:highlight w:val="none"/>
              </w:rPr>
              <w:t>、本磋商文件中描述供应商的“公章”是指根据我国对公章的管理规定，用供应商法定主体行为名称制作的印章（含电子印章），除本磋商文件有特殊规定外，供应商的财务章、部门章、分公司章、工会章、合同章、竞标</w:t>
            </w:r>
            <w:r>
              <w:rPr>
                <w:rFonts w:hAnsi="宋体" w:cs="宋体"/>
                <w:color w:val="auto"/>
                <w:sz w:val="21"/>
                <w:highlight w:val="none"/>
              </w:rPr>
              <w:t>/</w:t>
            </w:r>
            <w:r>
              <w:rPr>
                <w:rFonts w:hint="eastAsia" w:hAnsi="宋体" w:cs="宋体"/>
                <w:color w:val="auto"/>
                <w:sz w:val="21"/>
                <w:highlight w:val="none"/>
              </w:rPr>
              <w:t>投标专用章、业务专用章及银行的转账章、现金收讫章、现金付讫章等其他形式印章均不能代替公章。</w:t>
            </w:r>
          </w:p>
          <w:p w14:paraId="3F6F0D2C">
            <w:pPr>
              <w:pStyle w:val="19"/>
              <w:snapToGrid w:val="0"/>
              <w:spacing w:line="360" w:lineRule="auto"/>
              <w:rPr>
                <w:rFonts w:hAnsi="宋体" w:cs="宋体"/>
                <w:color w:val="auto"/>
                <w:sz w:val="21"/>
                <w:highlight w:val="none"/>
              </w:rPr>
            </w:pPr>
            <w:r>
              <w:rPr>
                <w:rFonts w:hAnsi="宋体" w:cs="宋体"/>
                <w:color w:val="auto"/>
                <w:sz w:val="21"/>
                <w:highlight w:val="none"/>
              </w:rPr>
              <w:t>2</w:t>
            </w:r>
            <w:r>
              <w:rPr>
                <w:rFonts w:hint="eastAsia" w:hAnsi="宋体" w:cs="宋体"/>
                <w:color w:val="auto"/>
                <w:sz w:val="21"/>
                <w:highlight w:val="none"/>
              </w:rPr>
              <w:t>、供应商为其他组织或者自然人时，本磋商文件规定的法定代表人指负责人或者自然人。本磋商文件所称负责人是指参加竞标的其他组织</w:t>
            </w:r>
            <w:r>
              <w:rPr>
                <w:rFonts w:hint="eastAsia" w:hAnsi="宋体" w:cs="宋体"/>
                <w:bCs/>
                <w:color w:val="auto"/>
                <w:sz w:val="21"/>
                <w:highlight w:val="none"/>
              </w:rPr>
              <w:t>营业执照或者执业许可证等证照上的</w:t>
            </w:r>
            <w:r>
              <w:rPr>
                <w:rFonts w:hint="eastAsia" w:hAnsi="宋体" w:cs="宋体"/>
                <w:color w:val="auto"/>
                <w:sz w:val="21"/>
                <w:highlight w:val="none"/>
              </w:rPr>
              <w:t>负责人，本磋商文件所称自然人指参与竞标的自然人本人，</w:t>
            </w:r>
            <w:r>
              <w:rPr>
                <w:rFonts w:hint="eastAsia" w:hAnsi="宋体" w:cs="宋体"/>
                <w:bCs/>
                <w:color w:val="auto"/>
                <w:sz w:val="21"/>
                <w:highlight w:val="none"/>
              </w:rPr>
              <w:t>且应具备独立承担民事责任能力，自然人应当为年满</w:t>
            </w:r>
            <w:r>
              <w:rPr>
                <w:rFonts w:hAnsi="宋体" w:cs="宋体"/>
                <w:bCs/>
                <w:color w:val="auto"/>
                <w:sz w:val="21"/>
                <w:highlight w:val="none"/>
              </w:rPr>
              <w:t>18</w:t>
            </w:r>
            <w:r>
              <w:rPr>
                <w:rFonts w:hint="eastAsia" w:hAnsi="宋体" w:cs="宋体"/>
                <w:bCs/>
                <w:color w:val="auto"/>
                <w:sz w:val="21"/>
                <w:highlight w:val="none"/>
              </w:rPr>
              <w:t>岁以上成年人（十六周岁以上的未成年人，以自己的劳动收入为主要生活来源的，视为完全民事行为能力人）。</w:t>
            </w:r>
          </w:p>
          <w:p w14:paraId="5897DAF7">
            <w:pPr>
              <w:pStyle w:val="13"/>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本磋商文件中描述供应商的“签字”是指供应商的法定代表人或者委托代理人在文件规定签署处签名（含电子签名）的行为，法定代表人的私章、印鉴（含电子私章、电子印鉴）法律效力与法定代表人签字等同。</w:t>
            </w:r>
          </w:p>
          <w:p w14:paraId="67BAA808">
            <w:pPr>
              <w:pStyle w:val="19"/>
              <w:snapToGrid w:val="0"/>
              <w:spacing w:line="360" w:lineRule="auto"/>
              <w:rPr>
                <w:rFonts w:hAnsi="宋体" w:cs="宋体"/>
                <w:color w:val="auto"/>
                <w:sz w:val="21"/>
                <w:highlight w:val="none"/>
              </w:rPr>
            </w:pPr>
            <w:r>
              <w:rPr>
                <w:rFonts w:hint="eastAsia" w:ascii="宋体" w:hAnsi="宋体" w:eastAsia="宋体" w:cs="宋体"/>
                <w:color w:val="auto"/>
                <w:kern w:val="0"/>
                <w:sz w:val="21"/>
                <w:szCs w:val="21"/>
                <w:highlight w:val="none"/>
                <w:lang w:val="en-US" w:eastAsia="zh-CN" w:bidi="ar-SA"/>
              </w:rPr>
              <w:t>4、自然人竞标的，磋商文件规定盖</w:t>
            </w:r>
            <w:r>
              <w:rPr>
                <w:rFonts w:hint="eastAsia" w:hAnsi="宋体" w:cs="宋体"/>
                <w:color w:val="auto"/>
                <w:sz w:val="21"/>
                <w:highlight w:val="none"/>
              </w:rPr>
              <w:t>公章处由自然人摁手指指印。</w:t>
            </w:r>
          </w:p>
          <w:p w14:paraId="4B36B543">
            <w:pPr>
              <w:pStyle w:val="19"/>
              <w:snapToGrid w:val="0"/>
              <w:spacing w:line="360" w:lineRule="auto"/>
              <w:rPr>
                <w:rFonts w:hAnsi="宋体" w:cs="宋体"/>
                <w:color w:val="auto"/>
                <w:sz w:val="21"/>
                <w:highlight w:val="none"/>
              </w:rPr>
            </w:pPr>
            <w:r>
              <w:rPr>
                <w:rFonts w:hAnsi="宋体" w:cs="宋体"/>
                <w:color w:val="auto"/>
                <w:sz w:val="21"/>
                <w:highlight w:val="none"/>
              </w:rPr>
              <w:t>5</w:t>
            </w:r>
            <w:r>
              <w:rPr>
                <w:rFonts w:hint="eastAsia" w:hAnsi="宋体" w:cs="宋体"/>
                <w:color w:val="auto"/>
                <w:sz w:val="21"/>
                <w:highlight w:val="none"/>
              </w:rPr>
              <w:t>、本磋商文件所称的“以上”“以下”“以内”“届满”，包括本数；所称的“不满”“超</w:t>
            </w:r>
          </w:p>
          <w:p w14:paraId="5DC5FD17">
            <w:pPr>
              <w:pStyle w:val="19"/>
              <w:snapToGrid w:val="0"/>
              <w:spacing w:line="360" w:lineRule="auto"/>
              <w:rPr>
                <w:rFonts w:hAnsi="宋体" w:cs="宋体"/>
                <w:color w:val="auto"/>
                <w:sz w:val="21"/>
                <w:highlight w:val="none"/>
              </w:rPr>
            </w:pPr>
            <w:r>
              <w:rPr>
                <w:rFonts w:hint="eastAsia" w:hAnsi="宋体" w:cs="宋体"/>
                <w:color w:val="auto"/>
                <w:sz w:val="21"/>
                <w:highlight w:val="none"/>
              </w:rPr>
              <w:t>过”“以外”，不包括本数。</w:t>
            </w:r>
          </w:p>
        </w:tc>
      </w:tr>
      <w:tr w14:paraId="08FF5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14:paraId="532B4DE1">
            <w:pPr>
              <w:spacing w:line="360" w:lineRule="auto"/>
              <w:jc w:val="center"/>
              <w:rPr>
                <w:rFonts w:ascii="宋体" w:cs="宋体"/>
                <w:color w:val="auto"/>
                <w:szCs w:val="21"/>
                <w:highlight w:val="none"/>
              </w:rPr>
            </w:pPr>
          </w:p>
        </w:tc>
        <w:tc>
          <w:tcPr>
            <w:tcW w:w="8627" w:type="dxa"/>
            <w:vAlign w:val="center"/>
          </w:tcPr>
          <w:p w14:paraId="4F00A042">
            <w:pPr>
              <w:spacing w:line="400" w:lineRule="exact"/>
              <w:jc w:val="left"/>
              <w:rPr>
                <w:rFonts w:ascii="宋体" w:cs="宋体"/>
                <w:b/>
                <w:bCs/>
                <w:color w:val="auto"/>
                <w:szCs w:val="21"/>
                <w:highlight w:val="none"/>
              </w:rPr>
            </w:pPr>
            <w:r>
              <w:rPr>
                <w:rFonts w:hint="eastAsia" w:ascii="宋体" w:hAnsi="宋体" w:cs="宋体"/>
                <w:b/>
                <w:bCs/>
                <w:color w:val="auto"/>
                <w:szCs w:val="21"/>
                <w:highlight w:val="none"/>
              </w:rPr>
              <w:t>供应商提供的响应文件资料必须是真实有效的，如存在提供虚假材料的情况，竞标无效，并没收竞标保证金；并按照中华人民共和国政府采购法及相关规定处理。给采购人造成损失的</w:t>
            </w:r>
            <w:r>
              <w:rPr>
                <w:rFonts w:ascii="宋体" w:cs="宋体"/>
                <w:b/>
                <w:bCs/>
                <w:color w:val="auto"/>
                <w:szCs w:val="21"/>
                <w:highlight w:val="none"/>
              </w:rPr>
              <w:t>,</w:t>
            </w:r>
            <w:r>
              <w:rPr>
                <w:rFonts w:hint="eastAsia" w:ascii="宋体" w:hAnsi="宋体" w:cs="宋体"/>
                <w:b/>
                <w:bCs/>
                <w:color w:val="auto"/>
                <w:szCs w:val="21"/>
                <w:highlight w:val="none"/>
              </w:rPr>
              <w:t>依法承担赔偿责任；构成犯罪的，依法追究刑事责任。</w:t>
            </w:r>
          </w:p>
        </w:tc>
      </w:tr>
    </w:tbl>
    <w:p w14:paraId="68E77A14">
      <w:pPr>
        <w:spacing w:line="400" w:lineRule="exact"/>
        <w:jc w:val="center"/>
        <w:rPr>
          <w:rFonts w:ascii="宋体" w:cs="宋体"/>
          <w:b/>
          <w:color w:val="auto"/>
          <w:sz w:val="32"/>
          <w:szCs w:val="32"/>
          <w:highlight w:val="none"/>
        </w:rPr>
      </w:pPr>
      <w:r>
        <w:rPr>
          <w:rFonts w:ascii="宋体" w:cs="宋体"/>
          <w:b/>
          <w:color w:val="auto"/>
          <w:sz w:val="32"/>
          <w:szCs w:val="32"/>
          <w:highlight w:val="none"/>
        </w:rPr>
        <w:br w:type="page"/>
      </w:r>
      <w:r>
        <w:rPr>
          <w:rFonts w:hint="eastAsia" w:ascii="宋体" w:hAnsi="宋体" w:cs="宋体"/>
          <w:b/>
          <w:color w:val="auto"/>
          <w:sz w:val="32"/>
          <w:szCs w:val="32"/>
          <w:highlight w:val="none"/>
        </w:rPr>
        <w:t>供应商须知正文</w:t>
      </w:r>
    </w:p>
    <w:p w14:paraId="1D5DFCB7">
      <w:pPr>
        <w:spacing w:line="400" w:lineRule="exact"/>
        <w:jc w:val="center"/>
        <w:rPr>
          <w:rFonts w:ascii="宋体" w:cs="宋体"/>
          <w:b/>
          <w:color w:val="auto"/>
          <w:sz w:val="32"/>
          <w:szCs w:val="32"/>
          <w:highlight w:val="none"/>
        </w:rPr>
      </w:pPr>
    </w:p>
    <w:p w14:paraId="196182F2">
      <w:pPr>
        <w:spacing w:line="360" w:lineRule="auto"/>
        <w:jc w:val="center"/>
        <w:rPr>
          <w:rFonts w:ascii="宋体" w:cs="宋体"/>
          <w:b/>
          <w:bCs/>
          <w:color w:val="auto"/>
          <w:sz w:val="32"/>
          <w:szCs w:val="32"/>
          <w:highlight w:val="none"/>
        </w:rPr>
      </w:pPr>
      <w:r>
        <w:rPr>
          <w:rFonts w:hint="eastAsia" w:ascii="宋体" w:hAnsi="宋体" w:cs="宋体"/>
          <w:b/>
          <w:bCs/>
          <w:color w:val="auto"/>
          <w:sz w:val="32"/>
          <w:szCs w:val="32"/>
          <w:highlight w:val="none"/>
        </w:rPr>
        <w:t>一、总则</w:t>
      </w:r>
    </w:p>
    <w:p w14:paraId="1EA38630">
      <w:pPr>
        <w:spacing w:line="400" w:lineRule="exact"/>
        <w:rPr>
          <w:rFonts w:ascii="宋体" w:cs="宋体"/>
          <w:color w:val="auto"/>
          <w:szCs w:val="21"/>
          <w:highlight w:val="none"/>
        </w:rPr>
      </w:pPr>
    </w:p>
    <w:p w14:paraId="74087086">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w:t>
      </w:r>
      <w:r>
        <w:rPr>
          <w:rFonts w:hint="eastAsia" w:ascii="宋体" w:hAnsi="宋体" w:cs="宋体"/>
          <w:b/>
          <w:bCs/>
          <w:color w:val="auto"/>
          <w:sz w:val="24"/>
          <w:highlight w:val="none"/>
        </w:rPr>
        <w:t>适用范围</w:t>
      </w:r>
    </w:p>
    <w:p w14:paraId="7FF633F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475E8A0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7B85C2BA">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w:t>
      </w:r>
      <w:r>
        <w:rPr>
          <w:rFonts w:hint="eastAsia" w:ascii="宋体" w:hAnsi="宋体" w:cs="宋体"/>
          <w:b/>
          <w:bCs/>
          <w:color w:val="auto"/>
          <w:sz w:val="24"/>
          <w:highlight w:val="none"/>
        </w:rPr>
        <w:t>定义</w:t>
      </w:r>
    </w:p>
    <w:p w14:paraId="7BF714D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“采购人”是指依法进行政府采购的国家机关、事业单位、团体组织。</w:t>
      </w:r>
    </w:p>
    <w:p w14:paraId="07772644">
      <w:pPr>
        <w:spacing w:line="360" w:lineRule="auto"/>
        <w:ind w:firstLine="420" w:firstLineChars="200"/>
        <w:rPr>
          <w:rFonts w:ascii="宋体" w:cs="宋体"/>
          <w:color w:val="auto"/>
          <w:szCs w:val="21"/>
          <w:highlight w:val="none"/>
          <w:u w:val="single"/>
        </w:rPr>
      </w:pPr>
      <w:r>
        <w:rPr>
          <w:rFonts w:ascii="宋体" w:hAnsi="宋体" w:cs="宋体"/>
          <w:color w:val="auto"/>
          <w:szCs w:val="21"/>
          <w:highlight w:val="none"/>
        </w:rPr>
        <w:t>2.2</w:t>
      </w:r>
      <w:r>
        <w:rPr>
          <w:rFonts w:hint="eastAsia" w:ascii="宋体" w:hAnsi="宋体" w:cs="宋体"/>
          <w:color w:val="auto"/>
          <w:szCs w:val="21"/>
          <w:highlight w:val="none"/>
        </w:rPr>
        <w:t>“采购代理机构”是指政府采购集中采购机构和集中采购机构以外的采购代理机构。</w:t>
      </w:r>
    </w:p>
    <w:p w14:paraId="5ED7510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2.3</w:t>
      </w:r>
      <w:r>
        <w:rPr>
          <w:rFonts w:hint="eastAsia" w:ascii="宋体" w:hAnsi="宋体" w:cs="宋体"/>
          <w:color w:val="auto"/>
          <w:szCs w:val="21"/>
          <w:highlight w:val="none"/>
        </w:rPr>
        <w:t>“供应商”是指向采购人提供货物、工程或者服务的法人、其他组织或者自然人。</w:t>
      </w:r>
    </w:p>
    <w:p w14:paraId="2F1F9F9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2.4</w:t>
      </w:r>
      <w:r>
        <w:rPr>
          <w:rFonts w:hint="eastAsia" w:ascii="宋体" w:hAnsi="宋体" w:cs="宋体"/>
          <w:color w:val="auto"/>
          <w:szCs w:val="21"/>
          <w:highlight w:val="none"/>
        </w:rPr>
        <w:t>“服务”是指除货物和工程以外的其他政府采购对象。</w:t>
      </w:r>
    </w:p>
    <w:p w14:paraId="50AD65B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2.5</w:t>
      </w:r>
      <w:r>
        <w:rPr>
          <w:rFonts w:hint="eastAsia" w:ascii="宋体" w:hAnsi="宋体" w:cs="宋体"/>
          <w:color w:val="auto"/>
          <w:szCs w:val="21"/>
          <w:highlight w:val="none"/>
        </w:rPr>
        <w:t>“竞标”是指供应商按照本项目竞争性磋商公告或者邀请函规定的方式获取磋商文件、提交响应文件并希望获得标的的行为。</w:t>
      </w:r>
    </w:p>
    <w:p w14:paraId="6C4AF546">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“书面形式”是指合同书、信件和数据电文（包括电报、电传、传真、电子数据交换和电子邮件）等可以有形地表现所载内容的形式。</w:t>
      </w:r>
    </w:p>
    <w:p w14:paraId="48B7C136">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4E8B21AC">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“实质性要求”是指磋商文件中已经指明不满足则响应文件按无效响应处理的条款，或者不能负偏离的条款，或者采购需求中带“▲”的条款。</w:t>
      </w:r>
    </w:p>
    <w:p w14:paraId="6FD95B94">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“正偏离”，是指响应文件对磋商文件“采购需求”中有关条款作出的响应优于条款要求并有利于采购人的情形。</w:t>
      </w:r>
    </w:p>
    <w:p w14:paraId="19CAEF52">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2.10</w:t>
      </w:r>
      <w:r>
        <w:rPr>
          <w:rFonts w:hint="eastAsia" w:ascii="宋体" w:hAnsi="宋体" w:cs="宋体"/>
          <w:color w:val="auto"/>
          <w:szCs w:val="21"/>
          <w:highlight w:val="none"/>
        </w:rPr>
        <w:t>“负偏离”，是指响应文件对磋商文件“采购需求”中有关条款作出的响应不满足条款要求，导致采购人要求不能得到满足的情形。</w:t>
      </w:r>
    </w:p>
    <w:p w14:paraId="74C3A67B">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2.11</w:t>
      </w:r>
      <w:r>
        <w:rPr>
          <w:rFonts w:hint="eastAsia" w:ascii="宋体" w:hAnsi="宋体" w:cs="宋体"/>
          <w:color w:val="auto"/>
          <w:szCs w:val="21"/>
          <w:highlight w:val="none"/>
        </w:rPr>
        <w:t>“允许负偏离的条款”是指采购需求中的不属于“实质性要求”的条款。</w:t>
      </w:r>
    </w:p>
    <w:p w14:paraId="5A3E5649">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2.12</w:t>
      </w:r>
      <w:r>
        <w:rPr>
          <w:rFonts w:hint="eastAsia" w:ascii="宋体" w:hAnsi="宋体" w:cs="宋体"/>
          <w:color w:val="auto"/>
          <w:szCs w:val="21"/>
          <w:highlight w:val="none"/>
        </w:rPr>
        <w:t>“首次报价”是指供应商提交的首次响应文件中的报价。</w:t>
      </w:r>
    </w:p>
    <w:p w14:paraId="4645C049">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3.</w:t>
      </w:r>
      <w:r>
        <w:rPr>
          <w:rFonts w:hint="eastAsia" w:ascii="宋体" w:hAnsi="宋体" w:cs="宋体"/>
          <w:b/>
          <w:bCs/>
          <w:color w:val="auto"/>
          <w:sz w:val="24"/>
          <w:highlight w:val="none"/>
        </w:rPr>
        <w:t>供应商的资格条件</w:t>
      </w:r>
    </w:p>
    <w:p w14:paraId="5EEFEB31">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供应商的资格条件详见“供应商须知前附表”。</w:t>
      </w:r>
    </w:p>
    <w:p w14:paraId="3725D79A">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4.</w:t>
      </w:r>
      <w:r>
        <w:rPr>
          <w:rFonts w:hint="eastAsia" w:ascii="宋体" w:hAnsi="宋体" w:cs="宋体"/>
          <w:b/>
          <w:bCs/>
          <w:color w:val="auto"/>
          <w:sz w:val="24"/>
          <w:highlight w:val="none"/>
        </w:rPr>
        <w:t>竞标费用</w:t>
      </w:r>
    </w:p>
    <w:p w14:paraId="3F9BD58C">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375EB9B9">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5.</w:t>
      </w:r>
      <w:r>
        <w:rPr>
          <w:rFonts w:hint="eastAsia" w:ascii="宋体" w:hAnsi="宋体" w:cs="宋体"/>
          <w:b/>
          <w:bCs/>
          <w:color w:val="auto"/>
          <w:sz w:val="24"/>
          <w:highlight w:val="none"/>
        </w:rPr>
        <w:t>联合体竞标</w:t>
      </w:r>
    </w:p>
    <w:p w14:paraId="3954D69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本项目是否接受联合体竞标，详见“供应商须知前附表”。</w:t>
      </w:r>
    </w:p>
    <w:p w14:paraId="58B82FB4">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6.</w:t>
      </w:r>
      <w:r>
        <w:rPr>
          <w:rFonts w:hint="eastAsia" w:ascii="宋体" w:hAnsi="宋体" w:cs="宋体"/>
          <w:b/>
          <w:bCs/>
          <w:color w:val="auto"/>
          <w:sz w:val="24"/>
          <w:highlight w:val="none"/>
        </w:rPr>
        <w:t>转包与分包</w:t>
      </w:r>
      <w:r>
        <w:rPr>
          <w:rFonts w:ascii="宋体" w:hAnsi="宋体" w:cs="宋体"/>
          <w:b/>
          <w:bCs/>
          <w:color w:val="auto"/>
          <w:sz w:val="24"/>
          <w:highlight w:val="none"/>
        </w:rPr>
        <w:t xml:space="preserve">             </w:t>
      </w:r>
    </w:p>
    <w:p w14:paraId="0032BCE0">
      <w:pPr>
        <w:pStyle w:val="7"/>
        <w:keepNext w:val="0"/>
        <w:keepLines w:val="0"/>
        <w:spacing w:before="0" w:after="0" w:line="360" w:lineRule="auto"/>
        <w:ind w:left="420" w:leftChars="200"/>
        <w:rPr>
          <w:rFonts w:ascii="宋体" w:cs="宋体"/>
          <w:b w:val="0"/>
          <w:color w:val="auto"/>
          <w:sz w:val="21"/>
          <w:szCs w:val="21"/>
          <w:highlight w:val="none"/>
        </w:rPr>
      </w:pPr>
      <w:bookmarkStart w:id="25" w:name="_Toc254970532"/>
      <w:bookmarkStart w:id="26" w:name="_Toc254970673"/>
      <w:r>
        <w:rPr>
          <w:rFonts w:ascii="宋体" w:hAnsi="宋体" w:cs="宋体"/>
          <w:b w:val="0"/>
          <w:color w:val="auto"/>
          <w:sz w:val="21"/>
          <w:szCs w:val="21"/>
          <w:highlight w:val="none"/>
        </w:rPr>
        <w:t>6.1</w:t>
      </w:r>
      <w:r>
        <w:rPr>
          <w:rFonts w:hint="eastAsia" w:ascii="宋体" w:hAnsi="宋体" w:cs="宋体"/>
          <w:b w:val="0"/>
          <w:color w:val="auto"/>
          <w:sz w:val="21"/>
          <w:szCs w:val="21"/>
          <w:highlight w:val="none"/>
        </w:rPr>
        <w:t>本项目不允许转包。</w:t>
      </w:r>
    </w:p>
    <w:p w14:paraId="5DB1B422">
      <w:pPr>
        <w:pStyle w:val="7"/>
        <w:keepNext w:val="0"/>
        <w:keepLines w:val="0"/>
        <w:spacing w:before="0" w:after="0" w:line="360" w:lineRule="auto"/>
        <w:ind w:firstLine="315" w:firstLineChars="150"/>
        <w:rPr>
          <w:rFonts w:ascii="宋体" w:cs="宋体"/>
          <w:b w:val="0"/>
          <w:color w:val="auto"/>
          <w:sz w:val="21"/>
          <w:szCs w:val="21"/>
          <w:highlight w:val="none"/>
        </w:rPr>
      </w:pPr>
      <w:r>
        <w:rPr>
          <w:rFonts w:ascii="宋体" w:hAnsi="宋体" w:cs="宋体"/>
          <w:b w:val="0"/>
          <w:color w:val="auto"/>
          <w:sz w:val="21"/>
          <w:szCs w:val="21"/>
          <w:highlight w:val="none"/>
        </w:rPr>
        <w:t xml:space="preserve"> 6.2</w:t>
      </w:r>
      <w:r>
        <w:rPr>
          <w:rFonts w:hint="eastAsia" w:ascii="宋体" w:hAnsi="宋体" w:cs="宋体"/>
          <w:b w:val="0"/>
          <w:color w:val="auto"/>
          <w:sz w:val="21"/>
          <w:szCs w:val="21"/>
          <w:highlight w:val="none"/>
        </w:rPr>
        <w:t>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332939CD">
      <w:pPr>
        <w:pStyle w:val="7"/>
        <w:keepNext w:val="0"/>
        <w:keepLines w:val="0"/>
        <w:spacing w:before="0" w:after="0" w:line="360" w:lineRule="auto"/>
        <w:ind w:firstLine="315" w:firstLineChars="150"/>
        <w:rPr>
          <w:rFonts w:ascii="宋体" w:cs="宋体"/>
          <w:b w:val="0"/>
          <w:color w:val="auto"/>
          <w:sz w:val="21"/>
          <w:szCs w:val="21"/>
          <w:highlight w:val="none"/>
        </w:rPr>
      </w:pPr>
      <w:r>
        <w:rPr>
          <w:rFonts w:ascii="宋体" w:hAnsi="宋体" w:cs="宋体"/>
          <w:b w:val="0"/>
          <w:color w:val="auto"/>
          <w:sz w:val="21"/>
          <w:szCs w:val="21"/>
          <w:highlight w:val="none"/>
        </w:rPr>
        <w:t xml:space="preserve"> 6.3</w:t>
      </w:r>
      <w:r>
        <w:rPr>
          <w:rFonts w:hint="eastAsia" w:ascii="宋体" w:hAnsi="宋体" w:cs="宋体"/>
          <w:b w:val="0"/>
          <w:color w:val="auto"/>
          <w:sz w:val="21"/>
          <w:szCs w:val="21"/>
          <w:highlight w:val="none"/>
        </w:rPr>
        <w:t>供应商根据磋商文件的规定和采购项目的实际情况，拟在成交后将成交项目的非主体、非关键性工作分包的，应当在响应文件中载明分包承担主体，分包承担主体应当具备相应资质条件且不得再次分包。</w:t>
      </w:r>
    </w:p>
    <w:p w14:paraId="42B01784">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7.</w:t>
      </w:r>
      <w:r>
        <w:rPr>
          <w:rFonts w:hint="eastAsia" w:ascii="宋体" w:hAnsi="宋体" w:cs="宋体"/>
          <w:b/>
          <w:bCs/>
          <w:color w:val="auto"/>
          <w:sz w:val="24"/>
          <w:highlight w:val="none"/>
        </w:rPr>
        <w:t>特别说明</w:t>
      </w:r>
      <w:bookmarkEnd w:id="25"/>
      <w:bookmarkEnd w:id="26"/>
    </w:p>
    <w:p w14:paraId="05EC4130">
      <w:pPr>
        <w:spacing w:line="360" w:lineRule="auto"/>
        <w:ind w:firstLine="420" w:firstLineChars="200"/>
        <w:rPr>
          <w:rFonts w:ascii="宋体" w:cs="宋体"/>
          <w:color w:val="auto"/>
          <w:szCs w:val="21"/>
          <w:highlight w:val="none"/>
        </w:rPr>
      </w:pPr>
      <w:bookmarkStart w:id="27" w:name="_8.1提供相同品牌产品且通过资格审查、符合性审查的不同投标人参加同一合"/>
      <w:bookmarkEnd w:id="27"/>
      <w:r>
        <w:rPr>
          <w:rFonts w:ascii="宋体" w:hAnsi="宋体" w:cs="宋体"/>
          <w:color w:val="auto"/>
          <w:szCs w:val="21"/>
          <w:highlight w:val="none"/>
        </w:rPr>
        <w:t>7.1</w:t>
      </w:r>
      <w:bookmarkStart w:id="28"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w:t>
      </w:r>
      <w:r>
        <w:rPr>
          <w:rFonts w:ascii="宋体" w:hAnsi="宋体" w:cs="宋体"/>
          <w:color w:val="auto"/>
          <w:szCs w:val="21"/>
          <w:highlight w:val="none"/>
        </w:rPr>
        <w:t xml:space="preserve"> </w:t>
      </w:r>
      <w:r>
        <w:rPr>
          <w:rFonts w:hint="eastAsia" w:ascii="宋体" w:hAnsi="宋体" w:cs="宋体"/>
          <w:color w:val="auto"/>
          <w:szCs w:val="21"/>
          <w:highlight w:val="none"/>
        </w:rPr>
        <w:t>。</w:t>
      </w:r>
    </w:p>
    <w:bookmarkEnd w:id="28"/>
    <w:p w14:paraId="4AA9917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5244289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7.3</w:t>
      </w:r>
      <w:r>
        <w:rPr>
          <w:rFonts w:hint="eastAsia" w:ascii="宋体" w:hAnsi="宋体" w:cs="宋体"/>
          <w:color w:val="auto"/>
          <w:szCs w:val="21"/>
          <w:highlight w:val="none"/>
        </w:rPr>
        <w:t>供应商在竞标活动中提供任何疑似虚假材料，将报监管部门查处；签订合同后发现的，成交供应商须依法赔偿采购人，且民事赔偿并不免除违法供应商的行政与刑事责任。</w:t>
      </w:r>
    </w:p>
    <w:p w14:paraId="6F64119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7.4</w:t>
      </w:r>
      <w:r>
        <w:rPr>
          <w:rFonts w:hint="eastAsia" w:ascii="宋体" w:hAnsi="宋体" w:cs="宋体"/>
          <w:color w:val="auto"/>
          <w:szCs w:val="21"/>
          <w:highlight w:val="none"/>
        </w:rPr>
        <w:t>在政府采购活动中，采购人员及相关人员与供应商有下列利害关系之一的，应当回避：</w:t>
      </w:r>
    </w:p>
    <w:p w14:paraId="4D65335D">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）参加采购活动前</w:t>
      </w:r>
      <w:r>
        <w:rPr>
          <w:rFonts w:ascii="宋体" w:hAnsi="宋体" w:cs="宋体"/>
          <w:color w:val="auto"/>
          <w:szCs w:val="21"/>
          <w:highlight w:val="none"/>
        </w:rPr>
        <w:t>3</w:t>
      </w:r>
      <w:r>
        <w:rPr>
          <w:rFonts w:hint="eastAsia" w:ascii="宋体" w:hAnsi="宋体" w:cs="宋体"/>
          <w:color w:val="auto"/>
          <w:szCs w:val="21"/>
          <w:highlight w:val="none"/>
        </w:rPr>
        <w:t>年内与供应商存在劳动关系；</w:t>
      </w:r>
    </w:p>
    <w:p w14:paraId="1237E517">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）参加采购活动前</w:t>
      </w:r>
      <w:r>
        <w:rPr>
          <w:rFonts w:ascii="宋体" w:hAnsi="宋体" w:cs="宋体"/>
          <w:color w:val="auto"/>
          <w:szCs w:val="21"/>
          <w:highlight w:val="none"/>
        </w:rPr>
        <w:t>3</w:t>
      </w:r>
      <w:r>
        <w:rPr>
          <w:rFonts w:hint="eastAsia" w:ascii="宋体" w:hAnsi="宋体" w:cs="宋体"/>
          <w:color w:val="auto"/>
          <w:szCs w:val="21"/>
          <w:highlight w:val="none"/>
        </w:rPr>
        <w:t>年内担任供应商的董事、监事；</w:t>
      </w:r>
    </w:p>
    <w:p w14:paraId="6789FD50">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）参加采购活动前</w:t>
      </w:r>
      <w:r>
        <w:rPr>
          <w:rFonts w:ascii="宋体" w:hAnsi="宋体" w:cs="宋体"/>
          <w:color w:val="auto"/>
          <w:szCs w:val="21"/>
          <w:highlight w:val="none"/>
        </w:rPr>
        <w:t>3</w:t>
      </w:r>
      <w:r>
        <w:rPr>
          <w:rFonts w:hint="eastAsia" w:ascii="宋体" w:hAnsi="宋体" w:cs="宋体"/>
          <w:color w:val="auto"/>
          <w:szCs w:val="21"/>
          <w:highlight w:val="none"/>
        </w:rPr>
        <w:t>年内是供应商的控股股东或者实际控制人；</w:t>
      </w:r>
    </w:p>
    <w:p w14:paraId="7886FBA3">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）与供应商的法定代表人或者负责人有夫妻、直系血亲、三代以内旁系血亲或者近姻亲关系；</w:t>
      </w:r>
    </w:p>
    <w:p w14:paraId="42D0887F">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）与供应商有其他可能影响政府采购活动公平、公正进行的关系。</w:t>
      </w:r>
    </w:p>
    <w:p w14:paraId="02D8FF07">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8B242A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7.5</w:t>
      </w:r>
      <w:r>
        <w:rPr>
          <w:rFonts w:hint="eastAsia" w:ascii="宋体" w:hAnsi="宋体" w:cs="宋体"/>
          <w:color w:val="auto"/>
          <w:szCs w:val="21"/>
          <w:highlight w:val="none"/>
        </w:rPr>
        <w:t>有下列情形之一的视为供应商相互串通竞标，响应文件将被视为无效：</w:t>
      </w:r>
    </w:p>
    <w:p w14:paraId="087663BF">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）不同供应商的响应文件由同一单位或者个人编制；</w:t>
      </w:r>
      <w:r>
        <w:rPr>
          <w:rFonts w:ascii="宋体" w:hAnsi="宋体" w:cs="宋体"/>
          <w:color w:val="auto"/>
          <w:szCs w:val="21"/>
          <w:highlight w:val="none"/>
        </w:rPr>
        <w:t xml:space="preserve"> </w:t>
      </w:r>
    </w:p>
    <w:p w14:paraId="72A96598">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）不同供应商委托同一单位或者个人办理竞标事宜；</w:t>
      </w:r>
    </w:p>
    <w:p w14:paraId="2172CF40">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）不同的供应商的响应文件载明的项目管理员为同一个人；</w:t>
      </w:r>
    </w:p>
    <w:p w14:paraId="6209DCC4">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）不同供应商的响应文件异常一致或者报价呈规律性差异；</w:t>
      </w:r>
    </w:p>
    <w:p w14:paraId="2FF8CE24">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）不同供应商报名的IP地址一致；</w:t>
      </w:r>
    </w:p>
    <w:p w14:paraId="55AA3D77">
      <w:pPr>
        <w:tabs>
          <w:tab w:val="left" w:pos="6931"/>
        </w:tabs>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）不同供应商的磋商保证金从同一单位或者个人账户转出。</w:t>
      </w:r>
      <w:r>
        <w:rPr>
          <w:rFonts w:ascii="宋体" w:cs="宋体"/>
          <w:color w:val="auto"/>
          <w:szCs w:val="21"/>
          <w:highlight w:val="none"/>
        </w:rPr>
        <w:tab/>
      </w:r>
    </w:p>
    <w:p w14:paraId="7A895C4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7.6</w:t>
      </w:r>
      <w:r>
        <w:rPr>
          <w:rFonts w:hint="eastAsia" w:ascii="宋体" w:hAnsi="宋体" w:cs="宋体"/>
          <w:color w:val="auto"/>
          <w:szCs w:val="21"/>
          <w:highlight w:val="none"/>
        </w:rPr>
        <w:t>供应商有下列情形之一的，属于恶意串通行为，将报同级监督管理部门：</w:t>
      </w:r>
    </w:p>
    <w:p w14:paraId="29D1798D">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）供应商直接或者间接从采购人或者采购代理机构处获得其他供应商的相关信息并修改其响应文件；</w:t>
      </w:r>
    </w:p>
    <w:p w14:paraId="65D9BCC9">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）供应商按照采购人或者采购代理机构的授意撤换、修改响应文件；</w:t>
      </w:r>
    </w:p>
    <w:p w14:paraId="684DADCC">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）供应商之间协商报价、技术方案等响应文件或者响应文件的实质性内容；</w:t>
      </w:r>
    </w:p>
    <w:p w14:paraId="68154166">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）属于同一集团、协会、商会等组织成员的供应商按照该组织要求协同参加政府采购活动；</w:t>
      </w:r>
    </w:p>
    <w:p w14:paraId="63D28A58">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）供应商之间事先约定一致抬高或者压低报价，或者在政府采购活动中事先约定轮流以高价位或者低价位成交，或者事先约定由某一特定供应商成交，然后再参加竞标；</w:t>
      </w:r>
    </w:p>
    <w:p w14:paraId="1E0C9BF6">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）供应商之间商定部分供应商放弃参加政府采购活动或者放弃成交；</w:t>
      </w:r>
    </w:p>
    <w:p w14:paraId="4EB542D3">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7</w:t>
      </w:r>
      <w:r>
        <w:rPr>
          <w:rFonts w:hint="eastAsia" w:ascii="宋体" w:hAnsi="宋体" w:cs="宋体"/>
          <w:color w:val="auto"/>
          <w:szCs w:val="21"/>
          <w:highlight w:val="none"/>
        </w:rPr>
        <w:t>）供应商与采购人或者采购代理机构之间、供应商相互之间，为谋求特定供应商成交或者排斥其他供应商的其他串通行为。</w:t>
      </w:r>
    </w:p>
    <w:p w14:paraId="3027A65B">
      <w:pPr>
        <w:spacing w:line="360" w:lineRule="auto"/>
        <w:ind w:firstLine="420" w:firstLineChars="200"/>
        <w:rPr>
          <w:rFonts w:ascii="宋体" w:cs="宋体"/>
          <w:color w:val="auto"/>
          <w:szCs w:val="21"/>
          <w:highlight w:val="none"/>
        </w:rPr>
      </w:pPr>
    </w:p>
    <w:p w14:paraId="28A3F7FF">
      <w:pPr>
        <w:spacing w:line="360" w:lineRule="auto"/>
        <w:ind w:left="1" w:firstLine="417" w:firstLineChars="199"/>
        <w:jc w:val="center"/>
        <w:rPr>
          <w:rFonts w:ascii="宋体" w:cs="宋体"/>
          <w:color w:val="auto"/>
          <w:highlight w:val="none"/>
        </w:rPr>
      </w:pPr>
      <w:bookmarkStart w:id="29" w:name="_Toc254970534"/>
      <w:bookmarkStart w:id="30" w:name="_Toc254970675"/>
    </w:p>
    <w:p w14:paraId="41148888">
      <w:pPr>
        <w:spacing w:line="360" w:lineRule="auto"/>
        <w:jc w:val="center"/>
        <w:rPr>
          <w:rFonts w:ascii="宋体" w:cs="宋体"/>
          <w:b/>
          <w:bCs/>
          <w:color w:val="auto"/>
          <w:sz w:val="32"/>
          <w:szCs w:val="32"/>
          <w:highlight w:val="none"/>
        </w:rPr>
      </w:pPr>
      <w:r>
        <w:rPr>
          <w:rFonts w:hint="eastAsia" w:ascii="宋体" w:hAnsi="宋体" w:cs="宋体"/>
          <w:b/>
          <w:bCs/>
          <w:color w:val="auto"/>
          <w:sz w:val="32"/>
          <w:szCs w:val="32"/>
          <w:highlight w:val="none"/>
        </w:rPr>
        <w:t>二、磋商文件</w:t>
      </w:r>
      <w:bookmarkEnd w:id="29"/>
      <w:bookmarkEnd w:id="30"/>
    </w:p>
    <w:p w14:paraId="57906B79">
      <w:pPr>
        <w:spacing w:line="360" w:lineRule="auto"/>
        <w:ind w:firstLine="482" w:firstLineChars="200"/>
        <w:rPr>
          <w:rFonts w:ascii="宋体" w:cs="宋体"/>
          <w:b/>
          <w:bCs/>
          <w:color w:val="auto"/>
          <w:sz w:val="24"/>
          <w:highlight w:val="none"/>
        </w:rPr>
      </w:pPr>
    </w:p>
    <w:p w14:paraId="02FD98EA">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8.</w:t>
      </w:r>
      <w:r>
        <w:rPr>
          <w:rFonts w:hint="eastAsia" w:ascii="宋体" w:hAnsi="宋体" w:cs="宋体"/>
          <w:b/>
          <w:bCs/>
          <w:color w:val="auto"/>
          <w:sz w:val="24"/>
          <w:highlight w:val="none"/>
        </w:rPr>
        <w:t>磋商文件的构成</w:t>
      </w:r>
    </w:p>
    <w:p w14:paraId="04A6FB43">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）竞争性磋商公告；</w:t>
      </w:r>
    </w:p>
    <w:p w14:paraId="3A1CC782">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）供应商须知；</w:t>
      </w:r>
      <w:r>
        <w:rPr>
          <w:rFonts w:ascii="宋体" w:hAnsi="宋体" w:cs="宋体"/>
          <w:color w:val="auto"/>
          <w:szCs w:val="21"/>
          <w:highlight w:val="none"/>
        </w:rPr>
        <w:t xml:space="preserve"> </w:t>
      </w:r>
    </w:p>
    <w:p w14:paraId="3BE7D19C">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）采购需求；</w:t>
      </w:r>
    </w:p>
    <w:p w14:paraId="2B118F78">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）评审程序、评审方法和评审标准；</w:t>
      </w:r>
    </w:p>
    <w:p w14:paraId="33038509">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）响应文件格式；</w:t>
      </w:r>
    </w:p>
    <w:p w14:paraId="76C00B84">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）合同文本。</w:t>
      </w:r>
    </w:p>
    <w:p w14:paraId="670E645F">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9.</w:t>
      </w:r>
      <w:r>
        <w:rPr>
          <w:rFonts w:hint="eastAsia" w:ascii="宋体" w:hAnsi="宋体" w:cs="宋体"/>
          <w:b/>
          <w:bCs/>
          <w:color w:val="auto"/>
          <w:sz w:val="24"/>
          <w:highlight w:val="none"/>
        </w:rPr>
        <w:t>供应商的询问</w:t>
      </w:r>
    </w:p>
    <w:p w14:paraId="29CB2FEE">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尽可能在提交首次响应文件截止之日前，以纸质书面形式向采购人、采购代理机构提出，否则，由此产生的后果由供应商自行负责。</w:t>
      </w:r>
    </w:p>
    <w:p w14:paraId="552B0CF8">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10.</w:t>
      </w:r>
      <w:r>
        <w:rPr>
          <w:rFonts w:hint="eastAsia" w:ascii="宋体" w:hAnsi="宋体" w:cs="宋体"/>
          <w:b/>
          <w:bCs/>
          <w:color w:val="auto"/>
          <w:sz w:val="24"/>
          <w:highlight w:val="none"/>
        </w:rPr>
        <w:t>磋商文件的澄清和修改</w:t>
      </w:r>
    </w:p>
    <w:p w14:paraId="7312E5BE">
      <w:pPr>
        <w:spacing w:line="400" w:lineRule="exact"/>
        <w:ind w:firstLine="420" w:firstLineChars="200"/>
        <w:rPr>
          <w:rFonts w:ascii="宋体" w:cs="宋体"/>
          <w:color w:val="auto"/>
          <w:szCs w:val="21"/>
          <w:highlight w:val="none"/>
        </w:rPr>
      </w:pPr>
      <w:r>
        <w:rPr>
          <w:rFonts w:ascii="宋体" w:hAnsi="宋体" w:cs="宋体"/>
          <w:color w:val="auto"/>
          <w:szCs w:val="21"/>
          <w:highlight w:val="none"/>
        </w:rPr>
        <w:t>10.1</w:t>
      </w:r>
      <w:r>
        <w:rPr>
          <w:rFonts w:hint="eastAsia" w:ascii="宋体" w:hAnsi="宋体" w:cs="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w:t>
      </w:r>
      <w:r>
        <w:rPr>
          <w:rFonts w:ascii="宋体" w:hAnsi="宋体" w:cs="宋体"/>
          <w:color w:val="auto"/>
          <w:szCs w:val="21"/>
          <w:highlight w:val="none"/>
        </w:rPr>
        <w:t>5</w:t>
      </w:r>
      <w:r>
        <w:rPr>
          <w:rFonts w:hint="eastAsia" w:ascii="宋体" w:hAnsi="宋体" w:cs="宋体"/>
          <w:color w:val="auto"/>
          <w:szCs w:val="21"/>
          <w:highlight w:val="none"/>
        </w:rPr>
        <w:t>日前，在原公告发布媒体上发布更正公告；不足</w:t>
      </w:r>
      <w:r>
        <w:rPr>
          <w:rFonts w:ascii="宋体" w:hAnsi="宋体" w:cs="宋体"/>
          <w:color w:val="auto"/>
          <w:szCs w:val="21"/>
          <w:highlight w:val="none"/>
        </w:rPr>
        <w:t>5</w:t>
      </w:r>
      <w:r>
        <w:rPr>
          <w:rFonts w:hint="eastAsia" w:ascii="宋体" w:hAnsi="宋体" w:cs="宋体"/>
          <w:color w:val="auto"/>
          <w:szCs w:val="21"/>
          <w:highlight w:val="none"/>
        </w:rPr>
        <w:t>日的，采购人、采购代理机构应当顺延提交首次响应文件截止时间。</w:t>
      </w:r>
    </w:p>
    <w:p w14:paraId="4938941D">
      <w:pPr>
        <w:spacing w:line="400" w:lineRule="exact"/>
        <w:ind w:firstLine="420" w:firstLineChars="200"/>
        <w:rPr>
          <w:rFonts w:ascii="宋体" w:cs="宋体"/>
          <w:color w:val="auto"/>
          <w:szCs w:val="21"/>
          <w:highlight w:val="none"/>
        </w:rPr>
      </w:pPr>
      <w:r>
        <w:rPr>
          <w:rFonts w:ascii="宋体" w:hAnsi="宋体" w:cs="宋体"/>
          <w:color w:val="auto"/>
          <w:highlight w:val="none"/>
        </w:rPr>
        <w:t>10.2</w:t>
      </w:r>
      <w:r>
        <w:rPr>
          <w:rFonts w:hint="eastAsia" w:ascii="宋体" w:hAnsi="宋体" w:cs="宋体"/>
          <w:color w:val="auto"/>
          <w:highlight w:val="none"/>
        </w:rPr>
        <w:t>采购人和采购代理机构可以视采购具体情况，变更</w:t>
      </w:r>
      <w:r>
        <w:rPr>
          <w:rFonts w:hint="eastAsia" w:ascii="宋体" w:hAnsi="宋体" w:cs="宋体"/>
          <w:color w:val="auto"/>
          <w:szCs w:val="21"/>
          <w:highlight w:val="none"/>
        </w:rPr>
        <w:t>首次响应文件提交截止时间和开启时间</w:t>
      </w:r>
      <w:r>
        <w:rPr>
          <w:rFonts w:hint="eastAsia" w:ascii="宋体" w:hAnsi="宋体" w:cs="宋体"/>
          <w:color w:val="auto"/>
          <w:highlight w:val="none"/>
        </w:rPr>
        <w:t>，并</w:t>
      </w:r>
      <w:r>
        <w:rPr>
          <w:rFonts w:hint="eastAsia" w:ascii="宋体" w:hAnsi="宋体" w:cs="宋体"/>
          <w:color w:val="auto"/>
          <w:szCs w:val="21"/>
          <w:highlight w:val="none"/>
        </w:rPr>
        <w:t>在原公告发布媒体上发布更正公告。</w:t>
      </w:r>
    </w:p>
    <w:p w14:paraId="568DB66C">
      <w:pPr>
        <w:spacing w:line="400" w:lineRule="exact"/>
        <w:ind w:firstLine="420" w:firstLineChars="200"/>
        <w:rPr>
          <w:rFonts w:ascii="宋体" w:cs="宋体"/>
          <w:color w:val="auto"/>
          <w:highlight w:val="none"/>
        </w:rPr>
      </w:pPr>
      <w:r>
        <w:rPr>
          <w:rFonts w:ascii="宋体" w:hAnsi="宋体" w:cs="宋体"/>
          <w:color w:val="auto"/>
          <w:highlight w:val="none"/>
        </w:rPr>
        <w:t>10.3</w:t>
      </w:r>
      <w:r>
        <w:rPr>
          <w:rFonts w:hint="eastAsia" w:ascii="宋体" w:hAnsi="宋体" w:cs="宋体"/>
          <w:color w:val="auto"/>
          <w:szCs w:val="21"/>
          <w:highlight w:val="none"/>
        </w:rPr>
        <w:t>磋商文件澄清、答复、修改、补充的内容为磋商文件的组成部分。</w:t>
      </w:r>
      <w:r>
        <w:rPr>
          <w:rFonts w:hint="eastAsia" w:ascii="宋体" w:hAnsi="宋体" w:cs="宋体"/>
          <w:b/>
          <w:color w:val="auto"/>
          <w:szCs w:val="21"/>
          <w:highlight w:val="none"/>
        </w:rPr>
        <w:t>当磋商文件与磋商文件的澄清、答复、修改、补充通知就同一内容的表述不一致时，以最后发出的文件为准。</w:t>
      </w:r>
    </w:p>
    <w:p w14:paraId="0FDAD279">
      <w:pPr>
        <w:spacing w:line="400" w:lineRule="exact"/>
        <w:ind w:firstLine="422" w:firstLineChars="200"/>
        <w:rPr>
          <w:rFonts w:ascii="宋体" w:cs="宋体"/>
          <w:b/>
          <w:color w:val="auto"/>
          <w:szCs w:val="21"/>
          <w:highlight w:val="none"/>
        </w:rPr>
      </w:pPr>
      <w:r>
        <w:rPr>
          <w:rFonts w:ascii="宋体" w:hAnsi="宋体" w:cs="宋体"/>
          <w:b/>
          <w:color w:val="auto"/>
          <w:highlight w:val="none"/>
        </w:rPr>
        <w:t>10.4</w:t>
      </w:r>
      <w:r>
        <w:rPr>
          <w:rFonts w:hint="eastAsia" w:ascii="宋体" w:hAnsi="宋体" w:cs="宋体"/>
          <w:b/>
          <w:color w:val="auto"/>
          <w:szCs w:val="21"/>
          <w:highlight w:val="none"/>
        </w:rPr>
        <w:t>响应文件未按磋商文件的澄清、修改后的内容编制的，其响应文件作无效响应处理。</w:t>
      </w:r>
    </w:p>
    <w:p w14:paraId="652AA92E">
      <w:pPr>
        <w:spacing w:line="400" w:lineRule="exact"/>
        <w:ind w:firstLine="422" w:firstLineChars="200"/>
        <w:rPr>
          <w:rFonts w:ascii="宋体" w:cs="宋体"/>
          <w:b/>
          <w:color w:val="auto"/>
          <w:szCs w:val="21"/>
          <w:highlight w:val="none"/>
        </w:rPr>
      </w:pPr>
    </w:p>
    <w:p w14:paraId="269AC58E">
      <w:pPr>
        <w:spacing w:line="360" w:lineRule="auto"/>
        <w:jc w:val="center"/>
        <w:rPr>
          <w:rFonts w:ascii="宋体" w:cs="宋体"/>
          <w:b/>
          <w:bCs/>
          <w:color w:val="auto"/>
          <w:sz w:val="32"/>
          <w:szCs w:val="32"/>
          <w:highlight w:val="none"/>
        </w:rPr>
      </w:pPr>
      <w:r>
        <w:rPr>
          <w:rFonts w:hint="eastAsia" w:ascii="宋体" w:hAnsi="宋体" w:cs="宋体"/>
          <w:b/>
          <w:bCs/>
          <w:color w:val="auto"/>
          <w:sz w:val="32"/>
          <w:szCs w:val="32"/>
          <w:highlight w:val="none"/>
        </w:rPr>
        <w:t>三、响应文件的编制</w:t>
      </w:r>
    </w:p>
    <w:p w14:paraId="17CDB98F">
      <w:pPr>
        <w:spacing w:line="360" w:lineRule="auto"/>
        <w:ind w:firstLine="482" w:firstLineChars="200"/>
        <w:rPr>
          <w:rFonts w:ascii="宋体" w:cs="宋体"/>
          <w:b/>
          <w:bCs/>
          <w:color w:val="auto"/>
          <w:sz w:val="24"/>
          <w:highlight w:val="none"/>
        </w:rPr>
      </w:pPr>
    </w:p>
    <w:p w14:paraId="64EA573C">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11.</w:t>
      </w:r>
      <w:r>
        <w:rPr>
          <w:rFonts w:hint="eastAsia" w:ascii="宋体" w:hAnsi="宋体" w:cs="宋体"/>
          <w:b/>
          <w:bCs/>
          <w:color w:val="auto"/>
          <w:sz w:val="24"/>
          <w:highlight w:val="none"/>
        </w:rPr>
        <w:t>响应文件的编制原则</w:t>
      </w:r>
    </w:p>
    <w:p w14:paraId="5072CB3F">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03A2B510">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12.</w:t>
      </w:r>
      <w:r>
        <w:rPr>
          <w:rFonts w:hint="eastAsia" w:ascii="宋体" w:hAnsi="宋体" w:cs="宋体"/>
          <w:b/>
          <w:bCs/>
          <w:color w:val="auto"/>
          <w:sz w:val="24"/>
          <w:highlight w:val="none"/>
        </w:rPr>
        <w:t>响应文件的组成</w:t>
      </w:r>
    </w:p>
    <w:p w14:paraId="7668D63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12.1</w:t>
      </w:r>
      <w:r>
        <w:rPr>
          <w:rFonts w:hint="eastAsia" w:ascii="宋体" w:hAnsi="宋体" w:cs="宋体"/>
          <w:color w:val="auto"/>
          <w:szCs w:val="21"/>
          <w:highlight w:val="none"/>
        </w:rPr>
        <w:t>响应文件由资格证明文件、报价商务技术文件两部分组成。</w:t>
      </w:r>
    </w:p>
    <w:p w14:paraId="30B4D45B">
      <w:pPr>
        <w:spacing w:line="360" w:lineRule="auto"/>
        <w:ind w:left="840" w:leftChars="200" w:hanging="420" w:hangingChars="200"/>
        <w:rPr>
          <w:rFonts w:ascii="宋体" w:cs="宋体"/>
          <w:color w:val="auto"/>
          <w:szCs w:val="21"/>
          <w:highlight w:val="none"/>
        </w:rPr>
      </w:pPr>
      <w:r>
        <w:rPr>
          <w:rFonts w:ascii="宋体" w:hAnsi="宋体" w:cs="宋体"/>
          <w:color w:val="auto"/>
          <w:szCs w:val="21"/>
          <w:highlight w:val="none"/>
        </w:rPr>
        <w:t>12.1.1</w:t>
      </w:r>
      <w:r>
        <w:rPr>
          <w:rFonts w:hint="eastAsia" w:ascii="宋体" w:hAnsi="宋体" w:cs="宋体"/>
          <w:color w:val="auto"/>
          <w:szCs w:val="21"/>
          <w:highlight w:val="none"/>
        </w:rPr>
        <w:t>资格证明文件：详见须知前附表</w:t>
      </w:r>
    </w:p>
    <w:p w14:paraId="7EF75786">
      <w:pPr>
        <w:spacing w:line="360" w:lineRule="auto"/>
        <w:ind w:left="840" w:leftChars="200" w:hanging="420" w:hangingChars="200"/>
        <w:rPr>
          <w:rFonts w:ascii="宋体" w:cs="宋体"/>
          <w:color w:val="auto"/>
          <w:szCs w:val="21"/>
          <w:highlight w:val="none"/>
        </w:rPr>
      </w:pPr>
      <w:r>
        <w:rPr>
          <w:rFonts w:ascii="宋体" w:hAnsi="宋体" w:cs="宋体"/>
          <w:color w:val="auto"/>
          <w:szCs w:val="21"/>
          <w:highlight w:val="none"/>
        </w:rPr>
        <w:t>12.1.2</w:t>
      </w:r>
      <w:r>
        <w:rPr>
          <w:rFonts w:hint="eastAsia" w:ascii="宋体" w:hAnsi="宋体" w:cs="宋体"/>
          <w:color w:val="auto"/>
          <w:szCs w:val="21"/>
          <w:highlight w:val="none"/>
        </w:rPr>
        <w:t>报价商务技术文件：详见须知前附表</w:t>
      </w:r>
    </w:p>
    <w:p w14:paraId="608BB8CF">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13.</w:t>
      </w:r>
      <w:r>
        <w:rPr>
          <w:rFonts w:hint="eastAsia" w:ascii="宋体" w:hAnsi="宋体" w:cs="宋体"/>
          <w:b/>
          <w:bCs/>
          <w:color w:val="auto"/>
          <w:sz w:val="24"/>
          <w:highlight w:val="none"/>
        </w:rPr>
        <w:t>计量单位</w:t>
      </w:r>
    </w:p>
    <w:p w14:paraId="14A2B75F">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79F3120E">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14.</w:t>
      </w:r>
      <w:r>
        <w:rPr>
          <w:rFonts w:hint="eastAsia" w:ascii="宋体" w:hAnsi="宋体" w:cs="宋体"/>
          <w:b/>
          <w:bCs/>
          <w:color w:val="auto"/>
          <w:sz w:val="24"/>
          <w:highlight w:val="none"/>
        </w:rPr>
        <w:t>竞标的风险</w:t>
      </w:r>
    </w:p>
    <w:p w14:paraId="1DAA9650">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5910B0FE">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15.</w:t>
      </w:r>
      <w:r>
        <w:rPr>
          <w:rFonts w:hint="eastAsia" w:ascii="宋体" w:hAnsi="宋体" w:cs="宋体"/>
          <w:b/>
          <w:bCs/>
          <w:color w:val="auto"/>
          <w:sz w:val="24"/>
          <w:highlight w:val="none"/>
        </w:rPr>
        <w:t>竞标报价</w:t>
      </w:r>
    </w:p>
    <w:p w14:paraId="763136A9">
      <w:pPr>
        <w:tabs>
          <w:tab w:val="left" w:pos="2492"/>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15.1</w:t>
      </w:r>
      <w:r>
        <w:rPr>
          <w:rFonts w:hint="eastAsia" w:ascii="宋体" w:hAnsi="宋体" w:cs="宋体"/>
          <w:color w:val="auto"/>
          <w:szCs w:val="21"/>
          <w:highlight w:val="none"/>
        </w:rPr>
        <w:t>竞标报价应按磋商文件中“竞标报价表”格式填写。</w:t>
      </w:r>
    </w:p>
    <w:p w14:paraId="647551B1">
      <w:pPr>
        <w:tabs>
          <w:tab w:val="left" w:pos="2492"/>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15.2</w:t>
      </w:r>
      <w:r>
        <w:rPr>
          <w:rFonts w:hint="eastAsia" w:ascii="宋体" w:hAnsi="宋体" w:cs="宋体"/>
          <w:color w:val="auto"/>
          <w:szCs w:val="21"/>
          <w:highlight w:val="none"/>
        </w:rPr>
        <w:t>竞标报价的内容见“供应商须知前附表”。</w:t>
      </w:r>
    </w:p>
    <w:p w14:paraId="3B349CED">
      <w:pPr>
        <w:spacing w:line="360" w:lineRule="auto"/>
        <w:ind w:left="426" w:leftChars="203"/>
        <w:rPr>
          <w:rFonts w:ascii="宋体" w:cs="宋体"/>
          <w:color w:val="auto"/>
          <w:szCs w:val="21"/>
          <w:highlight w:val="none"/>
        </w:rPr>
      </w:pPr>
      <w:r>
        <w:rPr>
          <w:rFonts w:ascii="宋体" w:hAnsi="宋体" w:cs="宋体"/>
          <w:color w:val="auto"/>
          <w:szCs w:val="21"/>
          <w:highlight w:val="none"/>
        </w:rPr>
        <w:t>15.3</w:t>
      </w:r>
      <w:r>
        <w:rPr>
          <w:rFonts w:hint="eastAsia" w:ascii="宋体" w:hAnsi="宋体" w:cs="宋体"/>
          <w:color w:val="auto"/>
          <w:szCs w:val="21"/>
          <w:highlight w:val="none"/>
        </w:rPr>
        <w:t>竞标报价要求</w:t>
      </w:r>
    </w:p>
    <w:p w14:paraId="0B762F59">
      <w:pPr>
        <w:spacing w:line="360" w:lineRule="auto"/>
        <w:ind w:firstLine="422" w:firstLineChars="200"/>
        <w:rPr>
          <w:rFonts w:ascii="宋体" w:cs="宋体"/>
          <w:b/>
          <w:color w:val="auto"/>
          <w:szCs w:val="21"/>
          <w:highlight w:val="none"/>
        </w:rPr>
      </w:pPr>
      <w:r>
        <w:rPr>
          <w:rFonts w:ascii="宋体" w:hAnsi="宋体" w:cs="宋体"/>
          <w:b/>
          <w:color w:val="auto"/>
          <w:szCs w:val="21"/>
          <w:highlight w:val="none"/>
        </w:rPr>
        <w:t>15.3.1</w:t>
      </w:r>
      <w:r>
        <w:rPr>
          <w:rFonts w:hint="eastAsia" w:ascii="宋体" w:hAnsi="宋体" w:cs="宋体"/>
          <w:b/>
          <w:color w:val="auto"/>
          <w:szCs w:val="21"/>
          <w:highlight w:val="none"/>
        </w:rPr>
        <w:t>供应商的竞标报价应符合以下要求，否则响应文件按无效响应处理：</w:t>
      </w:r>
    </w:p>
    <w:p w14:paraId="22E81CFA">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）供应商必须就“采购需求”中所竞标的每个分标的全部内容分别作完整唯一总价报价，不得存在漏项报价；</w:t>
      </w:r>
    </w:p>
    <w:p w14:paraId="38FCB0F5">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72D0D24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15.3.2</w:t>
      </w:r>
      <w:r>
        <w:rPr>
          <w:rFonts w:hint="eastAsia" w:ascii="宋体" w:hAnsi="宋体" w:cs="宋体"/>
          <w:color w:val="auto"/>
          <w:szCs w:val="21"/>
          <w:highlight w:val="none"/>
        </w:rPr>
        <w:t>最后报价超过所竞标规定的采购预算金额或者最高限价的，其响应文件将按无效响应处理。</w:t>
      </w:r>
      <w:bookmarkStart w:id="31" w:name="_Hlk42592874"/>
    </w:p>
    <w:bookmarkEnd w:id="31"/>
    <w:p w14:paraId="49BE39C3">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16.</w:t>
      </w:r>
      <w:r>
        <w:rPr>
          <w:rFonts w:hint="eastAsia" w:ascii="宋体" w:hAnsi="宋体" w:cs="宋体"/>
          <w:b/>
          <w:bCs/>
          <w:color w:val="auto"/>
          <w:sz w:val="24"/>
          <w:highlight w:val="none"/>
        </w:rPr>
        <w:t>竞标有效期</w:t>
      </w:r>
    </w:p>
    <w:p w14:paraId="1F6A6BF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16.1</w:t>
      </w:r>
      <w:r>
        <w:rPr>
          <w:rFonts w:hint="eastAsia" w:ascii="宋体" w:hAnsi="宋体" w:cs="宋体"/>
          <w:color w:val="auto"/>
          <w:szCs w:val="21"/>
          <w:highlight w:val="none"/>
        </w:rPr>
        <w:t>竞标有效期是指为保证采购人有足够的时间在提交响应文件后完成评审、确定成交供应商、合同签订等工作而要求供应商提交的响应文件在一定时间内保持有效的期限。</w:t>
      </w:r>
    </w:p>
    <w:p w14:paraId="470899B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16.2 </w:t>
      </w:r>
      <w:r>
        <w:rPr>
          <w:rFonts w:hint="eastAsia" w:ascii="宋体" w:hAnsi="宋体" w:cs="宋体"/>
          <w:color w:val="auto"/>
          <w:szCs w:val="21"/>
          <w:highlight w:val="none"/>
        </w:rPr>
        <w:t>竞标有效期应由供应商按“供应商须知前附表”规定的期限作出响应。</w:t>
      </w:r>
    </w:p>
    <w:p w14:paraId="6C4ABBF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16.3</w:t>
      </w:r>
      <w:r>
        <w:rPr>
          <w:rFonts w:hint="eastAsia" w:ascii="宋体" w:hAnsi="宋体" w:cs="宋体"/>
          <w:color w:val="auto"/>
          <w:szCs w:val="21"/>
          <w:highlight w:val="none"/>
        </w:rPr>
        <w:t>供应商的响应文件在竞标有效期内均保持有效。</w:t>
      </w:r>
    </w:p>
    <w:p w14:paraId="585EA70D">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17.</w:t>
      </w:r>
      <w:r>
        <w:rPr>
          <w:rFonts w:hint="eastAsia" w:ascii="宋体" w:hAnsi="宋体" w:cs="宋体"/>
          <w:b/>
          <w:bCs/>
          <w:color w:val="auto"/>
          <w:sz w:val="24"/>
          <w:highlight w:val="none"/>
        </w:rPr>
        <w:t>磋商保证金</w:t>
      </w:r>
    </w:p>
    <w:p w14:paraId="1A6D224F">
      <w:pPr>
        <w:spacing w:line="360" w:lineRule="auto"/>
        <w:ind w:left="420" w:leftChars="200"/>
        <w:rPr>
          <w:rFonts w:ascii="宋体" w:cs="宋体"/>
          <w:color w:val="auto"/>
          <w:szCs w:val="21"/>
          <w:highlight w:val="none"/>
        </w:rPr>
      </w:pPr>
      <w:r>
        <w:rPr>
          <w:rFonts w:ascii="宋体" w:hAnsi="宋体" w:cs="宋体"/>
          <w:color w:val="auto"/>
          <w:szCs w:val="21"/>
          <w:highlight w:val="none"/>
        </w:rPr>
        <w:t>17.1</w:t>
      </w:r>
      <w:r>
        <w:rPr>
          <w:rFonts w:hint="eastAsia" w:ascii="宋体" w:hAnsi="宋体" w:cs="宋体"/>
          <w:color w:val="auto"/>
          <w:szCs w:val="21"/>
          <w:highlight w:val="none"/>
        </w:rPr>
        <w:t>供应商须按“供应商须知前附表”的规定提交磋商保证金。</w:t>
      </w:r>
    </w:p>
    <w:p w14:paraId="120CA19E">
      <w:pPr>
        <w:spacing w:line="360" w:lineRule="auto"/>
        <w:ind w:left="420" w:leftChars="200"/>
        <w:rPr>
          <w:rFonts w:ascii="宋体" w:cs="宋体"/>
          <w:color w:val="auto"/>
          <w:szCs w:val="21"/>
          <w:highlight w:val="none"/>
        </w:rPr>
      </w:pPr>
      <w:r>
        <w:rPr>
          <w:rFonts w:ascii="宋体" w:hAnsi="宋体" w:cs="宋体"/>
          <w:color w:val="auto"/>
          <w:szCs w:val="21"/>
          <w:highlight w:val="none"/>
        </w:rPr>
        <w:t>17.2</w:t>
      </w:r>
      <w:r>
        <w:rPr>
          <w:rFonts w:hint="eastAsia" w:ascii="宋体" w:hAnsi="宋体" w:cs="宋体"/>
          <w:color w:val="auto"/>
          <w:szCs w:val="21"/>
          <w:highlight w:val="none"/>
        </w:rPr>
        <w:t>磋商保证金的退还</w:t>
      </w:r>
    </w:p>
    <w:p w14:paraId="26D55CBC">
      <w:pPr>
        <w:spacing w:line="360" w:lineRule="auto"/>
        <w:ind w:firstLine="420" w:firstLineChars="200"/>
        <w:rPr>
          <w:rFonts w:ascii="宋体" w:cs="宋体"/>
          <w:color w:val="auto"/>
          <w:szCs w:val="21"/>
          <w:highlight w:val="none"/>
        </w:rPr>
      </w:pPr>
      <w:bookmarkStart w:id="32"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成交供应商的磋商保证金自成交通知书发出之日起</w:t>
      </w:r>
      <w:r>
        <w:rPr>
          <w:rFonts w:ascii="宋体" w:hAnsi="宋体" w:cs="宋体"/>
          <w:color w:val="auto"/>
          <w:spacing w:val="-6"/>
          <w:szCs w:val="21"/>
          <w:highlight w:val="none"/>
        </w:rPr>
        <w:t>5</w:t>
      </w:r>
      <w:r>
        <w:rPr>
          <w:rFonts w:hint="eastAsia" w:ascii="宋体" w:hAnsi="宋体" w:cs="宋体"/>
          <w:color w:val="auto"/>
          <w:spacing w:val="-6"/>
          <w:szCs w:val="21"/>
          <w:highlight w:val="none"/>
        </w:rPr>
        <w:t>个工作日内退还；</w:t>
      </w:r>
      <w:r>
        <w:rPr>
          <w:rFonts w:hint="eastAsia" w:ascii="宋体" w:hAnsi="宋体" w:cs="宋体"/>
          <w:color w:val="auto"/>
          <w:szCs w:val="21"/>
          <w:highlight w:val="none"/>
        </w:rPr>
        <w:t>成交供应商的磋商保证金自签订合同之日起</w:t>
      </w:r>
      <w:r>
        <w:rPr>
          <w:rFonts w:ascii="宋体" w:hAnsi="宋体" w:cs="宋体"/>
          <w:color w:val="auto"/>
          <w:szCs w:val="21"/>
          <w:highlight w:val="none"/>
        </w:rPr>
        <w:t>5</w:t>
      </w:r>
      <w:r>
        <w:rPr>
          <w:rFonts w:hint="eastAsia" w:ascii="宋体" w:hAnsi="宋体" w:cs="宋体"/>
          <w:color w:val="auto"/>
          <w:szCs w:val="21"/>
          <w:highlight w:val="none"/>
        </w:rPr>
        <w:t>个工作日内退还。</w:t>
      </w:r>
      <w:bookmarkEnd w:id="32"/>
      <w:r>
        <w:rPr>
          <w:rFonts w:ascii="宋体" w:hAnsi="宋体" w:cs="宋体"/>
          <w:color w:val="auto"/>
          <w:szCs w:val="21"/>
          <w:highlight w:val="none"/>
        </w:rPr>
        <w:t xml:space="preserve"> </w:t>
      </w:r>
    </w:p>
    <w:p w14:paraId="0997300A">
      <w:pPr>
        <w:spacing w:line="360" w:lineRule="auto"/>
        <w:ind w:left="420" w:leftChars="200"/>
        <w:rPr>
          <w:rFonts w:ascii="宋体" w:cs="宋体"/>
          <w:color w:val="auto"/>
          <w:szCs w:val="21"/>
          <w:highlight w:val="none"/>
        </w:rPr>
      </w:pPr>
      <w:r>
        <w:rPr>
          <w:rFonts w:ascii="宋体" w:hAnsi="宋体" w:cs="宋体"/>
          <w:color w:val="auto"/>
          <w:szCs w:val="21"/>
          <w:highlight w:val="none"/>
        </w:rPr>
        <w:t>17.3</w:t>
      </w:r>
      <w:r>
        <w:rPr>
          <w:rFonts w:hint="eastAsia" w:ascii="宋体" w:hAnsi="宋体" w:cs="宋体"/>
          <w:color w:val="auto"/>
          <w:szCs w:val="21"/>
          <w:highlight w:val="none"/>
        </w:rPr>
        <w:t>磋商保证金不计息。</w:t>
      </w:r>
    </w:p>
    <w:p w14:paraId="10E25290">
      <w:pPr>
        <w:spacing w:line="360" w:lineRule="auto"/>
        <w:ind w:left="420" w:leftChars="200"/>
        <w:rPr>
          <w:rFonts w:ascii="宋体" w:cs="宋体"/>
          <w:color w:val="auto"/>
          <w:szCs w:val="21"/>
          <w:highlight w:val="none"/>
        </w:rPr>
      </w:pPr>
      <w:r>
        <w:rPr>
          <w:rFonts w:ascii="宋体" w:hAnsi="宋体" w:cs="宋体"/>
          <w:color w:val="auto"/>
          <w:szCs w:val="21"/>
          <w:highlight w:val="none"/>
        </w:rPr>
        <w:t>17.4</w:t>
      </w:r>
      <w:r>
        <w:rPr>
          <w:rFonts w:hint="eastAsia" w:ascii="宋体" w:hAnsi="宋体" w:cs="宋体"/>
          <w:color w:val="auto"/>
          <w:szCs w:val="21"/>
          <w:highlight w:val="none"/>
        </w:rPr>
        <w:t>供应商有下列情形之一的，磋商保证金将不予退还：</w:t>
      </w:r>
      <w:r>
        <w:rPr>
          <w:rFonts w:ascii="宋体" w:hAnsi="宋体" w:cs="宋体"/>
          <w:color w:val="auto"/>
          <w:szCs w:val="21"/>
          <w:highlight w:val="none"/>
        </w:rPr>
        <w:t xml:space="preserve"> </w:t>
      </w:r>
    </w:p>
    <w:p w14:paraId="5208DE4B">
      <w:pPr>
        <w:spacing w:line="360" w:lineRule="auto"/>
        <w:ind w:left="420" w:left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）供应商在提交首次响应文件截止时间后撤回响应文件的；</w:t>
      </w:r>
    </w:p>
    <w:p w14:paraId="053DD929">
      <w:pPr>
        <w:spacing w:line="360" w:lineRule="auto"/>
        <w:ind w:left="420" w:left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）未按规定提交履约保证金的；</w:t>
      </w:r>
    </w:p>
    <w:p w14:paraId="44397132">
      <w:pPr>
        <w:spacing w:line="360" w:lineRule="auto"/>
        <w:ind w:left="420" w:left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）供应商在响应文件中提供虚假材料的；</w:t>
      </w:r>
    </w:p>
    <w:p w14:paraId="6AE15148">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）除因不可抗力或者磋商文件认可的情形以外，成交供应商不与采购人签订合同的；</w:t>
      </w:r>
    </w:p>
    <w:p w14:paraId="6E535B10">
      <w:pPr>
        <w:spacing w:line="360" w:lineRule="auto"/>
        <w:ind w:left="420" w:left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）供应商与采购人、其他供应商或者采购代理机构恶意串通的；</w:t>
      </w:r>
    </w:p>
    <w:p w14:paraId="2ED78ECC">
      <w:pPr>
        <w:spacing w:line="360" w:lineRule="auto"/>
        <w:ind w:left="420" w:left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）法律法规规定的其他情形。</w:t>
      </w:r>
    </w:p>
    <w:p w14:paraId="58A108FE">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18.</w:t>
      </w:r>
      <w:r>
        <w:rPr>
          <w:rFonts w:hint="eastAsia" w:ascii="宋体" w:hAnsi="宋体" w:cs="宋体"/>
          <w:b/>
          <w:bCs/>
          <w:color w:val="auto"/>
          <w:sz w:val="24"/>
          <w:highlight w:val="none"/>
        </w:rPr>
        <w:t>响应文件编制的要求</w:t>
      </w:r>
    </w:p>
    <w:p w14:paraId="2555B543">
      <w:pPr>
        <w:spacing w:line="360" w:lineRule="auto"/>
        <w:ind w:firstLine="420" w:firstLineChars="200"/>
        <w:rPr>
          <w:rFonts w:ascii="宋体" w:cs="宋体"/>
          <w:color w:val="auto"/>
          <w:spacing w:val="-6"/>
          <w:szCs w:val="21"/>
          <w:highlight w:val="none"/>
        </w:rPr>
      </w:pPr>
      <w:r>
        <w:rPr>
          <w:rFonts w:ascii="宋体" w:hAnsi="宋体" w:cs="宋体"/>
          <w:color w:val="auto"/>
          <w:szCs w:val="21"/>
          <w:highlight w:val="none"/>
        </w:rPr>
        <w:t>18.1</w:t>
      </w:r>
      <w:r>
        <w:rPr>
          <w:rFonts w:hint="eastAsia" w:ascii="宋体" w:hAnsi="宋体" w:cs="宋体"/>
          <w:color w:val="auto"/>
          <w:szCs w:val="21"/>
          <w:highlight w:val="none"/>
        </w:rPr>
        <w:t>供应商应按本磋商文件规定的格式和顺序编制响应文件并标注页码，响应文件内容</w:t>
      </w:r>
      <w:r>
        <w:rPr>
          <w:rFonts w:hint="eastAsia" w:ascii="宋体" w:hAnsi="宋体" w:cs="宋体"/>
          <w:color w:val="auto"/>
          <w:spacing w:val="-6"/>
          <w:szCs w:val="21"/>
          <w:highlight w:val="none"/>
        </w:rPr>
        <w:t>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pacing w:val="-6"/>
          <w:szCs w:val="21"/>
          <w:highlight w:val="none"/>
        </w:rPr>
        <w:t>后果由供应商承担。</w:t>
      </w:r>
    </w:p>
    <w:p w14:paraId="1FB05BC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18.2</w:t>
      </w:r>
      <w:r>
        <w:rPr>
          <w:rFonts w:hint="eastAsia" w:ascii="宋体" w:hAnsi="宋体" w:cs="宋体"/>
          <w:color w:val="auto"/>
          <w:szCs w:val="21"/>
          <w:highlight w:val="none"/>
        </w:rPr>
        <w:t>响应文件应按资格证明文件、报价商务技术文件分别编制电子文件，并按“广西政府采购云平台”的要求编制、加密、上传。</w:t>
      </w:r>
    </w:p>
    <w:p w14:paraId="3033A90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w:t>
      </w:r>
      <w:bookmarkStart w:id="33" w:name="_Hlk65832699"/>
      <w:r>
        <w:rPr>
          <w:rFonts w:ascii="宋体" w:hAnsi="宋体" w:cs="宋体"/>
          <w:color w:val="auto"/>
          <w:szCs w:val="21"/>
          <w:highlight w:val="none"/>
        </w:rPr>
        <w:t>3</w:t>
      </w:r>
      <w:r>
        <w:rPr>
          <w:rFonts w:hint="eastAsia" w:ascii="宋体" w:hAnsi="宋体" w:cs="宋体"/>
          <w:color w:val="auto"/>
          <w:szCs w:val="21"/>
          <w:highlight w:val="none"/>
        </w:rPr>
        <w:t>响应文件须由供应商在规定位置盖公章并签字</w:t>
      </w:r>
      <w:bookmarkStart w:id="34" w:name="_Hlk65832569"/>
      <w:r>
        <w:rPr>
          <w:rFonts w:hint="eastAsia" w:ascii="宋体" w:hAnsi="宋体" w:cs="宋体"/>
          <w:color w:val="auto"/>
          <w:szCs w:val="21"/>
          <w:highlight w:val="none"/>
        </w:rPr>
        <w:t>（具体以供应商须知前附表或响应文件格式规定为准）</w:t>
      </w:r>
      <w:bookmarkEnd w:id="33"/>
      <w:bookmarkEnd w:id="34"/>
      <w:r>
        <w:rPr>
          <w:rFonts w:hint="eastAsia" w:ascii="宋体" w:hAnsi="宋体" w:cs="宋体"/>
          <w:color w:val="auto"/>
          <w:szCs w:val="21"/>
          <w:highlight w:val="none"/>
        </w:rPr>
        <w:t>，否则其响应文件按无效响应处理。</w:t>
      </w:r>
    </w:p>
    <w:p w14:paraId="61B5486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18.4</w:t>
      </w:r>
      <w:r>
        <w:rPr>
          <w:rFonts w:hint="eastAsia" w:ascii="宋体" w:hAnsi="宋体" w:cs="宋体"/>
          <w:color w:val="auto"/>
          <w:szCs w:val="21"/>
          <w:highlight w:val="none"/>
        </w:rPr>
        <w:t>响应文件中标注的供应商名称应与营业执照（事业单位法人证书、执业许可证、自然人身份证）及公章一致，否则其响应文件按无效响应处理。</w:t>
      </w:r>
    </w:p>
    <w:p w14:paraId="09420CC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18.5</w:t>
      </w:r>
      <w:r>
        <w:rPr>
          <w:rFonts w:hint="eastAsia" w:ascii="宋体" w:hAnsi="宋体" w:cs="宋体"/>
          <w:color w:val="auto"/>
          <w:szCs w:val="21"/>
          <w:highlight w:val="none"/>
        </w:rPr>
        <w:t>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7F53DBAF">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19.</w:t>
      </w:r>
      <w:r>
        <w:rPr>
          <w:rFonts w:hint="eastAsia" w:ascii="宋体" w:hAnsi="宋体" w:cs="宋体"/>
          <w:b/>
          <w:bCs/>
          <w:color w:val="auto"/>
          <w:sz w:val="24"/>
          <w:highlight w:val="none"/>
        </w:rPr>
        <w:t>响应文件的加密、解密</w:t>
      </w:r>
    </w:p>
    <w:p w14:paraId="6A5A700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19.1</w:t>
      </w:r>
      <w:r>
        <w:rPr>
          <w:rFonts w:hint="eastAsia" w:ascii="宋体" w:hAnsi="宋体" w:cs="宋体"/>
          <w:color w:val="auto"/>
          <w:szCs w:val="21"/>
          <w:highlight w:val="none"/>
        </w:rPr>
        <w:t>电子响应文件编制完成后，供应商应按“广西政府采购云平台”的要求进行加密，并在规定时间内解密，否则，由此产生的后果由供应商自行负责。</w:t>
      </w:r>
    </w:p>
    <w:p w14:paraId="636A1B23">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20.</w:t>
      </w:r>
      <w:r>
        <w:rPr>
          <w:rFonts w:hint="eastAsia" w:ascii="宋体" w:hAnsi="宋体" w:cs="宋体"/>
          <w:b/>
          <w:bCs/>
          <w:color w:val="auto"/>
          <w:sz w:val="24"/>
          <w:highlight w:val="none"/>
        </w:rPr>
        <w:t>响应文件的提交</w:t>
      </w:r>
    </w:p>
    <w:p w14:paraId="4F84D76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20.1</w:t>
      </w:r>
      <w:r>
        <w:rPr>
          <w:rFonts w:hint="eastAsia" w:ascii="宋体" w:hAnsi="宋体" w:cs="宋体"/>
          <w:color w:val="auto"/>
          <w:szCs w:val="21"/>
          <w:highlight w:val="none"/>
        </w:rPr>
        <w:t>供应商必须在“供应商须知前附表”规定的时间和地点提交响应文件。</w:t>
      </w:r>
    </w:p>
    <w:p w14:paraId="5C622EC0">
      <w:pPr>
        <w:widowControl/>
        <w:spacing w:line="360" w:lineRule="auto"/>
        <w:ind w:firstLine="420" w:firstLineChars="200"/>
        <w:rPr>
          <w:rFonts w:ascii="宋体" w:cs="宋体"/>
          <w:b/>
          <w:color w:val="auto"/>
          <w:szCs w:val="21"/>
          <w:highlight w:val="none"/>
        </w:rPr>
      </w:pPr>
      <w:r>
        <w:rPr>
          <w:rFonts w:ascii="宋体" w:hAnsi="宋体" w:cs="宋体"/>
          <w:color w:val="auto"/>
          <w:szCs w:val="21"/>
          <w:highlight w:val="none"/>
        </w:rPr>
        <w:t>20.2</w:t>
      </w:r>
      <w:r>
        <w:rPr>
          <w:rFonts w:hint="eastAsia" w:ascii="宋体" w:hAnsi="宋体" w:cs="宋体"/>
          <w:color w:val="auto"/>
          <w:szCs w:val="21"/>
          <w:highlight w:val="none"/>
        </w:rPr>
        <w:t>本项目为全流程电子化采购项目，通过“广西政府采购云平台”（</w:t>
      </w:r>
      <w:r>
        <w:rPr>
          <w:rFonts w:ascii="宋体" w:hAnsi="宋体" w:cs="宋体"/>
          <w:color w:val="auto"/>
          <w:szCs w:val="21"/>
          <w:highlight w:val="none"/>
        </w:rPr>
        <w:t>https://www.gcy.zfcg.gxzf.gov.cn/</w:t>
      </w:r>
      <w:r>
        <w:rPr>
          <w:rFonts w:hint="eastAsia" w:ascii="宋体" w:hAnsi="宋体" w:cs="宋体"/>
          <w:color w:val="auto"/>
          <w:szCs w:val="21"/>
          <w:highlight w:val="none"/>
        </w:rPr>
        <w:t>）实行在线电子竞标，供应商应先安装“广西政府采购云平台新版客户端”（新版客户端下载路径：请自行前往“广西政府采购云平台”（访问地址</w:t>
      </w:r>
      <w:r>
        <w:rPr>
          <w:rFonts w:ascii="宋体" w:hAnsi="宋体" w:cs="宋体"/>
          <w:color w:val="auto"/>
          <w:szCs w:val="21"/>
          <w:highlight w:val="none"/>
        </w:rPr>
        <w:t>http://zfcg.gxzf.gov.cn/</w:t>
      </w:r>
      <w:r>
        <w:rPr>
          <w:rFonts w:hint="eastAsia" w:ascii="宋体" w:hAnsi="宋体" w:cs="宋体"/>
          <w:color w:val="auto"/>
          <w:szCs w:val="21"/>
          <w:highlight w:val="none"/>
        </w:rPr>
        <w:t>）</w:t>
      </w:r>
      <w:r>
        <w:rPr>
          <w:rFonts w:ascii="宋体" w:hAnsi="宋体" w:cs="宋体"/>
          <w:color w:val="auto"/>
          <w:szCs w:val="21"/>
          <w:highlight w:val="none"/>
        </w:rPr>
        <w:t>—</w:t>
      </w:r>
      <w:r>
        <w:rPr>
          <w:rFonts w:hint="eastAsia" w:ascii="宋体" w:hAnsi="宋体" w:cs="宋体"/>
          <w:color w:val="auto"/>
          <w:szCs w:val="21"/>
          <w:highlight w:val="none"/>
        </w:rPr>
        <w:t>办事服务</w:t>
      </w:r>
      <w:r>
        <w:rPr>
          <w:rFonts w:ascii="宋体" w:hAnsi="宋体" w:cs="宋体"/>
          <w:color w:val="auto"/>
          <w:szCs w:val="21"/>
          <w:highlight w:val="none"/>
        </w:rPr>
        <w:t>—</w:t>
      </w:r>
      <w:r>
        <w:rPr>
          <w:rFonts w:hint="eastAsia" w:ascii="宋体" w:hAnsi="宋体" w:cs="宋体"/>
          <w:color w:val="auto"/>
          <w:szCs w:val="21"/>
          <w:highlight w:val="none"/>
        </w:rPr>
        <w:t>下载专区），并按照本项目竞争性磋商文件和“广西政府采购云平台”的要求编制、加密后在竞标截止时间前通过网络上传至</w:t>
      </w:r>
      <w:r>
        <w:rPr>
          <w:rFonts w:ascii="宋体" w:hAnsi="宋体" w:cs="宋体"/>
          <w:color w:val="auto"/>
          <w:szCs w:val="21"/>
          <w:highlight w:val="none"/>
        </w:rPr>
        <w:t xml:space="preserve"> </w:t>
      </w:r>
      <w:r>
        <w:rPr>
          <w:rFonts w:hint="eastAsia" w:ascii="宋体" w:hAnsi="宋体" w:cs="宋体"/>
          <w:color w:val="auto"/>
          <w:szCs w:val="21"/>
          <w:highlight w:val="none"/>
        </w:rPr>
        <w:t>“广西政府采购云平台”，供应商在“广西政府采购云平台”提交电子响应文件时，请填写参加远程开标活动经办人联系方式。供应商登录“广西政府采购云平台”，依次进入“服务中心</w:t>
      </w:r>
      <w:r>
        <w:rPr>
          <w:rFonts w:ascii="宋体" w:cs="宋体"/>
          <w:color w:val="auto"/>
          <w:szCs w:val="21"/>
          <w:highlight w:val="none"/>
        </w:rPr>
        <w:t>-</w:t>
      </w:r>
      <w:r>
        <w:rPr>
          <w:rFonts w:hint="eastAsia" w:ascii="宋体" w:hAnsi="宋体" w:cs="宋体"/>
          <w:color w:val="auto"/>
          <w:szCs w:val="21"/>
          <w:highlight w:val="none"/>
        </w:rPr>
        <w:t>项目采购</w:t>
      </w:r>
      <w:r>
        <w:rPr>
          <w:rFonts w:ascii="宋体" w:cs="宋体"/>
          <w:color w:val="auto"/>
          <w:szCs w:val="21"/>
          <w:highlight w:val="none"/>
        </w:rPr>
        <w:t>-</w:t>
      </w:r>
      <w:r>
        <w:rPr>
          <w:rFonts w:hint="eastAsia" w:ascii="宋体" w:hAnsi="宋体" w:cs="宋体"/>
          <w:color w:val="auto"/>
          <w:szCs w:val="21"/>
          <w:highlight w:val="none"/>
        </w:rPr>
        <w:t>操作流程</w:t>
      </w:r>
      <w:r>
        <w:rPr>
          <w:rFonts w:ascii="宋体" w:cs="宋体"/>
          <w:color w:val="auto"/>
          <w:szCs w:val="21"/>
          <w:highlight w:val="none"/>
        </w:rPr>
        <w:t>-</w:t>
      </w:r>
      <w:r>
        <w:rPr>
          <w:rFonts w:hint="eastAsia" w:ascii="宋体" w:hAnsi="宋体" w:cs="宋体"/>
          <w:color w:val="auto"/>
          <w:szCs w:val="21"/>
          <w:highlight w:val="none"/>
        </w:rPr>
        <w:t>电子招投标</w:t>
      </w:r>
      <w:r>
        <w:rPr>
          <w:rFonts w:ascii="宋体" w:cs="宋体"/>
          <w:color w:val="auto"/>
          <w:szCs w:val="21"/>
          <w:highlight w:val="none"/>
        </w:rPr>
        <w:t>-</w:t>
      </w:r>
      <w:r>
        <w:rPr>
          <w:rFonts w:hint="eastAsia" w:ascii="宋体" w:hAnsi="宋体" w:cs="宋体"/>
          <w:color w:val="auto"/>
          <w:szCs w:val="21"/>
          <w:highlight w:val="none"/>
        </w:rPr>
        <w:t>政府采购项目电子交易管理操作指南</w:t>
      </w:r>
      <w:r>
        <w:rPr>
          <w:rFonts w:ascii="宋体" w:cs="宋体"/>
          <w:color w:val="auto"/>
          <w:szCs w:val="21"/>
          <w:highlight w:val="none"/>
        </w:rPr>
        <w:t>-</w:t>
      </w:r>
      <w:r>
        <w:rPr>
          <w:rFonts w:hint="eastAsia" w:ascii="宋体" w:hAnsi="宋体" w:cs="宋体"/>
          <w:color w:val="auto"/>
          <w:szCs w:val="21"/>
          <w:highlight w:val="none"/>
        </w:rPr>
        <w:t>供应商”查看电子竞标具体操作流程。</w:t>
      </w:r>
    </w:p>
    <w:p w14:paraId="4F77067C">
      <w:pPr>
        <w:pStyle w:val="7"/>
        <w:keepNext w:val="0"/>
        <w:keepLines w:val="0"/>
        <w:spacing w:before="0" w:after="0" w:line="360" w:lineRule="auto"/>
        <w:ind w:firstLine="420" w:firstLineChars="200"/>
        <w:jc w:val="left"/>
        <w:rPr>
          <w:rFonts w:ascii="宋体" w:cs="宋体"/>
          <w:b w:val="0"/>
          <w:color w:val="auto"/>
          <w:sz w:val="21"/>
          <w:szCs w:val="21"/>
          <w:highlight w:val="none"/>
        </w:rPr>
      </w:pPr>
      <w:r>
        <w:rPr>
          <w:rFonts w:ascii="宋体" w:hAnsi="宋体" w:cs="宋体"/>
          <w:b w:val="0"/>
          <w:color w:val="auto"/>
          <w:sz w:val="21"/>
          <w:szCs w:val="21"/>
          <w:highlight w:val="none"/>
        </w:rPr>
        <w:t>20.3</w:t>
      </w:r>
      <w:r>
        <w:rPr>
          <w:rFonts w:hint="eastAsia" w:ascii="宋体" w:hAnsi="宋体" w:cs="宋体"/>
          <w:b w:val="0"/>
          <w:color w:val="auto"/>
          <w:sz w:val="21"/>
          <w:szCs w:val="21"/>
          <w:highlight w:val="none"/>
        </w:rPr>
        <w:t>未在规定时间内上传或者未按“广西政府采购云平台”的要求编制、加密的电子响应文件，“广西政府采购云平台”将拒收。</w:t>
      </w:r>
    </w:p>
    <w:p w14:paraId="7CC3B48E">
      <w:pPr>
        <w:pStyle w:val="2"/>
        <w:rPr>
          <w:rFonts w:ascii="宋体" w:cs="宋体"/>
          <w:color w:val="auto"/>
          <w:szCs w:val="21"/>
          <w:highlight w:val="none"/>
        </w:rPr>
      </w:pPr>
      <w:r>
        <w:rPr>
          <w:rFonts w:ascii="宋体" w:hAnsi="宋体" w:cs="宋体"/>
          <w:color w:val="auto"/>
          <w:szCs w:val="21"/>
          <w:highlight w:val="none"/>
        </w:rPr>
        <w:t>20.4</w:t>
      </w:r>
      <w:r>
        <w:rPr>
          <w:rFonts w:hint="eastAsia" w:ascii="宋体" w:hAnsi="宋体" w:cs="宋体"/>
          <w:color w:val="auto"/>
          <w:szCs w:val="21"/>
          <w:highlight w:val="none"/>
        </w:rPr>
        <w:t>电子响应文件提交方</w:t>
      </w:r>
      <w:r>
        <w:rPr>
          <w:rFonts w:hint="eastAsia" w:ascii="宋体" w:hAnsi="宋体" w:cs="宋体"/>
          <w:bCs/>
          <w:color w:val="auto"/>
          <w:szCs w:val="21"/>
          <w:highlight w:val="none"/>
        </w:rPr>
        <w:t>式见“竞争性磋商公告”</w:t>
      </w:r>
      <w:r>
        <w:rPr>
          <w:rFonts w:hint="eastAsia" w:ascii="宋体" w:hAnsi="宋体" w:cs="宋体"/>
          <w:color w:val="auto"/>
          <w:szCs w:val="21"/>
          <w:highlight w:val="none"/>
        </w:rPr>
        <w:t>中“四、响应文件提交”。</w:t>
      </w:r>
    </w:p>
    <w:p w14:paraId="5B9DBBC1">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21.</w:t>
      </w:r>
      <w:r>
        <w:rPr>
          <w:rFonts w:hint="eastAsia" w:ascii="宋体" w:hAnsi="宋体" w:cs="宋体"/>
          <w:b/>
          <w:bCs/>
          <w:color w:val="auto"/>
          <w:sz w:val="24"/>
          <w:highlight w:val="none"/>
        </w:rPr>
        <w:t>首次响应文件的补充、修改与撤回</w:t>
      </w:r>
    </w:p>
    <w:p w14:paraId="22B59933">
      <w:pPr>
        <w:spacing w:line="360" w:lineRule="auto"/>
        <w:ind w:firstLine="420" w:firstLineChars="200"/>
        <w:rPr>
          <w:rFonts w:ascii="宋体" w:cs="宋体"/>
          <w:bCs/>
          <w:color w:val="auto"/>
          <w:szCs w:val="21"/>
          <w:highlight w:val="none"/>
        </w:rPr>
      </w:pPr>
      <w:r>
        <w:rPr>
          <w:rFonts w:ascii="宋体" w:hAnsi="宋体" w:cs="宋体"/>
          <w:bCs/>
          <w:color w:val="auto"/>
          <w:szCs w:val="21"/>
          <w:highlight w:val="none"/>
        </w:rPr>
        <w:t>21.1</w:t>
      </w:r>
      <w:r>
        <w:rPr>
          <w:rFonts w:hint="eastAsia" w:ascii="宋体" w:hAnsi="宋体" w:cs="宋体"/>
          <w:bCs/>
          <w:color w:val="auto"/>
          <w:szCs w:val="21"/>
          <w:highlight w:val="none"/>
        </w:rPr>
        <w:t>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14:paraId="240FAB55">
      <w:pPr>
        <w:spacing w:line="360" w:lineRule="auto"/>
        <w:ind w:firstLine="482" w:firstLineChars="200"/>
        <w:rPr>
          <w:rFonts w:ascii="宋体" w:cs="宋体"/>
          <w:b/>
          <w:bCs/>
          <w:color w:val="auto"/>
          <w:sz w:val="24"/>
          <w:highlight w:val="none"/>
        </w:rPr>
      </w:pPr>
      <w:bookmarkStart w:id="35" w:name="_Hlk45702405"/>
      <w:r>
        <w:rPr>
          <w:rFonts w:ascii="宋体" w:hAnsi="宋体" w:cs="宋体"/>
          <w:b/>
          <w:bCs/>
          <w:color w:val="auto"/>
          <w:sz w:val="24"/>
          <w:highlight w:val="none"/>
        </w:rPr>
        <w:t xml:space="preserve">22. </w:t>
      </w:r>
      <w:r>
        <w:rPr>
          <w:rFonts w:hint="eastAsia" w:ascii="宋体" w:hAnsi="宋体" w:cs="宋体"/>
          <w:b/>
          <w:bCs/>
          <w:color w:val="auto"/>
          <w:sz w:val="24"/>
          <w:highlight w:val="none"/>
        </w:rPr>
        <w:t>首次响应文件的退回</w:t>
      </w:r>
    </w:p>
    <w:p w14:paraId="2971E7B7">
      <w:pPr>
        <w:spacing w:line="400" w:lineRule="exact"/>
        <w:ind w:firstLine="420" w:firstLineChars="200"/>
        <w:rPr>
          <w:rFonts w:ascii="宋体" w:cs="宋体"/>
          <w:color w:val="auto"/>
          <w:szCs w:val="21"/>
          <w:highlight w:val="none"/>
        </w:rPr>
      </w:pPr>
      <w:r>
        <w:rPr>
          <w:rFonts w:ascii="宋体" w:hAnsi="宋体" w:cs="宋体"/>
          <w:color w:val="auto"/>
          <w:szCs w:val="21"/>
          <w:highlight w:val="none"/>
        </w:rPr>
        <w:t>22.1</w:t>
      </w:r>
      <w:r>
        <w:rPr>
          <w:rFonts w:hint="eastAsia" w:ascii="宋体" w:hAnsi="宋体" w:cs="宋体"/>
          <w:color w:val="auto"/>
          <w:szCs w:val="21"/>
          <w:highlight w:val="none"/>
        </w:rPr>
        <w:t>在首次响应文件提交截止时间止提交响应文件的供应商不足</w:t>
      </w:r>
      <w:r>
        <w:rPr>
          <w:rFonts w:ascii="宋体" w:hAnsi="宋体" w:cs="宋体"/>
          <w:color w:val="auto"/>
          <w:szCs w:val="21"/>
          <w:highlight w:val="none"/>
        </w:rPr>
        <w:t>3</w:t>
      </w:r>
      <w:r>
        <w:rPr>
          <w:rFonts w:hint="eastAsia" w:ascii="宋体" w:hAnsi="宋体" w:cs="宋体"/>
          <w:color w:val="auto"/>
          <w:szCs w:val="21"/>
          <w:highlight w:val="none"/>
        </w:rPr>
        <w:t>家时，采购代理机构将根据“广西政府采购云平台”的操作将电子版响应文件退回，除此之外采购人和采购代理机构对已提交的电子响应文件概不退回。</w:t>
      </w:r>
    </w:p>
    <w:p w14:paraId="10DE83C7">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 xml:space="preserve">23. </w:t>
      </w:r>
      <w:r>
        <w:rPr>
          <w:rFonts w:hint="eastAsia" w:ascii="宋体" w:hAnsi="宋体" w:cs="宋体"/>
          <w:b/>
          <w:bCs/>
          <w:color w:val="auto"/>
          <w:sz w:val="24"/>
          <w:highlight w:val="none"/>
        </w:rPr>
        <w:t>截止时间后的撤回</w:t>
      </w:r>
    </w:p>
    <w:p w14:paraId="48EBA45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23.1</w:t>
      </w:r>
      <w:r>
        <w:rPr>
          <w:rFonts w:hint="eastAsia" w:ascii="宋体" w:hAnsi="宋体" w:cs="宋体"/>
          <w:color w:val="auto"/>
          <w:szCs w:val="21"/>
          <w:highlight w:val="none"/>
        </w:rPr>
        <w:t>供应商在首次响应文件提交截止时间后书面通知采购人、采购代理机构书面撤回响应文件的，将根据本须知正文</w:t>
      </w:r>
      <w:r>
        <w:rPr>
          <w:rFonts w:ascii="宋体" w:hAnsi="宋体" w:cs="宋体"/>
          <w:color w:val="auto"/>
          <w:szCs w:val="21"/>
          <w:highlight w:val="none"/>
        </w:rPr>
        <w:t>17.4</w:t>
      </w:r>
      <w:r>
        <w:rPr>
          <w:rFonts w:hint="eastAsia" w:ascii="宋体" w:hAnsi="宋体" w:cs="宋体"/>
          <w:color w:val="auto"/>
          <w:szCs w:val="21"/>
          <w:highlight w:val="none"/>
        </w:rPr>
        <w:t>的规定不予退还其磋商保证金。</w:t>
      </w:r>
    </w:p>
    <w:bookmarkEnd w:id="35"/>
    <w:p w14:paraId="1C00A9FF">
      <w:pPr>
        <w:spacing w:line="360" w:lineRule="auto"/>
        <w:rPr>
          <w:rFonts w:ascii="宋体" w:cs="宋体"/>
          <w:color w:val="auto"/>
          <w:szCs w:val="21"/>
          <w:highlight w:val="none"/>
        </w:rPr>
      </w:pPr>
    </w:p>
    <w:p w14:paraId="4ADC698A">
      <w:pPr>
        <w:spacing w:line="360" w:lineRule="auto"/>
        <w:jc w:val="center"/>
        <w:rPr>
          <w:rFonts w:ascii="宋体" w:cs="宋体"/>
          <w:b/>
          <w:bCs/>
          <w:color w:val="auto"/>
          <w:sz w:val="32"/>
          <w:szCs w:val="32"/>
          <w:highlight w:val="none"/>
        </w:rPr>
      </w:pPr>
      <w:r>
        <w:rPr>
          <w:rFonts w:hint="eastAsia" w:ascii="宋体" w:hAnsi="宋体" w:cs="宋体"/>
          <w:b/>
          <w:bCs/>
          <w:color w:val="auto"/>
          <w:sz w:val="32"/>
          <w:szCs w:val="32"/>
          <w:highlight w:val="none"/>
        </w:rPr>
        <w:t>四、评审及磋商</w:t>
      </w:r>
    </w:p>
    <w:p w14:paraId="1C278102">
      <w:pPr>
        <w:spacing w:line="360" w:lineRule="auto"/>
        <w:ind w:firstLine="482" w:firstLineChars="200"/>
        <w:rPr>
          <w:rFonts w:ascii="宋体" w:cs="宋体"/>
          <w:b/>
          <w:bCs/>
          <w:color w:val="auto"/>
          <w:sz w:val="24"/>
          <w:highlight w:val="none"/>
        </w:rPr>
      </w:pPr>
    </w:p>
    <w:p w14:paraId="5E8E55DC">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24.</w:t>
      </w:r>
      <w:r>
        <w:rPr>
          <w:rFonts w:hint="eastAsia" w:ascii="宋体" w:hAnsi="宋体" w:cs="宋体"/>
          <w:b/>
          <w:bCs/>
          <w:color w:val="auto"/>
          <w:sz w:val="24"/>
          <w:highlight w:val="none"/>
        </w:rPr>
        <w:t>磋商小组成立</w:t>
      </w:r>
    </w:p>
    <w:p w14:paraId="7A54989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24.1</w:t>
      </w:r>
      <w:r>
        <w:rPr>
          <w:rFonts w:hint="eastAsia" w:ascii="宋体" w:hAnsi="宋体" w:cs="宋体"/>
          <w:color w:val="auto"/>
          <w:szCs w:val="21"/>
          <w:highlight w:val="none"/>
        </w:rPr>
        <w:t>磋商小组由采购人代表和评审专家共</w:t>
      </w:r>
      <w:r>
        <w:rPr>
          <w:rFonts w:ascii="宋体" w:hAnsi="宋体" w:cs="宋体"/>
          <w:color w:val="auto"/>
          <w:szCs w:val="21"/>
          <w:highlight w:val="none"/>
        </w:rPr>
        <w:t>3</w:t>
      </w:r>
      <w:r>
        <w:rPr>
          <w:rFonts w:hint="eastAsia" w:ascii="宋体" w:hAnsi="宋体" w:cs="宋体"/>
          <w:color w:val="auto"/>
          <w:szCs w:val="21"/>
          <w:highlight w:val="none"/>
        </w:rPr>
        <w:t>人以上单数组成，具体人数见“供应商须知前附表”，其中评审专家人数不得少于磋商小组成员总数的</w:t>
      </w:r>
      <w:r>
        <w:rPr>
          <w:rFonts w:ascii="宋体" w:hAnsi="宋体" w:cs="宋体"/>
          <w:color w:val="auto"/>
          <w:szCs w:val="21"/>
          <w:highlight w:val="none"/>
        </w:rPr>
        <w:t>2/3</w:t>
      </w:r>
      <w:r>
        <w:rPr>
          <w:rFonts w:hint="eastAsia" w:ascii="宋体" w:hAnsi="宋体" w:cs="宋体"/>
          <w:color w:val="auto"/>
          <w:szCs w:val="21"/>
          <w:highlight w:val="none"/>
        </w:rPr>
        <w:t>。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w:t>
      </w:r>
      <w:r>
        <w:rPr>
          <w:rFonts w:ascii="宋体" w:hAnsi="宋体" w:cs="宋体"/>
          <w:color w:val="auto"/>
          <w:szCs w:val="21"/>
          <w:highlight w:val="none"/>
        </w:rPr>
        <w:t>5</w:t>
      </w:r>
      <w:r>
        <w:rPr>
          <w:rFonts w:hint="eastAsia" w:ascii="宋体" w:hAnsi="宋体" w:cs="宋体"/>
          <w:color w:val="auto"/>
          <w:szCs w:val="21"/>
          <w:highlight w:val="none"/>
        </w:rPr>
        <w:t>人以上单数组成。</w:t>
      </w:r>
    </w:p>
    <w:p w14:paraId="060D278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24.2</w:t>
      </w:r>
      <w:r>
        <w:rPr>
          <w:rFonts w:hint="eastAsia" w:ascii="宋体" w:hAnsi="宋体" w:cs="宋体"/>
          <w:color w:val="auto"/>
          <w:szCs w:val="21"/>
          <w:highlight w:val="none"/>
        </w:rPr>
        <w:t>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w:t>
      </w:r>
      <w:r>
        <w:rPr>
          <w:rFonts w:ascii="宋体" w:hAnsi="宋体" w:cs="宋体"/>
          <w:color w:val="auto"/>
          <w:szCs w:val="21"/>
          <w:highlight w:val="none"/>
        </w:rPr>
        <w:t>1</w:t>
      </w:r>
      <w:r>
        <w:rPr>
          <w:rFonts w:hint="eastAsia" w:ascii="宋体" w:hAnsi="宋体" w:cs="宋体"/>
          <w:color w:val="auto"/>
          <w:szCs w:val="21"/>
          <w:highlight w:val="none"/>
        </w:rPr>
        <w:t>名法律专家。</w:t>
      </w:r>
    </w:p>
    <w:p w14:paraId="7A59201C">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25.</w:t>
      </w:r>
      <w:r>
        <w:rPr>
          <w:rFonts w:hint="eastAsia" w:ascii="宋体" w:hAnsi="宋体" w:cs="宋体"/>
          <w:b/>
          <w:bCs/>
          <w:color w:val="auto"/>
          <w:sz w:val="24"/>
          <w:highlight w:val="none"/>
        </w:rPr>
        <w:t>首次响应文件的开启</w:t>
      </w:r>
    </w:p>
    <w:p w14:paraId="6EA2DB3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25.1</w:t>
      </w:r>
      <w:r>
        <w:rPr>
          <w:rFonts w:hint="eastAsia" w:ascii="宋体" w:hAnsi="宋体" w:cs="宋体"/>
          <w:color w:val="auto"/>
          <w:szCs w:val="21"/>
          <w:highlight w:val="none"/>
        </w:rPr>
        <w:t>首次响应文件由磋商小组或者采购代理机构在“供应商须知前附表”规定的时间开启。</w:t>
      </w:r>
    </w:p>
    <w:p w14:paraId="5AE1680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25.2 </w:t>
      </w:r>
      <w:r>
        <w:rPr>
          <w:rFonts w:hint="eastAsia" w:ascii="宋体" w:hAnsi="宋体" w:cs="宋体"/>
          <w:color w:val="auto"/>
          <w:szCs w:val="21"/>
          <w:highlight w:val="none"/>
        </w:rPr>
        <w:t>响应文件解密：采购代理机构将在“供应商须知前附表”规定的时间通过电子交易平台组织响应文件开启，采购代理机构将依托电子交易平台发起开始解密指令，</w:t>
      </w:r>
      <w:r>
        <w:rPr>
          <w:rFonts w:hint="eastAsia" w:ascii="宋体" w:hAnsi="宋体" w:cs="宋体"/>
          <w:b/>
          <w:color w:val="auto"/>
          <w:szCs w:val="21"/>
          <w:highlight w:val="none"/>
        </w:rPr>
        <w:t>供应商的法定代表人或其委托代理人须携带加密时所用的</w:t>
      </w:r>
      <w:r>
        <w:rPr>
          <w:rFonts w:ascii="宋体" w:hAnsi="宋体" w:cs="宋体"/>
          <w:b/>
          <w:color w:val="auto"/>
          <w:szCs w:val="21"/>
          <w:highlight w:val="none"/>
        </w:rPr>
        <w:t>CA</w:t>
      </w:r>
      <w:r>
        <w:rPr>
          <w:rFonts w:hint="eastAsia" w:ascii="宋体" w:hAnsi="宋体" w:cs="宋体"/>
          <w:b/>
          <w:color w:val="auto"/>
          <w:szCs w:val="21"/>
          <w:highlight w:val="none"/>
        </w:rPr>
        <w:t>锁按平台提示和采购文件的规定登录到“广西政府采购云平台”电子开标大厅签到并在发起解密指令之时起</w:t>
      </w:r>
      <w:r>
        <w:rPr>
          <w:rFonts w:ascii="宋体" w:hAnsi="宋体" w:cs="宋体"/>
          <w:b/>
          <w:color w:val="auto"/>
          <w:szCs w:val="21"/>
          <w:highlight w:val="none"/>
        </w:rPr>
        <w:t>30</w:t>
      </w:r>
      <w:r>
        <w:rPr>
          <w:rFonts w:hint="eastAsia" w:ascii="宋体" w:hAnsi="宋体" w:cs="宋体"/>
          <w:b/>
          <w:color w:val="auto"/>
          <w:szCs w:val="21"/>
          <w:highlight w:val="none"/>
        </w:rPr>
        <w:t>分钟内完成对电子响应文件在线解密。</w:t>
      </w:r>
      <w:r>
        <w:rPr>
          <w:rFonts w:hint="eastAsia" w:ascii="宋体" w:hAnsi="宋体" w:cs="宋体"/>
          <w:b/>
          <w:bCs/>
          <w:color w:val="auto"/>
          <w:szCs w:val="21"/>
          <w:highlight w:val="none"/>
        </w:rPr>
        <w:t>响应文件未按时解密的，</w:t>
      </w:r>
      <w:r>
        <w:rPr>
          <w:rFonts w:hint="eastAsia" w:ascii="宋体" w:hAnsi="宋体" w:cs="宋体"/>
          <w:b/>
          <w:color w:val="auto"/>
          <w:szCs w:val="21"/>
          <w:highlight w:val="none"/>
        </w:rPr>
        <w:t>视为响应</w:t>
      </w:r>
      <w:r>
        <w:rPr>
          <w:rFonts w:hint="eastAsia" w:ascii="宋体" w:hAnsi="宋体" w:cs="宋体"/>
          <w:b/>
          <w:bCs/>
          <w:color w:val="auto"/>
          <w:szCs w:val="21"/>
          <w:highlight w:val="none"/>
        </w:rPr>
        <w:t>文件无效。</w:t>
      </w:r>
      <w:r>
        <w:rPr>
          <w:rFonts w:hint="eastAsia" w:ascii="宋体" w:hAnsi="宋体" w:cs="宋体"/>
          <w:color w:val="auto"/>
          <w:szCs w:val="21"/>
          <w:highlight w:val="none"/>
        </w:rPr>
        <w:t>（解密异常情况处理：详见本章</w:t>
      </w:r>
      <w:r>
        <w:rPr>
          <w:rFonts w:ascii="宋体" w:hAnsi="宋体" w:cs="宋体"/>
          <w:color w:val="auto"/>
          <w:szCs w:val="21"/>
          <w:highlight w:val="none"/>
        </w:rPr>
        <w:t>26.2</w:t>
      </w:r>
      <w:r>
        <w:rPr>
          <w:rFonts w:hint="eastAsia" w:ascii="宋体" w:hAnsi="宋体" w:cs="宋体"/>
          <w:color w:val="auto"/>
          <w:szCs w:val="21"/>
          <w:highlight w:val="none"/>
        </w:rPr>
        <w:t>电子交易活动的中止。）</w:t>
      </w:r>
    </w:p>
    <w:p w14:paraId="1CAF9AB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25.3</w:t>
      </w:r>
      <w:r>
        <w:rPr>
          <w:rFonts w:hint="eastAsia" w:ascii="宋体" w:hAnsi="宋体" w:cs="宋体"/>
          <w:color w:val="auto"/>
          <w:szCs w:val="21"/>
          <w:highlight w:val="none"/>
        </w:rPr>
        <w:t>成功解密响应文件的供应商不足</w:t>
      </w:r>
      <w:r>
        <w:rPr>
          <w:rFonts w:ascii="宋体" w:hAnsi="宋体" w:cs="宋体"/>
          <w:color w:val="auto"/>
          <w:szCs w:val="21"/>
          <w:highlight w:val="none"/>
        </w:rPr>
        <w:t>3</w:t>
      </w:r>
      <w:r>
        <w:rPr>
          <w:rFonts w:hint="eastAsia" w:ascii="宋体" w:hAnsi="宋体" w:cs="宋体"/>
          <w:color w:val="auto"/>
          <w:szCs w:val="21"/>
          <w:highlight w:val="none"/>
        </w:rPr>
        <w:t>家的，不得磋商。</w:t>
      </w:r>
    </w:p>
    <w:p w14:paraId="3916D3C2">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26.</w:t>
      </w:r>
      <w:r>
        <w:rPr>
          <w:rFonts w:hint="eastAsia" w:ascii="宋体" w:hAnsi="宋体" w:cs="宋体"/>
          <w:b/>
          <w:bCs/>
          <w:color w:val="auto"/>
          <w:sz w:val="24"/>
          <w:highlight w:val="none"/>
        </w:rPr>
        <w:t>评审程序、评审方法和评审标准</w:t>
      </w:r>
    </w:p>
    <w:p w14:paraId="684C866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26.1</w:t>
      </w:r>
      <w:r>
        <w:rPr>
          <w:rFonts w:hint="eastAsia" w:ascii="宋体" w:hAnsi="宋体" w:cs="宋体"/>
          <w:color w:val="auto"/>
          <w:szCs w:val="21"/>
          <w:highlight w:val="none"/>
        </w:rPr>
        <w:t>磋商小组按照“第四章</w:t>
      </w:r>
      <w:r>
        <w:rPr>
          <w:rFonts w:ascii="宋体" w:hAnsi="宋体" w:cs="宋体"/>
          <w:color w:val="auto"/>
          <w:szCs w:val="21"/>
          <w:highlight w:val="none"/>
        </w:rPr>
        <w:t xml:space="preserve"> </w:t>
      </w:r>
      <w:r>
        <w:rPr>
          <w:rFonts w:hint="eastAsia" w:ascii="宋体" w:hAnsi="宋体" w:cs="宋体"/>
          <w:color w:val="auto"/>
          <w:szCs w:val="21"/>
          <w:highlight w:val="none"/>
        </w:rPr>
        <w:t>评审程序、评审方法和评审标准”规定的方法、评审因素、标准和程序对响应文件进行评审。</w:t>
      </w:r>
    </w:p>
    <w:p w14:paraId="0D1970CA">
      <w:pPr>
        <w:spacing w:line="400" w:lineRule="exact"/>
        <w:ind w:firstLine="420" w:firstLineChars="200"/>
        <w:rPr>
          <w:rFonts w:ascii="宋体" w:cs="宋体"/>
          <w:color w:val="auto"/>
          <w:highlight w:val="none"/>
        </w:rPr>
      </w:pPr>
      <w:r>
        <w:rPr>
          <w:rFonts w:ascii="宋体" w:hAnsi="宋体" w:cs="宋体"/>
          <w:color w:val="auto"/>
          <w:highlight w:val="none"/>
        </w:rPr>
        <w:t>26.2</w:t>
      </w:r>
      <w:r>
        <w:rPr>
          <w:rFonts w:hint="eastAsia" w:ascii="宋体" w:hAnsi="宋体" w:cs="宋体"/>
          <w:color w:val="auto"/>
          <w:highlight w:val="none"/>
        </w:rPr>
        <w:t>电子交易活动的中止。采购过程中出现以下情形，导致电子交易平台无法正常运行，或者无法保证电子交易的公平、公正和安全时，采购机构可中止电子交易活动：</w:t>
      </w:r>
    </w:p>
    <w:p w14:paraId="58E9A24B">
      <w:pPr>
        <w:spacing w:line="400" w:lineRule="exact"/>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）电子交易平台发生故障而无法登录访问的；</w:t>
      </w:r>
      <w:r>
        <w:rPr>
          <w:rFonts w:ascii="宋体" w:hAnsi="宋体" w:cs="宋体"/>
          <w:color w:val="auto"/>
          <w:highlight w:val="none"/>
        </w:rPr>
        <w:t xml:space="preserve"> </w:t>
      </w:r>
    </w:p>
    <w:p w14:paraId="52392B85">
      <w:pPr>
        <w:spacing w:line="400" w:lineRule="exact"/>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）电子交易平台应用或数据库出现错误，不能进行正常操作的；</w:t>
      </w:r>
    </w:p>
    <w:p w14:paraId="64F8278E">
      <w:pPr>
        <w:spacing w:line="400" w:lineRule="exact"/>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）电子交易平台发现严重安全漏洞，有潜在泄密危险的；</w:t>
      </w:r>
    </w:p>
    <w:p w14:paraId="3D98630D">
      <w:pPr>
        <w:spacing w:line="400" w:lineRule="exact"/>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）病毒发作导致不能进行正常操作的；</w:t>
      </w:r>
      <w:r>
        <w:rPr>
          <w:rFonts w:ascii="宋体" w:hAnsi="宋体" w:cs="宋体"/>
          <w:color w:val="auto"/>
          <w:highlight w:val="none"/>
        </w:rPr>
        <w:t xml:space="preserve"> </w:t>
      </w:r>
    </w:p>
    <w:p w14:paraId="71A9F0D9">
      <w:pPr>
        <w:spacing w:line="400" w:lineRule="exact"/>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）其他无法保证电子交易的公平、公正和安全的情况。</w:t>
      </w:r>
    </w:p>
    <w:p w14:paraId="14FB7C65">
      <w:pPr>
        <w:spacing w:line="400" w:lineRule="exact"/>
        <w:ind w:firstLine="420" w:firstLineChars="200"/>
        <w:rPr>
          <w:rFonts w:ascii="宋体" w:cs="宋体"/>
          <w:color w:val="auto"/>
          <w:szCs w:val="21"/>
          <w:highlight w:val="none"/>
        </w:rPr>
      </w:pPr>
      <w:r>
        <w:rPr>
          <w:rFonts w:ascii="宋体" w:hAnsi="宋体" w:cs="宋体"/>
          <w:color w:val="auto"/>
          <w:highlight w:val="none"/>
        </w:rPr>
        <w:t>26.3</w:t>
      </w:r>
      <w:r>
        <w:rPr>
          <w:rFonts w:hint="eastAsia" w:ascii="宋体" w:hAnsi="宋体" w:cs="宋体"/>
          <w:color w:val="auto"/>
          <w:highlight w:val="none"/>
        </w:rPr>
        <w:t>出现以上情形，不影响采购公平、公正性的，采购代理机构可以待上述情形消除后继续组织电子交易活动；影响或可能影响采购公平、公正性的，经采购代理机构确认后，应当重新采购。</w:t>
      </w:r>
    </w:p>
    <w:p w14:paraId="2C997735">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27.</w:t>
      </w:r>
      <w:r>
        <w:rPr>
          <w:rFonts w:hint="eastAsia" w:ascii="宋体" w:hAnsi="宋体" w:cs="宋体"/>
          <w:b/>
          <w:bCs/>
          <w:color w:val="auto"/>
          <w:sz w:val="24"/>
          <w:highlight w:val="none"/>
        </w:rPr>
        <w:t>确定成交供应商及结果公告</w:t>
      </w:r>
    </w:p>
    <w:p w14:paraId="5E62B1E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27.1</w:t>
      </w:r>
      <w:r>
        <w:rPr>
          <w:rFonts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w:t>
      </w:r>
      <w:r>
        <w:rPr>
          <w:rFonts w:ascii="宋体" w:hAnsi="宋体" w:cs="宋体"/>
          <w:color w:val="auto"/>
          <w:szCs w:val="21"/>
          <w:highlight w:val="none"/>
        </w:rPr>
        <w:t>2</w:t>
      </w:r>
      <w:r>
        <w:rPr>
          <w:rFonts w:hint="eastAsia" w:ascii="宋体" w:hAnsi="宋体" w:cs="宋体"/>
          <w:color w:val="auto"/>
          <w:szCs w:val="21"/>
          <w:highlight w:val="none"/>
        </w:rPr>
        <w:t>个工作日内将评审报告送采购人确认。采购人应当在收到评审报告后</w:t>
      </w:r>
      <w:r>
        <w:rPr>
          <w:rFonts w:ascii="宋体" w:hAnsi="宋体" w:cs="宋体"/>
          <w:color w:val="auto"/>
          <w:szCs w:val="21"/>
          <w:highlight w:val="none"/>
        </w:rPr>
        <w:t>5</w:t>
      </w:r>
      <w:r>
        <w:rPr>
          <w:rFonts w:hint="eastAsia" w:ascii="宋体" w:hAnsi="宋体" w:cs="宋体"/>
          <w:color w:val="auto"/>
          <w:szCs w:val="21"/>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CBE496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27.2</w:t>
      </w:r>
      <w:r>
        <w:rPr>
          <w:rFonts w:hint="eastAsia" w:ascii="宋体" w:hAnsi="宋体" w:cs="宋体"/>
          <w:color w:val="auto"/>
          <w:szCs w:val="21"/>
          <w:highlight w:val="none"/>
        </w:rPr>
        <w:t>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w:t>
      </w:r>
      <w:r>
        <w:rPr>
          <w:rFonts w:ascii="宋体" w:hAnsi="宋体" w:cs="宋体"/>
          <w:color w:val="auto"/>
          <w:szCs w:val="21"/>
          <w:highlight w:val="none"/>
        </w:rPr>
        <w:t>2</w:t>
      </w:r>
      <w:r>
        <w:rPr>
          <w:rFonts w:hint="eastAsia" w:ascii="宋体" w:hAnsi="宋体" w:cs="宋体"/>
          <w:color w:val="auto"/>
          <w:szCs w:val="21"/>
          <w:highlight w:val="none"/>
        </w:rPr>
        <w:t>个工作日内，在省级以上财政部门指定的媒体上公告成交结果，同时向成交供应商发出成交通知书。</w:t>
      </w:r>
      <w:r>
        <w:rPr>
          <w:rFonts w:hint="eastAsia" w:ascii="宋体" w:hAnsi="宋体" w:cs="宋体"/>
          <w:b/>
          <w:color w:val="auto"/>
          <w:szCs w:val="21"/>
          <w:highlight w:val="none"/>
        </w:rPr>
        <w:t>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r>
        <w:rPr>
          <w:rFonts w:hint="eastAsia" w:ascii="宋体" w:hAnsi="宋体" w:cs="宋体"/>
          <w:color w:val="auto"/>
          <w:szCs w:val="21"/>
          <w:highlight w:val="none"/>
        </w:rPr>
        <w:t>排名第二的成交候选人因上述规定的同样原因被取消成交资格的，采购人可以确定排名第三的成交候选人为成交供应商，以此类推。以上信息查询记录及相关证据与磋商文件一并保存。</w:t>
      </w:r>
      <w:bookmarkStart w:id="36" w:name="_Hlk66782294"/>
      <w:r>
        <w:rPr>
          <w:rFonts w:hint="eastAsia" w:ascii="宋体" w:hAnsi="宋体" w:cs="宋体"/>
          <w:color w:val="auto"/>
          <w:szCs w:val="21"/>
          <w:highlight w:val="none"/>
        </w:rPr>
        <w:t>成交供应商享受《政府采购促进中小企业发展管理办法》（财库〔</w:t>
      </w:r>
      <w:r>
        <w:rPr>
          <w:rFonts w:ascii="宋体" w:hAnsi="宋体" w:cs="宋体"/>
          <w:color w:val="auto"/>
          <w:szCs w:val="21"/>
          <w:highlight w:val="none"/>
        </w:rPr>
        <w:t>2020</w:t>
      </w:r>
      <w:r>
        <w:rPr>
          <w:rFonts w:hint="eastAsia" w:ascii="宋体" w:hAnsi="宋体" w:cs="宋体"/>
          <w:color w:val="auto"/>
          <w:szCs w:val="21"/>
          <w:highlight w:val="none"/>
        </w:rPr>
        <w:t>〕</w:t>
      </w:r>
      <w:r>
        <w:rPr>
          <w:rFonts w:ascii="宋体" w:hAnsi="宋体" w:cs="宋体"/>
          <w:color w:val="auto"/>
          <w:szCs w:val="21"/>
          <w:highlight w:val="none"/>
        </w:rPr>
        <w:t>46</w:t>
      </w:r>
      <w:r>
        <w:rPr>
          <w:rFonts w:hint="eastAsia" w:ascii="宋体" w:hAnsi="宋体" w:cs="宋体"/>
          <w:color w:val="auto"/>
          <w:szCs w:val="21"/>
          <w:highlight w:val="none"/>
        </w:rPr>
        <w:t>号）规定的中小企业扶持政策的，采购人、采购代理机构应当随成交结果公开成交供应商的《中小企业声明函》。</w:t>
      </w:r>
      <w:bookmarkEnd w:id="36"/>
    </w:p>
    <w:p w14:paraId="3F7D11D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27.3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14:paraId="7DAB8577">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28.</w:t>
      </w:r>
      <w:r>
        <w:rPr>
          <w:rFonts w:hint="eastAsia" w:ascii="宋体" w:hAnsi="宋体" w:cs="宋体"/>
          <w:b/>
          <w:bCs/>
          <w:color w:val="auto"/>
          <w:sz w:val="24"/>
          <w:highlight w:val="none"/>
        </w:rPr>
        <w:t>履约保证金</w:t>
      </w:r>
    </w:p>
    <w:p w14:paraId="35DB2771">
      <w:pPr>
        <w:spacing w:line="360" w:lineRule="auto"/>
        <w:ind w:firstLine="424" w:firstLineChars="202"/>
        <w:rPr>
          <w:rFonts w:ascii="宋体" w:cs="宋体"/>
          <w:color w:val="auto"/>
          <w:szCs w:val="21"/>
          <w:highlight w:val="none"/>
        </w:rPr>
      </w:pPr>
      <w:r>
        <w:rPr>
          <w:rFonts w:ascii="宋体" w:hAnsi="宋体" w:cs="宋体"/>
          <w:color w:val="auto"/>
          <w:szCs w:val="21"/>
          <w:highlight w:val="none"/>
        </w:rPr>
        <w:t xml:space="preserve">28.1 </w:t>
      </w:r>
      <w:r>
        <w:rPr>
          <w:rFonts w:hint="eastAsia" w:ascii="宋体" w:hAnsi="宋体" w:cs="宋体"/>
          <w:color w:val="auto"/>
          <w:szCs w:val="21"/>
          <w:highlight w:val="none"/>
        </w:rPr>
        <w:t>履约保证金的金额、提交方式、退付的时间和条件详见</w:t>
      </w:r>
      <w:r>
        <w:rPr>
          <w:rFonts w:ascii="宋体" w:hAnsi="宋体" w:cs="宋体"/>
          <w:color w:val="auto"/>
          <w:szCs w:val="21"/>
          <w:highlight w:val="none"/>
        </w:rPr>
        <w:t xml:space="preserve"> </w:t>
      </w:r>
      <w:r>
        <w:rPr>
          <w:rFonts w:hint="eastAsia" w:ascii="宋体" w:hAnsi="宋体" w:cs="宋体"/>
          <w:color w:val="auto"/>
          <w:szCs w:val="21"/>
          <w:highlight w:val="none"/>
        </w:rPr>
        <w:t>“供应商须知前附表”。成交供应商未按规定提交履约保证金的，视为拒绝</w:t>
      </w:r>
      <w:r>
        <w:rPr>
          <w:rFonts w:hint="eastAsia" w:ascii="宋体" w:hAnsi="宋体" w:cs="宋体"/>
          <w:color w:val="auto"/>
          <w:highlight w:val="none"/>
        </w:rPr>
        <w:t>与采购人</w:t>
      </w:r>
      <w:r>
        <w:rPr>
          <w:rFonts w:hint="eastAsia" w:ascii="宋体" w:hAnsi="宋体" w:cs="宋体"/>
          <w:color w:val="auto"/>
          <w:szCs w:val="21"/>
          <w:highlight w:val="none"/>
        </w:rPr>
        <w:t>签订合同。</w:t>
      </w:r>
    </w:p>
    <w:p w14:paraId="618179E3">
      <w:pPr>
        <w:spacing w:line="360" w:lineRule="auto"/>
        <w:ind w:firstLine="424" w:firstLineChars="202"/>
        <w:rPr>
          <w:rFonts w:ascii="宋体" w:cs="宋体"/>
          <w:color w:val="auto"/>
          <w:szCs w:val="21"/>
          <w:highlight w:val="none"/>
        </w:rPr>
      </w:pPr>
      <w:r>
        <w:rPr>
          <w:rFonts w:ascii="宋体" w:hAnsi="宋体" w:cs="宋体"/>
          <w:color w:val="auto"/>
          <w:szCs w:val="21"/>
          <w:highlight w:val="none"/>
        </w:rPr>
        <w:t>28.2</w:t>
      </w:r>
      <w:r>
        <w:rPr>
          <w:rFonts w:hint="eastAsia" w:ascii="宋体" w:hAnsi="宋体" w:cs="宋体"/>
          <w:color w:val="auto"/>
          <w:szCs w:val="21"/>
          <w:highlight w:val="none"/>
        </w:rPr>
        <w:t>在履约保证金退还日期前，若成交供应商的开户名称、开户银行、帐号有变动的，请以书面形式通知履约保证金收取单位，否则由此产生的后果由成交供应商自行承担。</w:t>
      </w:r>
    </w:p>
    <w:p w14:paraId="3116A22D">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29.</w:t>
      </w:r>
      <w:r>
        <w:rPr>
          <w:rFonts w:hint="eastAsia" w:ascii="宋体" w:hAnsi="宋体" w:cs="宋体"/>
          <w:b/>
          <w:bCs/>
          <w:color w:val="auto"/>
          <w:sz w:val="24"/>
          <w:highlight w:val="none"/>
        </w:rPr>
        <w:t>签订合同</w:t>
      </w:r>
    </w:p>
    <w:p w14:paraId="0226DC30">
      <w:pPr>
        <w:spacing w:line="360" w:lineRule="auto"/>
        <w:ind w:firstLine="424" w:firstLineChars="202"/>
        <w:rPr>
          <w:rFonts w:ascii="宋体" w:cs="宋体"/>
          <w:color w:val="auto"/>
          <w:szCs w:val="21"/>
          <w:highlight w:val="none"/>
        </w:rPr>
      </w:pPr>
      <w:r>
        <w:rPr>
          <w:rFonts w:ascii="宋体" w:hAnsi="宋体" w:cs="宋体"/>
          <w:color w:val="auto"/>
          <w:szCs w:val="21"/>
          <w:highlight w:val="none"/>
        </w:rPr>
        <w:t>29.1</w:t>
      </w:r>
      <w:r>
        <w:rPr>
          <w:rFonts w:hint="eastAsia" w:ascii="宋体" w:hAnsi="宋体" w:cs="宋体"/>
          <w:color w:val="auto"/>
          <w:szCs w:val="21"/>
          <w:highlight w:val="none"/>
        </w:rPr>
        <w:t>成交供应商在收到成交通知书（书面或电子）后，应当在签订合同时向采购人出示相关证明材料，具体内容详见</w:t>
      </w:r>
      <w:r>
        <w:rPr>
          <w:rFonts w:ascii="宋体" w:hAnsi="宋体" w:cs="宋体"/>
          <w:color w:val="auto"/>
          <w:szCs w:val="21"/>
          <w:highlight w:val="none"/>
        </w:rPr>
        <w:t xml:space="preserve"> </w:t>
      </w:r>
      <w:r>
        <w:rPr>
          <w:rFonts w:hint="eastAsia" w:ascii="宋体" w:hAnsi="宋体" w:cs="宋体"/>
          <w:color w:val="auto"/>
          <w:szCs w:val="21"/>
          <w:highlight w:val="none"/>
        </w:rPr>
        <w:t>“供应商须知前附表”，经采购人核验合格后方可签订合同（书面或电子）。</w:t>
      </w:r>
    </w:p>
    <w:p w14:paraId="1D577EDC">
      <w:pPr>
        <w:spacing w:line="360" w:lineRule="auto"/>
        <w:ind w:firstLine="424" w:firstLineChars="202"/>
        <w:rPr>
          <w:rFonts w:ascii="宋体" w:cs="宋体"/>
          <w:color w:val="auto"/>
          <w:szCs w:val="21"/>
          <w:highlight w:val="none"/>
        </w:rPr>
      </w:pPr>
      <w:r>
        <w:rPr>
          <w:rFonts w:ascii="宋体" w:hAnsi="宋体" w:cs="宋体"/>
          <w:color w:val="auto"/>
          <w:szCs w:val="21"/>
          <w:highlight w:val="none"/>
        </w:rPr>
        <w:t xml:space="preserve">29.2 </w:t>
      </w:r>
      <w:r>
        <w:rPr>
          <w:rFonts w:hint="eastAsia" w:ascii="宋体" w:hAnsi="宋体" w:cs="宋体"/>
          <w:color w:val="auto"/>
          <w:szCs w:val="21"/>
          <w:highlight w:val="none"/>
        </w:rPr>
        <w:t>签订合同时间：按成交通知书规定的时间与采购人签订政府采购合同（最长不能超过</w:t>
      </w:r>
      <w:r>
        <w:rPr>
          <w:rFonts w:ascii="宋体" w:hAnsi="宋体" w:cs="宋体"/>
          <w:color w:val="auto"/>
          <w:szCs w:val="21"/>
          <w:highlight w:val="none"/>
        </w:rPr>
        <w:t>25</w:t>
      </w:r>
      <w:r>
        <w:rPr>
          <w:rFonts w:hint="eastAsia" w:ascii="宋体" w:hAnsi="宋体" w:cs="宋体"/>
          <w:color w:val="auto"/>
          <w:szCs w:val="21"/>
          <w:highlight w:val="none"/>
        </w:rPr>
        <w:t>日）。</w:t>
      </w:r>
    </w:p>
    <w:p w14:paraId="71905FAC">
      <w:pPr>
        <w:spacing w:line="360" w:lineRule="auto"/>
        <w:ind w:firstLine="424" w:firstLineChars="202"/>
        <w:rPr>
          <w:rFonts w:ascii="宋体" w:cs="宋体"/>
          <w:color w:val="auto"/>
          <w:szCs w:val="21"/>
          <w:highlight w:val="none"/>
        </w:rPr>
      </w:pPr>
      <w:r>
        <w:rPr>
          <w:rFonts w:ascii="宋体" w:hAnsi="宋体" w:cs="宋体"/>
          <w:color w:val="auto"/>
          <w:szCs w:val="21"/>
          <w:highlight w:val="none"/>
        </w:rPr>
        <w:t>29.3</w:t>
      </w:r>
      <w:r>
        <w:rPr>
          <w:rFonts w:hint="eastAsia" w:ascii="宋体" w:hAnsi="宋体" w:cs="宋体"/>
          <w:color w:val="auto"/>
          <w:szCs w:val="21"/>
          <w:highlight w:val="none"/>
        </w:rPr>
        <w:t>成交供应商拒绝与采购人签订合同的，按照本须知正文第</w:t>
      </w:r>
      <w:r>
        <w:rPr>
          <w:rFonts w:ascii="宋体" w:hAnsi="宋体" w:cs="宋体"/>
          <w:color w:val="auto"/>
          <w:szCs w:val="21"/>
          <w:highlight w:val="none"/>
        </w:rPr>
        <w:t>27.3</w:t>
      </w:r>
      <w:r>
        <w:rPr>
          <w:rFonts w:hint="eastAsia" w:ascii="宋体" w:hAnsi="宋体" w:cs="宋体"/>
          <w:color w:val="auto"/>
          <w:szCs w:val="21"/>
          <w:highlight w:val="none"/>
        </w:rPr>
        <w:t>条的规定执行。</w:t>
      </w:r>
    </w:p>
    <w:p w14:paraId="0B04B7C5">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30.</w:t>
      </w:r>
      <w:r>
        <w:rPr>
          <w:rFonts w:hint="eastAsia" w:ascii="宋体" w:hAnsi="宋体" w:cs="宋体"/>
          <w:b/>
          <w:bCs/>
          <w:color w:val="auto"/>
          <w:sz w:val="24"/>
          <w:highlight w:val="none"/>
        </w:rPr>
        <w:t>政府采购合同公告</w:t>
      </w:r>
    </w:p>
    <w:p w14:paraId="29C5BA91">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w:t>
      </w:r>
      <w:r>
        <w:rPr>
          <w:rFonts w:ascii="宋体" w:hAnsi="宋体" w:cs="宋体"/>
          <w:color w:val="auto"/>
          <w:szCs w:val="21"/>
          <w:highlight w:val="none"/>
        </w:rPr>
        <w:t>2</w:t>
      </w:r>
      <w:r>
        <w:rPr>
          <w:rFonts w:hint="eastAsia" w:ascii="宋体" w:hAnsi="宋体" w:cs="宋体"/>
          <w:color w:val="auto"/>
          <w:szCs w:val="21"/>
          <w:highlight w:val="none"/>
        </w:rPr>
        <w:t>个工作日内，将政府采购合同在省级以上人民政府财政部门指定的媒体上公告，但政府采购合同中涉及国家秘密、商业秘密的内容除外。</w:t>
      </w:r>
    </w:p>
    <w:p w14:paraId="1B1F2FD5">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 xml:space="preserve">31. </w:t>
      </w:r>
      <w:r>
        <w:rPr>
          <w:rFonts w:hint="eastAsia" w:ascii="宋体" w:hAnsi="宋体" w:cs="宋体"/>
          <w:b/>
          <w:bCs/>
          <w:color w:val="auto"/>
          <w:sz w:val="24"/>
          <w:highlight w:val="none"/>
        </w:rPr>
        <w:t>询问、质疑和投诉</w:t>
      </w:r>
    </w:p>
    <w:p w14:paraId="170B0E2D">
      <w:pPr>
        <w:pStyle w:val="2"/>
        <w:spacing w:line="360" w:lineRule="auto"/>
        <w:rPr>
          <w:rFonts w:ascii="宋体" w:cs="宋体"/>
          <w:color w:val="auto"/>
          <w:szCs w:val="21"/>
          <w:highlight w:val="none"/>
        </w:rPr>
      </w:pPr>
      <w:r>
        <w:rPr>
          <w:rFonts w:ascii="宋体" w:hAnsi="宋体" w:cs="宋体"/>
          <w:color w:val="auto"/>
          <w:highlight w:val="none"/>
        </w:rPr>
        <w:t>31.1</w:t>
      </w:r>
      <w:r>
        <w:rPr>
          <w:rFonts w:hint="eastAsia" w:ascii="宋体" w:hAnsi="宋体" w:cs="宋体"/>
          <w:color w:val="auto"/>
          <w:highlight w:val="none"/>
        </w:rPr>
        <w:t>供应商对政府采购活动事项有疑问的，可以向采购人、采购代理机构提出询问，采购人或者采购代理机构应当在</w:t>
      </w:r>
      <w:r>
        <w:rPr>
          <w:rFonts w:ascii="宋体" w:hAnsi="宋体" w:cs="宋体"/>
          <w:color w:val="auto"/>
          <w:highlight w:val="none"/>
        </w:rPr>
        <w:t>3</w:t>
      </w:r>
      <w:r>
        <w:rPr>
          <w:rFonts w:hint="eastAsia" w:ascii="宋体" w:hAnsi="宋体" w:cs="宋体"/>
          <w:color w:val="auto"/>
          <w:highlight w:val="none"/>
        </w:rPr>
        <w:t>个工作日内对供应商依法提出的询问作出答复，</w:t>
      </w:r>
      <w:r>
        <w:rPr>
          <w:rFonts w:hint="eastAsia" w:ascii="宋体" w:hAnsi="宋体" w:cs="宋体"/>
          <w:color w:val="auto"/>
          <w:szCs w:val="21"/>
          <w:highlight w:val="none"/>
        </w:rPr>
        <w:t>但答复的内容不得涉及商业秘密</w:t>
      </w:r>
      <w:r>
        <w:rPr>
          <w:rFonts w:hint="eastAsia" w:ascii="宋体" w:hAnsi="宋体" w:cs="宋体"/>
          <w:color w:val="auto"/>
          <w:highlight w:val="none"/>
        </w:rPr>
        <w:t>。</w:t>
      </w:r>
    </w:p>
    <w:p w14:paraId="56817A2D">
      <w:pPr>
        <w:spacing w:line="360" w:lineRule="auto"/>
        <w:ind w:firstLine="420" w:firstLineChars="200"/>
        <w:rPr>
          <w:rFonts w:ascii="宋体" w:cs="宋体"/>
          <w:color w:val="auto"/>
          <w:highlight w:val="none"/>
        </w:rPr>
      </w:pPr>
      <w:r>
        <w:rPr>
          <w:rFonts w:ascii="宋体" w:hAnsi="宋体" w:cs="宋体"/>
          <w:color w:val="auto"/>
          <w:highlight w:val="none"/>
        </w:rPr>
        <w:t>31.2</w:t>
      </w:r>
      <w:r>
        <w:rPr>
          <w:rFonts w:hint="eastAsia" w:ascii="宋体" w:hAnsi="宋体" w:cs="宋体"/>
          <w:color w:val="auto"/>
          <w:highlight w:val="none"/>
        </w:rPr>
        <w:t>供应商认为磋商文件、采购过程或者成交结果使自己的合法权益受到损害的，应当在知道或者应知其权益受到损害之日起</w:t>
      </w:r>
      <w:r>
        <w:rPr>
          <w:rFonts w:ascii="宋体" w:hAnsi="宋体" w:cs="宋体"/>
          <w:color w:val="auto"/>
          <w:highlight w:val="none"/>
        </w:rPr>
        <w:t>7</w:t>
      </w:r>
      <w:r>
        <w:rPr>
          <w:rFonts w:hint="eastAsia" w:ascii="宋体" w:hAnsi="宋体" w:cs="宋体"/>
          <w:color w:val="auto"/>
          <w:highlight w:val="none"/>
        </w:rPr>
        <w:t>个工作日内，以纸质书面形式向采购人、采购代理机构提出质疑，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158AA56D">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）对可以质疑的磋商文件提出质疑的，为收到磋商文件之日或者竞争性磋商公告期限届满之日；</w:t>
      </w:r>
    </w:p>
    <w:p w14:paraId="38DEB7FF">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）对采购过程提出质疑的，为各采购程序环节结束之日；</w:t>
      </w:r>
    </w:p>
    <w:p w14:paraId="51654994">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）对成交结果提出质疑的，为成交结果公告期限届满之日。</w:t>
      </w:r>
    </w:p>
    <w:p w14:paraId="417FD638">
      <w:pPr>
        <w:spacing w:line="360" w:lineRule="auto"/>
        <w:ind w:firstLine="420" w:firstLineChars="200"/>
        <w:rPr>
          <w:rFonts w:ascii="宋体" w:cs="宋体"/>
          <w:color w:val="auto"/>
          <w:highlight w:val="none"/>
        </w:rPr>
      </w:pPr>
      <w:r>
        <w:rPr>
          <w:rFonts w:ascii="宋体" w:hAnsi="宋体" w:cs="宋体"/>
          <w:color w:val="auto"/>
          <w:highlight w:val="none"/>
        </w:rPr>
        <w:t>31.3</w:t>
      </w:r>
      <w:r>
        <w:rPr>
          <w:rFonts w:hint="eastAsia" w:ascii="宋体" w:hAnsi="宋体" w:cs="宋体"/>
          <w:color w:val="auto"/>
          <w:highlight w:val="none"/>
        </w:rPr>
        <w:t>供应商提出的询问或者质疑超出采购人对采购代理机构委托授权范围的，采购代理机构应当告知供应商向采购人提出。政府采购评审专家应当配合采购人或者采购代理机构答复供应商的询问和质疑。</w:t>
      </w:r>
    </w:p>
    <w:p w14:paraId="26838FDC">
      <w:pPr>
        <w:spacing w:line="360" w:lineRule="auto"/>
        <w:ind w:firstLine="420" w:firstLineChars="200"/>
        <w:rPr>
          <w:rFonts w:ascii="宋体" w:cs="宋体"/>
          <w:color w:val="auto"/>
          <w:highlight w:val="none"/>
        </w:rPr>
      </w:pPr>
      <w:r>
        <w:rPr>
          <w:rFonts w:ascii="宋体" w:hAnsi="宋体" w:cs="宋体"/>
          <w:color w:val="auto"/>
          <w:highlight w:val="none"/>
        </w:rPr>
        <w:t xml:space="preserve">31.4 </w:t>
      </w:r>
      <w:r>
        <w:rPr>
          <w:rFonts w:hint="eastAsia" w:ascii="宋体" w:hAnsi="宋体" w:cs="宋体"/>
          <w:color w:val="auto"/>
          <w:highlight w:val="none"/>
        </w:rPr>
        <w:t>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14:paraId="2040C0A8">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）供应商的姓名或者名称、地址、邮编、联系人及联系电话；</w:t>
      </w:r>
    </w:p>
    <w:p w14:paraId="3BAED780">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）质疑项目的名称、编号；</w:t>
      </w:r>
    </w:p>
    <w:p w14:paraId="0FA21D77">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）具体、明确的质疑事项和与质疑事项相关的请求；</w:t>
      </w:r>
    </w:p>
    <w:p w14:paraId="5A11262B">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）事实依据；</w:t>
      </w:r>
    </w:p>
    <w:p w14:paraId="6A1118DF">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）必要的法律依据；</w:t>
      </w:r>
    </w:p>
    <w:p w14:paraId="42998D19">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）提出质疑的日期。</w:t>
      </w:r>
    </w:p>
    <w:p w14:paraId="4083A1D6">
      <w:pPr>
        <w:spacing w:line="360" w:lineRule="auto"/>
        <w:ind w:firstLine="420" w:firstLineChars="200"/>
        <w:rPr>
          <w:rFonts w:asci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09345712">
      <w:pPr>
        <w:spacing w:line="360" w:lineRule="auto"/>
        <w:ind w:firstLine="420" w:firstLineChars="200"/>
        <w:rPr>
          <w:rFonts w:ascii="宋体" w:cs="宋体"/>
          <w:color w:val="auto"/>
          <w:highlight w:val="none"/>
        </w:rPr>
      </w:pPr>
      <w:r>
        <w:rPr>
          <w:rFonts w:ascii="宋体" w:hAnsi="宋体" w:cs="宋体"/>
          <w:color w:val="auto"/>
          <w:highlight w:val="none"/>
        </w:rPr>
        <w:t>31.5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7BDE21C6">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）对采购文件提出的质疑，依法通过澄清或者修改可以继续开展采购活动的，澄清或者修改采购文件后继续开展采购活动；否则应当修改采购文件后重新开展采购活动。</w:t>
      </w:r>
    </w:p>
    <w:p w14:paraId="5EE69FB3">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）对采购过程或者成交结果提出的质疑，合格供应商符合法定数量时，可以从合格的成交候选人中另行确定成交供应商的，应当依法另行确定成交供应商；否则应当重新开展采购活动。</w:t>
      </w:r>
    </w:p>
    <w:p w14:paraId="182797D4">
      <w:pPr>
        <w:spacing w:line="360" w:lineRule="auto"/>
        <w:ind w:firstLine="420" w:firstLineChars="200"/>
        <w:rPr>
          <w:rFonts w:asci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67418CDC">
      <w:pPr>
        <w:spacing w:line="360" w:lineRule="auto"/>
        <w:ind w:firstLine="420" w:firstLineChars="200"/>
        <w:rPr>
          <w:rFonts w:ascii="宋体" w:cs="宋体"/>
          <w:color w:val="auto"/>
          <w:szCs w:val="21"/>
          <w:highlight w:val="none"/>
        </w:rPr>
      </w:pPr>
      <w:r>
        <w:rPr>
          <w:rFonts w:ascii="宋体" w:hAnsi="宋体" w:cs="宋体"/>
          <w:color w:val="auto"/>
          <w:highlight w:val="none"/>
        </w:rPr>
        <w:t>31.6</w:t>
      </w:r>
      <w:r>
        <w:rPr>
          <w:rFonts w:hint="eastAsia" w:ascii="宋体" w:hAnsi="宋体" w:cs="宋体"/>
          <w:color w:val="auto"/>
          <w:highlight w:val="none"/>
        </w:rPr>
        <w:t>质疑供应商对采购人、采购代理机构的答复不满意，或者采购人、采购代理机构未在规定时间内作出答复的，可以在答复期满后</w:t>
      </w:r>
      <w:r>
        <w:rPr>
          <w:rFonts w:ascii="宋体" w:hAnsi="宋体" w:cs="宋体"/>
          <w:color w:val="auto"/>
          <w:highlight w:val="none"/>
        </w:rPr>
        <w:t>15</w:t>
      </w:r>
      <w:r>
        <w:rPr>
          <w:rFonts w:hint="eastAsia" w:ascii="宋体" w:hAnsi="宋体" w:cs="宋体"/>
          <w:color w:val="auto"/>
          <w:highlight w:val="none"/>
        </w:rPr>
        <w:t>个工作日内向《政府采购质疑和投诉办法》（财政部令第</w:t>
      </w:r>
      <w:r>
        <w:rPr>
          <w:rFonts w:ascii="宋体" w:hAnsi="宋体" w:cs="宋体"/>
          <w:color w:val="auto"/>
          <w:highlight w:val="none"/>
        </w:rPr>
        <w:t>94</w:t>
      </w:r>
      <w:r>
        <w:rPr>
          <w:rFonts w:hint="eastAsia" w:ascii="宋体" w:hAnsi="宋体" w:cs="宋体"/>
          <w:color w:val="auto"/>
          <w:highlight w:val="none"/>
        </w:rPr>
        <w:t>号）第六条规定的财政部门提起投诉（投诉书格式后附）。</w:t>
      </w:r>
    </w:p>
    <w:p w14:paraId="019E6A15">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32.</w:t>
      </w:r>
      <w:r>
        <w:rPr>
          <w:rFonts w:hint="eastAsia" w:ascii="宋体" w:hAnsi="宋体" w:cs="宋体"/>
          <w:b/>
          <w:bCs/>
          <w:color w:val="auto"/>
          <w:sz w:val="24"/>
          <w:highlight w:val="none"/>
        </w:rPr>
        <w:t>其他内容</w:t>
      </w:r>
    </w:p>
    <w:p w14:paraId="47FBF05E">
      <w:pPr>
        <w:tabs>
          <w:tab w:val="left" w:pos="2835"/>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32.1</w:t>
      </w:r>
      <w:r>
        <w:rPr>
          <w:rFonts w:hint="eastAsia" w:ascii="宋体" w:hAnsi="宋体" w:cs="宋体"/>
          <w:color w:val="auto"/>
          <w:szCs w:val="21"/>
          <w:highlight w:val="none"/>
        </w:rPr>
        <w:t>代理服务费：代理服务收取标准及缴费账户详见“供应商须知前附表”。</w:t>
      </w:r>
    </w:p>
    <w:p w14:paraId="2B63EE01">
      <w:pPr>
        <w:tabs>
          <w:tab w:val="left" w:pos="2835"/>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7ACEB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37A309E0">
            <w:pPr>
              <w:spacing w:line="360" w:lineRule="auto"/>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服务类型</w:t>
            </w:r>
          </w:p>
          <w:p w14:paraId="2ECB1C05">
            <w:pPr>
              <w:spacing w:line="360" w:lineRule="auto"/>
              <w:rPr>
                <w:rFonts w:ascii="宋体" w:cs="宋体"/>
                <w:color w:val="auto"/>
                <w:szCs w:val="21"/>
                <w:highlight w:val="none"/>
              </w:rPr>
            </w:pPr>
            <w:r>
              <w:rPr>
                <w:rFonts w:hint="eastAsia" w:ascii="宋体" w:hAnsi="宋体" w:cs="宋体"/>
                <w:color w:val="auto"/>
                <w:szCs w:val="21"/>
                <w:highlight w:val="none"/>
              </w:rPr>
              <w:t>金额</w:t>
            </w:r>
          </w:p>
        </w:tc>
        <w:tc>
          <w:tcPr>
            <w:tcW w:w="1659" w:type="dxa"/>
            <w:vAlign w:val="center"/>
          </w:tcPr>
          <w:p w14:paraId="185FB8EA">
            <w:pPr>
              <w:spacing w:line="360" w:lineRule="auto"/>
              <w:ind w:firstLine="105" w:firstLineChars="50"/>
              <w:jc w:val="center"/>
              <w:rPr>
                <w:rFonts w:asci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14:paraId="3D044E8A">
            <w:pPr>
              <w:spacing w:line="360" w:lineRule="auto"/>
              <w:jc w:val="center"/>
              <w:rPr>
                <w:rFonts w:asci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14:paraId="211277EC">
            <w:pPr>
              <w:spacing w:line="360" w:lineRule="auto"/>
              <w:jc w:val="center"/>
              <w:rPr>
                <w:rFonts w:ascii="宋体" w:cs="宋体"/>
                <w:color w:val="auto"/>
                <w:szCs w:val="21"/>
                <w:highlight w:val="none"/>
              </w:rPr>
            </w:pPr>
            <w:r>
              <w:rPr>
                <w:rFonts w:hint="eastAsia" w:ascii="宋体" w:hAnsi="宋体" w:cs="宋体"/>
                <w:color w:val="auto"/>
                <w:szCs w:val="21"/>
                <w:highlight w:val="none"/>
              </w:rPr>
              <w:t>工程类</w:t>
            </w:r>
          </w:p>
        </w:tc>
      </w:tr>
      <w:tr w14:paraId="667E1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98F07E1">
            <w:pPr>
              <w:spacing w:line="360" w:lineRule="auto"/>
              <w:rPr>
                <w:rFonts w:ascii="宋体" w:cs="宋体"/>
                <w:color w:val="auto"/>
                <w:szCs w:val="21"/>
                <w:highlight w:val="none"/>
              </w:rPr>
            </w:pPr>
            <w:r>
              <w:rPr>
                <w:rFonts w:ascii="宋体" w:hAnsi="宋体" w:cs="宋体"/>
                <w:color w:val="auto"/>
                <w:szCs w:val="21"/>
                <w:highlight w:val="none"/>
              </w:rPr>
              <w:t>100</w:t>
            </w:r>
            <w:r>
              <w:rPr>
                <w:rFonts w:hint="eastAsia" w:ascii="宋体" w:hAnsi="宋体" w:cs="宋体"/>
                <w:color w:val="auto"/>
                <w:szCs w:val="21"/>
                <w:highlight w:val="none"/>
              </w:rPr>
              <w:t>万元以下</w:t>
            </w:r>
          </w:p>
        </w:tc>
        <w:tc>
          <w:tcPr>
            <w:tcW w:w="1659" w:type="dxa"/>
          </w:tcPr>
          <w:p w14:paraId="1F8E8B97">
            <w:pPr>
              <w:spacing w:line="360" w:lineRule="auto"/>
              <w:rPr>
                <w:rFonts w:ascii="宋体" w:cs="宋体"/>
                <w:color w:val="auto"/>
                <w:szCs w:val="21"/>
                <w:highlight w:val="none"/>
              </w:rPr>
            </w:pPr>
            <w:r>
              <w:rPr>
                <w:rFonts w:ascii="宋体" w:hAnsi="宋体" w:cs="宋体"/>
                <w:color w:val="auto"/>
                <w:kern w:val="0"/>
                <w:szCs w:val="21"/>
                <w:highlight w:val="none"/>
              </w:rPr>
              <w:t xml:space="preserve">  1.5%                </w:t>
            </w:r>
          </w:p>
        </w:tc>
        <w:tc>
          <w:tcPr>
            <w:tcW w:w="1532" w:type="dxa"/>
          </w:tcPr>
          <w:p w14:paraId="1B88D1C2">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1.5%</w:t>
            </w:r>
          </w:p>
        </w:tc>
        <w:tc>
          <w:tcPr>
            <w:tcW w:w="1546" w:type="dxa"/>
          </w:tcPr>
          <w:p w14:paraId="3E9DDB4C">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 xml:space="preserve">1.0% </w:t>
            </w:r>
          </w:p>
        </w:tc>
      </w:tr>
      <w:tr w14:paraId="129F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7449255">
            <w:pPr>
              <w:spacing w:line="360" w:lineRule="auto"/>
              <w:rPr>
                <w:rFonts w:ascii="宋体" w:cs="宋体"/>
                <w:color w:val="auto"/>
                <w:szCs w:val="21"/>
                <w:highlight w:val="none"/>
              </w:rPr>
            </w:pPr>
            <w:r>
              <w:rPr>
                <w:rFonts w:ascii="宋体" w:hAnsi="宋体" w:cs="宋体"/>
                <w:color w:val="auto"/>
                <w:szCs w:val="21"/>
                <w:highlight w:val="none"/>
              </w:rPr>
              <w:t>100</w:t>
            </w:r>
            <w:r>
              <w:rPr>
                <w:rFonts w:hint="eastAsia" w:ascii="宋体" w:hAnsi="宋体" w:cs="宋体"/>
                <w:color w:val="auto"/>
                <w:szCs w:val="21"/>
                <w:highlight w:val="none"/>
              </w:rPr>
              <w:t>～</w:t>
            </w:r>
            <w:r>
              <w:rPr>
                <w:rFonts w:ascii="宋体" w:hAnsi="宋体" w:cs="宋体"/>
                <w:color w:val="auto"/>
                <w:szCs w:val="21"/>
                <w:highlight w:val="none"/>
              </w:rPr>
              <w:t>500</w:t>
            </w:r>
            <w:r>
              <w:rPr>
                <w:rFonts w:hint="eastAsia" w:ascii="宋体" w:hAnsi="宋体" w:cs="宋体"/>
                <w:color w:val="auto"/>
                <w:szCs w:val="21"/>
                <w:highlight w:val="none"/>
              </w:rPr>
              <w:t>万元</w:t>
            </w:r>
          </w:p>
        </w:tc>
        <w:tc>
          <w:tcPr>
            <w:tcW w:w="1659" w:type="dxa"/>
          </w:tcPr>
          <w:p w14:paraId="69EEE3B9">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 xml:space="preserve">1.1%                 </w:t>
            </w:r>
          </w:p>
        </w:tc>
        <w:tc>
          <w:tcPr>
            <w:tcW w:w="1532" w:type="dxa"/>
          </w:tcPr>
          <w:p w14:paraId="5E92DE1F">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0.8%</w:t>
            </w:r>
          </w:p>
        </w:tc>
        <w:tc>
          <w:tcPr>
            <w:tcW w:w="1546" w:type="dxa"/>
          </w:tcPr>
          <w:p w14:paraId="1704B949">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 xml:space="preserve">0.7% </w:t>
            </w:r>
          </w:p>
        </w:tc>
      </w:tr>
      <w:tr w14:paraId="47BDD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96BC416">
            <w:pPr>
              <w:spacing w:line="360" w:lineRule="auto"/>
              <w:rPr>
                <w:rFonts w:ascii="宋体" w:cs="宋体"/>
                <w:color w:val="auto"/>
                <w:szCs w:val="21"/>
                <w:highlight w:val="none"/>
              </w:rPr>
            </w:pPr>
            <w:r>
              <w:rPr>
                <w:rFonts w:ascii="宋体" w:hAnsi="宋体" w:cs="宋体"/>
                <w:color w:val="auto"/>
                <w:szCs w:val="21"/>
                <w:highlight w:val="none"/>
              </w:rPr>
              <w:t>500</w:t>
            </w:r>
            <w:r>
              <w:rPr>
                <w:rFonts w:hint="eastAsia" w:ascii="宋体" w:hAnsi="宋体" w:cs="宋体"/>
                <w:color w:val="auto"/>
                <w:szCs w:val="21"/>
                <w:highlight w:val="none"/>
              </w:rPr>
              <w:t>～</w:t>
            </w:r>
            <w:r>
              <w:rPr>
                <w:rFonts w:ascii="宋体" w:hAnsi="宋体" w:cs="宋体"/>
                <w:color w:val="auto"/>
                <w:szCs w:val="21"/>
                <w:highlight w:val="none"/>
              </w:rPr>
              <w:t>1000</w:t>
            </w:r>
            <w:r>
              <w:rPr>
                <w:rFonts w:hint="eastAsia" w:ascii="宋体" w:hAnsi="宋体" w:cs="宋体"/>
                <w:color w:val="auto"/>
                <w:szCs w:val="21"/>
                <w:highlight w:val="none"/>
              </w:rPr>
              <w:t>万元</w:t>
            </w:r>
          </w:p>
        </w:tc>
        <w:tc>
          <w:tcPr>
            <w:tcW w:w="1659" w:type="dxa"/>
          </w:tcPr>
          <w:p w14:paraId="3DF21865">
            <w:pPr>
              <w:spacing w:line="360" w:lineRule="auto"/>
              <w:rPr>
                <w:rFonts w:ascii="宋体" w:cs="宋体"/>
                <w:color w:val="auto"/>
                <w:szCs w:val="21"/>
                <w:highlight w:val="none"/>
              </w:rPr>
            </w:pPr>
            <w:r>
              <w:rPr>
                <w:rFonts w:ascii="宋体" w:hAnsi="宋体" w:cs="宋体"/>
                <w:color w:val="auto"/>
                <w:kern w:val="0"/>
                <w:szCs w:val="21"/>
                <w:highlight w:val="none"/>
              </w:rPr>
              <w:t xml:space="preserve">  0.8%                </w:t>
            </w:r>
          </w:p>
        </w:tc>
        <w:tc>
          <w:tcPr>
            <w:tcW w:w="1532" w:type="dxa"/>
          </w:tcPr>
          <w:p w14:paraId="4E34D6E1">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0.45%</w:t>
            </w:r>
          </w:p>
        </w:tc>
        <w:tc>
          <w:tcPr>
            <w:tcW w:w="1546" w:type="dxa"/>
          </w:tcPr>
          <w:p w14:paraId="4F9DBB25">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0.55%</w:t>
            </w:r>
          </w:p>
        </w:tc>
      </w:tr>
      <w:tr w14:paraId="69F90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37E76D9">
            <w:pPr>
              <w:spacing w:line="360" w:lineRule="auto"/>
              <w:rPr>
                <w:rFonts w:ascii="宋体" w:cs="宋体"/>
                <w:color w:val="auto"/>
                <w:szCs w:val="21"/>
                <w:highlight w:val="none"/>
              </w:rPr>
            </w:pPr>
            <w:r>
              <w:rPr>
                <w:rFonts w:ascii="宋体" w:hAnsi="宋体" w:cs="宋体"/>
                <w:color w:val="auto"/>
                <w:szCs w:val="21"/>
                <w:highlight w:val="none"/>
              </w:rPr>
              <w:t>1000</w:t>
            </w:r>
            <w:r>
              <w:rPr>
                <w:rFonts w:hint="eastAsia" w:ascii="宋体" w:hAnsi="宋体" w:cs="宋体"/>
                <w:color w:val="auto"/>
                <w:szCs w:val="21"/>
                <w:highlight w:val="none"/>
              </w:rPr>
              <w:t>～</w:t>
            </w:r>
            <w:r>
              <w:rPr>
                <w:rFonts w:ascii="宋体" w:hAnsi="宋体" w:cs="宋体"/>
                <w:color w:val="auto"/>
                <w:szCs w:val="21"/>
                <w:highlight w:val="none"/>
              </w:rPr>
              <w:t>5000</w:t>
            </w:r>
            <w:r>
              <w:rPr>
                <w:rFonts w:hint="eastAsia" w:ascii="宋体" w:hAnsi="宋体" w:cs="宋体"/>
                <w:color w:val="auto"/>
                <w:szCs w:val="21"/>
                <w:highlight w:val="none"/>
              </w:rPr>
              <w:t>万元</w:t>
            </w:r>
          </w:p>
        </w:tc>
        <w:tc>
          <w:tcPr>
            <w:tcW w:w="1659" w:type="dxa"/>
          </w:tcPr>
          <w:p w14:paraId="53E95070">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 xml:space="preserve">0.5%                </w:t>
            </w:r>
          </w:p>
        </w:tc>
        <w:tc>
          <w:tcPr>
            <w:tcW w:w="1532" w:type="dxa"/>
          </w:tcPr>
          <w:p w14:paraId="0FFA177A">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0.25%</w:t>
            </w:r>
          </w:p>
        </w:tc>
        <w:tc>
          <w:tcPr>
            <w:tcW w:w="1546" w:type="dxa"/>
          </w:tcPr>
          <w:p w14:paraId="30C208E9">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 xml:space="preserve">0.35% </w:t>
            </w:r>
          </w:p>
        </w:tc>
      </w:tr>
      <w:tr w14:paraId="0FC3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7A3228A">
            <w:pPr>
              <w:spacing w:line="360" w:lineRule="auto"/>
              <w:rPr>
                <w:rFonts w:ascii="宋体" w:cs="宋体"/>
                <w:color w:val="auto"/>
                <w:szCs w:val="21"/>
                <w:highlight w:val="none"/>
              </w:rPr>
            </w:pPr>
            <w:r>
              <w:rPr>
                <w:rFonts w:ascii="宋体" w:hAnsi="宋体" w:cs="宋体"/>
                <w:color w:val="auto"/>
                <w:szCs w:val="21"/>
                <w:highlight w:val="none"/>
              </w:rPr>
              <w:t>5000</w:t>
            </w:r>
            <w:r>
              <w:rPr>
                <w:rFonts w:hint="eastAsia" w:ascii="宋体" w:hAnsi="宋体" w:cs="宋体"/>
                <w:color w:val="auto"/>
                <w:szCs w:val="21"/>
                <w:highlight w:val="none"/>
              </w:rPr>
              <w:t>万元～</w:t>
            </w:r>
            <w:r>
              <w:rPr>
                <w:rFonts w:ascii="宋体" w:hAnsi="宋体" w:cs="宋体"/>
                <w:color w:val="auto"/>
                <w:szCs w:val="21"/>
                <w:highlight w:val="none"/>
              </w:rPr>
              <w:t>1</w:t>
            </w:r>
            <w:r>
              <w:rPr>
                <w:rFonts w:hint="eastAsia" w:ascii="宋体" w:hAnsi="宋体" w:cs="宋体"/>
                <w:color w:val="auto"/>
                <w:szCs w:val="21"/>
                <w:highlight w:val="none"/>
              </w:rPr>
              <w:t>亿元</w:t>
            </w:r>
          </w:p>
        </w:tc>
        <w:tc>
          <w:tcPr>
            <w:tcW w:w="1659" w:type="dxa"/>
          </w:tcPr>
          <w:p w14:paraId="49575830">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 xml:space="preserve">0.25%                 </w:t>
            </w:r>
          </w:p>
        </w:tc>
        <w:tc>
          <w:tcPr>
            <w:tcW w:w="1532" w:type="dxa"/>
          </w:tcPr>
          <w:p w14:paraId="1782DBA5">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0.1%</w:t>
            </w:r>
          </w:p>
        </w:tc>
        <w:tc>
          <w:tcPr>
            <w:tcW w:w="1546" w:type="dxa"/>
          </w:tcPr>
          <w:p w14:paraId="2D6C62AB">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0.2%</w:t>
            </w:r>
          </w:p>
        </w:tc>
      </w:tr>
      <w:tr w14:paraId="17BC8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EAD0B1E">
            <w:pPr>
              <w:spacing w:line="360" w:lineRule="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亿元</w:t>
            </w:r>
          </w:p>
        </w:tc>
        <w:tc>
          <w:tcPr>
            <w:tcW w:w="1659" w:type="dxa"/>
          </w:tcPr>
          <w:p w14:paraId="349C6566">
            <w:pPr>
              <w:spacing w:line="360" w:lineRule="auto"/>
              <w:ind w:firstLine="210" w:firstLineChars="100"/>
              <w:rPr>
                <w:rFonts w:ascii="宋体" w:cs="宋体"/>
                <w:color w:val="auto"/>
                <w:szCs w:val="21"/>
                <w:highlight w:val="none"/>
              </w:rPr>
            </w:pPr>
            <w:r>
              <w:rPr>
                <w:rFonts w:ascii="宋体" w:hAnsi="宋体" w:cs="宋体"/>
                <w:color w:val="auto"/>
                <w:szCs w:val="21"/>
                <w:highlight w:val="none"/>
              </w:rPr>
              <w:t>0.05%</w:t>
            </w:r>
          </w:p>
        </w:tc>
        <w:tc>
          <w:tcPr>
            <w:tcW w:w="1532" w:type="dxa"/>
          </w:tcPr>
          <w:p w14:paraId="41FB0A37">
            <w:pPr>
              <w:spacing w:line="360" w:lineRule="auto"/>
              <w:rPr>
                <w:rFonts w:ascii="宋体" w:cs="宋体"/>
                <w:color w:val="auto"/>
                <w:szCs w:val="21"/>
                <w:highlight w:val="none"/>
              </w:rPr>
            </w:pPr>
            <w:r>
              <w:rPr>
                <w:rFonts w:ascii="宋体" w:hAnsi="宋体" w:cs="宋体"/>
                <w:color w:val="auto"/>
                <w:szCs w:val="21"/>
                <w:highlight w:val="none"/>
              </w:rPr>
              <w:t xml:space="preserve">  0.05%</w:t>
            </w:r>
          </w:p>
        </w:tc>
        <w:tc>
          <w:tcPr>
            <w:tcW w:w="1546" w:type="dxa"/>
          </w:tcPr>
          <w:p w14:paraId="2157B092">
            <w:pPr>
              <w:spacing w:line="360" w:lineRule="auto"/>
              <w:rPr>
                <w:rFonts w:ascii="宋体" w:cs="宋体"/>
                <w:color w:val="auto"/>
                <w:szCs w:val="21"/>
                <w:highlight w:val="none"/>
              </w:rPr>
            </w:pPr>
            <w:r>
              <w:rPr>
                <w:rFonts w:ascii="宋体" w:hAnsi="宋体" w:cs="宋体"/>
                <w:color w:val="auto"/>
                <w:szCs w:val="21"/>
                <w:highlight w:val="none"/>
              </w:rPr>
              <w:t xml:space="preserve">  0.05%</w:t>
            </w:r>
          </w:p>
        </w:tc>
      </w:tr>
      <w:tr w14:paraId="4F40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0393B86">
            <w:pPr>
              <w:spacing w:line="360" w:lineRule="auto"/>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w:t>
            </w:r>
            <w:r>
              <w:rPr>
                <w:rFonts w:ascii="宋体" w:hAnsi="宋体" w:cs="宋体"/>
                <w:color w:val="auto"/>
                <w:szCs w:val="21"/>
                <w:highlight w:val="none"/>
              </w:rPr>
              <w:t>10</w:t>
            </w:r>
            <w:r>
              <w:rPr>
                <w:rFonts w:hint="eastAsia" w:ascii="宋体" w:hAnsi="宋体" w:cs="宋体"/>
                <w:color w:val="auto"/>
                <w:szCs w:val="21"/>
                <w:highlight w:val="none"/>
              </w:rPr>
              <w:t>亿元</w:t>
            </w:r>
          </w:p>
        </w:tc>
        <w:tc>
          <w:tcPr>
            <w:tcW w:w="1659" w:type="dxa"/>
          </w:tcPr>
          <w:p w14:paraId="55F4AA95">
            <w:pPr>
              <w:spacing w:line="360" w:lineRule="auto"/>
              <w:ind w:firstLine="105" w:firstLineChars="50"/>
              <w:rPr>
                <w:rFonts w:ascii="宋体" w:cs="宋体"/>
                <w:color w:val="auto"/>
                <w:szCs w:val="21"/>
                <w:highlight w:val="none"/>
              </w:rPr>
            </w:pPr>
            <w:r>
              <w:rPr>
                <w:rFonts w:ascii="宋体" w:hAnsi="宋体" w:cs="宋体"/>
                <w:color w:val="auto"/>
                <w:szCs w:val="21"/>
                <w:highlight w:val="none"/>
              </w:rPr>
              <w:t>0.035%</w:t>
            </w:r>
          </w:p>
        </w:tc>
        <w:tc>
          <w:tcPr>
            <w:tcW w:w="1532" w:type="dxa"/>
          </w:tcPr>
          <w:p w14:paraId="29B1C3F0">
            <w:pPr>
              <w:spacing w:line="360" w:lineRule="auto"/>
              <w:rPr>
                <w:rFonts w:ascii="宋体" w:cs="宋体"/>
                <w:color w:val="auto"/>
                <w:szCs w:val="21"/>
                <w:highlight w:val="none"/>
              </w:rPr>
            </w:pPr>
            <w:r>
              <w:rPr>
                <w:rFonts w:ascii="宋体" w:hAnsi="宋体" w:cs="宋体"/>
                <w:color w:val="auto"/>
                <w:szCs w:val="21"/>
                <w:highlight w:val="none"/>
              </w:rPr>
              <w:t xml:space="preserve">  0.035%</w:t>
            </w:r>
          </w:p>
        </w:tc>
        <w:tc>
          <w:tcPr>
            <w:tcW w:w="1546" w:type="dxa"/>
          </w:tcPr>
          <w:p w14:paraId="577E6E12">
            <w:pPr>
              <w:spacing w:line="360" w:lineRule="auto"/>
              <w:ind w:firstLine="105" w:firstLineChars="50"/>
              <w:rPr>
                <w:rFonts w:ascii="宋体" w:cs="宋体"/>
                <w:color w:val="auto"/>
                <w:szCs w:val="21"/>
                <w:highlight w:val="none"/>
              </w:rPr>
            </w:pPr>
            <w:r>
              <w:rPr>
                <w:rFonts w:ascii="宋体" w:hAnsi="宋体" w:cs="宋体"/>
                <w:color w:val="auto"/>
                <w:szCs w:val="21"/>
                <w:highlight w:val="none"/>
              </w:rPr>
              <w:t>0.035%</w:t>
            </w:r>
          </w:p>
        </w:tc>
      </w:tr>
      <w:tr w14:paraId="7260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1A42B18">
            <w:pPr>
              <w:spacing w:line="360" w:lineRule="auto"/>
              <w:rPr>
                <w:rFonts w:asci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w:t>
            </w:r>
            <w:r>
              <w:rPr>
                <w:rFonts w:ascii="宋体" w:hAnsi="宋体" w:cs="宋体"/>
                <w:color w:val="auto"/>
                <w:szCs w:val="21"/>
                <w:highlight w:val="none"/>
              </w:rPr>
              <w:t>50</w:t>
            </w:r>
            <w:r>
              <w:rPr>
                <w:rFonts w:hint="eastAsia" w:ascii="宋体" w:hAnsi="宋体" w:cs="宋体"/>
                <w:color w:val="auto"/>
                <w:szCs w:val="21"/>
                <w:highlight w:val="none"/>
              </w:rPr>
              <w:t>亿元</w:t>
            </w:r>
          </w:p>
        </w:tc>
        <w:tc>
          <w:tcPr>
            <w:tcW w:w="1659" w:type="dxa"/>
          </w:tcPr>
          <w:p w14:paraId="527131E1">
            <w:pPr>
              <w:spacing w:line="360" w:lineRule="auto"/>
              <w:ind w:firstLine="105" w:firstLineChars="50"/>
              <w:rPr>
                <w:rFonts w:ascii="宋体" w:cs="宋体"/>
                <w:color w:val="auto"/>
                <w:szCs w:val="21"/>
                <w:highlight w:val="none"/>
              </w:rPr>
            </w:pPr>
            <w:r>
              <w:rPr>
                <w:rFonts w:ascii="宋体" w:hAnsi="宋体" w:cs="宋体"/>
                <w:color w:val="auto"/>
                <w:szCs w:val="21"/>
                <w:highlight w:val="none"/>
              </w:rPr>
              <w:t>0.008%</w:t>
            </w:r>
          </w:p>
        </w:tc>
        <w:tc>
          <w:tcPr>
            <w:tcW w:w="1532" w:type="dxa"/>
          </w:tcPr>
          <w:p w14:paraId="1324C284">
            <w:pPr>
              <w:spacing w:line="360" w:lineRule="auto"/>
              <w:ind w:firstLine="210" w:firstLineChars="100"/>
              <w:rPr>
                <w:rFonts w:ascii="宋体" w:cs="宋体"/>
                <w:color w:val="auto"/>
                <w:szCs w:val="21"/>
                <w:highlight w:val="none"/>
              </w:rPr>
            </w:pPr>
            <w:r>
              <w:rPr>
                <w:rFonts w:ascii="宋体" w:hAnsi="宋体" w:cs="宋体"/>
                <w:color w:val="auto"/>
                <w:szCs w:val="21"/>
                <w:highlight w:val="none"/>
              </w:rPr>
              <w:t>0.008%</w:t>
            </w:r>
          </w:p>
        </w:tc>
        <w:tc>
          <w:tcPr>
            <w:tcW w:w="1546" w:type="dxa"/>
          </w:tcPr>
          <w:p w14:paraId="64C0BD3D">
            <w:pPr>
              <w:spacing w:line="360" w:lineRule="auto"/>
              <w:ind w:firstLine="105" w:firstLineChars="50"/>
              <w:rPr>
                <w:rFonts w:ascii="宋体" w:cs="宋体"/>
                <w:color w:val="auto"/>
                <w:szCs w:val="21"/>
                <w:highlight w:val="none"/>
              </w:rPr>
            </w:pPr>
            <w:r>
              <w:rPr>
                <w:rFonts w:ascii="宋体" w:hAnsi="宋体" w:cs="宋体"/>
                <w:color w:val="auto"/>
                <w:szCs w:val="21"/>
                <w:highlight w:val="none"/>
              </w:rPr>
              <w:t>0.008%</w:t>
            </w:r>
          </w:p>
        </w:tc>
      </w:tr>
      <w:tr w14:paraId="6853B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EE5AD24">
            <w:pPr>
              <w:spacing w:line="360" w:lineRule="auto"/>
              <w:rPr>
                <w:rFonts w:ascii="宋体" w:cs="宋体"/>
                <w:color w:val="auto"/>
                <w:szCs w:val="21"/>
                <w:highlight w:val="none"/>
              </w:rPr>
            </w:pPr>
            <w:r>
              <w:rPr>
                <w:rFonts w:ascii="宋体" w:hAnsi="宋体" w:cs="宋体"/>
                <w:color w:val="auto"/>
                <w:szCs w:val="21"/>
                <w:highlight w:val="none"/>
              </w:rPr>
              <w:t>50</w:t>
            </w:r>
            <w:r>
              <w:rPr>
                <w:rFonts w:hint="eastAsia" w:ascii="宋体" w:hAnsi="宋体" w:cs="宋体"/>
                <w:color w:val="auto"/>
                <w:szCs w:val="21"/>
                <w:highlight w:val="none"/>
              </w:rPr>
              <w:t>～</w:t>
            </w:r>
            <w:r>
              <w:rPr>
                <w:rFonts w:ascii="宋体" w:hAnsi="宋体" w:cs="宋体"/>
                <w:color w:val="auto"/>
                <w:szCs w:val="21"/>
                <w:highlight w:val="none"/>
              </w:rPr>
              <w:t>100</w:t>
            </w:r>
            <w:r>
              <w:rPr>
                <w:rFonts w:hint="eastAsia" w:ascii="宋体" w:hAnsi="宋体" w:cs="宋体"/>
                <w:color w:val="auto"/>
                <w:szCs w:val="21"/>
                <w:highlight w:val="none"/>
              </w:rPr>
              <w:t>亿元</w:t>
            </w:r>
          </w:p>
        </w:tc>
        <w:tc>
          <w:tcPr>
            <w:tcW w:w="1659" w:type="dxa"/>
          </w:tcPr>
          <w:p w14:paraId="46C75D4D">
            <w:pPr>
              <w:spacing w:line="360" w:lineRule="auto"/>
              <w:rPr>
                <w:rFonts w:ascii="宋体" w:cs="宋体"/>
                <w:color w:val="auto"/>
                <w:szCs w:val="21"/>
                <w:highlight w:val="none"/>
              </w:rPr>
            </w:pPr>
            <w:r>
              <w:rPr>
                <w:rFonts w:ascii="宋体" w:hAnsi="宋体" w:cs="宋体"/>
                <w:color w:val="auto"/>
                <w:szCs w:val="21"/>
                <w:highlight w:val="none"/>
              </w:rPr>
              <w:t xml:space="preserve"> 0.006%</w:t>
            </w:r>
          </w:p>
        </w:tc>
        <w:tc>
          <w:tcPr>
            <w:tcW w:w="1532" w:type="dxa"/>
          </w:tcPr>
          <w:p w14:paraId="3BF53BB3">
            <w:pPr>
              <w:spacing w:line="360" w:lineRule="auto"/>
              <w:ind w:firstLine="210" w:firstLineChars="100"/>
              <w:rPr>
                <w:rFonts w:ascii="宋体" w:cs="宋体"/>
                <w:color w:val="auto"/>
                <w:szCs w:val="21"/>
                <w:highlight w:val="none"/>
              </w:rPr>
            </w:pPr>
            <w:r>
              <w:rPr>
                <w:rFonts w:ascii="宋体" w:hAnsi="宋体" w:cs="宋体"/>
                <w:color w:val="auto"/>
                <w:szCs w:val="21"/>
                <w:highlight w:val="none"/>
              </w:rPr>
              <w:t>0.006%</w:t>
            </w:r>
          </w:p>
        </w:tc>
        <w:tc>
          <w:tcPr>
            <w:tcW w:w="1546" w:type="dxa"/>
          </w:tcPr>
          <w:p w14:paraId="478BB33B">
            <w:pPr>
              <w:spacing w:line="360" w:lineRule="auto"/>
              <w:ind w:firstLine="105" w:firstLineChars="50"/>
              <w:rPr>
                <w:rFonts w:ascii="宋体" w:cs="宋体"/>
                <w:color w:val="auto"/>
                <w:szCs w:val="21"/>
                <w:highlight w:val="none"/>
              </w:rPr>
            </w:pPr>
            <w:r>
              <w:rPr>
                <w:rFonts w:ascii="宋体" w:hAnsi="宋体" w:cs="宋体"/>
                <w:color w:val="auto"/>
                <w:szCs w:val="21"/>
                <w:highlight w:val="none"/>
              </w:rPr>
              <w:t>0.006%</w:t>
            </w:r>
          </w:p>
        </w:tc>
      </w:tr>
      <w:tr w14:paraId="5CD99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CDE2C01">
            <w:pPr>
              <w:spacing w:line="360" w:lineRule="auto"/>
              <w:rPr>
                <w:rFonts w:ascii="宋体" w:cs="宋体"/>
                <w:color w:val="auto"/>
                <w:szCs w:val="21"/>
                <w:highlight w:val="none"/>
              </w:rPr>
            </w:pPr>
            <w:r>
              <w:rPr>
                <w:rFonts w:ascii="宋体" w:hAnsi="宋体" w:cs="宋体"/>
                <w:color w:val="auto"/>
                <w:szCs w:val="21"/>
                <w:highlight w:val="none"/>
              </w:rPr>
              <w:t>100</w:t>
            </w:r>
            <w:r>
              <w:rPr>
                <w:rFonts w:hint="eastAsia" w:ascii="宋体" w:hAnsi="宋体" w:cs="宋体"/>
                <w:color w:val="auto"/>
                <w:szCs w:val="21"/>
                <w:highlight w:val="none"/>
              </w:rPr>
              <w:t>亿以上</w:t>
            </w:r>
          </w:p>
        </w:tc>
        <w:tc>
          <w:tcPr>
            <w:tcW w:w="1659" w:type="dxa"/>
          </w:tcPr>
          <w:p w14:paraId="1EB24625">
            <w:pPr>
              <w:spacing w:line="360" w:lineRule="auto"/>
              <w:rPr>
                <w:rFonts w:ascii="宋体" w:cs="宋体"/>
                <w:color w:val="auto"/>
                <w:szCs w:val="21"/>
                <w:highlight w:val="none"/>
              </w:rPr>
            </w:pPr>
            <w:r>
              <w:rPr>
                <w:rFonts w:ascii="宋体" w:hAnsi="宋体" w:cs="宋体"/>
                <w:color w:val="auto"/>
                <w:szCs w:val="21"/>
                <w:highlight w:val="none"/>
              </w:rPr>
              <w:t xml:space="preserve"> 0.004%</w:t>
            </w:r>
          </w:p>
        </w:tc>
        <w:tc>
          <w:tcPr>
            <w:tcW w:w="1532" w:type="dxa"/>
          </w:tcPr>
          <w:p w14:paraId="18C60A86">
            <w:pPr>
              <w:spacing w:line="360" w:lineRule="auto"/>
              <w:ind w:firstLine="210" w:firstLineChars="100"/>
              <w:rPr>
                <w:rFonts w:ascii="宋体" w:cs="宋体"/>
                <w:color w:val="auto"/>
                <w:szCs w:val="21"/>
                <w:highlight w:val="none"/>
              </w:rPr>
            </w:pPr>
            <w:r>
              <w:rPr>
                <w:rFonts w:ascii="宋体" w:hAnsi="宋体" w:cs="宋体"/>
                <w:color w:val="auto"/>
                <w:szCs w:val="21"/>
                <w:highlight w:val="none"/>
              </w:rPr>
              <w:t>0.004%</w:t>
            </w:r>
          </w:p>
        </w:tc>
        <w:tc>
          <w:tcPr>
            <w:tcW w:w="1546" w:type="dxa"/>
          </w:tcPr>
          <w:p w14:paraId="5239A8B9">
            <w:pPr>
              <w:spacing w:line="360" w:lineRule="auto"/>
              <w:ind w:firstLine="105" w:firstLineChars="50"/>
              <w:rPr>
                <w:rFonts w:ascii="宋体" w:cs="宋体"/>
                <w:color w:val="auto"/>
                <w:szCs w:val="21"/>
                <w:highlight w:val="none"/>
              </w:rPr>
            </w:pPr>
            <w:r>
              <w:rPr>
                <w:rFonts w:ascii="宋体" w:hAnsi="宋体" w:cs="宋体"/>
                <w:color w:val="auto"/>
                <w:szCs w:val="21"/>
                <w:highlight w:val="none"/>
              </w:rPr>
              <w:t>0.004%</w:t>
            </w:r>
          </w:p>
        </w:tc>
      </w:tr>
    </w:tbl>
    <w:p w14:paraId="15CAB9F9">
      <w:pPr>
        <w:spacing w:line="360" w:lineRule="auto"/>
        <w:ind w:firstLine="420" w:firstLineChars="200"/>
        <w:rPr>
          <w:rFonts w:ascii="宋体" w:cs="宋体"/>
          <w:color w:val="auto"/>
          <w:highlight w:val="none"/>
        </w:rPr>
      </w:pPr>
    </w:p>
    <w:p w14:paraId="4B425448">
      <w:pPr>
        <w:spacing w:line="360" w:lineRule="auto"/>
        <w:ind w:firstLine="420" w:firstLineChars="200"/>
        <w:rPr>
          <w:rFonts w:ascii="宋体" w:cs="宋体"/>
          <w:color w:val="auto"/>
          <w:highlight w:val="none"/>
        </w:rPr>
      </w:pPr>
    </w:p>
    <w:p w14:paraId="556ECC4A">
      <w:pPr>
        <w:spacing w:line="360" w:lineRule="auto"/>
        <w:ind w:firstLine="420" w:firstLineChars="200"/>
        <w:rPr>
          <w:rFonts w:ascii="宋体" w:cs="宋体"/>
          <w:color w:val="auto"/>
          <w:highlight w:val="none"/>
        </w:rPr>
      </w:pPr>
      <w:r>
        <w:rPr>
          <w:rFonts w:hint="eastAsia" w:ascii="宋体" w:hAnsi="宋体" w:cs="宋体"/>
          <w:color w:val="auto"/>
          <w:highlight w:val="none"/>
        </w:rPr>
        <w:t>注：</w:t>
      </w:r>
    </w:p>
    <w:p w14:paraId="5B9F84BB">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）按本表</w:t>
      </w:r>
      <w:r>
        <w:rPr>
          <w:rFonts w:hint="eastAsia" w:ascii="宋体" w:hAnsi="宋体" w:cs="宋体"/>
          <w:color w:val="auto"/>
          <w:szCs w:val="21"/>
          <w:highlight w:val="none"/>
        </w:rPr>
        <w:t>金额</w:t>
      </w:r>
      <w:r>
        <w:rPr>
          <w:rFonts w:hint="eastAsia" w:ascii="宋体" w:hAnsi="宋体" w:cs="宋体"/>
          <w:color w:val="auto"/>
          <w:highlight w:val="none"/>
        </w:rPr>
        <w:t>计算的收费为采购代理的收费基准价格；</w:t>
      </w:r>
    </w:p>
    <w:p w14:paraId="38C506B3">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）采购代理收费按差额定率累进法计算。</w:t>
      </w:r>
    </w:p>
    <w:p w14:paraId="5A48CAE6">
      <w:pPr>
        <w:spacing w:line="360" w:lineRule="auto"/>
        <w:ind w:firstLine="420" w:firstLineChars="200"/>
        <w:rPr>
          <w:rFonts w:ascii="宋体" w:cs="宋体"/>
          <w:color w:val="auto"/>
          <w:highlight w:val="none"/>
        </w:rPr>
      </w:pPr>
      <w:r>
        <w:rPr>
          <w:rFonts w:hint="eastAsia" w:ascii="宋体" w:hAnsi="宋体" w:cs="宋体"/>
          <w:color w:val="auto"/>
          <w:highlight w:val="none"/>
        </w:rPr>
        <w:t>例如：某服务采购代理业务成交金额或者暂定价为</w:t>
      </w:r>
      <w:r>
        <w:rPr>
          <w:rFonts w:ascii="宋体" w:hAnsi="宋体" w:cs="宋体"/>
          <w:color w:val="auto"/>
          <w:highlight w:val="none"/>
        </w:rPr>
        <w:t>150</w:t>
      </w:r>
      <w:r>
        <w:rPr>
          <w:rFonts w:hint="eastAsia" w:ascii="宋体" w:hAnsi="宋体" w:cs="宋体"/>
          <w:color w:val="auto"/>
          <w:highlight w:val="none"/>
        </w:rPr>
        <w:t>万元，计算采购代理收费额如下：</w:t>
      </w:r>
    </w:p>
    <w:p w14:paraId="3DED4FF2">
      <w:pPr>
        <w:spacing w:line="360" w:lineRule="auto"/>
        <w:ind w:firstLine="420" w:firstLineChars="200"/>
        <w:rPr>
          <w:rFonts w:ascii="宋体" w:cs="宋体"/>
          <w:color w:val="auto"/>
          <w:highlight w:val="none"/>
        </w:rPr>
      </w:pPr>
      <w:r>
        <w:rPr>
          <w:rFonts w:ascii="宋体" w:hAnsi="宋体" w:cs="宋体"/>
          <w:color w:val="auto"/>
          <w:highlight w:val="none"/>
        </w:rPr>
        <w:t xml:space="preserve">100 </w:t>
      </w:r>
      <w:r>
        <w:rPr>
          <w:rFonts w:hint="eastAsia" w:ascii="宋体" w:hAnsi="宋体" w:cs="宋体"/>
          <w:color w:val="auto"/>
          <w:highlight w:val="none"/>
        </w:rPr>
        <w:t>万元</w:t>
      </w:r>
      <w:r>
        <w:rPr>
          <w:rFonts w:ascii="宋体" w:hAnsi="宋体" w:cs="宋体"/>
          <w:color w:val="auto"/>
          <w:highlight w:val="none"/>
        </w:rPr>
        <w:t xml:space="preserve"> </w:t>
      </w:r>
      <w:r>
        <w:rPr>
          <w:rFonts w:hint="eastAsia" w:ascii="宋体" w:hAnsi="宋体" w:cs="宋体"/>
          <w:color w:val="auto"/>
          <w:highlight w:val="none"/>
        </w:rPr>
        <w:t>×</w:t>
      </w:r>
      <w:r>
        <w:rPr>
          <w:rFonts w:ascii="宋体" w:hAnsi="宋体" w:cs="宋体"/>
          <w:color w:val="auto"/>
          <w:highlight w:val="none"/>
        </w:rPr>
        <w:t>l.5 %</w:t>
      </w:r>
      <w:r>
        <w:rPr>
          <w:rFonts w:hint="eastAsia" w:ascii="宋体" w:hAnsi="宋体" w:cs="宋体"/>
          <w:color w:val="auto"/>
          <w:highlight w:val="none"/>
        </w:rPr>
        <w:t>＝</w:t>
      </w:r>
      <w:r>
        <w:rPr>
          <w:rFonts w:ascii="宋体" w:hAnsi="宋体" w:cs="宋体"/>
          <w:color w:val="auto"/>
          <w:highlight w:val="none"/>
        </w:rPr>
        <w:t xml:space="preserve"> 1.5 </w:t>
      </w:r>
      <w:r>
        <w:rPr>
          <w:rFonts w:hint="eastAsia" w:ascii="宋体" w:hAnsi="宋体" w:cs="宋体"/>
          <w:color w:val="auto"/>
          <w:highlight w:val="none"/>
        </w:rPr>
        <w:t>万元</w:t>
      </w:r>
    </w:p>
    <w:p w14:paraId="33C43B90">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 xml:space="preserve"> 150 </w:t>
      </w:r>
      <w:r>
        <w:rPr>
          <w:rFonts w:hint="eastAsia" w:ascii="宋体" w:hAnsi="宋体" w:cs="宋体"/>
          <w:color w:val="auto"/>
          <w:highlight w:val="none"/>
        </w:rPr>
        <w:t>－</w:t>
      </w:r>
      <w:r>
        <w:rPr>
          <w:rFonts w:ascii="宋体" w:hAnsi="宋体" w:cs="宋体"/>
          <w:color w:val="auto"/>
          <w:highlight w:val="none"/>
        </w:rPr>
        <w:t xml:space="preserve"> 100 </w:t>
      </w:r>
      <w:r>
        <w:rPr>
          <w:rFonts w:hint="eastAsia" w:ascii="宋体" w:hAnsi="宋体" w:cs="宋体"/>
          <w:color w:val="auto"/>
          <w:highlight w:val="none"/>
        </w:rPr>
        <w:t>）万元</w:t>
      </w:r>
      <w:r>
        <w:rPr>
          <w:rFonts w:ascii="宋体" w:hAnsi="宋体" w:cs="宋体"/>
          <w:color w:val="auto"/>
          <w:highlight w:val="none"/>
        </w:rPr>
        <w:t xml:space="preserve"> </w:t>
      </w:r>
      <w:r>
        <w:rPr>
          <w:rFonts w:hint="eastAsia" w:ascii="宋体" w:hAnsi="宋体" w:cs="宋体"/>
          <w:color w:val="auto"/>
          <w:highlight w:val="none"/>
        </w:rPr>
        <w:t>×</w:t>
      </w:r>
      <w:r>
        <w:rPr>
          <w:rFonts w:ascii="宋体" w:hAnsi="宋体" w:cs="宋体"/>
          <w:color w:val="auto"/>
          <w:highlight w:val="none"/>
        </w:rPr>
        <w:t>0.8%</w:t>
      </w:r>
      <w:r>
        <w:rPr>
          <w:rFonts w:hint="eastAsia" w:ascii="宋体" w:hAnsi="宋体" w:cs="宋体"/>
          <w:color w:val="auto"/>
          <w:highlight w:val="none"/>
        </w:rPr>
        <w:t>＝</w:t>
      </w:r>
      <w:r>
        <w:rPr>
          <w:rFonts w:ascii="宋体" w:hAnsi="宋体" w:cs="宋体"/>
          <w:color w:val="auto"/>
          <w:highlight w:val="none"/>
        </w:rPr>
        <w:t xml:space="preserve"> 0.4</w:t>
      </w:r>
      <w:r>
        <w:rPr>
          <w:rFonts w:hint="eastAsia" w:ascii="宋体" w:hAnsi="宋体" w:cs="宋体"/>
          <w:color w:val="auto"/>
          <w:highlight w:val="none"/>
        </w:rPr>
        <w:t>万元</w:t>
      </w:r>
    </w:p>
    <w:p w14:paraId="43752C9B">
      <w:pPr>
        <w:spacing w:line="360" w:lineRule="auto"/>
        <w:ind w:firstLine="420" w:firstLineChars="200"/>
        <w:rPr>
          <w:rFonts w:ascii="宋体" w:cs="宋体"/>
          <w:color w:val="auto"/>
          <w:highlight w:val="none"/>
        </w:rPr>
      </w:pPr>
      <w:r>
        <w:rPr>
          <w:rFonts w:hint="eastAsia" w:ascii="宋体" w:hAnsi="宋体" w:cs="宋体"/>
          <w:color w:val="auto"/>
          <w:highlight w:val="none"/>
        </w:rPr>
        <w:t>合计收费＝</w:t>
      </w:r>
      <w:r>
        <w:rPr>
          <w:rFonts w:ascii="宋体" w:hAnsi="宋体" w:cs="宋体"/>
          <w:color w:val="auto"/>
          <w:highlight w:val="none"/>
        </w:rPr>
        <w:t xml:space="preserve"> 1.5 </w:t>
      </w:r>
      <w:r>
        <w:rPr>
          <w:rFonts w:hint="eastAsia" w:ascii="宋体" w:hAnsi="宋体" w:cs="宋体"/>
          <w:color w:val="auto"/>
          <w:highlight w:val="none"/>
        </w:rPr>
        <w:t>＋</w:t>
      </w:r>
      <w:r>
        <w:rPr>
          <w:rFonts w:ascii="宋体" w:hAnsi="宋体" w:cs="宋体"/>
          <w:color w:val="auto"/>
          <w:highlight w:val="none"/>
        </w:rPr>
        <w:t xml:space="preserve"> 0.4</w:t>
      </w:r>
      <w:r>
        <w:rPr>
          <w:rFonts w:hint="eastAsia" w:ascii="宋体" w:hAnsi="宋体" w:cs="宋体"/>
          <w:color w:val="auto"/>
          <w:highlight w:val="none"/>
        </w:rPr>
        <w:t>＝</w:t>
      </w:r>
      <w:r>
        <w:rPr>
          <w:rFonts w:ascii="宋体" w:hAnsi="宋体" w:cs="宋体"/>
          <w:color w:val="auto"/>
          <w:highlight w:val="none"/>
        </w:rPr>
        <w:t xml:space="preserve"> 1.9 </w:t>
      </w:r>
      <w:r>
        <w:rPr>
          <w:rFonts w:hint="eastAsia" w:ascii="宋体" w:hAnsi="宋体" w:cs="宋体"/>
          <w:color w:val="auto"/>
          <w:highlight w:val="none"/>
        </w:rPr>
        <w:t>万元</w:t>
      </w:r>
    </w:p>
    <w:p w14:paraId="7B1829D1">
      <w:pPr>
        <w:spacing w:line="360" w:lineRule="auto"/>
        <w:ind w:firstLine="420" w:firstLineChars="200"/>
        <w:rPr>
          <w:rFonts w:ascii="宋体" w:cs="宋体"/>
          <w:color w:val="auto"/>
          <w:kern w:val="0"/>
          <w:szCs w:val="21"/>
          <w:highlight w:val="none"/>
        </w:rPr>
      </w:pPr>
      <w:r>
        <w:rPr>
          <w:rFonts w:ascii="宋体" w:hAnsi="宋体" w:cs="宋体"/>
          <w:color w:val="auto"/>
          <w:szCs w:val="21"/>
          <w:highlight w:val="none"/>
        </w:rPr>
        <w:t>32.3</w:t>
      </w:r>
      <w:r>
        <w:rPr>
          <w:rFonts w:hint="eastAsia" w:ascii="宋体" w:hAnsi="宋体" w:cs="宋体"/>
          <w:color w:val="auto"/>
          <w:kern w:val="0"/>
          <w:szCs w:val="21"/>
          <w:highlight w:val="none"/>
        </w:rPr>
        <w:t>代理服务费交纳银行帐号信息</w:t>
      </w:r>
    </w:p>
    <w:p w14:paraId="342CD882">
      <w:pPr>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开户名称：广西国泰招标咨询有限公司南宁第五分公司</w:t>
      </w:r>
    </w:p>
    <w:p w14:paraId="2E9F45A3">
      <w:pPr>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开户银行：广西北部湾银行股份有限公司南宁市云景支行</w:t>
      </w:r>
    </w:p>
    <w:p w14:paraId="5453680A">
      <w:pPr>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银行账号：</w:t>
      </w:r>
      <w:r>
        <w:rPr>
          <w:rFonts w:ascii="宋体" w:hAnsi="宋体" w:cs="宋体"/>
          <w:color w:val="auto"/>
          <w:kern w:val="0"/>
          <w:szCs w:val="21"/>
          <w:highlight w:val="none"/>
        </w:rPr>
        <w:t>805022302700001</w:t>
      </w:r>
    </w:p>
    <w:p w14:paraId="76A9E24F">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33.</w:t>
      </w:r>
      <w:r>
        <w:rPr>
          <w:rFonts w:hint="eastAsia" w:ascii="宋体" w:hAnsi="宋体" w:cs="宋体"/>
          <w:b/>
          <w:bCs/>
          <w:color w:val="auto"/>
          <w:sz w:val="24"/>
          <w:highlight w:val="none"/>
        </w:rPr>
        <w:t>需要补充的其他内容</w:t>
      </w:r>
    </w:p>
    <w:p w14:paraId="55180E3E">
      <w:pPr>
        <w:pStyle w:val="19"/>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33.1</w:t>
      </w:r>
      <w:r>
        <w:rPr>
          <w:rFonts w:hint="eastAsia" w:hAnsi="宋体" w:cs="宋体"/>
          <w:color w:val="auto"/>
          <w:kern w:val="2"/>
          <w:sz w:val="21"/>
          <w:highlight w:val="none"/>
        </w:rPr>
        <w:t>本磋商文件解释规则详见“供应商须知前附表”。</w:t>
      </w:r>
    </w:p>
    <w:p w14:paraId="1DBAA9B2">
      <w:pPr>
        <w:pStyle w:val="19"/>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 xml:space="preserve">33.2 </w:t>
      </w:r>
      <w:r>
        <w:rPr>
          <w:rFonts w:hint="eastAsia" w:hAnsi="宋体" w:cs="宋体"/>
          <w:color w:val="auto"/>
          <w:kern w:val="2"/>
          <w:sz w:val="21"/>
          <w:highlight w:val="none"/>
        </w:rPr>
        <w:t>其他事项详见“供应商须知前附表”。</w:t>
      </w:r>
    </w:p>
    <w:p w14:paraId="50760F8E">
      <w:pPr>
        <w:pStyle w:val="19"/>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33.3</w:t>
      </w:r>
      <w:r>
        <w:rPr>
          <w:rFonts w:hint="eastAsia" w:hAnsi="宋体" w:cs="宋体"/>
          <w:color w:val="auto"/>
          <w:kern w:val="2"/>
          <w:sz w:val="21"/>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1BE9D34A">
      <w:pPr>
        <w:pStyle w:val="19"/>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w:t>
      </w:r>
      <w:r>
        <w:rPr>
          <w:rFonts w:hAnsi="宋体" w:cs="宋体"/>
          <w:color w:val="auto"/>
          <w:sz w:val="21"/>
          <w:highlight w:val="none"/>
        </w:rPr>
        <w:t>1</w:t>
      </w:r>
      <w:r>
        <w:rPr>
          <w:rFonts w:hint="eastAsia" w:hAnsi="宋体" w:cs="宋体"/>
          <w:color w:val="auto"/>
          <w:sz w:val="21"/>
          <w:highlight w:val="none"/>
        </w:rPr>
        <w:t>）在货物采购项目中，货物由中小企业制造，即货物由中小企业生产且使用该中小企业商号或者注册商标，不对其中涉及的工程承建商和服务的承接商作出要求；</w:t>
      </w:r>
    </w:p>
    <w:p w14:paraId="32838BCD">
      <w:pPr>
        <w:pStyle w:val="19"/>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w:t>
      </w:r>
      <w:r>
        <w:rPr>
          <w:rFonts w:hAnsi="宋体" w:cs="宋体"/>
          <w:color w:val="auto"/>
          <w:sz w:val="21"/>
          <w:highlight w:val="none"/>
        </w:rPr>
        <w:t>2</w:t>
      </w:r>
      <w:r>
        <w:rPr>
          <w:rFonts w:hint="eastAsia" w:hAnsi="宋体" w:cs="宋体"/>
          <w:color w:val="auto"/>
          <w:sz w:val="21"/>
          <w:highlight w:val="none"/>
        </w:rPr>
        <w:t>）在工程采购项目中，工程由中小企业承建，即工程施工单位为中小企业，不对其中涉及的货物的制造商和服务的承接商作出要求；</w:t>
      </w:r>
    </w:p>
    <w:p w14:paraId="3B8B5DEB">
      <w:pPr>
        <w:pStyle w:val="19"/>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w:t>
      </w:r>
      <w:r>
        <w:rPr>
          <w:rFonts w:hAnsi="宋体" w:cs="宋体"/>
          <w:color w:val="auto"/>
          <w:sz w:val="21"/>
          <w:highlight w:val="none"/>
        </w:rPr>
        <w:t>3</w:t>
      </w:r>
      <w:r>
        <w:rPr>
          <w:rFonts w:hint="eastAsia" w:hAnsi="宋体" w:cs="宋体"/>
          <w:color w:val="auto"/>
          <w:sz w:val="21"/>
          <w:highlight w:val="none"/>
        </w:rPr>
        <w:t>）在服务采购项目中，服务由中小企业承接，即提供服务的人员为中小企业依照《中华人民共和国劳动合同法》订立劳动合同的从业人员，不对其中涉及的货物的制造商和工程承建商作出要求。</w:t>
      </w:r>
    </w:p>
    <w:p w14:paraId="3D0CC3C0">
      <w:pPr>
        <w:pStyle w:val="19"/>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6F9708A1">
      <w:pPr>
        <w:pStyle w:val="19"/>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依据本磋商文件规定享受扶持政策获得政府采购合同的，小微企业不得将合同分包给大中型企业，中型企业不得将合同分包给大型企业。</w:t>
      </w:r>
    </w:p>
    <w:p w14:paraId="5F12CE1D">
      <w:pPr>
        <w:pStyle w:val="3"/>
        <w:spacing w:line="360" w:lineRule="auto"/>
        <w:rPr>
          <w:rFonts w:ascii="宋体" w:cs="宋体"/>
          <w:color w:val="auto"/>
          <w:highlight w:val="none"/>
        </w:rPr>
      </w:pPr>
      <w:r>
        <w:rPr>
          <w:rFonts w:ascii="宋体" w:cs="宋体"/>
          <w:color w:val="auto"/>
          <w:highlight w:val="none"/>
        </w:rPr>
        <w:br w:type="page"/>
      </w:r>
      <w:bookmarkStart w:id="37" w:name="_Toc8379"/>
      <w:bookmarkStart w:id="38" w:name="_Toc14902"/>
      <w:r>
        <w:rPr>
          <w:rFonts w:hint="eastAsia" w:ascii="宋体" w:hAnsi="宋体" w:cs="宋体"/>
          <w:color w:val="auto"/>
          <w:highlight w:val="none"/>
        </w:rPr>
        <w:t>第三章</w:t>
      </w:r>
      <w:r>
        <w:rPr>
          <w:rFonts w:ascii="宋体" w:hAnsi="宋体" w:cs="宋体"/>
          <w:color w:val="auto"/>
          <w:highlight w:val="none"/>
        </w:rPr>
        <w:t xml:space="preserve"> </w:t>
      </w:r>
      <w:r>
        <w:rPr>
          <w:rFonts w:hint="eastAsia" w:ascii="宋体" w:hAnsi="宋体" w:cs="宋体"/>
          <w:color w:val="auto"/>
          <w:highlight w:val="none"/>
        </w:rPr>
        <w:t>采购需求</w:t>
      </w:r>
      <w:bookmarkEnd w:id="37"/>
      <w:bookmarkEnd w:id="38"/>
    </w:p>
    <w:p w14:paraId="2CA5C189">
      <w:pPr>
        <w:spacing w:line="440" w:lineRule="exact"/>
        <w:jc w:val="center"/>
        <w:rPr>
          <w:rFonts w:ascii="宋体" w:cs="宋体"/>
          <w:b/>
          <w:color w:val="auto"/>
          <w:sz w:val="32"/>
          <w:szCs w:val="32"/>
          <w:highlight w:val="none"/>
        </w:rPr>
      </w:pPr>
    </w:p>
    <w:p w14:paraId="46C11931">
      <w:pPr>
        <w:spacing w:line="360" w:lineRule="auto"/>
        <w:jc w:val="left"/>
        <w:rPr>
          <w:rFonts w:ascii="宋体" w:cs="宋体"/>
          <w:b/>
          <w:color w:val="auto"/>
          <w:szCs w:val="21"/>
          <w:highlight w:val="none"/>
        </w:rPr>
      </w:pPr>
      <w:r>
        <w:rPr>
          <w:rFonts w:hint="eastAsia" w:ascii="宋体" w:hAnsi="宋体" w:cs="宋体"/>
          <w:b/>
          <w:color w:val="auto"/>
          <w:szCs w:val="21"/>
          <w:highlight w:val="none"/>
        </w:rPr>
        <w:t>说明：</w:t>
      </w:r>
    </w:p>
    <w:p w14:paraId="564360BA">
      <w:pPr>
        <w:spacing w:line="360" w:lineRule="exact"/>
        <w:ind w:left="-10" w:leftChars="-5" w:right="2" w:rightChars="1" w:firstLine="422" w:firstLineChars="200"/>
        <w:rPr>
          <w:rFonts w:ascii="宋体" w:cs="宋体"/>
          <w:b/>
          <w:bCs/>
          <w:color w:val="auto"/>
          <w:highlight w:val="none"/>
        </w:rPr>
      </w:pPr>
      <w:r>
        <w:rPr>
          <w:rFonts w:ascii="宋体" w:hAnsi="宋体" w:cs="宋体"/>
          <w:b/>
          <w:bCs/>
          <w:color w:val="auto"/>
          <w:highlight w:val="none"/>
        </w:rPr>
        <w:t>1</w:t>
      </w:r>
      <w:r>
        <w:rPr>
          <w:rFonts w:hint="eastAsia" w:ascii="宋体" w:hAnsi="宋体" w:cs="宋体"/>
          <w:b/>
          <w:bCs/>
          <w:color w:val="auto"/>
          <w:highlight w:val="none"/>
        </w:rPr>
        <w:t>、采购需求中如出现品牌、型号或者生产厂家等均仅起参考作用，不属于指定品牌、型号或者生产厂家的情形，供应商可参照或者选用其他相当的品牌、型号或者生产供应商替代。但供应商的产品实质上应相当于或优于本需求中的技术要求。</w:t>
      </w:r>
    </w:p>
    <w:p w14:paraId="46A9CF65">
      <w:pPr>
        <w:spacing w:line="360" w:lineRule="exact"/>
        <w:ind w:left="-10" w:leftChars="-5" w:right="2" w:rightChars="1" w:firstLine="422" w:firstLineChars="200"/>
        <w:rPr>
          <w:rFonts w:ascii="宋体" w:cs="宋体"/>
          <w:b/>
          <w:bCs/>
          <w:color w:val="auto"/>
          <w:highlight w:val="none"/>
        </w:rPr>
      </w:pPr>
      <w:r>
        <w:rPr>
          <w:rFonts w:ascii="宋体" w:hAnsi="宋体" w:cs="宋体"/>
          <w:b/>
          <w:bCs/>
          <w:color w:val="auto"/>
          <w:highlight w:val="none"/>
        </w:rPr>
        <w:t>2</w:t>
      </w:r>
      <w:r>
        <w:rPr>
          <w:rFonts w:hint="eastAsia" w:ascii="宋体" w:hAnsi="宋体" w:cs="宋体"/>
          <w:b/>
          <w:bCs/>
          <w:color w:val="auto"/>
          <w:highlight w:val="none"/>
        </w:rPr>
        <w:t>、根据《财政部</w:t>
      </w:r>
      <w:r>
        <w:rPr>
          <w:rFonts w:ascii="宋体" w:hAnsi="宋体" w:cs="宋体"/>
          <w:b/>
          <w:bCs/>
          <w:color w:val="auto"/>
          <w:highlight w:val="none"/>
        </w:rPr>
        <w:t xml:space="preserve"> </w:t>
      </w:r>
      <w:r>
        <w:rPr>
          <w:rFonts w:hint="eastAsia" w:ascii="宋体" w:hAnsi="宋体" w:cs="宋体"/>
          <w:b/>
          <w:bCs/>
          <w:color w:val="auto"/>
          <w:highlight w:val="none"/>
        </w:rPr>
        <w:t>发展改革委</w:t>
      </w:r>
      <w:r>
        <w:rPr>
          <w:rFonts w:ascii="宋体" w:hAnsi="宋体" w:cs="宋体"/>
          <w:b/>
          <w:bCs/>
          <w:color w:val="auto"/>
          <w:highlight w:val="none"/>
        </w:rPr>
        <w:t xml:space="preserve"> </w:t>
      </w:r>
      <w:r>
        <w:rPr>
          <w:rFonts w:hint="eastAsia" w:ascii="宋体" w:hAnsi="宋体" w:cs="宋体"/>
          <w:b/>
          <w:bCs/>
          <w:color w:val="auto"/>
          <w:highlight w:val="none"/>
        </w:rPr>
        <w:t>生态环境部</w:t>
      </w:r>
      <w:r>
        <w:rPr>
          <w:rFonts w:ascii="宋体" w:hAnsi="宋体" w:cs="宋体"/>
          <w:b/>
          <w:bCs/>
          <w:color w:val="auto"/>
          <w:highlight w:val="none"/>
        </w:rPr>
        <w:t xml:space="preserve"> </w:t>
      </w:r>
      <w:r>
        <w:rPr>
          <w:rFonts w:hint="eastAsia" w:ascii="宋体" w:hAnsi="宋体" w:cs="宋体"/>
          <w:b/>
          <w:bCs/>
          <w:color w:val="auto"/>
          <w:highlight w:val="none"/>
        </w:rPr>
        <w:t>市场监管总局关于调整优化节能产品、环境标志产品政府采购执行机制的通知》（财库〔</w:t>
      </w:r>
      <w:r>
        <w:rPr>
          <w:rFonts w:ascii="宋体" w:hAnsi="宋体" w:cs="宋体"/>
          <w:b/>
          <w:bCs/>
          <w:color w:val="auto"/>
          <w:highlight w:val="none"/>
        </w:rPr>
        <w:t>2019</w:t>
      </w:r>
      <w:r>
        <w:rPr>
          <w:rFonts w:hint="eastAsia" w:ascii="宋体" w:hAnsi="宋体" w:cs="宋体"/>
          <w:b/>
          <w:bCs/>
          <w:color w:val="auto"/>
          <w:highlight w:val="none"/>
        </w:rPr>
        <w:t>〕</w:t>
      </w:r>
      <w:r>
        <w:rPr>
          <w:rFonts w:ascii="宋体" w:hAnsi="宋体" w:cs="宋体"/>
          <w:b/>
          <w:bCs/>
          <w:color w:val="auto"/>
          <w:highlight w:val="none"/>
        </w:rPr>
        <w:t xml:space="preserve">9 </w:t>
      </w:r>
      <w:r>
        <w:rPr>
          <w:rFonts w:hint="eastAsia" w:ascii="宋体" w:hAnsi="宋体" w:cs="宋体"/>
          <w:b/>
          <w:bCs/>
          <w:color w:val="auto"/>
          <w:highlight w:val="none"/>
        </w:rPr>
        <w:t>号）和《关于印发节能产品政府采购品目清单的通知》（财库〔</w:t>
      </w:r>
      <w:r>
        <w:rPr>
          <w:rFonts w:ascii="宋体" w:hAnsi="宋体" w:cs="宋体"/>
          <w:b/>
          <w:bCs/>
          <w:color w:val="auto"/>
          <w:highlight w:val="none"/>
        </w:rPr>
        <w:t>2019</w:t>
      </w:r>
      <w:r>
        <w:rPr>
          <w:rFonts w:hint="eastAsia" w:ascii="宋体" w:hAnsi="宋体" w:cs="宋体"/>
          <w:b/>
          <w:bCs/>
          <w:color w:val="auto"/>
          <w:highlight w:val="none"/>
        </w:rPr>
        <w:t>〕</w:t>
      </w:r>
      <w:r>
        <w:rPr>
          <w:rFonts w:ascii="宋体" w:hAnsi="宋体" w:cs="宋体"/>
          <w:b/>
          <w:bCs/>
          <w:color w:val="auto"/>
          <w:highlight w:val="none"/>
        </w:rPr>
        <w:t xml:space="preserve">19 </w:t>
      </w:r>
      <w:r>
        <w:rPr>
          <w:rFonts w:hint="eastAsia" w:ascii="宋体" w:hAnsi="宋体" w:cs="宋体"/>
          <w:b/>
          <w:bCs/>
          <w:color w:val="auto"/>
          <w:highlight w:val="none"/>
        </w:rPr>
        <w:t>号）的规定，采购需求中如有货物产品，且货物产品属于节能产品政府采购品目清单内标注“★”的，供应商的竞标货物必须使用政府强制采购的节能产品，否则响应文件作无效响应处理。</w:t>
      </w:r>
    </w:p>
    <w:p w14:paraId="5FDF34D6">
      <w:pPr>
        <w:spacing w:line="360" w:lineRule="exact"/>
        <w:ind w:left="-10" w:leftChars="-5" w:right="2" w:rightChars="1" w:firstLine="422" w:firstLineChars="200"/>
        <w:rPr>
          <w:rFonts w:ascii="宋体" w:cs="宋体"/>
          <w:b/>
          <w:bCs/>
          <w:color w:val="auto"/>
          <w:highlight w:val="none"/>
        </w:rPr>
      </w:pPr>
      <w:r>
        <w:rPr>
          <w:rFonts w:ascii="宋体" w:hAnsi="宋体" w:cs="宋体"/>
          <w:b/>
          <w:bCs/>
          <w:color w:val="auto"/>
          <w:highlight w:val="none"/>
        </w:rPr>
        <w:t>3</w:t>
      </w:r>
      <w:r>
        <w:rPr>
          <w:rFonts w:hint="eastAsia" w:ascii="宋体" w:hAnsi="宋体" w:cs="宋体"/>
          <w:b/>
          <w:bCs/>
          <w:color w:val="auto"/>
          <w:highlight w:val="none"/>
        </w:rPr>
        <w:t>、如供应商竞标产品存在侵犯他人的知识产权或者专利成果行为的，由供应商自行承担相应法律责任。</w:t>
      </w:r>
    </w:p>
    <w:p w14:paraId="7E14E061">
      <w:pPr>
        <w:spacing w:line="360" w:lineRule="exact"/>
        <w:ind w:left="-10" w:leftChars="-5" w:right="2" w:rightChars="1" w:firstLine="422" w:firstLineChars="200"/>
        <w:rPr>
          <w:rFonts w:ascii="宋体" w:cs="宋体"/>
          <w:b/>
          <w:bCs/>
          <w:color w:val="auto"/>
          <w:highlight w:val="none"/>
        </w:rPr>
      </w:pPr>
      <w:r>
        <w:rPr>
          <w:rFonts w:ascii="宋体" w:hAnsi="宋体" w:cs="宋体"/>
          <w:b/>
          <w:bCs/>
          <w:color w:val="auto"/>
          <w:highlight w:val="none"/>
        </w:rPr>
        <w:t>4</w:t>
      </w:r>
      <w:r>
        <w:rPr>
          <w:rFonts w:hint="eastAsia" w:ascii="宋体" w:hAnsi="宋体" w:cs="宋体"/>
          <w:b/>
          <w:bCs/>
          <w:color w:val="auto"/>
          <w:highlight w:val="none"/>
        </w:rPr>
        <w:t>、“实质性要求”是指竞争性磋商文件中已经指明不满足则响应无效的条款，或者不能负偏离的条款，或者采购需求中带“▲”的条款。</w:t>
      </w:r>
    </w:p>
    <w:p w14:paraId="18B18596">
      <w:pPr>
        <w:spacing w:line="360" w:lineRule="auto"/>
        <w:ind w:firstLine="310" w:firstLineChars="147"/>
        <w:jc w:val="left"/>
        <w:rPr>
          <w:rFonts w:ascii="宋体" w:cs="宋体"/>
          <w:b/>
          <w:color w:val="auto"/>
          <w:szCs w:val="21"/>
          <w:highlight w:val="none"/>
        </w:rPr>
      </w:pPr>
    </w:p>
    <w:p w14:paraId="6C0AA8D4">
      <w:pPr>
        <w:spacing w:line="360" w:lineRule="auto"/>
        <w:ind w:firstLine="310" w:firstLineChars="147"/>
        <w:jc w:val="left"/>
        <w:rPr>
          <w:rFonts w:ascii="宋体" w:cs="宋体"/>
          <w:bCs/>
          <w:color w:val="auto"/>
          <w:szCs w:val="21"/>
          <w:highlight w:val="none"/>
          <w:u w:val="single"/>
        </w:rPr>
      </w:pPr>
      <w:r>
        <w:rPr>
          <w:rFonts w:hint="eastAsia" w:ascii="宋体" w:hAnsi="宋体" w:cs="宋体"/>
          <w:b/>
          <w:color w:val="auto"/>
          <w:szCs w:val="21"/>
          <w:highlight w:val="none"/>
        </w:rPr>
        <w:t>分标</w:t>
      </w:r>
      <w:r>
        <w:rPr>
          <w:rFonts w:ascii="宋体" w:hAnsi="宋体" w:cs="宋体"/>
          <w:b/>
          <w:color w:val="auto"/>
          <w:szCs w:val="21"/>
          <w:highlight w:val="none"/>
        </w:rPr>
        <w:t>1</w:t>
      </w:r>
      <w:r>
        <w:rPr>
          <w:rFonts w:hint="eastAsia" w:ascii="宋体" w:hAnsi="宋体" w:cs="宋体"/>
          <w:b/>
          <w:color w:val="auto"/>
          <w:szCs w:val="21"/>
          <w:highlight w:val="none"/>
        </w:rPr>
        <w:t>（广西农情固定观察点数据采集运营）</w:t>
      </w:r>
      <w:r>
        <w:rPr>
          <w:rFonts w:ascii="宋体" w:hAnsi="宋体" w:cs="宋体"/>
          <w:b/>
          <w:color w:val="auto"/>
          <w:szCs w:val="21"/>
          <w:highlight w:val="none"/>
        </w:rPr>
        <w:t xml:space="preserve">     </w:t>
      </w:r>
      <w:r>
        <w:rPr>
          <w:rFonts w:hint="eastAsia" w:ascii="宋体" w:hAnsi="宋体" w:cs="宋体"/>
          <w:b/>
          <w:color w:val="auto"/>
          <w:szCs w:val="21"/>
          <w:highlight w:val="none"/>
        </w:rPr>
        <w:t>采购预算：</w:t>
      </w:r>
      <w:r>
        <w:rPr>
          <w:rFonts w:ascii="宋体" w:hAnsi="宋体"/>
          <w:b/>
          <w:bCs/>
          <w:color w:val="auto"/>
          <w:szCs w:val="21"/>
          <w:highlight w:val="none"/>
          <w:u w:val="single"/>
        </w:rPr>
        <w:t xml:space="preserve"> 207.00</w:t>
      </w:r>
      <w:r>
        <w:rPr>
          <w:rFonts w:hint="eastAsia" w:ascii="宋体" w:hAnsi="宋体"/>
          <w:b/>
          <w:bCs/>
          <w:color w:val="auto"/>
          <w:szCs w:val="21"/>
          <w:highlight w:val="none"/>
          <w:u w:val="single"/>
        </w:rPr>
        <w:t>万元</w:t>
      </w:r>
      <w:r>
        <w:rPr>
          <w:rFonts w:ascii="宋体" w:hAnsi="宋体" w:cs="宋体"/>
          <w:b/>
          <w:bCs/>
          <w:color w:val="auto"/>
          <w:szCs w:val="21"/>
          <w:highlight w:val="none"/>
          <w:u w:val="single"/>
        </w:rPr>
        <w:t xml:space="preserve"> </w:t>
      </w:r>
      <w:r>
        <w:rPr>
          <w:rFonts w:ascii="宋体" w:hAnsi="宋体" w:cs="宋体"/>
          <w:b/>
          <w:color w:val="auto"/>
          <w:szCs w:val="21"/>
          <w:highlight w:val="none"/>
        </w:rPr>
        <w:t xml:space="preserve">      </w:t>
      </w:r>
    </w:p>
    <w:tbl>
      <w:tblPr>
        <w:tblStyle w:val="32"/>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71"/>
        <w:gridCol w:w="1050"/>
        <w:gridCol w:w="1077"/>
        <w:gridCol w:w="5416"/>
      </w:tblGrid>
      <w:tr w14:paraId="2BB81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14:paraId="4424EA12">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1516" w:type="dxa"/>
            <w:gridSpan w:val="2"/>
            <w:vAlign w:val="center"/>
          </w:tcPr>
          <w:p w14:paraId="014AD114">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标的名称</w:t>
            </w:r>
          </w:p>
        </w:tc>
        <w:tc>
          <w:tcPr>
            <w:tcW w:w="1050" w:type="dxa"/>
            <w:vAlign w:val="center"/>
          </w:tcPr>
          <w:p w14:paraId="458E2694">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数量及单位</w:t>
            </w:r>
          </w:p>
        </w:tc>
        <w:tc>
          <w:tcPr>
            <w:tcW w:w="1077" w:type="dxa"/>
            <w:vAlign w:val="center"/>
          </w:tcPr>
          <w:p w14:paraId="019E9EB3">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所属</w:t>
            </w:r>
          </w:p>
          <w:p w14:paraId="1A484BA8">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行业</w:t>
            </w:r>
          </w:p>
        </w:tc>
        <w:tc>
          <w:tcPr>
            <w:tcW w:w="5416" w:type="dxa"/>
            <w:vAlign w:val="center"/>
          </w:tcPr>
          <w:p w14:paraId="19F3AAA7">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技术要求</w:t>
            </w:r>
          </w:p>
        </w:tc>
      </w:tr>
      <w:tr w14:paraId="72C22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5" w:type="dxa"/>
            <w:vAlign w:val="center"/>
          </w:tcPr>
          <w:p w14:paraId="12FADE6C">
            <w:pPr>
              <w:tabs>
                <w:tab w:val="left" w:pos="180"/>
                <w:tab w:val="left" w:pos="1620"/>
              </w:tabs>
              <w:spacing w:line="360" w:lineRule="auto"/>
              <w:jc w:val="center"/>
              <w:rPr>
                <w:rFonts w:ascii="宋体" w:cs="宋体"/>
                <w:color w:val="auto"/>
                <w:szCs w:val="21"/>
                <w:highlight w:val="none"/>
              </w:rPr>
            </w:pPr>
            <w:r>
              <w:rPr>
                <w:rFonts w:ascii="宋体" w:hAnsi="宋体" w:cs="宋体"/>
                <w:color w:val="auto"/>
                <w:szCs w:val="21"/>
                <w:highlight w:val="none"/>
              </w:rPr>
              <w:t>1</w:t>
            </w:r>
          </w:p>
        </w:tc>
        <w:tc>
          <w:tcPr>
            <w:tcW w:w="1516" w:type="dxa"/>
            <w:gridSpan w:val="2"/>
            <w:vAlign w:val="center"/>
          </w:tcPr>
          <w:p w14:paraId="1A048210">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rPr>
              <w:t>广西农情固定观察点数据采集运营</w:t>
            </w:r>
          </w:p>
        </w:tc>
        <w:tc>
          <w:tcPr>
            <w:tcW w:w="1050" w:type="dxa"/>
            <w:vAlign w:val="center"/>
          </w:tcPr>
          <w:p w14:paraId="6DF9375D">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rPr>
              <w:t>1项</w:t>
            </w:r>
          </w:p>
        </w:tc>
        <w:tc>
          <w:tcPr>
            <w:tcW w:w="1077" w:type="dxa"/>
            <w:vAlign w:val="center"/>
          </w:tcPr>
          <w:p w14:paraId="2F0B6D90">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rPr>
              <w:t>其他未列明行业</w:t>
            </w:r>
          </w:p>
        </w:tc>
        <w:tc>
          <w:tcPr>
            <w:tcW w:w="5416" w:type="dxa"/>
            <w:vAlign w:val="center"/>
          </w:tcPr>
          <w:p w14:paraId="3B3F25CA">
            <w:pPr>
              <w:spacing w:line="400" w:lineRule="exact"/>
              <w:ind w:firstLine="420" w:firstLineChars="200"/>
              <w:jc w:val="left"/>
              <w:rPr>
                <w:rFonts w:asciiTheme="minorEastAsia" w:hAnsiTheme="minorEastAsia" w:eastAsiaTheme="minorEastAsia" w:cstheme="minorEastAsia"/>
                <w:color w:val="auto"/>
                <w:szCs w:val="21"/>
                <w:highlight w:val="none"/>
              </w:rPr>
            </w:pPr>
            <w:bookmarkStart w:id="39" w:name="OLE_LINK38"/>
            <w:r>
              <w:rPr>
                <w:rFonts w:hint="eastAsia" w:asciiTheme="minorEastAsia" w:hAnsiTheme="minorEastAsia" w:eastAsiaTheme="minorEastAsia" w:cstheme="minorEastAsia"/>
                <w:color w:val="auto"/>
                <w:szCs w:val="21"/>
                <w:highlight w:val="none"/>
              </w:rPr>
              <w:t>依据2025年广西农情固定观察点数据采集运营项目需求，完成100个农情固定观察信息采集员的日常管理、观察点现场核验、成果输出等服务。</w:t>
            </w:r>
          </w:p>
          <w:p w14:paraId="65C8EF45">
            <w:pPr>
              <w:spacing w:line="400" w:lineRule="exact"/>
              <w:ind w:firstLine="422" w:firstLineChars="200"/>
              <w:jc w:val="left"/>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一、做好</w:t>
            </w:r>
            <w:bookmarkStart w:id="40" w:name="OLE_LINK4"/>
            <w:r>
              <w:rPr>
                <w:rFonts w:hint="eastAsia" w:asciiTheme="minorEastAsia" w:hAnsiTheme="minorEastAsia" w:eastAsiaTheme="minorEastAsia" w:cstheme="minorEastAsia"/>
                <w:b/>
                <w:bCs/>
                <w:color w:val="auto"/>
                <w:szCs w:val="21"/>
                <w:highlight w:val="none"/>
              </w:rPr>
              <w:t>100个农情固定观察信息采集员的日常管理</w:t>
            </w:r>
            <w:bookmarkEnd w:id="40"/>
          </w:p>
          <w:p w14:paraId="125A17E8">
            <w:pPr>
              <w:spacing w:line="400" w:lineRule="exact"/>
              <w:ind w:firstLine="42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1.按时发放100个农情固定观察信息采集员劳务费</w:t>
            </w:r>
          </w:p>
          <w:p w14:paraId="0D8D9E18">
            <w:pPr>
              <w:spacing w:line="400" w:lineRule="exact"/>
              <w:ind w:firstLine="420"/>
              <w:jc w:val="left"/>
              <w:rPr>
                <w:rFonts w:asciiTheme="minorEastAsia" w:hAnsiTheme="minorEastAsia" w:eastAsiaTheme="minorEastAsia" w:cstheme="minorEastAsia"/>
                <w:color w:val="auto"/>
                <w:szCs w:val="21"/>
                <w:highlight w:val="none"/>
              </w:rPr>
            </w:pPr>
            <w:bookmarkStart w:id="41" w:name="OLE_LINK5"/>
            <w:r>
              <w:rPr>
                <w:rFonts w:hint="eastAsia" w:asciiTheme="minorEastAsia" w:hAnsiTheme="minorEastAsia" w:eastAsiaTheme="minorEastAsia" w:cstheme="minorEastAsia"/>
                <w:color w:val="auto"/>
                <w:szCs w:val="21"/>
                <w:highlight w:val="none"/>
              </w:rPr>
              <w:t>根据采购方《广西农情固定观察点调查系统工作制度》“工作评估”标准要求，信息采集员劳务费发放及报备工作按以下流程执行：每月20日完成上月劳务费的发放工作，并于发放完成后5个工作日内，同步向采购方提交当次劳务费发放流水凭证及相关票据。</w:t>
            </w:r>
          </w:p>
          <w:bookmarkEnd w:id="41"/>
          <w:p w14:paraId="046F6630">
            <w:pPr>
              <w:pStyle w:val="2"/>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rPr>
              <w:t>.发放报表和审核数据</w:t>
            </w:r>
          </w:p>
          <w:p w14:paraId="09365238">
            <w:pPr>
              <w:pStyle w:val="2"/>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采购方《广西农情固定观察点调查规范》，以及《广西农情固定观察点信息管理平台操作规范》要求，供应商通过数字化平台实施以下工作：在平台内完成常规调查与专题调查任务报表部署，督促全区农情固定观察信息采集队伍按时、按质、按量完成数据填报，同步开展数据审核校验工作。</w:t>
            </w:r>
          </w:p>
          <w:p w14:paraId="0F120112">
            <w:pPr>
              <w:pStyle w:val="2"/>
              <w:spacing w:line="400" w:lineRule="exact"/>
              <w:rPr>
                <w:rFonts w:asciiTheme="minorEastAsia" w:hAnsiTheme="minorEastAsia" w:eastAsiaTheme="minorEastAsia" w:cstheme="minorEastAsia"/>
                <w:color w:val="auto"/>
                <w:szCs w:val="21"/>
                <w:highlight w:val="none"/>
              </w:rPr>
            </w:pPr>
            <w:bookmarkStart w:id="42" w:name="OLE_LINK11"/>
            <w:r>
              <w:rPr>
                <w:rFonts w:hint="eastAsia" w:asciiTheme="minorEastAsia" w:hAnsiTheme="minorEastAsia" w:cstheme="minorEastAsia"/>
                <w:color w:val="auto"/>
                <w:szCs w:val="21"/>
                <w:highlight w:val="none"/>
              </w:rPr>
              <w:t>3.聘期专家团队</w:t>
            </w:r>
          </w:p>
          <w:p w14:paraId="6BC577C6">
            <w:pPr>
              <w:spacing w:line="400" w:lineRule="exact"/>
              <w:ind w:firstLine="420" w:firstLineChars="200"/>
              <w:rPr>
                <w:rFonts w:asciiTheme="minorEastAsia" w:hAnsiTheme="minorEastAsia" w:cstheme="minorEastAsia"/>
                <w:color w:val="auto"/>
                <w:szCs w:val="21"/>
                <w:highlight w:val="none"/>
              </w:rPr>
            </w:pPr>
            <w:bookmarkStart w:id="43" w:name="OLE_LINK15"/>
            <w:r>
              <w:rPr>
                <w:rFonts w:hint="eastAsia" w:asciiTheme="minorEastAsia" w:hAnsiTheme="minorEastAsia" w:cstheme="minorEastAsia"/>
                <w:color w:val="auto"/>
                <w:szCs w:val="21"/>
                <w:highlight w:val="none"/>
              </w:rPr>
              <w:t>根据采购方的工作安排，统筹开展专业团队建设：一是聘请农业领域专家团队，系统构建</w:t>
            </w:r>
            <w:bookmarkStart w:id="44" w:name="OLE_LINK1"/>
            <w:r>
              <w:rPr>
                <w:rFonts w:hint="eastAsia" w:asciiTheme="minorEastAsia" w:hAnsiTheme="minorEastAsia" w:cstheme="minorEastAsia"/>
                <w:color w:val="auto"/>
                <w:szCs w:val="21"/>
                <w:highlight w:val="none"/>
              </w:rPr>
              <w:t>农情固定观测数据在农情调度中的应用</w:t>
            </w:r>
            <w:bookmarkEnd w:id="44"/>
            <w:r>
              <w:rPr>
                <w:rFonts w:hint="eastAsia" w:asciiTheme="minorEastAsia" w:hAnsiTheme="minorEastAsia" w:cstheme="minorEastAsia"/>
                <w:color w:val="auto"/>
                <w:szCs w:val="21"/>
                <w:highlight w:val="none"/>
              </w:rPr>
              <w:t>，撰写相关分析材料；二是聘期专家团队科学制定主要作物产量变动实证数据采集指标体系；三是聘期专家团队完成观测数据与生产效益的关联性分析报告编制工作。</w:t>
            </w:r>
          </w:p>
          <w:bookmarkEnd w:id="42"/>
          <w:bookmarkEnd w:id="43"/>
          <w:p w14:paraId="63D03243">
            <w:pPr>
              <w:spacing w:line="400" w:lineRule="exact"/>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二、完成2次</w:t>
            </w:r>
            <w:bookmarkStart w:id="45" w:name="OLE_LINK7"/>
            <w:r>
              <w:rPr>
                <w:rFonts w:hint="eastAsia" w:asciiTheme="minorEastAsia" w:hAnsiTheme="minorEastAsia" w:eastAsiaTheme="minorEastAsia" w:cstheme="minorEastAsia"/>
                <w:b/>
                <w:bCs/>
                <w:color w:val="auto"/>
                <w:szCs w:val="21"/>
                <w:highlight w:val="none"/>
              </w:rPr>
              <w:t>农情固定观察</w:t>
            </w:r>
            <w:bookmarkEnd w:id="45"/>
            <w:r>
              <w:rPr>
                <w:rFonts w:hint="eastAsia" w:asciiTheme="minorEastAsia" w:hAnsiTheme="minorEastAsia" w:eastAsiaTheme="minorEastAsia" w:cstheme="minorEastAsia"/>
                <w:b/>
                <w:bCs/>
                <w:color w:val="auto"/>
                <w:szCs w:val="21"/>
                <w:highlight w:val="none"/>
              </w:rPr>
              <w:t>点现场核验</w:t>
            </w:r>
          </w:p>
          <w:p w14:paraId="4273BDF8">
            <w:pPr>
              <w:pStyle w:val="2"/>
              <w:spacing w:line="400" w:lineRule="exact"/>
              <w:ind w:firstLineChars="200"/>
              <w:rPr>
                <w:rFonts w:asciiTheme="minorEastAsia" w:hAnsiTheme="minorEastAsia" w:eastAsiaTheme="minorEastAsia" w:cstheme="minorEastAsia"/>
                <w:color w:val="auto"/>
                <w:szCs w:val="21"/>
                <w:highlight w:val="none"/>
              </w:rPr>
            </w:pPr>
            <w:bookmarkStart w:id="46" w:name="OLE_LINK6"/>
            <w:r>
              <w:rPr>
                <w:rFonts w:hint="eastAsia" w:asciiTheme="minorEastAsia" w:hAnsiTheme="minorEastAsia" w:eastAsiaTheme="minorEastAsia" w:cstheme="minorEastAsia"/>
                <w:color w:val="auto"/>
                <w:szCs w:val="21"/>
                <w:highlight w:val="none"/>
              </w:rPr>
              <w:t>现场核验工作按照以下流程实施：基于全区100个农情固定观察点样本村，通过建立经济发展水平（含人均GDP、产业结构）、自然地理特征（地形地貌类型）、农业生产要素（粮食作物面积、经济作物面积、特色产业占比、高标准农田占比）、人口结构（农业人口比例、脱贫任务）等多维评估指标体系，采取分层抽样法按"好、中、差"三级分层筛选不低于20%的观察点（即至少20个）开展现场核验。核验实施过程须严格执行"方案编制-实地核验-报告撰写"三阶段管理：前期制定包含核验时序计划、目标样本村清单、核验重点事项的实施方案；中期对照核验指标开展现场核查；后期编制电子版与纸质版双版本报告，要求采用"背景-方法-结论-建议"的模块化结构，确保数据支撑充分、论证逻辑严密、问题剖析精准。核验时间安排：2025年7月前完成一次，11月前完成一次。</w:t>
            </w:r>
          </w:p>
          <w:bookmarkEnd w:id="46"/>
          <w:p w14:paraId="084A046E">
            <w:pPr>
              <w:pStyle w:val="2"/>
              <w:spacing w:line="400" w:lineRule="exact"/>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三、形成2期广西农情固定观察白皮书</w:t>
            </w:r>
          </w:p>
          <w:p w14:paraId="3DCB4E8C">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根据全区农情固定</w:t>
            </w:r>
            <w:bookmarkStart w:id="47" w:name="OLE_LINK8"/>
            <w:r>
              <w:rPr>
                <w:rFonts w:hint="eastAsia" w:asciiTheme="minorEastAsia" w:hAnsiTheme="minorEastAsia" w:eastAsiaTheme="minorEastAsia" w:cstheme="minorEastAsia"/>
                <w:color w:val="auto"/>
                <w:szCs w:val="21"/>
                <w:highlight w:val="none"/>
              </w:rPr>
              <w:t>观察点</w:t>
            </w:r>
            <w:bookmarkEnd w:id="47"/>
            <w:r>
              <w:rPr>
                <w:rFonts w:hint="eastAsia" w:asciiTheme="minorEastAsia" w:hAnsiTheme="minorEastAsia" w:eastAsiaTheme="minorEastAsia" w:cstheme="minorEastAsia"/>
                <w:color w:val="auto"/>
                <w:szCs w:val="21"/>
                <w:highlight w:val="none"/>
              </w:rPr>
              <w:t>数据资源，组织编制</w:t>
            </w:r>
            <w:bookmarkStart w:id="48" w:name="OLE_LINK10"/>
            <w:r>
              <w:rPr>
                <w:rFonts w:hint="eastAsia" w:asciiTheme="minorEastAsia" w:hAnsiTheme="minorEastAsia" w:eastAsiaTheme="minorEastAsia" w:cstheme="minorEastAsia"/>
                <w:color w:val="auto"/>
                <w:szCs w:val="21"/>
                <w:highlight w:val="none"/>
              </w:rPr>
              <w:t>《广西农情固定观察白皮书》</w:t>
            </w:r>
            <w:bookmarkEnd w:id="48"/>
            <w:r>
              <w:rPr>
                <w:rFonts w:hint="eastAsia" w:asciiTheme="minorEastAsia" w:hAnsiTheme="minorEastAsia" w:eastAsiaTheme="minorEastAsia" w:cstheme="minorEastAsia"/>
                <w:color w:val="auto"/>
                <w:szCs w:val="21"/>
                <w:highlight w:val="none"/>
              </w:rPr>
              <w:t>（下称《白皮书》）。《白皮书》编制框架须涵盖五大核心板块：工作综述篇、数据分析篇、专题研究篇、发展评估篇、政策建言篇。编制要求体现"三性三化"标准：数据真实性（以观察点原始数据为基准，确保数据链完整可追溯）、逻辑严密性（构建"现状描述-问题诊断-趋势预判-对策建议"论证体系）、创新应用性（突出政策导向与模式创新）；成果呈现需达到专业化、系统化、标准化。</w:t>
            </w:r>
          </w:p>
          <w:p w14:paraId="29D7C976">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《白皮书》实施双周期编制计划：2025年度分两期发布，首期于</w:t>
            </w:r>
            <w:r>
              <w:rPr>
                <w:rFonts w:hint="eastAsia" w:asciiTheme="minorEastAsia" w:hAnsiTheme="minorEastAsia" w:cstheme="minorEastAsia"/>
                <w:color w:val="auto"/>
                <w:szCs w:val="21"/>
                <w:highlight w:val="none"/>
              </w:rPr>
              <w:t>2025年7</w:t>
            </w:r>
            <w:r>
              <w:rPr>
                <w:rFonts w:hint="eastAsia" w:asciiTheme="minorEastAsia" w:hAnsiTheme="minorEastAsia" w:eastAsiaTheme="minorEastAsia" w:cstheme="minorEastAsia"/>
                <w:color w:val="auto"/>
                <w:szCs w:val="21"/>
                <w:highlight w:val="none"/>
              </w:rPr>
              <w:t>月30日前完成编制，二期于</w:t>
            </w:r>
            <w:r>
              <w:rPr>
                <w:rFonts w:hint="eastAsia" w:asciiTheme="minorEastAsia" w:hAnsiTheme="minorEastAsia" w:cstheme="minorEastAsia"/>
                <w:color w:val="auto"/>
                <w:szCs w:val="21"/>
                <w:highlight w:val="none"/>
              </w:rPr>
              <w:t>2025年11</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cstheme="minorEastAsia"/>
                <w:color w:val="auto"/>
                <w:szCs w:val="21"/>
                <w:highlight w:val="none"/>
              </w:rPr>
              <w:t>30</w:t>
            </w:r>
            <w:r>
              <w:rPr>
                <w:rFonts w:hint="eastAsia" w:asciiTheme="minorEastAsia" w:hAnsiTheme="minorEastAsia" w:eastAsiaTheme="minorEastAsia" w:cstheme="minorEastAsia"/>
                <w:color w:val="auto"/>
                <w:szCs w:val="21"/>
                <w:highlight w:val="none"/>
              </w:rPr>
              <w:t>日前完成编制，每期成果须同步提交电子文档与精装纸质版本。</w:t>
            </w:r>
          </w:p>
          <w:p w14:paraId="005D811D">
            <w:pPr>
              <w:spacing w:line="400" w:lineRule="exact"/>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四、文档编写服务</w:t>
            </w:r>
          </w:p>
          <w:p w14:paraId="004530B2">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根据采购方需求，配合完成项目对接的各项工作，包括不限于相关的实施方案、成果材料、存档文件编制等。</w:t>
            </w:r>
          </w:p>
          <w:p w14:paraId="110AEA32">
            <w:pPr>
              <w:spacing w:line="400" w:lineRule="exact"/>
              <w:ind w:left="420" w:left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五、农情固定观察点项目服务要求</w:t>
            </w:r>
          </w:p>
          <w:p w14:paraId="76275084">
            <w:pPr>
              <w:spacing w:line="40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1.人员管理要求</w:t>
            </w:r>
          </w:p>
          <w:p w14:paraId="28BEB4C5">
            <w:pPr>
              <w:spacing w:line="40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1.1服务人员要求</w:t>
            </w:r>
          </w:p>
          <w:p w14:paraId="306FB6B1">
            <w:pPr>
              <w:spacing w:line="400" w:lineRule="exact"/>
              <w:ind w:firstLine="420" w:firstLineChars="200"/>
              <w:jc w:val="left"/>
              <w:rPr>
                <w:rFonts w:asciiTheme="minorEastAsia" w:hAnsi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安排至少1名熟悉</w:t>
            </w:r>
            <w:bookmarkStart w:id="49" w:name="OLE_LINK13"/>
            <w:r>
              <w:rPr>
                <w:rFonts w:hint="eastAsia" w:asciiTheme="minorEastAsia" w:hAnsiTheme="minorEastAsia" w:eastAsiaTheme="minorEastAsia" w:cstheme="minorEastAsia"/>
                <w:color w:val="auto"/>
                <w:szCs w:val="21"/>
                <w:highlight w:val="none"/>
              </w:rPr>
              <w:t>农情固定观察业务</w:t>
            </w:r>
            <w:bookmarkEnd w:id="49"/>
            <w:r>
              <w:rPr>
                <w:rFonts w:hint="eastAsia" w:asciiTheme="minorEastAsia" w:hAnsiTheme="minorEastAsia" w:eastAsiaTheme="minorEastAsia" w:cstheme="minorEastAsia"/>
                <w:color w:val="auto"/>
                <w:szCs w:val="21"/>
                <w:highlight w:val="none"/>
              </w:rPr>
              <w:t>的项目经理，1名客服人员及不少于4名项目实施人员负责项目运营。</w:t>
            </w:r>
            <w:r>
              <w:rPr>
                <w:rFonts w:hint="eastAsia" w:asciiTheme="minorEastAsia" w:hAnsiTheme="minorEastAsia" w:cstheme="minorEastAsia"/>
                <w:color w:val="auto"/>
                <w:szCs w:val="21"/>
                <w:highlight w:val="none"/>
              </w:rPr>
              <w:t xml:space="preserve">  </w:t>
            </w:r>
          </w:p>
          <w:p w14:paraId="05D0F582">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rPr>
              <w:t>.1人员资质要求</w:t>
            </w:r>
          </w:p>
          <w:p w14:paraId="5CD1037E">
            <w:pPr>
              <w:spacing w:line="40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项目经理需要具备同类项目的运营管理经验，提供相关项目服务成果证明。</w:t>
            </w:r>
          </w:p>
          <w:p w14:paraId="50947342">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rPr>
              <w:t>人员流动性要求</w:t>
            </w:r>
          </w:p>
          <w:p w14:paraId="3EFD3BCC">
            <w:pPr>
              <w:spacing w:line="40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未经采购方同意，在合同期内不得更换项目经理和驻场人员。</w:t>
            </w:r>
          </w:p>
          <w:p w14:paraId="29510790">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rPr>
              <w:t>工作职责要求</w:t>
            </w:r>
          </w:p>
          <w:p w14:paraId="0108EEAE">
            <w:pPr>
              <w:spacing w:line="400" w:lineRule="exact"/>
              <w:ind w:firstLine="420" w:firstLineChars="200"/>
              <w:jc w:val="left"/>
              <w:rPr>
                <w:rFonts w:eastAsiaTheme="minorEastAsia"/>
                <w:color w:val="auto"/>
                <w:szCs w:val="21"/>
                <w:highlight w:val="none"/>
              </w:rPr>
            </w:pPr>
            <w:r>
              <w:rPr>
                <w:rFonts w:hint="eastAsia" w:asciiTheme="minorEastAsia" w:hAnsiTheme="minorEastAsia" w:cstheme="minorEastAsia"/>
                <w:color w:val="auto"/>
                <w:szCs w:val="21"/>
                <w:highlight w:val="none"/>
              </w:rPr>
              <w:t>3.1</w:t>
            </w:r>
            <w:r>
              <w:rPr>
                <w:rFonts w:hint="eastAsia" w:ascii="宋体" w:hAnsi="宋体" w:cs="宋体"/>
                <w:color w:val="auto"/>
                <w:szCs w:val="21"/>
                <w:highlight w:val="none"/>
              </w:rPr>
              <w:t>提供7×24小时电话技术支持（包含电话、邮件、远程桌面支持等）。</w:t>
            </w:r>
            <w:r>
              <w:rPr>
                <w:rFonts w:hint="eastAsia"/>
                <w:color w:val="auto"/>
                <w:szCs w:val="21"/>
                <w:highlight w:val="none"/>
              </w:rPr>
              <w:t>接到紧急调度通知后，工作日10分钟响应，必要时1小时内到现场，非工作日30分钟响应，必要时2小时内到达现场。</w:t>
            </w:r>
          </w:p>
          <w:p w14:paraId="011604D5">
            <w:pPr>
              <w:spacing w:line="400" w:lineRule="exact"/>
              <w:ind w:firstLine="420"/>
              <w:jc w:val="left"/>
              <w:rPr>
                <w:rFonts w:asciiTheme="minorEastAsia" w:hAnsiTheme="minorEastAsia" w:eastAsiaTheme="minorEastAsia" w:cstheme="minorEastAsia"/>
                <w:color w:val="auto"/>
                <w:szCs w:val="21"/>
                <w:highlight w:val="none"/>
              </w:rPr>
            </w:pPr>
            <w:r>
              <w:rPr>
                <w:rFonts w:hint="eastAsia" w:asciiTheme="minorEastAsia" w:hAnsiTheme="minorEastAsia" w:cstheme="minorEastAsia"/>
                <w:color w:val="auto"/>
                <w:szCs w:val="21"/>
                <w:highlight w:val="none"/>
              </w:rPr>
              <w:t>3.2</w:t>
            </w:r>
            <w:r>
              <w:rPr>
                <w:rFonts w:hint="eastAsia" w:asciiTheme="minorEastAsia" w:hAnsiTheme="minorEastAsia" w:eastAsiaTheme="minorEastAsia" w:cstheme="minorEastAsia"/>
                <w:color w:val="auto"/>
                <w:szCs w:val="21"/>
                <w:highlight w:val="none"/>
              </w:rPr>
              <w:t>严格执行采购方各项管理制度，包括但不限于文档管理、办公场所规范、考勤制度、评估机制、着装标准及语言规范；</w:t>
            </w:r>
          </w:p>
          <w:p w14:paraId="15D0BB5D">
            <w:pPr>
              <w:spacing w:line="400" w:lineRule="exact"/>
              <w:ind w:firstLine="420"/>
              <w:jc w:val="left"/>
              <w:rPr>
                <w:rFonts w:asciiTheme="minorEastAsia" w:hAnsiTheme="minorEastAsia" w:eastAsiaTheme="minorEastAsia" w:cstheme="minorEastAsia"/>
                <w:color w:val="auto"/>
                <w:szCs w:val="21"/>
                <w:highlight w:val="none"/>
              </w:rPr>
            </w:pPr>
            <w:r>
              <w:rPr>
                <w:rFonts w:hint="eastAsia" w:asciiTheme="minorEastAsia" w:hAnsiTheme="minorEastAsia" w:cstheme="minorEastAsia"/>
                <w:color w:val="auto"/>
                <w:szCs w:val="21"/>
                <w:highlight w:val="none"/>
              </w:rPr>
              <w:t>3.3</w:t>
            </w:r>
            <w:r>
              <w:rPr>
                <w:rFonts w:hint="eastAsia" w:asciiTheme="minorEastAsia" w:hAnsiTheme="minorEastAsia" w:eastAsiaTheme="minorEastAsia" w:cstheme="minorEastAsia"/>
                <w:color w:val="auto"/>
                <w:szCs w:val="21"/>
                <w:highlight w:val="none"/>
              </w:rPr>
              <w:t>定期向采购方提交技术文档，包括问题总结报告、农情固定观察点信息采集员更新等；</w:t>
            </w:r>
          </w:p>
          <w:p w14:paraId="5D514075">
            <w:pPr>
              <w:spacing w:line="400" w:lineRule="exact"/>
              <w:ind w:firstLine="420"/>
              <w:jc w:val="left"/>
              <w:rPr>
                <w:rFonts w:asciiTheme="minorEastAsia" w:hAnsiTheme="minorEastAsia" w:eastAsiaTheme="minorEastAsia" w:cstheme="minorEastAsia"/>
                <w:color w:val="auto"/>
                <w:szCs w:val="21"/>
                <w:highlight w:val="none"/>
              </w:rPr>
            </w:pPr>
            <w:r>
              <w:rPr>
                <w:rFonts w:hint="eastAsia" w:asciiTheme="minorEastAsia" w:hAnsiTheme="minorEastAsia" w:cstheme="minorEastAsia"/>
                <w:color w:val="auto"/>
                <w:szCs w:val="21"/>
                <w:highlight w:val="none"/>
              </w:rPr>
              <w:t>3.4</w:t>
            </w:r>
            <w:r>
              <w:rPr>
                <w:rFonts w:hint="eastAsia" w:asciiTheme="minorEastAsia" w:hAnsiTheme="minorEastAsia" w:eastAsiaTheme="minorEastAsia" w:cstheme="minorEastAsia"/>
                <w:color w:val="auto"/>
                <w:szCs w:val="21"/>
                <w:highlight w:val="none"/>
              </w:rPr>
              <w:t>每月编制并提交采购方反馈问题汇总及处理情况统计表；</w:t>
            </w:r>
          </w:p>
          <w:p w14:paraId="720D151B">
            <w:pPr>
              <w:pStyle w:val="30"/>
              <w:spacing w:after="0" w:line="360" w:lineRule="auto"/>
              <w:ind w:firstLineChars="200"/>
              <w:rPr>
                <w:rFonts w:ascii="宋体" w:cs="宋体"/>
                <w:color w:val="auto"/>
                <w:szCs w:val="21"/>
                <w:highlight w:val="none"/>
              </w:rPr>
            </w:pPr>
            <w:r>
              <w:rPr>
                <w:rFonts w:hint="eastAsia" w:asciiTheme="minorEastAsia" w:hAnsiTheme="minorEastAsia" w:cstheme="minorEastAsia"/>
                <w:color w:val="auto"/>
                <w:szCs w:val="21"/>
                <w:highlight w:val="none"/>
              </w:rPr>
              <w:t>3.5</w:t>
            </w:r>
            <w:r>
              <w:rPr>
                <w:rFonts w:hint="eastAsia" w:asciiTheme="minorEastAsia" w:hAnsiTheme="minorEastAsia" w:eastAsiaTheme="minorEastAsia" w:cstheme="minorEastAsia"/>
                <w:color w:val="auto"/>
                <w:szCs w:val="21"/>
                <w:highlight w:val="none"/>
              </w:rPr>
              <w:t xml:space="preserve">保持与采购方的常态化沟通，及时跟进落实采购方提出的改进建议与工作要求。         </w:t>
            </w:r>
            <w:bookmarkEnd w:id="39"/>
            <w:r>
              <w:rPr>
                <w:rFonts w:hint="eastAsia" w:asciiTheme="minorEastAsia" w:hAnsiTheme="minorEastAsia" w:eastAsiaTheme="minorEastAsia" w:cstheme="minorEastAsia"/>
                <w:color w:val="auto"/>
                <w:szCs w:val="21"/>
                <w:highlight w:val="none"/>
              </w:rPr>
              <w:t xml:space="preserve"> </w:t>
            </w:r>
          </w:p>
        </w:tc>
      </w:tr>
      <w:tr w14:paraId="0E264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6"/>
            <w:tcBorders>
              <w:top w:val="single" w:color="auto" w:sz="4" w:space="0"/>
              <w:bottom w:val="single" w:color="auto" w:sz="4" w:space="0"/>
            </w:tcBorders>
          </w:tcPr>
          <w:p w14:paraId="030667DB">
            <w:pPr>
              <w:spacing w:line="360" w:lineRule="auto"/>
              <w:rPr>
                <w:rFonts w:ascii="宋体" w:cs="宋体"/>
                <w:color w:val="auto"/>
                <w:szCs w:val="21"/>
                <w:highlight w:val="none"/>
              </w:rPr>
            </w:pPr>
            <w:r>
              <w:rPr>
                <w:rFonts w:hint="eastAsia" w:ascii="宋体" w:hAnsi="宋体" w:cs="宋体"/>
                <w:b/>
                <w:color w:val="auto"/>
                <w:szCs w:val="21"/>
                <w:highlight w:val="none"/>
              </w:rPr>
              <w:t>商务要求</w:t>
            </w:r>
          </w:p>
        </w:tc>
      </w:tr>
      <w:tr w14:paraId="574935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1B134068">
            <w:pPr>
              <w:spacing w:line="360" w:lineRule="auto"/>
              <w:jc w:val="center"/>
              <w:rPr>
                <w:rFonts w:asci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bCs/>
                <w:color w:val="auto"/>
                <w:szCs w:val="21"/>
                <w:highlight w:val="none"/>
              </w:rPr>
              <w:t>磋商报价要求</w:t>
            </w:r>
          </w:p>
        </w:tc>
        <w:tc>
          <w:tcPr>
            <w:tcW w:w="7614" w:type="dxa"/>
            <w:gridSpan w:val="4"/>
            <w:tcBorders>
              <w:top w:val="single" w:color="auto" w:sz="4" w:space="0"/>
              <w:left w:val="single" w:color="auto" w:sz="4" w:space="0"/>
              <w:bottom w:val="single" w:color="auto" w:sz="4" w:space="0"/>
            </w:tcBorders>
            <w:vAlign w:val="center"/>
          </w:tcPr>
          <w:p w14:paraId="22EFAB43">
            <w:pPr>
              <w:pStyle w:val="15"/>
              <w:spacing w:line="400" w:lineRule="exact"/>
              <w:rPr>
                <w:rFonts w:ascii="宋体" w:cs="宋体"/>
                <w:b/>
                <w:bCs/>
                <w:color w:val="auto"/>
                <w:szCs w:val="21"/>
                <w:highlight w:val="none"/>
              </w:rPr>
            </w:pPr>
            <w:bookmarkStart w:id="50" w:name="OLE_LINK41"/>
            <w:r>
              <w:rPr>
                <w:rFonts w:hint="eastAsia"/>
                <w:color w:val="auto"/>
                <w:highlight w:val="none"/>
              </w:rPr>
              <w:t>报价包括完成本项目“项目需求”中所列所有服务内容产生的所有成本、项目验收、税金、利润等费用，采购人不再另行支付任何费用。</w:t>
            </w:r>
            <w:bookmarkEnd w:id="50"/>
          </w:p>
        </w:tc>
      </w:tr>
      <w:tr w14:paraId="25BDB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5781E52D">
            <w:pPr>
              <w:spacing w:line="300" w:lineRule="exact"/>
              <w:jc w:val="center"/>
              <w:rPr>
                <w:rFonts w:asci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color w:val="auto"/>
                <w:szCs w:val="21"/>
                <w:highlight w:val="none"/>
              </w:rPr>
              <w:t>合同</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期限和地点</w:t>
            </w:r>
          </w:p>
        </w:tc>
        <w:tc>
          <w:tcPr>
            <w:tcW w:w="7614" w:type="dxa"/>
            <w:gridSpan w:val="4"/>
            <w:tcBorders>
              <w:top w:val="single" w:color="auto" w:sz="4" w:space="0"/>
              <w:left w:val="single" w:color="auto" w:sz="4" w:space="0"/>
              <w:bottom w:val="single" w:color="auto" w:sz="4" w:space="0"/>
            </w:tcBorders>
            <w:vAlign w:val="center"/>
          </w:tcPr>
          <w:p w14:paraId="42EE8CFC">
            <w:pPr>
              <w:spacing w:line="400" w:lineRule="exact"/>
              <w:rPr>
                <w:color w:val="auto"/>
                <w:highlight w:val="none"/>
              </w:rPr>
            </w:pPr>
            <w:bookmarkStart w:id="51" w:name="OLE_LINK43"/>
            <w:r>
              <w:rPr>
                <w:rFonts w:hint="eastAsia"/>
                <w:color w:val="auto"/>
                <w:highlight w:val="none"/>
              </w:rPr>
              <w:t>1.合同</w:t>
            </w:r>
            <w:r>
              <w:rPr>
                <w:rFonts w:hint="eastAsia"/>
                <w:color w:val="auto"/>
                <w:highlight w:val="none"/>
                <w:lang w:eastAsia="zh-CN"/>
              </w:rPr>
              <w:t>履约</w:t>
            </w:r>
            <w:r>
              <w:rPr>
                <w:rFonts w:hint="eastAsia"/>
                <w:color w:val="auto"/>
                <w:highlight w:val="none"/>
              </w:rPr>
              <w:t>期限：自合同签订之日起1年；</w:t>
            </w:r>
          </w:p>
          <w:p w14:paraId="16ECA9D9">
            <w:pPr>
              <w:pStyle w:val="15"/>
              <w:spacing w:line="400" w:lineRule="exact"/>
              <w:rPr>
                <w:rFonts w:ascii="宋体" w:cs="宋体"/>
                <w:b/>
                <w:bCs/>
                <w:color w:val="auto"/>
                <w:szCs w:val="21"/>
                <w:highlight w:val="none"/>
              </w:rPr>
            </w:pPr>
            <w:r>
              <w:rPr>
                <w:rFonts w:hint="eastAsia"/>
                <w:color w:val="auto"/>
                <w:highlight w:val="none"/>
              </w:rPr>
              <w:t>2.地点：广西区内采购人指定地点。</w:t>
            </w:r>
            <w:bookmarkEnd w:id="51"/>
          </w:p>
        </w:tc>
      </w:tr>
      <w:tr w14:paraId="1A858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6" w:hRule="atLeast"/>
          <w:jc w:val="center"/>
        </w:trPr>
        <w:tc>
          <w:tcPr>
            <w:tcW w:w="2100" w:type="dxa"/>
            <w:gridSpan w:val="2"/>
            <w:tcBorders>
              <w:top w:val="single" w:color="auto" w:sz="4" w:space="0"/>
              <w:bottom w:val="single" w:color="auto" w:sz="4" w:space="0"/>
              <w:right w:val="single" w:color="auto" w:sz="4" w:space="0"/>
            </w:tcBorders>
            <w:vAlign w:val="center"/>
          </w:tcPr>
          <w:p w14:paraId="02012F23">
            <w:pPr>
              <w:spacing w:line="360" w:lineRule="auto"/>
              <w:jc w:val="center"/>
              <w:rPr>
                <w:rFonts w:asci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color w:val="auto"/>
                <w:szCs w:val="21"/>
                <w:highlight w:val="none"/>
              </w:rPr>
              <w:t>付款条件</w:t>
            </w:r>
          </w:p>
        </w:tc>
        <w:tc>
          <w:tcPr>
            <w:tcW w:w="7614" w:type="dxa"/>
            <w:gridSpan w:val="4"/>
            <w:tcBorders>
              <w:top w:val="single" w:color="auto" w:sz="4" w:space="0"/>
              <w:left w:val="single" w:color="auto" w:sz="4" w:space="0"/>
              <w:bottom w:val="single" w:color="auto" w:sz="4" w:space="0"/>
            </w:tcBorders>
            <w:vAlign w:val="center"/>
          </w:tcPr>
          <w:p w14:paraId="36BAE4C6">
            <w:pPr>
              <w:spacing w:line="400" w:lineRule="exact"/>
              <w:rPr>
                <w:rFonts w:ascii="宋体" w:cs="宋体"/>
                <w:b/>
                <w:bCs/>
                <w:color w:val="auto"/>
                <w:szCs w:val="21"/>
                <w:highlight w:val="none"/>
              </w:rPr>
            </w:pPr>
            <w:bookmarkStart w:id="52" w:name="OLE_LINK39"/>
            <w:r>
              <w:rPr>
                <w:rFonts w:hint="eastAsia" w:ascii="宋体" w:hAnsi="宋体" w:cs="宋体"/>
                <w:bCs/>
                <w:color w:val="auto"/>
                <w:szCs w:val="21"/>
                <w:highlight w:val="none"/>
              </w:rPr>
              <w:t>合同签订后20个工作日内，采购人支付合同款的40%</w:t>
            </w:r>
            <w:r>
              <w:rPr>
                <w:rFonts w:ascii="宋体" w:hAnsi="宋体" w:cs="宋体"/>
                <w:bCs/>
                <w:color w:val="auto"/>
                <w:szCs w:val="21"/>
                <w:highlight w:val="none"/>
              </w:rPr>
              <w:t>给成交供应商；</w:t>
            </w:r>
            <w:r>
              <w:rPr>
                <w:rFonts w:hint="eastAsia" w:ascii="宋体" w:hAnsi="宋体" w:cs="宋体"/>
                <w:bCs/>
                <w:color w:val="auto"/>
                <w:szCs w:val="21"/>
                <w:highlight w:val="none"/>
              </w:rPr>
              <w:t>在供应商完成首次现场核验，并正式提交《广西农情固定观察白皮书》首期报告后，采购人支付合同款的40%作为进度款；待供应商完成第二次现场核验工作、提交第二期《广西农情固定观察白皮书》报告，提供主要作物产量变动佐证材料，且项目整体通过年度验收后，采购人支付剩余20%合同款。成交供应商应于每次收到合同款后3个工作日内，向采购人出具合法有效的增值税专用发票，发票金额须与当次收款金额完全相符。</w:t>
            </w:r>
            <w:bookmarkEnd w:id="52"/>
          </w:p>
        </w:tc>
      </w:tr>
      <w:tr w14:paraId="6CB690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2100" w:type="dxa"/>
            <w:gridSpan w:val="2"/>
            <w:tcBorders>
              <w:top w:val="single" w:color="auto" w:sz="4" w:space="0"/>
              <w:bottom w:val="single" w:color="auto" w:sz="4" w:space="0"/>
              <w:right w:val="single" w:color="auto" w:sz="4" w:space="0"/>
            </w:tcBorders>
            <w:vAlign w:val="center"/>
          </w:tcPr>
          <w:p w14:paraId="66919624">
            <w:pPr>
              <w:spacing w:line="360" w:lineRule="auto"/>
              <w:jc w:val="center"/>
              <w:rPr>
                <w:rFonts w:ascii="宋体" w:cs="宋体"/>
                <w:b/>
                <w:bCs/>
                <w:color w:val="auto"/>
                <w:szCs w:val="21"/>
                <w:highlight w:val="none"/>
              </w:rPr>
            </w:pPr>
            <w:r>
              <w:rPr>
                <w:rFonts w:hint="eastAsia" w:ascii="宋体" w:hAnsi="宋体" w:cs="宋体"/>
                <w:color w:val="auto"/>
                <w:szCs w:val="21"/>
                <w:highlight w:val="none"/>
              </w:rPr>
              <w:t>▲售后服务</w:t>
            </w:r>
          </w:p>
        </w:tc>
        <w:tc>
          <w:tcPr>
            <w:tcW w:w="7614" w:type="dxa"/>
            <w:gridSpan w:val="4"/>
            <w:tcBorders>
              <w:top w:val="single" w:color="auto" w:sz="4" w:space="0"/>
              <w:left w:val="single" w:color="auto" w:sz="4" w:space="0"/>
              <w:bottom w:val="single" w:color="auto" w:sz="4" w:space="0"/>
            </w:tcBorders>
            <w:vAlign w:val="center"/>
          </w:tcPr>
          <w:p w14:paraId="21AAC75A">
            <w:pPr>
              <w:spacing w:line="400" w:lineRule="exact"/>
              <w:rPr>
                <w:rFonts w:asciiTheme="minorEastAsia" w:hAnsiTheme="minorEastAsia" w:eastAsiaTheme="minorEastAsia" w:cstheme="minorEastAsia"/>
                <w:color w:val="auto"/>
                <w:szCs w:val="21"/>
                <w:highlight w:val="none"/>
              </w:rPr>
            </w:pPr>
            <w:bookmarkStart w:id="53" w:name="OLE_LINK44"/>
            <w:r>
              <w:rPr>
                <w:rFonts w:hint="eastAsia" w:ascii="宋体" w:hAnsi="宋体" w:cs="宋体"/>
                <w:color w:val="auto"/>
                <w:szCs w:val="21"/>
                <w:highlight w:val="none"/>
              </w:rPr>
              <w:t>1.</w:t>
            </w:r>
            <w:r>
              <w:rPr>
                <w:rFonts w:hint="eastAsia" w:asciiTheme="minorEastAsia" w:hAnsiTheme="minorEastAsia" w:eastAsiaTheme="minorEastAsia" w:cstheme="minorEastAsia"/>
                <w:color w:val="auto"/>
                <w:szCs w:val="21"/>
                <w:highlight w:val="none"/>
              </w:rPr>
              <w:t>对100个农情固定观察信息采集员进行培训</w:t>
            </w:r>
            <w:r>
              <w:rPr>
                <w:rFonts w:hint="eastAsia" w:asciiTheme="minorEastAsia" w:hAnsiTheme="minorEastAsia" w:cstheme="minorEastAsia"/>
                <w:color w:val="auto"/>
                <w:szCs w:val="21"/>
                <w:highlight w:val="none"/>
              </w:rPr>
              <w:t>（至少2次）</w:t>
            </w:r>
          </w:p>
          <w:p w14:paraId="02B53F13">
            <w:pPr>
              <w:spacing w:line="40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需全面负责培训班的组织实施工作并承担培训期间产生的全部费用。培训计划为期3天，主要工作内容包括：制定系统化培训方案（含日程安排）、统筹酒店住宿及教学场地安排、邀请领域专家开展专题授课、编撰印制学员手册与农情固定观察工作手册、以及现场会务管理等工作。</w:t>
            </w:r>
          </w:p>
          <w:p w14:paraId="3158D106">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2.售后服务：</w:t>
            </w:r>
          </w:p>
          <w:p w14:paraId="3C4ED601">
            <w:pPr>
              <w:spacing w:line="40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cstheme="minorEastAsia"/>
                <w:color w:val="auto"/>
                <w:szCs w:val="21"/>
                <w:highlight w:val="none"/>
              </w:rPr>
              <w:t>（1）驻场人员要求：</w:t>
            </w:r>
            <w:r>
              <w:rPr>
                <w:rFonts w:hint="eastAsia" w:asciiTheme="minorEastAsia" w:hAnsiTheme="minorEastAsia" w:eastAsiaTheme="minorEastAsia" w:cstheme="minorEastAsia"/>
                <w:color w:val="auto"/>
                <w:szCs w:val="21"/>
                <w:highlight w:val="none"/>
              </w:rPr>
              <w:t>安排1名熟悉农情固定观察业务的</w:t>
            </w:r>
            <w:r>
              <w:rPr>
                <w:rFonts w:hint="eastAsia" w:asciiTheme="minorEastAsia" w:hAnsiTheme="minorEastAsia" w:cstheme="minorEastAsia"/>
                <w:color w:val="auto"/>
                <w:szCs w:val="21"/>
                <w:highlight w:val="none"/>
              </w:rPr>
              <w:t>驻场人员</w:t>
            </w:r>
            <w:r>
              <w:rPr>
                <w:rFonts w:hint="eastAsia" w:asciiTheme="minorEastAsia" w:hAnsiTheme="minorEastAsia" w:eastAsiaTheme="minorEastAsia" w:cstheme="minorEastAsia"/>
                <w:color w:val="auto"/>
                <w:szCs w:val="21"/>
                <w:highlight w:val="none"/>
              </w:rPr>
              <w:t>，负责</w:t>
            </w:r>
            <w:r>
              <w:rPr>
                <w:rFonts w:hint="eastAsia" w:asciiTheme="minorEastAsia" w:hAnsiTheme="minorEastAsia" w:cstheme="minorEastAsia"/>
                <w:color w:val="auto"/>
                <w:szCs w:val="21"/>
                <w:highlight w:val="none"/>
              </w:rPr>
              <w:t>维护农情固定观察点日常</w:t>
            </w:r>
            <w:r>
              <w:rPr>
                <w:rFonts w:hint="eastAsia" w:asciiTheme="minorEastAsia" w:hAnsiTheme="minorEastAsia" w:eastAsiaTheme="minorEastAsia" w:cstheme="minorEastAsia"/>
                <w:color w:val="auto"/>
                <w:szCs w:val="21"/>
                <w:highlight w:val="none"/>
              </w:rPr>
              <w:t>工作。</w:t>
            </w:r>
          </w:p>
          <w:p w14:paraId="2BD599FE">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（2）质量保证期内提供免费按采购人指定的地点上门服务；</w:t>
            </w:r>
          </w:p>
          <w:p w14:paraId="654C658C">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（3）服务期内提供7×24小时电话技术支持（包含电话、邮件、远程桌面支持等）</w:t>
            </w:r>
          </w:p>
          <w:p w14:paraId="5423D2DA">
            <w:pPr>
              <w:spacing w:line="400" w:lineRule="exact"/>
              <w:jc w:val="left"/>
              <w:rPr>
                <w:rFonts w:eastAsiaTheme="minorEastAsia"/>
                <w:color w:val="auto"/>
                <w:szCs w:val="21"/>
                <w:highlight w:val="none"/>
              </w:rPr>
            </w:pPr>
            <w:r>
              <w:rPr>
                <w:rFonts w:hint="eastAsia" w:ascii="宋体" w:hAnsi="宋体" w:cs="宋体"/>
                <w:color w:val="auto"/>
                <w:szCs w:val="21"/>
                <w:highlight w:val="none"/>
              </w:rPr>
              <w:t>（4）</w:t>
            </w:r>
            <w:r>
              <w:rPr>
                <w:rFonts w:hint="eastAsia"/>
                <w:color w:val="auto"/>
                <w:szCs w:val="21"/>
                <w:highlight w:val="none"/>
              </w:rPr>
              <w:t>接到紧急调度通知后，工作日10分钟响应，必要时1小时内到现场，非工作日30分钟响应，必要时2小时内到达现场。</w:t>
            </w:r>
          </w:p>
          <w:p w14:paraId="2C69EC03">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（5）定期回访；</w:t>
            </w:r>
          </w:p>
          <w:p w14:paraId="315EBD6C">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3.在质量保证期内，通过热线咨询电话、呼叫中心方式实现电话技术支持，提供日常系统疑问咨询解答，帮助业务人员顺利完成系统日常运作。</w:t>
            </w:r>
          </w:p>
          <w:p w14:paraId="54963010">
            <w:pPr>
              <w:spacing w:line="400" w:lineRule="exact"/>
              <w:jc w:val="left"/>
              <w:rPr>
                <w:rFonts w:ascii="宋体" w:cs="宋体"/>
                <w:b/>
                <w:bCs/>
                <w:color w:val="auto"/>
                <w:szCs w:val="21"/>
                <w:highlight w:val="none"/>
              </w:rPr>
            </w:pPr>
            <w:r>
              <w:rPr>
                <w:rFonts w:hint="eastAsia" w:ascii="宋体" w:hAnsi="宋体" w:cs="宋体"/>
                <w:color w:val="auto"/>
                <w:szCs w:val="21"/>
                <w:highlight w:val="none"/>
              </w:rPr>
              <w:t>4.在质量保证期内，通过在线帮助中心、电子邮件、QQ网络技术支持，及时在线解答采购单位人员咨询疑问。</w:t>
            </w:r>
            <w:bookmarkEnd w:id="53"/>
          </w:p>
        </w:tc>
      </w:tr>
      <w:tr w14:paraId="3BB76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23911DCF">
            <w:pPr>
              <w:spacing w:line="360" w:lineRule="auto"/>
              <w:jc w:val="center"/>
              <w:rPr>
                <w:rFonts w:ascii="宋体" w:cs="宋体"/>
                <w:b/>
                <w:bCs/>
                <w:color w:val="auto"/>
                <w:szCs w:val="21"/>
                <w:highlight w:val="none"/>
              </w:rPr>
            </w:pPr>
            <w:r>
              <w:rPr>
                <w:rFonts w:hint="eastAsia" w:ascii="宋体" w:hAnsi="宋体" w:cs="宋体"/>
                <w:color w:val="auto"/>
                <w:szCs w:val="21"/>
                <w:highlight w:val="none"/>
              </w:rPr>
              <w:t>▲其他要求</w:t>
            </w:r>
          </w:p>
        </w:tc>
        <w:tc>
          <w:tcPr>
            <w:tcW w:w="7614" w:type="dxa"/>
            <w:gridSpan w:val="4"/>
            <w:tcBorders>
              <w:top w:val="single" w:color="auto" w:sz="4" w:space="0"/>
              <w:left w:val="single" w:color="auto" w:sz="4" w:space="0"/>
              <w:bottom w:val="single" w:color="auto" w:sz="4" w:space="0"/>
            </w:tcBorders>
            <w:vAlign w:val="center"/>
          </w:tcPr>
          <w:p w14:paraId="1CF160F0">
            <w:pPr>
              <w:pStyle w:val="61"/>
              <w:spacing w:line="400" w:lineRule="exact"/>
              <w:rPr>
                <w:rFonts w:ascii="宋体" w:hAnsi="宋体" w:cs="宋体"/>
                <w:bCs w:val="0"/>
                <w:color w:val="auto"/>
                <w:spacing w:val="0"/>
                <w:kern w:val="2"/>
                <w:sz w:val="21"/>
                <w:szCs w:val="22"/>
                <w:highlight w:val="none"/>
              </w:rPr>
            </w:pPr>
            <w:bookmarkStart w:id="54" w:name="OLE_LINK45"/>
            <w:r>
              <w:rPr>
                <w:rFonts w:hint="eastAsia" w:ascii="宋体" w:hAnsi="宋体" w:cs="宋体"/>
                <w:bCs w:val="0"/>
                <w:color w:val="auto"/>
                <w:spacing w:val="0"/>
                <w:kern w:val="2"/>
                <w:sz w:val="21"/>
                <w:szCs w:val="22"/>
                <w:highlight w:val="none"/>
              </w:rPr>
              <w:t>1.版权归属：全区农情固定观察点、信息采集员、采集的数据、现场核验报告、白皮书、佐证材料等版权归广西壮族自治区农业信息中心所有。</w:t>
            </w:r>
          </w:p>
          <w:p w14:paraId="37D8B539">
            <w:pPr>
              <w:pStyle w:val="61"/>
              <w:spacing w:line="400" w:lineRule="exact"/>
              <w:rPr>
                <w:rFonts w:ascii="宋体" w:cs="宋体"/>
                <w:b/>
                <w:color w:val="auto"/>
                <w:szCs w:val="21"/>
                <w:highlight w:val="none"/>
              </w:rPr>
            </w:pPr>
            <w:r>
              <w:rPr>
                <w:rFonts w:hint="eastAsia" w:ascii="宋体" w:hAnsi="宋体" w:cs="宋体"/>
                <w:bCs w:val="0"/>
                <w:color w:val="auto"/>
                <w:spacing w:val="0"/>
                <w:kern w:val="2"/>
                <w:sz w:val="21"/>
                <w:szCs w:val="22"/>
                <w:highlight w:val="none"/>
              </w:rPr>
              <w:t>2.供应商请在响应文件中提供具体的服务方案和服务机构的详细情况（包括服务机构的地址、服务人员姓名、联系方式等）。</w:t>
            </w:r>
            <w:bookmarkEnd w:id="54"/>
          </w:p>
        </w:tc>
      </w:tr>
    </w:tbl>
    <w:p w14:paraId="774B7AFA">
      <w:pPr>
        <w:rPr>
          <w:rFonts w:ascii="宋体" w:cs="宋体"/>
          <w:color w:val="auto"/>
          <w:highlight w:val="none"/>
        </w:rPr>
      </w:pPr>
    </w:p>
    <w:p w14:paraId="52D3EBA8">
      <w:pPr>
        <w:rPr>
          <w:rFonts w:ascii="宋体" w:cs="宋体"/>
          <w:color w:val="auto"/>
          <w:highlight w:val="none"/>
        </w:rPr>
      </w:pPr>
    </w:p>
    <w:p w14:paraId="22B36664">
      <w:pPr>
        <w:rPr>
          <w:rFonts w:ascii="宋体" w:cs="宋体"/>
          <w:color w:val="auto"/>
          <w:highlight w:val="none"/>
        </w:rPr>
      </w:pPr>
    </w:p>
    <w:p w14:paraId="38CB99CD">
      <w:pPr>
        <w:spacing w:line="240" w:lineRule="auto"/>
        <w:ind w:firstLine="0" w:firstLineChars="0"/>
        <w:jc w:val="left"/>
        <w:rPr>
          <w:rFonts w:hint="eastAsia" w:ascii="宋体" w:hAnsi="宋体" w:cs="宋体"/>
          <w:b/>
          <w:color w:val="auto"/>
          <w:szCs w:val="21"/>
          <w:highlight w:val="none"/>
        </w:rPr>
      </w:pPr>
      <w:r>
        <w:rPr>
          <w:rFonts w:hint="eastAsia" w:ascii="宋体" w:hAnsi="宋体" w:cs="宋体"/>
          <w:b/>
          <w:color w:val="auto"/>
          <w:szCs w:val="21"/>
          <w:highlight w:val="none"/>
        </w:rPr>
        <w:br w:type="page"/>
      </w:r>
    </w:p>
    <w:p w14:paraId="72C1B99B">
      <w:pPr>
        <w:spacing w:line="360" w:lineRule="auto"/>
        <w:ind w:firstLine="310" w:firstLineChars="147"/>
        <w:jc w:val="left"/>
        <w:rPr>
          <w:rFonts w:ascii="宋体" w:cs="宋体"/>
          <w:bCs/>
          <w:color w:val="auto"/>
          <w:szCs w:val="21"/>
          <w:highlight w:val="none"/>
          <w:u w:val="single"/>
        </w:rPr>
      </w:pPr>
      <w:r>
        <w:rPr>
          <w:rFonts w:hint="eastAsia" w:ascii="宋体" w:hAnsi="宋体" w:cs="宋体"/>
          <w:b/>
          <w:color w:val="auto"/>
          <w:szCs w:val="21"/>
          <w:highlight w:val="none"/>
        </w:rPr>
        <w:t>分标</w:t>
      </w:r>
      <w:r>
        <w:rPr>
          <w:rFonts w:ascii="宋体" w:hAnsi="宋体" w:cs="宋体"/>
          <w:b/>
          <w:color w:val="auto"/>
          <w:szCs w:val="21"/>
          <w:highlight w:val="none"/>
        </w:rPr>
        <w:t>2</w:t>
      </w:r>
      <w:r>
        <w:rPr>
          <w:rFonts w:hint="eastAsia" w:ascii="宋体" w:hAnsi="宋体" w:cs="宋体"/>
          <w:b/>
          <w:color w:val="auto"/>
          <w:szCs w:val="21"/>
          <w:highlight w:val="none"/>
        </w:rPr>
        <w:t>（</w:t>
      </w:r>
      <w:r>
        <w:rPr>
          <w:rFonts w:ascii="宋体" w:hAnsi="宋体" w:cs="宋体"/>
          <w:b/>
          <w:color w:val="auto"/>
          <w:szCs w:val="21"/>
          <w:highlight w:val="none"/>
        </w:rPr>
        <w:t>广西三农摄影比赛暨采风活动</w:t>
      </w: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hint="eastAsia" w:ascii="宋体" w:hAnsi="宋体" w:cs="宋体"/>
          <w:b/>
          <w:color w:val="auto"/>
          <w:szCs w:val="21"/>
          <w:highlight w:val="none"/>
        </w:rPr>
        <w:t>采购预算：</w:t>
      </w:r>
      <w:r>
        <w:rPr>
          <w:rFonts w:ascii="宋体" w:hAnsi="宋体"/>
          <w:b/>
          <w:bCs/>
          <w:color w:val="auto"/>
          <w:szCs w:val="21"/>
          <w:highlight w:val="none"/>
          <w:u w:val="single"/>
        </w:rPr>
        <w:t xml:space="preserve">  20.00</w:t>
      </w:r>
      <w:r>
        <w:rPr>
          <w:rFonts w:hint="eastAsia" w:ascii="宋体" w:hAnsi="宋体"/>
          <w:b/>
          <w:bCs/>
          <w:color w:val="auto"/>
          <w:szCs w:val="21"/>
          <w:highlight w:val="none"/>
          <w:u w:val="single"/>
        </w:rPr>
        <w:t>万元</w:t>
      </w:r>
      <w:r>
        <w:rPr>
          <w:rFonts w:ascii="宋体" w:hAnsi="宋体" w:cs="宋体"/>
          <w:b/>
          <w:bCs/>
          <w:color w:val="auto"/>
          <w:szCs w:val="21"/>
          <w:highlight w:val="none"/>
          <w:u w:val="single"/>
        </w:rPr>
        <w:t xml:space="preserve"> </w:t>
      </w:r>
      <w:r>
        <w:rPr>
          <w:rFonts w:ascii="宋体" w:hAnsi="宋体" w:cs="宋体"/>
          <w:b/>
          <w:color w:val="auto"/>
          <w:szCs w:val="21"/>
          <w:highlight w:val="none"/>
        </w:rPr>
        <w:t xml:space="preserve">      </w:t>
      </w:r>
    </w:p>
    <w:tbl>
      <w:tblPr>
        <w:tblStyle w:val="32"/>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71"/>
        <w:gridCol w:w="1050"/>
        <w:gridCol w:w="1077"/>
        <w:gridCol w:w="5416"/>
      </w:tblGrid>
      <w:tr w14:paraId="6DDF0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14:paraId="08D2B43E">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1516" w:type="dxa"/>
            <w:gridSpan w:val="2"/>
            <w:vAlign w:val="center"/>
          </w:tcPr>
          <w:p w14:paraId="4C5D4F00">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标的名称</w:t>
            </w:r>
          </w:p>
        </w:tc>
        <w:tc>
          <w:tcPr>
            <w:tcW w:w="1050" w:type="dxa"/>
            <w:vAlign w:val="center"/>
          </w:tcPr>
          <w:p w14:paraId="5644721A">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数量及单位</w:t>
            </w:r>
          </w:p>
        </w:tc>
        <w:tc>
          <w:tcPr>
            <w:tcW w:w="1077" w:type="dxa"/>
            <w:vAlign w:val="center"/>
          </w:tcPr>
          <w:p w14:paraId="2688C360">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所属</w:t>
            </w:r>
          </w:p>
          <w:p w14:paraId="18D1AEB4">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行业</w:t>
            </w:r>
          </w:p>
        </w:tc>
        <w:tc>
          <w:tcPr>
            <w:tcW w:w="5416" w:type="dxa"/>
            <w:vAlign w:val="center"/>
          </w:tcPr>
          <w:p w14:paraId="6FF1AEBE">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技术要求</w:t>
            </w:r>
          </w:p>
        </w:tc>
      </w:tr>
      <w:tr w14:paraId="22237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5F92A98B">
            <w:pPr>
              <w:tabs>
                <w:tab w:val="left" w:pos="180"/>
                <w:tab w:val="left" w:pos="1620"/>
              </w:tabs>
              <w:spacing w:line="360" w:lineRule="auto"/>
              <w:jc w:val="center"/>
              <w:rPr>
                <w:rFonts w:ascii="宋体" w:cs="宋体"/>
                <w:color w:val="auto"/>
                <w:szCs w:val="21"/>
                <w:highlight w:val="none"/>
              </w:rPr>
            </w:pPr>
            <w:r>
              <w:rPr>
                <w:rFonts w:ascii="宋体" w:hAnsi="宋体" w:cs="宋体"/>
                <w:color w:val="auto"/>
                <w:szCs w:val="21"/>
                <w:highlight w:val="none"/>
              </w:rPr>
              <w:t>1</w:t>
            </w:r>
          </w:p>
        </w:tc>
        <w:tc>
          <w:tcPr>
            <w:tcW w:w="1516" w:type="dxa"/>
            <w:gridSpan w:val="2"/>
            <w:vAlign w:val="center"/>
          </w:tcPr>
          <w:p w14:paraId="78252F72">
            <w:pPr>
              <w:widowControl/>
              <w:spacing w:line="360" w:lineRule="auto"/>
              <w:jc w:val="center"/>
              <w:rPr>
                <w:rFonts w:ascii="宋体" w:cs="宋体"/>
                <w:color w:val="auto"/>
                <w:szCs w:val="21"/>
                <w:highlight w:val="none"/>
              </w:rPr>
            </w:pPr>
            <w:r>
              <w:rPr>
                <w:rFonts w:ascii="宋体" w:cs="宋体"/>
                <w:color w:val="auto"/>
                <w:szCs w:val="21"/>
                <w:highlight w:val="none"/>
              </w:rPr>
              <w:t>广西三农摄影比赛暨采风活动</w:t>
            </w:r>
          </w:p>
        </w:tc>
        <w:tc>
          <w:tcPr>
            <w:tcW w:w="1050" w:type="dxa"/>
            <w:vAlign w:val="center"/>
          </w:tcPr>
          <w:p w14:paraId="205A3679">
            <w:pPr>
              <w:widowControl/>
              <w:spacing w:line="360" w:lineRule="auto"/>
              <w:jc w:val="center"/>
              <w:rPr>
                <w:rFonts w:ascii="宋体" w:cs="宋体"/>
                <w:color w:val="auto"/>
                <w:szCs w:val="21"/>
                <w:highlight w:val="none"/>
              </w:rPr>
            </w:pPr>
            <w:r>
              <w:rPr>
                <w:rFonts w:hint="eastAsia" w:ascii="宋体" w:cs="宋体"/>
                <w:color w:val="auto"/>
                <w:szCs w:val="21"/>
                <w:highlight w:val="none"/>
              </w:rPr>
              <w:t>1项</w:t>
            </w:r>
          </w:p>
        </w:tc>
        <w:tc>
          <w:tcPr>
            <w:tcW w:w="1077" w:type="dxa"/>
            <w:vAlign w:val="center"/>
          </w:tcPr>
          <w:p w14:paraId="5645D39A">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rPr>
              <w:t>其他未列明行业</w:t>
            </w:r>
          </w:p>
        </w:tc>
        <w:tc>
          <w:tcPr>
            <w:tcW w:w="5416" w:type="dxa"/>
          </w:tcPr>
          <w:p w14:paraId="7BBADAEF">
            <w:pPr>
              <w:ind w:firstLine="420"/>
              <w:jc w:val="left"/>
              <w:rPr>
                <w:rFonts w:ascii="宋体" w:hAnsi="宋体" w:cs="宋体"/>
                <w:color w:val="auto"/>
                <w:szCs w:val="21"/>
                <w:highlight w:val="none"/>
              </w:rPr>
            </w:pPr>
            <w:r>
              <w:rPr>
                <w:rFonts w:hint="eastAsia" w:ascii="宋体" w:hAnsi="宋体" w:cs="宋体"/>
                <w:color w:val="auto"/>
                <w:szCs w:val="21"/>
                <w:highlight w:val="none"/>
              </w:rPr>
              <w:t>一、主题策划</w:t>
            </w:r>
          </w:p>
          <w:p w14:paraId="1CEFE15C">
            <w:pPr>
              <w:ind w:firstLine="420"/>
              <w:jc w:val="left"/>
              <w:rPr>
                <w:rFonts w:ascii="宋体" w:hAnsi="宋体" w:cs="宋体"/>
                <w:color w:val="auto"/>
                <w:szCs w:val="21"/>
                <w:highlight w:val="none"/>
              </w:rPr>
            </w:pPr>
            <w:r>
              <w:rPr>
                <w:rFonts w:hint="eastAsia" w:ascii="宋体" w:hAnsi="宋体" w:cs="宋体"/>
                <w:color w:val="auto"/>
                <w:szCs w:val="21"/>
                <w:highlight w:val="none"/>
              </w:rPr>
              <w:t>围绕广西“三农”工作，乡村美、向海经济、农业农村现代化发展、乡村文化新风等主题，展示乡村美景、农田风光、农业种养等乡村经济发展成果、巩固拓展脱贫攻坚成果、生产生态、光伏渔业、农民创业故事、乡村文化传承、民俗文化等，让人们重新认识和感受现代农业独特魅力。</w:t>
            </w:r>
          </w:p>
          <w:p w14:paraId="1DCBFF01">
            <w:pPr>
              <w:ind w:firstLine="420"/>
              <w:jc w:val="left"/>
              <w:rPr>
                <w:rFonts w:ascii="宋体" w:hAnsi="宋体" w:cs="宋体"/>
                <w:color w:val="auto"/>
                <w:szCs w:val="21"/>
                <w:highlight w:val="none"/>
              </w:rPr>
            </w:pPr>
            <w:r>
              <w:rPr>
                <w:rFonts w:hint="eastAsia" w:ascii="宋体" w:hAnsi="宋体" w:cs="宋体"/>
                <w:color w:val="auto"/>
                <w:szCs w:val="21"/>
                <w:highlight w:val="none"/>
              </w:rPr>
              <w:t>二、活动执行</w:t>
            </w:r>
          </w:p>
          <w:p w14:paraId="2AF10394">
            <w:pPr>
              <w:ind w:firstLine="420"/>
              <w:jc w:val="left"/>
              <w:rPr>
                <w:rFonts w:ascii="宋体" w:hAnsi="宋体" w:cs="宋体"/>
                <w:color w:val="auto"/>
                <w:szCs w:val="21"/>
                <w:highlight w:val="none"/>
              </w:rPr>
            </w:pPr>
            <w:r>
              <w:rPr>
                <w:rFonts w:hint="eastAsia" w:ascii="宋体" w:hAnsi="宋体" w:cs="宋体"/>
                <w:color w:val="auto"/>
                <w:szCs w:val="21"/>
                <w:highlight w:val="none"/>
              </w:rPr>
              <w:t>1.举办三农摄影采风主题活动</w:t>
            </w:r>
          </w:p>
          <w:p w14:paraId="5215FB50">
            <w:pPr>
              <w:ind w:firstLine="420"/>
              <w:jc w:val="left"/>
              <w:rPr>
                <w:rFonts w:ascii="宋体" w:hAnsi="宋体" w:cs="宋体"/>
                <w:color w:val="auto"/>
                <w:szCs w:val="21"/>
                <w:highlight w:val="none"/>
              </w:rPr>
            </w:pPr>
            <w:r>
              <w:rPr>
                <w:rFonts w:hint="eastAsia" w:ascii="宋体" w:hAnsi="宋体" w:cs="宋体"/>
                <w:color w:val="auto"/>
                <w:szCs w:val="21"/>
                <w:highlight w:val="none"/>
              </w:rPr>
              <w:t>在广西区内选点，组织一次中国新闻摄影学会会员、新华社签约摄影师、媒体摄影记者、广西农业系统有关宣传工作者到市、县进行农业摄影采风、摄影交流等活动，针对性拍摄富有感染力、冲击力，能充分展示十四五期间广西农业产业发展、乡村振兴成果的摄影作品进行新闻图片报道、参赛。</w:t>
            </w:r>
          </w:p>
          <w:p w14:paraId="29CF2D67">
            <w:pPr>
              <w:ind w:firstLine="420"/>
              <w:jc w:val="left"/>
              <w:rPr>
                <w:rFonts w:ascii="宋体" w:hAnsi="宋体" w:cs="宋体"/>
                <w:color w:val="auto"/>
                <w:szCs w:val="21"/>
                <w:highlight w:val="none"/>
              </w:rPr>
            </w:pPr>
            <w:r>
              <w:rPr>
                <w:rFonts w:hint="eastAsia" w:ascii="宋体" w:hAnsi="宋体" w:cs="宋体"/>
                <w:color w:val="auto"/>
                <w:szCs w:val="21"/>
                <w:highlight w:val="none"/>
              </w:rPr>
              <w:t>2.活动内容推广</w:t>
            </w:r>
          </w:p>
          <w:p w14:paraId="30324D20">
            <w:pPr>
              <w:ind w:firstLine="420"/>
              <w:jc w:val="left"/>
              <w:rPr>
                <w:rFonts w:ascii="宋体" w:hAnsi="宋体" w:cs="宋体"/>
                <w:color w:val="auto"/>
                <w:szCs w:val="21"/>
                <w:highlight w:val="none"/>
              </w:rPr>
            </w:pPr>
            <w:r>
              <w:rPr>
                <w:rFonts w:hint="eastAsia" w:ascii="宋体" w:hAnsi="宋体" w:cs="宋体"/>
                <w:color w:val="auto"/>
                <w:szCs w:val="21"/>
                <w:highlight w:val="none"/>
              </w:rPr>
              <w:t>（1）线上推广:利用新媒体渠道、微信公众号、网站等，开展摄影征集、摄影展览、摄影比赛等活动宣传，吸引热爱摄影的社会群众参与活动。</w:t>
            </w:r>
          </w:p>
          <w:p w14:paraId="3519311E">
            <w:pPr>
              <w:ind w:firstLine="420"/>
              <w:jc w:val="left"/>
              <w:rPr>
                <w:rFonts w:ascii="宋体" w:hAnsi="宋体" w:cs="宋体"/>
                <w:color w:val="auto"/>
                <w:szCs w:val="21"/>
                <w:highlight w:val="none"/>
              </w:rPr>
            </w:pPr>
            <w:r>
              <w:rPr>
                <w:rFonts w:hint="eastAsia" w:ascii="宋体" w:hAnsi="宋体" w:cs="宋体"/>
                <w:color w:val="auto"/>
                <w:szCs w:val="21"/>
                <w:highlight w:val="none"/>
              </w:rPr>
              <w:t>（2）线下宣传:利用传统媒体渠道，广泛宣传策划，吸引更多摄影人关注乡村振兴和乡村文化。</w:t>
            </w:r>
          </w:p>
          <w:p w14:paraId="21961144">
            <w:pPr>
              <w:ind w:firstLine="420"/>
              <w:jc w:val="left"/>
              <w:rPr>
                <w:rFonts w:ascii="宋体" w:hAnsi="宋体" w:cs="宋体"/>
                <w:color w:val="auto"/>
                <w:szCs w:val="21"/>
                <w:highlight w:val="none"/>
              </w:rPr>
            </w:pPr>
            <w:r>
              <w:rPr>
                <w:rFonts w:hint="eastAsia" w:ascii="宋体" w:hAnsi="宋体" w:cs="宋体"/>
                <w:color w:val="auto"/>
                <w:szCs w:val="21"/>
                <w:highlight w:val="none"/>
              </w:rPr>
              <w:t>（3）合作推广:与中国新闻摄影学会广西分会、新华社广西分社图片总会等合作，在专业渠道推广。吸引记者、摄影师等专业人员和宣传队伍参与活动。</w:t>
            </w:r>
          </w:p>
          <w:p w14:paraId="07FD7DE8">
            <w:pPr>
              <w:ind w:firstLine="420"/>
              <w:jc w:val="left"/>
              <w:rPr>
                <w:rFonts w:ascii="宋体" w:hAnsi="宋体" w:cs="宋体"/>
                <w:color w:val="auto"/>
                <w:szCs w:val="21"/>
                <w:highlight w:val="none"/>
              </w:rPr>
            </w:pPr>
            <w:r>
              <w:rPr>
                <w:rFonts w:hint="eastAsia" w:ascii="宋体" w:hAnsi="宋体" w:cs="宋体"/>
                <w:color w:val="auto"/>
                <w:szCs w:val="21"/>
                <w:highlight w:val="none"/>
              </w:rPr>
              <w:t>3. 举办2025年广西三农摄影比赛</w:t>
            </w:r>
          </w:p>
          <w:p w14:paraId="77E03973">
            <w:pPr>
              <w:ind w:firstLine="420"/>
              <w:jc w:val="left"/>
              <w:rPr>
                <w:rFonts w:ascii="宋体" w:hAnsi="宋体" w:cs="宋体"/>
                <w:color w:val="auto"/>
                <w:szCs w:val="21"/>
                <w:highlight w:val="none"/>
              </w:rPr>
            </w:pPr>
            <w:r>
              <w:rPr>
                <w:rFonts w:hint="eastAsia" w:ascii="宋体" w:hAnsi="宋体" w:cs="宋体"/>
                <w:color w:val="auto"/>
                <w:szCs w:val="21"/>
                <w:highlight w:val="none"/>
              </w:rPr>
              <w:t>年内举办一场2025年广西“三农”摄影比赛。</w:t>
            </w:r>
          </w:p>
          <w:p w14:paraId="515E0C2B">
            <w:pPr>
              <w:ind w:firstLine="420"/>
              <w:jc w:val="left"/>
              <w:rPr>
                <w:rFonts w:ascii="宋体" w:hAnsi="宋体" w:cs="宋体"/>
                <w:color w:val="auto"/>
                <w:szCs w:val="21"/>
                <w:highlight w:val="none"/>
              </w:rPr>
            </w:pPr>
            <w:r>
              <w:rPr>
                <w:rFonts w:hint="eastAsia" w:ascii="宋体" w:hAnsi="宋体" w:cs="宋体"/>
                <w:color w:val="auto"/>
                <w:szCs w:val="21"/>
                <w:highlight w:val="none"/>
              </w:rPr>
              <w:t>(1)摄影作品征集:发动中国新闻摄影学会、新华社签约摄影师、各级媒体记者、摄影协会，通过广西农业系统网站、新媒体等网络平台途径，向专业摄影工作者人员和社会广泛征集广西“三农”摄影作品。</w:t>
            </w:r>
          </w:p>
          <w:p w14:paraId="19F8B266">
            <w:pPr>
              <w:ind w:firstLine="420"/>
              <w:jc w:val="left"/>
              <w:rPr>
                <w:rFonts w:ascii="宋体" w:hAnsi="宋体" w:cs="宋体"/>
                <w:color w:val="auto"/>
                <w:szCs w:val="21"/>
                <w:highlight w:val="none"/>
              </w:rPr>
            </w:pPr>
            <w:r>
              <w:rPr>
                <w:rFonts w:hint="eastAsia" w:ascii="宋体" w:hAnsi="宋体" w:cs="宋体"/>
                <w:color w:val="auto"/>
                <w:szCs w:val="21"/>
                <w:highlight w:val="none"/>
              </w:rPr>
              <w:t>(2)摄影评审:通过组织专家、学者评审，筛选出优秀摄影作品。</w:t>
            </w:r>
          </w:p>
          <w:p w14:paraId="426EB966">
            <w:pPr>
              <w:ind w:firstLine="420"/>
              <w:jc w:val="left"/>
              <w:rPr>
                <w:rFonts w:ascii="宋体" w:hAnsi="宋体" w:cs="宋体"/>
                <w:color w:val="auto"/>
                <w:szCs w:val="21"/>
                <w:highlight w:val="none"/>
              </w:rPr>
            </w:pPr>
            <w:r>
              <w:rPr>
                <w:rFonts w:hint="eastAsia" w:ascii="宋体" w:hAnsi="宋体" w:cs="宋体"/>
                <w:color w:val="auto"/>
                <w:szCs w:val="21"/>
                <w:highlight w:val="none"/>
              </w:rPr>
              <w:t>评选最具创意和表现力的“三农”摄影作品。比赛分设一等奖1名， 二等奖2名，三等奖3名，优秀奖20名。</w:t>
            </w:r>
          </w:p>
          <w:p w14:paraId="7AF0E802">
            <w:pPr>
              <w:ind w:firstLine="420"/>
              <w:jc w:val="left"/>
              <w:rPr>
                <w:rFonts w:ascii="宋体" w:hAnsi="宋体" w:cs="宋体"/>
                <w:color w:val="auto"/>
                <w:szCs w:val="21"/>
                <w:highlight w:val="none"/>
              </w:rPr>
            </w:pPr>
            <w:r>
              <w:rPr>
                <w:rFonts w:hint="eastAsia" w:ascii="宋体" w:hAnsi="宋体" w:cs="宋体"/>
                <w:color w:val="auto"/>
                <w:szCs w:val="21"/>
                <w:highlight w:val="none"/>
              </w:rPr>
              <w:t>4. 举办专题摄影展：在广西农业农村厅内举办为期1个月的“2025 广西三农摄影比赛获奖作品展”。展览将设置多个专题区域，包括巩固拓展脱贫攻坚成果、乡村新貌、向海经济、农旅融合发展等，通过大幅图片、成果视频展示等多维度展现比赛获奖作品的魅力。</w:t>
            </w:r>
          </w:p>
          <w:p w14:paraId="1F0E8E56">
            <w:pPr>
              <w:ind w:firstLine="420"/>
              <w:jc w:val="left"/>
              <w:rPr>
                <w:rFonts w:ascii="宋体" w:hAnsi="宋体" w:cs="宋体"/>
                <w:color w:val="auto"/>
                <w:szCs w:val="21"/>
                <w:highlight w:val="none"/>
              </w:rPr>
            </w:pPr>
            <w:r>
              <w:rPr>
                <w:rFonts w:hint="eastAsia" w:ascii="宋体" w:hAnsi="宋体" w:cs="宋体"/>
                <w:color w:val="auto"/>
                <w:szCs w:val="21"/>
                <w:highlight w:val="none"/>
              </w:rPr>
              <w:t xml:space="preserve">三、活动时间： </w:t>
            </w:r>
          </w:p>
          <w:p w14:paraId="5DAF1F3C">
            <w:pPr>
              <w:ind w:firstLine="420"/>
              <w:jc w:val="left"/>
              <w:rPr>
                <w:rFonts w:ascii="宋体" w:hAnsi="宋体" w:cs="宋体"/>
                <w:color w:val="auto"/>
                <w:szCs w:val="21"/>
                <w:highlight w:val="none"/>
              </w:rPr>
            </w:pPr>
            <w:r>
              <w:rPr>
                <w:rFonts w:hint="eastAsia" w:ascii="宋体" w:hAnsi="宋体" w:cs="宋体"/>
                <w:color w:val="auto"/>
                <w:szCs w:val="21"/>
                <w:highlight w:val="none"/>
              </w:rPr>
              <w:t>1.作品征集（含活动宣传、采风）：合同签订后起至2025年8月底；</w:t>
            </w:r>
          </w:p>
          <w:p w14:paraId="215BB2CC">
            <w:pPr>
              <w:ind w:firstLine="420"/>
              <w:jc w:val="left"/>
              <w:rPr>
                <w:rFonts w:ascii="宋体" w:hAnsi="宋体" w:cs="宋体"/>
                <w:color w:val="auto"/>
                <w:szCs w:val="21"/>
                <w:highlight w:val="none"/>
              </w:rPr>
            </w:pPr>
            <w:r>
              <w:rPr>
                <w:rFonts w:hint="eastAsia" w:ascii="宋体" w:hAnsi="宋体" w:cs="宋体"/>
                <w:color w:val="auto"/>
                <w:szCs w:val="21"/>
                <w:highlight w:val="none"/>
              </w:rPr>
              <w:t>2.作品评审和公布时间，2025年9月底前；</w:t>
            </w:r>
          </w:p>
          <w:p w14:paraId="66484C4F">
            <w:pPr>
              <w:ind w:firstLine="420"/>
              <w:jc w:val="left"/>
              <w:rPr>
                <w:rFonts w:ascii="宋体" w:hAnsi="宋体" w:cs="宋体"/>
                <w:color w:val="auto"/>
                <w:szCs w:val="21"/>
                <w:highlight w:val="none"/>
              </w:rPr>
            </w:pPr>
            <w:r>
              <w:rPr>
                <w:rFonts w:hint="eastAsia" w:ascii="宋体" w:hAnsi="宋体" w:cs="宋体"/>
                <w:color w:val="auto"/>
                <w:szCs w:val="21"/>
                <w:highlight w:val="none"/>
              </w:rPr>
              <w:t>3.展出时间：2025年10月-11月。</w:t>
            </w:r>
          </w:p>
          <w:p w14:paraId="44377CF1">
            <w:pPr>
              <w:ind w:firstLine="420"/>
              <w:jc w:val="left"/>
              <w:rPr>
                <w:rFonts w:ascii="宋体" w:hAnsi="宋体" w:cs="宋体"/>
                <w:color w:val="auto"/>
                <w:szCs w:val="21"/>
                <w:highlight w:val="none"/>
              </w:rPr>
            </w:pPr>
            <w:r>
              <w:rPr>
                <w:rFonts w:hint="eastAsia" w:ascii="宋体" w:hAnsi="宋体" w:cs="宋体"/>
                <w:color w:val="auto"/>
                <w:szCs w:val="21"/>
                <w:highlight w:val="none"/>
              </w:rPr>
              <w:t>四、其他服务</w:t>
            </w:r>
          </w:p>
          <w:p w14:paraId="4DCB8B48">
            <w:pPr>
              <w:ind w:firstLine="420"/>
              <w:jc w:val="left"/>
              <w:rPr>
                <w:rFonts w:ascii="宋体" w:cs="宋体"/>
                <w:color w:val="auto"/>
                <w:szCs w:val="21"/>
                <w:highlight w:val="none"/>
              </w:rPr>
            </w:pPr>
            <w:r>
              <w:rPr>
                <w:rFonts w:hint="eastAsia" w:ascii="宋体" w:hAnsi="宋体" w:cs="宋体"/>
                <w:color w:val="auto"/>
                <w:szCs w:val="21"/>
                <w:highlight w:val="none"/>
              </w:rPr>
              <w:t>提供采风、比赛参赛作品、素材（图片、视频、文档）长期存储、查询展示服务一项。</w:t>
            </w:r>
          </w:p>
        </w:tc>
      </w:tr>
      <w:tr w14:paraId="60B42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6"/>
            <w:tcBorders>
              <w:top w:val="single" w:color="auto" w:sz="4" w:space="0"/>
              <w:bottom w:val="single" w:color="auto" w:sz="4" w:space="0"/>
            </w:tcBorders>
          </w:tcPr>
          <w:p w14:paraId="28E6508E">
            <w:pPr>
              <w:spacing w:line="360" w:lineRule="auto"/>
              <w:rPr>
                <w:rFonts w:ascii="宋体" w:cs="宋体"/>
                <w:color w:val="auto"/>
                <w:szCs w:val="21"/>
                <w:highlight w:val="none"/>
              </w:rPr>
            </w:pPr>
            <w:r>
              <w:rPr>
                <w:rFonts w:hint="eastAsia" w:ascii="宋体" w:hAnsi="宋体" w:cs="宋体"/>
                <w:b/>
                <w:color w:val="auto"/>
                <w:szCs w:val="21"/>
                <w:highlight w:val="none"/>
              </w:rPr>
              <w:t>商务要求</w:t>
            </w:r>
          </w:p>
        </w:tc>
      </w:tr>
      <w:tr w14:paraId="018561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1A9A4AA5">
            <w:pPr>
              <w:spacing w:line="360" w:lineRule="auto"/>
              <w:jc w:val="center"/>
              <w:rPr>
                <w:rFonts w:ascii="宋体" w:cs="宋体"/>
                <w:color w:val="auto"/>
                <w:kern w:val="0"/>
                <w:sz w:val="28"/>
                <w:szCs w:val="28"/>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磋商报价要求</w:t>
            </w:r>
          </w:p>
        </w:tc>
        <w:tc>
          <w:tcPr>
            <w:tcW w:w="7614" w:type="dxa"/>
            <w:gridSpan w:val="4"/>
            <w:tcBorders>
              <w:top w:val="single" w:color="auto" w:sz="4" w:space="0"/>
              <w:left w:val="single" w:color="auto" w:sz="4" w:space="0"/>
              <w:bottom w:val="single" w:color="auto" w:sz="4" w:space="0"/>
            </w:tcBorders>
            <w:vAlign w:val="center"/>
          </w:tcPr>
          <w:p w14:paraId="4DE5B025">
            <w:pPr>
              <w:pStyle w:val="15"/>
              <w:rPr>
                <w:rFonts w:ascii="宋体" w:cs="宋体"/>
                <w:color w:val="auto"/>
                <w:kern w:val="0"/>
                <w:sz w:val="28"/>
                <w:szCs w:val="28"/>
                <w:highlight w:val="none"/>
              </w:rPr>
            </w:pPr>
            <w:r>
              <w:rPr>
                <w:rFonts w:hint="eastAsia"/>
                <w:color w:val="auto"/>
                <w:highlight w:val="none"/>
              </w:rPr>
              <w:t>报价包括完成本项目“项目需求”中所列所有服务内容产生的所有成本、项目验收、税金、利润等费用，采购人不再另行支付任何费用。</w:t>
            </w:r>
          </w:p>
        </w:tc>
      </w:tr>
      <w:tr w14:paraId="4AAC37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0237DCE7">
            <w:pPr>
              <w:spacing w:line="300" w:lineRule="exact"/>
              <w:jc w:val="center"/>
              <w:rPr>
                <w:rFonts w:ascii="宋体" w:cs="宋体"/>
                <w:color w:val="auto"/>
                <w:szCs w:val="21"/>
                <w:highlight w:val="none"/>
              </w:rPr>
            </w:pPr>
            <w:r>
              <w:rPr>
                <w:rFonts w:hint="eastAsia" w:ascii="宋体" w:hAnsi="宋体" w:cs="宋体"/>
                <w:color w:val="auto"/>
                <w:szCs w:val="21"/>
                <w:highlight w:val="none"/>
              </w:rPr>
              <w:t>▲合同</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期限和地点</w:t>
            </w:r>
          </w:p>
        </w:tc>
        <w:tc>
          <w:tcPr>
            <w:tcW w:w="7614" w:type="dxa"/>
            <w:gridSpan w:val="4"/>
            <w:tcBorders>
              <w:top w:val="single" w:color="auto" w:sz="4" w:space="0"/>
              <w:left w:val="single" w:color="auto" w:sz="4" w:space="0"/>
              <w:bottom w:val="single" w:color="auto" w:sz="4" w:space="0"/>
            </w:tcBorders>
            <w:vAlign w:val="center"/>
          </w:tcPr>
          <w:p w14:paraId="164EF972">
            <w:pPr>
              <w:spacing w:line="300" w:lineRule="exact"/>
              <w:rPr>
                <w:color w:val="auto"/>
                <w:highlight w:val="none"/>
              </w:rPr>
            </w:pPr>
            <w:r>
              <w:rPr>
                <w:rFonts w:hint="eastAsia"/>
                <w:color w:val="auto"/>
                <w:highlight w:val="none"/>
              </w:rPr>
              <w:t>1.合同</w:t>
            </w:r>
            <w:r>
              <w:rPr>
                <w:rFonts w:hint="eastAsia"/>
                <w:color w:val="auto"/>
                <w:highlight w:val="none"/>
                <w:lang w:eastAsia="zh-CN"/>
              </w:rPr>
              <w:t>履约</w:t>
            </w:r>
            <w:r>
              <w:rPr>
                <w:rFonts w:hint="eastAsia"/>
                <w:color w:val="auto"/>
                <w:highlight w:val="none"/>
              </w:rPr>
              <w:t>期限：自合同签订之日起至2025年12月31日前；</w:t>
            </w:r>
          </w:p>
          <w:p w14:paraId="0800C523">
            <w:pPr>
              <w:pStyle w:val="15"/>
              <w:spacing w:line="300" w:lineRule="exact"/>
              <w:rPr>
                <w:rFonts w:ascii="宋体" w:cs="宋体"/>
                <w:color w:val="auto"/>
                <w:szCs w:val="21"/>
                <w:highlight w:val="none"/>
              </w:rPr>
            </w:pPr>
            <w:r>
              <w:rPr>
                <w:rFonts w:hint="eastAsia"/>
                <w:color w:val="auto"/>
                <w:highlight w:val="none"/>
              </w:rPr>
              <w:t>2.地点：采购人指定地点。</w:t>
            </w:r>
          </w:p>
        </w:tc>
      </w:tr>
      <w:tr w14:paraId="795C90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67C9A420">
            <w:pPr>
              <w:spacing w:line="360" w:lineRule="auto"/>
              <w:jc w:val="center"/>
              <w:rPr>
                <w:rFonts w:ascii="宋体" w:cs="宋体"/>
                <w:b/>
                <w:color w:val="auto"/>
                <w:szCs w:val="21"/>
                <w:highlight w:val="none"/>
              </w:rPr>
            </w:pPr>
            <w:r>
              <w:rPr>
                <w:rFonts w:hint="eastAsia" w:ascii="宋体" w:hAnsi="宋体" w:cs="宋体"/>
                <w:color w:val="auto"/>
                <w:szCs w:val="21"/>
                <w:highlight w:val="none"/>
              </w:rPr>
              <w:t>▲付款条件</w:t>
            </w:r>
          </w:p>
        </w:tc>
        <w:tc>
          <w:tcPr>
            <w:tcW w:w="7614" w:type="dxa"/>
            <w:gridSpan w:val="4"/>
            <w:tcBorders>
              <w:top w:val="single" w:color="auto" w:sz="4" w:space="0"/>
              <w:left w:val="single" w:color="auto" w:sz="4" w:space="0"/>
              <w:bottom w:val="single" w:color="auto" w:sz="4" w:space="0"/>
            </w:tcBorders>
            <w:vAlign w:val="center"/>
          </w:tcPr>
          <w:p w14:paraId="4FDECFB1">
            <w:pPr>
              <w:spacing w:line="300" w:lineRule="exact"/>
              <w:rPr>
                <w:color w:val="auto"/>
                <w:highlight w:val="none"/>
              </w:rPr>
            </w:pPr>
            <w:r>
              <w:rPr>
                <w:rFonts w:hint="eastAsia" w:ascii="宋体" w:hAnsi="宋体" w:cs="宋体"/>
                <w:bCs/>
                <w:color w:val="auto"/>
                <w:szCs w:val="21"/>
                <w:highlight w:val="none"/>
              </w:rPr>
              <w:t>合同签订后20个工作日内，采购人支付合同款的40%</w:t>
            </w:r>
            <w:r>
              <w:rPr>
                <w:rFonts w:ascii="宋体" w:hAnsi="宋体" w:cs="宋体"/>
                <w:bCs/>
                <w:color w:val="auto"/>
                <w:szCs w:val="21"/>
                <w:highlight w:val="none"/>
              </w:rPr>
              <w:t>给成交供应商</w:t>
            </w:r>
            <w:r>
              <w:rPr>
                <w:rFonts w:hint="eastAsia" w:ascii="宋体" w:hAnsi="宋体" w:cs="宋体"/>
                <w:bCs/>
                <w:color w:val="auto"/>
                <w:szCs w:val="21"/>
                <w:highlight w:val="none"/>
              </w:rPr>
              <w:t>作为启动资金</w:t>
            </w:r>
            <w:r>
              <w:rPr>
                <w:rFonts w:ascii="宋体" w:hAnsi="宋体" w:cs="宋体"/>
                <w:bCs/>
                <w:color w:val="auto"/>
                <w:szCs w:val="21"/>
                <w:highlight w:val="none"/>
              </w:rPr>
              <w:t>；</w:t>
            </w:r>
            <w:r>
              <w:rPr>
                <w:rFonts w:hint="eastAsia" w:ascii="宋体" w:hAnsi="宋体" w:cs="宋体"/>
                <w:bCs/>
                <w:color w:val="auto"/>
                <w:szCs w:val="21"/>
                <w:highlight w:val="none"/>
              </w:rPr>
              <w:t>在成交供应商组织举办三农摄影采风主题活动后，采购人支付合同款的50%作为进度款；待成交供应商完成项目执行，并通过验收后，采购人支付剩余10%合同款。成交供应商应于每次收到合同款后5个工作日内，向采购人出具合法有效的增值税专用发票，发票金额须与当次收款金额完全相符。</w:t>
            </w:r>
          </w:p>
        </w:tc>
      </w:tr>
      <w:tr w14:paraId="16DC54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100" w:type="dxa"/>
            <w:gridSpan w:val="2"/>
            <w:tcBorders>
              <w:top w:val="single" w:color="auto" w:sz="4" w:space="0"/>
              <w:bottom w:val="single" w:color="auto" w:sz="4" w:space="0"/>
              <w:right w:val="single" w:color="auto" w:sz="4" w:space="0"/>
            </w:tcBorders>
            <w:vAlign w:val="center"/>
          </w:tcPr>
          <w:p w14:paraId="47F07304">
            <w:pPr>
              <w:spacing w:line="360" w:lineRule="auto"/>
              <w:jc w:val="center"/>
              <w:rPr>
                <w:rFonts w:ascii="宋体" w:cs="宋体"/>
                <w:b/>
                <w:color w:val="auto"/>
                <w:szCs w:val="21"/>
                <w:highlight w:val="none"/>
              </w:rPr>
            </w:pPr>
            <w:r>
              <w:rPr>
                <w:rFonts w:hint="eastAsia" w:ascii="宋体" w:hAnsi="宋体" w:cs="宋体"/>
                <w:color w:val="auto"/>
                <w:szCs w:val="21"/>
                <w:highlight w:val="none"/>
              </w:rPr>
              <w:t>▲项目服务</w:t>
            </w:r>
          </w:p>
        </w:tc>
        <w:tc>
          <w:tcPr>
            <w:tcW w:w="7614" w:type="dxa"/>
            <w:gridSpan w:val="4"/>
            <w:tcBorders>
              <w:top w:val="single" w:color="auto" w:sz="4" w:space="0"/>
              <w:left w:val="single" w:color="auto" w:sz="4" w:space="0"/>
              <w:bottom w:val="single" w:color="auto" w:sz="4" w:space="0"/>
            </w:tcBorders>
            <w:vAlign w:val="center"/>
          </w:tcPr>
          <w:p w14:paraId="64334678">
            <w:pPr>
              <w:spacing w:line="300" w:lineRule="exact"/>
              <w:rPr>
                <w:rFonts w:asciiTheme="minorEastAsia" w:hAnsiTheme="minorEastAsia" w:cstheme="minorEastAsia"/>
                <w:color w:val="auto"/>
                <w:szCs w:val="21"/>
                <w:highlight w:val="none"/>
              </w:rPr>
            </w:pPr>
            <w:r>
              <w:rPr>
                <w:rFonts w:hint="eastAsia" w:ascii="宋体" w:hAnsi="宋体" w:cs="宋体"/>
                <w:color w:val="auto"/>
                <w:szCs w:val="21"/>
                <w:highlight w:val="none"/>
              </w:rPr>
              <w:t>1.</w:t>
            </w:r>
            <w:r>
              <w:rPr>
                <w:rFonts w:hint="eastAsia" w:asciiTheme="minorEastAsia" w:hAnsiTheme="minorEastAsia" w:cstheme="minorEastAsia"/>
                <w:color w:val="auto"/>
                <w:szCs w:val="21"/>
                <w:highlight w:val="none"/>
              </w:rPr>
              <w:t>成交供应商组织“三农”摄影采风活动时，应为参与采风活动人员在外出活动期间购买交通、人身意外综合保险。</w:t>
            </w:r>
          </w:p>
          <w:p w14:paraId="2ED9404C">
            <w:pPr>
              <w:spacing w:line="300" w:lineRule="exact"/>
              <w:rPr>
                <w:rFonts w:ascii="宋体" w:cs="宋体"/>
                <w:color w:val="auto"/>
                <w:szCs w:val="22"/>
                <w:highlight w:val="none"/>
              </w:rPr>
            </w:pPr>
            <w:r>
              <w:rPr>
                <w:rFonts w:hint="eastAsia" w:asciiTheme="minorEastAsia" w:hAnsiTheme="minorEastAsia" w:cstheme="minorEastAsia"/>
                <w:color w:val="auto"/>
                <w:szCs w:val="21"/>
                <w:highlight w:val="none"/>
              </w:rPr>
              <w:t>2</w:t>
            </w:r>
            <w:r>
              <w:rPr>
                <w:rFonts w:hint="eastAsia" w:ascii="宋体" w:hAnsi="宋体" w:cs="宋体"/>
                <w:color w:val="auto"/>
                <w:szCs w:val="21"/>
                <w:highlight w:val="none"/>
              </w:rPr>
              <w:t>.</w:t>
            </w:r>
            <w:r>
              <w:rPr>
                <w:rFonts w:hint="eastAsia"/>
                <w:color w:val="auto"/>
                <w:highlight w:val="none"/>
              </w:rPr>
              <w:t xml:space="preserve"> </w:t>
            </w:r>
            <w:r>
              <w:rPr>
                <w:rFonts w:hint="eastAsia" w:asciiTheme="minorEastAsia" w:hAnsiTheme="minorEastAsia" w:cstheme="minorEastAsia"/>
                <w:color w:val="auto"/>
                <w:szCs w:val="21"/>
                <w:highlight w:val="none"/>
              </w:rPr>
              <w:t>成交供应商</w:t>
            </w:r>
            <w:r>
              <w:rPr>
                <w:rFonts w:hint="eastAsia" w:ascii="宋体" w:hAnsi="宋体" w:cs="宋体"/>
                <w:color w:val="auto"/>
                <w:szCs w:val="21"/>
                <w:highlight w:val="none"/>
              </w:rPr>
              <w:t>提供采风、比赛参赛作品、素材长期存储、查询、展示服务一项，须通过搭建NAS系统实现</w:t>
            </w:r>
            <w:r>
              <w:rPr>
                <w:rFonts w:hint="eastAsia" w:ascii="宋体" w:hAnsi="宋体" w:cs="宋体"/>
                <w:b/>
                <w:bCs/>
                <w:color w:val="auto"/>
                <w:szCs w:val="21"/>
                <w:highlight w:val="none"/>
              </w:rPr>
              <w:t>。</w:t>
            </w:r>
          </w:p>
        </w:tc>
      </w:tr>
      <w:tr w14:paraId="0FAC69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2100" w:type="dxa"/>
            <w:gridSpan w:val="2"/>
            <w:tcBorders>
              <w:top w:val="single" w:color="auto" w:sz="4" w:space="0"/>
              <w:bottom w:val="single" w:color="auto" w:sz="4" w:space="0"/>
              <w:right w:val="single" w:color="auto" w:sz="4" w:space="0"/>
            </w:tcBorders>
            <w:vAlign w:val="center"/>
          </w:tcPr>
          <w:p w14:paraId="4911E35C">
            <w:pPr>
              <w:spacing w:line="360" w:lineRule="auto"/>
              <w:jc w:val="center"/>
              <w:rPr>
                <w:rFonts w:asci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磋商报价要求</w:t>
            </w:r>
          </w:p>
        </w:tc>
        <w:tc>
          <w:tcPr>
            <w:tcW w:w="7614" w:type="dxa"/>
            <w:gridSpan w:val="4"/>
            <w:tcBorders>
              <w:top w:val="single" w:color="auto" w:sz="4" w:space="0"/>
              <w:left w:val="single" w:color="auto" w:sz="4" w:space="0"/>
              <w:bottom w:val="single" w:color="auto" w:sz="4" w:space="0"/>
            </w:tcBorders>
            <w:vAlign w:val="center"/>
          </w:tcPr>
          <w:p w14:paraId="109D7F78">
            <w:pPr>
              <w:pStyle w:val="15"/>
              <w:rPr>
                <w:rFonts w:ascii="宋体" w:cs="宋体"/>
                <w:bCs/>
                <w:color w:val="auto"/>
                <w:szCs w:val="22"/>
                <w:highlight w:val="none"/>
              </w:rPr>
            </w:pPr>
            <w:r>
              <w:rPr>
                <w:rFonts w:hint="eastAsia"/>
                <w:color w:val="auto"/>
                <w:highlight w:val="none"/>
              </w:rPr>
              <w:t>报价包括完成本项目“项目需求”中所列所有服务内容产生的所有成本、项目验收、税金、利润等费用，采购人不再另行支付任何费用。</w:t>
            </w:r>
          </w:p>
        </w:tc>
      </w:tr>
      <w:tr w14:paraId="181C5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2100" w:type="dxa"/>
            <w:gridSpan w:val="2"/>
            <w:tcBorders>
              <w:top w:val="single" w:color="auto" w:sz="4" w:space="0"/>
              <w:bottom w:val="single" w:color="auto" w:sz="4" w:space="0"/>
              <w:right w:val="single" w:color="auto" w:sz="4" w:space="0"/>
            </w:tcBorders>
            <w:vAlign w:val="center"/>
          </w:tcPr>
          <w:p w14:paraId="7D3354D5">
            <w:pPr>
              <w:spacing w:line="360" w:lineRule="auto"/>
              <w:jc w:val="center"/>
              <w:rPr>
                <w:rFonts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其他要求</w:t>
            </w:r>
          </w:p>
        </w:tc>
        <w:tc>
          <w:tcPr>
            <w:tcW w:w="7614" w:type="dxa"/>
            <w:gridSpan w:val="4"/>
            <w:tcBorders>
              <w:top w:val="single" w:color="auto" w:sz="4" w:space="0"/>
              <w:left w:val="single" w:color="auto" w:sz="4" w:space="0"/>
              <w:bottom w:val="single" w:color="auto" w:sz="4" w:space="0"/>
            </w:tcBorders>
            <w:vAlign w:val="center"/>
          </w:tcPr>
          <w:p w14:paraId="55DF22CB">
            <w:pPr>
              <w:pStyle w:val="61"/>
              <w:spacing w:line="300" w:lineRule="exact"/>
              <w:rPr>
                <w:rFonts w:ascii="宋体" w:hAnsi="宋体" w:cs="宋体"/>
                <w:bCs w:val="0"/>
                <w:color w:val="auto"/>
                <w:spacing w:val="0"/>
                <w:kern w:val="2"/>
                <w:sz w:val="21"/>
                <w:highlight w:val="none"/>
              </w:rPr>
            </w:pPr>
            <w:r>
              <w:rPr>
                <w:rFonts w:hint="eastAsia" w:ascii="宋体" w:hAnsi="宋体" w:cs="宋体"/>
                <w:bCs w:val="0"/>
                <w:color w:val="auto"/>
                <w:spacing w:val="0"/>
                <w:kern w:val="2"/>
                <w:sz w:val="21"/>
                <w:highlight w:val="none"/>
              </w:rPr>
              <w:t>1、供应商实施服务所使用的软件、工具等必须为经合法销售渠道获得，若因其侵犯了第三方合法权益而引发任何纠纷或诉讼，均由供应商负责交涉并承担全部责任。</w:t>
            </w:r>
          </w:p>
          <w:p w14:paraId="3B00E95B">
            <w:pPr>
              <w:pStyle w:val="15"/>
              <w:rPr>
                <w:rFonts w:ascii="宋体" w:hAnsi="宋体" w:cs="宋体"/>
                <w:color w:val="auto"/>
                <w:highlight w:val="none"/>
              </w:rPr>
            </w:pPr>
            <w:r>
              <w:rPr>
                <w:rFonts w:hint="eastAsia" w:ascii="宋体" w:hAnsi="宋体" w:cs="宋体"/>
                <w:color w:val="auto"/>
                <w:highlight w:val="none"/>
              </w:rPr>
              <w:t>2、本次项目所涉及的资料、成果等的所有权属于采购人。</w:t>
            </w:r>
          </w:p>
          <w:p w14:paraId="34AE9205">
            <w:pPr>
              <w:spacing w:line="360" w:lineRule="exact"/>
              <w:rPr>
                <w:color w:val="auto"/>
                <w:highlight w:val="none"/>
              </w:rPr>
            </w:pPr>
            <w:r>
              <w:rPr>
                <w:rFonts w:hint="eastAsia"/>
                <w:color w:val="auto"/>
                <w:szCs w:val="21"/>
                <w:highlight w:val="none"/>
              </w:rPr>
              <w:t>3、</w:t>
            </w:r>
            <w:r>
              <w:rPr>
                <w:rFonts w:hAnsi="宋体"/>
                <w:color w:val="auto"/>
                <w:szCs w:val="21"/>
                <w:highlight w:val="none"/>
              </w:rPr>
              <w:t>服务响应时间：供应商接到采购单位的通知后，在</w:t>
            </w:r>
            <w:r>
              <w:rPr>
                <w:color w:val="auto"/>
                <w:szCs w:val="21"/>
                <w:highlight w:val="none"/>
              </w:rPr>
              <w:t>≤</w:t>
            </w:r>
            <w:r>
              <w:rPr>
                <w:color w:val="auto"/>
                <w:szCs w:val="21"/>
                <w:highlight w:val="none"/>
                <w:u w:val="single"/>
              </w:rPr>
              <w:t xml:space="preserve"> 1 </w:t>
            </w:r>
            <w:r>
              <w:rPr>
                <w:rFonts w:hAnsi="宋体"/>
                <w:color w:val="auto"/>
                <w:szCs w:val="21"/>
                <w:highlight w:val="none"/>
              </w:rPr>
              <w:t>小时响应，在</w:t>
            </w:r>
            <w:r>
              <w:rPr>
                <w:color w:val="auto"/>
                <w:szCs w:val="21"/>
                <w:highlight w:val="none"/>
              </w:rPr>
              <w:t>≤</w:t>
            </w:r>
            <w:r>
              <w:rPr>
                <w:color w:val="auto"/>
                <w:szCs w:val="21"/>
                <w:highlight w:val="none"/>
                <w:u w:val="single"/>
              </w:rPr>
              <w:t xml:space="preserve"> 4 </w:t>
            </w:r>
            <w:r>
              <w:rPr>
                <w:rFonts w:hAnsi="宋体"/>
                <w:color w:val="auto"/>
                <w:szCs w:val="21"/>
                <w:highlight w:val="none"/>
              </w:rPr>
              <w:t>小时到达采购人指定现场，并在</w:t>
            </w:r>
            <w:r>
              <w:rPr>
                <w:color w:val="auto"/>
                <w:szCs w:val="21"/>
                <w:highlight w:val="none"/>
              </w:rPr>
              <w:t>≤</w:t>
            </w:r>
            <w:r>
              <w:rPr>
                <w:color w:val="auto"/>
                <w:szCs w:val="21"/>
                <w:highlight w:val="none"/>
                <w:u w:val="single"/>
              </w:rPr>
              <w:t xml:space="preserve"> 6 </w:t>
            </w:r>
            <w:r>
              <w:rPr>
                <w:rFonts w:hAnsi="宋体"/>
                <w:color w:val="auto"/>
                <w:szCs w:val="21"/>
                <w:highlight w:val="none"/>
              </w:rPr>
              <w:t>小时提供服务。</w:t>
            </w:r>
          </w:p>
        </w:tc>
      </w:tr>
    </w:tbl>
    <w:p w14:paraId="6E61D0CC">
      <w:pPr>
        <w:pStyle w:val="3"/>
        <w:spacing w:line="240" w:lineRule="auto"/>
        <w:jc w:val="left"/>
        <w:rPr>
          <w:rFonts w:ascii="宋体" w:cs="宋体"/>
          <w:color w:val="auto"/>
          <w:sz w:val="21"/>
          <w:szCs w:val="21"/>
          <w:highlight w:val="none"/>
        </w:rPr>
      </w:pPr>
    </w:p>
    <w:p w14:paraId="2729AF48">
      <w:pPr>
        <w:rPr>
          <w:rFonts w:ascii="宋体" w:cs="宋体"/>
          <w:color w:val="auto"/>
          <w:highlight w:val="none"/>
        </w:rPr>
      </w:pPr>
      <w:r>
        <w:rPr>
          <w:color w:val="auto"/>
          <w:sz w:val="24"/>
          <w:highlight w:val="none"/>
        </w:rPr>
        <w:br w:type="page"/>
      </w:r>
    </w:p>
    <w:p w14:paraId="0C47E329">
      <w:pPr>
        <w:rPr>
          <w:rFonts w:ascii="宋体" w:cs="宋体"/>
          <w:color w:val="auto"/>
          <w:highlight w:val="none"/>
        </w:rPr>
      </w:pPr>
    </w:p>
    <w:p w14:paraId="3AB09DAA">
      <w:pPr>
        <w:rPr>
          <w:rFonts w:ascii="宋体" w:cs="宋体"/>
          <w:color w:val="auto"/>
          <w:highlight w:val="none"/>
        </w:rPr>
      </w:pPr>
    </w:p>
    <w:p w14:paraId="4821FCD8">
      <w:pPr>
        <w:pStyle w:val="3"/>
        <w:rPr>
          <w:rFonts w:ascii="宋体" w:cs="宋体"/>
          <w:color w:val="auto"/>
          <w:highlight w:val="none"/>
        </w:rPr>
      </w:pPr>
      <w:bookmarkStart w:id="55" w:name="_Toc9102"/>
      <w:bookmarkStart w:id="56" w:name="_Toc31276"/>
      <w:r>
        <w:rPr>
          <w:rFonts w:hint="eastAsia" w:ascii="宋体" w:hAnsi="宋体" w:cs="宋体"/>
          <w:color w:val="auto"/>
          <w:highlight w:val="none"/>
        </w:rPr>
        <w:t>第四章</w:t>
      </w:r>
      <w:r>
        <w:rPr>
          <w:rFonts w:ascii="宋体" w:hAnsi="宋体" w:cs="宋体"/>
          <w:color w:val="auto"/>
          <w:highlight w:val="none"/>
        </w:rPr>
        <w:t xml:space="preserve">  </w:t>
      </w:r>
      <w:r>
        <w:rPr>
          <w:rFonts w:hint="eastAsia" w:ascii="宋体" w:hAnsi="宋体" w:cs="宋体"/>
          <w:color w:val="auto"/>
          <w:highlight w:val="none"/>
        </w:rPr>
        <w:t>评审程序、评审方法和评审标准</w:t>
      </w:r>
      <w:bookmarkEnd w:id="55"/>
      <w:bookmarkEnd w:id="56"/>
    </w:p>
    <w:p w14:paraId="162193FE">
      <w:pPr>
        <w:spacing w:line="360" w:lineRule="auto"/>
        <w:jc w:val="center"/>
        <w:rPr>
          <w:rFonts w:ascii="宋体" w:cs="宋体"/>
          <w:b/>
          <w:color w:val="auto"/>
          <w:sz w:val="32"/>
          <w:szCs w:val="32"/>
          <w:highlight w:val="none"/>
        </w:rPr>
      </w:pPr>
      <w:r>
        <w:rPr>
          <w:rFonts w:hint="eastAsia" w:ascii="宋体" w:hAnsi="宋体" w:cs="宋体"/>
          <w:b/>
          <w:color w:val="auto"/>
          <w:sz w:val="32"/>
          <w:szCs w:val="32"/>
          <w:highlight w:val="none"/>
        </w:rPr>
        <w:t>一、评审程序和评审方法</w:t>
      </w:r>
    </w:p>
    <w:p w14:paraId="5E86AC5B">
      <w:pPr>
        <w:spacing w:line="360" w:lineRule="auto"/>
        <w:ind w:firstLine="482" w:firstLineChars="200"/>
        <w:rPr>
          <w:rFonts w:ascii="宋体" w:cs="宋体"/>
          <w:b/>
          <w:bCs/>
          <w:color w:val="auto"/>
          <w:sz w:val="24"/>
          <w:highlight w:val="none"/>
        </w:rPr>
      </w:pPr>
    </w:p>
    <w:p w14:paraId="37BD04F3">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w:t>
      </w:r>
      <w:r>
        <w:rPr>
          <w:rFonts w:hint="eastAsia" w:ascii="宋体" w:hAnsi="宋体" w:cs="宋体"/>
          <w:b/>
          <w:bCs/>
          <w:color w:val="auto"/>
          <w:sz w:val="24"/>
          <w:highlight w:val="none"/>
        </w:rPr>
        <w:t>资格审查</w:t>
      </w:r>
    </w:p>
    <w:p w14:paraId="3754867D">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响应文件开启后，磋商小组依法对供应商的资格证明文件进行审查。</w:t>
      </w:r>
    </w:p>
    <w:p w14:paraId="562A8B09">
      <w:pPr>
        <w:snapToGrid w:val="0"/>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）查询渠道：“信用中国”网站（</w:t>
      </w:r>
      <w:r>
        <w:rPr>
          <w:rFonts w:ascii="宋体" w:hAnsi="宋体" w:cs="宋体"/>
          <w:color w:val="auto"/>
          <w:szCs w:val="21"/>
          <w:highlight w:val="none"/>
        </w:rPr>
        <w:t>www.creditchina.gov.cn</w:t>
      </w:r>
      <w:r>
        <w:rPr>
          <w:rFonts w:hint="eastAsia" w:ascii="宋体" w:hAnsi="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ascii="宋体" w:hAnsi="宋体" w:cs="宋体"/>
          <w:color w:val="auto"/>
          <w:highlight w:val="none"/>
        </w:rPr>
        <w:t>www.ccgp.gov.cn</w:t>
      </w:r>
      <w:r>
        <w:rPr>
          <w:rFonts w:ascii="宋体" w:hAnsi="宋体" w:cs="宋体"/>
          <w:color w:val="auto"/>
          <w:highlight w:val="none"/>
        </w:rPr>
        <w:fldChar w:fldCharType="end"/>
      </w:r>
      <w:r>
        <w:rPr>
          <w:rFonts w:hint="eastAsia" w:ascii="宋体" w:hAnsi="宋体" w:cs="宋体"/>
          <w:color w:val="auto"/>
          <w:szCs w:val="21"/>
          <w:highlight w:val="none"/>
        </w:rPr>
        <w:t>）</w:t>
      </w:r>
    </w:p>
    <w:p w14:paraId="527C59D1">
      <w:pPr>
        <w:snapToGrid w:val="0"/>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）信用查询截止时点：资格审查结束前</w:t>
      </w:r>
    </w:p>
    <w:p w14:paraId="243E96A8">
      <w:pPr>
        <w:snapToGrid w:val="0"/>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）查询记录和证据留存方式：通过广西政府采购云平台链接到相关查询网站进行查询及记录。</w:t>
      </w:r>
    </w:p>
    <w:p w14:paraId="26990C58">
      <w:pPr>
        <w:snapToGrid w:val="0"/>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）信用信息使用规则：根据财政部《关于在政府采购活动中查询及使用信用记录有关问题的通知》（财库〔</w:t>
      </w:r>
      <w:r>
        <w:rPr>
          <w:rFonts w:ascii="宋体" w:hAnsi="宋体" w:cs="宋体"/>
          <w:color w:val="auto"/>
          <w:szCs w:val="21"/>
          <w:highlight w:val="none"/>
        </w:rPr>
        <w:t>2016</w:t>
      </w:r>
      <w:r>
        <w:rPr>
          <w:rFonts w:hint="eastAsia" w:ascii="宋体" w:hAnsi="宋体" w:cs="宋体"/>
          <w:color w:val="auto"/>
          <w:szCs w:val="21"/>
          <w:highlight w:val="none"/>
        </w:rPr>
        <w:t>〕</w:t>
      </w:r>
      <w:r>
        <w:rPr>
          <w:rFonts w:ascii="宋体" w:hAnsi="宋体" w:cs="宋体"/>
          <w:color w:val="auto"/>
          <w:szCs w:val="21"/>
          <w:highlight w:val="none"/>
        </w:rPr>
        <w:t>125</w:t>
      </w:r>
      <w:r>
        <w:rPr>
          <w:rFonts w:hint="eastAsia" w:ascii="宋体" w:hAnsi="宋体" w:cs="宋体"/>
          <w:color w:val="auto"/>
          <w:szCs w:val="21"/>
          <w:highlight w:val="none"/>
        </w:rPr>
        <w:t>号）的规定，对在“信用中国”网站</w:t>
      </w:r>
      <w:r>
        <w:rPr>
          <w:rFonts w:ascii="宋体" w:hAnsi="宋体" w:cs="宋体"/>
          <w:color w:val="auto"/>
          <w:szCs w:val="21"/>
          <w:highlight w:val="none"/>
        </w:rPr>
        <w:t xml:space="preserve">(www.creditchina.gov.cn) </w:t>
      </w:r>
      <w:r>
        <w:rPr>
          <w:rFonts w:hint="eastAsia" w:ascii="宋体" w:hAnsi="宋体" w:cs="宋体"/>
          <w:color w:val="auto"/>
          <w:szCs w:val="21"/>
          <w:highlight w:val="none"/>
        </w:rPr>
        <w:t>、中国政府采购网</w:t>
      </w:r>
      <w:r>
        <w:rPr>
          <w:rFonts w:ascii="宋体" w:hAnsi="宋体" w:cs="宋体"/>
          <w:color w:val="auto"/>
          <w:szCs w:val="21"/>
          <w:highlight w:val="none"/>
        </w:rPr>
        <w:t>(www.ccgp.gov.cn)</w:t>
      </w:r>
      <w:r>
        <w:rPr>
          <w:rFonts w:hint="eastAsia" w:ascii="宋体" w:hAnsi="宋体" w:cs="宋体"/>
          <w:color w:val="auto"/>
          <w:szCs w:val="21"/>
          <w:highlight w:val="none"/>
        </w:rPr>
        <w:t>被列入失信被执行人、重大税收违法案件当事人名单、政府采购严重违法失信行为记录名单及其他不符合《中华人民共和国政府采购法》第二十二条规定条件的供应商，不得参与政府采购活动。</w:t>
      </w:r>
    </w:p>
    <w:p w14:paraId="520A97B5">
      <w:pPr>
        <w:snapToGrid w:val="0"/>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资格审查标准为本磋商文件中载明对供应商资格要求的条件。资格审查采用合格制，凡符合磋商文件规定的供应商资格要求的响应文件均通过资格审查。</w:t>
      </w:r>
    </w:p>
    <w:p w14:paraId="1142F98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1.3</w:t>
      </w:r>
      <w:r>
        <w:rPr>
          <w:rFonts w:hint="eastAsia" w:ascii="宋体" w:hAnsi="宋体" w:cs="宋体"/>
          <w:color w:val="auto"/>
          <w:szCs w:val="21"/>
          <w:highlight w:val="none"/>
        </w:rPr>
        <w:t>供应商有下列情形之一的，资格审查不通过，其响应文件按无效响应处理：</w:t>
      </w:r>
    </w:p>
    <w:p w14:paraId="3D8C0089">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5E8B5CB8">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）响应文件的资格证明文件缺少任一项“供应商须知前附表”资格证明文件规定的“必须提供”的文件资料的；</w:t>
      </w:r>
    </w:p>
    <w:p w14:paraId="31761438">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7E773437">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7E9A8A1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1.4</w:t>
      </w:r>
      <w:r>
        <w:rPr>
          <w:rFonts w:hint="eastAsia" w:ascii="宋体" w:hAnsi="宋体" w:cs="宋体"/>
          <w:color w:val="auto"/>
          <w:szCs w:val="21"/>
          <w:highlight w:val="none"/>
        </w:rPr>
        <w:t>通过资格审查的合格供应商不足</w:t>
      </w:r>
      <w:r>
        <w:rPr>
          <w:rFonts w:ascii="宋体" w:hAnsi="宋体" w:cs="宋体"/>
          <w:color w:val="auto"/>
          <w:szCs w:val="21"/>
          <w:highlight w:val="none"/>
        </w:rPr>
        <w:t>3</w:t>
      </w:r>
      <w:r>
        <w:rPr>
          <w:rFonts w:hint="eastAsia" w:ascii="宋体" w:hAnsi="宋体" w:cs="宋体"/>
          <w:color w:val="auto"/>
          <w:szCs w:val="21"/>
          <w:highlight w:val="none"/>
        </w:rPr>
        <w:t>家的，不得进入符合性审查环节，采购人或者采购代理机构应当重新开展采购活动。</w:t>
      </w:r>
    </w:p>
    <w:p w14:paraId="605ED6E7">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w:t>
      </w:r>
      <w:r>
        <w:rPr>
          <w:rFonts w:hint="eastAsia" w:ascii="宋体" w:hAnsi="宋体" w:cs="宋体"/>
          <w:b/>
          <w:bCs/>
          <w:color w:val="auto"/>
          <w:sz w:val="24"/>
          <w:highlight w:val="none"/>
        </w:rPr>
        <w:t>符合性审查</w:t>
      </w:r>
    </w:p>
    <w:p w14:paraId="680AA982">
      <w:pPr>
        <w:spacing w:line="360" w:lineRule="auto"/>
        <w:ind w:firstLine="420" w:firstLineChars="200"/>
        <w:rPr>
          <w:rFonts w:ascii="宋体" w:cs="宋体"/>
          <w:color w:val="auto"/>
          <w:szCs w:val="21"/>
          <w:highlight w:val="none"/>
        </w:rPr>
      </w:pPr>
      <w:bookmarkStart w:id="57" w:name="_Hlk42528882"/>
      <w:r>
        <w:rPr>
          <w:rFonts w:ascii="宋体" w:hAnsi="宋体" w:cs="宋体"/>
          <w:color w:val="auto"/>
          <w:szCs w:val="21"/>
          <w:highlight w:val="none"/>
        </w:rPr>
        <w:t>2.1</w:t>
      </w:r>
      <w:r>
        <w:rPr>
          <w:rFonts w:hint="eastAsia" w:ascii="宋体" w:hAnsi="宋体" w:cs="宋体"/>
          <w:color w:val="auto"/>
          <w:szCs w:val="21"/>
          <w:highlight w:val="none"/>
        </w:rPr>
        <w:t>由磋商小组对资格审查的合格供应商的响应文件的竞标报价、商务、技术等实质性要求进行符合性审查，以确定其是否满足磋商文件的实质性要求。</w:t>
      </w:r>
    </w:p>
    <w:bookmarkEnd w:id="57"/>
    <w:p w14:paraId="7DE6A0E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F403DEC">
      <w:pPr>
        <w:spacing w:line="360" w:lineRule="auto"/>
        <w:ind w:firstLine="420" w:firstLineChars="200"/>
        <w:rPr>
          <w:rFonts w:ascii="宋体" w:cs="宋体"/>
          <w:color w:val="auto"/>
          <w:spacing w:val="-6"/>
          <w:szCs w:val="21"/>
          <w:highlight w:val="none"/>
        </w:rPr>
      </w:pPr>
      <w:r>
        <w:rPr>
          <w:rFonts w:ascii="宋体" w:hAnsi="宋体" w:cs="宋体"/>
          <w:color w:val="auto"/>
          <w:szCs w:val="21"/>
          <w:highlight w:val="none"/>
        </w:rPr>
        <w:t>2.3</w:t>
      </w:r>
      <w:r>
        <w:rPr>
          <w:rFonts w:hint="eastAsia" w:ascii="宋体" w:hAnsi="宋体" w:cs="宋体"/>
          <w:color w:val="auto"/>
          <w:szCs w:val="21"/>
          <w:highlight w:val="none"/>
        </w:rPr>
        <w:t>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加盖供应商公章</w:t>
      </w:r>
      <w:r>
        <w:rPr>
          <w:rFonts w:hint="eastAsia" w:ascii="宋体" w:hAnsi="宋体" w:cs="宋体"/>
          <w:color w:val="auto"/>
          <w:spacing w:val="-6"/>
          <w:szCs w:val="21"/>
          <w:highlight w:val="none"/>
        </w:rPr>
        <w:t>。供应商为自然人的，必须由本人签字并附身份证明。</w:t>
      </w:r>
    </w:p>
    <w:p w14:paraId="3E868D81">
      <w:pPr>
        <w:spacing w:line="360" w:lineRule="auto"/>
        <w:ind w:firstLine="396" w:firstLineChars="200"/>
        <w:rPr>
          <w:rFonts w:asci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首次响应文件报价出现前后不一致的，按照下列规定修正：</w:t>
      </w:r>
      <w:r>
        <w:rPr>
          <w:rFonts w:ascii="宋体" w:hAnsi="宋体" w:cs="宋体"/>
          <w:color w:val="auto"/>
          <w:szCs w:val="21"/>
          <w:highlight w:val="none"/>
        </w:rPr>
        <w:t xml:space="preserve"> </w:t>
      </w:r>
    </w:p>
    <w:p w14:paraId="0D7FAF3E">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）响应文件中报价表内容与响应文件中相应内容不一致的，以报价表为准；</w:t>
      </w:r>
    </w:p>
    <w:p w14:paraId="48543588">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）大写金额和小写金额不一致的，以大写金额为准；</w:t>
      </w:r>
    </w:p>
    <w:p w14:paraId="71F40E61">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）单价金额小数点或者百分比有明显错位的，以报价表的总价为准，并修改单价；</w:t>
      </w:r>
    </w:p>
    <w:p w14:paraId="5CCEC6EC">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）总价金额与按单价汇总金额不一致的，以单价金额计算结果为准。</w:t>
      </w:r>
    </w:p>
    <w:p w14:paraId="0CE04897">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同时出现两种以上不一致的，按照以上（</w:t>
      </w:r>
      <w:r>
        <w:rPr>
          <w:rFonts w:ascii="宋体" w:hAnsi="宋体" w:cs="宋体"/>
          <w:color w:val="auto"/>
          <w:szCs w:val="21"/>
          <w:highlight w:val="none"/>
        </w:rPr>
        <w:t>1</w:t>
      </w:r>
      <w:r>
        <w:rPr>
          <w:rFonts w:hint="eastAsia" w:ascii="宋体" w:hAnsi="宋体" w:cs="宋体"/>
          <w:color w:val="auto"/>
          <w:szCs w:val="21"/>
          <w:highlight w:val="none"/>
        </w:rPr>
        <w:t>）</w:t>
      </w:r>
      <w:r>
        <w:rPr>
          <w:rFonts w:ascii="宋体" w:cs="宋体"/>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）规定的顺序逐条进行修正。修正后的报价经供应商确认后产生约束力，供应商不确认的，其响应文件按无效响应处理。</w:t>
      </w:r>
    </w:p>
    <w:p w14:paraId="65B6091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2.5</w:t>
      </w:r>
      <w:r>
        <w:rPr>
          <w:rFonts w:hint="eastAsia" w:ascii="宋体" w:hAnsi="宋体" w:cs="宋体"/>
          <w:color w:val="auto"/>
          <w:szCs w:val="21"/>
          <w:highlight w:val="none"/>
        </w:rPr>
        <w:t>商务技术报价评审</w:t>
      </w:r>
    </w:p>
    <w:p w14:paraId="45425CD9">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在评审时，如发现下列情形之一的，将被视为响应文件无效响应处理：</w:t>
      </w:r>
    </w:p>
    <w:p w14:paraId="5999A878">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）商务技术评审</w:t>
      </w:r>
    </w:p>
    <w:p w14:paraId="028C733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）响应文件未按磋商文件要求签署、盖章；</w:t>
      </w:r>
    </w:p>
    <w:p w14:paraId="62BC696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）委托代理人未能出具有效身份证或者出具的身份证与授权委托书中的信息不符的；</w:t>
      </w:r>
      <w:r>
        <w:rPr>
          <w:rFonts w:ascii="宋体" w:hAnsi="宋体" w:cs="宋体"/>
          <w:color w:val="auto"/>
          <w:szCs w:val="21"/>
          <w:highlight w:val="none"/>
        </w:rPr>
        <w:t xml:space="preserve"> </w:t>
      </w:r>
    </w:p>
    <w:p w14:paraId="39D9A23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）提交的磋商保证金无效的或者未按照磋商文件的规定提交磋商保证金；</w:t>
      </w:r>
    </w:p>
    <w:p w14:paraId="2C46E0F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）响应文件中的报价商务技术文件出现任一项不符合“供应商须知前附表”中“必须提供”或者“委托时必须提供”文件资料要求的规定或者提供的报价商务技术文件无效。</w:t>
      </w:r>
    </w:p>
    <w:p w14:paraId="4613E3F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）商务条款中标“▲”的条款发生负偏离或者允许负偏离的条款数超过“供应商须知前附表”规定项数的；</w:t>
      </w:r>
    </w:p>
    <w:p w14:paraId="7413A72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）未对竞标有效期作出响应或者响应文件承诺的竞标有效期不满足磋商文件要求；</w:t>
      </w:r>
    </w:p>
    <w:p w14:paraId="68E8FC5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）响应文件的实质性内容未使用中文表述、使用计量单位不符合磋商文件要求；</w:t>
      </w:r>
    </w:p>
    <w:p w14:paraId="08D0EE8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）响应文件中的文件资料因填写不齐全或者内容虚假或者出现其他情形而导致被磋商小组认定无效；</w:t>
      </w:r>
    </w:p>
    <w:p w14:paraId="60C42F0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）响应文件含有采购人不能接受的附加条件；</w:t>
      </w:r>
    </w:p>
    <w:p w14:paraId="7876D9E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）属于“供应商须知正文”第</w:t>
      </w:r>
      <w:r>
        <w:rPr>
          <w:rFonts w:ascii="宋体" w:hAnsi="宋体" w:cs="宋体"/>
          <w:color w:val="auto"/>
          <w:szCs w:val="21"/>
          <w:highlight w:val="none"/>
        </w:rPr>
        <w:t>7.5</w:t>
      </w:r>
      <w:r>
        <w:rPr>
          <w:rFonts w:hint="eastAsia" w:ascii="宋体" w:hAnsi="宋体" w:cs="宋体"/>
          <w:color w:val="auto"/>
          <w:szCs w:val="21"/>
          <w:highlight w:val="none"/>
        </w:rPr>
        <w:t>条情形；</w:t>
      </w:r>
    </w:p>
    <w:p w14:paraId="56361A5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）技术要求中标“▲”的条款发生负偏离或允许负偏离的条款数超过“供应商须知前附表”规定项数的；</w:t>
      </w:r>
    </w:p>
    <w:p w14:paraId="2451442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）虚假竞标，或者出现其他情形而导致被磋商小组认定无效；</w:t>
      </w:r>
    </w:p>
    <w:p w14:paraId="7F6CC4A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13</w:t>
      </w:r>
      <w:r>
        <w:rPr>
          <w:rFonts w:hint="eastAsia" w:ascii="宋体" w:hAnsi="宋体" w:cs="宋体"/>
          <w:color w:val="auto"/>
          <w:szCs w:val="21"/>
          <w:highlight w:val="none"/>
        </w:rPr>
        <w:t>）</w:t>
      </w:r>
      <w:bookmarkStart w:id="58" w:name="_Hlk71704147"/>
      <w:r>
        <w:rPr>
          <w:rFonts w:hint="eastAsia" w:ascii="宋体" w:hAnsi="宋体" w:cs="宋体"/>
          <w:color w:val="auto"/>
          <w:szCs w:val="21"/>
          <w:highlight w:val="none"/>
        </w:rPr>
        <w:t>磋商文件未载明允许提供备选（替代）竞标方案或明确不允许提供备选（替代）竞标方案时，供应商提供了备选（替代）竞标方案的；</w:t>
      </w:r>
      <w:bookmarkEnd w:id="58"/>
    </w:p>
    <w:p w14:paraId="29F3461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14</w:t>
      </w:r>
      <w:r>
        <w:rPr>
          <w:rFonts w:hint="eastAsia" w:ascii="宋体" w:hAnsi="宋体" w:cs="宋体"/>
          <w:color w:val="auto"/>
          <w:szCs w:val="21"/>
          <w:highlight w:val="none"/>
        </w:rPr>
        <w:t>）响应文件标注的项目名称或者项目编号与磋商文件标注的项目名称或者项目编号不一致的；</w:t>
      </w:r>
    </w:p>
    <w:p w14:paraId="0D4750F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15</w:t>
      </w:r>
      <w:r>
        <w:rPr>
          <w:rFonts w:hint="eastAsia" w:ascii="宋体" w:hAnsi="宋体" w:cs="宋体"/>
          <w:color w:val="auto"/>
          <w:szCs w:val="21"/>
          <w:highlight w:val="none"/>
        </w:rPr>
        <w:t>）竞争性磋商文件明确不允许分包，响应文件拟分包的；</w:t>
      </w:r>
    </w:p>
    <w:p w14:paraId="2DC9DA5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16</w:t>
      </w:r>
      <w:r>
        <w:rPr>
          <w:rFonts w:hint="eastAsia" w:ascii="宋体" w:hAnsi="宋体" w:cs="宋体"/>
          <w:color w:val="auto"/>
          <w:szCs w:val="21"/>
          <w:highlight w:val="none"/>
        </w:rPr>
        <w:t>）未响应磋商文件实质性要求；</w:t>
      </w:r>
    </w:p>
    <w:p w14:paraId="1A30ABD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17</w:t>
      </w:r>
      <w:r>
        <w:rPr>
          <w:rFonts w:hint="eastAsia" w:ascii="宋体" w:hAnsi="宋体" w:cs="宋体"/>
          <w:color w:val="auto"/>
          <w:szCs w:val="21"/>
          <w:highlight w:val="none"/>
        </w:rPr>
        <w:t>）法律、法规和磋商文件规定的其他无效情形。</w:t>
      </w:r>
    </w:p>
    <w:p w14:paraId="5B589912">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10C8A63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rPr>
        <w:t>响应文件未提供“供应商须知前附表”</w:t>
      </w:r>
      <w:r>
        <w:rPr>
          <w:rFonts w:ascii="宋体" w:hAnsi="宋体" w:cs="宋体"/>
          <w:color w:val="auto"/>
          <w:szCs w:val="21"/>
          <w:highlight w:val="none"/>
        </w:rPr>
        <w:t xml:space="preserve"> </w:t>
      </w:r>
      <w:r>
        <w:rPr>
          <w:rFonts w:hint="eastAsia" w:ascii="宋体" w:hAnsi="宋体" w:cs="宋体"/>
          <w:color w:val="auto"/>
          <w:szCs w:val="21"/>
          <w:highlight w:val="none"/>
        </w:rPr>
        <w:t>报价商务技术文件中规定的“竞标报价表”；</w:t>
      </w:r>
    </w:p>
    <w:p w14:paraId="39E63AC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）未采用人民币报价或者未按照磋商文件标明的币种报价；</w:t>
      </w:r>
    </w:p>
    <w:p w14:paraId="60FFB2C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45CCAC9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）最后报价超过所竞标分标规定的采购预算金额或者最高限价的（如本项目公布了最高限价）；</w:t>
      </w:r>
      <w:bookmarkStart w:id="59" w:name="_Hlk42596405"/>
      <w:r>
        <w:rPr>
          <w:rFonts w:ascii="宋体" w:hAnsi="宋体" w:cs="宋体"/>
          <w:color w:val="auto"/>
          <w:szCs w:val="21"/>
          <w:highlight w:val="none"/>
        </w:rPr>
        <w:t xml:space="preserve"> </w:t>
      </w:r>
      <w:bookmarkEnd w:id="59"/>
    </w:p>
    <w:p w14:paraId="6014104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）修正后的报价，供应商不确认的；或者经供应商确认修正后的最后报价超过所竞标分标规定的采购预算金额或者最高限价（如本项目公布了最高限价）；</w:t>
      </w:r>
    </w:p>
    <w:p w14:paraId="19BB91C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）响应文件响应的标的数量及单位与竞争性磋商文件要求实质性不一致的。</w:t>
      </w:r>
    </w:p>
    <w:p w14:paraId="38A577D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响应处理，磋商小组应当将资格和符合性不通过的情况告知有关供应商。磋商小组从符合磋商文件规定的相应资格条件的供应商名单中确定不少于</w:t>
      </w:r>
      <w:r>
        <w:rPr>
          <w:rFonts w:ascii="宋体" w:hAnsi="宋体" w:cs="宋体"/>
          <w:color w:val="auto"/>
          <w:szCs w:val="21"/>
          <w:highlight w:val="none"/>
        </w:rPr>
        <w:t>3</w:t>
      </w:r>
      <w:r>
        <w:rPr>
          <w:rFonts w:hint="eastAsia" w:ascii="宋体" w:hAnsi="宋体" w:cs="宋体"/>
          <w:color w:val="auto"/>
          <w:szCs w:val="21"/>
          <w:highlight w:val="none"/>
        </w:rPr>
        <w:t>家的供应商参加磋商。</w:t>
      </w:r>
    </w:p>
    <w:p w14:paraId="6A15B8D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非政府购买服务项目，通过符合性审查的合格供应商不足</w:t>
      </w:r>
      <w:r>
        <w:rPr>
          <w:rFonts w:ascii="宋体" w:hAnsi="宋体" w:cs="宋体"/>
          <w:color w:val="auto"/>
          <w:szCs w:val="21"/>
          <w:highlight w:val="none"/>
        </w:rPr>
        <w:t>3</w:t>
      </w:r>
      <w:r>
        <w:rPr>
          <w:rFonts w:hint="eastAsia" w:ascii="宋体" w:hAnsi="宋体" w:cs="宋体"/>
          <w:color w:val="auto"/>
          <w:szCs w:val="21"/>
          <w:highlight w:val="none"/>
        </w:rPr>
        <w:t>家的，不得进入磋商环节，采购人或者采购代理机构应当重新开展采购活动。政府购买服务项目，按《财政部关于政府采购竞争性磋商采购方式管理暂行办法有关问题的补充通知》（财库〔</w:t>
      </w:r>
      <w:r>
        <w:rPr>
          <w:rFonts w:ascii="宋体" w:hAnsi="宋体" w:cs="宋体"/>
          <w:color w:val="auto"/>
          <w:szCs w:val="21"/>
          <w:highlight w:val="none"/>
        </w:rPr>
        <w:t>2015</w:t>
      </w:r>
      <w:r>
        <w:rPr>
          <w:rFonts w:hint="eastAsia" w:ascii="宋体" w:hAnsi="宋体" w:cs="宋体"/>
          <w:color w:val="auto"/>
          <w:szCs w:val="21"/>
          <w:highlight w:val="none"/>
        </w:rPr>
        <w:t>〕</w:t>
      </w:r>
      <w:r>
        <w:rPr>
          <w:rFonts w:ascii="宋体" w:hAnsi="宋体" w:cs="宋体"/>
          <w:color w:val="auto"/>
          <w:szCs w:val="21"/>
          <w:highlight w:val="none"/>
        </w:rPr>
        <w:t>124</w:t>
      </w:r>
      <w:r>
        <w:rPr>
          <w:rFonts w:hint="eastAsia" w:ascii="宋体" w:hAnsi="宋体" w:cs="宋体"/>
          <w:color w:val="auto"/>
          <w:szCs w:val="21"/>
          <w:highlight w:val="none"/>
        </w:rPr>
        <w:t>号）规定，采购过程中通过符合性审查的供应商（社会资本）只有</w:t>
      </w:r>
      <w:r>
        <w:rPr>
          <w:rFonts w:ascii="宋体" w:hAnsi="宋体" w:cs="宋体"/>
          <w:color w:val="auto"/>
          <w:szCs w:val="21"/>
          <w:highlight w:val="none"/>
        </w:rPr>
        <w:t>2</w:t>
      </w:r>
      <w:r>
        <w:rPr>
          <w:rFonts w:hint="eastAsia" w:ascii="宋体" w:hAnsi="宋体" w:cs="宋体"/>
          <w:color w:val="auto"/>
          <w:szCs w:val="21"/>
          <w:highlight w:val="none"/>
        </w:rPr>
        <w:t>家的，磋商采购活动可以继续进行。</w:t>
      </w:r>
    </w:p>
    <w:p w14:paraId="63C4BA28">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3.</w:t>
      </w:r>
      <w:r>
        <w:rPr>
          <w:rFonts w:hint="eastAsia" w:ascii="宋体" w:hAnsi="宋体" w:cs="宋体"/>
          <w:b/>
          <w:bCs/>
          <w:color w:val="auto"/>
          <w:sz w:val="24"/>
          <w:highlight w:val="none"/>
        </w:rPr>
        <w:t>磋商程序</w:t>
      </w:r>
    </w:p>
    <w:p w14:paraId="237B74E6">
      <w:pPr>
        <w:spacing w:line="360" w:lineRule="auto"/>
        <w:ind w:firstLine="420" w:firstLineChars="200"/>
        <w:rPr>
          <w:rFonts w:ascii="宋体" w:cs="宋体"/>
          <w:color w:val="auto"/>
          <w:szCs w:val="21"/>
          <w:highlight w:val="none"/>
        </w:rPr>
      </w:pPr>
      <w:r>
        <w:rPr>
          <w:rFonts w:ascii="宋体" w:hAnsi="宋体" w:cs="宋体"/>
          <w:color w:val="auto"/>
          <w:kern w:val="0"/>
          <w:szCs w:val="21"/>
          <w:highlight w:val="none"/>
        </w:rPr>
        <w:t>3.1</w:t>
      </w:r>
      <w:r>
        <w:rPr>
          <w:rFonts w:hint="eastAsia" w:ascii="宋体" w:hAnsi="宋体" w:cs="宋体"/>
          <w:color w:val="auto"/>
          <w:kern w:val="0"/>
          <w:szCs w:val="21"/>
          <w:highlight w:val="none"/>
        </w:rPr>
        <w:t>磋商小组按照“供应商须知前附表”</w:t>
      </w:r>
      <w:r>
        <w:rPr>
          <w:rFonts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44CBDD5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E4D086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对磋商文件作出的实质性变动是磋商文件的有效组成部分，由磋商小组及时以电子磋商记录形式同时通知所有参加磋商的供应商。</w:t>
      </w:r>
    </w:p>
    <w:p w14:paraId="22E57A7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14:paraId="7A13859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649FC564">
      <w:pPr>
        <w:tabs>
          <w:tab w:val="left" w:pos="2835"/>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对磋商过程提交的响应文件进行有效性、完整性和响应程度审查，通过审查的合格供应商不足</w:t>
      </w:r>
      <w:r>
        <w:rPr>
          <w:rFonts w:ascii="宋体" w:hAnsi="宋体" w:cs="宋体"/>
          <w:color w:val="auto"/>
          <w:szCs w:val="21"/>
          <w:highlight w:val="none"/>
        </w:rPr>
        <w:t>3</w:t>
      </w:r>
      <w:r>
        <w:rPr>
          <w:rFonts w:hint="eastAsia" w:ascii="宋体" w:hAnsi="宋体" w:cs="宋体"/>
          <w:color w:val="auto"/>
          <w:szCs w:val="21"/>
          <w:highlight w:val="none"/>
        </w:rPr>
        <w:t>家的，采购人或者采购代理机构应当重新开展采购活动。</w:t>
      </w:r>
    </w:p>
    <w:p w14:paraId="103C6845">
      <w:pPr>
        <w:widowControl/>
        <w:tabs>
          <w:tab w:val="left" w:pos="540"/>
        </w:tabs>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3.7</w:t>
      </w:r>
      <w:r>
        <w:rPr>
          <w:rFonts w:hint="eastAsia" w:ascii="宋体" w:hAnsi="宋体" w:cs="宋体"/>
          <w:color w:val="auto"/>
          <w:highlight w:val="none"/>
        </w:rPr>
        <w:t>根据《财政部关于政府采购竞争性磋商采购方式管理暂行办法有关问题的补充通知》（财库〔</w:t>
      </w:r>
      <w:r>
        <w:rPr>
          <w:rFonts w:ascii="宋体" w:hAnsi="宋体" w:cs="宋体"/>
          <w:color w:val="auto"/>
          <w:highlight w:val="none"/>
        </w:rPr>
        <w:t>2015</w:t>
      </w:r>
      <w:r>
        <w:rPr>
          <w:rFonts w:hint="eastAsia" w:ascii="宋体" w:hAnsi="宋体" w:cs="宋体"/>
          <w:color w:val="auto"/>
          <w:highlight w:val="none"/>
        </w:rPr>
        <w:t>〕</w:t>
      </w:r>
      <w:r>
        <w:rPr>
          <w:rFonts w:ascii="宋体" w:hAnsi="宋体" w:cs="宋体"/>
          <w:color w:val="auto"/>
          <w:highlight w:val="none"/>
        </w:rPr>
        <w:t>124</w:t>
      </w:r>
      <w:r>
        <w:rPr>
          <w:rFonts w:hint="eastAsia" w:ascii="宋体" w:hAnsi="宋体" w:cs="宋体"/>
          <w:color w:val="auto"/>
          <w:highlight w:val="none"/>
        </w:rPr>
        <w:t>号）的规定，采用竞争性磋商采购方式采购的政府购买服务项目（含政府和社会资本合作项目），在采购过程中符合要求的供应商（社会资本）只有</w:t>
      </w:r>
      <w:r>
        <w:rPr>
          <w:rFonts w:ascii="宋体" w:hAnsi="宋体" w:cs="宋体"/>
          <w:color w:val="auto"/>
          <w:highlight w:val="none"/>
        </w:rPr>
        <w:t>2</w:t>
      </w:r>
      <w:r>
        <w:rPr>
          <w:rFonts w:hint="eastAsia" w:ascii="宋体" w:hAnsi="宋体" w:cs="宋体"/>
          <w:color w:val="auto"/>
          <w:highlight w:val="none"/>
        </w:rPr>
        <w:t>家的，竞争性磋商采购活动可以继续进行。采购过程中符合要求的供应商（社会资本）只有</w:t>
      </w:r>
      <w:r>
        <w:rPr>
          <w:rFonts w:ascii="宋体" w:hAnsi="宋体" w:cs="宋体"/>
          <w:color w:val="auto"/>
          <w:highlight w:val="none"/>
        </w:rPr>
        <w:t>1</w:t>
      </w:r>
      <w:r>
        <w:rPr>
          <w:rFonts w:hint="eastAsia" w:ascii="宋体" w:hAnsi="宋体" w:cs="宋体"/>
          <w:color w:val="auto"/>
          <w:highlight w:val="none"/>
        </w:rPr>
        <w:t>家的，采购人（项目实施机构）或者采购代理机构应当终止竞争性磋商采购活动，发布项目终止公告并说明原因，重新开展采购活动。</w:t>
      </w:r>
    </w:p>
    <w:p w14:paraId="2284B34E">
      <w:pPr>
        <w:spacing w:line="360" w:lineRule="auto"/>
        <w:ind w:firstLine="482" w:firstLineChars="200"/>
        <w:rPr>
          <w:rFonts w:ascii="宋体" w:cs="宋体"/>
          <w:color w:val="auto"/>
          <w:szCs w:val="21"/>
          <w:highlight w:val="none"/>
        </w:rPr>
      </w:pPr>
      <w:r>
        <w:rPr>
          <w:rFonts w:ascii="宋体" w:hAnsi="宋体" w:cs="宋体"/>
          <w:b/>
          <w:bCs/>
          <w:color w:val="auto"/>
          <w:sz w:val="24"/>
          <w:highlight w:val="none"/>
        </w:rPr>
        <w:t xml:space="preserve">4. </w:t>
      </w:r>
      <w:r>
        <w:rPr>
          <w:rFonts w:hint="eastAsia" w:ascii="宋体" w:hAnsi="宋体" w:cs="宋体"/>
          <w:b/>
          <w:bCs/>
          <w:color w:val="auto"/>
          <w:sz w:val="24"/>
          <w:highlight w:val="none"/>
        </w:rPr>
        <w:t>最后报价</w:t>
      </w:r>
    </w:p>
    <w:p w14:paraId="4CCFE54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4.1</w:t>
      </w:r>
      <w:r>
        <w:rPr>
          <w:rFonts w:hint="eastAsia" w:ascii="宋体" w:hAnsi="宋体" w:cs="宋体"/>
          <w:color w:val="auto"/>
          <w:szCs w:val="21"/>
          <w:highlight w:val="none"/>
        </w:rPr>
        <w:t>磋商文件能够详细列明采购标的的技术、服务要求的，磋商结束后，由磋商小组要求所有继续参加磋商的供应商在规定时间内以电子文件形式提交最后报价，除本章第</w:t>
      </w:r>
      <w:r>
        <w:rPr>
          <w:rFonts w:ascii="宋体" w:hAnsi="宋体" w:cs="宋体"/>
          <w:color w:val="auto"/>
          <w:szCs w:val="21"/>
          <w:highlight w:val="none"/>
        </w:rPr>
        <w:t>2.7</w:t>
      </w:r>
      <w:r>
        <w:rPr>
          <w:rFonts w:hint="eastAsia" w:ascii="宋体" w:hAnsi="宋体" w:cs="宋体"/>
          <w:color w:val="auto"/>
          <w:szCs w:val="21"/>
          <w:highlight w:val="none"/>
        </w:rPr>
        <w:t>、</w:t>
      </w:r>
      <w:r>
        <w:rPr>
          <w:rFonts w:ascii="宋体" w:hAnsi="宋体" w:cs="宋体"/>
          <w:color w:val="auto"/>
          <w:szCs w:val="21"/>
          <w:highlight w:val="none"/>
        </w:rPr>
        <w:t>3.7</w:t>
      </w:r>
      <w:r>
        <w:rPr>
          <w:rFonts w:hint="eastAsia" w:ascii="宋体" w:hAnsi="宋体" w:cs="宋体"/>
          <w:color w:val="auto"/>
          <w:szCs w:val="21"/>
          <w:highlight w:val="none"/>
        </w:rPr>
        <w:t>、</w:t>
      </w:r>
      <w:r>
        <w:rPr>
          <w:rFonts w:ascii="宋体" w:hAnsi="宋体" w:cs="宋体"/>
          <w:color w:val="auto"/>
          <w:szCs w:val="21"/>
          <w:highlight w:val="none"/>
        </w:rPr>
        <w:t>4.3</w:t>
      </w:r>
      <w:r>
        <w:rPr>
          <w:rFonts w:hint="eastAsia" w:ascii="宋体" w:hAnsi="宋体" w:cs="宋体"/>
          <w:color w:val="auto"/>
          <w:szCs w:val="21"/>
          <w:highlight w:val="none"/>
        </w:rPr>
        <w:t>条外，提交最后报价的供应商不得少于</w:t>
      </w:r>
      <w:r>
        <w:rPr>
          <w:rFonts w:ascii="宋体" w:hAnsi="宋体" w:cs="宋体"/>
          <w:color w:val="auto"/>
          <w:szCs w:val="21"/>
          <w:highlight w:val="none"/>
        </w:rPr>
        <w:t>3</w:t>
      </w:r>
      <w:r>
        <w:rPr>
          <w:rFonts w:hint="eastAsia" w:ascii="宋体" w:hAnsi="宋体" w:cs="宋体"/>
          <w:color w:val="auto"/>
          <w:szCs w:val="21"/>
          <w:highlight w:val="none"/>
        </w:rPr>
        <w:t>家，否则必须重新采购。</w:t>
      </w:r>
    </w:p>
    <w:p w14:paraId="2DE3C75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w:t>
      </w:r>
      <w:r>
        <w:rPr>
          <w:rFonts w:ascii="宋体" w:hAnsi="宋体" w:cs="宋体"/>
          <w:color w:val="auto"/>
          <w:szCs w:val="21"/>
          <w:highlight w:val="none"/>
        </w:rPr>
        <w:t>3</w:t>
      </w:r>
      <w:r>
        <w:rPr>
          <w:rFonts w:hint="eastAsia" w:ascii="宋体" w:hAnsi="宋体" w:cs="宋体"/>
          <w:color w:val="auto"/>
          <w:szCs w:val="21"/>
          <w:highlight w:val="none"/>
        </w:rPr>
        <w:t>家以上供应商的设计方案或者解决方案，并要求其在规定时间内以电子文件形式提交最后报价。</w:t>
      </w:r>
    </w:p>
    <w:p w14:paraId="29F9D54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4.3 </w:t>
      </w:r>
      <w:r>
        <w:rPr>
          <w:rFonts w:hint="eastAsia" w:ascii="宋体" w:hAnsi="宋体" w:cs="宋体"/>
          <w:color w:val="auto"/>
          <w:szCs w:val="21"/>
          <w:highlight w:val="none"/>
        </w:rPr>
        <w:t>最后报价是供应商响应文件的有效组成部分。符合《政府采购竞争性磋商采购方式管理暂行办法》（财库〔</w:t>
      </w:r>
      <w:r>
        <w:rPr>
          <w:rFonts w:ascii="宋体" w:hAnsi="宋体" w:cs="宋体"/>
          <w:color w:val="auto"/>
          <w:szCs w:val="21"/>
          <w:highlight w:val="none"/>
        </w:rPr>
        <w:t>2014</w:t>
      </w:r>
      <w:r>
        <w:rPr>
          <w:rFonts w:hint="eastAsia" w:ascii="宋体" w:hAnsi="宋体" w:cs="宋体"/>
          <w:color w:val="auto"/>
          <w:szCs w:val="21"/>
          <w:highlight w:val="none"/>
        </w:rPr>
        <w:t>〕</w:t>
      </w:r>
      <w:r>
        <w:rPr>
          <w:rFonts w:ascii="宋体" w:hAnsi="宋体" w:cs="宋体"/>
          <w:color w:val="auto"/>
          <w:szCs w:val="21"/>
          <w:highlight w:val="none"/>
        </w:rPr>
        <w:t>214</w:t>
      </w:r>
      <w:r>
        <w:rPr>
          <w:rFonts w:hint="eastAsia" w:ascii="宋体" w:hAnsi="宋体" w:cs="宋体"/>
          <w:color w:val="auto"/>
          <w:szCs w:val="21"/>
          <w:highlight w:val="none"/>
        </w:rPr>
        <w:t>号）第三条第四项“市场竞争不充分的科研项目，以及需要扶持的科技成果转化项目”和</w:t>
      </w:r>
      <w:r>
        <w:rPr>
          <w:rFonts w:hint="eastAsia" w:ascii="宋体" w:hAnsi="宋体" w:cs="宋体"/>
          <w:color w:val="auto"/>
          <w:highlight w:val="none"/>
        </w:rPr>
        <w:t>本章第</w:t>
      </w:r>
      <w:r>
        <w:rPr>
          <w:rFonts w:ascii="宋体" w:hAnsi="宋体" w:cs="宋体"/>
          <w:color w:val="auto"/>
          <w:highlight w:val="none"/>
        </w:rPr>
        <w:t>3.8</w:t>
      </w:r>
      <w:r>
        <w:rPr>
          <w:rFonts w:hint="eastAsia" w:ascii="宋体" w:hAnsi="宋体" w:cs="宋体"/>
          <w:color w:val="auto"/>
          <w:highlight w:val="none"/>
        </w:rPr>
        <w:t>条情形的，</w:t>
      </w:r>
      <w:r>
        <w:rPr>
          <w:rFonts w:hint="eastAsia" w:ascii="宋体" w:hAnsi="宋体" w:cs="宋体"/>
          <w:color w:val="auto"/>
          <w:szCs w:val="21"/>
          <w:highlight w:val="none"/>
        </w:rPr>
        <w:t>提交最后报价的供应商可以为</w:t>
      </w:r>
      <w:r>
        <w:rPr>
          <w:rFonts w:ascii="宋体" w:hAnsi="宋体" w:cs="宋体"/>
          <w:color w:val="auto"/>
          <w:szCs w:val="21"/>
          <w:highlight w:val="none"/>
        </w:rPr>
        <w:t>2</w:t>
      </w:r>
      <w:r>
        <w:rPr>
          <w:rFonts w:hint="eastAsia" w:ascii="宋体" w:hAnsi="宋体" w:cs="宋体"/>
          <w:color w:val="auto"/>
          <w:szCs w:val="21"/>
          <w:highlight w:val="none"/>
        </w:rPr>
        <w:t>家。</w:t>
      </w:r>
    </w:p>
    <w:p w14:paraId="5062DD5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6DADACC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w:t>
      </w:r>
    </w:p>
    <w:p w14:paraId="5B346BF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磋商小组收齐某一分标最后报价后或达到规定时间后统一开启，磋商小组对最后报价进行有效性、完整性和响应程度的审查。</w:t>
      </w:r>
    </w:p>
    <w:p w14:paraId="6511518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响应文件最后报价出现前后不一致的，按照本章第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条的规定修正。</w:t>
      </w:r>
      <w:r>
        <w:rPr>
          <w:rFonts w:ascii="宋体" w:hAnsi="宋体" w:cs="宋体"/>
          <w:color w:val="auto"/>
          <w:szCs w:val="21"/>
          <w:highlight w:val="none"/>
        </w:rPr>
        <w:t xml:space="preserve"> </w:t>
      </w:r>
    </w:p>
    <w:p w14:paraId="42509B2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经供应商确认修正后的最后报价作为评审及签订合同的依据。</w:t>
      </w:r>
    </w:p>
    <w:p w14:paraId="6AB0A3F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供应商出现最后报价按无效响应处理或者响应文件按无效响应处理时</w:t>
      </w:r>
      <w:r>
        <w:rPr>
          <w:rFonts w:hint="eastAsia" w:ascii="宋体" w:hAnsi="宋体" w:cs="宋体"/>
          <w:color w:val="auto"/>
          <w:sz w:val="22"/>
          <w:szCs w:val="22"/>
          <w:highlight w:val="none"/>
        </w:rPr>
        <w:t>，磋商小组应当告知有关供应商</w:t>
      </w:r>
      <w:r>
        <w:rPr>
          <w:rFonts w:hint="eastAsia" w:ascii="宋体" w:hAnsi="宋体" w:cs="宋体"/>
          <w:color w:val="auto"/>
          <w:szCs w:val="21"/>
          <w:highlight w:val="none"/>
        </w:rPr>
        <w:t>。</w:t>
      </w:r>
    </w:p>
    <w:p w14:paraId="7334C47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4.10</w:t>
      </w:r>
      <w:r>
        <w:rPr>
          <w:rFonts w:hint="eastAsia" w:ascii="宋体" w:hAnsi="宋体" w:cs="宋体"/>
          <w:color w:val="auto"/>
          <w:szCs w:val="21"/>
          <w:highlight w:val="none"/>
        </w:rPr>
        <w:t>最后报价结束后，磋商小组不得再与供应商进行任何形式的商谈。</w:t>
      </w:r>
    </w:p>
    <w:p w14:paraId="6E34E93A">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5.</w:t>
      </w:r>
      <w:r>
        <w:rPr>
          <w:rFonts w:hint="eastAsia" w:ascii="宋体" w:hAnsi="宋体" w:cs="宋体"/>
          <w:b/>
          <w:bCs/>
          <w:color w:val="auto"/>
          <w:sz w:val="24"/>
          <w:highlight w:val="none"/>
        </w:rPr>
        <w:t>比较与评价</w:t>
      </w:r>
    </w:p>
    <w:p w14:paraId="610976A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39E3F44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3E99589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75A5C622">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）磋商小组按照磋商文件中规定的评审标准计算各供应商的报价得分。项目评审过程中，不得去掉最后报价中的最高报价和最低报价。</w:t>
      </w:r>
    </w:p>
    <w:p w14:paraId="174E0E0F">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）各供应商的得分为磋商小组所有成员的有效评分的算术平均数。</w:t>
      </w:r>
    </w:p>
    <w:p w14:paraId="500CD0A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评标价为供应商的最后报价进行政策性扣除后的价格，评标价只是作为评审时使用。最终成交供应商的成交金额等于最后报价（如有修正，以确认修正后的最后报价为准）。</w:t>
      </w:r>
    </w:p>
    <w:p w14:paraId="19FADA3A">
      <w:pPr>
        <w:spacing w:line="360" w:lineRule="auto"/>
        <w:ind w:firstLine="420" w:firstLineChars="200"/>
        <w:rPr>
          <w:rFonts w:ascii="宋体" w:cs="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w:t>
      </w:r>
      <w:r>
        <w:rPr>
          <w:rFonts w:ascii="宋体" w:hAnsi="宋体" w:cs="宋体"/>
          <w:color w:val="auto"/>
          <w:szCs w:val="21"/>
          <w:highlight w:val="none"/>
        </w:rPr>
        <w:t>3</w:t>
      </w:r>
      <w:r>
        <w:rPr>
          <w:rFonts w:hint="eastAsia" w:ascii="宋体" w:hAnsi="宋体" w:cs="宋体"/>
          <w:color w:val="auto"/>
          <w:szCs w:val="21"/>
          <w:highlight w:val="none"/>
        </w:rPr>
        <w:t>名以上成交候选供应商，并编写评</w:t>
      </w:r>
      <w:r>
        <w:rPr>
          <w:rFonts w:hint="eastAsia" w:ascii="宋体" w:hAnsi="宋体" w:cs="宋体"/>
          <w:color w:val="auto"/>
          <w:kern w:val="0"/>
          <w:szCs w:val="21"/>
          <w:highlight w:val="none"/>
        </w:rPr>
        <w:t>审报告。符合本章第</w:t>
      </w:r>
      <w:r>
        <w:rPr>
          <w:rFonts w:ascii="宋体" w:hAnsi="宋体" w:cs="宋体"/>
          <w:color w:val="auto"/>
          <w:szCs w:val="21"/>
          <w:highlight w:val="none"/>
        </w:rPr>
        <w:t>2.7</w:t>
      </w:r>
      <w:r>
        <w:rPr>
          <w:rFonts w:hint="eastAsia" w:ascii="宋体" w:hAnsi="宋体" w:cs="宋体"/>
          <w:color w:val="auto"/>
          <w:szCs w:val="21"/>
          <w:highlight w:val="none"/>
        </w:rPr>
        <w:t>、</w:t>
      </w:r>
      <w:r>
        <w:rPr>
          <w:rFonts w:ascii="宋体" w:hAnsi="宋体" w:cs="宋体"/>
          <w:color w:val="auto"/>
          <w:szCs w:val="21"/>
          <w:highlight w:val="none"/>
        </w:rPr>
        <w:t>3.7</w:t>
      </w:r>
      <w:r>
        <w:rPr>
          <w:rFonts w:hint="eastAsia" w:ascii="宋体" w:hAnsi="宋体" w:cs="宋体"/>
          <w:color w:val="auto"/>
          <w:szCs w:val="21"/>
          <w:highlight w:val="none"/>
        </w:rPr>
        <w:t>、</w:t>
      </w:r>
      <w:r>
        <w:rPr>
          <w:rFonts w:ascii="宋体" w:hAnsi="宋体" w:cs="宋体"/>
          <w:color w:val="auto"/>
          <w:szCs w:val="21"/>
          <w:highlight w:val="none"/>
        </w:rPr>
        <w:t>4.3</w:t>
      </w:r>
      <w:r>
        <w:rPr>
          <w:rFonts w:hint="eastAsia" w:ascii="宋体" w:hAnsi="宋体" w:cs="宋体"/>
          <w:color w:val="auto"/>
          <w:kern w:val="0"/>
          <w:szCs w:val="21"/>
          <w:highlight w:val="none"/>
        </w:rPr>
        <w:t>条情形的，可以推荐</w:t>
      </w:r>
      <w:r>
        <w:rPr>
          <w:rFonts w:ascii="宋体" w:hAnsi="宋体" w:cs="宋体"/>
          <w:color w:val="auto"/>
          <w:kern w:val="0"/>
          <w:szCs w:val="21"/>
          <w:highlight w:val="none"/>
        </w:rPr>
        <w:t>2</w:t>
      </w:r>
      <w:r>
        <w:rPr>
          <w:rFonts w:hint="eastAsia" w:ascii="宋体" w:hAnsi="宋体" w:cs="宋体"/>
          <w:color w:val="auto"/>
          <w:kern w:val="0"/>
          <w:szCs w:val="21"/>
          <w:highlight w:val="none"/>
        </w:rPr>
        <w:t>家成交候选供应商。评审得分相同的，按照最后报价由低到高的顺序推荐。评审得分且最后报价相同的，按照技术指标优劣顺序推荐。</w:t>
      </w:r>
    </w:p>
    <w:p w14:paraId="29B162AD">
      <w:pPr>
        <w:spacing w:line="360" w:lineRule="auto"/>
        <w:ind w:firstLine="420" w:firstLineChars="200"/>
        <w:rPr>
          <w:rFonts w:ascii="宋体" w:cs="宋体"/>
          <w:color w:val="auto"/>
          <w:szCs w:val="21"/>
          <w:highlight w:val="none"/>
        </w:rPr>
      </w:pPr>
      <w:r>
        <w:rPr>
          <w:rFonts w:ascii="宋体" w:hAnsi="宋体" w:cs="宋体"/>
          <w:color w:val="auto"/>
          <w:kern w:val="0"/>
          <w:szCs w:val="21"/>
          <w:highlight w:val="none"/>
        </w:rPr>
        <w:t>5.6</w:t>
      </w:r>
      <w:r>
        <w:rPr>
          <w:rFonts w:hint="eastAsia" w:ascii="宋体" w:hAnsi="宋体" w:cs="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C888C76">
      <w:pPr>
        <w:spacing w:line="360" w:lineRule="auto"/>
        <w:jc w:val="center"/>
        <w:rPr>
          <w:rFonts w:ascii="宋体" w:cs="宋体"/>
          <w:b/>
          <w:color w:val="auto"/>
          <w:sz w:val="32"/>
          <w:szCs w:val="32"/>
          <w:highlight w:val="none"/>
        </w:rPr>
      </w:pPr>
      <w:r>
        <w:rPr>
          <w:rFonts w:ascii="宋体" w:cs="宋体"/>
          <w:b/>
          <w:color w:val="auto"/>
          <w:sz w:val="32"/>
          <w:szCs w:val="32"/>
          <w:highlight w:val="none"/>
        </w:rPr>
        <w:br w:type="page"/>
      </w:r>
      <w:r>
        <w:rPr>
          <w:rFonts w:hint="eastAsia" w:ascii="宋体" w:hAnsi="宋体" w:cs="宋体"/>
          <w:b/>
          <w:color w:val="auto"/>
          <w:sz w:val="32"/>
          <w:szCs w:val="32"/>
          <w:highlight w:val="none"/>
        </w:rPr>
        <w:t>二、评审标准</w:t>
      </w:r>
    </w:p>
    <w:p w14:paraId="4EF7B681">
      <w:pPr>
        <w:spacing w:line="360" w:lineRule="auto"/>
        <w:ind w:firstLine="420" w:firstLineChars="200"/>
        <w:rPr>
          <w:rFonts w:ascii="宋体" w:cs="宋体"/>
          <w:bCs/>
          <w:color w:val="auto"/>
          <w:szCs w:val="21"/>
          <w:highlight w:val="none"/>
        </w:rPr>
      </w:pPr>
      <w:r>
        <w:rPr>
          <w:rFonts w:ascii="宋体" w:hAnsi="宋体" w:cs="宋体"/>
          <w:bCs/>
          <w:color w:val="auto"/>
          <w:szCs w:val="21"/>
          <w:highlight w:val="none"/>
        </w:rPr>
        <w:t>6.</w:t>
      </w:r>
      <w:r>
        <w:rPr>
          <w:rFonts w:hint="eastAsia" w:ascii="宋体" w:hAnsi="宋体" w:cs="宋体"/>
          <w:bCs/>
          <w:color w:val="auto"/>
          <w:szCs w:val="21"/>
          <w:highlight w:val="none"/>
        </w:rPr>
        <w:t>评审依据：磋商小组将以磋商响应文件为评审依据，对供应商的报价、技术、商务等方面内容按百分制打分（计分方法按四舍五入取至百分位）。</w:t>
      </w:r>
    </w:p>
    <w:p w14:paraId="0FAEFBD1">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分标</w:t>
      </w:r>
      <w:r>
        <w:rPr>
          <w:rFonts w:ascii="宋体" w:hAnsi="宋体" w:cs="宋体"/>
          <w:b/>
          <w:color w:val="auto"/>
          <w:szCs w:val="21"/>
          <w:highlight w:val="none"/>
        </w:rPr>
        <w:t>1</w:t>
      </w:r>
      <w:r>
        <w:rPr>
          <w:rFonts w:hint="eastAsia" w:ascii="宋体" w:hAnsi="宋体" w:cs="宋体"/>
          <w:b/>
          <w:color w:val="auto"/>
          <w:szCs w:val="21"/>
          <w:highlight w:val="none"/>
        </w:rPr>
        <w:t>：</w:t>
      </w:r>
    </w:p>
    <w:tbl>
      <w:tblPr>
        <w:tblStyle w:val="3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244"/>
        <w:gridCol w:w="5665"/>
      </w:tblGrid>
      <w:tr w14:paraId="118DF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14:paraId="47EAE25A">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序号</w:t>
            </w:r>
          </w:p>
        </w:tc>
        <w:tc>
          <w:tcPr>
            <w:tcW w:w="1280" w:type="dxa"/>
            <w:vAlign w:val="center"/>
          </w:tcPr>
          <w:p w14:paraId="2C341407">
            <w:pPr>
              <w:adjustRightInd w:val="0"/>
              <w:spacing w:line="410" w:lineRule="exact"/>
              <w:jc w:val="center"/>
              <w:textAlignment w:val="baseline"/>
              <w:rPr>
                <w:rFonts w:ascii="宋体" w:cs="宋体"/>
                <w:color w:val="auto"/>
                <w:szCs w:val="21"/>
                <w:highlight w:val="none"/>
              </w:rPr>
            </w:pPr>
            <w:r>
              <w:rPr>
                <w:rFonts w:hint="eastAsia" w:ascii="宋体" w:hAnsi="宋体" w:cs="宋体"/>
                <w:b/>
                <w:color w:val="auto"/>
                <w:szCs w:val="21"/>
                <w:highlight w:val="none"/>
              </w:rPr>
              <w:t>评审因素</w:t>
            </w:r>
          </w:p>
        </w:tc>
        <w:tc>
          <w:tcPr>
            <w:tcW w:w="709" w:type="dxa"/>
            <w:vAlign w:val="center"/>
          </w:tcPr>
          <w:p w14:paraId="2B53C1A7">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分值</w:t>
            </w:r>
          </w:p>
        </w:tc>
        <w:tc>
          <w:tcPr>
            <w:tcW w:w="6909" w:type="dxa"/>
            <w:gridSpan w:val="2"/>
            <w:vAlign w:val="center"/>
          </w:tcPr>
          <w:p w14:paraId="4EC66A6A">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评标标准</w:t>
            </w:r>
          </w:p>
        </w:tc>
      </w:tr>
      <w:tr w14:paraId="3DCB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14:paraId="1F0149FE">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w:t>
            </w:r>
          </w:p>
        </w:tc>
        <w:tc>
          <w:tcPr>
            <w:tcW w:w="1280" w:type="dxa"/>
            <w:vAlign w:val="center"/>
          </w:tcPr>
          <w:p w14:paraId="5A540482">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报价</w:t>
            </w:r>
          </w:p>
        </w:tc>
        <w:tc>
          <w:tcPr>
            <w:tcW w:w="709" w:type="dxa"/>
            <w:vAlign w:val="center"/>
          </w:tcPr>
          <w:p w14:paraId="4BAA3A23">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10分</w:t>
            </w:r>
          </w:p>
        </w:tc>
        <w:tc>
          <w:tcPr>
            <w:tcW w:w="6909" w:type="dxa"/>
            <w:gridSpan w:val="2"/>
            <w:vAlign w:val="center"/>
          </w:tcPr>
          <w:p w14:paraId="6A2EEE74">
            <w:pPr>
              <w:pStyle w:val="19"/>
              <w:spacing w:line="360" w:lineRule="auto"/>
              <w:ind w:firstLine="422" w:firstLineChars="200"/>
              <w:rPr>
                <w:rFonts w:hAnsi="宋体" w:cs="宋体"/>
                <w:b/>
                <w:bCs/>
                <w:color w:val="auto"/>
                <w:kern w:val="2"/>
                <w:sz w:val="21"/>
                <w:highlight w:val="none"/>
              </w:rPr>
            </w:pPr>
            <w:r>
              <w:rPr>
                <w:rFonts w:hint="eastAsia" w:hAnsi="宋体" w:cs="宋体"/>
                <w:b/>
                <w:bCs/>
                <w:color w:val="auto"/>
                <w:kern w:val="2"/>
                <w:sz w:val="21"/>
                <w:highlight w:val="none"/>
              </w:rPr>
              <w:t>一、政府采购政策</w:t>
            </w:r>
          </w:p>
          <w:p w14:paraId="0E79959B">
            <w:pPr>
              <w:pStyle w:val="19"/>
              <w:spacing w:line="360" w:lineRule="auto"/>
              <w:ind w:firstLine="420" w:firstLineChars="200"/>
              <w:rPr>
                <w:rFonts w:hAnsi="宋体" w:cs="宋体"/>
                <w:color w:val="auto"/>
                <w:sz w:val="21"/>
                <w:highlight w:val="none"/>
              </w:rPr>
            </w:pPr>
            <w:r>
              <w:rPr>
                <w:rFonts w:hint="eastAsia" w:hAnsi="宋体" w:cs="宋体"/>
                <w:bCs/>
                <w:color w:val="auto"/>
                <w:sz w:val="21"/>
                <w:highlight w:val="none"/>
              </w:rPr>
              <w:t>1、本分标属于专门面向小微企业采购的项目，不再享受价格扣除优惠政策。</w:t>
            </w:r>
          </w:p>
          <w:p w14:paraId="60E699B9">
            <w:pPr>
              <w:rPr>
                <w:rFonts w:ascii="宋体" w:hAnsi="宋体" w:cs="宋体"/>
                <w:b/>
                <w:bCs/>
                <w:color w:val="auto"/>
                <w:szCs w:val="21"/>
                <w:highlight w:val="none"/>
              </w:rPr>
            </w:pPr>
            <w:bookmarkStart w:id="60" w:name="_Toc21376"/>
            <w:bookmarkStart w:id="61" w:name="_Toc13033"/>
            <w:bookmarkStart w:id="62" w:name="_Toc3809"/>
            <w:r>
              <w:rPr>
                <w:rFonts w:hint="eastAsia" w:ascii="宋体" w:hAnsi="宋体" w:cs="宋体"/>
                <w:b/>
                <w:bCs/>
                <w:color w:val="auto"/>
                <w:szCs w:val="21"/>
                <w:highlight w:val="none"/>
              </w:rPr>
              <w:t>二、报价分（满分10分）</w:t>
            </w:r>
            <w:bookmarkEnd w:id="60"/>
            <w:bookmarkEnd w:id="61"/>
            <w:bookmarkEnd w:id="62"/>
          </w:p>
          <w:p w14:paraId="406AC137">
            <w:pPr>
              <w:pStyle w:val="19"/>
              <w:spacing w:line="420" w:lineRule="exact"/>
              <w:ind w:firstLine="420" w:firstLineChars="200"/>
              <w:rPr>
                <w:rFonts w:hint="eastAsia" w:hAnsi="宋体" w:cs="宋体"/>
                <w:bCs/>
                <w:color w:val="auto"/>
                <w:sz w:val="21"/>
                <w:highlight w:val="none"/>
              </w:rPr>
            </w:pPr>
            <w:r>
              <w:rPr>
                <w:rFonts w:hint="eastAsia" w:hAnsi="宋体" w:cs="宋体"/>
                <w:color w:val="auto"/>
                <w:sz w:val="21"/>
                <w:highlight w:val="none"/>
              </w:rPr>
              <w:t>1、</w:t>
            </w:r>
            <w:r>
              <w:rPr>
                <w:rFonts w:hint="eastAsia" w:hAnsi="宋体" w:cs="宋体"/>
                <w:bCs/>
                <w:color w:val="auto"/>
                <w:sz w:val="21"/>
                <w:highlight w:val="none"/>
              </w:rPr>
              <w:t>报价分采用低价优先法计算，满足磋商文件要求且最低的有效供应商的最后报价为评标基准价，其报价分为满分。</w:t>
            </w:r>
          </w:p>
          <w:p w14:paraId="5761894D">
            <w:pPr>
              <w:pStyle w:val="19"/>
              <w:spacing w:line="420" w:lineRule="exact"/>
              <w:ind w:firstLine="420" w:firstLineChars="200"/>
              <w:rPr>
                <w:rFonts w:hAnsi="宋体" w:cs="宋体"/>
                <w:bCs/>
                <w:color w:val="auto"/>
                <w:sz w:val="21"/>
                <w:highlight w:val="none"/>
              </w:rPr>
            </w:pPr>
            <w:r>
              <w:rPr>
                <w:rFonts w:hint="eastAsia" w:hAnsi="宋体" w:cs="宋体"/>
                <w:bCs/>
                <w:color w:val="auto"/>
                <w:sz w:val="21"/>
                <w:highlight w:val="none"/>
              </w:rPr>
              <w:t>2、其他供应商的价格分统一按照下列公式计算：</w:t>
            </w:r>
          </w:p>
          <w:p w14:paraId="0BA337A8">
            <w:pPr>
              <w:pStyle w:val="19"/>
              <w:spacing w:line="420" w:lineRule="exact"/>
              <w:rPr>
                <w:rFonts w:hAnsi="宋体" w:cs="宋体"/>
                <w:bCs/>
                <w:color w:val="auto"/>
                <w:kern w:val="2"/>
                <w:sz w:val="21"/>
                <w:highlight w:val="none"/>
              </w:rPr>
            </w:pPr>
            <w:r>
              <w:rPr>
                <w:rFonts w:hint="eastAsia" w:hAnsi="宋体" w:cs="宋体"/>
                <w:bCs/>
                <w:color w:val="auto"/>
                <w:sz w:val="21"/>
                <w:highlight w:val="none"/>
              </w:rPr>
              <w:t>某有效供应商的报价分=（评标基准价／某有效供应商最后报价）×10分</w:t>
            </w:r>
          </w:p>
        </w:tc>
      </w:tr>
      <w:tr w14:paraId="73B91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30" w:type="dxa"/>
            <w:vMerge w:val="restart"/>
            <w:vAlign w:val="center"/>
          </w:tcPr>
          <w:p w14:paraId="44129F18">
            <w:pPr>
              <w:adjustRightInd w:val="0"/>
              <w:spacing w:line="360" w:lineRule="auto"/>
              <w:jc w:val="center"/>
              <w:textAlignment w:val="baseline"/>
              <w:rPr>
                <w:rFonts w:ascii="宋体" w:hAnsi="宋体" w:cs="宋体"/>
                <w:b/>
                <w:color w:val="auto"/>
                <w:szCs w:val="21"/>
                <w:highlight w:val="none"/>
              </w:rPr>
            </w:pPr>
          </w:p>
        </w:tc>
        <w:tc>
          <w:tcPr>
            <w:tcW w:w="1280" w:type="dxa"/>
            <w:vMerge w:val="restart"/>
            <w:vAlign w:val="center"/>
          </w:tcPr>
          <w:p w14:paraId="45D35593">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技术分</w:t>
            </w:r>
          </w:p>
        </w:tc>
        <w:tc>
          <w:tcPr>
            <w:tcW w:w="709" w:type="dxa"/>
            <w:vMerge w:val="restart"/>
            <w:vAlign w:val="center"/>
          </w:tcPr>
          <w:p w14:paraId="2782E65F">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80分</w:t>
            </w:r>
          </w:p>
        </w:tc>
        <w:tc>
          <w:tcPr>
            <w:tcW w:w="1244" w:type="dxa"/>
            <w:vAlign w:val="center"/>
          </w:tcPr>
          <w:p w14:paraId="3FC41892">
            <w:pPr>
              <w:spacing w:line="360" w:lineRule="auto"/>
              <w:jc w:val="center"/>
              <w:rPr>
                <w:rFonts w:ascii="宋体" w:hAnsi="宋体" w:cs="宋体"/>
                <w:bCs/>
                <w:color w:val="auto"/>
                <w:szCs w:val="21"/>
                <w:highlight w:val="none"/>
              </w:rPr>
            </w:pPr>
            <w:r>
              <w:rPr>
                <w:rFonts w:hint="eastAsia" w:ascii="宋体" w:hAnsi="宋体" w:cs="宋体"/>
                <w:b/>
                <w:color w:val="auto"/>
                <w:szCs w:val="21"/>
                <w:highlight w:val="none"/>
              </w:rPr>
              <w:t>服务总体方案（满分20分）</w:t>
            </w:r>
          </w:p>
        </w:tc>
        <w:tc>
          <w:tcPr>
            <w:tcW w:w="5665" w:type="dxa"/>
            <w:vAlign w:val="center"/>
          </w:tcPr>
          <w:p w14:paraId="5A12BBD0">
            <w:pPr>
              <w:spacing w:line="360" w:lineRule="auto"/>
              <w:ind w:firstLine="420" w:firstLineChars="200"/>
              <w:jc w:val="left"/>
              <w:rPr>
                <w:rFonts w:ascii="宋体" w:hAnsi="宋体"/>
                <w:bCs/>
                <w:color w:val="auto"/>
                <w:szCs w:val="21"/>
                <w:highlight w:val="none"/>
              </w:rPr>
            </w:pPr>
            <w:r>
              <w:rPr>
                <w:rFonts w:hint="eastAsia" w:ascii="宋体" w:hAnsi="宋体" w:cs="宋体"/>
                <w:bCs/>
                <w:color w:val="auto"/>
                <w:szCs w:val="21"/>
                <w:highlight w:val="none"/>
              </w:rPr>
              <w:t>由磋商小组在打分前根据供应商提供的方案确定各供应商所属档次及得分。</w:t>
            </w:r>
          </w:p>
          <w:p w14:paraId="3742F28F">
            <w:pPr>
              <w:pStyle w:val="19"/>
              <w:spacing w:line="440" w:lineRule="exact"/>
              <w:ind w:firstLine="420"/>
              <w:rPr>
                <w:rFonts w:hAnsi="宋体" w:cs="宋体"/>
                <w:color w:val="auto"/>
                <w:sz w:val="21"/>
                <w:highlight w:val="none"/>
              </w:rPr>
            </w:pPr>
            <w:r>
              <w:rPr>
                <w:rFonts w:hint="eastAsia" w:hAnsi="宋体" w:cs="宋体"/>
                <w:color w:val="auto"/>
                <w:sz w:val="21"/>
                <w:highlight w:val="none"/>
              </w:rPr>
              <w:t>一档（0分）：未提供服务总体方案或提供的服务总体方案与本项目不相符；</w:t>
            </w:r>
          </w:p>
          <w:p w14:paraId="4A11ACC7">
            <w:pPr>
              <w:pStyle w:val="19"/>
              <w:spacing w:line="440" w:lineRule="exact"/>
              <w:ind w:firstLine="420"/>
              <w:rPr>
                <w:rFonts w:hAnsi="宋体" w:cs="宋体"/>
                <w:color w:val="auto"/>
                <w:sz w:val="21"/>
                <w:highlight w:val="none"/>
              </w:rPr>
            </w:pPr>
            <w:r>
              <w:rPr>
                <w:rFonts w:hint="eastAsia" w:hAnsi="宋体" w:cs="宋体"/>
                <w:color w:val="auto"/>
                <w:sz w:val="21"/>
                <w:highlight w:val="none"/>
              </w:rPr>
              <w:t>二档（5分）：对本项目有基本的了解，服务总体方案的总体服务内容不够全面，方案总体逻辑结构不够清晰；</w:t>
            </w:r>
          </w:p>
          <w:p w14:paraId="307EDA76">
            <w:pPr>
              <w:pStyle w:val="19"/>
              <w:spacing w:line="440" w:lineRule="exact"/>
              <w:ind w:firstLine="420"/>
              <w:rPr>
                <w:rFonts w:hAnsi="宋体" w:cs="宋体"/>
                <w:color w:val="auto"/>
                <w:sz w:val="21"/>
                <w:highlight w:val="none"/>
              </w:rPr>
            </w:pPr>
            <w:r>
              <w:rPr>
                <w:rFonts w:hint="eastAsia" w:hAnsi="宋体" w:cs="宋体"/>
                <w:color w:val="auto"/>
                <w:sz w:val="21"/>
                <w:highlight w:val="none"/>
              </w:rPr>
              <w:t>三档（10分）：对本项目有一定的了解，提供的服务总体方案思路、难点、特点、关键点描述较清晰，满足项目要求；</w:t>
            </w:r>
          </w:p>
          <w:p w14:paraId="51C91514">
            <w:pPr>
              <w:pStyle w:val="19"/>
              <w:spacing w:line="440" w:lineRule="exact"/>
              <w:ind w:firstLine="420"/>
              <w:rPr>
                <w:rFonts w:hAnsi="宋体" w:cs="宋体"/>
                <w:color w:val="auto"/>
                <w:sz w:val="21"/>
                <w:highlight w:val="none"/>
              </w:rPr>
            </w:pPr>
            <w:r>
              <w:rPr>
                <w:rFonts w:hint="eastAsia" w:hAnsi="宋体" w:cs="宋体"/>
                <w:color w:val="auto"/>
                <w:sz w:val="21"/>
                <w:highlight w:val="none"/>
              </w:rPr>
              <w:t>四档（15分）：对本项目了解较全面，提供的服务总体方案思路、难点、特点、关键点描述清晰，提出的服务技术方案针对性强。</w:t>
            </w:r>
            <w:bookmarkStart w:id="63" w:name="OLE_LINK3"/>
            <w:r>
              <w:rPr>
                <w:rFonts w:hint="eastAsia" w:hAnsi="宋体" w:cs="宋体"/>
                <w:color w:val="auto"/>
                <w:sz w:val="21"/>
                <w:highlight w:val="none"/>
              </w:rPr>
              <w:t>承诺的响应时间、重要时期保障服务内容详实</w:t>
            </w:r>
            <w:bookmarkEnd w:id="63"/>
            <w:r>
              <w:rPr>
                <w:rFonts w:hint="eastAsia" w:hAnsi="宋体" w:cs="宋体"/>
                <w:color w:val="auto"/>
                <w:sz w:val="21"/>
                <w:highlight w:val="none"/>
              </w:rPr>
              <w:t>，可操作性强；对培训有简单描述。</w:t>
            </w:r>
          </w:p>
          <w:p w14:paraId="79E5986B">
            <w:pPr>
              <w:pStyle w:val="19"/>
              <w:spacing w:line="440" w:lineRule="exact"/>
              <w:ind w:firstLine="420" w:firstLineChars="200"/>
              <w:jc w:val="left"/>
              <w:rPr>
                <w:rFonts w:hAnsi="宋体" w:cs="宋体"/>
                <w:bCs/>
                <w:color w:val="auto"/>
                <w:sz w:val="21"/>
                <w:highlight w:val="none"/>
              </w:rPr>
            </w:pPr>
            <w:r>
              <w:rPr>
                <w:rFonts w:hint="eastAsia" w:hAnsi="宋体" w:cs="宋体"/>
                <w:color w:val="auto"/>
                <w:sz w:val="21"/>
                <w:highlight w:val="none"/>
              </w:rPr>
              <w:t>五档（20分）：满足四档的基础上，提供的服务方案详细完善，管理流程清晰到位，有符合需求特点的服务监督及保障机制。承诺的响应时间、重要时期保障服务等内容详细，驻场保障服务方案能有效保障项目的整体实施；制定有针对重要时期保障措施、人员保障预案、资源协调预案，与服务对象的工作衔接能有效的实施维护工作。有操作性强的采集员培训方案。</w:t>
            </w:r>
          </w:p>
        </w:tc>
      </w:tr>
      <w:tr w14:paraId="785B2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3AC823A6">
            <w:pPr>
              <w:adjustRightInd w:val="0"/>
              <w:spacing w:line="360" w:lineRule="auto"/>
              <w:jc w:val="center"/>
              <w:textAlignment w:val="baseline"/>
              <w:rPr>
                <w:rFonts w:ascii="宋体" w:hAnsi="宋体" w:cs="宋体"/>
                <w:b/>
                <w:color w:val="auto"/>
                <w:szCs w:val="21"/>
                <w:highlight w:val="none"/>
              </w:rPr>
            </w:pPr>
            <w:bookmarkStart w:id="64" w:name="OLE_LINK19" w:colFirst="4" w:colLast="4"/>
          </w:p>
        </w:tc>
        <w:tc>
          <w:tcPr>
            <w:tcW w:w="1280" w:type="dxa"/>
            <w:vMerge w:val="continue"/>
            <w:vAlign w:val="center"/>
          </w:tcPr>
          <w:p w14:paraId="5B5096C1">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384E87F6">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62311032">
            <w:pPr>
              <w:spacing w:line="360" w:lineRule="auto"/>
              <w:jc w:val="center"/>
              <w:rPr>
                <w:rFonts w:ascii="宋体" w:hAnsi="宋体" w:cs="宋体"/>
                <w:bCs/>
                <w:color w:val="auto"/>
                <w:szCs w:val="21"/>
                <w:highlight w:val="none"/>
              </w:rPr>
            </w:pPr>
            <w:bookmarkStart w:id="65" w:name="OLE_LINK9"/>
            <w:r>
              <w:rPr>
                <w:rFonts w:hint="eastAsia" w:ascii="宋体" w:hAnsi="宋体" w:cs="宋体"/>
                <w:b/>
                <w:color w:val="auto"/>
                <w:szCs w:val="21"/>
                <w:highlight w:val="none"/>
              </w:rPr>
              <w:t>农情固定观察信息采集员日常管理方案</w:t>
            </w:r>
            <w:bookmarkEnd w:id="65"/>
            <w:r>
              <w:rPr>
                <w:rFonts w:hint="eastAsia" w:ascii="宋体" w:hAnsi="宋体" w:cs="宋体"/>
                <w:b/>
                <w:color w:val="auto"/>
                <w:szCs w:val="21"/>
                <w:highlight w:val="none"/>
              </w:rPr>
              <w:t>（满分15分）</w:t>
            </w:r>
          </w:p>
        </w:tc>
        <w:tc>
          <w:tcPr>
            <w:tcW w:w="5665" w:type="dxa"/>
            <w:vAlign w:val="center"/>
          </w:tcPr>
          <w:p w14:paraId="089A1183">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cs="宋体"/>
                <w:bCs/>
                <w:color w:val="auto"/>
                <w:szCs w:val="21"/>
                <w:highlight w:val="none"/>
              </w:rPr>
              <w:t>由磋商小组在打分前根据供应商提供的方案确定各供应商所属档次及得分</w:t>
            </w:r>
            <w:r>
              <w:rPr>
                <w:rFonts w:hint="eastAsia" w:ascii="宋体" w:hAnsi="宋体" w:cs="宋体"/>
                <w:bCs/>
                <w:color w:val="auto"/>
                <w:szCs w:val="21"/>
                <w:highlight w:val="none"/>
                <w:lang w:eastAsia="zh-CN"/>
              </w:rPr>
              <w:t>。</w:t>
            </w:r>
          </w:p>
          <w:p w14:paraId="30BA0134">
            <w:pPr>
              <w:autoSpaceDE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一档（0分）：未提供</w:t>
            </w:r>
            <w:bookmarkStart w:id="66" w:name="OLE_LINK14"/>
            <w:r>
              <w:rPr>
                <w:rFonts w:hint="eastAsia" w:ascii="宋体" w:hAnsi="宋体" w:cs="宋体"/>
                <w:bCs/>
                <w:color w:val="auto"/>
                <w:szCs w:val="21"/>
                <w:highlight w:val="none"/>
              </w:rPr>
              <w:t>农情固定观察信息采集员日常管理方案</w:t>
            </w:r>
            <w:bookmarkEnd w:id="66"/>
            <w:r>
              <w:rPr>
                <w:rFonts w:hint="eastAsia" w:ascii="宋体" w:hAnsi="宋体" w:cs="宋体"/>
                <w:color w:val="auto"/>
                <w:szCs w:val="21"/>
                <w:highlight w:val="none"/>
              </w:rPr>
              <w:t>或提供的方案与本项目不相符；</w:t>
            </w:r>
          </w:p>
          <w:p w14:paraId="55A69FFD">
            <w:pPr>
              <w:autoSpaceDE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二档（5分）：</w:t>
            </w:r>
            <w:bookmarkStart w:id="67" w:name="OLE_LINK16"/>
            <w:r>
              <w:rPr>
                <w:rFonts w:hint="eastAsia" w:ascii="宋体" w:hAnsi="宋体" w:cs="宋体"/>
                <w:bCs/>
                <w:color w:val="auto"/>
                <w:szCs w:val="21"/>
                <w:highlight w:val="none"/>
              </w:rPr>
              <w:t>农情固定观察信息采集员日常管理方案</w:t>
            </w:r>
            <w:bookmarkEnd w:id="67"/>
            <w:r>
              <w:rPr>
                <w:rFonts w:hint="eastAsia" w:ascii="宋体" w:hAnsi="宋体" w:cs="宋体"/>
                <w:color w:val="auto"/>
                <w:szCs w:val="21"/>
                <w:highlight w:val="none"/>
              </w:rPr>
              <w:t>基本满足本项目需要，在酬劳管理、上报方式等方面有简单描述。</w:t>
            </w:r>
          </w:p>
          <w:p w14:paraId="4E80233E">
            <w:pPr>
              <w:autoSpaceDE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三档（10分）：</w:t>
            </w:r>
            <w:bookmarkStart w:id="68" w:name="OLE_LINK17"/>
            <w:r>
              <w:rPr>
                <w:rFonts w:hint="eastAsia" w:ascii="宋体" w:hAnsi="宋体" w:cs="宋体"/>
                <w:bCs/>
                <w:color w:val="auto"/>
                <w:szCs w:val="21"/>
                <w:highlight w:val="none"/>
              </w:rPr>
              <w:t>农情固定观察信息采集员日常管理方案</w:t>
            </w:r>
            <w:bookmarkEnd w:id="68"/>
            <w:r>
              <w:rPr>
                <w:rFonts w:hint="eastAsia" w:ascii="宋体" w:hAnsi="宋体" w:cs="宋体"/>
                <w:color w:val="auto"/>
                <w:szCs w:val="21"/>
                <w:highlight w:val="none"/>
              </w:rPr>
              <w:t>详细、合理，在酬劳管理、上报方式、</w:t>
            </w:r>
            <w:bookmarkStart w:id="69" w:name="OLE_LINK18"/>
            <w:r>
              <w:rPr>
                <w:rFonts w:hint="eastAsia" w:ascii="宋体" w:hAnsi="宋体" w:cs="宋体"/>
                <w:color w:val="auto"/>
                <w:szCs w:val="21"/>
                <w:highlight w:val="none"/>
              </w:rPr>
              <w:t>报表发放和数据审核</w:t>
            </w:r>
            <w:bookmarkEnd w:id="69"/>
            <w:r>
              <w:rPr>
                <w:rFonts w:hint="eastAsia" w:ascii="宋体" w:hAnsi="宋体" w:cs="宋体"/>
                <w:color w:val="auto"/>
                <w:szCs w:val="21"/>
                <w:highlight w:val="none"/>
              </w:rPr>
              <w:t>等方面有针对性，有采集员变更、考核机制。</w:t>
            </w:r>
          </w:p>
          <w:p w14:paraId="27446CAE">
            <w:pPr>
              <w:tabs>
                <w:tab w:val="left" w:pos="2472"/>
              </w:tabs>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四档（15分）：</w:t>
            </w:r>
            <w:r>
              <w:rPr>
                <w:rFonts w:hint="eastAsia" w:ascii="宋体" w:hAnsi="宋体" w:cs="宋体"/>
                <w:bCs/>
                <w:color w:val="auto"/>
                <w:szCs w:val="21"/>
                <w:highlight w:val="none"/>
              </w:rPr>
              <w:t>农情固定观察信息采集员日常管理方案</w:t>
            </w:r>
            <w:r>
              <w:rPr>
                <w:rFonts w:hint="eastAsia" w:ascii="宋体" w:hAnsi="宋体" w:cs="宋体"/>
                <w:color w:val="auto"/>
                <w:szCs w:val="21"/>
                <w:highlight w:val="none"/>
              </w:rPr>
              <w:t>详细、合理、可操作性强，对本项目有针对性，对采集员日常管理、变更、考核、奖励及惩罚、上报方式、报表发放和数据审核等有详细机制。</w:t>
            </w:r>
          </w:p>
        </w:tc>
      </w:tr>
      <w:bookmarkEnd w:id="64"/>
      <w:tr w14:paraId="23D4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36FC6A2A">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695E0124">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49557779">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7D568178">
            <w:pPr>
              <w:spacing w:line="360" w:lineRule="auto"/>
              <w:jc w:val="center"/>
              <w:rPr>
                <w:rFonts w:ascii="宋体" w:hAnsi="宋体" w:cs="宋体"/>
                <w:bCs/>
                <w:color w:val="auto"/>
                <w:szCs w:val="21"/>
                <w:highlight w:val="none"/>
              </w:rPr>
            </w:pPr>
            <w:bookmarkStart w:id="70" w:name="OLE_LINK20"/>
            <w:r>
              <w:rPr>
                <w:rFonts w:hint="eastAsia" w:ascii="宋体" w:hAnsi="宋体" w:cs="宋体"/>
                <w:b/>
                <w:color w:val="auto"/>
                <w:szCs w:val="21"/>
                <w:highlight w:val="none"/>
              </w:rPr>
              <w:t>农情固定观察点现场核验方案</w:t>
            </w:r>
            <w:bookmarkEnd w:id="70"/>
            <w:r>
              <w:rPr>
                <w:rFonts w:hint="eastAsia" w:ascii="宋体" w:hAnsi="宋体" w:cs="宋体"/>
                <w:b/>
                <w:color w:val="auto"/>
                <w:szCs w:val="21"/>
                <w:highlight w:val="none"/>
              </w:rPr>
              <w:t>(满分15分)</w:t>
            </w:r>
          </w:p>
        </w:tc>
        <w:tc>
          <w:tcPr>
            <w:tcW w:w="5665" w:type="dxa"/>
            <w:vAlign w:val="center"/>
          </w:tcPr>
          <w:p w14:paraId="76120514">
            <w:pPr>
              <w:spacing w:line="360" w:lineRule="auto"/>
              <w:ind w:firstLine="420" w:firstLineChars="200"/>
              <w:jc w:val="left"/>
              <w:rPr>
                <w:rFonts w:ascii="宋体" w:hAnsi="宋体"/>
                <w:bCs/>
                <w:color w:val="auto"/>
                <w:szCs w:val="21"/>
                <w:highlight w:val="none"/>
              </w:rPr>
            </w:pPr>
            <w:bookmarkStart w:id="71" w:name="OLE_LINK33"/>
            <w:bookmarkStart w:id="72" w:name="OLE_LINK42"/>
            <w:r>
              <w:rPr>
                <w:rFonts w:hint="eastAsia" w:ascii="宋体" w:hAnsi="宋体" w:cs="宋体"/>
                <w:bCs/>
                <w:color w:val="auto"/>
                <w:szCs w:val="21"/>
                <w:highlight w:val="none"/>
              </w:rPr>
              <w:t>由磋商小组在打分前根据供应商提供的方案确定各供应商所属档次及得分。</w:t>
            </w:r>
          </w:p>
          <w:p w14:paraId="779A83BB">
            <w:pPr>
              <w:pStyle w:val="19"/>
              <w:spacing w:line="440" w:lineRule="exact"/>
              <w:ind w:firstLine="420"/>
              <w:rPr>
                <w:rFonts w:hAnsi="宋体" w:cs="宋体"/>
                <w:color w:val="auto"/>
                <w:sz w:val="21"/>
                <w:highlight w:val="none"/>
              </w:rPr>
            </w:pPr>
            <w:r>
              <w:rPr>
                <w:rFonts w:hint="eastAsia" w:hAnsi="宋体" w:cs="宋体"/>
                <w:color w:val="auto"/>
                <w:sz w:val="21"/>
                <w:highlight w:val="none"/>
              </w:rPr>
              <w:t>一档（0分）：未提供农情固定观察点现场核验方案或提供的方案与本项目不相符；</w:t>
            </w:r>
          </w:p>
          <w:bookmarkEnd w:id="71"/>
          <w:p w14:paraId="32D921E0">
            <w:pPr>
              <w:pStyle w:val="19"/>
              <w:spacing w:line="440" w:lineRule="exact"/>
              <w:ind w:firstLine="420"/>
              <w:rPr>
                <w:rFonts w:hAnsi="宋体" w:cs="宋体"/>
                <w:color w:val="auto"/>
                <w:sz w:val="21"/>
                <w:highlight w:val="none"/>
              </w:rPr>
            </w:pPr>
            <w:r>
              <w:rPr>
                <w:rFonts w:hint="eastAsia" w:hAnsi="宋体" w:cs="宋体"/>
                <w:color w:val="auto"/>
                <w:sz w:val="21"/>
                <w:highlight w:val="none"/>
              </w:rPr>
              <w:t>二档（5分）：农情固定观察点现场核验方案基本满足本项目需要，在</w:t>
            </w:r>
            <w:bookmarkStart w:id="73" w:name="OLE_LINK22"/>
            <w:r>
              <w:rPr>
                <w:rFonts w:hint="eastAsia" w:hAnsi="宋体" w:cs="宋体"/>
                <w:color w:val="auto"/>
                <w:sz w:val="21"/>
                <w:highlight w:val="none"/>
              </w:rPr>
              <w:t>核验选点、核验流程</w:t>
            </w:r>
            <w:bookmarkEnd w:id="73"/>
            <w:r>
              <w:rPr>
                <w:rFonts w:hint="eastAsia" w:hAnsi="宋体" w:cs="宋体"/>
                <w:color w:val="auto"/>
                <w:sz w:val="21"/>
                <w:highlight w:val="none"/>
              </w:rPr>
              <w:t>等方面有简单描述。</w:t>
            </w:r>
          </w:p>
          <w:p w14:paraId="4DBF6B8E">
            <w:pPr>
              <w:pStyle w:val="19"/>
              <w:spacing w:line="440" w:lineRule="exact"/>
              <w:ind w:firstLine="420"/>
              <w:rPr>
                <w:rFonts w:hAnsi="宋体" w:cs="宋体"/>
                <w:color w:val="auto"/>
                <w:sz w:val="21"/>
                <w:highlight w:val="none"/>
              </w:rPr>
            </w:pPr>
            <w:r>
              <w:rPr>
                <w:rFonts w:hint="eastAsia" w:hAnsi="宋体" w:cs="宋体"/>
                <w:color w:val="auto"/>
                <w:sz w:val="21"/>
                <w:highlight w:val="none"/>
              </w:rPr>
              <w:t>三档（10分）：农情固定观察点现场核验方案详细、合理，在</w:t>
            </w:r>
            <w:bookmarkStart w:id="74" w:name="OLE_LINK23"/>
            <w:r>
              <w:rPr>
                <w:rFonts w:hint="eastAsia" w:hAnsi="宋体" w:cs="宋体"/>
                <w:color w:val="auto"/>
                <w:sz w:val="21"/>
                <w:highlight w:val="none"/>
              </w:rPr>
              <w:t>核验选点、核验流程</w:t>
            </w:r>
            <w:bookmarkEnd w:id="74"/>
            <w:r>
              <w:rPr>
                <w:rFonts w:hint="eastAsia" w:hAnsi="宋体" w:cs="宋体"/>
                <w:color w:val="auto"/>
                <w:sz w:val="21"/>
                <w:highlight w:val="none"/>
              </w:rPr>
              <w:t>等方面有针对性，有简单的核验报告提纲。</w:t>
            </w:r>
          </w:p>
          <w:p w14:paraId="10ABE42E">
            <w:pPr>
              <w:pStyle w:val="19"/>
              <w:spacing w:line="440" w:lineRule="exact"/>
              <w:ind w:firstLine="420" w:firstLineChars="200"/>
              <w:jc w:val="left"/>
              <w:rPr>
                <w:rFonts w:hAnsi="宋体" w:cs="宋体"/>
                <w:color w:val="auto"/>
                <w:sz w:val="21"/>
                <w:highlight w:val="none"/>
              </w:rPr>
            </w:pPr>
            <w:r>
              <w:rPr>
                <w:rFonts w:hint="eastAsia" w:hAnsi="宋体" w:cs="宋体"/>
                <w:color w:val="auto"/>
                <w:sz w:val="21"/>
                <w:highlight w:val="none"/>
              </w:rPr>
              <w:t>四档（15分）：农情固定观察点现场核验方案详细、合理、可操作性强，对本项目有针对性，核验选点符合项目实际，明确了核验流程和时间安排，核验报告数据支撑充分、论证逻辑严密、问题剖析精准。</w:t>
            </w:r>
            <w:bookmarkEnd w:id="72"/>
          </w:p>
        </w:tc>
      </w:tr>
      <w:tr w14:paraId="7A88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2940AD19">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72536D18">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2CE72389">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4C9BB7DA">
            <w:pPr>
              <w:spacing w:line="360" w:lineRule="auto"/>
              <w:jc w:val="center"/>
              <w:rPr>
                <w:rFonts w:ascii="宋体" w:hAnsi="宋体" w:cs="宋体"/>
                <w:bCs/>
                <w:color w:val="auto"/>
                <w:szCs w:val="21"/>
                <w:highlight w:val="none"/>
              </w:rPr>
            </w:pPr>
            <w:bookmarkStart w:id="75" w:name="OLE_LINK24"/>
            <w:r>
              <w:rPr>
                <w:rFonts w:hint="eastAsia" w:ascii="宋体" w:hAnsi="宋体" w:cs="宋体"/>
                <w:b/>
                <w:color w:val="auto"/>
                <w:szCs w:val="21"/>
                <w:highlight w:val="none"/>
              </w:rPr>
              <w:t>农情固定观测数据在农情调度中的应用</w:t>
            </w:r>
            <w:bookmarkEnd w:id="75"/>
            <w:r>
              <w:rPr>
                <w:rFonts w:hint="eastAsia" w:ascii="宋体" w:hAnsi="宋体" w:cs="宋体"/>
                <w:b/>
                <w:color w:val="auto"/>
                <w:szCs w:val="21"/>
                <w:highlight w:val="none"/>
              </w:rPr>
              <w:t xml:space="preserve">方案（满分15分） </w:t>
            </w:r>
          </w:p>
        </w:tc>
        <w:tc>
          <w:tcPr>
            <w:tcW w:w="5665" w:type="dxa"/>
            <w:vAlign w:val="center"/>
          </w:tcPr>
          <w:p w14:paraId="21BD709F">
            <w:pPr>
              <w:spacing w:line="360" w:lineRule="auto"/>
              <w:ind w:firstLine="420" w:firstLineChars="200"/>
              <w:jc w:val="left"/>
              <w:rPr>
                <w:rFonts w:ascii="宋体" w:hAnsi="宋体"/>
                <w:bCs/>
                <w:color w:val="auto"/>
                <w:szCs w:val="21"/>
                <w:highlight w:val="none"/>
              </w:rPr>
            </w:pPr>
            <w:bookmarkStart w:id="76" w:name="OLE_LINK30"/>
            <w:r>
              <w:rPr>
                <w:rFonts w:hint="eastAsia" w:ascii="宋体" w:hAnsi="宋体" w:cs="宋体"/>
                <w:bCs/>
                <w:color w:val="auto"/>
                <w:szCs w:val="21"/>
                <w:highlight w:val="none"/>
              </w:rPr>
              <w:t>由磋商小组在打分前根据供应商提供的方案确定各供应商所属档次及得分。</w:t>
            </w:r>
          </w:p>
          <w:p w14:paraId="145614B4">
            <w:pPr>
              <w:pStyle w:val="19"/>
              <w:spacing w:line="440" w:lineRule="exact"/>
              <w:ind w:firstLine="420"/>
              <w:rPr>
                <w:rFonts w:hAnsi="宋体" w:cs="宋体"/>
                <w:color w:val="auto"/>
                <w:sz w:val="21"/>
                <w:highlight w:val="none"/>
              </w:rPr>
            </w:pPr>
            <w:r>
              <w:rPr>
                <w:rFonts w:hint="eastAsia" w:hAnsi="宋体" w:cs="宋体"/>
                <w:color w:val="auto"/>
                <w:sz w:val="21"/>
                <w:highlight w:val="none"/>
              </w:rPr>
              <w:t>一档（0分）：未提供农情固定观测数据在农情调度中的应用方案或提供的方案与本项目不相符；</w:t>
            </w:r>
          </w:p>
          <w:p w14:paraId="1DCB1EE8">
            <w:pPr>
              <w:pStyle w:val="19"/>
              <w:spacing w:line="440" w:lineRule="exact"/>
              <w:ind w:firstLine="420"/>
              <w:rPr>
                <w:rFonts w:hAnsi="宋体" w:cs="宋体"/>
                <w:color w:val="auto"/>
                <w:sz w:val="21"/>
                <w:highlight w:val="none"/>
              </w:rPr>
            </w:pPr>
            <w:r>
              <w:rPr>
                <w:rFonts w:hint="eastAsia" w:hAnsi="宋体" w:cs="宋体"/>
                <w:color w:val="auto"/>
                <w:sz w:val="21"/>
                <w:highlight w:val="none"/>
              </w:rPr>
              <w:t>二档（5分）：</w:t>
            </w:r>
            <w:bookmarkStart w:id="77" w:name="OLE_LINK26"/>
            <w:r>
              <w:rPr>
                <w:rFonts w:hint="eastAsia" w:hAnsi="宋体" w:cs="宋体"/>
                <w:color w:val="auto"/>
                <w:sz w:val="21"/>
                <w:highlight w:val="none"/>
              </w:rPr>
              <w:t>农情固定观测数据在农情调度中的应用方案</w:t>
            </w:r>
            <w:bookmarkEnd w:id="77"/>
            <w:r>
              <w:rPr>
                <w:rFonts w:hint="eastAsia" w:hAnsi="宋体" w:cs="宋体"/>
                <w:color w:val="auto"/>
                <w:sz w:val="21"/>
                <w:highlight w:val="none"/>
              </w:rPr>
              <w:t>基本满足本项目需要，在</w:t>
            </w:r>
            <w:bookmarkStart w:id="78" w:name="OLE_LINK27"/>
            <w:r>
              <w:rPr>
                <w:rFonts w:hint="eastAsia" w:hAnsi="宋体" w:cs="宋体"/>
                <w:color w:val="auto"/>
                <w:sz w:val="21"/>
                <w:highlight w:val="none"/>
              </w:rPr>
              <w:t>专家团队建设、指标编制</w:t>
            </w:r>
            <w:bookmarkEnd w:id="78"/>
            <w:r>
              <w:rPr>
                <w:rFonts w:hint="eastAsia" w:hAnsi="宋体" w:cs="宋体"/>
                <w:color w:val="auto"/>
                <w:sz w:val="21"/>
                <w:highlight w:val="none"/>
              </w:rPr>
              <w:t>等方面有简单描述。</w:t>
            </w:r>
          </w:p>
          <w:p w14:paraId="49E8F6C4">
            <w:pPr>
              <w:pStyle w:val="19"/>
              <w:spacing w:line="440" w:lineRule="exact"/>
              <w:ind w:firstLine="420"/>
              <w:jc w:val="left"/>
              <w:rPr>
                <w:rFonts w:hAnsi="宋体" w:cs="宋体"/>
                <w:color w:val="auto"/>
                <w:sz w:val="21"/>
                <w:highlight w:val="none"/>
              </w:rPr>
            </w:pPr>
            <w:r>
              <w:rPr>
                <w:rFonts w:hint="eastAsia" w:hAnsi="宋体" w:cs="宋体"/>
                <w:color w:val="auto"/>
                <w:sz w:val="21"/>
                <w:highlight w:val="none"/>
              </w:rPr>
              <w:t>三档（10分）：</w:t>
            </w:r>
            <w:bookmarkStart w:id="79" w:name="OLE_LINK28"/>
            <w:r>
              <w:rPr>
                <w:rFonts w:hint="eastAsia" w:hAnsi="宋体" w:cs="宋体"/>
                <w:color w:val="auto"/>
                <w:sz w:val="21"/>
                <w:highlight w:val="none"/>
              </w:rPr>
              <w:t>农情固定观测数据在农情调度中的应用方案</w:t>
            </w:r>
            <w:bookmarkEnd w:id="79"/>
            <w:r>
              <w:rPr>
                <w:rFonts w:hint="eastAsia" w:hAnsi="宋体" w:cs="宋体"/>
                <w:color w:val="auto"/>
                <w:sz w:val="21"/>
                <w:highlight w:val="none"/>
              </w:rPr>
              <w:t>详细、合理，在专家团队建设、指标编制、等方面有针对性，有简单的</w:t>
            </w:r>
            <w:bookmarkStart w:id="80" w:name="OLE_LINK29"/>
            <w:r>
              <w:rPr>
                <w:rFonts w:hint="eastAsia" w:hAnsi="宋体" w:cs="宋体"/>
                <w:color w:val="auto"/>
                <w:sz w:val="21"/>
                <w:highlight w:val="none"/>
              </w:rPr>
              <w:t>单产提升佐证材料</w:t>
            </w:r>
            <w:bookmarkEnd w:id="80"/>
            <w:r>
              <w:rPr>
                <w:rFonts w:hint="eastAsia" w:hAnsi="宋体" w:cs="宋体"/>
                <w:color w:val="auto"/>
                <w:sz w:val="21"/>
                <w:highlight w:val="none"/>
              </w:rPr>
              <w:t>提纲。</w:t>
            </w:r>
          </w:p>
          <w:p w14:paraId="0CD7919B">
            <w:pPr>
              <w:pStyle w:val="19"/>
              <w:spacing w:line="440" w:lineRule="exact"/>
              <w:ind w:firstLine="420"/>
              <w:jc w:val="left"/>
              <w:rPr>
                <w:rFonts w:hAnsi="宋体" w:cs="宋体"/>
                <w:color w:val="auto"/>
                <w:sz w:val="21"/>
                <w:highlight w:val="none"/>
              </w:rPr>
            </w:pPr>
            <w:r>
              <w:rPr>
                <w:rFonts w:hint="eastAsia" w:hAnsi="宋体" w:cs="宋体"/>
                <w:color w:val="auto"/>
                <w:sz w:val="21"/>
                <w:highlight w:val="none"/>
              </w:rPr>
              <w:t>四档（15分）：在第三档基础上，农情固定观测数据在农情调度中的应用方案详细、合理、可操作性强，对本项目有针对性，系统构建农情固定观测数据在农情调度中的应用，制定主要作物产量变动实证数据采集指标体系，佐证材料内容详细，逻辑清晰。</w:t>
            </w:r>
            <w:bookmarkEnd w:id="76"/>
          </w:p>
        </w:tc>
      </w:tr>
      <w:tr w14:paraId="6666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151BF93A">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0C60D8D4">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2192D0E7">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3D74B1DA">
            <w:pPr>
              <w:spacing w:line="360" w:lineRule="auto"/>
              <w:jc w:val="center"/>
              <w:rPr>
                <w:rFonts w:ascii="宋体" w:hAnsi="宋体" w:cs="宋体"/>
                <w:b/>
                <w:color w:val="auto"/>
                <w:szCs w:val="21"/>
                <w:highlight w:val="none"/>
              </w:rPr>
            </w:pPr>
            <w:bookmarkStart w:id="81" w:name="OLE_LINK31"/>
            <w:bookmarkStart w:id="82" w:name="OLE_LINK34"/>
            <w:r>
              <w:rPr>
                <w:rFonts w:hint="eastAsia" w:ascii="宋体" w:hAnsi="宋体" w:cs="宋体"/>
                <w:b/>
                <w:color w:val="auto"/>
                <w:szCs w:val="21"/>
                <w:highlight w:val="none"/>
              </w:rPr>
              <w:t>广西农情固定观察白皮书</w:t>
            </w:r>
            <w:bookmarkEnd w:id="81"/>
            <w:r>
              <w:rPr>
                <w:rFonts w:hint="eastAsia" w:ascii="宋体" w:hAnsi="宋体" w:cs="宋体"/>
                <w:b/>
                <w:color w:val="auto"/>
                <w:szCs w:val="21"/>
                <w:highlight w:val="none"/>
              </w:rPr>
              <w:t>提纲</w:t>
            </w:r>
            <w:bookmarkEnd w:id="82"/>
            <w:r>
              <w:rPr>
                <w:rFonts w:hint="eastAsia" w:ascii="宋体" w:hAnsi="宋体" w:cs="宋体"/>
                <w:b/>
                <w:color w:val="auto"/>
                <w:szCs w:val="21"/>
                <w:highlight w:val="none"/>
              </w:rPr>
              <w:t>（满分15分）</w:t>
            </w:r>
          </w:p>
        </w:tc>
        <w:tc>
          <w:tcPr>
            <w:tcW w:w="5665" w:type="dxa"/>
            <w:vAlign w:val="center"/>
          </w:tcPr>
          <w:p w14:paraId="0423E4C3">
            <w:pPr>
              <w:spacing w:line="360" w:lineRule="auto"/>
              <w:ind w:firstLine="420" w:firstLineChars="200"/>
              <w:jc w:val="left"/>
              <w:rPr>
                <w:rFonts w:ascii="宋体" w:hAnsi="宋体"/>
                <w:bCs/>
                <w:color w:val="auto"/>
                <w:szCs w:val="21"/>
                <w:highlight w:val="none"/>
              </w:rPr>
            </w:pPr>
            <w:r>
              <w:rPr>
                <w:rFonts w:hint="eastAsia" w:ascii="宋体" w:hAnsi="宋体" w:cs="宋体"/>
                <w:bCs/>
                <w:color w:val="auto"/>
                <w:szCs w:val="21"/>
                <w:highlight w:val="none"/>
              </w:rPr>
              <w:t>由磋商小组在打分前根据供应商提供的方案确定各供应商所属档次及得分。</w:t>
            </w:r>
          </w:p>
          <w:p w14:paraId="0A2A3083">
            <w:pPr>
              <w:pStyle w:val="19"/>
              <w:spacing w:line="440" w:lineRule="exact"/>
              <w:ind w:firstLine="420"/>
              <w:jc w:val="left"/>
              <w:rPr>
                <w:rFonts w:hAnsi="宋体" w:cs="宋体"/>
                <w:color w:val="auto"/>
                <w:sz w:val="21"/>
                <w:highlight w:val="none"/>
              </w:rPr>
            </w:pPr>
            <w:r>
              <w:rPr>
                <w:rFonts w:hint="eastAsia" w:hAnsi="宋体" w:cs="宋体"/>
                <w:color w:val="auto"/>
                <w:sz w:val="21"/>
                <w:highlight w:val="none"/>
              </w:rPr>
              <w:t>一档（0分）：未提供广西农情固定观察白皮书提纲或提供的提纲与本项目不相符；</w:t>
            </w:r>
          </w:p>
          <w:p w14:paraId="3CA7DDB1">
            <w:pPr>
              <w:pStyle w:val="19"/>
              <w:spacing w:line="440" w:lineRule="exact"/>
              <w:ind w:firstLine="420"/>
              <w:jc w:val="left"/>
              <w:rPr>
                <w:rFonts w:hAnsi="宋体" w:cs="宋体"/>
                <w:color w:val="auto"/>
                <w:sz w:val="21"/>
                <w:highlight w:val="none"/>
              </w:rPr>
            </w:pPr>
            <w:r>
              <w:rPr>
                <w:rFonts w:hint="eastAsia" w:hAnsi="宋体" w:cs="宋体"/>
                <w:color w:val="auto"/>
                <w:sz w:val="21"/>
                <w:highlight w:val="none"/>
              </w:rPr>
              <w:t>二档（5分）</w:t>
            </w:r>
            <w:bookmarkStart w:id="83" w:name="OLE_LINK36"/>
            <w:r>
              <w:rPr>
                <w:rFonts w:hint="eastAsia" w:hAnsi="宋体" w:cs="宋体"/>
                <w:color w:val="auto"/>
                <w:sz w:val="21"/>
                <w:highlight w:val="none"/>
              </w:rPr>
              <w:t>广西农情固定观察白皮书提纲</w:t>
            </w:r>
            <w:bookmarkEnd w:id="83"/>
            <w:r>
              <w:rPr>
                <w:rFonts w:hint="eastAsia" w:hAnsi="宋体" w:cs="宋体"/>
                <w:color w:val="auto"/>
                <w:sz w:val="21"/>
                <w:highlight w:val="none"/>
              </w:rPr>
              <w:t>基本满足本项目需要，有简单框架。</w:t>
            </w:r>
          </w:p>
          <w:p w14:paraId="5A4B7E6F">
            <w:pPr>
              <w:pStyle w:val="19"/>
              <w:spacing w:line="440" w:lineRule="exact"/>
              <w:ind w:firstLine="420"/>
              <w:jc w:val="left"/>
              <w:rPr>
                <w:rFonts w:hAnsi="宋体" w:cs="宋体"/>
                <w:color w:val="auto"/>
                <w:sz w:val="21"/>
                <w:highlight w:val="none"/>
              </w:rPr>
            </w:pPr>
            <w:r>
              <w:rPr>
                <w:rFonts w:hint="eastAsia" w:hAnsi="宋体" w:cs="宋体"/>
                <w:color w:val="auto"/>
                <w:sz w:val="21"/>
                <w:highlight w:val="none"/>
              </w:rPr>
              <w:t>三档（10分）：</w:t>
            </w:r>
            <w:bookmarkStart w:id="84" w:name="OLE_LINK37"/>
            <w:r>
              <w:rPr>
                <w:rFonts w:hint="eastAsia" w:hAnsi="宋体" w:cs="宋体"/>
                <w:color w:val="auto"/>
                <w:sz w:val="21"/>
                <w:highlight w:val="none"/>
              </w:rPr>
              <w:t>广西农情固定观察白皮书提纲</w:t>
            </w:r>
            <w:bookmarkEnd w:id="84"/>
            <w:r>
              <w:rPr>
                <w:rFonts w:hint="eastAsia" w:hAnsi="宋体" w:cs="宋体"/>
                <w:color w:val="auto"/>
                <w:sz w:val="21"/>
                <w:highlight w:val="none"/>
              </w:rPr>
              <w:t>详细、合理，框架详细，思路清晰。</w:t>
            </w:r>
          </w:p>
          <w:p w14:paraId="29BD357F">
            <w:pPr>
              <w:pStyle w:val="19"/>
              <w:spacing w:line="440" w:lineRule="exact"/>
              <w:ind w:firstLine="420"/>
              <w:jc w:val="left"/>
              <w:rPr>
                <w:rFonts w:hAnsi="宋体" w:cs="宋体"/>
                <w:color w:val="auto"/>
                <w:sz w:val="21"/>
                <w:highlight w:val="none"/>
              </w:rPr>
            </w:pPr>
            <w:r>
              <w:rPr>
                <w:rFonts w:hint="eastAsia" w:hAnsi="宋体" w:cs="宋体"/>
                <w:color w:val="auto"/>
                <w:sz w:val="21"/>
                <w:highlight w:val="none"/>
              </w:rPr>
              <w:t>四档（15分）：有2个广西农情固定观察白皮书提纲，提纲内容详细、合理、可操作性强，对本项目有针对性，提纲框架须涵盖五大核心板块：工作综述篇、数据分析篇、专题研究篇、发展评估篇、政策建言篇。内容数据真实、逻辑严密性、创新应用。</w:t>
            </w:r>
          </w:p>
        </w:tc>
      </w:tr>
      <w:tr w14:paraId="4C70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30" w:type="dxa"/>
            <w:vAlign w:val="center"/>
          </w:tcPr>
          <w:p w14:paraId="4AAA1AD1">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3</w:t>
            </w:r>
          </w:p>
        </w:tc>
        <w:tc>
          <w:tcPr>
            <w:tcW w:w="1280" w:type="dxa"/>
            <w:vAlign w:val="center"/>
          </w:tcPr>
          <w:p w14:paraId="1054ED16">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商务分</w:t>
            </w:r>
          </w:p>
        </w:tc>
        <w:tc>
          <w:tcPr>
            <w:tcW w:w="709" w:type="dxa"/>
            <w:vAlign w:val="center"/>
          </w:tcPr>
          <w:p w14:paraId="60C79175">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kern w:val="0"/>
                <w:szCs w:val="21"/>
                <w:highlight w:val="none"/>
              </w:rPr>
              <w:t>10分</w:t>
            </w:r>
          </w:p>
        </w:tc>
        <w:tc>
          <w:tcPr>
            <w:tcW w:w="6909" w:type="dxa"/>
            <w:gridSpan w:val="2"/>
            <w:vAlign w:val="center"/>
          </w:tcPr>
          <w:p w14:paraId="6946F8C4">
            <w:pPr>
              <w:pStyle w:val="91"/>
              <w:ind w:firstLine="0" w:firstLineChars="0"/>
              <w:rPr>
                <w:rFonts w:cs="宋体"/>
                <w:color w:val="auto"/>
                <w:sz w:val="21"/>
                <w:highlight w:val="none"/>
              </w:rPr>
            </w:pPr>
            <w:r>
              <w:rPr>
                <w:rFonts w:hint="eastAsia" w:cs="宋体"/>
                <w:color w:val="auto"/>
                <w:sz w:val="21"/>
                <w:szCs w:val="24"/>
                <w:highlight w:val="none"/>
              </w:rPr>
              <w:t>供应商具有202</w:t>
            </w:r>
            <w:r>
              <w:rPr>
                <w:rFonts w:hint="eastAsia" w:cs="宋体"/>
                <w:color w:val="auto"/>
                <w:sz w:val="21"/>
                <w:szCs w:val="24"/>
                <w:highlight w:val="none"/>
                <w:lang w:val="en-US" w:eastAsia="zh-CN"/>
              </w:rPr>
              <w:t>0</w:t>
            </w:r>
            <w:r>
              <w:rPr>
                <w:rFonts w:hint="eastAsia" w:cs="宋体"/>
                <w:color w:val="auto"/>
                <w:sz w:val="21"/>
                <w:szCs w:val="24"/>
                <w:highlight w:val="none"/>
              </w:rPr>
              <w:t>年以来同类业绩(以合同或中标（成交）通知书复印件为准），每有一份得</w:t>
            </w:r>
            <w:r>
              <w:rPr>
                <w:rFonts w:hint="eastAsia" w:cs="宋体"/>
                <w:color w:val="auto"/>
                <w:sz w:val="21"/>
                <w:szCs w:val="24"/>
                <w:highlight w:val="none"/>
                <w:lang w:val="en-US" w:eastAsia="zh-CN"/>
              </w:rPr>
              <w:t>2</w:t>
            </w:r>
            <w:r>
              <w:rPr>
                <w:rFonts w:hint="eastAsia" w:cs="宋体"/>
                <w:color w:val="auto"/>
                <w:sz w:val="21"/>
                <w:szCs w:val="24"/>
                <w:highlight w:val="none"/>
              </w:rPr>
              <w:t>分，满分</w:t>
            </w:r>
            <w:r>
              <w:rPr>
                <w:rFonts w:hint="eastAsia" w:cs="宋体"/>
                <w:color w:val="auto"/>
                <w:sz w:val="21"/>
                <w:szCs w:val="24"/>
                <w:highlight w:val="none"/>
                <w:lang w:val="en-US" w:eastAsia="zh-CN"/>
              </w:rPr>
              <w:t>10</w:t>
            </w:r>
            <w:r>
              <w:rPr>
                <w:rFonts w:hint="eastAsia" w:cs="宋体"/>
                <w:color w:val="auto"/>
                <w:sz w:val="21"/>
                <w:szCs w:val="24"/>
                <w:highlight w:val="none"/>
              </w:rPr>
              <w:t>分。（需在响应文件中提供合同或中标通知书、成交通知书复印件，不提供，不得分]（原件备查）</w:t>
            </w:r>
            <w:r>
              <w:rPr>
                <w:rFonts w:hint="eastAsia" w:cs="宋体"/>
                <w:color w:val="auto"/>
                <w:sz w:val="21"/>
                <w:szCs w:val="24"/>
                <w:highlight w:val="none"/>
                <w:lang w:val="en-US" w:eastAsia="zh-CN"/>
              </w:rPr>
              <w:t>。</w:t>
            </w:r>
          </w:p>
        </w:tc>
      </w:tr>
      <w:tr w14:paraId="0AB2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5"/>
            <w:vAlign w:val="center"/>
          </w:tcPr>
          <w:p w14:paraId="6C677B66">
            <w:pPr>
              <w:pStyle w:val="19"/>
              <w:spacing w:line="360" w:lineRule="auto"/>
              <w:rPr>
                <w:rFonts w:hAnsi="宋体" w:cs="宋体"/>
                <w:bCs/>
                <w:color w:val="auto"/>
                <w:kern w:val="2"/>
                <w:sz w:val="21"/>
                <w:highlight w:val="none"/>
              </w:rPr>
            </w:pPr>
            <w:r>
              <w:rPr>
                <w:rFonts w:hint="eastAsia" w:hAnsi="宋体" w:cs="宋体"/>
                <w:b/>
                <w:bCs/>
                <w:color w:val="auto"/>
                <w:kern w:val="2"/>
                <w:sz w:val="21"/>
                <w:highlight w:val="none"/>
              </w:rPr>
              <w:t>总得分=1+2+3。</w:t>
            </w:r>
          </w:p>
        </w:tc>
      </w:tr>
    </w:tbl>
    <w:p w14:paraId="75D0372C">
      <w:pPr>
        <w:rPr>
          <w:rFonts w:ascii="宋体" w:cs="宋体"/>
          <w:bCs/>
          <w:color w:val="auto"/>
          <w:szCs w:val="21"/>
          <w:highlight w:val="none"/>
        </w:rPr>
      </w:pPr>
    </w:p>
    <w:p w14:paraId="46F37AED">
      <w:pPr>
        <w:rPr>
          <w:rFonts w:ascii="宋体" w:cs="宋体"/>
          <w:b/>
          <w:color w:val="auto"/>
          <w:szCs w:val="21"/>
          <w:highlight w:val="none"/>
        </w:rPr>
      </w:pPr>
    </w:p>
    <w:p w14:paraId="73C52BE5">
      <w:pPr>
        <w:rPr>
          <w:rFonts w:ascii="宋体" w:cs="宋体"/>
          <w:b/>
          <w:color w:val="auto"/>
          <w:szCs w:val="21"/>
          <w:highlight w:val="none"/>
        </w:rPr>
      </w:pPr>
    </w:p>
    <w:p w14:paraId="6A22B520">
      <w:pPr>
        <w:rPr>
          <w:rFonts w:ascii="宋体" w:hAnsi="宋体" w:cs="宋体"/>
          <w:b/>
          <w:color w:val="auto"/>
          <w:szCs w:val="21"/>
          <w:highlight w:val="none"/>
        </w:rPr>
      </w:pPr>
    </w:p>
    <w:p w14:paraId="312A042A">
      <w:pPr>
        <w:rPr>
          <w:rFonts w:ascii="宋体" w:hAnsi="宋体" w:cs="宋体"/>
          <w:b/>
          <w:color w:val="auto"/>
          <w:szCs w:val="21"/>
          <w:highlight w:val="none"/>
        </w:rPr>
      </w:pPr>
    </w:p>
    <w:p w14:paraId="13BF5054">
      <w:pPr>
        <w:rPr>
          <w:rFonts w:ascii="宋体" w:hAnsi="宋体" w:cs="宋体"/>
          <w:b/>
          <w:color w:val="auto"/>
          <w:szCs w:val="21"/>
          <w:highlight w:val="none"/>
        </w:rPr>
      </w:pPr>
    </w:p>
    <w:p w14:paraId="6B26E2BA">
      <w:pPr>
        <w:rPr>
          <w:rFonts w:ascii="宋体" w:hAnsi="宋体" w:cs="宋体"/>
          <w:b/>
          <w:color w:val="auto"/>
          <w:szCs w:val="21"/>
          <w:highlight w:val="none"/>
        </w:rPr>
      </w:pPr>
    </w:p>
    <w:p w14:paraId="23668677">
      <w:pPr>
        <w:rPr>
          <w:rFonts w:ascii="宋体" w:cs="宋体"/>
          <w:b/>
          <w:color w:val="auto"/>
          <w:szCs w:val="21"/>
          <w:highlight w:val="none"/>
        </w:rPr>
      </w:pPr>
      <w:r>
        <w:rPr>
          <w:rFonts w:hint="eastAsia" w:ascii="宋体" w:hAnsi="宋体" w:cs="宋体"/>
          <w:b/>
          <w:color w:val="auto"/>
          <w:szCs w:val="21"/>
          <w:highlight w:val="none"/>
        </w:rPr>
        <w:t>分标</w:t>
      </w:r>
      <w:r>
        <w:rPr>
          <w:rFonts w:ascii="宋体" w:hAnsi="宋体" w:cs="宋体"/>
          <w:b/>
          <w:color w:val="auto"/>
          <w:szCs w:val="21"/>
          <w:highlight w:val="none"/>
        </w:rPr>
        <w:t>2</w:t>
      </w:r>
      <w:r>
        <w:rPr>
          <w:rFonts w:hint="eastAsia" w:ascii="宋体" w:hAnsi="宋体" w:cs="宋体"/>
          <w:b/>
          <w:color w:val="auto"/>
          <w:szCs w:val="21"/>
          <w:highlight w:val="none"/>
        </w:rPr>
        <w:t>：</w:t>
      </w:r>
    </w:p>
    <w:tbl>
      <w:tblPr>
        <w:tblStyle w:val="3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244"/>
        <w:gridCol w:w="5665"/>
      </w:tblGrid>
      <w:tr w14:paraId="5863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14:paraId="1C1C2AC5">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序号</w:t>
            </w:r>
          </w:p>
        </w:tc>
        <w:tc>
          <w:tcPr>
            <w:tcW w:w="1280" w:type="dxa"/>
            <w:vAlign w:val="center"/>
          </w:tcPr>
          <w:p w14:paraId="39335DB5">
            <w:pPr>
              <w:adjustRightInd w:val="0"/>
              <w:spacing w:line="410" w:lineRule="exact"/>
              <w:jc w:val="center"/>
              <w:textAlignment w:val="baseline"/>
              <w:rPr>
                <w:rFonts w:ascii="宋体" w:cs="宋体"/>
                <w:color w:val="auto"/>
                <w:szCs w:val="21"/>
                <w:highlight w:val="none"/>
              </w:rPr>
            </w:pPr>
            <w:r>
              <w:rPr>
                <w:rFonts w:hint="eastAsia" w:ascii="宋体" w:hAnsi="宋体" w:cs="宋体"/>
                <w:b/>
                <w:color w:val="auto"/>
                <w:szCs w:val="21"/>
                <w:highlight w:val="none"/>
              </w:rPr>
              <w:t>评审因素</w:t>
            </w:r>
          </w:p>
        </w:tc>
        <w:tc>
          <w:tcPr>
            <w:tcW w:w="709" w:type="dxa"/>
            <w:vAlign w:val="center"/>
          </w:tcPr>
          <w:p w14:paraId="4BB7F71E">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分值</w:t>
            </w:r>
          </w:p>
        </w:tc>
        <w:tc>
          <w:tcPr>
            <w:tcW w:w="6909" w:type="dxa"/>
            <w:gridSpan w:val="2"/>
            <w:vAlign w:val="center"/>
          </w:tcPr>
          <w:p w14:paraId="66FF772A">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评标标准</w:t>
            </w:r>
          </w:p>
        </w:tc>
      </w:tr>
      <w:tr w14:paraId="68A45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14:paraId="40471EBC">
            <w:pPr>
              <w:adjustRightInd w:val="0"/>
              <w:spacing w:line="360" w:lineRule="auto"/>
              <w:jc w:val="center"/>
              <w:textAlignment w:val="baseline"/>
              <w:rPr>
                <w:rFonts w:ascii="宋体" w:cs="宋体"/>
                <w:b/>
                <w:color w:val="auto"/>
                <w:szCs w:val="21"/>
                <w:highlight w:val="none"/>
              </w:rPr>
            </w:pPr>
            <w:r>
              <w:rPr>
                <w:rFonts w:ascii="宋体" w:hAnsi="宋体" w:cs="宋体"/>
                <w:b/>
                <w:color w:val="auto"/>
                <w:szCs w:val="21"/>
                <w:highlight w:val="none"/>
              </w:rPr>
              <w:t>1</w:t>
            </w:r>
          </w:p>
        </w:tc>
        <w:tc>
          <w:tcPr>
            <w:tcW w:w="1280" w:type="dxa"/>
            <w:vAlign w:val="center"/>
          </w:tcPr>
          <w:p w14:paraId="325A931A">
            <w:pPr>
              <w:adjustRightInd w:val="0"/>
              <w:spacing w:line="360" w:lineRule="auto"/>
              <w:jc w:val="center"/>
              <w:textAlignment w:val="baseline"/>
              <w:rPr>
                <w:rFonts w:ascii="宋体" w:cs="宋体"/>
                <w:b/>
                <w:color w:val="auto"/>
                <w:szCs w:val="21"/>
                <w:highlight w:val="none"/>
              </w:rPr>
            </w:pPr>
            <w:r>
              <w:rPr>
                <w:rFonts w:hint="eastAsia" w:ascii="宋体" w:hAnsi="宋体" w:cs="宋体"/>
                <w:b/>
                <w:color w:val="auto"/>
                <w:szCs w:val="21"/>
                <w:highlight w:val="none"/>
              </w:rPr>
              <w:t>报价</w:t>
            </w:r>
          </w:p>
        </w:tc>
        <w:tc>
          <w:tcPr>
            <w:tcW w:w="709" w:type="dxa"/>
            <w:vAlign w:val="center"/>
          </w:tcPr>
          <w:p w14:paraId="0EEA1297">
            <w:pPr>
              <w:adjustRightInd w:val="0"/>
              <w:spacing w:line="360" w:lineRule="auto"/>
              <w:jc w:val="center"/>
              <w:textAlignment w:val="baseline"/>
              <w:rPr>
                <w:rFonts w:ascii="宋体" w:cs="宋体"/>
                <w:b/>
                <w:color w:val="auto"/>
                <w:szCs w:val="21"/>
                <w:highlight w:val="none"/>
              </w:rPr>
            </w:pPr>
            <w:r>
              <w:rPr>
                <w:rFonts w:hint="eastAsia" w:ascii="宋体" w:hAnsi="宋体" w:cs="宋体"/>
                <w:b/>
                <w:color w:val="auto"/>
                <w:szCs w:val="21"/>
                <w:highlight w:val="none"/>
                <w:lang w:val="en-US" w:eastAsia="zh-CN"/>
              </w:rPr>
              <w:t>1</w:t>
            </w:r>
            <w:r>
              <w:rPr>
                <w:rFonts w:ascii="宋体" w:hAnsi="宋体" w:cs="宋体"/>
                <w:b/>
                <w:color w:val="auto"/>
                <w:szCs w:val="21"/>
                <w:highlight w:val="none"/>
              </w:rPr>
              <w:t>0</w:t>
            </w:r>
            <w:r>
              <w:rPr>
                <w:rFonts w:hint="eastAsia" w:ascii="宋体" w:hAnsi="宋体" w:cs="宋体"/>
                <w:b/>
                <w:color w:val="auto"/>
                <w:szCs w:val="21"/>
                <w:highlight w:val="none"/>
              </w:rPr>
              <w:t>分</w:t>
            </w:r>
          </w:p>
        </w:tc>
        <w:tc>
          <w:tcPr>
            <w:tcW w:w="6909" w:type="dxa"/>
            <w:gridSpan w:val="2"/>
            <w:vAlign w:val="center"/>
          </w:tcPr>
          <w:p w14:paraId="0CFA88DA">
            <w:pPr>
              <w:pStyle w:val="19"/>
              <w:spacing w:line="360" w:lineRule="auto"/>
              <w:ind w:firstLine="422" w:firstLineChars="200"/>
              <w:rPr>
                <w:rFonts w:hAnsi="宋体" w:cs="Courier New"/>
                <w:b/>
                <w:bCs/>
                <w:color w:val="auto"/>
                <w:kern w:val="2"/>
                <w:sz w:val="21"/>
                <w:highlight w:val="none"/>
              </w:rPr>
            </w:pPr>
            <w:r>
              <w:rPr>
                <w:rFonts w:hint="eastAsia" w:hAnsi="宋体" w:cs="Courier New"/>
                <w:b/>
                <w:bCs/>
                <w:color w:val="auto"/>
                <w:kern w:val="2"/>
                <w:sz w:val="21"/>
                <w:highlight w:val="none"/>
              </w:rPr>
              <w:t>一、政府采购政策</w:t>
            </w:r>
          </w:p>
          <w:p w14:paraId="67FA6916">
            <w:pPr>
              <w:pStyle w:val="19"/>
              <w:spacing w:line="360" w:lineRule="auto"/>
              <w:ind w:firstLine="420" w:firstLineChars="200"/>
              <w:rPr>
                <w:rFonts w:hAnsi="宋体" w:cs="宋体"/>
                <w:color w:val="auto"/>
                <w:highlight w:val="none"/>
              </w:rPr>
            </w:pPr>
            <w:r>
              <w:rPr>
                <w:rFonts w:hAnsi="宋体"/>
                <w:bCs/>
                <w:color w:val="auto"/>
                <w:sz w:val="21"/>
                <w:highlight w:val="none"/>
              </w:rPr>
              <w:t>1</w:t>
            </w:r>
            <w:r>
              <w:rPr>
                <w:rFonts w:hint="eastAsia" w:hAnsi="宋体"/>
                <w:bCs/>
                <w:color w:val="auto"/>
                <w:sz w:val="21"/>
                <w:highlight w:val="none"/>
              </w:rPr>
              <w:t>、本分标属于专门面向小微企业采购的项目，不再享受价格扣除优惠政策。</w:t>
            </w:r>
          </w:p>
          <w:p w14:paraId="6E9073FA">
            <w:pPr>
              <w:rPr>
                <w:b/>
                <w:bCs/>
                <w:color w:val="auto"/>
                <w:highlight w:val="none"/>
              </w:rPr>
            </w:pPr>
            <w:r>
              <w:rPr>
                <w:rFonts w:hint="eastAsia"/>
                <w:b/>
                <w:bCs/>
                <w:color w:val="auto"/>
                <w:highlight w:val="none"/>
              </w:rPr>
              <w:t>二、报价分（满分</w:t>
            </w:r>
            <w:r>
              <w:rPr>
                <w:rFonts w:hint="eastAsia"/>
                <w:b/>
                <w:bCs/>
                <w:color w:val="auto"/>
                <w:highlight w:val="none"/>
                <w:lang w:val="en-US" w:eastAsia="zh-CN"/>
              </w:rPr>
              <w:t>1</w:t>
            </w:r>
            <w:r>
              <w:rPr>
                <w:b/>
                <w:bCs/>
                <w:color w:val="auto"/>
                <w:highlight w:val="none"/>
              </w:rPr>
              <w:t>0</w:t>
            </w:r>
            <w:r>
              <w:rPr>
                <w:rFonts w:hint="eastAsia"/>
                <w:b/>
                <w:bCs/>
                <w:color w:val="auto"/>
                <w:highlight w:val="none"/>
              </w:rPr>
              <w:t>分）</w:t>
            </w:r>
          </w:p>
          <w:p w14:paraId="39012FDE">
            <w:pPr>
              <w:pStyle w:val="19"/>
              <w:spacing w:line="420" w:lineRule="exact"/>
              <w:ind w:firstLine="420" w:firstLineChars="200"/>
              <w:rPr>
                <w:rFonts w:hAnsi="宋体" w:cs="宋体"/>
                <w:bCs/>
                <w:color w:val="auto"/>
                <w:sz w:val="21"/>
                <w:highlight w:val="none"/>
              </w:rPr>
            </w:pPr>
            <w:r>
              <w:rPr>
                <w:rFonts w:hAnsi="宋体" w:cs="宋体"/>
                <w:color w:val="auto"/>
                <w:sz w:val="21"/>
                <w:highlight w:val="none"/>
              </w:rPr>
              <w:t>1</w:t>
            </w:r>
            <w:r>
              <w:rPr>
                <w:rFonts w:hint="eastAsia" w:hAnsi="宋体" w:cs="宋体"/>
                <w:color w:val="auto"/>
                <w:sz w:val="21"/>
                <w:highlight w:val="none"/>
              </w:rPr>
              <w:t>、</w:t>
            </w:r>
            <w:r>
              <w:rPr>
                <w:rFonts w:hint="eastAsia" w:hAnsi="宋体" w:cs="宋体"/>
                <w:bCs/>
                <w:color w:val="auto"/>
                <w:sz w:val="21"/>
                <w:highlight w:val="none"/>
              </w:rPr>
              <w:t>报价分采用低价优先法计算，满足磋商文件要求且最低的有效供应商的最后报价为评标基准价，其报价分为满分。</w:t>
            </w:r>
          </w:p>
          <w:p w14:paraId="1576B05F">
            <w:pPr>
              <w:pStyle w:val="19"/>
              <w:spacing w:line="420" w:lineRule="exact"/>
              <w:ind w:firstLine="420" w:firstLineChars="200"/>
              <w:rPr>
                <w:rFonts w:hAnsi="宋体" w:cs="宋体"/>
                <w:bCs/>
                <w:color w:val="auto"/>
                <w:sz w:val="21"/>
                <w:highlight w:val="none"/>
              </w:rPr>
            </w:pPr>
            <w:r>
              <w:rPr>
                <w:rFonts w:hAnsi="宋体" w:cs="宋体"/>
                <w:bCs/>
                <w:color w:val="auto"/>
                <w:sz w:val="21"/>
                <w:highlight w:val="none"/>
              </w:rPr>
              <w:t>2</w:t>
            </w:r>
            <w:r>
              <w:rPr>
                <w:rFonts w:hint="eastAsia" w:hAnsi="宋体" w:cs="宋体"/>
                <w:bCs/>
                <w:color w:val="auto"/>
                <w:sz w:val="21"/>
                <w:highlight w:val="none"/>
              </w:rPr>
              <w:t>、其他供应商的价格分统一按照下列公式计算：</w:t>
            </w:r>
          </w:p>
          <w:p w14:paraId="03A4FC50">
            <w:pPr>
              <w:pStyle w:val="19"/>
              <w:spacing w:line="420" w:lineRule="exact"/>
              <w:rPr>
                <w:rFonts w:hAnsi="宋体" w:cs="宋体"/>
                <w:bCs/>
                <w:color w:val="auto"/>
                <w:kern w:val="2"/>
                <w:sz w:val="21"/>
                <w:highlight w:val="none"/>
              </w:rPr>
            </w:pPr>
            <w:r>
              <w:rPr>
                <w:rFonts w:hint="eastAsia" w:hAnsi="宋体" w:cs="宋体"/>
                <w:bCs/>
                <w:color w:val="auto"/>
                <w:sz w:val="21"/>
                <w:highlight w:val="none"/>
              </w:rPr>
              <w:t>某有效供应商的报价分</w:t>
            </w:r>
            <w:r>
              <w:rPr>
                <w:rFonts w:hAnsi="宋体" w:cs="宋体"/>
                <w:bCs/>
                <w:color w:val="auto"/>
                <w:sz w:val="21"/>
                <w:highlight w:val="none"/>
              </w:rPr>
              <w:t>=</w:t>
            </w:r>
            <w:r>
              <w:rPr>
                <w:rFonts w:hint="eastAsia" w:hAnsi="宋体" w:cs="宋体"/>
                <w:bCs/>
                <w:color w:val="auto"/>
                <w:sz w:val="21"/>
                <w:highlight w:val="none"/>
              </w:rPr>
              <w:t>（评标基准价／某有效供应商最后报价）×</w:t>
            </w:r>
            <w:r>
              <w:rPr>
                <w:rFonts w:hint="eastAsia" w:hAnsi="宋体" w:cs="宋体"/>
                <w:bCs/>
                <w:color w:val="auto"/>
                <w:sz w:val="21"/>
                <w:highlight w:val="none"/>
                <w:lang w:val="en-US" w:eastAsia="zh-CN"/>
              </w:rPr>
              <w:t>1</w:t>
            </w:r>
            <w:r>
              <w:rPr>
                <w:rFonts w:hAnsi="宋体" w:cs="宋体"/>
                <w:bCs/>
                <w:color w:val="auto"/>
                <w:sz w:val="21"/>
                <w:highlight w:val="none"/>
              </w:rPr>
              <w:t>0</w:t>
            </w:r>
            <w:r>
              <w:rPr>
                <w:rFonts w:hint="eastAsia" w:hAnsi="宋体" w:cs="宋体"/>
                <w:bCs/>
                <w:color w:val="auto"/>
                <w:sz w:val="21"/>
                <w:highlight w:val="none"/>
              </w:rPr>
              <w:t>分</w:t>
            </w:r>
          </w:p>
        </w:tc>
      </w:tr>
      <w:tr w14:paraId="225CF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730" w:type="dxa"/>
            <w:vMerge w:val="restart"/>
            <w:vAlign w:val="center"/>
          </w:tcPr>
          <w:p w14:paraId="7C8CACA3">
            <w:pPr>
              <w:adjustRightInd w:val="0"/>
              <w:spacing w:line="360" w:lineRule="auto"/>
              <w:jc w:val="center"/>
              <w:textAlignment w:val="baseline"/>
              <w:rPr>
                <w:rFonts w:ascii="宋体" w:cs="宋体"/>
                <w:b/>
                <w:color w:val="auto"/>
                <w:szCs w:val="21"/>
                <w:highlight w:val="none"/>
              </w:rPr>
            </w:pPr>
            <w:r>
              <w:rPr>
                <w:rFonts w:ascii="宋体" w:hAnsi="宋体" w:cs="宋体"/>
                <w:b/>
                <w:color w:val="auto"/>
                <w:szCs w:val="21"/>
                <w:highlight w:val="none"/>
              </w:rPr>
              <w:t>2</w:t>
            </w:r>
          </w:p>
        </w:tc>
        <w:tc>
          <w:tcPr>
            <w:tcW w:w="1280" w:type="dxa"/>
            <w:vMerge w:val="restart"/>
            <w:vAlign w:val="center"/>
          </w:tcPr>
          <w:p w14:paraId="018C2093">
            <w:pPr>
              <w:adjustRightInd w:val="0"/>
              <w:spacing w:line="360" w:lineRule="auto"/>
              <w:jc w:val="center"/>
              <w:textAlignment w:val="baseline"/>
              <w:rPr>
                <w:rFonts w:ascii="宋体" w:cs="宋体"/>
                <w:b/>
                <w:color w:val="auto"/>
                <w:szCs w:val="21"/>
                <w:highlight w:val="none"/>
              </w:rPr>
            </w:pPr>
            <w:r>
              <w:rPr>
                <w:rFonts w:hint="eastAsia" w:ascii="宋体" w:hAnsi="宋体" w:cs="宋体"/>
                <w:b/>
                <w:color w:val="auto"/>
                <w:szCs w:val="21"/>
                <w:highlight w:val="none"/>
              </w:rPr>
              <w:t>技术分</w:t>
            </w:r>
          </w:p>
        </w:tc>
        <w:tc>
          <w:tcPr>
            <w:tcW w:w="709" w:type="dxa"/>
            <w:vMerge w:val="restart"/>
            <w:vAlign w:val="center"/>
          </w:tcPr>
          <w:p w14:paraId="564FDC39">
            <w:pPr>
              <w:adjustRightInd w:val="0"/>
              <w:spacing w:line="360" w:lineRule="auto"/>
              <w:jc w:val="center"/>
              <w:textAlignment w:val="baseline"/>
              <w:rPr>
                <w:rFonts w:ascii="宋体" w:cs="宋体"/>
                <w:b/>
                <w:color w:val="auto"/>
                <w:szCs w:val="21"/>
                <w:highlight w:val="none"/>
              </w:rPr>
            </w:pPr>
            <w:r>
              <w:rPr>
                <w:rFonts w:hint="eastAsia" w:ascii="宋体" w:hAnsi="宋体" w:cs="宋体"/>
                <w:b/>
                <w:color w:val="auto"/>
                <w:szCs w:val="21"/>
                <w:highlight w:val="none"/>
                <w:lang w:val="en-US" w:eastAsia="zh-CN"/>
              </w:rPr>
              <w:t>84</w:t>
            </w:r>
            <w:r>
              <w:rPr>
                <w:rFonts w:hint="eastAsia" w:ascii="宋体" w:hAnsi="宋体" w:cs="宋体"/>
                <w:b/>
                <w:color w:val="auto"/>
                <w:szCs w:val="21"/>
                <w:highlight w:val="none"/>
              </w:rPr>
              <w:t>分</w:t>
            </w:r>
          </w:p>
        </w:tc>
        <w:tc>
          <w:tcPr>
            <w:tcW w:w="1244" w:type="dxa"/>
            <w:vAlign w:val="center"/>
          </w:tcPr>
          <w:p w14:paraId="19B4CEE9">
            <w:pPr>
              <w:spacing w:line="360" w:lineRule="auto"/>
              <w:jc w:val="center"/>
              <w:rPr>
                <w:rFonts w:ascii="宋体" w:cs="宋体"/>
                <w:bCs/>
                <w:color w:val="auto"/>
                <w:szCs w:val="21"/>
                <w:highlight w:val="none"/>
              </w:rPr>
            </w:pPr>
            <w:r>
              <w:rPr>
                <w:rFonts w:hint="eastAsia" w:hAnsi="宋体"/>
                <w:b/>
                <w:bCs/>
                <w:color w:val="auto"/>
                <w:highlight w:val="none"/>
              </w:rPr>
              <w:t>实施方案分（满分</w:t>
            </w:r>
            <w:r>
              <w:rPr>
                <w:rFonts w:hint="eastAsia" w:hAnsi="宋体"/>
                <w:b/>
                <w:bCs/>
                <w:color w:val="auto"/>
                <w:highlight w:val="none"/>
                <w:lang w:val="en-US" w:eastAsia="zh-CN"/>
              </w:rPr>
              <w:t>30</w:t>
            </w:r>
            <w:r>
              <w:rPr>
                <w:rFonts w:hint="eastAsia" w:hAnsi="宋体"/>
                <w:b/>
                <w:bCs/>
                <w:color w:val="auto"/>
                <w:highlight w:val="none"/>
              </w:rPr>
              <w:t>分）</w:t>
            </w:r>
          </w:p>
        </w:tc>
        <w:tc>
          <w:tcPr>
            <w:tcW w:w="5665" w:type="dxa"/>
            <w:vAlign w:val="center"/>
          </w:tcPr>
          <w:p w14:paraId="7DBE942B">
            <w:pPr>
              <w:spacing w:line="360" w:lineRule="auto"/>
              <w:ind w:firstLine="420" w:firstLineChars="200"/>
              <w:jc w:val="left"/>
              <w:rPr>
                <w:rFonts w:ascii="宋体" w:hAnsi="宋体"/>
                <w:bCs/>
                <w:color w:val="auto"/>
                <w:szCs w:val="21"/>
                <w:highlight w:val="none"/>
              </w:rPr>
            </w:pPr>
            <w:r>
              <w:rPr>
                <w:rFonts w:hint="eastAsia" w:ascii="宋体" w:hAnsi="宋体" w:cs="宋体"/>
                <w:bCs/>
                <w:color w:val="auto"/>
                <w:szCs w:val="21"/>
                <w:highlight w:val="none"/>
              </w:rPr>
              <w:t>由磋商小组在打分前根据供应商提供的实施方案确定各供应商所属档次及得分。达不到一档要求或不提供的得0分。</w:t>
            </w:r>
          </w:p>
          <w:p w14:paraId="453AE09E">
            <w:pPr>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一档（</w:t>
            </w:r>
            <w:r>
              <w:rPr>
                <w:rFonts w:hint="eastAsia" w:ascii="宋体" w:hAnsi="宋体"/>
                <w:bCs/>
                <w:color w:val="auto"/>
                <w:szCs w:val="21"/>
                <w:highlight w:val="none"/>
                <w:lang w:val="en-US" w:eastAsia="zh-CN"/>
              </w:rPr>
              <w:t>10</w:t>
            </w:r>
            <w:r>
              <w:rPr>
                <w:rFonts w:hint="eastAsia" w:ascii="宋体" w:hAnsi="宋体"/>
                <w:bCs/>
                <w:color w:val="auto"/>
                <w:szCs w:val="21"/>
                <w:highlight w:val="none"/>
              </w:rPr>
              <w:t>分）：能提出简单的实施方案大纲，基本满足采购文件要求，对项目技术环境及情况基本了解，思路及需求分析基本符合要求，但是目标及要求不够完整明确，总体设计不完善，有欠缺；</w:t>
            </w:r>
          </w:p>
          <w:p w14:paraId="3733CC45">
            <w:pPr>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二档（</w:t>
            </w:r>
            <w:r>
              <w:rPr>
                <w:rFonts w:hint="eastAsia" w:ascii="宋体" w:hAnsi="宋体"/>
                <w:bCs/>
                <w:color w:val="auto"/>
                <w:szCs w:val="21"/>
                <w:highlight w:val="none"/>
                <w:lang w:val="en-US" w:eastAsia="zh-CN"/>
              </w:rPr>
              <w:t>20</w:t>
            </w:r>
            <w:r>
              <w:rPr>
                <w:rFonts w:hint="eastAsia" w:ascii="宋体" w:hAnsi="宋体"/>
                <w:bCs/>
                <w:color w:val="auto"/>
                <w:szCs w:val="21"/>
                <w:highlight w:val="none"/>
              </w:rPr>
              <w:t>分）：在满足一档的基础上，能提出较详细实施方案大纲，有针对性技术方案，对项目环境及情况把握准确，思路清晰，需求分析合理，总体层次及模式相对清晰，对服务内容各方面有较详细描述。</w:t>
            </w:r>
          </w:p>
          <w:p w14:paraId="49BDA8AB">
            <w:pPr>
              <w:spacing w:line="360" w:lineRule="auto"/>
              <w:ind w:firstLine="420" w:firstLineChars="200"/>
              <w:jc w:val="left"/>
              <w:rPr>
                <w:rFonts w:cs="宋体"/>
                <w:bCs/>
                <w:color w:val="auto"/>
                <w:highlight w:val="none"/>
              </w:rPr>
            </w:pPr>
            <w:r>
              <w:rPr>
                <w:rFonts w:hint="eastAsia" w:ascii="宋体" w:hAnsi="宋体"/>
                <w:bCs/>
                <w:color w:val="auto"/>
                <w:szCs w:val="21"/>
                <w:highlight w:val="none"/>
              </w:rPr>
              <w:t>三档（</w:t>
            </w:r>
            <w:r>
              <w:rPr>
                <w:rFonts w:hint="eastAsia" w:ascii="宋体" w:hAnsi="宋体"/>
                <w:bCs/>
                <w:color w:val="auto"/>
                <w:szCs w:val="21"/>
                <w:highlight w:val="none"/>
                <w:lang w:val="en-US" w:eastAsia="zh-CN"/>
              </w:rPr>
              <w:t>30</w:t>
            </w:r>
            <w:r>
              <w:rPr>
                <w:rFonts w:hint="eastAsia" w:ascii="宋体" w:hAnsi="宋体"/>
                <w:bCs/>
                <w:color w:val="auto"/>
                <w:szCs w:val="21"/>
                <w:highlight w:val="none"/>
              </w:rPr>
              <w:t>分）：在满足二档的基础上，能按照本项目相关要求提出全面完整、详细实施方案大纲，对项目环境及情况把握准确，思路清晰，需求分析合理，业务满足项目要求，技术成熟先进，设计全面完善，总体层次及模式相对清晰，对服务内容各方面有详细描述。</w:t>
            </w:r>
          </w:p>
        </w:tc>
      </w:tr>
      <w:tr w14:paraId="2119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30" w:type="dxa"/>
            <w:vMerge w:val="continue"/>
            <w:vAlign w:val="center"/>
          </w:tcPr>
          <w:p w14:paraId="3661CEE6">
            <w:pPr>
              <w:adjustRightInd w:val="0"/>
              <w:spacing w:line="360" w:lineRule="auto"/>
              <w:jc w:val="center"/>
              <w:textAlignment w:val="baseline"/>
              <w:rPr>
                <w:rFonts w:ascii="宋体" w:cs="宋体"/>
                <w:b/>
                <w:color w:val="auto"/>
                <w:szCs w:val="21"/>
                <w:highlight w:val="none"/>
              </w:rPr>
            </w:pPr>
          </w:p>
        </w:tc>
        <w:tc>
          <w:tcPr>
            <w:tcW w:w="1280" w:type="dxa"/>
            <w:vMerge w:val="continue"/>
            <w:vAlign w:val="center"/>
          </w:tcPr>
          <w:p w14:paraId="502DC16A">
            <w:pPr>
              <w:adjustRightInd w:val="0"/>
              <w:spacing w:line="360" w:lineRule="auto"/>
              <w:jc w:val="center"/>
              <w:textAlignment w:val="baseline"/>
              <w:rPr>
                <w:rFonts w:ascii="宋体" w:cs="宋体"/>
                <w:b/>
                <w:color w:val="auto"/>
                <w:szCs w:val="21"/>
                <w:highlight w:val="none"/>
              </w:rPr>
            </w:pPr>
          </w:p>
        </w:tc>
        <w:tc>
          <w:tcPr>
            <w:tcW w:w="709" w:type="dxa"/>
            <w:vMerge w:val="continue"/>
            <w:vAlign w:val="center"/>
          </w:tcPr>
          <w:p w14:paraId="3442406A">
            <w:pPr>
              <w:adjustRightInd w:val="0"/>
              <w:spacing w:line="360" w:lineRule="auto"/>
              <w:jc w:val="center"/>
              <w:textAlignment w:val="baseline"/>
              <w:rPr>
                <w:rFonts w:ascii="宋体" w:cs="宋体"/>
                <w:b/>
                <w:color w:val="auto"/>
                <w:szCs w:val="21"/>
                <w:highlight w:val="none"/>
              </w:rPr>
            </w:pPr>
          </w:p>
        </w:tc>
        <w:tc>
          <w:tcPr>
            <w:tcW w:w="1244" w:type="dxa"/>
            <w:vAlign w:val="center"/>
          </w:tcPr>
          <w:p w14:paraId="73A9718A">
            <w:pPr>
              <w:widowControl/>
              <w:snapToGrid w:val="0"/>
              <w:spacing w:line="440" w:lineRule="exact"/>
              <w:rPr>
                <w:rFonts w:hAnsi="宋体" w:cs="宋体"/>
                <w:bCs/>
                <w:color w:val="auto"/>
                <w:highlight w:val="none"/>
              </w:rPr>
            </w:pPr>
            <w:r>
              <w:rPr>
                <w:rFonts w:hint="eastAsia" w:ascii="宋体" w:hAnsi="宋体" w:cs="微软雅黑"/>
                <w:b/>
                <w:bCs/>
                <w:color w:val="auto"/>
                <w:szCs w:val="21"/>
                <w:highlight w:val="none"/>
              </w:rPr>
              <w:t>采风活动实施方案分</w:t>
            </w:r>
            <w:r>
              <w:rPr>
                <w:rFonts w:hint="eastAsia" w:ascii="宋体" w:hAnsi="宋体"/>
                <w:b/>
                <w:bCs/>
                <w:color w:val="auto"/>
                <w:szCs w:val="21"/>
                <w:highlight w:val="none"/>
              </w:rPr>
              <w:t>（满分</w:t>
            </w:r>
            <w:r>
              <w:rPr>
                <w:rFonts w:hint="eastAsia" w:ascii="宋体" w:hAnsi="宋体"/>
                <w:b/>
                <w:bCs/>
                <w:color w:val="auto"/>
                <w:szCs w:val="21"/>
                <w:highlight w:val="none"/>
                <w:lang w:val="en-US" w:eastAsia="zh-CN"/>
              </w:rPr>
              <w:t>30</w:t>
            </w:r>
            <w:r>
              <w:rPr>
                <w:rFonts w:hint="eastAsia" w:ascii="宋体" w:hAnsi="宋体"/>
                <w:b/>
                <w:bCs/>
                <w:color w:val="auto"/>
                <w:szCs w:val="21"/>
                <w:highlight w:val="none"/>
              </w:rPr>
              <w:t>分）</w:t>
            </w:r>
          </w:p>
        </w:tc>
        <w:tc>
          <w:tcPr>
            <w:tcW w:w="5665" w:type="dxa"/>
            <w:vAlign w:val="center"/>
          </w:tcPr>
          <w:p w14:paraId="08E1BF05">
            <w:pPr>
              <w:spacing w:line="440" w:lineRule="exact"/>
              <w:ind w:firstLine="420" w:firstLineChars="200"/>
              <w:jc w:val="left"/>
              <w:rPr>
                <w:color w:val="auto"/>
                <w:szCs w:val="21"/>
                <w:highlight w:val="none"/>
              </w:rPr>
            </w:pPr>
            <w:r>
              <w:rPr>
                <w:rFonts w:hAnsi="宋体"/>
                <w:color w:val="auto"/>
                <w:szCs w:val="21"/>
                <w:highlight w:val="none"/>
              </w:rPr>
              <w:t>由</w:t>
            </w:r>
            <w:r>
              <w:rPr>
                <w:rFonts w:hint="eastAsia"/>
                <w:color w:val="auto"/>
                <w:highlight w:val="none"/>
              </w:rPr>
              <w:t>磋商小组</w:t>
            </w:r>
            <w:r>
              <w:rPr>
                <w:rFonts w:hAnsi="宋体"/>
                <w:color w:val="auto"/>
                <w:szCs w:val="21"/>
                <w:highlight w:val="none"/>
              </w:rPr>
              <w:t>根据各</w:t>
            </w:r>
            <w:r>
              <w:rPr>
                <w:rFonts w:hint="eastAsia" w:hAnsi="宋体"/>
                <w:color w:val="auto"/>
                <w:szCs w:val="21"/>
                <w:highlight w:val="none"/>
              </w:rPr>
              <w:t>供应商响应文件中</w:t>
            </w:r>
            <w:r>
              <w:rPr>
                <w:rFonts w:hAnsi="宋体"/>
                <w:color w:val="auto"/>
                <w:szCs w:val="21"/>
                <w:highlight w:val="none"/>
              </w:rPr>
              <w:t>的采风活动实施方案</w:t>
            </w:r>
            <w:r>
              <w:rPr>
                <w:rFonts w:hint="eastAsia" w:hAnsi="宋体"/>
                <w:color w:val="auto"/>
                <w:szCs w:val="21"/>
                <w:highlight w:val="none"/>
              </w:rPr>
              <w:t>（含①实施人员安排、②实施进度计划、③实施内容、</w:t>
            </w:r>
            <w:r>
              <w:rPr>
                <w:rFonts w:hint="eastAsia" w:ascii="仿宋" w:hAnsi="仿宋" w:eastAsia="仿宋" w:cs="仿宋"/>
                <w:color w:val="auto"/>
                <w:szCs w:val="21"/>
                <w:highlight w:val="none"/>
              </w:rPr>
              <w:t>④</w:t>
            </w:r>
            <w:r>
              <w:rPr>
                <w:rFonts w:hint="eastAsia" w:hAnsi="宋体"/>
                <w:color w:val="auto"/>
                <w:szCs w:val="21"/>
                <w:highlight w:val="none"/>
              </w:rPr>
              <w:t>实施措施）</w:t>
            </w:r>
            <w:r>
              <w:rPr>
                <w:rFonts w:hint="eastAsia" w:ascii="宋体" w:hAnsi="宋体" w:cs="宋体"/>
                <w:bCs/>
                <w:color w:val="auto"/>
                <w:szCs w:val="21"/>
                <w:highlight w:val="none"/>
              </w:rPr>
              <w:t>确定各供应商所属档次及得分。达不到一档要求或不提供的得0分</w:t>
            </w:r>
            <w:r>
              <w:rPr>
                <w:rFonts w:hint="eastAsia" w:hAnsi="宋体"/>
                <w:color w:val="auto"/>
                <w:szCs w:val="21"/>
                <w:highlight w:val="none"/>
              </w:rPr>
              <w:t>：</w:t>
            </w:r>
          </w:p>
          <w:p w14:paraId="3D9DEFD8">
            <w:pPr>
              <w:widowControl/>
              <w:snapToGrid w:val="0"/>
              <w:spacing w:line="440" w:lineRule="exact"/>
              <w:ind w:firstLine="420" w:firstLineChars="200"/>
              <w:rPr>
                <w:color w:val="auto"/>
                <w:szCs w:val="21"/>
                <w:highlight w:val="none"/>
              </w:rPr>
            </w:pPr>
            <w:r>
              <w:rPr>
                <w:rFonts w:hint="eastAsia" w:hAnsi="宋体"/>
                <w:color w:val="auto"/>
                <w:szCs w:val="21"/>
                <w:highlight w:val="none"/>
              </w:rPr>
              <w:t>一</w:t>
            </w:r>
            <w:r>
              <w:rPr>
                <w:rFonts w:hAnsi="宋体"/>
                <w:color w:val="auto"/>
                <w:szCs w:val="21"/>
                <w:highlight w:val="none"/>
              </w:rPr>
              <w:t>档</w:t>
            </w:r>
            <w:r>
              <w:rPr>
                <w:rFonts w:hint="eastAsia" w:hAnsi="宋体"/>
                <w:color w:val="auto"/>
                <w:szCs w:val="21"/>
                <w:highlight w:val="none"/>
              </w:rPr>
              <w:t>（</w:t>
            </w:r>
            <w:r>
              <w:rPr>
                <w:rFonts w:hint="eastAsia"/>
                <w:color w:val="auto"/>
                <w:szCs w:val="21"/>
                <w:highlight w:val="none"/>
                <w:lang w:val="en-US" w:eastAsia="zh-CN"/>
              </w:rPr>
              <w:t>10</w:t>
            </w:r>
            <w:r>
              <w:rPr>
                <w:rFonts w:hAnsi="宋体"/>
                <w:color w:val="auto"/>
                <w:szCs w:val="21"/>
                <w:highlight w:val="none"/>
              </w:rPr>
              <w:t>分</w:t>
            </w:r>
            <w:r>
              <w:rPr>
                <w:rFonts w:hint="eastAsia" w:hAnsi="宋体"/>
                <w:color w:val="auto"/>
                <w:szCs w:val="21"/>
                <w:highlight w:val="none"/>
              </w:rPr>
              <w:t>）</w:t>
            </w:r>
            <w:r>
              <w:rPr>
                <w:rFonts w:hAnsi="宋体"/>
                <w:color w:val="auto"/>
                <w:szCs w:val="21"/>
                <w:highlight w:val="none"/>
              </w:rPr>
              <w:t>：</w:t>
            </w:r>
            <w:r>
              <w:rPr>
                <w:rFonts w:hint="eastAsia" w:hAnsi="宋体"/>
                <w:color w:val="auto"/>
                <w:szCs w:val="21"/>
                <w:highlight w:val="none"/>
              </w:rPr>
              <w:t>方案内容（含①实施人员安排、②实施进度计划、③实施内容、</w:t>
            </w:r>
            <w:r>
              <w:rPr>
                <w:rFonts w:hint="eastAsia" w:ascii="仿宋" w:hAnsi="仿宋" w:eastAsia="仿宋" w:cs="仿宋"/>
                <w:color w:val="auto"/>
                <w:szCs w:val="21"/>
                <w:highlight w:val="none"/>
              </w:rPr>
              <w:t>④</w:t>
            </w:r>
            <w:r>
              <w:rPr>
                <w:rFonts w:hint="eastAsia" w:hAnsi="宋体"/>
                <w:color w:val="auto"/>
                <w:szCs w:val="21"/>
                <w:highlight w:val="none"/>
              </w:rPr>
              <w:t>实施措施）简单，基本可行。</w:t>
            </w:r>
          </w:p>
          <w:p w14:paraId="15C18A7D">
            <w:pPr>
              <w:spacing w:line="440" w:lineRule="exact"/>
              <w:ind w:firstLine="420" w:firstLineChars="200"/>
              <w:jc w:val="left"/>
              <w:rPr>
                <w:rFonts w:hAnsi="宋体"/>
                <w:bCs/>
                <w:color w:val="auto"/>
                <w:highlight w:val="none"/>
              </w:rPr>
            </w:pPr>
            <w:r>
              <w:rPr>
                <w:rFonts w:hint="eastAsia" w:hAnsi="宋体"/>
                <w:color w:val="auto"/>
                <w:szCs w:val="21"/>
                <w:highlight w:val="none"/>
              </w:rPr>
              <w:t>二</w:t>
            </w:r>
            <w:r>
              <w:rPr>
                <w:rFonts w:hAnsi="宋体"/>
                <w:color w:val="auto"/>
                <w:szCs w:val="21"/>
                <w:highlight w:val="none"/>
              </w:rPr>
              <w:t>档</w:t>
            </w:r>
            <w:r>
              <w:rPr>
                <w:rFonts w:hint="eastAsia" w:hAnsi="宋体"/>
                <w:color w:val="auto"/>
                <w:szCs w:val="21"/>
                <w:highlight w:val="none"/>
              </w:rPr>
              <w:t>（</w:t>
            </w:r>
            <w:r>
              <w:rPr>
                <w:rFonts w:hint="eastAsia"/>
                <w:color w:val="auto"/>
                <w:szCs w:val="21"/>
                <w:highlight w:val="none"/>
                <w:lang w:val="en-US" w:eastAsia="zh-CN"/>
              </w:rPr>
              <w:t>20</w:t>
            </w:r>
            <w:r>
              <w:rPr>
                <w:rFonts w:hAnsi="宋体"/>
                <w:color w:val="auto"/>
                <w:szCs w:val="21"/>
                <w:highlight w:val="none"/>
              </w:rPr>
              <w:t>分</w:t>
            </w:r>
            <w:r>
              <w:rPr>
                <w:rFonts w:hint="eastAsia" w:hAnsi="宋体"/>
                <w:color w:val="auto"/>
                <w:szCs w:val="21"/>
                <w:highlight w:val="none"/>
              </w:rPr>
              <w:t>）</w:t>
            </w:r>
            <w:r>
              <w:rPr>
                <w:rFonts w:hAnsi="宋体"/>
                <w:color w:val="auto"/>
                <w:szCs w:val="21"/>
                <w:highlight w:val="none"/>
              </w:rPr>
              <w:t>：</w:t>
            </w:r>
            <w:r>
              <w:rPr>
                <w:rFonts w:hint="eastAsia" w:hAnsi="宋体"/>
                <w:bCs/>
                <w:color w:val="auto"/>
                <w:highlight w:val="none"/>
              </w:rPr>
              <w:t>方案内容</w:t>
            </w:r>
            <w:r>
              <w:rPr>
                <w:rFonts w:hint="eastAsia" w:hAnsi="宋体"/>
                <w:color w:val="auto"/>
                <w:szCs w:val="21"/>
                <w:highlight w:val="none"/>
              </w:rPr>
              <w:t>（含①实施人员安排、②实施进度计划、③实施内容、</w:t>
            </w:r>
            <w:r>
              <w:rPr>
                <w:rFonts w:hint="eastAsia" w:ascii="仿宋" w:hAnsi="仿宋" w:eastAsia="仿宋" w:cs="仿宋"/>
                <w:color w:val="auto"/>
                <w:szCs w:val="21"/>
                <w:highlight w:val="none"/>
              </w:rPr>
              <w:t>④</w:t>
            </w:r>
            <w:r>
              <w:rPr>
                <w:rFonts w:hint="eastAsia" w:hAnsi="宋体"/>
                <w:color w:val="auto"/>
                <w:szCs w:val="21"/>
                <w:highlight w:val="none"/>
              </w:rPr>
              <w:t>实施措施）完整可行</w:t>
            </w:r>
            <w:r>
              <w:rPr>
                <w:rFonts w:hAnsi="宋体"/>
                <w:bCs/>
                <w:color w:val="auto"/>
                <w:highlight w:val="none"/>
              </w:rPr>
              <w:t>。</w:t>
            </w:r>
          </w:p>
          <w:p w14:paraId="24877BEA">
            <w:pPr>
              <w:spacing w:line="440" w:lineRule="exact"/>
              <w:ind w:firstLine="420" w:firstLineChars="200"/>
              <w:jc w:val="left"/>
              <w:rPr>
                <w:rFonts w:cs="宋体"/>
                <w:bCs/>
                <w:color w:val="auto"/>
                <w:highlight w:val="none"/>
              </w:rPr>
            </w:pPr>
            <w:r>
              <w:rPr>
                <w:rFonts w:hint="eastAsia" w:hAnsi="宋体"/>
                <w:color w:val="auto"/>
                <w:szCs w:val="21"/>
                <w:highlight w:val="none"/>
              </w:rPr>
              <w:t>三</w:t>
            </w:r>
            <w:r>
              <w:rPr>
                <w:rFonts w:hAnsi="宋体"/>
                <w:color w:val="auto"/>
                <w:szCs w:val="21"/>
                <w:highlight w:val="none"/>
              </w:rPr>
              <w:t>档</w:t>
            </w:r>
            <w:r>
              <w:rPr>
                <w:rFonts w:hint="eastAsia" w:hAnsi="宋体"/>
                <w:color w:val="auto"/>
                <w:szCs w:val="21"/>
                <w:highlight w:val="none"/>
              </w:rPr>
              <w:t>（</w:t>
            </w:r>
            <w:r>
              <w:rPr>
                <w:rFonts w:hint="eastAsia"/>
                <w:color w:val="auto"/>
                <w:szCs w:val="21"/>
                <w:highlight w:val="none"/>
                <w:lang w:val="en-US" w:eastAsia="zh-CN"/>
              </w:rPr>
              <w:t>30</w:t>
            </w:r>
            <w:r>
              <w:rPr>
                <w:rFonts w:hAnsi="宋体"/>
                <w:color w:val="auto"/>
                <w:szCs w:val="21"/>
                <w:highlight w:val="none"/>
              </w:rPr>
              <w:t>分</w:t>
            </w:r>
            <w:r>
              <w:rPr>
                <w:rFonts w:hint="eastAsia" w:hAnsi="宋体"/>
                <w:color w:val="auto"/>
                <w:szCs w:val="21"/>
                <w:highlight w:val="none"/>
              </w:rPr>
              <w:t>）</w:t>
            </w:r>
            <w:r>
              <w:rPr>
                <w:rFonts w:hAnsi="宋体"/>
                <w:color w:val="auto"/>
                <w:szCs w:val="21"/>
                <w:highlight w:val="none"/>
              </w:rPr>
              <w:t>：</w:t>
            </w:r>
            <w:r>
              <w:rPr>
                <w:rFonts w:hint="eastAsia" w:hAnsi="宋体"/>
                <w:color w:val="auto"/>
                <w:szCs w:val="21"/>
                <w:highlight w:val="none"/>
              </w:rPr>
              <w:t>方案内容（含①实施人员安排、②实施进度计划、③实施内容、</w:t>
            </w:r>
            <w:r>
              <w:rPr>
                <w:rFonts w:hint="eastAsia" w:ascii="仿宋" w:hAnsi="仿宋" w:eastAsia="仿宋" w:cs="仿宋"/>
                <w:color w:val="auto"/>
                <w:szCs w:val="21"/>
                <w:highlight w:val="none"/>
              </w:rPr>
              <w:t>④</w:t>
            </w:r>
            <w:r>
              <w:rPr>
                <w:rFonts w:hint="eastAsia" w:hAnsi="宋体"/>
                <w:color w:val="auto"/>
                <w:szCs w:val="21"/>
                <w:highlight w:val="none"/>
              </w:rPr>
              <w:t>实施措施）完整可行，并</w:t>
            </w:r>
            <w:r>
              <w:rPr>
                <w:rFonts w:hAnsi="宋体"/>
                <w:bCs/>
                <w:color w:val="auto"/>
                <w:highlight w:val="none"/>
              </w:rPr>
              <w:t>有对采风活动实施效果</w:t>
            </w:r>
            <w:r>
              <w:rPr>
                <w:rFonts w:hint="eastAsia" w:hAnsi="宋体"/>
                <w:bCs/>
                <w:color w:val="auto"/>
                <w:highlight w:val="none"/>
              </w:rPr>
              <w:t>控制评价的</w:t>
            </w:r>
            <w:r>
              <w:rPr>
                <w:rFonts w:hAnsi="宋体"/>
                <w:bCs/>
                <w:color w:val="auto"/>
                <w:highlight w:val="none"/>
              </w:rPr>
              <w:t>。</w:t>
            </w:r>
          </w:p>
        </w:tc>
      </w:tr>
      <w:tr w14:paraId="1B74C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jc w:val="center"/>
        </w:trPr>
        <w:tc>
          <w:tcPr>
            <w:tcW w:w="730" w:type="dxa"/>
            <w:vMerge w:val="continue"/>
            <w:vAlign w:val="center"/>
          </w:tcPr>
          <w:p w14:paraId="09F6D06E">
            <w:pPr>
              <w:adjustRightInd w:val="0"/>
              <w:spacing w:line="360" w:lineRule="auto"/>
              <w:jc w:val="center"/>
              <w:textAlignment w:val="baseline"/>
              <w:rPr>
                <w:rFonts w:ascii="宋体" w:cs="宋体"/>
                <w:b/>
                <w:color w:val="auto"/>
                <w:szCs w:val="21"/>
                <w:highlight w:val="none"/>
              </w:rPr>
            </w:pPr>
          </w:p>
        </w:tc>
        <w:tc>
          <w:tcPr>
            <w:tcW w:w="1280" w:type="dxa"/>
            <w:vMerge w:val="continue"/>
            <w:vAlign w:val="center"/>
          </w:tcPr>
          <w:p w14:paraId="11BAD514">
            <w:pPr>
              <w:adjustRightInd w:val="0"/>
              <w:spacing w:line="360" w:lineRule="auto"/>
              <w:jc w:val="center"/>
              <w:textAlignment w:val="baseline"/>
              <w:rPr>
                <w:rFonts w:ascii="宋体" w:cs="宋体"/>
                <w:b/>
                <w:color w:val="auto"/>
                <w:szCs w:val="21"/>
                <w:highlight w:val="none"/>
              </w:rPr>
            </w:pPr>
          </w:p>
        </w:tc>
        <w:tc>
          <w:tcPr>
            <w:tcW w:w="709" w:type="dxa"/>
            <w:vMerge w:val="continue"/>
            <w:vAlign w:val="center"/>
          </w:tcPr>
          <w:p w14:paraId="4C494015">
            <w:pPr>
              <w:adjustRightInd w:val="0"/>
              <w:spacing w:line="360" w:lineRule="auto"/>
              <w:jc w:val="center"/>
              <w:textAlignment w:val="baseline"/>
              <w:rPr>
                <w:rFonts w:ascii="宋体" w:cs="宋体"/>
                <w:b/>
                <w:color w:val="auto"/>
                <w:szCs w:val="21"/>
                <w:highlight w:val="none"/>
              </w:rPr>
            </w:pPr>
          </w:p>
        </w:tc>
        <w:tc>
          <w:tcPr>
            <w:tcW w:w="1244" w:type="dxa"/>
            <w:vAlign w:val="center"/>
          </w:tcPr>
          <w:p w14:paraId="677B370E">
            <w:pPr>
              <w:spacing w:line="440" w:lineRule="exact"/>
              <w:rPr>
                <w:b/>
                <w:bCs/>
                <w:color w:val="auto"/>
                <w:szCs w:val="21"/>
                <w:highlight w:val="none"/>
              </w:rPr>
            </w:pPr>
            <w:r>
              <w:rPr>
                <w:rFonts w:hint="eastAsia" w:ascii="宋体" w:hAnsi="宋体"/>
                <w:b/>
                <w:bCs/>
                <w:color w:val="auto"/>
                <w:szCs w:val="21"/>
                <w:highlight w:val="none"/>
              </w:rPr>
              <w:t>拟投入人员分（满分</w:t>
            </w:r>
            <w:r>
              <w:rPr>
                <w:rFonts w:hint="eastAsia" w:ascii="宋体" w:hAnsi="宋体"/>
                <w:b/>
                <w:bCs/>
                <w:color w:val="auto"/>
                <w:szCs w:val="21"/>
                <w:highlight w:val="none"/>
                <w:lang w:val="en-US" w:eastAsia="zh-CN"/>
              </w:rPr>
              <w:t>12</w:t>
            </w:r>
            <w:r>
              <w:rPr>
                <w:rFonts w:hint="eastAsia" w:ascii="宋体" w:hAnsi="宋体"/>
                <w:b/>
                <w:bCs/>
                <w:color w:val="auto"/>
                <w:szCs w:val="21"/>
                <w:highlight w:val="none"/>
              </w:rPr>
              <w:t>分）</w:t>
            </w:r>
          </w:p>
          <w:p w14:paraId="2811BA50">
            <w:pPr>
              <w:snapToGrid w:val="0"/>
              <w:spacing w:line="440" w:lineRule="exact"/>
              <w:jc w:val="center"/>
              <w:rPr>
                <w:rFonts w:ascii="宋体" w:cs="宋体"/>
                <w:bCs/>
                <w:color w:val="auto"/>
                <w:szCs w:val="21"/>
                <w:highlight w:val="none"/>
              </w:rPr>
            </w:pPr>
          </w:p>
        </w:tc>
        <w:tc>
          <w:tcPr>
            <w:tcW w:w="5665" w:type="dxa"/>
            <w:vAlign w:val="center"/>
          </w:tcPr>
          <w:p w14:paraId="13AD4D51">
            <w:pPr>
              <w:spacing w:line="440" w:lineRule="exact"/>
              <w:ind w:firstLine="420" w:firstLineChars="200"/>
              <w:jc w:val="left"/>
              <w:rPr>
                <w:color w:val="auto"/>
                <w:szCs w:val="21"/>
                <w:highlight w:val="none"/>
              </w:rPr>
            </w:pPr>
            <w:r>
              <w:rPr>
                <w:rFonts w:hint="eastAsia" w:hAnsi="宋体"/>
                <w:color w:val="auto"/>
                <w:szCs w:val="21"/>
                <w:highlight w:val="none"/>
              </w:rPr>
              <w:t>由磋商小组根据各供应商响应文件中提供的拟投入本项目的</w:t>
            </w:r>
            <w:r>
              <w:rPr>
                <w:rFonts w:hAnsi="宋体"/>
                <w:color w:val="auto"/>
                <w:szCs w:val="21"/>
                <w:highlight w:val="none"/>
              </w:rPr>
              <w:t>实施</w:t>
            </w:r>
            <w:r>
              <w:rPr>
                <w:rFonts w:hint="eastAsia" w:hAnsi="宋体"/>
                <w:color w:val="auto"/>
                <w:szCs w:val="21"/>
                <w:highlight w:val="none"/>
              </w:rPr>
              <w:t>团队（含①</w:t>
            </w:r>
            <w:r>
              <w:rPr>
                <w:rFonts w:hint="eastAsia" w:hAnsi="宋体"/>
                <w:bCs/>
                <w:color w:val="auto"/>
                <w:highlight w:val="none"/>
              </w:rPr>
              <w:t>数量、</w:t>
            </w:r>
            <w:r>
              <w:rPr>
                <w:rFonts w:hint="eastAsia" w:hAnsi="宋体"/>
                <w:color w:val="auto"/>
                <w:szCs w:val="21"/>
                <w:highlight w:val="none"/>
              </w:rPr>
              <w:t>②组织结构）</w:t>
            </w:r>
            <w:r>
              <w:rPr>
                <w:rFonts w:hint="eastAsia" w:ascii="宋体" w:hAnsi="宋体" w:cs="宋体"/>
                <w:bCs/>
                <w:color w:val="auto"/>
                <w:szCs w:val="21"/>
                <w:highlight w:val="none"/>
              </w:rPr>
              <w:t>确定各供应商所属档次及得分。达不到一档要求或不提供的得0分</w:t>
            </w:r>
            <w:r>
              <w:rPr>
                <w:rFonts w:hint="eastAsia" w:hAnsi="宋体"/>
                <w:color w:val="auto"/>
                <w:szCs w:val="21"/>
                <w:highlight w:val="none"/>
              </w:rPr>
              <w:t>：</w:t>
            </w:r>
          </w:p>
          <w:p w14:paraId="108D23DF">
            <w:pPr>
              <w:widowControl/>
              <w:snapToGrid w:val="0"/>
              <w:spacing w:line="440" w:lineRule="exact"/>
              <w:ind w:firstLine="420" w:firstLineChars="200"/>
              <w:rPr>
                <w:rFonts w:hAnsi="宋体"/>
                <w:color w:val="auto"/>
                <w:szCs w:val="21"/>
                <w:highlight w:val="none"/>
              </w:rPr>
            </w:pPr>
            <w:r>
              <w:rPr>
                <w:rFonts w:hint="eastAsia" w:hAnsi="宋体"/>
                <w:color w:val="auto"/>
                <w:szCs w:val="21"/>
                <w:highlight w:val="none"/>
              </w:rPr>
              <w:t>一档（</w:t>
            </w:r>
            <w:r>
              <w:rPr>
                <w:rFonts w:hint="eastAsia"/>
                <w:color w:val="auto"/>
                <w:szCs w:val="21"/>
                <w:highlight w:val="none"/>
              </w:rPr>
              <w:t>4</w:t>
            </w:r>
            <w:r>
              <w:rPr>
                <w:rFonts w:hAnsi="宋体"/>
                <w:color w:val="auto"/>
                <w:szCs w:val="21"/>
                <w:highlight w:val="none"/>
              </w:rPr>
              <w:t>分</w:t>
            </w:r>
            <w:r>
              <w:rPr>
                <w:rFonts w:hint="eastAsia" w:hAnsi="宋体"/>
                <w:color w:val="auto"/>
                <w:szCs w:val="21"/>
                <w:highlight w:val="none"/>
              </w:rPr>
              <w:t>）：</w:t>
            </w:r>
            <w:r>
              <w:rPr>
                <w:rFonts w:hAnsi="宋体"/>
                <w:color w:val="auto"/>
                <w:szCs w:val="21"/>
                <w:highlight w:val="none"/>
              </w:rPr>
              <w:t>实施人员少于</w:t>
            </w:r>
            <w:r>
              <w:rPr>
                <w:rFonts w:hint="eastAsia"/>
                <w:color w:val="auto"/>
                <w:szCs w:val="21"/>
                <w:highlight w:val="none"/>
              </w:rPr>
              <w:t>2</w:t>
            </w:r>
            <w:r>
              <w:rPr>
                <w:rFonts w:hAnsi="宋体"/>
                <w:color w:val="auto"/>
                <w:szCs w:val="21"/>
                <w:highlight w:val="none"/>
              </w:rPr>
              <w:t>人（不含）、</w:t>
            </w:r>
            <w:r>
              <w:rPr>
                <w:rFonts w:hint="eastAsia" w:hAnsi="宋体"/>
                <w:color w:val="auto"/>
                <w:szCs w:val="21"/>
                <w:highlight w:val="none"/>
              </w:rPr>
              <w:t>组织</w:t>
            </w:r>
            <w:r>
              <w:rPr>
                <w:rFonts w:hAnsi="宋体"/>
                <w:color w:val="auto"/>
                <w:szCs w:val="21"/>
                <w:highlight w:val="none"/>
              </w:rPr>
              <w:t>结构</w:t>
            </w:r>
            <w:r>
              <w:rPr>
                <w:rFonts w:hint="eastAsia" w:hAnsi="宋体"/>
                <w:color w:val="auto"/>
                <w:szCs w:val="21"/>
                <w:highlight w:val="none"/>
              </w:rPr>
              <w:t>配置不合理，</w:t>
            </w:r>
            <w:r>
              <w:rPr>
                <w:rFonts w:hAnsi="宋体"/>
                <w:color w:val="auto"/>
                <w:szCs w:val="21"/>
                <w:highlight w:val="none"/>
              </w:rPr>
              <w:t>无法保障项目进行。</w:t>
            </w:r>
          </w:p>
          <w:p w14:paraId="5B7714F0">
            <w:pPr>
              <w:widowControl/>
              <w:snapToGrid w:val="0"/>
              <w:spacing w:line="440" w:lineRule="exact"/>
              <w:ind w:firstLine="420" w:firstLineChars="200"/>
              <w:rPr>
                <w:rFonts w:hAnsi="宋体"/>
                <w:color w:val="auto"/>
                <w:szCs w:val="21"/>
                <w:highlight w:val="none"/>
              </w:rPr>
            </w:pPr>
            <w:r>
              <w:rPr>
                <w:rFonts w:hint="eastAsia" w:hAnsi="宋体"/>
                <w:color w:val="auto"/>
                <w:szCs w:val="21"/>
                <w:highlight w:val="none"/>
              </w:rPr>
              <w:t>二档（8分）：实施人员在2～3人、组织结构配置满足采购项目顺利开展。</w:t>
            </w:r>
          </w:p>
          <w:p w14:paraId="177A7576">
            <w:pPr>
              <w:widowControl/>
              <w:snapToGrid w:val="0"/>
              <w:spacing w:line="440" w:lineRule="exact"/>
              <w:ind w:firstLine="420" w:firstLineChars="200"/>
              <w:rPr>
                <w:color w:val="auto"/>
                <w:highlight w:val="none"/>
              </w:rPr>
            </w:pPr>
            <w:r>
              <w:rPr>
                <w:rFonts w:hint="eastAsia" w:hAnsi="宋体"/>
                <w:color w:val="auto"/>
                <w:szCs w:val="21"/>
                <w:highlight w:val="none"/>
              </w:rPr>
              <w:t>三档（12分）：</w:t>
            </w:r>
            <w:r>
              <w:rPr>
                <w:rFonts w:hAnsi="宋体"/>
                <w:color w:val="auto"/>
                <w:szCs w:val="21"/>
                <w:highlight w:val="none"/>
              </w:rPr>
              <w:t>实施人员达到</w:t>
            </w:r>
            <w:r>
              <w:rPr>
                <w:rFonts w:hint="eastAsia" w:hAnsi="宋体"/>
                <w:color w:val="auto"/>
                <w:szCs w:val="21"/>
                <w:highlight w:val="none"/>
              </w:rPr>
              <w:t>4</w:t>
            </w:r>
            <w:r>
              <w:rPr>
                <w:rFonts w:hAnsi="宋体"/>
                <w:color w:val="auto"/>
                <w:szCs w:val="21"/>
                <w:highlight w:val="none"/>
              </w:rPr>
              <w:t>人及以上（含）、</w:t>
            </w:r>
            <w:r>
              <w:rPr>
                <w:rFonts w:hint="eastAsia" w:hAnsi="宋体"/>
                <w:color w:val="auto"/>
                <w:szCs w:val="21"/>
                <w:highlight w:val="none"/>
              </w:rPr>
              <w:t>组织</w:t>
            </w:r>
            <w:r>
              <w:rPr>
                <w:rFonts w:hAnsi="宋体"/>
                <w:color w:val="auto"/>
                <w:szCs w:val="21"/>
                <w:highlight w:val="none"/>
              </w:rPr>
              <w:t>结构</w:t>
            </w:r>
            <w:r>
              <w:rPr>
                <w:rFonts w:hint="eastAsia" w:hAnsi="宋体"/>
                <w:color w:val="auto"/>
                <w:szCs w:val="21"/>
                <w:highlight w:val="none"/>
              </w:rPr>
              <w:t>配置</w:t>
            </w:r>
            <w:r>
              <w:rPr>
                <w:rFonts w:hAnsi="宋体"/>
                <w:color w:val="auto"/>
                <w:szCs w:val="21"/>
                <w:highlight w:val="none"/>
              </w:rPr>
              <w:t>合理、对项目</w:t>
            </w:r>
            <w:r>
              <w:rPr>
                <w:rFonts w:hint="eastAsia" w:hAnsi="宋体"/>
                <w:color w:val="auto"/>
                <w:szCs w:val="21"/>
                <w:highlight w:val="none"/>
              </w:rPr>
              <w:t>顺利开展</w:t>
            </w:r>
            <w:r>
              <w:rPr>
                <w:rFonts w:hAnsi="宋体"/>
                <w:color w:val="auto"/>
                <w:szCs w:val="21"/>
                <w:highlight w:val="none"/>
              </w:rPr>
              <w:t>保障性高</w:t>
            </w:r>
            <w:r>
              <w:rPr>
                <w:rFonts w:hint="eastAsia" w:hAnsi="宋体"/>
                <w:color w:val="auto"/>
                <w:szCs w:val="21"/>
                <w:highlight w:val="none"/>
              </w:rPr>
              <w:t>。</w:t>
            </w:r>
          </w:p>
        </w:tc>
      </w:tr>
      <w:tr w14:paraId="7E56D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7A660E62">
            <w:pPr>
              <w:adjustRightInd w:val="0"/>
              <w:spacing w:line="360" w:lineRule="auto"/>
              <w:jc w:val="center"/>
              <w:textAlignment w:val="baseline"/>
              <w:rPr>
                <w:rFonts w:ascii="宋体" w:cs="宋体"/>
                <w:b/>
                <w:color w:val="auto"/>
                <w:szCs w:val="21"/>
                <w:highlight w:val="none"/>
              </w:rPr>
            </w:pPr>
          </w:p>
        </w:tc>
        <w:tc>
          <w:tcPr>
            <w:tcW w:w="1280" w:type="dxa"/>
            <w:vMerge w:val="continue"/>
            <w:vAlign w:val="center"/>
          </w:tcPr>
          <w:p w14:paraId="650DB8D2">
            <w:pPr>
              <w:adjustRightInd w:val="0"/>
              <w:spacing w:line="360" w:lineRule="auto"/>
              <w:jc w:val="center"/>
              <w:textAlignment w:val="baseline"/>
              <w:rPr>
                <w:rFonts w:ascii="宋体" w:cs="宋体"/>
                <w:b/>
                <w:color w:val="auto"/>
                <w:szCs w:val="21"/>
                <w:highlight w:val="none"/>
              </w:rPr>
            </w:pPr>
          </w:p>
        </w:tc>
        <w:tc>
          <w:tcPr>
            <w:tcW w:w="709" w:type="dxa"/>
            <w:vMerge w:val="continue"/>
            <w:vAlign w:val="center"/>
          </w:tcPr>
          <w:p w14:paraId="5CDBF2C9">
            <w:pPr>
              <w:adjustRightInd w:val="0"/>
              <w:spacing w:line="360" w:lineRule="auto"/>
              <w:jc w:val="center"/>
              <w:textAlignment w:val="baseline"/>
              <w:rPr>
                <w:rFonts w:ascii="宋体" w:cs="宋体"/>
                <w:b/>
                <w:color w:val="auto"/>
                <w:szCs w:val="21"/>
                <w:highlight w:val="none"/>
              </w:rPr>
            </w:pPr>
          </w:p>
        </w:tc>
        <w:tc>
          <w:tcPr>
            <w:tcW w:w="1244" w:type="dxa"/>
            <w:vAlign w:val="center"/>
          </w:tcPr>
          <w:p w14:paraId="18C94F08">
            <w:pPr>
              <w:snapToGrid w:val="0"/>
              <w:spacing w:line="440" w:lineRule="exact"/>
              <w:rPr>
                <w:rFonts w:ascii="宋体" w:cs="宋体"/>
                <w:bCs/>
                <w:color w:val="auto"/>
                <w:szCs w:val="21"/>
                <w:highlight w:val="none"/>
              </w:rPr>
            </w:pPr>
            <w:r>
              <w:rPr>
                <w:rFonts w:hint="eastAsia" w:ascii="宋体" w:hAnsi="宋体" w:cs="微软雅黑"/>
                <w:b/>
                <w:color w:val="auto"/>
                <w:szCs w:val="21"/>
                <w:highlight w:val="none"/>
              </w:rPr>
              <w:t>售后服务分</w:t>
            </w:r>
            <w:r>
              <w:rPr>
                <w:rFonts w:hint="eastAsia" w:ascii="宋体" w:hAnsi="宋体"/>
                <w:b/>
                <w:color w:val="auto"/>
                <w:szCs w:val="21"/>
                <w:highlight w:val="none"/>
              </w:rPr>
              <w:t>（满分</w:t>
            </w:r>
            <w:r>
              <w:rPr>
                <w:rFonts w:hint="eastAsia" w:ascii="宋体" w:hAnsi="宋体"/>
                <w:b/>
                <w:color w:val="auto"/>
                <w:szCs w:val="21"/>
                <w:highlight w:val="none"/>
                <w:lang w:val="en-US" w:eastAsia="zh-CN"/>
              </w:rPr>
              <w:t>12</w:t>
            </w:r>
            <w:r>
              <w:rPr>
                <w:rFonts w:hint="eastAsia" w:ascii="宋体" w:hAnsi="宋体"/>
                <w:b/>
                <w:color w:val="auto"/>
                <w:szCs w:val="21"/>
                <w:highlight w:val="none"/>
              </w:rPr>
              <w:t>分）</w:t>
            </w:r>
          </w:p>
        </w:tc>
        <w:tc>
          <w:tcPr>
            <w:tcW w:w="5665" w:type="dxa"/>
          </w:tcPr>
          <w:p w14:paraId="7FBEB8D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由</w:t>
            </w:r>
            <w:r>
              <w:rPr>
                <w:rFonts w:hint="eastAsia"/>
                <w:color w:val="auto"/>
                <w:highlight w:val="none"/>
              </w:rPr>
              <w:t>磋商小组</w:t>
            </w:r>
            <w:r>
              <w:rPr>
                <w:rFonts w:hint="eastAsia" w:ascii="宋体" w:hAnsi="宋体" w:cs="宋体"/>
                <w:color w:val="auto"/>
                <w:szCs w:val="21"/>
                <w:highlight w:val="none"/>
              </w:rPr>
              <w:t>根据各供应商响应文件中的售后服务方案（含①</w:t>
            </w:r>
            <w:r>
              <w:rPr>
                <w:rFonts w:hint="eastAsia" w:ascii="宋体" w:hAnsi="宋体" w:cs="宋体"/>
                <w:bCs/>
                <w:color w:val="auto"/>
                <w:highlight w:val="none"/>
              </w:rPr>
              <w:t>售后服务响应情况、</w:t>
            </w:r>
            <w:r>
              <w:rPr>
                <w:rFonts w:hint="eastAsia" w:ascii="宋体" w:hAnsi="宋体" w:cs="宋体"/>
                <w:color w:val="auto"/>
                <w:szCs w:val="21"/>
                <w:highlight w:val="none"/>
              </w:rPr>
              <w:t>②</w:t>
            </w:r>
            <w:r>
              <w:rPr>
                <w:rFonts w:hint="eastAsia" w:ascii="宋体" w:hAnsi="宋体" w:cs="宋体"/>
                <w:color w:val="auto"/>
                <w:highlight w:val="none"/>
              </w:rPr>
              <w:t>处理问题能力</w:t>
            </w:r>
            <w:r>
              <w:rPr>
                <w:rFonts w:hint="eastAsia" w:ascii="宋体" w:hAnsi="宋体" w:cs="宋体"/>
                <w:color w:val="auto"/>
                <w:szCs w:val="21"/>
                <w:highlight w:val="none"/>
              </w:rPr>
              <w:t>、③售后</w:t>
            </w:r>
            <w:r>
              <w:rPr>
                <w:rFonts w:hint="eastAsia" w:ascii="宋体" w:hAnsi="宋体" w:cs="宋体"/>
                <w:color w:val="auto"/>
                <w:highlight w:val="none"/>
              </w:rPr>
              <w:t>保障措施</w:t>
            </w:r>
            <w:r>
              <w:rPr>
                <w:rFonts w:hint="eastAsia" w:ascii="宋体" w:hAnsi="宋体" w:cs="宋体"/>
                <w:color w:val="auto"/>
                <w:szCs w:val="21"/>
                <w:highlight w:val="none"/>
              </w:rPr>
              <w:t>）</w:t>
            </w:r>
            <w:r>
              <w:rPr>
                <w:rFonts w:hint="eastAsia" w:ascii="宋体" w:hAnsi="宋体" w:cs="宋体"/>
                <w:bCs/>
                <w:color w:val="auto"/>
                <w:szCs w:val="21"/>
                <w:highlight w:val="none"/>
              </w:rPr>
              <w:t>确定各供应商所属档次及得分。达不到一档要求或不提供的得0分</w:t>
            </w:r>
            <w:r>
              <w:rPr>
                <w:rFonts w:hint="eastAsia" w:hAnsi="宋体"/>
                <w:color w:val="auto"/>
                <w:szCs w:val="21"/>
                <w:highlight w:val="none"/>
              </w:rPr>
              <w:t>：</w:t>
            </w:r>
          </w:p>
          <w:p w14:paraId="6CBD1E45">
            <w:pPr>
              <w:spacing w:line="440" w:lineRule="exact"/>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一档（</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分）：售后服务方案（含①</w:t>
            </w:r>
            <w:r>
              <w:rPr>
                <w:rFonts w:hint="eastAsia" w:ascii="宋体" w:hAnsi="宋体" w:cs="宋体"/>
                <w:bCs/>
                <w:color w:val="auto"/>
                <w:highlight w:val="none"/>
              </w:rPr>
              <w:t>售后服务响应情况、</w:t>
            </w:r>
            <w:r>
              <w:rPr>
                <w:rFonts w:hint="eastAsia" w:ascii="宋体" w:hAnsi="宋体" w:cs="宋体"/>
                <w:color w:val="auto"/>
                <w:szCs w:val="21"/>
                <w:highlight w:val="none"/>
              </w:rPr>
              <w:t>②</w:t>
            </w:r>
            <w:r>
              <w:rPr>
                <w:rFonts w:hint="eastAsia" w:ascii="宋体" w:hAnsi="宋体" w:cs="宋体"/>
                <w:color w:val="auto"/>
                <w:highlight w:val="none"/>
              </w:rPr>
              <w:t>处理问题能力</w:t>
            </w:r>
            <w:r>
              <w:rPr>
                <w:rFonts w:hint="eastAsia" w:ascii="宋体" w:hAnsi="宋体" w:cs="宋体"/>
                <w:color w:val="auto"/>
                <w:szCs w:val="21"/>
                <w:highlight w:val="none"/>
              </w:rPr>
              <w:t>、③售后</w:t>
            </w:r>
            <w:r>
              <w:rPr>
                <w:rFonts w:hint="eastAsia" w:ascii="宋体" w:hAnsi="宋体" w:cs="宋体"/>
                <w:color w:val="auto"/>
                <w:highlight w:val="none"/>
              </w:rPr>
              <w:t>保障措施</w:t>
            </w:r>
            <w:r>
              <w:rPr>
                <w:rFonts w:hint="eastAsia" w:ascii="宋体" w:hAnsi="宋体" w:cs="宋体"/>
                <w:color w:val="auto"/>
                <w:szCs w:val="21"/>
                <w:highlight w:val="none"/>
              </w:rPr>
              <w:t>）有缺项，</w:t>
            </w:r>
            <w:r>
              <w:rPr>
                <w:rFonts w:hint="eastAsia" w:ascii="宋体" w:hAnsi="宋体" w:cs="宋体"/>
                <w:bCs/>
                <w:color w:val="auto"/>
                <w:highlight w:val="none"/>
              </w:rPr>
              <w:t>售后服务响应</w:t>
            </w:r>
            <w:r>
              <w:rPr>
                <w:rFonts w:hint="eastAsia" w:ascii="宋体" w:hAnsi="宋体" w:cs="宋体"/>
                <w:color w:val="auto"/>
                <w:highlight w:val="none"/>
              </w:rPr>
              <w:t>满足采购文件要求。</w:t>
            </w:r>
          </w:p>
          <w:p w14:paraId="31F1B58B">
            <w:pPr>
              <w:spacing w:line="440" w:lineRule="exact"/>
              <w:ind w:firstLine="420" w:firstLineChars="200"/>
              <w:jc w:val="left"/>
              <w:rPr>
                <w:rFonts w:ascii="宋体" w:hAnsi="宋体" w:cs="宋体"/>
                <w:color w:val="auto"/>
                <w:highlight w:val="none"/>
              </w:rPr>
            </w:pPr>
            <w:r>
              <w:rPr>
                <w:rFonts w:hint="eastAsia" w:ascii="宋体" w:hAnsi="宋体" w:cs="宋体"/>
                <w:color w:val="auto"/>
                <w:szCs w:val="21"/>
                <w:highlight w:val="none"/>
              </w:rPr>
              <w:t>二档（</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分）：售后服务方案（含①</w:t>
            </w:r>
            <w:r>
              <w:rPr>
                <w:rFonts w:hint="eastAsia" w:ascii="宋体" w:hAnsi="宋体" w:cs="宋体"/>
                <w:bCs/>
                <w:color w:val="auto"/>
                <w:highlight w:val="none"/>
              </w:rPr>
              <w:t>售后服务响应情况、</w:t>
            </w:r>
            <w:r>
              <w:rPr>
                <w:rFonts w:hint="eastAsia" w:ascii="宋体" w:hAnsi="宋体" w:cs="宋体"/>
                <w:color w:val="auto"/>
                <w:szCs w:val="21"/>
                <w:highlight w:val="none"/>
              </w:rPr>
              <w:t>②</w:t>
            </w:r>
            <w:r>
              <w:rPr>
                <w:rFonts w:hint="eastAsia" w:ascii="宋体" w:hAnsi="宋体" w:cs="宋体"/>
                <w:color w:val="auto"/>
                <w:highlight w:val="none"/>
              </w:rPr>
              <w:t>处理问题能力</w:t>
            </w:r>
            <w:r>
              <w:rPr>
                <w:rFonts w:hint="eastAsia" w:ascii="宋体" w:hAnsi="宋体" w:cs="宋体"/>
                <w:color w:val="auto"/>
                <w:szCs w:val="21"/>
                <w:highlight w:val="none"/>
              </w:rPr>
              <w:t>、③售后</w:t>
            </w:r>
            <w:r>
              <w:rPr>
                <w:rFonts w:hint="eastAsia" w:ascii="宋体" w:hAnsi="宋体" w:cs="宋体"/>
                <w:color w:val="auto"/>
                <w:highlight w:val="none"/>
              </w:rPr>
              <w:t>保障措施</w:t>
            </w:r>
            <w:r>
              <w:rPr>
                <w:rFonts w:hint="eastAsia" w:ascii="宋体" w:hAnsi="宋体" w:cs="宋体"/>
                <w:color w:val="auto"/>
                <w:szCs w:val="21"/>
                <w:highlight w:val="none"/>
              </w:rPr>
              <w:t>）完整，</w:t>
            </w:r>
            <w:r>
              <w:rPr>
                <w:rFonts w:hint="eastAsia" w:ascii="宋体" w:hAnsi="宋体" w:cs="宋体"/>
                <w:bCs/>
                <w:color w:val="auto"/>
                <w:highlight w:val="none"/>
              </w:rPr>
              <w:t>售后服务响应</w:t>
            </w:r>
            <w:r>
              <w:rPr>
                <w:rFonts w:hint="eastAsia" w:ascii="宋体" w:hAnsi="宋体" w:cs="宋体"/>
                <w:color w:val="auto"/>
                <w:highlight w:val="none"/>
              </w:rPr>
              <w:t>满足采购文件要求。</w:t>
            </w:r>
          </w:p>
          <w:p w14:paraId="148FF373">
            <w:pPr>
              <w:spacing w:line="440" w:lineRule="exact"/>
              <w:ind w:firstLine="420" w:firstLineChars="200"/>
              <w:jc w:val="left"/>
              <w:rPr>
                <w:rFonts w:hAnsi="宋体"/>
                <w:color w:val="auto"/>
                <w:szCs w:val="21"/>
                <w:highlight w:val="none"/>
              </w:rPr>
            </w:pPr>
            <w:r>
              <w:rPr>
                <w:rFonts w:hint="eastAsia" w:ascii="宋体" w:hAnsi="宋体" w:cs="宋体"/>
                <w:color w:val="auto"/>
                <w:szCs w:val="21"/>
                <w:highlight w:val="none"/>
              </w:rPr>
              <w:t>三档（</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分）：售后服务方案（含①</w:t>
            </w:r>
            <w:r>
              <w:rPr>
                <w:rFonts w:hint="eastAsia" w:ascii="宋体" w:hAnsi="宋体" w:cs="宋体"/>
                <w:bCs/>
                <w:color w:val="auto"/>
                <w:highlight w:val="none"/>
              </w:rPr>
              <w:t>售后服务响应情况、</w:t>
            </w:r>
            <w:r>
              <w:rPr>
                <w:rFonts w:hint="eastAsia" w:ascii="宋体" w:hAnsi="宋体" w:cs="宋体"/>
                <w:color w:val="auto"/>
                <w:szCs w:val="21"/>
                <w:highlight w:val="none"/>
              </w:rPr>
              <w:t>②</w:t>
            </w:r>
            <w:r>
              <w:rPr>
                <w:rFonts w:hint="eastAsia" w:ascii="宋体" w:hAnsi="宋体" w:cs="宋体"/>
                <w:color w:val="auto"/>
                <w:highlight w:val="none"/>
              </w:rPr>
              <w:t>处理问题能力</w:t>
            </w:r>
            <w:r>
              <w:rPr>
                <w:rFonts w:hint="eastAsia" w:ascii="宋体" w:hAnsi="宋体" w:cs="宋体"/>
                <w:color w:val="auto"/>
                <w:szCs w:val="21"/>
                <w:highlight w:val="none"/>
              </w:rPr>
              <w:t>、③售后</w:t>
            </w:r>
            <w:r>
              <w:rPr>
                <w:rFonts w:hint="eastAsia" w:ascii="宋体" w:hAnsi="宋体" w:cs="宋体"/>
                <w:color w:val="auto"/>
                <w:highlight w:val="none"/>
              </w:rPr>
              <w:t>保障措施</w:t>
            </w:r>
            <w:r>
              <w:rPr>
                <w:rFonts w:hint="eastAsia" w:ascii="宋体" w:hAnsi="宋体" w:cs="宋体"/>
                <w:color w:val="auto"/>
                <w:szCs w:val="21"/>
                <w:highlight w:val="none"/>
              </w:rPr>
              <w:t>）完整</w:t>
            </w:r>
            <w:r>
              <w:rPr>
                <w:rFonts w:hint="eastAsia" w:ascii="宋体" w:hAnsi="宋体" w:cs="宋体"/>
                <w:color w:val="auto"/>
                <w:highlight w:val="none"/>
              </w:rPr>
              <w:t>，</w:t>
            </w:r>
            <w:r>
              <w:rPr>
                <w:rFonts w:hint="eastAsia" w:ascii="宋体" w:hAnsi="宋体" w:cs="宋体"/>
                <w:bCs/>
                <w:color w:val="auto"/>
                <w:highlight w:val="none"/>
              </w:rPr>
              <w:t>售后服务响应有至少1项</w:t>
            </w:r>
            <w:r>
              <w:rPr>
                <w:rFonts w:hint="eastAsia" w:ascii="宋体" w:hAnsi="宋体" w:cs="宋体"/>
                <w:color w:val="auto"/>
                <w:highlight w:val="none"/>
              </w:rPr>
              <w:t>优于采购文件要求，每个媒体宣传推介平台都有专人负责。</w:t>
            </w:r>
          </w:p>
        </w:tc>
      </w:tr>
      <w:tr w14:paraId="4771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30" w:type="dxa"/>
            <w:vAlign w:val="center"/>
          </w:tcPr>
          <w:p w14:paraId="2ADEF706">
            <w:pPr>
              <w:adjustRightInd w:val="0"/>
              <w:spacing w:line="360" w:lineRule="auto"/>
              <w:jc w:val="center"/>
              <w:textAlignment w:val="baseline"/>
              <w:rPr>
                <w:rFonts w:ascii="宋体" w:cs="宋体"/>
                <w:b/>
                <w:color w:val="auto"/>
                <w:szCs w:val="21"/>
                <w:highlight w:val="none"/>
              </w:rPr>
            </w:pPr>
            <w:r>
              <w:rPr>
                <w:rFonts w:ascii="宋体" w:hAnsi="宋体" w:cs="宋体"/>
                <w:b/>
                <w:color w:val="auto"/>
                <w:szCs w:val="21"/>
                <w:highlight w:val="none"/>
              </w:rPr>
              <w:t>3</w:t>
            </w:r>
          </w:p>
        </w:tc>
        <w:tc>
          <w:tcPr>
            <w:tcW w:w="1280" w:type="dxa"/>
            <w:vAlign w:val="center"/>
          </w:tcPr>
          <w:p w14:paraId="78CFA1E2">
            <w:pPr>
              <w:adjustRightInd w:val="0"/>
              <w:spacing w:line="360" w:lineRule="auto"/>
              <w:jc w:val="center"/>
              <w:textAlignment w:val="baseline"/>
              <w:rPr>
                <w:rFonts w:ascii="宋体" w:cs="宋体"/>
                <w:b/>
                <w:color w:val="auto"/>
                <w:szCs w:val="21"/>
                <w:highlight w:val="none"/>
              </w:rPr>
            </w:pPr>
            <w:r>
              <w:rPr>
                <w:rFonts w:hint="eastAsia" w:ascii="宋体" w:hAnsi="宋体" w:cs="宋体"/>
                <w:b/>
                <w:color w:val="auto"/>
                <w:szCs w:val="21"/>
                <w:highlight w:val="none"/>
              </w:rPr>
              <w:t>商务分</w:t>
            </w:r>
          </w:p>
        </w:tc>
        <w:tc>
          <w:tcPr>
            <w:tcW w:w="709" w:type="dxa"/>
            <w:vAlign w:val="center"/>
          </w:tcPr>
          <w:p w14:paraId="0B3B50AB">
            <w:pPr>
              <w:adjustRightInd w:val="0"/>
              <w:spacing w:line="360" w:lineRule="auto"/>
              <w:jc w:val="center"/>
              <w:textAlignment w:val="baseline"/>
              <w:rPr>
                <w:rFonts w:ascii="宋体" w:cs="宋体"/>
                <w:b/>
                <w:color w:val="auto"/>
                <w:szCs w:val="21"/>
                <w:highlight w:val="none"/>
              </w:rPr>
            </w:pP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分</w:t>
            </w:r>
          </w:p>
        </w:tc>
        <w:tc>
          <w:tcPr>
            <w:tcW w:w="6909" w:type="dxa"/>
            <w:gridSpan w:val="2"/>
            <w:vAlign w:val="center"/>
          </w:tcPr>
          <w:p w14:paraId="6C1F5A66">
            <w:pPr>
              <w:pStyle w:val="91"/>
              <w:ind w:firstLine="0" w:firstLineChars="0"/>
              <w:rPr>
                <w:rFonts w:hint="eastAsia" w:eastAsia="宋体" w:cs="宋体"/>
                <w:color w:val="auto"/>
                <w:kern w:val="1"/>
                <w:sz w:val="21"/>
                <w:highlight w:val="none"/>
                <w:lang w:val="en-US" w:eastAsia="zh-CN"/>
              </w:rPr>
            </w:pPr>
            <w:r>
              <w:rPr>
                <w:rFonts w:hint="eastAsia" w:cs="宋体"/>
                <w:color w:val="auto"/>
                <w:sz w:val="21"/>
                <w:szCs w:val="24"/>
                <w:highlight w:val="none"/>
              </w:rPr>
              <w:t>供应商具有202</w:t>
            </w:r>
            <w:r>
              <w:rPr>
                <w:rFonts w:hint="eastAsia" w:cs="宋体"/>
                <w:color w:val="auto"/>
                <w:sz w:val="21"/>
                <w:szCs w:val="24"/>
                <w:highlight w:val="none"/>
                <w:lang w:val="en-US" w:eastAsia="zh-CN"/>
              </w:rPr>
              <w:t>0</w:t>
            </w:r>
            <w:r>
              <w:rPr>
                <w:rFonts w:hint="eastAsia" w:cs="宋体"/>
                <w:color w:val="auto"/>
                <w:sz w:val="21"/>
                <w:szCs w:val="24"/>
                <w:highlight w:val="none"/>
              </w:rPr>
              <w:t>年以来同类业绩(以合同或中标（成交）通知书复印件为准），每有一份得</w:t>
            </w:r>
            <w:r>
              <w:rPr>
                <w:rFonts w:hint="eastAsia" w:cs="宋体"/>
                <w:color w:val="auto"/>
                <w:sz w:val="21"/>
                <w:szCs w:val="24"/>
                <w:highlight w:val="none"/>
                <w:lang w:val="en-US" w:eastAsia="zh-CN"/>
              </w:rPr>
              <w:t>2</w:t>
            </w:r>
            <w:r>
              <w:rPr>
                <w:rFonts w:hint="eastAsia" w:cs="宋体"/>
                <w:color w:val="auto"/>
                <w:sz w:val="21"/>
                <w:szCs w:val="24"/>
                <w:highlight w:val="none"/>
              </w:rPr>
              <w:t>分，满分</w:t>
            </w:r>
            <w:r>
              <w:rPr>
                <w:rFonts w:hint="eastAsia" w:cs="宋体"/>
                <w:color w:val="auto"/>
                <w:sz w:val="21"/>
                <w:szCs w:val="24"/>
                <w:highlight w:val="none"/>
                <w:lang w:val="en-US" w:eastAsia="zh-CN"/>
              </w:rPr>
              <w:t>6</w:t>
            </w:r>
            <w:r>
              <w:rPr>
                <w:rFonts w:hint="eastAsia" w:cs="宋体"/>
                <w:color w:val="auto"/>
                <w:sz w:val="21"/>
                <w:szCs w:val="24"/>
                <w:highlight w:val="none"/>
              </w:rPr>
              <w:t>分。（需在响应文件中提供合同或中标通知书、成交通知书复印件，不提供，不得分]（原件备查）</w:t>
            </w:r>
            <w:r>
              <w:rPr>
                <w:rFonts w:hint="eastAsia" w:cs="宋体"/>
                <w:color w:val="auto"/>
                <w:sz w:val="21"/>
                <w:szCs w:val="24"/>
                <w:highlight w:val="none"/>
                <w:lang w:val="en-US" w:eastAsia="zh-CN"/>
              </w:rPr>
              <w:t>。</w:t>
            </w:r>
          </w:p>
        </w:tc>
      </w:tr>
      <w:tr w14:paraId="1AFCD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5"/>
            <w:vAlign w:val="center"/>
          </w:tcPr>
          <w:p w14:paraId="5433CFDB">
            <w:pPr>
              <w:pStyle w:val="19"/>
              <w:spacing w:line="360" w:lineRule="auto"/>
              <w:rPr>
                <w:rFonts w:hAnsi="宋体" w:cs="宋体"/>
                <w:bCs/>
                <w:color w:val="auto"/>
                <w:kern w:val="2"/>
                <w:sz w:val="21"/>
                <w:highlight w:val="none"/>
              </w:rPr>
            </w:pPr>
            <w:r>
              <w:rPr>
                <w:rFonts w:hint="eastAsia" w:hAnsi="宋体" w:cs="宋体"/>
                <w:b/>
                <w:bCs/>
                <w:color w:val="auto"/>
                <w:kern w:val="2"/>
                <w:sz w:val="21"/>
                <w:highlight w:val="none"/>
              </w:rPr>
              <w:t>总得分</w:t>
            </w:r>
            <w:r>
              <w:rPr>
                <w:rFonts w:hAnsi="宋体" w:cs="宋体"/>
                <w:b/>
                <w:bCs/>
                <w:color w:val="auto"/>
                <w:kern w:val="2"/>
                <w:sz w:val="21"/>
                <w:highlight w:val="none"/>
              </w:rPr>
              <w:t>=1+2+3</w:t>
            </w:r>
            <w:r>
              <w:rPr>
                <w:rFonts w:hint="eastAsia" w:hAnsi="宋体" w:cs="宋体"/>
                <w:b/>
                <w:bCs/>
                <w:color w:val="auto"/>
                <w:kern w:val="2"/>
                <w:sz w:val="21"/>
                <w:highlight w:val="none"/>
              </w:rPr>
              <w:t>。</w:t>
            </w:r>
          </w:p>
        </w:tc>
      </w:tr>
    </w:tbl>
    <w:p w14:paraId="5D4580CD">
      <w:pPr>
        <w:spacing w:line="360" w:lineRule="auto"/>
        <w:rPr>
          <w:rFonts w:ascii="宋体" w:cs="宋体"/>
          <w:bCs/>
          <w:color w:val="auto"/>
          <w:szCs w:val="21"/>
          <w:highlight w:val="none"/>
        </w:rPr>
      </w:pPr>
    </w:p>
    <w:p w14:paraId="45E14BD6">
      <w:pPr>
        <w:rPr>
          <w:rFonts w:ascii="宋体" w:cs="宋体"/>
          <w:bCs/>
          <w:color w:val="auto"/>
          <w:szCs w:val="21"/>
          <w:highlight w:val="none"/>
        </w:rPr>
      </w:pPr>
    </w:p>
    <w:p w14:paraId="7805ABA7">
      <w:pPr>
        <w:rPr>
          <w:rFonts w:ascii="宋体" w:cs="宋体"/>
          <w:color w:val="auto"/>
          <w:highlight w:val="none"/>
        </w:rPr>
      </w:pPr>
      <w:r>
        <w:rPr>
          <w:rFonts w:ascii="宋体" w:hAnsi="宋体" w:cs="宋体"/>
          <w:bCs/>
          <w:color w:val="auto"/>
          <w:szCs w:val="21"/>
          <w:highlight w:val="none"/>
        </w:rPr>
        <w:t>7.</w:t>
      </w:r>
      <w:r>
        <w:rPr>
          <w:rFonts w:hint="eastAsia" w:ascii="宋体" w:hAnsi="宋体" w:cs="宋体"/>
          <w:bCs/>
          <w:color w:val="auto"/>
          <w:szCs w:val="21"/>
          <w:highlight w:val="none"/>
        </w:rPr>
        <w:t>由磋商小组根据综合评分情况，按照评审得分由高到低顺序推荐</w:t>
      </w:r>
      <w:r>
        <w:rPr>
          <w:rFonts w:ascii="宋体" w:hAnsi="宋体" w:cs="宋体"/>
          <w:bCs/>
          <w:color w:val="auto"/>
          <w:szCs w:val="21"/>
          <w:highlight w:val="none"/>
        </w:rPr>
        <w:t>3</w:t>
      </w:r>
      <w:r>
        <w:rPr>
          <w:rFonts w:hint="eastAsia" w:ascii="宋体" w:hAnsi="宋体" w:cs="宋体"/>
          <w:bCs/>
          <w:color w:val="auto"/>
          <w:szCs w:val="21"/>
          <w:highlight w:val="none"/>
        </w:rPr>
        <w:t>名成交候选供应商，并编写评审报告。符合本章第</w:t>
      </w:r>
      <w:r>
        <w:rPr>
          <w:rFonts w:ascii="宋体" w:hAnsi="宋体" w:cs="宋体"/>
          <w:color w:val="auto"/>
          <w:szCs w:val="21"/>
          <w:highlight w:val="none"/>
        </w:rPr>
        <w:t>2.7</w:t>
      </w:r>
      <w:r>
        <w:rPr>
          <w:rFonts w:hint="eastAsia" w:ascii="宋体" w:hAnsi="宋体" w:cs="宋体"/>
          <w:color w:val="auto"/>
          <w:szCs w:val="21"/>
          <w:highlight w:val="none"/>
        </w:rPr>
        <w:t>、</w:t>
      </w:r>
      <w:r>
        <w:rPr>
          <w:rFonts w:ascii="宋体" w:hAnsi="宋体" w:cs="宋体"/>
          <w:color w:val="auto"/>
          <w:szCs w:val="21"/>
          <w:highlight w:val="none"/>
        </w:rPr>
        <w:t>3.7</w:t>
      </w:r>
      <w:r>
        <w:rPr>
          <w:rFonts w:hint="eastAsia" w:ascii="宋体" w:hAnsi="宋体" w:cs="宋体"/>
          <w:color w:val="auto"/>
          <w:szCs w:val="21"/>
          <w:highlight w:val="none"/>
        </w:rPr>
        <w:t>、</w:t>
      </w:r>
      <w:r>
        <w:rPr>
          <w:rFonts w:ascii="宋体" w:hAnsi="宋体" w:cs="宋体"/>
          <w:color w:val="auto"/>
          <w:szCs w:val="21"/>
          <w:highlight w:val="none"/>
        </w:rPr>
        <w:t>4.3</w:t>
      </w:r>
      <w:r>
        <w:rPr>
          <w:rFonts w:hint="eastAsia" w:ascii="宋体" w:hAnsi="宋体" w:cs="宋体"/>
          <w:bCs/>
          <w:color w:val="auto"/>
          <w:szCs w:val="21"/>
          <w:highlight w:val="none"/>
        </w:rPr>
        <w:t>条情形的，可以推荐</w:t>
      </w:r>
      <w:r>
        <w:rPr>
          <w:rFonts w:ascii="宋体" w:hAnsi="宋体" w:cs="宋体"/>
          <w:bCs/>
          <w:color w:val="auto"/>
          <w:szCs w:val="21"/>
          <w:highlight w:val="none"/>
        </w:rPr>
        <w:t>2</w:t>
      </w:r>
      <w:r>
        <w:rPr>
          <w:rFonts w:hint="eastAsia" w:ascii="宋体" w:hAnsi="宋体" w:cs="宋体"/>
          <w:bCs/>
          <w:color w:val="auto"/>
          <w:szCs w:val="21"/>
          <w:highlight w:val="none"/>
        </w:rPr>
        <w:t>家成交候选供应商。评审得分相同的，按照最后报价（不计算价格折扣）由低到高的顺序推荐。评审得分且最后报价（不计算价格折扣）相同的，按照技术分高低顺序推荐。</w:t>
      </w:r>
    </w:p>
    <w:p w14:paraId="4117889A">
      <w:pPr>
        <w:pStyle w:val="3"/>
        <w:rPr>
          <w:rFonts w:ascii="宋体" w:cs="宋体"/>
          <w:color w:val="auto"/>
          <w:highlight w:val="none"/>
        </w:rPr>
      </w:pPr>
      <w:r>
        <w:rPr>
          <w:rFonts w:ascii="宋体" w:cs="宋体"/>
          <w:color w:val="auto"/>
          <w:highlight w:val="none"/>
        </w:rPr>
        <w:br w:type="page"/>
      </w:r>
    </w:p>
    <w:p w14:paraId="044D5C79">
      <w:pPr>
        <w:pStyle w:val="3"/>
        <w:rPr>
          <w:rFonts w:ascii="宋体" w:cs="宋体"/>
          <w:color w:val="auto"/>
          <w:highlight w:val="none"/>
        </w:rPr>
      </w:pPr>
      <w:bookmarkStart w:id="85" w:name="_Toc22926"/>
      <w:bookmarkStart w:id="86" w:name="_Toc16056"/>
      <w:r>
        <w:rPr>
          <w:rFonts w:hint="eastAsia" w:ascii="宋体" w:hAnsi="宋体" w:cs="宋体"/>
          <w:color w:val="auto"/>
          <w:highlight w:val="none"/>
        </w:rPr>
        <w:t>第五章</w:t>
      </w:r>
      <w:r>
        <w:rPr>
          <w:rFonts w:ascii="宋体" w:hAnsi="宋体" w:cs="宋体"/>
          <w:color w:val="auto"/>
          <w:highlight w:val="none"/>
        </w:rPr>
        <w:t xml:space="preserve"> </w:t>
      </w:r>
      <w:r>
        <w:rPr>
          <w:rFonts w:hint="eastAsia" w:ascii="宋体" w:hAnsi="宋体" w:cs="宋体"/>
          <w:color w:val="auto"/>
          <w:highlight w:val="none"/>
        </w:rPr>
        <w:t>响应文件格式</w:t>
      </w:r>
      <w:bookmarkEnd w:id="85"/>
      <w:bookmarkEnd w:id="86"/>
    </w:p>
    <w:p w14:paraId="11909E9E">
      <w:pPr>
        <w:spacing w:line="240" w:lineRule="atLeast"/>
        <w:rPr>
          <w:rFonts w:ascii="宋体" w:cs="宋体"/>
          <w:b/>
          <w:color w:val="auto"/>
          <w:sz w:val="32"/>
          <w:szCs w:val="32"/>
          <w:highlight w:val="none"/>
        </w:rPr>
      </w:pPr>
    </w:p>
    <w:p w14:paraId="053EF11E">
      <w:pPr>
        <w:spacing w:line="240" w:lineRule="atLeast"/>
        <w:rPr>
          <w:rFonts w:ascii="宋体" w:cs="宋体"/>
          <w:b/>
          <w:color w:val="auto"/>
          <w:sz w:val="32"/>
          <w:szCs w:val="32"/>
          <w:highlight w:val="none"/>
        </w:rPr>
      </w:pPr>
    </w:p>
    <w:p w14:paraId="4C5349FB">
      <w:pPr>
        <w:spacing w:line="240" w:lineRule="atLeast"/>
        <w:rPr>
          <w:rFonts w:ascii="宋体" w:cs="宋体"/>
          <w:b/>
          <w:color w:val="auto"/>
          <w:sz w:val="32"/>
          <w:szCs w:val="32"/>
          <w:highlight w:val="none"/>
        </w:rPr>
      </w:pPr>
    </w:p>
    <w:p w14:paraId="08F6F1E0">
      <w:pPr>
        <w:spacing w:line="240" w:lineRule="atLeast"/>
        <w:rPr>
          <w:rFonts w:ascii="宋体" w:cs="宋体"/>
          <w:b/>
          <w:color w:val="auto"/>
          <w:sz w:val="32"/>
          <w:szCs w:val="32"/>
          <w:highlight w:val="none"/>
        </w:rPr>
      </w:pPr>
    </w:p>
    <w:p w14:paraId="3741AFC8">
      <w:pPr>
        <w:spacing w:line="240" w:lineRule="atLeast"/>
        <w:rPr>
          <w:rFonts w:ascii="宋体" w:cs="宋体"/>
          <w:b/>
          <w:color w:val="auto"/>
          <w:sz w:val="32"/>
          <w:szCs w:val="32"/>
          <w:highlight w:val="none"/>
        </w:rPr>
      </w:pPr>
    </w:p>
    <w:p w14:paraId="4BD53F53">
      <w:pPr>
        <w:spacing w:line="240" w:lineRule="atLeast"/>
        <w:rPr>
          <w:rFonts w:ascii="宋体" w:cs="宋体"/>
          <w:b/>
          <w:color w:val="auto"/>
          <w:sz w:val="32"/>
          <w:szCs w:val="32"/>
          <w:highlight w:val="none"/>
        </w:rPr>
      </w:pPr>
    </w:p>
    <w:p w14:paraId="78F5C647">
      <w:pPr>
        <w:spacing w:line="240" w:lineRule="atLeast"/>
        <w:rPr>
          <w:rFonts w:ascii="宋体" w:cs="宋体"/>
          <w:b/>
          <w:color w:val="auto"/>
          <w:sz w:val="32"/>
          <w:szCs w:val="32"/>
          <w:highlight w:val="none"/>
        </w:rPr>
      </w:pPr>
    </w:p>
    <w:p w14:paraId="0A66F577">
      <w:pPr>
        <w:spacing w:line="240" w:lineRule="atLeast"/>
        <w:rPr>
          <w:rFonts w:ascii="宋体" w:cs="宋体"/>
          <w:b/>
          <w:color w:val="auto"/>
          <w:sz w:val="32"/>
          <w:szCs w:val="32"/>
          <w:highlight w:val="none"/>
        </w:rPr>
      </w:pPr>
    </w:p>
    <w:p w14:paraId="766FFD75">
      <w:pPr>
        <w:spacing w:line="240" w:lineRule="atLeast"/>
        <w:rPr>
          <w:rFonts w:ascii="宋体" w:cs="宋体"/>
          <w:b/>
          <w:color w:val="auto"/>
          <w:sz w:val="32"/>
          <w:szCs w:val="32"/>
          <w:highlight w:val="none"/>
        </w:rPr>
      </w:pPr>
    </w:p>
    <w:p w14:paraId="06A1C413">
      <w:pPr>
        <w:spacing w:line="240" w:lineRule="atLeast"/>
        <w:rPr>
          <w:rFonts w:ascii="宋体" w:cs="宋体"/>
          <w:bCs/>
          <w:color w:val="auto"/>
          <w:sz w:val="32"/>
          <w:szCs w:val="32"/>
          <w:highlight w:val="none"/>
        </w:rPr>
      </w:pPr>
    </w:p>
    <w:p w14:paraId="51A3C3E0">
      <w:pPr>
        <w:rPr>
          <w:rFonts w:ascii="宋体" w:cs="宋体"/>
          <w:b/>
          <w:color w:val="auto"/>
          <w:sz w:val="32"/>
          <w:szCs w:val="32"/>
          <w:highlight w:val="none"/>
        </w:rPr>
      </w:pPr>
      <w:bookmarkStart w:id="87" w:name="_Toc35611516"/>
      <w:bookmarkStart w:id="88" w:name="_Toc44229899"/>
      <w:bookmarkStart w:id="89" w:name="_Toc31723070"/>
      <w:bookmarkStart w:id="90" w:name="_Toc31728084"/>
      <w:bookmarkStart w:id="91" w:name="_Toc35611438"/>
      <w:bookmarkStart w:id="92" w:name="_Toc71365925"/>
      <w:r>
        <w:rPr>
          <w:rFonts w:ascii="宋体" w:cs="宋体"/>
          <w:b/>
          <w:color w:val="auto"/>
          <w:sz w:val="32"/>
          <w:szCs w:val="32"/>
          <w:highlight w:val="none"/>
        </w:rPr>
        <w:br w:type="page"/>
      </w:r>
      <w:r>
        <w:rPr>
          <w:rFonts w:hint="eastAsia" w:ascii="宋体" w:hAnsi="宋体" w:cs="宋体"/>
          <w:b/>
          <w:color w:val="auto"/>
          <w:sz w:val="32"/>
          <w:szCs w:val="32"/>
          <w:highlight w:val="none"/>
        </w:rPr>
        <w:t>一、资格证明文件格式</w:t>
      </w:r>
      <w:bookmarkEnd w:id="87"/>
      <w:bookmarkEnd w:id="88"/>
      <w:bookmarkEnd w:id="89"/>
      <w:bookmarkEnd w:id="90"/>
      <w:bookmarkEnd w:id="91"/>
      <w:bookmarkEnd w:id="92"/>
    </w:p>
    <w:p w14:paraId="295F7565">
      <w:pPr>
        <w:snapToGrid w:val="0"/>
        <w:spacing w:beforeLines="50" w:after="50" w:line="360" w:lineRule="auto"/>
        <w:jc w:val="left"/>
        <w:rPr>
          <w:rFonts w:ascii="宋体" w:cs="宋体"/>
          <w:b/>
          <w:color w:val="auto"/>
          <w:sz w:val="24"/>
          <w:highlight w:val="none"/>
        </w:rPr>
      </w:pPr>
      <w:r>
        <w:rPr>
          <w:rFonts w:ascii="宋体" w:hAnsi="宋体" w:cs="宋体"/>
          <w:b/>
          <w:color w:val="auto"/>
          <w:sz w:val="32"/>
          <w:szCs w:val="32"/>
          <w:highlight w:val="none"/>
        </w:rPr>
        <w:t>1.</w:t>
      </w:r>
      <w:r>
        <w:rPr>
          <w:rFonts w:hint="eastAsia" w:ascii="宋体" w:hAnsi="宋体" w:cs="宋体"/>
          <w:b/>
          <w:color w:val="auto"/>
          <w:sz w:val="32"/>
          <w:szCs w:val="32"/>
          <w:highlight w:val="none"/>
        </w:rPr>
        <w:t>资格证明文件封面格式：</w:t>
      </w:r>
      <w:r>
        <w:rPr>
          <w:rFonts w:ascii="宋体" w:hAnsi="宋体" w:cs="宋体"/>
          <w:b/>
          <w:color w:val="auto"/>
          <w:sz w:val="24"/>
          <w:highlight w:val="none"/>
        </w:rPr>
        <w:t xml:space="preserve"> </w:t>
      </w:r>
    </w:p>
    <w:p w14:paraId="1622880F">
      <w:pPr>
        <w:snapToGrid w:val="0"/>
        <w:spacing w:beforeLines="50" w:after="50"/>
        <w:rPr>
          <w:rFonts w:ascii="宋体" w:cs="宋体"/>
          <w:bCs/>
          <w:color w:val="auto"/>
          <w:sz w:val="32"/>
          <w:szCs w:val="20"/>
          <w:highlight w:val="none"/>
        </w:rPr>
      </w:pPr>
      <w:r>
        <w:rPr>
          <w:rFonts w:ascii="宋体" w:hAnsi="宋体" w:cs="宋体"/>
          <w:color w:val="auto"/>
          <w:sz w:val="24"/>
          <w:highlight w:val="none"/>
        </w:rPr>
        <w:t xml:space="preserve">                                                    </w:t>
      </w:r>
    </w:p>
    <w:p w14:paraId="1E7DB0F1">
      <w:pPr>
        <w:snapToGrid w:val="0"/>
        <w:spacing w:beforeLines="50" w:after="50"/>
        <w:rPr>
          <w:rFonts w:ascii="宋体" w:cs="宋体"/>
          <w:color w:val="auto"/>
          <w:sz w:val="24"/>
          <w:szCs w:val="20"/>
          <w:highlight w:val="none"/>
        </w:rPr>
      </w:pPr>
    </w:p>
    <w:p w14:paraId="60982ECF">
      <w:pPr>
        <w:snapToGrid w:val="0"/>
        <w:spacing w:beforeLines="50" w:after="50"/>
        <w:jc w:val="center"/>
        <w:rPr>
          <w:rFonts w:ascii="宋体" w:cs="宋体"/>
          <w:bCs/>
          <w:color w:val="auto"/>
          <w:sz w:val="84"/>
          <w:szCs w:val="84"/>
          <w:highlight w:val="none"/>
        </w:rPr>
      </w:pPr>
      <w:r>
        <w:rPr>
          <w:rFonts w:hint="eastAsia" w:ascii="宋体" w:hAnsi="宋体" w:cs="宋体"/>
          <w:bCs/>
          <w:color w:val="auto"/>
          <w:sz w:val="84"/>
          <w:szCs w:val="84"/>
          <w:highlight w:val="none"/>
        </w:rPr>
        <w:t>响</w:t>
      </w:r>
      <w:r>
        <w:rPr>
          <w:rFonts w:ascii="宋体" w:hAnsi="宋体" w:cs="宋体"/>
          <w:bCs/>
          <w:color w:val="auto"/>
          <w:sz w:val="84"/>
          <w:szCs w:val="84"/>
          <w:highlight w:val="none"/>
        </w:rPr>
        <w:t xml:space="preserve">  </w:t>
      </w:r>
      <w:r>
        <w:rPr>
          <w:rFonts w:hint="eastAsia" w:ascii="宋体" w:hAnsi="宋体" w:cs="宋体"/>
          <w:bCs/>
          <w:color w:val="auto"/>
          <w:sz w:val="84"/>
          <w:szCs w:val="84"/>
          <w:highlight w:val="none"/>
        </w:rPr>
        <w:t>应</w:t>
      </w:r>
      <w:r>
        <w:rPr>
          <w:rFonts w:ascii="宋体" w:hAnsi="宋体" w:cs="宋体"/>
          <w:bCs/>
          <w:color w:val="auto"/>
          <w:sz w:val="84"/>
          <w:szCs w:val="84"/>
          <w:highlight w:val="none"/>
        </w:rPr>
        <w:t xml:space="preserve">  </w:t>
      </w:r>
      <w:r>
        <w:rPr>
          <w:rFonts w:hint="eastAsia" w:ascii="宋体" w:hAnsi="宋体" w:cs="宋体"/>
          <w:bCs/>
          <w:color w:val="auto"/>
          <w:sz w:val="84"/>
          <w:szCs w:val="84"/>
          <w:highlight w:val="none"/>
        </w:rPr>
        <w:t>文</w:t>
      </w:r>
      <w:r>
        <w:rPr>
          <w:rFonts w:ascii="宋体" w:hAnsi="宋体" w:cs="宋体"/>
          <w:bCs/>
          <w:color w:val="auto"/>
          <w:sz w:val="84"/>
          <w:szCs w:val="84"/>
          <w:highlight w:val="none"/>
        </w:rPr>
        <w:t xml:space="preserve">  </w:t>
      </w:r>
      <w:r>
        <w:rPr>
          <w:rFonts w:hint="eastAsia" w:ascii="宋体" w:hAnsi="宋体" w:cs="宋体"/>
          <w:bCs/>
          <w:color w:val="auto"/>
          <w:sz w:val="84"/>
          <w:szCs w:val="84"/>
          <w:highlight w:val="none"/>
        </w:rPr>
        <w:t>件</w:t>
      </w:r>
    </w:p>
    <w:p w14:paraId="4CA263FD">
      <w:pPr>
        <w:snapToGrid w:val="0"/>
        <w:spacing w:beforeLines="50" w:after="50"/>
        <w:jc w:val="center"/>
        <w:rPr>
          <w:rFonts w:ascii="宋体" w:cs="宋体"/>
          <w:bCs/>
          <w:color w:val="auto"/>
          <w:sz w:val="44"/>
          <w:szCs w:val="44"/>
          <w:highlight w:val="none"/>
        </w:rPr>
      </w:pPr>
    </w:p>
    <w:p w14:paraId="4E770336">
      <w:pPr>
        <w:snapToGrid w:val="0"/>
        <w:spacing w:beforeLines="50" w:after="50"/>
        <w:jc w:val="center"/>
        <w:rPr>
          <w:rFonts w:ascii="宋体" w:cs="宋体"/>
          <w:bCs/>
          <w:color w:val="auto"/>
          <w:sz w:val="32"/>
          <w:szCs w:val="32"/>
          <w:highlight w:val="none"/>
        </w:rPr>
      </w:pPr>
      <w:r>
        <w:rPr>
          <w:rFonts w:hint="eastAsia" w:ascii="宋体" w:hAnsi="宋体" w:cs="宋体"/>
          <w:bCs/>
          <w:color w:val="auto"/>
          <w:sz w:val="32"/>
          <w:szCs w:val="32"/>
          <w:highlight w:val="none"/>
        </w:rPr>
        <w:t>资</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格</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证</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明</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文</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件</w:t>
      </w:r>
    </w:p>
    <w:p w14:paraId="6A6992D4">
      <w:pPr>
        <w:snapToGrid w:val="0"/>
        <w:spacing w:beforeLines="50" w:after="50"/>
        <w:rPr>
          <w:rFonts w:ascii="宋体" w:cs="宋体"/>
          <w:bCs/>
          <w:color w:val="auto"/>
          <w:sz w:val="24"/>
          <w:szCs w:val="20"/>
          <w:highlight w:val="none"/>
        </w:rPr>
      </w:pPr>
    </w:p>
    <w:p w14:paraId="546C4718">
      <w:pPr>
        <w:snapToGrid w:val="0"/>
        <w:spacing w:beforeLines="50" w:after="50"/>
        <w:rPr>
          <w:rFonts w:ascii="宋体" w:cs="宋体"/>
          <w:bCs/>
          <w:color w:val="auto"/>
          <w:sz w:val="24"/>
          <w:szCs w:val="20"/>
          <w:highlight w:val="none"/>
        </w:rPr>
      </w:pPr>
    </w:p>
    <w:p w14:paraId="5F9DD161">
      <w:pPr>
        <w:snapToGrid w:val="0"/>
        <w:spacing w:beforeLines="50" w:after="50"/>
        <w:rPr>
          <w:rFonts w:ascii="宋体" w:cs="宋体"/>
          <w:bCs/>
          <w:color w:val="auto"/>
          <w:sz w:val="24"/>
          <w:szCs w:val="20"/>
          <w:highlight w:val="none"/>
        </w:rPr>
      </w:pPr>
    </w:p>
    <w:p w14:paraId="7F01D88C">
      <w:pPr>
        <w:snapToGrid w:val="0"/>
        <w:spacing w:beforeLines="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项目名称：</w:t>
      </w:r>
    </w:p>
    <w:p w14:paraId="47F12338">
      <w:pPr>
        <w:snapToGrid w:val="0"/>
        <w:spacing w:beforeLines="50" w:after="50"/>
        <w:ind w:firstLine="720" w:firstLineChars="225"/>
        <w:rPr>
          <w:rFonts w:ascii="宋体" w:cs="宋体"/>
          <w:bCs/>
          <w:color w:val="auto"/>
          <w:sz w:val="32"/>
          <w:szCs w:val="32"/>
          <w:highlight w:val="none"/>
        </w:rPr>
      </w:pPr>
    </w:p>
    <w:p w14:paraId="09026B7A">
      <w:pPr>
        <w:snapToGrid w:val="0"/>
        <w:spacing w:beforeLines="50" w:after="50"/>
        <w:ind w:firstLine="720" w:firstLineChars="225"/>
        <w:rPr>
          <w:rFonts w:ascii="宋体" w:cs="宋体"/>
          <w:bCs/>
          <w:color w:val="auto"/>
          <w:sz w:val="32"/>
          <w:szCs w:val="32"/>
          <w:highlight w:val="none"/>
        </w:rPr>
      </w:pPr>
      <w:r>
        <w:rPr>
          <w:rFonts w:hint="eastAsia" w:ascii="宋体" w:hAnsi="宋体" w:cs="宋体"/>
          <w:bCs/>
          <w:color w:val="auto"/>
          <w:sz w:val="32"/>
          <w:szCs w:val="32"/>
          <w:highlight w:val="none"/>
        </w:rPr>
        <w:t>项目编号：</w:t>
      </w:r>
    </w:p>
    <w:p w14:paraId="369F6BA1">
      <w:pPr>
        <w:snapToGrid w:val="0"/>
        <w:spacing w:beforeLines="50" w:after="50"/>
        <w:ind w:firstLine="720" w:firstLineChars="225"/>
        <w:rPr>
          <w:rFonts w:ascii="宋体" w:cs="宋体"/>
          <w:bCs/>
          <w:color w:val="auto"/>
          <w:sz w:val="32"/>
          <w:szCs w:val="32"/>
          <w:highlight w:val="none"/>
        </w:rPr>
      </w:pPr>
      <w:r>
        <w:rPr>
          <w:rFonts w:ascii="宋体" w:hAnsi="宋体" w:cs="宋体"/>
          <w:bCs/>
          <w:color w:val="auto"/>
          <w:sz w:val="32"/>
          <w:szCs w:val="32"/>
          <w:highlight w:val="none"/>
        </w:rPr>
        <w:t xml:space="preserve"> </w:t>
      </w:r>
    </w:p>
    <w:p w14:paraId="63F39B0B">
      <w:pPr>
        <w:snapToGrid w:val="0"/>
        <w:spacing w:beforeLines="50" w:after="50"/>
        <w:ind w:firstLine="720" w:firstLineChars="225"/>
        <w:rPr>
          <w:rFonts w:ascii="宋体" w:cs="宋体"/>
          <w:bCs/>
          <w:color w:val="auto"/>
          <w:sz w:val="32"/>
          <w:szCs w:val="32"/>
          <w:highlight w:val="none"/>
        </w:rPr>
      </w:pPr>
      <w:r>
        <w:rPr>
          <w:rFonts w:hint="eastAsia" w:ascii="宋体" w:hAnsi="宋体" w:cs="宋体"/>
          <w:bCs/>
          <w:color w:val="auto"/>
          <w:sz w:val="32"/>
          <w:szCs w:val="32"/>
          <w:highlight w:val="none"/>
        </w:rPr>
        <w:t>所竞分标：</w:t>
      </w:r>
    </w:p>
    <w:p w14:paraId="3260F492">
      <w:pPr>
        <w:snapToGrid w:val="0"/>
        <w:spacing w:beforeLines="50" w:after="50"/>
        <w:ind w:firstLine="720" w:firstLineChars="225"/>
        <w:rPr>
          <w:rFonts w:ascii="宋体" w:cs="宋体"/>
          <w:bCs/>
          <w:color w:val="auto"/>
          <w:sz w:val="32"/>
          <w:szCs w:val="32"/>
          <w:highlight w:val="none"/>
        </w:rPr>
      </w:pPr>
    </w:p>
    <w:p w14:paraId="4B8B0F17">
      <w:pPr>
        <w:pStyle w:val="2"/>
        <w:snapToGrid w:val="0"/>
        <w:spacing w:before="50" w:after="50"/>
        <w:ind w:firstLine="720" w:firstLineChars="225"/>
        <w:rPr>
          <w:rFonts w:ascii="宋体" w:cs="宋体"/>
          <w:bCs/>
          <w:color w:val="auto"/>
          <w:sz w:val="32"/>
          <w:szCs w:val="32"/>
          <w:highlight w:val="none"/>
        </w:rPr>
      </w:pPr>
      <w:r>
        <w:rPr>
          <w:rFonts w:hint="eastAsia" w:ascii="宋体" w:hAnsi="宋体" w:cs="宋体"/>
          <w:bCs/>
          <w:color w:val="auto"/>
          <w:sz w:val="32"/>
          <w:szCs w:val="32"/>
          <w:highlight w:val="none"/>
        </w:rPr>
        <w:t>供应商名称：</w:t>
      </w:r>
    </w:p>
    <w:p w14:paraId="2C46DA63">
      <w:pPr>
        <w:pStyle w:val="2"/>
        <w:snapToGrid w:val="0"/>
        <w:spacing w:before="50" w:after="50"/>
        <w:ind w:firstLine="720" w:firstLineChars="225"/>
        <w:rPr>
          <w:rFonts w:ascii="宋体" w:cs="宋体"/>
          <w:bCs/>
          <w:color w:val="auto"/>
          <w:sz w:val="32"/>
          <w:szCs w:val="32"/>
          <w:highlight w:val="none"/>
        </w:rPr>
      </w:pPr>
    </w:p>
    <w:p w14:paraId="081EDD11">
      <w:pPr>
        <w:pStyle w:val="2"/>
        <w:snapToGrid w:val="0"/>
        <w:spacing w:before="50" w:after="50"/>
        <w:ind w:firstLine="720" w:firstLineChars="225"/>
        <w:rPr>
          <w:rFonts w:ascii="宋体" w:cs="宋体"/>
          <w:bCs/>
          <w:color w:val="auto"/>
          <w:sz w:val="32"/>
          <w:szCs w:val="32"/>
          <w:highlight w:val="none"/>
        </w:rPr>
      </w:pPr>
    </w:p>
    <w:p w14:paraId="340257BD">
      <w:pPr>
        <w:pStyle w:val="2"/>
        <w:snapToGrid w:val="0"/>
        <w:spacing w:before="50" w:after="50"/>
        <w:ind w:firstLine="1280" w:firstLineChars="400"/>
        <w:rPr>
          <w:rFonts w:ascii="宋体" w:cs="宋体"/>
          <w:bCs/>
          <w:color w:val="auto"/>
          <w:sz w:val="32"/>
          <w:szCs w:val="32"/>
          <w:highlight w:val="none"/>
        </w:rPr>
      </w:pPr>
    </w:p>
    <w:p w14:paraId="711CEB06">
      <w:pPr>
        <w:snapToGrid w:val="0"/>
        <w:spacing w:beforeLines="50" w:after="50"/>
        <w:jc w:val="center"/>
        <w:rPr>
          <w:rFonts w:ascii="宋体" w:cs="宋体"/>
          <w:color w:val="auto"/>
          <w:sz w:val="32"/>
          <w:szCs w:val="32"/>
          <w:highlight w:val="none"/>
        </w:rPr>
      </w:pPr>
      <w:r>
        <w:rPr>
          <w:rFonts w:hint="eastAsia" w:ascii="宋体" w:hAnsi="宋体" w:cs="宋体"/>
          <w:color w:val="auto"/>
          <w:sz w:val="32"/>
          <w:szCs w:val="32"/>
          <w:highlight w:val="none"/>
        </w:rPr>
        <w:t>年</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月</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日</w:t>
      </w:r>
    </w:p>
    <w:p w14:paraId="2F2F32FD">
      <w:pPr>
        <w:snapToGrid w:val="0"/>
        <w:spacing w:beforeLines="50" w:after="50" w:line="360" w:lineRule="auto"/>
        <w:ind w:left="142"/>
        <w:jc w:val="left"/>
        <w:rPr>
          <w:rFonts w:ascii="宋体" w:cs="宋体"/>
          <w:b/>
          <w:bCs/>
          <w:color w:val="auto"/>
          <w:sz w:val="32"/>
          <w:szCs w:val="32"/>
          <w:highlight w:val="none"/>
        </w:rPr>
      </w:pPr>
      <w:r>
        <w:rPr>
          <w:rFonts w:ascii="宋体" w:cs="宋体"/>
          <w:color w:val="auto"/>
          <w:sz w:val="24"/>
          <w:highlight w:val="none"/>
        </w:rPr>
        <w:br w:type="page"/>
      </w:r>
      <w:r>
        <w:rPr>
          <w:rFonts w:ascii="宋体" w:hAnsi="宋体" w:cs="宋体"/>
          <w:b/>
          <w:bCs/>
          <w:color w:val="auto"/>
          <w:sz w:val="32"/>
          <w:szCs w:val="32"/>
          <w:highlight w:val="none"/>
        </w:rPr>
        <w:t>2.</w:t>
      </w:r>
      <w:r>
        <w:rPr>
          <w:rFonts w:hint="eastAsia" w:ascii="宋体" w:hAnsi="宋体" w:cs="宋体"/>
          <w:b/>
          <w:bCs/>
          <w:color w:val="auto"/>
          <w:sz w:val="32"/>
          <w:szCs w:val="32"/>
          <w:highlight w:val="none"/>
        </w:rPr>
        <w:t>资格证明文件目录</w:t>
      </w:r>
    </w:p>
    <w:p w14:paraId="7ABF944B">
      <w:pPr>
        <w:snapToGrid w:val="0"/>
        <w:spacing w:beforeLines="50" w:after="50" w:line="360" w:lineRule="auto"/>
        <w:ind w:firstLine="645"/>
        <w:rPr>
          <w:rFonts w:ascii="宋体" w:cs="宋体"/>
          <w:color w:val="auto"/>
          <w:sz w:val="32"/>
          <w:szCs w:val="32"/>
          <w:highlight w:val="none"/>
        </w:rPr>
      </w:pPr>
      <w:r>
        <w:rPr>
          <w:rFonts w:hint="eastAsia" w:ascii="宋体" w:hAnsi="宋体" w:cs="宋体"/>
          <w:color w:val="auto"/>
          <w:sz w:val="32"/>
          <w:szCs w:val="32"/>
          <w:highlight w:val="none"/>
        </w:rPr>
        <w:t>根据磋商文件规定及供应商提供的材料自行编写目录（部分格式后附）。</w:t>
      </w:r>
    </w:p>
    <w:p w14:paraId="041A1046">
      <w:pPr>
        <w:snapToGrid w:val="0"/>
        <w:spacing w:beforeLines="50" w:after="50"/>
        <w:rPr>
          <w:rFonts w:ascii="宋体" w:cs="宋体"/>
          <w:color w:val="auto"/>
          <w:sz w:val="24"/>
          <w:szCs w:val="20"/>
          <w:highlight w:val="none"/>
        </w:rPr>
      </w:pPr>
      <w:r>
        <w:rPr>
          <w:rFonts w:ascii="宋体" w:hAnsi="宋体" w:cs="宋体"/>
          <w:color w:val="auto"/>
          <w:sz w:val="24"/>
          <w:szCs w:val="20"/>
          <w:highlight w:val="none"/>
        </w:rPr>
        <w:t xml:space="preserve"> </w:t>
      </w:r>
    </w:p>
    <w:p w14:paraId="2C194D7C">
      <w:pPr>
        <w:spacing w:line="300" w:lineRule="auto"/>
        <w:rPr>
          <w:rFonts w:ascii="宋体" w:cs="宋体"/>
          <w:color w:val="auto"/>
          <w:szCs w:val="21"/>
          <w:highlight w:val="none"/>
        </w:rPr>
      </w:pPr>
    </w:p>
    <w:p w14:paraId="1997A449">
      <w:pPr>
        <w:spacing w:line="300" w:lineRule="auto"/>
        <w:rPr>
          <w:rFonts w:ascii="宋体" w:cs="宋体"/>
          <w:color w:val="auto"/>
          <w:szCs w:val="21"/>
          <w:highlight w:val="none"/>
        </w:rPr>
      </w:pPr>
    </w:p>
    <w:p w14:paraId="64151AB8">
      <w:pPr>
        <w:spacing w:line="300" w:lineRule="auto"/>
        <w:rPr>
          <w:rFonts w:ascii="宋体" w:cs="宋体"/>
          <w:color w:val="auto"/>
          <w:szCs w:val="21"/>
          <w:highlight w:val="none"/>
        </w:rPr>
      </w:pPr>
    </w:p>
    <w:p w14:paraId="6418EDBA">
      <w:pPr>
        <w:spacing w:line="300" w:lineRule="auto"/>
        <w:rPr>
          <w:rFonts w:ascii="宋体" w:cs="宋体"/>
          <w:color w:val="auto"/>
          <w:szCs w:val="21"/>
          <w:highlight w:val="none"/>
        </w:rPr>
      </w:pPr>
    </w:p>
    <w:p w14:paraId="1EE03B2D">
      <w:pPr>
        <w:spacing w:line="300" w:lineRule="auto"/>
        <w:rPr>
          <w:rFonts w:ascii="宋体" w:cs="宋体"/>
          <w:color w:val="auto"/>
          <w:szCs w:val="21"/>
          <w:highlight w:val="none"/>
        </w:rPr>
      </w:pPr>
    </w:p>
    <w:p w14:paraId="2B0EC5A1">
      <w:pPr>
        <w:spacing w:line="300" w:lineRule="auto"/>
        <w:rPr>
          <w:rFonts w:ascii="宋体" w:cs="宋体"/>
          <w:color w:val="auto"/>
          <w:szCs w:val="21"/>
          <w:highlight w:val="none"/>
        </w:rPr>
      </w:pPr>
    </w:p>
    <w:p w14:paraId="2212660B">
      <w:pPr>
        <w:spacing w:line="300" w:lineRule="auto"/>
        <w:rPr>
          <w:rFonts w:ascii="宋体" w:cs="宋体"/>
          <w:color w:val="auto"/>
          <w:szCs w:val="21"/>
          <w:highlight w:val="none"/>
        </w:rPr>
      </w:pPr>
    </w:p>
    <w:p w14:paraId="17FE9D99">
      <w:pPr>
        <w:spacing w:line="300" w:lineRule="auto"/>
        <w:rPr>
          <w:rFonts w:ascii="宋体" w:cs="宋体"/>
          <w:color w:val="auto"/>
          <w:szCs w:val="21"/>
          <w:highlight w:val="none"/>
        </w:rPr>
      </w:pPr>
    </w:p>
    <w:p w14:paraId="4B6C5282">
      <w:pPr>
        <w:spacing w:line="300" w:lineRule="auto"/>
        <w:rPr>
          <w:rFonts w:ascii="宋体" w:cs="宋体"/>
          <w:color w:val="auto"/>
          <w:szCs w:val="21"/>
          <w:highlight w:val="none"/>
        </w:rPr>
      </w:pPr>
    </w:p>
    <w:p w14:paraId="5AF076D3">
      <w:pPr>
        <w:spacing w:line="300" w:lineRule="auto"/>
        <w:rPr>
          <w:rFonts w:ascii="宋体" w:cs="宋体"/>
          <w:color w:val="auto"/>
          <w:szCs w:val="21"/>
          <w:highlight w:val="none"/>
        </w:rPr>
      </w:pPr>
    </w:p>
    <w:p w14:paraId="154EBD6C">
      <w:pPr>
        <w:spacing w:line="300" w:lineRule="auto"/>
        <w:rPr>
          <w:rFonts w:ascii="宋体" w:cs="宋体"/>
          <w:color w:val="auto"/>
          <w:szCs w:val="21"/>
          <w:highlight w:val="none"/>
        </w:rPr>
      </w:pPr>
    </w:p>
    <w:p w14:paraId="02F78A57">
      <w:pPr>
        <w:spacing w:line="300" w:lineRule="auto"/>
        <w:rPr>
          <w:rFonts w:ascii="宋体" w:cs="宋体"/>
          <w:color w:val="auto"/>
          <w:szCs w:val="21"/>
          <w:highlight w:val="none"/>
        </w:rPr>
      </w:pPr>
    </w:p>
    <w:p w14:paraId="61E40595">
      <w:pPr>
        <w:spacing w:line="300" w:lineRule="auto"/>
        <w:rPr>
          <w:rFonts w:ascii="宋体" w:cs="宋体"/>
          <w:color w:val="auto"/>
          <w:szCs w:val="21"/>
          <w:highlight w:val="none"/>
        </w:rPr>
      </w:pPr>
    </w:p>
    <w:p w14:paraId="709F5A85">
      <w:pPr>
        <w:spacing w:line="300" w:lineRule="auto"/>
        <w:rPr>
          <w:rFonts w:ascii="宋体" w:cs="宋体"/>
          <w:color w:val="auto"/>
          <w:szCs w:val="21"/>
          <w:highlight w:val="none"/>
        </w:rPr>
      </w:pPr>
    </w:p>
    <w:p w14:paraId="03E1A1D4">
      <w:pPr>
        <w:spacing w:line="300" w:lineRule="auto"/>
        <w:rPr>
          <w:rFonts w:ascii="宋体" w:cs="宋体"/>
          <w:color w:val="auto"/>
          <w:szCs w:val="21"/>
          <w:highlight w:val="none"/>
        </w:rPr>
      </w:pPr>
    </w:p>
    <w:p w14:paraId="4E209119">
      <w:pPr>
        <w:spacing w:line="320" w:lineRule="exact"/>
        <w:jc w:val="left"/>
        <w:rPr>
          <w:rFonts w:ascii="宋体" w:cs="宋体"/>
          <w:color w:val="auto"/>
          <w:szCs w:val="21"/>
          <w:highlight w:val="none"/>
        </w:rPr>
      </w:pPr>
      <w:r>
        <w:rPr>
          <w:rFonts w:ascii="宋体" w:cs="宋体"/>
          <w:color w:val="auto"/>
          <w:szCs w:val="21"/>
          <w:highlight w:val="none"/>
        </w:rPr>
        <w:br w:type="page"/>
      </w:r>
      <w:r>
        <w:rPr>
          <w:rFonts w:ascii="宋体" w:hAnsi="宋体" w:cs="宋体"/>
          <w:color w:val="auto"/>
          <w:szCs w:val="21"/>
          <w:highlight w:val="none"/>
        </w:rPr>
        <w:t xml:space="preserve"> </w:t>
      </w:r>
    </w:p>
    <w:p w14:paraId="5474B602">
      <w:pPr>
        <w:wordWrap w:val="0"/>
        <w:spacing w:beforeLines="50" w:after="50" w:line="320" w:lineRule="exact"/>
        <w:ind w:right="482" w:firstLine="210" w:firstLineChars="100"/>
        <w:contextualSpacing/>
        <w:jc w:val="center"/>
        <w:rPr>
          <w:rFonts w:ascii="宋体" w:cs="宋体"/>
          <w:color w:val="auto"/>
          <w:szCs w:val="21"/>
          <w:highlight w:val="none"/>
        </w:rPr>
      </w:pPr>
    </w:p>
    <w:p w14:paraId="2FE2366C">
      <w:pPr>
        <w:spacing w:line="320" w:lineRule="exact"/>
        <w:jc w:val="center"/>
        <w:rPr>
          <w:rFonts w:ascii="宋体" w:cs="宋体"/>
          <w:b/>
          <w:color w:val="auto"/>
          <w:sz w:val="32"/>
          <w:szCs w:val="32"/>
          <w:highlight w:val="none"/>
        </w:rPr>
      </w:pPr>
      <w:r>
        <w:rPr>
          <w:rFonts w:hint="eastAsia" w:ascii="宋体" w:hAnsi="宋体" w:cs="宋体"/>
          <w:b/>
          <w:color w:val="auto"/>
          <w:sz w:val="32"/>
          <w:szCs w:val="32"/>
          <w:highlight w:val="none"/>
        </w:rPr>
        <w:t>供应商直接控股、管理关系信息表</w:t>
      </w:r>
    </w:p>
    <w:p w14:paraId="7D4016BD">
      <w:pPr>
        <w:snapToGrid w:val="0"/>
        <w:spacing w:beforeLines="50" w:after="50" w:line="360" w:lineRule="auto"/>
        <w:jc w:val="center"/>
        <w:rPr>
          <w:rFonts w:ascii="宋体" w:cs="宋体"/>
          <w:b/>
          <w:color w:val="auto"/>
          <w:sz w:val="24"/>
          <w:highlight w:val="none"/>
        </w:rPr>
      </w:pPr>
    </w:p>
    <w:p w14:paraId="5C3C0791">
      <w:pPr>
        <w:spacing w:line="360" w:lineRule="auto"/>
        <w:contextualSpacing/>
        <w:jc w:val="center"/>
        <w:rPr>
          <w:rFonts w:ascii="宋体" w:cs="宋体"/>
          <w:b/>
          <w:color w:val="auto"/>
          <w:sz w:val="32"/>
          <w:szCs w:val="32"/>
          <w:highlight w:val="none"/>
        </w:rPr>
      </w:pPr>
      <w:r>
        <w:rPr>
          <w:rFonts w:hint="eastAsia" w:ascii="宋体" w:hAnsi="宋体" w:cs="宋体"/>
          <w:b/>
          <w:color w:val="auto"/>
          <w:sz w:val="32"/>
          <w:szCs w:val="32"/>
          <w:highlight w:val="none"/>
        </w:rPr>
        <w:t>供应商直接控股股东信息表</w:t>
      </w:r>
    </w:p>
    <w:p w14:paraId="4642EC36">
      <w:pPr>
        <w:spacing w:line="360" w:lineRule="auto"/>
        <w:contextualSpacing/>
        <w:jc w:val="center"/>
        <w:rPr>
          <w:rFonts w:ascii="宋体" w:cs="宋体"/>
          <w:b/>
          <w:color w:val="auto"/>
          <w:sz w:val="24"/>
          <w:highlight w:val="none"/>
        </w:rPr>
      </w:pPr>
    </w:p>
    <w:tbl>
      <w:tblPr>
        <w:tblStyle w:val="32"/>
        <w:tblW w:w="0" w:type="auto"/>
        <w:jc w:val="center"/>
        <w:tblLayout w:type="fixed"/>
        <w:tblCellMar>
          <w:top w:w="0" w:type="dxa"/>
          <w:left w:w="0" w:type="dxa"/>
          <w:bottom w:w="0" w:type="dxa"/>
          <w:right w:w="0" w:type="dxa"/>
        </w:tblCellMar>
      </w:tblPr>
      <w:tblGrid>
        <w:gridCol w:w="880"/>
        <w:gridCol w:w="2655"/>
        <w:gridCol w:w="1455"/>
        <w:gridCol w:w="4287"/>
        <w:gridCol w:w="870"/>
      </w:tblGrid>
      <w:tr w14:paraId="72C67FCB">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D8FEB4C">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08293A4">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78E68DE">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29A94B1">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2F99EFB">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备注</w:t>
            </w:r>
          </w:p>
        </w:tc>
      </w:tr>
      <w:tr w14:paraId="6D3F66F2">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781F5D7">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F3B3731">
            <w:pPr>
              <w:widowControl/>
              <w:spacing w:line="360" w:lineRule="auto"/>
              <w:contextualSpacing/>
              <w:jc w:val="center"/>
              <w:rPr>
                <w:rFonts w:asci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F59F623">
            <w:pPr>
              <w:widowControl/>
              <w:spacing w:line="360" w:lineRule="auto"/>
              <w:contextualSpacing/>
              <w:jc w:val="center"/>
              <w:rPr>
                <w:rFonts w:asci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DD6930A">
            <w:pPr>
              <w:widowControl/>
              <w:spacing w:line="360" w:lineRule="auto"/>
              <w:contextualSpacing/>
              <w:jc w:val="center"/>
              <w:rPr>
                <w:rFonts w:asci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08E5C5C">
            <w:pPr>
              <w:widowControl/>
              <w:spacing w:line="360" w:lineRule="auto"/>
              <w:contextualSpacing/>
              <w:jc w:val="center"/>
              <w:rPr>
                <w:rFonts w:ascii="宋体" w:cs="宋体"/>
                <w:color w:val="auto"/>
                <w:kern w:val="0"/>
                <w:sz w:val="24"/>
                <w:highlight w:val="none"/>
              </w:rPr>
            </w:pPr>
          </w:p>
        </w:tc>
      </w:tr>
      <w:tr w14:paraId="19A48852">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E3342E8">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3D9F245">
            <w:pPr>
              <w:widowControl/>
              <w:spacing w:line="360" w:lineRule="auto"/>
              <w:contextualSpacing/>
              <w:jc w:val="center"/>
              <w:rPr>
                <w:rFonts w:asci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35922B4">
            <w:pPr>
              <w:widowControl/>
              <w:spacing w:line="360" w:lineRule="auto"/>
              <w:contextualSpacing/>
              <w:jc w:val="center"/>
              <w:rPr>
                <w:rFonts w:asci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6907F07">
            <w:pPr>
              <w:widowControl/>
              <w:spacing w:line="360" w:lineRule="auto"/>
              <w:contextualSpacing/>
              <w:jc w:val="center"/>
              <w:rPr>
                <w:rFonts w:asci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FC75B1D">
            <w:pPr>
              <w:widowControl/>
              <w:spacing w:line="360" w:lineRule="auto"/>
              <w:contextualSpacing/>
              <w:jc w:val="center"/>
              <w:rPr>
                <w:rFonts w:ascii="宋体" w:cs="宋体"/>
                <w:color w:val="auto"/>
                <w:kern w:val="0"/>
                <w:sz w:val="24"/>
                <w:highlight w:val="none"/>
              </w:rPr>
            </w:pPr>
          </w:p>
        </w:tc>
      </w:tr>
      <w:tr w14:paraId="7AB1D8DA">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FDFAEBB">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FE86476">
            <w:pPr>
              <w:widowControl/>
              <w:spacing w:line="360" w:lineRule="auto"/>
              <w:contextualSpacing/>
              <w:jc w:val="center"/>
              <w:rPr>
                <w:rFonts w:asci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88305AF">
            <w:pPr>
              <w:widowControl/>
              <w:spacing w:line="360" w:lineRule="auto"/>
              <w:contextualSpacing/>
              <w:jc w:val="center"/>
              <w:rPr>
                <w:rFonts w:asci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C38C17F">
            <w:pPr>
              <w:widowControl/>
              <w:spacing w:line="360" w:lineRule="auto"/>
              <w:contextualSpacing/>
              <w:jc w:val="center"/>
              <w:rPr>
                <w:rFonts w:asci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450AFCF">
            <w:pPr>
              <w:widowControl/>
              <w:spacing w:line="360" w:lineRule="auto"/>
              <w:contextualSpacing/>
              <w:jc w:val="center"/>
              <w:rPr>
                <w:rFonts w:ascii="宋体" w:cs="宋体"/>
                <w:color w:val="auto"/>
                <w:kern w:val="0"/>
                <w:sz w:val="24"/>
                <w:highlight w:val="none"/>
              </w:rPr>
            </w:pPr>
          </w:p>
        </w:tc>
      </w:tr>
      <w:tr w14:paraId="69175EF4">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21D7E8B">
            <w:pPr>
              <w:widowControl/>
              <w:spacing w:line="360" w:lineRule="auto"/>
              <w:contextualSpacing/>
              <w:jc w:val="center"/>
              <w:rPr>
                <w:rFonts w:asci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7988A08">
            <w:pPr>
              <w:widowControl/>
              <w:spacing w:line="360" w:lineRule="auto"/>
              <w:contextualSpacing/>
              <w:jc w:val="center"/>
              <w:rPr>
                <w:rFonts w:asci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D69BBDC">
            <w:pPr>
              <w:widowControl/>
              <w:spacing w:line="360" w:lineRule="auto"/>
              <w:contextualSpacing/>
              <w:jc w:val="center"/>
              <w:rPr>
                <w:rFonts w:asci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086E4B5">
            <w:pPr>
              <w:widowControl/>
              <w:spacing w:line="360" w:lineRule="auto"/>
              <w:contextualSpacing/>
              <w:jc w:val="center"/>
              <w:rPr>
                <w:rFonts w:asci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B2A503F">
            <w:pPr>
              <w:widowControl/>
              <w:spacing w:line="360" w:lineRule="auto"/>
              <w:contextualSpacing/>
              <w:jc w:val="center"/>
              <w:rPr>
                <w:rFonts w:ascii="宋体" w:cs="宋体"/>
                <w:color w:val="auto"/>
                <w:kern w:val="0"/>
                <w:sz w:val="24"/>
                <w:highlight w:val="none"/>
              </w:rPr>
            </w:pPr>
          </w:p>
        </w:tc>
      </w:tr>
    </w:tbl>
    <w:p w14:paraId="2E777039">
      <w:pPr>
        <w:spacing w:line="360" w:lineRule="auto"/>
        <w:contextualSpacing/>
        <w:jc w:val="left"/>
        <w:rPr>
          <w:rFonts w:ascii="宋体" w:cs="宋体"/>
          <w:color w:val="auto"/>
          <w:sz w:val="24"/>
          <w:highlight w:val="none"/>
        </w:rPr>
      </w:pPr>
      <w:r>
        <w:rPr>
          <w:rFonts w:hint="eastAsia" w:ascii="宋体" w:hAnsi="宋体" w:cs="宋体"/>
          <w:color w:val="auto"/>
          <w:sz w:val="24"/>
          <w:highlight w:val="none"/>
        </w:rPr>
        <w:t>注：</w:t>
      </w:r>
    </w:p>
    <w:p w14:paraId="2B349CFC">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1AF0B6E">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本表所指的控股关系仅限于直接控股关系，不包括间接的控股关系。公司实际控制人与公司之间的关系不属于本表所指的直接控股关系。</w:t>
      </w:r>
    </w:p>
    <w:p w14:paraId="181A8410">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供应商不存在直接控股股东的，则填“无”。</w:t>
      </w:r>
    </w:p>
    <w:p w14:paraId="39AED456">
      <w:pPr>
        <w:snapToGrid w:val="0"/>
        <w:spacing w:line="360" w:lineRule="auto"/>
        <w:jc w:val="left"/>
        <w:rPr>
          <w:rFonts w:ascii="宋体" w:cs="宋体"/>
          <w:color w:val="auto"/>
          <w:sz w:val="24"/>
          <w:highlight w:val="none"/>
        </w:rPr>
      </w:pPr>
    </w:p>
    <w:p w14:paraId="2A26DF07">
      <w:pPr>
        <w:snapToGrid w:val="0"/>
        <w:spacing w:line="360" w:lineRule="auto"/>
        <w:jc w:val="left"/>
        <w:rPr>
          <w:rFonts w:ascii="宋体" w:cs="宋体"/>
          <w:color w:val="auto"/>
          <w:sz w:val="24"/>
          <w:highlight w:val="none"/>
        </w:rPr>
      </w:pPr>
    </w:p>
    <w:p w14:paraId="53E10F1D">
      <w:pPr>
        <w:snapToGrid w:val="0"/>
        <w:spacing w:line="360" w:lineRule="auto"/>
        <w:jc w:val="left"/>
        <w:rPr>
          <w:rFonts w:ascii="宋体" w:cs="宋体"/>
          <w:color w:val="auto"/>
          <w:sz w:val="24"/>
          <w:highlight w:val="none"/>
        </w:rPr>
      </w:pPr>
    </w:p>
    <w:p w14:paraId="2928BD02">
      <w:pPr>
        <w:snapToGrid w:val="0"/>
        <w:spacing w:beforeLines="50" w:line="360" w:lineRule="auto"/>
        <w:ind w:right="480" w:firstLine="3480" w:firstLineChars="1450"/>
        <w:rPr>
          <w:rFonts w:ascii="宋体" w:cs="宋体"/>
          <w:color w:val="auto"/>
          <w:sz w:val="24"/>
          <w:highlight w:val="none"/>
          <w:u w:val="single"/>
        </w:rPr>
      </w:pPr>
      <w:r>
        <w:rPr>
          <w:rFonts w:hint="eastAsia" w:ascii="宋体" w:hAnsi="宋体" w:cs="宋体"/>
          <w:color w:val="auto"/>
          <w:sz w:val="24"/>
          <w:highlight w:val="none"/>
        </w:rPr>
        <w:t>法定代表人或者委托代理人签字：</w:t>
      </w:r>
      <w:r>
        <w:rPr>
          <w:rFonts w:ascii="宋体" w:hAnsi="宋体" w:cs="宋体"/>
          <w:color w:val="auto"/>
          <w:sz w:val="24"/>
          <w:highlight w:val="none"/>
          <w:u w:val="single"/>
        </w:rPr>
        <w:t xml:space="preserve">                </w:t>
      </w:r>
    </w:p>
    <w:p w14:paraId="216FF4EF">
      <w:pPr>
        <w:snapToGrid w:val="0"/>
        <w:spacing w:beforeLines="50" w:after="50" w:line="360" w:lineRule="auto"/>
        <w:ind w:right="480" w:firstLine="3480" w:firstLineChars="1450"/>
        <w:rPr>
          <w:rFonts w:ascii="宋体" w:cs="宋体"/>
          <w:color w:val="auto"/>
          <w:sz w:val="24"/>
          <w:highlight w:val="none"/>
          <w:u w:val="single"/>
        </w:rPr>
      </w:pPr>
      <w:r>
        <w:rPr>
          <w:rFonts w:hint="eastAsia" w:ascii="宋体" w:hAnsi="宋体" w:cs="宋体"/>
          <w:color w:val="auto"/>
          <w:sz w:val="24"/>
          <w:highlight w:val="none"/>
        </w:rPr>
        <w:t>供应商（盖公章</w:t>
      </w:r>
      <w:r>
        <w:rPr>
          <w:rFonts w:ascii="宋体" w:hAnsi="宋体" w:cs="宋体"/>
          <w:color w:val="auto"/>
          <w:sz w:val="24"/>
          <w:highlight w:val="none"/>
        </w:rPr>
        <w:t xml:space="preserve"> </w:t>
      </w:r>
      <w:r>
        <w:rPr>
          <w:rFonts w:hint="eastAsia" w:ascii="宋体" w:hAnsi="宋体" w:cs="宋体"/>
          <w:color w:val="auto"/>
          <w:sz w:val="24"/>
          <w:highlight w:val="none"/>
        </w:rPr>
        <w:t>）：</w:t>
      </w:r>
      <w:r>
        <w:rPr>
          <w:rFonts w:ascii="宋体" w:hAnsi="宋体" w:cs="宋体"/>
          <w:color w:val="auto"/>
          <w:sz w:val="24"/>
          <w:highlight w:val="none"/>
          <w:u w:val="single"/>
        </w:rPr>
        <w:t xml:space="preserve">                           </w:t>
      </w:r>
    </w:p>
    <w:p w14:paraId="3E4FA705">
      <w:pPr>
        <w:snapToGrid w:val="0"/>
        <w:spacing w:beforeLines="50" w:after="50" w:line="360" w:lineRule="auto"/>
        <w:ind w:right="480" w:firstLine="5280" w:firstLineChars="2200"/>
        <w:rPr>
          <w:rFonts w:ascii="宋体" w:cs="宋体"/>
          <w:color w:val="auto"/>
          <w:sz w:val="28"/>
          <w:szCs w:val="28"/>
          <w:highlight w:val="none"/>
        </w:rPr>
      </w:pP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1CABC38C">
      <w:pPr>
        <w:snapToGrid w:val="0"/>
        <w:jc w:val="center"/>
        <w:rPr>
          <w:rFonts w:ascii="宋体" w:cs="宋体"/>
          <w:b/>
          <w:color w:val="auto"/>
          <w:sz w:val="28"/>
          <w:szCs w:val="28"/>
          <w:highlight w:val="none"/>
        </w:rPr>
      </w:pPr>
      <w:r>
        <w:rPr>
          <w:rFonts w:ascii="宋体" w:cs="宋体"/>
          <w:b/>
          <w:color w:val="auto"/>
          <w:sz w:val="28"/>
          <w:szCs w:val="28"/>
          <w:highlight w:val="none"/>
        </w:rPr>
        <w:br w:type="page"/>
      </w:r>
    </w:p>
    <w:p w14:paraId="32E4CE34">
      <w:pPr>
        <w:spacing w:line="320" w:lineRule="exact"/>
        <w:jc w:val="center"/>
        <w:rPr>
          <w:rFonts w:ascii="宋体" w:cs="宋体"/>
          <w:b/>
          <w:color w:val="auto"/>
          <w:sz w:val="32"/>
          <w:szCs w:val="32"/>
          <w:highlight w:val="none"/>
        </w:rPr>
      </w:pPr>
      <w:r>
        <w:rPr>
          <w:rFonts w:hint="eastAsia" w:ascii="宋体" w:hAnsi="宋体" w:cs="宋体"/>
          <w:b/>
          <w:color w:val="auto"/>
          <w:sz w:val="32"/>
          <w:szCs w:val="32"/>
          <w:highlight w:val="none"/>
        </w:rPr>
        <w:t>供应商直接管理关系信息表</w:t>
      </w:r>
    </w:p>
    <w:p w14:paraId="21F48B89">
      <w:pPr>
        <w:snapToGrid w:val="0"/>
        <w:spacing w:line="360" w:lineRule="auto"/>
        <w:jc w:val="center"/>
        <w:rPr>
          <w:rFonts w:ascii="宋体" w:cs="宋体"/>
          <w:b/>
          <w:color w:val="auto"/>
          <w:sz w:val="24"/>
          <w:highlight w:val="none"/>
        </w:rPr>
      </w:pPr>
    </w:p>
    <w:tbl>
      <w:tblPr>
        <w:tblStyle w:val="32"/>
        <w:tblW w:w="0" w:type="auto"/>
        <w:jc w:val="center"/>
        <w:tblLayout w:type="fixed"/>
        <w:tblCellMar>
          <w:top w:w="0" w:type="dxa"/>
          <w:left w:w="0" w:type="dxa"/>
          <w:bottom w:w="0" w:type="dxa"/>
          <w:right w:w="0" w:type="dxa"/>
        </w:tblCellMar>
      </w:tblPr>
      <w:tblGrid>
        <w:gridCol w:w="808"/>
        <w:gridCol w:w="3600"/>
        <w:gridCol w:w="3555"/>
        <w:gridCol w:w="1689"/>
      </w:tblGrid>
      <w:tr w14:paraId="185940A1">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3D4886F">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6D6DB75">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6E61834">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4787DD4">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备注</w:t>
            </w:r>
          </w:p>
        </w:tc>
      </w:tr>
      <w:tr w14:paraId="0BA75D3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95259C3">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D9A629B">
            <w:pPr>
              <w:widowControl/>
              <w:spacing w:line="360" w:lineRule="auto"/>
              <w:contextualSpacing/>
              <w:jc w:val="center"/>
              <w:rPr>
                <w:rFonts w:asci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C6EEADA">
            <w:pPr>
              <w:widowControl/>
              <w:spacing w:line="360" w:lineRule="auto"/>
              <w:contextualSpacing/>
              <w:jc w:val="center"/>
              <w:rPr>
                <w:rFonts w:asci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6F93386">
            <w:pPr>
              <w:widowControl/>
              <w:spacing w:line="360" w:lineRule="auto"/>
              <w:contextualSpacing/>
              <w:jc w:val="center"/>
              <w:rPr>
                <w:rFonts w:ascii="宋体" w:cs="宋体"/>
                <w:color w:val="auto"/>
                <w:kern w:val="0"/>
                <w:sz w:val="24"/>
                <w:highlight w:val="none"/>
              </w:rPr>
            </w:pPr>
          </w:p>
        </w:tc>
      </w:tr>
      <w:tr w14:paraId="43BE0C5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39A47E7">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4E545A7">
            <w:pPr>
              <w:widowControl/>
              <w:spacing w:line="360" w:lineRule="auto"/>
              <w:contextualSpacing/>
              <w:jc w:val="center"/>
              <w:rPr>
                <w:rFonts w:asci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456E467">
            <w:pPr>
              <w:widowControl/>
              <w:spacing w:line="360" w:lineRule="auto"/>
              <w:contextualSpacing/>
              <w:jc w:val="center"/>
              <w:rPr>
                <w:rFonts w:asci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4918314">
            <w:pPr>
              <w:widowControl/>
              <w:spacing w:line="360" w:lineRule="auto"/>
              <w:contextualSpacing/>
              <w:jc w:val="center"/>
              <w:rPr>
                <w:rFonts w:ascii="宋体" w:cs="宋体"/>
                <w:color w:val="auto"/>
                <w:kern w:val="0"/>
                <w:sz w:val="24"/>
                <w:highlight w:val="none"/>
              </w:rPr>
            </w:pPr>
          </w:p>
        </w:tc>
      </w:tr>
      <w:tr w14:paraId="597B444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C3765F2">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6649608">
            <w:pPr>
              <w:widowControl/>
              <w:spacing w:line="360" w:lineRule="auto"/>
              <w:contextualSpacing/>
              <w:jc w:val="center"/>
              <w:rPr>
                <w:rFonts w:asci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ABE008E">
            <w:pPr>
              <w:widowControl/>
              <w:spacing w:line="360" w:lineRule="auto"/>
              <w:contextualSpacing/>
              <w:jc w:val="center"/>
              <w:rPr>
                <w:rFonts w:asci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050B627">
            <w:pPr>
              <w:widowControl/>
              <w:spacing w:line="360" w:lineRule="auto"/>
              <w:contextualSpacing/>
              <w:jc w:val="center"/>
              <w:rPr>
                <w:rFonts w:ascii="宋体" w:cs="宋体"/>
                <w:color w:val="auto"/>
                <w:kern w:val="0"/>
                <w:sz w:val="24"/>
                <w:highlight w:val="none"/>
              </w:rPr>
            </w:pPr>
          </w:p>
        </w:tc>
      </w:tr>
      <w:tr w14:paraId="6030A17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D4BB107">
            <w:pPr>
              <w:widowControl/>
              <w:spacing w:line="360" w:lineRule="auto"/>
              <w:contextualSpacing/>
              <w:jc w:val="center"/>
              <w:rPr>
                <w:rFonts w:asci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BB36C79">
            <w:pPr>
              <w:widowControl/>
              <w:spacing w:line="360" w:lineRule="auto"/>
              <w:contextualSpacing/>
              <w:jc w:val="center"/>
              <w:rPr>
                <w:rFonts w:asci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BCC2404">
            <w:pPr>
              <w:widowControl/>
              <w:spacing w:line="360" w:lineRule="auto"/>
              <w:contextualSpacing/>
              <w:jc w:val="center"/>
              <w:rPr>
                <w:rFonts w:asci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F5B0BEC">
            <w:pPr>
              <w:widowControl/>
              <w:spacing w:line="360" w:lineRule="auto"/>
              <w:contextualSpacing/>
              <w:jc w:val="center"/>
              <w:rPr>
                <w:rFonts w:ascii="宋体" w:cs="宋体"/>
                <w:color w:val="auto"/>
                <w:kern w:val="0"/>
                <w:sz w:val="24"/>
                <w:highlight w:val="none"/>
              </w:rPr>
            </w:pPr>
          </w:p>
        </w:tc>
      </w:tr>
    </w:tbl>
    <w:p w14:paraId="1980C4A1">
      <w:pPr>
        <w:spacing w:line="360" w:lineRule="auto"/>
        <w:contextualSpacing/>
        <w:jc w:val="left"/>
        <w:rPr>
          <w:rFonts w:ascii="宋体" w:cs="宋体"/>
          <w:color w:val="auto"/>
          <w:sz w:val="24"/>
          <w:highlight w:val="none"/>
        </w:rPr>
      </w:pPr>
      <w:r>
        <w:rPr>
          <w:rFonts w:hint="eastAsia" w:ascii="宋体" w:hAnsi="宋体" w:cs="宋体"/>
          <w:color w:val="auto"/>
          <w:sz w:val="24"/>
          <w:highlight w:val="none"/>
        </w:rPr>
        <w:t>注：</w:t>
      </w:r>
    </w:p>
    <w:p w14:paraId="5869A27D">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管理关系：是指不具有出资持股关系的其他单位之间存在的管理与被管理关系，如一些上下级关系的事业单位和团体组织。</w:t>
      </w:r>
    </w:p>
    <w:p w14:paraId="7B4E9EAF">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30320013">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供应商不存在直接管理关系的，则填“无”。</w:t>
      </w:r>
    </w:p>
    <w:p w14:paraId="1F4DBA11">
      <w:pPr>
        <w:spacing w:line="360" w:lineRule="auto"/>
        <w:contextualSpacing/>
        <w:jc w:val="left"/>
        <w:rPr>
          <w:rFonts w:ascii="宋体" w:cs="宋体"/>
          <w:color w:val="auto"/>
          <w:sz w:val="24"/>
          <w:highlight w:val="none"/>
        </w:rPr>
      </w:pPr>
    </w:p>
    <w:p w14:paraId="2914FEA6">
      <w:pPr>
        <w:spacing w:line="360" w:lineRule="auto"/>
        <w:contextualSpacing/>
        <w:jc w:val="left"/>
        <w:rPr>
          <w:rFonts w:ascii="宋体" w:cs="宋体"/>
          <w:color w:val="auto"/>
          <w:sz w:val="24"/>
          <w:highlight w:val="none"/>
        </w:rPr>
      </w:pPr>
    </w:p>
    <w:p w14:paraId="3BD08D7E">
      <w:pPr>
        <w:spacing w:line="360" w:lineRule="auto"/>
        <w:contextualSpacing/>
        <w:jc w:val="left"/>
        <w:rPr>
          <w:rFonts w:ascii="宋体" w:cs="宋体"/>
          <w:color w:val="auto"/>
          <w:sz w:val="24"/>
          <w:highlight w:val="none"/>
        </w:rPr>
      </w:pPr>
    </w:p>
    <w:p w14:paraId="44A1E6B5">
      <w:pPr>
        <w:spacing w:line="360" w:lineRule="auto"/>
        <w:contextualSpacing/>
        <w:jc w:val="left"/>
        <w:rPr>
          <w:rFonts w:ascii="宋体" w:cs="宋体"/>
          <w:color w:val="auto"/>
          <w:sz w:val="24"/>
          <w:highlight w:val="none"/>
        </w:rPr>
      </w:pPr>
    </w:p>
    <w:p w14:paraId="6FFC8BBE">
      <w:pPr>
        <w:spacing w:line="360" w:lineRule="auto"/>
        <w:contextualSpacing/>
        <w:jc w:val="left"/>
        <w:rPr>
          <w:rFonts w:ascii="宋体" w:cs="宋体"/>
          <w:color w:val="auto"/>
          <w:sz w:val="24"/>
          <w:highlight w:val="none"/>
        </w:rPr>
      </w:pPr>
    </w:p>
    <w:p w14:paraId="366E44A7">
      <w:pPr>
        <w:spacing w:line="360" w:lineRule="auto"/>
        <w:contextualSpacing/>
        <w:jc w:val="left"/>
        <w:rPr>
          <w:rFonts w:ascii="宋体" w:cs="宋体"/>
          <w:color w:val="auto"/>
          <w:sz w:val="24"/>
          <w:highlight w:val="none"/>
        </w:rPr>
      </w:pPr>
    </w:p>
    <w:p w14:paraId="5A72DE85">
      <w:pPr>
        <w:spacing w:line="360" w:lineRule="auto"/>
        <w:ind w:right="480" w:firstLine="3360" w:firstLineChars="1400"/>
        <w:contextualSpacing/>
        <w:rPr>
          <w:rFonts w:ascii="宋体" w:cs="宋体"/>
          <w:color w:val="auto"/>
          <w:sz w:val="24"/>
          <w:highlight w:val="none"/>
          <w:u w:val="single"/>
        </w:rPr>
      </w:pPr>
      <w:r>
        <w:rPr>
          <w:rFonts w:hint="eastAsia" w:ascii="宋体" w:hAnsi="宋体" w:cs="宋体"/>
          <w:color w:val="auto"/>
          <w:sz w:val="24"/>
          <w:highlight w:val="none"/>
        </w:rPr>
        <w:t>法定代表人或者委托代理人签字：</w:t>
      </w:r>
      <w:r>
        <w:rPr>
          <w:rFonts w:ascii="宋体" w:hAnsi="宋体" w:cs="宋体"/>
          <w:color w:val="auto"/>
          <w:sz w:val="24"/>
          <w:highlight w:val="none"/>
          <w:u w:val="single"/>
        </w:rPr>
        <w:t xml:space="preserve">               </w:t>
      </w:r>
    </w:p>
    <w:p w14:paraId="53B338FC">
      <w:pPr>
        <w:spacing w:line="360" w:lineRule="auto"/>
        <w:ind w:right="480" w:firstLine="3360" w:firstLineChars="1400"/>
        <w:contextualSpacing/>
        <w:rPr>
          <w:rFonts w:ascii="宋体" w:cs="宋体"/>
          <w:color w:val="auto"/>
          <w:sz w:val="24"/>
          <w:highlight w:val="none"/>
        </w:rPr>
      </w:pPr>
      <w:r>
        <w:rPr>
          <w:rFonts w:hint="eastAsia" w:ascii="宋体" w:hAnsi="宋体" w:cs="宋体"/>
          <w:color w:val="auto"/>
          <w:sz w:val="24"/>
          <w:highlight w:val="none"/>
        </w:rPr>
        <w:t>供应商（盖公章）：</w:t>
      </w:r>
      <w:r>
        <w:rPr>
          <w:rFonts w:ascii="宋体" w:hAnsi="宋体" w:cs="宋体"/>
          <w:color w:val="auto"/>
          <w:sz w:val="24"/>
          <w:highlight w:val="none"/>
          <w:u w:val="single"/>
        </w:rPr>
        <w:t xml:space="preserve">                </w:t>
      </w:r>
    </w:p>
    <w:p w14:paraId="10DC5DF5">
      <w:pPr>
        <w:spacing w:line="360" w:lineRule="auto"/>
        <w:ind w:right="480" w:firstLine="240" w:firstLineChars="100"/>
        <w:contextualSpacing/>
        <w:jc w:val="center"/>
        <w:rPr>
          <w:rFonts w:ascii="宋体" w:cs="宋体"/>
          <w:color w:val="auto"/>
          <w:sz w:val="28"/>
          <w:szCs w:val="28"/>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31B5DFF2">
      <w:pPr>
        <w:spacing w:line="320" w:lineRule="exact"/>
        <w:jc w:val="center"/>
        <w:rPr>
          <w:rFonts w:ascii="宋体" w:cs="宋体"/>
          <w:b/>
          <w:color w:val="auto"/>
          <w:sz w:val="32"/>
          <w:szCs w:val="32"/>
          <w:highlight w:val="none"/>
        </w:rPr>
      </w:pPr>
      <w:r>
        <w:rPr>
          <w:rFonts w:ascii="宋体" w:cs="宋体"/>
          <w:color w:val="auto"/>
          <w:sz w:val="28"/>
          <w:szCs w:val="28"/>
          <w:highlight w:val="none"/>
        </w:rPr>
        <w:br w:type="page"/>
      </w:r>
      <w:r>
        <w:rPr>
          <w:rFonts w:hint="eastAsia" w:ascii="宋体" w:hAnsi="宋体" w:cs="宋体"/>
          <w:b/>
          <w:color w:val="auto"/>
          <w:sz w:val="32"/>
          <w:szCs w:val="32"/>
          <w:highlight w:val="none"/>
        </w:rPr>
        <w:t>竞标声明</w:t>
      </w:r>
    </w:p>
    <w:p w14:paraId="489025B9">
      <w:pPr>
        <w:spacing w:line="320" w:lineRule="exact"/>
        <w:jc w:val="center"/>
        <w:rPr>
          <w:rFonts w:ascii="宋体" w:cs="宋体"/>
          <w:color w:val="auto"/>
          <w:sz w:val="24"/>
          <w:szCs w:val="20"/>
          <w:highlight w:val="none"/>
        </w:rPr>
      </w:pPr>
    </w:p>
    <w:p w14:paraId="48F807E5">
      <w:pPr>
        <w:spacing w:line="360" w:lineRule="auto"/>
        <w:contextualSpacing/>
        <w:rPr>
          <w:rFonts w:asci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63507C81">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D128AF5">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12FA4B8D">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我方向贵方提交的所有响应文件、资料都是准确的和真实的。</w:t>
      </w:r>
    </w:p>
    <w:p w14:paraId="2BD19BF7">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我方不是为本次采购项目提供整体设计、规范编制或者项目管理、监理、检测等服务的供应商。</w:t>
      </w:r>
    </w:p>
    <w:p w14:paraId="4E5820D0">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在此，我方宣布同意如下：</w:t>
      </w:r>
    </w:p>
    <w:p w14:paraId="38B2D8E9">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）将按磋商文件的约定履行合同责任和义务；</w:t>
      </w:r>
    </w:p>
    <w:p w14:paraId="2B71FD0A">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）已详细审查全部磋商文件，包括澄清或者更正公告（如有）；</w:t>
      </w:r>
    </w:p>
    <w:p w14:paraId="738EFD85">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）同意提供按照贵方可能要求的与磋商有关的一切数据或者资料；</w:t>
      </w:r>
    </w:p>
    <w:p w14:paraId="0DA547F5">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）响应磋商文件规定的竞标有效期。</w:t>
      </w:r>
    </w:p>
    <w:p w14:paraId="18AC6D07">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我方承诺符合《中华人民共和国政府采购法》第二十二条规定：</w:t>
      </w:r>
    </w:p>
    <w:p w14:paraId="54028375">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）具有独立承担民事责任的能力；</w:t>
      </w:r>
    </w:p>
    <w:p w14:paraId="79292E16">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）具有良好的商业信誉和健全的财务会计制度；</w:t>
      </w:r>
    </w:p>
    <w:p w14:paraId="53249288">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）具有履行合同所必需的设备和专业技术能力；</w:t>
      </w:r>
    </w:p>
    <w:p w14:paraId="17D2273E">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）有依法缴纳税收和社会保障资金的良好记录；</w:t>
      </w:r>
    </w:p>
    <w:p w14:paraId="70C0F1F1">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）参加政府采购活动前三年内，在经营活动中没有重大违法记录；</w:t>
      </w:r>
    </w:p>
    <w:p w14:paraId="76CB3C61">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）法律、行政法规规定的其他条件。</w:t>
      </w:r>
    </w:p>
    <w:p w14:paraId="61D4BEAA">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6F84213">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w:t>
      </w:r>
    </w:p>
    <w:p w14:paraId="3F1383D2">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48F99B4B">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188EEF5">
      <w:pPr>
        <w:pStyle w:val="19"/>
        <w:spacing w:line="360" w:lineRule="auto"/>
        <w:ind w:firstLine="480" w:firstLineChars="200"/>
        <w:contextualSpacing/>
        <w:rPr>
          <w:rFonts w:hAnsi="宋体" w:cs="宋体"/>
          <w:color w:val="auto"/>
          <w:sz w:val="24"/>
          <w:szCs w:val="24"/>
          <w:highlight w:val="none"/>
          <w:u w:val="single"/>
        </w:rPr>
      </w:pPr>
      <w:r>
        <w:rPr>
          <w:rFonts w:hAnsi="宋体" w:cs="宋体"/>
          <w:color w:val="auto"/>
          <w:sz w:val="24"/>
          <w:szCs w:val="24"/>
          <w:highlight w:val="none"/>
        </w:rPr>
        <w:t>7.</w:t>
      </w:r>
      <w:r>
        <w:rPr>
          <w:rFonts w:hint="eastAsia" w:hAnsi="宋体" w:cs="宋体"/>
          <w:color w:val="auto"/>
          <w:sz w:val="24"/>
          <w:szCs w:val="24"/>
          <w:highlight w:val="none"/>
        </w:rPr>
        <w:t>与本磋商有关的一切正式往来信函请寄：</w:t>
      </w:r>
      <w:r>
        <w:rPr>
          <w:rFonts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Ansi="宋体" w:cs="宋体"/>
          <w:color w:val="auto"/>
          <w:sz w:val="24"/>
          <w:szCs w:val="24"/>
          <w:highlight w:val="none"/>
          <w:u w:val="single"/>
        </w:rPr>
        <w:t xml:space="preserve">        </w:t>
      </w:r>
    </w:p>
    <w:p w14:paraId="73EB4EB8">
      <w:pPr>
        <w:pStyle w:val="19"/>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w:t>
      </w:r>
      <w:r>
        <w:rPr>
          <w:rFonts w:hAnsi="宋体" w:cs="宋体"/>
          <w:color w:val="auto"/>
          <w:sz w:val="24"/>
          <w:szCs w:val="24"/>
          <w:highlight w:val="none"/>
        </w:rPr>
        <w:t>/</w:t>
      </w:r>
      <w:r>
        <w:rPr>
          <w:rFonts w:hint="eastAsia" w:hAnsi="宋体" w:cs="宋体"/>
          <w:color w:val="auto"/>
          <w:sz w:val="24"/>
          <w:szCs w:val="24"/>
          <w:highlight w:val="none"/>
        </w:rPr>
        <w:t>传真：</w:t>
      </w:r>
      <w:r>
        <w:rPr>
          <w:rFonts w:hAnsi="宋体" w:cs="宋体"/>
          <w:color w:val="auto"/>
          <w:sz w:val="24"/>
          <w:szCs w:val="24"/>
          <w:highlight w:val="none"/>
          <w:u w:val="single"/>
        </w:rPr>
        <w:t xml:space="preserve">                        </w:t>
      </w:r>
      <w:r>
        <w:rPr>
          <w:rFonts w:hAnsi="宋体" w:cs="宋体"/>
          <w:color w:val="auto"/>
          <w:sz w:val="24"/>
          <w:szCs w:val="24"/>
          <w:highlight w:val="none"/>
        </w:rPr>
        <w:t xml:space="preserve"> </w:t>
      </w:r>
      <w:r>
        <w:rPr>
          <w:rFonts w:hint="eastAsia" w:hAnsi="宋体" w:cs="宋体"/>
          <w:color w:val="auto"/>
          <w:sz w:val="24"/>
          <w:szCs w:val="24"/>
          <w:highlight w:val="none"/>
        </w:rPr>
        <w:t>电子函件：</w:t>
      </w:r>
      <w:r>
        <w:rPr>
          <w:rFonts w:hAnsi="宋体" w:cs="宋体"/>
          <w:color w:val="auto"/>
          <w:sz w:val="24"/>
          <w:szCs w:val="24"/>
          <w:highlight w:val="none"/>
          <w:u w:val="single"/>
        </w:rPr>
        <w:t xml:space="preserve">                            </w:t>
      </w:r>
      <w:r>
        <w:rPr>
          <w:rFonts w:hAnsi="宋体" w:cs="宋体"/>
          <w:color w:val="auto"/>
          <w:sz w:val="24"/>
          <w:szCs w:val="24"/>
          <w:highlight w:val="none"/>
        </w:rPr>
        <w:t xml:space="preserve">    </w:t>
      </w:r>
    </w:p>
    <w:p w14:paraId="2B924BF1">
      <w:pPr>
        <w:pStyle w:val="18"/>
        <w:tabs>
          <w:tab w:val="left" w:pos="939"/>
        </w:tabs>
        <w:spacing w:line="360" w:lineRule="auto"/>
        <w:ind w:left="141" w:leftChars="67" w:firstLine="360" w:firstLineChars="150"/>
        <w:rPr>
          <w:rFonts w:ascii="宋体" w:cs="宋体"/>
          <w:color w:val="auto"/>
          <w:sz w:val="24"/>
          <w:highlight w:val="none"/>
        </w:rPr>
      </w:pPr>
      <w:r>
        <w:rPr>
          <w:rFonts w:hint="eastAsia" w:ascii="宋体" w:hAnsi="宋体" w:cs="宋体"/>
          <w:color w:val="auto"/>
          <w:sz w:val="24"/>
          <w:highlight w:val="none"/>
        </w:rPr>
        <w:t>开户银行：</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帐号：</w:t>
      </w:r>
      <w:r>
        <w:rPr>
          <w:rFonts w:ascii="宋体" w:hAnsi="宋体" w:cs="宋体"/>
          <w:color w:val="auto"/>
          <w:sz w:val="24"/>
          <w:highlight w:val="none"/>
          <w:u w:val="single"/>
        </w:rPr>
        <w:t xml:space="preserve">                               </w:t>
      </w:r>
    </w:p>
    <w:p w14:paraId="4446985F">
      <w:pPr>
        <w:pStyle w:val="18"/>
        <w:tabs>
          <w:tab w:val="left" w:pos="939"/>
        </w:tabs>
        <w:spacing w:line="360" w:lineRule="auto"/>
        <w:ind w:left="0" w:leftChars="0" w:firstLine="480" w:firstLineChars="200"/>
        <w:rPr>
          <w:rFonts w:ascii="宋体" w:cs="宋体"/>
          <w:color w:val="auto"/>
          <w:sz w:val="24"/>
          <w:highlight w:val="none"/>
        </w:rPr>
      </w:pPr>
      <w:r>
        <w:rPr>
          <w:rFonts w:ascii="宋体" w:hAnsi="宋体" w:cs="宋体"/>
          <w:color w:val="auto"/>
          <w:sz w:val="24"/>
          <w:highlight w:val="none"/>
        </w:rPr>
        <w:t>8.</w:t>
      </w:r>
      <w:r>
        <w:rPr>
          <w:rFonts w:hint="eastAsia" w:ascii="宋体" w:hAnsi="宋体" w:cs="宋体"/>
          <w:color w:val="auto"/>
          <w:sz w:val="24"/>
          <w:highlight w:val="none"/>
        </w:rPr>
        <w:t>以上事项如有虚假或者隐瞒，我方愿意承担一切后果，并不再寻求任何旨在减轻或者免除法律责任的辩解。</w:t>
      </w:r>
    </w:p>
    <w:p w14:paraId="2C86B17F">
      <w:pPr>
        <w:pStyle w:val="18"/>
        <w:tabs>
          <w:tab w:val="left" w:pos="939"/>
        </w:tabs>
        <w:spacing w:line="360" w:lineRule="auto"/>
        <w:ind w:left="141" w:leftChars="67" w:firstLine="360" w:firstLineChars="150"/>
        <w:rPr>
          <w:rFonts w:ascii="宋体" w:cs="宋体"/>
          <w:color w:val="auto"/>
          <w:sz w:val="24"/>
          <w:highlight w:val="none"/>
        </w:rPr>
      </w:pPr>
      <w:r>
        <w:rPr>
          <w:rFonts w:hint="eastAsia" w:ascii="宋体" w:hAnsi="宋体" w:cs="宋体"/>
          <w:color w:val="auto"/>
          <w:sz w:val="24"/>
          <w:highlight w:val="none"/>
        </w:rPr>
        <w:t>特此承诺。</w:t>
      </w:r>
    </w:p>
    <w:p w14:paraId="06909B5A">
      <w:pPr>
        <w:pStyle w:val="18"/>
        <w:tabs>
          <w:tab w:val="left" w:pos="939"/>
        </w:tabs>
        <w:spacing w:line="360" w:lineRule="auto"/>
        <w:ind w:left="0" w:leftChars="0" w:firstLine="480" w:firstLineChars="200"/>
        <w:rPr>
          <w:rFonts w:ascii="宋体" w:cs="宋体"/>
          <w:color w:val="auto"/>
          <w:sz w:val="24"/>
          <w:highlight w:val="none"/>
        </w:rPr>
      </w:pPr>
    </w:p>
    <w:p w14:paraId="1EF04A26">
      <w:pPr>
        <w:spacing w:line="360" w:lineRule="auto"/>
        <w:ind w:firstLine="4320" w:firstLineChars="1800"/>
        <w:contextualSpacing/>
        <w:rPr>
          <w:rFonts w:ascii="宋体" w:cs="宋体"/>
          <w:color w:val="auto"/>
          <w:sz w:val="24"/>
          <w:highlight w:val="none"/>
        </w:rPr>
      </w:pPr>
      <w:r>
        <w:rPr>
          <w:rFonts w:hint="eastAsia" w:ascii="宋体" w:hAnsi="宋体" w:cs="宋体"/>
          <w:color w:val="auto"/>
          <w:sz w:val="24"/>
          <w:highlight w:val="none"/>
        </w:rPr>
        <w:t>法定代表人（签字）：</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1AA719AC">
      <w:pPr>
        <w:spacing w:line="360" w:lineRule="auto"/>
        <w:ind w:firstLine="4320" w:firstLineChars="1800"/>
        <w:contextualSpacing/>
        <w:rPr>
          <w:rFonts w:ascii="宋体" w:cs="宋体"/>
          <w:color w:val="auto"/>
          <w:sz w:val="24"/>
          <w:highlight w:val="none"/>
          <w:u w:val="single"/>
        </w:rPr>
      </w:pPr>
      <w:r>
        <w:rPr>
          <w:rFonts w:hint="eastAsia" w:ascii="宋体" w:hAnsi="宋体" w:cs="宋体"/>
          <w:color w:val="auto"/>
          <w:sz w:val="24"/>
          <w:highlight w:val="none"/>
        </w:rPr>
        <w:t>供应商（盖公章）：</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2CD64061">
      <w:pPr>
        <w:spacing w:line="360" w:lineRule="auto"/>
        <w:ind w:right="480" w:firstLine="240" w:firstLineChars="100"/>
        <w:contextualSpacing/>
        <w:jc w:val="center"/>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213C03B2">
      <w:pPr>
        <w:snapToGrid w:val="0"/>
        <w:spacing w:beforeLines="50" w:after="50" w:line="360" w:lineRule="auto"/>
        <w:ind w:right="480"/>
        <w:rPr>
          <w:rFonts w:ascii="宋体" w:cs="宋体"/>
          <w:b/>
          <w:color w:val="auto"/>
          <w:sz w:val="32"/>
          <w:szCs w:val="32"/>
          <w:highlight w:val="none"/>
        </w:rPr>
      </w:pPr>
      <w:r>
        <w:rPr>
          <w:rFonts w:ascii="宋体" w:cs="宋体"/>
          <w:color w:val="auto"/>
          <w:sz w:val="24"/>
          <w:highlight w:val="none"/>
        </w:rPr>
        <w:br w:type="page"/>
      </w:r>
      <w:r>
        <w:rPr>
          <w:rFonts w:hint="eastAsia" w:ascii="宋体" w:hAnsi="宋体" w:cs="宋体"/>
          <w:b/>
          <w:bCs/>
          <w:color w:val="auto"/>
          <w:sz w:val="32"/>
          <w:szCs w:val="32"/>
          <w:highlight w:val="none"/>
        </w:rPr>
        <w:t>二、</w:t>
      </w:r>
      <w:r>
        <w:rPr>
          <w:rFonts w:hint="eastAsia" w:ascii="宋体" w:hAnsi="宋体" w:cs="宋体"/>
          <w:b/>
          <w:color w:val="auto"/>
          <w:sz w:val="32"/>
          <w:szCs w:val="32"/>
          <w:highlight w:val="none"/>
        </w:rPr>
        <w:t>报价商务技术文件格式</w:t>
      </w:r>
    </w:p>
    <w:p w14:paraId="409330F9">
      <w:pPr>
        <w:snapToGrid w:val="0"/>
        <w:spacing w:beforeLines="50" w:after="50" w:line="360" w:lineRule="auto"/>
        <w:jc w:val="left"/>
        <w:rPr>
          <w:rFonts w:ascii="宋体" w:cs="宋体"/>
          <w:b/>
          <w:color w:val="auto"/>
          <w:sz w:val="32"/>
          <w:szCs w:val="32"/>
          <w:highlight w:val="none"/>
        </w:rPr>
      </w:pPr>
      <w:r>
        <w:rPr>
          <w:rFonts w:ascii="宋体" w:hAnsi="宋体" w:cs="宋体"/>
          <w:b/>
          <w:color w:val="auto"/>
          <w:sz w:val="32"/>
          <w:szCs w:val="32"/>
          <w:highlight w:val="none"/>
        </w:rPr>
        <w:t>1.</w:t>
      </w:r>
      <w:r>
        <w:rPr>
          <w:rFonts w:hint="eastAsia" w:ascii="宋体" w:hAnsi="宋体" w:cs="宋体"/>
          <w:b/>
          <w:color w:val="auto"/>
          <w:sz w:val="32"/>
          <w:szCs w:val="32"/>
          <w:highlight w:val="none"/>
        </w:rPr>
        <w:t>报价商务技术文件封面格式</w:t>
      </w:r>
    </w:p>
    <w:p w14:paraId="0D75BF78">
      <w:pPr>
        <w:snapToGrid w:val="0"/>
        <w:spacing w:beforeLines="50" w:after="50"/>
        <w:rPr>
          <w:rFonts w:ascii="宋体" w:cs="宋体"/>
          <w:bCs/>
          <w:color w:val="auto"/>
          <w:sz w:val="32"/>
          <w:szCs w:val="20"/>
          <w:highlight w:val="none"/>
        </w:rPr>
      </w:pPr>
      <w:r>
        <w:rPr>
          <w:rFonts w:ascii="宋体" w:hAnsi="宋体" w:cs="宋体"/>
          <w:color w:val="auto"/>
          <w:sz w:val="24"/>
          <w:highlight w:val="none"/>
        </w:rPr>
        <w:t xml:space="preserve">                                                   </w:t>
      </w:r>
    </w:p>
    <w:p w14:paraId="101284BB">
      <w:pPr>
        <w:snapToGrid w:val="0"/>
        <w:spacing w:beforeLines="50" w:after="50"/>
        <w:rPr>
          <w:rFonts w:ascii="宋体" w:cs="宋体"/>
          <w:color w:val="auto"/>
          <w:sz w:val="24"/>
          <w:szCs w:val="20"/>
          <w:highlight w:val="none"/>
        </w:rPr>
      </w:pPr>
    </w:p>
    <w:p w14:paraId="43829BFA">
      <w:pPr>
        <w:snapToGrid w:val="0"/>
        <w:spacing w:beforeLines="50" w:after="50"/>
        <w:jc w:val="center"/>
        <w:rPr>
          <w:rFonts w:ascii="宋体" w:cs="宋体"/>
          <w:bCs/>
          <w:color w:val="auto"/>
          <w:sz w:val="84"/>
          <w:szCs w:val="84"/>
          <w:highlight w:val="none"/>
        </w:rPr>
      </w:pPr>
      <w:r>
        <w:rPr>
          <w:rFonts w:hint="eastAsia" w:ascii="宋体" w:hAnsi="宋体" w:cs="宋体"/>
          <w:bCs/>
          <w:color w:val="auto"/>
          <w:sz w:val="84"/>
          <w:szCs w:val="84"/>
          <w:highlight w:val="none"/>
        </w:rPr>
        <w:t>响</w:t>
      </w:r>
      <w:r>
        <w:rPr>
          <w:rFonts w:ascii="宋体" w:hAnsi="宋体" w:cs="宋体"/>
          <w:bCs/>
          <w:color w:val="auto"/>
          <w:sz w:val="84"/>
          <w:szCs w:val="84"/>
          <w:highlight w:val="none"/>
        </w:rPr>
        <w:t xml:space="preserve">  </w:t>
      </w:r>
      <w:r>
        <w:rPr>
          <w:rFonts w:hint="eastAsia" w:ascii="宋体" w:hAnsi="宋体" w:cs="宋体"/>
          <w:bCs/>
          <w:color w:val="auto"/>
          <w:sz w:val="84"/>
          <w:szCs w:val="84"/>
          <w:highlight w:val="none"/>
        </w:rPr>
        <w:t>应</w:t>
      </w:r>
      <w:r>
        <w:rPr>
          <w:rFonts w:ascii="宋体" w:hAnsi="宋体" w:cs="宋体"/>
          <w:bCs/>
          <w:color w:val="auto"/>
          <w:sz w:val="84"/>
          <w:szCs w:val="84"/>
          <w:highlight w:val="none"/>
        </w:rPr>
        <w:t xml:space="preserve">  </w:t>
      </w:r>
      <w:r>
        <w:rPr>
          <w:rFonts w:hint="eastAsia" w:ascii="宋体" w:hAnsi="宋体" w:cs="宋体"/>
          <w:bCs/>
          <w:color w:val="auto"/>
          <w:sz w:val="84"/>
          <w:szCs w:val="84"/>
          <w:highlight w:val="none"/>
        </w:rPr>
        <w:t>文</w:t>
      </w:r>
      <w:r>
        <w:rPr>
          <w:rFonts w:ascii="宋体" w:hAnsi="宋体" w:cs="宋体"/>
          <w:bCs/>
          <w:color w:val="auto"/>
          <w:sz w:val="84"/>
          <w:szCs w:val="84"/>
          <w:highlight w:val="none"/>
        </w:rPr>
        <w:t xml:space="preserve">  </w:t>
      </w:r>
      <w:r>
        <w:rPr>
          <w:rFonts w:hint="eastAsia" w:ascii="宋体" w:hAnsi="宋体" w:cs="宋体"/>
          <w:bCs/>
          <w:color w:val="auto"/>
          <w:sz w:val="84"/>
          <w:szCs w:val="84"/>
          <w:highlight w:val="none"/>
        </w:rPr>
        <w:t>件</w:t>
      </w:r>
    </w:p>
    <w:p w14:paraId="5122626E">
      <w:pPr>
        <w:snapToGrid w:val="0"/>
        <w:spacing w:beforeLines="50" w:after="50"/>
        <w:jc w:val="center"/>
        <w:rPr>
          <w:rFonts w:ascii="宋体" w:cs="宋体"/>
          <w:bCs/>
          <w:color w:val="auto"/>
          <w:sz w:val="32"/>
          <w:szCs w:val="32"/>
          <w:highlight w:val="none"/>
        </w:rPr>
      </w:pPr>
      <w:r>
        <w:rPr>
          <w:rFonts w:hint="eastAsia" w:ascii="宋体" w:hAnsi="宋体" w:cs="宋体"/>
          <w:bCs/>
          <w:color w:val="auto"/>
          <w:sz w:val="32"/>
          <w:szCs w:val="32"/>
          <w:highlight w:val="none"/>
        </w:rPr>
        <w:t>报</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价</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商</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务</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技</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术</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文</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件</w:t>
      </w:r>
    </w:p>
    <w:p w14:paraId="1A92F627">
      <w:pPr>
        <w:snapToGrid w:val="0"/>
        <w:spacing w:beforeLines="50" w:after="50"/>
        <w:rPr>
          <w:rFonts w:ascii="宋体" w:cs="宋体"/>
          <w:bCs/>
          <w:color w:val="auto"/>
          <w:sz w:val="24"/>
          <w:szCs w:val="20"/>
          <w:highlight w:val="none"/>
        </w:rPr>
      </w:pPr>
    </w:p>
    <w:p w14:paraId="63AD94AF">
      <w:pPr>
        <w:snapToGrid w:val="0"/>
        <w:spacing w:beforeLines="50" w:after="50"/>
        <w:rPr>
          <w:rFonts w:ascii="宋体" w:cs="宋体"/>
          <w:bCs/>
          <w:color w:val="auto"/>
          <w:sz w:val="24"/>
          <w:szCs w:val="20"/>
          <w:highlight w:val="none"/>
        </w:rPr>
      </w:pPr>
    </w:p>
    <w:p w14:paraId="1A998AC0">
      <w:pPr>
        <w:snapToGrid w:val="0"/>
        <w:spacing w:beforeLines="50" w:after="50"/>
        <w:rPr>
          <w:rFonts w:ascii="宋体" w:cs="宋体"/>
          <w:bCs/>
          <w:color w:val="auto"/>
          <w:sz w:val="24"/>
          <w:szCs w:val="20"/>
          <w:highlight w:val="none"/>
        </w:rPr>
      </w:pPr>
    </w:p>
    <w:p w14:paraId="1A97269F">
      <w:pPr>
        <w:snapToGrid w:val="0"/>
        <w:spacing w:beforeLines="50" w:after="50"/>
        <w:rPr>
          <w:rFonts w:ascii="宋体" w:cs="宋体"/>
          <w:bCs/>
          <w:color w:val="auto"/>
          <w:sz w:val="24"/>
          <w:szCs w:val="20"/>
          <w:highlight w:val="none"/>
        </w:rPr>
      </w:pPr>
    </w:p>
    <w:p w14:paraId="79EC65F1">
      <w:pPr>
        <w:snapToGrid w:val="0"/>
        <w:spacing w:beforeLines="50" w:after="50"/>
        <w:rPr>
          <w:rFonts w:ascii="宋体" w:cs="宋体"/>
          <w:bCs/>
          <w:color w:val="auto"/>
          <w:sz w:val="24"/>
          <w:szCs w:val="20"/>
          <w:highlight w:val="none"/>
        </w:rPr>
      </w:pPr>
    </w:p>
    <w:p w14:paraId="55F488C5">
      <w:pPr>
        <w:snapToGrid w:val="0"/>
        <w:spacing w:beforeLines="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项目名称：</w:t>
      </w:r>
    </w:p>
    <w:p w14:paraId="05E0F536">
      <w:pPr>
        <w:snapToGrid w:val="0"/>
        <w:spacing w:beforeLines="50" w:after="50"/>
        <w:ind w:firstLine="720" w:firstLineChars="225"/>
        <w:rPr>
          <w:rFonts w:ascii="宋体" w:cs="宋体"/>
          <w:bCs/>
          <w:color w:val="auto"/>
          <w:sz w:val="32"/>
          <w:szCs w:val="32"/>
          <w:highlight w:val="none"/>
        </w:rPr>
      </w:pPr>
    </w:p>
    <w:p w14:paraId="477A9459">
      <w:pPr>
        <w:snapToGrid w:val="0"/>
        <w:spacing w:beforeLines="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项目编号：</w:t>
      </w:r>
    </w:p>
    <w:p w14:paraId="2395A7FD">
      <w:pPr>
        <w:snapToGrid w:val="0"/>
        <w:spacing w:beforeLines="50" w:after="50"/>
        <w:ind w:firstLine="720" w:firstLineChars="225"/>
        <w:rPr>
          <w:rFonts w:ascii="宋体" w:cs="宋体"/>
          <w:bCs/>
          <w:color w:val="auto"/>
          <w:sz w:val="32"/>
          <w:szCs w:val="32"/>
          <w:highlight w:val="none"/>
        </w:rPr>
      </w:pPr>
      <w:r>
        <w:rPr>
          <w:rFonts w:ascii="宋体" w:hAnsi="宋体" w:cs="宋体"/>
          <w:bCs/>
          <w:color w:val="auto"/>
          <w:sz w:val="32"/>
          <w:szCs w:val="32"/>
          <w:highlight w:val="none"/>
        </w:rPr>
        <w:t xml:space="preserve"> </w:t>
      </w:r>
    </w:p>
    <w:p w14:paraId="16E95ED2">
      <w:pPr>
        <w:snapToGrid w:val="0"/>
        <w:spacing w:beforeLines="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所竞分标：</w:t>
      </w:r>
    </w:p>
    <w:p w14:paraId="50D74E76">
      <w:pPr>
        <w:snapToGrid w:val="0"/>
        <w:spacing w:beforeLines="50" w:after="50"/>
        <w:ind w:firstLine="720" w:firstLineChars="225"/>
        <w:rPr>
          <w:rFonts w:ascii="宋体" w:cs="宋体"/>
          <w:bCs/>
          <w:color w:val="auto"/>
          <w:sz w:val="32"/>
          <w:szCs w:val="32"/>
          <w:highlight w:val="none"/>
        </w:rPr>
      </w:pPr>
    </w:p>
    <w:p w14:paraId="0E0D2BF6">
      <w:pPr>
        <w:pStyle w:val="2"/>
        <w:snapToGrid w:val="0"/>
        <w:spacing w:before="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供应商名称：</w:t>
      </w:r>
    </w:p>
    <w:p w14:paraId="1DD5D162">
      <w:pPr>
        <w:pStyle w:val="2"/>
        <w:snapToGrid w:val="0"/>
        <w:spacing w:before="50" w:after="50"/>
        <w:ind w:firstLine="720" w:firstLineChars="225"/>
        <w:rPr>
          <w:rFonts w:ascii="宋体" w:cs="宋体"/>
          <w:bCs/>
          <w:color w:val="auto"/>
          <w:sz w:val="32"/>
          <w:szCs w:val="32"/>
          <w:highlight w:val="none"/>
        </w:rPr>
      </w:pPr>
    </w:p>
    <w:p w14:paraId="78AC1F06">
      <w:pPr>
        <w:pStyle w:val="2"/>
        <w:snapToGrid w:val="0"/>
        <w:spacing w:before="50" w:after="50"/>
        <w:ind w:firstLine="720" w:firstLineChars="225"/>
        <w:rPr>
          <w:rFonts w:ascii="宋体" w:cs="宋体"/>
          <w:bCs/>
          <w:color w:val="auto"/>
          <w:sz w:val="32"/>
          <w:szCs w:val="32"/>
          <w:highlight w:val="none"/>
        </w:rPr>
      </w:pPr>
    </w:p>
    <w:p w14:paraId="600E0D7C">
      <w:pPr>
        <w:pStyle w:val="2"/>
        <w:snapToGrid w:val="0"/>
        <w:spacing w:before="50" w:after="50"/>
        <w:ind w:firstLine="1280" w:firstLineChars="400"/>
        <w:rPr>
          <w:rFonts w:ascii="宋体" w:cs="宋体"/>
          <w:bCs/>
          <w:color w:val="auto"/>
          <w:sz w:val="32"/>
          <w:szCs w:val="32"/>
          <w:highlight w:val="none"/>
        </w:rPr>
      </w:pPr>
    </w:p>
    <w:p w14:paraId="3A18476E">
      <w:pPr>
        <w:snapToGrid w:val="0"/>
        <w:spacing w:beforeLines="50" w:after="50"/>
        <w:jc w:val="center"/>
        <w:rPr>
          <w:rFonts w:ascii="宋体" w:cs="宋体"/>
          <w:color w:val="auto"/>
          <w:sz w:val="32"/>
          <w:szCs w:val="32"/>
          <w:highlight w:val="none"/>
        </w:rPr>
      </w:pPr>
      <w:r>
        <w:rPr>
          <w:rFonts w:hint="eastAsia" w:ascii="宋体" w:hAnsi="宋体" w:cs="宋体"/>
          <w:color w:val="auto"/>
          <w:sz w:val="32"/>
          <w:szCs w:val="32"/>
          <w:highlight w:val="none"/>
        </w:rPr>
        <w:t>年</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月</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日</w:t>
      </w:r>
    </w:p>
    <w:p w14:paraId="5E6F43FB">
      <w:pPr>
        <w:snapToGrid w:val="0"/>
        <w:spacing w:beforeLines="50" w:after="50" w:line="360" w:lineRule="auto"/>
        <w:ind w:left="142"/>
        <w:jc w:val="left"/>
        <w:rPr>
          <w:rFonts w:ascii="宋体" w:cs="宋体"/>
          <w:b/>
          <w:bCs/>
          <w:color w:val="auto"/>
          <w:sz w:val="24"/>
          <w:highlight w:val="none"/>
        </w:rPr>
      </w:pPr>
      <w:r>
        <w:rPr>
          <w:rFonts w:ascii="宋体" w:cs="宋体"/>
          <w:color w:val="auto"/>
          <w:sz w:val="24"/>
          <w:highlight w:val="none"/>
        </w:rPr>
        <w:br w:type="page"/>
      </w:r>
      <w:r>
        <w:rPr>
          <w:rFonts w:ascii="宋体" w:hAnsi="宋体" w:cs="宋体"/>
          <w:b/>
          <w:bCs/>
          <w:color w:val="auto"/>
          <w:sz w:val="32"/>
          <w:szCs w:val="32"/>
          <w:highlight w:val="none"/>
        </w:rPr>
        <w:t>2.</w:t>
      </w:r>
      <w:r>
        <w:rPr>
          <w:rFonts w:hint="eastAsia" w:ascii="宋体" w:hAnsi="宋体" w:cs="宋体"/>
          <w:b/>
          <w:bCs/>
          <w:color w:val="auto"/>
          <w:sz w:val="32"/>
          <w:szCs w:val="32"/>
          <w:highlight w:val="none"/>
        </w:rPr>
        <w:t>报价商务技术文件目录</w:t>
      </w:r>
    </w:p>
    <w:p w14:paraId="2B6A3709">
      <w:pPr>
        <w:snapToGrid w:val="0"/>
        <w:spacing w:beforeLines="50" w:after="50" w:line="360" w:lineRule="auto"/>
        <w:ind w:firstLine="640" w:firstLineChars="200"/>
        <w:rPr>
          <w:rFonts w:ascii="宋体" w:cs="宋体"/>
          <w:color w:val="auto"/>
          <w:sz w:val="32"/>
          <w:szCs w:val="32"/>
          <w:highlight w:val="none"/>
        </w:rPr>
      </w:pPr>
      <w:r>
        <w:rPr>
          <w:rFonts w:hint="eastAsia" w:ascii="宋体" w:hAnsi="宋体" w:cs="宋体"/>
          <w:color w:val="auto"/>
          <w:sz w:val="32"/>
          <w:szCs w:val="32"/>
          <w:highlight w:val="none"/>
        </w:rPr>
        <w:t>根据磋商文件规定及供应商提供的材料自行编写目录（部分格式后附）。</w:t>
      </w:r>
    </w:p>
    <w:p w14:paraId="780812BD">
      <w:pPr>
        <w:spacing w:line="400" w:lineRule="exact"/>
        <w:rPr>
          <w:rFonts w:ascii="宋体" w:cs="宋体"/>
          <w:color w:val="auto"/>
          <w:sz w:val="32"/>
          <w:szCs w:val="32"/>
          <w:highlight w:val="none"/>
        </w:rPr>
      </w:pPr>
    </w:p>
    <w:p w14:paraId="7446F960">
      <w:pPr>
        <w:spacing w:line="520" w:lineRule="exact"/>
        <w:jc w:val="center"/>
        <w:rPr>
          <w:rFonts w:ascii="宋体" w:cs="宋体"/>
          <w:color w:val="auto"/>
          <w:sz w:val="32"/>
          <w:szCs w:val="32"/>
          <w:highlight w:val="none"/>
        </w:rPr>
      </w:pPr>
      <w:r>
        <w:rPr>
          <w:rFonts w:ascii="宋体" w:cs="宋体"/>
          <w:color w:val="auto"/>
          <w:sz w:val="44"/>
          <w:szCs w:val="44"/>
          <w:highlight w:val="none"/>
        </w:rPr>
        <w:br w:type="page"/>
      </w:r>
      <w:r>
        <w:rPr>
          <w:rFonts w:hint="eastAsia" w:ascii="宋体" w:hAnsi="宋体" w:cs="宋体"/>
          <w:color w:val="auto"/>
          <w:sz w:val="44"/>
          <w:szCs w:val="44"/>
          <w:highlight w:val="none"/>
        </w:rPr>
        <w:t>无串通竞标行为的承诺函</w:t>
      </w:r>
    </w:p>
    <w:p w14:paraId="48508FDC">
      <w:pPr>
        <w:spacing w:line="360" w:lineRule="auto"/>
        <w:ind w:firstLine="640" w:firstLineChars="200"/>
        <w:contextualSpacing/>
        <w:rPr>
          <w:rFonts w:ascii="宋体" w:cs="宋体"/>
          <w:color w:val="auto"/>
          <w:sz w:val="32"/>
          <w:szCs w:val="32"/>
          <w:highlight w:val="none"/>
        </w:rPr>
      </w:pPr>
    </w:p>
    <w:p w14:paraId="2DA73123">
      <w:pPr>
        <w:spacing w:line="360" w:lineRule="auto"/>
        <w:ind w:firstLine="482" w:firstLineChars="200"/>
        <w:contextualSpacing/>
        <w:rPr>
          <w:rFonts w:ascii="宋体" w:cs="宋体"/>
          <w:b/>
          <w:bCs/>
          <w:color w:val="auto"/>
          <w:sz w:val="24"/>
          <w:highlight w:val="none"/>
        </w:rPr>
      </w:pPr>
      <w:r>
        <w:rPr>
          <w:rFonts w:hint="eastAsia" w:ascii="宋体" w:hAnsi="宋体" w:cs="宋体"/>
          <w:b/>
          <w:bCs/>
          <w:color w:val="auto"/>
          <w:sz w:val="24"/>
          <w:highlight w:val="none"/>
        </w:rPr>
        <w:t>一、我方承诺无下列相互串通竞标的情形：</w:t>
      </w:r>
    </w:p>
    <w:p w14:paraId="3694C82D">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不同供应商的响应文件由同一单位或者个人编制；</w:t>
      </w:r>
      <w:r>
        <w:rPr>
          <w:rFonts w:ascii="宋体" w:hAnsi="宋体" w:cs="宋体"/>
          <w:color w:val="auto"/>
          <w:sz w:val="24"/>
          <w:highlight w:val="none"/>
        </w:rPr>
        <w:t xml:space="preserve"> </w:t>
      </w:r>
    </w:p>
    <w:p w14:paraId="1488201C">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不同供应商委托同一单位或者个人办理竞标事宜；</w:t>
      </w:r>
    </w:p>
    <w:p w14:paraId="378D2F50">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不同供应商的响应文件载明的项目管理员为同一个人；</w:t>
      </w:r>
    </w:p>
    <w:p w14:paraId="0A148468">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不</w:t>
      </w:r>
      <w:r>
        <w:rPr>
          <w:rFonts w:hint="eastAsia" w:ascii="宋体" w:hAnsi="宋体" w:cs="宋体"/>
          <w:color w:val="auto"/>
          <w:spacing w:val="-6"/>
          <w:sz w:val="24"/>
          <w:highlight w:val="none"/>
        </w:rPr>
        <w:t>同供应商的响应文件异常一致或者竞标报价呈规律性差异；</w:t>
      </w:r>
    </w:p>
    <w:p w14:paraId="0BB58A4C">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不同供应商的响应文件相互混装；</w:t>
      </w:r>
    </w:p>
    <w:p w14:paraId="1F076FE3">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不同供应商的磋商保证金从同一单位或者个人账户转出。</w:t>
      </w:r>
    </w:p>
    <w:p w14:paraId="6F7C21DE">
      <w:pPr>
        <w:spacing w:line="360" w:lineRule="auto"/>
        <w:ind w:firstLine="482" w:firstLineChars="200"/>
        <w:contextualSpacing/>
        <w:rPr>
          <w:rFonts w:ascii="宋体" w:cs="宋体"/>
          <w:b/>
          <w:bCs/>
          <w:color w:val="auto"/>
          <w:sz w:val="24"/>
          <w:highlight w:val="none"/>
        </w:rPr>
      </w:pPr>
      <w:r>
        <w:rPr>
          <w:rFonts w:hint="eastAsia" w:ascii="宋体" w:hAnsi="宋体" w:cs="宋体"/>
          <w:b/>
          <w:bCs/>
          <w:color w:val="auto"/>
          <w:sz w:val="24"/>
          <w:highlight w:val="none"/>
        </w:rPr>
        <w:t>二、我方承诺无下列恶意串通的情形：</w:t>
      </w:r>
    </w:p>
    <w:p w14:paraId="18378AF9">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供应商直接或者间接从采购人或者采购代理机构处获得其他供应商的相关信息并修改其响应文件；</w:t>
      </w:r>
    </w:p>
    <w:p w14:paraId="4FB3C5D4">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供应商按照采购人或者采购代理机构的授意撤换、修改响应文件；</w:t>
      </w:r>
    </w:p>
    <w:p w14:paraId="2C61AC75">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供</w:t>
      </w:r>
      <w:r>
        <w:rPr>
          <w:rFonts w:hint="eastAsia" w:ascii="宋体" w:hAnsi="宋体" w:cs="宋体"/>
          <w:color w:val="auto"/>
          <w:spacing w:val="-6"/>
          <w:sz w:val="24"/>
          <w:highlight w:val="none"/>
        </w:rPr>
        <w:t>应商之间协商报价、技术方案等响应文件的实质性内容；</w:t>
      </w:r>
    </w:p>
    <w:p w14:paraId="51BD51FB">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属于同一集团、协会、商会等组织成员的供应商按照该组织要求协同参加政府采购活动；</w:t>
      </w:r>
    </w:p>
    <w:p w14:paraId="5A582147">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供应商之间事先约定一致抬高或者压低竞标报价，或者在竞争性磋商项目中事先约定轮流以高价位或者低价位成交，或者事先约定由某一特定供应商成交，然后再参加竞标；</w:t>
      </w:r>
    </w:p>
    <w:p w14:paraId="3140C3DC">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供应商之间商定部分供应商放弃参加政府采购活动或者放弃成交；</w:t>
      </w:r>
    </w:p>
    <w:p w14:paraId="6A025C69">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14:paraId="1F6F7CA1">
      <w:pPr>
        <w:spacing w:line="360" w:lineRule="auto"/>
        <w:ind w:firstLine="480" w:firstLineChars="200"/>
        <w:contextualSpacing/>
        <w:rPr>
          <w:rFonts w:ascii="宋体" w:cs="宋体"/>
          <w:color w:val="auto"/>
          <w:sz w:val="24"/>
          <w:highlight w:val="none"/>
        </w:rPr>
      </w:pPr>
    </w:p>
    <w:p w14:paraId="47D0F1A8">
      <w:pPr>
        <w:spacing w:line="360" w:lineRule="auto"/>
        <w:ind w:firstLine="482" w:firstLineChars="200"/>
        <w:contextualSpacing/>
        <w:rPr>
          <w:rFonts w:ascii="宋体" w:cs="宋体"/>
          <w:b/>
          <w:bCs/>
          <w:color w:val="auto"/>
          <w:sz w:val="24"/>
          <w:highlight w:val="none"/>
        </w:rPr>
      </w:pPr>
      <w:r>
        <w:rPr>
          <w:rFonts w:hint="eastAsia" w:ascii="宋体" w:hAnsi="宋体" w:cs="宋体"/>
          <w:b/>
          <w:bCs/>
          <w:color w:val="auto"/>
          <w:sz w:val="24"/>
          <w:highlight w:val="none"/>
        </w:rPr>
        <w:t>以上情形一经核查属实，我方愿意承担一切后果，并不再寻求任何旨在减轻或者免除法律责任的辩解。</w:t>
      </w:r>
    </w:p>
    <w:p w14:paraId="165C3BE8">
      <w:pPr>
        <w:spacing w:line="360" w:lineRule="auto"/>
        <w:contextualSpacing/>
        <w:rPr>
          <w:rFonts w:ascii="宋体" w:cs="宋体"/>
          <w:color w:val="auto"/>
          <w:sz w:val="24"/>
          <w:highlight w:val="none"/>
        </w:rPr>
      </w:pPr>
    </w:p>
    <w:p w14:paraId="0127D225">
      <w:pPr>
        <w:spacing w:line="360" w:lineRule="auto"/>
        <w:ind w:firstLine="3600" w:firstLineChars="1500"/>
        <w:contextualSpacing/>
        <w:rPr>
          <w:rFonts w:ascii="宋体" w:cs="宋体"/>
          <w:color w:val="auto"/>
          <w:sz w:val="24"/>
          <w:highlight w:val="none"/>
        </w:rPr>
      </w:pPr>
      <w:r>
        <w:rPr>
          <w:rFonts w:hint="eastAsia" w:ascii="宋体" w:hAnsi="宋体" w:cs="宋体"/>
          <w:color w:val="auto"/>
          <w:sz w:val="24"/>
          <w:highlight w:val="none"/>
        </w:rPr>
        <w:t>供应商（盖公章）：</w:t>
      </w:r>
    </w:p>
    <w:p w14:paraId="17D784AA">
      <w:pPr>
        <w:spacing w:line="360" w:lineRule="auto"/>
        <w:ind w:firstLine="480" w:firstLineChars="200"/>
        <w:contextualSpacing/>
        <w:jc w:val="center"/>
        <w:rPr>
          <w:rFonts w:ascii="宋体" w:cs="宋体"/>
          <w:color w:val="auto"/>
          <w:sz w:val="32"/>
          <w:szCs w:val="32"/>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21F5D489">
      <w:pPr>
        <w:pStyle w:val="24"/>
        <w:tabs>
          <w:tab w:val="right" w:leader="dot" w:pos="8398"/>
        </w:tabs>
        <w:rPr>
          <w:color w:val="auto"/>
          <w:highlight w:val="none"/>
        </w:rPr>
      </w:pPr>
      <w:r>
        <w:rPr>
          <w:rFonts w:ascii="宋体" w:cs="宋体"/>
          <w:bCs/>
          <w:color w:val="auto"/>
          <w:sz w:val="44"/>
          <w:szCs w:val="44"/>
          <w:highlight w:val="none"/>
        </w:rPr>
        <w:br w:type="page"/>
      </w:r>
    </w:p>
    <w:p w14:paraId="0EAFA444">
      <w:pPr>
        <w:spacing w:line="520" w:lineRule="exact"/>
        <w:jc w:val="center"/>
        <w:rPr>
          <w:rFonts w:ascii="宋体" w:cs="宋体"/>
          <w:bCs/>
          <w:color w:val="auto"/>
          <w:sz w:val="32"/>
          <w:szCs w:val="32"/>
          <w:highlight w:val="none"/>
        </w:rPr>
      </w:pPr>
      <w:r>
        <w:rPr>
          <w:rFonts w:hint="eastAsia" w:ascii="宋体" w:hAnsi="宋体" w:cs="宋体"/>
          <w:bCs/>
          <w:color w:val="auto"/>
          <w:sz w:val="44"/>
          <w:szCs w:val="44"/>
          <w:highlight w:val="none"/>
        </w:rPr>
        <w:t>竞</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标</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报</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价</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表</w:t>
      </w:r>
    </w:p>
    <w:p w14:paraId="03FA49BD">
      <w:pPr>
        <w:spacing w:line="440" w:lineRule="exact"/>
        <w:jc w:val="center"/>
        <w:rPr>
          <w:rFonts w:ascii="宋体" w:cs="宋体"/>
          <w:bCs/>
          <w:color w:val="auto"/>
          <w:sz w:val="32"/>
          <w:szCs w:val="32"/>
          <w:highlight w:val="none"/>
        </w:rPr>
      </w:pPr>
    </w:p>
    <w:p w14:paraId="4313325B">
      <w:pPr>
        <w:spacing w:line="360" w:lineRule="auto"/>
        <w:contextualSpacing/>
        <w:rPr>
          <w:rFonts w:ascii="宋体" w:cs="宋体"/>
          <w:color w:val="auto"/>
          <w:sz w:val="24"/>
          <w:highlight w:val="none"/>
        </w:rPr>
      </w:pPr>
      <w:r>
        <w:rPr>
          <w:rFonts w:hint="eastAsia" w:ascii="宋体" w:hAnsi="宋体" w:cs="宋体"/>
          <w:color w:val="auto"/>
          <w:sz w:val="24"/>
          <w:highlight w:val="none"/>
        </w:rPr>
        <w:t>项目名称：</w:t>
      </w:r>
      <w:r>
        <w:rPr>
          <w:rFonts w:ascii="宋体" w:hAnsi="宋体" w:cs="宋体"/>
          <w:color w:val="auto"/>
          <w:sz w:val="24"/>
          <w:highlight w:val="none"/>
          <w:u w:val="single"/>
        </w:rPr>
        <w:t xml:space="preserve">                </w:t>
      </w:r>
      <w:r>
        <w:rPr>
          <w:rFonts w:hint="eastAsia" w:ascii="宋体" w:hAnsi="宋体" w:cs="宋体"/>
          <w:color w:val="auto"/>
          <w:sz w:val="24"/>
          <w:highlight w:val="none"/>
        </w:rPr>
        <w:t>项目编号：</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分标号：</w:t>
      </w:r>
      <w:r>
        <w:rPr>
          <w:rFonts w:ascii="宋体" w:hAnsi="宋体" w:cs="宋体"/>
          <w:color w:val="auto"/>
          <w:sz w:val="24"/>
          <w:highlight w:val="none"/>
          <w:u w:val="single"/>
        </w:rPr>
        <w:t xml:space="preserve">        </w:t>
      </w:r>
    </w:p>
    <w:p w14:paraId="3FC6213A">
      <w:pPr>
        <w:spacing w:line="360" w:lineRule="auto"/>
        <w:contextualSpacing/>
        <w:rPr>
          <w:rFonts w:ascii="宋体" w:cs="宋体"/>
          <w:color w:val="auto"/>
          <w:sz w:val="24"/>
          <w:highlight w:val="none"/>
        </w:rPr>
      </w:pPr>
      <w:r>
        <w:rPr>
          <w:rFonts w:hint="eastAsia" w:ascii="宋体" w:hAnsi="宋体" w:cs="宋体"/>
          <w:color w:val="auto"/>
          <w:sz w:val="24"/>
          <w:highlight w:val="none"/>
        </w:rPr>
        <w:t>供应商名称：</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720A6A26">
      <w:pPr>
        <w:spacing w:line="360" w:lineRule="auto"/>
        <w:contextualSpacing/>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单位：元</w:t>
      </w:r>
    </w:p>
    <w:tbl>
      <w:tblPr>
        <w:tblStyle w:val="32"/>
        <w:tblW w:w="993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633"/>
        <w:gridCol w:w="1009"/>
        <w:gridCol w:w="767"/>
        <w:gridCol w:w="2044"/>
        <w:gridCol w:w="1303"/>
        <w:gridCol w:w="1327"/>
      </w:tblGrid>
      <w:tr w14:paraId="14C20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850" w:type="dxa"/>
            <w:vAlign w:val="center"/>
          </w:tcPr>
          <w:p w14:paraId="5910A7BB">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序号</w:t>
            </w:r>
          </w:p>
        </w:tc>
        <w:tc>
          <w:tcPr>
            <w:tcW w:w="2633" w:type="dxa"/>
            <w:vAlign w:val="center"/>
          </w:tcPr>
          <w:p w14:paraId="36B518C5">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标的名称</w:t>
            </w:r>
          </w:p>
        </w:tc>
        <w:tc>
          <w:tcPr>
            <w:tcW w:w="1009" w:type="dxa"/>
            <w:vAlign w:val="center"/>
          </w:tcPr>
          <w:p w14:paraId="6DB167F8">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数量</w:t>
            </w:r>
          </w:p>
        </w:tc>
        <w:tc>
          <w:tcPr>
            <w:tcW w:w="767" w:type="dxa"/>
            <w:vAlign w:val="center"/>
          </w:tcPr>
          <w:p w14:paraId="5D160FC0">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单位</w:t>
            </w:r>
          </w:p>
        </w:tc>
        <w:tc>
          <w:tcPr>
            <w:tcW w:w="2044" w:type="dxa"/>
            <w:vAlign w:val="center"/>
          </w:tcPr>
          <w:p w14:paraId="6AC3120F">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单价</w:t>
            </w:r>
          </w:p>
        </w:tc>
        <w:tc>
          <w:tcPr>
            <w:tcW w:w="1303" w:type="dxa"/>
            <w:vAlign w:val="center"/>
          </w:tcPr>
          <w:p w14:paraId="7DD6C6E9">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总价</w:t>
            </w:r>
          </w:p>
        </w:tc>
        <w:tc>
          <w:tcPr>
            <w:tcW w:w="1327" w:type="dxa"/>
            <w:vAlign w:val="center"/>
          </w:tcPr>
          <w:p w14:paraId="3AAA9613">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备注</w:t>
            </w:r>
          </w:p>
        </w:tc>
      </w:tr>
      <w:tr w14:paraId="1DE36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850" w:type="dxa"/>
            <w:vAlign w:val="center"/>
          </w:tcPr>
          <w:p w14:paraId="2A93D2EE">
            <w:pPr>
              <w:spacing w:line="360" w:lineRule="auto"/>
              <w:contextualSpacing/>
              <w:jc w:val="center"/>
              <w:rPr>
                <w:rFonts w:ascii="宋体" w:cs="宋体"/>
                <w:color w:val="auto"/>
                <w:sz w:val="24"/>
                <w:highlight w:val="none"/>
              </w:rPr>
            </w:pPr>
            <w:r>
              <w:rPr>
                <w:rFonts w:ascii="宋体" w:hAnsi="宋体" w:cs="宋体"/>
                <w:color w:val="auto"/>
                <w:sz w:val="24"/>
                <w:highlight w:val="none"/>
              </w:rPr>
              <w:t>1</w:t>
            </w:r>
          </w:p>
        </w:tc>
        <w:tc>
          <w:tcPr>
            <w:tcW w:w="2633" w:type="dxa"/>
            <w:vAlign w:val="center"/>
          </w:tcPr>
          <w:p w14:paraId="34B52D76">
            <w:pPr>
              <w:spacing w:line="360" w:lineRule="auto"/>
              <w:contextualSpacing/>
              <w:jc w:val="center"/>
              <w:rPr>
                <w:rFonts w:ascii="宋体" w:cs="宋体"/>
                <w:color w:val="auto"/>
                <w:sz w:val="24"/>
                <w:highlight w:val="none"/>
              </w:rPr>
            </w:pPr>
          </w:p>
        </w:tc>
        <w:tc>
          <w:tcPr>
            <w:tcW w:w="1009" w:type="dxa"/>
            <w:vAlign w:val="center"/>
          </w:tcPr>
          <w:p w14:paraId="1AABD3E1">
            <w:pPr>
              <w:spacing w:line="360" w:lineRule="auto"/>
              <w:contextualSpacing/>
              <w:jc w:val="center"/>
              <w:rPr>
                <w:rFonts w:ascii="宋体" w:cs="宋体"/>
                <w:color w:val="auto"/>
                <w:sz w:val="24"/>
                <w:highlight w:val="none"/>
              </w:rPr>
            </w:pPr>
          </w:p>
        </w:tc>
        <w:tc>
          <w:tcPr>
            <w:tcW w:w="767" w:type="dxa"/>
          </w:tcPr>
          <w:p w14:paraId="37B81904">
            <w:pPr>
              <w:spacing w:line="360" w:lineRule="auto"/>
              <w:contextualSpacing/>
              <w:rPr>
                <w:rFonts w:ascii="宋体" w:cs="宋体"/>
                <w:color w:val="auto"/>
                <w:sz w:val="24"/>
                <w:highlight w:val="none"/>
              </w:rPr>
            </w:pPr>
          </w:p>
        </w:tc>
        <w:tc>
          <w:tcPr>
            <w:tcW w:w="2044" w:type="dxa"/>
          </w:tcPr>
          <w:p w14:paraId="2E73BD10">
            <w:pPr>
              <w:spacing w:line="360" w:lineRule="auto"/>
              <w:contextualSpacing/>
              <w:rPr>
                <w:rFonts w:ascii="宋体" w:cs="宋体"/>
                <w:color w:val="auto"/>
                <w:sz w:val="24"/>
                <w:highlight w:val="none"/>
              </w:rPr>
            </w:pPr>
          </w:p>
        </w:tc>
        <w:tc>
          <w:tcPr>
            <w:tcW w:w="1303" w:type="dxa"/>
          </w:tcPr>
          <w:p w14:paraId="42E8A26C">
            <w:pPr>
              <w:spacing w:line="360" w:lineRule="auto"/>
              <w:contextualSpacing/>
              <w:rPr>
                <w:rFonts w:ascii="宋体" w:cs="宋体"/>
                <w:color w:val="auto"/>
                <w:sz w:val="24"/>
                <w:highlight w:val="none"/>
              </w:rPr>
            </w:pPr>
          </w:p>
        </w:tc>
        <w:tc>
          <w:tcPr>
            <w:tcW w:w="1327" w:type="dxa"/>
            <w:vAlign w:val="center"/>
          </w:tcPr>
          <w:p w14:paraId="678A745D">
            <w:pPr>
              <w:spacing w:line="360" w:lineRule="auto"/>
              <w:contextualSpacing/>
              <w:rPr>
                <w:rFonts w:ascii="宋体" w:cs="宋体"/>
                <w:color w:val="auto"/>
                <w:sz w:val="24"/>
                <w:highlight w:val="none"/>
              </w:rPr>
            </w:pPr>
          </w:p>
        </w:tc>
      </w:tr>
      <w:tr w14:paraId="652B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933" w:type="dxa"/>
            <w:gridSpan w:val="7"/>
            <w:vAlign w:val="center"/>
          </w:tcPr>
          <w:p w14:paraId="76B84293">
            <w:pPr>
              <w:spacing w:line="360" w:lineRule="auto"/>
              <w:contextualSpacing/>
              <w:rPr>
                <w:rFonts w:ascii="宋体" w:cs="宋体"/>
                <w:color w:val="auto"/>
                <w:sz w:val="24"/>
                <w:highlight w:val="none"/>
              </w:rPr>
            </w:pPr>
            <w:r>
              <w:rPr>
                <w:rFonts w:hint="eastAsia" w:ascii="宋体" w:hAnsi="宋体" w:cs="宋体"/>
                <w:color w:val="auto"/>
                <w:sz w:val="24"/>
                <w:highlight w:val="none"/>
              </w:rPr>
              <w:t>合计金额大写：人民币</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tc>
      </w:tr>
      <w:tr w14:paraId="3253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933" w:type="dxa"/>
            <w:gridSpan w:val="7"/>
            <w:vAlign w:val="center"/>
          </w:tcPr>
          <w:p w14:paraId="5398C236">
            <w:pPr>
              <w:spacing w:line="360" w:lineRule="auto"/>
              <w:contextualSpacing/>
              <w:rPr>
                <w:rFonts w:ascii="宋体" w:cs="宋体"/>
                <w:color w:val="auto"/>
                <w:sz w:val="24"/>
                <w:highlight w:val="none"/>
              </w:rPr>
            </w:pPr>
            <w:r>
              <w:rPr>
                <w:rFonts w:hint="eastAsia" w:ascii="宋体" w:hAnsi="宋体" w:cs="宋体"/>
                <w:color w:val="auto"/>
                <w:sz w:val="24"/>
                <w:highlight w:val="none"/>
              </w:rPr>
              <w:t>合同履约期限：</w:t>
            </w:r>
          </w:p>
        </w:tc>
      </w:tr>
    </w:tbl>
    <w:p w14:paraId="25E0E630">
      <w:pPr>
        <w:spacing w:line="360" w:lineRule="auto"/>
        <w:contextualSpacing/>
        <w:jc w:val="left"/>
        <w:rPr>
          <w:rFonts w:ascii="宋体" w:cs="宋体"/>
          <w:color w:val="auto"/>
          <w:sz w:val="24"/>
          <w:highlight w:val="none"/>
        </w:rPr>
      </w:pPr>
    </w:p>
    <w:p w14:paraId="06594DB1">
      <w:pPr>
        <w:spacing w:line="360" w:lineRule="auto"/>
        <w:contextualSpacing/>
        <w:jc w:val="left"/>
        <w:rPr>
          <w:rFonts w:ascii="宋体" w:cs="宋体"/>
          <w:color w:val="auto"/>
          <w:sz w:val="24"/>
          <w:highlight w:val="none"/>
        </w:rPr>
      </w:pPr>
      <w:r>
        <w:rPr>
          <w:rFonts w:hint="eastAsia" w:ascii="宋体" w:hAnsi="宋体" w:cs="宋体"/>
          <w:color w:val="auto"/>
          <w:sz w:val="24"/>
          <w:highlight w:val="none"/>
        </w:rPr>
        <w:t>注</w:t>
      </w:r>
      <w:r>
        <w:rPr>
          <w:rFonts w:ascii="宋体" w:hAnsi="宋体" w:cs="宋体"/>
          <w:color w:val="auto"/>
          <w:sz w:val="24"/>
          <w:highlight w:val="none"/>
        </w:rPr>
        <w:t xml:space="preserve">: </w:t>
      </w:r>
    </w:p>
    <w:p w14:paraId="2609D4F3">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供应商的报价表必须加盖供应商公章并由法定代表人或者委托代理人签字，</w:t>
      </w:r>
      <w:r>
        <w:rPr>
          <w:rFonts w:hint="eastAsia" w:ascii="宋体" w:hAnsi="宋体" w:cs="宋体"/>
          <w:b/>
          <w:color w:val="auto"/>
          <w:sz w:val="24"/>
          <w:highlight w:val="none"/>
        </w:rPr>
        <w:t>否则其响应文件按无效响应处理</w:t>
      </w:r>
      <w:r>
        <w:rPr>
          <w:rFonts w:hint="eastAsia" w:ascii="宋体" w:hAnsi="宋体" w:cs="宋体"/>
          <w:color w:val="auto"/>
          <w:sz w:val="24"/>
          <w:highlight w:val="none"/>
        </w:rPr>
        <w:t>。</w:t>
      </w:r>
    </w:p>
    <w:p w14:paraId="7C03A541">
      <w:pPr>
        <w:spacing w:line="360" w:lineRule="auto"/>
        <w:ind w:firstLine="480" w:firstLineChars="200"/>
        <w:contextualSpacing/>
        <w:jc w:val="left"/>
        <w:rPr>
          <w:rFonts w:ascii="宋体" w:cs="宋体"/>
          <w:b/>
          <w:color w:val="auto"/>
          <w:sz w:val="24"/>
          <w:highlight w:val="none"/>
        </w:rPr>
      </w:pPr>
      <w:r>
        <w:rPr>
          <w:rFonts w:ascii="宋体" w:hAnsi="宋体" w:cs="宋体"/>
          <w:bCs/>
          <w:color w:val="auto"/>
          <w:sz w:val="24"/>
          <w:highlight w:val="none"/>
        </w:rPr>
        <w:t>2.</w:t>
      </w:r>
      <w:r>
        <w:rPr>
          <w:rFonts w:hint="eastAsia" w:ascii="宋体" w:hAnsi="宋体" w:cs="宋体"/>
          <w:color w:val="auto"/>
          <w:sz w:val="24"/>
          <w:highlight w:val="none"/>
        </w:rPr>
        <w:t>报价一经涂改，应在涂改处加盖供应商公章或者由法定代表人或者委托代理人签字或者盖章</w:t>
      </w:r>
      <w:r>
        <w:rPr>
          <w:rFonts w:hint="eastAsia" w:ascii="宋体" w:hAnsi="宋体" w:cs="宋体"/>
          <w:b/>
          <w:color w:val="auto"/>
          <w:sz w:val="24"/>
          <w:highlight w:val="none"/>
        </w:rPr>
        <w:t>，否则其响应文件按无效响应处理。</w:t>
      </w:r>
    </w:p>
    <w:p w14:paraId="0E9FB131">
      <w:pPr>
        <w:spacing w:line="360" w:lineRule="auto"/>
        <w:ind w:right="-817" w:rightChars="-389"/>
        <w:contextualSpacing/>
        <w:rPr>
          <w:rFonts w:ascii="宋体" w:cs="宋体"/>
          <w:color w:val="auto"/>
          <w:sz w:val="24"/>
          <w:highlight w:val="none"/>
        </w:rPr>
      </w:pPr>
    </w:p>
    <w:p w14:paraId="48E3D138">
      <w:pPr>
        <w:spacing w:line="360" w:lineRule="auto"/>
        <w:ind w:right="-817" w:rightChars="-389" w:firstLine="2640" w:firstLineChars="1100"/>
        <w:contextualSpacing/>
        <w:rPr>
          <w:rFonts w:ascii="宋体" w:cs="宋体"/>
          <w:color w:val="auto"/>
          <w:sz w:val="24"/>
          <w:highlight w:val="none"/>
        </w:rPr>
      </w:pPr>
      <w:r>
        <w:rPr>
          <w:rFonts w:hint="eastAsia" w:ascii="宋体" w:hAnsi="宋体" w:cs="宋体"/>
          <w:color w:val="auto"/>
          <w:sz w:val="24"/>
          <w:highlight w:val="none"/>
        </w:rPr>
        <w:t>法定代表人或者委托代理人（签字）：</w:t>
      </w:r>
      <w:r>
        <w:rPr>
          <w:rFonts w:ascii="宋体" w:hAnsi="宋体" w:cs="宋体"/>
          <w:color w:val="auto"/>
          <w:sz w:val="24"/>
          <w:highlight w:val="none"/>
        </w:rPr>
        <w:t xml:space="preserve">                    </w:t>
      </w:r>
    </w:p>
    <w:p w14:paraId="28D919A3">
      <w:pPr>
        <w:spacing w:line="360" w:lineRule="auto"/>
        <w:ind w:right="-817" w:rightChars="-389" w:firstLine="2640" w:firstLineChars="1100"/>
        <w:contextualSpacing/>
        <w:rPr>
          <w:rFonts w:ascii="宋体" w:cs="宋体"/>
          <w:color w:val="auto"/>
          <w:sz w:val="24"/>
          <w:highlight w:val="none"/>
        </w:rPr>
      </w:pPr>
      <w:r>
        <w:rPr>
          <w:rFonts w:hint="eastAsia" w:ascii="宋体" w:hAnsi="宋体" w:cs="宋体"/>
          <w:color w:val="auto"/>
          <w:sz w:val="24"/>
          <w:highlight w:val="none"/>
        </w:rPr>
        <w:t>供应商（盖公章）：</w:t>
      </w:r>
      <w:r>
        <w:rPr>
          <w:rFonts w:ascii="宋体" w:hAnsi="宋体" w:cs="宋体"/>
          <w:color w:val="auto"/>
          <w:sz w:val="24"/>
          <w:highlight w:val="none"/>
        </w:rPr>
        <w:t xml:space="preserve">      </w:t>
      </w:r>
    </w:p>
    <w:p w14:paraId="15AF3E03">
      <w:pPr>
        <w:spacing w:line="360" w:lineRule="auto"/>
        <w:ind w:right="-817" w:rightChars="-389" w:firstLine="4080" w:firstLineChars="1700"/>
        <w:contextualSpacing/>
        <w:rPr>
          <w:rFonts w:ascii="宋体" w:cs="宋体"/>
          <w:b/>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13A7C0F7">
      <w:pPr>
        <w:spacing w:beforeLines="100" w:afterLines="50" w:line="520" w:lineRule="exact"/>
        <w:jc w:val="center"/>
        <w:rPr>
          <w:rFonts w:ascii="宋体" w:cs="宋体"/>
          <w:color w:val="auto"/>
          <w:sz w:val="32"/>
          <w:szCs w:val="32"/>
          <w:highlight w:val="none"/>
        </w:rPr>
      </w:pPr>
      <w:r>
        <w:rPr>
          <w:rFonts w:ascii="宋体" w:cs="宋体"/>
          <w:b/>
          <w:color w:val="auto"/>
          <w:sz w:val="32"/>
          <w:szCs w:val="32"/>
          <w:highlight w:val="none"/>
        </w:rPr>
        <w:br w:type="page"/>
      </w:r>
      <w:r>
        <w:rPr>
          <w:rFonts w:hint="eastAsia" w:ascii="宋体" w:hAnsi="宋体" w:cs="宋体"/>
          <w:bCs/>
          <w:color w:val="auto"/>
          <w:sz w:val="44"/>
          <w:szCs w:val="44"/>
          <w:highlight w:val="none"/>
        </w:rPr>
        <w:t>法定代表人身份证明</w:t>
      </w:r>
    </w:p>
    <w:p w14:paraId="7CC0CA3F">
      <w:pPr>
        <w:spacing w:line="360" w:lineRule="auto"/>
        <w:ind w:left="540"/>
        <w:contextualSpacing/>
        <w:rPr>
          <w:rFonts w:ascii="宋体" w:cs="宋体"/>
          <w:color w:val="auto"/>
          <w:sz w:val="32"/>
          <w:szCs w:val="32"/>
          <w:highlight w:val="none"/>
        </w:rPr>
      </w:pPr>
    </w:p>
    <w:p w14:paraId="598C9901">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供应商名称：</w:t>
      </w:r>
      <w:r>
        <w:rPr>
          <w:rFonts w:ascii="宋体" w:hAnsi="宋体" w:cs="宋体"/>
          <w:color w:val="auto"/>
          <w:sz w:val="24"/>
          <w:highlight w:val="none"/>
          <w:u w:val="single"/>
        </w:rPr>
        <w:t xml:space="preserve">                                                        </w:t>
      </w:r>
    </w:p>
    <w:p w14:paraId="73350433">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single"/>
        </w:rPr>
        <w:t xml:space="preserve">                                                        </w:t>
      </w:r>
    </w:p>
    <w:p w14:paraId="0C247EEF">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姓</w:t>
      </w:r>
      <w:r>
        <w:rPr>
          <w:rFonts w:ascii="宋体" w:hAnsi="宋体" w:cs="宋体"/>
          <w:color w:val="auto"/>
          <w:sz w:val="24"/>
          <w:highlight w:val="none"/>
        </w:rPr>
        <w:t xml:space="preserve">    </w:t>
      </w:r>
      <w:r>
        <w:rPr>
          <w:rFonts w:hint="eastAsia" w:ascii="宋体" w:hAnsi="宋体" w:cs="宋体"/>
          <w:color w:val="auto"/>
          <w:sz w:val="24"/>
          <w:highlight w:val="none"/>
        </w:rPr>
        <w:t>名：</w:t>
      </w:r>
      <w:r>
        <w:rPr>
          <w:rFonts w:ascii="宋体" w:hAnsi="宋体" w:cs="宋体"/>
          <w:color w:val="auto"/>
          <w:sz w:val="24"/>
          <w:highlight w:val="none"/>
          <w:u w:val="single"/>
        </w:rPr>
        <w:t xml:space="preserve">                </w:t>
      </w:r>
      <w:r>
        <w:rPr>
          <w:rFonts w:hint="eastAsia" w:ascii="宋体" w:hAnsi="宋体" w:cs="宋体"/>
          <w:color w:val="auto"/>
          <w:sz w:val="24"/>
          <w:highlight w:val="none"/>
        </w:rPr>
        <w:t>性</w:t>
      </w:r>
      <w:r>
        <w:rPr>
          <w:rFonts w:ascii="宋体" w:hAnsi="宋体" w:cs="宋体"/>
          <w:color w:val="auto"/>
          <w:sz w:val="24"/>
          <w:highlight w:val="none"/>
        </w:rPr>
        <w:t xml:space="preserve">     </w:t>
      </w:r>
      <w:r>
        <w:rPr>
          <w:rFonts w:hint="eastAsia" w:ascii="宋体" w:hAnsi="宋体" w:cs="宋体"/>
          <w:color w:val="auto"/>
          <w:sz w:val="24"/>
          <w:highlight w:val="none"/>
        </w:rPr>
        <w:t>别：</w:t>
      </w:r>
      <w:r>
        <w:rPr>
          <w:rFonts w:ascii="宋体" w:hAnsi="宋体" w:cs="宋体"/>
          <w:color w:val="auto"/>
          <w:sz w:val="24"/>
          <w:highlight w:val="none"/>
          <w:u w:val="single"/>
        </w:rPr>
        <w:t xml:space="preserve">                </w:t>
      </w:r>
    </w:p>
    <w:p w14:paraId="3E229B74">
      <w:pPr>
        <w:spacing w:line="360" w:lineRule="auto"/>
        <w:ind w:left="540"/>
        <w:contextualSpacing/>
        <w:rPr>
          <w:rFonts w:ascii="宋体" w:cs="宋体"/>
          <w:color w:val="auto"/>
          <w:sz w:val="24"/>
          <w:highlight w:val="none"/>
          <w:u w:val="single"/>
        </w:rPr>
      </w:pP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龄：</w:t>
      </w:r>
      <w:r>
        <w:rPr>
          <w:rFonts w:ascii="宋体" w:hAnsi="宋体" w:cs="宋体"/>
          <w:color w:val="auto"/>
          <w:sz w:val="24"/>
          <w:highlight w:val="none"/>
          <w:u w:val="single"/>
        </w:rPr>
        <w:t xml:space="preserve">                </w:t>
      </w:r>
      <w:r>
        <w:rPr>
          <w:rFonts w:hint="eastAsia" w:ascii="宋体" w:hAnsi="宋体" w:cs="宋体"/>
          <w:color w:val="auto"/>
          <w:sz w:val="24"/>
          <w:highlight w:val="none"/>
        </w:rPr>
        <w:t>职</w:t>
      </w:r>
      <w:r>
        <w:rPr>
          <w:rFonts w:ascii="宋体" w:hAnsi="宋体" w:cs="宋体"/>
          <w:color w:val="auto"/>
          <w:sz w:val="24"/>
          <w:highlight w:val="none"/>
        </w:rPr>
        <w:t xml:space="preserve">     </w:t>
      </w:r>
      <w:r>
        <w:rPr>
          <w:rFonts w:hint="eastAsia" w:ascii="宋体" w:hAnsi="宋体" w:cs="宋体"/>
          <w:color w:val="auto"/>
          <w:sz w:val="24"/>
          <w:highlight w:val="none"/>
        </w:rPr>
        <w:t>务：</w:t>
      </w:r>
      <w:r>
        <w:rPr>
          <w:rFonts w:ascii="宋体" w:hAnsi="宋体" w:cs="宋体"/>
          <w:color w:val="auto"/>
          <w:sz w:val="24"/>
          <w:highlight w:val="none"/>
          <w:u w:val="single"/>
        </w:rPr>
        <w:t xml:space="preserve">                </w:t>
      </w:r>
    </w:p>
    <w:p w14:paraId="102FA367">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身份证号码：</w:t>
      </w:r>
      <w:r>
        <w:rPr>
          <w:rFonts w:ascii="宋体" w:hAnsi="宋体" w:cs="宋体"/>
          <w:color w:val="auto"/>
          <w:sz w:val="24"/>
          <w:highlight w:val="none"/>
          <w:u w:val="single"/>
        </w:rPr>
        <w:t xml:space="preserve">                                        </w:t>
      </w:r>
    </w:p>
    <w:p w14:paraId="050F3E6F">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14:paraId="19752458">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特此证明。</w:t>
      </w:r>
    </w:p>
    <w:p w14:paraId="5CC60327">
      <w:pPr>
        <w:spacing w:line="360" w:lineRule="auto"/>
        <w:ind w:left="540"/>
        <w:contextualSpacing/>
        <w:rPr>
          <w:rFonts w:ascii="宋体" w:cs="宋体"/>
          <w:color w:val="auto"/>
          <w:sz w:val="24"/>
          <w:highlight w:val="none"/>
        </w:rPr>
      </w:pPr>
    </w:p>
    <w:p w14:paraId="0E7DEC7F">
      <w:pPr>
        <w:spacing w:line="360" w:lineRule="auto"/>
        <w:ind w:left="540"/>
        <w:contextualSpacing/>
        <w:rPr>
          <w:rFonts w:ascii="宋体" w:cs="宋体"/>
          <w:color w:val="auto"/>
          <w:sz w:val="24"/>
          <w:highlight w:val="none"/>
        </w:rPr>
      </w:pPr>
    </w:p>
    <w:p w14:paraId="4ED1DCD7">
      <w:pPr>
        <w:spacing w:line="360" w:lineRule="auto"/>
        <w:ind w:left="540"/>
        <w:contextualSpacing/>
        <w:rPr>
          <w:rFonts w:ascii="宋体" w:cs="宋体"/>
          <w:color w:val="auto"/>
          <w:sz w:val="24"/>
          <w:highlight w:val="none"/>
        </w:rPr>
      </w:pPr>
    </w:p>
    <w:p w14:paraId="10582F70">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附件：法定代表人有效身份证正反面复印件</w:t>
      </w:r>
    </w:p>
    <w:p w14:paraId="586333DF">
      <w:pPr>
        <w:spacing w:line="360" w:lineRule="auto"/>
        <w:ind w:left="540"/>
        <w:contextualSpacing/>
        <w:rPr>
          <w:rFonts w:ascii="宋体" w:cs="宋体"/>
          <w:color w:val="auto"/>
          <w:sz w:val="24"/>
          <w:highlight w:val="none"/>
        </w:rPr>
      </w:pPr>
    </w:p>
    <w:p w14:paraId="36D408BF">
      <w:pPr>
        <w:spacing w:line="360" w:lineRule="auto"/>
        <w:ind w:left="540"/>
        <w:contextualSpacing/>
        <w:jc w:val="center"/>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供应商（盖公章）：</w:t>
      </w:r>
      <w:r>
        <w:rPr>
          <w:rFonts w:ascii="宋体" w:hAnsi="宋体" w:cs="宋体"/>
          <w:color w:val="auto"/>
          <w:sz w:val="24"/>
          <w:highlight w:val="none"/>
          <w:u w:val="single"/>
        </w:rPr>
        <w:t xml:space="preserve">               </w:t>
      </w:r>
    </w:p>
    <w:p w14:paraId="3F5907FD">
      <w:pPr>
        <w:spacing w:line="360" w:lineRule="auto"/>
        <w:contextualSpacing/>
        <w:jc w:val="right"/>
        <w:rPr>
          <w:rFonts w:asci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hint="eastAsia" w:ascii="宋体" w:hAnsi="宋体" w:cs="宋体"/>
          <w:color w:val="auto"/>
          <w:sz w:val="24"/>
          <w:highlight w:val="none"/>
        </w:rPr>
        <w:t>日</w:t>
      </w:r>
    </w:p>
    <w:p w14:paraId="7412490F">
      <w:pPr>
        <w:spacing w:line="360" w:lineRule="auto"/>
        <w:contextualSpacing/>
        <w:jc w:val="center"/>
        <w:rPr>
          <w:rFonts w:ascii="宋体" w:cs="宋体"/>
          <w:b/>
          <w:color w:val="auto"/>
          <w:sz w:val="24"/>
          <w:highlight w:val="none"/>
        </w:rPr>
      </w:pPr>
    </w:p>
    <w:p w14:paraId="44562953">
      <w:pPr>
        <w:spacing w:line="360" w:lineRule="auto"/>
        <w:contextualSpacing/>
        <w:jc w:val="left"/>
        <w:rPr>
          <w:rFonts w:ascii="宋体" w:cs="宋体"/>
          <w:color w:val="auto"/>
          <w:sz w:val="24"/>
          <w:highlight w:val="none"/>
        </w:rPr>
      </w:pPr>
    </w:p>
    <w:p w14:paraId="5FDB06F1">
      <w:pPr>
        <w:adjustRightInd w:val="0"/>
        <w:snapToGrid w:val="0"/>
        <w:spacing w:line="300" w:lineRule="auto"/>
        <w:jc w:val="left"/>
        <w:rPr>
          <w:rFonts w:ascii="宋体" w:cs="宋体"/>
          <w:b/>
          <w:color w:val="auto"/>
          <w:szCs w:val="21"/>
          <w:highlight w:val="none"/>
        </w:rPr>
      </w:pPr>
    </w:p>
    <w:p w14:paraId="27ABC1E5">
      <w:pPr>
        <w:spacing w:line="500" w:lineRule="exact"/>
        <w:jc w:val="center"/>
        <w:rPr>
          <w:rFonts w:ascii="宋体" w:cs="宋体"/>
          <w:color w:val="auto"/>
          <w:sz w:val="44"/>
          <w:szCs w:val="44"/>
          <w:highlight w:val="none"/>
        </w:rPr>
      </w:pPr>
      <w:r>
        <w:rPr>
          <w:rFonts w:ascii="宋体" w:cs="宋体"/>
          <w:color w:val="auto"/>
          <w:sz w:val="44"/>
          <w:szCs w:val="44"/>
          <w:highlight w:val="none"/>
        </w:rPr>
        <w:br w:type="page"/>
      </w:r>
      <w:r>
        <w:rPr>
          <w:rFonts w:ascii="宋体" w:hAnsi="宋体" w:cs="宋体"/>
          <w:color w:val="auto"/>
          <w:sz w:val="44"/>
          <w:szCs w:val="44"/>
          <w:highlight w:val="none"/>
        </w:rPr>
        <w:t xml:space="preserve"> </w:t>
      </w:r>
    </w:p>
    <w:p w14:paraId="22DC2C3C">
      <w:pPr>
        <w:spacing w:line="520" w:lineRule="exact"/>
        <w:jc w:val="center"/>
        <w:rPr>
          <w:rFonts w:ascii="宋体" w:cs="宋体"/>
          <w:color w:val="auto"/>
          <w:sz w:val="44"/>
          <w:szCs w:val="44"/>
          <w:highlight w:val="none"/>
        </w:rPr>
      </w:pPr>
      <w:bookmarkStart w:id="93" w:name="_Hlk65853643"/>
      <w:r>
        <w:rPr>
          <w:rFonts w:hint="eastAsia" w:ascii="宋体" w:hAnsi="宋体" w:cs="宋体"/>
          <w:color w:val="auto"/>
          <w:sz w:val="44"/>
          <w:szCs w:val="44"/>
          <w:highlight w:val="none"/>
        </w:rPr>
        <w:t>授权委托书</w:t>
      </w:r>
    </w:p>
    <w:p w14:paraId="146C5A17">
      <w:pPr>
        <w:spacing w:line="520" w:lineRule="exact"/>
        <w:jc w:val="center"/>
        <w:rPr>
          <w:rFonts w:ascii="宋体" w:cs="宋体"/>
          <w:color w:val="auto"/>
          <w:sz w:val="44"/>
          <w:szCs w:val="44"/>
          <w:highlight w:val="none"/>
        </w:rPr>
      </w:pPr>
      <w:r>
        <w:rPr>
          <w:rFonts w:hint="eastAsia" w:ascii="宋体" w:hAnsi="宋体" w:cs="宋体"/>
          <w:color w:val="auto"/>
          <w:sz w:val="32"/>
          <w:szCs w:val="32"/>
          <w:highlight w:val="none"/>
        </w:rPr>
        <w:t>（如有委托时）</w:t>
      </w:r>
    </w:p>
    <w:p w14:paraId="45CF1FA5">
      <w:pPr>
        <w:spacing w:line="520" w:lineRule="exact"/>
        <w:rPr>
          <w:rFonts w:ascii="宋体" w:cs="宋体"/>
          <w:color w:val="auto"/>
          <w:sz w:val="32"/>
          <w:szCs w:val="32"/>
          <w:highlight w:val="none"/>
        </w:rPr>
      </w:pPr>
    </w:p>
    <w:p w14:paraId="465FA342">
      <w:pPr>
        <w:spacing w:line="360" w:lineRule="auto"/>
        <w:rPr>
          <w:rFonts w:asci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31DE7658">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我</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（姓名）</w:t>
      </w:r>
      <w:r>
        <w:rPr>
          <w:rFonts w:ascii="宋体" w:hAnsi="宋体" w:cs="宋体"/>
          <w:color w:val="auto"/>
          <w:sz w:val="24"/>
          <w:highlight w:val="none"/>
          <w:u w:val="single"/>
        </w:rPr>
        <w:t xml:space="preserve">  </w:t>
      </w:r>
      <w:r>
        <w:rPr>
          <w:rFonts w:hint="eastAsia" w:ascii="宋体" w:hAnsi="宋体" w:cs="宋体"/>
          <w:color w:val="auto"/>
          <w:sz w:val="24"/>
          <w:highlight w:val="none"/>
        </w:rPr>
        <w:t>系</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（供应商名称）</w:t>
      </w:r>
      <w:r>
        <w:rPr>
          <w:rFonts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法定代表人</w:t>
      </w:r>
      <w:r>
        <w:rPr>
          <w:rFonts w:ascii="宋体" w:hAnsi="宋体" w:cs="宋体"/>
          <w:color w:val="auto"/>
          <w:sz w:val="24"/>
          <w:highlight w:val="none"/>
          <w:u w:val="single"/>
        </w:rPr>
        <w:t>/</w:t>
      </w:r>
      <w:r>
        <w:rPr>
          <w:rFonts w:hint="eastAsia" w:ascii="宋体" w:hAnsi="宋体" w:cs="宋体"/>
          <w:color w:val="auto"/>
          <w:sz w:val="24"/>
          <w:highlight w:val="none"/>
          <w:u w:val="single"/>
        </w:rPr>
        <w:t>负责人</w:t>
      </w:r>
      <w:r>
        <w:rPr>
          <w:rFonts w:ascii="宋体" w:hAnsi="宋体" w:cs="宋体"/>
          <w:color w:val="auto"/>
          <w:sz w:val="24"/>
          <w:highlight w:val="none"/>
          <w:u w:val="single"/>
        </w:rPr>
        <w:t>/</w:t>
      </w:r>
      <w:r>
        <w:rPr>
          <w:rFonts w:hint="eastAsia" w:ascii="宋体" w:hAnsi="宋体" w:cs="宋体"/>
          <w:color w:val="auto"/>
          <w:sz w:val="24"/>
          <w:highlight w:val="none"/>
          <w:u w:val="single"/>
        </w:rPr>
        <w:t>自然人本人</w:t>
      </w:r>
      <w:r>
        <w:rPr>
          <w:rFonts w:hint="eastAsia" w:ascii="宋体" w:hAnsi="宋体" w:cs="宋体"/>
          <w:color w:val="auto"/>
          <w:sz w:val="24"/>
          <w:highlight w:val="none"/>
        </w:rPr>
        <w:t>），现授权</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（姓名）</w:t>
      </w:r>
      <w:r>
        <w:rPr>
          <w:rFonts w:ascii="宋体" w:hAnsi="宋体" w:cs="宋体"/>
          <w:color w:val="auto"/>
          <w:sz w:val="24"/>
          <w:highlight w:val="none"/>
          <w:u w:val="single"/>
        </w:rPr>
        <w:t xml:space="preserve"> </w:t>
      </w:r>
      <w:r>
        <w:rPr>
          <w:rFonts w:hint="eastAsia" w:ascii="宋体" w:hAnsi="宋体" w:cs="宋体"/>
          <w:color w:val="auto"/>
          <w:sz w:val="24"/>
          <w:highlight w:val="none"/>
        </w:rPr>
        <w:t>以我方的名义参加</w:t>
      </w:r>
      <w:r>
        <w:rPr>
          <w:rFonts w:ascii="宋体" w:hAnsi="宋体" w:cs="宋体"/>
          <w:color w:val="auto"/>
          <w:sz w:val="24"/>
          <w:highlight w:val="none"/>
          <w:u w:val="single"/>
        </w:rPr>
        <w:t xml:space="preserve">              </w:t>
      </w:r>
      <w:r>
        <w:rPr>
          <w:rFonts w:hint="eastAsia" w:ascii="宋体" w:hAnsi="宋体" w:cs="宋体"/>
          <w:color w:val="auto"/>
          <w:sz w:val="24"/>
          <w:highlight w:val="none"/>
        </w:rPr>
        <w:t>项目的竞标活动，并代表我方全权办理针对上述项目的所有采购程序和环节的具体事务和签署相关文件。</w:t>
      </w:r>
    </w:p>
    <w:p w14:paraId="0C386FBB">
      <w:pPr>
        <w:spacing w:line="360" w:lineRule="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我方对委托代理人的签字事项负全部责任。</w:t>
      </w:r>
    </w:p>
    <w:p w14:paraId="26D9EF20">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68091934">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委托代理人无转委托权，特此委托。</w:t>
      </w:r>
    </w:p>
    <w:p w14:paraId="61FB0B27">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附：法定代表人身份证明及委托代理人有效身份证正反面复印件</w:t>
      </w:r>
    </w:p>
    <w:p w14:paraId="2EFE0BF3">
      <w:pPr>
        <w:spacing w:line="360" w:lineRule="auto"/>
        <w:rPr>
          <w:rFonts w:ascii="宋体" w:cs="宋体"/>
          <w:color w:val="auto"/>
          <w:sz w:val="24"/>
          <w:highlight w:val="none"/>
        </w:rPr>
      </w:pPr>
    </w:p>
    <w:p w14:paraId="439D2F57">
      <w:pPr>
        <w:spacing w:line="360" w:lineRule="auto"/>
        <w:rPr>
          <w:rFonts w:ascii="宋体" w:cs="宋体"/>
          <w:color w:val="auto"/>
          <w:sz w:val="24"/>
          <w:highlight w:val="none"/>
        </w:rPr>
      </w:pPr>
      <w:r>
        <w:rPr>
          <w:rFonts w:hint="eastAsia" w:ascii="宋体" w:hAnsi="宋体" w:cs="宋体"/>
          <w:color w:val="auto"/>
          <w:sz w:val="24"/>
          <w:highlight w:val="none"/>
        </w:rPr>
        <w:t>委托代理人（签字）：</w:t>
      </w:r>
      <w:r>
        <w:rPr>
          <w:rFonts w:ascii="宋体" w:hAnsi="宋体" w:cs="宋体"/>
          <w:color w:val="auto"/>
          <w:sz w:val="24"/>
          <w:highlight w:val="none"/>
        </w:rPr>
        <w:t xml:space="preserve">         </w:t>
      </w:r>
      <w:r>
        <w:rPr>
          <w:rFonts w:hint="eastAsia" w:ascii="宋体" w:hAnsi="宋体" w:cs="宋体"/>
          <w:color w:val="auto"/>
          <w:sz w:val="24"/>
          <w:highlight w:val="none"/>
        </w:rPr>
        <w:t>法定代表人（签字或者盖章）：</w:t>
      </w:r>
      <w:r>
        <w:rPr>
          <w:rFonts w:ascii="宋体" w:hAnsi="宋体" w:cs="宋体"/>
          <w:color w:val="auto"/>
          <w:sz w:val="24"/>
          <w:highlight w:val="none"/>
        </w:rPr>
        <w:t xml:space="preserve">                    </w:t>
      </w:r>
    </w:p>
    <w:p w14:paraId="66C849FF">
      <w:pPr>
        <w:spacing w:line="360" w:lineRule="auto"/>
        <w:rPr>
          <w:rFonts w:ascii="宋体" w:cs="宋体"/>
          <w:color w:val="auto"/>
          <w:sz w:val="24"/>
          <w:highlight w:val="none"/>
        </w:rPr>
      </w:pPr>
      <w:r>
        <w:rPr>
          <w:rFonts w:hint="eastAsia" w:ascii="宋体" w:hAnsi="宋体" w:cs="宋体"/>
          <w:color w:val="auto"/>
          <w:sz w:val="24"/>
          <w:highlight w:val="none"/>
        </w:rPr>
        <w:t>委托代理人身份证号码：</w:t>
      </w:r>
      <w:r>
        <w:rPr>
          <w:rFonts w:ascii="宋体" w:hAnsi="宋体" w:cs="宋体"/>
          <w:color w:val="auto"/>
          <w:sz w:val="24"/>
          <w:highlight w:val="none"/>
        </w:rPr>
        <w:t xml:space="preserve">                              </w:t>
      </w:r>
    </w:p>
    <w:p w14:paraId="1FA6DF3C">
      <w:pPr>
        <w:spacing w:line="360" w:lineRule="auto"/>
        <w:rPr>
          <w:rFonts w:ascii="宋体" w:cs="宋体"/>
          <w:color w:val="auto"/>
          <w:sz w:val="24"/>
          <w:highlight w:val="none"/>
        </w:rPr>
      </w:pPr>
      <w:r>
        <w:rPr>
          <w:rFonts w:ascii="宋体" w:hAnsi="宋体" w:cs="宋体"/>
          <w:color w:val="auto"/>
          <w:sz w:val="24"/>
          <w:highlight w:val="none"/>
        </w:rPr>
        <w:t xml:space="preserve">                                </w:t>
      </w:r>
    </w:p>
    <w:p w14:paraId="71C1C961">
      <w:pPr>
        <w:spacing w:line="360" w:lineRule="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供应商（盖公章）：</w:t>
      </w:r>
      <w:r>
        <w:rPr>
          <w:rFonts w:ascii="宋体" w:hAnsi="宋体" w:cs="宋体"/>
          <w:color w:val="auto"/>
          <w:sz w:val="24"/>
          <w:highlight w:val="none"/>
        </w:rPr>
        <w:t xml:space="preserve">                      </w:t>
      </w:r>
    </w:p>
    <w:p w14:paraId="5348B1AF">
      <w:pPr>
        <w:spacing w:line="360" w:lineRule="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70E0551B">
      <w:pPr>
        <w:spacing w:line="360" w:lineRule="auto"/>
        <w:rPr>
          <w:rFonts w:ascii="宋体" w:cs="宋体"/>
          <w:color w:val="auto"/>
          <w:sz w:val="24"/>
          <w:highlight w:val="none"/>
        </w:rPr>
      </w:pPr>
    </w:p>
    <w:p w14:paraId="7B4AEAB0">
      <w:pPr>
        <w:spacing w:line="360" w:lineRule="auto"/>
        <w:rPr>
          <w:rFonts w:ascii="宋体" w:cs="宋体"/>
          <w:color w:val="auto"/>
          <w:sz w:val="24"/>
          <w:highlight w:val="none"/>
        </w:rPr>
      </w:pPr>
      <w:r>
        <w:rPr>
          <w:rFonts w:hint="eastAsia" w:ascii="宋体" w:hAnsi="宋体" w:cs="宋体"/>
          <w:color w:val="auto"/>
          <w:sz w:val="24"/>
          <w:highlight w:val="none"/>
        </w:rPr>
        <w:t>注：</w:t>
      </w:r>
      <w:r>
        <w:rPr>
          <w:rFonts w:ascii="宋体" w:hAnsi="宋体" w:cs="宋体"/>
          <w:color w:val="auto"/>
          <w:sz w:val="24"/>
          <w:highlight w:val="none"/>
        </w:rPr>
        <w:t xml:space="preserve">1. </w:t>
      </w:r>
      <w:r>
        <w:rPr>
          <w:rFonts w:hint="eastAsia" w:ascii="宋体" w:hAnsi="宋体" w:cs="宋体"/>
          <w:color w:val="auto"/>
          <w:sz w:val="24"/>
          <w:highlight w:val="none"/>
        </w:rPr>
        <w:t>法定代表人必须在授权委托书上亲笔签字或者盖章，委托代理人必须在授权委托书上亲笔签字，</w:t>
      </w:r>
      <w:r>
        <w:rPr>
          <w:rFonts w:hint="eastAsia" w:ascii="宋体" w:hAnsi="宋体" w:cs="宋体"/>
          <w:b/>
          <w:color w:val="auto"/>
          <w:sz w:val="24"/>
          <w:highlight w:val="none"/>
        </w:rPr>
        <w:t>否则其响应文件按无效响应处理。</w:t>
      </w:r>
    </w:p>
    <w:p w14:paraId="783C0F16">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2.</w:t>
      </w:r>
      <w:bookmarkStart w:id="94" w:name="_Hlk65853109"/>
      <w:bookmarkStart w:id="95" w:name="_Hlk65853542"/>
      <w:r>
        <w:rPr>
          <w:rFonts w:hint="eastAsia" w:ascii="宋体" w:hAnsi="宋体" w:cs="宋体"/>
          <w:color w:val="auto"/>
          <w:sz w:val="24"/>
          <w:highlight w:val="none"/>
        </w:rPr>
        <w:t>法人、其他组织竞标时“我方”是指“我单位”，自然人竞标时“我方”是指“本人”。</w:t>
      </w:r>
      <w:bookmarkEnd w:id="94"/>
    </w:p>
    <w:bookmarkEnd w:id="95"/>
    <w:p w14:paraId="19837159">
      <w:pPr>
        <w:spacing w:line="360" w:lineRule="auto"/>
        <w:ind w:firstLine="420" w:firstLineChars="200"/>
        <w:jc w:val="left"/>
        <w:rPr>
          <w:rFonts w:ascii="宋体" w:cs="宋体"/>
          <w:color w:val="auto"/>
          <w:szCs w:val="21"/>
          <w:highlight w:val="none"/>
        </w:rPr>
      </w:pPr>
    </w:p>
    <w:bookmarkEnd w:id="93"/>
    <w:p w14:paraId="06F47942">
      <w:pPr>
        <w:rPr>
          <w:rFonts w:ascii="宋体" w:cs="宋体"/>
          <w:bCs/>
          <w:color w:val="auto"/>
          <w:sz w:val="44"/>
          <w:szCs w:val="44"/>
          <w:highlight w:val="none"/>
        </w:rPr>
      </w:pPr>
      <w:r>
        <w:rPr>
          <w:rFonts w:ascii="宋体" w:cs="宋体"/>
          <w:bCs/>
          <w:color w:val="auto"/>
          <w:sz w:val="44"/>
          <w:szCs w:val="44"/>
          <w:highlight w:val="none"/>
        </w:rPr>
        <w:br w:type="page"/>
      </w:r>
    </w:p>
    <w:p w14:paraId="6A92ACAC">
      <w:pPr>
        <w:spacing w:line="500" w:lineRule="exact"/>
        <w:jc w:val="center"/>
        <w:rPr>
          <w:rFonts w:ascii="宋体" w:cs="宋体"/>
          <w:bCs/>
          <w:color w:val="auto"/>
          <w:sz w:val="44"/>
          <w:szCs w:val="44"/>
          <w:highlight w:val="none"/>
        </w:rPr>
      </w:pPr>
      <w:r>
        <w:rPr>
          <w:rFonts w:hint="eastAsia" w:ascii="宋体" w:hAnsi="宋体" w:cs="宋体"/>
          <w:bCs/>
          <w:color w:val="auto"/>
          <w:sz w:val="44"/>
          <w:szCs w:val="44"/>
          <w:highlight w:val="none"/>
        </w:rPr>
        <w:t>商务要求偏离表</w:t>
      </w:r>
    </w:p>
    <w:p w14:paraId="2E9A5E64">
      <w:pPr>
        <w:spacing w:line="360" w:lineRule="auto"/>
        <w:contextualSpacing/>
        <w:jc w:val="left"/>
        <w:rPr>
          <w:rFonts w:ascii="宋体" w:cs="宋体"/>
          <w:color w:val="auto"/>
          <w:sz w:val="24"/>
          <w:highlight w:val="none"/>
        </w:rPr>
      </w:pPr>
    </w:p>
    <w:p w14:paraId="6AD45F9E">
      <w:pPr>
        <w:pStyle w:val="19"/>
        <w:spacing w:line="360" w:lineRule="auto"/>
        <w:contextualSpacing/>
        <w:rPr>
          <w:rFonts w:hAnsi="宋体" w:cs="宋体"/>
          <w:color w:val="auto"/>
          <w:sz w:val="24"/>
          <w:szCs w:val="24"/>
          <w:highlight w:val="none"/>
        </w:rPr>
      </w:pPr>
      <w:r>
        <w:rPr>
          <w:rFonts w:hint="eastAsia" w:hAnsi="宋体" w:cs="宋体"/>
          <w:color w:val="auto"/>
          <w:sz w:val="24"/>
          <w:szCs w:val="24"/>
          <w:highlight w:val="none"/>
        </w:rPr>
        <w:t>所竞分标：</w:t>
      </w:r>
      <w:r>
        <w:rPr>
          <w:rFonts w:hAnsi="宋体" w:cs="宋体"/>
          <w:color w:val="auto"/>
          <w:sz w:val="24"/>
          <w:szCs w:val="24"/>
          <w:highlight w:val="none"/>
          <w:u w:val="single"/>
        </w:rPr>
        <w:t xml:space="preserve">              </w:t>
      </w:r>
    </w:p>
    <w:p w14:paraId="2E7421ED">
      <w:pPr>
        <w:spacing w:line="360" w:lineRule="auto"/>
        <w:contextualSpacing/>
        <w:jc w:val="left"/>
        <w:rPr>
          <w:rFonts w:ascii="宋体" w:cs="宋体"/>
          <w:color w:val="auto"/>
          <w:sz w:val="24"/>
          <w:highlight w:val="none"/>
          <w:u w:val="single"/>
        </w:rPr>
      </w:pPr>
    </w:p>
    <w:tbl>
      <w:tblPr>
        <w:tblStyle w:val="32"/>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571889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bottom w:val="single" w:color="auto" w:sz="4" w:space="0"/>
              <w:right w:val="single" w:color="auto" w:sz="4" w:space="0"/>
            </w:tcBorders>
            <w:vAlign w:val="center"/>
          </w:tcPr>
          <w:p w14:paraId="612996D4">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1D8DFA9D">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7FD1EF32">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供应商的响应</w:t>
            </w:r>
          </w:p>
        </w:tc>
        <w:tc>
          <w:tcPr>
            <w:tcW w:w="2112" w:type="dxa"/>
            <w:tcBorders>
              <w:top w:val="single" w:color="auto" w:sz="4" w:space="0"/>
              <w:left w:val="single" w:color="auto" w:sz="4" w:space="0"/>
              <w:bottom w:val="single" w:color="auto" w:sz="4" w:space="0"/>
            </w:tcBorders>
            <w:vAlign w:val="center"/>
          </w:tcPr>
          <w:p w14:paraId="6FC8A6F8">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偏离说明</w:t>
            </w:r>
          </w:p>
        </w:tc>
      </w:tr>
      <w:tr w14:paraId="7E258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bottom w:val="single" w:color="auto" w:sz="4" w:space="0"/>
              <w:right w:val="single" w:color="auto" w:sz="4" w:space="0"/>
            </w:tcBorders>
            <w:vAlign w:val="center"/>
          </w:tcPr>
          <w:p w14:paraId="11CD9BA4">
            <w:pPr>
              <w:jc w:val="center"/>
              <w:rPr>
                <w:rFonts w:ascii="宋体" w:cs="宋体"/>
                <w:color w:val="auto"/>
                <w:sz w:val="24"/>
                <w:highlight w:val="none"/>
              </w:rPr>
            </w:pPr>
            <w:r>
              <w:rPr>
                <w:rFonts w:hint="eastAsia" w:ascii="宋体" w:hAnsi="宋体" w:cs="宋体"/>
                <w:bCs/>
                <w:color w:val="auto"/>
                <w:sz w:val="24"/>
                <w:highlight w:val="none"/>
              </w:rPr>
              <w:t>磋商报价要求</w:t>
            </w:r>
          </w:p>
        </w:tc>
        <w:tc>
          <w:tcPr>
            <w:tcW w:w="2668" w:type="dxa"/>
            <w:tcBorders>
              <w:top w:val="single" w:color="auto" w:sz="4" w:space="0"/>
              <w:left w:val="single" w:color="auto" w:sz="4" w:space="0"/>
              <w:bottom w:val="single" w:color="auto" w:sz="4" w:space="0"/>
              <w:right w:val="single" w:color="auto" w:sz="4" w:space="0"/>
            </w:tcBorders>
            <w:vAlign w:val="center"/>
          </w:tcPr>
          <w:p w14:paraId="660F5742">
            <w:pPr>
              <w:spacing w:line="360" w:lineRule="auto"/>
              <w:contextualSpacing/>
              <w:jc w:val="center"/>
              <w:rPr>
                <w:rFonts w:asci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756B2461">
            <w:pPr>
              <w:spacing w:line="360" w:lineRule="auto"/>
              <w:contextualSpacing/>
              <w:jc w:val="center"/>
              <w:rPr>
                <w:rFonts w:asci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06B12292">
            <w:pPr>
              <w:spacing w:line="360" w:lineRule="auto"/>
              <w:contextualSpacing/>
              <w:jc w:val="center"/>
              <w:rPr>
                <w:rFonts w:ascii="宋体" w:cs="宋体"/>
                <w:color w:val="auto"/>
                <w:sz w:val="24"/>
                <w:highlight w:val="none"/>
              </w:rPr>
            </w:pPr>
          </w:p>
        </w:tc>
      </w:tr>
      <w:tr w14:paraId="77F83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178" w:type="dxa"/>
            <w:tcBorders>
              <w:top w:val="single" w:color="auto" w:sz="4" w:space="0"/>
              <w:bottom w:val="single" w:color="auto" w:sz="4" w:space="0"/>
              <w:right w:val="single" w:color="auto" w:sz="4" w:space="0"/>
            </w:tcBorders>
            <w:vAlign w:val="center"/>
          </w:tcPr>
          <w:p w14:paraId="75FA95AB">
            <w:pPr>
              <w:jc w:val="center"/>
              <w:rPr>
                <w:rFonts w:ascii="宋体" w:cs="宋体"/>
                <w:color w:val="auto"/>
                <w:sz w:val="24"/>
                <w:highlight w:val="none"/>
              </w:rPr>
            </w:pPr>
            <w:r>
              <w:rPr>
                <w:rFonts w:hint="eastAsia" w:ascii="宋体" w:hAnsi="宋体" w:cs="宋体"/>
                <w:color w:val="auto"/>
                <w:sz w:val="24"/>
                <w:highlight w:val="none"/>
              </w:rPr>
              <w:t>合同履约期限</w:t>
            </w:r>
          </w:p>
        </w:tc>
        <w:tc>
          <w:tcPr>
            <w:tcW w:w="2668" w:type="dxa"/>
            <w:tcBorders>
              <w:top w:val="single" w:color="auto" w:sz="4" w:space="0"/>
              <w:left w:val="single" w:color="auto" w:sz="4" w:space="0"/>
              <w:bottom w:val="single" w:color="auto" w:sz="4" w:space="0"/>
              <w:right w:val="single" w:color="auto" w:sz="4" w:space="0"/>
            </w:tcBorders>
            <w:vAlign w:val="center"/>
          </w:tcPr>
          <w:p w14:paraId="3036FDCF">
            <w:pPr>
              <w:spacing w:line="360" w:lineRule="auto"/>
              <w:contextualSpacing/>
              <w:jc w:val="center"/>
              <w:rPr>
                <w:rFonts w:asci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3E271057">
            <w:pPr>
              <w:spacing w:line="360" w:lineRule="auto"/>
              <w:ind w:left="43"/>
              <w:contextualSpacing/>
              <w:jc w:val="center"/>
              <w:rPr>
                <w:rFonts w:asci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2E93FD69">
            <w:pPr>
              <w:spacing w:line="360" w:lineRule="auto"/>
              <w:ind w:left="43"/>
              <w:contextualSpacing/>
              <w:jc w:val="center"/>
              <w:rPr>
                <w:rFonts w:ascii="宋体" w:cs="宋体"/>
                <w:color w:val="auto"/>
                <w:sz w:val="24"/>
                <w:highlight w:val="none"/>
              </w:rPr>
            </w:pPr>
          </w:p>
        </w:tc>
      </w:tr>
      <w:tr w14:paraId="2E9A8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bottom w:val="single" w:color="auto" w:sz="4" w:space="0"/>
              <w:right w:val="single" w:color="auto" w:sz="4" w:space="0"/>
            </w:tcBorders>
            <w:vAlign w:val="center"/>
          </w:tcPr>
          <w:p w14:paraId="2B8FB17F">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14:paraId="204F4C7B">
            <w:pPr>
              <w:spacing w:line="360" w:lineRule="auto"/>
              <w:contextualSpacing/>
              <w:jc w:val="center"/>
              <w:rPr>
                <w:rFonts w:asci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419F46EB">
            <w:pPr>
              <w:spacing w:line="360" w:lineRule="auto"/>
              <w:contextualSpacing/>
              <w:jc w:val="center"/>
              <w:rPr>
                <w:rFonts w:asci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01E3D593">
            <w:pPr>
              <w:spacing w:line="360" w:lineRule="auto"/>
              <w:contextualSpacing/>
              <w:jc w:val="center"/>
              <w:rPr>
                <w:rFonts w:ascii="宋体" w:cs="宋体"/>
                <w:color w:val="auto"/>
                <w:sz w:val="24"/>
                <w:highlight w:val="none"/>
              </w:rPr>
            </w:pPr>
          </w:p>
        </w:tc>
      </w:tr>
      <w:tr w14:paraId="3242BF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bottom w:val="single" w:color="auto" w:sz="4" w:space="0"/>
              <w:right w:val="single" w:color="auto" w:sz="4" w:space="0"/>
            </w:tcBorders>
            <w:vAlign w:val="center"/>
          </w:tcPr>
          <w:p w14:paraId="6C5B7E85">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14:paraId="49E9D574">
            <w:pPr>
              <w:spacing w:line="360" w:lineRule="auto"/>
              <w:contextualSpacing/>
              <w:jc w:val="center"/>
              <w:rPr>
                <w:rFonts w:asci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559C193E">
            <w:pPr>
              <w:spacing w:line="360" w:lineRule="auto"/>
              <w:contextualSpacing/>
              <w:jc w:val="center"/>
              <w:rPr>
                <w:rFonts w:asci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4FF4C88C">
            <w:pPr>
              <w:spacing w:line="360" w:lineRule="auto"/>
              <w:contextualSpacing/>
              <w:jc w:val="center"/>
              <w:rPr>
                <w:rFonts w:ascii="宋体" w:cs="宋体"/>
                <w:color w:val="auto"/>
                <w:sz w:val="24"/>
                <w:highlight w:val="none"/>
              </w:rPr>
            </w:pPr>
          </w:p>
        </w:tc>
      </w:tr>
    </w:tbl>
    <w:p w14:paraId="47390503">
      <w:pPr>
        <w:pStyle w:val="14"/>
        <w:spacing w:after="0" w:line="360" w:lineRule="auto"/>
        <w:contextualSpacing/>
        <w:rPr>
          <w:rFonts w:ascii="宋体" w:cs="宋体"/>
          <w:color w:val="auto"/>
          <w:kern w:val="0"/>
          <w:sz w:val="24"/>
          <w:szCs w:val="24"/>
          <w:highlight w:val="none"/>
        </w:rPr>
      </w:pPr>
    </w:p>
    <w:p w14:paraId="5224F740">
      <w:pPr>
        <w:pStyle w:val="14"/>
        <w:spacing w:after="0" w:line="360" w:lineRule="auto"/>
        <w:ind w:firstLine="240" w:firstLineChars="100"/>
        <w:contextualSpacing/>
        <w:rPr>
          <w:rFonts w:ascii="宋体" w:cs="宋体"/>
          <w:color w:val="auto"/>
          <w:kern w:val="0"/>
          <w:sz w:val="24"/>
          <w:szCs w:val="24"/>
          <w:highlight w:val="none"/>
        </w:rPr>
      </w:pPr>
    </w:p>
    <w:p w14:paraId="4E2CC127">
      <w:pPr>
        <w:pStyle w:val="14"/>
        <w:spacing w:after="0" w:line="360" w:lineRule="auto"/>
        <w:ind w:firstLine="240" w:firstLineChars="100"/>
        <w:contextualSpacing/>
        <w:rPr>
          <w:rFonts w:ascii="宋体" w:cs="宋体"/>
          <w:color w:val="auto"/>
          <w:kern w:val="0"/>
          <w:sz w:val="24"/>
          <w:szCs w:val="24"/>
          <w:highlight w:val="none"/>
        </w:rPr>
      </w:pPr>
    </w:p>
    <w:p w14:paraId="5C7615BC">
      <w:pPr>
        <w:pStyle w:val="14"/>
        <w:spacing w:after="0" w:line="360" w:lineRule="auto"/>
        <w:ind w:firstLine="240" w:firstLineChars="100"/>
        <w:contextualSpacing/>
        <w:rPr>
          <w:rFonts w:ascii="宋体" w:cs="宋体"/>
          <w:color w:val="auto"/>
          <w:kern w:val="0"/>
          <w:sz w:val="24"/>
          <w:szCs w:val="24"/>
          <w:highlight w:val="none"/>
        </w:rPr>
      </w:pPr>
    </w:p>
    <w:p w14:paraId="1FCBCA46">
      <w:pPr>
        <w:pStyle w:val="14"/>
        <w:spacing w:after="0" w:line="360" w:lineRule="auto"/>
        <w:ind w:firstLine="240" w:firstLineChars="100"/>
        <w:contextualSpacing/>
        <w:rPr>
          <w:rFonts w:ascii="宋体" w:cs="宋体"/>
          <w:color w:val="auto"/>
          <w:kern w:val="0"/>
          <w:sz w:val="24"/>
          <w:szCs w:val="24"/>
          <w:highlight w:val="none"/>
        </w:rPr>
      </w:pPr>
    </w:p>
    <w:p w14:paraId="6BCD7684">
      <w:pPr>
        <w:pStyle w:val="14"/>
        <w:spacing w:after="0" w:line="360" w:lineRule="auto"/>
        <w:ind w:firstLine="240" w:firstLineChars="100"/>
        <w:contextualSpacing/>
        <w:rPr>
          <w:rFonts w:ascii="宋体" w:cs="宋体"/>
          <w:color w:val="auto"/>
          <w:kern w:val="0"/>
          <w:sz w:val="24"/>
          <w:szCs w:val="24"/>
          <w:highlight w:val="none"/>
        </w:rPr>
      </w:pPr>
    </w:p>
    <w:p w14:paraId="124B10EF">
      <w:pPr>
        <w:pStyle w:val="14"/>
        <w:spacing w:after="0" w:line="360" w:lineRule="auto"/>
        <w:ind w:firstLine="240" w:firstLineChars="100"/>
        <w:contextualSpacing/>
        <w:rPr>
          <w:rFonts w:ascii="宋体" w:cs="宋体"/>
          <w:color w:val="auto"/>
          <w:kern w:val="0"/>
          <w:sz w:val="24"/>
          <w:szCs w:val="24"/>
          <w:highlight w:val="none"/>
        </w:rPr>
      </w:pPr>
    </w:p>
    <w:p w14:paraId="7EFF4793">
      <w:pPr>
        <w:pStyle w:val="14"/>
        <w:spacing w:after="0" w:line="360" w:lineRule="auto"/>
        <w:ind w:firstLine="240" w:firstLineChars="100"/>
        <w:contextualSpacing/>
        <w:rPr>
          <w:rFonts w:ascii="宋体" w:cs="宋体"/>
          <w:color w:val="auto"/>
          <w:kern w:val="0"/>
          <w:sz w:val="24"/>
          <w:szCs w:val="24"/>
          <w:highlight w:val="none"/>
        </w:rPr>
      </w:pPr>
      <w:r>
        <w:rPr>
          <w:rFonts w:hint="eastAsia" w:ascii="宋体" w:hAnsi="宋体" w:cs="宋体"/>
          <w:color w:val="auto"/>
          <w:kern w:val="0"/>
          <w:sz w:val="24"/>
          <w:szCs w:val="24"/>
          <w:highlight w:val="none"/>
        </w:rPr>
        <w:t>注：</w:t>
      </w:r>
    </w:p>
    <w:p w14:paraId="043C4E74">
      <w:pPr>
        <w:pStyle w:val="14"/>
        <w:spacing w:after="0" w:line="360" w:lineRule="auto"/>
        <w:contextualSpacing/>
        <w:rPr>
          <w:rFonts w:ascii="宋体" w:cs="宋体"/>
          <w:color w:val="auto"/>
          <w:kern w:val="0"/>
          <w:sz w:val="24"/>
          <w:szCs w:val="24"/>
          <w:highlight w:val="none"/>
        </w:rPr>
      </w:pPr>
      <w:r>
        <w:rPr>
          <w:rFonts w:ascii="宋体" w:hAnsi="宋体" w:cs="宋体"/>
          <w:color w:val="auto"/>
          <w:kern w:val="0"/>
          <w:sz w:val="24"/>
          <w:szCs w:val="24"/>
          <w:highlight w:val="none"/>
        </w:rPr>
        <w:t xml:space="preserve">1. </w:t>
      </w:r>
      <w:r>
        <w:rPr>
          <w:rFonts w:hint="eastAsia" w:ascii="宋体" w:hAnsi="宋体" w:cs="宋体"/>
          <w:color w:val="auto"/>
          <w:kern w:val="0"/>
          <w:sz w:val="24"/>
          <w:szCs w:val="24"/>
          <w:highlight w:val="none"/>
        </w:rPr>
        <w:t>说明：应对照磋商文件“第三章</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采购需求”中的商务要求逐条作出明确响应，并作出偏离说明。</w:t>
      </w:r>
    </w:p>
    <w:p w14:paraId="608BCA49">
      <w:pPr>
        <w:spacing w:line="360" w:lineRule="auto"/>
        <w:contextualSpacing/>
        <w:jc w:val="left"/>
        <w:rPr>
          <w:rFonts w:ascii="宋体" w:cs="宋体"/>
          <w:color w:val="auto"/>
          <w:sz w:val="24"/>
          <w:highlight w:val="none"/>
          <w:u w:val="single"/>
        </w:rPr>
      </w:pPr>
      <w:r>
        <w:rPr>
          <w:rFonts w:ascii="宋体" w:hAnsi="宋体" w:cs="宋体"/>
          <w:color w:val="auto"/>
          <w:kern w:val="0"/>
          <w:sz w:val="24"/>
          <w:highlight w:val="none"/>
        </w:rPr>
        <w:t>2.</w:t>
      </w:r>
      <w:r>
        <w:rPr>
          <w:rFonts w:hint="eastAsia" w:ascii="宋体" w:hAnsi="宋体" w:cs="宋体"/>
          <w:color w:val="auto"/>
          <w:kern w:val="0"/>
          <w:sz w:val="24"/>
          <w:highlight w:val="none"/>
        </w:rPr>
        <w:t>供应商应根据自身的承诺，对照磋商文件要求在“偏离说明”中注明“正偏离”、“负偏离”或者“无偏离”。既不属于“正偏离”也不属于“负偏离”即为“无偏离”。</w:t>
      </w:r>
    </w:p>
    <w:p w14:paraId="1BEAE2B6">
      <w:pPr>
        <w:spacing w:line="360" w:lineRule="auto"/>
        <w:ind w:right="-817" w:rightChars="-389"/>
        <w:contextualSpacing/>
        <w:rPr>
          <w:rFonts w:ascii="宋体" w:cs="宋体"/>
          <w:color w:val="auto"/>
          <w:sz w:val="24"/>
          <w:highlight w:val="none"/>
        </w:rPr>
      </w:pPr>
    </w:p>
    <w:p w14:paraId="7ADBB66F">
      <w:pPr>
        <w:spacing w:line="360" w:lineRule="auto"/>
        <w:ind w:right="-817" w:rightChars="-389" w:firstLine="4800" w:firstLineChars="2000"/>
        <w:contextualSpacing/>
        <w:rPr>
          <w:rFonts w:ascii="宋体" w:cs="宋体"/>
          <w:color w:val="auto"/>
          <w:sz w:val="24"/>
          <w:highlight w:val="none"/>
        </w:rPr>
      </w:pPr>
      <w:r>
        <w:rPr>
          <w:rFonts w:hint="eastAsia" w:ascii="宋体" w:hAnsi="宋体" w:cs="宋体"/>
          <w:color w:val="auto"/>
          <w:sz w:val="24"/>
          <w:highlight w:val="none"/>
        </w:rPr>
        <w:t>法定代表人或者委托代理人（签字）：</w:t>
      </w:r>
      <w:r>
        <w:rPr>
          <w:rFonts w:ascii="宋体" w:hAnsi="宋体" w:cs="宋体"/>
          <w:color w:val="auto"/>
          <w:sz w:val="24"/>
          <w:highlight w:val="none"/>
        </w:rPr>
        <w:t xml:space="preserve">                    </w:t>
      </w:r>
    </w:p>
    <w:p w14:paraId="0EEC26C8">
      <w:pPr>
        <w:spacing w:line="360" w:lineRule="auto"/>
        <w:ind w:right="-817" w:rightChars="-389" w:firstLine="4800" w:firstLineChars="2000"/>
        <w:contextualSpacing/>
        <w:rPr>
          <w:rFonts w:ascii="宋体" w:cs="宋体"/>
          <w:color w:val="auto"/>
          <w:sz w:val="24"/>
          <w:highlight w:val="none"/>
        </w:rPr>
      </w:pPr>
      <w:r>
        <w:rPr>
          <w:rFonts w:hint="eastAsia" w:ascii="宋体" w:hAnsi="宋体" w:cs="宋体"/>
          <w:color w:val="auto"/>
          <w:sz w:val="24"/>
          <w:highlight w:val="none"/>
        </w:rPr>
        <w:t>供应商（盖公章）：</w:t>
      </w:r>
      <w:r>
        <w:rPr>
          <w:rFonts w:ascii="宋体" w:hAnsi="宋体" w:cs="宋体"/>
          <w:color w:val="auto"/>
          <w:sz w:val="24"/>
          <w:highlight w:val="none"/>
        </w:rPr>
        <w:t xml:space="preserve">      </w:t>
      </w:r>
    </w:p>
    <w:p w14:paraId="2CAD6F54">
      <w:pPr>
        <w:spacing w:line="360" w:lineRule="auto"/>
        <w:ind w:right="-817" w:rightChars="-389" w:firstLine="4800" w:firstLineChars="2000"/>
        <w:contextualSpacing/>
        <w:rPr>
          <w:rFonts w:ascii="宋体" w:cs="宋体"/>
          <w:b/>
          <w:color w:val="auto"/>
          <w:sz w:val="32"/>
          <w:szCs w:val="32"/>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656A1CFA">
      <w:pPr>
        <w:adjustRightInd w:val="0"/>
        <w:snapToGrid w:val="0"/>
        <w:spacing w:line="520" w:lineRule="exact"/>
        <w:ind w:firstLine="7040" w:firstLineChars="1600"/>
        <w:jc w:val="center"/>
        <w:rPr>
          <w:rFonts w:ascii="宋体" w:cs="宋体"/>
          <w:bCs/>
          <w:color w:val="auto"/>
          <w:sz w:val="44"/>
          <w:szCs w:val="44"/>
          <w:highlight w:val="none"/>
        </w:rPr>
      </w:pPr>
    </w:p>
    <w:p w14:paraId="5661DECA">
      <w:pPr>
        <w:adjustRightInd w:val="0"/>
        <w:snapToGrid w:val="0"/>
        <w:spacing w:line="520" w:lineRule="exact"/>
        <w:ind w:firstLine="7040" w:firstLineChars="1600"/>
        <w:jc w:val="center"/>
        <w:rPr>
          <w:rFonts w:ascii="宋体" w:cs="宋体"/>
          <w:bCs/>
          <w:color w:val="auto"/>
          <w:sz w:val="44"/>
          <w:szCs w:val="44"/>
          <w:highlight w:val="none"/>
        </w:rPr>
      </w:pPr>
    </w:p>
    <w:p w14:paraId="2B01008D">
      <w:pPr>
        <w:adjustRightInd w:val="0"/>
        <w:snapToGrid w:val="0"/>
        <w:spacing w:line="520" w:lineRule="exact"/>
        <w:ind w:firstLine="7040" w:firstLineChars="1600"/>
        <w:jc w:val="center"/>
        <w:rPr>
          <w:rFonts w:ascii="宋体" w:cs="宋体"/>
          <w:bCs/>
          <w:color w:val="auto"/>
          <w:sz w:val="44"/>
          <w:szCs w:val="44"/>
          <w:highlight w:val="none"/>
        </w:rPr>
      </w:pPr>
    </w:p>
    <w:p w14:paraId="5E8CBB7E">
      <w:pPr>
        <w:adjustRightInd w:val="0"/>
        <w:snapToGrid w:val="0"/>
        <w:spacing w:line="520" w:lineRule="exact"/>
        <w:ind w:firstLine="7040" w:firstLineChars="1600"/>
        <w:jc w:val="center"/>
        <w:rPr>
          <w:rFonts w:ascii="宋体" w:cs="宋体"/>
          <w:bCs/>
          <w:color w:val="auto"/>
          <w:sz w:val="44"/>
          <w:szCs w:val="44"/>
          <w:highlight w:val="none"/>
        </w:rPr>
      </w:pPr>
    </w:p>
    <w:p w14:paraId="17BDA182">
      <w:pPr>
        <w:adjustRightInd w:val="0"/>
        <w:snapToGrid w:val="0"/>
        <w:spacing w:line="300" w:lineRule="auto"/>
        <w:jc w:val="center"/>
        <w:rPr>
          <w:rFonts w:ascii="宋体" w:cs="宋体"/>
          <w:bCs/>
          <w:color w:val="auto"/>
          <w:sz w:val="44"/>
          <w:szCs w:val="44"/>
          <w:highlight w:val="none"/>
        </w:rPr>
      </w:pPr>
      <w:r>
        <w:rPr>
          <w:rFonts w:ascii="宋体" w:cs="宋体"/>
          <w:bCs/>
          <w:color w:val="auto"/>
          <w:sz w:val="44"/>
          <w:szCs w:val="44"/>
          <w:highlight w:val="none"/>
        </w:rPr>
        <w:br w:type="page"/>
      </w:r>
      <w:r>
        <w:rPr>
          <w:rFonts w:hint="eastAsia" w:ascii="宋体" w:hAnsi="宋体" w:cs="宋体"/>
          <w:bCs/>
          <w:color w:val="auto"/>
          <w:sz w:val="44"/>
          <w:szCs w:val="44"/>
          <w:highlight w:val="none"/>
        </w:rPr>
        <w:t>技术要求偏离表</w:t>
      </w:r>
    </w:p>
    <w:p w14:paraId="5CF732ED">
      <w:pPr>
        <w:spacing w:line="520" w:lineRule="exact"/>
        <w:rPr>
          <w:rFonts w:ascii="宋体" w:cs="宋体"/>
          <w:color w:val="auto"/>
          <w:sz w:val="32"/>
          <w:szCs w:val="32"/>
          <w:highlight w:val="none"/>
        </w:rPr>
      </w:pPr>
    </w:p>
    <w:p w14:paraId="5853341C">
      <w:pPr>
        <w:spacing w:line="360" w:lineRule="auto"/>
        <w:contextualSpacing/>
        <w:rPr>
          <w:rFonts w:ascii="宋体" w:cs="宋体"/>
          <w:color w:val="auto"/>
          <w:sz w:val="24"/>
          <w:highlight w:val="none"/>
          <w:u w:val="single"/>
        </w:rPr>
      </w:pPr>
      <w:r>
        <w:rPr>
          <w:rFonts w:hint="eastAsia" w:ascii="宋体" w:hAnsi="宋体" w:cs="宋体"/>
          <w:color w:val="auto"/>
          <w:sz w:val="24"/>
          <w:highlight w:val="none"/>
        </w:rPr>
        <w:t>采购项目编号：</w:t>
      </w:r>
      <w:r>
        <w:rPr>
          <w:rFonts w:ascii="宋体" w:hAnsi="宋体" w:cs="宋体"/>
          <w:color w:val="auto"/>
          <w:sz w:val="24"/>
          <w:highlight w:val="none"/>
          <w:u w:val="single"/>
        </w:rPr>
        <w:t xml:space="preserve">                 </w:t>
      </w:r>
    </w:p>
    <w:p w14:paraId="2E63F684">
      <w:pPr>
        <w:spacing w:line="360" w:lineRule="auto"/>
        <w:contextualSpacing/>
        <w:rPr>
          <w:rFonts w:ascii="宋体" w:cs="宋体"/>
          <w:color w:val="auto"/>
          <w:sz w:val="24"/>
          <w:highlight w:val="none"/>
        </w:rPr>
      </w:pPr>
      <w:r>
        <w:rPr>
          <w:rFonts w:hint="eastAsia" w:ascii="宋体" w:hAnsi="宋体" w:cs="宋体"/>
          <w:color w:val="auto"/>
          <w:sz w:val="24"/>
          <w:highlight w:val="none"/>
        </w:rPr>
        <w:t>采购项目名称：</w:t>
      </w:r>
      <w:r>
        <w:rPr>
          <w:rFonts w:ascii="宋体" w:hAnsi="宋体" w:cs="宋体"/>
          <w:color w:val="auto"/>
          <w:sz w:val="24"/>
          <w:highlight w:val="none"/>
          <w:u w:val="single"/>
        </w:rPr>
        <w:t xml:space="preserve">                 </w:t>
      </w:r>
    </w:p>
    <w:p w14:paraId="3F48BD39">
      <w:pPr>
        <w:spacing w:line="360" w:lineRule="auto"/>
        <w:contextualSpacing/>
        <w:rPr>
          <w:rFonts w:ascii="宋体" w:cs="宋体"/>
          <w:color w:val="auto"/>
          <w:sz w:val="24"/>
          <w:highlight w:val="none"/>
          <w:u w:val="single"/>
        </w:rPr>
      </w:pPr>
      <w:r>
        <w:rPr>
          <w:rFonts w:hint="eastAsia" w:ascii="宋体" w:hAnsi="宋体" w:cs="宋体"/>
          <w:color w:val="auto"/>
          <w:sz w:val="24"/>
          <w:highlight w:val="none"/>
        </w:rPr>
        <w:t>分标号：</w:t>
      </w:r>
      <w:r>
        <w:rPr>
          <w:rFonts w:ascii="宋体" w:hAnsi="宋体" w:cs="宋体"/>
          <w:color w:val="auto"/>
          <w:sz w:val="24"/>
          <w:highlight w:val="none"/>
          <w:u w:val="single"/>
        </w:rPr>
        <w:t xml:space="preserve">                       </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14"/>
        <w:gridCol w:w="1014"/>
        <w:gridCol w:w="3368"/>
        <w:gridCol w:w="3031"/>
        <w:gridCol w:w="1655"/>
      </w:tblGrid>
      <w:tr w14:paraId="1CDA9A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tcBorders>
              <w:top w:val="single" w:color="auto" w:sz="4" w:space="0"/>
            </w:tcBorders>
            <w:vAlign w:val="center"/>
          </w:tcPr>
          <w:p w14:paraId="6D56741C">
            <w:pPr>
              <w:pStyle w:val="17"/>
              <w:spacing w:line="360" w:lineRule="auto"/>
              <w:ind w:firstLine="0" w:firstLineChars="0"/>
              <w:contextualSpacing/>
              <w:jc w:val="center"/>
              <w:rPr>
                <w:rFonts w:ascii="宋体" w:hAnsi="宋体" w:eastAsia="宋体" w:cs="宋体"/>
                <w:color w:val="auto"/>
                <w:kern w:val="2"/>
                <w:sz w:val="24"/>
                <w:szCs w:val="24"/>
                <w:highlight w:val="none"/>
              </w:rPr>
            </w:pPr>
            <w:bookmarkStart w:id="96" w:name="_Toc297193185"/>
            <w:bookmarkStart w:id="97" w:name="_Toc295404981"/>
            <w:bookmarkStart w:id="98" w:name="_Toc373333689"/>
            <w:bookmarkStart w:id="99" w:name="_Toc301781611"/>
            <w:bookmarkStart w:id="100" w:name="_Toc173211900"/>
            <w:bookmarkStart w:id="101" w:name="_Toc254970729"/>
            <w:bookmarkStart w:id="102" w:name="_Toc254970588"/>
            <w:bookmarkStart w:id="103" w:name="_Toc173066401"/>
            <w:bookmarkStart w:id="104" w:name="_Toc383699906"/>
            <w:r>
              <w:rPr>
                <w:rFonts w:hint="eastAsia" w:ascii="宋体" w:hAnsi="宋体" w:eastAsia="宋体" w:cs="宋体"/>
                <w:color w:val="auto"/>
                <w:kern w:val="2"/>
                <w:sz w:val="24"/>
                <w:szCs w:val="24"/>
                <w:highlight w:val="none"/>
              </w:rPr>
              <w:t>序号</w:t>
            </w:r>
            <w:bookmarkEnd w:id="96"/>
            <w:bookmarkEnd w:id="97"/>
            <w:bookmarkEnd w:id="98"/>
            <w:bookmarkEnd w:id="99"/>
            <w:bookmarkEnd w:id="100"/>
            <w:bookmarkEnd w:id="101"/>
            <w:bookmarkEnd w:id="102"/>
            <w:bookmarkEnd w:id="103"/>
            <w:bookmarkEnd w:id="104"/>
          </w:p>
        </w:tc>
        <w:tc>
          <w:tcPr>
            <w:tcW w:w="503" w:type="pct"/>
            <w:tcBorders>
              <w:top w:val="single" w:color="auto" w:sz="4" w:space="0"/>
              <w:right w:val="single" w:color="auto" w:sz="4" w:space="0"/>
            </w:tcBorders>
            <w:vAlign w:val="center"/>
          </w:tcPr>
          <w:p w14:paraId="3CB89BF7">
            <w:pPr>
              <w:pStyle w:val="17"/>
              <w:spacing w:line="360" w:lineRule="auto"/>
              <w:ind w:firstLine="0" w:firstLineChars="0"/>
              <w:contextualSpacing/>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名称</w:t>
            </w:r>
          </w:p>
        </w:tc>
        <w:tc>
          <w:tcPr>
            <w:tcW w:w="1670" w:type="pct"/>
            <w:tcBorders>
              <w:top w:val="single" w:color="auto" w:sz="4" w:space="0"/>
              <w:left w:val="single" w:color="auto" w:sz="4" w:space="0"/>
            </w:tcBorders>
            <w:vAlign w:val="center"/>
          </w:tcPr>
          <w:p w14:paraId="7F69B5CA">
            <w:pPr>
              <w:pStyle w:val="17"/>
              <w:spacing w:line="360" w:lineRule="auto"/>
              <w:ind w:firstLine="0" w:firstLineChars="0"/>
              <w:contextualSpacing/>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磋商文件技术要求</w:t>
            </w:r>
          </w:p>
        </w:tc>
        <w:tc>
          <w:tcPr>
            <w:tcW w:w="1503" w:type="pct"/>
            <w:tcBorders>
              <w:top w:val="single" w:color="auto" w:sz="4" w:space="0"/>
            </w:tcBorders>
            <w:vAlign w:val="center"/>
          </w:tcPr>
          <w:p w14:paraId="71E88677">
            <w:pPr>
              <w:pStyle w:val="17"/>
              <w:spacing w:line="360" w:lineRule="auto"/>
              <w:ind w:firstLine="0" w:firstLineChars="0"/>
              <w:contextualSpacing/>
              <w:jc w:val="center"/>
              <w:rPr>
                <w:rFonts w:ascii="宋体" w:hAnsi="宋体" w:eastAsia="宋体" w:cs="宋体"/>
                <w:color w:val="auto"/>
                <w:kern w:val="2"/>
                <w:sz w:val="24"/>
                <w:szCs w:val="24"/>
                <w:highlight w:val="none"/>
              </w:rPr>
            </w:pPr>
            <w:bookmarkStart w:id="105" w:name="_Toc173066403"/>
            <w:bookmarkStart w:id="106" w:name="_Toc301781613"/>
            <w:bookmarkStart w:id="107" w:name="_Toc254970731"/>
            <w:bookmarkStart w:id="108" w:name="_Toc295404983"/>
            <w:bookmarkStart w:id="109" w:name="_Toc254970590"/>
            <w:bookmarkStart w:id="110" w:name="_Toc383699908"/>
            <w:bookmarkStart w:id="111" w:name="_Toc173211902"/>
            <w:bookmarkStart w:id="112" w:name="_Toc373333691"/>
            <w:bookmarkStart w:id="113" w:name="_Toc297193187"/>
            <w:r>
              <w:rPr>
                <w:rFonts w:hint="eastAsia" w:ascii="宋体" w:hAnsi="宋体" w:eastAsia="宋体" w:cs="宋体"/>
                <w:color w:val="auto"/>
                <w:kern w:val="2"/>
                <w:sz w:val="24"/>
                <w:szCs w:val="24"/>
                <w:highlight w:val="none"/>
              </w:rPr>
              <w:t>竞标响应</w:t>
            </w:r>
            <w:bookmarkEnd w:id="105"/>
            <w:bookmarkEnd w:id="106"/>
            <w:bookmarkEnd w:id="107"/>
            <w:bookmarkEnd w:id="108"/>
            <w:bookmarkEnd w:id="109"/>
            <w:bookmarkEnd w:id="110"/>
            <w:bookmarkEnd w:id="111"/>
            <w:bookmarkEnd w:id="112"/>
            <w:bookmarkEnd w:id="113"/>
          </w:p>
        </w:tc>
        <w:tc>
          <w:tcPr>
            <w:tcW w:w="820" w:type="pct"/>
            <w:tcBorders>
              <w:top w:val="single" w:color="auto" w:sz="4" w:space="0"/>
            </w:tcBorders>
            <w:vAlign w:val="center"/>
          </w:tcPr>
          <w:p w14:paraId="7FCA796A">
            <w:pPr>
              <w:pStyle w:val="17"/>
              <w:spacing w:line="360" w:lineRule="auto"/>
              <w:ind w:firstLine="0" w:firstLineChars="0"/>
              <w:contextualSpacing/>
              <w:jc w:val="center"/>
              <w:rPr>
                <w:rFonts w:ascii="宋体" w:hAnsi="宋体" w:eastAsia="宋体" w:cs="宋体"/>
                <w:color w:val="auto"/>
                <w:kern w:val="2"/>
                <w:sz w:val="24"/>
                <w:szCs w:val="24"/>
                <w:highlight w:val="none"/>
              </w:rPr>
            </w:pPr>
            <w:bookmarkStart w:id="114" w:name="_Toc383699909"/>
            <w:bookmarkStart w:id="115" w:name="_Toc297193188"/>
            <w:bookmarkStart w:id="116" w:name="_Toc254970732"/>
            <w:bookmarkStart w:id="117" w:name="_Toc295404984"/>
            <w:bookmarkStart w:id="118" w:name="_Toc173066404"/>
            <w:bookmarkStart w:id="119" w:name="_Toc301781614"/>
            <w:bookmarkStart w:id="120" w:name="_Toc173211903"/>
            <w:bookmarkStart w:id="121" w:name="_Toc373333692"/>
            <w:bookmarkStart w:id="122" w:name="_Toc254970591"/>
            <w:r>
              <w:rPr>
                <w:rFonts w:hint="eastAsia" w:ascii="宋体" w:hAnsi="宋体" w:eastAsia="宋体" w:cs="宋体"/>
                <w:color w:val="auto"/>
                <w:kern w:val="2"/>
                <w:sz w:val="24"/>
                <w:szCs w:val="24"/>
                <w:highlight w:val="none"/>
              </w:rPr>
              <w:t>偏离</w:t>
            </w:r>
            <w:bookmarkEnd w:id="114"/>
            <w:bookmarkEnd w:id="115"/>
            <w:bookmarkEnd w:id="116"/>
            <w:bookmarkEnd w:id="117"/>
            <w:bookmarkEnd w:id="118"/>
            <w:bookmarkEnd w:id="119"/>
            <w:bookmarkEnd w:id="120"/>
            <w:bookmarkEnd w:id="121"/>
            <w:bookmarkEnd w:id="122"/>
            <w:bookmarkStart w:id="123" w:name="_Toc373333693"/>
            <w:bookmarkStart w:id="124" w:name="_Toc173211904"/>
            <w:bookmarkStart w:id="125" w:name="_Toc254970733"/>
            <w:bookmarkStart w:id="126" w:name="_Toc295404985"/>
            <w:bookmarkStart w:id="127" w:name="_Toc383699910"/>
            <w:bookmarkStart w:id="128" w:name="_Toc254970592"/>
            <w:bookmarkStart w:id="129" w:name="_Toc301781615"/>
            <w:bookmarkStart w:id="130" w:name="_Toc297193189"/>
            <w:bookmarkStart w:id="131" w:name="_Toc173066405"/>
            <w:r>
              <w:rPr>
                <w:rFonts w:hint="eastAsia" w:ascii="宋体" w:hAnsi="宋体" w:eastAsia="宋体" w:cs="宋体"/>
                <w:color w:val="auto"/>
                <w:kern w:val="2"/>
                <w:sz w:val="24"/>
                <w:szCs w:val="24"/>
                <w:highlight w:val="none"/>
              </w:rPr>
              <w:t>说明</w:t>
            </w:r>
            <w:bookmarkEnd w:id="123"/>
            <w:bookmarkEnd w:id="124"/>
            <w:bookmarkEnd w:id="125"/>
            <w:bookmarkEnd w:id="126"/>
            <w:bookmarkEnd w:id="127"/>
            <w:bookmarkEnd w:id="128"/>
            <w:bookmarkEnd w:id="129"/>
            <w:bookmarkEnd w:id="130"/>
            <w:bookmarkEnd w:id="131"/>
          </w:p>
        </w:tc>
      </w:tr>
      <w:tr w14:paraId="4AD532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082B4521">
            <w:pPr>
              <w:pStyle w:val="17"/>
              <w:spacing w:line="360" w:lineRule="auto"/>
              <w:ind w:firstLine="0" w:firstLineChars="0"/>
              <w:contextualSpacing/>
              <w:jc w:val="center"/>
              <w:rPr>
                <w:rFonts w:ascii="宋体" w:hAnsi="宋体" w:eastAsia="宋体" w:cs="宋体"/>
                <w:color w:val="auto"/>
                <w:kern w:val="2"/>
                <w:sz w:val="24"/>
                <w:szCs w:val="24"/>
                <w:highlight w:val="none"/>
              </w:rPr>
            </w:pPr>
            <w:bookmarkStart w:id="132" w:name="_Toc254970734"/>
            <w:bookmarkStart w:id="133" w:name="_Toc254970593"/>
            <w:bookmarkStart w:id="134" w:name="_Toc173066406"/>
            <w:bookmarkStart w:id="135" w:name="_Toc297193190"/>
            <w:bookmarkStart w:id="136" w:name="_Toc383699911"/>
            <w:bookmarkStart w:id="137" w:name="_Toc301781616"/>
            <w:bookmarkStart w:id="138" w:name="_Toc373333694"/>
            <w:bookmarkStart w:id="139" w:name="_Toc173211905"/>
            <w:bookmarkStart w:id="140" w:name="_Toc295404986"/>
            <w:r>
              <w:rPr>
                <w:rFonts w:ascii="宋体" w:hAnsi="宋体" w:eastAsia="宋体" w:cs="宋体"/>
                <w:color w:val="auto"/>
                <w:kern w:val="2"/>
                <w:sz w:val="24"/>
                <w:szCs w:val="24"/>
                <w:highlight w:val="none"/>
              </w:rPr>
              <w:t>1</w:t>
            </w:r>
            <w:bookmarkEnd w:id="132"/>
            <w:bookmarkEnd w:id="133"/>
            <w:bookmarkEnd w:id="134"/>
            <w:bookmarkEnd w:id="135"/>
            <w:bookmarkEnd w:id="136"/>
            <w:bookmarkEnd w:id="137"/>
            <w:bookmarkEnd w:id="138"/>
            <w:bookmarkEnd w:id="139"/>
            <w:bookmarkEnd w:id="140"/>
          </w:p>
        </w:tc>
        <w:tc>
          <w:tcPr>
            <w:tcW w:w="503" w:type="pct"/>
            <w:tcBorders>
              <w:right w:val="single" w:color="auto" w:sz="4" w:space="0"/>
            </w:tcBorders>
            <w:vAlign w:val="center"/>
          </w:tcPr>
          <w:p w14:paraId="3E395FEF">
            <w:pPr>
              <w:pStyle w:val="17"/>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14:paraId="5C983DD0">
            <w:pPr>
              <w:pStyle w:val="17"/>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14:paraId="3DF15C31">
            <w:pPr>
              <w:pStyle w:val="17"/>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vAlign w:val="center"/>
          </w:tcPr>
          <w:p w14:paraId="23D78655">
            <w:pPr>
              <w:pStyle w:val="17"/>
              <w:spacing w:line="360" w:lineRule="auto"/>
              <w:ind w:firstLine="0" w:firstLineChars="0"/>
              <w:contextualSpacing/>
              <w:jc w:val="center"/>
              <w:rPr>
                <w:rFonts w:ascii="宋体" w:hAnsi="宋体" w:eastAsia="宋体" w:cs="宋体"/>
                <w:color w:val="auto"/>
                <w:kern w:val="2"/>
                <w:sz w:val="24"/>
                <w:szCs w:val="24"/>
                <w:highlight w:val="none"/>
              </w:rPr>
            </w:pPr>
          </w:p>
        </w:tc>
      </w:tr>
      <w:tr w14:paraId="31DC50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03C22FD0">
            <w:pPr>
              <w:pStyle w:val="17"/>
              <w:spacing w:line="360" w:lineRule="auto"/>
              <w:ind w:firstLine="0" w:firstLineChars="0"/>
              <w:contextualSpacing/>
              <w:jc w:val="center"/>
              <w:rPr>
                <w:rFonts w:ascii="宋体" w:hAnsi="宋体" w:eastAsia="宋体" w:cs="宋体"/>
                <w:color w:val="auto"/>
                <w:kern w:val="2"/>
                <w:sz w:val="24"/>
                <w:szCs w:val="24"/>
                <w:highlight w:val="none"/>
              </w:rPr>
            </w:pPr>
            <w:bookmarkStart w:id="141" w:name="_Toc254970594"/>
            <w:bookmarkStart w:id="142" w:name="_Toc301781617"/>
            <w:bookmarkStart w:id="143" w:name="_Toc173066407"/>
            <w:bookmarkStart w:id="144" w:name="_Toc173211906"/>
            <w:bookmarkStart w:id="145" w:name="_Toc254970735"/>
            <w:bookmarkStart w:id="146" w:name="_Toc373333695"/>
            <w:bookmarkStart w:id="147" w:name="_Toc297193191"/>
            <w:bookmarkStart w:id="148" w:name="_Toc295404987"/>
            <w:bookmarkStart w:id="149" w:name="_Toc383699912"/>
            <w:r>
              <w:rPr>
                <w:rFonts w:ascii="宋体" w:hAnsi="宋体" w:eastAsia="宋体" w:cs="宋体"/>
                <w:color w:val="auto"/>
                <w:kern w:val="2"/>
                <w:sz w:val="24"/>
                <w:szCs w:val="24"/>
                <w:highlight w:val="none"/>
              </w:rPr>
              <w:t>2</w:t>
            </w:r>
            <w:bookmarkEnd w:id="141"/>
            <w:bookmarkEnd w:id="142"/>
            <w:bookmarkEnd w:id="143"/>
            <w:bookmarkEnd w:id="144"/>
            <w:bookmarkEnd w:id="145"/>
            <w:bookmarkEnd w:id="146"/>
            <w:bookmarkEnd w:id="147"/>
            <w:bookmarkEnd w:id="148"/>
            <w:bookmarkEnd w:id="149"/>
          </w:p>
        </w:tc>
        <w:tc>
          <w:tcPr>
            <w:tcW w:w="503" w:type="pct"/>
            <w:tcBorders>
              <w:right w:val="single" w:color="auto" w:sz="4" w:space="0"/>
            </w:tcBorders>
            <w:vAlign w:val="center"/>
          </w:tcPr>
          <w:p w14:paraId="14B71CA6">
            <w:pPr>
              <w:pStyle w:val="17"/>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14:paraId="38877AF9">
            <w:pPr>
              <w:pStyle w:val="17"/>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14:paraId="274BF5D5">
            <w:pPr>
              <w:pStyle w:val="17"/>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vAlign w:val="center"/>
          </w:tcPr>
          <w:p w14:paraId="5106EA6D">
            <w:pPr>
              <w:pStyle w:val="17"/>
              <w:spacing w:line="360" w:lineRule="auto"/>
              <w:ind w:firstLine="0" w:firstLineChars="0"/>
              <w:contextualSpacing/>
              <w:jc w:val="center"/>
              <w:rPr>
                <w:rFonts w:ascii="宋体" w:hAnsi="宋体" w:eastAsia="宋体" w:cs="宋体"/>
                <w:color w:val="auto"/>
                <w:kern w:val="2"/>
                <w:sz w:val="24"/>
                <w:szCs w:val="24"/>
                <w:highlight w:val="none"/>
              </w:rPr>
            </w:pPr>
          </w:p>
        </w:tc>
      </w:tr>
      <w:tr w14:paraId="71D0EA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5BC2DD8C">
            <w:pPr>
              <w:pStyle w:val="17"/>
              <w:spacing w:line="360" w:lineRule="auto"/>
              <w:ind w:firstLine="0" w:firstLineChars="0"/>
              <w:contextualSpacing/>
              <w:jc w:val="center"/>
              <w:rPr>
                <w:rFonts w:ascii="宋体" w:hAnsi="宋体" w:eastAsia="宋体" w:cs="宋体"/>
                <w:color w:val="auto"/>
                <w:kern w:val="2"/>
                <w:sz w:val="24"/>
                <w:szCs w:val="24"/>
                <w:highlight w:val="none"/>
              </w:rPr>
            </w:pPr>
            <w:bookmarkStart w:id="150" w:name="_Toc301781618"/>
            <w:bookmarkStart w:id="151" w:name="_Toc173066408"/>
            <w:bookmarkStart w:id="152" w:name="_Toc383699913"/>
            <w:bookmarkStart w:id="153" w:name="_Toc173211907"/>
            <w:bookmarkStart w:id="154" w:name="_Toc373333696"/>
            <w:bookmarkStart w:id="155" w:name="_Toc254970595"/>
            <w:bookmarkStart w:id="156" w:name="_Toc297193192"/>
            <w:bookmarkStart w:id="157" w:name="_Toc295404988"/>
            <w:bookmarkStart w:id="158" w:name="_Toc254970736"/>
            <w:r>
              <w:rPr>
                <w:rFonts w:ascii="宋体" w:hAnsi="宋体" w:eastAsia="宋体" w:cs="宋体"/>
                <w:color w:val="auto"/>
                <w:kern w:val="2"/>
                <w:sz w:val="24"/>
                <w:szCs w:val="24"/>
                <w:highlight w:val="none"/>
              </w:rPr>
              <w:t>3</w:t>
            </w:r>
            <w:bookmarkEnd w:id="150"/>
            <w:bookmarkEnd w:id="151"/>
            <w:bookmarkEnd w:id="152"/>
            <w:bookmarkEnd w:id="153"/>
            <w:bookmarkEnd w:id="154"/>
            <w:bookmarkEnd w:id="155"/>
            <w:bookmarkEnd w:id="156"/>
            <w:bookmarkEnd w:id="157"/>
            <w:bookmarkEnd w:id="158"/>
          </w:p>
        </w:tc>
        <w:tc>
          <w:tcPr>
            <w:tcW w:w="503" w:type="pct"/>
            <w:tcBorders>
              <w:right w:val="single" w:color="auto" w:sz="4" w:space="0"/>
            </w:tcBorders>
            <w:vAlign w:val="center"/>
          </w:tcPr>
          <w:p w14:paraId="184B7159">
            <w:pPr>
              <w:pStyle w:val="17"/>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14:paraId="73F511EE">
            <w:pPr>
              <w:pStyle w:val="17"/>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14:paraId="0BE84DE5">
            <w:pPr>
              <w:pStyle w:val="17"/>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vAlign w:val="center"/>
          </w:tcPr>
          <w:p w14:paraId="525164D9">
            <w:pPr>
              <w:pStyle w:val="17"/>
              <w:spacing w:line="360" w:lineRule="auto"/>
              <w:ind w:firstLine="0" w:firstLineChars="0"/>
              <w:contextualSpacing/>
              <w:jc w:val="center"/>
              <w:rPr>
                <w:rFonts w:ascii="宋体" w:hAnsi="宋体" w:eastAsia="宋体" w:cs="宋体"/>
                <w:color w:val="auto"/>
                <w:kern w:val="2"/>
                <w:sz w:val="24"/>
                <w:szCs w:val="24"/>
                <w:highlight w:val="none"/>
              </w:rPr>
            </w:pPr>
          </w:p>
        </w:tc>
      </w:tr>
      <w:tr w14:paraId="1A3F42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117E40B5">
            <w:pPr>
              <w:pStyle w:val="17"/>
              <w:spacing w:line="360" w:lineRule="auto"/>
              <w:ind w:firstLine="0" w:firstLineChars="0"/>
              <w:contextualSpacing/>
              <w:jc w:val="center"/>
              <w:rPr>
                <w:rFonts w:ascii="宋体" w:hAnsi="宋体" w:eastAsia="宋体" w:cs="宋体"/>
                <w:color w:val="auto"/>
                <w:kern w:val="2"/>
                <w:sz w:val="24"/>
                <w:szCs w:val="24"/>
                <w:highlight w:val="none"/>
              </w:rPr>
            </w:pPr>
            <w:bookmarkStart w:id="159" w:name="_Toc254970596"/>
            <w:bookmarkStart w:id="160" w:name="_Toc173066409"/>
            <w:bookmarkStart w:id="161" w:name="_Toc295404989"/>
            <w:bookmarkStart w:id="162" w:name="_Toc254970737"/>
            <w:bookmarkStart w:id="163" w:name="_Toc173211908"/>
            <w:bookmarkStart w:id="164" w:name="_Toc301781619"/>
            <w:bookmarkStart w:id="165" w:name="_Toc297193193"/>
            <w:bookmarkStart w:id="166" w:name="_Toc383699914"/>
            <w:bookmarkStart w:id="167" w:name="_Toc373333697"/>
            <w:r>
              <w:rPr>
                <w:rFonts w:ascii="宋体" w:hAnsi="宋体" w:eastAsia="宋体" w:cs="宋体"/>
                <w:color w:val="auto"/>
                <w:kern w:val="2"/>
                <w:sz w:val="24"/>
                <w:szCs w:val="24"/>
                <w:highlight w:val="none"/>
              </w:rPr>
              <w:t>4</w:t>
            </w:r>
            <w:bookmarkEnd w:id="159"/>
            <w:bookmarkEnd w:id="160"/>
            <w:bookmarkEnd w:id="161"/>
            <w:bookmarkEnd w:id="162"/>
            <w:bookmarkEnd w:id="163"/>
            <w:bookmarkEnd w:id="164"/>
            <w:bookmarkEnd w:id="165"/>
            <w:bookmarkEnd w:id="166"/>
            <w:bookmarkEnd w:id="167"/>
          </w:p>
        </w:tc>
        <w:tc>
          <w:tcPr>
            <w:tcW w:w="503" w:type="pct"/>
            <w:tcBorders>
              <w:right w:val="single" w:color="auto" w:sz="4" w:space="0"/>
            </w:tcBorders>
            <w:vAlign w:val="center"/>
          </w:tcPr>
          <w:p w14:paraId="408FC84F">
            <w:pPr>
              <w:pStyle w:val="17"/>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14:paraId="0A9D1811">
            <w:pPr>
              <w:pStyle w:val="17"/>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14:paraId="31A52BE6">
            <w:pPr>
              <w:pStyle w:val="17"/>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vAlign w:val="center"/>
          </w:tcPr>
          <w:p w14:paraId="158DD94D">
            <w:pPr>
              <w:pStyle w:val="17"/>
              <w:spacing w:line="360" w:lineRule="auto"/>
              <w:ind w:firstLine="0" w:firstLineChars="0"/>
              <w:contextualSpacing/>
              <w:jc w:val="center"/>
              <w:rPr>
                <w:rFonts w:ascii="宋体" w:hAnsi="宋体" w:eastAsia="宋体" w:cs="宋体"/>
                <w:color w:val="auto"/>
                <w:kern w:val="2"/>
                <w:sz w:val="24"/>
                <w:szCs w:val="24"/>
                <w:highlight w:val="none"/>
              </w:rPr>
            </w:pPr>
          </w:p>
        </w:tc>
      </w:tr>
      <w:tr w14:paraId="78081E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2AED1A29">
            <w:pPr>
              <w:pStyle w:val="17"/>
              <w:spacing w:line="360" w:lineRule="auto"/>
              <w:ind w:firstLine="0" w:firstLineChars="0"/>
              <w:contextualSpacing/>
              <w:jc w:val="center"/>
              <w:rPr>
                <w:rFonts w:ascii="宋体" w:hAnsi="宋体" w:eastAsia="宋体" w:cs="宋体"/>
                <w:color w:val="auto"/>
                <w:kern w:val="2"/>
                <w:sz w:val="24"/>
                <w:szCs w:val="24"/>
                <w:highlight w:val="none"/>
              </w:rPr>
            </w:pPr>
            <w:bookmarkStart w:id="168" w:name="_Toc173066410"/>
            <w:bookmarkStart w:id="169" w:name="_Toc373333698"/>
            <w:bookmarkStart w:id="170" w:name="_Toc301781620"/>
            <w:bookmarkStart w:id="171" w:name="_Toc295404990"/>
            <w:bookmarkStart w:id="172" w:name="_Toc297193194"/>
            <w:bookmarkStart w:id="173" w:name="_Toc254970738"/>
            <w:bookmarkStart w:id="174" w:name="_Toc383699915"/>
            <w:bookmarkStart w:id="175" w:name="_Toc254970597"/>
            <w:bookmarkStart w:id="176" w:name="_Toc173211909"/>
            <w:r>
              <w:rPr>
                <w:rFonts w:ascii="宋体" w:hAnsi="宋体" w:eastAsia="宋体" w:cs="宋体"/>
                <w:color w:val="auto"/>
                <w:kern w:val="2"/>
                <w:sz w:val="24"/>
                <w:szCs w:val="24"/>
                <w:highlight w:val="none"/>
              </w:rPr>
              <w:t>5</w:t>
            </w:r>
            <w:bookmarkEnd w:id="168"/>
            <w:bookmarkEnd w:id="169"/>
            <w:bookmarkEnd w:id="170"/>
            <w:bookmarkEnd w:id="171"/>
            <w:bookmarkEnd w:id="172"/>
            <w:bookmarkEnd w:id="173"/>
            <w:bookmarkEnd w:id="174"/>
            <w:bookmarkEnd w:id="175"/>
            <w:bookmarkEnd w:id="176"/>
          </w:p>
        </w:tc>
        <w:tc>
          <w:tcPr>
            <w:tcW w:w="503" w:type="pct"/>
            <w:tcBorders>
              <w:right w:val="single" w:color="auto" w:sz="4" w:space="0"/>
            </w:tcBorders>
            <w:vAlign w:val="center"/>
          </w:tcPr>
          <w:p w14:paraId="6872C0ED">
            <w:pPr>
              <w:pStyle w:val="17"/>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14:paraId="201E9B03">
            <w:pPr>
              <w:pStyle w:val="17"/>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14:paraId="2AB171C8">
            <w:pPr>
              <w:pStyle w:val="17"/>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vAlign w:val="center"/>
          </w:tcPr>
          <w:p w14:paraId="649B1C2A">
            <w:pPr>
              <w:pStyle w:val="17"/>
              <w:spacing w:line="360" w:lineRule="auto"/>
              <w:ind w:firstLine="0" w:firstLineChars="0"/>
              <w:contextualSpacing/>
              <w:jc w:val="center"/>
              <w:rPr>
                <w:rFonts w:ascii="宋体" w:hAnsi="宋体" w:eastAsia="宋体" w:cs="宋体"/>
                <w:color w:val="auto"/>
                <w:kern w:val="2"/>
                <w:sz w:val="24"/>
                <w:szCs w:val="24"/>
                <w:highlight w:val="none"/>
              </w:rPr>
            </w:pPr>
          </w:p>
        </w:tc>
      </w:tr>
      <w:tr w14:paraId="261A2D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tcBorders>
              <w:bottom w:val="single" w:color="auto" w:sz="4" w:space="0"/>
            </w:tcBorders>
            <w:vAlign w:val="center"/>
          </w:tcPr>
          <w:p w14:paraId="26734E6F">
            <w:pPr>
              <w:pStyle w:val="17"/>
              <w:spacing w:line="360" w:lineRule="auto"/>
              <w:ind w:firstLine="0" w:firstLineChars="0"/>
              <w:contextualSpacing/>
              <w:jc w:val="center"/>
              <w:rPr>
                <w:rFonts w:ascii="宋体" w:hAnsi="宋体" w:eastAsia="宋体" w:cs="宋体"/>
                <w:color w:val="auto"/>
                <w:kern w:val="2"/>
                <w:sz w:val="24"/>
                <w:szCs w:val="24"/>
                <w:highlight w:val="none"/>
              </w:rPr>
            </w:pPr>
            <w:bookmarkStart w:id="177" w:name="_Toc254970602"/>
            <w:bookmarkStart w:id="178" w:name="_Toc373333699"/>
            <w:bookmarkStart w:id="179" w:name="_Toc254970743"/>
            <w:bookmarkStart w:id="180" w:name="_Toc173066415"/>
            <w:bookmarkStart w:id="181" w:name="_Toc297193195"/>
            <w:bookmarkStart w:id="182" w:name="_Toc383699916"/>
            <w:bookmarkStart w:id="183" w:name="_Toc173211914"/>
            <w:bookmarkStart w:id="184" w:name="_Toc295404991"/>
            <w:bookmarkStart w:id="185" w:name="_Toc301781621"/>
            <w:r>
              <w:rPr>
                <w:rFonts w:hint="eastAsia" w:ascii="宋体" w:hAnsi="宋体" w:eastAsia="宋体" w:cs="宋体"/>
                <w:color w:val="auto"/>
                <w:kern w:val="2"/>
                <w:sz w:val="24"/>
                <w:szCs w:val="24"/>
                <w:highlight w:val="none"/>
              </w:rPr>
              <w:t>…</w:t>
            </w:r>
            <w:bookmarkEnd w:id="177"/>
            <w:bookmarkEnd w:id="178"/>
            <w:bookmarkEnd w:id="179"/>
            <w:bookmarkEnd w:id="180"/>
            <w:bookmarkEnd w:id="181"/>
            <w:bookmarkEnd w:id="182"/>
            <w:bookmarkEnd w:id="183"/>
            <w:bookmarkEnd w:id="184"/>
            <w:bookmarkEnd w:id="185"/>
          </w:p>
        </w:tc>
        <w:tc>
          <w:tcPr>
            <w:tcW w:w="503" w:type="pct"/>
            <w:tcBorders>
              <w:bottom w:val="single" w:color="auto" w:sz="4" w:space="0"/>
              <w:right w:val="single" w:color="auto" w:sz="4" w:space="0"/>
            </w:tcBorders>
            <w:vAlign w:val="center"/>
          </w:tcPr>
          <w:p w14:paraId="4A0B40F1">
            <w:pPr>
              <w:pStyle w:val="17"/>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bottom w:val="single" w:color="auto" w:sz="4" w:space="0"/>
            </w:tcBorders>
            <w:vAlign w:val="center"/>
          </w:tcPr>
          <w:p w14:paraId="64405965">
            <w:pPr>
              <w:pStyle w:val="17"/>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tcBorders>
              <w:bottom w:val="single" w:color="auto" w:sz="4" w:space="0"/>
            </w:tcBorders>
            <w:vAlign w:val="center"/>
          </w:tcPr>
          <w:p w14:paraId="189DF79E">
            <w:pPr>
              <w:pStyle w:val="17"/>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tcBorders>
              <w:bottom w:val="single" w:color="auto" w:sz="4" w:space="0"/>
            </w:tcBorders>
            <w:vAlign w:val="center"/>
          </w:tcPr>
          <w:p w14:paraId="4B917036">
            <w:pPr>
              <w:pStyle w:val="17"/>
              <w:spacing w:line="360" w:lineRule="auto"/>
              <w:ind w:firstLine="0" w:firstLineChars="0"/>
              <w:contextualSpacing/>
              <w:jc w:val="center"/>
              <w:rPr>
                <w:rFonts w:ascii="宋体" w:hAnsi="宋体" w:eastAsia="宋体" w:cs="宋体"/>
                <w:color w:val="auto"/>
                <w:kern w:val="2"/>
                <w:sz w:val="24"/>
                <w:szCs w:val="24"/>
                <w:highlight w:val="none"/>
              </w:rPr>
            </w:pPr>
          </w:p>
        </w:tc>
      </w:tr>
    </w:tbl>
    <w:p w14:paraId="4A69886B">
      <w:pPr>
        <w:adjustRightInd w:val="0"/>
        <w:spacing w:line="360" w:lineRule="auto"/>
        <w:contextualSpacing/>
        <w:rPr>
          <w:rFonts w:ascii="宋体" w:cs="宋体"/>
          <w:color w:val="auto"/>
          <w:sz w:val="24"/>
          <w:highlight w:val="none"/>
        </w:rPr>
      </w:pPr>
    </w:p>
    <w:p w14:paraId="044C32E0">
      <w:pPr>
        <w:pStyle w:val="17"/>
        <w:spacing w:line="360" w:lineRule="auto"/>
        <w:ind w:firstLine="0" w:firstLineChars="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54C5934A">
      <w:pPr>
        <w:pStyle w:val="17"/>
        <w:spacing w:line="360" w:lineRule="auto"/>
        <w:ind w:firstLine="0" w:firstLineChars="0"/>
        <w:contextualSpacing/>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rPr>
        <w:t>说明：应对照磋商文件“第三章</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采购需求”中的技术要求逐条作出明确响应，并作出偏离说明。</w:t>
      </w:r>
    </w:p>
    <w:p w14:paraId="403CDC89">
      <w:pPr>
        <w:pStyle w:val="17"/>
        <w:spacing w:line="360" w:lineRule="auto"/>
        <w:ind w:firstLine="0" w:firstLineChars="0"/>
        <w:contextualSpacing/>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供应商应根据自身的承诺，对照磋商文件要求，在“偏离说明”中注明“正偏离”、“负偏离”或者“无偏离”。既不属于“正偏离”也不属于“负偏离”即为“无偏离”。</w:t>
      </w:r>
    </w:p>
    <w:p w14:paraId="53161283">
      <w:pPr>
        <w:spacing w:line="360" w:lineRule="auto"/>
        <w:ind w:right="-817" w:rightChars="-389"/>
        <w:contextualSpacing/>
        <w:rPr>
          <w:rFonts w:ascii="宋体" w:cs="宋体"/>
          <w:color w:val="auto"/>
          <w:sz w:val="24"/>
          <w:highlight w:val="none"/>
        </w:rPr>
      </w:pPr>
    </w:p>
    <w:p w14:paraId="0A1684AA">
      <w:pPr>
        <w:spacing w:line="360" w:lineRule="auto"/>
        <w:ind w:right="-817" w:rightChars="-389" w:firstLine="960" w:firstLineChars="400"/>
        <w:contextualSpacing/>
        <w:rPr>
          <w:rFonts w:ascii="宋体" w:cs="宋体"/>
          <w:color w:val="auto"/>
          <w:sz w:val="24"/>
          <w:highlight w:val="none"/>
        </w:rPr>
      </w:pPr>
      <w:r>
        <w:rPr>
          <w:rFonts w:hint="eastAsia" w:ascii="宋体" w:hAnsi="宋体" w:cs="宋体"/>
          <w:color w:val="auto"/>
          <w:sz w:val="24"/>
          <w:highlight w:val="none"/>
        </w:rPr>
        <w:t>法定代表人或者委托代理人（签字）：</w:t>
      </w:r>
      <w:r>
        <w:rPr>
          <w:rFonts w:ascii="宋体" w:hAnsi="宋体" w:cs="宋体"/>
          <w:color w:val="auto"/>
          <w:sz w:val="24"/>
          <w:highlight w:val="none"/>
        </w:rPr>
        <w:t xml:space="preserve">                    </w:t>
      </w:r>
    </w:p>
    <w:p w14:paraId="18282DD4">
      <w:pPr>
        <w:spacing w:line="360" w:lineRule="auto"/>
        <w:ind w:right="-817" w:rightChars="-389" w:firstLine="2640" w:firstLineChars="1100"/>
        <w:contextualSpacing/>
        <w:rPr>
          <w:rFonts w:ascii="宋体" w:cs="宋体"/>
          <w:color w:val="auto"/>
          <w:sz w:val="24"/>
          <w:highlight w:val="none"/>
        </w:rPr>
      </w:pPr>
      <w:r>
        <w:rPr>
          <w:rFonts w:hint="eastAsia" w:ascii="宋体" w:hAnsi="宋体" w:cs="宋体"/>
          <w:color w:val="auto"/>
          <w:sz w:val="24"/>
          <w:highlight w:val="none"/>
        </w:rPr>
        <w:t>供应商（盖公章）：</w:t>
      </w:r>
      <w:r>
        <w:rPr>
          <w:rFonts w:ascii="宋体" w:hAnsi="宋体" w:cs="宋体"/>
          <w:color w:val="auto"/>
          <w:sz w:val="24"/>
          <w:highlight w:val="none"/>
        </w:rPr>
        <w:t xml:space="preserve">      </w:t>
      </w:r>
    </w:p>
    <w:p w14:paraId="7A2856C1">
      <w:pPr>
        <w:spacing w:line="360" w:lineRule="auto"/>
        <w:ind w:right="-817" w:rightChars="-389" w:firstLine="4080" w:firstLineChars="1700"/>
        <w:contextualSpacing/>
        <w:rPr>
          <w:rFonts w:asci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2720099E">
      <w:pPr>
        <w:snapToGrid w:val="0"/>
        <w:spacing w:beforeLines="50" w:after="50"/>
        <w:ind w:left="142"/>
        <w:jc w:val="left"/>
        <w:rPr>
          <w:rFonts w:ascii="宋体" w:cs="宋体"/>
          <w:b/>
          <w:color w:val="auto"/>
          <w:sz w:val="24"/>
          <w:highlight w:val="none"/>
        </w:rPr>
      </w:pPr>
      <w:r>
        <w:rPr>
          <w:rFonts w:ascii="宋体" w:cs="宋体"/>
          <w:color w:val="auto"/>
          <w:sz w:val="24"/>
          <w:highlight w:val="none"/>
        </w:rPr>
        <w:br w:type="page"/>
      </w:r>
      <w:r>
        <w:rPr>
          <w:rFonts w:hint="eastAsia" w:ascii="宋体" w:hAnsi="宋体" w:cs="宋体"/>
          <w:b/>
          <w:color w:val="auto"/>
          <w:sz w:val="24"/>
          <w:highlight w:val="none"/>
        </w:rPr>
        <w:t>项目实施人员一览表格式</w:t>
      </w:r>
    </w:p>
    <w:p w14:paraId="2A55D357">
      <w:pPr>
        <w:snapToGrid w:val="0"/>
        <w:spacing w:beforeLines="50" w:after="50"/>
        <w:ind w:left="142"/>
        <w:jc w:val="left"/>
        <w:rPr>
          <w:rFonts w:ascii="宋体" w:cs="宋体"/>
          <w:b/>
          <w:color w:val="auto"/>
          <w:sz w:val="24"/>
          <w:highlight w:val="none"/>
        </w:rPr>
      </w:pPr>
    </w:p>
    <w:p w14:paraId="066FCCEE">
      <w:pPr>
        <w:spacing w:line="360" w:lineRule="auto"/>
        <w:ind w:left="142"/>
        <w:contextualSpacing/>
        <w:jc w:val="center"/>
        <w:rPr>
          <w:rFonts w:ascii="宋体" w:cs="宋体"/>
          <w:b/>
          <w:color w:val="auto"/>
          <w:sz w:val="32"/>
          <w:szCs w:val="32"/>
          <w:highlight w:val="none"/>
        </w:rPr>
      </w:pPr>
      <w:r>
        <w:rPr>
          <w:rFonts w:hint="eastAsia" w:ascii="宋体" w:hAnsi="宋体" w:cs="宋体"/>
          <w:b/>
          <w:color w:val="auto"/>
          <w:sz w:val="32"/>
          <w:szCs w:val="32"/>
          <w:highlight w:val="none"/>
        </w:rPr>
        <w:t>项目实施人员一览表</w:t>
      </w:r>
    </w:p>
    <w:p w14:paraId="79BB438D">
      <w:pPr>
        <w:pStyle w:val="19"/>
        <w:spacing w:line="360" w:lineRule="auto"/>
        <w:contextualSpacing/>
        <w:rPr>
          <w:rFonts w:hAnsi="宋体" w:cs="宋体"/>
          <w:color w:val="auto"/>
          <w:sz w:val="24"/>
          <w:szCs w:val="24"/>
          <w:highlight w:val="none"/>
        </w:rPr>
      </w:pPr>
      <w:r>
        <w:rPr>
          <w:rFonts w:hint="eastAsia" w:hAnsi="宋体" w:cs="宋体"/>
          <w:color w:val="auto"/>
          <w:sz w:val="24"/>
          <w:szCs w:val="24"/>
          <w:highlight w:val="none"/>
        </w:rPr>
        <w:t>所竞分标：</w:t>
      </w:r>
      <w:r>
        <w:rPr>
          <w:rFonts w:hAnsi="宋体" w:cs="宋体"/>
          <w:color w:val="auto"/>
          <w:sz w:val="24"/>
          <w:szCs w:val="24"/>
          <w:highlight w:val="none"/>
          <w:u w:val="single"/>
        </w:rPr>
        <w:t xml:space="preserve">     </w:t>
      </w:r>
      <w:r>
        <w:rPr>
          <w:rFonts w:hint="eastAsia" w:hAnsi="宋体" w:cs="宋体"/>
          <w:color w:val="auto"/>
          <w:sz w:val="24"/>
          <w:szCs w:val="24"/>
          <w:highlight w:val="none"/>
        </w:rPr>
        <w:t>分标</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905"/>
        <w:gridCol w:w="1309"/>
        <w:gridCol w:w="1956"/>
        <w:gridCol w:w="1935"/>
      </w:tblGrid>
      <w:tr w14:paraId="129C2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877CBA8">
            <w:pPr>
              <w:spacing w:line="360" w:lineRule="auto"/>
              <w:contextualSpacing/>
              <w:jc w:val="center"/>
              <w:rPr>
                <w:rFonts w:ascii="宋体" w:cs="宋体"/>
                <w:color w:val="auto"/>
                <w:sz w:val="24"/>
                <w:szCs w:val="20"/>
                <w:highlight w:val="none"/>
              </w:rPr>
            </w:pPr>
            <w:r>
              <w:rPr>
                <w:rFonts w:hint="eastAsia" w:ascii="宋体" w:hAnsi="宋体" w:cs="宋体"/>
                <w:color w:val="auto"/>
                <w:sz w:val="24"/>
                <w:szCs w:val="20"/>
                <w:highlight w:val="none"/>
              </w:rPr>
              <w:t>姓名</w:t>
            </w:r>
          </w:p>
        </w:tc>
        <w:tc>
          <w:tcPr>
            <w:tcW w:w="709" w:type="dxa"/>
            <w:vAlign w:val="center"/>
          </w:tcPr>
          <w:p w14:paraId="26DEE7B2">
            <w:pPr>
              <w:spacing w:line="360" w:lineRule="auto"/>
              <w:contextualSpacing/>
              <w:jc w:val="center"/>
              <w:rPr>
                <w:rFonts w:ascii="宋体" w:cs="宋体"/>
                <w:color w:val="auto"/>
                <w:sz w:val="24"/>
                <w:szCs w:val="20"/>
                <w:highlight w:val="none"/>
              </w:rPr>
            </w:pPr>
            <w:r>
              <w:rPr>
                <w:rFonts w:hint="eastAsia" w:ascii="宋体" w:hAnsi="宋体" w:cs="宋体"/>
                <w:color w:val="auto"/>
                <w:sz w:val="24"/>
                <w:szCs w:val="20"/>
                <w:highlight w:val="none"/>
              </w:rPr>
              <w:t>职务</w:t>
            </w:r>
          </w:p>
        </w:tc>
        <w:tc>
          <w:tcPr>
            <w:tcW w:w="2905" w:type="dxa"/>
            <w:vAlign w:val="center"/>
          </w:tcPr>
          <w:p w14:paraId="0DAC62BE">
            <w:pPr>
              <w:spacing w:line="360" w:lineRule="auto"/>
              <w:contextualSpacing/>
              <w:jc w:val="center"/>
              <w:rPr>
                <w:rFonts w:ascii="宋体" w:cs="宋体"/>
                <w:color w:val="auto"/>
                <w:sz w:val="24"/>
                <w:szCs w:val="20"/>
                <w:highlight w:val="none"/>
              </w:rPr>
            </w:pPr>
            <w:r>
              <w:rPr>
                <w:rFonts w:hint="eastAsia" w:ascii="宋体" w:hAnsi="宋体" w:cs="宋体"/>
                <w:color w:val="auto"/>
                <w:sz w:val="24"/>
                <w:szCs w:val="20"/>
                <w:highlight w:val="none"/>
              </w:rPr>
              <w:t>专业技术资格（职称）或者职业资格或者执业资格证或者其他证书</w:t>
            </w:r>
          </w:p>
        </w:tc>
        <w:tc>
          <w:tcPr>
            <w:tcW w:w="1309" w:type="dxa"/>
            <w:vAlign w:val="center"/>
          </w:tcPr>
          <w:p w14:paraId="0AF0C3DA">
            <w:pPr>
              <w:spacing w:line="360" w:lineRule="auto"/>
              <w:contextualSpacing/>
              <w:jc w:val="center"/>
              <w:rPr>
                <w:rFonts w:ascii="宋体" w:cs="宋体"/>
                <w:color w:val="auto"/>
                <w:sz w:val="24"/>
                <w:szCs w:val="20"/>
                <w:highlight w:val="none"/>
              </w:rPr>
            </w:pPr>
            <w:r>
              <w:rPr>
                <w:rFonts w:hint="eastAsia" w:ascii="宋体" w:hAnsi="宋体" w:cs="宋体"/>
                <w:color w:val="auto"/>
                <w:sz w:val="24"/>
                <w:szCs w:val="20"/>
                <w:highlight w:val="none"/>
              </w:rPr>
              <w:t>证书编号</w:t>
            </w:r>
          </w:p>
        </w:tc>
        <w:tc>
          <w:tcPr>
            <w:tcW w:w="1956" w:type="dxa"/>
            <w:vAlign w:val="center"/>
          </w:tcPr>
          <w:p w14:paraId="2DD3A672">
            <w:pPr>
              <w:spacing w:line="360" w:lineRule="auto"/>
              <w:contextualSpacing/>
              <w:jc w:val="center"/>
              <w:rPr>
                <w:rFonts w:ascii="宋体" w:cs="宋体"/>
                <w:color w:val="auto"/>
                <w:sz w:val="24"/>
                <w:szCs w:val="20"/>
                <w:highlight w:val="none"/>
              </w:rPr>
            </w:pPr>
            <w:r>
              <w:rPr>
                <w:rFonts w:hint="eastAsia" w:ascii="宋体" w:hAnsi="宋体" w:cs="宋体"/>
                <w:color w:val="auto"/>
                <w:sz w:val="24"/>
                <w:szCs w:val="20"/>
                <w:highlight w:val="none"/>
              </w:rPr>
              <w:t>参加本单位</w:t>
            </w:r>
          </w:p>
          <w:p w14:paraId="43D3D90C">
            <w:pPr>
              <w:spacing w:line="360" w:lineRule="auto"/>
              <w:contextualSpacing/>
              <w:jc w:val="center"/>
              <w:rPr>
                <w:rFonts w:ascii="宋体" w:cs="宋体"/>
                <w:color w:val="auto"/>
                <w:sz w:val="24"/>
                <w:szCs w:val="20"/>
                <w:highlight w:val="none"/>
              </w:rPr>
            </w:pPr>
            <w:r>
              <w:rPr>
                <w:rFonts w:hint="eastAsia" w:ascii="宋体" w:hAnsi="宋体" w:cs="宋体"/>
                <w:color w:val="auto"/>
                <w:sz w:val="24"/>
                <w:szCs w:val="20"/>
                <w:highlight w:val="none"/>
              </w:rPr>
              <w:t>工作时间</w:t>
            </w:r>
          </w:p>
        </w:tc>
        <w:tc>
          <w:tcPr>
            <w:tcW w:w="1935" w:type="dxa"/>
            <w:vAlign w:val="center"/>
          </w:tcPr>
          <w:p w14:paraId="1DF3B204">
            <w:pPr>
              <w:spacing w:line="360" w:lineRule="auto"/>
              <w:contextualSpacing/>
              <w:jc w:val="center"/>
              <w:rPr>
                <w:rFonts w:ascii="宋体" w:cs="宋体"/>
                <w:color w:val="auto"/>
                <w:sz w:val="24"/>
                <w:szCs w:val="20"/>
                <w:highlight w:val="none"/>
              </w:rPr>
            </w:pPr>
            <w:r>
              <w:rPr>
                <w:rFonts w:hint="eastAsia" w:ascii="宋体" w:hAnsi="宋体" w:cs="宋体"/>
                <w:color w:val="auto"/>
                <w:sz w:val="24"/>
                <w:szCs w:val="20"/>
                <w:highlight w:val="none"/>
              </w:rPr>
              <w:t>劳动合同编号</w:t>
            </w:r>
          </w:p>
        </w:tc>
      </w:tr>
      <w:tr w14:paraId="50A75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1E9A682">
            <w:pPr>
              <w:spacing w:line="360" w:lineRule="auto"/>
              <w:contextualSpacing/>
              <w:jc w:val="center"/>
              <w:rPr>
                <w:rFonts w:ascii="宋体" w:cs="宋体"/>
                <w:color w:val="auto"/>
                <w:sz w:val="24"/>
                <w:szCs w:val="20"/>
                <w:highlight w:val="none"/>
              </w:rPr>
            </w:pPr>
          </w:p>
        </w:tc>
        <w:tc>
          <w:tcPr>
            <w:tcW w:w="709" w:type="dxa"/>
            <w:vAlign w:val="center"/>
          </w:tcPr>
          <w:p w14:paraId="5E945FE1">
            <w:pPr>
              <w:spacing w:line="360" w:lineRule="auto"/>
              <w:contextualSpacing/>
              <w:jc w:val="center"/>
              <w:rPr>
                <w:rFonts w:ascii="宋体" w:cs="宋体"/>
                <w:color w:val="auto"/>
                <w:sz w:val="24"/>
                <w:szCs w:val="20"/>
                <w:highlight w:val="none"/>
              </w:rPr>
            </w:pPr>
          </w:p>
        </w:tc>
        <w:tc>
          <w:tcPr>
            <w:tcW w:w="2905" w:type="dxa"/>
            <w:vAlign w:val="center"/>
          </w:tcPr>
          <w:p w14:paraId="7FC5B32F">
            <w:pPr>
              <w:spacing w:line="360" w:lineRule="auto"/>
              <w:contextualSpacing/>
              <w:jc w:val="center"/>
              <w:rPr>
                <w:rFonts w:ascii="宋体" w:cs="宋体"/>
                <w:color w:val="auto"/>
                <w:sz w:val="24"/>
                <w:szCs w:val="20"/>
                <w:highlight w:val="none"/>
              </w:rPr>
            </w:pPr>
          </w:p>
        </w:tc>
        <w:tc>
          <w:tcPr>
            <w:tcW w:w="1309" w:type="dxa"/>
            <w:vAlign w:val="center"/>
          </w:tcPr>
          <w:p w14:paraId="5D8B36A1">
            <w:pPr>
              <w:spacing w:line="360" w:lineRule="auto"/>
              <w:contextualSpacing/>
              <w:jc w:val="center"/>
              <w:rPr>
                <w:rFonts w:ascii="宋体" w:cs="宋体"/>
                <w:color w:val="auto"/>
                <w:sz w:val="24"/>
                <w:szCs w:val="20"/>
                <w:highlight w:val="none"/>
              </w:rPr>
            </w:pPr>
          </w:p>
        </w:tc>
        <w:tc>
          <w:tcPr>
            <w:tcW w:w="1956" w:type="dxa"/>
            <w:vAlign w:val="center"/>
          </w:tcPr>
          <w:p w14:paraId="06B247A4">
            <w:pPr>
              <w:spacing w:line="360" w:lineRule="auto"/>
              <w:contextualSpacing/>
              <w:jc w:val="center"/>
              <w:rPr>
                <w:rFonts w:ascii="宋体" w:cs="宋体"/>
                <w:color w:val="auto"/>
                <w:sz w:val="24"/>
                <w:szCs w:val="20"/>
                <w:highlight w:val="none"/>
              </w:rPr>
            </w:pPr>
          </w:p>
        </w:tc>
        <w:tc>
          <w:tcPr>
            <w:tcW w:w="1935" w:type="dxa"/>
            <w:vAlign w:val="center"/>
          </w:tcPr>
          <w:p w14:paraId="3E100639">
            <w:pPr>
              <w:spacing w:line="360" w:lineRule="auto"/>
              <w:contextualSpacing/>
              <w:jc w:val="center"/>
              <w:rPr>
                <w:rFonts w:ascii="宋体" w:cs="宋体"/>
                <w:color w:val="auto"/>
                <w:sz w:val="24"/>
                <w:szCs w:val="20"/>
                <w:highlight w:val="none"/>
              </w:rPr>
            </w:pPr>
          </w:p>
        </w:tc>
      </w:tr>
      <w:tr w14:paraId="087E1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576F2DA">
            <w:pPr>
              <w:spacing w:line="360" w:lineRule="auto"/>
              <w:contextualSpacing/>
              <w:jc w:val="center"/>
              <w:rPr>
                <w:rFonts w:ascii="宋体" w:cs="宋体"/>
                <w:color w:val="auto"/>
                <w:sz w:val="24"/>
                <w:szCs w:val="20"/>
                <w:highlight w:val="none"/>
              </w:rPr>
            </w:pPr>
          </w:p>
        </w:tc>
        <w:tc>
          <w:tcPr>
            <w:tcW w:w="709" w:type="dxa"/>
            <w:vAlign w:val="center"/>
          </w:tcPr>
          <w:p w14:paraId="02D9E692">
            <w:pPr>
              <w:spacing w:line="360" w:lineRule="auto"/>
              <w:contextualSpacing/>
              <w:jc w:val="center"/>
              <w:rPr>
                <w:rFonts w:ascii="宋体" w:cs="宋体"/>
                <w:color w:val="auto"/>
                <w:sz w:val="24"/>
                <w:szCs w:val="20"/>
                <w:highlight w:val="none"/>
              </w:rPr>
            </w:pPr>
          </w:p>
        </w:tc>
        <w:tc>
          <w:tcPr>
            <w:tcW w:w="2905" w:type="dxa"/>
            <w:vAlign w:val="center"/>
          </w:tcPr>
          <w:p w14:paraId="755F4B39">
            <w:pPr>
              <w:spacing w:line="360" w:lineRule="auto"/>
              <w:contextualSpacing/>
              <w:jc w:val="center"/>
              <w:rPr>
                <w:rFonts w:ascii="宋体" w:cs="宋体"/>
                <w:color w:val="auto"/>
                <w:sz w:val="24"/>
                <w:szCs w:val="20"/>
                <w:highlight w:val="none"/>
              </w:rPr>
            </w:pPr>
          </w:p>
        </w:tc>
        <w:tc>
          <w:tcPr>
            <w:tcW w:w="1309" w:type="dxa"/>
            <w:vAlign w:val="center"/>
          </w:tcPr>
          <w:p w14:paraId="19B4F246">
            <w:pPr>
              <w:spacing w:line="360" w:lineRule="auto"/>
              <w:contextualSpacing/>
              <w:jc w:val="center"/>
              <w:rPr>
                <w:rFonts w:ascii="宋体" w:cs="宋体"/>
                <w:color w:val="auto"/>
                <w:sz w:val="24"/>
                <w:szCs w:val="20"/>
                <w:highlight w:val="none"/>
              </w:rPr>
            </w:pPr>
          </w:p>
        </w:tc>
        <w:tc>
          <w:tcPr>
            <w:tcW w:w="1956" w:type="dxa"/>
            <w:vAlign w:val="center"/>
          </w:tcPr>
          <w:p w14:paraId="5F95D113">
            <w:pPr>
              <w:spacing w:line="360" w:lineRule="auto"/>
              <w:contextualSpacing/>
              <w:jc w:val="center"/>
              <w:rPr>
                <w:rFonts w:ascii="宋体" w:cs="宋体"/>
                <w:color w:val="auto"/>
                <w:sz w:val="24"/>
                <w:szCs w:val="20"/>
                <w:highlight w:val="none"/>
              </w:rPr>
            </w:pPr>
          </w:p>
        </w:tc>
        <w:tc>
          <w:tcPr>
            <w:tcW w:w="1935" w:type="dxa"/>
            <w:vAlign w:val="center"/>
          </w:tcPr>
          <w:p w14:paraId="15B72F8F">
            <w:pPr>
              <w:spacing w:line="360" w:lineRule="auto"/>
              <w:contextualSpacing/>
              <w:jc w:val="center"/>
              <w:rPr>
                <w:rFonts w:ascii="宋体" w:cs="宋体"/>
                <w:color w:val="auto"/>
                <w:sz w:val="24"/>
                <w:szCs w:val="20"/>
                <w:highlight w:val="none"/>
              </w:rPr>
            </w:pPr>
          </w:p>
        </w:tc>
      </w:tr>
      <w:tr w14:paraId="4127D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61C7CF2">
            <w:pPr>
              <w:spacing w:line="360" w:lineRule="auto"/>
              <w:contextualSpacing/>
              <w:jc w:val="center"/>
              <w:rPr>
                <w:rFonts w:ascii="宋体" w:cs="宋体"/>
                <w:color w:val="auto"/>
                <w:sz w:val="24"/>
                <w:szCs w:val="20"/>
                <w:highlight w:val="none"/>
              </w:rPr>
            </w:pPr>
          </w:p>
        </w:tc>
        <w:tc>
          <w:tcPr>
            <w:tcW w:w="709" w:type="dxa"/>
            <w:vAlign w:val="center"/>
          </w:tcPr>
          <w:p w14:paraId="3A96D1A3">
            <w:pPr>
              <w:spacing w:line="360" w:lineRule="auto"/>
              <w:contextualSpacing/>
              <w:jc w:val="center"/>
              <w:rPr>
                <w:rFonts w:ascii="宋体" w:cs="宋体"/>
                <w:color w:val="auto"/>
                <w:sz w:val="24"/>
                <w:szCs w:val="20"/>
                <w:highlight w:val="none"/>
              </w:rPr>
            </w:pPr>
          </w:p>
        </w:tc>
        <w:tc>
          <w:tcPr>
            <w:tcW w:w="2905" w:type="dxa"/>
            <w:vAlign w:val="center"/>
          </w:tcPr>
          <w:p w14:paraId="0ABC598A">
            <w:pPr>
              <w:spacing w:line="360" w:lineRule="auto"/>
              <w:contextualSpacing/>
              <w:jc w:val="center"/>
              <w:rPr>
                <w:rFonts w:ascii="宋体" w:cs="宋体"/>
                <w:color w:val="auto"/>
                <w:sz w:val="24"/>
                <w:szCs w:val="20"/>
                <w:highlight w:val="none"/>
              </w:rPr>
            </w:pPr>
          </w:p>
        </w:tc>
        <w:tc>
          <w:tcPr>
            <w:tcW w:w="1309" w:type="dxa"/>
            <w:vAlign w:val="center"/>
          </w:tcPr>
          <w:p w14:paraId="6648DC32">
            <w:pPr>
              <w:spacing w:line="360" w:lineRule="auto"/>
              <w:contextualSpacing/>
              <w:jc w:val="center"/>
              <w:rPr>
                <w:rFonts w:ascii="宋体" w:cs="宋体"/>
                <w:color w:val="auto"/>
                <w:sz w:val="24"/>
                <w:szCs w:val="20"/>
                <w:highlight w:val="none"/>
              </w:rPr>
            </w:pPr>
          </w:p>
        </w:tc>
        <w:tc>
          <w:tcPr>
            <w:tcW w:w="1956" w:type="dxa"/>
            <w:vAlign w:val="center"/>
          </w:tcPr>
          <w:p w14:paraId="5603B1E4">
            <w:pPr>
              <w:spacing w:line="360" w:lineRule="auto"/>
              <w:contextualSpacing/>
              <w:jc w:val="center"/>
              <w:rPr>
                <w:rFonts w:ascii="宋体" w:cs="宋体"/>
                <w:color w:val="auto"/>
                <w:sz w:val="24"/>
                <w:szCs w:val="20"/>
                <w:highlight w:val="none"/>
              </w:rPr>
            </w:pPr>
          </w:p>
        </w:tc>
        <w:tc>
          <w:tcPr>
            <w:tcW w:w="1935" w:type="dxa"/>
            <w:vAlign w:val="center"/>
          </w:tcPr>
          <w:p w14:paraId="50127203">
            <w:pPr>
              <w:spacing w:line="360" w:lineRule="auto"/>
              <w:contextualSpacing/>
              <w:jc w:val="center"/>
              <w:rPr>
                <w:rFonts w:ascii="宋体" w:cs="宋体"/>
                <w:color w:val="auto"/>
                <w:sz w:val="24"/>
                <w:szCs w:val="20"/>
                <w:highlight w:val="none"/>
              </w:rPr>
            </w:pPr>
          </w:p>
        </w:tc>
      </w:tr>
    </w:tbl>
    <w:p w14:paraId="4CA4872E">
      <w:pPr>
        <w:spacing w:line="360" w:lineRule="auto"/>
        <w:contextualSpacing/>
        <w:jc w:val="left"/>
        <w:rPr>
          <w:rFonts w:ascii="宋体" w:cs="宋体"/>
          <w:color w:val="auto"/>
          <w:sz w:val="24"/>
          <w:szCs w:val="20"/>
          <w:highlight w:val="none"/>
        </w:rPr>
      </w:pPr>
      <w:r>
        <w:rPr>
          <w:rFonts w:hint="eastAsia" w:ascii="宋体" w:hAnsi="宋体" w:cs="宋体"/>
          <w:color w:val="auto"/>
          <w:sz w:val="24"/>
          <w:szCs w:val="20"/>
          <w:highlight w:val="none"/>
        </w:rPr>
        <w:t>注：</w:t>
      </w:r>
    </w:p>
    <w:p w14:paraId="0CEA3311">
      <w:pPr>
        <w:spacing w:line="360" w:lineRule="auto"/>
        <w:contextualSpacing/>
        <w:jc w:val="left"/>
        <w:rPr>
          <w:rFonts w:ascii="宋体" w:cs="宋体"/>
          <w:color w:val="auto"/>
          <w:sz w:val="24"/>
          <w:szCs w:val="20"/>
          <w:highlight w:val="none"/>
        </w:rPr>
      </w:pPr>
      <w:r>
        <w:rPr>
          <w:rFonts w:ascii="宋体" w:hAnsi="宋体" w:cs="宋体"/>
          <w:color w:val="auto"/>
          <w:sz w:val="24"/>
          <w:szCs w:val="20"/>
          <w:highlight w:val="none"/>
        </w:rPr>
        <w:t>1.</w:t>
      </w:r>
      <w:r>
        <w:rPr>
          <w:rFonts w:hint="eastAsia" w:ascii="宋体" w:hAnsi="宋体" w:cs="宋体"/>
          <w:color w:val="auto"/>
          <w:sz w:val="24"/>
          <w:szCs w:val="20"/>
          <w:highlight w:val="none"/>
        </w:rPr>
        <w:t>在填写时，如本表格不适合供应商的实际情况，可根据本表格式自行制表填写。</w:t>
      </w:r>
    </w:p>
    <w:p w14:paraId="427A64F1">
      <w:pPr>
        <w:spacing w:line="360" w:lineRule="auto"/>
        <w:contextualSpacing/>
        <w:jc w:val="left"/>
        <w:rPr>
          <w:rFonts w:ascii="宋体" w:cs="宋体"/>
          <w:color w:val="auto"/>
          <w:sz w:val="24"/>
          <w:szCs w:val="20"/>
          <w:highlight w:val="none"/>
        </w:rPr>
      </w:pPr>
      <w:r>
        <w:rPr>
          <w:rFonts w:ascii="宋体" w:hAnsi="宋体" w:cs="宋体"/>
          <w:color w:val="auto"/>
          <w:sz w:val="24"/>
          <w:szCs w:val="20"/>
          <w:highlight w:val="none"/>
        </w:rPr>
        <w:t>2.</w:t>
      </w:r>
      <w:r>
        <w:rPr>
          <w:rFonts w:hint="eastAsia" w:ascii="宋体" w:hAnsi="宋体" w:cs="宋体"/>
          <w:color w:val="auto"/>
          <w:sz w:val="24"/>
          <w:szCs w:val="20"/>
          <w:highlight w:val="none"/>
        </w:rPr>
        <w:t>供应商应当附本表所列证书的复印件并加盖供应商公章。</w:t>
      </w:r>
    </w:p>
    <w:p w14:paraId="32FB2C13">
      <w:pPr>
        <w:spacing w:line="360" w:lineRule="auto"/>
        <w:contextualSpacing/>
        <w:rPr>
          <w:rFonts w:ascii="宋体" w:cs="宋体"/>
          <w:color w:val="auto"/>
          <w:spacing w:val="20"/>
          <w:sz w:val="24"/>
          <w:szCs w:val="20"/>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w:t>
      </w:r>
      <w:r>
        <w:rPr>
          <w:rFonts w:ascii="宋体" w:hAnsi="宋体" w:cs="宋体"/>
          <w:color w:val="auto"/>
          <w:spacing w:val="20"/>
          <w:sz w:val="24"/>
          <w:highlight w:val="none"/>
          <w:u w:val="single"/>
        </w:rPr>
        <w:t xml:space="preserve">        </w:t>
      </w:r>
    </w:p>
    <w:p w14:paraId="14330F76">
      <w:pPr>
        <w:spacing w:line="360" w:lineRule="auto"/>
        <w:contextualSpacing/>
        <w:jc w:val="left"/>
        <w:rPr>
          <w:rFonts w:ascii="宋体" w:cs="宋体"/>
          <w:color w:val="auto"/>
          <w:sz w:val="24"/>
          <w:szCs w:val="20"/>
          <w:highlight w:val="none"/>
        </w:rPr>
      </w:pPr>
      <w:r>
        <w:rPr>
          <w:rFonts w:hint="eastAsia" w:ascii="宋体" w:hAnsi="宋体" w:cs="宋体"/>
          <w:color w:val="auto"/>
          <w:spacing w:val="20"/>
          <w:sz w:val="24"/>
          <w:highlight w:val="none"/>
        </w:rPr>
        <w:t>供应商（盖公章）：</w:t>
      </w:r>
      <w:r>
        <w:rPr>
          <w:rFonts w:ascii="宋体" w:hAnsi="宋体" w:cs="宋体"/>
          <w:color w:val="auto"/>
          <w:spacing w:val="20"/>
          <w:sz w:val="24"/>
          <w:highlight w:val="none"/>
          <w:u w:val="single"/>
        </w:rPr>
        <w:t xml:space="preserve">            </w:t>
      </w:r>
      <w:r>
        <w:rPr>
          <w:rFonts w:ascii="宋体" w:hAnsi="宋体" w:cs="宋体"/>
          <w:color w:val="auto"/>
          <w:spacing w:val="20"/>
          <w:sz w:val="24"/>
          <w:highlight w:val="none"/>
        </w:rPr>
        <w:t xml:space="preserve">              </w:t>
      </w:r>
      <w:r>
        <w:rPr>
          <w:rFonts w:hint="eastAsia" w:ascii="宋体" w:hAnsi="宋体" w:cs="宋体"/>
          <w:color w:val="auto"/>
          <w:spacing w:val="20"/>
          <w:sz w:val="24"/>
          <w:highlight w:val="none"/>
        </w:rPr>
        <w:t>日</w:t>
      </w:r>
      <w:r>
        <w:rPr>
          <w:rFonts w:ascii="宋体" w:hAnsi="宋体" w:cs="宋体"/>
          <w:color w:val="auto"/>
          <w:spacing w:val="20"/>
          <w:sz w:val="24"/>
          <w:highlight w:val="none"/>
        </w:rPr>
        <w:t xml:space="preserve"> </w:t>
      </w:r>
      <w:r>
        <w:rPr>
          <w:rFonts w:hint="eastAsia" w:ascii="宋体" w:hAnsi="宋体" w:cs="宋体"/>
          <w:color w:val="auto"/>
          <w:spacing w:val="20"/>
          <w:sz w:val="24"/>
          <w:highlight w:val="none"/>
        </w:rPr>
        <w:t>期：</w:t>
      </w:r>
      <w:r>
        <w:rPr>
          <w:rFonts w:ascii="宋体" w:hAnsi="宋体" w:cs="宋体"/>
          <w:color w:val="auto"/>
          <w:spacing w:val="20"/>
          <w:sz w:val="24"/>
          <w:highlight w:val="none"/>
          <w:u w:val="single"/>
        </w:rPr>
        <w:t xml:space="preserve">         </w:t>
      </w:r>
    </w:p>
    <w:p w14:paraId="46EA37B2">
      <w:pPr>
        <w:snapToGrid w:val="0"/>
        <w:spacing w:before="50" w:afterLines="50"/>
        <w:jc w:val="left"/>
        <w:rPr>
          <w:rFonts w:ascii="宋体" w:cs="宋体"/>
          <w:color w:val="auto"/>
          <w:sz w:val="24"/>
          <w:szCs w:val="20"/>
          <w:highlight w:val="none"/>
        </w:rPr>
      </w:pPr>
    </w:p>
    <w:p w14:paraId="581F2346">
      <w:pPr>
        <w:snapToGrid w:val="0"/>
        <w:spacing w:before="50" w:after="50" w:line="360" w:lineRule="auto"/>
        <w:ind w:right="-817" w:rightChars="-389" w:firstLine="5461" w:firstLineChars="1700"/>
        <w:rPr>
          <w:rFonts w:ascii="宋体" w:cs="宋体"/>
          <w:b/>
          <w:color w:val="auto"/>
          <w:sz w:val="32"/>
          <w:szCs w:val="32"/>
          <w:highlight w:val="none"/>
        </w:rPr>
      </w:pPr>
    </w:p>
    <w:p w14:paraId="4A8F33B8">
      <w:pPr>
        <w:spacing w:line="300" w:lineRule="auto"/>
        <w:rPr>
          <w:rFonts w:ascii="宋体" w:cs="宋体"/>
          <w:color w:val="auto"/>
          <w:szCs w:val="21"/>
          <w:highlight w:val="none"/>
        </w:rPr>
      </w:pPr>
      <w:r>
        <w:rPr>
          <w:rFonts w:ascii="宋体" w:cs="宋体"/>
          <w:b/>
          <w:bCs/>
          <w:color w:val="auto"/>
          <w:sz w:val="24"/>
          <w:highlight w:val="none"/>
        </w:rPr>
        <w:br w:type="page"/>
      </w:r>
      <w:r>
        <w:rPr>
          <w:rFonts w:hint="eastAsia" w:ascii="宋体" w:hAnsi="宋体" w:cs="宋体"/>
          <w:b/>
          <w:bCs/>
          <w:color w:val="auto"/>
          <w:sz w:val="24"/>
          <w:highlight w:val="none"/>
        </w:rPr>
        <w:t>其他文书、文件格式</w:t>
      </w:r>
    </w:p>
    <w:p w14:paraId="386E2DD8">
      <w:pPr>
        <w:jc w:val="center"/>
        <w:rPr>
          <w:rFonts w:ascii="宋体" w:cs="宋体"/>
          <w:color w:val="auto"/>
          <w:sz w:val="44"/>
          <w:szCs w:val="44"/>
          <w:highlight w:val="none"/>
        </w:rPr>
      </w:pPr>
      <w:bookmarkStart w:id="186" w:name="_Toc71365926"/>
      <w:r>
        <w:rPr>
          <w:rFonts w:hint="eastAsia" w:ascii="宋体" w:hAnsi="宋体" w:cs="宋体"/>
          <w:color w:val="auto"/>
          <w:sz w:val="44"/>
          <w:szCs w:val="44"/>
          <w:highlight w:val="none"/>
        </w:rPr>
        <w:t>中小企业声明函（服务）</w:t>
      </w:r>
      <w:bookmarkEnd w:id="186"/>
    </w:p>
    <w:p w14:paraId="42C025DF">
      <w:pPr>
        <w:spacing w:before="2" w:line="500" w:lineRule="exact"/>
        <w:ind w:firstLine="708" w:firstLineChars="294"/>
        <w:rPr>
          <w:rFonts w:ascii="宋体" w:cs="宋体"/>
          <w:b/>
          <w:bCs/>
          <w:color w:val="auto"/>
          <w:sz w:val="24"/>
          <w:highlight w:val="none"/>
        </w:rPr>
      </w:pPr>
    </w:p>
    <w:p w14:paraId="1B638BEB">
      <w:pPr>
        <w:pStyle w:val="15"/>
        <w:spacing w:line="500" w:lineRule="exact"/>
        <w:ind w:right="142" w:firstLine="705" w:firstLineChars="294"/>
        <w:rPr>
          <w:rFonts w:asci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w:t>
      </w:r>
      <w:r>
        <w:rPr>
          <w:rFonts w:ascii="宋体" w:hAnsi="宋体" w:cs="宋体"/>
          <w:color w:val="auto"/>
          <w:sz w:val="24"/>
          <w:highlight w:val="none"/>
        </w:rPr>
        <w:t>2020</w:t>
      </w:r>
      <w:r>
        <w:rPr>
          <w:rFonts w:hint="eastAsia" w:ascii="宋体" w:hAnsi="宋体" w:cs="宋体"/>
          <w:color w:val="auto"/>
          <w:sz w:val="24"/>
          <w:highlight w:val="none"/>
        </w:rPr>
        <w:t>﹞</w:t>
      </w:r>
      <w:r>
        <w:rPr>
          <w:rFonts w:ascii="宋体" w:hAnsi="宋体" w:cs="宋体"/>
          <w:color w:val="auto"/>
          <w:sz w:val="24"/>
          <w:highlight w:val="none"/>
        </w:rPr>
        <w:t>46</w:t>
      </w:r>
      <w:r>
        <w:rPr>
          <w:rFonts w:hint="eastAsia" w:ascii="宋体" w:hAnsi="宋体" w:cs="宋体"/>
          <w:color w:val="auto"/>
          <w:sz w:val="24"/>
          <w:highlight w:val="none"/>
        </w:rPr>
        <w:t>号）的规定，本公司（联合体）参加</w:t>
      </w:r>
      <w:r>
        <w:rPr>
          <w:rFonts w:hint="eastAsia" w:ascii="宋体" w:hAnsi="宋体" w:cs="宋体"/>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0E2F8FC5">
      <w:pPr>
        <w:tabs>
          <w:tab w:val="left" w:pos="1384"/>
          <w:tab w:val="left" w:pos="4562"/>
          <w:tab w:val="left" w:pos="6803"/>
        </w:tabs>
        <w:spacing w:before="13" w:line="500" w:lineRule="exact"/>
        <w:ind w:right="142" w:firstLine="772" w:firstLineChars="322"/>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w:t>
      </w:r>
      <w:r>
        <w:rPr>
          <w:rFonts w:hint="eastAsia" w:ascii="宋体" w:hAnsi="宋体" w:cs="宋体"/>
          <w:color w:val="auto"/>
          <w:kern w:val="24"/>
          <w:sz w:val="24"/>
          <w:highlight w:val="none"/>
        </w:rPr>
        <w:t>承接企业</w:t>
      </w:r>
      <w:r>
        <w:rPr>
          <w:rFonts w:hint="eastAsia" w:ascii="宋体" w:hAnsi="宋体" w:cs="宋体"/>
          <w:color w:val="auto"/>
          <w:sz w:val="24"/>
          <w:highlight w:val="none"/>
        </w:rPr>
        <w:t>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01E1C9F0">
      <w:pPr>
        <w:tabs>
          <w:tab w:val="left" w:pos="1065"/>
          <w:tab w:val="left" w:pos="4262"/>
          <w:tab w:val="left" w:pos="6477"/>
        </w:tabs>
        <w:spacing w:before="20" w:line="500" w:lineRule="exact"/>
        <w:ind w:right="84" w:firstLine="772" w:firstLineChars="322"/>
        <w:rPr>
          <w:rFonts w:ascii="宋体" w:cs="宋体"/>
          <w:color w:val="auto"/>
          <w:sz w:val="24"/>
          <w:highlight w:val="none"/>
          <w:u w:val="single"/>
        </w:rPr>
      </w:pPr>
      <w:r>
        <w:rPr>
          <w:rFonts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w:t>
      </w:r>
      <w:r>
        <w:rPr>
          <w:rFonts w:hint="eastAsia" w:ascii="宋体" w:hAnsi="宋体" w:cs="宋体"/>
          <w:color w:val="auto"/>
          <w:kern w:val="24"/>
          <w:sz w:val="24"/>
          <w:highlight w:val="none"/>
        </w:rPr>
        <w:t>承接企业</w:t>
      </w:r>
      <w:r>
        <w:rPr>
          <w:rFonts w:hint="eastAsia" w:ascii="宋体" w:hAnsi="宋体" w:cs="宋体"/>
          <w:color w:val="auto"/>
          <w:sz w:val="24"/>
          <w:highlight w:val="none"/>
        </w:rPr>
        <w:t>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5066F073">
      <w:pPr>
        <w:pStyle w:val="15"/>
        <w:spacing w:before="34" w:line="500" w:lineRule="exact"/>
        <w:ind w:right="142" w:firstLine="705" w:firstLineChars="294"/>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 xml:space="preserve"> </w:t>
      </w:r>
    </w:p>
    <w:p w14:paraId="4DFF9E85">
      <w:pPr>
        <w:pStyle w:val="15"/>
        <w:spacing w:before="34" w:line="500" w:lineRule="exact"/>
        <w:ind w:right="142" w:firstLine="705" w:firstLineChars="294"/>
        <w:rPr>
          <w:rFonts w:asci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D421BBA">
      <w:pPr>
        <w:pStyle w:val="15"/>
        <w:spacing w:before="25" w:line="500" w:lineRule="exact"/>
        <w:ind w:right="142" w:firstLine="705" w:firstLineChars="294"/>
        <w:rPr>
          <w:rFonts w:asci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7329AF6">
      <w:pPr>
        <w:pStyle w:val="15"/>
        <w:spacing w:before="56" w:line="500" w:lineRule="exact"/>
        <w:ind w:right="1808" w:firstLine="705" w:firstLineChars="294"/>
        <w:rPr>
          <w:rFonts w:ascii="宋体" w:cs="宋体"/>
          <w:color w:val="auto"/>
          <w:sz w:val="24"/>
          <w:highlight w:val="none"/>
        </w:rPr>
      </w:pPr>
    </w:p>
    <w:p w14:paraId="1DF15C62">
      <w:pPr>
        <w:pStyle w:val="15"/>
        <w:spacing w:before="56" w:line="500" w:lineRule="exact"/>
        <w:ind w:right="650" w:firstLine="5625" w:firstLineChars="2344"/>
        <w:rPr>
          <w:rFonts w:ascii="宋体" w:cs="宋体"/>
          <w:color w:val="auto"/>
          <w:sz w:val="24"/>
          <w:highlight w:val="none"/>
        </w:rPr>
      </w:pPr>
      <w:r>
        <w:rPr>
          <w:rFonts w:hint="eastAsia" w:ascii="宋体" w:hAnsi="宋体" w:cs="宋体"/>
          <w:color w:val="auto"/>
          <w:sz w:val="24"/>
          <w:highlight w:val="none"/>
        </w:rPr>
        <w:t>企业名称（章）：</w:t>
      </w:r>
      <w:r>
        <w:rPr>
          <w:rFonts w:ascii="宋体" w:hAnsi="宋体" w:cs="宋体"/>
          <w:color w:val="auto"/>
          <w:sz w:val="24"/>
          <w:highlight w:val="none"/>
        </w:rPr>
        <w:t xml:space="preserve"> </w:t>
      </w:r>
    </w:p>
    <w:p w14:paraId="41FE56CA">
      <w:pPr>
        <w:pStyle w:val="15"/>
        <w:spacing w:before="56" w:line="500" w:lineRule="exact"/>
        <w:ind w:right="1808" w:firstLine="5625" w:firstLineChars="2344"/>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p>
    <w:p w14:paraId="4C3309DA">
      <w:pPr>
        <w:spacing w:line="520" w:lineRule="exact"/>
        <w:jc w:val="left"/>
        <w:rPr>
          <w:rFonts w:ascii="宋体" w:cs="宋体"/>
          <w:color w:val="auto"/>
          <w:sz w:val="24"/>
          <w:highlight w:val="none"/>
        </w:rPr>
      </w:pPr>
      <w:r>
        <w:rPr>
          <w:rFonts w:hint="eastAsia" w:ascii="宋体" w:hAnsi="宋体" w:cs="宋体"/>
          <w:color w:val="auto"/>
          <w:sz w:val="24"/>
          <w:highlight w:val="none"/>
        </w:rPr>
        <w:t>注：享受《政府采购促进中小企业发展管理办法》（财库〔</w:t>
      </w:r>
      <w:r>
        <w:rPr>
          <w:rFonts w:ascii="宋体" w:hAnsi="宋体" w:cs="宋体"/>
          <w:color w:val="auto"/>
          <w:sz w:val="24"/>
          <w:highlight w:val="none"/>
        </w:rPr>
        <w:t>2020</w:t>
      </w:r>
      <w:r>
        <w:rPr>
          <w:rFonts w:hint="eastAsia" w:ascii="宋体" w:hAnsi="宋体" w:cs="宋体"/>
          <w:color w:val="auto"/>
          <w:sz w:val="24"/>
          <w:highlight w:val="none"/>
        </w:rPr>
        <w:t>〕</w:t>
      </w:r>
      <w:r>
        <w:rPr>
          <w:rFonts w:ascii="宋体" w:hAnsi="宋体" w:cs="宋体"/>
          <w:color w:val="auto"/>
          <w:sz w:val="24"/>
          <w:highlight w:val="none"/>
        </w:rPr>
        <w:t>46</w:t>
      </w:r>
      <w:r>
        <w:rPr>
          <w:rFonts w:hint="eastAsia" w:ascii="宋体" w:hAnsi="宋体" w:cs="宋体"/>
          <w:color w:val="auto"/>
          <w:sz w:val="24"/>
          <w:highlight w:val="none"/>
        </w:rPr>
        <w:t>号）规定的中小企业扶持政策的，采购人、采购代理机构应当随成交结果公开成交供应商的《中小企业声明函》。从业人员、营业收入、资产总额填报上一年度数据，无上一年度数据的新成立企业可不填报。</w:t>
      </w:r>
    </w:p>
    <w:p w14:paraId="17BE62B6">
      <w:pPr>
        <w:spacing w:line="520" w:lineRule="exact"/>
        <w:jc w:val="center"/>
        <w:rPr>
          <w:rFonts w:ascii="宋体" w:cs="宋体"/>
          <w:color w:val="auto"/>
          <w:sz w:val="24"/>
          <w:highlight w:val="none"/>
        </w:rPr>
      </w:pPr>
    </w:p>
    <w:p w14:paraId="3C6DB6D3">
      <w:pPr>
        <w:pStyle w:val="19"/>
        <w:jc w:val="left"/>
        <w:rPr>
          <w:rFonts w:hAnsi="宋体" w:cs="宋体"/>
          <w:color w:val="auto"/>
          <w:sz w:val="32"/>
          <w:szCs w:val="32"/>
          <w:highlight w:val="none"/>
        </w:rPr>
      </w:pPr>
      <w:r>
        <w:rPr>
          <w:rFonts w:hAnsi="宋体" w:cs="宋体"/>
          <w:color w:val="auto"/>
          <w:sz w:val="24"/>
          <w:highlight w:val="none"/>
        </w:rPr>
        <w:br w:type="page"/>
      </w:r>
      <w:r>
        <w:rPr>
          <w:rFonts w:hint="eastAsia" w:hAnsi="宋体" w:cs="宋体"/>
          <w:color w:val="auto"/>
          <w:sz w:val="32"/>
          <w:szCs w:val="32"/>
          <w:highlight w:val="none"/>
        </w:rPr>
        <w:t>附：</w:t>
      </w:r>
    </w:p>
    <w:p w14:paraId="78549301">
      <w:pPr>
        <w:jc w:val="center"/>
        <w:rPr>
          <w:rFonts w:ascii="宋体" w:cs="宋体"/>
          <w:color w:val="auto"/>
          <w:sz w:val="44"/>
          <w:szCs w:val="44"/>
          <w:highlight w:val="none"/>
        </w:rPr>
      </w:pPr>
      <w:r>
        <w:rPr>
          <w:rFonts w:hint="eastAsia" w:ascii="宋体" w:hAnsi="宋体" w:cs="宋体"/>
          <w:color w:val="auto"/>
          <w:sz w:val="44"/>
          <w:szCs w:val="44"/>
          <w:highlight w:val="none"/>
        </w:rPr>
        <w:t>中小微企业划型标准</w:t>
      </w:r>
    </w:p>
    <w:p w14:paraId="3406DA0C">
      <w:pPr>
        <w:ind w:left="1871"/>
        <w:rPr>
          <w:rFonts w:ascii="宋体" w:cs="宋体"/>
          <w:color w:val="auto"/>
          <w:szCs w:val="21"/>
          <w:highlight w:val="none"/>
        </w:rPr>
      </w:pPr>
    </w:p>
    <w:tbl>
      <w:tblPr>
        <w:tblStyle w:val="32"/>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14:paraId="7AF3932E">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34CE11F0">
            <w:pPr>
              <w:widowControl/>
              <w:jc w:val="left"/>
              <w:rPr>
                <w:rFonts w:ascii="宋体" w:cs="宋体"/>
                <w:b/>
                <w:color w:val="auto"/>
                <w:kern w:val="0"/>
                <w:sz w:val="24"/>
                <w:highlight w:val="none"/>
              </w:rPr>
            </w:pPr>
            <w:r>
              <w:rPr>
                <w:rFonts w:hint="eastAsia" w:ascii="宋体" w:hAnsi="宋体"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30FC9A7E">
            <w:pPr>
              <w:widowControl/>
              <w:jc w:val="left"/>
              <w:rPr>
                <w:rFonts w:ascii="宋体" w:cs="宋体"/>
                <w:b/>
                <w:color w:val="auto"/>
                <w:kern w:val="0"/>
                <w:sz w:val="24"/>
                <w:highlight w:val="none"/>
              </w:rPr>
            </w:pPr>
            <w:r>
              <w:rPr>
                <w:rFonts w:hint="eastAsia" w:ascii="宋体" w:hAnsi="宋体"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14:paraId="22B0675F">
            <w:pPr>
              <w:widowControl/>
              <w:jc w:val="left"/>
              <w:rPr>
                <w:rFonts w:ascii="宋体" w:cs="宋体"/>
                <w:b/>
                <w:color w:val="auto"/>
                <w:kern w:val="0"/>
                <w:sz w:val="24"/>
                <w:highlight w:val="none"/>
              </w:rPr>
            </w:pPr>
            <w:r>
              <w:rPr>
                <w:rFonts w:hint="eastAsia" w:ascii="宋体" w:hAnsi="宋体"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vAlign w:val="center"/>
          </w:tcPr>
          <w:p w14:paraId="19C58BDF">
            <w:pPr>
              <w:widowControl/>
              <w:jc w:val="left"/>
              <w:rPr>
                <w:rFonts w:ascii="宋体" w:cs="宋体"/>
                <w:b/>
                <w:color w:val="auto"/>
                <w:kern w:val="0"/>
                <w:sz w:val="24"/>
                <w:highlight w:val="none"/>
              </w:rPr>
            </w:pPr>
            <w:r>
              <w:rPr>
                <w:rFonts w:hint="eastAsia" w:ascii="宋体" w:hAnsi="宋体"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14:paraId="13E9FA0A">
            <w:pPr>
              <w:widowControl/>
              <w:jc w:val="left"/>
              <w:rPr>
                <w:rFonts w:ascii="宋体" w:cs="宋体"/>
                <w:b/>
                <w:color w:val="auto"/>
                <w:kern w:val="0"/>
                <w:sz w:val="24"/>
                <w:highlight w:val="none"/>
              </w:rPr>
            </w:pPr>
            <w:r>
              <w:rPr>
                <w:rFonts w:hint="eastAsia" w:ascii="宋体" w:hAnsi="宋体"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vAlign w:val="center"/>
          </w:tcPr>
          <w:p w14:paraId="278ACFBC">
            <w:pPr>
              <w:widowControl/>
              <w:jc w:val="left"/>
              <w:rPr>
                <w:rFonts w:ascii="宋体" w:cs="宋体"/>
                <w:b/>
                <w:color w:val="auto"/>
                <w:kern w:val="0"/>
                <w:sz w:val="24"/>
                <w:highlight w:val="none"/>
              </w:rPr>
            </w:pPr>
            <w:r>
              <w:rPr>
                <w:rFonts w:hint="eastAsia" w:ascii="宋体" w:hAnsi="宋体" w:cs="宋体"/>
                <w:b/>
                <w:color w:val="auto"/>
                <w:kern w:val="0"/>
                <w:sz w:val="24"/>
                <w:highlight w:val="none"/>
              </w:rPr>
              <w:t>微型</w:t>
            </w:r>
          </w:p>
        </w:tc>
      </w:tr>
      <w:tr w14:paraId="2F4C7BC0">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5D9712DF">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14:paraId="0E95F965">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777C3302">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6050F4E">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20000</w:t>
            </w:r>
          </w:p>
        </w:tc>
        <w:tc>
          <w:tcPr>
            <w:tcW w:w="1440" w:type="dxa"/>
            <w:tcBorders>
              <w:top w:val="nil"/>
              <w:left w:val="nil"/>
              <w:bottom w:val="single" w:color="auto" w:sz="4" w:space="0"/>
              <w:right w:val="single" w:color="auto" w:sz="4" w:space="0"/>
            </w:tcBorders>
            <w:vAlign w:val="center"/>
          </w:tcPr>
          <w:p w14:paraId="5AB9774A">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w:t>
            </w:r>
          </w:p>
        </w:tc>
        <w:tc>
          <w:tcPr>
            <w:tcW w:w="925" w:type="dxa"/>
            <w:tcBorders>
              <w:top w:val="nil"/>
              <w:left w:val="nil"/>
              <w:bottom w:val="single" w:color="auto" w:sz="4" w:space="0"/>
              <w:right w:val="single" w:color="auto" w:sz="4" w:space="0"/>
            </w:tcBorders>
            <w:vAlign w:val="center"/>
          </w:tcPr>
          <w:p w14:paraId="35534023">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w:t>
            </w:r>
          </w:p>
        </w:tc>
      </w:tr>
      <w:tr w14:paraId="17284FA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BF3A7C3">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14:paraId="6A8FA2B0">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5681DC1C">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0477A7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1440" w:type="dxa"/>
            <w:tcBorders>
              <w:top w:val="nil"/>
              <w:left w:val="nil"/>
              <w:bottom w:val="single" w:color="auto" w:sz="4" w:space="0"/>
              <w:right w:val="single" w:color="auto" w:sz="4" w:space="0"/>
            </w:tcBorders>
            <w:vAlign w:val="center"/>
          </w:tcPr>
          <w:p w14:paraId="0B808B2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925" w:type="dxa"/>
            <w:tcBorders>
              <w:top w:val="nil"/>
              <w:left w:val="nil"/>
              <w:bottom w:val="single" w:color="auto" w:sz="4" w:space="0"/>
              <w:right w:val="single" w:color="auto" w:sz="4" w:space="0"/>
            </w:tcBorders>
            <w:vAlign w:val="center"/>
          </w:tcPr>
          <w:p w14:paraId="7D45B595">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w:t>
            </w:r>
          </w:p>
        </w:tc>
      </w:tr>
      <w:tr w14:paraId="05B3CE8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B1C987C">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B1F232D">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10F5D7F0">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ABB7F41">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40000</w:t>
            </w:r>
          </w:p>
        </w:tc>
        <w:tc>
          <w:tcPr>
            <w:tcW w:w="1440" w:type="dxa"/>
            <w:tcBorders>
              <w:top w:val="nil"/>
              <w:left w:val="nil"/>
              <w:bottom w:val="single" w:color="auto" w:sz="4" w:space="0"/>
              <w:right w:val="single" w:color="auto" w:sz="4" w:space="0"/>
            </w:tcBorders>
            <w:vAlign w:val="center"/>
          </w:tcPr>
          <w:p w14:paraId="174BB708">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c>
          <w:tcPr>
            <w:tcW w:w="925" w:type="dxa"/>
            <w:tcBorders>
              <w:top w:val="nil"/>
              <w:left w:val="nil"/>
              <w:bottom w:val="single" w:color="auto" w:sz="4" w:space="0"/>
              <w:right w:val="single" w:color="auto" w:sz="4" w:space="0"/>
            </w:tcBorders>
            <w:vAlign w:val="center"/>
          </w:tcPr>
          <w:p w14:paraId="33B28E6C">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r>
      <w:tr w14:paraId="518E4CA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21CAF60">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14:paraId="6C61B9BC">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2E8E6AE8">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655EB89">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6000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80000</w:t>
            </w:r>
          </w:p>
        </w:tc>
        <w:tc>
          <w:tcPr>
            <w:tcW w:w="1440" w:type="dxa"/>
            <w:tcBorders>
              <w:top w:val="nil"/>
              <w:left w:val="nil"/>
              <w:bottom w:val="single" w:color="auto" w:sz="4" w:space="0"/>
              <w:right w:val="single" w:color="auto" w:sz="4" w:space="0"/>
            </w:tcBorders>
            <w:vAlign w:val="center"/>
          </w:tcPr>
          <w:p w14:paraId="6C6432E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6000</w:t>
            </w:r>
          </w:p>
        </w:tc>
        <w:tc>
          <w:tcPr>
            <w:tcW w:w="925" w:type="dxa"/>
            <w:tcBorders>
              <w:top w:val="nil"/>
              <w:left w:val="nil"/>
              <w:bottom w:val="single" w:color="auto" w:sz="4" w:space="0"/>
              <w:right w:val="single" w:color="auto" w:sz="4" w:space="0"/>
            </w:tcBorders>
            <w:vAlign w:val="center"/>
          </w:tcPr>
          <w:p w14:paraId="47597869">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r>
      <w:tr w14:paraId="14CCE17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0DC6677">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FAFCACA">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资产总额（</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6765FCF8">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6208A69">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80000</w:t>
            </w:r>
          </w:p>
        </w:tc>
        <w:tc>
          <w:tcPr>
            <w:tcW w:w="1440" w:type="dxa"/>
            <w:tcBorders>
              <w:top w:val="nil"/>
              <w:left w:val="nil"/>
              <w:bottom w:val="single" w:color="auto" w:sz="4" w:space="0"/>
              <w:right w:val="single" w:color="auto" w:sz="4" w:space="0"/>
            </w:tcBorders>
            <w:vAlign w:val="center"/>
          </w:tcPr>
          <w:p w14:paraId="1B5074E4">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5000</w:t>
            </w:r>
          </w:p>
        </w:tc>
        <w:tc>
          <w:tcPr>
            <w:tcW w:w="925" w:type="dxa"/>
            <w:tcBorders>
              <w:top w:val="nil"/>
              <w:left w:val="nil"/>
              <w:bottom w:val="single" w:color="auto" w:sz="4" w:space="0"/>
              <w:right w:val="single" w:color="auto" w:sz="4" w:space="0"/>
            </w:tcBorders>
            <w:vAlign w:val="center"/>
          </w:tcPr>
          <w:p w14:paraId="21F0DC07">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r>
      <w:tr w14:paraId="13EB2A1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EE02AED">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14:paraId="0D35CB2A">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74842B30">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063CA77">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w:t>
            </w:r>
          </w:p>
        </w:tc>
        <w:tc>
          <w:tcPr>
            <w:tcW w:w="1440" w:type="dxa"/>
            <w:tcBorders>
              <w:top w:val="nil"/>
              <w:left w:val="nil"/>
              <w:bottom w:val="single" w:color="auto" w:sz="4" w:space="0"/>
              <w:right w:val="single" w:color="auto" w:sz="4" w:space="0"/>
            </w:tcBorders>
            <w:vAlign w:val="center"/>
          </w:tcPr>
          <w:p w14:paraId="3082F6E5">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w:t>
            </w:r>
          </w:p>
        </w:tc>
        <w:tc>
          <w:tcPr>
            <w:tcW w:w="925" w:type="dxa"/>
            <w:tcBorders>
              <w:top w:val="nil"/>
              <w:left w:val="nil"/>
              <w:bottom w:val="single" w:color="auto" w:sz="4" w:space="0"/>
              <w:right w:val="single" w:color="auto" w:sz="4" w:space="0"/>
            </w:tcBorders>
            <w:vAlign w:val="center"/>
          </w:tcPr>
          <w:p w14:paraId="52906AB7">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w:t>
            </w:r>
          </w:p>
        </w:tc>
      </w:tr>
      <w:tr w14:paraId="5C77498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C591602">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CBD14BB">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54C2688F">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AB9702D">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40000</w:t>
            </w:r>
          </w:p>
        </w:tc>
        <w:tc>
          <w:tcPr>
            <w:tcW w:w="1440" w:type="dxa"/>
            <w:tcBorders>
              <w:top w:val="nil"/>
              <w:left w:val="nil"/>
              <w:bottom w:val="single" w:color="auto" w:sz="4" w:space="0"/>
              <w:right w:val="single" w:color="auto" w:sz="4" w:space="0"/>
            </w:tcBorders>
            <w:vAlign w:val="center"/>
          </w:tcPr>
          <w:p w14:paraId="5D56E622">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5000</w:t>
            </w:r>
          </w:p>
        </w:tc>
        <w:tc>
          <w:tcPr>
            <w:tcW w:w="925" w:type="dxa"/>
            <w:tcBorders>
              <w:top w:val="nil"/>
              <w:left w:val="nil"/>
              <w:bottom w:val="single" w:color="auto" w:sz="4" w:space="0"/>
              <w:right w:val="single" w:color="auto" w:sz="4" w:space="0"/>
            </w:tcBorders>
            <w:vAlign w:val="center"/>
          </w:tcPr>
          <w:p w14:paraId="75F8B8E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r>
      <w:tr w14:paraId="541872B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985F44D">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14:paraId="7DF906B9">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0661E18B">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839751E">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440" w:type="dxa"/>
            <w:tcBorders>
              <w:top w:val="nil"/>
              <w:left w:val="nil"/>
              <w:bottom w:val="single" w:color="auto" w:sz="4" w:space="0"/>
              <w:right w:val="single" w:color="auto" w:sz="4" w:space="0"/>
            </w:tcBorders>
            <w:vAlign w:val="center"/>
          </w:tcPr>
          <w:p w14:paraId="0399B07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w:t>
            </w:r>
          </w:p>
        </w:tc>
        <w:tc>
          <w:tcPr>
            <w:tcW w:w="925" w:type="dxa"/>
            <w:tcBorders>
              <w:top w:val="nil"/>
              <w:left w:val="nil"/>
              <w:bottom w:val="single" w:color="auto" w:sz="4" w:space="0"/>
              <w:right w:val="single" w:color="auto" w:sz="4" w:space="0"/>
            </w:tcBorders>
            <w:vAlign w:val="center"/>
          </w:tcPr>
          <w:p w14:paraId="14F62A9F">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14:paraId="2AE4C95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5F45726">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69C7F1E">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2490AA21">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C00C324">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20000</w:t>
            </w:r>
          </w:p>
        </w:tc>
        <w:tc>
          <w:tcPr>
            <w:tcW w:w="1440" w:type="dxa"/>
            <w:tcBorders>
              <w:top w:val="nil"/>
              <w:left w:val="nil"/>
              <w:bottom w:val="single" w:color="auto" w:sz="4" w:space="0"/>
              <w:right w:val="single" w:color="auto" w:sz="4" w:space="0"/>
            </w:tcBorders>
            <w:vAlign w:val="center"/>
          </w:tcPr>
          <w:p w14:paraId="5E8DA154">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w:t>
            </w:r>
          </w:p>
        </w:tc>
        <w:tc>
          <w:tcPr>
            <w:tcW w:w="925" w:type="dxa"/>
            <w:tcBorders>
              <w:top w:val="nil"/>
              <w:left w:val="nil"/>
              <w:bottom w:val="single" w:color="auto" w:sz="4" w:space="0"/>
              <w:right w:val="single" w:color="auto" w:sz="4" w:space="0"/>
            </w:tcBorders>
            <w:vAlign w:val="center"/>
          </w:tcPr>
          <w:p w14:paraId="18965DD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6846875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0450133">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14:paraId="6C88B3E2">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0D8B7A46">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1DCF9AF">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1440" w:type="dxa"/>
            <w:tcBorders>
              <w:top w:val="nil"/>
              <w:left w:val="nil"/>
              <w:bottom w:val="single" w:color="auto" w:sz="4" w:space="0"/>
              <w:right w:val="single" w:color="auto" w:sz="4" w:space="0"/>
            </w:tcBorders>
            <w:vAlign w:val="center"/>
          </w:tcPr>
          <w:p w14:paraId="79203104">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925" w:type="dxa"/>
            <w:tcBorders>
              <w:top w:val="nil"/>
              <w:left w:val="nil"/>
              <w:bottom w:val="single" w:color="auto" w:sz="4" w:space="0"/>
              <w:right w:val="single" w:color="auto" w:sz="4" w:space="0"/>
            </w:tcBorders>
            <w:vAlign w:val="center"/>
          </w:tcPr>
          <w:p w14:paraId="63F4CAD8">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w:t>
            </w:r>
          </w:p>
        </w:tc>
      </w:tr>
      <w:tr w14:paraId="4499AEA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2FC45EC">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CD8CFA9">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189F0187">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9C33FE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30000</w:t>
            </w:r>
          </w:p>
        </w:tc>
        <w:tc>
          <w:tcPr>
            <w:tcW w:w="1440" w:type="dxa"/>
            <w:tcBorders>
              <w:top w:val="nil"/>
              <w:left w:val="nil"/>
              <w:bottom w:val="single" w:color="auto" w:sz="4" w:space="0"/>
              <w:right w:val="single" w:color="auto" w:sz="4" w:space="0"/>
            </w:tcBorders>
            <w:vAlign w:val="center"/>
          </w:tcPr>
          <w:p w14:paraId="1ED2725F">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3000</w:t>
            </w:r>
          </w:p>
        </w:tc>
        <w:tc>
          <w:tcPr>
            <w:tcW w:w="925" w:type="dxa"/>
            <w:tcBorders>
              <w:top w:val="nil"/>
              <w:left w:val="nil"/>
              <w:bottom w:val="single" w:color="auto" w:sz="4" w:space="0"/>
              <w:right w:val="single" w:color="auto" w:sz="4" w:space="0"/>
            </w:tcBorders>
            <w:vAlign w:val="center"/>
          </w:tcPr>
          <w:p w14:paraId="16C6BD47">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w:t>
            </w:r>
          </w:p>
        </w:tc>
      </w:tr>
      <w:tr w14:paraId="79DBB53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B5178B3">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14:paraId="36E6A5E5">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74E71F48">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D57BD16">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w:t>
            </w:r>
          </w:p>
        </w:tc>
        <w:tc>
          <w:tcPr>
            <w:tcW w:w="1440" w:type="dxa"/>
            <w:tcBorders>
              <w:top w:val="nil"/>
              <w:left w:val="nil"/>
              <w:bottom w:val="single" w:color="auto" w:sz="4" w:space="0"/>
              <w:right w:val="single" w:color="auto" w:sz="4" w:space="0"/>
            </w:tcBorders>
            <w:vAlign w:val="center"/>
          </w:tcPr>
          <w:p w14:paraId="34EEDEBD">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925" w:type="dxa"/>
            <w:tcBorders>
              <w:top w:val="nil"/>
              <w:left w:val="nil"/>
              <w:bottom w:val="single" w:color="auto" w:sz="4" w:space="0"/>
              <w:right w:val="single" w:color="auto" w:sz="4" w:space="0"/>
            </w:tcBorders>
            <w:vAlign w:val="center"/>
          </w:tcPr>
          <w:p w14:paraId="6A1A085A">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w:t>
            </w:r>
          </w:p>
        </w:tc>
      </w:tr>
      <w:tr w14:paraId="5261655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6CB02A0">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6363DF3">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5D69912A">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97E437D">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30000</w:t>
            </w:r>
          </w:p>
        </w:tc>
        <w:tc>
          <w:tcPr>
            <w:tcW w:w="1440" w:type="dxa"/>
            <w:tcBorders>
              <w:top w:val="nil"/>
              <w:left w:val="nil"/>
              <w:bottom w:val="single" w:color="auto" w:sz="4" w:space="0"/>
              <w:right w:val="single" w:color="auto" w:sz="4" w:space="0"/>
            </w:tcBorders>
            <w:vAlign w:val="center"/>
          </w:tcPr>
          <w:p w14:paraId="02DB0725">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925" w:type="dxa"/>
            <w:tcBorders>
              <w:top w:val="nil"/>
              <w:left w:val="nil"/>
              <w:bottom w:val="single" w:color="auto" w:sz="4" w:space="0"/>
              <w:right w:val="single" w:color="auto" w:sz="4" w:space="0"/>
            </w:tcBorders>
            <w:vAlign w:val="center"/>
          </w:tcPr>
          <w:p w14:paraId="36DDE095">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40B7B22F">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F1594BA">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14:paraId="2247470E">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384585D7">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DE6F2E7">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1440" w:type="dxa"/>
            <w:tcBorders>
              <w:top w:val="nil"/>
              <w:left w:val="nil"/>
              <w:bottom w:val="single" w:color="auto" w:sz="4" w:space="0"/>
              <w:right w:val="single" w:color="auto" w:sz="4" w:space="0"/>
            </w:tcBorders>
            <w:vAlign w:val="center"/>
          </w:tcPr>
          <w:p w14:paraId="25F2BC9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925" w:type="dxa"/>
            <w:tcBorders>
              <w:top w:val="nil"/>
              <w:left w:val="nil"/>
              <w:bottom w:val="single" w:color="auto" w:sz="4" w:space="0"/>
              <w:right w:val="single" w:color="auto" w:sz="4" w:space="0"/>
            </w:tcBorders>
            <w:vAlign w:val="center"/>
          </w:tcPr>
          <w:p w14:paraId="5C0E69FD">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w:t>
            </w:r>
          </w:p>
        </w:tc>
      </w:tr>
      <w:tr w14:paraId="1B43FE76">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DFF65E7">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B225C03">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3E27FFDA">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861E728">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30000</w:t>
            </w:r>
          </w:p>
        </w:tc>
        <w:tc>
          <w:tcPr>
            <w:tcW w:w="1440" w:type="dxa"/>
            <w:tcBorders>
              <w:top w:val="nil"/>
              <w:left w:val="nil"/>
              <w:bottom w:val="single" w:color="auto" w:sz="4" w:space="0"/>
              <w:right w:val="single" w:color="auto" w:sz="4" w:space="0"/>
            </w:tcBorders>
            <w:vAlign w:val="center"/>
          </w:tcPr>
          <w:p w14:paraId="6A337F46">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c>
          <w:tcPr>
            <w:tcW w:w="925" w:type="dxa"/>
            <w:tcBorders>
              <w:top w:val="nil"/>
              <w:left w:val="nil"/>
              <w:bottom w:val="single" w:color="auto" w:sz="4" w:space="0"/>
              <w:right w:val="single" w:color="auto" w:sz="4" w:space="0"/>
            </w:tcBorders>
            <w:vAlign w:val="center"/>
          </w:tcPr>
          <w:p w14:paraId="01934433">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5BBD17ED">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114D940">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14:paraId="117604B5">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5132F2D5">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07DD585">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440" w:type="dxa"/>
            <w:tcBorders>
              <w:top w:val="nil"/>
              <w:left w:val="nil"/>
              <w:bottom w:val="single" w:color="auto" w:sz="4" w:space="0"/>
              <w:right w:val="single" w:color="auto" w:sz="4" w:space="0"/>
            </w:tcBorders>
            <w:vAlign w:val="center"/>
          </w:tcPr>
          <w:p w14:paraId="1F57D8B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925" w:type="dxa"/>
            <w:tcBorders>
              <w:top w:val="nil"/>
              <w:left w:val="nil"/>
              <w:bottom w:val="single" w:color="auto" w:sz="4" w:space="0"/>
              <w:right w:val="single" w:color="auto" w:sz="4" w:space="0"/>
            </w:tcBorders>
            <w:vAlign w:val="center"/>
          </w:tcPr>
          <w:p w14:paraId="54EEE616">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14:paraId="6F94FAF3">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D0BA95B">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B79F2FC">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2ECD3283">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75DE853">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10000</w:t>
            </w:r>
          </w:p>
        </w:tc>
        <w:tc>
          <w:tcPr>
            <w:tcW w:w="1440" w:type="dxa"/>
            <w:tcBorders>
              <w:top w:val="nil"/>
              <w:left w:val="nil"/>
              <w:bottom w:val="single" w:color="auto" w:sz="4" w:space="0"/>
              <w:right w:val="single" w:color="auto" w:sz="4" w:space="0"/>
            </w:tcBorders>
            <w:vAlign w:val="center"/>
          </w:tcPr>
          <w:p w14:paraId="0719705E">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c>
          <w:tcPr>
            <w:tcW w:w="925" w:type="dxa"/>
            <w:tcBorders>
              <w:top w:val="nil"/>
              <w:left w:val="nil"/>
              <w:bottom w:val="single" w:color="auto" w:sz="4" w:space="0"/>
              <w:right w:val="single" w:color="auto" w:sz="4" w:space="0"/>
            </w:tcBorders>
            <w:vAlign w:val="center"/>
          </w:tcPr>
          <w:p w14:paraId="619BFABE">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7B1170B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CFB1DB6">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14:paraId="6DFA0868">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6E298FC8">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0E5F9A2">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440" w:type="dxa"/>
            <w:tcBorders>
              <w:top w:val="nil"/>
              <w:left w:val="nil"/>
              <w:bottom w:val="single" w:color="auto" w:sz="4" w:space="0"/>
              <w:right w:val="single" w:color="auto" w:sz="4" w:space="0"/>
            </w:tcBorders>
            <w:vAlign w:val="center"/>
          </w:tcPr>
          <w:p w14:paraId="390983E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925" w:type="dxa"/>
            <w:tcBorders>
              <w:top w:val="nil"/>
              <w:left w:val="nil"/>
              <w:bottom w:val="single" w:color="auto" w:sz="4" w:space="0"/>
              <w:right w:val="single" w:color="auto" w:sz="4" w:space="0"/>
            </w:tcBorders>
            <w:vAlign w:val="center"/>
          </w:tcPr>
          <w:p w14:paraId="3C845F67">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14:paraId="7699183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F969C9B">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5CD9696">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6E7E861D">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144FC72">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10000</w:t>
            </w:r>
          </w:p>
        </w:tc>
        <w:tc>
          <w:tcPr>
            <w:tcW w:w="1440" w:type="dxa"/>
            <w:tcBorders>
              <w:top w:val="nil"/>
              <w:left w:val="nil"/>
              <w:bottom w:val="single" w:color="auto" w:sz="4" w:space="0"/>
              <w:right w:val="single" w:color="auto" w:sz="4" w:space="0"/>
            </w:tcBorders>
            <w:vAlign w:val="center"/>
          </w:tcPr>
          <w:p w14:paraId="1BA947D8">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c>
          <w:tcPr>
            <w:tcW w:w="925" w:type="dxa"/>
            <w:tcBorders>
              <w:top w:val="nil"/>
              <w:left w:val="nil"/>
              <w:bottom w:val="single" w:color="auto" w:sz="4" w:space="0"/>
              <w:right w:val="single" w:color="auto" w:sz="4" w:space="0"/>
            </w:tcBorders>
            <w:vAlign w:val="center"/>
          </w:tcPr>
          <w:p w14:paraId="3F67AEDC">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4DE321E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60C8DCC">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14:paraId="27102C6E">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2F7A1D29">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5D55CCF">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c>
          <w:tcPr>
            <w:tcW w:w="1440" w:type="dxa"/>
            <w:tcBorders>
              <w:top w:val="nil"/>
              <w:left w:val="nil"/>
              <w:bottom w:val="single" w:color="auto" w:sz="4" w:space="0"/>
              <w:right w:val="single" w:color="auto" w:sz="4" w:space="0"/>
            </w:tcBorders>
            <w:vAlign w:val="center"/>
          </w:tcPr>
          <w:p w14:paraId="212CF0B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925" w:type="dxa"/>
            <w:tcBorders>
              <w:top w:val="nil"/>
              <w:left w:val="nil"/>
              <w:bottom w:val="single" w:color="auto" w:sz="4" w:space="0"/>
              <w:right w:val="single" w:color="auto" w:sz="4" w:space="0"/>
            </w:tcBorders>
            <w:vAlign w:val="center"/>
          </w:tcPr>
          <w:p w14:paraId="2A9C539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14:paraId="66EA841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6218FCD">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B14A31E">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04B91406">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1AC064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100000</w:t>
            </w:r>
          </w:p>
        </w:tc>
        <w:tc>
          <w:tcPr>
            <w:tcW w:w="1440" w:type="dxa"/>
            <w:tcBorders>
              <w:top w:val="nil"/>
              <w:left w:val="nil"/>
              <w:bottom w:val="single" w:color="auto" w:sz="4" w:space="0"/>
              <w:right w:val="single" w:color="auto" w:sz="4" w:space="0"/>
            </w:tcBorders>
            <w:vAlign w:val="center"/>
          </w:tcPr>
          <w:p w14:paraId="2100D56A">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925" w:type="dxa"/>
            <w:tcBorders>
              <w:top w:val="nil"/>
              <w:left w:val="nil"/>
              <w:bottom w:val="single" w:color="auto" w:sz="4" w:space="0"/>
              <w:right w:val="single" w:color="auto" w:sz="4" w:space="0"/>
            </w:tcBorders>
            <w:vAlign w:val="center"/>
          </w:tcPr>
          <w:p w14:paraId="0D70DB21">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3756584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1FD24AF">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14:paraId="0CD4361A">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192A39A1">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8F5026F">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440" w:type="dxa"/>
            <w:tcBorders>
              <w:top w:val="nil"/>
              <w:left w:val="nil"/>
              <w:bottom w:val="single" w:color="auto" w:sz="4" w:space="0"/>
              <w:right w:val="single" w:color="auto" w:sz="4" w:space="0"/>
            </w:tcBorders>
            <w:vAlign w:val="center"/>
          </w:tcPr>
          <w:p w14:paraId="6192310F">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925" w:type="dxa"/>
            <w:tcBorders>
              <w:top w:val="nil"/>
              <w:left w:val="nil"/>
              <w:bottom w:val="single" w:color="auto" w:sz="4" w:space="0"/>
              <w:right w:val="single" w:color="auto" w:sz="4" w:space="0"/>
            </w:tcBorders>
            <w:vAlign w:val="center"/>
          </w:tcPr>
          <w:p w14:paraId="7F387DD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14:paraId="227F950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9A715D4">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4B55609">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2ABDF205">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DB3DFD2">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10000</w:t>
            </w:r>
          </w:p>
        </w:tc>
        <w:tc>
          <w:tcPr>
            <w:tcW w:w="1440" w:type="dxa"/>
            <w:tcBorders>
              <w:top w:val="nil"/>
              <w:left w:val="nil"/>
              <w:bottom w:val="single" w:color="auto" w:sz="4" w:space="0"/>
              <w:right w:val="single" w:color="auto" w:sz="4" w:space="0"/>
            </w:tcBorders>
            <w:vAlign w:val="center"/>
          </w:tcPr>
          <w:p w14:paraId="11411D44">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925" w:type="dxa"/>
            <w:tcBorders>
              <w:top w:val="nil"/>
              <w:left w:val="nil"/>
              <w:bottom w:val="single" w:color="auto" w:sz="4" w:space="0"/>
              <w:right w:val="single" w:color="auto" w:sz="4" w:space="0"/>
            </w:tcBorders>
            <w:vAlign w:val="center"/>
          </w:tcPr>
          <w:p w14:paraId="18C452D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w:t>
            </w:r>
          </w:p>
        </w:tc>
      </w:tr>
      <w:tr w14:paraId="084F04E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C85F2D3">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14:paraId="631097B8">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112E0152">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10180C3">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200000</w:t>
            </w:r>
          </w:p>
        </w:tc>
        <w:tc>
          <w:tcPr>
            <w:tcW w:w="1440" w:type="dxa"/>
            <w:tcBorders>
              <w:top w:val="nil"/>
              <w:left w:val="nil"/>
              <w:bottom w:val="single" w:color="auto" w:sz="4" w:space="0"/>
              <w:right w:val="single" w:color="auto" w:sz="4" w:space="0"/>
            </w:tcBorders>
            <w:vAlign w:val="center"/>
          </w:tcPr>
          <w:p w14:paraId="1ECA074C">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925" w:type="dxa"/>
            <w:tcBorders>
              <w:top w:val="nil"/>
              <w:left w:val="nil"/>
              <w:bottom w:val="single" w:color="auto" w:sz="4" w:space="0"/>
              <w:right w:val="single" w:color="auto" w:sz="4" w:space="0"/>
            </w:tcBorders>
            <w:vAlign w:val="center"/>
          </w:tcPr>
          <w:p w14:paraId="0E8C94E8">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700AC59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F58BCFF">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556142E">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资产总额（</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1BC6939D">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3A80A44">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10000</w:t>
            </w:r>
          </w:p>
        </w:tc>
        <w:tc>
          <w:tcPr>
            <w:tcW w:w="1440" w:type="dxa"/>
            <w:tcBorders>
              <w:top w:val="nil"/>
              <w:left w:val="nil"/>
              <w:bottom w:val="single" w:color="auto" w:sz="4" w:space="0"/>
              <w:right w:val="single" w:color="auto" w:sz="4" w:space="0"/>
            </w:tcBorders>
            <w:vAlign w:val="center"/>
          </w:tcPr>
          <w:p w14:paraId="4A22F372">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5000</w:t>
            </w:r>
          </w:p>
        </w:tc>
        <w:tc>
          <w:tcPr>
            <w:tcW w:w="925" w:type="dxa"/>
            <w:tcBorders>
              <w:top w:val="nil"/>
              <w:left w:val="nil"/>
              <w:bottom w:val="single" w:color="auto" w:sz="4" w:space="0"/>
              <w:right w:val="single" w:color="auto" w:sz="4" w:space="0"/>
            </w:tcBorders>
            <w:vAlign w:val="center"/>
          </w:tcPr>
          <w:p w14:paraId="4930E27E">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r>
      <w:tr w14:paraId="6AF7302D">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077AF0E">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14:paraId="4B6C390D">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3775668E">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00663B6">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1440" w:type="dxa"/>
            <w:tcBorders>
              <w:top w:val="nil"/>
              <w:left w:val="nil"/>
              <w:bottom w:val="single" w:color="auto" w:sz="4" w:space="0"/>
              <w:right w:val="single" w:color="auto" w:sz="4" w:space="0"/>
            </w:tcBorders>
            <w:vAlign w:val="center"/>
          </w:tcPr>
          <w:p w14:paraId="7719E4F3">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925" w:type="dxa"/>
            <w:tcBorders>
              <w:top w:val="nil"/>
              <w:left w:val="nil"/>
              <w:bottom w:val="single" w:color="auto" w:sz="4" w:space="0"/>
              <w:right w:val="single" w:color="auto" w:sz="4" w:space="0"/>
            </w:tcBorders>
            <w:vAlign w:val="center"/>
          </w:tcPr>
          <w:p w14:paraId="38E0D242">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38A3163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D794123">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9B113FF">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0E63D6AC">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82F0DD4">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5000</w:t>
            </w:r>
          </w:p>
        </w:tc>
        <w:tc>
          <w:tcPr>
            <w:tcW w:w="1440" w:type="dxa"/>
            <w:tcBorders>
              <w:top w:val="nil"/>
              <w:left w:val="nil"/>
              <w:bottom w:val="single" w:color="auto" w:sz="4" w:space="0"/>
              <w:right w:val="single" w:color="auto" w:sz="4" w:space="0"/>
            </w:tcBorders>
            <w:vAlign w:val="center"/>
          </w:tcPr>
          <w:p w14:paraId="2862C72E">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925" w:type="dxa"/>
            <w:tcBorders>
              <w:top w:val="nil"/>
              <w:left w:val="nil"/>
              <w:bottom w:val="single" w:color="auto" w:sz="4" w:space="0"/>
              <w:right w:val="single" w:color="auto" w:sz="4" w:space="0"/>
            </w:tcBorders>
            <w:vAlign w:val="center"/>
          </w:tcPr>
          <w:p w14:paraId="27499406">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w:t>
            </w:r>
          </w:p>
        </w:tc>
      </w:tr>
      <w:tr w14:paraId="5786F27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0E61ADD">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14:paraId="525B85CD">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401352F6">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2B01E06">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440" w:type="dxa"/>
            <w:tcBorders>
              <w:top w:val="nil"/>
              <w:left w:val="nil"/>
              <w:bottom w:val="single" w:color="auto" w:sz="4" w:space="0"/>
              <w:right w:val="single" w:color="auto" w:sz="4" w:space="0"/>
            </w:tcBorders>
            <w:vAlign w:val="center"/>
          </w:tcPr>
          <w:p w14:paraId="11203EE5">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925" w:type="dxa"/>
            <w:tcBorders>
              <w:top w:val="nil"/>
              <w:left w:val="nil"/>
              <w:bottom w:val="single" w:color="auto" w:sz="4" w:space="0"/>
              <w:right w:val="single" w:color="auto" w:sz="4" w:space="0"/>
            </w:tcBorders>
            <w:vAlign w:val="center"/>
          </w:tcPr>
          <w:p w14:paraId="7ACFD612">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14:paraId="67435F0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665CBBD">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35D0D7F">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资产总额（</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3C383C64">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74E1CED">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8000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120000</w:t>
            </w:r>
          </w:p>
        </w:tc>
        <w:tc>
          <w:tcPr>
            <w:tcW w:w="1440" w:type="dxa"/>
            <w:tcBorders>
              <w:top w:val="nil"/>
              <w:left w:val="nil"/>
              <w:bottom w:val="single" w:color="auto" w:sz="4" w:space="0"/>
              <w:right w:val="single" w:color="auto" w:sz="4" w:space="0"/>
            </w:tcBorders>
            <w:vAlign w:val="center"/>
          </w:tcPr>
          <w:p w14:paraId="31184038">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8000</w:t>
            </w:r>
          </w:p>
        </w:tc>
        <w:tc>
          <w:tcPr>
            <w:tcW w:w="925" w:type="dxa"/>
            <w:tcBorders>
              <w:top w:val="nil"/>
              <w:left w:val="nil"/>
              <w:bottom w:val="single" w:color="auto" w:sz="4" w:space="0"/>
              <w:right w:val="single" w:color="auto" w:sz="4" w:space="0"/>
            </w:tcBorders>
            <w:vAlign w:val="center"/>
          </w:tcPr>
          <w:p w14:paraId="5793113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02F2304B">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66503056">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14:paraId="183E33F9">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2487672F">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7FCA6DC">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440" w:type="dxa"/>
            <w:tcBorders>
              <w:top w:val="nil"/>
              <w:left w:val="nil"/>
              <w:bottom w:val="single" w:color="auto" w:sz="4" w:space="0"/>
              <w:right w:val="single" w:color="auto" w:sz="4" w:space="0"/>
            </w:tcBorders>
            <w:vAlign w:val="center"/>
          </w:tcPr>
          <w:p w14:paraId="1D6C06C8">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925" w:type="dxa"/>
            <w:tcBorders>
              <w:top w:val="nil"/>
              <w:left w:val="nil"/>
              <w:bottom w:val="single" w:color="auto" w:sz="4" w:space="0"/>
              <w:right w:val="single" w:color="auto" w:sz="4" w:space="0"/>
            </w:tcBorders>
            <w:vAlign w:val="center"/>
          </w:tcPr>
          <w:p w14:paraId="14278AB9">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bl>
    <w:p w14:paraId="67D32B17">
      <w:pPr>
        <w:spacing w:line="360" w:lineRule="auto"/>
        <w:ind w:firstLine="525" w:firstLineChars="250"/>
        <w:rPr>
          <w:rFonts w:ascii="宋体" w:cs="宋体"/>
          <w:color w:val="auto"/>
          <w:szCs w:val="21"/>
          <w:highlight w:val="none"/>
        </w:rPr>
      </w:pPr>
    </w:p>
    <w:p w14:paraId="7C5E5DD9">
      <w:pPr>
        <w:spacing w:line="360" w:lineRule="auto"/>
        <w:ind w:firstLine="525" w:firstLineChars="250"/>
        <w:rPr>
          <w:rFonts w:asci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w:t>
      </w:r>
      <w:r>
        <w:rPr>
          <w:rFonts w:ascii="宋体" w:hAnsi="宋体" w:cs="宋体"/>
          <w:color w:val="auto"/>
          <w:szCs w:val="21"/>
          <w:highlight w:val="none"/>
        </w:rPr>
        <w:t>[2011]300</w:t>
      </w:r>
      <w:r>
        <w:rPr>
          <w:rFonts w:hint="eastAsia" w:ascii="宋体" w:hAnsi="宋体" w:cs="宋体"/>
          <w:color w:val="auto"/>
          <w:szCs w:val="21"/>
          <w:highlight w:val="none"/>
        </w:rPr>
        <w:t>号），大型、中型和小型企业须同时满足所列指标的下限，否则下划一档；微型企业只须满足所列指标中的一项即可。</w:t>
      </w:r>
    </w:p>
    <w:p w14:paraId="6A7BFBB5">
      <w:pPr>
        <w:spacing w:line="520" w:lineRule="exact"/>
        <w:jc w:val="center"/>
        <w:rPr>
          <w:rFonts w:ascii="宋体" w:cs="宋体"/>
          <w:color w:val="auto"/>
          <w:sz w:val="32"/>
          <w:szCs w:val="32"/>
          <w:highlight w:val="none"/>
        </w:rPr>
      </w:pPr>
      <w:r>
        <w:rPr>
          <w:rFonts w:ascii="宋体" w:cs="宋体"/>
          <w:color w:val="auto"/>
          <w:sz w:val="24"/>
          <w:highlight w:val="none"/>
        </w:rPr>
        <w:br w:type="page"/>
      </w:r>
      <w:r>
        <w:rPr>
          <w:rFonts w:hint="eastAsia" w:ascii="宋体" w:hAnsi="宋体" w:cs="宋体"/>
          <w:color w:val="auto"/>
          <w:sz w:val="44"/>
          <w:szCs w:val="44"/>
          <w:highlight w:val="none"/>
        </w:rPr>
        <w:t>残疾人福利性单位声明函</w:t>
      </w:r>
    </w:p>
    <w:p w14:paraId="5C8CD41C">
      <w:pPr>
        <w:spacing w:line="360" w:lineRule="auto"/>
        <w:contextualSpacing/>
        <w:rPr>
          <w:rFonts w:ascii="宋体" w:cs="宋体"/>
          <w:color w:val="auto"/>
          <w:sz w:val="32"/>
          <w:szCs w:val="32"/>
          <w:highlight w:val="none"/>
        </w:rPr>
      </w:pPr>
    </w:p>
    <w:p w14:paraId="250C9944">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本单位郑重声明，根据《财政部</w:t>
      </w:r>
      <w:r>
        <w:rPr>
          <w:rFonts w:ascii="宋体" w:hAnsi="宋体" w:cs="宋体"/>
          <w:color w:val="auto"/>
          <w:sz w:val="24"/>
          <w:highlight w:val="none"/>
        </w:rPr>
        <w:t xml:space="preserve"> </w:t>
      </w:r>
      <w:r>
        <w:rPr>
          <w:rFonts w:hint="eastAsia" w:ascii="宋体" w:hAnsi="宋体" w:cs="宋体"/>
          <w:color w:val="auto"/>
          <w:sz w:val="24"/>
          <w:highlight w:val="none"/>
        </w:rPr>
        <w:t>民政部</w:t>
      </w:r>
      <w:r>
        <w:rPr>
          <w:rFonts w:ascii="宋体" w:hAnsi="宋体" w:cs="宋体"/>
          <w:color w:val="auto"/>
          <w:sz w:val="24"/>
          <w:highlight w:val="none"/>
        </w:rPr>
        <w:t xml:space="preserve"> </w:t>
      </w:r>
      <w:r>
        <w:rPr>
          <w:rFonts w:hint="eastAsia" w:ascii="宋体" w:hAnsi="宋体" w:cs="宋体"/>
          <w:color w:val="auto"/>
          <w:sz w:val="24"/>
          <w:highlight w:val="none"/>
        </w:rPr>
        <w:t>中国残疾人联合会关于促进残疾人就业政府采购政策的通知》（财库〔</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141</w:t>
      </w:r>
      <w:r>
        <w:rPr>
          <w:rFonts w:hint="eastAsia" w:ascii="宋体" w:hAnsi="宋体" w:cs="宋体"/>
          <w:color w:val="auto"/>
          <w:sz w:val="24"/>
          <w:highlight w:val="none"/>
        </w:rPr>
        <w:t>号）的规定，本单位为符合条件的残疾人福利性单位，且本单位参加</w:t>
      </w:r>
      <w:r>
        <w:rPr>
          <w:rFonts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ascii="宋体" w:hAnsi="宋体" w:cs="宋体"/>
          <w:color w:val="auto"/>
          <w:sz w:val="24"/>
          <w:highlight w:val="none"/>
          <w:u w:val="single"/>
        </w:rPr>
        <w:t xml:space="preserve">        </w:t>
      </w:r>
      <w:r>
        <w:rPr>
          <w:rFonts w:hint="eastAsia" w:ascii="宋体" w:hAnsi="宋体" w:cs="宋体"/>
          <w:color w:val="auto"/>
          <w:sz w:val="24"/>
          <w:highlight w:val="none"/>
        </w:rPr>
        <w:t>项目采购活动提供本单位制造的货物（由本单位承担工程</w:t>
      </w:r>
      <w:r>
        <w:rPr>
          <w:rFonts w:ascii="宋体" w:hAnsi="宋体" w:cs="宋体"/>
          <w:color w:val="auto"/>
          <w:sz w:val="24"/>
          <w:highlight w:val="none"/>
        </w:rPr>
        <w:t>/</w:t>
      </w:r>
      <w:r>
        <w:rPr>
          <w:rFonts w:hint="eastAsia" w:ascii="宋体" w:hAnsi="宋体" w:cs="宋体"/>
          <w:color w:val="auto"/>
          <w:sz w:val="24"/>
          <w:highlight w:val="none"/>
        </w:rPr>
        <w:t>提供服务），或者提供其他残疾人福利性单位制造的货物（不包括使用非残疾人福利性单位注册商标的货物）。</w:t>
      </w:r>
    </w:p>
    <w:p w14:paraId="4DA982FD">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779932A">
      <w:pPr>
        <w:spacing w:line="360" w:lineRule="auto"/>
        <w:contextualSpacing/>
        <w:rPr>
          <w:rFonts w:ascii="宋体" w:cs="宋体"/>
          <w:color w:val="auto"/>
          <w:sz w:val="24"/>
          <w:highlight w:val="none"/>
        </w:rPr>
      </w:pPr>
    </w:p>
    <w:p w14:paraId="31714101">
      <w:pPr>
        <w:spacing w:line="360" w:lineRule="auto"/>
        <w:contextualSpacing/>
        <w:rPr>
          <w:rFonts w:ascii="宋体" w:cs="宋体"/>
          <w:color w:val="auto"/>
          <w:sz w:val="24"/>
          <w:highlight w:val="none"/>
        </w:rPr>
      </w:pPr>
    </w:p>
    <w:p w14:paraId="33707957">
      <w:pPr>
        <w:spacing w:line="360" w:lineRule="auto"/>
        <w:contextualSpacing/>
        <w:rPr>
          <w:rFonts w:ascii="宋体" w:cs="宋体"/>
          <w:color w:val="auto"/>
          <w:sz w:val="24"/>
          <w:highlight w:val="none"/>
        </w:rPr>
      </w:pPr>
    </w:p>
    <w:p w14:paraId="011EA9DF">
      <w:pPr>
        <w:spacing w:line="360" w:lineRule="auto"/>
        <w:ind w:firstLine="2400" w:firstLineChars="1000"/>
        <w:contextualSpacing/>
        <w:rPr>
          <w:rFonts w:ascii="宋体" w:cs="宋体"/>
          <w:color w:val="auto"/>
          <w:sz w:val="24"/>
          <w:highlight w:val="none"/>
        </w:rPr>
      </w:pPr>
      <w:r>
        <w:rPr>
          <w:rFonts w:hint="eastAsia" w:ascii="宋体" w:hAnsi="宋体" w:cs="宋体"/>
          <w:color w:val="auto"/>
          <w:sz w:val="24"/>
          <w:highlight w:val="none"/>
        </w:rPr>
        <w:t>单位名称（盖章）：</w:t>
      </w:r>
    </w:p>
    <w:p w14:paraId="5C4B36B8">
      <w:pPr>
        <w:spacing w:line="360" w:lineRule="auto"/>
        <w:ind w:firstLine="3600" w:firstLineChars="1500"/>
        <w:contextualSpacing/>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p>
    <w:p w14:paraId="7BE9C0B4">
      <w:pPr>
        <w:spacing w:line="360" w:lineRule="auto"/>
        <w:contextualSpacing/>
        <w:rPr>
          <w:rFonts w:ascii="宋体" w:cs="宋体"/>
          <w:color w:val="auto"/>
          <w:sz w:val="24"/>
          <w:highlight w:val="none"/>
        </w:rPr>
      </w:pPr>
    </w:p>
    <w:p w14:paraId="40709908">
      <w:pPr>
        <w:spacing w:line="360" w:lineRule="auto"/>
        <w:contextualSpacing/>
        <w:rPr>
          <w:rFonts w:ascii="宋体" w:cs="宋体"/>
          <w:color w:val="auto"/>
          <w:sz w:val="24"/>
          <w:highlight w:val="none"/>
        </w:rPr>
      </w:pPr>
    </w:p>
    <w:p w14:paraId="64114FE8">
      <w:pPr>
        <w:spacing w:line="360" w:lineRule="auto"/>
        <w:contextualSpacing/>
        <w:rPr>
          <w:rFonts w:ascii="宋体" w:cs="宋体"/>
          <w:color w:val="auto"/>
          <w:sz w:val="24"/>
          <w:highlight w:val="none"/>
        </w:rPr>
      </w:pPr>
    </w:p>
    <w:p w14:paraId="6E75C939">
      <w:pPr>
        <w:spacing w:line="360" w:lineRule="auto"/>
        <w:contextualSpacing/>
        <w:rPr>
          <w:rFonts w:asci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0240E189">
      <w:pPr>
        <w:spacing w:line="360" w:lineRule="auto"/>
        <w:jc w:val="center"/>
        <w:rPr>
          <w:rFonts w:ascii="宋体" w:cs="宋体"/>
          <w:color w:val="auto"/>
          <w:sz w:val="24"/>
          <w:highlight w:val="none"/>
        </w:rPr>
      </w:pPr>
      <w:r>
        <w:rPr>
          <w:rFonts w:ascii="宋体" w:cs="宋体"/>
          <w:color w:val="auto"/>
          <w:sz w:val="24"/>
          <w:highlight w:val="none"/>
        </w:rPr>
        <w:br w:type="page"/>
      </w:r>
    </w:p>
    <w:p w14:paraId="70DD731F">
      <w:pPr>
        <w:spacing w:line="360" w:lineRule="auto"/>
        <w:jc w:val="center"/>
        <w:rPr>
          <w:rFonts w:ascii="宋体" w:cs="宋体"/>
          <w:b/>
          <w:bCs/>
          <w:color w:val="auto"/>
          <w:sz w:val="32"/>
          <w:szCs w:val="32"/>
          <w:highlight w:val="none"/>
        </w:rPr>
      </w:pPr>
      <w:r>
        <w:rPr>
          <w:rFonts w:hint="eastAsia" w:ascii="宋体" w:hAnsi="宋体" w:cs="宋体"/>
          <w:color w:val="auto"/>
          <w:sz w:val="44"/>
          <w:szCs w:val="44"/>
          <w:highlight w:val="none"/>
        </w:rPr>
        <w:t>质疑函</w:t>
      </w:r>
      <w:r>
        <w:rPr>
          <w:rFonts w:hint="eastAsia" w:ascii="宋体" w:hAnsi="宋体" w:cs="宋体"/>
          <w:color w:val="auto"/>
          <w:sz w:val="28"/>
          <w:szCs w:val="28"/>
          <w:highlight w:val="none"/>
        </w:rPr>
        <w:t>（格式）</w:t>
      </w:r>
    </w:p>
    <w:p w14:paraId="4BE5765F">
      <w:pPr>
        <w:pStyle w:val="19"/>
        <w:spacing w:line="360" w:lineRule="auto"/>
        <w:ind w:firstLine="482" w:firstLineChars="200"/>
        <w:contextualSpacing/>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512F56D8">
      <w:pPr>
        <w:pStyle w:val="19"/>
        <w:spacing w:line="360" w:lineRule="auto"/>
        <w:ind w:firstLine="480" w:firstLineChars="200"/>
        <w:contextualSpacing/>
        <w:rPr>
          <w:rFonts w:hAnsi="宋体" w:cs="宋体"/>
          <w:bCs/>
          <w:color w:val="auto"/>
          <w:sz w:val="24"/>
          <w:szCs w:val="24"/>
          <w:highlight w:val="none"/>
          <w:u w:val="single"/>
        </w:rPr>
      </w:pPr>
      <w:r>
        <w:rPr>
          <w:rFonts w:hint="eastAsia" w:hAnsi="宋体" w:cs="宋体"/>
          <w:bCs/>
          <w:color w:val="auto"/>
          <w:sz w:val="24"/>
          <w:szCs w:val="24"/>
          <w:highlight w:val="none"/>
        </w:rPr>
        <w:t>质疑供应商：</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08B09ACD">
      <w:pPr>
        <w:pStyle w:val="19"/>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地址：</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499AB326">
      <w:pPr>
        <w:pStyle w:val="19"/>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联系人：</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Ansi="宋体" w:cs="宋体"/>
          <w:bCs/>
          <w:color w:val="auto"/>
          <w:sz w:val="24"/>
          <w:szCs w:val="24"/>
          <w:highlight w:val="none"/>
          <w:u w:val="single"/>
        </w:rPr>
        <w:t xml:space="preserve">                 </w:t>
      </w:r>
    </w:p>
    <w:p w14:paraId="0A72AEC6">
      <w:pPr>
        <w:pStyle w:val="19"/>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授权代表：</w:t>
      </w:r>
      <w:r>
        <w:rPr>
          <w:rFonts w:hAnsi="宋体" w:cs="宋体"/>
          <w:bCs/>
          <w:color w:val="auto"/>
          <w:sz w:val="24"/>
          <w:szCs w:val="24"/>
          <w:highlight w:val="none"/>
          <w:u w:val="single"/>
        </w:rPr>
        <w:t xml:space="preserve">                      </w:t>
      </w:r>
    </w:p>
    <w:p w14:paraId="2DA28E44">
      <w:pPr>
        <w:pStyle w:val="19"/>
        <w:spacing w:line="360" w:lineRule="auto"/>
        <w:ind w:firstLine="480" w:firstLineChars="200"/>
        <w:contextualSpacing/>
        <w:rPr>
          <w:rFonts w:hAnsi="宋体" w:cs="宋体"/>
          <w:bCs/>
          <w:color w:val="auto"/>
          <w:sz w:val="24"/>
          <w:szCs w:val="24"/>
          <w:highlight w:val="none"/>
          <w:u w:val="single"/>
        </w:rPr>
      </w:pPr>
      <w:r>
        <w:rPr>
          <w:rFonts w:hint="eastAsia" w:hAnsi="宋体" w:cs="宋体"/>
          <w:bCs/>
          <w:color w:val="auto"/>
          <w:sz w:val="24"/>
          <w:szCs w:val="24"/>
          <w:highlight w:val="none"/>
        </w:rPr>
        <w:t>联系电话：</w:t>
      </w:r>
      <w:r>
        <w:rPr>
          <w:rFonts w:hAnsi="宋体" w:cs="宋体"/>
          <w:bCs/>
          <w:color w:val="auto"/>
          <w:sz w:val="24"/>
          <w:szCs w:val="24"/>
          <w:highlight w:val="none"/>
          <w:u w:val="single"/>
        </w:rPr>
        <w:t xml:space="preserve">                      </w:t>
      </w:r>
    </w:p>
    <w:p w14:paraId="6F89ED0B">
      <w:pPr>
        <w:pStyle w:val="19"/>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地址：</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4E7C7BE2">
      <w:pPr>
        <w:pStyle w:val="19"/>
        <w:spacing w:line="360" w:lineRule="auto"/>
        <w:ind w:firstLine="482" w:firstLineChars="200"/>
        <w:contextualSpacing/>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14:paraId="347D3CBD">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Ansi="宋体" w:cs="宋体"/>
          <w:bCs/>
          <w:color w:val="auto"/>
          <w:sz w:val="24"/>
          <w:szCs w:val="24"/>
          <w:highlight w:val="none"/>
          <w:u w:val="single"/>
        </w:rPr>
        <w:t xml:space="preserve">                                     </w:t>
      </w:r>
    </w:p>
    <w:p w14:paraId="368B63FF">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r>
        <w:rPr>
          <w:rFonts w:hAnsi="宋体" w:cs="宋体"/>
          <w:bCs/>
          <w:color w:val="auto"/>
          <w:sz w:val="24"/>
          <w:szCs w:val="24"/>
          <w:highlight w:val="none"/>
          <w:u w:val="single"/>
        </w:rPr>
        <w:t xml:space="preserve">                                     </w:t>
      </w:r>
    </w:p>
    <w:p w14:paraId="637D52FB">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采购人名称：</w:t>
      </w:r>
      <w:r>
        <w:rPr>
          <w:rFonts w:hAnsi="宋体" w:cs="宋体"/>
          <w:bCs/>
          <w:color w:val="auto"/>
          <w:sz w:val="24"/>
          <w:szCs w:val="24"/>
          <w:highlight w:val="none"/>
          <w:u w:val="single"/>
        </w:rPr>
        <w:t xml:space="preserve">                                         </w:t>
      </w:r>
    </w:p>
    <w:p w14:paraId="25B92BD7">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w:t>
      </w:r>
    </w:p>
    <w:p w14:paraId="5875420E">
      <w:pPr>
        <w:pStyle w:val="19"/>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□采购文件</w:t>
      </w:r>
      <w:r>
        <w:rPr>
          <w:rFonts w:hAnsi="宋体" w:cs="宋体"/>
          <w:color w:val="auto"/>
          <w:sz w:val="24"/>
          <w:szCs w:val="24"/>
          <w:highlight w:val="none"/>
        </w:rPr>
        <w:t xml:space="preserve">   </w:t>
      </w:r>
      <w:r>
        <w:rPr>
          <w:rFonts w:hint="eastAsia" w:hAnsi="宋体" w:cs="宋体"/>
          <w:color w:val="auto"/>
          <w:sz w:val="24"/>
          <w:szCs w:val="24"/>
          <w:highlight w:val="none"/>
        </w:rPr>
        <w:t>采购文件获取日期：</w:t>
      </w:r>
      <w:r>
        <w:rPr>
          <w:rFonts w:hAnsi="宋体" w:cs="宋体"/>
          <w:bCs/>
          <w:color w:val="auto"/>
          <w:sz w:val="24"/>
          <w:szCs w:val="24"/>
          <w:highlight w:val="none"/>
          <w:u w:val="single"/>
        </w:rPr>
        <w:t xml:space="preserve">                                   </w:t>
      </w:r>
    </w:p>
    <w:p w14:paraId="2891BD9F">
      <w:pPr>
        <w:pStyle w:val="19"/>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□采购过程</w:t>
      </w:r>
      <w:r>
        <w:rPr>
          <w:rFonts w:hAnsi="宋体" w:cs="宋体"/>
          <w:color w:val="auto"/>
          <w:sz w:val="24"/>
          <w:szCs w:val="24"/>
          <w:highlight w:val="none"/>
        </w:rPr>
        <w:t xml:space="preserve">   </w:t>
      </w:r>
    </w:p>
    <w:p w14:paraId="507F8198">
      <w:pPr>
        <w:pStyle w:val="19"/>
        <w:spacing w:line="360" w:lineRule="auto"/>
        <w:ind w:left="25" w:leftChars="12" w:firstLine="352" w:firstLineChars="147"/>
        <w:contextualSpacing/>
        <w:rPr>
          <w:rFonts w:hAnsi="宋体" w:cs="宋体"/>
          <w:bCs/>
          <w:color w:val="auto"/>
          <w:sz w:val="24"/>
          <w:szCs w:val="24"/>
          <w:highlight w:val="none"/>
          <w:u w:val="single"/>
        </w:rPr>
      </w:pPr>
      <w:r>
        <w:rPr>
          <w:rFonts w:hint="eastAsia" w:hAnsi="宋体" w:cs="宋体"/>
          <w:color w:val="auto"/>
          <w:sz w:val="24"/>
          <w:szCs w:val="24"/>
          <w:highlight w:val="none"/>
        </w:rPr>
        <w:t>□成交结果</w:t>
      </w:r>
      <w:r>
        <w:rPr>
          <w:rFonts w:hAnsi="宋体" w:cs="宋体"/>
          <w:color w:val="auto"/>
          <w:sz w:val="24"/>
          <w:szCs w:val="24"/>
          <w:highlight w:val="none"/>
        </w:rPr>
        <w:t xml:space="preserve">   </w:t>
      </w:r>
    </w:p>
    <w:p w14:paraId="566B77B4">
      <w:pPr>
        <w:pStyle w:val="19"/>
        <w:spacing w:line="360" w:lineRule="auto"/>
        <w:ind w:left="25" w:leftChars="12" w:firstLine="472" w:firstLineChars="196"/>
        <w:contextualSpacing/>
        <w:rPr>
          <w:rFonts w:hAnsi="宋体" w:cs="宋体"/>
          <w:b/>
          <w:color w:val="auto"/>
          <w:sz w:val="24"/>
          <w:szCs w:val="24"/>
          <w:highlight w:val="none"/>
        </w:rPr>
      </w:pPr>
      <w:r>
        <w:rPr>
          <w:rFonts w:hint="eastAsia" w:hAnsi="宋体" w:cs="宋体"/>
          <w:b/>
          <w:color w:val="auto"/>
          <w:sz w:val="24"/>
          <w:szCs w:val="24"/>
          <w:highlight w:val="none"/>
        </w:rPr>
        <w:t>三、质疑事项具体内容</w:t>
      </w:r>
    </w:p>
    <w:p w14:paraId="3A03C86D">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w:t>
      </w:r>
      <w:r>
        <w:rPr>
          <w:rFonts w:hAnsi="宋体" w:cs="宋体"/>
          <w:color w:val="auto"/>
          <w:sz w:val="24"/>
          <w:szCs w:val="24"/>
          <w:highlight w:val="none"/>
        </w:rPr>
        <w:t>1</w:t>
      </w:r>
      <w:r>
        <w:rPr>
          <w:rFonts w:hint="eastAsia" w:hAnsi="宋体" w:cs="宋体"/>
          <w:color w:val="auto"/>
          <w:sz w:val="24"/>
          <w:szCs w:val="24"/>
          <w:highlight w:val="none"/>
        </w:rPr>
        <w:t>：</w:t>
      </w:r>
      <w:r>
        <w:rPr>
          <w:rFonts w:hAnsi="宋体" w:cs="宋体"/>
          <w:bCs/>
          <w:color w:val="auto"/>
          <w:sz w:val="24"/>
          <w:szCs w:val="24"/>
          <w:highlight w:val="none"/>
          <w:u w:val="single"/>
        </w:rPr>
        <w:t xml:space="preserve">                                                                    </w:t>
      </w:r>
    </w:p>
    <w:p w14:paraId="21DACF1F">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事实依据：</w:t>
      </w:r>
      <w:r>
        <w:rPr>
          <w:rFonts w:hAnsi="宋体" w:cs="宋体"/>
          <w:bCs/>
          <w:color w:val="auto"/>
          <w:sz w:val="24"/>
          <w:szCs w:val="24"/>
          <w:highlight w:val="none"/>
          <w:u w:val="single"/>
        </w:rPr>
        <w:t xml:space="preserve">                                                                      </w:t>
      </w:r>
    </w:p>
    <w:p w14:paraId="683D2193">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法律依据：</w:t>
      </w:r>
      <w:r>
        <w:rPr>
          <w:rFonts w:hAnsi="宋体" w:cs="宋体"/>
          <w:color w:val="auto"/>
          <w:sz w:val="24"/>
          <w:szCs w:val="24"/>
          <w:highlight w:val="none"/>
          <w:u w:val="single"/>
        </w:rPr>
        <w:t xml:space="preserve">                                                        </w:t>
      </w:r>
      <w:r>
        <w:rPr>
          <w:rFonts w:hAnsi="宋体" w:cs="宋体"/>
          <w:bCs/>
          <w:color w:val="auto"/>
          <w:sz w:val="24"/>
          <w:szCs w:val="24"/>
          <w:highlight w:val="none"/>
          <w:u w:val="single"/>
        </w:rPr>
        <w:t xml:space="preserve">               </w:t>
      </w:r>
    </w:p>
    <w:p w14:paraId="2E216BE1">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w:t>
      </w:r>
      <w:r>
        <w:rPr>
          <w:rFonts w:hAnsi="宋体" w:cs="宋体"/>
          <w:color w:val="auto"/>
          <w:sz w:val="24"/>
          <w:szCs w:val="24"/>
          <w:highlight w:val="none"/>
        </w:rPr>
        <w:t>2</w:t>
      </w:r>
    </w:p>
    <w:p w14:paraId="7EFCC090">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w:t>
      </w:r>
    </w:p>
    <w:p w14:paraId="4555D5E6">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四、与质疑事项相关的质疑请求：</w:t>
      </w:r>
    </w:p>
    <w:p w14:paraId="7C83F914">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请求：</w:t>
      </w:r>
      <w:r>
        <w:rPr>
          <w:rFonts w:hAnsi="宋体" w:cs="宋体"/>
          <w:bCs/>
          <w:color w:val="auto"/>
          <w:sz w:val="24"/>
          <w:szCs w:val="24"/>
          <w:highlight w:val="none"/>
          <w:u w:val="single"/>
        </w:rPr>
        <w:t xml:space="preserve">                                                                </w:t>
      </w:r>
    </w:p>
    <w:p w14:paraId="2C920BD0">
      <w:pPr>
        <w:pStyle w:val="19"/>
        <w:spacing w:line="360" w:lineRule="auto"/>
        <w:ind w:left="25" w:leftChars="12" w:firstLine="352" w:firstLineChars="147"/>
        <w:contextualSpacing/>
        <w:rPr>
          <w:rFonts w:hAnsi="宋体" w:cs="宋体"/>
          <w:color w:val="auto"/>
          <w:sz w:val="24"/>
          <w:szCs w:val="24"/>
          <w:highlight w:val="none"/>
        </w:rPr>
      </w:pPr>
    </w:p>
    <w:p w14:paraId="7AC9E7F8">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签字（签章）：</w:t>
      </w:r>
      <w:r>
        <w:rPr>
          <w:rFonts w:hAnsi="宋体" w:cs="宋体"/>
          <w:color w:val="auto"/>
          <w:sz w:val="24"/>
          <w:szCs w:val="24"/>
          <w:highlight w:val="none"/>
        </w:rPr>
        <w:t xml:space="preserve">                                       </w:t>
      </w:r>
      <w:r>
        <w:rPr>
          <w:rFonts w:hint="eastAsia" w:hAnsi="宋体" w:cs="宋体"/>
          <w:color w:val="auto"/>
          <w:sz w:val="24"/>
          <w:szCs w:val="24"/>
          <w:highlight w:val="none"/>
        </w:rPr>
        <w:t>公章：</w:t>
      </w:r>
    </w:p>
    <w:p w14:paraId="61882260">
      <w:pPr>
        <w:pStyle w:val="19"/>
        <w:spacing w:line="360" w:lineRule="auto"/>
        <w:ind w:firstLine="480" w:firstLineChars="200"/>
        <w:contextualSpacing/>
        <w:rPr>
          <w:rFonts w:hAnsi="宋体" w:cs="宋体"/>
          <w:b/>
          <w:color w:val="auto"/>
          <w:sz w:val="24"/>
          <w:szCs w:val="24"/>
          <w:highlight w:val="none"/>
        </w:rPr>
      </w:pPr>
      <w:r>
        <w:rPr>
          <w:rFonts w:hint="eastAsia" w:hAnsi="宋体" w:cs="宋体"/>
          <w:color w:val="auto"/>
          <w:sz w:val="24"/>
          <w:szCs w:val="24"/>
          <w:highlight w:val="none"/>
        </w:rPr>
        <w:t>日期：</w:t>
      </w:r>
    </w:p>
    <w:p w14:paraId="60268531">
      <w:pPr>
        <w:pStyle w:val="19"/>
        <w:spacing w:line="360" w:lineRule="auto"/>
        <w:contextualSpacing/>
        <w:rPr>
          <w:rFonts w:hAnsi="宋体" w:cs="宋体"/>
          <w:b/>
          <w:color w:val="auto"/>
          <w:sz w:val="24"/>
          <w:szCs w:val="24"/>
          <w:highlight w:val="none"/>
        </w:rPr>
      </w:pPr>
      <w:r>
        <w:rPr>
          <w:rFonts w:hint="eastAsia" w:hAnsi="宋体" w:cs="宋体"/>
          <w:b/>
          <w:color w:val="auto"/>
          <w:sz w:val="24"/>
          <w:szCs w:val="24"/>
          <w:highlight w:val="none"/>
        </w:rPr>
        <w:t>说明：</w:t>
      </w:r>
    </w:p>
    <w:p w14:paraId="0C64DBDA">
      <w:pPr>
        <w:pStyle w:val="19"/>
        <w:spacing w:line="360" w:lineRule="auto"/>
        <w:ind w:left="25" w:leftChars="12" w:firstLine="354" w:firstLineChars="147"/>
        <w:contextualSpacing/>
        <w:rPr>
          <w:rFonts w:hAnsi="宋体" w:cs="宋体"/>
          <w:b/>
          <w:bCs/>
          <w:color w:val="auto"/>
          <w:sz w:val="24"/>
          <w:szCs w:val="24"/>
          <w:highlight w:val="none"/>
        </w:rPr>
      </w:pPr>
      <w:r>
        <w:rPr>
          <w:rFonts w:hAnsi="宋体" w:cs="宋体"/>
          <w:b/>
          <w:color w:val="auto"/>
          <w:sz w:val="24"/>
          <w:szCs w:val="24"/>
          <w:highlight w:val="none"/>
        </w:rPr>
        <w:t>1.</w:t>
      </w:r>
      <w:r>
        <w:rPr>
          <w:rFonts w:hint="eastAsia" w:hAnsi="宋体" w:cs="宋体"/>
          <w:b/>
          <w:color w:val="auto"/>
          <w:sz w:val="24"/>
          <w:szCs w:val="24"/>
          <w:highlight w:val="none"/>
        </w:rPr>
        <w:t>供应商提出质疑时，应提交质疑函和必要的证明材料</w:t>
      </w:r>
      <w:r>
        <w:rPr>
          <w:rFonts w:hint="eastAsia" w:hAnsi="宋体" w:cs="宋体"/>
          <w:b/>
          <w:bCs/>
          <w:color w:val="auto"/>
          <w:sz w:val="24"/>
          <w:szCs w:val="24"/>
          <w:highlight w:val="none"/>
        </w:rPr>
        <w:t>。</w:t>
      </w:r>
    </w:p>
    <w:p w14:paraId="494BE60C">
      <w:pPr>
        <w:pStyle w:val="19"/>
        <w:spacing w:line="360" w:lineRule="auto"/>
        <w:ind w:left="25" w:leftChars="12" w:firstLine="354" w:firstLineChars="147"/>
        <w:contextualSpacing/>
        <w:rPr>
          <w:rFonts w:hAnsi="宋体" w:cs="宋体"/>
          <w:b/>
          <w:color w:val="auto"/>
          <w:sz w:val="24"/>
          <w:szCs w:val="24"/>
          <w:highlight w:val="none"/>
        </w:rPr>
      </w:pPr>
      <w:r>
        <w:rPr>
          <w:rFonts w:hAnsi="宋体" w:cs="宋体"/>
          <w:b/>
          <w:color w:val="auto"/>
          <w:sz w:val="24"/>
          <w:szCs w:val="24"/>
          <w:highlight w:val="none"/>
        </w:rPr>
        <w:t>2.</w:t>
      </w:r>
      <w:r>
        <w:rPr>
          <w:rFonts w:hint="eastAsia" w:hAnsi="宋体" w:cs="宋体"/>
          <w:b/>
          <w:color w:val="auto"/>
          <w:sz w:val="24"/>
          <w:szCs w:val="24"/>
          <w:highlight w:val="none"/>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D1B820B">
      <w:pPr>
        <w:pStyle w:val="19"/>
        <w:spacing w:line="360" w:lineRule="auto"/>
        <w:ind w:left="25" w:leftChars="12" w:firstLine="354" w:firstLineChars="147"/>
        <w:contextualSpacing/>
        <w:rPr>
          <w:rFonts w:hAnsi="宋体" w:cs="宋体"/>
          <w:b/>
          <w:color w:val="auto"/>
          <w:sz w:val="24"/>
          <w:szCs w:val="24"/>
          <w:highlight w:val="none"/>
        </w:rPr>
      </w:pPr>
      <w:r>
        <w:rPr>
          <w:rFonts w:hAnsi="宋体" w:cs="宋体"/>
          <w:b/>
          <w:color w:val="auto"/>
          <w:sz w:val="24"/>
          <w:szCs w:val="24"/>
          <w:highlight w:val="none"/>
        </w:rPr>
        <w:t>3.</w:t>
      </w:r>
      <w:r>
        <w:rPr>
          <w:rFonts w:hint="eastAsia" w:hAnsi="宋体" w:cs="宋体"/>
          <w:b/>
          <w:color w:val="auto"/>
          <w:sz w:val="24"/>
          <w:szCs w:val="24"/>
          <w:highlight w:val="none"/>
        </w:rPr>
        <w:t>质疑函的质疑事项应具体、明确，并有必要的事实依据和法律依据。</w:t>
      </w:r>
    </w:p>
    <w:p w14:paraId="6D8D5A94">
      <w:pPr>
        <w:pStyle w:val="19"/>
        <w:spacing w:line="360" w:lineRule="auto"/>
        <w:ind w:left="25" w:leftChars="12" w:firstLine="354" w:firstLineChars="147"/>
        <w:contextualSpacing/>
        <w:rPr>
          <w:rFonts w:hAnsi="宋体" w:cs="宋体"/>
          <w:b/>
          <w:color w:val="auto"/>
          <w:sz w:val="24"/>
          <w:szCs w:val="24"/>
          <w:highlight w:val="none"/>
        </w:rPr>
      </w:pPr>
      <w:r>
        <w:rPr>
          <w:rFonts w:hAnsi="宋体" w:cs="宋体"/>
          <w:b/>
          <w:color w:val="auto"/>
          <w:sz w:val="24"/>
          <w:szCs w:val="24"/>
          <w:highlight w:val="none"/>
        </w:rPr>
        <w:t>4.</w:t>
      </w:r>
      <w:r>
        <w:rPr>
          <w:rFonts w:hint="eastAsia" w:hAnsi="宋体" w:cs="宋体"/>
          <w:b/>
          <w:color w:val="auto"/>
          <w:sz w:val="24"/>
          <w:szCs w:val="24"/>
          <w:highlight w:val="none"/>
        </w:rPr>
        <w:t>质疑函的质疑请求应与质疑事项相关。</w:t>
      </w:r>
    </w:p>
    <w:p w14:paraId="5446818B">
      <w:pPr>
        <w:pStyle w:val="19"/>
        <w:spacing w:line="360" w:lineRule="auto"/>
        <w:ind w:left="25" w:leftChars="12" w:firstLine="354" w:firstLineChars="147"/>
        <w:contextualSpacing/>
        <w:rPr>
          <w:rFonts w:hAnsi="宋体" w:cs="宋体"/>
          <w:b/>
          <w:color w:val="auto"/>
          <w:highlight w:val="none"/>
        </w:rPr>
      </w:pPr>
      <w:r>
        <w:rPr>
          <w:rFonts w:hAnsi="宋体" w:cs="宋体"/>
          <w:b/>
          <w:color w:val="auto"/>
          <w:sz w:val="24"/>
          <w:szCs w:val="24"/>
          <w:highlight w:val="none"/>
        </w:rPr>
        <w:t>5.</w:t>
      </w:r>
      <w:r>
        <w:rPr>
          <w:rFonts w:hint="eastAsia" w:hAnsi="宋体" w:cs="宋体"/>
          <w:b/>
          <w:color w:val="auto"/>
          <w:sz w:val="24"/>
          <w:szCs w:val="24"/>
          <w:highlight w:val="none"/>
        </w:rPr>
        <w:t>质疑供应商为法人或者其他组织的，质疑函应由法定代表人、主要负责人，或者其授权代表签字或者盖章，并加盖公章。</w:t>
      </w:r>
    </w:p>
    <w:p w14:paraId="270A06A8">
      <w:pPr>
        <w:pStyle w:val="19"/>
        <w:snapToGrid w:val="0"/>
        <w:rPr>
          <w:rFonts w:hAnsi="宋体" w:cs="宋体"/>
          <w:b/>
          <w:color w:val="auto"/>
          <w:sz w:val="24"/>
          <w:szCs w:val="24"/>
          <w:highlight w:val="none"/>
        </w:rPr>
      </w:pPr>
    </w:p>
    <w:p w14:paraId="1C6B8531">
      <w:pPr>
        <w:rPr>
          <w:rFonts w:ascii="宋体" w:cs="宋体"/>
          <w:color w:val="auto"/>
          <w:sz w:val="32"/>
          <w:szCs w:val="40"/>
          <w:highlight w:val="none"/>
        </w:rPr>
      </w:pPr>
    </w:p>
    <w:p w14:paraId="79B143CF">
      <w:pPr>
        <w:rPr>
          <w:rFonts w:ascii="宋体" w:cs="宋体"/>
          <w:color w:val="auto"/>
          <w:sz w:val="32"/>
          <w:szCs w:val="40"/>
          <w:highlight w:val="none"/>
        </w:rPr>
      </w:pPr>
    </w:p>
    <w:p w14:paraId="2C384432">
      <w:pPr>
        <w:rPr>
          <w:rFonts w:ascii="宋体" w:cs="宋体"/>
          <w:color w:val="auto"/>
          <w:sz w:val="32"/>
          <w:szCs w:val="40"/>
          <w:highlight w:val="none"/>
        </w:rPr>
      </w:pPr>
    </w:p>
    <w:p w14:paraId="682A24FE">
      <w:pPr>
        <w:rPr>
          <w:rFonts w:ascii="宋体" w:cs="宋体"/>
          <w:color w:val="auto"/>
          <w:sz w:val="32"/>
          <w:szCs w:val="40"/>
          <w:highlight w:val="none"/>
        </w:rPr>
      </w:pPr>
    </w:p>
    <w:p w14:paraId="259032F6">
      <w:pPr>
        <w:rPr>
          <w:rFonts w:ascii="宋体" w:cs="宋体"/>
          <w:color w:val="auto"/>
          <w:sz w:val="32"/>
          <w:szCs w:val="40"/>
          <w:highlight w:val="none"/>
        </w:rPr>
      </w:pPr>
    </w:p>
    <w:p w14:paraId="54CC1195">
      <w:pPr>
        <w:rPr>
          <w:rFonts w:ascii="宋体" w:cs="宋体"/>
          <w:color w:val="auto"/>
          <w:sz w:val="32"/>
          <w:szCs w:val="40"/>
          <w:highlight w:val="none"/>
        </w:rPr>
      </w:pPr>
    </w:p>
    <w:p w14:paraId="7AF9D2F1">
      <w:pPr>
        <w:rPr>
          <w:rFonts w:ascii="宋体" w:cs="宋体"/>
          <w:color w:val="auto"/>
          <w:sz w:val="32"/>
          <w:szCs w:val="40"/>
          <w:highlight w:val="none"/>
        </w:rPr>
      </w:pPr>
    </w:p>
    <w:p w14:paraId="7F34133C">
      <w:pPr>
        <w:rPr>
          <w:rFonts w:ascii="宋体" w:cs="宋体"/>
          <w:color w:val="auto"/>
          <w:sz w:val="32"/>
          <w:szCs w:val="40"/>
          <w:highlight w:val="none"/>
        </w:rPr>
      </w:pPr>
    </w:p>
    <w:p w14:paraId="44ED4CA3">
      <w:pPr>
        <w:rPr>
          <w:rFonts w:ascii="宋体" w:cs="宋体"/>
          <w:color w:val="auto"/>
          <w:sz w:val="32"/>
          <w:szCs w:val="40"/>
          <w:highlight w:val="none"/>
        </w:rPr>
      </w:pPr>
    </w:p>
    <w:p w14:paraId="4514DD95">
      <w:pPr>
        <w:rPr>
          <w:rFonts w:ascii="宋体" w:cs="宋体"/>
          <w:color w:val="auto"/>
          <w:sz w:val="32"/>
          <w:szCs w:val="40"/>
          <w:highlight w:val="none"/>
        </w:rPr>
      </w:pPr>
    </w:p>
    <w:p w14:paraId="19FAAD1C">
      <w:pPr>
        <w:rPr>
          <w:rFonts w:ascii="宋体" w:cs="宋体"/>
          <w:color w:val="auto"/>
          <w:sz w:val="32"/>
          <w:szCs w:val="40"/>
          <w:highlight w:val="none"/>
        </w:rPr>
      </w:pPr>
    </w:p>
    <w:p w14:paraId="72D6340E">
      <w:pPr>
        <w:rPr>
          <w:rFonts w:ascii="宋体" w:cs="宋体"/>
          <w:color w:val="auto"/>
          <w:sz w:val="32"/>
          <w:szCs w:val="40"/>
          <w:highlight w:val="none"/>
        </w:rPr>
      </w:pPr>
    </w:p>
    <w:p w14:paraId="0423751D">
      <w:pPr>
        <w:rPr>
          <w:rFonts w:ascii="宋体" w:cs="宋体"/>
          <w:color w:val="auto"/>
          <w:sz w:val="32"/>
          <w:szCs w:val="40"/>
          <w:highlight w:val="none"/>
        </w:rPr>
      </w:pPr>
    </w:p>
    <w:p w14:paraId="2FD4935B">
      <w:pPr>
        <w:rPr>
          <w:rFonts w:ascii="宋体" w:cs="宋体"/>
          <w:color w:val="auto"/>
          <w:sz w:val="32"/>
          <w:szCs w:val="40"/>
          <w:highlight w:val="none"/>
        </w:rPr>
      </w:pPr>
    </w:p>
    <w:p w14:paraId="7C776C27">
      <w:pPr>
        <w:spacing w:line="360" w:lineRule="auto"/>
        <w:jc w:val="center"/>
        <w:rPr>
          <w:rFonts w:ascii="宋体" w:cs="宋体"/>
          <w:color w:val="auto"/>
          <w:sz w:val="24"/>
          <w:highlight w:val="none"/>
        </w:rPr>
      </w:pPr>
      <w:r>
        <w:rPr>
          <w:rFonts w:ascii="宋体" w:cs="宋体"/>
          <w:color w:val="auto"/>
          <w:sz w:val="44"/>
          <w:szCs w:val="44"/>
          <w:highlight w:val="none"/>
        </w:rPr>
        <w:br w:type="page"/>
      </w:r>
      <w:r>
        <w:rPr>
          <w:rFonts w:hint="eastAsia" w:ascii="宋体" w:hAnsi="宋体" w:cs="宋体"/>
          <w:color w:val="auto"/>
          <w:sz w:val="44"/>
          <w:szCs w:val="44"/>
          <w:highlight w:val="none"/>
        </w:rPr>
        <w:t>投诉书</w:t>
      </w:r>
      <w:r>
        <w:rPr>
          <w:rFonts w:hint="eastAsia" w:ascii="宋体" w:hAnsi="宋体" w:cs="宋体"/>
          <w:color w:val="auto"/>
          <w:sz w:val="28"/>
          <w:szCs w:val="28"/>
          <w:highlight w:val="none"/>
        </w:rPr>
        <w:t>（格式）</w:t>
      </w:r>
    </w:p>
    <w:p w14:paraId="5F775262">
      <w:pPr>
        <w:pStyle w:val="19"/>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615CB727">
      <w:pPr>
        <w:pStyle w:val="19"/>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供应商：</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0B51D217">
      <w:pPr>
        <w:pStyle w:val="19"/>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2B77C3B3">
      <w:pPr>
        <w:pStyle w:val="19"/>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法定代表人</w:t>
      </w:r>
      <w:r>
        <w:rPr>
          <w:rFonts w:hAnsi="宋体" w:cs="宋体"/>
          <w:bCs/>
          <w:color w:val="auto"/>
          <w:sz w:val="24"/>
          <w:szCs w:val="24"/>
          <w:highlight w:val="none"/>
        </w:rPr>
        <w:t>/</w:t>
      </w:r>
      <w:r>
        <w:rPr>
          <w:rFonts w:hint="eastAsia" w:hAnsi="宋体" w:cs="宋体"/>
          <w:bCs/>
          <w:color w:val="auto"/>
          <w:sz w:val="24"/>
          <w:szCs w:val="24"/>
          <w:highlight w:val="none"/>
        </w:rPr>
        <w:t>主要负责人：</w:t>
      </w:r>
      <w:r>
        <w:rPr>
          <w:rFonts w:hAnsi="宋体" w:cs="宋体"/>
          <w:bCs/>
          <w:color w:val="auto"/>
          <w:sz w:val="24"/>
          <w:szCs w:val="24"/>
          <w:highlight w:val="none"/>
          <w:u w:val="single"/>
        </w:rPr>
        <w:t xml:space="preserve">                                                         </w:t>
      </w:r>
    </w:p>
    <w:p w14:paraId="26EACACB">
      <w:pPr>
        <w:pStyle w:val="19"/>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联系电话：</w:t>
      </w:r>
      <w:r>
        <w:rPr>
          <w:rFonts w:hAnsi="宋体" w:cs="宋体"/>
          <w:bCs/>
          <w:color w:val="auto"/>
          <w:sz w:val="24"/>
          <w:szCs w:val="24"/>
          <w:highlight w:val="none"/>
          <w:u w:val="single"/>
        </w:rPr>
        <w:t xml:space="preserve">                                         </w:t>
      </w:r>
    </w:p>
    <w:p w14:paraId="31DA22C8">
      <w:pPr>
        <w:pStyle w:val="19"/>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授权代表：</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Ansi="宋体" w:cs="宋体"/>
          <w:bCs/>
          <w:color w:val="auto"/>
          <w:sz w:val="24"/>
          <w:szCs w:val="24"/>
          <w:highlight w:val="none"/>
          <w:u w:val="single"/>
        </w:rPr>
        <w:t xml:space="preserve">                   </w:t>
      </w:r>
    </w:p>
    <w:p w14:paraId="694FB3F9">
      <w:pPr>
        <w:pStyle w:val="19"/>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Ansi="宋体" w:cs="宋体"/>
          <w:bCs/>
          <w:color w:val="auto"/>
          <w:sz w:val="24"/>
          <w:szCs w:val="24"/>
          <w:highlight w:val="none"/>
          <w:u w:val="single"/>
        </w:rPr>
        <w:t xml:space="preserve">                                                            </w:t>
      </w:r>
    </w:p>
    <w:p w14:paraId="46796E55">
      <w:pPr>
        <w:pStyle w:val="19"/>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01959070">
      <w:pPr>
        <w:pStyle w:val="19"/>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w:t>
      </w:r>
      <w:r>
        <w:rPr>
          <w:rFonts w:hAnsi="宋体" w:cs="宋体"/>
          <w:bCs/>
          <w:color w:val="auto"/>
          <w:sz w:val="24"/>
          <w:szCs w:val="24"/>
          <w:highlight w:val="none"/>
        </w:rPr>
        <w:t>1</w:t>
      </w:r>
      <w:r>
        <w:rPr>
          <w:rFonts w:hint="eastAsia" w:hAnsi="宋体" w:cs="宋体"/>
          <w:bCs/>
          <w:color w:val="auto"/>
          <w:sz w:val="24"/>
          <w:szCs w:val="24"/>
          <w:highlight w:val="none"/>
        </w:rPr>
        <w:t>：</w:t>
      </w:r>
    </w:p>
    <w:p w14:paraId="77363CA3">
      <w:pPr>
        <w:pStyle w:val="19"/>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Ansi="宋体" w:cs="宋体"/>
          <w:bCs/>
          <w:color w:val="auto"/>
          <w:sz w:val="24"/>
          <w:szCs w:val="24"/>
          <w:highlight w:val="none"/>
          <w:u w:val="single"/>
        </w:rPr>
        <w:t xml:space="preserve">                                                            </w:t>
      </w:r>
    </w:p>
    <w:p w14:paraId="4AB9AD92">
      <w:pPr>
        <w:pStyle w:val="19"/>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724F970E">
      <w:pPr>
        <w:pStyle w:val="19"/>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联系人：</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Ansi="宋体" w:cs="宋体"/>
          <w:bCs/>
          <w:color w:val="auto"/>
          <w:sz w:val="24"/>
          <w:szCs w:val="24"/>
          <w:highlight w:val="none"/>
          <w:u w:val="single"/>
        </w:rPr>
        <w:t xml:space="preserve">                </w:t>
      </w:r>
    </w:p>
    <w:p w14:paraId="07E89429">
      <w:pPr>
        <w:pStyle w:val="19"/>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w:t>
      </w:r>
      <w:r>
        <w:rPr>
          <w:rFonts w:hAnsi="宋体" w:cs="宋体"/>
          <w:bCs/>
          <w:color w:val="auto"/>
          <w:sz w:val="24"/>
          <w:szCs w:val="24"/>
          <w:highlight w:val="none"/>
        </w:rPr>
        <w:t>2</w:t>
      </w:r>
      <w:r>
        <w:rPr>
          <w:rFonts w:hint="eastAsia" w:hAnsi="宋体" w:cs="宋体"/>
          <w:bCs/>
          <w:color w:val="auto"/>
          <w:sz w:val="24"/>
          <w:szCs w:val="24"/>
          <w:highlight w:val="none"/>
        </w:rPr>
        <w:t>：</w:t>
      </w:r>
    </w:p>
    <w:p w14:paraId="2A184970">
      <w:pPr>
        <w:pStyle w:val="19"/>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w:t>
      </w:r>
    </w:p>
    <w:p w14:paraId="71576B3F">
      <w:pPr>
        <w:pStyle w:val="19"/>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相关供应商：</w:t>
      </w:r>
      <w:r>
        <w:rPr>
          <w:rFonts w:hAnsi="宋体" w:cs="宋体"/>
          <w:bCs/>
          <w:color w:val="auto"/>
          <w:sz w:val="24"/>
          <w:szCs w:val="24"/>
          <w:highlight w:val="none"/>
          <w:u w:val="single"/>
        </w:rPr>
        <w:t xml:space="preserve">                                                                       </w:t>
      </w:r>
    </w:p>
    <w:p w14:paraId="45E6BA3A">
      <w:pPr>
        <w:pStyle w:val="19"/>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Ansi="宋体" w:cs="宋体"/>
          <w:bCs/>
          <w:color w:val="auto"/>
          <w:sz w:val="24"/>
          <w:szCs w:val="24"/>
          <w:highlight w:val="none"/>
          <w:u w:val="single"/>
        </w:rPr>
        <w:t xml:space="preserve">                         </w:t>
      </w:r>
    </w:p>
    <w:p w14:paraId="10F7F221">
      <w:pPr>
        <w:pStyle w:val="19"/>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3306AF62">
      <w:pPr>
        <w:pStyle w:val="19"/>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14:paraId="4E683063">
      <w:pPr>
        <w:pStyle w:val="19"/>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Ansi="宋体" w:cs="宋体"/>
          <w:bCs/>
          <w:color w:val="auto"/>
          <w:sz w:val="24"/>
          <w:szCs w:val="24"/>
          <w:highlight w:val="none"/>
          <w:u w:val="single"/>
        </w:rPr>
        <w:t xml:space="preserve">                                                                   </w:t>
      </w:r>
    </w:p>
    <w:p w14:paraId="3D471029">
      <w:pPr>
        <w:pStyle w:val="19"/>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Ansi="宋体" w:cs="宋体"/>
          <w:bCs/>
          <w:color w:val="auto"/>
          <w:sz w:val="24"/>
          <w:szCs w:val="24"/>
          <w:highlight w:val="none"/>
          <w:u w:val="single"/>
        </w:rPr>
        <w:t xml:space="preserve">                                          </w:t>
      </w:r>
    </w:p>
    <w:p w14:paraId="5DA69E78">
      <w:pPr>
        <w:pStyle w:val="19"/>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r>
        <w:rPr>
          <w:rFonts w:hAnsi="宋体" w:cs="宋体"/>
          <w:bCs/>
          <w:color w:val="auto"/>
          <w:sz w:val="24"/>
          <w:szCs w:val="24"/>
          <w:highlight w:val="none"/>
          <w:u w:val="single"/>
        </w:rPr>
        <w:t xml:space="preserve">                                                                        </w:t>
      </w:r>
    </w:p>
    <w:p w14:paraId="68EE3EC6">
      <w:pPr>
        <w:pStyle w:val="19"/>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r>
        <w:rPr>
          <w:rFonts w:hAnsi="宋体" w:cs="宋体"/>
          <w:bCs/>
          <w:color w:val="auto"/>
          <w:sz w:val="24"/>
          <w:szCs w:val="24"/>
          <w:highlight w:val="none"/>
          <w:u w:val="single"/>
        </w:rPr>
        <w:t xml:space="preserve">                                                                      </w:t>
      </w:r>
    </w:p>
    <w:p w14:paraId="766270C4">
      <w:pPr>
        <w:pStyle w:val="19"/>
        <w:spacing w:line="360" w:lineRule="auto"/>
        <w:ind w:left="25" w:leftChars="12"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竞争性磋商文件公告：</w:t>
      </w:r>
      <w:r>
        <w:rPr>
          <w:rFonts w:hint="eastAsia" w:hAnsi="宋体" w:cs="宋体"/>
          <w:bCs/>
          <w:color w:val="auto"/>
          <w:sz w:val="24"/>
          <w:szCs w:val="24"/>
          <w:highlight w:val="none"/>
          <w:u w:val="single"/>
        </w:rPr>
        <w:t>是</w:t>
      </w:r>
      <w:r>
        <w:rPr>
          <w:rFonts w:hAnsi="宋体" w:cs="宋体"/>
          <w:bCs/>
          <w:color w:val="auto"/>
          <w:sz w:val="24"/>
          <w:szCs w:val="24"/>
          <w:highlight w:val="none"/>
          <w:u w:val="single"/>
        </w:rPr>
        <w:t>/</w:t>
      </w:r>
      <w:r>
        <w:rPr>
          <w:rFonts w:hint="eastAsia" w:hAnsi="宋体" w:cs="宋体"/>
          <w:bCs/>
          <w:color w:val="auto"/>
          <w:sz w:val="24"/>
          <w:szCs w:val="24"/>
          <w:highlight w:val="none"/>
          <w:u w:val="single"/>
        </w:rPr>
        <w:t>否</w:t>
      </w:r>
      <w:r>
        <w:rPr>
          <w:rFonts w:hint="eastAsia" w:hAnsi="宋体" w:cs="宋体"/>
          <w:bCs/>
          <w:color w:val="auto"/>
          <w:sz w:val="24"/>
          <w:szCs w:val="24"/>
          <w:highlight w:val="none"/>
        </w:rPr>
        <w:t>公告期限：</w:t>
      </w:r>
      <w:r>
        <w:rPr>
          <w:rFonts w:hAnsi="宋体" w:cs="宋体"/>
          <w:bCs/>
          <w:color w:val="auto"/>
          <w:sz w:val="24"/>
          <w:szCs w:val="24"/>
          <w:highlight w:val="none"/>
          <w:u w:val="single"/>
        </w:rPr>
        <w:t xml:space="preserve">                                                       </w:t>
      </w:r>
    </w:p>
    <w:p w14:paraId="0528434F">
      <w:pPr>
        <w:pStyle w:val="19"/>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w:t>
      </w:r>
      <w:r>
        <w:rPr>
          <w:rFonts w:hAnsi="宋体" w:cs="宋体"/>
          <w:bCs/>
          <w:color w:val="auto"/>
          <w:sz w:val="24"/>
          <w:szCs w:val="24"/>
          <w:highlight w:val="none"/>
          <w:u w:val="single"/>
        </w:rPr>
        <w:t>/</w:t>
      </w:r>
      <w:r>
        <w:rPr>
          <w:rFonts w:hint="eastAsia" w:hAnsi="宋体" w:cs="宋体"/>
          <w:bCs/>
          <w:color w:val="auto"/>
          <w:sz w:val="24"/>
          <w:szCs w:val="24"/>
          <w:highlight w:val="none"/>
          <w:u w:val="single"/>
        </w:rPr>
        <w:t>否</w:t>
      </w:r>
      <w:r>
        <w:rPr>
          <w:rFonts w:hint="eastAsia" w:hAnsi="宋体" w:cs="宋体"/>
          <w:bCs/>
          <w:color w:val="auto"/>
          <w:sz w:val="24"/>
          <w:szCs w:val="24"/>
          <w:highlight w:val="none"/>
        </w:rPr>
        <w:t>公告期限：</w:t>
      </w:r>
      <w:r>
        <w:rPr>
          <w:rFonts w:hAnsi="宋体" w:cs="宋体"/>
          <w:bCs/>
          <w:color w:val="auto"/>
          <w:sz w:val="24"/>
          <w:szCs w:val="24"/>
          <w:highlight w:val="none"/>
          <w:u w:val="single"/>
        </w:rPr>
        <w:t xml:space="preserve">                                                       </w:t>
      </w:r>
    </w:p>
    <w:p w14:paraId="7897DEF8">
      <w:pPr>
        <w:pStyle w:val="19"/>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14:paraId="7998C581">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投诉人于</w:t>
      </w:r>
      <w:r>
        <w:rPr>
          <w:rFonts w:hAnsi="宋体" w:cs="宋体"/>
          <w:color w:val="auto"/>
          <w:sz w:val="24"/>
          <w:szCs w:val="24"/>
          <w:highlight w:val="none"/>
          <w:u w:val="single"/>
        </w:rPr>
        <w:t xml:space="preserve">      </w:t>
      </w:r>
      <w:r>
        <w:rPr>
          <w:rFonts w:hint="eastAsia" w:hAnsi="宋体" w:cs="宋体"/>
          <w:color w:val="auto"/>
          <w:sz w:val="24"/>
          <w:szCs w:val="24"/>
          <w:highlight w:val="none"/>
        </w:rPr>
        <w:t>年</w:t>
      </w:r>
      <w:r>
        <w:rPr>
          <w:rFonts w:hAnsi="宋体" w:cs="宋体"/>
          <w:color w:val="auto"/>
          <w:sz w:val="24"/>
          <w:szCs w:val="24"/>
          <w:highlight w:val="none"/>
          <w:u w:val="single"/>
        </w:rPr>
        <w:t xml:space="preserve">   </w:t>
      </w:r>
      <w:r>
        <w:rPr>
          <w:rFonts w:hint="eastAsia" w:hAnsi="宋体" w:cs="宋体"/>
          <w:color w:val="auto"/>
          <w:sz w:val="24"/>
          <w:szCs w:val="24"/>
          <w:highlight w:val="none"/>
        </w:rPr>
        <w:t>月</w:t>
      </w:r>
      <w:r>
        <w:rPr>
          <w:rFonts w:hAnsi="宋体" w:cs="宋体"/>
          <w:color w:val="auto"/>
          <w:sz w:val="24"/>
          <w:szCs w:val="24"/>
          <w:highlight w:val="none"/>
          <w:u w:val="single"/>
        </w:rPr>
        <w:t xml:space="preserve">   </w:t>
      </w:r>
      <w:r>
        <w:rPr>
          <w:rFonts w:hint="eastAsia" w:hAnsi="宋体" w:cs="宋体"/>
          <w:color w:val="auto"/>
          <w:sz w:val="24"/>
          <w:szCs w:val="24"/>
          <w:highlight w:val="none"/>
        </w:rPr>
        <w:t>日，向</w:t>
      </w:r>
      <w:r>
        <w:rPr>
          <w:rFonts w:hAnsi="宋体" w:cs="宋体"/>
          <w:color w:val="auto"/>
          <w:sz w:val="24"/>
          <w:szCs w:val="24"/>
          <w:highlight w:val="none"/>
          <w:u w:val="single"/>
        </w:rPr>
        <w:t xml:space="preserve">                                </w:t>
      </w:r>
      <w:r>
        <w:rPr>
          <w:rFonts w:hint="eastAsia" w:hAnsi="宋体" w:cs="宋体"/>
          <w:color w:val="auto"/>
          <w:sz w:val="24"/>
          <w:szCs w:val="24"/>
          <w:highlight w:val="none"/>
        </w:rPr>
        <w:t>提出质疑，质疑事项为：</w:t>
      </w:r>
    </w:p>
    <w:p w14:paraId="2C67168E">
      <w:pPr>
        <w:pStyle w:val="19"/>
        <w:spacing w:line="360" w:lineRule="auto"/>
        <w:ind w:firstLine="241"/>
        <w:rPr>
          <w:rFonts w:hAnsi="宋体" w:cs="宋体"/>
          <w:bCs/>
          <w:color w:val="auto"/>
          <w:sz w:val="24"/>
          <w:szCs w:val="24"/>
          <w:highlight w:val="none"/>
          <w:u w:val="single"/>
        </w:rPr>
      </w:pPr>
      <w:r>
        <w:rPr>
          <w:rFonts w:hAnsi="宋体" w:cs="宋体"/>
          <w:color w:val="auto"/>
          <w:sz w:val="24"/>
          <w:szCs w:val="24"/>
          <w:highlight w:val="none"/>
        </w:rPr>
        <w:t xml:space="preserve">    </w:t>
      </w:r>
      <w:r>
        <w:rPr>
          <w:rFonts w:hAnsi="宋体" w:cs="宋体"/>
          <w:bCs/>
          <w:color w:val="auto"/>
          <w:sz w:val="24"/>
          <w:szCs w:val="24"/>
          <w:highlight w:val="none"/>
          <w:u w:val="single"/>
        </w:rPr>
        <w:t xml:space="preserve">                                                                                      </w:t>
      </w:r>
    </w:p>
    <w:p w14:paraId="0FAFA5F9">
      <w:pPr>
        <w:pStyle w:val="19"/>
        <w:spacing w:line="360" w:lineRule="auto"/>
        <w:ind w:firstLine="241"/>
        <w:rPr>
          <w:rFonts w:hAnsi="宋体" w:cs="宋体"/>
          <w:bCs/>
          <w:color w:val="auto"/>
          <w:sz w:val="24"/>
          <w:szCs w:val="24"/>
          <w:highlight w:val="none"/>
          <w:u w:val="single"/>
        </w:rPr>
      </w:pPr>
      <w:r>
        <w:rPr>
          <w:rFonts w:hAnsi="宋体" w:cs="宋体"/>
          <w:bCs/>
          <w:color w:val="auto"/>
          <w:sz w:val="24"/>
          <w:szCs w:val="24"/>
          <w:highlight w:val="none"/>
        </w:rPr>
        <w:t xml:space="preserve">    </w:t>
      </w:r>
      <w:r>
        <w:rPr>
          <w:rFonts w:hAnsi="宋体" w:cs="宋体"/>
          <w:bCs/>
          <w:color w:val="auto"/>
          <w:sz w:val="24"/>
          <w:szCs w:val="24"/>
          <w:highlight w:val="none"/>
          <w:u w:val="single"/>
        </w:rPr>
        <w:t xml:space="preserve">                                                                                      </w:t>
      </w:r>
    </w:p>
    <w:p w14:paraId="2F1D2DAF">
      <w:pPr>
        <w:pStyle w:val="19"/>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u w:val="single"/>
        </w:rPr>
        <w:t>采购人</w:t>
      </w:r>
      <w:r>
        <w:rPr>
          <w:rFonts w:hAnsi="宋体" w:cs="宋体"/>
          <w:bCs/>
          <w:color w:val="auto"/>
          <w:sz w:val="24"/>
          <w:szCs w:val="24"/>
          <w:highlight w:val="none"/>
          <w:u w:val="single"/>
        </w:rPr>
        <w:t>/</w:t>
      </w:r>
      <w:r>
        <w:rPr>
          <w:rFonts w:hint="eastAsia" w:hAnsi="宋体" w:cs="宋体"/>
          <w:bCs/>
          <w:color w:val="auto"/>
          <w:sz w:val="24"/>
          <w:szCs w:val="24"/>
          <w:highlight w:val="none"/>
          <w:u w:val="single"/>
        </w:rPr>
        <w:t>代理机构</w:t>
      </w:r>
      <w:r>
        <w:rPr>
          <w:rFonts w:hint="eastAsia" w:hAnsi="宋体" w:cs="宋体"/>
          <w:bCs/>
          <w:color w:val="auto"/>
          <w:sz w:val="24"/>
          <w:szCs w:val="24"/>
          <w:highlight w:val="none"/>
        </w:rPr>
        <w:t>于</w:t>
      </w:r>
      <w:r>
        <w:rPr>
          <w:rFonts w:hAnsi="宋体" w:cs="宋体"/>
          <w:color w:val="auto"/>
          <w:sz w:val="24"/>
          <w:szCs w:val="24"/>
          <w:highlight w:val="none"/>
          <w:u w:val="single"/>
        </w:rPr>
        <w:t xml:space="preserve">      </w:t>
      </w:r>
      <w:r>
        <w:rPr>
          <w:rFonts w:hint="eastAsia" w:hAnsi="宋体" w:cs="宋体"/>
          <w:color w:val="auto"/>
          <w:sz w:val="24"/>
          <w:szCs w:val="24"/>
          <w:highlight w:val="none"/>
        </w:rPr>
        <w:t>年</w:t>
      </w:r>
      <w:r>
        <w:rPr>
          <w:rFonts w:hAnsi="宋体" w:cs="宋体"/>
          <w:color w:val="auto"/>
          <w:sz w:val="24"/>
          <w:szCs w:val="24"/>
          <w:highlight w:val="none"/>
          <w:u w:val="single"/>
        </w:rPr>
        <w:t xml:space="preserve">   </w:t>
      </w:r>
      <w:r>
        <w:rPr>
          <w:rFonts w:hint="eastAsia" w:hAnsi="宋体" w:cs="宋体"/>
          <w:color w:val="auto"/>
          <w:sz w:val="24"/>
          <w:szCs w:val="24"/>
          <w:highlight w:val="none"/>
        </w:rPr>
        <w:t>月</w:t>
      </w:r>
      <w:r>
        <w:rPr>
          <w:rFonts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bCs/>
          <w:color w:val="auto"/>
          <w:sz w:val="24"/>
          <w:szCs w:val="24"/>
          <w:highlight w:val="none"/>
        </w:rPr>
        <w:t>就质疑事项作出了答复</w:t>
      </w:r>
      <w:r>
        <w:rPr>
          <w:rFonts w:hAnsi="宋体" w:cs="宋体"/>
          <w:bCs/>
          <w:color w:val="auto"/>
          <w:sz w:val="24"/>
          <w:szCs w:val="24"/>
          <w:highlight w:val="none"/>
        </w:rPr>
        <w:t>/</w:t>
      </w:r>
      <w:r>
        <w:rPr>
          <w:rFonts w:hint="eastAsia" w:hAnsi="宋体" w:cs="宋体"/>
          <w:bCs/>
          <w:color w:val="auto"/>
          <w:sz w:val="24"/>
          <w:szCs w:val="24"/>
          <w:highlight w:val="none"/>
        </w:rPr>
        <w:t>没有在法定期限内作出答复。</w:t>
      </w:r>
      <w:r>
        <w:rPr>
          <w:rFonts w:hAnsi="宋体" w:cs="宋体"/>
          <w:bCs/>
          <w:color w:val="auto"/>
          <w:sz w:val="24"/>
          <w:szCs w:val="24"/>
          <w:highlight w:val="none"/>
        </w:rPr>
        <w:t xml:space="preserve">                                                                                             </w:t>
      </w:r>
    </w:p>
    <w:p w14:paraId="3EDF397A">
      <w:pPr>
        <w:pStyle w:val="19"/>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14:paraId="38487A63">
      <w:pPr>
        <w:pStyle w:val="19"/>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w:t>
      </w:r>
      <w:r>
        <w:rPr>
          <w:rFonts w:hAnsi="宋体" w:cs="宋体"/>
          <w:color w:val="auto"/>
          <w:sz w:val="24"/>
          <w:szCs w:val="24"/>
          <w:highlight w:val="none"/>
        </w:rPr>
        <w:t>1</w:t>
      </w:r>
      <w:r>
        <w:rPr>
          <w:rFonts w:hint="eastAsia" w:hAnsi="宋体" w:cs="宋体"/>
          <w:color w:val="auto"/>
          <w:sz w:val="24"/>
          <w:szCs w:val="24"/>
          <w:highlight w:val="none"/>
        </w:rPr>
        <w:t>：</w:t>
      </w:r>
      <w:r>
        <w:rPr>
          <w:rFonts w:hAnsi="宋体" w:cs="宋体"/>
          <w:bCs/>
          <w:color w:val="auto"/>
          <w:sz w:val="24"/>
          <w:szCs w:val="24"/>
          <w:highlight w:val="none"/>
          <w:u w:val="single"/>
        </w:rPr>
        <w:t xml:space="preserve">                                                                           </w:t>
      </w:r>
    </w:p>
    <w:p w14:paraId="1A4F829D">
      <w:pPr>
        <w:pStyle w:val="19"/>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r>
        <w:rPr>
          <w:rFonts w:hAnsi="宋体" w:cs="宋体"/>
          <w:color w:val="auto"/>
          <w:sz w:val="24"/>
          <w:szCs w:val="24"/>
          <w:highlight w:val="none"/>
        </w:rPr>
        <w:t xml:space="preserve"> </w:t>
      </w:r>
      <w:r>
        <w:rPr>
          <w:rFonts w:hAnsi="宋体" w:cs="宋体"/>
          <w:bCs/>
          <w:color w:val="auto"/>
          <w:sz w:val="24"/>
          <w:szCs w:val="24"/>
          <w:highlight w:val="none"/>
          <w:u w:val="single"/>
        </w:rPr>
        <w:t xml:space="preserve">                                                                                      </w:t>
      </w:r>
    </w:p>
    <w:p w14:paraId="6E64C1C9">
      <w:pPr>
        <w:pStyle w:val="19"/>
        <w:spacing w:line="360" w:lineRule="auto"/>
        <w:ind w:left="25" w:leftChars="12" w:firstLine="472" w:firstLineChars="197"/>
        <w:rPr>
          <w:rFonts w:hAnsi="宋体" w:cs="宋体"/>
          <w:color w:val="auto"/>
          <w:sz w:val="24"/>
          <w:szCs w:val="24"/>
          <w:highlight w:val="none"/>
        </w:rPr>
      </w:pPr>
      <w:r>
        <w:rPr>
          <w:rFonts w:hAnsi="宋体" w:cs="宋体"/>
          <w:bCs/>
          <w:color w:val="auto"/>
          <w:sz w:val="24"/>
          <w:szCs w:val="24"/>
          <w:highlight w:val="none"/>
          <w:u w:val="single"/>
        </w:rPr>
        <w:t xml:space="preserve">                                                                                        </w:t>
      </w:r>
    </w:p>
    <w:p w14:paraId="027AE0FE">
      <w:pPr>
        <w:pStyle w:val="19"/>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r>
        <w:rPr>
          <w:rFonts w:hAnsi="宋体" w:cs="宋体"/>
          <w:color w:val="auto"/>
          <w:sz w:val="24"/>
          <w:szCs w:val="24"/>
          <w:highlight w:val="none"/>
        </w:rPr>
        <w:t xml:space="preserve"> </w:t>
      </w:r>
      <w:r>
        <w:rPr>
          <w:rFonts w:hAnsi="宋体" w:cs="宋体"/>
          <w:bCs/>
          <w:color w:val="auto"/>
          <w:sz w:val="24"/>
          <w:szCs w:val="24"/>
          <w:highlight w:val="none"/>
          <w:u w:val="single"/>
        </w:rPr>
        <w:t xml:space="preserve">                                                                                      </w:t>
      </w:r>
    </w:p>
    <w:p w14:paraId="190EEDAD">
      <w:pPr>
        <w:pStyle w:val="19"/>
        <w:spacing w:line="360" w:lineRule="auto"/>
        <w:ind w:left="25" w:leftChars="12" w:firstLine="352" w:firstLineChars="147"/>
        <w:rPr>
          <w:rFonts w:hAnsi="宋体" w:cs="宋体"/>
          <w:bCs/>
          <w:color w:val="auto"/>
          <w:sz w:val="24"/>
          <w:szCs w:val="24"/>
          <w:highlight w:val="none"/>
          <w:u w:val="single"/>
        </w:rPr>
      </w:pPr>
      <w:r>
        <w:rPr>
          <w:rFonts w:hAnsi="宋体" w:cs="宋体"/>
          <w:bCs/>
          <w:color w:val="auto"/>
          <w:sz w:val="24"/>
          <w:szCs w:val="24"/>
          <w:highlight w:val="none"/>
        </w:rPr>
        <w:t xml:space="preserve"> </w:t>
      </w:r>
      <w:r>
        <w:rPr>
          <w:rFonts w:hAnsi="宋体" w:cs="宋体"/>
          <w:bCs/>
          <w:color w:val="auto"/>
          <w:sz w:val="24"/>
          <w:szCs w:val="24"/>
          <w:highlight w:val="none"/>
          <w:u w:val="single"/>
        </w:rPr>
        <w:t xml:space="preserve">                                                                                        </w:t>
      </w:r>
    </w:p>
    <w:p w14:paraId="6348AB12">
      <w:pPr>
        <w:pStyle w:val="19"/>
        <w:spacing w:line="360" w:lineRule="auto"/>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投诉事项</w:t>
      </w:r>
      <w:r>
        <w:rPr>
          <w:rFonts w:hAnsi="宋体" w:cs="宋体"/>
          <w:color w:val="auto"/>
          <w:sz w:val="24"/>
          <w:szCs w:val="24"/>
          <w:highlight w:val="none"/>
        </w:rPr>
        <w:t xml:space="preserve">2  </w:t>
      </w:r>
      <w:r>
        <w:rPr>
          <w:rFonts w:hAnsi="宋体" w:cs="宋体"/>
          <w:bCs/>
          <w:color w:val="auto"/>
          <w:sz w:val="24"/>
          <w:szCs w:val="24"/>
          <w:highlight w:val="none"/>
        </w:rPr>
        <w:t xml:space="preserve">   </w:t>
      </w:r>
    </w:p>
    <w:p w14:paraId="76FE1574">
      <w:pPr>
        <w:pStyle w:val="19"/>
        <w:spacing w:line="360" w:lineRule="auto"/>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14:paraId="52A8AE69">
      <w:pPr>
        <w:pStyle w:val="19"/>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677B4AEA">
      <w:pPr>
        <w:pStyle w:val="19"/>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Ansi="宋体" w:cs="宋体"/>
          <w:bCs/>
          <w:color w:val="auto"/>
          <w:sz w:val="24"/>
          <w:szCs w:val="24"/>
          <w:highlight w:val="none"/>
          <w:u w:val="single"/>
        </w:rPr>
        <w:t xml:space="preserve">                                                                                 </w:t>
      </w:r>
    </w:p>
    <w:p w14:paraId="732D9FA5">
      <w:pPr>
        <w:pStyle w:val="19"/>
        <w:spacing w:line="360" w:lineRule="auto"/>
        <w:ind w:left="25" w:leftChars="12" w:firstLine="352" w:firstLineChars="147"/>
        <w:rPr>
          <w:rFonts w:hAnsi="宋体" w:cs="宋体"/>
          <w:color w:val="auto"/>
          <w:sz w:val="24"/>
          <w:szCs w:val="24"/>
          <w:highlight w:val="none"/>
        </w:rPr>
      </w:pPr>
    </w:p>
    <w:p w14:paraId="16EB6540">
      <w:pPr>
        <w:pStyle w:val="19"/>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w:t>
      </w:r>
      <w:r>
        <w:rPr>
          <w:rFonts w:hAnsi="宋体" w:cs="宋体"/>
          <w:color w:val="auto"/>
          <w:sz w:val="24"/>
          <w:szCs w:val="24"/>
          <w:highlight w:val="none"/>
        </w:rPr>
        <w:t xml:space="preserve">                                       </w:t>
      </w:r>
      <w:r>
        <w:rPr>
          <w:rFonts w:hint="eastAsia" w:hAnsi="宋体" w:cs="宋体"/>
          <w:color w:val="auto"/>
          <w:sz w:val="24"/>
          <w:szCs w:val="24"/>
          <w:highlight w:val="none"/>
        </w:rPr>
        <w:t>公章：</w:t>
      </w:r>
    </w:p>
    <w:p w14:paraId="4A39B951">
      <w:pPr>
        <w:pStyle w:val="19"/>
        <w:spacing w:line="360" w:lineRule="auto"/>
        <w:ind w:left="25" w:leftChars="12" w:firstLine="352" w:firstLineChars="147"/>
        <w:rPr>
          <w:rFonts w:hAnsi="宋体" w:cs="宋体"/>
          <w:color w:val="auto"/>
          <w:sz w:val="24"/>
          <w:szCs w:val="24"/>
          <w:highlight w:val="none"/>
        </w:rPr>
      </w:pPr>
    </w:p>
    <w:p w14:paraId="1E6BCF3E">
      <w:pPr>
        <w:pStyle w:val="19"/>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27AA96E6">
      <w:pPr>
        <w:pStyle w:val="19"/>
        <w:spacing w:line="360" w:lineRule="auto"/>
        <w:ind w:left="25" w:leftChars="12" w:firstLine="472" w:firstLineChars="197"/>
        <w:rPr>
          <w:rFonts w:hAnsi="宋体" w:cs="宋体"/>
          <w:b/>
          <w:color w:val="auto"/>
          <w:sz w:val="24"/>
          <w:szCs w:val="24"/>
          <w:highlight w:val="none"/>
        </w:rPr>
      </w:pPr>
      <w:r>
        <w:rPr>
          <w:rFonts w:hAnsi="宋体" w:cs="宋体"/>
          <w:bCs/>
          <w:color w:val="auto"/>
          <w:sz w:val="24"/>
          <w:szCs w:val="24"/>
          <w:highlight w:val="none"/>
        </w:rPr>
        <w:t xml:space="preserve">                                                                                 </w:t>
      </w:r>
    </w:p>
    <w:p w14:paraId="603C2868">
      <w:pPr>
        <w:pStyle w:val="19"/>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7DA547CE">
      <w:pPr>
        <w:pStyle w:val="19"/>
        <w:spacing w:line="360" w:lineRule="auto"/>
        <w:ind w:left="25" w:leftChars="12" w:firstLine="354" w:firstLineChars="147"/>
        <w:rPr>
          <w:rFonts w:hAnsi="宋体" w:cs="宋体"/>
          <w:b/>
          <w:bCs/>
          <w:color w:val="auto"/>
          <w:sz w:val="24"/>
          <w:szCs w:val="24"/>
          <w:highlight w:val="none"/>
        </w:rPr>
      </w:pPr>
      <w:r>
        <w:rPr>
          <w:rFonts w:hAnsi="宋体" w:cs="宋体"/>
          <w:b/>
          <w:color w:val="auto"/>
          <w:sz w:val="24"/>
          <w:szCs w:val="24"/>
          <w:highlight w:val="none"/>
        </w:rPr>
        <w:t>1.</w:t>
      </w:r>
      <w:r>
        <w:rPr>
          <w:rFonts w:hint="eastAsia" w:hAnsi="宋体" w:cs="宋体"/>
          <w:b/>
          <w:color w:val="auto"/>
          <w:sz w:val="24"/>
          <w:szCs w:val="24"/>
          <w:highlight w:val="none"/>
        </w:rPr>
        <w:t>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14:paraId="3646EA30">
      <w:pPr>
        <w:pStyle w:val="19"/>
        <w:spacing w:line="360" w:lineRule="auto"/>
        <w:ind w:left="25" w:leftChars="12" w:firstLine="354" w:firstLineChars="147"/>
        <w:rPr>
          <w:rFonts w:hAnsi="宋体" w:cs="宋体"/>
          <w:b/>
          <w:color w:val="auto"/>
          <w:sz w:val="24"/>
          <w:szCs w:val="24"/>
          <w:highlight w:val="none"/>
        </w:rPr>
      </w:pPr>
      <w:r>
        <w:rPr>
          <w:rFonts w:hAnsi="宋体" w:cs="宋体"/>
          <w:b/>
          <w:color w:val="auto"/>
          <w:sz w:val="24"/>
          <w:szCs w:val="24"/>
          <w:highlight w:val="none"/>
        </w:rPr>
        <w:t>2.</w:t>
      </w:r>
      <w:r>
        <w:rPr>
          <w:rFonts w:hint="eastAsia" w:hAnsi="宋体" w:cs="宋体"/>
          <w:b/>
          <w:color w:val="auto"/>
          <w:sz w:val="24"/>
          <w:szCs w:val="24"/>
          <w:highlight w:val="none"/>
        </w:rPr>
        <w:t>投诉人若委托代理人进行投诉的，投诉书应按要求列明“授权代表”的有关内容，并在附件中提交由投诉人签署的授权委托书。授权委托书应当载明代理人的姓名或者名称、代理事项、具体权限、期限和相关事项。</w:t>
      </w:r>
    </w:p>
    <w:p w14:paraId="13FE08D8">
      <w:pPr>
        <w:pStyle w:val="19"/>
        <w:spacing w:line="360" w:lineRule="auto"/>
        <w:ind w:left="25" w:leftChars="12" w:firstLine="354" w:firstLineChars="147"/>
        <w:rPr>
          <w:rFonts w:hAnsi="宋体" w:cs="宋体"/>
          <w:b/>
          <w:color w:val="auto"/>
          <w:sz w:val="24"/>
          <w:szCs w:val="24"/>
          <w:highlight w:val="none"/>
        </w:rPr>
      </w:pPr>
      <w:r>
        <w:rPr>
          <w:rFonts w:hAnsi="宋体" w:cs="宋体"/>
          <w:b/>
          <w:color w:val="auto"/>
          <w:sz w:val="24"/>
          <w:szCs w:val="24"/>
          <w:highlight w:val="none"/>
        </w:rPr>
        <w:t>3.</w:t>
      </w:r>
      <w:r>
        <w:rPr>
          <w:rFonts w:hint="eastAsia" w:hAnsi="宋体" w:cs="宋体"/>
          <w:b/>
          <w:color w:val="auto"/>
          <w:sz w:val="24"/>
          <w:szCs w:val="24"/>
          <w:highlight w:val="none"/>
        </w:rPr>
        <w:t>投诉书应简要列明质疑事项，质疑函、质疑答复等作为附件材料提供。</w:t>
      </w:r>
    </w:p>
    <w:p w14:paraId="40A9F596">
      <w:pPr>
        <w:pStyle w:val="19"/>
        <w:spacing w:line="360" w:lineRule="auto"/>
        <w:ind w:left="25" w:leftChars="12" w:firstLine="354" w:firstLineChars="147"/>
        <w:rPr>
          <w:rFonts w:hAnsi="宋体" w:cs="宋体"/>
          <w:b/>
          <w:color w:val="auto"/>
          <w:sz w:val="24"/>
          <w:szCs w:val="24"/>
          <w:highlight w:val="none"/>
        </w:rPr>
      </w:pPr>
      <w:r>
        <w:rPr>
          <w:rFonts w:hAnsi="宋体" w:cs="宋体"/>
          <w:b/>
          <w:color w:val="auto"/>
          <w:sz w:val="24"/>
          <w:szCs w:val="24"/>
          <w:highlight w:val="none"/>
        </w:rPr>
        <w:t>4.</w:t>
      </w:r>
      <w:r>
        <w:rPr>
          <w:rFonts w:hint="eastAsia" w:hAnsi="宋体" w:cs="宋体"/>
          <w:b/>
          <w:color w:val="auto"/>
          <w:sz w:val="24"/>
          <w:szCs w:val="24"/>
          <w:highlight w:val="none"/>
        </w:rPr>
        <w:t>投诉书的投诉事项应具体、明确，并有必要的事实依据和法律依据。</w:t>
      </w:r>
    </w:p>
    <w:p w14:paraId="41BE7C87">
      <w:pPr>
        <w:pStyle w:val="19"/>
        <w:spacing w:line="360" w:lineRule="auto"/>
        <w:ind w:left="25" w:leftChars="12" w:firstLine="354" w:firstLineChars="147"/>
        <w:rPr>
          <w:rFonts w:hAnsi="宋体" w:cs="宋体"/>
          <w:b/>
          <w:color w:val="auto"/>
          <w:sz w:val="24"/>
          <w:szCs w:val="24"/>
          <w:highlight w:val="none"/>
        </w:rPr>
      </w:pPr>
      <w:r>
        <w:rPr>
          <w:rFonts w:hAnsi="宋体" w:cs="宋体"/>
          <w:b/>
          <w:color w:val="auto"/>
          <w:sz w:val="24"/>
          <w:szCs w:val="24"/>
          <w:highlight w:val="none"/>
        </w:rPr>
        <w:t>5.</w:t>
      </w:r>
      <w:r>
        <w:rPr>
          <w:rFonts w:hint="eastAsia" w:hAnsi="宋体" w:cs="宋体"/>
          <w:b/>
          <w:color w:val="auto"/>
          <w:sz w:val="24"/>
          <w:szCs w:val="24"/>
          <w:highlight w:val="none"/>
        </w:rPr>
        <w:t>投诉书的投诉请求应与投诉事项相关。</w:t>
      </w:r>
    </w:p>
    <w:p w14:paraId="1BF29525">
      <w:pPr>
        <w:pStyle w:val="19"/>
        <w:spacing w:line="360" w:lineRule="auto"/>
        <w:ind w:left="25" w:leftChars="12" w:firstLine="354" w:firstLineChars="147"/>
        <w:rPr>
          <w:rFonts w:hAnsi="宋体" w:cs="宋体"/>
          <w:b/>
          <w:color w:val="auto"/>
          <w:highlight w:val="none"/>
        </w:rPr>
      </w:pPr>
      <w:r>
        <w:rPr>
          <w:rFonts w:hAnsi="宋体" w:cs="宋体"/>
          <w:b/>
          <w:color w:val="auto"/>
          <w:sz w:val="24"/>
          <w:szCs w:val="24"/>
          <w:highlight w:val="none"/>
        </w:rPr>
        <w:t>6.</w:t>
      </w:r>
      <w:r>
        <w:rPr>
          <w:rFonts w:hint="eastAsia" w:hAnsi="宋体" w:cs="宋体"/>
          <w:b/>
          <w:color w:val="auto"/>
          <w:sz w:val="24"/>
          <w:szCs w:val="24"/>
          <w:highlight w:val="none"/>
        </w:rPr>
        <w:t>投诉人为法人或者其他组织的，投诉书应由法定代表人、主要负责人，或者其授权代表签字或者盖章，并加盖公章。</w:t>
      </w:r>
    </w:p>
    <w:p w14:paraId="5C009180">
      <w:pPr>
        <w:rPr>
          <w:color w:val="auto"/>
          <w:highlight w:val="none"/>
        </w:rPr>
      </w:pPr>
      <w:bookmarkStart w:id="187" w:name="_Toc11130"/>
      <w:bookmarkStart w:id="188" w:name="_Toc20110"/>
      <w:bookmarkStart w:id="189" w:name="_Toc19603"/>
      <w:bookmarkStart w:id="190" w:name="_Toc10662"/>
      <w:bookmarkStart w:id="191" w:name="_Toc1723"/>
      <w:r>
        <w:rPr>
          <w:color w:val="auto"/>
          <w:highlight w:val="none"/>
        </w:rPr>
        <w:br w:type="page"/>
      </w:r>
    </w:p>
    <w:p w14:paraId="2195325A">
      <w:pPr>
        <w:pStyle w:val="3"/>
        <w:rPr>
          <w:rFonts w:ascii="宋体" w:cs="宋体"/>
          <w:color w:val="auto"/>
          <w:szCs w:val="21"/>
          <w:highlight w:val="none"/>
        </w:rPr>
      </w:pPr>
      <w:r>
        <w:rPr>
          <w:rFonts w:hint="eastAsia"/>
          <w:color w:val="auto"/>
          <w:highlight w:val="none"/>
        </w:rPr>
        <w:t>第六章</w:t>
      </w:r>
      <w:r>
        <w:rPr>
          <w:color w:val="auto"/>
          <w:highlight w:val="none"/>
        </w:rPr>
        <w:t xml:space="preserve"> </w:t>
      </w:r>
      <w:r>
        <w:rPr>
          <w:rFonts w:hint="eastAsia"/>
          <w:color w:val="auto"/>
          <w:highlight w:val="none"/>
        </w:rPr>
        <w:t>合同文本</w:t>
      </w:r>
      <w:bookmarkEnd w:id="187"/>
      <w:bookmarkEnd w:id="188"/>
      <w:bookmarkEnd w:id="189"/>
      <w:bookmarkEnd w:id="190"/>
      <w:bookmarkEnd w:id="191"/>
      <w:r>
        <w:rPr>
          <w:rFonts w:ascii="宋体" w:hAnsi="宋体" w:cs="宋体"/>
          <w:color w:val="auto"/>
          <w:szCs w:val="21"/>
          <w:highlight w:val="none"/>
        </w:rPr>
        <w:t xml:space="preserve">                                                            </w:t>
      </w:r>
    </w:p>
    <w:p w14:paraId="366EF15D">
      <w:pPr>
        <w:spacing w:line="360" w:lineRule="auto"/>
        <w:ind w:right="800"/>
        <w:rPr>
          <w:rFonts w:ascii="宋体" w:cs="宋体"/>
          <w:color w:val="auto"/>
          <w:szCs w:val="21"/>
          <w:highlight w:val="none"/>
        </w:rPr>
      </w:pPr>
      <w:r>
        <w:rPr>
          <w:rFonts w:hint="eastAsia" w:ascii="宋体" w:hAnsi="宋体" w:cs="宋体"/>
          <w:color w:val="auto"/>
          <w:szCs w:val="21"/>
          <w:highlight w:val="none"/>
        </w:rPr>
        <w:t>分标：</w:t>
      </w:r>
    </w:p>
    <w:p w14:paraId="6FF8AC82">
      <w:pPr>
        <w:spacing w:line="360" w:lineRule="auto"/>
        <w:ind w:right="800"/>
        <w:rPr>
          <w:rFonts w:ascii="宋体" w:cs="宋体"/>
          <w:bCs/>
          <w:color w:val="auto"/>
          <w:szCs w:val="21"/>
          <w:highlight w:val="none"/>
          <w:u w:val="single"/>
        </w:rPr>
      </w:pPr>
      <w:r>
        <w:rPr>
          <w:rFonts w:hint="eastAsia" w:ascii="宋体" w:hAnsi="宋体" w:cs="宋体"/>
          <w:color w:val="auto"/>
          <w:szCs w:val="21"/>
          <w:highlight w:val="none"/>
        </w:rPr>
        <w:t>采购计划号：</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bCs/>
          <w:color w:val="auto"/>
          <w:szCs w:val="21"/>
          <w:highlight w:val="none"/>
        </w:rPr>
        <w:t>合同编号：</w:t>
      </w:r>
      <w:r>
        <w:rPr>
          <w:rFonts w:ascii="宋体" w:hAnsi="宋体" w:cs="宋体"/>
          <w:color w:val="auto"/>
          <w:szCs w:val="21"/>
          <w:highlight w:val="none"/>
          <w:u w:val="single"/>
        </w:rPr>
        <w:t xml:space="preserve">                  </w:t>
      </w:r>
    </w:p>
    <w:p w14:paraId="12CFE673">
      <w:pPr>
        <w:spacing w:line="360" w:lineRule="auto"/>
        <w:rPr>
          <w:rFonts w:ascii="宋体" w:cs="宋体"/>
          <w:color w:val="auto"/>
          <w:szCs w:val="21"/>
          <w:highlight w:val="none"/>
          <w:u w:val="single"/>
        </w:rPr>
      </w:pPr>
      <w:r>
        <w:rPr>
          <w:rFonts w:hint="eastAsia" w:ascii="宋体" w:hAnsi="宋体" w:cs="宋体"/>
          <w:color w:val="auto"/>
          <w:szCs w:val="21"/>
          <w:highlight w:val="none"/>
        </w:rPr>
        <w:t>采购人（甲方）：</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供应商（乙方）：</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0C93D259">
      <w:pPr>
        <w:spacing w:line="360" w:lineRule="auto"/>
        <w:rPr>
          <w:rFonts w:ascii="宋体" w:cs="宋体"/>
          <w:color w:val="auto"/>
          <w:szCs w:val="21"/>
          <w:highlight w:val="none"/>
          <w:u w:val="single"/>
        </w:rPr>
      </w:pPr>
      <w:r>
        <w:rPr>
          <w:rFonts w:hint="eastAsia" w:ascii="宋体" w:hAnsi="宋体" w:cs="宋体"/>
          <w:color w:val="auto"/>
          <w:szCs w:val="21"/>
          <w:highlight w:val="none"/>
        </w:rPr>
        <w:t>项目名称：</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项目编号：</w:t>
      </w:r>
      <w:r>
        <w:rPr>
          <w:rFonts w:ascii="宋体" w:hAnsi="宋体" w:cs="宋体"/>
          <w:color w:val="auto"/>
          <w:szCs w:val="21"/>
          <w:highlight w:val="none"/>
          <w:u w:val="single"/>
        </w:rPr>
        <w:t xml:space="preserve">                          </w:t>
      </w:r>
    </w:p>
    <w:p w14:paraId="2BD2AE74">
      <w:pPr>
        <w:spacing w:line="360" w:lineRule="auto"/>
        <w:rPr>
          <w:rFonts w:ascii="宋体" w:cs="宋体"/>
          <w:color w:val="auto"/>
          <w:szCs w:val="21"/>
          <w:highlight w:val="none"/>
          <w:u w:val="single"/>
        </w:rPr>
      </w:pPr>
      <w:r>
        <w:rPr>
          <w:rFonts w:hint="eastAsia" w:ascii="宋体" w:hAnsi="宋体" w:cs="宋体"/>
          <w:color w:val="auto"/>
          <w:szCs w:val="21"/>
          <w:highlight w:val="none"/>
        </w:rPr>
        <w:t>签订地点：</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签订时间：</w:t>
      </w:r>
      <w:r>
        <w:rPr>
          <w:rFonts w:ascii="宋体" w:hAnsi="宋体" w:cs="宋体"/>
          <w:color w:val="auto"/>
          <w:szCs w:val="21"/>
          <w:highlight w:val="none"/>
          <w:u w:val="single"/>
        </w:rPr>
        <w:t xml:space="preserve">                        </w:t>
      </w:r>
    </w:p>
    <w:p w14:paraId="2F1819EB">
      <w:pPr>
        <w:spacing w:line="360" w:lineRule="auto"/>
        <w:rPr>
          <w:rFonts w:asci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w:t>
      </w:r>
      <w:r>
        <w:rPr>
          <w:rFonts w:ascii="宋体" w:hAnsi="宋体" w:cs="宋体"/>
          <w:color w:val="auto"/>
          <w:szCs w:val="21"/>
          <w:highlight w:val="none"/>
          <w:u w:val="single"/>
        </w:rPr>
        <w:t>/</w:t>
      </w:r>
      <w:r>
        <w:rPr>
          <w:rFonts w:hint="eastAsia" w:ascii="宋体" w:hAnsi="宋体" w:cs="宋体"/>
          <w:color w:val="auto"/>
          <w:szCs w:val="21"/>
          <w:highlight w:val="none"/>
          <w:u w:val="single"/>
        </w:rPr>
        <w:t>否）</w:t>
      </w:r>
      <w:r>
        <w:rPr>
          <w:rFonts w:hint="eastAsia" w:ascii="宋体" w:hAnsi="宋体" w:cs="宋体"/>
          <w:color w:val="auto"/>
          <w:szCs w:val="21"/>
          <w:highlight w:val="none"/>
        </w:rPr>
        <w:t>。</w:t>
      </w:r>
    </w:p>
    <w:p w14:paraId="5B98D0D0">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根据《中华人民共和国政府采购法》、《中华人民共和国民法典》等法律、法规规定，按照磋商文件规定条款和乙方响应文件及其承诺，甲乙双方签订本合同。</w:t>
      </w:r>
    </w:p>
    <w:p w14:paraId="342A85D1">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第一条　合同标的</w:t>
      </w:r>
    </w:p>
    <w:p w14:paraId="2C652DB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、项目一览表</w:t>
      </w:r>
    </w:p>
    <w:tbl>
      <w:tblPr>
        <w:tblStyle w:val="3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6CDB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vAlign w:val="center"/>
          </w:tcPr>
          <w:p w14:paraId="18F21F7A">
            <w:pPr>
              <w:spacing w:line="360" w:lineRule="auto"/>
              <w:jc w:val="center"/>
              <w:rPr>
                <w:rFonts w:ascii="宋体" w:cs="宋体"/>
                <w:color w:val="auto"/>
                <w:szCs w:val="21"/>
                <w:highlight w:val="none"/>
              </w:rPr>
            </w:pPr>
            <w:r>
              <w:rPr>
                <w:rFonts w:hint="eastAsia" w:ascii="宋体" w:hAnsi="宋体" w:cs="宋体"/>
                <w:color w:val="auto"/>
                <w:szCs w:val="21"/>
                <w:highlight w:val="none"/>
              </w:rPr>
              <w:t>序号</w:t>
            </w:r>
          </w:p>
        </w:tc>
        <w:tc>
          <w:tcPr>
            <w:tcW w:w="1213" w:type="dxa"/>
            <w:vAlign w:val="center"/>
          </w:tcPr>
          <w:p w14:paraId="6266A987">
            <w:pPr>
              <w:spacing w:line="360" w:lineRule="auto"/>
              <w:jc w:val="center"/>
              <w:rPr>
                <w:rFonts w:ascii="宋体" w:cs="宋体"/>
                <w:color w:val="auto"/>
                <w:szCs w:val="21"/>
                <w:highlight w:val="none"/>
              </w:rPr>
            </w:pPr>
            <w:r>
              <w:rPr>
                <w:rFonts w:hint="eastAsia" w:ascii="宋体" w:hAnsi="宋体" w:cs="宋体"/>
                <w:color w:val="auto"/>
                <w:szCs w:val="21"/>
                <w:highlight w:val="none"/>
              </w:rPr>
              <w:t>名称</w:t>
            </w:r>
          </w:p>
        </w:tc>
        <w:tc>
          <w:tcPr>
            <w:tcW w:w="2400" w:type="dxa"/>
            <w:vAlign w:val="center"/>
          </w:tcPr>
          <w:p w14:paraId="3487BBF5">
            <w:pPr>
              <w:spacing w:line="360" w:lineRule="auto"/>
              <w:jc w:val="center"/>
              <w:rPr>
                <w:rFonts w:ascii="宋体" w:cs="宋体"/>
                <w:color w:val="auto"/>
                <w:szCs w:val="21"/>
                <w:highlight w:val="none"/>
              </w:rPr>
            </w:pPr>
            <w:r>
              <w:rPr>
                <w:rFonts w:hint="eastAsia" w:ascii="宋体" w:hAnsi="宋体" w:cs="宋体"/>
                <w:color w:val="auto"/>
                <w:szCs w:val="21"/>
                <w:highlight w:val="none"/>
              </w:rPr>
              <w:t>服务内容</w:t>
            </w:r>
          </w:p>
        </w:tc>
        <w:tc>
          <w:tcPr>
            <w:tcW w:w="1320" w:type="dxa"/>
            <w:vAlign w:val="center"/>
          </w:tcPr>
          <w:p w14:paraId="4967B1A2">
            <w:pPr>
              <w:spacing w:line="360" w:lineRule="auto"/>
              <w:jc w:val="center"/>
              <w:rPr>
                <w:rFonts w:ascii="宋体" w:cs="宋体"/>
                <w:color w:val="auto"/>
                <w:szCs w:val="21"/>
                <w:highlight w:val="none"/>
              </w:rPr>
            </w:pPr>
            <w:r>
              <w:rPr>
                <w:rFonts w:hint="eastAsia" w:ascii="宋体" w:hAnsi="宋体" w:cs="宋体"/>
                <w:color w:val="auto"/>
                <w:szCs w:val="21"/>
                <w:highlight w:val="none"/>
              </w:rPr>
              <w:t>数</w:t>
            </w:r>
            <w:r>
              <w:rPr>
                <w:rFonts w:ascii="宋体" w:hAnsi="宋体" w:cs="宋体"/>
                <w:color w:val="auto"/>
                <w:szCs w:val="21"/>
                <w:highlight w:val="none"/>
              </w:rPr>
              <w:t xml:space="preserve">  </w:t>
            </w:r>
            <w:r>
              <w:rPr>
                <w:rFonts w:hint="eastAsia" w:ascii="宋体" w:hAnsi="宋体" w:cs="宋体"/>
                <w:color w:val="auto"/>
                <w:szCs w:val="21"/>
                <w:highlight w:val="none"/>
              </w:rPr>
              <w:t>量</w:t>
            </w:r>
          </w:p>
        </w:tc>
        <w:tc>
          <w:tcPr>
            <w:tcW w:w="1200" w:type="dxa"/>
            <w:vAlign w:val="center"/>
          </w:tcPr>
          <w:p w14:paraId="767C1DC6">
            <w:pPr>
              <w:spacing w:line="360" w:lineRule="auto"/>
              <w:jc w:val="center"/>
              <w:rPr>
                <w:rFonts w:ascii="宋体" w:cs="宋体"/>
                <w:color w:val="auto"/>
                <w:szCs w:val="21"/>
                <w:highlight w:val="none"/>
              </w:rPr>
            </w:pPr>
            <w:r>
              <w:rPr>
                <w:rFonts w:hint="eastAsia" w:ascii="宋体" w:hAnsi="宋体" w:cs="宋体"/>
                <w:color w:val="auto"/>
                <w:szCs w:val="21"/>
                <w:highlight w:val="none"/>
              </w:rPr>
              <w:t>单位</w:t>
            </w:r>
          </w:p>
        </w:tc>
        <w:tc>
          <w:tcPr>
            <w:tcW w:w="1300" w:type="dxa"/>
            <w:vAlign w:val="center"/>
          </w:tcPr>
          <w:p w14:paraId="56257176">
            <w:pPr>
              <w:spacing w:line="360" w:lineRule="auto"/>
              <w:jc w:val="center"/>
              <w:rPr>
                <w:rFonts w:ascii="宋体" w:cs="宋体"/>
                <w:color w:val="auto"/>
                <w:szCs w:val="21"/>
                <w:highlight w:val="none"/>
              </w:rPr>
            </w:pPr>
            <w:r>
              <w:rPr>
                <w:rFonts w:hint="eastAsia" w:ascii="宋体" w:hAnsi="宋体" w:cs="宋体"/>
                <w:color w:val="auto"/>
                <w:szCs w:val="21"/>
                <w:highlight w:val="none"/>
              </w:rPr>
              <w:t>单</w:t>
            </w:r>
            <w:r>
              <w:rPr>
                <w:rFonts w:ascii="宋体" w:hAnsi="宋体" w:cs="宋体"/>
                <w:color w:val="auto"/>
                <w:szCs w:val="21"/>
                <w:highlight w:val="none"/>
              </w:rPr>
              <w:t xml:space="preserve">  </w:t>
            </w:r>
            <w:r>
              <w:rPr>
                <w:rFonts w:hint="eastAsia" w:ascii="宋体" w:hAnsi="宋体" w:cs="宋体"/>
                <w:color w:val="auto"/>
                <w:szCs w:val="21"/>
                <w:highlight w:val="none"/>
              </w:rPr>
              <w:t>价</w:t>
            </w:r>
          </w:p>
          <w:p w14:paraId="1BAEE4F7">
            <w:pPr>
              <w:spacing w:line="360" w:lineRule="auto"/>
              <w:jc w:val="center"/>
              <w:rPr>
                <w:rFonts w:ascii="宋体" w:cs="宋体"/>
                <w:color w:val="auto"/>
                <w:szCs w:val="21"/>
                <w:highlight w:val="none"/>
              </w:rPr>
            </w:pPr>
            <w:r>
              <w:rPr>
                <w:rFonts w:hint="eastAsia" w:ascii="宋体" w:hAnsi="宋体" w:cs="宋体"/>
                <w:color w:val="auto"/>
                <w:szCs w:val="21"/>
                <w:highlight w:val="none"/>
              </w:rPr>
              <w:t>（元）</w:t>
            </w:r>
          </w:p>
        </w:tc>
        <w:tc>
          <w:tcPr>
            <w:tcW w:w="1207" w:type="dxa"/>
            <w:vAlign w:val="center"/>
          </w:tcPr>
          <w:p w14:paraId="0D1C365C">
            <w:pPr>
              <w:spacing w:line="360" w:lineRule="auto"/>
              <w:jc w:val="center"/>
              <w:rPr>
                <w:rFonts w:ascii="宋体" w:cs="宋体"/>
                <w:color w:val="auto"/>
                <w:szCs w:val="21"/>
                <w:highlight w:val="none"/>
              </w:rPr>
            </w:pPr>
            <w:r>
              <w:rPr>
                <w:rFonts w:hint="eastAsia" w:ascii="宋体" w:hAnsi="宋体" w:cs="宋体"/>
                <w:color w:val="auto"/>
                <w:szCs w:val="21"/>
                <w:highlight w:val="none"/>
              </w:rPr>
              <w:t>总</w:t>
            </w:r>
            <w:r>
              <w:rPr>
                <w:rFonts w:ascii="宋体" w:hAnsi="宋体" w:cs="宋体"/>
                <w:color w:val="auto"/>
                <w:szCs w:val="21"/>
                <w:highlight w:val="none"/>
              </w:rPr>
              <w:t xml:space="preserve">  </w:t>
            </w:r>
            <w:r>
              <w:rPr>
                <w:rFonts w:hint="eastAsia" w:ascii="宋体" w:hAnsi="宋体" w:cs="宋体"/>
                <w:color w:val="auto"/>
                <w:szCs w:val="21"/>
                <w:highlight w:val="none"/>
              </w:rPr>
              <w:t>价</w:t>
            </w:r>
          </w:p>
          <w:p w14:paraId="632A16BD">
            <w:pPr>
              <w:spacing w:line="360" w:lineRule="auto"/>
              <w:jc w:val="center"/>
              <w:rPr>
                <w:rFonts w:ascii="宋体" w:cs="宋体"/>
                <w:color w:val="auto"/>
                <w:szCs w:val="21"/>
                <w:highlight w:val="none"/>
              </w:rPr>
            </w:pPr>
            <w:r>
              <w:rPr>
                <w:rFonts w:hint="eastAsia" w:ascii="宋体" w:hAnsi="宋体" w:cs="宋体"/>
                <w:color w:val="auto"/>
                <w:szCs w:val="21"/>
                <w:highlight w:val="none"/>
              </w:rPr>
              <w:t>（元）</w:t>
            </w:r>
          </w:p>
        </w:tc>
      </w:tr>
      <w:tr w14:paraId="5631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vAlign w:val="center"/>
          </w:tcPr>
          <w:p w14:paraId="7F610F9F">
            <w:pPr>
              <w:spacing w:line="360" w:lineRule="auto"/>
              <w:jc w:val="center"/>
              <w:rPr>
                <w:rFonts w:ascii="宋体" w:cs="宋体"/>
                <w:color w:val="auto"/>
                <w:szCs w:val="21"/>
                <w:highlight w:val="none"/>
              </w:rPr>
            </w:pPr>
          </w:p>
        </w:tc>
        <w:tc>
          <w:tcPr>
            <w:tcW w:w="1213" w:type="dxa"/>
            <w:vAlign w:val="center"/>
          </w:tcPr>
          <w:p w14:paraId="602ABC23">
            <w:pPr>
              <w:spacing w:line="360" w:lineRule="auto"/>
              <w:jc w:val="center"/>
              <w:rPr>
                <w:rFonts w:ascii="宋体" w:cs="宋体"/>
                <w:color w:val="auto"/>
                <w:szCs w:val="21"/>
                <w:highlight w:val="none"/>
              </w:rPr>
            </w:pPr>
          </w:p>
        </w:tc>
        <w:tc>
          <w:tcPr>
            <w:tcW w:w="2400" w:type="dxa"/>
            <w:vAlign w:val="center"/>
          </w:tcPr>
          <w:p w14:paraId="05A9AD38">
            <w:pPr>
              <w:spacing w:line="360" w:lineRule="auto"/>
              <w:jc w:val="center"/>
              <w:rPr>
                <w:rFonts w:ascii="宋体" w:cs="宋体"/>
                <w:color w:val="auto"/>
                <w:szCs w:val="21"/>
                <w:highlight w:val="none"/>
              </w:rPr>
            </w:pPr>
          </w:p>
        </w:tc>
        <w:tc>
          <w:tcPr>
            <w:tcW w:w="1320" w:type="dxa"/>
            <w:vAlign w:val="center"/>
          </w:tcPr>
          <w:p w14:paraId="22A50B1E">
            <w:pPr>
              <w:spacing w:line="360" w:lineRule="auto"/>
              <w:jc w:val="center"/>
              <w:rPr>
                <w:rFonts w:ascii="宋体" w:cs="宋体"/>
                <w:color w:val="auto"/>
                <w:szCs w:val="21"/>
                <w:highlight w:val="none"/>
              </w:rPr>
            </w:pPr>
          </w:p>
        </w:tc>
        <w:tc>
          <w:tcPr>
            <w:tcW w:w="1200" w:type="dxa"/>
            <w:vAlign w:val="center"/>
          </w:tcPr>
          <w:p w14:paraId="419D65A3">
            <w:pPr>
              <w:spacing w:line="360" w:lineRule="auto"/>
              <w:jc w:val="center"/>
              <w:rPr>
                <w:rFonts w:ascii="宋体" w:cs="宋体"/>
                <w:color w:val="auto"/>
                <w:szCs w:val="21"/>
                <w:highlight w:val="none"/>
              </w:rPr>
            </w:pPr>
          </w:p>
        </w:tc>
        <w:tc>
          <w:tcPr>
            <w:tcW w:w="1300" w:type="dxa"/>
            <w:vAlign w:val="center"/>
          </w:tcPr>
          <w:p w14:paraId="61979FDE">
            <w:pPr>
              <w:spacing w:line="360" w:lineRule="auto"/>
              <w:jc w:val="center"/>
              <w:rPr>
                <w:rFonts w:ascii="宋体" w:cs="宋体"/>
                <w:color w:val="auto"/>
                <w:szCs w:val="21"/>
                <w:highlight w:val="none"/>
              </w:rPr>
            </w:pPr>
          </w:p>
        </w:tc>
        <w:tc>
          <w:tcPr>
            <w:tcW w:w="1207" w:type="dxa"/>
            <w:vAlign w:val="center"/>
          </w:tcPr>
          <w:p w14:paraId="54327C1E">
            <w:pPr>
              <w:spacing w:line="360" w:lineRule="auto"/>
              <w:jc w:val="center"/>
              <w:rPr>
                <w:rFonts w:ascii="宋体" w:cs="宋体"/>
                <w:color w:val="auto"/>
                <w:szCs w:val="21"/>
                <w:highlight w:val="none"/>
              </w:rPr>
            </w:pPr>
          </w:p>
        </w:tc>
      </w:tr>
      <w:tr w14:paraId="13002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vAlign w:val="center"/>
          </w:tcPr>
          <w:p w14:paraId="37D0FC4B">
            <w:pPr>
              <w:spacing w:line="360" w:lineRule="auto"/>
              <w:jc w:val="center"/>
              <w:rPr>
                <w:rFonts w:ascii="宋体" w:cs="宋体"/>
                <w:color w:val="auto"/>
                <w:szCs w:val="21"/>
                <w:highlight w:val="none"/>
              </w:rPr>
            </w:pPr>
            <w:r>
              <w:rPr>
                <w:rFonts w:hint="eastAsia" w:ascii="宋体" w:hAnsi="宋体" w:cs="宋体"/>
                <w:color w:val="auto"/>
                <w:szCs w:val="21"/>
                <w:highlight w:val="none"/>
              </w:rPr>
              <w:t>详见报价表</w:t>
            </w:r>
          </w:p>
        </w:tc>
      </w:tr>
      <w:tr w14:paraId="50E38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vAlign w:val="center"/>
          </w:tcPr>
          <w:p w14:paraId="3636F4D6">
            <w:pPr>
              <w:spacing w:line="360" w:lineRule="auto"/>
              <w:rPr>
                <w:rFonts w:ascii="宋体" w:cs="宋体"/>
                <w:color w:val="auto"/>
                <w:szCs w:val="21"/>
                <w:highlight w:val="none"/>
              </w:rPr>
            </w:pPr>
            <w:r>
              <w:rPr>
                <w:rFonts w:hint="eastAsia" w:ascii="宋体" w:hAnsi="宋体" w:cs="宋体"/>
                <w:color w:val="auto"/>
                <w:szCs w:val="21"/>
                <w:highlight w:val="none"/>
              </w:rPr>
              <w:t>人民币合计金额（大写）：</w:t>
            </w:r>
            <w:r>
              <w:rPr>
                <w:rFonts w:ascii="宋体" w:hAnsi="宋体" w:cs="宋体"/>
                <w:color w:val="auto"/>
                <w:szCs w:val="21"/>
                <w:highlight w:val="none"/>
                <w:u w:val="single"/>
              </w:rPr>
              <w:t xml:space="preserve">                              </w:t>
            </w:r>
            <w:r>
              <w:rPr>
                <w:rFonts w:hint="eastAsia" w:ascii="宋体" w:hAnsi="宋体" w:cs="宋体"/>
                <w:color w:val="auto"/>
                <w:szCs w:val="21"/>
                <w:highlight w:val="none"/>
              </w:rPr>
              <w:t>元整（</w:t>
            </w:r>
            <w:r>
              <w:rPr>
                <w:rFonts w:ascii="宋体" w:cs="宋体"/>
                <w:color w:val="auto"/>
                <w:szCs w:val="21"/>
                <w:highlight w:val="none"/>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r>
              <w:rPr>
                <w:rFonts w:ascii="宋体" w:hAnsi="宋体" w:cs="宋体"/>
                <w:color w:val="auto"/>
                <w:szCs w:val="21"/>
                <w:highlight w:val="none"/>
              </w:rPr>
              <w:t xml:space="preserve">              </w:t>
            </w:r>
          </w:p>
        </w:tc>
      </w:tr>
    </w:tbl>
    <w:p w14:paraId="4AE5C9C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合同合计金额包括但不限于满足本次竞标全部采购需求所应提供的服务，以及伴随的货物的价格；包含竞标服务、货物、、运输（含保险）、安装（如有）、调试、检验、技术服务、培训、税费等所有费用。如磋商文件对其另有规定的，从其规定。</w:t>
      </w:r>
    </w:p>
    <w:p w14:paraId="5F58F5D0">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第二条　质量保证</w:t>
      </w:r>
    </w:p>
    <w:p w14:paraId="5E038FE7">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14:paraId="759CC63D">
      <w:pPr>
        <w:spacing w:line="360" w:lineRule="auto"/>
        <w:ind w:firstLine="422" w:firstLineChars="200"/>
        <w:rPr>
          <w:rFonts w:ascii="宋体" w:cs="宋体"/>
          <w:color w:val="auto"/>
          <w:szCs w:val="21"/>
          <w:highlight w:val="none"/>
        </w:rPr>
      </w:pPr>
      <w:r>
        <w:rPr>
          <w:rFonts w:hint="eastAsia" w:ascii="宋体" w:hAnsi="宋体" w:cs="宋体"/>
          <w:b/>
          <w:color w:val="auto"/>
          <w:szCs w:val="21"/>
          <w:highlight w:val="none"/>
        </w:rPr>
        <w:t>第三条　权利保证</w:t>
      </w:r>
    </w:p>
    <w:p w14:paraId="492BBE24">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、乙方应保证所提供服务在使用时不会侵犯任何第三方的专利权、商标权、著作权等知识产权及其他合法权利，且所有权、处分权等没有受到任何限制。</w:t>
      </w:r>
    </w:p>
    <w:p w14:paraId="649E5943">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0CEBE45D">
      <w:pPr>
        <w:spacing w:line="360" w:lineRule="auto"/>
        <w:ind w:firstLine="422" w:firstLineChars="200"/>
        <w:rPr>
          <w:rFonts w:ascii="宋体" w:cs="宋体"/>
          <w:color w:val="auto"/>
          <w:szCs w:val="21"/>
          <w:highlight w:val="none"/>
        </w:rPr>
      </w:pPr>
      <w:r>
        <w:rPr>
          <w:rFonts w:hint="eastAsia" w:ascii="宋体" w:hAnsi="宋体" w:cs="宋体"/>
          <w:b/>
          <w:color w:val="auto"/>
          <w:szCs w:val="21"/>
          <w:highlight w:val="none"/>
        </w:rPr>
        <w:t>第四条　交付和验收</w:t>
      </w:r>
    </w:p>
    <w:p w14:paraId="647348E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、合同履约期限：</w:t>
      </w:r>
      <w:r>
        <w:rPr>
          <w:rFonts w:ascii="宋体" w:hAnsi="宋体" w:cs="宋体"/>
          <w:color w:val="auto"/>
          <w:szCs w:val="21"/>
          <w:highlight w:val="none"/>
          <w:u w:val="single"/>
        </w:rPr>
        <w:t xml:space="preserve">                              </w:t>
      </w:r>
      <w:r>
        <w:rPr>
          <w:rFonts w:hint="eastAsia" w:ascii="宋体" w:hAnsi="宋体" w:cs="宋体"/>
          <w:color w:val="auto"/>
          <w:szCs w:val="21"/>
          <w:highlight w:val="none"/>
        </w:rPr>
        <w:t>，地点：</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3D768456">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、乙方应按响应文件的承诺向甲方提供相应的服务，并提供所服务内容的相关技术资料。</w:t>
      </w:r>
    </w:p>
    <w:p w14:paraId="38FE8639">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、乙方提供不符合响应文件和本合同规定的服务成果，甲方有权拒绝接受。</w:t>
      </w:r>
    </w:p>
    <w:p w14:paraId="7C81A67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6F8C0B5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、甲乙双方应按照《广西壮族自治区政府采购项目履约验收管理办法》、双方合同、响应文件验收。</w:t>
      </w:r>
    </w:p>
    <w:p w14:paraId="4B24034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、甲方在初步验收或者最终验收过程中如发现乙方提供的服务成果不满足响应文件及本合同规定的，可暂缓向乙方付款，直到乙方及时完善并提交相应的服务成果且经甲方验收合格后，方可办理付款。</w:t>
      </w:r>
    </w:p>
    <w:p w14:paraId="5CC55D0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、甲方验收时以书面形式提出异议的，乙方应自收到甲方书面异议后五个工作日内及时予以解决，否则甲方有权不出具服务验收合格单。</w:t>
      </w:r>
    </w:p>
    <w:p w14:paraId="1EFA80B3">
      <w:pPr>
        <w:snapToGrid w:val="0"/>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第五条</w:t>
      </w:r>
      <w:r>
        <w:rPr>
          <w:rFonts w:ascii="宋体" w:hAnsi="宋体" w:cs="宋体"/>
          <w:b/>
          <w:color w:val="auto"/>
          <w:szCs w:val="21"/>
          <w:highlight w:val="none"/>
        </w:rPr>
        <w:t xml:space="preserve">  </w:t>
      </w:r>
      <w:r>
        <w:rPr>
          <w:rFonts w:hint="eastAsia" w:ascii="宋体" w:hAnsi="宋体" w:cs="宋体"/>
          <w:b/>
          <w:color w:val="auto"/>
          <w:szCs w:val="21"/>
          <w:highlight w:val="none"/>
        </w:rPr>
        <w:t>后续服务及培训</w:t>
      </w:r>
    </w:p>
    <w:p w14:paraId="15A405FA">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、乙方应按照国家有关法律法规和本合同所附的《后续服务承诺》要求为甲方提供相应的后续服务。</w:t>
      </w:r>
    </w:p>
    <w:p w14:paraId="22176CC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、甲方应提供必要测试条件（如场地、电源、水源等）。</w:t>
      </w:r>
    </w:p>
    <w:p w14:paraId="1EC2241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、乙方负责甲方有关人员的培训。培训时间、地点：</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53AF3DD0">
      <w:pPr>
        <w:snapToGrid w:val="0"/>
        <w:spacing w:line="360" w:lineRule="auto"/>
        <w:ind w:firstLine="422" w:firstLineChars="200"/>
        <w:rPr>
          <w:rFonts w:ascii="宋体" w:cs="宋体"/>
          <w:color w:val="auto"/>
          <w:szCs w:val="21"/>
          <w:highlight w:val="none"/>
          <w:u w:val="single"/>
        </w:rPr>
      </w:pPr>
      <w:r>
        <w:rPr>
          <w:rFonts w:hint="eastAsia" w:ascii="宋体" w:hAnsi="宋体" w:cs="宋体"/>
          <w:b/>
          <w:color w:val="auto"/>
          <w:szCs w:val="21"/>
          <w:highlight w:val="none"/>
        </w:rPr>
        <w:t>第六条　付款方式</w:t>
      </w:r>
    </w:p>
    <w:p w14:paraId="19F87403">
      <w:pPr>
        <w:snapToGrid w:val="0"/>
        <w:spacing w:line="360" w:lineRule="auto"/>
        <w:ind w:firstLine="420" w:firstLineChars="200"/>
        <w:rPr>
          <w:rFonts w:ascii="宋体" w:cs="宋体"/>
          <w:bCs/>
          <w:color w:val="auto"/>
          <w:szCs w:val="21"/>
          <w:highlight w:val="none"/>
        </w:rPr>
      </w:pPr>
      <w:r>
        <w:rPr>
          <w:rFonts w:hint="eastAsia" w:ascii="宋体" w:hAnsi="宋体" w:cs="宋体"/>
          <w:bCs/>
          <w:color w:val="auto"/>
          <w:szCs w:val="21"/>
          <w:highlight w:val="none"/>
        </w:rPr>
        <w:t>付款方式：</w:t>
      </w:r>
      <w:r>
        <w:rPr>
          <w:rFonts w:ascii="宋体" w:hAnsi="宋体" w:cs="宋体"/>
          <w:bCs/>
          <w:color w:val="auto"/>
          <w:szCs w:val="21"/>
          <w:highlight w:val="none"/>
          <w:u w:val="single"/>
        </w:rPr>
        <w:t xml:space="preserve">                       </w:t>
      </w:r>
    </w:p>
    <w:p w14:paraId="79A7EB47">
      <w:pPr>
        <w:snapToGrid w:val="0"/>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第七条　履约保证金</w:t>
      </w:r>
    </w:p>
    <w:p w14:paraId="7E53387A">
      <w:pPr>
        <w:spacing w:line="360" w:lineRule="auto"/>
        <w:ind w:firstLine="420" w:firstLineChars="200"/>
        <w:rPr>
          <w:rFonts w:ascii="宋体" w:cs="宋体"/>
          <w:b/>
          <w:color w:val="auto"/>
          <w:szCs w:val="21"/>
          <w:highlight w:val="none"/>
        </w:rPr>
      </w:pPr>
      <w:r>
        <w:rPr>
          <w:rFonts w:hint="eastAsia" w:ascii="宋体" w:hAnsi="宋体" w:cs="宋体"/>
          <w:color w:val="auto"/>
          <w:szCs w:val="21"/>
          <w:highlight w:val="none"/>
        </w:rPr>
        <w:t>本项目不收取履约保证金</w:t>
      </w:r>
    </w:p>
    <w:p w14:paraId="7FE60738">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第八条</w:t>
      </w:r>
      <w:r>
        <w:rPr>
          <w:rFonts w:ascii="宋体" w:hAnsi="宋体" w:cs="宋体"/>
          <w:b/>
          <w:color w:val="auto"/>
          <w:szCs w:val="21"/>
          <w:highlight w:val="none"/>
        </w:rPr>
        <w:t xml:space="preserve">  </w:t>
      </w:r>
      <w:r>
        <w:rPr>
          <w:rFonts w:hint="eastAsia" w:ascii="宋体" w:hAnsi="宋体" w:cs="宋体"/>
          <w:b/>
          <w:color w:val="auto"/>
          <w:szCs w:val="21"/>
          <w:highlight w:val="none"/>
        </w:rPr>
        <w:t>税费</w:t>
      </w:r>
    </w:p>
    <w:p w14:paraId="4B933EF7">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本合同执行中依法产生的应由甲方或者乙方承担的一切税费均由乙方负担，合同另有约定的除外。</w:t>
      </w:r>
    </w:p>
    <w:p w14:paraId="60052A95">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第九条　违约责任</w:t>
      </w:r>
    </w:p>
    <w:p w14:paraId="70DC1967">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、除不可抗力原因外，乙方没有按照合同规定的时间提供服务的，甲方可要求乙方支付违约金。每推迟一天按合同金额的</w:t>
      </w:r>
      <w:r>
        <w:rPr>
          <w:rFonts w:ascii="宋体" w:hAnsi="宋体" w:cs="宋体"/>
          <w:color w:val="auto"/>
          <w:szCs w:val="21"/>
          <w:highlight w:val="none"/>
        </w:rPr>
        <w:t>3</w:t>
      </w:r>
      <w:r>
        <w:rPr>
          <w:rFonts w:hint="eastAsia" w:ascii="宋体" w:hAnsi="宋体" w:cs="宋体"/>
          <w:color w:val="auto"/>
          <w:szCs w:val="21"/>
          <w:highlight w:val="none"/>
        </w:rPr>
        <w:t>‰支付违约金，该违约金累计不超过合同金额的</w:t>
      </w:r>
      <w:r>
        <w:rPr>
          <w:rFonts w:ascii="宋体" w:hAnsi="宋体" w:cs="宋体"/>
          <w:color w:val="auto"/>
          <w:szCs w:val="21"/>
          <w:highlight w:val="none"/>
        </w:rPr>
        <w:t>10%</w:t>
      </w:r>
      <w:r>
        <w:rPr>
          <w:rFonts w:hint="eastAsia" w:ascii="宋体" w:hAnsi="宋体" w:cs="宋体"/>
          <w:color w:val="auto"/>
          <w:szCs w:val="21"/>
          <w:highlight w:val="none"/>
        </w:rPr>
        <w:t>。</w:t>
      </w:r>
      <w:r>
        <w:rPr>
          <w:rFonts w:ascii="宋体" w:hAnsi="宋体" w:cs="宋体"/>
          <w:color w:val="auto"/>
          <w:szCs w:val="21"/>
          <w:highlight w:val="none"/>
        </w:rPr>
        <w:t xml:space="preserve">                                  </w:t>
      </w:r>
    </w:p>
    <w:p w14:paraId="3CCCC888">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、乙方提供的服务如侵犯了第三方合法权益而引发的任何纠纷或者诉讼，均由乙方负责交涉并承担全部责任。同时，甲方有权单方解除合同，合同金额没有支付的，不再支付；已经支付的，甲方有权追回，</w:t>
      </w:r>
    </w:p>
    <w:p w14:paraId="4F6C2159">
      <w:pPr>
        <w:snapToGrid w:val="0"/>
        <w:spacing w:line="360" w:lineRule="auto"/>
        <w:rPr>
          <w:rFonts w:ascii="宋体" w:cs="宋体"/>
          <w:color w:val="auto"/>
          <w:szCs w:val="21"/>
          <w:highlight w:val="none"/>
        </w:rPr>
      </w:pPr>
      <w:r>
        <w:rPr>
          <w:rFonts w:hint="eastAsia" w:ascii="宋体" w:hAnsi="宋体" w:cs="宋体"/>
          <w:color w:val="auto"/>
          <w:szCs w:val="21"/>
          <w:highlight w:val="none"/>
        </w:rPr>
        <w:t>且乙方应按合同金额</w:t>
      </w:r>
      <w:r>
        <w:rPr>
          <w:rFonts w:ascii="宋体" w:hAnsi="宋体" w:cs="宋体"/>
          <w:color w:val="auto"/>
          <w:szCs w:val="21"/>
          <w:highlight w:val="none"/>
        </w:rPr>
        <w:t>20%</w:t>
      </w:r>
      <w:r>
        <w:rPr>
          <w:rFonts w:hint="eastAsia" w:ascii="宋体" w:hAnsi="宋体" w:cs="宋体"/>
          <w:color w:val="auto"/>
          <w:szCs w:val="21"/>
          <w:highlight w:val="none"/>
        </w:rPr>
        <w:t>承担违约金，违约金无法弥补甲方损失的，乙方应当继续赔偿。</w:t>
      </w:r>
    </w:p>
    <w:p w14:paraId="7B8893AB">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、甲方延期付款的，每天向乙方偿付延期款额</w:t>
      </w:r>
      <w:r>
        <w:rPr>
          <w:rFonts w:ascii="宋体" w:hAnsi="宋体" w:cs="宋体"/>
          <w:color w:val="auto"/>
          <w:szCs w:val="21"/>
          <w:highlight w:val="none"/>
        </w:rPr>
        <w:t>3</w:t>
      </w:r>
      <w:r>
        <w:rPr>
          <w:rFonts w:hint="eastAsia" w:ascii="宋体" w:hAnsi="宋体" w:cs="宋体"/>
          <w:color w:val="auto"/>
          <w:szCs w:val="21"/>
          <w:highlight w:val="none"/>
        </w:rPr>
        <w:t>‰违约金，但违约金累计不得超过延期款额</w:t>
      </w:r>
      <w:r>
        <w:rPr>
          <w:rFonts w:ascii="宋体" w:hAnsi="宋体" w:cs="宋体"/>
          <w:color w:val="auto"/>
          <w:szCs w:val="21"/>
          <w:highlight w:val="none"/>
        </w:rPr>
        <w:t>5%</w:t>
      </w:r>
      <w:r>
        <w:rPr>
          <w:rFonts w:hint="eastAsia" w:ascii="宋体" w:hAnsi="宋体" w:cs="宋体"/>
          <w:color w:val="auto"/>
          <w:szCs w:val="21"/>
          <w:highlight w:val="none"/>
        </w:rPr>
        <w:t>。</w:t>
      </w:r>
    </w:p>
    <w:p w14:paraId="22B816A8">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、乙方所提供的服务成果、数量、技术参数要求</w:t>
      </w:r>
      <w:r>
        <w:rPr>
          <w:rFonts w:ascii="宋体" w:hAnsi="宋体" w:cs="宋体"/>
          <w:color w:val="auto"/>
          <w:szCs w:val="21"/>
          <w:highlight w:val="none"/>
        </w:rPr>
        <w:t>(</w:t>
      </w:r>
      <w:r>
        <w:rPr>
          <w:rFonts w:hint="eastAsia" w:ascii="宋体" w:hAnsi="宋体" w:cs="宋体"/>
          <w:color w:val="auto"/>
          <w:szCs w:val="21"/>
          <w:highlight w:val="none"/>
        </w:rPr>
        <w:t>技术参数需求</w:t>
      </w:r>
      <w:r>
        <w:rPr>
          <w:rFonts w:ascii="宋体" w:hAnsi="宋体" w:cs="宋体"/>
          <w:color w:val="auto"/>
          <w:szCs w:val="21"/>
          <w:highlight w:val="none"/>
        </w:rPr>
        <w:t>)</w:t>
      </w:r>
      <w:r>
        <w:rPr>
          <w:rFonts w:hint="eastAsia" w:ascii="宋体" w:hAnsi="宋体" w:cs="宋体"/>
          <w:color w:val="auto"/>
          <w:szCs w:val="21"/>
          <w:highlight w:val="none"/>
        </w:rPr>
        <w:t>等不符合甲方要求的，应及时整改；乙方在甲方规定期限内不能完成整改的或无正当理由拒绝整改或经整改后仍不能达到甲方要求的，甲方有权终止合同，追回已付款项，并按本合同总价的</w:t>
      </w:r>
      <w:r>
        <w:rPr>
          <w:rFonts w:ascii="宋体" w:hAnsi="宋体" w:cs="宋体"/>
          <w:color w:val="auto"/>
          <w:szCs w:val="21"/>
          <w:highlight w:val="none"/>
        </w:rPr>
        <w:t>10%</w:t>
      </w:r>
      <w:r>
        <w:rPr>
          <w:rFonts w:hint="eastAsia" w:ascii="宋体" w:hAnsi="宋体" w:cs="宋体"/>
          <w:color w:val="auto"/>
          <w:szCs w:val="21"/>
          <w:highlight w:val="none"/>
        </w:rPr>
        <w:t>计算违约金。</w:t>
      </w:r>
    </w:p>
    <w:p w14:paraId="673D61DB">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、甲方有权依据采购文件、响应文件及乙方的磋商承诺对乙方的服务人员进行管理或要求更换，对于甲方要求更换服务人员的，乙方应无条件及时更换</w:t>
      </w:r>
      <w:r>
        <w:rPr>
          <w:rFonts w:ascii="宋体" w:hAnsi="宋体" w:cs="宋体"/>
          <w:color w:val="auto"/>
          <w:szCs w:val="21"/>
          <w:highlight w:val="none"/>
        </w:rPr>
        <w:t>;</w:t>
      </w:r>
      <w:r>
        <w:rPr>
          <w:rFonts w:hint="eastAsia" w:ascii="宋体" w:hAnsi="宋体" w:cs="宋体"/>
          <w:color w:val="auto"/>
          <w:szCs w:val="21"/>
          <w:highlight w:val="none"/>
        </w:rPr>
        <w:t>乙方拒绝更换的，甲方有权终止合同，并按本合同总价的</w:t>
      </w:r>
      <w:r>
        <w:rPr>
          <w:rFonts w:ascii="宋体" w:hAnsi="宋体" w:cs="宋体"/>
          <w:color w:val="auto"/>
          <w:szCs w:val="21"/>
          <w:highlight w:val="none"/>
        </w:rPr>
        <w:t>10%</w:t>
      </w:r>
      <w:r>
        <w:rPr>
          <w:rFonts w:hint="eastAsia" w:ascii="宋体" w:hAnsi="宋体" w:cs="宋体"/>
          <w:color w:val="auto"/>
          <w:szCs w:val="21"/>
          <w:highlight w:val="none"/>
        </w:rPr>
        <w:t>计算违约金。</w:t>
      </w:r>
    </w:p>
    <w:p w14:paraId="5C1C173F">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、乙方未按本合同和响应文件中规定的服务承诺提供后续服务的，乙方应按本合同总金额的</w:t>
      </w:r>
      <w:r>
        <w:rPr>
          <w:rFonts w:ascii="宋体" w:hAnsi="宋体" w:cs="宋体"/>
          <w:color w:val="auto"/>
          <w:szCs w:val="21"/>
          <w:highlight w:val="none"/>
        </w:rPr>
        <w:t>5%/</w:t>
      </w:r>
      <w:r>
        <w:rPr>
          <w:rFonts w:hint="eastAsia" w:ascii="宋体" w:hAnsi="宋体" w:cs="宋体"/>
          <w:color w:val="auto"/>
          <w:szCs w:val="21"/>
          <w:highlight w:val="none"/>
        </w:rPr>
        <w:t>次向甲方支付违约金。</w:t>
      </w:r>
    </w:p>
    <w:p w14:paraId="51DF95D5">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、乙方提供的服务及其成果在服务期及售后期内，因设计缺陷或其它质量原因造成的问题，由乙方负责处理并承担费用。</w:t>
      </w:r>
    </w:p>
    <w:p w14:paraId="6D817B3E">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由于乙方提供的产品和服务达不到磋商文件规定的服务质量、技术要求，致使验收不合格的，甲方不予验收，直至乙方按合同要求进行整改使该项目完全达到规定的技术及服务要求，整改期间产生的一切费用由乙方负责并承担逾期交付的违约责任。</w:t>
      </w:r>
    </w:p>
    <w:p w14:paraId="76169F96">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、乙方不能就所成交的项目进行分包、转包，如发现乙方有分包、转包现象，甲方有权单方解除合同，同时乙方应向甲方支付合同总金额</w:t>
      </w:r>
      <w:r>
        <w:rPr>
          <w:rFonts w:ascii="宋体" w:hAnsi="宋体" w:cs="宋体"/>
          <w:color w:val="auto"/>
          <w:szCs w:val="21"/>
          <w:highlight w:val="none"/>
        </w:rPr>
        <w:t>20%</w:t>
      </w:r>
      <w:r>
        <w:rPr>
          <w:rFonts w:hint="eastAsia" w:ascii="宋体" w:hAnsi="宋体" w:cs="宋体"/>
          <w:color w:val="auto"/>
          <w:szCs w:val="21"/>
          <w:highlight w:val="none"/>
        </w:rPr>
        <w:t>的违约金，由此造成的损失由乙方负责。</w:t>
      </w:r>
    </w:p>
    <w:p w14:paraId="37FCB674">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、本合同有效期内，乙方因自身原因要求终止或解除合同，应返还甲方已付款项，并按合同总价款的</w:t>
      </w:r>
      <w:r>
        <w:rPr>
          <w:rFonts w:ascii="宋体" w:hAnsi="宋体" w:cs="宋体"/>
          <w:color w:val="auto"/>
          <w:szCs w:val="21"/>
          <w:highlight w:val="none"/>
        </w:rPr>
        <w:t>20%</w:t>
      </w:r>
      <w:r>
        <w:rPr>
          <w:rFonts w:hint="eastAsia" w:ascii="宋体" w:hAnsi="宋体" w:cs="宋体"/>
          <w:color w:val="auto"/>
          <w:szCs w:val="21"/>
          <w:highlight w:val="none"/>
        </w:rPr>
        <w:t>承担违约责任。</w:t>
      </w:r>
    </w:p>
    <w:p w14:paraId="1EBE1E2D">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、如乙方违反合同约定的信息安全及保密要求，每违反一次收取合同总金额</w:t>
      </w:r>
      <w:r>
        <w:rPr>
          <w:rFonts w:ascii="宋体" w:hAnsi="宋体" w:cs="宋体"/>
          <w:color w:val="auto"/>
          <w:szCs w:val="21"/>
          <w:highlight w:val="none"/>
        </w:rPr>
        <w:t>0.2%</w:t>
      </w:r>
      <w:r>
        <w:rPr>
          <w:rFonts w:hint="eastAsia" w:ascii="宋体" w:hAnsi="宋体" w:cs="宋体"/>
          <w:color w:val="auto"/>
          <w:szCs w:val="21"/>
          <w:highlight w:val="none"/>
        </w:rPr>
        <w:t>的违约金，累计不超过合同总金额的</w:t>
      </w:r>
      <w:r>
        <w:rPr>
          <w:rFonts w:ascii="宋体" w:hAnsi="宋体" w:cs="宋体"/>
          <w:color w:val="auto"/>
          <w:szCs w:val="21"/>
          <w:highlight w:val="none"/>
        </w:rPr>
        <w:t>30%</w:t>
      </w:r>
      <w:r>
        <w:rPr>
          <w:rFonts w:hint="eastAsia" w:ascii="宋体" w:hAnsi="宋体" w:cs="宋体"/>
          <w:color w:val="auto"/>
          <w:szCs w:val="21"/>
          <w:highlight w:val="none"/>
        </w:rPr>
        <w:t>，违约金不足以弥补甲方实际损失的，乙方还应支付赔偿金。</w:t>
      </w:r>
    </w:p>
    <w:p w14:paraId="6C206F8E">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、其它违约行为按合同总金额的</w:t>
      </w:r>
      <w:r>
        <w:rPr>
          <w:rFonts w:ascii="宋体" w:hAnsi="宋体" w:cs="宋体"/>
          <w:color w:val="auto"/>
          <w:szCs w:val="21"/>
          <w:highlight w:val="none"/>
        </w:rPr>
        <w:t>5%</w:t>
      </w:r>
      <w:r>
        <w:rPr>
          <w:rFonts w:hint="eastAsia" w:ascii="宋体" w:hAnsi="宋体" w:cs="宋体"/>
          <w:color w:val="auto"/>
          <w:szCs w:val="21"/>
          <w:highlight w:val="none"/>
        </w:rPr>
        <w:t>收取违约金。</w:t>
      </w:r>
    </w:p>
    <w:p w14:paraId="4FD4A779">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13</w:t>
      </w:r>
      <w:r>
        <w:rPr>
          <w:rFonts w:hint="eastAsia" w:ascii="宋体" w:hAnsi="宋体" w:cs="宋体"/>
          <w:color w:val="auto"/>
          <w:szCs w:val="21"/>
          <w:highlight w:val="none"/>
        </w:rPr>
        <w:t>、本条所称损失是指一方因另一方违约而遭受的全部经济损失</w:t>
      </w:r>
      <w:r>
        <w:rPr>
          <w:rFonts w:ascii="宋体" w:hAnsi="宋体" w:cs="宋体"/>
          <w:color w:val="auto"/>
          <w:szCs w:val="21"/>
          <w:highlight w:val="none"/>
        </w:rPr>
        <w:t>(</w:t>
      </w:r>
      <w:r>
        <w:rPr>
          <w:rFonts w:hint="eastAsia" w:ascii="宋体" w:hAnsi="宋体" w:cs="宋体"/>
          <w:color w:val="auto"/>
          <w:szCs w:val="21"/>
          <w:highlight w:val="none"/>
        </w:rPr>
        <w:t>包括但不限于直接损失、间接损失及实现债权的费用，如诉讼费、律师费、差旅费、调查费、财产保全责任险保险费等</w:t>
      </w:r>
      <w:r>
        <w:rPr>
          <w:rFonts w:ascii="宋体" w:hAnsi="宋体" w:cs="宋体"/>
          <w:color w:val="auto"/>
          <w:szCs w:val="21"/>
          <w:highlight w:val="none"/>
        </w:rPr>
        <w:t>)</w:t>
      </w:r>
      <w:r>
        <w:rPr>
          <w:rFonts w:hint="eastAsia" w:ascii="宋体" w:hAnsi="宋体" w:cs="宋体"/>
          <w:color w:val="auto"/>
          <w:szCs w:val="21"/>
          <w:highlight w:val="none"/>
        </w:rPr>
        <w:t>。</w:t>
      </w:r>
    </w:p>
    <w:p w14:paraId="57CD31D0">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第十条</w:t>
      </w:r>
      <w:r>
        <w:rPr>
          <w:rFonts w:ascii="宋体" w:hAnsi="宋体" w:cs="宋体"/>
          <w:b/>
          <w:color w:val="auto"/>
          <w:szCs w:val="21"/>
          <w:highlight w:val="none"/>
        </w:rPr>
        <w:t xml:space="preserve">  </w:t>
      </w:r>
      <w:r>
        <w:rPr>
          <w:rFonts w:hint="eastAsia" w:ascii="宋体" w:hAnsi="宋体" w:cs="宋体"/>
          <w:b/>
          <w:color w:val="auto"/>
          <w:szCs w:val="21"/>
          <w:highlight w:val="none"/>
        </w:rPr>
        <w:t>不可抗力事件处理</w:t>
      </w:r>
    </w:p>
    <w:p w14:paraId="799361A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、在合同有效期内，任何一方因不可抗力事件导致不能履行合同，则合同履行期可延长，其延长期与不可抗力影响期相同。</w:t>
      </w:r>
    </w:p>
    <w:p w14:paraId="61F6F77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、不可抗力事件发生后，应立即通知对方，并寄送有关权威机构出具的证明。</w:t>
      </w:r>
    </w:p>
    <w:p w14:paraId="2D90AFE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、不可抗力事件延续一百二十天以上，双方应通过友好协商，确定是否继续履行合同。</w:t>
      </w:r>
    </w:p>
    <w:p w14:paraId="5E471748">
      <w:pPr>
        <w:spacing w:line="360" w:lineRule="auto"/>
        <w:ind w:firstLine="422" w:firstLineChars="200"/>
        <w:rPr>
          <w:rFonts w:ascii="宋体" w:cs="宋体"/>
          <w:color w:val="auto"/>
          <w:szCs w:val="21"/>
          <w:highlight w:val="none"/>
        </w:rPr>
      </w:pPr>
      <w:r>
        <w:rPr>
          <w:rFonts w:hint="eastAsia" w:ascii="宋体" w:hAnsi="宋体" w:cs="宋体"/>
          <w:b/>
          <w:color w:val="auto"/>
          <w:szCs w:val="21"/>
          <w:highlight w:val="none"/>
        </w:rPr>
        <w:t>第十一条</w:t>
      </w:r>
      <w:r>
        <w:rPr>
          <w:rFonts w:ascii="宋体" w:hAnsi="宋体" w:cs="宋体"/>
          <w:b/>
          <w:color w:val="auto"/>
          <w:szCs w:val="21"/>
          <w:highlight w:val="none"/>
        </w:rPr>
        <w:t xml:space="preserve">  </w:t>
      </w:r>
      <w:r>
        <w:rPr>
          <w:rFonts w:hint="eastAsia" w:ascii="宋体" w:hAnsi="宋体" w:cs="宋体"/>
          <w:b/>
          <w:color w:val="auto"/>
          <w:szCs w:val="21"/>
          <w:highlight w:val="none"/>
        </w:rPr>
        <w:t>合同争议解决</w:t>
      </w:r>
    </w:p>
    <w:p w14:paraId="5D134EFE">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、因服务质量问题发生争议的，应邀请国家认可的质量检测机构进行鉴定。服务符合标准的，鉴定费由甲方承担；服务不符合标准的，鉴定费由乙方承担。</w:t>
      </w:r>
    </w:p>
    <w:p w14:paraId="07918D50">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、因履行本合同引起的或者与本合同有关的争议，甲乙双方应首先通过友好协商解决，如果协商不能解决，可向甲方所在地有管辖权的人民法院提起诉讼。</w:t>
      </w:r>
    </w:p>
    <w:p w14:paraId="40CEFF3B">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、诉讼期间，本合同继续履行。</w:t>
      </w:r>
    </w:p>
    <w:p w14:paraId="2ECB64E6">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第十二条</w:t>
      </w:r>
      <w:r>
        <w:rPr>
          <w:rFonts w:ascii="宋体" w:hAnsi="宋体" w:cs="宋体"/>
          <w:b/>
          <w:color w:val="auto"/>
          <w:szCs w:val="21"/>
          <w:highlight w:val="none"/>
        </w:rPr>
        <w:t xml:space="preserve">  </w:t>
      </w:r>
      <w:r>
        <w:rPr>
          <w:rFonts w:hint="eastAsia" w:ascii="宋体" w:hAnsi="宋体" w:cs="宋体"/>
          <w:b/>
          <w:color w:val="auto"/>
          <w:szCs w:val="21"/>
          <w:highlight w:val="none"/>
        </w:rPr>
        <w:t>合同生效及其它</w:t>
      </w:r>
    </w:p>
    <w:p w14:paraId="57CFC01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、合同经双方法定代表人或者授权代表签字并加盖单位公章后生效。</w:t>
      </w:r>
    </w:p>
    <w:p w14:paraId="508C0B7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、合同执行中涉及采购资金和采购内容修改或者补充的，须经财政部门审批，并签书面补充协议报财政部门备案，方可作为主合同不可分割的一部分。</w:t>
      </w:r>
    </w:p>
    <w:p w14:paraId="68246DD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、本合同未尽事宜，遵照《中华人民共和国民法典》有关条文执行。</w:t>
      </w:r>
    </w:p>
    <w:p w14:paraId="6D4D850A">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第十三条　合同的变更、终止与转让</w:t>
      </w:r>
    </w:p>
    <w:p w14:paraId="0143A8A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、除《中华人民共和国政府采购法》第五十条规定的情形外，本合同一经签订，甲乙双方不得擅自变更、中止或者终止。</w:t>
      </w:r>
    </w:p>
    <w:p w14:paraId="319B89C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、乙方不得擅自转让其应履行的合同义务。</w:t>
      </w:r>
    </w:p>
    <w:p w14:paraId="04B06E01">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第十四条　签订本合同依据</w:t>
      </w:r>
    </w:p>
    <w:p w14:paraId="2CF542D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、成交通知书；</w:t>
      </w:r>
    </w:p>
    <w:p w14:paraId="15DF7E8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、竞标报价表；</w:t>
      </w:r>
    </w:p>
    <w:p w14:paraId="3F893E2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、商务要求偏离表和技术要求偏离表；</w:t>
      </w:r>
    </w:p>
    <w:p w14:paraId="28F33549">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、服务方案；</w:t>
      </w:r>
    </w:p>
    <w:p w14:paraId="3A90C51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、响应文件中的其他相关文件。</w:t>
      </w:r>
    </w:p>
    <w:p w14:paraId="54FB637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、上述合同文件互相补充和解释。如果合同文件之间存在矛盾或者不一致之处，以上述文件的排列顺序在先者为准。</w:t>
      </w:r>
    </w:p>
    <w:p w14:paraId="3C23403B">
      <w:pPr>
        <w:spacing w:line="360" w:lineRule="auto"/>
        <w:ind w:firstLine="422" w:firstLineChars="200"/>
        <w:rPr>
          <w:rFonts w:asci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w:t>
      </w:r>
      <w:r>
        <w:rPr>
          <w:rFonts w:hint="eastAsia" w:ascii="宋体" w:hAnsi="宋体" w:cs="宋体"/>
          <w:color w:val="auto"/>
          <w:szCs w:val="21"/>
          <w:highlight w:val="none"/>
          <w:lang w:eastAsia="zh-CN"/>
        </w:rPr>
        <w:t>六份</w:t>
      </w:r>
      <w:r>
        <w:rPr>
          <w:rFonts w:hint="eastAsia" w:ascii="宋体" w:hAnsi="宋体" w:cs="宋体"/>
          <w:color w:val="auto"/>
          <w:szCs w:val="21"/>
          <w:highlight w:val="none"/>
        </w:rPr>
        <w:t>，具有同等法律效力，采购代理机构一份，甲</w:t>
      </w:r>
      <w:r>
        <w:rPr>
          <w:rFonts w:hint="eastAsia" w:ascii="宋体" w:hAnsi="宋体" w:cs="宋体"/>
          <w:color w:val="auto"/>
          <w:szCs w:val="21"/>
          <w:highlight w:val="none"/>
          <w:lang w:eastAsia="zh-CN"/>
        </w:rPr>
        <w:t>方三份</w:t>
      </w:r>
      <w:r>
        <w:rPr>
          <w:rFonts w:hint="eastAsia" w:ascii="宋体" w:hAnsi="宋体" w:cs="宋体"/>
          <w:color w:val="auto"/>
          <w:szCs w:val="21"/>
          <w:highlight w:val="none"/>
        </w:rPr>
        <w:t>、乙方各两份。</w:t>
      </w:r>
    </w:p>
    <w:p w14:paraId="17BBD445">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本合同甲乙双方签字盖章后生效，本合同自签订之日起</w:t>
      </w:r>
      <w:r>
        <w:rPr>
          <w:rFonts w:ascii="宋体" w:hAnsi="宋体" w:cs="宋体"/>
          <w:color w:val="auto"/>
          <w:szCs w:val="21"/>
          <w:highlight w:val="none"/>
        </w:rPr>
        <w:t>2</w:t>
      </w:r>
      <w:r>
        <w:rPr>
          <w:rFonts w:hint="eastAsia" w:ascii="宋体" w:hAnsi="宋体" w:cs="宋体"/>
          <w:color w:val="auto"/>
          <w:szCs w:val="21"/>
          <w:highlight w:val="none"/>
        </w:rPr>
        <w:t>个工作日内，甲方应当将采购合同在广西壮族自治区财政厅指定的媒体上公告。</w:t>
      </w:r>
    </w:p>
    <w:tbl>
      <w:tblPr>
        <w:tblStyle w:val="32"/>
        <w:tblpPr w:leftFromText="180" w:rightFromText="180" w:vertAnchor="text" w:horzAnchor="margin" w:tblpXSpec="center"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4189B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vAlign w:val="center"/>
          </w:tcPr>
          <w:p w14:paraId="0123EA1F">
            <w:pPr>
              <w:snapToGrid w:val="0"/>
              <w:spacing w:line="360" w:lineRule="auto"/>
              <w:rPr>
                <w:rFonts w:ascii="宋体" w:cs="宋体"/>
                <w:color w:val="auto"/>
                <w:szCs w:val="21"/>
                <w:highlight w:val="none"/>
              </w:rPr>
            </w:pPr>
            <w:r>
              <w:rPr>
                <w:rFonts w:hint="eastAsia" w:ascii="宋体" w:hAnsi="宋体" w:cs="宋体"/>
                <w:color w:val="auto"/>
                <w:szCs w:val="21"/>
                <w:highlight w:val="none"/>
              </w:rPr>
              <w:t>甲方：（章）</w:t>
            </w:r>
          </w:p>
          <w:p w14:paraId="3172FEA1">
            <w:pPr>
              <w:snapToGrid w:val="0"/>
              <w:spacing w:line="360" w:lineRule="auto"/>
              <w:rPr>
                <w:rFonts w:ascii="宋体" w:cs="宋体"/>
                <w:color w:val="auto"/>
                <w:szCs w:val="21"/>
                <w:highlight w:val="none"/>
              </w:rPr>
            </w:pPr>
          </w:p>
          <w:p w14:paraId="34B87928">
            <w:pPr>
              <w:snapToGrid w:val="0"/>
              <w:spacing w:line="360" w:lineRule="auto"/>
              <w:rPr>
                <w:rFonts w:ascii="宋体" w:cs="宋体"/>
                <w:color w:val="auto"/>
                <w:szCs w:val="21"/>
                <w:highlight w:val="none"/>
              </w:rPr>
            </w:pPr>
          </w:p>
          <w:p w14:paraId="46696436">
            <w:pPr>
              <w:snapToGrid w:val="0"/>
              <w:spacing w:line="360" w:lineRule="auto"/>
              <w:ind w:firstLine="945" w:firstLineChars="450"/>
              <w:jc w:val="right"/>
              <w:rPr>
                <w:rFonts w:ascii="宋体" w:cs="宋体"/>
                <w:color w:val="auto"/>
                <w:szCs w:val="21"/>
                <w:highlight w:val="none"/>
              </w:rPr>
            </w:pPr>
          </w:p>
          <w:p w14:paraId="58DF032B">
            <w:pPr>
              <w:snapToGrid w:val="0"/>
              <w:spacing w:line="360" w:lineRule="auto"/>
              <w:ind w:firstLine="945" w:firstLineChars="450"/>
              <w:jc w:val="right"/>
              <w:rPr>
                <w:rFonts w:ascii="宋体" w:cs="宋体"/>
                <w:color w:val="auto"/>
                <w:szCs w:val="21"/>
                <w:highlight w:val="none"/>
              </w:rPr>
            </w:pP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tc>
        <w:tc>
          <w:tcPr>
            <w:tcW w:w="4583" w:type="dxa"/>
            <w:vAlign w:val="center"/>
          </w:tcPr>
          <w:p w14:paraId="0B8D9FE2">
            <w:pPr>
              <w:snapToGrid w:val="0"/>
              <w:spacing w:line="360" w:lineRule="auto"/>
              <w:rPr>
                <w:rFonts w:ascii="宋体" w:cs="宋体"/>
                <w:color w:val="auto"/>
                <w:szCs w:val="21"/>
                <w:highlight w:val="none"/>
              </w:rPr>
            </w:pPr>
            <w:r>
              <w:rPr>
                <w:rFonts w:hint="eastAsia" w:ascii="宋体" w:hAnsi="宋体" w:cs="宋体"/>
                <w:color w:val="auto"/>
                <w:szCs w:val="21"/>
                <w:highlight w:val="none"/>
              </w:rPr>
              <w:t>乙方：（章）</w:t>
            </w:r>
            <w:r>
              <w:rPr>
                <w:rFonts w:ascii="宋体" w:hAnsi="宋体" w:cs="宋体"/>
                <w:color w:val="auto"/>
                <w:szCs w:val="21"/>
                <w:highlight w:val="none"/>
              </w:rPr>
              <w:t xml:space="preserve">       </w:t>
            </w:r>
          </w:p>
          <w:p w14:paraId="0B326207">
            <w:pPr>
              <w:snapToGrid w:val="0"/>
              <w:spacing w:line="360" w:lineRule="auto"/>
              <w:rPr>
                <w:rFonts w:ascii="宋体" w:cs="宋体"/>
                <w:color w:val="auto"/>
                <w:szCs w:val="21"/>
                <w:highlight w:val="none"/>
              </w:rPr>
            </w:pPr>
          </w:p>
          <w:p w14:paraId="6123E271">
            <w:pPr>
              <w:snapToGrid w:val="0"/>
              <w:spacing w:line="360" w:lineRule="auto"/>
              <w:rPr>
                <w:rFonts w:ascii="宋体" w:cs="宋体"/>
                <w:color w:val="auto"/>
                <w:szCs w:val="21"/>
                <w:highlight w:val="none"/>
              </w:rPr>
            </w:pPr>
            <w:r>
              <w:rPr>
                <w:rFonts w:ascii="宋体" w:hAnsi="宋体" w:cs="宋体"/>
                <w:color w:val="auto"/>
                <w:szCs w:val="21"/>
                <w:highlight w:val="none"/>
              </w:rPr>
              <w:t xml:space="preserve">       </w:t>
            </w:r>
          </w:p>
          <w:p w14:paraId="459B5BD3">
            <w:pPr>
              <w:snapToGrid w:val="0"/>
              <w:spacing w:line="360" w:lineRule="auto"/>
              <w:jc w:val="right"/>
              <w:rPr>
                <w:rFonts w:ascii="宋体" w:cs="宋体"/>
                <w:color w:val="auto"/>
                <w:szCs w:val="21"/>
                <w:highlight w:val="none"/>
              </w:rPr>
            </w:pPr>
          </w:p>
          <w:p w14:paraId="2BA08892">
            <w:pPr>
              <w:snapToGrid w:val="0"/>
              <w:spacing w:line="360" w:lineRule="auto"/>
              <w:jc w:val="righ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tc>
      </w:tr>
      <w:tr w14:paraId="2012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vAlign w:val="center"/>
          </w:tcPr>
          <w:p w14:paraId="03F91CE6">
            <w:pPr>
              <w:snapToGrid w:val="0"/>
              <w:spacing w:line="360" w:lineRule="auto"/>
              <w:rPr>
                <w:rFonts w:ascii="宋体" w:cs="宋体"/>
                <w:color w:val="auto"/>
                <w:szCs w:val="21"/>
                <w:highlight w:val="none"/>
              </w:rPr>
            </w:pPr>
            <w:r>
              <w:rPr>
                <w:rFonts w:hint="eastAsia" w:ascii="宋体" w:hAnsi="宋体" w:cs="宋体"/>
                <w:color w:val="auto"/>
                <w:szCs w:val="21"/>
                <w:highlight w:val="none"/>
              </w:rPr>
              <w:t>单位地址：</w:t>
            </w:r>
            <w:r>
              <w:rPr>
                <w:rFonts w:ascii="宋体" w:hAnsi="宋体" w:cs="宋体"/>
                <w:color w:val="auto"/>
                <w:szCs w:val="21"/>
                <w:highlight w:val="none"/>
              </w:rPr>
              <w:t xml:space="preserve"> </w:t>
            </w:r>
          </w:p>
        </w:tc>
        <w:tc>
          <w:tcPr>
            <w:tcW w:w="4583" w:type="dxa"/>
            <w:vAlign w:val="center"/>
          </w:tcPr>
          <w:p w14:paraId="13190AA5">
            <w:pPr>
              <w:snapToGrid w:val="0"/>
              <w:spacing w:line="360" w:lineRule="auto"/>
              <w:rPr>
                <w:rFonts w:ascii="宋体" w:cs="宋体"/>
                <w:color w:val="auto"/>
                <w:szCs w:val="21"/>
                <w:highlight w:val="none"/>
              </w:rPr>
            </w:pPr>
            <w:r>
              <w:rPr>
                <w:rFonts w:hint="eastAsia" w:ascii="宋体" w:hAnsi="宋体" w:cs="宋体"/>
                <w:color w:val="auto"/>
                <w:szCs w:val="21"/>
                <w:highlight w:val="none"/>
              </w:rPr>
              <w:t>单位地址：</w:t>
            </w:r>
            <w:r>
              <w:rPr>
                <w:rFonts w:ascii="宋体" w:hAnsi="宋体" w:cs="宋体"/>
                <w:color w:val="auto"/>
                <w:szCs w:val="21"/>
                <w:highlight w:val="none"/>
              </w:rPr>
              <w:t xml:space="preserve"> </w:t>
            </w:r>
          </w:p>
        </w:tc>
      </w:tr>
      <w:tr w14:paraId="30D4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vAlign w:val="center"/>
          </w:tcPr>
          <w:p w14:paraId="19ED95EF">
            <w:pPr>
              <w:snapToGrid w:val="0"/>
              <w:spacing w:line="360" w:lineRule="auto"/>
              <w:rPr>
                <w:rFonts w:ascii="宋体" w:cs="宋体"/>
                <w:color w:val="auto"/>
                <w:szCs w:val="21"/>
                <w:highlight w:val="none"/>
              </w:rPr>
            </w:pPr>
            <w:r>
              <w:rPr>
                <w:rFonts w:hint="eastAsia" w:ascii="宋体" w:hAnsi="宋体" w:cs="宋体"/>
                <w:color w:val="auto"/>
                <w:szCs w:val="21"/>
                <w:highlight w:val="none"/>
              </w:rPr>
              <w:t>法定代表人：</w:t>
            </w:r>
          </w:p>
        </w:tc>
        <w:tc>
          <w:tcPr>
            <w:tcW w:w="4583" w:type="dxa"/>
            <w:vAlign w:val="center"/>
          </w:tcPr>
          <w:p w14:paraId="130BD800">
            <w:pPr>
              <w:snapToGrid w:val="0"/>
              <w:spacing w:line="360" w:lineRule="auto"/>
              <w:rPr>
                <w:rFonts w:ascii="宋体" w:cs="宋体"/>
                <w:color w:val="auto"/>
                <w:szCs w:val="21"/>
                <w:highlight w:val="none"/>
              </w:rPr>
            </w:pPr>
            <w:r>
              <w:rPr>
                <w:rFonts w:hint="eastAsia" w:ascii="宋体" w:hAnsi="宋体" w:cs="宋体"/>
                <w:color w:val="auto"/>
                <w:szCs w:val="21"/>
                <w:highlight w:val="none"/>
              </w:rPr>
              <w:t>法定代表人：</w:t>
            </w:r>
          </w:p>
        </w:tc>
      </w:tr>
      <w:tr w14:paraId="31D9D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vAlign w:val="center"/>
          </w:tcPr>
          <w:p w14:paraId="5EB52242">
            <w:pPr>
              <w:snapToGrid w:val="0"/>
              <w:spacing w:line="360" w:lineRule="auto"/>
              <w:rPr>
                <w:rFonts w:ascii="宋体" w:cs="宋体"/>
                <w:color w:val="auto"/>
                <w:szCs w:val="21"/>
                <w:highlight w:val="none"/>
              </w:rPr>
            </w:pPr>
            <w:r>
              <w:rPr>
                <w:rFonts w:hint="eastAsia" w:ascii="宋体" w:hAnsi="宋体" w:cs="宋体"/>
                <w:color w:val="auto"/>
                <w:szCs w:val="21"/>
                <w:highlight w:val="none"/>
              </w:rPr>
              <w:t>委托代理人：</w:t>
            </w:r>
          </w:p>
        </w:tc>
        <w:tc>
          <w:tcPr>
            <w:tcW w:w="4583" w:type="dxa"/>
            <w:vAlign w:val="center"/>
          </w:tcPr>
          <w:p w14:paraId="726D5BCC">
            <w:pPr>
              <w:snapToGrid w:val="0"/>
              <w:spacing w:line="360" w:lineRule="auto"/>
              <w:rPr>
                <w:rFonts w:ascii="宋体" w:cs="宋体"/>
                <w:color w:val="auto"/>
                <w:szCs w:val="21"/>
                <w:highlight w:val="none"/>
              </w:rPr>
            </w:pPr>
            <w:r>
              <w:rPr>
                <w:rFonts w:hint="eastAsia" w:ascii="宋体" w:hAnsi="宋体" w:cs="宋体"/>
                <w:color w:val="auto"/>
                <w:szCs w:val="21"/>
                <w:highlight w:val="none"/>
              </w:rPr>
              <w:t>委托代理人：</w:t>
            </w:r>
          </w:p>
        </w:tc>
      </w:tr>
      <w:tr w14:paraId="5C25E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vAlign w:val="center"/>
          </w:tcPr>
          <w:p w14:paraId="043AE98C">
            <w:pPr>
              <w:snapToGrid w:val="0"/>
              <w:spacing w:line="360" w:lineRule="auto"/>
              <w:rPr>
                <w:rFonts w:ascii="宋体" w:cs="宋体"/>
                <w:color w:val="auto"/>
                <w:szCs w:val="21"/>
                <w:highlight w:val="none"/>
              </w:rPr>
            </w:pPr>
            <w:r>
              <w:rPr>
                <w:rFonts w:hint="eastAsia" w:ascii="宋体" w:hAnsi="宋体" w:cs="宋体"/>
                <w:color w:val="auto"/>
                <w:szCs w:val="21"/>
                <w:highlight w:val="none"/>
              </w:rPr>
              <w:t>电话：</w:t>
            </w:r>
          </w:p>
        </w:tc>
        <w:tc>
          <w:tcPr>
            <w:tcW w:w="4583" w:type="dxa"/>
            <w:vAlign w:val="center"/>
          </w:tcPr>
          <w:p w14:paraId="775800CA">
            <w:pPr>
              <w:snapToGrid w:val="0"/>
              <w:spacing w:line="360" w:lineRule="auto"/>
              <w:rPr>
                <w:rFonts w:ascii="宋体" w:cs="宋体"/>
                <w:color w:val="auto"/>
                <w:szCs w:val="21"/>
                <w:highlight w:val="none"/>
              </w:rPr>
            </w:pPr>
            <w:r>
              <w:rPr>
                <w:rFonts w:hint="eastAsia" w:ascii="宋体" w:hAnsi="宋体" w:cs="宋体"/>
                <w:color w:val="auto"/>
                <w:szCs w:val="21"/>
                <w:highlight w:val="none"/>
              </w:rPr>
              <w:t>电话：</w:t>
            </w:r>
          </w:p>
        </w:tc>
      </w:tr>
      <w:tr w14:paraId="2B48E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vAlign w:val="center"/>
          </w:tcPr>
          <w:p w14:paraId="26101E69">
            <w:pPr>
              <w:snapToGrid w:val="0"/>
              <w:spacing w:line="360" w:lineRule="auto"/>
              <w:rPr>
                <w:rFonts w:ascii="宋体" w:cs="宋体"/>
                <w:color w:val="auto"/>
                <w:szCs w:val="21"/>
                <w:highlight w:val="none"/>
              </w:rPr>
            </w:pPr>
            <w:r>
              <w:rPr>
                <w:rFonts w:hint="eastAsia" w:ascii="宋体" w:hAnsi="宋体" w:cs="宋体"/>
                <w:color w:val="auto"/>
                <w:szCs w:val="21"/>
                <w:highlight w:val="none"/>
              </w:rPr>
              <w:t>开户银行：</w:t>
            </w:r>
            <w:r>
              <w:rPr>
                <w:rFonts w:ascii="宋体" w:hAnsi="宋体" w:cs="宋体"/>
                <w:color w:val="auto"/>
                <w:szCs w:val="21"/>
                <w:highlight w:val="none"/>
              </w:rPr>
              <w:t xml:space="preserve"> </w:t>
            </w:r>
          </w:p>
        </w:tc>
        <w:tc>
          <w:tcPr>
            <w:tcW w:w="4583" w:type="dxa"/>
            <w:vAlign w:val="center"/>
          </w:tcPr>
          <w:p w14:paraId="4CB200A2">
            <w:pPr>
              <w:snapToGrid w:val="0"/>
              <w:spacing w:line="360" w:lineRule="auto"/>
              <w:rPr>
                <w:rFonts w:ascii="宋体" w:cs="宋体"/>
                <w:color w:val="auto"/>
                <w:szCs w:val="21"/>
                <w:highlight w:val="none"/>
              </w:rPr>
            </w:pPr>
            <w:r>
              <w:rPr>
                <w:rFonts w:hint="eastAsia" w:ascii="宋体" w:hAnsi="宋体" w:cs="宋体"/>
                <w:color w:val="auto"/>
                <w:szCs w:val="21"/>
                <w:highlight w:val="none"/>
              </w:rPr>
              <w:t>开户银行：</w:t>
            </w:r>
            <w:r>
              <w:rPr>
                <w:rFonts w:ascii="宋体" w:hAnsi="宋体" w:cs="宋体"/>
                <w:color w:val="auto"/>
                <w:szCs w:val="21"/>
                <w:highlight w:val="none"/>
              </w:rPr>
              <w:t xml:space="preserve"> </w:t>
            </w:r>
          </w:p>
        </w:tc>
      </w:tr>
      <w:tr w14:paraId="464B2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vAlign w:val="center"/>
          </w:tcPr>
          <w:p w14:paraId="4620CA72">
            <w:pPr>
              <w:snapToGrid w:val="0"/>
              <w:spacing w:line="360" w:lineRule="auto"/>
              <w:rPr>
                <w:rFonts w:ascii="宋体" w:cs="宋体"/>
                <w:color w:val="auto"/>
                <w:szCs w:val="21"/>
                <w:highlight w:val="none"/>
              </w:rPr>
            </w:pPr>
            <w:r>
              <w:rPr>
                <w:rFonts w:hint="eastAsia" w:ascii="宋体" w:hAnsi="宋体" w:cs="宋体"/>
                <w:color w:val="auto"/>
                <w:szCs w:val="21"/>
                <w:highlight w:val="none"/>
              </w:rPr>
              <w:t>账号：</w:t>
            </w:r>
          </w:p>
        </w:tc>
        <w:tc>
          <w:tcPr>
            <w:tcW w:w="4583" w:type="dxa"/>
            <w:vAlign w:val="center"/>
          </w:tcPr>
          <w:p w14:paraId="32F95A06">
            <w:pPr>
              <w:snapToGrid w:val="0"/>
              <w:spacing w:line="360" w:lineRule="auto"/>
              <w:rPr>
                <w:rFonts w:ascii="宋体" w:cs="宋体"/>
                <w:color w:val="auto"/>
                <w:szCs w:val="21"/>
                <w:highlight w:val="none"/>
              </w:rPr>
            </w:pPr>
            <w:r>
              <w:rPr>
                <w:rFonts w:hint="eastAsia" w:ascii="宋体" w:hAnsi="宋体" w:cs="宋体"/>
                <w:color w:val="auto"/>
                <w:szCs w:val="21"/>
                <w:highlight w:val="none"/>
              </w:rPr>
              <w:t>账号：</w:t>
            </w:r>
          </w:p>
        </w:tc>
      </w:tr>
      <w:tr w14:paraId="7EDEF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vAlign w:val="center"/>
          </w:tcPr>
          <w:p w14:paraId="7D7FA726">
            <w:pPr>
              <w:snapToGrid w:val="0"/>
              <w:spacing w:line="360" w:lineRule="auto"/>
              <w:rPr>
                <w:rFonts w:ascii="宋体" w:cs="宋体"/>
                <w:color w:val="auto"/>
                <w:szCs w:val="21"/>
                <w:highlight w:val="none"/>
              </w:rPr>
            </w:pPr>
            <w:r>
              <w:rPr>
                <w:rFonts w:hint="eastAsia" w:ascii="宋体" w:hAnsi="宋体" w:cs="宋体"/>
                <w:color w:val="auto"/>
                <w:szCs w:val="21"/>
                <w:highlight w:val="none"/>
              </w:rPr>
              <w:t>邮政编码：</w:t>
            </w:r>
          </w:p>
        </w:tc>
        <w:tc>
          <w:tcPr>
            <w:tcW w:w="4583" w:type="dxa"/>
            <w:vAlign w:val="center"/>
          </w:tcPr>
          <w:p w14:paraId="15B85A70">
            <w:pPr>
              <w:snapToGrid w:val="0"/>
              <w:spacing w:line="360" w:lineRule="auto"/>
              <w:rPr>
                <w:rFonts w:ascii="宋体" w:cs="宋体"/>
                <w:color w:val="auto"/>
                <w:szCs w:val="21"/>
                <w:highlight w:val="none"/>
              </w:rPr>
            </w:pPr>
            <w:r>
              <w:rPr>
                <w:rFonts w:hint="eastAsia" w:ascii="宋体" w:hAnsi="宋体" w:cs="宋体"/>
                <w:color w:val="auto"/>
                <w:szCs w:val="21"/>
                <w:highlight w:val="none"/>
              </w:rPr>
              <w:t>邮政编码：</w:t>
            </w:r>
          </w:p>
        </w:tc>
      </w:tr>
    </w:tbl>
    <w:p w14:paraId="4DB20430">
      <w:pPr>
        <w:widowControl/>
        <w:jc w:val="left"/>
        <w:rPr>
          <w:rFonts w:ascii="宋体" w:cs="宋体"/>
          <w:color w:val="auto"/>
          <w:sz w:val="20"/>
          <w:szCs w:val="20"/>
          <w:highlight w:val="none"/>
        </w:rPr>
      </w:pPr>
    </w:p>
    <w:p w14:paraId="774BB6B0">
      <w:pPr>
        <w:spacing w:before="4"/>
        <w:rPr>
          <w:rFonts w:ascii="宋体" w:cs="宋体"/>
          <w:color w:val="auto"/>
          <w:sz w:val="6"/>
          <w:szCs w:val="6"/>
          <w:highlight w:val="none"/>
        </w:rPr>
      </w:pPr>
    </w:p>
    <w:p w14:paraId="091FCD0C">
      <w:pPr>
        <w:spacing w:before="4"/>
        <w:rPr>
          <w:rFonts w:ascii="宋体" w:cs="宋体"/>
          <w:color w:val="auto"/>
          <w:sz w:val="6"/>
          <w:szCs w:val="6"/>
          <w:highlight w:val="none"/>
        </w:rPr>
      </w:pPr>
    </w:p>
    <w:sectPr>
      <w:footerReference r:id="rId12" w:type="first"/>
      <w:footerReference r:id="rId11" w:type="default"/>
      <w:pgSz w:w="11906" w:h="16838"/>
      <w:pgMar w:top="1134" w:right="1020" w:bottom="1134" w:left="1020" w:header="851" w:footer="56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falt">
    <w:altName w:val="MingLiU"/>
    <w:panose1 w:val="00000000000000000000"/>
    <w:charset w:val="88"/>
    <w:family w:val="modern"/>
    <w:pitch w:val="default"/>
    <w:sig w:usb0="00000000" w:usb1="00000000" w:usb2="00000010" w:usb3="00000000" w:csb0="00100000" w:csb1="00000000"/>
  </w:font>
  <w:font w:name="MingLiU">
    <w:panose1 w:val="02020509000000000000"/>
    <w:charset w:val="88"/>
    <w:family w:val="auto"/>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D0AC6">
    <w:pPr>
      <w:pStyle w:val="22"/>
      <w:tabs>
        <w:tab w:val="center" w:pos="4439"/>
        <w:tab w:val="clear" w:pos="4153"/>
      </w:tabs>
      <w:jc w:val="both"/>
    </w:pPr>
    <w:r>
      <w:pict>
        <v:shape id="文本框 5123" o:spid="_x0000_s2052"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yOz/cgBAACeAwAADgAAAGRycy9lMm9Eb2MueG1srVPNjtMwEL4j8Q6W&#10;7zRp0aI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W/4cwKQw9++f7t8uPX5edXdrNc&#10;vUwK9R4rKrz3VBqHN26gvZnjSMFEfGiDSV+ixChP+p6v+sIQmUyX1qv1uqSUpNzsEH7xcN0HjG/B&#10;GZaMmgd6wKyrOL3HOJbOJambdXdK6/yI2v4VIMwxAnkLptuJyThxsuKwHyZ6e9eciV1Pm1BzS4vP&#10;mX5nSei0NLMRZmM/Gakj+tfHSGPk6RLqCEWskkPPlvlNK5b24k8/Vz38V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sjs/3IAQAAngMAAA4AAAAAAAAAAQAgAAAAHgEAAGRycy9lMm9Eb2Mu&#10;eG1sUEsFBgAAAAAGAAYAWQEAAFgFAAAAAA==&#10;">
          <v:path/>
          <v:fill on="f" focussize="0,0"/>
          <v:stroke on="f" joinstyle="miter"/>
          <v:imagedata o:title=""/>
          <o:lock v:ext="edit"/>
          <v:textbox inset="0mm,0mm,0mm,0mm" style="mso-fit-shape-to-text:t;">
            <w:txbxContent>
              <w:p w14:paraId="708272ED">
                <w:pPr>
                  <w:pStyle w:val="22"/>
                </w:pPr>
                <w:r>
                  <w:fldChar w:fldCharType="begin"/>
                </w:r>
                <w:r>
                  <w:instrText xml:space="preserve"> PAGE  \* MERGEFORMAT </w:instrText>
                </w:r>
                <w:r>
                  <w:fldChar w:fldCharType="separate"/>
                </w:r>
                <w:r>
                  <w:t>87</w:t>
                </w:r>
                <w:r>
                  <w:fldChar w:fldCharType="end"/>
                </w:r>
              </w:p>
            </w:txbxContent>
          </v:textbox>
        </v:shape>
      </w:pict>
    </w:r>
  </w:p>
  <w:p w14:paraId="769E3064">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FED9D">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4FB0C">
    <w:pPr>
      <w:pStyle w:val="22"/>
      <w:tabs>
        <w:tab w:val="center" w:pos="4439"/>
        <w:tab w:val="clear" w:pos="4153"/>
      </w:tabs>
    </w:pPr>
    <w:r>
      <w:pict>
        <v:shape id="文本框 5124" o:spid="_x0000_s205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lB6FPIAQAAngMAAA4AAAAAAAAAAQAgAAAAHgEAAGRycy9lMm9Eb2Mu&#10;eG1sUEsFBgAAAAAGAAYAWQEAAFgFAAAAAA==&#10;">
          <v:path/>
          <v:fill on="f" focussize="0,0"/>
          <v:stroke on="f" joinstyle="miter"/>
          <v:imagedata o:title=""/>
          <o:lock v:ext="edit"/>
          <v:textbox inset="0mm,0mm,0mm,0mm" style="mso-fit-shape-to-text:t;">
            <w:txbxContent>
              <w:p w14:paraId="58569CBC"/>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9603B">
    <w:pPr>
      <w:pStyle w:val="22"/>
      <w:tabs>
        <w:tab w:val="center" w:pos="4439"/>
        <w:tab w:val="clear" w:pos="4153"/>
      </w:tabs>
      <w:jc w:val="both"/>
    </w:pPr>
  </w:p>
  <w:p w14:paraId="46F26FE1">
    <w:pPr>
      <w:pStyle w:val="2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69AA8">
    <w:pPr>
      <w:pStyle w:val="22"/>
      <w:tabs>
        <w:tab w:val="center" w:pos="4439"/>
        <w:tab w:val="clear" w:pos="4153"/>
      </w:tabs>
    </w:pPr>
    <w:r>
      <w:pict>
        <v:shape id="文本框 5126" o:spid="_x0000_s205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wVujzIAQAAngMAAA4AAAAAAAAAAQAgAAAAHgEAAGRycy9lMm9Eb2Mu&#10;eG1sUEsFBgAAAAAGAAYAWQEAAFgFAAAAAA==&#10;">
          <v:path/>
          <v:fill on="f" focussize="0,0"/>
          <v:stroke on="f" joinstyle="miter"/>
          <v:imagedata o:title=""/>
          <o:lock v:ext="edit"/>
          <v:textbox inset="0mm,0mm,0mm,0mm" style="mso-fit-shape-to-text:t;">
            <w:txbxContent>
              <w:p w14:paraId="19DC24AC"/>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203AB">
    <w:pPr>
      <w:pStyle w:val="22"/>
      <w:jc w:val="center"/>
    </w:pPr>
    <w:r>
      <w:pict>
        <v:shape id="文本框 5121"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iZa75yQEAAJ4DAAAOAAAAAAAAAAEAIAAAAB4BAABkcnMvZTJvRG9j&#10;LnhtbFBLBQYAAAAABgAGAFkBAABZBQAAAAA=&#10;">
          <v:path/>
          <v:fill on="f" focussize="0,0"/>
          <v:stroke on="f" joinstyle="miter"/>
          <v:imagedata o:title=""/>
          <o:lock v:ext="edit"/>
          <v:textbox inset="0mm,0mm,0mm,0mm" style="mso-fit-shape-to-text:t;">
            <w:txbxContent>
              <w:p w14:paraId="20F497EC">
                <w:pPr>
                  <w:pStyle w:val="22"/>
                  <w:jc w:val="center"/>
                </w:pPr>
                <w:r>
                  <w:fldChar w:fldCharType="begin"/>
                </w:r>
                <w:r>
                  <w:instrText xml:space="preserve"> PAGE  \* MERGEFORMAT </w:instrText>
                </w:r>
                <w:r>
                  <w:fldChar w:fldCharType="separate"/>
                </w:r>
                <w:r>
                  <w:t>64</w:t>
                </w:r>
                <w:r>
                  <w:fldChar w:fldCharType="end"/>
                </w:r>
              </w:p>
            </w:txbxContent>
          </v:textbox>
        </v:shape>
      </w:pict>
    </w:r>
  </w:p>
  <w:p w14:paraId="66DEF420">
    <w:pPr>
      <w:pStyle w:val="2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EF8EA">
    <w:pPr>
      <w:pStyle w:val="22"/>
    </w:pPr>
    <w:r>
      <w:pict>
        <v:shape id="文本框 5122"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51heyyQEAAJ4DAAAOAAAAAAAAAAEAIAAAAB4BAABkcnMvZTJvRG9j&#10;LnhtbFBLBQYAAAAABgAGAFkBAABZBQAAAAA=&#10;">
          <v:path/>
          <v:fill on="f" focussize="0,0"/>
          <v:stroke on="f" joinstyle="miter"/>
          <v:imagedata o:title=""/>
          <o:lock v:ext="edit"/>
          <v:textbox inset="0mm,0mm,0mm,0mm" style="mso-fit-shape-to-text:t;">
            <w:txbxContent>
              <w:p w14:paraId="20B6675C">
                <w:pPr>
                  <w:pStyle w:val="22"/>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5D6A9">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FA0C2">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0DF84">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E75099"/>
    <w:multiLevelType w:val="multilevel"/>
    <w:tmpl w:val="5EE75099"/>
    <w:lvl w:ilvl="0" w:tentative="0">
      <w:start w:val="1"/>
      <w:numFmt w:val="chineseCountingThousand"/>
      <w:pStyle w:val="92"/>
      <w:suff w:val="nothing"/>
      <w:lvlText w:val="第%1章 "/>
      <w:lvlJc w:val="left"/>
      <w:pPr>
        <w:ind w:left="200"/>
      </w:pPr>
      <w:rPr>
        <w:rFonts w:hint="eastAsia" w:ascii="黑体" w:hAnsi="黑体" w:eastAsia="黑体" w:cs="宋体"/>
        <w:b w:val="0"/>
        <w:i w:val="0"/>
        <w:sz w:val="36"/>
      </w:rPr>
    </w:lvl>
    <w:lvl w:ilvl="1" w:tentative="0">
      <w:start w:val="1"/>
      <w:numFmt w:val="chineseCountingThousand"/>
      <w:suff w:val="nothing"/>
      <w:lvlText w:val="%2、"/>
      <w:lvlJc w:val="left"/>
      <w:pPr>
        <w:ind w:left="2978"/>
      </w:pPr>
      <w:rPr>
        <w:rFonts w:hint="eastAsia" w:ascii="黑体" w:hAnsi="黑体" w:eastAsia="黑体" w:cs="宋体"/>
        <w:b w:val="0"/>
        <w:i w:val="0"/>
        <w:sz w:val="32"/>
      </w:rPr>
    </w:lvl>
    <w:lvl w:ilvl="2" w:tentative="0">
      <w:start w:val="1"/>
      <w:numFmt w:val="decimal"/>
      <w:suff w:val="nothing"/>
      <w:lvlText w:val="%3."/>
      <w:lvlJc w:val="left"/>
      <w:pPr>
        <w:ind w:left="200"/>
      </w:pPr>
      <w:rPr>
        <w:rFonts w:hint="eastAsia" w:ascii="黑体" w:hAnsi="黑体" w:eastAsia="黑体" w:cs="宋体"/>
        <w:b w:val="0"/>
        <w:i w:val="0"/>
        <w:sz w:val="28"/>
      </w:rPr>
    </w:lvl>
    <w:lvl w:ilvl="3" w:tentative="0">
      <w:start w:val="1"/>
      <w:numFmt w:val="decimal"/>
      <w:suff w:val="nothing"/>
      <w:lvlText w:val="%3.%4 "/>
      <w:lvlJc w:val="left"/>
      <w:pPr>
        <w:tabs>
          <w:tab w:val="left" w:pos="0"/>
        </w:tabs>
        <w:ind w:left="200"/>
      </w:pPr>
      <w:rPr>
        <w:rFonts w:hint="eastAsia" w:ascii="宋体" w:hAnsi="宋体" w:eastAsia="宋体" w:cs="宋体"/>
        <w:b/>
        <w:i w:val="0"/>
        <w:sz w:val="24"/>
      </w:rPr>
    </w:lvl>
    <w:lvl w:ilvl="4" w:tentative="0">
      <w:start w:val="1"/>
      <w:numFmt w:val="decimal"/>
      <w:suff w:val="nothing"/>
      <w:lvlText w:val="%3.%4.%5 "/>
      <w:lvlJc w:val="left"/>
      <w:pPr>
        <w:tabs>
          <w:tab w:val="left" w:pos="0"/>
        </w:tabs>
      </w:pPr>
      <w:rPr>
        <w:rFonts w:hint="eastAsia" w:ascii="宋体" w:hAnsi="宋体" w:eastAsia="宋体" w:cs="宋体"/>
        <w:b/>
      </w:rPr>
    </w:lvl>
    <w:lvl w:ilvl="5" w:tentative="0">
      <w:start w:val="1"/>
      <w:numFmt w:val="decimal"/>
      <w:suff w:val="nothing"/>
      <w:lvlText w:val="%3.%4.%5.%6 "/>
      <w:lvlJc w:val="left"/>
      <w:pPr>
        <w:tabs>
          <w:tab w:val="left" w:pos="0"/>
        </w:tabs>
        <w:ind w:left="20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cs="Times New Roman"/>
      </w:rPr>
    </w:lvl>
    <w:lvl w:ilvl="8" w:tentative="0">
      <w:start w:val="1"/>
      <w:numFmt w:val="lowerRoman"/>
      <w:suff w:val="nothing"/>
      <w:lvlText w:val="%9. "/>
      <w:lvlJc w:val="left"/>
      <w:pPr>
        <w:ind w:left="200" w:firstLine="402"/>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revisionView w:markup="0"/>
  <w:documentProtection w:edit="readOnly" w:formatting="1"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YmZiNzg2NzY5NzM5NWYzYjBlNTA3MTIyZDljZTlhZmEifQ=="/>
    <w:docVar w:name="KSO_WPS_MARK_KEY" w:val="b95ecb36-b825-4aab-a484-008294de2a68"/>
  </w:docVars>
  <w:rsids>
    <w:rsidRoot w:val="00F34B14"/>
    <w:rsid w:val="00000672"/>
    <w:rsid w:val="00001013"/>
    <w:rsid w:val="00001799"/>
    <w:rsid w:val="00001AF2"/>
    <w:rsid w:val="00001ECA"/>
    <w:rsid w:val="00002D29"/>
    <w:rsid w:val="00002EAF"/>
    <w:rsid w:val="00003B93"/>
    <w:rsid w:val="0000474D"/>
    <w:rsid w:val="00005164"/>
    <w:rsid w:val="00005FDF"/>
    <w:rsid w:val="00006851"/>
    <w:rsid w:val="00006AC0"/>
    <w:rsid w:val="000070B3"/>
    <w:rsid w:val="000076B8"/>
    <w:rsid w:val="000109DC"/>
    <w:rsid w:val="00010D39"/>
    <w:rsid w:val="0001172C"/>
    <w:rsid w:val="00011BC9"/>
    <w:rsid w:val="00011C99"/>
    <w:rsid w:val="00012854"/>
    <w:rsid w:val="000129DB"/>
    <w:rsid w:val="00012EA6"/>
    <w:rsid w:val="00013359"/>
    <w:rsid w:val="000139CF"/>
    <w:rsid w:val="00013AA4"/>
    <w:rsid w:val="00013DFE"/>
    <w:rsid w:val="000141EA"/>
    <w:rsid w:val="00014CA1"/>
    <w:rsid w:val="00016ABC"/>
    <w:rsid w:val="00016DE6"/>
    <w:rsid w:val="000177DB"/>
    <w:rsid w:val="000179C9"/>
    <w:rsid w:val="00017CCC"/>
    <w:rsid w:val="00020227"/>
    <w:rsid w:val="00020263"/>
    <w:rsid w:val="00020455"/>
    <w:rsid w:val="000207F2"/>
    <w:rsid w:val="00020813"/>
    <w:rsid w:val="000220B2"/>
    <w:rsid w:val="0002264C"/>
    <w:rsid w:val="00022731"/>
    <w:rsid w:val="00022792"/>
    <w:rsid w:val="00024463"/>
    <w:rsid w:val="00025461"/>
    <w:rsid w:val="00025636"/>
    <w:rsid w:val="00025E36"/>
    <w:rsid w:val="00026855"/>
    <w:rsid w:val="00026886"/>
    <w:rsid w:val="0002785D"/>
    <w:rsid w:val="000279F1"/>
    <w:rsid w:val="000307BE"/>
    <w:rsid w:val="000313DC"/>
    <w:rsid w:val="000329E0"/>
    <w:rsid w:val="000352E9"/>
    <w:rsid w:val="00035494"/>
    <w:rsid w:val="00036125"/>
    <w:rsid w:val="000365AC"/>
    <w:rsid w:val="00036A07"/>
    <w:rsid w:val="00036C95"/>
    <w:rsid w:val="0003780B"/>
    <w:rsid w:val="00040571"/>
    <w:rsid w:val="00040973"/>
    <w:rsid w:val="0004156E"/>
    <w:rsid w:val="00041713"/>
    <w:rsid w:val="00041C18"/>
    <w:rsid w:val="00044263"/>
    <w:rsid w:val="0004440C"/>
    <w:rsid w:val="000451F1"/>
    <w:rsid w:val="00046B5E"/>
    <w:rsid w:val="000470CB"/>
    <w:rsid w:val="000479FF"/>
    <w:rsid w:val="000509D9"/>
    <w:rsid w:val="000512AF"/>
    <w:rsid w:val="00051ACB"/>
    <w:rsid w:val="000533E7"/>
    <w:rsid w:val="00055D41"/>
    <w:rsid w:val="00056EF6"/>
    <w:rsid w:val="00057CD6"/>
    <w:rsid w:val="00060DCE"/>
    <w:rsid w:val="000610E3"/>
    <w:rsid w:val="000614F3"/>
    <w:rsid w:val="000623B4"/>
    <w:rsid w:val="00062405"/>
    <w:rsid w:val="00062B42"/>
    <w:rsid w:val="000634A7"/>
    <w:rsid w:val="00063B0B"/>
    <w:rsid w:val="00063F81"/>
    <w:rsid w:val="00064847"/>
    <w:rsid w:val="00064F97"/>
    <w:rsid w:val="00065E08"/>
    <w:rsid w:val="000673E2"/>
    <w:rsid w:val="0007027E"/>
    <w:rsid w:val="0007063F"/>
    <w:rsid w:val="000707FD"/>
    <w:rsid w:val="00070949"/>
    <w:rsid w:val="000711E4"/>
    <w:rsid w:val="000720A1"/>
    <w:rsid w:val="000724D9"/>
    <w:rsid w:val="00072AED"/>
    <w:rsid w:val="00072BC8"/>
    <w:rsid w:val="00073F47"/>
    <w:rsid w:val="0007492F"/>
    <w:rsid w:val="00074ED8"/>
    <w:rsid w:val="00075B7E"/>
    <w:rsid w:val="00077266"/>
    <w:rsid w:val="00077ACA"/>
    <w:rsid w:val="00077C70"/>
    <w:rsid w:val="000813B5"/>
    <w:rsid w:val="0008191E"/>
    <w:rsid w:val="00081BA3"/>
    <w:rsid w:val="00081D2E"/>
    <w:rsid w:val="00081F89"/>
    <w:rsid w:val="00082619"/>
    <w:rsid w:val="00082D02"/>
    <w:rsid w:val="00083871"/>
    <w:rsid w:val="00083B91"/>
    <w:rsid w:val="0008473C"/>
    <w:rsid w:val="0008520B"/>
    <w:rsid w:val="000857DE"/>
    <w:rsid w:val="0008600E"/>
    <w:rsid w:val="000860BD"/>
    <w:rsid w:val="0008694B"/>
    <w:rsid w:val="000871B8"/>
    <w:rsid w:val="00087B0A"/>
    <w:rsid w:val="000904D2"/>
    <w:rsid w:val="000916DA"/>
    <w:rsid w:val="00092442"/>
    <w:rsid w:val="000929EF"/>
    <w:rsid w:val="00092C26"/>
    <w:rsid w:val="000933BE"/>
    <w:rsid w:val="0009560F"/>
    <w:rsid w:val="0009588E"/>
    <w:rsid w:val="000959EE"/>
    <w:rsid w:val="00096DB9"/>
    <w:rsid w:val="00097183"/>
    <w:rsid w:val="000972CB"/>
    <w:rsid w:val="00097608"/>
    <w:rsid w:val="000A1175"/>
    <w:rsid w:val="000A13F3"/>
    <w:rsid w:val="000A23B1"/>
    <w:rsid w:val="000A2B0E"/>
    <w:rsid w:val="000A398F"/>
    <w:rsid w:val="000A448C"/>
    <w:rsid w:val="000A509C"/>
    <w:rsid w:val="000A54A7"/>
    <w:rsid w:val="000A5712"/>
    <w:rsid w:val="000A6007"/>
    <w:rsid w:val="000A65A6"/>
    <w:rsid w:val="000A6829"/>
    <w:rsid w:val="000A70E3"/>
    <w:rsid w:val="000A7275"/>
    <w:rsid w:val="000A7A12"/>
    <w:rsid w:val="000A7A72"/>
    <w:rsid w:val="000B1202"/>
    <w:rsid w:val="000B13B8"/>
    <w:rsid w:val="000B1801"/>
    <w:rsid w:val="000B1D0C"/>
    <w:rsid w:val="000B2273"/>
    <w:rsid w:val="000B2BC6"/>
    <w:rsid w:val="000B2D03"/>
    <w:rsid w:val="000B37F2"/>
    <w:rsid w:val="000B3815"/>
    <w:rsid w:val="000B3C7B"/>
    <w:rsid w:val="000B4321"/>
    <w:rsid w:val="000B6A6B"/>
    <w:rsid w:val="000B6C95"/>
    <w:rsid w:val="000B79FC"/>
    <w:rsid w:val="000C1679"/>
    <w:rsid w:val="000C1EE3"/>
    <w:rsid w:val="000C3AE7"/>
    <w:rsid w:val="000C3CC9"/>
    <w:rsid w:val="000C6DE4"/>
    <w:rsid w:val="000C7202"/>
    <w:rsid w:val="000D0A89"/>
    <w:rsid w:val="000D1389"/>
    <w:rsid w:val="000D1798"/>
    <w:rsid w:val="000D2626"/>
    <w:rsid w:val="000D29A2"/>
    <w:rsid w:val="000D320C"/>
    <w:rsid w:val="000D341C"/>
    <w:rsid w:val="000D411D"/>
    <w:rsid w:val="000D4589"/>
    <w:rsid w:val="000D4809"/>
    <w:rsid w:val="000D73DD"/>
    <w:rsid w:val="000E1C51"/>
    <w:rsid w:val="000E28AB"/>
    <w:rsid w:val="000E2E3E"/>
    <w:rsid w:val="000E310E"/>
    <w:rsid w:val="000E3583"/>
    <w:rsid w:val="000E370E"/>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4AA"/>
    <w:rsid w:val="000F7339"/>
    <w:rsid w:val="000F7AF4"/>
    <w:rsid w:val="000F7C33"/>
    <w:rsid w:val="000F7F0C"/>
    <w:rsid w:val="001004D6"/>
    <w:rsid w:val="00101D1B"/>
    <w:rsid w:val="00102676"/>
    <w:rsid w:val="001029C1"/>
    <w:rsid w:val="00103646"/>
    <w:rsid w:val="00103918"/>
    <w:rsid w:val="00104897"/>
    <w:rsid w:val="00104EDE"/>
    <w:rsid w:val="00105CDA"/>
    <w:rsid w:val="00106BEE"/>
    <w:rsid w:val="0010711C"/>
    <w:rsid w:val="00107BDF"/>
    <w:rsid w:val="00107C74"/>
    <w:rsid w:val="0011091C"/>
    <w:rsid w:val="00111266"/>
    <w:rsid w:val="001112EB"/>
    <w:rsid w:val="0011247D"/>
    <w:rsid w:val="00112FFB"/>
    <w:rsid w:val="00113678"/>
    <w:rsid w:val="00113A7D"/>
    <w:rsid w:val="00113C3E"/>
    <w:rsid w:val="00115132"/>
    <w:rsid w:val="00115E11"/>
    <w:rsid w:val="00115EEE"/>
    <w:rsid w:val="00115F56"/>
    <w:rsid w:val="00116CA9"/>
    <w:rsid w:val="00116F38"/>
    <w:rsid w:val="001170A4"/>
    <w:rsid w:val="00117AE7"/>
    <w:rsid w:val="00117B85"/>
    <w:rsid w:val="00117CBD"/>
    <w:rsid w:val="0012006A"/>
    <w:rsid w:val="00121979"/>
    <w:rsid w:val="00122064"/>
    <w:rsid w:val="00124341"/>
    <w:rsid w:val="00124492"/>
    <w:rsid w:val="00124B12"/>
    <w:rsid w:val="001250A0"/>
    <w:rsid w:val="001263B8"/>
    <w:rsid w:val="00130217"/>
    <w:rsid w:val="001302B7"/>
    <w:rsid w:val="00130783"/>
    <w:rsid w:val="00130A47"/>
    <w:rsid w:val="00132B47"/>
    <w:rsid w:val="001337F8"/>
    <w:rsid w:val="001348B4"/>
    <w:rsid w:val="001351CB"/>
    <w:rsid w:val="00135530"/>
    <w:rsid w:val="00135947"/>
    <w:rsid w:val="001359A2"/>
    <w:rsid w:val="00135F92"/>
    <w:rsid w:val="00136020"/>
    <w:rsid w:val="0013641C"/>
    <w:rsid w:val="00136445"/>
    <w:rsid w:val="00137389"/>
    <w:rsid w:val="00140132"/>
    <w:rsid w:val="00141C9C"/>
    <w:rsid w:val="001424DE"/>
    <w:rsid w:val="0014277F"/>
    <w:rsid w:val="00142A96"/>
    <w:rsid w:val="001434BE"/>
    <w:rsid w:val="00143AAD"/>
    <w:rsid w:val="00144050"/>
    <w:rsid w:val="00144369"/>
    <w:rsid w:val="0014479F"/>
    <w:rsid w:val="001452B4"/>
    <w:rsid w:val="00145320"/>
    <w:rsid w:val="001476D3"/>
    <w:rsid w:val="001509CF"/>
    <w:rsid w:val="00150D1D"/>
    <w:rsid w:val="001525AA"/>
    <w:rsid w:val="00152A87"/>
    <w:rsid w:val="00152AC1"/>
    <w:rsid w:val="00153BB5"/>
    <w:rsid w:val="00154342"/>
    <w:rsid w:val="00154518"/>
    <w:rsid w:val="00155512"/>
    <w:rsid w:val="00156303"/>
    <w:rsid w:val="00156359"/>
    <w:rsid w:val="00156DD6"/>
    <w:rsid w:val="0016086E"/>
    <w:rsid w:val="00160D0C"/>
    <w:rsid w:val="00160DD1"/>
    <w:rsid w:val="00161172"/>
    <w:rsid w:val="00161998"/>
    <w:rsid w:val="00161E65"/>
    <w:rsid w:val="00162597"/>
    <w:rsid w:val="001629AF"/>
    <w:rsid w:val="001629FD"/>
    <w:rsid w:val="001630EF"/>
    <w:rsid w:val="0016428A"/>
    <w:rsid w:val="00164600"/>
    <w:rsid w:val="001647C9"/>
    <w:rsid w:val="00165627"/>
    <w:rsid w:val="00165987"/>
    <w:rsid w:val="001661A3"/>
    <w:rsid w:val="00167226"/>
    <w:rsid w:val="001677C9"/>
    <w:rsid w:val="0016782B"/>
    <w:rsid w:val="0016784D"/>
    <w:rsid w:val="00167853"/>
    <w:rsid w:val="00167887"/>
    <w:rsid w:val="001720EF"/>
    <w:rsid w:val="00172CA8"/>
    <w:rsid w:val="00173256"/>
    <w:rsid w:val="00173B0E"/>
    <w:rsid w:val="00173E03"/>
    <w:rsid w:val="001747F4"/>
    <w:rsid w:val="0017512C"/>
    <w:rsid w:val="00175541"/>
    <w:rsid w:val="001756AF"/>
    <w:rsid w:val="0017586A"/>
    <w:rsid w:val="00175BA6"/>
    <w:rsid w:val="00175FDC"/>
    <w:rsid w:val="00176CA7"/>
    <w:rsid w:val="00176D0C"/>
    <w:rsid w:val="00176F8E"/>
    <w:rsid w:val="001778C5"/>
    <w:rsid w:val="00177E56"/>
    <w:rsid w:val="00177F0A"/>
    <w:rsid w:val="00180DA0"/>
    <w:rsid w:val="00181EAD"/>
    <w:rsid w:val="00182862"/>
    <w:rsid w:val="00184F57"/>
    <w:rsid w:val="00185091"/>
    <w:rsid w:val="00185544"/>
    <w:rsid w:val="00185617"/>
    <w:rsid w:val="00186FE1"/>
    <w:rsid w:val="00187A14"/>
    <w:rsid w:val="0019171E"/>
    <w:rsid w:val="00192368"/>
    <w:rsid w:val="001923A0"/>
    <w:rsid w:val="001928B1"/>
    <w:rsid w:val="00193537"/>
    <w:rsid w:val="00193846"/>
    <w:rsid w:val="00193CA5"/>
    <w:rsid w:val="00193FD7"/>
    <w:rsid w:val="00195424"/>
    <w:rsid w:val="001955FF"/>
    <w:rsid w:val="00197EDD"/>
    <w:rsid w:val="001A02B3"/>
    <w:rsid w:val="001A04BB"/>
    <w:rsid w:val="001A08D0"/>
    <w:rsid w:val="001A0E82"/>
    <w:rsid w:val="001A1B39"/>
    <w:rsid w:val="001A2120"/>
    <w:rsid w:val="001A2256"/>
    <w:rsid w:val="001A28C6"/>
    <w:rsid w:val="001A2E69"/>
    <w:rsid w:val="001A30F7"/>
    <w:rsid w:val="001A3C34"/>
    <w:rsid w:val="001A3EDE"/>
    <w:rsid w:val="001A4222"/>
    <w:rsid w:val="001A50EA"/>
    <w:rsid w:val="001A5E24"/>
    <w:rsid w:val="001A624D"/>
    <w:rsid w:val="001A6795"/>
    <w:rsid w:val="001A6A20"/>
    <w:rsid w:val="001A6B27"/>
    <w:rsid w:val="001A6D8B"/>
    <w:rsid w:val="001A6DAA"/>
    <w:rsid w:val="001A7717"/>
    <w:rsid w:val="001A793A"/>
    <w:rsid w:val="001B125A"/>
    <w:rsid w:val="001B1EBA"/>
    <w:rsid w:val="001B2142"/>
    <w:rsid w:val="001B2C23"/>
    <w:rsid w:val="001B2F2B"/>
    <w:rsid w:val="001B327A"/>
    <w:rsid w:val="001B3338"/>
    <w:rsid w:val="001B35DE"/>
    <w:rsid w:val="001B3A13"/>
    <w:rsid w:val="001B3F5C"/>
    <w:rsid w:val="001B57C9"/>
    <w:rsid w:val="001B59FF"/>
    <w:rsid w:val="001B6512"/>
    <w:rsid w:val="001B65D7"/>
    <w:rsid w:val="001B6752"/>
    <w:rsid w:val="001B6768"/>
    <w:rsid w:val="001B6F1F"/>
    <w:rsid w:val="001B79E3"/>
    <w:rsid w:val="001B7ECC"/>
    <w:rsid w:val="001C025B"/>
    <w:rsid w:val="001C115F"/>
    <w:rsid w:val="001C1EAB"/>
    <w:rsid w:val="001C25A7"/>
    <w:rsid w:val="001C318C"/>
    <w:rsid w:val="001C35C4"/>
    <w:rsid w:val="001C37B7"/>
    <w:rsid w:val="001C4287"/>
    <w:rsid w:val="001C4479"/>
    <w:rsid w:val="001C5190"/>
    <w:rsid w:val="001C6081"/>
    <w:rsid w:val="001C73EB"/>
    <w:rsid w:val="001C7B48"/>
    <w:rsid w:val="001C7CFB"/>
    <w:rsid w:val="001D0A5D"/>
    <w:rsid w:val="001D0CFB"/>
    <w:rsid w:val="001D1A0D"/>
    <w:rsid w:val="001D343C"/>
    <w:rsid w:val="001D4BBD"/>
    <w:rsid w:val="001D58A1"/>
    <w:rsid w:val="001D58C2"/>
    <w:rsid w:val="001D5A8A"/>
    <w:rsid w:val="001D61CA"/>
    <w:rsid w:val="001D6E87"/>
    <w:rsid w:val="001D735E"/>
    <w:rsid w:val="001D73C8"/>
    <w:rsid w:val="001D7BC6"/>
    <w:rsid w:val="001E129E"/>
    <w:rsid w:val="001E175C"/>
    <w:rsid w:val="001E1B0E"/>
    <w:rsid w:val="001E3B63"/>
    <w:rsid w:val="001E5A94"/>
    <w:rsid w:val="001F2A2E"/>
    <w:rsid w:val="001F2FDF"/>
    <w:rsid w:val="001F3356"/>
    <w:rsid w:val="001F3C63"/>
    <w:rsid w:val="001F4460"/>
    <w:rsid w:val="001F6F91"/>
    <w:rsid w:val="001F711A"/>
    <w:rsid w:val="001F75B0"/>
    <w:rsid w:val="0020057C"/>
    <w:rsid w:val="002008A0"/>
    <w:rsid w:val="00200CE5"/>
    <w:rsid w:val="00200F7C"/>
    <w:rsid w:val="002014DB"/>
    <w:rsid w:val="0020150B"/>
    <w:rsid w:val="00201E12"/>
    <w:rsid w:val="00202295"/>
    <w:rsid w:val="002033B5"/>
    <w:rsid w:val="0020382C"/>
    <w:rsid w:val="00203FBD"/>
    <w:rsid w:val="0020437A"/>
    <w:rsid w:val="0020454C"/>
    <w:rsid w:val="00204740"/>
    <w:rsid w:val="00205129"/>
    <w:rsid w:val="0020521F"/>
    <w:rsid w:val="0020532C"/>
    <w:rsid w:val="002114C7"/>
    <w:rsid w:val="0021302C"/>
    <w:rsid w:val="00213B1C"/>
    <w:rsid w:val="00213F1E"/>
    <w:rsid w:val="00214202"/>
    <w:rsid w:val="002148E3"/>
    <w:rsid w:val="0021552D"/>
    <w:rsid w:val="002156AE"/>
    <w:rsid w:val="00215E99"/>
    <w:rsid w:val="0022054D"/>
    <w:rsid w:val="00220A95"/>
    <w:rsid w:val="0022107B"/>
    <w:rsid w:val="002212F6"/>
    <w:rsid w:val="00223DDB"/>
    <w:rsid w:val="00223FA4"/>
    <w:rsid w:val="00223FB0"/>
    <w:rsid w:val="00224067"/>
    <w:rsid w:val="0022421C"/>
    <w:rsid w:val="00224C4A"/>
    <w:rsid w:val="00224E83"/>
    <w:rsid w:val="00225664"/>
    <w:rsid w:val="0022663D"/>
    <w:rsid w:val="00227F2D"/>
    <w:rsid w:val="00231851"/>
    <w:rsid w:val="002319FB"/>
    <w:rsid w:val="00231B89"/>
    <w:rsid w:val="00231F11"/>
    <w:rsid w:val="00231F5E"/>
    <w:rsid w:val="002346B4"/>
    <w:rsid w:val="00234F6E"/>
    <w:rsid w:val="002355BE"/>
    <w:rsid w:val="002358EA"/>
    <w:rsid w:val="00236578"/>
    <w:rsid w:val="00236DE9"/>
    <w:rsid w:val="00237342"/>
    <w:rsid w:val="00237D5A"/>
    <w:rsid w:val="00240AEF"/>
    <w:rsid w:val="00240D75"/>
    <w:rsid w:val="002415AE"/>
    <w:rsid w:val="00241D3C"/>
    <w:rsid w:val="00242109"/>
    <w:rsid w:val="00243189"/>
    <w:rsid w:val="002439AB"/>
    <w:rsid w:val="00243C19"/>
    <w:rsid w:val="00244AE8"/>
    <w:rsid w:val="00244DC9"/>
    <w:rsid w:val="00245495"/>
    <w:rsid w:val="00245587"/>
    <w:rsid w:val="002459B4"/>
    <w:rsid w:val="00245F2B"/>
    <w:rsid w:val="002466CD"/>
    <w:rsid w:val="00247F3A"/>
    <w:rsid w:val="00250122"/>
    <w:rsid w:val="00250755"/>
    <w:rsid w:val="00251043"/>
    <w:rsid w:val="00251C4A"/>
    <w:rsid w:val="0025271C"/>
    <w:rsid w:val="002533CD"/>
    <w:rsid w:val="002535EA"/>
    <w:rsid w:val="00254EAB"/>
    <w:rsid w:val="002557AF"/>
    <w:rsid w:val="0025589C"/>
    <w:rsid w:val="00255B62"/>
    <w:rsid w:val="002566B1"/>
    <w:rsid w:val="002575E3"/>
    <w:rsid w:val="00257A74"/>
    <w:rsid w:val="00257C5D"/>
    <w:rsid w:val="002603C1"/>
    <w:rsid w:val="002609A1"/>
    <w:rsid w:val="002612B1"/>
    <w:rsid w:val="00263BBE"/>
    <w:rsid w:val="00266165"/>
    <w:rsid w:val="00266F2C"/>
    <w:rsid w:val="0027125E"/>
    <w:rsid w:val="00271767"/>
    <w:rsid w:val="00272293"/>
    <w:rsid w:val="002723C8"/>
    <w:rsid w:val="00273C2A"/>
    <w:rsid w:val="00273CBE"/>
    <w:rsid w:val="002746B1"/>
    <w:rsid w:val="00274BAD"/>
    <w:rsid w:val="002756BF"/>
    <w:rsid w:val="00282D56"/>
    <w:rsid w:val="0028352B"/>
    <w:rsid w:val="002835B0"/>
    <w:rsid w:val="00283BD5"/>
    <w:rsid w:val="00283C74"/>
    <w:rsid w:val="0028407E"/>
    <w:rsid w:val="0028410F"/>
    <w:rsid w:val="00284572"/>
    <w:rsid w:val="002850AA"/>
    <w:rsid w:val="00285221"/>
    <w:rsid w:val="00286FB5"/>
    <w:rsid w:val="00287763"/>
    <w:rsid w:val="00290606"/>
    <w:rsid w:val="002909B2"/>
    <w:rsid w:val="0029198B"/>
    <w:rsid w:val="00291D6D"/>
    <w:rsid w:val="00291FF1"/>
    <w:rsid w:val="00292AA2"/>
    <w:rsid w:val="00293361"/>
    <w:rsid w:val="00294F10"/>
    <w:rsid w:val="002952B1"/>
    <w:rsid w:val="00295D11"/>
    <w:rsid w:val="00296FB6"/>
    <w:rsid w:val="002A0001"/>
    <w:rsid w:val="002A0BD9"/>
    <w:rsid w:val="002A0C3A"/>
    <w:rsid w:val="002A0DF8"/>
    <w:rsid w:val="002A1130"/>
    <w:rsid w:val="002A1880"/>
    <w:rsid w:val="002A23B7"/>
    <w:rsid w:val="002A3A57"/>
    <w:rsid w:val="002A4B4F"/>
    <w:rsid w:val="002A500F"/>
    <w:rsid w:val="002A57A8"/>
    <w:rsid w:val="002A6DEF"/>
    <w:rsid w:val="002A770B"/>
    <w:rsid w:val="002B013E"/>
    <w:rsid w:val="002B058D"/>
    <w:rsid w:val="002B0C16"/>
    <w:rsid w:val="002B2AC5"/>
    <w:rsid w:val="002B3528"/>
    <w:rsid w:val="002B3539"/>
    <w:rsid w:val="002B4532"/>
    <w:rsid w:val="002B5042"/>
    <w:rsid w:val="002B69CC"/>
    <w:rsid w:val="002B6D71"/>
    <w:rsid w:val="002C0145"/>
    <w:rsid w:val="002C03AE"/>
    <w:rsid w:val="002C0C1C"/>
    <w:rsid w:val="002C17CB"/>
    <w:rsid w:val="002C40E2"/>
    <w:rsid w:val="002C53AD"/>
    <w:rsid w:val="002C54C2"/>
    <w:rsid w:val="002C5D34"/>
    <w:rsid w:val="002C60BB"/>
    <w:rsid w:val="002C661A"/>
    <w:rsid w:val="002C71F0"/>
    <w:rsid w:val="002D0D6F"/>
    <w:rsid w:val="002D25FC"/>
    <w:rsid w:val="002D4AC6"/>
    <w:rsid w:val="002D5BF5"/>
    <w:rsid w:val="002D5EE8"/>
    <w:rsid w:val="002D7018"/>
    <w:rsid w:val="002D7360"/>
    <w:rsid w:val="002D7648"/>
    <w:rsid w:val="002D7C80"/>
    <w:rsid w:val="002E109C"/>
    <w:rsid w:val="002E193E"/>
    <w:rsid w:val="002E1A94"/>
    <w:rsid w:val="002E1D55"/>
    <w:rsid w:val="002E26C4"/>
    <w:rsid w:val="002E2734"/>
    <w:rsid w:val="002E30A5"/>
    <w:rsid w:val="002E4443"/>
    <w:rsid w:val="002E47E4"/>
    <w:rsid w:val="002E4BF9"/>
    <w:rsid w:val="002E4D61"/>
    <w:rsid w:val="002E68A7"/>
    <w:rsid w:val="002E6E6C"/>
    <w:rsid w:val="002F016E"/>
    <w:rsid w:val="002F0522"/>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2CCB"/>
    <w:rsid w:val="00302EFC"/>
    <w:rsid w:val="00303243"/>
    <w:rsid w:val="00303BCC"/>
    <w:rsid w:val="00303F2B"/>
    <w:rsid w:val="00303F8D"/>
    <w:rsid w:val="00304840"/>
    <w:rsid w:val="0030572D"/>
    <w:rsid w:val="0030586A"/>
    <w:rsid w:val="0030622D"/>
    <w:rsid w:val="00306811"/>
    <w:rsid w:val="00306F32"/>
    <w:rsid w:val="0030744C"/>
    <w:rsid w:val="003074C5"/>
    <w:rsid w:val="00307A3C"/>
    <w:rsid w:val="00307FA4"/>
    <w:rsid w:val="00310290"/>
    <w:rsid w:val="00310CC1"/>
    <w:rsid w:val="00312504"/>
    <w:rsid w:val="00312B89"/>
    <w:rsid w:val="00313026"/>
    <w:rsid w:val="00313913"/>
    <w:rsid w:val="0031421F"/>
    <w:rsid w:val="00314B31"/>
    <w:rsid w:val="00315A65"/>
    <w:rsid w:val="003165D7"/>
    <w:rsid w:val="00317BA7"/>
    <w:rsid w:val="00320BE2"/>
    <w:rsid w:val="00321886"/>
    <w:rsid w:val="00321EDC"/>
    <w:rsid w:val="00323694"/>
    <w:rsid w:val="00323BE7"/>
    <w:rsid w:val="00324C3A"/>
    <w:rsid w:val="00324D63"/>
    <w:rsid w:val="003255AF"/>
    <w:rsid w:val="003256EB"/>
    <w:rsid w:val="003259DB"/>
    <w:rsid w:val="00327E56"/>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E38"/>
    <w:rsid w:val="00342F99"/>
    <w:rsid w:val="0034575A"/>
    <w:rsid w:val="00345F57"/>
    <w:rsid w:val="00346A51"/>
    <w:rsid w:val="0034727B"/>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0FC"/>
    <w:rsid w:val="0036445C"/>
    <w:rsid w:val="00364627"/>
    <w:rsid w:val="00364AB0"/>
    <w:rsid w:val="00364D71"/>
    <w:rsid w:val="00365579"/>
    <w:rsid w:val="003667B0"/>
    <w:rsid w:val="003667DD"/>
    <w:rsid w:val="00366B48"/>
    <w:rsid w:val="00366E6E"/>
    <w:rsid w:val="00367764"/>
    <w:rsid w:val="00370316"/>
    <w:rsid w:val="00370D59"/>
    <w:rsid w:val="00370DC7"/>
    <w:rsid w:val="00371CBD"/>
    <w:rsid w:val="00371F20"/>
    <w:rsid w:val="003721E3"/>
    <w:rsid w:val="00372B98"/>
    <w:rsid w:val="003737B7"/>
    <w:rsid w:val="0037392D"/>
    <w:rsid w:val="003739D4"/>
    <w:rsid w:val="003740CC"/>
    <w:rsid w:val="003745F4"/>
    <w:rsid w:val="0037491A"/>
    <w:rsid w:val="00374E79"/>
    <w:rsid w:val="0037529A"/>
    <w:rsid w:val="00375388"/>
    <w:rsid w:val="00375559"/>
    <w:rsid w:val="00375FB9"/>
    <w:rsid w:val="00376170"/>
    <w:rsid w:val="00376851"/>
    <w:rsid w:val="00376FA2"/>
    <w:rsid w:val="00377133"/>
    <w:rsid w:val="00377A3B"/>
    <w:rsid w:val="00377E3C"/>
    <w:rsid w:val="00380874"/>
    <w:rsid w:val="00380BBE"/>
    <w:rsid w:val="00381D70"/>
    <w:rsid w:val="0038235E"/>
    <w:rsid w:val="003829D0"/>
    <w:rsid w:val="0038326A"/>
    <w:rsid w:val="0038444F"/>
    <w:rsid w:val="00385130"/>
    <w:rsid w:val="003861F0"/>
    <w:rsid w:val="00387051"/>
    <w:rsid w:val="00387ECF"/>
    <w:rsid w:val="0039021B"/>
    <w:rsid w:val="003903F7"/>
    <w:rsid w:val="00390429"/>
    <w:rsid w:val="00390666"/>
    <w:rsid w:val="003906A0"/>
    <w:rsid w:val="00391E03"/>
    <w:rsid w:val="003931AF"/>
    <w:rsid w:val="0039366C"/>
    <w:rsid w:val="00393EC8"/>
    <w:rsid w:val="00394456"/>
    <w:rsid w:val="00395E42"/>
    <w:rsid w:val="00396409"/>
    <w:rsid w:val="00396A2D"/>
    <w:rsid w:val="00396FC3"/>
    <w:rsid w:val="00397494"/>
    <w:rsid w:val="003A19C0"/>
    <w:rsid w:val="003A1A94"/>
    <w:rsid w:val="003A204E"/>
    <w:rsid w:val="003A2D25"/>
    <w:rsid w:val="003A5728"/>
    <w:rsid w:val="003A60AB"/>
    <w:rsid w:val="003A60E7"/>
    <w:rsid w:val="003A7092"/>
    <w:rsid w:val="003A72A1"/>
    <w:rsid w:val="003A7611"/>
    <w:rsid w:val="003A7D1F"/>
    <w:rsid w:val="003A7D3E"/>
    <w:rsid w:val="003B0A61"/>
    <w:rsid w:val="003B0B6A"/>
    <w:rsid w:val="003B22F7"/>
    <w:rsid w:val="003B29CF"/>
    <w:rsid w:val="003B3A90"/>
    <w:rsid w:val="003B3D01"/>
    <w:rsid w:val="003B4D34"/>
    <w:rsid w:val="003B534F"/>
    <w:rsid w:val="003B751E"/>
    <w:rsid w:val="003B7A79"/>
    <w:rsid w:val="003C0659"/>
    <w:rsid w:val="003C0FE1"/>
    <w:rsid w:val="003C151A"/>
    <w:rsid w:val="003C350C"/>
    <w:rsid w:val="003C3903"/>
    <w:rsid w:val="003C3BA0"/>
    <w:rsid w:val="003C4580"/>
    <w:rsid w:val="003C5658"/>
    <w:rsid w:val="003C5C5E"/>
    <w:rsid w:val="003C6746"/>
    <w:rsid w:val="003C7555"/>
    <w:rsid w:val="003C7898"/>
    <w:rsid w:val="003C7B16"/>
    <w:rsid w:val="003D0FF5"/>
    <w:rsid w:val="003D104E"/>
    <w:rsid w:val="003D11A3"/>
    <w:rsid w:val="003D1537"/>
    <w:rsid w:val="003D183C"/>
    <w:rsid w:val="003D2D1B"/>
    <w:rsid w:val="003D48C7"/>
    <w:rsid w:val="003D4C27"/>
    <w:rsid w:val="003D7109"/>
    <w:rsid w:val="003D7C75"/>
    <w:rsid w:val="003D7CE8"/>
    <w:rsid w:val="003E0514"/>
    <w:rsid w:val="003E1032"/>
    <w:rsid w:val="003E12C8"/>
    <w:rsid w:val="003E1904"/>
    <w:rsid w:val="003E1E29"/>
    <w:rsid w:val="003E285E"/>
    <w:rsid w:val="003E3124"/>
    <w:rsid w:val="003E3300"/>
    <w:rsid w:val="003E43D3"/>
    <w:rsid w:val="003E458E"/>
    <w:rsid w:val="003E48E1"/>
    <w:rsid w:val="003E50F4"/>
    <w:rsid w:val="003E59BB"/>
    <w:rsid w:val="003E6225"/>
    <w:rsid w:val="003E65AC"/>
    <w:rsid w:val="003E66AE"/>
    <w:rsid w:val="003E72B9"/>
    <w:rsid w:val="003E7612"/>
    <w:rsid w:val="003E7ED4"/>
    <w:rsid w:val="003F0E52"/>
    <w:rsid w:val="003F0F6B"/>
    <w:rsid w:val="003F1FC6"/>
    <w:rsid w:val="003F1FE3"/>
    <w:rsid w:val="003F2359"/>
    <w:rsid w:val="003F29B7"/>
    <w:rsid w:val="003F3232"/>
    <w:rsid w:val="003F3865"/>
    <w:rsid w:val="003F38AC"/>
    <w:rsid w:val="003F3D55"/>
    <w:rsid w:val="003F44E2"/>
    <w:rsid w:val="003F4632"/>
    <w:rsid w:val="003F47BA"/>
    <w:rsid w:val="003F4FE6"/>
    <w:rsid w:val="003F5638"/>
    <w:rsid w:val="003F59E9"/>
    <w:rsid w:val="003F6617"/>
    <w:rsid w:val="00402332"/>
    <w:rsid w:val="004025C2"/>
    <w:rsid w:val="00403195"/>
    <w:rsid w:val="004033A9"/>
    <w:rsid w:val="00403E55"/>
    <w:rsid w:val="0040407C"/>
    <w:rsid w:val="0040416C"/>
    <w:rsid w:val="00404681"/>
    <w:rsid w:val="00405445"/>
    <w:rsid w:val="00405AC1"/>
    <w:rsid w:val="00406923"/>
    <w:rsid w:val="00407198"/>
    <w:rsid w:val="0040763D"/>
    <w:rsid w:val="00410D17"/>
    <w:rsid w:val="00410EBA"/>
    <w:rsid w:val="00412039"/>
    <w:rsid w:val="004127AF"/>
    <w:rsid w:val="00412AA9"/>
    <w:rsid w:val="00413442"/>
    <w:rsid w:val="00413821"/>
    <w:rsid w:val="00413BA5"/>
    <w:rsid w:val="004141A3"/>
    <w:rsid w:val="0041421A"/>
    <w:rsid w:val="00414909"/>
    <w:rsid w:val="0041582F"/>
    <w:rsid w:val="00416112"/>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5779"/>
    <w:rsid w:val="004360C8"/>
    <w:rsid w:val="00436823"/>
    <w:rsid w:val="004371D5"/>
    <w:rsid w:val="0044006B"/>
    <w:rsid w:val="0044033F"/>
    <w:rsid w:val="00440630"/>
    <w:rsid w:val="00440B89"/>
    <w:rsid w:val="00441F0F"/>
    <w:rsid w:val="00442965"/>
    <w:rsid w:val="004432B1"/>
    <w:rsid w:val="004432B6"/>
    <w:rsid w:val="00444157"/>
    <w:rsid w:val="0044417C"/>
    <w:rsid w:val="0044433F"/>
    <w:rsid w:val="00444DB3"/>
    <w:rsid w:val="00445617"/>
    <w:rsid w:val="00445A2F"/>
    <w:rsid w:val="0044684E"/>
    <w:rsid w:val="00446F22"/>
    <w:rsid w:val="0045019F"/>
    <w:rsid w:val="00450320"/>
    <w:rsid w:val="004503A4"/>
    <w:rsid w:val="0045052E"/>
    <w:rsid w:val="00450555"/>
    <w:rsid w:val="004506FA"/>
    <w:rsid w:val="00450DC6"/>
    <w:rsid w:val="004516A5"/>
    <w:rsid w:val="00451753"/>
    <w:rsid w:val="00451E9C"/>
    <w:rsid w:val="0045226B"/>
    <w:rsid w:val="0045280F"/>
    <w:rsid w:val="004535AE"/>
    <w:rsid w:val="0045444D"/>
    <w:rsid w:val="0045463A"/>
    <w:rsid w:val="00454AC9"/>
    <w:rsid w:val="00455050"/>
    <w:rsid w:val="004554A3"/>
    <w:rsid w:val="00455A6E"/>
    <w:rsid w:val="00455EAD"/>
    <w:rsid w:val="004578EB"/>
    <w:rsid w:val="004604D5"/>
    <w:rsid w:val="00460697"/>
    <w:rsid w:val="0046117B"/>
    <w:rsid w:val="00461FC2"/>
    <w:rsid w:val="004639AD"/>
    <w:rsid w:val="00464AB7"/>
    <w:rsid w:val="00465DE5"/>
    <w:rsid w:val="00467EF8"/>
    <w:rsid w:val="00470879"/>
    <w:rsid w:val="00472429"/>
    <w:rsid w:val="004725E5"/>
    <w:rsid w:val="00472751"/>
    <w:rsid w:val="00473128"/>
    <w:rsid w:val="00475078"/>
    <w:rsid w:val="00475767"/>
    <w:rsid w:val="004761F7"/>
    <w:rsid w:val="004779A0"/>
    <w:rsid w:val="004808E3"/>
    <w:rsid w:val="00481016"/>
    <w:rsid w:val="0048204C"/>
    <w:rsid w:val="004821BB"/>
    <w:rsid w:val="0048237A"/>
    <w:rsid w:val="00482698"/>
    <w:rsid w:val="004826FE"/>
    <w:rsid w:val="004827D5"/>
    <w:rsid w:val="00482AF2"/>
    <w:rsid w:val="004830C9"/>
    <w:rsid w:val="00483347"/>
    <w:rsid w:val="00483E2E"/>
    <w:rsid w:val="00484B69"/>
    <w:rsid w:val="00485406"/>
    <w:rsid w:val="0048590F"/>
    <w:rsid w:val="00486D60"/>
    <w:rsid w:val="00491049"/>
    <w:rsid w:val="00491FA1"/>
    <w:rsid w:val="00492A25"/>
    <w:rsid w:val="004938A3"/>
    <w:rsid w:val="0049558B"/>
    <w:rsid w:val="00496350"/>
    <w:rsid w:val="0049797C"/>
    <w:rsid w:val="004A0DAD"/>
    <w:rsid w:val="004A1405"/>
    <w:rsid w:val="004A1FC6"/>
    <w:rsid w:val="004A2E5F"/>
    <w:rsid w:val="004A38C2"/>
    <w:rsid w:val="004A3C03"/>
    <w:rsid w:val="004A3DB7"/>
    <w:rsid w:val="004A463B"/>
    <w:rsid w:val="004A5088"/>
    <w:rsid w:val="004A5255"/>
    <w:rsid w:val="004A6C3C"/>
    <w:rsid w:val="004A6CB0"/>
    <w:rsid w:val="004A70FF"/>
    <w:rsid w:val="004A7EDE"/>
    <w:rsid w:val="004B0D93"/>
    <w:rsid w:val="004B1FA4"/>
    <w:rsid w:val="004B23EC"/>
    <w:rsid w:val="004B29AC"/>
    <w:rsid w:val="004B35DF"/>
    <w:rsid w:val="004B3627"/>
    <w:rsid w:val="004B4922"/>
    <w:rsid w:val="004B57DF"/>
    <w:rsid w:val="004B5976"/>
    <w:rsid w:val="004B60F7"/>
    <w:rsid w:val="004B6496"/>
    <w:rsid w:val="004B6A0C"/>
    <w:rsid w:val="004B722E"/>
    <w:rsid w:val="004B72E8"/>
    <w:rsid w:val="004C01A5"/>
    <w:rsid w:val="004C0412"/>
    <w:rsid w:val="004C2138"/>
    <w:rsid w:val="004C3940"/>
    <w:rsid w:val="004C51FD"/>
    <w:rsid w:val="004C65A8"/>
    <w:rsid w:val="004C6689"/>
    <w:rsid w:val="004C691F"/>
    <w:rsid w:val="004D139A"/>
    <w:rsid w:val="004D14DC"/>
    <w:rsid w:val="004D17C6"/>
    <w:rsid w:val="004D2858"/>
    <w:rsid w:val="004D2E49"/>
    <w:rsid w:val="004D35BA"/>
    <w:rsid w:val="004D38E5"/>
    <w:rsid w:val="004D3C5A"/>
    <w:rsid w:val="004D449A"/>
    <w:rsid w:val="004D4701"/>
    <w:rsid w:val="004D47C7"/>
    <w:rsid w:val="004D4AD8"/>
    <w:rsid w:val="004D4B2B"/>
    <w:rsid w:val="004D4F35"/>
    <w:rsid w:val="004D51EE"/>
    <w:rsid w:val="004D5D45"/>
    <w:rsid w:val="004D618D"/>
    <w:rsid w:val="004D62A9"/>
    <w:rsid w:val="004D6FC3"/>
    <w:rsid w:val="004D7476"/>
    <w:rsid w:val="004D7716"/>
    <w:rsid w:val="004E0306"/>
    <w:rsid w:val="004E0572"/>
    <w:rsid w:val="004E1641"/>
    <w:rsid w:val="004E1686"/>
    <w:rsid w:val="004E1818"/>
    <w:rsid w:val="004E1990"/>
    <w:rsid w:val="004E24AF"/>
    <w:rsid w:val="004E25A8"/>
    <w:rsid w:val="004E3930"/>
    <w:rsid w:val="004E3ED9"/>
    <w:rsid w:val="004E5866"/>
    <w:rsid w:val="004E6097"/>
    <w:rsid w:val="004E61EF"/>
    <w:rsid w:val="004E63C6"/>
    <w:rsid w:val="004E67AC"/>
    <w:rsid w:val="004E76A7"/>
    <w:rsid w:val="004E7B03"/>
    <w:rsid w:val="004F0064"/>
    <w:rsid w:val="004F06AC"/>
    <w:rsid w:val="004F0E50"/>
    <w:rsid w:val="004F1D2A"/>
    <w:rsid w:val="004F243F"/>
    <w:rsid w:val="004F252C"/>
    <w:rsid w:val="004F36A3"/>
    <w:rsid w:val="004F3E0C"/>
    <w:rsid w:val="004F4308"/>
    <w:rsid w:val="004F7160"/>
    <w:rsid w:val="00500258"/>
    <w:rsid w:val="00500B2D"/>
    <w:rsid w:val="00501A99"/>
    <w:rsid w:val="00503180"/>
    <w:rsid w:val="005038A4"/>
    <w:rsid w:val="00505450"/>
    <w:rsid w:val="005100B7"/>
    <w:rsid w:val="005105DE"/>
    <w:rsid w:val="005113C9"/>
    <w:rsid w:val="00512050"/>
    <w:rsid w:val="00512055"/>
    <w:rsid w:val="0051280C"/>
    <w:rsid w:val="00512842"/>
    <w:rsid w:val="005128BE"/>
    <w:rsid w:val="0051356F"/>
    <w:rsid w:val="00513E7C"/>
    <w:rsid w:val="005140BB"/>
    <w:rsid w:val="005142C6"/>
    <w:rsid w:val="00514FBE"/>
    <w:rsid w:val="00514FD9"/>
    <w:rsid w:val="0051550A"/>
    <w:rsid w:val="0051608F"/>
    <w:rsid w:val="00516480"/>
    <w:rsid w:val="00520815"/>
    <w:rsid w:val="00520843"/>
    <w:rsid w:val="00520EF8"/>
    <w:rsid w:val="005210F7"/>
    <w:rsid w:val="00521753"/>
    <w:rsid w:val="00521F1C"/>
    <w:rsid w:val="0052239D"/>
    <w:rsid w:val="005224EE"/>
    <w:rsid w:val="00522879"/>
    <w:rsid w:val="00523BB1"/>
    <w:rsid w:val="00524B23"/>
    <w:rsid w:val="0052570E"/>
    <w:rsid w:val="005260CD"/>
    <w:rsid w:val="00526265"/>
    <w:rsid w:val="0052655D"/>
    <w:rsid w:val="005265E0"/>
    <w:rsid w:val="00526BC3"/>
    <w:rsid w:val="00531761"/>
    <w:rsid w:val="0053248F"/>
    <w:rsid w:val="00532561"/>
    <w:rsid w:val="005327AB"/>
    <w:rsid w:val="00532AB8"/>
    <w:rsid w:val="00532D98"/>
    <w:rsid w:val="0053332A"/>
    <w:rsid w:val="0053358A"/>
    <w:rsid w:val="00534668"/>
    <w:rsid w:val="00534DDD"/>
    <w:rsid w:val="00535291"/>
    <w:rsid w:val="00535A94"/>
    <w:rsid w:val="00537874"/>
    <w:rsid w:val="0053795F"/>
    <w:rsid w:val="00537D3D"/>
    <w:rsid w:val="00540511"/>
    <w:rsid w:val="00540578"/>
    <w:rsid w:val="00540808"/>
    <w:rsid w:val="0054080E"/>
    <w:rsid w:val="00540D1A"/>
    <w:rsid w:val="00540EA1"/>
    <w:rsid w:val="00541E5A"/>
    <w:rsid w:val="0054358E"/>
    <w:rsid w:val="005436A7"/>
    <w:rsid w:val="00543AF4"/>
    <w:rsid w:val="00543F53"/>
    <w:rsid w:val="00544191"/>
    <w:rsid w:val="0054440C"/>
    <w:rsid w:val="005448EC"/>
    <w:rsid w:val="00544C0A"/>
    <w:rsid w:val="00544F39"/>
    <w:rsid w:val="005457FB"/>
    <w:rsid w:val="005458CD"/>
    <w:rsid w:val="00546F89"/>
    <w:rsid w:val="00546F90"/>
    <w:rsid w:val="00547EFB"/>
    <w:rsid w:val="005522F2"/>
    <w:rsid w:val="005531DF"/>
    <w:rsid w:val="00553874"/>
    <w:rsid w:val="00554577"/>
    <w:rsid w:val="00554AD8"/>
    <w:rsid w:val="00554F78"/>
    <w:rsid w:val="00555DA1"/>
    <w:rsid w:val="00556366"/>
    <w:rsid w:val="005565DF"/>
    <w:rsid w:val="00556BF7"/>
    <w:rsid w:val="00556E53"/>
    <w:rsid w:val="00557F60"/>
    <w:rsid w:val="00561730"/>
    <w:rsid w:val="00561B97"/>
    <w:rsid w:val="00562149"/>
    <w:rsid w:val="005640EB"/>
    <w:rsid w:val="00567B5D"/>
    <w:rsid w:val="00570757"/>
    <w:rsid w:val="00573733"/>
    <w:rsid w:val="00573F8B"/>
    <w:rsid w:val="00574528"/>
    <w:rsid w:val="00574554"/>
    <w:rsid w:val="00574737"/>
    <w:rsid w:val="00574E06"/>
    <w:rsid w:val="005751BB"/>
    <w:rsid w:val="00576089"/>
    <w:rsid w:val="00576415"/>
    <w:rsid w:val="005764B1"/>
    <w:rsid w:val="00576852"/>
    <w:rsid w:val="00576D06"/>
    <w:rsid w:val="005779E4"/>
    <w:rsid w:val="00577A03"/>
    <w:rsid w:val="00580EC7"/>
    <w:rsid w:val="0058283D"/>
    <w:rsid w:val="0058289C"/>
    <w:rsid w:val="005835A5"/>
    <w:rsid w:val="005836C7"/>
    <w:rsid w:val="0058408E"/>
    <w:rsid w:val="00585374"/>
    <w:rsid w:val="005854CA"/>
    <w:rsid w:val="00585FAB"/>
    <w:rsid w:val="005901F7"/>
    <w:rsid w:val="00590B77"/>
    <w:rsid w:val="00590D9A"/>
    <w:rsid w:val="005913A3"/>
    <w:rsid w:val="005940D4"/>
    <w:rsid w:val="00594A7B"/>
    <w:rsid w:val="0059580E"/>
    <w:rsid w:val="00595D90"/>
    <w:rsid w:val="00596A6F"/>
    <w:rsid w:val="00596D75"/>
    <w:rsid w:val="00596FCE"/>
    <w:rsid w:val="005A11BC"/>
    <w:rsid w:val="005A11CC"/>
    <w:rsid w:val="005A1525"/>
    <w:rsid w:val="005A1E17"/>
    <w:rsid w:val="005A24EF"/>
    <w:rsid w:val="005A252B"/>
    <w:rsid w:val="005A2A8F"/>
    <w:rsid w:val="005A2FDF"/>
    <w:rsid w:val="005A3204"/>
    <w:rsid w:val="005A3341"/>
    <w:rsid w:val="005A3C3D"/>
    <w:rsid w:val="005A46EC"/>
    <w:rsid w:val="005A5EAE"/>
    <w:rsid w:val="005A6407"/>
    <w:rsid w:val="005A726C"/>
    <w:rsid w:val="005B07EC"/>
    <w:rsid w:val="005B2B11"/>
    <w:rsid w:val="005B32A4"/>
    <w:rsid w:val="005B3371"/>
    <w:rsid w:val="005B338D"/>
    <w:rsid w:val="005B33A1"/>
    <w:rsid w:val="005B3852"/>
    <w:rsid w:val="005B3BAF"/>
    <w:rsid w:val="005B4DA3"/>
    <w:rsid w:val="005B5BEE"/>
    <w:rsid w:val="005B77D2"/>
    <w:rsid w:val="005C019B"/>
    <w:rsid w:val="005C08D0"/>
    <w:rsid w:val="005C1AED"/>
    <w:rsid w:val="005C2136"/>
    <w:rsid w:val="005C2D8A"/>
    <w:rsid w:val="005C30F5"/>
    <w:rsid w:val="005C51A5"/>
    <w:rsid w:val="005C557A"/>
    <w:rsid w:val="005C566F"/>
    <w:rsid w:val="005C5C47"/>
    <w:rsid w:val="005C61DD"/>
    <w:rsid w:val="005C6438"/>
    <w:rsid w:val="005C6B8B"/>
    <w:rsid w:val="005C727F"/>
    <w:rsid w:val="005D02E3"/>
    <w:rsid w:val="005D1F34"/>
    <w:rsid w:val="005D2C1F"/>
    <w:rsid w:val="005D34B2"/>
    <w:rsid w:val="005D3B54"/>
    <w:rsid w:val="005D40CD"/>
    <w:rsid w:val="005D6B59"/>
    <w:rsid w:val="005D784B"/>
    <w:rsid w:val="005D7A7B"/>
    <w:rsid w:val="005E03E4"/>
    <w:rsid w:val="005E0454"/>
    <w:rsid w:val="005E05F6"/>
    <w:rsid w:val="005E2442"/>
    <w:rsid w:val="005E3111"/>
    <w:rsid w:val="005E3CA0"/>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572D"/>
    <w:rsid w:val="005F6181"/>
    <w:rsid w:val="005F6338"/>
    <w:rsid w:val="005F6D58"/>
    <w:rsid w:val="005F7383"/>
    <w:rsid w:val="0060058E"/>
    <w:rsid w:val="00602A3C"/>
    <w:rsid w:val="00603EFD"/>
    <w:rsid w:val="0060475B"/>
    <w:rsid w:val="00604BED"/>
    <w:rsid w:val="00604FB6"/>
    <w:rsid w:val="00605387"/>
    <w:rsid w:val="00606302"/>
    <w:rsid w:val="00606D8C"/>
    <w:rsid w:val="006076FD"/>
    <w:rsid w:val="0061143F"/>
    <w:rsid w:val="006114D8"/>
    <w:rsid w:val="00613553"/>
    <w:rsid w:val="00613601"/>
    <w:rsid w:val="00613791"/>
    <w:rsid w:val="00614AF6"/>
    <w:rsid w:val="006150D6"/>
    <w:rsid w:val="00615245"/>
    <w:rsid w:val="0061590D"/>
    <w:rsid w:val="0061732A"/>
    <w:rsid w:val="00617EEE"/>
    <w:rsid w:val="00620A1F"/>
    <w:rsid w:val="0062169D"/>
    <w:rsid w:val="0062181E"/>
    <w:rsid w:val="0062211B"/>
    <w:rsid w:val="00622BB7"/>
    <w:rsid w:val="00622C1E"/>
    <w:rsid w:val="00623389"/>
    <w:rsid w:val="00623DAA"/>
    <w:rsid w:val="00623FAF"/>
    <w:rsid w:val="006265C4"/>
    <w:rsid w:val="0062670C"/>
    <w:rsid w:val="0062678A"/>
    <w:rsid w:val="006270AF"/>
    <w:rsid w:val="006311E2"/>
    <w:rsid w:val="00633C69"/>
    <w:rsid w:val="00634367"/>
    <w:rsid w:val="006359B3"/>
    <w:rsid w:val="00640082"/>
    <w:rsid w:val="00640291"/>
    <w:rsid w:val="00640EFE"/>
    <w:rsid w:val="00641D6D"/>
    <w:rsid w:val="00641FAC"/>
    <w:rsid w:val="00643664"/>
    <w:rsid w:val="00643CAA"/>
    <w:rsid w:val="00644F16"/>
    <w:rsid w:val="006453F1"/>
    <w:rsid w:val="006455EB"/>
    <w:rsid w:val="006456C2"/>
    <w:rsid w:val="00645A65"/>
    <w:rsid w:val="006477F0"/>
    <w:rsid w:val="006478E4"/>
    <w:rsid w:val="0065171A"/>
    <w:rsid w:val="00652680"/>
    <w:rsid w:val="00652E4A"/>
    <w:rsid w:val="00653CDE"/>
    <w:rsid w:val="00654585"/>
    <w:rsid w:val="00654E5D"/>
    <w:rsid w:val="0065566E"/>
    <w:rsid w:val="00655AB6"/>
    <w:rsid w:val="00656061"/>
    <w:rsid w:val="00656281"/>
    <w:rsid w:val="0065636A"/>
    <w:rsid w:val="00657003"/>
    <w:rsid w:val="00660238"/>
    <w:rsid w:val="006602EF"/>
    <w:rsid w:val="00661277"/>
    <w:rsid w:val="006619E0"/>
    <w:rsid w:val="00663AE1"/>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022"/>
    <w:rsid w:val="00690437"/>
    <w:rsid w:val="00690679"/>
    <w:rsid w:val="00690DC3"/>
    <w:rsid w:val="00690E65"/>
    <w:rsid w:val="00690FB5"/>
    <w:rsid w:val="006911B7"/>
    <w:rsid w:val="00691387"/>
    <w:rsid w:val="0069188E"/>
    <w:rsid w:val="00691974"/>
    <w:rsid w:val="00692BF6"/>
    <w:rsid w:val="00692CE6"/>
    <w:rsid w:val="00693186"/>
    <w:rsid w:val="00693381"/>
    <w:rsid w:val="00693B6C"/>
    <w:rsid w:val="006942AE"/>
    <w:rsid w:val="00695421"/>
    <w:rsid w:val="006956FF"/>
    <w:rsid w:val="00697BD3"/>
    <w:rsid w:val="00697DFA"/>
    <w:rsid w:val="006A16D5"/>
    <w:rsid w:val="006A1772"/>
    <w:rsid w:val="006A1780"/>
    <w:rsid w:val="006A21DD"/>
    <w:rsid w:val="006A26C6"/>
    <w:rsid w:val="006A3302"/>
    <w:rsid w:val="006A3B28"/>
    <w:rsid w:val="006A418C"/>
    <w:rsid w:val="006A4FEE"/>
    <w:rsid w:val="006A5549"/>
    <w:rsid w:val="006A703E"/>
    <w:rsid w:val="006A7BE3"/>
    <w:rsid w:val="006A7D32"/>
    <w:rsid w:val="006B01D1"/>
    <w:rsid w:val="006B0DF4"/>
    <w:rsid w:val="006B16EA"/>
    <w:rsid w:val="006B1780"/>
    <w:rsid w:val="006B224E"/>
    <w:rsid w:val="006B376E"/>
    <w:rsid w:val="006B4589"/>
    <w:rsid w:val="006B4A81"/>
    <w:rsid w:val="006B5157"/>
    <w:rsid w:val="006B610E"/>
    <w:rsid w:val="006B6805"/>
    <w:rsid w:val="006B6C07"/>
    <w:rsid w:val="006B6DE0"/>
    <w:rsid w:val="006C0132"/>
    <w:rsid w:val="006C16C3"/>
    <w:rsid w:val="006C2187"/>
    <w:rsid w:val="006C32F4"/>
    <w:rsid w:val="006C3C54"/>
    <w:rsid w:val="006C4B6B"/>
    <w:rsid w:val="006C4CE1"/>
    <w:rsid w:val="006C4F9F"/>
    <w:rsid w:val="006C653C"/>
    <w:rsid w:val="006C71A2"/>
    <w:rsid w:val="006C73EC"/>
    <w:rsid w:val="006C7E3D"/>
    <w:rsid w:val="006D0C1D"/>
    <w:rsid w:val="006D2E9D"/>
    <w:rsid w:val="006D4A4E"/>
    <w:rsid w:val="006D4C42"/>
    <w:rsid w:val="006D5389"/>
    <w:rsid w:val="006D53A2"/>
    <w:rsid w:val="006D5809"/>
    <w:rsid w:val="006D607E"/>
    <w:rsid w:val="006D6E12"/>
    <w:rsid w:val="006D70CB"/>
    <w:rsid w:val="006D715C"/>
    <w:rsid w:val="006D7363"/>
    <w:rsid w:val="006D774E"/>
    <w:rsid w:val="006D7E24"/>
    <w:rsid w:val="006E0754"/>
    <w:rsid w:val="006E2668"/>
    <w:rsid w:val="006E2D39"/>
    <w:rsid w:val="006E2D63"/>
    <w:rsid w:val="006E32B0"/>
    <w:rsid w:val="006E348E"/>
    <w:rsid w:val="006E396A"/>
    <w:rsid w:val="006E3D63"/>
    <w:rsid w:val="006E585E"/>
    <w:rsid w:val="006E58BF"/>
    <w:rsid w:val="006E5DD8"/>
    <w:rsid w:val="006E5EA1"/>
    <w:rsid w:val="006E6DEE"/>
    <w:rsid w:val="006E7D4B"/>
    <w:rsid w:val="006F0527"/>
    <w:rsid w:val="006F0760"/>
    <w:rsid w:val="006F11E2"/>
    <w:rsid w:val="006F2574"/>
    <w:rsid w:val="006F3231"/>
    <w:rsid w:val="006F3DE3"/>
    <w:rsid w:val="006F4787"/>
    <w:rsid w:val="006F4BE6"/>
    <w:rsid w:val="006F61D8"/>
    <w:rsid w:val="006F62B7"/>
    <w:rsid w:val="006F70BC"/>
    <w:rsid w:val="006F726C"/>
    <w:rsid w:val="006F7E7C"/>
    <w:rsid w:val="0070174E"/>
    <w:rsid w:val="007018DB"/>
    <w:rsid w:val="00701DE6"/>
    <w:rsid w:val="00702740"/>
    <w:rsid w:val="0070381B"/>
    <w:rsid w:val="0070796C"/>
    <w:rsid w:val="007109BB"/>
    <w:rsid w:val="00710EBF"/>
    <w:rsid w:val="007110B8"/>
    <w:rsid w:val="0071209F"/>
    <w:rsid w:val="007121DA"/>
    <w:rsid w:val="007125A2"/>
    <w:rsid w:val="00712656"/>
    <w:rsid w:val="00713DD9"/>
    <w:rsid w:val="00713F79"/>
    <w:rsid w:val="007148A8"/>
    <w:rsid w:val="00716AC8"/>
    <w:rsid w:val="00716E54"/>
    <w:rsid w:val="0072033C"/>
    <w:rsid w:val="00720B1B"/>
    <w:rsid w:val="00720EDC"/>
    <w:rsid w:val="00721062"/>
    <w:rsid w:val="00721E5D"/>
    <w:rsid w:val="007229D4"/>
    <w:rsid w:val="007230F8"/>
    <w:rsid w:val="0072318A"/>
    <w:rsid w:val="007233F4"/>
    <w:rsid w:val="00723B99"/>
    <w:rsid w:val="00724044"/>
    <w:rsid w:val="007248D3"/>
    <w:rsid w:val="00724DF8"/>
    <w:rsid w:val="00725137"/>
    <w:rsid w:val="00725378"/>
    <w:rsid w:val="00727A43"/>
    <w:rsid w:val="00727FF2"/>
    <w:rsid w:val="00730550"/>
    <w:rsid w:val="00730C2A"/>
    <w:rsid w:val="00730FB4"/>
    <w:rsid w:val="00731434"/>
    <w:rsid w:val="00731E59"/>
    <w:rsid w:val="00731F63"/>
    <w:rsid w:val="007323E0"/>
    <w:rsid w:val="00732911"/>
    <w:rsid w:val="00732B4E"/>
    <w:rsid w:val="0073360F"/>
    <w:rsid w:val="00733721"/>
    <w:rsid w:val="00733DE2"/>
    <w:rsid w:val="0073414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386"/>
    <w:rsid w:val="00747829"/>
    <w:rsid w:val="00747DE2"/>
    <w:rsid w:val="007502D0"/>
    <w:rsid w:val="007504BF"/>
    <w:rsid w:val="007506CD"/>
    <w:rsid w:val="0075267F"/>
    <w:rsid w:val="007526EC"/>
    <w:rsid w:val="00753C48"/>
    <w:rsid w:val="00754250"/>
    <w:rsid w:val="00754FE4"/>
    <w:rsid w:val="00755216"/>
    <w:rsid w:val="00756236"/>
    <w:rsid w:val="00756271"/>
    <w:rsid w:val="00756348"/>
    <w:rsid w:val="0075641E"/>
    <w:rsid w:val="00756521"/>
    <w:rsid w:val="00756AB7"/>
    <w:rsid w:val="00757053"/>
    <w:rsid w:val="00757673"/>
    <w:rsid w:val="0076106D"/>
    <w:rsid w:val="007623FB"/>
    <w:rsid w:val="00762517"/>
    <w:rsid w:val="00763240"/>
    <w:rsid w:val="0076354C"/>
    <w:rsid w:val="0076376A"/>
    <w:rsid w:val="007648AD"/>
    <w:rsid w:val="0076504E"/>
    <w:rsid w:val="0076554C"/>
    <w:rsid w:val="00767BFD"/>
    <w:rsid w:val="00767EA0"/>
    <w:rsid w:val="0077068F"/>
    <w:rsid w:val="00771EDF"/>
    <w:rsid w:val="00771FEC"/>
    <w:rsid w:val="007724B4"/>
    <w:rsid w:val="00772A90"/>
    <w:rsid w:val="00772F8D"/>
    <w:rsid w:val="0077408D"/>
    <w:rsid w:val="00774270"/>
    <w:rsid w:val="007743F6"/>
    <w:rsid w:val="00775679"/>
    <w:rsid w:val="0077574F"/>
    <w:rsid w:val="00775823"/>
    <w:rsid w:val="00777153"/>
    <w:rsid w:val="007774D0"/>
    <w:rsid w:val="007777CC"/>
    <w:rsid w:val="00777B32"/>
    <w:rsid w:val="0078051E"/>
    <w:rsid w:val="00781089"/>
    <w:rsid w:val="00782B6A"/>
    <w:rsid w:val="007834AD"/>
    <w:rsid w:val="007838F3"/>
    <w:rsid w:val="00785184"/>
    <w:rsid w:val="007856FE"/>
    <w:rsid w:val="00785F46"/>
    <w:rsid w:val="007865F4"/>
    <w:rsid w:val="00786D5C"/>
    <w:rsid w:val="00786E96"/>
    <w:rsid w:val="00787BB6"/>
    <w:rsid w:val="00787DFF"/>
    <w:rsid w:val="00787F93"/>
    <w:rsid w:val="00790500"/>
    <w:rsid w:val="00791E6D"/>
    <w:rsid w:val="00791EB5"/>
    <w:rsid w:val="00793307"/>
    <w:rsid w:val="0079343F"/>
    <w:rsid w:val="00793696"/>
    <w:rsid w:val="007955DA"/>
    <w:rsid w:val="00796F65"/>
    <w:rsid w:val="007A11C2"/>
    <w:rsid w:val="007A18BB"/>
    <w:rsid w:val="007A27DD"/>
    <w:rsid w:val="007A41BF"/>
    <w:rsid w:val="007A490A"/>
    <w:rsid w:val="007A6268"/>
    <w:rsid w:val="007A7B95"/>
    <w:rsid w:val="007B0297"/>
    <w:rsid w:val="007B02FA"/>
    <w:rsid w:val="007B08C7"/>
    <w:rsid w:val="007B0F53"/>
    <w:rsid w:val="007B21AE"/>
    <w:rsid w:val="007B2570"/>
    <w:rsid w:val="007B3113"/>
    <w:rsid w:val="007B3304"/>
    <w:rsid w:val="007B3BF0"/>
    <w:rsid w:val="007B55FE"/>
    <w:rsid w:val="007B7490"/>
    <w:rsid w:val="007C0525"/>
    <w:rsid w:val="007C13F7"/>
    <w:rsid w:val="007C152F"/>
    <w:rsid w:val="007C218D"/>
    <w:rsid w:val="007C2D28"/>
    <w:rsid w:val="007C3E22"/>
    <w:rsid w:val="007C4E19"/>
    <w:rsid w:val="007C58C1"/>
    <w:rsid w:val="007C6218"/>
    <w:rsid w:val="007C6484"/>
    <w:rsid w:val="007C67C6"/>
    <w:rsid w:val="007C78BE"/>
    <w:rsid w:val="007C7A5D"/>
    <w:rsid w:val="007C7E59"/>
    <w:rsid w:val="007D0476"/>
    <w:rsid w:val="007D0B91"/>
    <w:rsid w:val="007D1452"/>
    <w:rsid w:val="007D1563"/>
    <w:rsid w:val="007D3DCB"/>
    <w:rsid w:val="007D460C"/>
    <w:rsid w:val="007D4996"/>
    <w:rsid w:val="007D4AD3"/>
    <w:rsid w:val="007D4B4D"/>
    <w:rsid w:val="007D5D19"/>
    <w:rsid w:val="007D5FDC"/>
    <w:rsid w:val="007D6176"/>
    <w:rsid w:val="007D69CD"/>
    <w:rsid w:val="007D6D68"/>
    <w:rsid w:val="007E1D01"/>
    <w:rsid w:val="007E32DA"/>
    <w:rsid w:val="007E4998"/>
    <w:rsid w:val="007E4A9C"/>
    <w:rsid w:val="007E5065"/>
    <w:rsid w:val="007E6914"/>
    <w:rsid w:val="007E6B65"/>
    <w:rsid w:val="007E7F78"/>
    <w:rsid w:val="007F0179"/>
    <w:rsid w:val="007F1D16"/>
    <w:rsid w:val="007F2C13"/>
    <w:rsid w:val="007F2CEC"/>
    <w:rsid w:val="007F3327"/>
    <w:rsid w:val="007F3435"/>
    <w:rsid w:val="007F531B"/>
    <w:rsid w:val="007F55DE"/>
    <w:rsid w:val="007F762D"/>
    <w:rsid w:val="007F78F0"/>
    <w:rsid w:val="007F78FF"/>
    <w:rsid w:val="008001C5"/>
    <w:rsid w:val="00800F6C"/>
    <w:rsid w:val="00801065"/>
    <w:rsid w:val="00802C0B"/>
    <w:rsid w:val="00805040"/>
    <w:rsid w:val="008051FC"/>
    <w:rsid w:val="008055A9"/>
    <w:rsid w:val="008056C4"/>
    <w:rsid w:val="008057FD"/>
    <w:rsid w:val="00805D8B"/>
    <w:rsid w:val="0081010F"/>
    <w:rsid w:val="00810A0B"/>
    <w:rsid w:val="00810BB6"/>
    <w:rsid w:val="00810E1F"/>
    <w:rsid w:val="00810E8E"/>
    <w:rsid w:val="00812C44"/>
    <w:rsid w:val="008135E1"/>
    <w:rsid w:val="00813779"/>
    <w:rsid w:val="00813E26"/>
    <w:rsid w:val="0081481D"/>
    <w:rsid w:val="00814BE8"/>
    <w:rsid w:val="00814F6E"/>
    <w:rsid w:val="00815B84"/>
    <w:rsid w:val="008162B6"/>
    <w:rsid w:val="008166F6"/>
    <w:rsid w:val="00816BE9"/>
    <w:rsid w:val="00817D10"/>
    <w:rsid w:val="00822518"/>
    <w:rsid w:val="008226F5"/>
    <w:rsid w:val="00823109"/>
    <w:rsid w:val="00823FC6"/>
    <w:rsid w:val="00824306"/>
    <w:rsid w:val="00825C74"/>
    <w:rsid w:val="00825CFA"/>
    <w:rsid w:val="00826AB9"/>
    <w:rsid w:val="00826E0E"/>
    <w:rsid w:val="00827D11"/>
    <w:rsid w:val="00827E0F"/>
    <w:rsid w:val="00827F6E"/>
    <w:rsid w:val="00831758"/>
    <w:rsid w:val="008317D9"/>
    <w:rsid w:val="0083279F"/>
    <w:rsid w:val="00833250"/>
    <w:rsid w:val="008334DB"/>
    <w:rsid w:val="00833B7F"/>
    <w:rsid w:val="00833E8E"/>
    <w:rsid w:val="00834906"/>
    <w:rsid w:val="00836075"/>
    <w:rsid w:val="00836417"/>
    <w:rsid w:val="00837526"/>
    <w:rsid w:val="00837B5A"/>
    <w:rsid w:val="008407A7"/>
    <w:rsid w:val="0084322B"/>
    <w:rsid w:val="0084341D"/>
    <w:rsid w:val="00843711"/>
    <w:rsid w:val="00843F81"/>
    <w:rsid w:val="00844087"/>
    <w:rsid w:val="008448F1"/>
    <w:rsid w:val="0084519E"/>
    <w:rsid w:val="00845CAE"/>
    <w:rsid w:val="008462C5"/>
    <w:rsid w:val="00846370"/>
    <w:rsid w:val="00846873"/>
    <w:rsid w:val="008477E7"/>
    <w:rsid w:val="00847C2B"/>
    <w:rsid w:val="00850272"/>
    <w:rsid w:val="008506B9"/>
    <w:rsid w:val="0085086F"/>
    <w:rsid w:val="00851822"/>
    <w:rsid w:val="00851C16"/>
    <w:rsid w:val="008532BF"/>
    <w:rsid w:val="008539B2"/>
    <w:rsid w:val="00853BF4"/>
    <w:rsid w:val="00854294"/>
    <w:rsid w:val="00854295"/>
    <w:rsid w:val="0085572E"/>
    <w:rsid w:val="0085788B"/>
    <w:rsid w:val="00857A9E"/>
    <w:rsid w:val="00857DE2"/>
    <w:rsid w:val="0086003D"/>
    <w:rsid w:val="00860152"/>
    <w:rsid w:val="008607CC"/>
    <w:rsid w:val="00863A8E"/>
    <w:rsid w:val="00863B59"/>
    <w:rsid w:val="00864025"/>
    <w:rsid w:val="0086407F"/>
    <w:rsid w:val="008645E3"/>
    <w:rsid w:val="00864E79"/>
    <w:rsid w:val="0086661F"/>
    <w:rsid w:val="00866A0D"/>
    <w:rsid w:val="00866DB5"/>
    <w:rsid w:val="0086701D"/>
    <w:rsid w:val="0086702B"/>
    <w:rsid w:val="008672E2"/>
    <w:rsid w:val="0086784E"/>
    <w:rsid w:val="0087063A"/>
    <w:rsid w:val="0087121C"/>
    <w:rsid w:val="008719D4"/>
    <w:rsid w:val="00871FD2"/>
    <w:rsid w:val="00872084"/>
    <w:rsid w:val="00872827"/>
    <w:rsid w:val="00872A32"/>
    <w:rsid w:val="00874911"/>
    <w:rsid w:val="008754E4"/>
    <w:rsid w:val="00876EAE"/>
    <w:rsid w:val="00880106"/>
    <w:rsid w:val="00880F95"/>
    <w:rsid w:val="00882B44"/>
    <w:rsid w:val="008838AD"/>
    <w:rsid w:val="00885BC9"/>
    <w:rsid w:val="008864B3"/>
    <w:rsid w:val="008865E5"/>
    <w:rsid w:val="008871B0"/>
    <w:rsid w:val="00890B57"/>
    <w:rsid w:val="00890CEC"/>
    <w:rsid w:val="008916BA"/>
    <w:rsid w:val="00891DEB"/>
    <w:rsid w:val="0089217C"/>
    <w:rsid w:val="00892790"/>
    <w:rsid w:val="00893671"/>
    <w:rsid w:val="00894D50"/>
    <w:rsid w:val="00895838"/>
    <w:rsid w:val="00895A1E"/>
    <w:rsid w:val="00895A72"/>
    <w:rsid w:val="00895CDF"/>
    <w:rsid w:val="00896679"/>
    <w:rsid w:val="00896D8C"/>
    <w:rsid w:val="008A0FC9"/>
    <w:rsid w:val="008A1956"/>
    <w:rsid w:val="008A1A7C"/>
    <w:rsid w:val="008A2CE2"/>
    <w:rsid w:val="008A30EB"/>
    <w:rsid w:val="008A40D3"/>
    <w:rsid w:val="008A469C"/>
    <w:rsid w:val="008A51D1"/>
    <w:rsid w:val="008A5DCE"/>
    <w:rsid w:val="008A75D3"/>
    <w:rsid w:val="008B04AE"/>
    <w:rsid w:val="008B05DD"/>
    <w:rsid w:val="008B07B8"/>
    <w:rsid w:val="008B17E8"/>
    <w:rsid w:val="008B2E7C"/>
    <w:rsid w:val="008B368E"/>
    <w:rsid w:val="008B399A"/>
    <w:rsid w:val="008B45F0"/>
    <w:rsid w:val="008B4A70"/>
    <w:rsid w:val="008B502F"/>
    <w:rsid w:val="008B6DFC"/>
    <w:rsid w:val="008B7227"/>
    <w:rsid w:val="008B7B00"/>
    <w:rsid w:val="008C02FB"/>
    <w:rsid w:val="008C04E0"/>
    <w:rsid w:val="008C191C"/>
    <w:rsid w:val="008C1DA4"/>
    <w:rsid w:val="008C2138"/>
    <w:rsid w:val="008C29B0"/>
    <w:rsid w:val="008C2CD5"/>
    <w:rsid w:val="008C3618"/>
    <w:rsid w:val="008C39E7"/>
    <w:rsid w:val="008C3E75"/>
    <w:rsid w:val="008C4371"/>
    <w:rsid w:val="008C43AD"/>
    <w:rsid w:val="008C6118"/>
    <w:rsid w:val="008C6341"/>
    <w:rsid w:val="008C653D"/>
    <w:rsid w:val="008C731F"/>
    <w:rsid w:val="008C74D9"/>
    <w:rsid w:val="008C7B1D"/>
    <w:rsid w:val="008D1804"/>
    <w:rsid w:val="008D2050"/>
    <w:rsid w:val="008D337B"/>
    <w:rsid w:val="008D3B2D"/>
    <w:rsid w:val="008D58D9"/>
    <w:rsid w:val="008D5AD4"/>
    <w:rsid w:val="008D695E"/>
    <w:rsid w:val="008D6DD5"/>
    <w:rsid w:val="008D6E59"/>
    <w:rsid w:val="008D7155"/>
    <w:rsid w:val="008D76E0"/>
    <w:rsid w:val="008E0B29"/>
    <w:rsid w:val="008E141A"/>
    <w:rsid w:val="008E1A44"/>
    <w:rsid w:val="008E211F"/>
    <w:rsid w:val="008E28E6"/>
    <w:rsid w:val="008E3232"/>
    <w:rsid w:val="008E3674"/>
    <w:rsid w:val="008E3B6C"/>
    <w:rsid w:val="008E3DE7"/>
    <w:rsid w:val="008E5227"/>
    <w:rsid w:val="008E562C"/>
    <w:rsid w:val="008E6540"/>
    <w:rsid w:val="008E77D4"/>
    <w:rsid w:val="008E7ADD"/>
    <w:rsid w:val="008F0869"/>
    <w:rsid w:val="008F091F"/>
    <w:rsid w:val="008F17B2"/>
    <w:rsid w:val="008F22B3"/>
    <w:rsid w:val="008F33A9"/>
    <w:rsid w:val="008F357B"/>
    <w:rsid w:val="008F44CA"/>
    <w:rsid w:val="008F49D3"/>
    <w:rsid w:val="008F6519"/>
    <w:rsid w:val="008F7012"/>
    <w:rsid w:val="008F75B6"/>
    <w:rsid w:val="008F7ADA"/>
    <w:rsid w:val="008F7B17"/>
    <w:rsid w:val="00900042"/>
    <w:rsid w:val="0090008E"/>
    <w:rsid w:val="0090034B"/>
    <w:rsid w:val="0090087C"/>
    <w:rsid w:val="00901121"/>
    <w:rsid w:val="00901B35"/>
    <w:rsid w:val="00902623"/>
    <w:rsid w:val="00902A67"/>
    <w:rsid w:val="00902C5E"/>
    <w:rsid w:val="00902F6B"/>
    <w:rsid w:val="00903CF9"/>
    <w:rsid w:val="00904BE4"/>
    <w:rsid w:val="0090504A"/>
    <w:rsid w:val="009051F5"/>
    <w:rsid w:val="00905221"/>
    <w:rsid w:val="00905A7C"/>
    <w:rsid w:val="00905D7E"/>
    <w:rsid w:val="00907037"/>
    <w:rsid w:val="0091112C"/>
    <w:rsid w:val="0091160A"/>
    <w:rsid w:val="0091199D"/>
    <w:rsid w:val="00911B4E"/>
    <w:rsid w:val="00912E04"/>
    <w:rsid w:val="00913258"/>
    <w:rsid w:val="00913851"/>
    <w:rsid w:val="0091389B"/>
    <w:rsid w:val="00913BB0"/>
    <w:rsid w:val="0091456C"/>
    <w:rsid w:val="00914C58"/>
    <w:rsid w:val="00914D7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183B"/>
    <w:rsid w:val="009321B1"/>
    <w:rsid w:val="00932ED7"/>
    <w:rsid w:val="0093422D"/>
    <w:rsid w:val="0093483B"/>
    <w:rsid w:val="00934CF9"/>
    <w:rsid w:val="00934DD7"/>
    <w:rsid w:val="00935CB2"/>
    <w:rsid w:val="009369A9"/>
    <w:rsid w:val="00936CF7"/>
    <w:rsid w:val="00937783"/>
    <w:rsid w:val="00937EAD"/>
    <w:rsid w:val="00937F28"/>
    <w:rsid w:val="00940FE1"/>
    <w:rsid w:val="00942306"/>
    <w:rsid w:val="009424B8"/>
    <w:rsid w:val="009432E2"/>
    <w:rsid w:val="00944668"/>
    <w:rsid w:val="00944DC6"/>
    <w:rsid w:val="00944F3C"/>
    <w:rsid w:val="009458B0"/>
    <w:rsid w:val="00945B52"/>
    <w:rsid w:val="00945B7A"/>
    <w:rsid w:val="00945F05"/>
    <w:rsid w:val="00946348"/>
    <w:rsid w:val="009463FF"/>
    <w:rsid w:val="00947224"/>
    <w:rsid w:val="00947797"/>
    <w:rsid w:val="009478A2"/>
    <w:rsid w:val="009533BD"/>
    <w:rsid w:val="00953808"/>
    <w:rsid w:val="009539A6"/>
    <w:rsid w:val="00953CC3"/>
    <w:rsid w:val="00954032"/>
    <w:rsid w:val="00954537"/>
    <w:rsid w:val="0095472D"/>
    <w:rsid w:val="00955342"/>
    <w:rsid w:val="00955FBB"/>
    <w:rsid w:val="0095694B"/>
    <w:rsid w:val="00956A73"/>
    <w:rsid w:val="00956BD5"/>
    <w:rsid w:val="00956D84"/>
    <w:rsid w:val="009577B5"/>
    <w:rsid w:val="00957B44"/>
    <w:rsid w:val="009608E6"/>
    <w:rsid w:val="00960F57"/>
    <w:rsid w:val="00961C90"/>
    <w:rsid w:val="00965443"/>
    <w:rsid w:val="00965954"/>
    <w:rsid w:val="00965A21"/>
    <w:rsid w:val="00965E55"/>
    <w:rsid w:val="0096608E"/>
    <w:rsid w:val="00966522"/>
    <w:rsid w:val="00966C33"/>
    <w:rsid w:val="00967F53"/>
    <w:rsid w:val="00970F18"/>
    <w:rsid w:val="00971CF1"/>
    <w:rsid w:val="00971F5D"/>
    <w:rsid w:val="009721E9"/>
    <w:rsid w:val="00973772"/>
    <w:rsid w:val="0097560A"/>
    <w:rsid w:val="00975E1E"/>
    <w:rsid w:val="00975E70"/>
    <w:rsid w:val="009761DE"/>
    <w:rsid w:val="009766FA"/>
    <w:rsid w:val="00977A95"/>
    <w:rsid w:val="00977CD6"/>
    <w:rsid w:val="0098048B"/>
    <w:rsid w:val="00980908"/>
    <w:rsid w:val="00980DF9"/>
    <w:rsid w:val="00981CD8"/>
    <w:rsid w:val="0098243D"/>
    <w:rsid w:val="00982D26"/>
    <w:rsid w:val="00983B6E"/>
    <w:rsid w:val="00983FE5"/>
    <w:rsid w:val="009849E9"/>
    <w:rsid w:val="00984AFF"/>
    <w:rsid w:val="00984E4B"/>
    <w:rsid w:val="009859E4"/>
    <w:rsid w:val="00987812"/>
    <w:rsid w:val="00987F24"/>
    <w:rsid w:val="00990225"/>
    <w:rsid w:val="00991307"/>
    <w:rsid w:val="00992A13"/>
    <w:rsid w:val="00994AAD"/>
    <w:rsid w:val="00995150"/>
    <w:rsid w:val="00995475"/>
    <w:rsid w:val="00995D67"/>
    <w:rsid w:val="00996E5D"/>
    <w:rsid w:val="00997613"/>
    <w:rsid w:val="009A013B"/>
    <w:rsid w:val="009A02F4"/>
    <w:rsid w:val="009A06BF"/>
    <w:rsid w:val="009A0D17"/>
    <w:rsid w:val="009A2494"/>
    <w:rsid w:val="009A32B1"/>
    <w:rsid w:val="009A33A3"/>
    <w:rsid w:val="009A36F2"/>
    <w:rsid w:val="009A40C3"/>
    <w:rsid w:val="009A40D5"/>
    <w:rsid w:val="009A5268"/>
    <w:rsid w:val="009A57D0"/>
    <w:rsid w:val="009A5BAA"/>
    <w:rsid w:val="009A6559"/>
    <w:rsid w:val="009A68FC"/>
    <w:rsid w:val="009A6CE4"/>
    <w:rsid w:val="009A6EC3"/>
    <w:rsid w:val="009A7514"/>
    <w:rsid w:val="009A7E7A"/>
    <w:rsid w:val="009B0925"/>
    <w:rsid w:val="009B1584"/>
    <w:rsid w:val="009B18F0"/>
    <w:rsid w:val="009B1F4C"/>
    <w:rsid w:val="009B2471"/>
    <w:rsid w:val="009B314F"/>
    <w:rsid w:val="009B439C"/>
    <w:rsid w:val="009B49A1"/>
    <w:rsid w:val="009B4A6C"/>
    <w:rsid w:val="009B4DA8"/>
    <w:rsid w:val="009B519A"/>
    <w:rsid w:val="009B620C"/>
    <w:rsid w:val="009B6753"/>
    <w:rsid w:val="009B676C"/>
    <w:rsid w:val="009B6A26"/>
    <w:rsid w:val="009B743A"/>
    <w:rsid w:val="009B7DC0"/>
    <w:rsid w:val="009C079D"/>
    <w:rsid w:val="009C0D70"/>
    <w:rsid w:val="009C13D1"/>
    <w:rsid w:val="009C2913"/>
    <w:rsid w:val="009C2BD4"/>
    <w:rsid w:val="009C3E72"/>
    <w:rsid w:val="009C4AE8"/>
    <w:rsid w:val="009C5848"/>
    <w:rsid w:val="009C5AFE"/>
    <w:rsid w:val="009C5F31"/>
    <w:rsid w:val="009C6606"/>
    <w:rsid w:val="009C6CE5"/>
    <w:rsid w:val="009C6D50"/>
    <w:rsid w:val="009C7547"/>
    <w:rsid w:val="009D0199"/>
    <w:rsid w:val="009D05EC"/>
    <w:rsid w:val="009D18D4"/>
    <w:rsid w:val="009D1A1F"/>
    <w:rsid w:val="009D2F60"/>
    <w:rsid w:val="009D3A2E"/>
    <w:rsid w:val="009D5ADE"/>
    <w:rsid w:val="009D5BAC"/>
    <w:rsid w:val="009D5C56"/>
    <w:rsid w:val="009D6265"/>
    <w:rsid w:val="009D64BD"/>
    <w:rsid w:val="009D6CB1"/>
    <w:rsid w:val="009D7F34"/>
    <w:rsid w:val="009E0286"/>
    <w:rsid w:val="009E153F"/>
    <w:rsid w:val="009E18C5"/>
    <w:rsid w:val="009E322A"/>
    <w:rsid w:val="009E3833"/>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21B"/>
    <w:rsid w:val="00A054E0"/>
    <w:rsid w:val="00A05D91"/>
    <w:rsid w:val="00A0621A"/>
    <w:rsid w:val="00A0740B"/>
    <w:rsid w:val="00A07ED3"/>
    <w:rsid w:val="00A10CA8"/>
    <w:rsid w:val="00A10F9B"/>
    <w:rsid w:val="00A10FA1"/>
    <w:rsid w:val="00A11042"/>
    <w:rsid w:val="00A12579"/>
    <w:rsid w:val="00A12CDC"/>
    <w:rsid w:val="00A133D8"/>
    <w:rsid w:val="00A15655"/>
    <w:rsid w:val="00A160B0"/>
    <w:rsid w:val="00A1740C"/>
    <w:rsid w:val="00A17904"/>
    <w:rsid w:val="00A20069"/>
    <w:rsid w:val="00A2244D"/>
    <w:rsid w:val="00A2253D"/>
    <w:rsid w:val="00A2267F"/>
    <w:rsid w:val="00A22CDB"/>
    <w:rsid w:val="00A23AEC"/>
    <w:rsid w:val="00A23C18"/>
    <w:rsid w:val="00A23E0A"/>
    <w:rsid w:val="00A247B8"/>
    <w:rsid w:val="00A2495A"/>
    <w:rsid w:val="00A24C7A"/>
    <w:rsid w:val="00A24D8F"/>
    <w:rsid w:val="00A25B8B"/>
    <w:rsid w:val="00A266D3"/>
    <w:rsid w:val="00A2689F"/>
    <w:rsid w:val="00A26ECA"/>
    <w:rsid w:val="00A27461"/>
    <w:rsid w:val="00A27B41"/>
    <w:rsid w:val="00A27D67"/>
    <w:rsid w:val="00A30ABC"/>
    <w:rsid w:val="00A322B4"/>
    <w:rsid w:val="00A33B74"/>
    <w:rsid w:val="00A34381"/>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BF7"/>
    <w:rsid w:val="00A47ECC"/>
    <w:rsid w:val="00A50171"/>
    <w:rsid w:val="00A5045C"/>
    <w:rsid w:val="00A504FA"/>
    <w:rsid w:val="00A5102E"/>
    <w:rsid w:val="00A5132E"/>
    <w:rsid w:val="00A51375"/>
    <w:rsid w:val="00A51533"/>
    <w:rsid w:val="00A52D36"/>
    <w:rsid w:val="00A531D4"/>
    <w:rsid w:val="00A54572"/>
    <w:rsid w:val="00A54DA4"/>
    <w:rsid w:val="00A575B8"/>
    <w:rsid w:val="00A61C60"/>
    <w:rsid w:val="00A61ECB"/>
    <w:rsid w:val="00A638A0"/>
    <w:rsid w:val="00A6410C"/>
    <w:rsid w:val="00A647B1"/>
    <w:rsid w:val="00A64DEF"/>
    <w:rsid w:val="00A654D2"/>
    <w:rsid w:val="00A665DF"/>
    <w:rsid w:val="00A6699F"/>
    <w:rsid w:val="00A67FCC"/>
    <w:rsid w:val="00A70AA5"/>
    <w:rsid w:val="00A70C03"/>
    <w:rsid w:val="00A70D0D"/>
    <w:rsid w:val="00A7103D"/>
    <w:rsid w:val="00A71256"/>
    <w:rsid w:val="00A7217B"/>
    <w:rsid w:val="00A73861"/>
    <w:rsid w:val="00A739A6"/>
    <w:rsid w:val="00A740ED"/>
    <w:rsid w:val="00A74C29"/>
    <w:rsid w:val="00A74C62"/>
    <w:rsid w:val="00A75EF9"/>
    <w:rsid w:val="00A7657C"/>
    <w:rsid w:val="00A81592"/>
    <w:rsid w:val="00A82486"/>
    <w:rsid w:val="00A8311C"/>
    <w:rsid w:val="00A835D0"/>
    <w:rsid w:val="00A84C5F"/>
    <w:rsid w:val="00A85930"/>
    <w:rsid w:val="00A863F7"/>
    <w:rsid w:val="00A86604"/>
    <w:rsid w:val="00A87519"/>
    <w:rsid w:val="00A9246D"/>
    <w:rsid w:val="00A92CCA"/>
    <w:rsid w:val="00A92F9F"/>
    <w:rsid w:val="00A939FA"/>
    <w:rsid w:val="00A93BD0"/>
    <w:rsid w:val="00A93CC2"/>
    <w:rsid w:val="00A94D4B"/>
    <w:rsid w:val="00A974CC"/>
    <w:rsid w:val="00AA2001"/>
    <w:rsid w:val="00AA2B5C"/>
    <w:rsid w:val="00AA32D2"/>
    <w:rsid w:val="00AA3B8B"/>
    <w:rsid w:val="00AA4016"/>
    <w:rsid w:val="00AA4B06"/>
    <w:rsid w:val="00AA4C1F"/>
    <w:rsid w:val="00AA4E80"/>
    <w:rsid w:val="00AA5328"/>
    <w:rsid w:val="00AA5393"/>
    <w:rsid w:val="00AA5D13"/>
    <w:rsid w:val="00AA63D4"/>
    <w:rsid w:val="00AB03FD"/>
    <w:rsid w:val="00AB2000"/>
    <w:rsid w:val="00AB2C54"/>
    <w:rsid w:val="00AB38CB"/>
    <w:rsid w:val="00AB3BEC"/>
    <w:rsid w:val="00AB44E4"/>
    <w:rsid w:val="00AB499C"/>
    <w:rsid w:val="00AB4AEB"/>
    <w:rsid w:val="00AB4E5F"/>
    <w:rsid w:val="00AB5352"/>
    <w:rsid w:val="00AB56AE"/>
    <w:rsid w:val="00AB62D5"/>
    <w:rsid w:val="00AB658E"/>
    <w:rsid w:val="00AB65B5"/>
    <w:rsid w:val="00AB6DCD"/>
    <w:rsid w:val="00AB6EE0"/>
    <w:rsid w:val="00AB73DC"/>
    <w:rsid w:val="00AC08E9"/>
    <w:rsid w:val="00AC17A2"/>
    <w:rsid w:val="00AC40B7"/>
    <w:rsid w:val="00AC4680"/>
    <w:rsid w:val="00AC516B"/>
    <w:rsid w:val="00AC531F"/>
    <w:rsid w:val="00AC5AAA"/>
    <w:rsid w:val="00AC5B36"/>
    <w:rsid w:val="00AC6377"/>
    <w:rsid w:val="00AC66A4"/>
    <w:rsid w:val="00AC6CB1"/>
    <w:rsid w:val="00AC75E9"/>
    <w:rsid w:val="00AC7D6D"/>
    <w:rsid w:val="00AD0091"/>
    <w:rsid w:val="00AD1A28"/>
    <w:rsid w:val="00AD23EF"/>
    <w:rsid w:val="00AD2662"/>
    <w:rsid w:val="00AD307B"/>
    <w:rsid w:val="00AD4014"/>
    <w:rsid w:val="00AD41B3"/>
    <w:rsid w:val="00AD5721"/>
    <w:rsid w:val="00AD663B"/>
    <w:rsid w:val="00AD69F0"/>
    <w:rsid w:val="00AD7127"/>
    <w:rsid w:val="00AD730C"/>
    <w:rsid w:val="00AE123A"/>
    <w:rsid w:val="00AE1539"/>
    <w:rsid w:val="00AE28A7"/>
    <w:rsid w:val="00AE2A98"/>
    <w:rsid w:val="00AE2CF2"/>
    <w:rsid w:val="00AE3012"/>
    <w:rsid w:val="00AE310D"/>
    <w:rsid w:val="00AE3297"/>
    <w:rsid w:val="00AE33A6"/>
    <w:rsid w:val="00AE3729"/>
    <w:rsid w:val="00AE4CCE"/>
    <w:rsid w:val="00AE5C6A"/>
    <w:rsid w:val="00AE5DB7"/>
    <w:rsid w:val="00AE7280"/>
    <w:rsid w:val="00AF01FA"/>
    <w:rsid w:val="00AF033A"/>
    <w:rsid w:val="00AF082B"/>
    <w:rsid w:val="00AF1699"/>
    <w:rsid w:val="00AF1FD3"/>
    <w:rsid w:val="00AF2910"/>
    <w:rsid w:val="00AF34B8"/>
    <w:rsid w:val="00AF3896"/>
    <w:rsid w:val="00AF3FC2"/>
    <w:rsid w:val="00AF4D55"/>
    <w:rsid w:val="00AF4DEC"/>
    <w:rsid w:val="00B0098A"/>
    <w:rsid w:val="00B00A5F"/>
    <w:rsid w:val="00B029B8"/>
    <w:rsid w:val="00B02F60"/>
    <w:rsid w:val="00B02F94"/>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43"/>
    <w:rsid w:val="00B12FE6"/>
    <w:rsid w:val="00B1303F"/>
    <w:rsid w:val="00B1364A"/>
    <w:rsid w:val="00B13859"/>
    <w:rsid w:val="00B13EC9"/>
    <w:rsid w:val="00B14319"/>
    <w:rsid w:val="00B14A06"/>
    <w:rsid w:val="00B158E1"/>
    <w:rsid w:val="00B15AEE"/>
    <w:rsid w:val="00B16715"/>
    <w:rsid w:val="00B1768E"/>
    <w:rsid w:val="00B17910"/>
    <w:rsid w:val="00B20F18"/>
    <w:rsid w:val="00B21516"/>
    <w:rsid w:val="00B21A37"/>
    <w:rsid w:val="00B21D23"/>
    <w:rsid w:val="00B21F62"/>
    <w:rsid w:val="00B22CE0"/>
    <w:rsid w:val="00B23738"/>
    <w:rsid w:val="00B23BEF"/>
    <w:rsid w:val="00B23F1F"/>
    <w:rsid w:val="00B247BB"/>
    <w:rsid w:val="00B2504A"/>
    <w:rsid w:val="00B25EE6"/>
    <w:rsid w:val="00B2685C"/>
    <w:rsid w:val="00B30CD6"/>
    <w:rsid w:val="00B3115A"/>
    <w:rsid w:val="00B31825"/>
    <w:rsid w:val="00B31A5C"/>
    <w:rsid w:val="00B32265"/>
    <w:rsid w:val="00B3276D"/>
    <w:rsid w:val="00B33B06"/>
    <w:rsid w:val="00B33C19"/>
    <w:rsid w:val="00B359E2"/>
    <w:rsid w:val="00B35A15"/>
    <w:rsid w:val="00B35B45"/>
    <w:rsid w:val="00B36A99"/>
    <w:rsid w:val="00B40143"/>
    <w:rsid w:val="00B42264"/>
    <w:rsid w:val="00B42A54"/>
    <w:rsid w:val="00B434B2"/>
    <w:rsid w:val="00B43D45"/>
    <w:rsid w:val="00B459AF"/>
    <w:rsid w:val="00B468F2"/>
    <w:rsid w:val="00B469DE"/>
    <w:rsid w:val="00B47286"/>
    <w:rsid w:val="00B47EB4"/>
    <w:rsid w:val="00B50234"/>
    <w:rsid w:val="00B51BF4"/>
    <w:rsid w:val="00B52C68"/>
    <w:rsid w:val="00B5372B"/>
    <w:rsid w:val="00B542FE"/>
    <w:rsid w:val="00B54566"/>
    <w:rsid w:val="00B55A1B"/>
    <w:rsid w:val="00B561DB"/>
    <w:rsid w:val="00B5692B"/>
    <w:rsid w:val="00B56DF9"/>
    <w:rsid w:val="00B56E80"/>
    <w:rsid w:val="00B600BD"/>
    <w:rsid w:val="00B60C4A"/>
    <w:rsid w:val="00B61274"/>
    <w:rsid w:val="00B61DCE"/>
    <w:rsid w:val="00B62188"/>
    <w:rsid w:val="00B62F79"/>
    <w:rsid w:val="00B62F82"/>
    <w:rsid w:val="00B6306A"/>
    <w:rsid w:val="00B635E3"/>
    <w:rsid w:val="00B662FF"/>
    <w:rsid w:val="00B66679"/>
    <w:rsid w:val="00B70145"/>
    <w:rsid w:val="00B71A92"/>
    <w:rsid w:val="00B71B0A"/>
    <w:rsid w:val="00B721D8"/>
    <w:rsid w:val="00B730CA"/>
    <w:rsid w:val="00B732EA"/>
    <w:rsid w:val="00B7390A"/>
    <w:rsid w:val="00B747C5"/>
    <w:rsid w:val="00B74F2F"/>
    <w:rsid w:val="00B753ED"/>
    <w:rsid w:val="00B7665F"/>
    <w:rsid w:val="00B769BC"/>
    <w:rsid w:val="00B77167"/>
    <w:rsid w:val="00B77349"/>
    <w:rsid w:val="00B7761E"/>
    <w:rsid w:val="00B80A3D"/>
    <w:rsid w:val="00B80B04"/>
    <w:rsid w:val="00B821E4"/>
    <w:rsid w:val="00B823E0"/>
    <w:rsid w:val="00B8260D"/>
    <w:rsid w:val="00B82B78"/>
    <w:rsid w:val="00B845B4"/>
    <w:rsid w:val="00B84662"/>
    <w:rsid w:val="00B84C74"/>
    <w:rsid w:val="00B85191"/>
    <w:rsid w:val="00B858A1"/>
    <w:rsid w:val="00B85FEC"/>
    <w:rsid w:val="00B864A3"/>
    <w:rsid w:val="00B86C2A"/>
    <w:rsid w:val="00B87712"/>
    <w:rsid w:val="00B902A5"/>
    <w:rsid w:val="00B90420"/>
    <w:rsid w:val="00B90848"/>
    <w:rsid w:val="00B91146"/>
    <w:rsid w:val="00B913E4"/>
    <w:rsid w:val="00B91DB9"/>
    <w:rsid w:val="00B91FF3"/>
    <w:rsid w:val="00B925F8"/>
    <w:rsid w:val="00B9370E"/>
    <w:rsid w:val="00B93EFE"/>
    <w:rsid w:val="00B944B9"/>
    <w:rsid w:val="00B94956"/>
    <w:rsid w:val="00B94C7F"/>
    <w:rsid w:val="00B94E93"/>
    <w:rsid w:val="00B956B5"/>
    <w:rsid w:val="00B96DF2"/>
    <w:rsid w:val="00B96E18"/>
    <w:rsid w:val="00B96F5A"/>
    <w:rsid w:val="00B9719E"/>
    <w:rsid w:val="00B97EEF"/>
    <w:rsid w:val="00BA0B39"/>
    <w:rsid w:val="00BA0CB2"/>
    <w:rsid w:val="00BA0E26"/>
    <w:rsid w:val="00BA138B"/>
    <w:rsid w:val="00BA305B"/>
    <w:rsid w:val="00BA31BF"/>
    <w:rsid w:val="00BA3C0F"/>
    <w:rsid w:val="00BA3FC7"/>
    <w:rsid w:val="00BA4075"/>
    <w:rsid w:val="00BA478B"/>
    <w:rsid w:val="00BA5224"/>
    <w:rsid w:val="00BA575E"/>
    <w:rsid w:val="00BA76B7"/>
    <w:rsid w:val="00BA7DDB"/>
    <w:rsid w:val="00BA7E3B"/>
    <w:rsid w:val="00BB078D"/>
    <w:rsid w:val="00BB079C"/>
    <w:rsid w:val="00BB0D7A"/>
    <w:rsid w:val="00BB10E1"/>
    <w:rsid w:val="00BB186A"/>
    <w:rsid w:val="00BB1C05"/>
    <w:rsid w:val="00BB2471"/>
    <w:rsid w:val="00BB3035"/>
    <w:rsid w:val="00BB3633"/>
    <w:rsid w:val="00BB39C1"/>
    <w:rsid w:val="00BB3DF5"/>
    <w:rsid w:val="00BB3EA7"/>
    <w:rsid w:val="00BB5D16"/>
    <w:rsid w:val="00BB6180"/>
    <w:rsid w:val="00BB69E6"/>
    <w:rsid w:val="00BB7323"/>
    <w:rsid w:val="00BB7BE5"/>
    <w:rsid w:val="00BC0139"/>
    <w:rsid w:val="00BC08BD"/>
    <w:rsid w:val="00BC11E8"/>
    <w:rsid w:val="00BC1B7A"/>
    <w:rsid w:val="00BC2C17"/>
    <w:rsid w:val="00BC3ACD"/>
    <w:rsid w:val="00BC3B20"/>
    <w:rsid w:val="00BC3EE4"/>
    <w:rsid w:val="00BC49C7"/>
    <w:rsid w:val="00BC588C"/>
    <w:rsid w:val="00BC6785"/>
    <w:rsid w:val="00BC67FF"/>
    <w:rsid w:val="00BC6E73"/>
    <w:rsid w:val="00BC74D3"/>
    <w:rsid w:val="00BD0014"/>
    <w:rsid w:val="00BD01D8"/>
    <w:rsid w:val="00BD1A08"/>
    <w:rsid w:val="00BD255F"/>
    <w:rsid w:val="00BD2895"/>
    <w:rsid w:val="00BD4236"/>
    <w:rsid w:val="00BD483B"/>
    <w:rsid w:val="00BD5CD4"/>
    <w:rsid w:val="00BD65D9"/>
    <w:rsid w:val="00BD6DF3"/>
    <w:rsid w:val="00BD6E09"/>
    <w:rsid w:val="00BD6EF9"/>
    <w:rsid w:val="00BE0ACB"/>
    <w:rsid w:val="00BE180B"/>
    <w:rsid w:val="00BE2260"/>
    <w:rsid w:val="00BE32F3"/>
    <w:rsid w:val="00BE3917"/>
    <w:rsid w:val="00BE50FD"/>
    <w:rsid w:val="00BE51CA"/>
    <w:rsid w:val="00BE537F"/>
    <w:rsid w:val="00BE5D77"/>
    <w:rsid w:val="00BE6D47"/>
    <w:rsid w:val="00BE7032"/>
    <w:rsid w:val="00BE7330"/>
    <w:rsid w:val="00BF01C5"/>
    <w:rsid w:val="00BF061A"/>
    <w:rsid w:val="00BF066A"/>
    <w:rsid w:val="00BF14CC"/>
    <w:rsid w:val="00BF1821"/>
    <w:rsid w:val="00BF30B3"/>
    <w:rsid w:val="00BF4342"/>
    <w:rsid w:val="00BF4704"/>
    <w:rsid w:val="00BF4FFC"/>
    <w:rsid w:val="00BF5050"/>
    <w:rsid w:val="00BF50D1"/>
    <w:rsid w:val="00BF5422"/>
    <w:rsid w:val="00BF59B1"/>
    <w:rsid w:val="00BF6625"/>
    <w:rsid w:val="00BF6A78"/>
    <w:rsid w:val="00BF7695"/>
    <w:rsid w:val="00BF79B4"/>
    <w:rsid w:val="00BF7C61"/>
    <w:rsid w:val="00C01427"/>
    <w:rsid w:val="00C014C7"/>
    <w:rsid w:val="00C047AB"/>
    <w:rsid w:val="00C04E43"/>
    <w:rsid w:val="00C058AF"/>
    <w:rsid w:val="00C05D1E"/>
    <w:rsid w:val="00C075B6"/>
    <w:rsid w:val="00C110FD"/>
    <w:rsid w:val="00C124C1"/>
    <w:rsid w:val="00C128AE"/>
    <w:rsid w:val="00C12BA8"/>
    <w:rsid w:val="00C13094"/>
    <w:rsid w:val="00C136D6"/>
    <w:rsid w:val="00C13D5B"/>
    <w:rsid w:val="00C141D7"/>
    <w:rsid w:val="00C154A3"/>
    <w:rsid w:val="00C16130"/>
    <w:rsid w:val="00C16EB9"/>
    <w:rsid w:val="00C1711B"/>
    <w:rsid w:val="00C17AE2"/>
    <w:rsid w:val="00C20140"/>
    <w:rsid w:val="00C20F27"/>
    <w:rsid w:val="00C210A1"/>
    <w:rsid w:val="00C215CF"/>
    <w:rsid w:val="00C22250"/>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4619"/>
    <w:rsid w:val="00C348D9"/>
    <w:rsid w:val="00C35D01"/>
    <w:rsid w:val="00C360B3"/>
    <w:rsid w:val="00C37027"/>
    <w:rsid w:val="00C37B19"/>
    <w:rsid w:val="00C37D56"/>
    <w:rsid w:val="00C40D4B"/>
    <w:rsid w:val="00C413CB"/>
    <w:rsid w:val="00C42752"/>
    <w:rsid w:val="00C42973"/>
    <w:rsid w:val="00C44206"/>
    <w:rsid w:val="00C44A36"/>
    <w:rsid w:val="00C46B95"/>
    <w:rsid w:val="00C4712A"/>
    <w:rsid w:val="00C47F88"/>
    <w:rsid w:val="00C5034F"/>
    <w:rsid w:val="00C50830"/>
    <w:rsid w:val="00C52479"/>
    <w:rsid w:val="00C5266E"/>
    <w:rsid w:val="00C52C59"/>
    <w:rsid w:val="00C5349E"/>
    <w:rsid w:val="00C539FF"/>
    <w:rsid w:val="00C544BD"/>
    <w:rsid w:val="00C549BB"/>
    <w:rsid w:val="00C54D3D"/>
    <w:rsid w:val="00C55A30"/>
    <w:rsid w:val="00C56384"/>
    <w:rsid w:val="00C568B6"/>
    <w:rsid w:val="00C60F8C"/>
    <w:rsid w:val="00C61794"/>
    <w:rsid w:val="00C61CB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3BA9"/>
    <w:rsid w:val="00C74035"/>
    <w:rsid w:val="00C748EA"/>
    <w:rsid w:val="00C75531"/>
    <w:rsid w:val="00C76CCF"/>
    <w:rsid w:val="00C77818"/>
    <w:rsid w:val="00C8063F"/>
    <w:rsid w:val="00C80931"/>
    <w:rsid w:val="00C81282"/>
    <w:rsid w:val="00C827B4"/>
    <w:rsid w:val="00C82B40"/>
    <w:rsid w:val="00C83214"/>
    <w:rsid w:val="00C8329F"/>
    <w:rsid w:val="00C84F8A"/>
    <w:rsid w:val="00C85BA4"/>
    <w:rsid w:val="00C8618F"/>
    <w:rsid w:val="00C8625D"/>
    <w:rsid w:val="00C87F3F"/>
    <w:rsid w:val="00C90372"/>
    <w:rsid w:val="00C9041F"/>
    <w:rsid w:val="00C9112E"/>
    <w:rsid w:val="00C9166B"/>
    <w:rsid w:val="00C91945"/>
    <w:rsid w:val="00C91A45"/>
    <w:rsid w:val="00C91FB4"/>
    <w:rsid w:val="00C92150"/>
    <w:rsid w:val="00C92328"/>
    <w:rsid w:val="00C92D42"/>
    <w:rsid w:val="00C938C2"/>
    <w:rsid w:val="00C93F8A"/>
    <w:rsid w:val="00C94EA1"/>
    <w:rsid w:val="00C95745"/>
    <w:rsid w:val="00C95902"/>
    <w:rsid w:val="00C962E3"/>
    <w:rsid w:val="00C978E2"/>
    <w:rsid w:val="00C97997"/>
    <w:rsid w:val="00CA10A2"/>
    <w:rsid w:val="00CA1D83"/>
    <w:rsid w:val="00CA1E61"/>
    <w:rsid w:val="00CA25C0"/>
    <w:rsid w:val="00CA2EA2"/>
    <w:rsid w:val="00CA3451"/>
    <w:rsid w:val="00CA35C6"/>
    <w:rsid w:val="00CA4669"/>
    <w:rsid w:val="00CA4948"/>
    <w:rsid w:val="00CA4FA3"/>
    <w:rsid w:val="00CA4FF9"/>
    <w:rsid w:val="00CA52F9"/>
    <w:rsid w:val="00CA5368"/>
    <w:rsid w:val="00CA568B"/>
    <w:rsid w:val="00CA573A"/>
    <w:rsid w:val="00CA584D"/>
    <w:rsid w:val="00CA5C58"/>
    <w:rsid w:val="00CB19D7"/>
    <w:rsid w:val="00CB19FE"/>
    <w:rsid w:val="00CB1C3F"/>
    <w:rsid w:val="00CB2364"/>
    <w:rsid w:val="00CB304C"/>
    <w:rsid w:val="00CB3933"/>
    <w:rsid w:val="00CB5010"/>
    <w:rsid w:val="00CB53E8"/>
    <w:rsid w:val="00CB594A"/>
    <w:rsid w:val="00CB5CB2"/>
    <w:rsid w:val="00CB6979"/>
    <w:rsid w:val="00CB7DDE"/>
    <w:rsid w:val="00CC0A3D"/>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3BF2"/>
    <w:rsid w:val="00CD437E"/>
    <w:rsid w:val="00CD540B"/>
    <w:rsid w:val="00CD5DAD"/>
    <w:rsid w:val="00CD7037"/>
    <w:rsid w:val="00CD72C5"/>
    <w:rsid w:val="00CD79A7"/>
    <w:rsid w:val="00CE0789"/>
    <w:rsid w:val="00CE0E8D"/>
    <w:rsid w:val="00CE1A03"/>
    <w:rsid w:val="00CE2346"/>
    <w:rsid w:val="00CE25B2"/>
    <w:rsid w:val="00CE3529"/>
    <w:rsid w:val="00CE35C8"/>
    <w:rsid w:val="00CE3962"/>
    <w:rsid w:val="00CE4D0A"/>
    <w:rsid w:val="00CE4D1A"/>
    <w:rsid w:val="00CE4E8A"/>
    <w:rsid w:val="00CE5105"/>
    <w:rsid w:val="00CE56BD"/>
    <w:rsid w:val="00CE5EC0"/>
    <w:rsid w:val="00CE68AD"/>
    <w:rsid w:val="00CE6F9F"/>
    <w:rsid w:val="00CE781A"/>
    <w:rsid w:val="00CE7B08"/>
    <w:rsid w:val="00CE7D52"/>
    <w:rsid w:val="00CF0AB7"/>
    <w:rsid w:val="00CF1D74"/>
    <w:rsid w:val="00CF2BE2"/>
    <w:rsid w:val="00CF3DEB"/>
    <w:rsid w:val="00CF55F9"/>
    <w:rsid w:val="00CF60E2"/>
    <w:rsid w:val="00CF7074"/>
    <w:rsid w:val="00CF7495"/>
    <w:rsid w:val="00D00E12"/>
    <w:rsid w:val="00D01CF9"/>
    <w:rsid w:val="00D02BF7"/>
    <w:rsid w:val="00D02FFD"/>
    <w:rsid w:val="00D0334D"/>
    <w:rsid w:val="00D0374D"/>
    <w:rsid w:val="00D06851"/>
    <w:rsid w:val="00D06D7B"/>
    <w:rsid w:val="00D06DA5"/>
    <w:rsid w:val="00D07191"/>
    <w:rsid w:val="00D07ECE"/>
    <w:rsid w:val="00D07F1D"/>
    <w:rsid w:val="00D10558"/>
    <w:rsid w:val="00D11D4D"/>
    <w:rsid w:val="00D126DC"/>
    <w:rsid w:val="00D12B03"/>
    <w:rsid w:val="00D13E70"/>
    <w:rsid w:val="00D15FCD"/>
    <w:rsid w:val="00D16C58"/>
    <w:rsid w:val="00D17019"/>
    <w:rsid w:val="00D17FC8"/>
    <w:rsid w:val="00D20B44"/>
    <w:rsid w:val="00D21168"/>
    <w:rsid w:val="00D240C6"/>
    <w:rsid w:val="00D2438C"/>
    <w:rsid w:val="00D2585A"/>
    <w:rsid w:val="00D259B0"/>
    <w:rsid w:val="00D26C3F"/>
    <w:rsid w:val="00D27185"/>
    <w:rsid w:val="00D3028A"/>
    <w:rsid w:val="00D31CDD"/>
    <w:rsid w:val="00D33488"/>
    <w:rsid w:val="00D33AB3"/>
    <w:rsid w:val="00D33F24"/>
    <w:rsid w:val="00D34160"/>
    <w:rsid w:val="00D3466D"/>
    <w:rsid w:val="00D346B8"/>
    <w:rsid w:val="00D34DCA"/>
    <w:rsid w:val="00D3575F"/>
    <w:rsid w:val="00D35AC8"/>
    <w:rsid w:val="00D36F87"/>
    <w:rsid w:val="00D37E4E"/>
    <w:rsid w:val="00D4056F"/>
    <w:rsid w:val="00D417D8"/>
    <w:rsid w:val="00D41F78"/>
    <w:rsid w:val="00D42E6C"/>
    <w:rsid w:val="00D4351C"/>
    <w:rsid w:val="00D4353A"/>
    <w:rsid w:val="00D43B80"/>
    <w:rsid w:val="00D44988"/>
    <w:rsid w:val="00D45B4C"/>
    <w:rsid w:val="00D45BA4"/>
    <w:rsid w:val="00D45EF6"/>
    <w:rsid w:val="00D471AF"/>
    <w:rsid w:val="00D471E2"/>
    <w:rsid w:val="00D4724F"/>
    <w:rsid w:val="00D50519"/>
    <w:rsid w:val="00D50614"/>
    <w:rsid w:val="00D50622"/>
    <w:rsid w:val="00D51601"/>
    <w:rsid w:val="00D51ECB"/>
    <w:rsid w:val="00D5264C"/>
    <w:rsid w:val="00D52BBC"/>
    <w:rsid w:val="00D537FE"/>
    <w:rsid w:val="00D53CC9"/>
    <w:rsid w:val="00D53DC6"/>
    <w:rsid w:val="00D54A6A"/>
    <w:rsid w:val="00D54B8F"/>
    <w:rsid w:val="00D55848"/>
    <w:rsid w:val="00D55951"/>
    <w:rsid w:val="00D559F0"/>
    <w:rsid w:val="00D57EB6"/>
    <w:rsid w:val="00D608C0"/>
    <w:rsid w:val="00D60D6D"/>
    <w:rsid w:val="00D6128C"/>
    <w:rsid w:val="00D66D8B"/>
    <w:rsid w:val="00D672EF"/>
    <w:rsid w:val="00D70849"/>
    <w:rsid w:val="00D72297"/>
    <w:rsid w:val="00D72A1C"/>
    <w:rsid w:val="00D7308F"/>
    <w:rsid w:val="00D7313E"/>
    <w:rsid w:val="00D73580"/>
    <w:rsid w:val="00D73802"/>
    <w:rsid w:val="00D73C2C"/>
    <w:rsid w:val="00D73D52"/>
    <w:rsid w:val="00D745E7"/>
    <w:rsid w:val="00D7581F"/>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87FCE"/>
    <w:rsid w:val="00D9074A"/>
    <w:rsid w:val="00D9099E"/>
    <w:rsid w:val="00D9193A"/>
    <w:rsid w:val="00D923B2"/>
    <w:rsid w:val="00D92463"/>
    <w:rsid w:val="00D93E29"/>
    <w:rsid w:val="00D93E64"/>
    <w:rsid w:val="00D93F64"/>
    <w:rsid w:val="00D94CA4"/>
    <w:rsid w:val="00D95E99"/>
    <w:rsid w:val="00D965D5"/>
    <w:rsid w:val="00D97DA2"/>
    <w:rsid w:val="00DA0485"/>
    <w:rsid w:val="00DA1A3A"/>
    <w:rsid w:val="00DA2351"/>
    <w:rsid w:val="00DA249E"/>
    <w:rsid w:val="00DA29C6"/>
    <w:rsid w:val="00DA2D3D"/>
    <w:rsid w:val="00DA3855"/>
    <w:rsid w:val="00DA4C30"/>
    <w:rsid w:val="00DA5C8A"/>
    <w:rsid w:val="00DA6A44"/>
    <w:rsid w:val="00DA7A3C"/>
    <w:rsid w:val="00DB0E38"/>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2BB4"/>
    <w:rsid w:val="00DC2DE8"/>
    <w:rsid w:val="00DC34DC"/>
    <w:rsid w:val="00DC3780"/>
    <w:rsid w:val="00DC3ADA"/>
    <w:rsid w:val="00DC3CC6"/>
    <w:rsid w:val="00DC3F55"/>
    <w:rsid w:val="00DC4782"/>
    <w:rsid w:val="00DC514A"/>
    <w:rsid w:val="00DC6249"/>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617"/>
    <w:rsid w:val="00DE3D2C"/>
    <w:rsid w:val="00DE5E82"/>
    <w:rsid w:val="00DE5FA6"/>
    <w:rsid w:val="00DE6792"/>
    <w:rsid w:val="00DE6AA1"/>
    <w:rsid w:val="00DE7EF7"/>
    <w:rsid w:val="00DF015B"/>
    <w:rsid w:val="00DF02EC"/>
    <w:rsid w:val="00DF10FC"/>
    <w:rsid w:val="00DF1185"/>
    <w:rsid w:val="00DF1299"/>
    <w:rsid w:val="00DF155F"/>
    <w:rsid w:val="00DF1A70"/>
    <w:rsid w:val="00DF1E5F"/>
    <w:rsid w:val="00DF23A8"/>
    <w:rsid w:val="00DF2F27"/>
    <w:rsid w:val="00DF36B6"/>
    <w:rsid w:val="00DF4296"/>
    <w:rsid w:val="00DF5267"/>
    <w:rsid w:val="00DF53F0"/>
    <w:rsid w:val="00DF5F38"/>
    <w:rsid w:val="00DF6608"/>
    <w:rsid w:val="00DF69AF"/>
    <w:rsid w:val="00DF6CCC"/>
    <w:rsid w:val="00DF6D0C"/>
    <w:rsid w:val="00DF6F64"/>
    <w:rsid w:val="00DF721E"/>
    <w:rsid w:val="00DF7549"/>
    <w:rsid w:val="00DF7B8A"/>
    <w:rsid w:val="00DF7C87"/>
    <w:rsid w:val="00E009B0"/>
    <w:rsid w:val="00E00A12"/>
    <w:rsid w:val="00E00B39"/>
    <w:rsid w:val="00E00C49"/>
    <w:rsid w:val="00E01C9C"/>
    <w:rsid w:val="00E0219D"/>
    <w:rsid w:val="00E04C0F"/>
    <w:rsid w:val="00E0570B"/>
    <w:rsid w:val="00E06FB8"/>
    <w:rsid w:val="00E10913"/>
    <w:rsid w:val="00E10B87"/>
    <w:rsid w:val="00E121CE"/>
    <w:rsid w:val="00E12209"/>
    <w:rsid w:val="00E1478B"/>
    <w:rsid w:val="00E14FAC"/>
    <w:rsid w:val="00E15007"/>
    <w:rsid w:val="00E16277"/>
    <w:rsid w:val="00E16EC7"/>
    <w:rsid w:val="00E17DCC"/>
    <w:rsid w:val="00E219CE"/>
    <w:rsid w:val="00E21D93"/>
    <w:rsid w:val="00E23812"/>
    <w:rsid w:val="00E24071"/>
    <w:rsid w:val="00E24EBC"/>
    <w:rsid w:val="00E25149"/>
    <w:rsid w:val="00E2522C"/>
    <w:rsid w:val="00E2552F"/>
    <w:rsid w:val="00E2599B"/>
    <w:rsid w:val="00E2710C"/>
    <w:rsid w:val="00E272BD"/>
    <w:rsid w:val="00E27428"/>
    <w:rsid w:val="00E305B4"/>
    <w:rsid w:val="00E31AFA"/>
    <w:rsid w:val="00E31CB7"/>
    <w:rsid w:val="00E324EE"/>
    <w:rsid w:val="00E34DB1"/>
    <w:rsid w:val="00E35931"/>
    <w:rsid w:val="00E359FF"/>
    <w:rsid w:val="00E3699A"/>
    <w:rsid w:val="00E402C5"/>
    <w:rsid w:val="00E402F4"/>
    <w:rsid w:val="00E405F1"/>
    <w:rsid w:val="00E417DB"/>
    <w:rsid w:val="00E4198D"/>
    <w:rsid w:val="00E43054"/>
    <w:rsid w:val="00E43655"/>
    <w:rsid w:val="00E44440"/>
    <w:rsid w:val="00E46013"/>
    <w:rsid w:val="00E47099"/>
    <w:rsid w:val="00E47284"/>
    <w:rsid w:val="00E477A9"/>
    <w:rsid w:val="00E477C3"/>
    <w:rsid w:val="00E51E16"/>
    <w:rsid w:val="00E52DED"/>
    <w:rsid w:val="00E53730"/>
    <w:rsid w:val="00E5438D"/>
    <w:rsid w:val="00E54511"/>
    <w:rsid w:val="00E54E50"/>
    <w:rsid w:val="00E54EC9"/>
    <w:rsid w:val="00E55288"/>
    <w:rsid w:val="00E57577"/>
    <w:rsid w:val="00E60A2E"/>
    <w:rsid w:val="00E60BD7"/>
    <w:rsid w:val="00E62043"/>
    <w:rsid w:val="00E626B9"/>
    <w:rsid w:val="00E627C9"/>
    <w:rsid w:val="00E630F3"/>
    <w:rsid w:val="00E6332F"/>
    <w:rsid w:val="00E637C9"/>
    <w:rsid w:val="00E639E6"/>
    <w:rsid w:val="00E6402D"/>
    <w:rsid w:val="00E6680A"/>
    <w:rsid w:val="00E66F0D"/>
    <w:rsid w:val="00E67741"/>
    <w:rsid w:val="00E67CAE"/>
    <w:rsid w:val="00E70615"/>
    <w:rsid w:val="00E7161E"/>
    <w:rsid w:val="00E71B40"/>
    <w:rsid w:val="00E7207B"/>
    <w:rsid w:val="00E7347A"/>
    <w:rsid w:val="00E75A47"/>
    <w:rsid w:val="00E75BB6"/>
    <w:rsid w:val="00E75D8C"/>
    <w:rsid w:val="00E777BB"/>
    <w:rsid w:val="00E777F2"/>
    <w:rsid w:val="00E802C9"/>
    <w:rsid w:val="00E80342"/>
    <w:rsid w:val="00E80BFB"/>
    <w:rsid w:val="00E80F0A"/>
    <w:rsid w:val="00E815D4"/>
    <w:rsid w:val="00E8291B"/>
    <w:rsid w:val="00E82E70"/>
    <w:rsid w:val="00E82F92"/>
    <w:rsid w:val="00E8395F"/>
    <w:rsid w:val="00E8410F"/>
    <w:rsid w:val="00E849D7"/>
    <w:rsid w:val="00E85E41"/>
    <w:rsid w:val="00E85EA1"/>
    <w:rsid w:val="00E86030"/>
    <w:rsid w:val="00E86703"/>
    <w:rsid w:val="00E900DA"/>
    <w:rsid w:val="00E91044"/>
    <w:rsid w:val="00E910D3"/>
    <w:rsid w:val="00E92154"/>
    <w:rsid w:val="00E923CF"/>
    <w:rsid w:val="00E93685"/>
    <w:rsid w:val="00E93B65"/>
    <w:rsid w:val="00E93C8C"/>
    <w:rsid w:val="00E95111"/>
    <w:rsid w:val="00E95FDF"/>
    <w:rsid w:val="00EA1198"/>
    <w:rsid w:val="00EA14C8"/>
    <w:rsid w:val="00EA2110"/>
    <w:rsid w:val="00EA283A"/>
    <w:rsid w:val="00EA2C90"/>
    <w:rsid w:val="00EA2E07"/>
    <w:rsid w:val="00EA383B"/>
    <w:rsid w:val="00EA48F3"/>
    <w:rsid w:val="00EA60BF"/>
    <w:rsid w:val="00EA6847"/>
    <w:rsid w:val="00EA7365"/>
    <w:rsid w:val="00EA763F"/>
    <w:rsid w:val="00EA77E9"/>
    <w:rsid w:val="00EB05D0"/>
    <w:rsid w:val="00EB1151"/>
    <w:rsid w:val="00EB1D49"/>
    <w:rsid w:val="00EB23D9"/>
    <w:rsid w:val="00EB39A0"/>
    <w:rsid w:val="00EB559F"/>
    <w:rsid w:val="00EB566C"/>
    <w:rsid w:val="00EB5A18"/>
    <w:rsid w:val="00EB5F3D"/>
    <w:rsid w:val="00EB6C97"/>
    <w:rsid w:val="00EC1CEB"/>
    <w:rsid w:val="00EC1DC0"/>
    <w:rsid w:val="00EC1DC2"/>
    <w:rsid w:val="00EC1E09"/>
    <w:rsid w:val="00EC21EC"/>
    <w:rsid w:val="00EC24B8"/>
    <w:rsid w:val="00EC268C"/>
    <w:rsid w:val="00EC3753"/>
    <w:rsid w:val="00EC4E71"/>
    <w:rsid w:val="00EC5F1C"/>
    <w:rsid w:val="00ED0365"/>
    <w:rsid w:val="00ED0865"/>
    <w:rsid w:val="00ED1C60"/>
    <w:rsid w:val="00ED28A3"/>
    <w:rsid w:val="00ED2E25"/>
    <w:rsid w:val="00ED2EB9"/>
    <w:rsid w:val="00ED3722"/>
    <w:rsid w:val="00ED3A31"/>
    <w:rsid w:val="00ED4469"/>
    <w:rsid w:val="00ED44F6"/>
    <w:rsid w:val="00ED5424"/>
    <w:rsid w:val="00ED5F23"/>
    <w:rsid w:val="00ED6A63"/>
    <w:rsid w:val="00ED6DC0"/>
    <w:rsid w:val="00ED7A7A"/>
    <w:rsid w:val="00EE0327"/>
    <w:rsid w:val="00EE038C"/>
    <w:rsid w:val="00EE28C5"/>
    <w:rsid w:val="00EE2F09"/>
    <w:rsid w:val="00EE47C5"/>
    <w:rsid w:val="00EE490C"/>
    <w:rsid w:val="00EE4E57"/>
    <w:rsid w:val="00EE516C"/>
    <w:rsid w:val="00EE5415"/>
    <w:rsid w:val="00EE5738"/>
    <w:rsid w:val="00EE58BD"/>
    <w:rsid w:val="00EE5E59"/>
    <w:rsid w:val="00EE73D0"/>
    <w:rsid w:val="00EE7CB0"/>
    <w:rsid w:val="00EF08A8"/>
    <w:rsid w:val="00EF167B"/>
    <w:rsid w:val="00EF41A8"/>
    <w:rsid w:val="00EF44FB"/>
    <w:rsid w:val="00EF4DF5"/>
    <w:rsid w:val="00EF5122"/>
    <w:rsid w:val="00EF5554"/>
    <w:rsid w:val="00EF5AD8"/>
    <w:rsid w:val="00EF6B90"/>
    <w:rsid w:val="00EF7807"/>
    <w:rsid w:val="00EF79F7"/>
    <w:rsid w:val="00F006C0"/>
    <w:rsid w:val="00F0125F"/>
    <w:rsid w:val="00F019AA"/>
    <w:rsid w:val="00F0267E"/>
    <w:rsid w:val="00F02686"/>
    <w:rsid w:val="00F030C0"/>
    <w:rsid w:val="00F03291"/>
    <w:rsid w:val="00F03A85"/>
    <w:rsid w:val="00F0459B"/>
    <w:rsid w:val="00F04E15"/>
    <w:rsid w:val="00F05DF3"/>
    <w:rsid w:val="00F069EA"/>
    <w:rsid w:val="00F06E85"/>
    <w:rsid w:val="00F070E5"/>
    <w:rsid w:val="00F07DDE"/>
    <w:rsid w:val="00F11675"/>
    <w:rsid w:val="00F12557"/>
    <w:rsid w:val="00F13599"/>
    <w:rsid w:val="00F13B28"/>
    <w:rsid w:val="00F14542"/>
    <w:rsid w:val="00F1520A"/>
    <w:rsid w:val="00F156A0"/>
    <w:rsid w:val="00F15730"/>
    <w:rsid w:val="00F176A6"/>
    <w:rsid w:val="00F202C2"/>
    <w:rsid w:val="00F212A8"/>
    <w:rsid w:val="00F212F6"/>
    <w:rsid w:val="00F21905"/>
    <w:rsid w:val="00F22756"/>
    <w:rsid w:val="00F23248"/>
    <w:rsid w:val="00F23890"/>
    <w:rsid w:val="00F2504D"/>
    <w:rsid w:val="00F2637F"/>
    <w:rsid w:val="00F268F7"/>
    <w:rsid w:val="00F30B83"/>
    <w:rsid w:val="00F30BDB"/>
    <w:rsid w:val="00F30CF8"/>
    <w:rsid w:val="00F31EDF"/>
    <w:rsid w:val="00F32CDE"/>
    <w:rsid w:val="00F32D4C"/>
    <w:rsid w:val="00F3327E"/>
    <w:rsid w:val="00F337E0"/>
    <w:rsid w:val="00F338C3"/>
    <w:rsid w:val="00F34B14"/>
    <w:rsid w:val="00F34F58"/>
    <w:rsid w:val="00F35DA7"/>
    <w:rsid w:val="00F36A6A"/>
    <w:rsid w:val="00F40101"/>
    <w:rsid w:val="00F404F7"/>
    <w:rsid w:val="00F40CCA"/>
    <w:rsid w:val="00F40F46"/>
    <w:rsid w:val="00F42D97"/>
    <w:rsid w:val="00F436B2"/>
    <w:rsid w:val="00F43813"/>
    <w:rsid w:val="00F43FEE"/>
    <w:rsid w:val="00F4492F"/>
    <w:rsid w:val="00F45A72"/>
    <w:rsid w:val="00F46723"/>
    <w:rsid w:val="00F4703B"/>
    <w:rsid w:val="00F4706D"/>
    <w:rsid w:val="00F476E1"/>
    <w:rsid w:val="00F47D1D"/>
    <w:rsid w:val="00F47F29"/>
    <w:rsid w:val="00F50016"/>
    <w:rsid w:val="00F50451"/>
    <w:rsid w:val="00F50A80"/>
    <w:rsid w:val="00F5118A"/>
    <w:rsid w:val="00F51A21"/>
    <w:rsid w:val="00F52414"/>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1C70"/>
    <w:rsid w:val="00F63264"/>
    <w:rsid w:val="00F634E4"/>
    <w:rsid w:val="00F6379E"/>
    <w:rsid w:val="00F64047"/>
    <w:rsid w:val="00F65171"/>
    <w:rsid w:val="00F6560D"/>
    <w:rsid w:val="00F67844"/>
    <w:rsid w:val="00F67BED"/>
    <w:rsid w:val="00F70799"/>
    <w:rsid w:val="00F70A8B"/>
    <w:rsid w:val="00F70B8D"/>
    <w:rsid w:val="00F71936"/>
    <w:rsid w:val="00F724FB"/>
    <w:rsid w:val="00F726B8"/>
    <w:rsid w:val="00F72A26"/>
    <w:rsid w:val="00F733C3"/>
    <w:rsid w:val="00F746A1"/>
    <w:rsid w:val="00F74820"/>
    <w:rsid w:val="00F75282"/>
    <w:rsid w:val="00F756DD"/>
    <w:rsid w:val="00F77518"/>
    <w:rsid w:val="00F77F4E"/>
    <w:rsid w:val="00F80047"/>
    <w:rsid w:val="00F800C7"/>
    <w:rsid w:val="00F8104D"/>
    <w:rsid w:val="00F8153F"/>
    <w:rsid w:val="00F81587"/>
    <w:rsid w:val="00F81769"/>
    <w:rsid w:val="00F8288F"/>
    <w:rsid w:val="00F8376E"/>
    <w:rsid w:val="00F84802"/>
    <w:rsid w:val="00F85B72"/>
    <w:rsid w:val="00F86540"/>
    <w:rsid w:val="00F865CE"/>
    <w:rsid w:val="00F8766F"/>
    <w:rsid w:val="00F90282"/>
    <w:rsid w:val="00F91082"/>
    <w:rsid w:val="00F9116D"/>
    <w:rsid w:val="00F91250"/>
    <w:rsid w:val="00F91342"/>
    <w:rsid w:val="00F91A9A"/>
    <w:rsid w:val="00F92634"/>
    <w:rsid w:val="00F933F3"/>
    <w:rsid w:val="00F93ABB"/>
    <w:rsid w:val="00F94D79"/>
    <w:rsid w:val="00F954FC"/>
    <w:rsid w:val="00F9658C"/>
    <w:rsid w:val="00F96E05"/>
    <w:rsid w:val="00F97A7F"/>
    <w:rsid w:val="00FA0889"/>
    <w:rsid w:val="00FA16E7"/>
    <w:rsid w:val="00FA31C7"/>
    <w:rsid w:val="00FA472D"/>
    <w:rsid w:val="00FA4849"/>
    <w:rsid w:val="00FA681F"/>
    <w:rsid w:val="00FB0CBF"/>
    <w:rsid w:val="00FB18F6"/>
    <w:rsid w:val="00FB2A52"/>
    <w:rsid w:val="00FB2B7B"/>
    <w:rsid w:val="00FB2CDD"/>
    <w:rsid w:val="00FB3F92"/>
    <w:rsid w:val="00FB52C7"/>
    <w:rsid w:val="00FB57DC"/>
    <w:rsid w:val="00FB6E19"/>
    <w:rsid w:val="00FB71F6"/>
    <w:rsid w:val="00FB78C5"/>
    <w:rsid w:val="00FB7CF2"/>
    <w:rsid w:val="00FC07AF"/>
    <w:rsid w:val="00FC0AF8"/>
    <w:rsid w:val="00FC0B69"/>
    <w:rsid w:val="00FC1483"/>
    <w:rsid w:val="00FC1C47"/>
    <w:rsid w:val="00FC3102"/>
    <w:rsid w:val="00FC39ED"/>
    <w:rsid w:val="00FC4419"/>
    <w:rsid w:val="00FC47E2"/>
    <w:rsid w:val="00FC4AA5"/>
    <w:rsid w:val="00FC4B88"/>
    <w:rsid w:val="00FC4BB8"/>
    <w:rsid w:val="00FC5148"/>
    <w:rsid w:val="00FC6524"/>
    <w:rsid w:val="00FC6B58"/>
    <w:rsid w:val="00FC75AC"/>
    <w:rsid w:val="00FC7984"/>
    <w:rsid w:val="00FD01BF"/>
    <w:rsid w:val="00FD0525"/>
    <w:rsid w:val="00FD0A2E"/>
    <w:rsid w:val="00FD0AB7"/>
    <w:rsid w:val="00FD297D"/>
    <w:rsid w:val="00FD2D13"/>
    <w:rsid w:val="00FD374D"/>
    <w:rsid w:val="00FD6071"/>
    <w:rsid w:val="00FD633B"/>
    <w:rsid w:val="00FE0794"/>
    <w:rsid w:val="00FE1041"/>
    <w:rsid w:val="00FE1A47"/>
    <w:rsid w:val="00FE24CB"/>
    <w:rsid w:val="00FE2FC2"/>
    <w:rsid w:val="00FE323F"/>
    <w:rsid w:val="00FE3473"/>
    <w:rsid w:val="00FE35CC"/>
    <w:rsid w:val="00FE4049"/>
    <w:rsid w:val="00FE4794"/>
    <w:rsid w:val="00FE480F"/>
    <w:rsid w:val="00FE4998"/>
    <w:rsid w:val="00FE56B7"/>
    <w:rsid w:val="00FE57DE"/>
    <w:rsid w:val="00FE6E91"/>
    <w:rsid w:val="00FE7A68"/>
    <w:rsid w:val="00FF0231"/>
    <w:rsid w:val="00FF1C9B"/>
    <w:rsid w:val="00FF1D49"/>
    <w:rsid w:val="00FF203B"/>
    <w:rsid w:val="00FF2562"/>
    <w:rsid w:val="00FF2B6C"/>
    <w:rsid w:val="00FF3A41"/>
    <w:rsid w:val="00FF3E5B"/>
    <w:rsid w:val="00FF4C8E"/>
    <w:rsid w:val="00FF57E4"/>
    <w:rsid w:val="00FF62AA"/>
    <w:rsid w:val="00FF78E5"/>
    <w:rsid w:val="010827C0"/>
    <w:rsid w:val="0119677B"/>
    <w:rsid w:val="012C5FAF"/>
    <w:rsid w:val="01AF3D99"/>
    <w:rsid w:val="01B52C2D"/>
    <w:rsid w:val="01F91C73"/>
    <w:rsid w:val="01F96404"/>
    <w:rsid w:val="0201302D"/>
    <w:rsid w:val="02200AAA"/>
    <w:rsid w:val="02247ACE"/>
    <w:rsid w:val="02337361"/>
    <w:rsid w:val="02511F9D"/>
    <w:rsid w:val="0296130E"/>
    <w:rsid w:val="02DB6B5E"/>
    <w:rsid w:val="03447834"/>
    <w:rsid w:val="035100F2"/>
    <w:rsid w:val="036543A8"/>
    <w:rsid w:val="03654FA1"/>
    <w:rsid w:val="03A03330"/>
    <w:rsid w:val="03A314B8"/>
    <w:rsid w:val="03B7227C"/>
    <w:rsid w:val="03BB1D6C"/>
    <w:rsid w:val="03C5243A"/>
    <w:rsid w:val="03D82B98"/>
    <w:rsid w:val="03E47515"/>
    <w:rsid w:val="03F83E8B"/>
    <w:rsid w:val="03FF37B7"/>
    <w:rsid w:val="04140663"/>
    <w:rsid w:val="04181B28"/>
    <w:rsid w:val="0451328B"/>
    <w:rsid w:val="046269DF"/>
    <w:rsid w:val="04BF763A"/>
    <w:rsid w:val="04CD61FB"/>
    <w:rsid w:val="04EF7F2B"/>
    <w:rsid w:val="04F55751"/>
    <w:rsid w:val="050140F6"/>
    <w:rsid w:val="05067536"/>
    <w:rsid w:val="051929AB"/>
    <w:rsid w:val="05305068"/>
    <w:rsid w:val="05A131E3"/>
    <w:rsid w:val="05AC1B2E"/>
    <w:rsid w:val="05C56868"/>
    <w:rsid w:val="05CB2E5F"/>
    <w:rsid w:val="061C715B"/>
    <w:rsid w:val="06472F82"/>
    <w:rsid w:val="06705FB0"/>
    <w:rsid w:val="068F128E"/>
    <w:rsid w:val="0693415D"/>
    <w:rsid w:val="06EF31F8"/>
    <w:rsid w:val="06F2558C"/>
    <w:rsid w:val="06F62EB9"/>
    <w:rsid w:val="07017BB4"/>
    <w:rsid w:val="07131CDD"/>
    <w:rsid w:val="07A33592"/>
    <w:rsid w:val="07B72767"/>
    <w:rsid w:val="07BB67DE"/>
    <w:rsid w:val="07D63618"/>
    <w:rsid w:val="07E43A81"/>
    <w:rsid w:val="07FB4E2D"/>
    <w:rsid w:val="08077E72"/>
    <w:rsid w:val="0832086E"/>
    <w:rsid w:val="083245C7"/>
    <w:rsid w:val="0843490A"/>
    <w:rsid w:val="08492301"/>
    <w:rsid w:val="08882DD0"/>
    <w:rsid w:val="08946FCA"/>
    <w:rsid w:val="08B576D2"/>
    <w:rsid w:val="08B80099"/>
    <w:rsid w:val="09364131"/>
    <w:rsid w:val="093F3D8B"/>
    <w:rsid w:val="09666C3E"/>
    <w:rsid w:val="096B752A"/>
    <w:rsid w:val="097474D2"/>
    <w:rsid w:val="0981726F"/>
    <w:rsid w:val="098F7F12"/>
    <w:rsid w:val="09925144"/>
    <w:rsid w:val="09C23374"/>
    <w:rsid w:val="09CA084E"/>
    <w:rsid w:val="09CC2AAC"/>
    <w:rsid w:val="09EF16FD"/>
    <w:rsid w:val="0A092713"/>
    <w:rsid w:val="0A09478D"/>
    <w:rsid w:val="0A256191"/>
    <w:rsid w:val="0A397E8E"/>
    <w:rsid w:val="0A3A5CCA"/>
    <w:rsid w:val="0A3D797F"/>
    <w:rsid w:val="0A423A07"/>
    <w:rsid w:val="0A4A5BF8"/>
    <w:rsid w:val="0A652D3E"/>
    <w:rsid w:val="0A6E5D8A"/>
    <w:rsid w:val="0A7F7F97"/>
    <w:rsid w:val="0AAF0151"/>
    <w:rsid w:val="0AD876A7"/>
    <w:rsid w:val="0B0E1130"/>
    <w:rsid w:val="0B305702"/>
    <w:rsid w:val="0B326F2A"/>
    <w:rsid w:val="0B372620"/>
    <w:rsid w:val="0B3E3044"/>
    <w:rsid w:val="0B5374D4"/>
    <w:rsid w:val="0BFE313E"/>
    <w:rsid w:val="0C1E2888"/>
    <w:rsid w:val="0C350E08"/>
    <w:rsid w:val="0C4C20FB"/>
    <w:rsid w:val="0C6531BD"/>
    <w:rsid w:val="0C8E61AF"/>
    <w:rsid w:val="0C8F1FE8"/>
    <w:rsid w:val="0C92213C"/>
    <w:rsid w:val="0CAF06D2"/>
    <w:rsid w:val="0CBE28CD"/>
    <w:rsid w:val="0CC2027E"/>
    <w:rsid w:val="0D7B16D9"/>
    <w:rsid w:val="0D84032B"/>
    <w:rsid w:val="0D860CD8"/>
    <w:rsid w:val="0DB13EEB"/>
    <w:rsid w:val="0DB735A4"/>
    <w:rsid w:val="0DDB49DD"/>
    <w:rsid w:val="0E14123E"/>
    <w:rsid w:val="0E6454B7"/>
    <w:rsid w:val="0E8A6F0A"/>
    <w:rsid w:val="0E9F560A"/>
    <w:rsid w:val="0ECE329B"/>
    <w:rsid w:val="0EE428AF"/>
    <w:rsid w:val="0EF645A0"/>
    <w:rsid w:val="0F094436"/>
    <w:rsid w:val="0F2A74C4"/>
    <w:rsid w:val="0F5A5D56"/>
    <w:rsid w:val="0F620A10"/>
    <w:rsid w:val="0F711E78"/>
    <w:rsid w:val="0F7729A5"/>
    <w:rsid w:val="0FA61B22"/>
    <w:rsid w:val="10014FAA"/>
    <w:rsid w:val="101E5B5C"/>
    <w:rsid w:val="104A1F3F"/>
    <w:rsid w:val="104A4BA3"/>
    <w:rsid w:val="107240FA"/>
    <w:rsid w:val="108D4996"/>
    <w:rsid w:val="10A27F31"/>
    <w:rsid w:val="10BC7C76"/>
    <w:rsid w:val="10DC1574"/>
    <w:rsid w:val="10E03CC6"/>
    <w:rsid w:val="11101D8E"/>
    <w:rsid w:val="113F5142"/>
    <w:rsid w:val="115B4B8E"/>
    <w:rsid w:val="118916FB"/>
    <w:rsid w:val="11927058"/>
    <w:rsid w:val="11BA7B07"/>
    <w:rsid w:val="11BD2243"/>
    <w:rsid w:val="11C14915"/>
    <w:rsid w:val="11F72B09"/>
    <w:rsid w:val="121045D6"/>
    <w:rsid w:val="122D02D9"/>
    <w:rsid w:val="122D2087"/>
    <w:rsid w:val="12743D83"/>
    <w:rsid w:val="128D0D77"/>
    <w:rsid w:val="12957C2C"/>
    <w:rsid w:val="12AD3208"/>
    <w:rsid w:val="12B96010"/>
    <w:rsid w:val="12FE2018"/>
    <w:rsid w:val="130628D8"/>
    <w:rsid w:val="131928BF"/>
    <w:rsid w:val="131B727A"/>
    <w:rsid w:val="135B2B22"/>
    <w:rsid w:val="137D5290"/>
    <w:rsid w:val="138A3509"/>
    <w:rsid w:val="13914897"/>
    <w:rsid w:val="13946135"/>
    <w:rsid w:val="13AF4F03"/>
    <w:rsid w:val="13E04CDB"/>
    <w:rsid w:val="144A092A"/>
    <w:rsid w:val="144C7098"/>
    <w:rsid w:val="14566FC5"/>
    <w:rsid w:val="14704A54"/>
    <w:rsid w:val="14736E66"/>
    <w:rsid w:val="147F458F"/>
    <w:rsid w:val="14947BFE"/>
    <w:rsid w:val="149A00A4"/>
    <w:rsid w:val="14B10388"/>
    <w:rsid w:val="14D174E6"/>
    <w:rsid w:val="14E44281"/>
    <w:rsid w:val="15033573"/>
    <w:rsid w:val="1534169A"/>
    <w:rsid w:val="156068E6"/>
    <w:rsid w:val="156D538C"/>
    <w:rsid w:val="159B506F"/>
    <w:rsid w:val="15C03E03"/>
    <w:rsid w:val="16140CAA"/>
    <w:rsid w:val="16290DB7"/>
    <w:rsid w:val="162A25EB"/>
    <w:rsid w:val="16353C00"/>
    <w:rsid w:val="16735895"/>
    <w:rsid w:val="16816E45"/>
    <w:rsid w:val="16881F81"/>
    <w:rsid w:val="16A24A72"/>
    <w:rsid w:val="16B54D41"/>
    <w:rsid w:val="16C653F4"/>
    <w:rsid w:val="16D01B7A"/>
    <w:rsid w:val="16D93709"/>
    <w:rsid w:val="16ED6288"/>
    <w:rsid w:val="16FA4BD2"/>
    <w:rsid w:val="16FD2A55"/>
    <w:rsid w:val="17001FDA"/>
    <w:rsid w:val="17067C1A"/>
    <w:rsid w:val="17233A58"/>
    <w:rsid w:val="173619DD"/>
    <w:rsid w:val="17366761"/>
    <w:rsid w:val="174E2EC4"/>
    <w:rsid w:val="17514A69"/>
    <w:rsid w:val="17567E8F"/>
    <w:rsid w:val="1763654B"/>
    <w:rsid w:val="176F6C9D"/>
    <w:rsid w:val="177C01F0"/>
    <w:rsid w:val="179E3EFA"/>
    <w:rsid w:val="17A252C5"/>
    <w:rsid w:val="17C84600"/>
    <w:rsid w:val="17CE6630"/>
    <w:rsid w:val="17F4641B"/>
    <w:rsid w:val="181D494B"/>
    <w:rsid w:val="18291A50"/>
    <w:rsid w:val="1844637C"/>
    <w:rsid w:val="184B6E30"/>
    <w:rsid w:val="18573BB3"/>
    <w:rsid w:val="185F6D12"/>
    <w:rsid w:val="18772542"/>
    <w:rsid w:val="187F3D33"/>
    <w:rsid w:val="18820F70"/>
    <w:rsid w:val="18972950"/>
    <w:rsid w:val="18F558C8"/>
    <w:rsid w:val="191C10A7"/>
    <w:rsid w:val="192F0F26"/>
    <w:rsid w:val="194A4B48"/>
    <w:rsid w:val="195474DE"/>
    <w:rsid w:val="195B507D"/>
    <w:rsid w:val="19BE25EF"/>
    <w:rsid w:val="19EE7E5D"/>
    <w:rsid w:val="1A1D50D7"/>
    <w:rsid w:val="1A5F0EA6"/>
    <w:rsid w:val="1A7B3BAB"/>
    <w:rsid w:val="1A8B76DB"/>
    <w:rsid w:val="1A98650B"/>
    <w:rsid w:val="1AA94BBC"/>
    <w:rsid w:val="1AAA4452"/>
    <w:rsid w:val="1AC252C2"/>
    <w:rsid w:val="1AC63078"/>
    <w:rsid w:val="1AD11A1D"/>
    <w:rsid w:val="1AFF0AFE"/>
    <w:rsid w:val="1B412001"/>
    <w:rsid w:val="1B4F19F8"/>
    <w:rsid w:val="1B5A7857"/>
    <w:rsid w:val="1BA972F6"/>
    <w:rsid w:val="1BE50DD1"/>
    <w:rsid w:val="1C1F23FA"/>
    <w:rsid w:val="1C4306F9"/>
    <w:rsid w:val="1C4526C3"/>
    <w:rsid w:val="1C5D5C5E"/>
    <w:rsid w:val="1C6B432E"/>
    <w:rsid w:val="1C8101E5"/>
    <w:rsid w:val="1C8409D2"/>
    <w:rsid w:val="1C970A1D"/>
    <w:rsid w:val="1CB97998"/>
    <w:rsid w:val="1CCE2EE5"/>
    <w:rsid w:val="1CDA72AF"/>
    <w:rsid w:val="1CDF6F49"/>
    <w:rsid w:val="1CEF7146"/>
    <w:rsid w:val="1D0A6375"/>
    <w:rsid w:val="1D181B85"/>
    <w:rsid w:val="1D322C47"/>
    <w:rsid w:val="1DB7314C"/>
    <w:rsid w:val="1DBE272D"/>
    <w:rsid w:val="1DC31AF1"/>
    <w:rsid w:val="1DE1641B"/>
    <w:rsid w:val="1DE5046B"/>
    <w:rsid w:val="1E00340E"/>
    <w:rsid w:val="1E1F1D09"/>
    <w:rsid w:val="1E3E4FB4"/>
    <w:rsid w:val="1E4852D2"/>
    <w:rsid w:val="1E4F2A7A"/>
    <w:rsid w:val="1E694596"/>
    <w:rsid w:val="1E70765E"/>
    <w:rsid w:val="1E9621D4"/>
    <w:rsid w:val="1EB202A6"/>
    <w:rsid w:val="1EC76CCF"/>
    <w:rsid w:val="1ECC44FA"/>
    <w:rsid w:val="1ED6486B"/>
    <w:rsid w:val="1EDB63FC"/>
    <w:rsid w:val="1F063325"/>
    <w:rsid w:val="1F1617FB"/>
    <w:rsid w:val="1F1C1B35"/>
    <w:rsid w:val="1F1F5219"/>
    <w:rsid w:val="1F300115"/>
    <w:rsid w:val="1F3A0E0F"/>
    <w:rsid w:val="1F5642FC"/>
    <w:rsid w:val="1F5F3A9B"/>
    <w:rsid w:val="1FAE057F"/>
    <w:rsid w:val="1FBC5DF5"/>
    <w:rsid w:val="1FF90588"/>
    <w:rsid w:val="2018762F"/>
    <w:rsid w:val="202A22FB"/>
    <w:rsid w:val="202B5346"/>
    <w:rsid w:val="202C2386"/>
    <w:rsid w:val="20400F91"/>
    <w:rsid w:val="20514B81"/>
    <w:rsid w:val="2056255B"/>
    <w:rsid w:val="20574407"/>
    <w:rsid w:val="206A570B"/>
    <w:rsid w:val="20BD452B"/>
    <w:rsid w:val="20C3623F"/>
    <w:rsid w:val="20DA182C"/>
    <w:rsid w:val="20F46465"/>
    <w:rsid w:val="210900A7"/>
    <w:rsid w:val="212156C5"/>
    <w:rsid w:val="2148258B"/>
    <w:rsid w:val="21611D4D"/>
    <w:rsid w:val="216B4602"/>
    <w:rsid w:val="21771E62"/>
    <w:rsid w:val="21781212"/>
    <w:rsid w:val="21B83F86"/>
    <w:rsid w:val="21EA380F"/>
    <w:rsid w:val="221178A8"/>
    <w:rsid w:val="221213CF"/>
    <w:rsid w:val="22327A92"/>
    <w:rsid w:val="223D23F1"/>
    <w:rsid w:val="2254540E"/>
    <w:rsid w:val="226C668D"/>
    <w:rsid w:val="22AD188F"/>
    <w:rsid w:val="22FF181D"/>
    <w:rsid w:val="230063DC"/>
    <w:rsid w:val="23151AAF"/>
    <w:rsid w:val="231D53A2"/>
    <w:rsid w:val="23447FE4"/>
    <w:rsid w:val="235B5EFE"/>
    <w:rsid w:val="236D5383"/>
    <w:rsid w:val="23863CED"/>
    <w:rsid w:val="239A7798"/>
    <w:rsid w:val="239F377F"/>
    <w:rsid w:val="23A35E53"/>
    <w:rsid w:val="23B24AE2"/>
    <w:rsid w:val="23B7504C"/>
    <w:rsid w:val="23C84DE9"/>
    <w:rsid w:val="2419690F"/>
    <w:rsid w:val="24571307"/>
    <w:rsid w:val="24715ECA"/>
    <w:rsid w:val="24754E93"/>
    <w:rsid w:val="247E43DB"/>
    <w:rsid w:val="24967F5F"/>
    <w:rsid w:val="249C557D"/>
    <w:rsid w:val="24D067A8"/>
    <w:rsid w:val="24F829C8"/>
    <w:rsid w:val="25110A2A"/>
    <w:rsid w:val="25145328"/>
    <w:rsid w:val="25240D0A"/>
    <w:rsid w:val="256C0944"/>
    <w:rsid w:val="25733194"/>
    <w:rsid w:val="258F03E8"/>
    <w:rsid w:val="25967363"/>
    <w:rsid w:val="259A582D"/>
    <w:rsid w:val="259F2E44"/>
    <w:rsid w:val="25E65E18"/>
    <w:rsid w:val="26446DE3"/>
    <w:rsid w:val="2674607E"/>
    <w:rsid w:val="267A740D"/>
    <w:rsid w:val="267E514F"/>
    <w:rsid w:val="269669E7"/>
    <w:rsid w:val="269E134D"/>
    <w:rsid w:val="26A270C1"/>
    <w:rsid w:val="26CE2F65"/>
    <w:rsid w:val="26D7699F"/>
    <w:rsid w:val="26FB054E"/>
    <w:rsid w:val="27174C5C"/>
    <w:rsid w:val="272C0399"/>
    <w:rsid w:val="277A5AEB"/>
    <w:rsid w:val="2789543C"/>
    <w:rsid w:val="27AA633E"/>
    <w:rsid w:val="27AF043B"/>
    <w:rsid w:val="27B0578B"/>
    <w:rsid w:val="27B87198"/>
    <w:rsid w:val="27BC5F2F"/>
    <w:rsid w:val="27DC037F"/>
    <w:rsid w:val="28177609"/>
    <w:rsid w:val="281E1EFD"/>
    <w:rsid w:val="282E5245"/>
    <w:rsid w:val="287B5CFE"/>
    <w:rsid w:val="28A3717E"/>
    <w:rsid w:val="28CA2DE2"/>
    <w:rsid w:val="28CB21A2"/>
    <w:rsid w:val="29260276"/>
    <w:rsid w:val="29283150"/>
    <w:rsid w:val="29316245"/>
    <w:rsid w:val="299802D6"/>
    <w:rsid w:val="29AE5D4B"/>
    <w:rsid w:val="29B75078"/>
    <w:rsid w:val="29D75F7F"/>
    <w:rsid w:val="29E22D43"/>
    <w:rsid w:val="29FB2613"/>
    <w:rsid w:val="2A13795C"/>
    <w:rsid w:val="2A1E2D2D"/>
    <w:rsid w:val="2A353998"/>
    <w:rsid w:val="2A9D41C3"/>
    <w:rsid w:val="2AA212FD"/>
    <w:rsid w:val="2AA607D0"/>
    <w:rsid w:val="2AF61758"/>
    <w:rsid w:val="2B095AA2"/>
    <w:rsid w:val="2B195E43"/>
    <w:rsid w:val="2B6C7A10"/>
    <w:rsid w:val="2B724B56"/>
    <w:rsid w:val="2B774624"/>
    <w:rsid w:val="2B81687D"/>
    <w:rsid w:val="2B8608E2"/>
    <w:rsid w:val="2B876854"/>
    <w:rsid w:val="2BA14AB8"/>
    <w:rsid w:val="2BB51EDD"/>
    <w:rsid w:val="2BD126E4"/>
    <w:rsid w:val="2BDD6474"/>
    <w:rsid w:val="2BEC6A86"/>
    <w:rsid w:val="2BEE242F"/>
    <w:rsid w:val="2BF074E3"/>
    <w:rsid w:val="2BF52B8C"/>
    <w:rsid w:val="2C35005E"/>
    <w:rsid w:val="2C45281E"/>
    <w:rsid w:val="2C7A72BE"/>
    <w:rsid w:val="2C864D5D"/>
    <w:rsid w:val="2C9A7D75"/>
    <w:rsid w:val="2CA64B3B"/>
    <w:rsid w:val="2CC17412"/>
    <w:rsid w:val="2CD60BF4"/>
    <w:rsid w:val="2CD86C3B"/>
    <w:rsid w:val="2D183B14"/>
    <w:rsid w:val="2D283E6C"/>
    <w:rsid w:val="2D770813"/>
    <w:rsid w:val="2D7C1E99"/>
    <w:rsid w:val="2D9350C5"/>
    <w:rsid w:val="2DA505AE"/>
    <w:rsid w:val="2DC45B3D"/>
    <w:rsid w:val="2DE735DA"/>
    <w:rsid w:val="2DF57CF0"/>
    <w:rsid w:val="2DF87595"/>
    <w:rsid w:val="2E426A62"/>
    <w:rsid w:val="2E4507CD"/>
    <w:rsid w:val="2E4B4177"/>
    <w:rsid w:val="2E4C78E1"/>
    <w:rsid w:val="2E587F47"/>
    <w:rsid w:val="2E65368C"/>
    <w:rsid w:val="2E70537D"/>
    <w:rsid w:val="2E7B23A5"/>
    <w:rsid w:val="2E8452CD"/>
    <w:rsid w:val="2E9976CE"/>
    <w:rsid w:val="2E9A74E5"/>
    <w:rsid w:val="2EA60904"/>
    <w:rsid w:val="2EE00DC3"/>
    <w:rsid w:val="2EF01DEE"/>
    <w:rsid w:val="2EFF05E8"/>
    <w:rsid w:val="2F1877C3"/>
    <w:rsid w:val="2F3B2F8F"/>
    <w:rsid w:val="2F401D3C"/>
    <w:rsid w:val="2F4800A8"/>
    <w:rsid w:val="2F5051AF"/>
    <w:rsid w:val="2F5B24E1"/>
    <w:rsid w:val="2F80100D"/>
    <w:rsid w:val="2F9C5CDB"/>
    <w:rsid w:val="2FA23C5C"/>
    <w:rsid w:val="2FA95C88"/>
    <w:rsid w:val="2FBC149F"/>
    <w:rsid w:val="2FC93AD3"/>
    <w:rsid w:val="2FD61B58"/>
    <w:rsid w:val="2FD86E9B"/>
    <w:rsid w:val="2FDE37A5"/>
    <w:rsid w:val="2FE14059"/>
    <w:rsid w:val="2FF3270A"/>
    <w:rsid w:val="2FF80CC3"/>
    <w:rsid w:val="30221C48"/>
    <w:rsid w:val="3034687E"/>
    <w:rsid w:val="303B19BB"/>
    <w:rsid w:val="3041370F"/>
    <w:rsid w:val="30570A65"/>
    <w:rsid w:val="3060369A"/>
    <w:rsid w:val="30B87FED"/>
    <w:rsid w:val="30CF0057"/>
    <w:rsid w:val="30D0332C"/>
    <w:rsid w:val="30E5141E"/>
    <w:rsid w:val="30FE2A72"/>
    <w:rsid w:val="31002774"/>
    <w:rsid w:val="310148F0"/>
    <w:rsid w:val="312B50A3"/>
    <w:rsid w:val="313F18A3"/>
    <w:rsid w:val="31683980"/>
    <w:rsid w:val="31894FD2"/>
    <w:rsid w:val="318F27BC"/>
    <w:rsid w:val="31A55C86"/>
    <w:rsid w:val="31FF0F84"/>
    <w:rsid w:val="32057A20"/>
    <w:rsid w:val="3216448E"/>
    <w:rsid w:val="322A0A17"/>
    <w:rsid w:val="32453A27"/>
    <w:rsid w:val="32543208"/>
    <w:rsid w:val="3263064A"/>
    <w:rsid w:val="32A43132"/>
    <w:rsid w:val="32AC0C06"/>
    <w:rsid w:val="32BD2B5B"/>
    <w:rsid w:val="32EC7456"/>
    <w:rsid w:val="33272EB3"/>
    <w:rsid w:val="33344EF5"/>
    <w:rsid w:val="333472C1"/>
    <w:rsid w:val="334868C9"/>
    <w:rsid w:val="335135AD"/>
    <w:rsid w:val="335C05C6"/>
    <w:rsid w:val="338C209D"/>
    <w:rsid w:val="33C00B55"/>
    <w:rsid w:val="33E47F39"/>
    <w:rsid w:val="3438197C"/>
    <w:rsid w:val="3463556B"/>
    <w:rsid w:val="346F4329"/>
    <w:rsid w:val="349A203C"/>
    <w:rsid w:val="34AB094C"/>
    <w:rsid w:val="34D20697"/>
    <w:rsid w:val="350607E9"/>
    <w:rsid w:val="35066A3B"/>
    <w:rsid w:val="35147F85"/>
    <w:rsid w:val="353177BD"/>
    <w:rsid w:val="3537750C"/>
    <w:rsid w:val="3537798C"/>
    <w:rsid w:val="35464696"/>
    <w:rsid w:val="356B2D42"/>
    <w:rsid w:val="356C32E1"/>
    <w:rsid w:val="35725E7F"/>
    <w:rsid w:val="35737CAC"/>
    <w:rsid w:val="35784B06"/>
    <w:rsid w:val="358E67B3"/>
    <w:rsid w:val="359671E2"/>
    <w:rsid w:val="35C13FC9"/>
    <w:rsid w:val="35EF127D"/>
    <w:rsid w:val="36032A68"/>
    <w:rsid w:val="36107446"/>
    <w:rsid w:val="361376DE"/>
    <w:rsid w:val="36154A5C"/>
    <w:rsid w:val="364257B6"/>
    <w:rsid w:val="365810C1"/>
    <w:rsid w:val="36CC7811"/>
    <w:rsid w:val="36CD03FF"/>
    <w:rsid w:val="36D64360"/>
    <w:rsid w:val="36EB413B"/>
    <w:rsid w:val="36ED7342"/>
    <w:rsid w:val="36F01751"/>
    <w:rsid w:val="37205E40"/>
    <w:rsid w:val="37226CD7"/>
    <w:rsid w:val="37246F13"/>
    <w:rsid w:val="373D24BC"/>
    <w:rsid w:val="373D42AF"/>
    <w:rsid w:val="37517D16"/>
    <w:rsid w:val="37537F32"/>
    <w:rsid w:val="376D14AF"/>
    <w:rsid w:val="37EA5922"/>
    <w:rsid w:val="381D69EA"/>
    <w:rsid w:val="38251228"/>
    <w:rsid w:val="38276B93"/>
    <w:rsid w:val="382C2678"/>
    <w:rsid w:val="386F48F8"/>
    <w:rsid w:val="387A3C2D"/>
    <w:rsid w:val="388C36FB"/>
    <w:rsid w:val="38A8605B"/>
    <w:rsid w:val="38AC3431"/>
    <w:rsid w:val="38CE39D9"/>
    <w:rsid w:val="38D66725"/>
    <w:rsid w:val="38DB59A9"/>
    <w:rsid w:val="38E31989"/>
    <w:rsid w:val="38FC35F8"/>
    <w:rsid w:val="390A63CE"/>
    <w:rsid w:val="392F2E16"/>
    <w:rsid w:val="39522A4F"/>
    <w:rsid w:val="39B43358"/>
    <w:rsid w:val="39DE1D35"/>
    <w:rsid w:val="39E00529"/>
    <w:rsid w:val="3A0B64A7"/>
    <w:rsid w:val="3A2B2AA0"/>
    <w:rsid w:val="3A377697"/>
    <w:rsid w:val="3A3D0823"/>
    <w:rsid w:val="3A40479E"/>
    <w:rsid w:val="3A574DDA"/>
    <w:rsid w:val="3A7E2CEE"/>
    <w:rsid w:val="3AC32CD9"/>
    <w:rsid w:val="3AD3075A"/>
    <w:rsid w:val="3AF74C02"/>
    <w:rsid w:val="3B08125F"/>
    <w:rsid w:val="3B117D69"/>
    <w:rsid w:val="3B143534"/>
    <w:rsid w:val="3B1B48C3"/>
    <w:rsid w:val="3B535B37"/>
    <w:rsid w:val="3B6031D3"/>
    <w:rsid w:val="3B657F1A"/>
    <w:rsid w:val="3B6B6324"/>
    <w:rsid w:val="3B6C15C2"/>
    <w:rsid w:val="3B890DC1"/>
    <w:rsid w:val="3BA65070"/>
    <w:rsid w:val="3BBA50D2"/>
    <w:rsid w:val="3C0059A5"/>
    <w:rsid w:val="3C134E78"/>
    <w:rsid w:val="3C2D1349"/>
    <w:rsid w:val="3C406CD7"/>
    <w:rsid w:val="3C4A1903"/>
    <w:rsid w:val="3C4D31A2"/>
    <w:rsid w:val="3C526A0A"/>
    <w:rsid w:val="3C5E0698"/>
    <w:rsid w:val="3C6436E5"/>
    <w:rsid w:val="3C683F6D"/>
    <w:rsid w:val="3C686A41"/>
    <w:rsid w:val="3C88242C"/>
    <w:rsid w:val="3C885F88"/>
    <w:rsid w:val="3C8B21EB"/>
    <w:rsid w:val="3C926E07"/>
    <w:rsid w:val="3CA24F0A"/>
    <w:rsid w:val="3CB4104C"/>
    <w:rsid w:val="3CBD0327"/>
    <w:rsid w:val="3CCB6EDB"/>
    <w:rsid w:val="3D07507C"/>
    <w:rsid w:val="3D1141CF"/>
    <w:rsid w:val="3D1E051B"/>
    <w:rsid w:val="3D566798"/>
    <w:rsid w:val="3D580050"/>
    <w:rsid w:val="3D7F5B5C"/>
    <w:rsid w:val="3D812C57"/>
    <w:rsid w:val="3D8E57A9"/>
    <w:rsid w:val="3D9B618F"/>
    <w:rsid w:val="3DA05553"/>
    <w:rsid w:val="3DCC6348"/>
    <w:rsid w:val="3DEC579F"/>
    <w:rsid w:val="3DF6345D"/>
    <w:rsid w:val="3E034F5C"/>
    <w:rsid w:val="3E0D0E3B"/>
    <w:rsid w:val="3E1B68A6"/>
    <w:rsid w:val="3E233DBE"/>
    <w:rsid w:val="3E2B5515"/>
    <w:rsid w:val="3E3D2CEB"/>
    <w:rsid w:val="3E3F4D6C"/>
    <w:rsid w:val="3E4D4F28"/>
    <w:rsid w:val="3E524A9F"/>
    <w:rsid w:val="3E817133"/>
    <w:rsid w:val="3E8E4943"/>
    <w:rsid w:val="3EBC63BD"/>
    <w:rsid w:val="3ECB7CDF"/>
    <w:rsid w:val="3ECC7453"/>
    <w:rsid w:val="3ED61746"/>
    <w:rsid w:val="3ED92EC4"/>
    <w:rsid w:val="3EE13701"/>
    <w:rsid w:val="3F1A4BB3"/>
    <w:rsid w:val="3F3874BF"/>
    <w:rsid w:val="3F3E3276"/>
    <w:rsid w:val="3F5A2E5F"/>
    <w:rsid w:val="3F713622"/>
    <w:rsid w:val="3F765169"/>
    <w:rsid w:val="3FB362C2"/>
    <w:rsid w:val="3FB45515"/>
    <w:rsid w:val="3FB6105E"/>
    <w:rsid w:val="3FB90C6E"/>
    <w:rsid w:val="3FC731E3"/>
    <w:rsid w:val="3FCA4E37"/>
    <w:rsid w:val="3FEC0F24"/>
    <w:rsid w:val="3FEE07F8"/>
    <w:rsid w:val="400022D9"/>
    <w:rsid w:val="40153FD6"/>
    <w:rsid w:val="40192BA6"/>
    <w:rsid w:val="40A54907"/>
    <w:rsid w:val="40D44BB8"/>
    <w:rsid w:val="40F63E08"/>
    <w:rsid w:val="40F8373D"/>
    <w:rsid w:val="41114D6F"/>
    <w:rsid w:val="416274F1"/>
    <w:rsid w:val="416B088F"/>
    <w:rsid w:val="41760AA5"/>
    <w:rsid w:val="41766EA9"/>
    <w:rsid w:val="41866B13"/>
    <w:rsid w:val="41935450"/>
    <w:rsid w:val="41AD09C3"/>
    <w:rsid w:val="41B65373"/>
    <w:rsid w:val="41C77F5B"/>
    <w:rsid w:val="41DE664A"/>
    <w:rsid w:val="41E6725D"/>
    <w:rsid w:val="41F77652"/>
    <w:rsid w:val="4217445F"/>
    <w:rsid w:val="423D5A66"/>
    <w:rsid w:val="42550A18"/>
    <w:rsid w:val="426E308D"/>
    <w:rsid w:val="429D496A"/>
    <w:rsid w:val="42A038DB"/>
    <w:rsid w:val="42A16911"/>
    <w:rsid w:val="42C4395D"/>
    <w:rsid w:val="42F473A1"/>
    <w:rsid w:val="431A7B56"/>
    <w:rsid w:val="43362BE2"/>
    <w:rsid w:val="43602A2A"/>
    <w:rsid w:val="437217EA"/>
    <w:rsid w:val="4392187A"/>
    <w:rsid w:val="43AB7156"/>
    <w:rsid w:val="43DE0B83"/>
    <w:rsid w:val="441E62C0"/>
    <w:rsid w:val="442102EF"/>
    <w:rsid w:val="442D4712"/>
    <w:rsid w:val="4434212B"/>
    <w:rsid w:val="443C665A"/>
    <w:rsid w:val="44684A59"/>
    <w:rsid w:val="44916AD9"/>
    <w:rsid w:val="449D7506"/>
    <w:rsid w:val="44A71A4C"/>
    <w:rsid w:val="45062140"/>
    <w:rsid w:val="45325D14"/>
    <w:rsid w:val="45327DE5"/>
    <w:rsid w:val="45571063"/>
    <w:rsid w:val="456F23DB"/>
    <w:rsid w:val="45811C7C"/>
    <w:rsid w:val="45906116"/>
    <w:rsid w:val="45917908"/>
    <w:rsid w:val="45931B8C"/>
    <w:rsid w:val="459B015E"/>
    <w:rsid w:val="459B6D2C"/>
    <w:rsid w:val="45DF4F21"/>
    <w:rsid w:val="45EF2552"/>
    <w:rsid w:val="460B6AC0"/>
    <w:rsid w:val="463B22BD"/>
    <w:rsid w:val="464C1EC6"/>
    <w:rsid w:val="466E61EE"/>
    <w:rsid w:val="46733CB9"/>
    <w:rsid w:val="467550A7"/>
    <w:rsid w:val="468B3EFB"/>
    <w:rsid w:val="468E6891"/>
    <w:rsid w:val="46955E71"/>
    <w:rsid w:val="46C95B1B"/>
    <w:rsid w:val="46FA2EE3"/>
    <w:rsid w:val="470A6193"/>
    <w:rsid w:val="471548BC"/>
    <w:rsid w:val="47385210"/>
    <w:rsid w:val="47555600"/>
    <w:rsid w:val="475F1FDB"/>
    <w:rsid w:val="476D1D47"/>
    <w:rsid w:val="479F0ACD"/>
    <w:rsid w:val="47A0743D"/>
    <w:rsid w:val="47A617A5"/>
    <w:rsid w:val="47C56F66"/>
    <w:rsid w:val="47D31E1A"/>
    <w:rsid w:val="47DC4F5C"/>
    <w:rsid w:val="4840005F"/>
    <w:rsid w:val="484F7DD9"/>
    <w:rsid w:val="48552BC8"/>
    <w:rsid w:val="48B40671"/>
    <w:rsid w:val="48BC6F7A"/>
    <w:rsid w:val="48CF0271"/>
    <w:rsid w:val="48F8074C"/>
    <w:rsid w:val="49042FF5"/>
    <w:rsid w:val="49076335"/>
    <w:rsid w:val="4922291D"/>
    <w:rsid w:val="492B4C09"/>
    <w:rsid w:val="492B6619"/>
    <w:rsid w:val="49604478"/>
    <w:rsid w:val="499B5738"/>
    <w:rsid w:val="499F244D"/>
    <w:rsid w:val="49B900C8"/>
    <w:rsid w:val="49CF169A"/>
    <w:rsid w:val="4A1953E5"/>
    <w:rsid w:val="4A1E617D"/>
    <w:rsid w:val="4A7E670F"/>
    <w:rsid w:val="4A970798"/>
    <w:rsid w:val="4A973F3F"/>
    <w:rsid w:val="4A9D48C2"/>
    <w:rsid w:val="4ABB577A"/>
    <w:rsid w:val="4ABC3301"/>
    <w:rsid w:val="4AC31D20"/>
    <w:rsid w:val="4AC83F74"/>
    <w:rsid w:val="4ACE1952"/>
    <w:rsid w:val="4ACF10C7"/>
    <w:rsid w:val="4AF96BC7"/>
    <w:rsid w:val="4B0C003F"/>
    <w:rsid w:val="4B136655"/>
    <w:rsid w:val="4B643D98"/>
    <w:rsid w:val="4B702A09"/>
    <w:rsid w:val="4B862A85"/>
    <w:rsid w:val="4B8F39AF"/>
    <w:rsid w:val="4BA53E30"/>
    <w:rsid w:val="4BB94F2D"/>
    <w:rsid w:val="4BDD0672"/>
    <w:rsid w:val="4BE33F9B"/>
    <w:rsid w:val="4BF36441"/>
    <w:rsid w:val="4C2832E3"/>
    <w:rsid w:val="4C4D68A6"/>
    <w:rsid w:val="4C6A0734"/>
    <w:rsid w:val="4C7E1155"/>
    <w:rsid w:val="4C8E7362"/>
    <w:rsid w:val="4C9F7D59"/>
    <w:rsid w:val="4CA010CC"/>
    <w:rsid w:val="4CB708CE"/>
    <w:rsid w:val="4CD7788D"/>
    <w:rsid w:val="4CDB23B6"/>
    <w:rsid w:val="4CDE5035"/>
    <w:rsid w:val="4CE54D31"/>
    <w:rsid w:val="4CEF36E2"/>
    <w:rsid w:val="4CEF4DC5"/>
    <w:rsid w:val="4D1D595E"/>
    <w:rsid w:val="4D2E492A"/>
    <w:rsid w:val="4D5674A9"/>
    <w:rsid w:val="4DAD1323"/>
    <w:rsid w:val="4DAE0576"/>
    <w:rsid w:val="4DB43081"/>
    <w:rsid w:val="4DBA440F"/>
    <w:rsid w:val="4DCC61A3"/>
    <w:rsid w:val="4DDA7116"/>
    <w:rsid w:val="4E257655"/>
    <w:rsid w:val="4E263853"/>
    <w:rsid w:val="4E2D4BE1"/>
    <w:rsid w:val="4E375A60"/>
    <w:rsid w:val="4E4A29CE"/>
    <w:rsid w:val="4E5A1BC6"/>
    <w:rsid w:val="4E612ADD"/>
    <w:rsid w:val="4E7B70F2"/>
    <w:rsid w:val="4EA54611"/>
    <w:rsid w:val="4ED01321"/>
    <w:rsid w:val="4EE01C53"/>
    <w:rsid w:val="4EF56E5A"/>
    <w:rsid w:val="4EFF09F2"/>
    <w:rsid w:val="4F017C92"/>
    <w:rsid w:val="4F372380"/>
    <w:rsid w:val="4F372FFB"/>
    <w:rsid w:val="4F373BA2"/>
    <w:rsid w:val="4F50685F"/>
    <w:rsid w:val="4F552D33"/>
    <w:rsid w:val="4F604F02"/>
    <w:rsid w:val="4F6D6A9E"/>
    <w:rsid w:val="4FA5794C"/>
    <w:rsid w:val="4FAC106B"/>
    <w:rsid w:val="4FAD6032"/>
    <w:rsid w:val="4FDC1C12"/>
    <w:rsid w:val="4FDD1914"/>
    <w:rsid w:val="4FED287A"/>
    <w:rsid w:val="500D6A78"/>
    <w:rsid w:val="50137E07"/>
    <w:rsid w:val="501F792A"/>
    <w:rsid w:val="502320A0"/>
    <w:rsid w:val="5025116D"/>
    <w:rsid w:val="505C3744"/>
    <w:rsid w:val="505E5526"/>
    <w:rsid w:val="50CE76FD"/>
    <w:rsid w:val="50DE66D4"/>
    <w:rsid w:val="5119769F"/>
    <w:rsid w:val="511F7661"/>
    <w:rsid w:val="51262341"/>
    <w:rsid w:val="512978E2"/>
    <w:rsid w:val="513E4D75"/>
    <w:rsid w:val="517F61AE"/>
    <w:rsid w:val="519C2EC4"/>
    <w:rsid w:val="51B94AD4"/>
    <w:rsid w:val="51D07D5D"/>
    <w:rsid w:val="51DF6918"/>
    <w:rsid w:val="521B663F"/>
    <w:rsid w:val="52395ECD"/>
    <w:rsid w:val="52575E63"/>
    <w:rsid w:val="52650DED"/>
    <w:rsid w:val="52860CDE"/>
    <w:rsid w:val="52887E58"/>
    <w:rsid w:val="52BD6456"/>
    <w:rsid w:val="52C10D75"/>
    <w:rsid w:val="52E71BFE"/>
    <w:rsid w:val="53120DFC"/>
    <w:rsid w:val="533F163E"/>
    <w:rsid w:val="53586243"/>
    <w:rsid w:val="53626BF3"/>
    <w:rsid w:val="53832C97"/>
    <w:rsid w:val="538536A3"/>
    <w:rsid w:val="53C27FF8"/>
    <w:rsid w:val="53D76A77"/>
    <w:rsid w:val="544246B9"/>
    <w:rsid w:val="54794B5F"/>
    <w:rsid w:val="549E1A80"/>
    <w:rsid w:val="54A77640"/>
    <w:rsid w:val="54BA1986"/>
    <w:rsid w:val="54C658F4"/>
    <w:rsid w:val="54EB3100"/>
    <w:rsid w:val="5503044A"/>
    <w:rsid w:val="550C4BD7"/>
    <w:rsid w:val="55102A40"/>
    <w:rsid w:val="55275A0F"/>
    <w:rsid w:val="554B0C61"/>
    <w:rsid w:val="554C1D56"/>
    <w:rsid w:val="555109BF"/>
    <w:rsid w:val="555278AF"/>
    <w:rsid w:val="55572986"/>
    <w:rsid w:val="55757355"/>
    <w:rsid w:val="558E2819"/>
    <w:rsid w:val="55991055"/>
    <w:rsid w:val="55C37BD9"/>
    <w:rsid w:val="55CE6CAA"/>
    <w:rsid w:val="55D2686D"/>
    <w:rsid w:val="55E025CB"/>
    <w:rsid w:val="55E942E3"/>
    <w:rsid w:val="56233DAE"/>
    <w:rsid w:val="564E6D54"/>
    <w:rsid w:val="56507986"/>
    <w:rsid w:val="565340FA"/>
    <w:rsid w:val="565A22EB"/>
    <w:rsid w:val="565C6063"/>
    <w:rsid w:val="566841AB"/>
    <w:rsid w:val="568C38D5"/>
    <w:rsid w:val="568D27BB"/>
    <w:rsid w:val="56AD5F59"/>
    <w:rsid w:val="56AE5057"/>
    <w:rsid w:val="56B04601"/>
    <w:rsid w:val="56B22127"/>
    <w:rsid w:val="56E764C8"/>
    <w:rsid w:val="570C524E"/>
    <w:rsid w:val="575136EE"/>
    <w:rsid w:val="57645F73"/>
    <w:rsid w:val="576E2576"/>
    <w:rsid w:val="579049BE"/>
    <w:rsid w:val="579B0E0D"/>
    <w:rsid w:val="57A40B60"/>
    <w:rsid w:val="57A66625"/>
    <w:rsid w:val="57AB06F3"/>
    <w:rsid w:val="57B12A52"/>
    <w:rsid w:val="57BB4B36"/>
    <w:rsid w:val="57E01845"/>
    <w:rsid w:val="57EE5248"/>
    <w:rsid w:val="584658BF"/>
    <w:rsid w:val="58777AE3"/>
    <w:rsid w:val="588F4785"/>
    <w:rsid w:val="58C5233B"/>
    <w:rsid w:val="58C70DCE"/>
    <w:rsid w:val="59080725"/>
    <w:rsid w:val="59114324"/>
    <w:rsid w:val="5952374E"/>
    <w:rsid w:val="59777658"/>
    <w:rsid w:val="597C6A1D"/>
    <w:rsid w:val="598F0487"/>
    <w:rsid w:val="598F04FE"/>
    <w:rsid w:val="59A860E0"/>
    <w:rsid w:val="59B43CF0"/>
    <w:rsid w:val="59E30CB0"/>
    <w:rsid w:val="59EE5D29"/>
    <w:rsid w:val="5A161AA5"/>
    <w:rsid w:val="5A1E62F5"/>
    <w:rsid w:val="5A2F2CC8"/>
    <w:rsid w:val="5A5534F6"/>
    <w:rsid w:val="5A6516AD"/>
    <w:rsid w:val="5A7F64E2"/>
    <w:rsid w:val="5A8D7AED"/>
    <w:rsid w:val="5A8E77E6"/>
    <w:rsid w:val="5A981634"/>
    <w:rsid w:val="5A9E0BA0"/>
    <w:rsid w:val="5AB67D0C"/>
    <w:rsid w:val="5ADB6D24"/>
    <w:rsid w:val="5AE05C9A"/>
    <w:rsid w:val="5AF947C9"/>
    <w:rsid w:val="5B060C94"/>
    <w:rsid w:val="5B1F1D55"/>
    <w:rsid w:val="5B20432C"/>
    <w:rsid w:val="5B317B51"/>
    <w:rsid w:val="5B4D68C3"/>
    <w:rsid w:val="5B5E10B5"/>
    <w:rsid w:val="5B6657AD"/>
    <w:rsid w:val="5B697EEF"/>
    <w:rsid w:val="5BD06439"/>
    <w:rsid w:val="5BFB00CD"/>
    <w:rsid w:val="5C10702D"/>
    <w:rsid w:val="5C1212B5"/>
    <w:rsid w:val="5C152601"/>
    <w:rsid w:val="5C2238AB"/>
    <w:rsid w:val="5C563555"/>
    <w:rsid w:val="5C581F57"/>
    <w:rsid w:val="5C591F03"/>
    <w:rsid w:val="5C5B5602"/>
    <w:rsid w:val="5C877BB2"/>
    <w:rsid w:val="5C8A1B2F"/>
    <w:rsid w:val="5C9F4EFC"/>
    <w:rsid w:val="5CBB785C"/>
    <w:rsid w:val="5CCB58BF"/>
    <w:rsid w:val="5D2C3FDA"/>
    <w:rsid w:val="5D3F048D"/>
    <w:rsid w:val="5D501790"/>
    <w:rsid w:val="5D693414"/>
    <w:rsid w:val="5D7142FE"/>
    <w:rsid w:val="5D79648E"/>
    <w:rsid w:val="5D7E58D3"/>
    <w:rsid w:val="5D95186C"/>
    <w:rsid w:val="5DB744C7"/>
    <w:rsid w:val="5DE1109B"/>
    <w:rsid w:val="5DED477A"/>
    <w:rsid w:val="5DF66D9E"/>
    <w:rsid w:val="5DFB43B4"/>
    <w:rsid w:val="5DFC351B"/>
    <w:rsid w:val="5E1426A9"/>
    <w:rsid w:val="5E1C56A1"/>
    <w:rsid w:val="5E251431"/>
    <w:rsid w:val="5E954808"/>
    <w:rsid w:val="5EA22C56"/>
    <w:rsid w:val="5EBA0DC9"/>
    <w:rsid w:val="5F324EA1"/>
    <w:rsid w:val="5F3B73F3"/>
    <w:rsid w:val="5F447FDD"/>
    <w:rsid w:val="5F463F63"/>
    <w:rsid w:val="5F561B72"/>
    <w:rsid w:val="5F5924E9"/>
    <w:rsid w:val="5FCF5AF8"/>
    <w:rsid w:val="5FF44DA7"/>
    <w:rsid w:val="5FF732CD"/>
    <w:rsid w:val="5FF75D1E"/>
    <w:rsid w:val="600D6620"/>
    <w:rsid w:val="6037544B"/>
    <w:rsid w:val="603900D0"/>
    <w:rsid w:val="603B318E"/>
    <w:rsid w:val="6052125F"/>
    <w:rsid w:val="606007BB"/>
    <w:rsid w:val="60771CEC"/>
    <w:rsid w:val="609E54CA"/>
    <w:rsid w:val="60AC7F66"/>
    <w:rsid w:val="60C50CA9"/>
    <w:rsid w:val="60C95281"/>
    <w:rsid w:val="60EE58F6"/>
    <w:rsid w:val="611F485D"/>
    <w:rsid w:val="6149254E"/>
    <w:rsid w:val="615B1CEA"/>
    <w:rsid w:val="61665FE8"/>
    <w:rsid w:val="61730EFA"/>
    <w:rsid w:val="6180680C"/>
    <w:rsid w:val="6181445A"/>
    <w:rsid w:val="61AB60F1"/>
    <w:rsid w:val="61BF10D9"/>
    <w:rsid w:val="61FC6D54"/>
    <w:rsid w:val="620470D5"/>
    <w:rsid w:val="62224475"/>
    <w:rsid w:val="623B56C7"/>
    <w:rsid w:val="62400F9F"/>
    <w:rsid w:val="625B6730"/>
    <w:rsid w:val="627209BD"/>
    <w:rsid w:val="628726BA"/>
    <w:rsid w:val="62AC22DC"/>
    <w:rsid w:val="62EF025F"/>
    <w:rsid w:val="632838CD"/>
    <w:rsid w:val="632B4122"/>
    <w:rsid w:val="638A3663"/>
    <w:rsid w:val="638E37D8"/>
    <w:rsid w:val="63972D7A"/>
    <w:rsid w:val="63A22BFD"/>
    <w:rsid w:val="63BA6ABF"/>
    <w:rsid w:val="63CB6517"/>
    <w:rsid w:val="63D30291"/>
    <w:rsid w:val="63D61FE2"/>
    <w:rsid w:val="63E35DF8"/>
    <w:rsid w:val="63F33C04"/>
    <w:rsid w:val="64055F8C"/>
    <w:rsid w:val="645542BC"/>
    <w:rsid w:val="6472739A"/>
    <w:rsid w:val="64E45EF7"/>
    <w:rsid w:val="64F16511"/>
    <w:rsid w:val="64F56A29"/>
    <w:rsid w:val="64F91EF5"/>
    <w:rsid w:val="64FD3107"/>
    <w:rsid w:val="6507580D"/>
    <w:rsid w:val="6523128F"/>
    <w:rsid w:val="65353AE7"/>
    <w:rsid w:val="657607C4"/>
    <w:rsid w:val="65802BD8"/>
    <w:rsid w:val="65AA03FB"/>
    <w:rsid w:val="65B5753E"/>
    <w:rsid w:val="65BD4645"/>
    <w:rsid w:val="65F659AF"/>
    <w:rsid w:val="660E46E0"/>
    <w:rsid w:val="665C0356"/>
    <w:rsid w:val="66640969"/>
    <w:rsid w:val="6691014E"/>
    <w:rsid w:val="6692427B"/>
    <w:rsid w:val="66BA15B6"/>
    <w:rsid w:val="66C64D00"/>
    <w:rsid w:val="66C87CCE"/>
    <w:rsid w:val="66C969E6"/>
    <w:rsid w:val="670C5884"/>
    <w:rsid w:val="6731217B"/>
    <w:rsid w:val="67424E02"/>
    <w:rsid w:val="674F5576"/>
    <w:rsid w:val="675D3EA4"/>
    <w:rsid w:val="677060D3"/>
    <w:rsid w:val="677243C5"/>
    <w:rsid w:val="677435B2"/>
    <w:rsid w:val="67902011"/>
    <w:rsid w:val="67C21F06"/>
    <w:rsid w:val="67EF75F1"/>
    <w:rsid w:val="680372D4"/>
    <w:rsid w:val="68352BB8"/>
    <w:rsid w:val="68412CE1"/>
    <w:rsid w:val="684F4F11"/>
    <w:rsid w:val="6859473E"/>
    <w:rsid w:val="68644A48"/>
    <w:rsid w:val="68AA5354"/>
    <w:rsid w:val="68BE60F6"/>
    <w:rsid w:val="68CF4DBB"/>
    <w:rsid w:val="68D128E1"/>
    <w:rsid w:val="68DD74D8"/>
    <w:rsid w:val="68E151AE"/>
    <w:rsid w:val="69034A64"/>
    <w:rsid w:val="69104F01"/>
    <w:rsid w:val="69124F16"/>
    <w:rsid w:val="692C3C07"/>
    <w:rsid w:val="69540E1C"/>
    <w:rsid w:val="6973675D"/>
    <w:rsid w:val="69BA15C7"/>
    <w:rsid w:val="69CD5C14"/>
    <w:rsid w:val="69CF0D33"/>
    <w:rsid w:val="69CF2482"/>
    <w:rsid w:val="69D72179"/>
    <w:rsid w:val="69FF347E"/>
    <w:rsid w:val="6A077EF9"/>
    <w:rsid w:val="6A2B7301"/>
    <w:rsid w:val="6A4378D2"/>
    <w:rsid w:val="6A503CD9"/>
    <w:rsid w:val="6AB57FE0"/>
    <w:rsid w:val="6ADB40DC"/>
    <w:rsid w:val="6AFE283B"/>
    <w:rsid w:val="6B4D4DA6"/>
    <w:rsid w:val="6B9946B3"/>
    <w:rsid w:val="6BAC13E3"/>
    <w:rsid w:val="6BD13793"/>
    <w:rsid w:val="6BDD0871"/>
    <w:rsid w:val="6BF402A7"/>
    <w:rsid w:val="6C1E27F0"/>
    <w:rsid w:val="6C276F3A"/>
    <w:rsid w:val="6C5C5C0D"/>
    <w:rsid w:val="6C7007C7"/>
    <w:rsid w:val="6C763D3D"/>
    <w:rsid w:val="6C7C7008"/>
    <w:rsid w:val="6C8549F4"/>
    <w:rsid w:val="6C8B2DA7"/>
    <w:rsid w:val="6C8E32FA"/>
    <w:rsid w:val="6CEA5182"/>
    <w:rsid w:val="6CED5B4D"/>
    <w:rsid w:val="6D0B5802"/>
    <w:rsid w:val="6D6F1396"/>
    <w:rsid w:val="6D7361B0"/>
    <w:rsid w:val="6D7636BA"/>
    <w:rsid w:val="6D7952F5"/>
    <w:rsid w:val="6D945A51"/>
    <w:rsid w:val="6DA32372"/>
    <w:rsid w:val="6DB16529"/>
    <w:rsid w:val="6DBC51E2"/>
    <w:rsid w:val="6DD96DB6"/>
    <w:rsid w:val="6DE76850"/>
    <w:rsid w:val="6E296D1B"/>
    <w:rsid w:val="6E66310E"/>
    <w:rsid w:val="6E932DE0"/>
    <w:rsid w:val="6EA7112B"/>
    <w:rsid w:val="6ECE2FB7"/>
    <w:rsid w:val="6EE47802"/>
    <w:rsid w:val="6EE97C7B"/>
    <w:rsid w:val="6EF91340"/>
    <w:rsid w:val="6EFB3C2C"/>
    <w:rsid w:val="6EFC020C"/>
    <w:rsid w:val="6EFD3419"/>
    <w:rsid w:val="6F1141AB"/>
    <w:rsid w:val="6F1B6617"/>
    <w:rsid w:val="6F234695"/>
    <w:rsid w:val="6F2A7F88"/>
    <w:rsid w:val="6F385179"/>
    <w:rsid w:val="6F4E5CAC"/>
    <w:rsid w:val="6F4F27B2"/>
    <w:rsid w:val="6F5E1A6F"/>
    <w:rsid w:val="6F7F3327"/>
    <w:rsid w:val="6F80296B"/>
    <w:rsid w:val="6FB20BD4"/>
    <w:rsid w:val="6FB27657"/>
    <w:rsid w:val="6FBA59BE"/>
    <w:rsid w:val="6FE545C5"/>
    <w:rsid w:val="6FE949B4"/>
    <w:rsid w:val="70296B3E"/>
    <w:rsid w:val="7049646A"/>
    <w:rsid w:val="704C0C3E"/>
    <w:rsid w:val="7057153F"/>
    <w:rsid w:val="70611204"/>
    <w:rsid w:val="70BC724E"/>
    <w:rsid w:val="710C6DC7"/>
    <w:rsid w:val="7119271A"/>
    <w:rsid w:val="71621977"/>
    <w:rsid w:val="7165620F"/>
    <w:rsid w:val="717039F8"/>
    <w:rsid w:val="718F6E95"/>
    <w:rsid w:val="7197202C"/>
    <w:rsid w:val="71EC42E8"/>
    <w:rsid w:val="71FD3831"/>
    <w:rsid w:val="721B697B"/>
    <w:rsid w:val="721C028A"/>
    <w:rsid w:val="72233A82"/>
    <w:rsid w:val="72565C05"/>
    <w:rsid w:val="72605B9A"/>
    <w:rsid w:val="727367B7"/>
    <w:rsid w:val="72971B60"/>
    <w:rsid w:val="729726A7"/>
    <w:rsid w:val="72C264DB"/>
    <w:rsid w:val="72C54B39"/>
    <w:rsid w:val="72C6616E"/>
    <w:rsid w:val="72D07765"/>
    <w:rsid w:val="72EB459F"/>
    <w:rsid w:val="72F35B4A"/>
    <w:rsid w:val="72FA0C86"/>
    <w:rsid w:val="73027B3B"/>
    <w:rsid w:val="730648A1"/>
    <w:rsid w:val="734B6169"/>
    <w:rsid w:val="735E7467"/>
    <w:rsid w:val="73707765"/>
    <w:rsid w:val="737E5413"/>
    <w:rsid w:val="739104B2"/>
    <w:rsid w:val="73942F67"/>
    <w:rsid w:val="73C951CB"/>
    <w:rsid w:val="73EB6821"/>
    <w:rsid w:val="74281823"/>
    <w:rsid w:val="74327C85"/>
    <w:rsid w:val="744C0855"/>
    <w:rsid w:val="74673DB7"/>
    <w:rsid w:val="747A3D00"/>
    <w:rsid w:val="747B1BB4"/>
    <w:rsid w:val="74A0585D"/>
    <w:rsid w:val="74BA1345"/>
    <w:rsid w:val="74D13AD5"/>
    <w:rsid w:val="74E50DAE"/>
    <w:rsid w:val="74FA2C30"/>
    <w:rsid w:val="7521699E"/>
    <w:rsid w:val="752C4326"/>
    <w:rsid w:val="752D668A"/>
    <w:rsid w:val="753B061B"/>
    <w:rsid w:val="754D5C4B"/>
    <w:rsid w:val="755723C0"/>
    <w:rsid w:val="75D27C98"/>
    <w:rsid w:val="75E82186"/>
    <w:rsid w:val="75FD6934"/>
    <w:rsid w:val="761024BB"/>
    <w:rsid w:val="76183420"/>
    <w:rsid w:val="7630676D"/>
    <w:rsid w:val="764F0490"/>
    <w:rsid w:val="76591EC6"/>
    <w:rsid w:val="766F3739"/>
    <w:rsid w:val="76751ABE"/>
    <w:rsid w:val="76BA0E58"/>
    <w:rsid w:val="76C240A7"/>
    <w:rsid w:val="76CE33B8"/>
    <w:rsid w:val="76D637B8"/>
    <w:rsid w:val="76DA416A"/>
    <w:rsid w:val="76F229C2"/>
    <w:rsid w:val="770E33B0"/>
    <w:rsid w:val="771D13E7"/>
    <w:rsid w:val="77336515"/>
    <w:rsid w:val="774B7D02"/>
    <w:rsid w:val="775246B7"/>
    <w:rsid w:val="776D5ECB"/>
    <w:rsid w:val="77705C44"/>
    <w:rsid w:val="7772528F"/>
    <w:rsid w:val="77BA09E4"/>
    <w:rsid w:val="77DC4DFE"/>
    <w:rsid w:val="780A719E"/>
    <w:rsid w:val="781E69D1"/>
    <w:rsid w:val="78395DAD"/>
    <w:rsid w:val="78914753"/>
    <w:rsid w:val="78957D19"/>
    <w:rsid w:val="78B90C9C"/>
    <w:rsid w:val="78B95140"/>
    <w:rsid w:val="78BD30E4"/>
    <w:rsid w:val="78E81581"/>
    <w:rsid w:val="7901747F"/>
    <w:rsid w:val="7908420F"/>
    <w:rsid w:val="79720EA4"/>
    <w:rsid w:val="79781D2E"/>
    <w:rsid w:val="798E4CA2"/>
    <w:rsid w:val="79AD7444"/>
    <w:rsid w:val="79C36276"/>
    <w:rsid w:val="79E32474"/>
    <w:rsid w:val="7A0B6B44"/>
    <w:rsid w:val="7A263B6B"/>
    <w:rsid w:val="7A2B5BC9"/>
    <w:rsid w:val="7A3C7DD6"/>
    <w:rsid w:val="7A454EDD"/>
    <w:rsid w:val="7A650681"/>
    <w:rsid w:val="7A7A34B3"/>
    <w:rsid w:val="7AA1584C"/>
    <w:rsid w:val="7AD87333"/>
    <w:rsid w:val="7AEF309B"/>
    <w:rsid w:val="7AF46346"/>
    <w:rsid w:val="7AF53DCD"/>
    <w:rsid w:val="7B0F5EBF"/>
    <w:rsid w:val="7B130FB9"/>
    <w:rsid w:val="7B324450"/>
    <w:rsid w:val="7B4F1915"/>
    <w:rsid w:val="7B5A4FB8"/>
    <w:rsid w:val="7B5B0730"/>
    <w:rsid w:val="7B656EB9"/>
    <w:rsid w:val="7B705F89"/>
    <w:rsid w:val="7BD32BE2"/>
    <w:rsid w:val="7BD71E38"/>
    <w:rsid w:val="7BD826EA"/>
    <w:rsid w:val="7BDF6C6B"/>
    <w:rsid w:val="7BE84708"/>
    <w:rsid w:val="7BEE62DE"/>
    <w:rsid w:val="7BF64EDE"/>
    <w:rsid w:val="7C09018C"/>
    <w:rsid w:val="7C400C1E"/>
    <w:rsid w:val="7C4128C5"/>
    <w:rsid w:val="7C75137E"/>
    <w:rsid w:val="7CBE0F77"/>
    <w:rsid w:val="7CF8403B"/>
    <w:rsid w:val="7D0C419B"/>
    <w:rsid w:val="7D181A6A"/>
    <w:rsid w:val="7D3D633F"/>
    <w:rsid w:val="7D513B99"/>
    <w:rsid w:val="7D537911"/>
    <w:rsid w:val="7D80675E"/>
    <w:rsid w:val="7D8F476B"/>
    <w:rsid w:val="7D951CD7"/>
    <w:rsid w:val="7DA03048"/>
    <w:rsid w:val="7DA37C8F"/>
    <w:rsid w:val="7DCF62C2"/>
    <w:rsid w:val="7DD11708"/>
    <w:rsid w:val="7DEE4A4F"/>
    <w:rsid w:val="7E036801"/>
    <w:rsid w:val="7E1339DF"/>
    <w:rsid w:val="7E171E3C"/>
    <w:rsid w:val="7E2412AD"/>
    <w:rsid w:val="7E3358F5"/>
    <w:rsid w:val="7E402F77"/>
    <w:rsid w:val="7EAE6230"/>
    <w:rsid w:val="7EBD579E"/>
    <w:rsid w:val="7EC167BD"/>
    <w:rsid w:val="7ECA3C03"/>
    <w:rsid w:val="7ED14F91"/>
    <w:rsid w:val="7EFE4FFA"/>
    <w:rsid w:val="7F0E3631"/>
    <w:rsid w:val="7F272D9E"/>
    <w:rsid w:val="7F823E73"/>
    <w:rsid w:val="7F961332"/>
    <w:rsid w:val="7FA206DC"/>
    <w:rsid w:val="7FCF6FF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nhideWhenUsed="0" w:uiPriority="99" w:semiHidden="0" w:name="heading 7"/>
    <w:lsdException w:qFormat="1" w:unhideWhenUsed="0" w:uiPriority="99" w:semiHidden="0" w:name="heading 8"/>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qFormat="1" w:unhideWhenUsed="0" w:uiPriority="99" w:semiHidden="0" w:name="index 8"/>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qFormat="1" w:unhideWhenUsed="0" w:uiPriority="99" w:name="toc 6"/>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qFormat="1" w:unhideWhenUsed="0" w:uiPriority="99" w:semiHidden="0" w:name="endnote reference"/>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qFormat/>
    <w:uiPriority w:val="99"/>
    <w:pPr>
      <w:keepNext/>
      <w:keepLines/>
      <w:spacing w:before="340" w:after="330" w:line="578" w:lineRule="auto"/>
      <w:jc w:val="center"/>
      <w:outlineLvl w:val="0"/>
    </w:pPr>
    <w:rPr>
      <w:b/>
      <w:bCs/>
      <w:kern w:val="44"/>
      <w:sz w:val="36"/>
      <w:szCs w:val="44"/>
    </w:rPr>
  </w:style>
  <w:style w:type="paragraph" w:styleId="4">
    <w:name w:val="heading 2"/>
    <w:basedOn w:val="1"/>
    <w:next w:val="1"/>
    <w:link w:val="39"/>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40"/>
    <w:qFormat/>
    <w:uiPriority w:val="99"/>
    <w:pPr>
      <w:keepNext/>
      <w:keepLines/>
      <w:spacing w:before="260" w:after="260" w:line="416" w:lineRule="auto"/>
      <w:outlineLvl w:val="2"/>
    </w:pPr>
    <w:rPr>
      <w:b/>
      <w:bCs/>
      <w:kern w:val="0"/>
      <w:sz w:val="32"/>
      <w:szCs w:val="32"/>
    </w:rPr>
  </w:style>
  <w:style w:type="paragraph" w:styleId="6">
    <w:name w:val="heading 4"/>
    <w:basedOn w:val="1"/>
    <w:next w:val="1"/>
    <w:link w:val="41"/>
    <w:qFormat/>
    <w:uiPriority w:val="99"/>
    <w:pPr>
      <w:keepNext/>
      <w:keepLines/>
      <w:spacing w:before="280" w:after="290" w:line="376" w:lineRule="auto"/>
      <w:outlineLvl w:val="3"/>
    </w:pPr>
    <w:rPr>
      <w:rFonts w:ascii="Cambria" w:hAnsi="Cambria"/>
      <w:b/>
      <w:bCs/>
      <w:sz w:val="28"/>
      <w:szCs w:val="28"/>
    </w:rPr>
  </w:style>
  <w:style w:type="paragraph" w:styleId="7">
    <w:name w:val="heading 5"/>
    <w:basedOn w:val="1"/>
    <w:next w:val="2"/>
    <w:link w:val="42"/>
    <w:qFormat/>
    <w:uiPriority w:val="99"/>
    <w:pPr>
      <w:keepNext/>
      <w:keepLines/>
      <w:spacing w:before="280" w:after="290" w:line="376" w:lineRule="auto"/>
      <w:outlineLvl w:val="4"/>
    </w:pPr>
    <w:rPr>
      <w:b/>
      <w:bCs/>
      <w:sz w:val="28"/>
      <w:szCs w:val="28"/>
    </w:rPr>
  </w:style>
  <w:style w:type="paragraph" w:styleId="8">
    <w:name w:val="heading 7"/>
    <w:basedOn w:val="1"/>
    <w:next w:val="1"/>
    <w:link w:val="43"/>
    <w:qFormat/>
    <w:uiPriority w:val="99"/>
    <w:pPr>
      <w:keepNext/>
      <w:keepLines/>
      <w:spacing w:before="240" w:after="64" w:line="320" w:lineRule="auto"/>
      <w:outlineLvl w:val="6"/>
    </w:pPr>
    <w:rPr>
      <w:b/>
      <w:bCs/>
      <w:sz w:val="24"/>
    </w:rPr>
  </w:style>
  <w:style w:type="paragraph" w:styleId="9">
    <w:name w:val="heading 8"/>
    <w:basedOn w:val="1"/>
    <w:next w:val="1"/>
    <w:link w:val="44"/>
    <w:qFormat/>
    <w:uiPriority w:val="99"/>
    <w:pPr>
      <w:keepNext/>
      <w:keepLines/>
      <w:spacing w:before="240" w:after="64" w:line="320" w:lineRule="auto"/>
      <w:outlineLvl w:val="7"/>
    </w:pPr>
    <w:rPr>
      <w:rFonts w:ascii="等线 Light" w:hAnsi="等线 Light" w:eastAsia="等线 Light"/>
      <w:sz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10">
    <w:name w:val="index 8"/>
    <w:basedOn w:val="1"/>
    <w:next w:val="1"/>
    <w:qFormat/>
    <w:uiPriority w:val="99"/>
    <w:pPr>
      <w:ind w:left="2940"/>
    </w:pPr>
  </w:style>
  <w:style w:type="paragraph" w:styleId="11">
    <w:name w:val="List Number"/>
    <w:basedOn w:val="1"/>
    <w:qFormat/>
    <w:uiPriority w:val="99"/>
    <w:pPr>
      <w:widowControl/>
      <w:tabs>
        <w:tab w:val="left" w:pos="454"/>
        <w:tab w:val="left" w:pos="720"/>
        <w:tab w:val="left" w:pos="840"/>
      </w:tabs>
      <w:spacing w:afterLines="50"/>
      <w:ind w:left="454" w:hanging="284"/>
      <w:jc w:val="left"/>
    </w:pPr>
    <w:rPr>
      <w:kern w:val="0"/>
      <w:sz w:val="24"/>
      <w:szCs w:val="20"/>
    </w:rPr>
  </w:style>
  <w:style w:type="paragraph" w:styleId="12">
    <w:name w:val="caption"/>
    <w:basedOn w:val="1"/>
    <w:next w:val="1"/>
    <w:qFormat/>
    <w:uiPriority w:val="99"/>
    <w:pPr>
      <w:spacing w:before="152" w:after="160"/>
    </w:pPr>
    <w:rPr>
      <w:rFonts w:ascii="Arial" w:hAnsi="Arial" w:eastAsia="黑体" w:cs="Arial"/>
      <w:sz w:val="20"/>
      <w:szCs w:val="20"/>
    </w:rPr>
  </w:style>
  <w:style w:type="paragraph" w:styleId="13">
    <w:name w:val="annotation text"/>
    <w:basedOn w:val="1"/>
    <w:link w:val="45"/>
    <w:qFormat/>
    <w:uiPriority w:val="99"/>
    <w:pPr>
      <w:jc w:val="left"/>
    </w:pPr>
  </w:style>
  <w:style w:type="paragraph" w:styleId="14">
    <w:name w:val="Body Text 3"/>
    <w:basedOn w:val="1"/>
    <w:link w:val="46"/>
    <w:qFormat/>
    <w:uiPriority w:val="99"/>
    <w:pPr>
      <w:spacing w:after="120"/>
    </w:pPr>
    <w:rPr>
      <w:sz w:val="16"/>
      <w:szCs w:val="16"/>
    </w:rPr>
  </w:style>
  <w:style w:type="paragraph" w:styleId="15">
    <w:name w:val="Body Text"/>
    <w:basedOn w:val="1"/>
    <w:next w:val="16"/>
    <w:link w:val="47"/>
    <w:qFormat/>
    <w:uiPriority w:val="99"/>
    <w:pPr>
      <w:spacing w:after="120"/>
    </w:pPr>
  </w:style>
  <w:style w:type="paragraph" w:styleId="16">
    <w:name w:val="Title"/>
    <w:basedOn w:val="1"/>
    <w:next w:val="1"/>
    <w:link w:val="56"/>
    <w:qFormat/>
    <w:uiPriority w:val="99"/>
    <w:pPr>
      <w:spacing w:before="60" w:after="120" w:line="560" w:lineRule="exact"/>
      <w:jc w:val="center"/>
      <w:outlineLvl w:val="0"/>
    </w:pPr>
    <w:rPr>
      <w:rFonts w:eastAsia="方正小标宋简体"/>
      <w:bCs/>
      <w:sz w:val="44"/>
      <w:szCs w:val="32"/>
    </w:rPr>
  </w:style>
  <w:style w:type="paragraph" w:styleId="17">
    <w:name w:val="Body Text Indent"/>
    <w:basedOn w:val="1"/>
    <w:link w:val="49"/>
    <w:qFormat/>
    <w:uiPriority w:val="99"/>
    <w:pPr>
      <w:ind w:firstLine="830" w:firstLineChars="352"/>
    </w:pPr>
    <w:rPr>
      <w:rFonts w:ascii="仿宋_GB2312" w:eastAsia="仿宋_GB2312"/>
      <w:kern w:val="0"/>
      <w:sz w:val="32"/>
      <w:szCs w:val="20"/>
    </w:rPr>
  </w:style>
  <w:style w:type="paragraph" w:styleId="18">
    <w:name w:val="List 2"/>
    <w:basedOn w:val="1"/>
    <w:qFormat/>
    <w:uiPriority w:val="99"/>
    <w:pPr>
      <w:ind w:left="100" w:leftChars="200" w:hanging="200" w:hangingChars="200"/>
      <w:contextualSpacing/>
    </w:pPr>
  </w:style>
  <w:style w:type="paragraph" w:styleId="19">
    <w:name w:val="Plain Text"/>
    <w:basedOn w:val="1"/>
    <w:next w:val="1"/>
    <w:link w:val="50"/>
    <w:qFormat/>
    <w:uiPriority w:val="99"/>
    <w:rPr>
      <w:rFonts w:ascii="宋体" w:hAnsi="Courier New"/>
      <w:kern w:val="0"/>
      <w:sz w:val="20"/>
      <w:szCs w:val="21"/>
    </w:rPr>
  </w:style>
  <w:style w:type="paragraph" w:styleId="20">
    <w:name w:val="Date"/>
    <w:basedOn w:val="1"/>
    <w:next w:val="1"/>
    <w:link w:val="51"/>
    <w:qFormat/>
    <w:uiPriority w:val="99"/>
    <w:pPr>
      <w:ind w:left="100" w:leftChars="2500"/>
    </w:pPr>
  </w:style>
  <w:style w:type="paragraph" w:styleId="21">
    <w:name w:val="Balloon Text"/>
    <w:basedOn w:val="1"/>
    <w:link w:val="52"/>
    <w:semiHidden/>
    <w:qFormat/>
    <w:uiPriority w:val="99"/>
    <w:rPr>
      <w:sz w:val="18"/>
      <w:szCs w:val="18"/>
    </w:rPr>
  </w:style>
  <w:style w:type="paragraph" w:styleId="22">
    <w:name w:val="footer"/>
    <w:basedOn w:val="1"/>
    <w:link w:val="53"/>
    <w:qFormat/>
    <w:uiPriority w:val="99"/>
    <w:pPr>
      <w:tabs>
        <w:tab w:val="center" w:pos="4153"/>
        <w:tab w:val="right" w:pos="8306"/>
      </w:tabs>
      <w:snapToGrid w:val="0"/>
      <w:jc w:val="left"/>
    </w:pPr>
    <w:rPr>
      <w:kern w:val="0"/>
      <w:sz w:val="18"/>
      <w:szCs w:val="18"/>
    </w:rPr>
  </w:style>
  <w:style w:type="paragraph" w:styleId="23">
    <w:name w:val="header"/>
    <w:basedOn w:val="1"/>
    <w:link w:val="54"/>
    <w:qFormat/>
    <w:uiPriority w:val="99"/>
    <w:pPr>
      <w:pBdr>
        <w:bottom w:val="single" w:color="auto" w:sz="6" w:space="1"/>
      </w:pBdr>
      <w:tabs>
        <w:tab w:val="center" w:pos="4153"/>
        <w:tab w:val="right" w:pos="8306"/>
      </w:tabs>
      <w:snapToGrid w:val="0"/>
      <w:jc w:val="center"/>
    </w:pPr>
    <w:rPr>
      <w:kern w:val="0"/>
      <w:sz w:val="18"/>
      <w:szCs w:val="18"/>
    </w:rPr>
  </w:style>
  <w:style w:type="paragraph" w:styleId="24">
    <w:name w:val="toc 1"/>
    <w:basedOn w:val="1"/>
    <w:next w:val="1"/>
    <w:qFormat/>
    <w:uiPriority w:val="99"/>
  </w:style>
  <w:style w:type="paragraph" w:styleId="25">
    <w:name w:val="toc 6"/>
    <w:basedOn w:val="1"/>
    <w:next w:val="1"/>
    <w:semiHidden/>
    <w:qFormat/>
    <w:uiPriority w:val="99"/>
    <w:pPr>
      <w:ind w:left="2100" w:leftChars="1000"/>
    </w:pPr>
  </w:style>
  <w:style w:type="paragraph" w:styleId="26">
    <w:name w:val="toc 2"/>
    <w:basedOn w:val="1"/>
    <w:next w:val="1"/>
    <w:qFormat/>
    <w:uiPriority w:val="99"/>
    <w:pPr>
      <w:tabs>
        <w:tab w:val="right" w:leader="dot" w:pos="8296"/>
      </w:tabs>
      <w:ind w:left="420" w:leftChars="200"/>
    </w:pPr>
  </w:style>
  <w:style w:type="paragraph" w:styleId="27">
    <w:name w:val="Body Text 2"/>
    <w:basedOn w:val="1"/>
    <w:next w:val="15"/>
    <w:link w:val="55"/>
    <w:qFormat/>
    <w:uiPriority w:val="99"/>
    <w:pPr>
      <w:spacing w:line="480" w:lineRule="auto"/>
    </w:pPr>
    <w:rPr>
      <w:kern w:val="0"/>
      <w:sz w:val="20"/>
    </w:rPr>
  </w:style>
  <w:style w:type="paragraph" w:styleId="28">
    <w:name w:val="Normal (Web)"/>
    <w:basedOn w:val="1"/>
    <w:qFormat/>
    <w:uiPriority w:val="99"/>
    <w:rPr>
      <w:rFonts w:ascii="Calibri" w:hAnsi="Calibri"/>
      <w:kern w:val="0"/>
      <w:sz w:val="24"/>
    </w:rPr>
  </w:style>
  <w:style w:type="paragraph" w:styleId="29">
    <w:name w:val="annotation subject"/>
    <w:basedOn w:val="13"/>
    <w:next w:val="13"/>
    <w:link w:val="57"/>
    <w:qFormat/>
    <w:uiPriority w:val="99"/>
    <w:rPr>
      <w:b/>
      <w:bCs/>
    </w:rPr>
  </w:style>
  <w:style w:type="paragraph" w:styleId="30">
    <w:name w:val="Body Text First Indent"/>
    <w:basedOn w:val="15"/>
    <w:next w:val="25"/>
    <w:link w:val="48"/>
    <w:qFormat/>
    <w:uiPriority w:val="99"/>
    <w:pPr>
      <w:ind w:firstLine="420" w:firstLineChars="100"/>
    </w:pPr>
  </w:style>
  <w:style w:type="paragraph" w:styleId="31">
    <w:name w:val="Body Text First Indent 2"/>
    <w:basedOn w:val="17"/>
    <w:link w:val="58"/>
    <w:qFormat/>
    <w:uiPriority w:val="99"/>
    <w:pPr>
      <w:spacing w:line="360" w:lineRule="auto"/>
      <w:ind w:firstLine="0"/>
    </w:pPr>
    <w:rPr>
      <w:sz w:val="24"/>
    </w:rPr>
  </w:style>
  <w:style w:type="table" w:styleId="33">
    <w:name w:val="Table Grid"/>
    <w:basedOn w:val="32"/>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endnote reference"/>
    <w:basedOn w:val="34"/>
    <w:qFormat/>
    <w:uiPriority w:val="99"/>
    <w:rPr>
      <w:rFonts w:cs="Times New Roman"/>
      <w:vertAlign w:val="superscript"/>
    </w:rPr>
  </w:style>
  <w:style w:type="character" w:styleId="36">
    <w:name w:val="Hyperlink"/>
    <w:basedOn w:val="34"/>
    <w:qFormat/>
    <w:uiPriority w:val="99"/>
    <w:rPr>
      <w:rFonts w:cs="Times New Roman"/>
      <w:color w:val="0000FF"/>
      <w:u w:val="single"/>
    </w:rPr>
  </w:style>
  <w:style w:type="character" w:styleId="37">
    <w:name w:val="annotation reference"/>
    <w:basedOn w:val="34"/>
    <w:qFormat/>
    <w:uiPriority w:val="99"/>
    <w:rPr>
      <w:rFonts w:cs="Times New Roman"/>
      <w:sz w:val="21"/>
    </w:rPr>
  </w:style>
  <w:style w:type="character" w:customStyle="1" w:styleId="38">
    <w:name w:val="标题 1 Char"/>
    <w:basedOn w:val="34"/>
    <w:link w:val="3"/>
    <w:qFormat/>
    <w:locked/>
    <w:uiPriority w:val="99"/>
    <w:rPr>
      <w:rFonts w:ascii="Times New Roman" w:hAnsi="Times New Roman" w:eastAsia="宋体"/>
      <w:b/>
      <w:kern w:val="44"/>
      <w:sz w:val="44"/>
    </w:rPr>
  </w:style>
  <w:style w:type="character" w:customStyle="1" w:styleId="39">
    <w:name w:val="标题 2 Char1"/>
    <w:basedOn w:val="34"/>
    <w:link w:val="4"/>
    <w:qFormat/>
    <w:locked/>
    <w:uiPriority w:val="99"/>
    <w:rPr>
      <w:rFonts w:ascii="Cambria" w:hAnsi="Cambria" w:eastAsia="宋体"/>
      <w:b/>
      <w:kern w:val="2"/>
      <w:sz w:val="32"/>
    </w:rPr>
  </w:style>
  <w:style w:type="character" w:customStyle="1" w:styleId="40">
    <w:name w:val="标题 3 Char"/>
    <w:basedOn w:val="34"/>
    <w:link w:val="5"/>
    <w:semiHidden/>
    <w:qFormat/>
    <w:uiPriority w:val="9"/>
    <w:rPr>
      <w:b/>
      <w:bCs/>
      <w:sz w:val="32"/>
      <w:szCs w:val="32"/>
    </w:rPr>
  </w:style>
  <w:style w:type="character" w:customStyle="1" w:styleId="41">
    <w:name w:val="标题 4 Char"/>
    <w:basedOn w:val="34"/>
    <w:link w:val="6"/>
    <w:semiHidden/>
    <w:qFormat/>
    <w:uiPriority w:val="9"/>
    <w:rPr>
      <w:rFonts w:asciiTheme="majorHAnsi" w:hAnsiTheme="majorHAnsi" w:eastAsiaTheme="majorEastAsia" w:cstheme="majorBidi"/>
      <w:b/>
      <w:bCs/>
      <w:sz w:val="28"/>
      <w:szCs w:val="28"/>
    </w:rPr>
  </w:style>
  <w:style w:type="character" w:customStyle="1" w:styleId="42">
    <w:name w:val="标题 5 Char"/>
    <w:basedOn w:val="34"/>
    <w:link w:val="7"/>
    <w:semiHidden/>
    <w:qFormat/>
    <w:locked/>
    <w:uiPriority w:val="99"/>
    <w:rPr>
      <w:rFonts w:ascii="Times New Roman" w:hAnsi="Times New Roman"/>
      <w:b/>
      <w:kern w:val="2"/>
      <w:sz w:val="28"/>
    </w:rPr>
  </w:style>
  <w:style w:type="character" w:customStyle="1" w:styleId="43">
    <w:name w:val="标题 7 Char"/>
    <w:basedOn w:val="34"/>
    <w:link w:val="8"/>
    <w:qFormat/>
    <w:locked/>
    <w:uiPriority w:val="99"/>
    <w:rPr>
      <w:b/>
      <w:kern w:val="2"/>
      <w:sz w:val="24"/>
    </w:rPr>
  </w:style>
  <w:style w:type="character" w:customStyle="1" w:styleId="44">
    <w:name w:val="标题 8 Char1"/>
    <w:basedOn w:val="34"/>
    <w:link w:val="9"/>
    <w:semiHidden/>
    <w:qFormat/>
    <w:locked/>
    <w:uiPriority w:val="99"/>
    <w:rPr>
      <w:rFonts w:ascii="等线 Light" w:hAnsi="等线 Light" w:eastAsia="等线 Light"/>
      <w:kern w:val="2"/>
      <w:sz w:val="24"/>
    </w:rPr>
  </w:style>
  <w:style w:type="character" w:customStyle="1" w:styleId="45">
    <w:name w:val="批注文字 Char1"/>
    <w:basedOn w:val="34"/>
    <w:link w:val="13"/>
    <w:qFormat/>
    <w:locked/>
    <w:uiPriority w:val="99"/>
    <w:rPr>
      <w:rFonts w:ascii="Times New Roman" w:hAnsi="Times New Roman"/>
      <w:kern w:val="2"/>
      <w:sz w:val="24"/>
    </w:rPr>
  </w:style>
  <w:style w:type="character" w:customStyle="1" w:styleId="46">
    <w:name w:val="正文文本 3 Char"/>
    <w:basedOn w:val="34"/>
    <w:link w:val="14"/>
    <w:semiHidden/>
    <w:qFormat/>
    <w:locked/>
    <w:uiPriority w:val="99"/>
    <w:rPr>
      <w:kern w:val="2"/>
      <w:sz w:val="16"/>
    </w:rPr>
  </w:style>
  <w:style w:type="character" w:customStyle="1" w:styleId="47">
    <w:name w:val="正文文本 Char1"/>
    <w:basedOn w:val="34"/>
    <w:link w:val="15"/>
    <w:qFormat/>
    <w:locked/>
    <w:uiPriority w:val="99"/>
    <w:rPr>
      <w:rFonts w:ascii="Times New Roman" w:hAnsi="Times New Roman"/>
      <w:kern w:val="2"/>
      <w:sz w:val="24"/>
    </w:rPr>
  </w:style>
  <w:style w:type="character" w:customStyle="1" w:styleId="48">
    <w:name w:val="正文首行缩进 Char"/>
    <w:basedOn w:val="47"/>
    <w:link w:val="30"/>
    <w:semiHidden/>
    <w:qFormat/>
    <w:uiPriority w:val="99"/>
    <w:rPr>
      <w:szCs w:val="24"/>
    </w:rPr>
  </w:style>
  <w:style w:type="character" w:customStyle="1" w:styleId="49">
    <w:name w:val="正文文本缩进 Char"/>
    <w:basedOn w:val="34"/>
    <w:link w:val="17"/>
    <w:qFormat/>
    <w:locked/>
    <w:uiPriority w:val="99"/>
    <w:rPr>
      <w:rFonts w:ascii="仿宋_GB2312" w:hAnsi="Times New Roman" w:eastAsia="仿宋_GB2312"/>
      <w:sz w:val="20"/>
    </w:rPr>
  </w:style>
  <w:style w:type="character" w:customStyle="1" w:styleId="50">
    <w:name w:val="纯文本 Char1"/>
    <w:basedOn w:val="34"/>
    <w:link w:val="19"/>
    <w:qFormat/>
    <w:locked/>
    <w:uiPriority w:val="99"/>
    <w:rPr>
      <w:rFonts w:ascii="宋体" w:hAnsi="Courier New" w:eastAsia="宋体"/>
      <w:sz w:val="21"/>
    </w:rPr>
  </w:style>
  <w:style w:type="character" w:customStyle="1" w:styleId="51">
    <w:name w:val="日期 Char"/>
    <w:basedOn w:val="34"/>
    <w:link w:val="20"/>
    <w:semiHidden/>
    <w:qFormat/>
    <w:locked/>
    <w:uiPriority w:val="99"/>
    <w:rPr>
      <w:rFonts w:ascii="Times New Roman" w:hAnsi="Times New Roman"/>
      <w:kern w:val="2"/>
      <w:sz w:val="24"/>
    </w:rPr>
  </w:style>
  <w:style w:type="character" w:customStyle="1" w:styleId="52">
    <w:name w:val="批注框文本 Char"/>
    <w:basedOn w:val="34"/>
    <w:link w:val="21"/>
    <w:semiHidden/>
    <w:qFormat/>
    <w:uiPriority w:val="99"/>
    <w:rPr>
      <w:sz w:val="0"/>
      <w:szCs w:val="0"/>
    </w:rPr>
  </w:style>
  <w:style w:type="character" w:customStyle="1" w:styleId="53">
    <w:name w:val="页脚 Char"/>
    <w:basedOn w:val="34"/>
    <w:link w:val="22"/>
    <w:qFormat/>
    <w:locked/>
    <w:uiPriority w:val="99"/>
    <w:rPr>
      <w:sz w:val="18"/>
    </w:rPr>
  </w:style>
  <w:style w:type="character" w:customStyle="1" w:styleId="54">
    <w:name w:val="页眉 Char"/>
    <w:basedOn w:val="34"/>
    <w:link w:val="23"/>
    <w:qFormat/>
    <w:locked/>
    <w:uiPriority w:val="99"/>
    <w:rPr>
      <w:sz w:val="18"/>
    </w:rPr>
  </w:style>
  <w:style w:type="character" w:customStyle="1" w:styleId="55">
    <w:name w:val="正文文本 2 Char"/>
    <w:basedOn w:val="34"/>
    <w:link w:val="27"/>
    <w:semiHidden/>
    <w:qFormat/>
    <w:uiPriority w:val="99"/>
    <w:rPr>
      <w:szCs w:val="24"/>
    </w:rPr>
  </w:style>
  <w:style w:type="character" w:customStyle="1" w:styleId="56">
    <w:name w:val="标题 Char"/>
    <w:basedOn w:val="34"/>
    <w:link w:val="16"/>
    <w:qFormat/>
    <w:uiPriority w:val="10"/>
    <w:rPr>
      <w:rFonts w:asciiTheme="majorHAnsi" w:hAnsiTheme="majorHAnsi" w:cstheme="majorBidi"/>
      <w:b/>
      <w:bCs/>
      <w:sz w:val="32"/>
      <w:szCs w:val="32"/>
    </w:rPr>
  </w:style>
  <w:style w:type="character" w:customStyle="1" w:styleId="57">
    <w:name w:val="批注主题 Char"/>
    <w:basedOn w:val="45"/>
    <w:link w:val="29"/>
    <w:qFormat/>
    <w:locked/>
    <w:uiPriority w:val="99"/>
    <w:rPr>
      <w:b/>
    </w:rPr>
  </w:style>
  <w:style w:type="character" w:customStyle="1" w:styleId="58">
    <w:name w:val="正文首行缩进 2 Char"/>
    <w:basedOn w:val="49"/>
    <w:link w:val="31"/>
    <w:semiHidden/>
    <w:qFormat/>
    <w:uiPriority w:val="99"/>
    <w:rPr>
      <w:szCs w:val="24"/>
    </w:rPr>
  </w:style>
  <w:style w:type="paragraph" w:customStyle="1" w:styleId="59">
    <w:name w:val="目录 81"/>
    <w:next w:val="1"/>
    <w:qFormat/>
    <w:uiPriority w:val="99"/>
    <w:pPr>
      <w:wordWrap w:val="0"/>
      <w:ind w:left="2975"/>
      <w:jc w:val="both"/>
    </w:pPr>
    <w:rPr>
      <w:rFonts w:ascii="Times New Roman" w:hAnsi="Times New Roman" w:eastAsia="宋体" w:cs="Times New Roman"/>
      <w:sz w:val="21"/>
      <w:szCs w:val="22"/>
      <w:lang w:val="en-US" w:eastAsia="zh-CN" w:bidi="ar-SA"/>
    </w:rPr>
  </w:style>
  <w:style w:type="paragraph" w:customStyle="1" w:styleId="60">
    <w:name w:val="Default"/>
    <w:qFormat/>
    <w:uiPriority w:val="99"/>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61">
    <w:name w:val="表格文字"/>
    <w:basedOn w:val="1"/>
    <w:qFormat/>
    <w:uiPriority w:val="99"/>
    <w:pPr>
      <w:spacing w:before="25" w:after="25"/>
      <w:jc w:val="left"/>
    </w:pPr>
    <w:rPr>
      <w:bCs/>
      <w:spacing w:val="10"/>
      <w:kern w:val="0"/>
      <w:sz w:val="24"/>
    </w:rPr>
  </w:style>
  <w:style w:type="character" w:customStyle="1" w:styleId="62">
    <w:name w:val="标题 1 字符1"/>
    <w:qFormat/>
    <w:uiPriority w:val="99"/>
    <w:rPr>
      <w:b/>
      <w:kern w:val="44"/>
      <w:sz w:val="44"/>
    </w:rPr>
  </w:style>
  <w:style w:type="character" w:customStyle="1" w:styleId="63">
    <w:name w:val="textcontents"/>
    <w:qFormat/>
    <w:uiPriority w:val="99"/>
  </w:style>
  <w:style w:type="character" w:customStyle="1" w:styleId="64">
    <w:name w:val="批注文字 Char"/>
    <w:qFormat/>
    <w:uiPriority w:val="99"/>
    <w:rPr>
      <w:rFonts w:ascii="Times New Roman" w:hAnsi="Times New Roman"/>
      <w:kern w:val="2"/>
      <w:sz w:val="24"/>
    </w:rPr>
  </w:style>
  <w:style w:type="character" w:customStyle="1" w:styleId="65">
    <w:name w:val="纯文本 字符"/>
    <w:qFormat/>
    <w:uiPriority w:val="99"/>
    <w:rPr>
      <w:rFonts w:ascii="宋体" w:hAnsi="Courier New" w:eastAsia="宋体"/>
      <w:sz w:val="21"/>
    </w:rPr>
  </w:style>
  <w:style w:type="character" w:customStyle="1" w:styleId="66">
    <w:name w:val="纯文本 Char"/>
    <w:qFormat/>
    <w:uiPriority w:val="99"/>
    <w:rPr>
      <w:rFonts w:ascii="宋体" w:hAnsi="Courier New" w:eastAsia="宋体"/>
      <w:sz w:val="21"/>
    </w:rPr>
  </w:style>
  <w:style w:type="character" w:customStyle="1" w:styleId="67">
    <w:name w:val="纯文本 字符2"/>
    <w:qFormat/>
    <w:uiPriority w:val="99"/>
    <w:rPr>
      <w:rFonts w:ascii="宋体" w:hAnsi="Courier New" w:eastAsia="宋体"/>
      <w:sz w:val="21"/>
    </w:rPr>
  </w:style>
  <w:style w:type="character" w:customStyle="1" w:styleId="68">
    <w:name w:val="批注文字 字符1"/>
    <w:qFormat/>
    <w:uiPriority w:val="99"/>
    <w:rPr>
      <w:rFonts w:ascii="Times New Roman" w:hAnsi="Times New Roman"/>
      <w:kern w:val="2"/>
      <w:sz w:val="24"/>
    </w:rPr>
  </w:style>
  <w:style w:type="character" w:customStyle="1" w:styleId="69">
    <w:name w:val="正文文本 (26) + 间距 0 pt"/>
    <w:qFormat/>
    <w:uiPriority w:val="99"/>
    <w:rPr>
      <w:rFonts w:ascii="宋体" w:hAnsi="宋体" w:eastAsia="宋体"/>
      <w:color w:val="000000"/>
      <w:spacing w:val="0"/>
      <w:w w:val="100"/>
      <w:position w:val="0"/>
      <w:sz w:val="22"/>
      <w:u w:val="none"/>
      <w:lang w:val="zh-CN" w:eastAsia="zh-CN"/>
    </w:rPr>
  </w:style>
  <w:style w:type="character" w:customStyle="1" w:styleId="70">
    <w:name w:val="纯文本 字符1"/>
    <w:qFormat/>
    <w:uiPriority w:val="99"/>
    <w:rPr>
      <w:rFonts w:ascii="宋体" w:hAnsi="Courier New"/>
    </w:rPr>
  </w:style>
  <w:style w:type="character" w:customStyle="1" w:styleId="71">
    <w:name w:val="正文文本 Char"/>
    <w:qFormat/>
    <w:uiPriority w:val="99"/>
    <w:rPr>
      <w:rFonts w:ascii="Times New Roman" w:hAnsi="Times New Roman"/>
      <w:kern w:val="2"/>
      <w:sz w:val="24"/>
    </w:rPr>
  </w:style>
  <w:style w:type="character" w:customStyle="1" w:styleId="72">
    <w:name w:val="批注文字 字符"/>
    <w:qFormat/>
    <w:uiPriority w:val="99"/>
    <w:rPr>
      <w:rFonts w:ascii="Times New Roman" w:hAnsi="Times New Roman"/>
      <w:kern w:val="2"/>
      <w:sz w:val="24"/>
    </w:rPr>
  </w:style>
  <w:style w:type="character" w:customStyle="1" w:styleId="73">
    <w:name w:val="标题 2 Char"/>
    <w:qFormat/>
    <w:uiPriority w:val="99"/>
    <w:rPr>
      <w:rFonts w:ascii="Cambria" w:hAnsi="Cambria" w:eastAsia="宋体"/>
      <w:b/>
      <w:kern w:val="2"/>
      <w:sz w:val="32"/>
    </w:rPr>
  </w:style>
  <w:style w:type="character" w:customStyle="1" w:styleId="74">
    <w:name w:val="标题 8 Char"/>
    <w:qFormat/>
    <w:uiPriority w:val="99"/>
    <w:rPr>
      <w:rFonts w:ascii="Arial" w:hAnsi="Arial" w:eastAsia="黑体"/>
      <w:kern w:val="2"/>
      <w:sz w:val="24"/>
    </w:rPr>
  </w:style>
  <w:style w:type="character" w:customStyle="1" w:styleId="75">
    <w:name w:val="apple-style-span"/>
    <w:qFormat/>
    <w:uiPriority w:val="99"/>
  </w:style>
  <w:style w:type="paragraph" w:customStyle="1" w:styleId="76">
    <w:name w:val="默认段落字体 Para Char Char Char Char Char Char Char Char Char1 Char Char Char Char"/>
    <w:basedOn w:val="1"/>
    <w:qFormat/>
    <w:uiPriority w:val="99"/>
    <w:rPr>
      <w:rFonts w:ascii="Tahoma" w:hAnsi="Tahoma"/>
      <w:sz w:val="24"/>
      <w:szCs w:val="20"/>
    </w:rPr>
  </w:style>
  <w:style w:type="paragraph" w:customStyle="1" w:styleId="77">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styleId="78">
    <w:name w:val="List Paragraph"/>
    <w:basedOn w:val="1"/>
    <w:qFormat/>
    <w:uiPriority w:val="99"/>
    <w:pPr>
      <w:ind w:firstLine="420" w:firstLineChars="200"/>
    </w:pPr>
  </w:style>
  <w:style w:type="paragraph" w:customStyle="1" w:styleId="79">
    <w:name w:val="Table Paragraph"/>
    <w:basedOn w:val="1"/>
    <w:qFormat/>
    <w:uiPriority w:val="99"/>
    <w:pPr>
      <w:jc w:val="left"/>
    </w:pPr>
    <w:rPr>
      <w:rFonts w:ascii="Calibri" w:hAnsi="Calibri"/>
      <w:kern w:val="0"/>
      <w:sz w:val="22"/>
      <w:szCs w:val="22"/>
      <w:lang w:eastAsia="en-US"/>
    </w:rPr>
  </w:style>
  <w:style w:type="character" w:customStyle="1" w:styleId="80">
    <w:name w:val="正文文本 字符"/>
    <w:qFormat/>
    <w:uiPriority w:val="99"/>
    <w:rPr>
      <w:rFonts w:ascii="Times New Roman" w:hAnsi="Times New Roman"/>
      <w:kern w:val="2"/>
      <w:sz w:val="24"/>
    </w:rPr>
  </w:style>
  <w:style w:type="character" w:customStyle="1" w:styleId="81">
    <w:name w:val="批注文字 Char2"/>
    <w:qFormat/>
    <w:uiPriority w:val="99"/>
    <w:rPr>
      <w:rFonts w:ascii="Times New Roman" w:hAnsi="Times New Roman"/>
      <w:kern w:val="2"/>
      <w:sz w:val="24"/>
    </w:rPr>
  </w:style>
  <w:style w:type="paragraph" w:customStyle="1" w:styleId="82">
    <w:name w:val="样式 正文缩进正文（首行缩进两字）首行缩进两字 + 首行缩进:  2 字符1"/>
    <w:basedOn w:val="2"/>
    <w:qFormat/>
    <w:uiPriority w:val="99"/>
    <w:pPr>
      <w:autoSpaceDE w:val="0"/>
      <w:autoSpaceDN w:val="0"/>
      <w:spacing w:beforeLines="50" w:afterLines="50" w:line="500" w:lineRule="exact"/>
      <w:ind w:firstLine="200"/>
      <w:jc w:val="left"/>
    </w:pPr>
    <w:rPr>
      <w:rFonts w:ascii="楷体_GB2312" w:eastAsia="楷体_GB2312"/>
      <w:color w:val="000000"/>
      <w:kern w:val="0"/>
      <w:sz w:val="28"/>
    </w:rPr>
  </w:style>
  <w:style w:type="paragraph" w:customStyle="1" w:styleId="83">
    <w:name w:val="列出段落3"/>
    <w:basedOn w:val="1"/>
    <w:qFormat/>
    <w:uiPriority w:val="99"/>
    <w:pPr>
      <w:widowControl/>
      <w:spacing w:line="400" w:lineRule="exact"/>
      <w:ind w:firstLine="420" w:firstLineChars="200"/>
      <w:jc w:val="left"/>
    </w:pPr>
  </w:style>
  <w:style w:type="paragraph" w:customStyle="1" w:styleId="84">
    <w:name w:val="正文文本2"/>
    <w:basedOn w:val="1"/>
    <w:qFormat/>
    <w:uiPriority w:val="99"/>
    <w:pPr>
      <w:shd w:val="clear" w:color="auto" w:fill="FFFFFF"/>
      <w:spacing w:after="300" w:line="240" w:lineRule="atLeast"/>
    </w:pPr>
    <w:rPr>
      <w:rFonts w:ascii="MingLiUfalt" w:hAnsi="MingLiUfalt" w:eastAsia="MingLiUfalt"/>
      <w:color w:val="000000"/>
      <w:kern w:val="0"/>
      <w:sz w:val="22"/>
      <w:szCs w:val="22"/>
      <w:shd w:val="clear" w:color="auto" w:fill="FFFFFF"/>
      <w:lang w:val="zh-TW"/>
    </w:rPr>
  </w:style>
  <w:style w:type="paragraph" w:customStyle="1" w:styleId="85">
    <w:name w:val="列出段落1"/>
    <w:qFormat/>
    <w:uiPriority w:val="99"/>
    <w:pPr>
      <w:ind w:firstLine="200" w:firstLineChars="200"/>
    </w:pPr>
    <w:rPr>
      <w:rFonts w:ascii="Calibri" w:hAnsi="Calibri" w:eastAsia="宋体" w:cs="Times New Roman"/>
      <w:kern w:val="2"/>
      <w:sz w:val="21"/>
      <w:szCs w:val="22"/>
      <w:lang w:val="en-US" w:eastAsia="zh-CN" w:bidi="ar-SA"/>
    </w:rPr>
  </w:style>
  <w:style w:type="table" w:customStyle="1" w:styleId="86">
    <w:name w:val="Table Normal1"/>
    <w:qFormat/>
    <w:uiPriority w:val="99"/>
    <w:tblPr>
      <w:tblCellMar>
        <w:top w:w="0" w:type="dxa"/>
        <w:left w:w="0" w:type="dxa"/>
        <w:bottom w:w="0" w:type="dxa"/>
        <w:right w:w="0" w:type="dxa"/>
      </w:tblCellMar>
    </w:tblPr>
  </w:style>
  <w:style w:type="paragraph" w:customStyle="1" w:styleId="87">
    <w:name w:val="正文文本首行缩进1"/>
    <w:basedOn w:val="15"/>
    <w:qFormat/>
    <w:uiPriority w:val="99"/>
    <w:pPr>
      <w:ind w:firstLine="100" w:firstLineChars="100"/>
    </w:pPr>
  </w:style>
  <w:style w:type="paragraph" w:customStyle="1" w:styleId="88">
    <w:name w:val="Table Text"/>
    <w:basedOn w:val="1"/>
    <w:semiHidden/>
    <w:qFormat/>
    <w:uiPriority w:val="99"/>
    <w:rPr>
      <w:rFonts w:ascii="宋体" w:hAnsi="宋体" w:cs="宋体"/>
      <w:sz w:val="24"/>
      <w:lang w:eastAsia="en-US"/>
    </w:rPr>
  </w:style>
  <w:style w:type="table" w:customStyle="1" w:styleId="89">
    <w:name w:val="网格型1"/>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0">
    <w:name w:val="正文缩进2"/>
    <w:qFormat/>
    <w:uiPriority w:val="99"/>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91">
    <w:name w:val="正文@中勤招标"/>
    <w:basedOn w:val="1"/>
    <w:qFormat/>
    <w:uiPriority w:val="99"/>
    <w:pPr>
      <w:adjustRightInd w:val="0"/>
      <w:spacing w:line="360" w:lineRule="auto"/>
      <w:ind w:firstLine="200" w:firstLineChars="200"/>
    </w:pPr>
    <w:rPr>
      <w:rFonts w:ascii="宋体" w:hAnsi="宋体"/>
      <w:sz w:val="24"/>
      <w:szCs w:val="21"/>
    </w:rPr>
  </w:style>
  <w:style w:type="paragraph" w:customStyle="1" w:styleId="92">
    <w:name w:val="小标题"/>
    <w:basedOn w:val="1"/>
    <w:qFormat/>
    <w:uiPriority w:val="99"/>
    <w:pPr>
      <w:numPr>
        <w:ilvl w:val="0"/>
        <w:numId w:val="1"/>
      </w:numPr>
      <w:spacing w:line="360" w:lineRule="auto"/>
    </w:pPr>
    <w:rPr>
      <w:sz w:val="24"/>
    </w:rPr>
  </w:style>
  <w:style w:type="paragraph" w:customStyle="1" w:styleId="93">
    <w:name w:val="BodyText"/>
    <w:basedOn w:val="1"/>
    <w:qFormat/>
    <w:uiPriority w:val="99"/>
    <w:pPr>
      <w:spacing w:line="380" w:lineRule="exact"/>
      <w:textAlignment w:val="baseline"/>
    </w:pPr>
    <w:rPr>
      <w:kern w:val="0"/>
      <w:sz w:val="24"/>
    </w:rPr>
  </w:style>
  <w:style w:type="character" w:customStyle="1" w:styleId="94">
    <w:name w:val="font11"/>
    <w:basedOn w:val="34"/>
    <w:qFormat/>
    <w:uiPriority w:val="99"/>
    <w:rPr>
      <w:rFonts w:ascii="宋体" w:hAnsi="宋体" w:eastAsia="宋体" w:cs="宋体"/>
      <w:b/>
      <w:bCs/>
      <w:color w:val="000000"/>
      <w:sz w:val="20"/>
      <w:szCs w:val="20"/>
      <w:u w:val="none"/>
    </w:rPr>
  </w:style>
  <w:style w:type="character" w:customStyle="1" w:styleId="95">
    <w:name w:val="font21"/>
    <w:basedOn w:val="34"/>
    <w:qFormat/>
    <w:uiPriority w:val="99"/>
    <w:rPr>
      <w:rFonts w:ascii="宋体" w:hAnsi="宋体" w:eastAsia="宋体" w:cs="宋体"/>
      <w:color w:val="000000"/>
      <w:sz w:val="20"/>
      <w:szCs w:val="20"/>
      <w:u w:val="none"/>
    </w:rPr>
  </w:style>
  <w:style w:type="character" w:customStyle="1" w:styleId="96">
    <w:name w:val="font51"/>
    <w:basedOn w:val="34"/>
    <w:qFormat/>
    <w:uiPriority w:val="99"/>
    <w:rPr>
      <w:rFonts w:ascii="Times New Roman" w:hAnsi="Times New Roman" w:cs="Times New Roman"/>
      <w:color w:val="000000"/>
      <w:sz w:val="20"/>
      <w:szCs w:val="20"/>
      <w:u w:val="none"/>
    </w:rPr>
  </w:style>
  <w:style w:type="character" w:customStyle="1" w:styleId="97">
    <w:name w:val="font41"/>
    <w:basedOn w:val="34"/>
    <w:qFormat/>
    <w:uiPriority w:val="99"/>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2"/>
    <customShpInfo spid="_x0000_s2053"/>
    <customShpInfo spid="_x0000_s2051"/>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广西国泰招标</Company>
  <Pages>66</Pages>
  <Words>28707</Words>
  <Characters>30345</Characters>
  <Lines>337</Lines>
  <Paragraphs>95</Paragraphs>
  <TotalTime>79</TotalTime>
  <ScaleCrop>false</ScaleCrop>
  <LinksUpToDate>false</LinksUpToDate>
  <CharactersWithSpaces>30758</CharactersWithSpaces>
  <Application>WPS Office_12.1.0.21170_F1E327BC-269C-435d-A152-05C5408002CA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2025-04-15T08:30:00Z</dcterms:created>
  <dc:creator>广西国泰招标</dc:creator>
  <cp:lastModifiedBy>Y4N</cp:lastModifiedBy>
  <cp:lastPrinted>2025-04-22T02:08:00Z</cp:lastPrinted>
  <dcterms:modified xsi:type="dcterms:W3CDTF">2025-05-28T03:35:21Z</dcterms:modified>
  <dc:title>竞争性谈判文件规范</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2052-12.1.0.21170</vt:lpwstr>
  </property>
  <property fmtid="{D5CDD505-2E9C-101B-9397-08002B2CF9AE}" pid="3" name="ICV">
    <vt:lpwstr>09BC406E974346C2806F39AD1DCC787D_13</vt:lpwstr>
  </property>
  <property fmtid="{D5CDD505-2E9C-101B-9397-08002B2CF9AE}" pid="4" name="KSOTemplateDocerSaveRecord">
    <vt:lpwstr>eyJoZGlkIjoiYmZiNzg2NzY5NzM5NWYzYjBlNTA3MTIyZDljZTlhZmEiLCJ1c2VySWQiOiI0ODE4ODk1MjUifQ==</vt:lpwstr>
  </property>
</Properties>
</file>