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80A776">
      <w:pPr>
        <w:wordWrap w:val="0"/>
        <w:jc w:val="center"/>
        <w:rPr>
          <w:rFonts w:hint="eastAsia" w:ascii="宋体" w:hAnsi="宋体" w:eastAsia="宋体" w:cs="宋体"/>
          <w:color w:val="auto"/>
          <w:highlight w:val="none"/>
        </w:rPr>
      </w:pPr>
      <w:r>
        <w:rPr>
          <w:rFonts w:hint="eastAsia" w:ascii="宋体" w:hAnsi="宋体" w:eastAsia="宋体" w:cs="宋体"/>
          <w:b/>
          <w:bCs/>
          <w:color w:val="auto"/>
          <w:spacing w:val="-11"/>
          <w:sz w:val="60"/>
          <w:szCs w:val="60"/>
          <w:highlight w:val="none"/>
        </w:rPr>
        <w:t>广西华诚达建设项目管理有限公司</w:t>
      </w:r>
    </w:p>
    <w:p w14:paraId="018ADDB9">
      <w:pPr>
        <w:wordWrap w:val="0"/>
        <w:spacing w:line="720" w:lineRule="exact"/>
        <w:ind w:left="420" w:leftChars="200" w:firstLine="832" w:firstLineChars="160"/>
        <w:jc w:val="center"/>
        <w:rPr>
          <w:rFonts w:hint="eastAsia" w:ascii="宋体" w:hAnsi="宋体" w:eastAsia="宋体" w:cs="宋体"/>
          <w:color w:val="auto"/>
          <w:sz w:val="52"/>
          <w:highlight w:val="none"/>
        </w:rPr>
      </w:pPr>
    </w:p>
    <w:p w14:paraId="036D7337">
      <w:pPr>
        <w:pStyle w:val="15"/>
        <w:wordWrap w:val="0"/>
        <w:ind w:firstLine="1024"/>
        <w:rPr>
          <w:rFonts w:hint="eastAsia" w:ascii="宋体" w:hAnsi="宋体" w:eastAsia="宋体" w:cs="宋体"/>
          <w:color w:val="auto"/>
          <w:sz w:val="52"/>
          <w:highlight w:val="none"/>
        </w:rPr>
      </w:pPr>
    </w:p>
    <w:p w14:paraId="18BAA902">
      <w:pPr>
        <w:pStyle w:val="15"/>
        <w:wordWrap w:val="0"/>
        <w:ind w:firstLine="1024"/>
        <w:rPr>
          <w:rFonts w:hint="eastAsia" w:ascii="宋体" w:hAnsi="宋体" w:eastAsia="宋体" w:cs="宋体"/>
          <w:color w:val="auto"/>
          <w:sz w:val="52"/>
          <w:highlight w:val="none"/>
        </w:rPr>
      </w:pPr>
    </w:p>
    <w:p w14:paraId="3A80565F">
      <w:pPr>
        <w:pStyle w:val="15"/>
        <w:wordWrap w:val="0"/>
        <w:ind w:firstLine="1024"/>
        <w:rPr>
          <w:rFonts w:hint="eastAsia" w:ascii="宋体" w:hAnsi="宋体" w:eastAsia="宋体" w:cs="宋体"/>
          <w:color w:val="auto"/>
          <w:sz w:val="52"/>
          <w:highlight w:val="none"/>
        </w:rPr>
      </w:pPr>
    </w:p>
    <w:p w14:paraId="5C4ECC41">
      <w:pPr>
        <w:pStyle w:val="15"/>
        <w:wordWrap w:val="0"/>
        <w:ind w:firstLine="1024"/>
        <w:rPr>
          <w:rFonts w:hint="eastAsia" w:ascii="宋体" w:hAnsi="宋体" w:eastAsia="宋体" w:cs="宋体"/>
          <w:color w:val="auto"/>
          <w:sz w:val="52"/>
          <w:highlight w:val="none"/>
        </w:rPr>
      </w:pPr>
    </w:p>
    <w:p w14:paraId="4CB2DC8D">
      <w:pPr>
        <w:pStyle w:val="15"/>
        <w:wordWrap w:val="0"/>
        <w:ind w:firstLine="1024"/>
        <w:rPr>
          <w:rFonts w:hint="eastAsia" w:ascii="宋体" w:hAnsi="宋体" w:eastAsia="宋体" w:cs="宋体"/>
          <w:color w:val="auto"/>
          <w:sz w:val="52"/>
          <w:highlight w:val="none"/>
        </w:rPr>
      </w:pPr>
    </w:p>
    <w:p w14:paraId="24F291B4">
      <w:pPr>
        <w:pStyle w:val="15"/>
        <w:wordWrap w:val="0"/>
        <w:ind w:firstLine="1024"/>
        <w:rPr>
          <w:rFonts w:hint="eastAsia" w:ascii="宋体" w:hAnsi="宋体" w:eastAsia="宋体" w:cs="宋体"/>
          <w:color w:val="auto"/>
          <w:sz w:val="52"/>
          <w:highlight w:val="none"/>
        </w:rPr>
      </w:pPr>
    </w:p>
    <w:p w14:paraId="224116DB">
      <w:pPr>
        <w:wordWrap w:val="0"/>
        <w:spacing w:line="800" w:lineRule="exact"/>
        <w:ind w:left="420" w:leftChars="200" w:firstLine="832" w:firstLineChars="160"/>
        <w:jc w:val="center"/>
        <w:rPr>
          <w:rFonts w:hint="eastAsia" w:ascii="宋体" w:hAnsi="宋体" w:eastAsia="宋体" w:cs="宋体"/>
          <w:color w:val="auto"/>
          <w:sz w:val="52"/>
          <w:highlight w:val="none"/>
        </w:rPr>
      </w:pPr>
    </w:p>
    <w:p w14:paraId="12E97D96">
      <w:pPr>
        <w:wordWrap w:val="0"/>
        <w:spacing w:line="1000" w:lineRule="exact"/>
        <w:jc w:val="center"/>
        <w:rPr>
          <w:rFonts w:hint="eastAsia" w:ascii="宋体" w:hAnsi="宋体" w:eastAsia="宋体" w:cs="宋体"/>
          <w:b/>
          <w:color w:val="auto"/>
          <w:sz w:val="84"/>
          <w:szCs w:val="84"/>
          <w:highlight w:val="none"/>
        </w:rPr>
      </w:pPr>
      <w:r>
        <w:rPr>
          <w:rFonts w:hint="eastAsia" w:ascii="宋体" w:hAnsi="宋体" w:eastAsia="宋体" w:cs="宋体"/>
          <w:b/>
          <w:color w:val="auto"/>
          <w:sz w:val="84"/>
          <w:szCs w:val="84"/>
          <w:highlight w:val="none"/>
        </w:rPr>
        <w:t>竞争性磋商文件</w:t>
      </w:r>
      <w:r>
        <w:rPr>
          <w:rFonts w:hint="eastAsia" w:ascii="宋体" w:hAnsi="宋体" w:eastAsia="宋体" w:cs="宋体"/>
          <w:b/>
          <w:color w:val="auto"/>
          <w:sz w:val="84"/>
          <w:szCs w:val="84"/>
          <w:highlight w:val="none"/>
        </w:rPr>
        <w:cr/>
      </w:r>
    </w:p>
    <w:p w14:paraId="05CAA31B">
      <w:pPr>
        <w:wordWrap w:val="0"/>
        <w:spacing w:line="1000" w:lineRule="exact"/>
        <w:rPr>
          <w:rFonts w:hint="eastAsia" w:ascii="宋体" w:hAnsi="宋体" w:eastAsia="宋体" w:cs="宋体"/>
          <w:b/>
          <w:color w:val="auto"/>
          <w:sz w:val="84"/>
          <w:szCs w:val="84"/>
          <w:highlight w:val="none"/>
        </w:rPr>
      </w:pPr>
    </w:p>
    <w:p w14:paraId="4448BF3F">
      <w:pPr>
        <w:pStyle w:val="15"/>
        <w:wordWrap w:val="0"/>
        <w:ind w:firstLine="1671"/>
        <w:rPr>
          <w:rFonts w:hint="eastAsia" w:ascii="宋体" w:hAnsi="宋体" w:eastAsia="宋体" w:cs="宋体"/>
          <w:b/>
          <w:color w:val="auto"/>
          <w:sz w:val="84"/>
          <w:szCs w:val="84"/>
          <w:highlight w:val="none"/>
        </w:rPr>
      </w:pPr>
    </w:p>
    <w:p w14:paraId="0A9910A0">
      <w:pPr>
        <w:pStyle w:val="15"/>
        <w:wordWrap w:val="0"/>
        <w:ind w:firstLine="1671"/>
        <w:rPr>
          <w:rFonts w:hint="eastAsia" w:ascii="宋体" w:hAnsi="宋体" w:eastAsia="宋体" w:cs="宋体"/>
          <w:b/>
          <w:color w:val="auto"/>
          <w:sz w:val="84"/>
          <w:szCs w:val="84"/>
          <w:highlight w:val="none"/>
        </w:rPr>
      </w:pPr>
    </w:p>
    <w:p w14:paraId="128B092E">
      <w:pPr>
        <w:pStyle w:val="15"/>
        <w:wordWrap w:val="0"/>
        <w:ind w:firstLine="1671"/>
        <w:rPr>
          <w:rFonts w:hint="eastAsia" w:ascii="宋体" w:hAnsi="宋体" w:eastAsia="宋体" w:cs="宋体"/>
          <w:b/>
          <w:color w:val="auto"/>
          <w:sz w:val="84"/>
          <w:szCs w:val="84"/>
          <w:highlight w:val="none"/>
        </w:rPr>
      </w:pPr>
    </w:p>
    <w:p w14:paraId="21E9F390">
      <w:pPr>
        <w:wordWrap w:val="0"/>
        <w:ind w:firstLine="1500" w:firstLineChars="500"/>
        <w:jc w:val="left"/>
        <w:rPr>
          <w:rFonts w:hint="eastAsia" w:ascii="宋体" w:hAnsi="宋体" w:eastAsia="宋体" w:cs="宋体"/>
          <w:b/>
          <w:bCs/>
          <w:color w:val="auto"/>
          <w:kern w:val="0"/>
          <w:sz w:val="30"/>
          <w:szCs w:val="30"/>
          <w:highlight w:val="none"/>
        </w:rPr>
      </w:pPr>
      <w:r>
        <w:rPr>
          <w:rFonts w:hint="eastAsia" w:ascii="宋体" w:hAnsi="宋体" w:eastAsia="宋体" w:cs="宋体"/>
          <w:b/>
          <w:bCs/>
          <w:color w:val="auto"/>
          <w:kern w:val="0"/>
          <w:sz w:val="30"/>
          <w:szCs w:val="30"/>
          <w:highlight w:val="none"/>
        </w:rPr>
        <w:t>项目名称：广西桂林雁山园--“雁山别墅”园门保护修缮</w:t>
      </w:r>
    </w:p>
    <w:p w14:paraId="6B38AA6D">
      <w:pPr>
        <w:wordWrap w:val="0"/>
        <w:ind w:firstLine="3000" w:firstLineChars="1000"/>
        <w:jc w:val="left"/>
        <w:rPr>
          <w:rFonts w:hint="eastAsia" w:ascii="宋体" w:hAnsi="宋体" w:eastAsia="宋体" w:cs="宋体"/>
          <w:b/>
          <w:color w:val="auto"/>
          <w:spacing w:val="-10"/>
          <w:sz w:val="30"/>
          <w:szCs w:val="30"/>
          <w:highlight w:val="none"/>
        </w:rPr>
      </w:pPr>
      <w:r>
        <w:rPr>
          <w:rFonts w:hint="eastAsia" w:ascii="宋体" w:hAnsi="宋体" w:eastAsia="宋体" w:cs="宋体"/>
          <w:b/>
          <w:bCs/>
          <w:color w:val="auto"/>
          <w:kern w:val="0"/>
          <w:sz w:val="30"/>
          <w:szCs w:val="30"/>
          <w:highlight w:val="none"/>
        </w:rPr>
        <w:t>及环境整治项目</w:t>
      </w:r>
    </w:p>
    <w:p w14:paraId="65A95481">
      <w:pPr>
        <w:wordWrap w:val="0"/>
        <w:ind w:firstLine="1500" w:firstLineChars="500"/>
        <w:jc w:val="left"/>
        <w:rPr>
          <w:rFonts w:hint="eastAsia" w:ascii="宋体" w:hAnsi="宋体" w:eastAsia="宋体" w:cs="宋体"/>
          <w:b/>
          <w:bCs/>
          <w:color w:val="auto"/>
          <w:spacing w:val="40"/>
          <w:sz w:val="30"/>
          <w:szCs w:val="30"/>
          <w:highlight w:val="none"/>
          <w:lang w:eastAsia="zh-CN"/>
        </w:rPr>
      </w:pPr>
      <w:r>
        <w:rPr>
          <w:rFonts w:hint="eastAsia" w:ascii="宋体" w:hAnsi="宋体" w:eastAsia="宋体" w:cs="宋体"/>
          <w:b/>
          <w:bCs/>
          <w:color w:val="auto"/>
          <w:kern w:val="0"/>
          <w:sz w:val="30"/>
          <w:szCs w:val="30"/>
          <w:highlight w:val="none"/>
        </w:rPr>
        <w:t>项目编号：</w:t>
      </w:r>
      <w:r>
        <w:rPr>
          <w:rFonts w:hint="eastAsia" w:ascii="宋体" w:hAnsi="宋体" w:eastAsia="宋体" w:cs="宋体"/>
          <w:b/>
          <w:bCs/>
          <w:color w:val="auto"/>
          <w:kern w:val="0"/>
          <w:sz w:val="30"/>
          <w:szCs w:val="30"/>
          <w:highlight w:val="none"/>
          <w:lang w:eastAsia="zh-CN"/>
        </w:rPr>
        <w:t>GLZC2025-C2-990662-GXHC</w:t>
      </w:r>
    </w:p>
    <w:p w14:paraId="2585A565">
      <w:pPr>
        <w:wordWrap w:val="0"/>
        <w:ind w:left="420" w:leftChars="200" w:firstLine="336" w:firstLineChars="160"/>
        <w:rPr>
          <w:rFonts w:hint="eastAsia" w:ascii="宋体" w:hAnsi="宋体" w:eastAsia="宋体" w:cs="宋体"/>
          <w:color w:val="auto"/>
          <w:highlight w:val="none"/>
        </w:rPr>
      </w:pPr>
      <w:r>
        <w:rPr>
          <w:rFonts w:hint="eastAsia" w:ascii="宋体" w:hAnsi="宋体" w:eastAsia="宋体" w:cs="宋体"/>
          <w:color w:val="auto"/>
          <w:highlight w:val="none"/>
        </w:rPr>
        <w:cr/>
      </w:r>
    </w:p>
    <w:p w14:paraId="5E2EA991">
      <w:pPr>
        <w:wordWrap w:val="0"/>
        <w:ind w:left="420" w:leftChars="200" w:firstLine="336" w:firstLineChars="160"/>
        <w:rPr>
          <w:rFonts w:hint="eastAsia" w:ascii="宋体" w:hAnsi="宋体" w:eastAsia="宋体" w:cs="宋体"/>
          <w:color w:val="auto"/>
          <w:highlight w:val="none"/>
        </w:rPr>
      </w:pPr>
    </w:p>
    <w:p w14:paraId="2C280792">
      <w:pPr>
        <w:wordWrap w:val="0"/>
        <w:ind w:left="420" w:leftChars="200" w:firstLine="336" w:firstLineChars="160"/>
        <w:rPr>
          <w:rFonts w:hint="eastAsia" w:ascii="宋体" w:hAnsi="宋体" w:eastAsia="宋体" w:cs="宋体"/>
          <w:color w:val="auto"/>
          <w:highlight w:val="none"/>
        </w:rPr>
      </w:pPr>
    </w:p>
    <w:p w14:paraId="625BC67E">
      <w:pPr>
        <w:pStyle w:val="15"/>
        <w:wordWrap w:val="0"/>
        <w:ind w:firstLine="344"/>
        <w:rPr>
          <w:rFonts w:hint="eastAsia" w:ascii="宋体" w:hAnsi="宋体" w:eastAsia="宋体" w:cs="宋体"/>
          <w:color w:val="auto"/>
          <w:highlight w:val="none"/>
        </w:rPr>
      </w:pPr>
    </w:p>
    <w:p w14:paraId="4C1EF675">
      <w:pPr>
        <w:pStyle w:val="15"/>
        <w:wordWrap w:val="0"/>
        <w:ind w:firstLine="344"/>
        <w:rPr>
          <w:rFonts w:hint="eastAsia" w:ascii="宋体" w:hAnsi="宋体" w:eastAsia="宋体" w:cs="宋体"/>
          <w:color w:val="auto"/>
          <w:highlight w:val="none"/>
        </w:rPr>
      </w:pPr>
    </w:p>
    <w:p w14:paraId="6565EB00">
      <w:pPr>
        <w:pStyle w:val="15"/>
        <w:wordWrap w:val="0"/>
        <w:ind w:firstLine="344"/>
        <w:rPr>
          <w:rFonts w:hint="eastAsia" w:ascii="宋体" w:hAnsi="宋体" w:eastAsia="宋体" w:cs="宋体"/>
          <w:color w:val="auto"/>
          <w:highlight w:val="none"/>
        </w:rPr>
      </w:pPr>
    </w:p>
    <w:p w14:paraId="4EEA72E4">
      <w:pPr>
        <w:pStyle w:val="15"/>
        <w:wordWrap w:val="0"/>
        <w:ind w:firstLine="344"/>
        <w:rPr>
          <w:rFonts w:hint="eastAsia" w:ascii="宋体" w:hAnsi="宋体" w:eastAsia="宋体" w:cs="宋体"/>
          <w:color w:val="auto"/>
          <w:highlight w:val="none"/>
        </w:rPr>
      </w:pPr>
    </w:p>
    <w:p w14:paraId="0E81268D">
      <w:pPr>
        <w:pStyle w:val="15"/>
        <w:wordWrap w:val="0"/>
        <w:ind w:firstLine="344"/>
        <w:rPr>
          <w:rFonts w:hint="eastAsia" w:ascii="宋体" w:hAnsi="宋体" w:eastAsia="宋体" w:cs="宋体"/>
          <w:color w:val="auto"/>
          <w:highlight w:val="none"/>
        </w:rPr>
      </w:pPr>
    </w:p>
    <w:p w14:paraId="03804804">
      <w:pPr>
        <w:wordWrap w:val="0"/>
        <w:ind w:left="420" w:leftChars="20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采购代理机构：广西华诚达建设项目管理有限公司</w:t>
      </w:r>
    </w:p>
    <w:p w14:paraId="4A9AE07E">
      <w:pPr>
        <w:wordWrap w:val="0"/>
        <w:ind w:left="420" w:leftChars="200"/>
        <w:jc w:val="center"/>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eastAsia="zh-CN"/>
        </w:rPr>
        <w:t>2025年12月1</w:t>
      </w:r>
      <w:r>
        <w:rPr>
          <w:rFonts w:hint="eastAsia" w:ascii="宋体" w:hAnsi="宋体" w:cs="宋体"/>
          <w:b/>
          <w:bCs/>
          <w:color w:val="auto"/>
          <w:sz w:val="28"/>
          <w:szCs w:val="28"/>
          <w:highlight w:val="none"/>
          <w:lang w:val="en-US" w:eastAsia="zh-CN"/>
        </w:rPr>
        <w:t>1</w:t>
      </w:r>
      <w:r>
        <w:rPr>
          <w:rFonts w:hint="eastAsia" w:ascii="宋体" w:hAnsi="宋体" w:cs="宋体"/>
          <w:b/>
          <w:bCs/>
          <w:color w:val="auto"/>
          <w:sz w:val="28"/>
          <w:szCs w:val="28"/>
          <w:highlight w:val="none"/>
          <w:lang w:eastAsia="zh-CN"/>
        </w:rPr>
        <w:t>日</w:t>
      </w:r>
    </w:p>
    <w:p w14:paraId="7C671096">
      <w:pPr>
        <w:pStyle w:val="9"/>
        <w:wordWrap w:val="0"/>
        <w:spacing w:line="420" w:lineRule="exact"/>
        <w:ind w:left="420" w:leftChars="200" w:firstLine="704" w:firstLineChars="160"/>
        <w:jc w:val="center"/>
        <w:rPr>
          <w:rFonts w:hint="eastAsia" w:ascii="宋体" w:hAnsi="宋体" w:eastAsia="宋体" w:cs="宋体"/>
          <w:color w:val="auto"/>
          <w:sz w:val="44"/>
          <w:highlight w:val="none"/>
        </w:rPr>
        <w:sectPr>
          <w:headerReference r:id="rId4" w:type="first"/>
          <w:headerReference r:id="rId3" w:type="default"/>
          <w:pgSz w:w="11906" w:h="16838"/>
          <w:pgMar w:top="1440" w:right="1080" w:bottom="1440" w:left="1080" w:header="851" w:footer="992" w:gutter="0"/>
          <w:pgNumType w:start="1"/>
          <w:cols w:space="720" w:num="1"/>
          <w:titlePg/>
          <w:docGrid w:type="linesAndChars" w:linePitch="312" w:charSpace="0"/>
        </w:sectPr>
      </w:pPr>
    </w:p>
    <w:p w14:paraId="7318EA18">
      <w:pPr>
        <w:pStyle w:val="9"/>
        <w:wordWrap w:val="0"/>
        <w:spacing w:line="420" w:lineRule="exact"/>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t>目     录</w:t>
      </w:r>
    </w:p>
    <w:p w14:paraId="6F4D2213">
      <w:pPr>
        <w:pStyle w:val="22"/>
        <w:wordWrap w:val="0"/>
        <w:ind w:left="420" w:leftChars="200" w:firstLine="512" w:firstLineChars="160"/>
        <w:rPr>
          <w:rFonts w:hint="eastAsia" w:ascii="宋体" w:hAnsi="宋体" w:eastAsia="宋体" w:cs="宋体"/>
          <w:color w:val="auto"/>
          <w:highlight w:val="none"/>
        </w:rPr>
      </w:pPr>
    </w:p>
    <w:p w14:paraId="12E37F2E">
      <w:pPr>
        <w:pStyle w:val="12"/>
        <w:tabs>
          <w:tab w:val="right" w:leader="dot" w:pos="9746"/>
        </w:tabs>
        <w:spacing w:line="600" w:lineRule="auto"/>
        <w:rPr>
          <w:rFonts w:hint="eastAsia" w:ascii="宋体" w:hAnsi="宋体" w:eastAsia="宋体" w:cs="宋体"/>
          <w:sz w:val="28"/>
          <w:szCs w:val="36"/>
        </w:rPr>
      </w:pPr>
      <w:r>
        <w:rPr>
          <w:rFonts w:hint="eastAsia" w:ascii="宋体" w:hAnsi="宋体" w:eastAsia="宋体" w:cs="宋体"/>
          <w:color w:val="auto"/>
          <w:sz w:val="44"/>
          <w:szCs w:val="44"/>
          <w:highlight w:val="none"/>
        </w:rPr>
        <w:fldChar w:fldCharType="begin"/>
      </w:r>
      <w:r>
        <w:rPr>
          <w:rFonts w:hint="eastAsia" w:ascii="宋体" w:hAnsi="宋体" w:eastAsia="宋体" w:cs="宋体"/>
          <w:color w:val="auto"/>
          <w:sz w:val="44"/>
          <w:szCs w:val="44"/>
          <w:highlight w:val="none"/>
        </w:rPr>
        <w:instrText xml:space="preserve"> TOC \o "1-3" \h \z \u </w:instrText>
      </w:r>
      <w:r>
        <w:rPr>
          <w:rFonts w:hint="eastAsia" w:ascii="宋体" w:hAnsi="宋体" w:eastAsia="宋体" w:cs="宋体"/>
          <w:color w:val="auto"/>
          <w:sz w:val="44"/>
          <w:szCs w:val="44"/>
          <w:highlight w:val="none"/>
        </w:rPr>
        <w:fldChar w:fldCharType="separate"/>
      </w:r>
      <w:r>
        <w:rPr>
          <w:rFonts w:hint="eastAsia" w:ascii="宋体" w:hAnsi="宋体" w:eastAsia="宋体" w:cs="宋体"/>
          <w:color w:val="auto"/>
          <w:sz w:val="28"/>
          <w:szCs w:val="44"/>
          <w:highlight w:val="none"/>
        </w:rPr>
        <w:fldChar w:fldCharType="begin"/>
      </w:r>
      <w:r>
        <w:rPr>
          <w:rFonts w:hint="eastAsia" w:ascii="宋体" w:hAnsi="宋体" w:eastAsia="宋体" w:cs="宋体"/>
          <w:sz w:val="28"/>
          <w:szCs w:val="44"/>
          <w:highlight w:val="none"/>
        </w:rPr>
        <w:instrText xml:space="preserve"> HYPERLINK \l _Toc9968 </w:instrText>
      </w:r>
      <w:r>
        <w:rPr>
          <w:rFonts w:hint="eastAsia" w:ascii="宋体" w:hAnsi="宋体" w:eastAsia="宋体" w:cs="宋体"/>
          <w:sz w:val="28"/>
          <w:szCs w:val="44"/>
          <w:highlight w:val="none"/>
        </w:rPr>
        <w:fldChar w:fldCharType="separate"/>
      </w:r>
      <w:r>
        <w:rPr>
          <w:rFonts w:hint="eastAsia" w:ascii="宋体" w:hAnsi="宋体" w:eastAsia="宋体" w:cs="宋体"/>
          <w:sz w:val="28"/>
          <w:szCs w:val="44"/>
          <w:highlight w:val="none"/>
        </w:rPr>
        <w:t xml:space="preserve">第一章 </w:t>
      </w:r>
      <w:r>
        <w:rPr>
          <w:rFonts w:hint="eastAsia" w:ascii="宋体" w:hAnsi="宋体" w:eastAsia="宋体" w:cs="宋体"/>
          <w:sz w:val="28"/>
          <w:szCs w:val="44"/>
          <w:highlight w:val="none"/>
          <w:lang w:val="en-US" w:eastAsia="zh-CN"/>
        </w:rPr>
        <w:t xml:space="preserve"> </w:t>
      </w:r>
      <w:r>
        <w:rPr>
          <w:rFonts w:hint="eastAsia" w:ascii="宋体" w:hAnsi="宋体" w:eastAsia="宋体" w:cs="宋体"/>
          <w:sz w:val="28"/>
          <w:szCs w:val="44"/>
          <w:highlight w:val="none"/>
        </w:rPr>
        <w:t>竞争性磋商公告</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_Toc9968 \h </w:instrText>
      </w:r>
      <w:r>
        <w:rPr>
          <w:rFonts w:hint="eastAsia" w:ascii="宋体" w:hAnsi="宋体" w:eastAsia="宋体" w:cs="宋体"/>
          <w:sz w:val="28"/>
          <w:szCs w:val="36"/>
        </w:rPr>
        <w:fldChar w:fldCharType="separate"/>
      </w:r>
      <w:r>
        <w:rPr>
          <w:rFonts w:hint="eastAsia" w:ascii="宋体" w:hAnsi="宋体" w:eastAsia="宋体" w:cs="宋体"/>
          <w:sz w:val="28"/>
          <w:szCs w:val="36"/>
        </w:rPr>
        <w:t>2</w:t>
      </w:r>
      <w:r>
        <w:rPr>
          <w:rFonts w:hint="eastAsia" w:ascii="宋体" w:hAnsi="宋体" w:eastAsia="宋体" w:cs="宋体"/>
          <w:sz w:val="28"/>
          <w:szCs w:val="36"/>
        </w:rPr>
        <w:fldChar w:fldCharType="end"/>
      </w:r>
      <w:r>
        <w:rPr>
          <w:rFonts w:hint="eastAsia" w:ascii="宋体" w:hAnsi="宋体" w:eastAsia="宋体" w:cs="宋体"/>
          <w:color w:val="auto"/>
          <w:sz w:val="28"/>
          <w:szCs w:val="44"/>
          <w:highlight w:val="none"/>
        </w:rPr>
        <w:fldChar w:fldCharType="end"/>
      </w:r>
    </w:p>
    <w:p w14:paraId="1FE7DD51">
      <w:pPr>
        <w:pStyle w:val="12"/>
        <w:tabs>
          <w:tab w:val="right" w:leader="dot" w:pos="9746"/>
        </w:tabs>
        <w:spacing w:line="600" w:lineRule="auto"/>
        <w:rPr>
          <w:rFonts w:hint="eastAsia" w:ascii="宋体" w:hAnsi="宋体" w:eastAsia="宋体" w:cs="宋体"/>
          <w:sz w:val="28"/>
          <w:szCs w:val="36"/>
        </w:rPr>
      </w:pPr>
      <w:r>
        <w:rPr>
          <w:rFonts w:hint="eastAsia" w:ascii="宋体" w:hAnsi="宋体" w:eastAsia="宋体" w:cs="宋体"/>
          <w:bCs/>
          <w:color w:val="auto"/>
          <w:sz w:val="28"/>
          <w:szCs w:val="44"/>
          <w:highlight w:val="none"/>
          <w:lang w:val="zh-CN"/>
        </w:rPr>
        <w:fldChar w:fldCharType="begin"/>
      </w:r>
      <w:r>
        <w:rPr>
          <w:rFonts w:hint="eastAsia" w:ascii="宋体" w:hAnsi="宋体" w:eastAsia="宋体" w:cs="宋体"/>
          <w:bCs/>
          <w:sz w:val="28"/>
          <w:szCs w:val="44"/>
          <w:highlight w:val="none"/>
          <w:lang w:val="zh-CN"/>
        </w:rPr>
        <w:instrText xml:space="preserve"> HYPERLINK \l _Toc28828 </w:instrText>
      </w:r>
      <w:r>
        <w:rPr>
          <w:rFonts w:hint="eastAsia" w:ascii="宋体" w:hAnsi="宋体" w:eastAsia="宋体" w:cs="宋体"/>
          <w:bCs/>
          <w:sz w:val="28"/>
          <w:szCs w:val="44"/>
          <w:highlight w:val="none"/>
          <w:lang w:val="zh-CN"/>
        </w:rPr>
        <w:fldChar w:fldCharType="separate"/>
      </w:r>
      <w:r>
        <w:rPr>
          <w:rFonts w:hint="eastAsia" w:ascii="宋体" w:hAnsi="宋体" w:eastAsia="宋体" w:cs="宋体"/>
          <w:sz w:val="28"/>
          <w:szCs w:val="36"/>
          <w:highlight w:val="none"/>
        </w:rPr>
        <w:t>第二章</w:t>
      </w:r>
      <w:r>
        <w:rPr>
          <w:rFonts w:hint="eastAsia" w:ascii="宋体" w:hAnsi="宋体" w:eastAsia="宋体" w:cs="宋体"/>
          <w:sz w:val="28"/>
          <w:szCs w:val="36"/>
          <w:highlight w:val="none"/>
          <w:lang w:val="en-US" w:eastAsia="zh-CN"/>
        </w:rPr>
        <w:t xml:space="preserve">  </w:t>
      </w:r>
      <w:r>
        <w:rPr>
          <w:rFonts w:hint="eastAsia" w:ascii="宋体" w:hAnsi="宋体" w:eastAsia="宋体" w:cs="宋体"/>
          <w:sz w:val="28"/>
          <w:szCs w:val="36"/>
          <w:highlight w:val="none"/>
        </w:rPr>
        <w:t>磋商供应商须知</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_Toc28828 \h </w:instrText>
      </w:r>
      <w:r>
        <w:rPr>
          <w:rFonts w:hint="eastAsia" w:ascii="宋体" w:hAnsi="宋体" w:eastAsia="宋体" w:cs="宋体"/>
          <w:sz w:val="28"/>
          <w:szCs w:val="36"/>
        </w:rPr>
        <w:fldChar w:fldCharType="separate"/>
      </w:r>
      <w:r>
        <w:rPr>
          <w:rFonts w:hint="eastAsia" w:ascii="宋体" w:hAnsi="宋体" w:eastAsia="宋体" w:cs="宋体"/>
          <w:sz w:val="28"/>
          <w:szCs w:val="36"/>
        </w:rPr>
        <w:t>5</w:t>
      </w:r>
      <w:r>
        <w:rPr>
          <w:rFonts w:hint="eastAsia" w:ascii="宋体" w:hAnsi="宋体" w:eastAsia="宋体" w:cs="宋体"/>
          <w:sz w:val="28"/>
          <w:szCs w:val="36"/>
        </w:rPr>
        <w:fldChar w:fldCharType="end"/>
      </w:r>
      <w:r>
        <w:rPr>
          <w:rFonts w:hint="eastAsia" w:ascii="宋体" w:hAnsi="宋体" w:eastAsia="宋体" w:cs="宋体"/>
          <w:bCs/>
          <w:color w:val="auto"/>
          <w:sz w:val="28"/>
          <w:szCs w:val="44"/>
          <w:highlight w:val="none"/>
          <w:lang w:val="zh-CN"/>
        </w:rPr>
        <w:fldChar w:fldCharType="end"/>
      </w:r>
    </w:p>
    <w:p w14:paraId="7AB76705">
      <w:pPr>
        <w:pStyle w:val="12"/>
        <w:tabs>
          <w:tab w:val="right" w:leader="dot" w:pos="9746"/>
        </w:tabs>
        <w:spacing w:line="600" w:lineRule="auto"/>
        <w:rPr>
          <w:rFonts w:hint="eastAsia" w:ascii="宋体" w:hAnsi="宋体" w:eastAsia="宋体" w:cs="宋体"/>
          <w:sz w:val="28"/>
          <w:szCs w:val="36"/>
        </w:rPr>
      </w:pPr>
      <w:r>
        <w:rPr>
          <w:rFonts w:hint="eastAsia" w:ascii="宋体" w:hAnsi="宋体" w:eastAsia="宋体" w:cs="宋体"/>
          <w:bCs/>
          <w:color w:val="auto"/>
          <w:sz w:val="28"/>
          <w:szCs w:val="44"/>
          <w:highlight w:val="none"/>
          <w:lang w:val="zh-CN"/>
        </w:rPr>
        <w:fldChar w:fldCharType="begin"/>
      </w:r>
      <w:r>
        <w:rPr>
          <w:rFonts w:hint="eastAsia" w:ascii="宋体" w:hAnsi="宋体" w:eastAsia="宋体" w:cs="宋体"/>
          <w:bCs/>
          <w:sz w:val="28"/>
          <w:szCs w:val="44"/>
          <w:highlight w:val="none"/>
          <w:lang w:val="zh-CN"/>
        </w:rPr>
        <w:instrText xml:space="preserve"> HYPERLINK \l _Toc30317 </w:instrText>
      </w:r>
      <w:r>
        <w:rPr>
          <w:rFonts w:hint="eastAsia" w:ascii="宋体" w:hAnsi="宋体" w:eastAsia="宋体" w:cs="宋体"/>
          <w:bCs/>
          <w:sz w:val="28"/>
          <w:szCs w:val="44"/>
          <w:highlight w:val="none"/>
          <w:lang w:val="zh-CN"/>
        </w:rPr>
        <w:fldChar w:fldCharType="separate"/>
      </w:r>
      <w:r>
        <w:rPr>
          <w:rFonts w:hint="eastAsia" w:ascii="宋体" w:hAnsi="宋体" w:eastAsia="宋体" w:cs="宋体"/>
          <w:sz w:val="28"/>
          <w:szCs w:val="36"/>
        </w:rPr>
        <w:t>第三章</w:t>
      </w:r>
      <w:r>
        <w:rPr>
          <w:rFonts w:hint="eastAsia" w:ascii="宋体" w:hAnsi="宋体" w:eastAsia="宋体" w:cs="宋体"/>
          <w:sz w:val="28"/>
          <w:szCs w:val="36"/>
          <w:lang w:val="en-US" w:eastAsia="zh-CN"/>
        </w:rPr>
        <w:t xml:space="preserve">  </w:t>
      </w:r>
      <w:r>
        <w:rPr>
          <w:rFonts w:hint="eastAsia" w:ascii="宋体" w:hAnsi="宋体" w:eastAsia="宋体" w:cs="宋体"/>
          <w:sz w:val="28"/>
          <w:szCs w:val="36"/>
          <w:highlight w:val="none"/>
        </w:rPr>
        <w:t>工程量清单</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_Toc30317 \h </w:instrText>
      </w:r>
      <w:r>
        <w:rPr>
          <w:rFonts w:hint="eastAsia" w:ascii="宋体" w:hAnsi="宋体" w:eastAsia="宋体" w:cs="宋体"/>
          <w:sz w:val="28"/>
          <w:szCs w:val="36"/>
        </w:rPr>
        <w:fldChar w:fldCharType="separate"/>
      </w:r>
      <w:r>
        <w:rPr>
          <w:rFonts w:hint="eastAsia" w:ascii="宋体" w:hAnsi="宋体" w:eastAsia="宋体" w:cs="宋体"/>
          <w:sz w:val="28"/>
          <w:szCs w:val="36"/>
        </w:rPr>
        <w:t>25</w:t>
      </w:r>
      <w:r>
        <w:rPr>
          <w:rFonts w:hint="eastAsia" w:ascii="宋体" w:hAnsi="宋体" w:eastAsia="宋体" w:cs="宋体"/>
          <w:sz w:val="28"/>
          <w:szCs w:val="36"/>
        </w:rPr>
        <w:fldChar w:fldCharType="end"/>
      </w:r>
      <w:r>
        <w:rPr>
          <w:rFonts w:hint="eastAsia" w:ascii="宋体" w:hAnsi="宋体" w:eastAsia="宋体" w:cs="宋体"/>
          <w:bCs/>
          <w:color w:val="auto"/>
          <w:sz w:val="28"/>
          <w:szCs w:val="44"/>
          <w:highlight w:val="none"/>
          <w:lang w:val="zh-CN"/>
        </w:rPr>
        <w:fldChar w:fldCharType="end"/>
      </w:r>
    </w:p>
    <w:p w14:paraId="74793033">
      <w:pPr>
        <w:pStyle w:val="12"/>
        <w:tabs>
          <w:tab w:val="right" w:leader="dot" w:pos="9746"/>
        </w:tabs>
        <w:spacing w:line="600" w:lineRule="auto"/>
        <w:rPr>
          <w:rFonts w:hint="eastAsia" w:ascii="宋体" w:hAnsi="宋体" w:eastAsia="宋体" w:cs="宋体"/>
          <w:sz w:val="28"/>
          <w:szCs w:val="36"/>
        </w:rPr>
      </w:pPr>
      <w:r>
        <w:rPr>
          <w:rFonts w:hint="eastAsia" w:ascii="宋体" w:hAnsi="宋体" w:eastAsia="宋体" w:cs="宋体"/>
          <w:bCs/>
          <w:color w:val="auto"/>
          <w:sz w:val="28"/>
          <w:szCs w:val="44"/>
          <w:highlight w:val="none"/>
          <w:lang w:val="zh-CN"/>
        </w:rPr>
        <w:fldChar w:fldCharType="begin"/>
      </w:r>
      <w:r>
        <w:rPr>
          <w:rFonts w:hint="eastAsia" w:ascii="宋体" w:hAnsi="宋体" w:eastAsia="宋体" w:cs="宋体"/>
          <w:bCs/>
          <w:sz w:val="28"/>
          <w:szCs w:val="44"/>
          <w:highlight w:val="none"/>
          <w:lang w:val="zh-CN"/>
        </w:rPr>
        <w:instrText xml:space="preserve"> HYPERLINK \l _Toc16558 </w:instrText>
      </w:r>
      <w:r>
        <w:rPr>
          <w:rFonts w:hint="eastAsia" w:ascii="宋体" w:hAnsi="宋体" w:eastAsia="宋体" w:cs="宋体"/>
          <w:bCs/>
          <w:sz w:val="28"/>
          <w:szCs w:val="44"/>
          <w:highlight w:val="none"/>
          <w:lang w:val="zh-CN"/>
        </w:rPr>
        <w:fldChar w:fldCharType="separate"/>
      </w:r>
      <w:r>
        <w:rPr>
          <w:rFonts w:hint="eastAsia" w:ascii="宋体" w:hAnsi="宋体" w:eastAsia="宋体" w:cs="宋体"/>
          <w:sz w:val="28"/>
          <w:szCs w:val="48"/>
          <w:highlight w:val="none"/>
        </w:rPr>
        <w:t>第四章  评审办法</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_Toc16558 \h </w:instrText>
      </w:r>
      <w:r>
        <w:rPr>
          <w:rFonts w:hint="eastAsia" w:ascii="宋体" w:hAnsi="宋体" w:eastAsia="宋体" w:cs="宋体"/>
          <w:sz w:val="28"/>
          <w:szCs w:val="36"/>
        </w:rPr>
        <w:fldChar w:fldCharType="separate"/>
      </w:r>
      <w:r>
        <w:rPr>
          <w:rFonts w:hint="eastAsia" w:ascii="宋体" w:hAnsi="宋体" w:eastAsia="宋体" w:cs="宋体"/>
          <w:sz w:val="28"/>
          <w:szCs w:val="36"/>
        </w:rPr>
        <w:t>26</w:t>
      </w:r>
      <w:r>
        <w:rPr>
          <w:rFonts w:hint="eastAsia" w:ascii="宋体" w:hAnsi="宋体" w:eastAsia="宋体" w:cs="宋体"/>
          <w:sz w:val="28"/>
          <w:szCs w:val="36"/>
        </w:rPr>
        <w:fldChar w:fldCharType="end"/>
      </w:r>
      <w:r>
        <w:rPr>
          <w:rFonts w:hint="eastAsia" w:ascii="宋体" w:hAnsi="宋体" w:eastAsia="宋体" w:cs="宋体"/>
          <w:bCs/>
          <w:color w:val="auto"/>
          <w:sz w:val="28"/>
          <w:szCs w:val="44"/>
          <w:highlight w:val="none"/>
          <w:lang w:val="zh-CN"/>
        </w:rPr>
        <w:fldChar w:fldCharType="end"/>
      </w:r>
    </w:p>
    <w:p w14:paraId="02165839">
      <w:pPr>
        <w:pStyle w:val="12"/>
        <w:tabs>
          <w:tab w:val="right" w:leader="dot" w:pos="9746"/>
        </w:tabs>
        <w:spacing w:line="600" w:lineRule="auto"/>
        <w:rPr>
          <w:rFonts w:hint="eastAsia" w:ascii="宋体" w:hAnsi="宋体" w:eastAsia="宋体" w:cs="宋体"/>
          <w:sz w:val="28"/>
          <w:szCs w:val="36"/>
        </w:rPr>
      </w:pPr>
      <w:r>
        <w:rPr>
          <w:rFonts w:hint="eastAsia" w:ascii="宋体" w:hAnsi="宋体" w:eastAsia="宋体" w:cs="宋体"/>
          <w:bCs/>
          <w:color w:val="auto"/>
          <w:sz w:val="28"/>
          <w:szCs w:val="44"/>
          <w:highlight w:val="none"/>
          <w:lang w:val="zh-CN"/>
        </w:rPr>
        <w:fldChar w:fldCharType="begin"/>
      </w:r>
      <w:r>
        <w:rPr>
          <w:rFonts w:hint="eastAsia" w:ascii="宋体" w:hAnsi="宋体" w:eastAsia="宋体" w:cs="宋体"/>
          <w:bCs/>
          <w:sz w:val="28"/>
          <w:szCs w:val="44"/>
          <w:highlight w:val="none"/>
          <w:lang w:val="zh-CN"/>
        </w:rPr>
        <w:instrText xml:space="preserve"> HYPERLINK \l _Toc605 </w:instrText>
      </w:r>
      <w:r>
        <w:rPr>
          <w:rFonts w:hint="eastAsia" w:ascii="宋体" w:hAnsi="宋体" w:eastAsia="宋体" w:cs="宋体"/>
          <w:bCs/>
          <w:sz w:val="28"/>
          <w:szCs w:val="44"/>
          <w:highlight w:val="none"/>
          <w:lang w:val="zh-CN"/>
        </w:rPr>
        <w:fldChar w:fldCharType="separate"/>
      </w:r>
      <w:r>
        <w:rPr>
          <w:rFonts w:hint="eastAsia" w:ascii="宋体" w:hAnsi="宋体" w:eastAsia="宋体" w:cs="宋体"/>
          <w:bCs/>
          <w:sz w:val="28"/>
          <w:szCs w:val="44"/>
          <w:highlight w:val="none"/>
          <w:lang w:val="en-US" w:eastAsia="zh-CN"/>
        </w:rPr>
        <w:t>第五章  采购合同（合同主要条款及格式）</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_Toc605 \h </w:instrText>
      </w:r>
      <w:r>
        <w:rPr>
          <w:rFonts w:hint="eastAsia" w:ascii="宋体" w:hAnsi="宋体" w:eastAsia="宋体" w:cs="宋体"/>
          <w:sz w:val="28"/>
          <w:szCs w:val="36"/>
        </w:rPr>
        <w:fldChar w:fldCharType="separate"/>
      </w:r>
      <w:r>
        <w:rPr>
          <w:rFonts w:hint="eastAsia" w:ascii="宋体" w:hAnsi="宋体" w:eastAsia="宋体" w:cs="宋体"/>
          <w:sz w:val="28"/>
          <w:szCs w:val="36"/>
        </w:rPr>
        <w:t>31</w:t>
      </w:r>
      <w:r>
        <w:rPr>
          <w:rFonts w:hint="eastAsia" w:ascii="宋体" w:hAnsi="宋体" w:eastAsia="宋体" w:cs="宋体"/>
          <w:sz w:val="28"/>
          <w:szCs w:val="36"/>
        </w:rPr>
        <w:fldChar w:fldCharType="end"/>
      </w:r>
      <w:r>
        <w:rPr>
          <w:rFonts w:hint="eastAsia" w:ascii="宋体" w:hAnsi="宋体" w:eastAsia="宋体" w:cs="宋体"/>
          <w:bCs/>
          <w:color w:val="auto"/>
          <w:sz w:val="28"/>
          <w:szCs w:val="44"/>
          <w:highlight w:val="none"/>
          <w:lang w:val="zh-CN"/>
        </w:rPr>
        <w:fldChar w:fldCharType="end"/>
      </w:r>
    </w:p>
    <w:p w14:paraId="41CF8A52">
      <w:pPr>
        <w:pStyle w:val="12"/>
        <w:tabs>
          <w:tab w:val="right" w:leader="dot" w:pos="9746"/>
        </w:tabs>
        <w:spacing w:line="600" w:lineRule="auto"/>
        <w:rPr>
          <w:rFonts w:hint="eastAsia" w:ascii="宋体" w:hAnsi="宋体" w:eastAsia="宋体" w:cs="宋体"/>
          <w:sz w:val="28"/>
          <w:szCs w:val="36"/>
        </w:rPr>
      </w:pPr>
      <w:r>
        <w:rPr>
          <w:rFonts w:hint="eastAsia" w:ascii="宋体" w:hAnsi="宋体" w:eastAsia="宋体" w:cs="宋体"/>
          <w:bCs/>
          <w:color w:val="auto"/>
          <w:sz w:val="28"/>
          <w:szCs w:val="44"/>
          <w:highlight w:val="none"/>
          <w:lang w:val="zh-CN"/>
        </w:rPr>
        <w:fldChar w:fldCharType="begin"/>
      </w:r>
      <w:r>
        <w:rPr>
          <w:rFonts w:hint="eastAsia" w:ascii="宋体" w:hAnsi="宋体" w:eastAsia="宋体" w:cs="宋体"/>
          <w:bCs/>
          <w:sz w:val="28"/>
          <w:szCs w:val="44"/>
          <w:highlight w:val="none"/>
          <w:lang w:val="zh-CN"/>
        </w:rPr>
        <w:instrText xml:space="preserve"> HYPERLINK \l _Toc16315 </w:instrText>
      </w:r>
      <w:r>
        <w:rPr>
          <w:rFonts w:hint="eastAsia" w:ascii="宋体" w:hAnsi="宋体" w:eastAsia="宋体" w:cs="宋体"/>
          <w:bCs/>
          <w:sz w:val="28"/>
          <w:szCs w:val="44"/>
          <w:highlight w:val="none"/>
          <w:lang w:val="zh-CN"/>
        </w:rPr>
        <w:fldChar w:fldCharType="separate"/>
      </w:r>
      <w:r>
        <w:rPr>
          <w:rFonts w:hint="eastAsia" w:ascii="宋体" w:hAnsi="宋体" w:eastAsia="宋体" w:cs="宋体"/>
          <w:sz w:val="28"/>
          <w:szCs w:val="36"/>
          <w:highlight w:val="none"/>
        </w:rPr>
        <w:t>第六章  响应文件格式</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_Toc16315 \h </w:instrText>
      </w:r>
      <w:r>
        <w:rPr>
          <w:rFonts w:hint="eastAsia" w:ascii="宋体" w:hAnsi="宋体" w:eastAsia="宋体" w:cs="宋体"/>
          <w:sz w:val="28"/>
          <w:szCs w:val="36"/>
        </w:rPr>
        <w:fldChar w:fldCharType="separate"/>
      </w:r>
      <w:r>
        <w:rPr>
          <w:rFonts w:hint="eastAsia" w:ascii="宋体" w:hAnsi="宋体" w:eastAsia="宋体" w:cs="宋体"/>
          <w:sz w:val="28"/>
          <w:szCs w:val="36"/>
        </w:rPr>
        <w:t>60</w:t>
      </w:r>
      <w:r>
        <w:rPr>
          <w:rFonts w:hint="eastAsia" w:ascii="宋体" w:hAnsi="宋体" w:eastAsia="宋体" w:cs="宋体"/>
          <w:sz w:val="28"/>
          <w:szCs w:val="36"/>
        </w:rPr>
        <w:fldChar w:fldCharType="end"/>
      </w:r>
      <w:r>
        <w:rPr>
          <w:rFonts w:hint="eastAsia" w:ascii="宋体" w:hAnsi="宋体" w:eastAsia="宋体" w:cs="宋体"/>
          <w:bCs/>
          <w:color w:val="auto"/>
          <w:sz w:val="28"/>
          <w:szCs w:val="44"/>
          <w:highlight w:val="none"/>
          <w:lang w:val="zh-CN"/>
        </w:rPr>
        <w:fldChar w:fldCharType="end"/>
      </w:r>
    </w:p>
    <w:p w14:paraId="005A3891">
      <w:pPr>
        <w:pStyle w:val="12"/>
        <w:tabs>
          <w:tab w:val="right" w:leader="dot" w:pos="9746"/>
        </w:tabs>
        <w:spacing w:line="600" w:lineRule="auto"/>
        <w:rPr>
          <w:rFonts w:hint="eastAsia" w:ascii="宋体" w:hAnsi="宋体" w:eastAsia="宋体" w:cs="宋体"/>
          <w:sz w:val="28"/>
          <w:szCs w:val="36"/>
        </w:rPr>
      </w:pPr>
      <w:r>
        <w:rPr>
          <w:rFonts w:hint="eastAsia" w:ascii="宋体" w:hAnsi="宋体" w:eastAsia="宋体" w:cs="宋体"/>
          <w:bCs/>
          <w:color w:val="auto"/>
          <w:sz w:val="28"/>
          <w:szCs w:val="44"/>
          <w:highlight w:val="none"/>
          <w:lang w:val="zh-CN"/>
        </w:rPr>
        <w:fldChar w:fldCharType="begin"/>
      </w:r>
      <w:r>
        <w:rPr>
          <w:rFonts w:hint="eastAsia" w:ascii="宋体" w:hAnsi="宋体" w:eastAsia="宋体" w:cs="宋体"/>
          <w:bCs/>
          <w:sz w:val="28"/>
          <w:szCs w:val="44"/>
          <w:highlight w:val="none"/>
          <w:lang w:val="zh-CN"/>
        </w:rPr>
        <w:instrText xml:space="preserve"> HYPERLINK \l _Toc10158 </w:instrText>
      </w:r>
      <w:r>
        <w:rPr>
          <w:rFonts w:hint="eastAsia" w:ascii="宋体" w:hAnsi="宋体" w:eastAsia="宋体" w:cs="宋体"/>
          <w:bCs/>
          <w:sz w:val="28"/>
          <w:szCs w:val="44"/>
          <w:highlight w:val="none"/>
          <w:lang w:val="zh-CN"/>
        </w:rPr>
        <w:fldChar w:fldCharType="separate"/>
      </w:r>
      <w:r>
        <w:rPr>
          <w:rFonts w:hint="eastAsia" w:ascii="宋体" w:hAnsi="宋体" w:eastAsia="宋体" w:cs="宋体"/>
          <w:sz w:val="28"/>
          <w:szCs w:val="36"/>
          <w:highlight w:val="none"/>
        </w:rPr>
        <w:t>第七章  图纸</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_Toc10158 \h </w:instrText>
      </w:r>
      <w:r>
        <w:rPr>
          <w:rFonts w:hint="eastAsia" w:ascii="宋体" w:hAnsi="宋体" w:eastAsia="宋体" w:cs="宋体"/>
          <w:sz w:val="28"/>
          <w:szCs w:val="36"/>
        </w:rPr>
        <w:fldChar w:fldCharType="separate"/>
      </w:r>
      <w:r>
        <w:rPr>
          <w:rFonts w:hint="eastAsia" w:ascii="宋体" w:hAnsi="宋体" w:eastAsia="宋体" w:cs="宋体"/>
          <w:sz w:val="28"/>
          <w:szCs w:val="36"/>
        </w:rPr>
        <w:t>79</w:t>
      </w:r>
      <w:r>
        <w:rPr>
          <w:rFonts w:hint="eastAsia" w:ascii="宋体" w:hAnsi="宋体" w:eastAsia="宋体" w:cs="宋体"/>
          <w:sz w:val="28"/>
          <w:szCs w:val="36"/>
        </w:rPr>
        <w:fldChar w:fldCharType="end"/>
      </w:r>
      <w:r>
        <w:rPr>
          <w:rFonts w:hint="eastAsia" w:ascii="宋体" w:hAnsi="宋体" w:eastAsia="宋体" w:cs="宋体"/>
          <w:bCs/>
          <w:color w:val="auto"/>
          <w:sz w:val="28"/>
          <w:szCs w:val="44"/>
          <w:highlight w:val="none"/>
          <w:lang w:val="zh-CN"/>
        </w:rPr>
        <w:fldChar w:fldCharType="end"/>
      </w:r>
    </w:p>
    <w:p w14:paraId="2F5DB60D">
      <w:pPr>
        <w:tabs>
          <w:tab w:val="right" w:leader="dot" w:pos="10192"/>
        </w:tabs>
        <w:wordWrap w:val="0"/>
        <w:spacing w:line="600" w:lineRule="auto"/>
        <w:ind w:firstLine="560" w:firstLineChars="200"/>
        <w:rPr>
          <w:rFonts w:hint="eastAsia" w:ascii="宋体" w:hAnsi="宋体" w:eastAsia="宋体" w:cs="宋体"/>
          <w:color w:val="auto"/>
          <w:sz w:val="40"/>
          <w:szCs w:val="40"/>
          <w:highlight w:val="none"/>
        </w:rPr>
      </w:pPr>
      <w:r>
        <w:rPr>
          <w:rFonts w:hint="eastAsia" w:ascii="宋体" w:hAnsi="宋体" w:eastAsia="宋体" w:cs="宋体"/>
          <w:bCs/>
          <w:color w:val="auto"/>
          <w:sz w:val="28"/>
          <w:szCs w:val="44"/>
          <w:highlight w:val="none"/>
          <w:lang w:val="zh-CN"/>
        </w:rPr>
        <w:fldChar w:fldCharType="end"/>
      </w:r>
    </w:p>
    <w:p w14:paraId="67010DA6">
      <w:pPr>
        <w:pStyle w:val="9"/>
        <w:tabs>
          <w:tab w:val="left" w:pos="8860"/>
          <w:tab w:val="left" w:pos="9140"/>
        </w:tabs>
        <w:wordWrap w:val="0"/>
        <w:ind w:left="420" w:leftChars="200" w:firstLine="512" w:firstLineChars="160"/>
        <w:rPr>
          <w:rFonts w:hint="eastAsia" w:ascii="宋体" w:hAnsi="宋体" w:eastAsia="宋体" w:cs="宋体"/>
          <w:color w:val="auto"/>
          <w:sz w:val="32"/>
          <w:highlight w:val="none"/>
        </w:rPr>
      </w:pPr>
    </w:p>
    <w:p w14:paraId="1641EF58">
      <w:pPr>
        <w:pStyle w:val="3"/>
        <w:wordWrap w:val="0"/>
        <w:spacing w:line="0" w:lineRule="atLeast"/>
        <w:ind w:left="420" w:leftChars="200" w:firstLine="512" w:firstLineChars="160"/>
        <w:jc w:val="center"/>
        <w:rPr>
          <w:rFonts w:hint="eastAsia" w:ascii="宋体" w:hAnsi="宋体" w:eastAsia="宋体" w:cs="宋体"/>
          <w:color w:val="auto"/>
          <w:highlight w:val="none"/>
        </w:rPr>
        <w:sectPr>
          <w:footerReference r:id="rId6" w:type="first"/>
          <w:footerReference r:id="rId5" w:type="default"/>
          <w:pgSz w:w="11906" w:h="16838"/>
          <w:pgMar w:top="1440" w:right="1080" w:bottom="1440" w:left="1080" w:header="851" w:footer="992" w:gutter="0"/>
          <w:pgNumType w:fmt="decimal" w:start="1"/>
          <w:cols w:space="720" w:num="1"/>
          <w:titlePg/>
          <w:docGrid w:type="linesAndChars" w:linePitch="312" w:charSpace="0"/>
        </w:sectPr>
      </w:pPr>
    </w:p>
    <w:p w14:paraId="70E37247">
      <w:pPr>
        <w:pStyle w:val="2"/>
        <w:wordWrap w:val="0"/>
        <w:spacing w:before="0" w:after="0" w:line="360" w:lineRule="auto"/>
        <w:ind w:left="420" w:leftChars="200" w:firstLine="514" w:firstLineChars="160"/>
        <w:jc w:val="center"/>
        <w:rPr>
          <w:rFonts w:hint="eastAsia" w:ascii="宋体" w:hAnsi="宋体" w:eastAsia="宋体" w:cs="宋体"/>
          <w:color w:val="auto"/>
          <w:sz w:val="32"/>
          <w:szCs w:val="32"/>
          <w:highlight w:val="none"/>
        </w:rPr>
      </w:pPr>
      <w:bookmarkStart w:id="0" w:name="_Toc9150"/>
      <w:bookmarkStart w:id="1" w:name="_Toc9968"/>
      <w:r>
        <w:rPr>
          <w:rFonts w:hint="eastAsia" w:ascii="宋体" w:hAnsi="宋体" w:eastAsia="宋体" w:cs="宋体"/>
          <w:color w:val="auto"/>
          <w:sz w:val="32"/>
          <w:szCs w:val="32"/>
          <w:highlight w:val="none"/>
        </w:rPr>
        <w:t>第一章 竞争性磋商</w:t>
      </w:r>
      <w:bookmarkEnd w:id="0"/>
      <w:r>
        <w:rPr>
          <w:rFonts w:hint="eastAsia" w:ascii="宋体" w:hAnsi="宋体" w:eastAsia="宋体" w:cs="宋体"/>
          <w:color w:val="auto"/>
          <w:sz w:val="32"/>
          <w:szCs w:val="32"/>
          <w:highlight w:val="none"/>
        </w:rPr>
        <w:t>公告</w:t>
      </w:r>
      <w:bookmarkEnd w:id="1"/>
    </w:p>
    <w:p w14:paraId="090DDEA8">
      <w:pPr>
        <w:wordWrap w:val="0"/>
        <w:ind w:left="420" w:leftChars="200" w:firstLine="336" w:firstLineChars="160"/>
        <w:rPr>
          <w:rFonts w:hint="eastAsia" w:ascii="宋体" w:hAnsi="宋体" w:eastAsia="宋体" w:cs="宋体"/>
          <w:color w:val="auto"/>
          <w:highlight w:val="none"/>
        </w:rPr>
      </w:pPr>
      <w:bookmarkStart w:id="2" w:name="OLE_LINK3"/>
      <w:bookmarkStart w:id="3" w:name="OLE_LINK9"/>
    </w:p>
    <w:p w14:paraId="21DAF84B">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项目概况</w:t>
      </w:r>
    </w:p>
    <w:p w14:paraId="3A09D0B7">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lang w:eastAsia="zh-CN"/>
        </w:rPr>
        <w:t>广西桂林雁山园--“雁山别墅”园门保护修缮及环境整治项目</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采购项目的潜在供应商应登录</w:t>
      </w:r>
      <w:r>
        <w:rPr>
          <w:rFonts w:hint="eastAsia" w:ascii="宋体" w:hAnsi="宋体" w:eastAsia="宋体" w:cs="宋体"/>
          <w:bCs/>
          <w:color w:val="auto"/>
          <w:szCs w:val="21"/>
          <w:highlight w:val="none"/>
          <w:u w:val="single"/>
        </w:rPr>
        <w:t>“广西政府采购云平台”（</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HYPERLINK "http://www.zcygov.cn）获取采购文件，并于2022年2月"</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1"/>
          <w:highlight w:val="none"/>
          <w:u w:val="single"/>
        </w:rPr>
        <w:t xml:space="preserve"> https://login.gcy.zfcg.gxzf.gov.cn/user-login/#/）</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获取采购文件，并于</w:t>
      </w:r>
      <w:r>
        <w:rPr>
          <w:rFonts w:hint="eastAsia" w:ascii="宋体" w:hAnsi="宋体" w:cs="宋体"/>
          <w:color w:val="auto"/>
          <w:szCs w:val="21"/>
          <w:highlight w:val="none"/>
          <w:lang w:eastAsia="zh-CN"/>
        </w:rPr>
        <w:t>2025年12月22日</w:t>
      </w:r>
      <w:r>
        <w:rPr>
          <w:rFonts w:hint="eastAsia" w:ascii="宋体" w:hAnsi="宋体" w:eastAsia="宋体" w:cs="宋体"/>
          <w:color w:val="auto"/>
          <w:szCs w:val="21"/>
          <w:highlight w:val="none"/>
        </w:rPr>
        <w:t>09点30分（北京时间）前提交响应文件。</w:t>
      </w:r>
    </w:p>
    <w:p w14:paraId="3275A89C">
      <w:pPr>
        <w:wordWrap w:val="0"/>
        <w:ind w:left="420" w:leftChars="200" w:firstLine="336" w:firstLineChars="160"/>
        <w:rPr>
          <w:rFonts w:hint="eastAsia" w:ascii="宋体" w:hAnsi="宋体" w:eastAsia="宋体" w:cs="宋体"/>
          <w:color w:val="auto"/>
          <w:highlight w:val="none"/>
        </w:rPr>
      </w:pPr>
    </w:p>
    <w:p w14:paraId="5FEB3461">
      <w:pPr>
        <w:keepNext w:val="0"/>
        <w:keepLines w:val="0"/>
        <w:pageBreakBefore w:val="0"/>
        <w:widowControl w:val="0"/>
        <w:kinsoku/>
        <w:wordWrap w:val="0"/>
        <w:overflowPunct/>
        <w:topLinePunct w:val="0"/>
        <w:autoSpaceDE/>
        <w:autoSpaceDN/>
        <w:bidi w:val="0"/>
        <w:adjustRightInd/>
        <w:snapToGrid/>
        <w:spacing w:line="360" w:lineRule="exact"/>
        <w:ind w:left="0" w:leftChars="0" w:firstLine="422" w:firstLineChars="200"/>
        <w:textAlignment w:val="auto"/>
        <w:rPr>
          <w:rFonts w:hint="eastAsia" w:ascii="宋体" w:hAnsi="宋体" w:eastAsia="宋体" w:cs="宋体"/>
          <w:b/>
          <w:bCs/>
          <w:color w:val="auto"/>
          <w:highlight w:val="none"/>
        </w:rPr>
      </w:pPr>
      <w:bookmarkStart w:id="4" w:name="_Toc28359012"/>
      <w:bookmarkStart w:id="5" w:name="_Toc28359089"/>
      <w:bookmarkStart w:id="6" w:name="_Toc35393798"/>
      <w:bookmarkStart w:id="7" w:name="_Toc35393629"/>
      <w:r>
        <w:rPr>
          <w:rFonts w:hint="eastAsia" w:ascii="宋体" w:hAnsi="宋体" w:eastAsia="宋体" w:cs="宋体"/>
          <w:b/>
          <w:bCs/>
          <w:color w:val="auto"/>
          <w:highlight w:val="none"/>
        </w:rPr>
        <w:t>一、项目基本情况</w:t>
      </w:r>
      <w:bookmarkEnd w:id="4"/>
      <w:bookmarkEnd w:id="5"/>
      <w:bookmarkEnd w:id="6"/>
      <w:bookmarkEnd w:id="7"/>
    </w:p>
    <w:p w14:paraId="3C528792">
      <w:pPr>
        <w:keepNext w:val="0"/>
        <w:keepLines w:val="0"/>
        <w:pageBreakBefore w:val="0"/>
        <w:widowControl w:val="0"/>
        <w:kinsoku/>
        <w:wordWrap w:val="0"/>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Cs w:val="21"/>
          <w:highlight w:val="none"/>
          <w:lang w:eastAsia="zh-CN"/>
        </w:rPr>
      </w:pPr>
      <w:bookmarkStart w:id="8" w:name="_Toc28359013"/>
      <w:bookmarkStart w:id="9" w:name="_Toc35393630"/>
      <w:bookmarkStart w:id="10" w:name="_Toc28359090"/>
      <w:bookmarkStart w:id="11" w:name="_Toc35393799"/>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lang w:eastAsia="zh-CN"/>
        </w:rPr>
        <w:t>GLZC2025-C2-990662-GXHC</w:t>
      </w:r>
    </w:p>
    <w:p w14:paraId="543E4360">
      <w:pPr>
        <w:keepNext w:val="0"/>
        <w:keepLines w:val="0"/>
        <w:pageBreakBefore w:val="0"/>
        <w:widowControl w:val="0"/>
        <w:kinsoku/>
        <w:wordWrap w:val="0"/>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lang w:eastAsia="zh-CN"/>
        </w:rPr>
        <w:t>广西桂林雁山园--“雁山别墅”园门保护修缮及环境整治项目</w:t>
      </w:r>
      <w:r>
        <w:rPr>
          <w:rFonts w:hint="eastAsia" w:ascii="宋体" w:hAnsi="宋体" w:eastAsia="宋体" w:cs="宋体"/>
          <w:color w:val="auto"/>
          <w:szCs w:val="21"/>
          <w:highlight w:val="none"/>
        </w:rPr>
        <w:t xml:space="preserve"> </w:t>
      </w:r>
    </w:p>
    <w:p w14:paraId="57F9ECAC">
      <w:pPr>
        <w:keepNext w:val="0"/>
        <w:keepLines w:val="0"/>
        <w:pageBreakBefore w:val="0"/>
        <w:widowControl w:val="0"/>
        <w:kinsoku/>
        <w:wordWrap w:val="0"/>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采购方式：竞争性磋商</w:t>
      </w:r>
    </w:p>
    <w:p w14:paraId="6887D664">
      <w:pPr>
        <w:keepNext w:val="0"/>
        <w:keepLines w:val="0"/>
        <w:pageBreakBefore w:val="0"/>
        <w:widowControl w:val="0"/>
        <w:kinsoku/>
        <w:wordWrap w:val="0"/>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采购需求：</w:t>
      </w:r>
    </w:p>
    <w:p w14:paraId="17175415">
      <w:pPr>
        <w:keepNext w:val="0"/>
        <w:keepLines w:val="0"/>
        <w:pageBreakBefore w:val="0"/>
        <w:widowControl w:val="0"/>
        <w:kinsoku/>
        <w:wordWrap w:val="0"/>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标项名称:</w:t>
      </w:r>
      <w:r>
        <w:rPr>
          <w:rFonts w:hint="eastAsia" w:ascii="宋体" w:hAnsi="宋体" w:eastAsia="宋体" w:cs="宋体"/>
          <w:color w:val="auto"/>
          <w:szCs w:val="21"/>
          <w:highlight w:val="none"/>
          <w:lang w:eastAsia="zh-CN"/>
        </w:rPr>
        <w:t>广西桂林雁山园--“雁山别墅”园门保护修缮及环境整治项目</w:t>
      </w:r>
    </w:p>
    <w:p w14:paraId="7A8D6737">
      <w:pPr>
        <w:keepNext w:val="0"/>
        <w:keepLines w:val="0"/>
        <w:pageBreakBefore w:val="0"/>
        <w:widowControl w:val="0"/>
        <w:kinsoku/>
        <w:wordWrap w:val="0"/>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数量:1</w:t>
      </w:r>
    </w:p>
    <w:p w14:paraId="390F6A46">
      <w:pPr>
        <w:keepNext w:val="0"/>
        <w:keepLines w:val="0"/>
        <w:pageBreakBefore w:val="0"/>
        <w:widowControl w:val="0"/>
        <w:kinsoku/>
        <w:wordWrap w:val="0"/>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预算金额（元）:</w:t>
      </w:r>
      <w:r>
        <w:rPr>
          <w:rFonts w:hint="eastAsia" w:ascii="宋体" w:hAnsi="宋体" w:eastAsia="宋体" w:cs="宋体"/>
          <w:color w:val="auto"/>
          <w:szCs w:val="21"/>
          <w:highlight w:val="none"/>
          <w:lang w:val="en-US" w:eastAsia="zh-CN"/>
        </w:rPr>
        <w:t>1000000.00</w:t>
      </w:r>
    </w:p>
    <w:p w14:paraId="5CE512A2">
      <w:pPr>
        <w:keepNext w:val="0"/>
        <w:keepLines w:val="0"/>
        <w:pageBreakBefore w:val="0"/>
        <w:widowControl w:val="0"/>
        <w:kinsoku/>
        <w:wordWrap w:val="0"/>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简要规格描述或项目基本概况介绍、用途：完成广西桂林雁山园--“雁山别墅”园门保护修缮及环境整治项目工作，达到采购人的使用要求，如需进一步了解详细内容，</w:t>
      </w:r>
      <w:r>
        <w:rPr>
          <w:rFonts w:hint="eastAsia" w:ascii="宋体" w:hAnsi="宋体" w:eastAsia="宋体" w:cs="宋体"/>
          <w:szCs w:val="21"/>
          <w:u w:val="single"/>
          <w:lang w:eastAsia="zh-CN"/>
        </w:rPr>
        <w:t>详见工程量清单及施工图纸</w:t>
      </w:r>
      <w:r>
        <w:rPr>
          <w:rFonts w:hint="eastAsia" w:ascii="宋体" w:hAnsi="宋体" w:eastAsia="宋体" w:cs="宋体"/>
          <w:szCs w:val="21"/>
          <w:lang w:eastAsia="zh-CN"/>
        </w:rPr>
        <w:t>；</w:t>
      </w:r>
      <w:r>
        <w:rPr>
          <w:rFonts w:hint="eastAsia" w:ascii="宋体" w:hAnsi="宋体" w:eastAsia="宋体" w:cs="宋体"/>
          <w:color w:val="auto"/>
          <w:szCs w:val="21"/>
          <w:highlight w:val="none"/>
        </w:rPr>
        <w:t>质量</w:t>
      </w:r>
      <w:r>
        <w:rPr>
          <w:rFonts w:hint="eastAsia" w:ascii="宋体" w:hAnsi="宋体" w:eastAsia="宋体" w:cs="宋体"/>
          <w:color w:val="auto"/>
          <w:szCs w:val="21"/>
          <w:highlight w:val="none"/>
          <w:lang w:val="en-US" w:eastAsia="zh-CN"/>
        </w:rPr>
        <w:t>等级</w:t>
      </w:r>
      <w:r>
        <w:rPr>
          <w:rFonts w:hint="eastAsia" w:ascii="宋体" w:hAnsi="宋体" w:eastAsia="宋体" w:cs="宋体"/>
          <w:color w:val="auto"/>
          <w:szCs w:val="21"/>
          <w:highlight w:val="none"/>
        </w:rPr>
        <w:t>要求：</w:t>
      </w:r>
      <w:r>
        <w:rPr>
          <w:rFonts w:hint="eastAsia" w:ascii="宋体" w:hAnsi="宋体" w:eastAsia="宋体" w:cs="宋体"/>
          <w:color w:val="auto"/>
          <w:szCs w:val="21"/>
          <w:highlight w:val="none"/>
          <w:u w:val="single"/>
        </w:rPr>
        <w:t>达到国家施工验收规范合格标准；</w:t>
      </w:r>
      <w:r>
        <w:rPr>
          <w:rFonts w:hint="eastAsia" w:ascii="宋体" w:hAnsi="宋体" w:eastAsia="宋体" w:cs="宋体"/>
          <w:color w:val="auto"/>
          <w:szCs w:val="21"/>
          <w:highlight w:val="none"/>
        </w:rPr>
        <w:t xml:space="preserve"> </w:t>
      </w:r>
    </w:p>
    <w:p w14:paraId="0628E8FC">
      <w:pPr>
        <w:keepNext w:val="0"/>
        <w:keepLines w:val="0"/>
        <w:pageBreakBefore w:val="0"/>
        <w:widowControl w:val="0"/>
        <w:kinsoku/>
        <w:wordWrap w:val="0"/>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最高限价（如有）：</w:t>
      </w:r>
      <w:r>
        <w:rPr>
          <w:rFonts w:hint="eastAsia" w:ascii="宋体" w:hAnsi="宋体" w:eastAsia="宋体" w:cs="宋体"/>
          <w:color w:val="auto"/>
          <w:szCs w:val="21"/>
          <w:highlight w:val="none"/>
          <w:lang w:eastAsia="zh-CN"/>
        </w:rPr>
        <w:t>618851.43</w:t>
      </w:r>
    </w:p>
    <w:p w14:paraId="69AC60CD">
      <w:pPr>
        <w:keepNext w:val="0"/>
        <w:keepLines w:val="0"/>
        <w:pageBreakBefore w:val="0"/>
        <w:widowControl w:val="0"/>
        <w:kinsoku/>
        <w:wordWrap w:val="0"/>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合同履约期限：</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要求工期</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自合同签订之日起180个日历天内完工。</w:t>
      </w:r>
    </w:p>
    <w:p w14:paraId="4C1C9B40">
      <w:pPr>
        <w:keepNext w:val="0"/>
        <w:keepLines w:val="0"/>
        <w:pageBreakBefore w:val="0"/>
        <w:widowControl w:val="0"/>
        <w:kinsoku/>
        <w:wordWrap w:val="0"/>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本标项</w:t>
      </w:r>
      <w:r>
        <w:rPr>
          <w:rFonts w:hint="eastAsia" w:ascii="宋体" w:hAnsi="宋体" w:eastAsia="宋体" w:cs="宋体"/>
          <w:color w:val="auto"/>
          <w:szCs w:val="21"/>
          <w:highlight w:val="none"/>
          <w:u w:val="single"/>
        </w:rPr>
        <w:t>（否）</w:t>
      </w:r>
      <w:r>
        <w:rPr>
          <w:rFonts w:hint="eastAsia" w:ascii="宋体" w:hAnsi="宋体" w:eastAsia="宋体" w:cs="宋体"/>
          <w:color w:val="auto"/>
          <w:szCs w:val="21"/>
          <w:highlight w:val="none"/>
        </w:rPr>
        <w:t>接受联合体投标</w:t>
      </w:r>
    </w:p>
    <w:p w14:paraId="409E1A26">
      <w:pPr>
        <w:keepNext w:val="0"/>
        <w:keepLines w:val="0"/>
        <w:pageBreakBefore w:val="0"/>
        <w:widowControl w:val="0"/>
        <w:kinsoku/>
        <w:wordWrap w:val="0"/>
        <w:overflowPunct/>
        <w:topLinePunct w:val="0"/>
        <w:autoSpaceDE/>
        <w:autoSpaceDN/>
        <w:bidi w:val="0"/>
        <w:adjustRightInd/>
        <w:snapToGrid/>
        <w:spacing w:line="360" w:lineRule="exact"/>
        <w:ind w:left="0" w:leftChars="0" w:firstLine="42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备注：本项目为线上电子标项目，有意向参与本项目的供应商应当做好参与全流程电子标交易的充分准备。</w:t>
      </w:r>
    </w:p>
    <w:p w14:paraId="5E134D3B">
      <w:pPr>
        <w:keepNext w:val="0"/>
        <w:keepLines w:val="0"/>
        <w:pageBreakBefore w:val="0"/>
        <w:widowControl w:val="0"/>
        <w:kinsoku/>
        <w:wordWrap w:val="0"/>
        <w:overflowPunct/>
        <w:topLinePunct w:val="0"/>
        <w:autoSpaceDE/>
        <w:autoSpaceDN/>
        <w:bidi w:val="0"/>
        <w:adjustRightInd/>
        <w:snapToGrid/>
        <w:spacing w:line="360" w:lineRule="exact"/>
        <w:ind w:left="0" w:leftChars="0" w:firstLine="42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二、申请人的资格要求：</w:t>
      </w:r>
      <w:bookmarkEnd w:id="8"/>
      <w:bookmarkEnd w:id="9"/>
      <w:bookmarkEnd w:id="10"/>
      <w:bookmarkEnd w:id="11"/>
    </w:p>
    <w:bookmarkEnd w:id="2"/>
    <w:bookmarkEnd w:id="3"/>
    <w:p w14:paraId="6CA341F3">
      <w:pPr>
        <w:keepNext w:val="0"/>
        <w:keepLines w:val="0"/>
        <w:pageBreakBefore w:val="0"/>
        <w:widowControl w:val="0"/>
        <w:kinsoku/>
        <w:wordWrap w:val="0"/>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b w:val="0"/>
          <w:bCs w:val="0"/>
          <w:color w:val="auto"/>
          <w:highlight w:val="none"/>
        </w:rPr>
      </w:pPr>
      <w:bookmarkStart w:id="12" w:name="_Toc35393632"/>
      <w:bookmarkStart w:id="13" w:name="_Toc28359092"/>
      <w:bookmarkStart w:id="14" w:name="_Toc28359015"/>
      <w:bookmarkStart w:id="15" w:name="_Toc35393801"/>
      <w:r>
        <w:rPr>
          <w:rFonts w:hint="eastAsia" w:ascii="宋体" w:hAnsi="宋体" w:eastAsia="宋体" w:cs="宋体"/>
          <w:b w:val="0"/>
          <w:bCs w:val="0"/>
          <w:color w:val="auto"/>
          <w:highlight w:val="none"/>
        </w:rPr>
        <w:t>1.满足《中华人民共和国政府采购法》第二十二条规定；</w:t>
      </w:r>
    </w:p>
    <w:p w14:paraId="301CE272">
      <w:pPr>
        <w:keepNext w:val="0"/>
        <w:keepLines w:val="0"/>
        <w:pageBreakBefore w:val="0"/>
        <w:widowControl w:val="0"/>
        <w:kinsoku/>
        <w:wordWrap w:val="0"/>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2.落实政府采购政策需满足的资格要求：本项目属于专门面向中小企业采购的项目，供应商必须为中小微企业（监狱企业、残疾人福利单位视同小微企业）。</w:t>
      </w:r>
    </w:p>
    <w:p w14:paraId="1F4B3301">
      <w:pPr>
        <w:keepNext w:val="0"/>
        <w:keepLines w:val="0"/>
        <w:pageBreakBefore w:val="0"/>
        <w:widowControl w:val="0"/>
        <w:kinsoku/>
        <w:wordWrap w:val="0"/>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3.本项目的特定资格要求：</w:t>
      </w:r>
      <w:r>
        <w:rPr>
          <w:rFonts w:hint="eastAsia" w:ascii="宋体" w:hAnsi="宋体" w:eastAsia="宋体" w:cs="宋体"/>
          <w:b w:val="0"/>
          <w:bCs w:val="0"/>
          <w:color w:val="auto"/>
          <w:highlight w:val="none"/>
          <w:lang w:val="en-US" w:eastAsia="zh-CN"/>
        </w:rPr>
        <w:t>分标1：</w:t>
      </w:r>
      <w:r>
        <w:rPr>
          <w:rFonts w:hint="eastAsia" w:ascii="宋体" w:hAnsi="宋体" w:eastAsia="宋体" w:cs="宋体"/>
          <w:b w:val="0"/>
          <w:bCs w:val="0"/>
          <w:color w:val="auto"/>
          <w:highlight w:val="none"/>
        </w:rPr>
        <w:t>供应商须具备文物行政主管部门颁发的文物保护工程施工</w:t>
      </w:r>
      <w:r>
        <w:rPr>
          <w:rFonts w:hint="eastAsia" w:ascii="宋体" w:hAnsi="宋体" w:eastAsia="宋体" w:cs="宋体"/>
          <w:b w:val="0"/>
          <w:bCs w:val="0"/>
          <w:color w:val="auto"/>
          <w:highlight w:val="none"/>
          <w:lang w:val="en-US" w:eastAsia="zh-CN"/>
        </w:rPr>
        <w:t>二</w:t>
      </w:r>
      <w:r>
        <w:rPr>
          <w:rFonts w:hint="eastAsia" w:ascii="宋体" w:hAnsi="宋体" w:eastAsia="宋体" w:cs="宋体"/>
          <w:b w:val="0"/>
          <w:bCs w:val="0"/>
          <w:color w:val="auto"/>
          <w:highlight w:val="none"/>
        </w:rPr>
        <w:t>级资质，以及具有有效的安全生产许可证。项目负责人须具备文物保护工程责任工程师资格证书（从业范围含：近现代重要史迹及代表性建筑）。</w:t>
      </w:r>
    </w:p>
    <w:p w14:paraId="0863785B">
      <w:pPr>
        <w:keepNext w:val="0"/>
        <w:keepLines w:val="0"/>
        <w:pageBreakBefore w:val="0"/>
        <w:widowControl w:val="0"/>
        <w:kinsoku/>
        <w:wordWrap w:val="0"/>
        <w:overflowPunct/>
        <w:topLinePunct w:val="0"/>
        <w:autoSpaceDE/>
        <w:autoSpaceDN/>
        <w:bidi w:val="0"/>
        <w:adjustRightInd/>
        <w:snapToGrid/>
        <w:spacing w:line="360" w:lineRule="exact"/>
        <w:ind w:left="0" w:leftChars="0" w:firstLine="42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三、获取采购文件</w:t>
      </w:r>
    </w:p>
    <w:p w14:paraId="30DC24A7">
      <w:pPr>
        <w:keepNext w:val="0"/>
        <w:keepLines w:val="0"/>
        <w:pageBreakBefore w:val="0"/>
        <w:widowControl w:val="0"/>
        <w:kinsoku/>
        <w:wordWrap w:val="0"/>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时间：/至</w:t>
      </w:r>
      <w:r>
        <w:rPr>
          <w:rFonts w:hint="eastAsia" w:ascii="宋体" w:hAnsi="宋体" w:cs="宋体"/>
          <w:color w:val="auto"/>
          <w:szCs w:val="21"/>
          <w:highlight w:val="none"/>
          <w:lang w:eastAsia="zh-CN"/>
        </w:rPr>
        <w:t>2025年12月22日</w:t>
      </w:r>
      <w:r>
        <w:rPr>
          <w:rFonts w:hint="eastAsia" w:ascii="宋体" w:hAnsi="宋体" w:eastAsia="宋体" w:cs="宋体"/>
          <w:color w:val="auto"/>
          <w:szCs w:val="21"/>
          <w:highlight w:val="none"/>
        </w:rPr>
        <w:t>，每天上午00:00至12:00，下午12:00至23:59（北京时间，法定节假日除外）</w:t>
      </w:r>
    </w:p>
    <w:p w14:paraId="74A42561">
      <w:pPr>
        <w:keepNext w:val="0"/>
        <w:keepLines w:val="0"/>
        <w:pageBreakBefore w:val="0"/>
        <w:widowControl w:val="0"/>
        <w:kinsoku/>
        <w:wordWrap w:val="0"/>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w:t>
      </w:r>
      <w:bookmarkStart w:id="16" w:name="_Hlk95554325"/>
      <w:r>
        <w:rPr>
          <w:rFonts w:hint="eastAsia" w:ascii="宋体" w:hAnsi="宋体" w:eastAsia="宋体" w:cs="宋体"/>
          <w:bCs/>
          <w:color w:val="auto"/>
          <w:szCs w:val="21"/>
          <w:highlight w:val="none"/>
        </w:rPr>
        <w:t>“广西政府采购云平台”（ https://login.gcy.zfcg.gxzf.gov.cn/user-login/#/）</w:t>
      </w:r>
      <w:bookmarkEnd w:id="16"/>
    </w:p>
    <w:p w14:paraId="4FF3770F">
      <w:pPr>
        <w:keepNext w:val="0"/>
        <w:keepLines w:val="0"/>
        <w:pageBreakBefore w:val="0"/>
        <w:widowControl w:val="0"/>
        <w:kinsoku/>
        <w:wordWrap w:val="0"/>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方式：供应商登录</w:t>
      </w:r>
      <w:r>
        <w:rPr>
          <w:rFonts w:hint="eastAsia" w:ascii="宋体" w:hAnsi="宋体" w:eastAsia="宋体" w:cs="宋体"/>
          <w:bCs/>
          <w:color w:val="auto"/>
          <w:szCs w:val="21"/>
          <w:highlight w:val="none"/>
        </w:rPr>
        <w:t>“广西政府采购云平台”（ https://login.gcy.zfcg.gxzf.gov.cn/user-login/#/）</w:t>
      </w:r>
      <w:r>
        <w:rPr>
          <w:rFonts w:hint="eastAsia" w:ascii="宋体" w:hAnsi="宋体" w:eastAsia="宋体" w:cs="宋体"/>
          <w:color w:val="auto"/>
          <w:szCs w:val="21"/>
          <w:highlight w:val="none"/>
        </w:rPr>
        <w:t>在线申请获取采购文件（进入“项目采购”应用，在获取采购文件菜单中选择项目，申请获取采购文件）。 </w:t>
      </w:r>
    </w:p>
    <w:p w14:paraId="64653A20">
      <w:pPr>
        <w:keepNext w:val="0"/>
        <w:keepLines w:val="0"/>
        <w:pageBreakBefore w:val="0"/>
        <w:widowControl w:val="0"/>
        <w:kinsoku/>
        <w:wordWrap w:val="0"/>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售价（元）：0 </w:t>
      </w:r>
    </w:p>
    <w:bookmarkEnd w:id="12"/>
    <w:bookmarkEnd w:id="13"/>
    <w:bookmarkEnd w:id="14"/>
    <w:bookmarkEnd w:id="15"/>
    <w:p w14:paraId="36B88F4E">
      <w:pPr>
        <w:keepNext w:val="0"/>
        <w:keepLines w:val="0"/>
        <w:pageBreakBefore w:val="0"/>
        <w:widowControl w:val="0"/>
        <w:kinsoku/>
        <w:wordWrap w:val="0"/>
        <w:overflowPunct/>
        <w:topLinePunct w:val="0"/>
        <w:autoSpaceDE/>
        <w:autoSpaceDN/>
        <w:bidi w:val="0"/>
        <w:adjustRightInd/>
        <w:snapToGrid/>
        <w:spacing w:line="360" w:lineRule="exact"/>
        <w:ind w:left="0" w:leftChars="0"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四、响应文件提交</w:t>
      </w:r>
    </w:p>
    <w:p w14:paraId="01DF8634">
      <w:pPr>
        <w:keepNext w:val="0"/>
        <w:keepLines w:val="0"/>
        <w:pageBreakBefore w:val="0"/>
        <w:widowControl w:val="0"/>
        <w:kinsoku/>
        <w:wordWrap w:val="0"/>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Cs w:val="21"/>
          <w:highlight w:val="none"/>
        </w:rPr>
      </w:pPr>
      <w:bookmarkStart w:id="17" w:name="_Toc35393625"/>
      <w:bookmarkStart w:id="18" w:name="_Toc28359007"/>
      <w:bookmarkStart w:id="19" w:name="_Toc35393794"/>
      <w:bookmarkStart w:id="20" w:name="_Toc28359084"/>
      <w:r>
        <w:rPr>
          <w:rFonts w:hint="eastAsia" w:ascii="宋体" w:hAnsi="宋体" w:eastAsia="宋体" w:cs="宋体"/>
          <w:color w:val="auto"/>
          <w:szCs w:val="21"/>
          <w:highlight w:val="none"/>
        </w:rPr>
        <w:t>截止时间：</w:t>
      </w:r>
      <w:r>
        <w:rPr>
          <w:rFonts w:hint="eastAsia" w:ascii="宋体" w:hAnsi="宋体" w:cs="宋体"/>
          <w:color w:val="auto"/>
          <w:szCs w:val="21"/>
          <w:highlight w:val="none"/>
          <w:lang w:eastAsia="zh-CN"/>
        </w:rPr>
        <w:t>2025年12月22日</w:t>
      </w:r>
      <w:r>
        <w:rPr>
          <w:rFonts w:hint="eastAsia" w:ascii="宋体" w:hAnsi="宋体" w:eastAsia="宋体" w:cs="宋体"/>
          <w:color w:val="auto"/>
          <w:szCs w:val="21"/>
          <w:highlight w:val="none"/>
        </w:rPr>
        <w:t>09:30（北京时间）</w:t>
      </w:r>
    </w:p>
    <w:p w14:paraId="13C687FE">
      <w:pPr>
        <w:keepNext w:val="0"/>
        <w:keepLines w:val="0"/>
        <w:pageBreakBefore w:val="0"/>
        <w:widowControl w:val="0"/>
        <w:kinsoku/>
        <w:wordWrap w:val="0"/>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w:t>
      </w:r>
      <w:r>
        <w:rPr>
          <w:rFonts w:hint="eastAsia" w:ascii="宋体" w:hAnsi="宋体" w:eastAsia="宋体" w:cs="宋体"/>
          <w:color w:val="auto"/>
          <w:spacing w:val="9"/>
          <w:highlight w:val="none"/>
          <w:lang w:eastAsia="zh-CN"/>
        </w:rPr>
        <w:t>登录广西政府采购云平台客户端在线提交。本项目不要求供应商到达开标现场，但供应商应派法定代表人或委托代理人准时在线出席电子开评标会议，随时关注开评标进度，如在开评标过程中有电子询标，应在规定的时间内对电子询标函进行澄清回复。</w:t>
      </w:r>
    </w:p>
    <w:p w14:paraId="2D52C385">
      <w:pPr>
        <w:keepNext w:val="0"/>
        <w:keepLines w:val="0"/>
        <w:pageBreakBefore w:val="0"/>
        <w:widowControl w:val="0"/>
        <w:kinsoku/>
        <w:wordWrap w:val="0"/>
        <w:overflowPunct/>
        <w:topLinePunct w:val="0"/>
        <w:autoSpaceDE/>
        <w:autoSpaceDN/>
        <w:bidi w:val="0"/>
        <w:adjustRightInd/>
        <w:snapToGrid/>
        <w:spacing w:line="360" w:lineRule="exact"/>
        <w:ind w:left="0" w:leftChars="0"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五、响应文件开启</w:t>
      </w:r>
    </w:p>
    <w:p w14:paraId="0D27A3A6">
      <w:pPr>
        <w:keepNext w:val="0"/>
        <w:keepLines w:val="0"/>
        <w:pageBreakBefore w:val="0"/>
        <w:widowControl w:val="0"/>
        <w:kinsoku/>
        <w:wordWrap w:val="0"/>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开启时间：</w:t>
      </w:r>
      <w:r>
        <w:rPr>
          <w:rFonts w:hint="eastAsia" w:ascii="宋体" w:hAnsi="宋体" w:cs="宋体"/>
          <w:color w:val="auto"/>
          <w:szCs w:val="21"/>
          <w:highlight w:val="none"/>
          <w:lang w:eastAsia="zh-CN"/>
        </w:rPr>
        <w:t>2025年12月22日</w:t>
      </w:r>
      <w:r>
        <w:rPr>
          <w:rFonts w:hint="eastAsia" w:ascii="宋体" w:hAnsi="宋体" w:eastAsia="宋体" w:cs="宋体"/>
          <w:color w:val="auto"/>
          <w:szCs w:val="21"/>
          <w:highlight w:val="none"/>
        </w:rPr>
        <w:t xml:space="preserve"> 09:30 （北京时间）</w:t>
      </w:r>
    </w:p>
    <w:p w14:paraId="49C3EDA0">
      <w:pPr>
        <w:keepNext w:val="0"/>
        <w:keepLines w:val="0"/>
        <w:pageBreakBefore w:val="0"/>
        <w:widowControl w:val="0"/>
        <w:kinsoku/>
        <w:wordWrap w:val="0"/>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地点：通过“广西政府采购云”平台在线解密开启</w:t>
      </w:r>
    </w:p>
    <w:p w14:paraId="1641573B">
      <w:pPr>
        <w:keepNext w:val="0"/>
        <w:keepLines w:val="0"/>
        <w:pageBreakBefore w:val="0"/>
        <w:widowControl w:val="0"/>
        <w:kinsoku/>
        <w:wordWrap w:val="0"/>
        <w:overflowPunct/>
        <w:topLinePunct w:val="0"/>
        <w:autoSpaceDE/>
        <w:autoSpaceDN/>
        <w:bidi w:val="0"/>
        <w:adjustRightInd/>
        <w:snapToGrid/>
        <w:spacing w:line="360" w:lineRule="exact"/>
        <w:ind w:left="0" w:leftChars="0"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六、公告期限</w:t>
      </w:r>
      <w:bookmarkEnd w:id="17"/>
      <w:bookmarkEnd w:id="18"/>
      <w:bookmarkEnd w:id="19"/>
      <w:bookmarkEnd w:id="20"/>
    </w:p>
    <w:p w14:paraId="4486BB7E">
      <w:pPr>
        <w:keepNext w:val="0"/>
        <w:keepLines w:val="0"/>
        <w:pageBreakBefore w:val="0"/>
        <w:widowControl w:val="0"/>
        <w:kinsoku/>
        <w:wordWrap w:val="0"/>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自本公告发布之日起</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个工作日。</w:t>
      </w:r>
    </w:p>
    <w:p w14:paraId="745B96F9">
      <w:pPr>
        <w:keepNext w:val="0"/>
        <w:keepLines w:val="0"/>
        <w:pageBreakBefore w:val="0"/>
        <w:widowControl w:val="0"/>
        <w:kinsoku/>
        <w:wordWrap w:val="0"/>
        <w:overflowPunct/>
        <w:topLinePunct w:val="0"/>
        <w:autoSpaceDE/>
        <w:autoSpaceDN/>
        <w:bidi w:val="0"/>
        <w:adjustRightInd/>
        <w:snapToGrid/>
        <w:spacing w:line="360" w:lineRule="exact"/>
        <w:ind w:left="0" w:leftChars="0" w:firstLine="422" w:firstLineChars="200"/>
        <w:textAlignment w:val="auto"/>
        <w:rPr>
          <w:rFonts w:hint="eastAsia" w:ascii="宋体" w:hAnsi="宋体" w:eastAsia="宋体" w:cs="宋体"/>
          <w:b/>
          <w:bCs/>
          <w:color w:val="auto"/>
          <w:szCs w:val="21"/>
          <w:highlight w:val="none"/>
        </w:rPr>
      </w:pPr>
      <w:bookmarkStart w:id="21" w:name="_Toc35393795"/>
      <w:bookmarkStart w:id="22" w:name="_Toc35393626"/>
      <w:r>
        <w:rPr>
          <w:rFonts w:hint="eastAsia" w:ascii="宋体" w:hAnsi="宋体" w:eastAsia="宋体" w:cs="宋体"/>
          <w:b/>
          <w:bCs/>
          <w:color w:val="auto"/>
          <w:szCs w:val="21"/>
          <w:highlight w:val="none"/>
        </w:rPr>
        <w:t>七、其他补充事宜</w:t>
      </w:r>
      <w:bookmarkEnd w:id="21"/>
      <w:bookmarkEnd w:id="22"/>
    </w:p>
    <w:p w14:paraId="6180726B">
      <w:pPr>
        <w:keepNext w:val="0"/>
        <w:keepLines w:val="0"/>
        <w:pageBreakBefore w:val="0"/>
        <w:widowControl w:val="0"/>
        <w:kinsoku/>
        <w:wordWrap w:val="0"/>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信息公告发布媒体：中国政府采购网（www.ccgp.gov.cn）、广西壮族自治区政府采购网（zfcg.gxzf.gov.cn）、桂林市政府采购网（zfcg.czj.guilin.gov.cn）。</w:t>
      </w:r>
    </w:p>
    <w:p w14:paraId="3ED49B8A">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本项目需要落实的政府采购政策：</w:t>
      </w:r>
    </w:p>
    <w:p w14:paraId="23A74204">
      <w:pPr>
        <w:keepNext w:val="0"/>
        <w:keepLines w:val="0"/>
        <w:pageBreakBefore w:val="0"/>
        <w:widowControl w:val="0"/>
        <w:kinsoku/>
        <w:wordWrap w:val="0"/>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（1）《政府采购促进中小企业发展管理办法》（财库〔2020〕46号）、《关于进一步加大政府采购支持中小企业力度的通知》（财库〔2022〕19号）；</w:t>
      </w:r>
    </w:p>
    <w:p w14:paraId="4AB825C6">
      <w:pPr>
        <w:keepNext w:val="0"/>
        <w:keepLines w:val="0"/>
        <w:pageBreakBefore w:val="0"/>
        <w:widowControl w:val="0"/>
        <w:kinsoku/>
        <w:wordWrap w:val="0"/>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（2）《关于促进残疾人就业政府采购政策的通知》（财库〔2017〕141号）；</w:t>
      </w:r>
    </w:p>
    <w:p w14:paraId="0C0D9D8B">
      <w:pPr>
        <w:keepNext w:val="0"/>
        <w:keepLines w:val="0"/>
        <w:pageBreakBefore w:val="0"/>
        <w:widowControl w:val="0"/>
        <w:kinsoku/>
        <w:wordWrap w:val="0"/>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（3）《关于政府采购支持监狱企业发展有关问题的通知》（财库〔2014〕68号）；</w:t>
      </w:r>
    </w:p>
    <w:p w14:paraId="1B723313">
      <w:pPr>
        <w:keepNext w:val="0"/>
        <w:keepLines w:val="0"/>
        <w:pageBreakBefore w:val="0"/>
        <w:widowControl w:val="0"/>
        <w:kinsoku/>
        <w:wordWrap w:val="0"/>
        <w:overflowPunct/>
        <w:topLinePunct w:val="0"/>
        <w:autoSpaceDE/>
        <w:autoSpaceDN/>
        <w:bidi w:val="0"/>
        <w:adjustRightInd/>
        <w:snapToGrid/>
        <w:spacing w:line="360" w:lineRule="exact"/>
        <w:ind w:left="0" w:leftChars="0"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（4）本项目专门面向中小企业采购；</w:t>
      </w:r>
    </w:p>
    <w:p w14:paraId="3D731DC3">
      <w:pPr>
        <w:keepNext w:val="0"/>
        <w:keepLines w:val="0"/>
        <w:pageBreakBefore w:val="0"/>
        <w:widowControl w:val="0"/>
        <w:kinsoku/>
        <w:wordWrap w:val="0"/>
        <w:overflowPunct/>
        <w:topLinePunct w:val="0"/>
        <w:autoSpaceDE/>
        <w:autoSpaceDN/>
        <w:bidi w:val="0"/>
        <w:adjustRightInd/>
        <w:snapToGrid/>
        <w:spacing w:line="360" w:lineRule="exact"/>
        <w:ind w:left="0" w:leftChars="0" w:firstLine="422" w:firstLineChars="200"/>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（5）本项目所属行业：建筑行业。</w:t>
      </w:r>
    </w:p>
    <w:p w14:paraId="199D1B3D">
      <w:pPr>
        <w:keepNext w:val="0"/>
        <w:keepLines w:val="0"/>
        <w:pageBreakBefore w:val="0"/>
        <w:widowControl w:val="0"/>
        <w:kinsoku/>
        <w:wordWrap w:val="0"/>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资格条件特别说明:</w:t>
      </w:r>
    </w:p>
    <w:p w14:paraId="56D48065">
      <w:pPr>
        <w:keepNext w:val="0"/>
        <w:keepLines w:val="0"/>
        <w:pageBreakBefore w:val="0"/>
        <w:widowControl w:val="0"/>
        <w:kinsoku/>
        <w:wordWrap w:val="0"/>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492745F2">
      <w:pPr>
        <w:keepNext w:val="0"/>
        <w:keepLines w:val="0"/>
        <w:pageBreakBefore w:val="0"/>
        <w:widowControl w:val="0"/>
        <w:kinsoku/>
        <w:wordWrap w:val="0"/>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42BABD48">
      <w:pPr>
        <w:keepNext w:val="0"/>
        <w:keepLines w:val="0"/>
        <w:pageBreakBefore w:val="0"/>
        <w:widowControl w:val="0"/>
        <w:kinsoku/>
        <w:wordWrap w:val="0"/>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eastAsia="zh-CN"/>
        </w:rPr>
        <w:t>.</w:t>
      </w:r>
      <w:r>
        <w:rPr>
          <w:rFonts w:hint="eastAsia" w:ascii="宋体" w:hAnsi="宋体" w:eastAsia="宋体" w:cs="宋体"/>
          <w:color w:val="auto"/>
          <w:highlight w:val="none"/>
        </w:rPr>
        <w:t>在线投标 (电子投标) 说明</w:t>
      </w:r>
      <w:r>
        <w:rPr>
          <w:rFonts w:hint="eastAsia" w:ascii="宋体" w:hAnsi="宋体" w:eastAsia="宋体" w:cs="宋体"/>
          <w:color w:val="auto"/>
          <w:szCs w:val="21"/>
          <w:highlight w:val="none"/>
        </w:rPr>
        <w:t>：</w:t>
      </w:r>
    </w:p>
    <w:p w14:paraId="3460E3AB">
      <w:pPr>
        <w:keepNext w:val="0"/>
        <w:keepLines w:val="0"/>
        <w:pageBreakBefore w:val="0"/>
        <w:widowControl w:val="0"/>
        <w:kinsoku/>
        <w:wordWrap w:val="0"/>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项目通过广西政府采购云平台实行在线投标响应（电子投标），供应商需要先安装“广西政府采购云平台客户端”，并按照本竞争性磋商文件和广西政府采购云平台的要求，通过“广西政府采购云平台客户端”编制并加密电子响应文件。供应商未按规定编制并加密的电子响应文件，广西政府采购云平台将予以拒收。</w:t>
      </w:r>
    </w:p>
    <w:p w14:paraId="27015FCF">
      <w:pPr>
        <w:keepNext w:val="0"/>
        <w:keepLines w:val="0"/>
        <w:pageBreakBefore w:val="0"/>
        <w:widowControl w:val="0"/>
        <w:kinsoku/>
        <w:wordWrap w:val="0"/>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西政府采购云平台客户端”请自行前往广西政府采购网下载并安装（http://zfcg.gxzf.gov.cn/OfficeService/DownloadArea/2455918.html?utm=sites_group_front.b8b6c91.0.0.c51f9820a48111eabb9bcbdf01af125e）；电子投标具体操作流程参考《政府采购项目电子交易管理操作指南-供应商》；在使用广西政府采购云平台客户端时，建议使用WIN7及以上操作系统,通过广西政府采购云平台参与在线投标时如遇平台技术问题详询95763。</w:t>
      </w:r>
    </w:p>
    <w:p w14:paraId="48B1A239">
      <w:pPr>
        <w:keepNext w:val="0"/>
        <w:keepLines w:val="0"/>
        <w:pageBreakBefore w:val="0"/>
        <w:widowControl w:val="0"/>
        <w:kinsoku/>
        <w:wordWrap w:val="0"/>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为确保网上操作合法、有效和安全，供应商应当在响应文件递交截止时间前完成在“政府采购云平台”的身份认证，确保在电子投标过程中能够对相关数据电文进行加密和使用电子签章。使用“广西政府采购云平台客户端”需要提前申领CA数字证书，申领流程请自行前往相关网站进行查阅。（各供应商在截标前应确保成为广西政府采购云平台正式注册入库供应商，并完成CA数字证书申领。如因未注册入库、未办理CA数字证书等原因造成无法磋商或磋商失败等后果由供应商自行承担。）</w:t>
      </w:r>
    </w:p>
    <w:p w14:paraId="645A774B">
      <w:pPr>
        <w:keepNext w:val="0"/>
        <w:keepLines w:val="0"/>
        <w:pageBreakBefore w:val="0"/>
        <w:widowControl w:val="0"/>
        <w:kinsoku/>
        <w:wordWrap w:val="0"/>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应当在响应文件递交截止时间前，将生成的“电子响应文件”上传递交至广西政府采购云平台。响应文件递交截止时间前可以补充、修改或者撤回电子响应文件。补充或者修改电子响应文件的，应当先行撤回原文件，补充、修改后重新传输递交，响应文件递交截止时间前未完成传输的，视为撤回电子响应文件。</w:t>
      </w:r>
    </w:p>
    <w:p w14:paraId="61A81D4B">
      <w:pPr>
        <w:keepNext w:val="0"/>
        <w:keepLines w:val="0"/>
        <w:pageBreakBefore w:val="0"/>
        <w:widowControl w:val="0"/>
        <w:kinsoku/>
        <w:wordWrap w:val="0"/>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文件解密时间：截标时间后30分钟内供应商可以登录广西政府采购云平台，用“项目采购-开标评标”功能进行解密电子响应文件。若供应商在规定时间内无法解密或解密失败，可向采购代理机构提供电子备份响应文件【在接到无法解密或解密失败的通知后，可以在投标文件解密截止时间后30分钟内向采购代理机构提交电子备份投标文件（接收电子备份响应文件的电子邮箱为：gxhcdglfgs@163.com）】。若供应商在规定时间内无法解密或解密失败且未提供电子备份响应文件的(包含提供的电子备份响应文件无效或无法解密的情况)，视为无效响应。</w:t>
      </w:r>
    </w:p>
    <w:p w14:paraId="1654CC16">
      <w:pPr>
        <w:keepNext w:val="0"/>
        <w:keepLines w:val="0"/>
        <w:pageBreakBefore w:val="0"/>
        <w:widowControl w:val="0"/>
        <w:kinsoku/>
        <w:wordWrap w:val="0"/>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（5）本项目需要磋商供应商代表在截标当天截标后，按磋商小组要求及时</w:t>
      </w:r>
      <w:r>
        <w:rPr>
          <w:rFonts w:hint="eastAsia" w:ascii="宋体" w:hAnsi="宋体" w:cs="宋体"/>
          <w:color w:val="auto"/>
          <w:szCs w:val="21"/>
          <w:highlight w:val="none"/>
          <w:lang w:eastAsia="zh-CN"/>
        </w:rPr>
        <w:t xml:space="preserve"> 登录</w:t>
      </w:r>
      <w:r>
        <w:rPr>
          <w:rFonts w:hint="eastAsia" w:ascii="宋体" w:hAnsi="宋体" w:eastAsia="宋体" w:cs="宋体"/>
          <w:color w:val="auto"/>
          <w:szCs w:val="21"/>
          <w:highlight w:val="none"/>
        </w:rPr>
        <w:t>广西政府采购云平台等候在线磋商及提交最后报价。</w:t>
      </w:r>
    </w:p>
    <w:p w14:paraId="69CAE802">
      <w:pPr>
        <w:keepNext w:val="0"/>
        <w:keepLines w:val="0"/>
        <w:pageBreakBefore w:val="0"/>
        <w:widowControl w:val="0"/>
        <w:kinsoku/>
        <w:wordWrap w:val="0"/>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本采购项目为广西政府采购云平台全流程电子化操作，参与磋商的供应商需自备计算机和网络设备（设备需可视频通话和读取广西政府采购云平台CA数字证书），确保磋商过程顺利进行；因供应商自身设备或网络原因造成的一切后果，由供应商自行承担。</w:t>
      </w:r>
    </w:p>
    <w:p w14:paraId="151E722E">
      <w:pPr>
        <w:keepNext w:val="0"/>
        <w:keepLines w:val="0"/>
        <w:pageBreakBefore w:val="0"/>
        <w:widowControl w:val="0"/>
        <w:kinsoku/>
        <w:wordWrap w:val="0"/>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（7）“广西政府采购云平台”客服电话：95763</w:t>
      </w:r>
      <w:r>
        <w:rPr>
          <w:rFonts w:hint="eastAsia" w:ascii="宋体" w:hAnsi="宋体" w:cs="宋体"/>
          <w:color w:val="auto"/>
          <w:szCs w:val="21"/>
          <w:highlight w:val="none"/>
          <w:lang w:eastAsia="zh-CN"/>
        </w:rPr>
        <w:t>。</w:t>
      </w:r>
    </w:p>
    <w:p w14:paraId="3DBA1551">
      <w:pPr>
        <w:keepNext w:val="0"/>
        <w:keepLines w:val="0"/>
        <w:pageBreakBefore w:val="0"/>
        <w:widowControl w:val="0"/>
        <w:kinsoku/>
        <w:wordWrap w:val="0"/>
        <w:overflowPunct/>
        <w:topLinePunct w:val="0"/>
        <w:autoSpaceDE/>
        <w:autoSpaceDN/>
        <w:bidi w:val="0"/>
        <w:adjustRightInd/>
        <w:snapToGrid/>
        <w:spacing w:line="360" w:lineRule="exact"/>
        <w:ind w:left="0" w:leftChars="0" w:firstLine="422" w:firstLineChars="200"/>
        <w:textAlignment w:val="auto"/>
        <w:rPr>
          <w:rFonts w:hint="eastAsia" w:ascii="宋体" w:hAnsi="宋体" w:eastAsia="宋体" w:cs="宋体"/>
          <w:b/>
          <w:bCs/>
          <w:color w:val="auto"/>
          <w:szCs w:val="21"/>
          <w:highlight w:val="none"/>
        </w:rPr>
      </w:pPr>
      <w:bookmarkStart w:id="23" w:name="_Toc28359085"/>
      <w:bookmarkStart w:id="24" w:name="_Toc35393627"/>
      <w:bookmarkStart w:id="25" w:name="_Toc35393796"/>
      <w:bookmarkStart w:id="26" w:name="_Toc28359008"/>
      <w:r>
        <w:rPr>
          <w:rFonts w:hint="eastAsia" w:ascii="宋体" w:hAnsi="宋体" w:eastAsia="宋体" w:cs="宋体"/>
          <w:b/>
          <w:bCs/>
          <w:color w:val="auto"/>
          <w:szCs w:val="21"/>
          <w:highlight w:val="none"/>
        </w:rPr>
        <w:t>七、对本次</w:t>
      </w:r>
      <w:r>
        <w:rPr>
          <w:rFonts w:hint="eastAsia" w:ascii="宋体" w:hAnsi="宋体" w:cs="宋体"/>
          <w:b/>
          <w:bCs/>
          <w:color w:val="auto"/>
          <w:szCs w:val="21"/>
          <w:highlight w:val="none"/>
          <w:lang w:val="en-US" w:eastAsia="zh-CN"/>
        </w:rPr>
        <w:t>采购</w:t>
      </w:r>
      <w:r>
        <w:rPr>
          <w:rFonts w:hint="eastAsia" w:ascii="宋体" w:hAnsi="宋体" w:eastAsia="宋体" w:cs="宋体"/>
          <w:b/>
          <w:bCs/>
          <w:color w:val="auto"/>
          <w:szCs w:val="21"/>
          <w:highlight w:val="none"/>
        </w:rPr>
        <w:t>提出询问，请按以下方式联系。</w:t>
      </w:r>
      <w:bookmarkEnd w:id="23"/>
      <w:bookmarkEnd w:id="24"/>
      <w:bookmarkEnd w:id="25"/>
      <w:bookmarkEnd w:id="26"/>
    </w:p>
    <w:p w14:paraId="45A408DD">
      <w:pPr>
        <w:keepNext w:val="0"/>
        <w:keepLines w:val="0"/>
        <w:pageBreakBefore w:val="0"/>
        <w:widowControl w:val="0"/>
        <w:kinsoku/>
        <w:wordWrap w:val="0"/>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1.采购人信息</w:t>
      </w:r>
    </w:p>
    <w:p w14:paraId="328DC568">
      <w:pPr>
        <w:keepNext w:val="0"/>
        <w:keepLines w:val="0"/>
        <w:pageBreakBefore w:val="0"/>
        <w:widowControl w:val="0"/>
        <w:kinsoku/>
        <w:wordWrap w:val="0"/>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 称：桂林市雁山园管理处</w:t>
      </w:r>
    </w:p>
    <w:p w14:paraId="3C5C9003">
      <w:pPr>
        <w:keepNext w:val="0"/>
        <w:keepLines w:val="0"/>
        <w:pageBreakBefore w:val="0"/>
        <w:widowControl w:val="0"/>
        <w:kinsoku/>
        <w:wordWrap w:val="0"/>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地址：桂林市雁山区雁山镇良丰下村十号　　　　　　　　　　</w:t>
      </w:r>
    </w:p>
    <w:p w14:paraId="31D4FD39">
      <w:pPr>
        <w:keepNext w:val="0"/>
        <w:keepLines w:val="0"/>
        <w:pageBreakBefore w:val="0"/>
        <w:widowControl w:val="0"/>
        <w:kinsoku/>
        <w:wordWrap w:val="0"/>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项目联系人：</w:t>
      </w:r>
      <w:r>
        <w:rPr>
          <w:rFonts w:hint="eastAsia" w:ascii="宋体" w:hAnsi="宋体" w:eastAsia="宋体" w:cs="宋体"/>
          <w:color w:val="auto"/>
          <w:szCs w:val="21"/>
          <w:highlight w:val="none"/>
          <w:lang w:val="en-US" w:eastAsia="zh-CN"/>
        </w:rPr>
        <w:t>黎工</w:t>
      </w:r>
    </w:p>
    <w:p w14:paraId="6034A3DE">
      <w:pPr>
        <w:keepNext w:val="0"/>
        <w:keepLines w:val="0"/>
        <w:pageBreakBefore w:val="0"/>
        <w:widowControl w:val="0"/>
        <w:kinsoku/>
        <w:wordWrap w:val="0"/>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项目联系方式：</w:t>
      </w:r>
      <w:r>
        <w:rPr>
          <w:rFonts w:hint="eastAsia" w:ascii="宋体" w:hAnsi="宋体" w:eastAsia="宋体" w:cs="宋体"/>
          <w:i w:val="0"/>
          <w:iCs w:val="0"/>
          <w:caps w:val="0"/>
          <w:color w:val="000000"/>
          <w:spacing w:val="0"/>
          <w:sz w:val="21"/>
          <w:szCs w:val="21"/>
        </w:rPr>
        <w:t>0773-2823000</w:t>
      </w:r>
      <w:r>
        <w:rPr>
          <w:rFonts w:hint="eastAsia" w:ascii="宋体" w:hAnsi="宋体" w:eastAsia="宋体" w:cs="宋体"/>
          <w:color w:val="auto"/>
          <w:szCs w:val="21"/>
          <w:highlight w:val="none"/>
        </w:rPr>
        <w:t>　</w:t>
      </w:r>
    </w:p>
    <w:p w14:paraId="7329CD53">
      <w:pPr>
        <w:keepNext w:val="0"/>
        <w:keepLines w:val="0"/>
        <w:pageBreakBefore w:val="0"/>
        <w:widowControl w:val="0"/>
        <w:kinsoku/>
        <w:wordWrap w:val="0"/>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eastAsia="宋体" w:cs="宋体"/>
          <w:color w:val="auto"/>
          <w:szCs w:val="21"/>
          <w:highlight w:val="none"/>
        </w:rPr>
        <w:t>代理机构信息</w:t>
      </w:r>
    </w:p>
    <w:p w14:paraId="7F301C68">
      <w:pPr>
        <w:keepNext w:val="0"/>
        <w:keepLines w:val="0"/>
        <w:pageBreakBefore w:val="0"/>
        <w:widowControl w:val="0"/>
        <w:kinsoku/>
        <w:wordWrap w:val="0"/>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  称：广西华诚达建设项目管理有限公司</w:t>
      </w:r>
    </w:p>
    <w:p w14:paraId="15D2BB94">
      <w:pPr>
        <w:keepNext w:val="0"/>
        <w:keepLines w:val="0"/>
        <w:pageBreakBefore w:val="0"/>
        <w:widowControl w:val="0"/>
        <w:kinsoku/>
        <w:wordWrap w:val="0"/>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　址：桂林市七星区骖鸾路25号合鑫大楼6楼　　</w:t>
      </w:r>
    </w:p>
    <w:p w14:paraId="2D223717">
      <w:pPr>
        <w:keepNext w:val="0"/>
        <w:keepLines w:val="0"/>
        <w:pageBreakBefore w:val="0"/>
        <w:widowControl w:val="0"/>
        <w:kinsoku/>
        <w:wordWrap w:val="0"/>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采购代理机构联系人：常春华</w:t>
      </w:r>
    </w:p>
    <w:p w14:paraId="2B338E2F">
      <w:pPr>
        <w:keepNext w:val="0"/>
        <w:keepLines w:val="0"/>
        <w:pageBreakBefore w:val="0"/>
        <w:widowControl w:val="0"/>
        <w:kinsoku/>
        <w:wordWrap w:val="0"/>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联系方式：0773-5630101</w:t>
      </w:r>
    </w:p>
    <w:p w14:paraId="0CB6DC2C">
      <w:pPr>
        <w:wordWrap w:val="0"/>
        <w:spacing w:line="360" w:lineRule="exact"/>
        <w:ind w:left="420" w:leftChars="200" w:firstLine="336" w:firstLineChars="160"/>
        <w:rPr>
          <w:rFonts w:hint="eastAsia" w:ascii="宋体" w:hAnsi="宋体" w:eastAsia="宋体" w:cs="宋体"/>
          <w:color w:val="auto"/>
          <w:szCs w:val="21"/>
          <w:highlight w:val="none"/>
        </w:rPr>
      </w:pPr>
    </w:p>
    <w:p w14:paraId="0985511E">
      <w:pPr>
        <w:wordWrap w:val="0"/>
        <w:spacing w:line="340" w:lineRule="exact"/>
        <w:ind w:left="420" w:leftChars="200" w:right="480" w:firstLine="336" w:firstLineChars="160"/>
        <w:rPr>
          <w:rFonts w:hint="eastAsia" w:ascii="宋体" w:hAnsi="宋体" w:eastAsia="宋体" w:cs="宋体"/>
          <w:color w:val="auto"/>
          <w:szCs w:val="21"/>
          <w:highlight w:val="none"/>
        </w:rPr>
      </w:pPr>
    </w:p>
    <w:p w14:paraId="60820AA1">
      <w:pPr>
        <w:wordWrap w:val="0"/>
        <w:spacing w:line="340" w:lineRule="exact"/>
        <w:ind w:left="420" w:leftChars="200" w:right="480" w:firstLine="336" w:firstLineChars="160"/>
        <w:rPr>
          <w:rFonts w:hint="eastAsia" w:ascii="宋体" w:hAnsi="宋体" w:eastAsia="宋体" w:cs="宋体"/>
          <w:color w:val="auto"/>
          <w:szCs w:val="21"/>
          <w:highlight w:val="none"/>
        </w:rPr>
      </w:pPr>
    </w:p>
    <w:p w14:paraId="35D7D6CB">
      <w:pPr>
        <w:wordWrap w:val="0"/>
        <w:spacing w:line="360" w:lineRule="exact"/>
        <w:ind w:left="420" w:leftChars="200" w:firstLine="336" w:firstLineChars="16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28FB0260">
      <w:pPr>
        <w:pStyle w:val="2"/>
        <w:wordWrap w:val="0"/>
        <w:spacing w:before="0" w:after="0" w:line="360" w:lineRule="auto"/>
        <w:ind w:left="420" w:leftChars="200" w:firstLine="707" w:firstLineChars="160"/>
        <w:jc w:val="center"/>
        <w:rPr>
          <w:rFonts w:hint="eastAsia" w:ascii="宋体" w:hAnsi="宋体" w:eastAsia="宋体" w:cs="宋体"/>
          <w:color w:val="auto"/>
          <w:highlight w:val="none"/>
        </w:rPr>
      </w:pPr>
      <w:bookmarkStart w:id="27" w:name="_Toc28828"/>
      <w:bookmarkStart w:id="28" w:name="_Toc12873"/>
      <w:r>
        <w:rPr>
          <w:rFonts w:hint="eastAsia" w:ascii="宋体" w:hAnsi="宋体" w:eastAsia="宋体" w:cs="宋体"/>
          <w:color w:val="auto"/>
          <w:highlight w:val="none"/>
        </w:rPr>
        <w:t>第二章、磋商供应商须知</w:t>
      </w:r>
      <w:bookmarkEnd w:id="27"/>
      <w:bookmarkEnd w:id="28"/>
    </w:p>
    <w:p w14:paraId="2625116E">
      <w:pPr>
        <w:tabs>
          <w:tab w:val="left" w:pos="1065"/>
          <w:tab w:val="center" w:pos="4411"/>
        </w:tabs>
        <w:wordWrap w:val="0"/>
        <w:spacing w:line="440" w:lineRule="atLeast"/>
        <w:ind w:left="420" w:leftChars="200" w:firstLine="386" w:firstLineChars="16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磋商供应商须知前附表</w:t>
      </w:r>
    </w:p>
    <w:tbl>
      <w:tblPr>
        <w:tblStyle w:val="16"/>
        <w:tblW w:w="495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909"/>
        <w:gridCol w:w="1882"/>
        <w:gridCol w:w="6394"/>
      </w:tblGrid>
      <w:tr w14:paraId="74412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2" w:type="pct"/>
            <w:noWrap w:val="0"/>
            <w:vAlign w:val="center"/>
          </w:tcPr>
          <w:p w14:paraId="2B6342B8">
            <w:pPr>
              <w:wordWrap w:val="0"/>
              <w:spacing w:line="36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60" w:type="pct"/>
            <w:noWrap w:val="0"/>
            <w:vAlign w:val="center"/>
          </w:tcPr>
          <w:p w14:paraId="054327B5">
            <w:pPr>
              <w:wordWrap w:val="0"/>
              <w:spacing w:line="36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951" w:type="pct"/>
            <w:noWrap w:val="0"/>
            <w:vAlign w:val="center"/>
          </w:tcPr>
          <w:p w14:paraId="7D08AC3F">
            <w:pPr>
              <w:wordWrap w:val="0"/>
              <w:spacing w:line="36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条款名称</w:t>
            </w:r>
          </w:p>
        </w:tc>
        <w:tc>
          <w:tcPr>
            <w:tcW w:w="3234" w:type="pct"/>
            <w:noWrap w:val="0"/>
            <w:vAlign w:val="center"/>
          </w:tcPr>
          <w:p w14:paraId="48095A0E">
            <w:pPr>
              <w:wordWrap w:val="0"/>
              <w:spacing w:line="360" w:lineRule="exact"/>
              <w:ind w:left="420" w:leftChars="200" w:firstLine="336" w:firstLineChars="16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2D2A1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2" w:type="pct"/>
            <w:noWrap w:val="0"/>
            <w:vAlign w:val="center"/>
          </w:tcPr>
          <w:p w14:paraId="5FFC8397">
            <w:pPr>
              <w:wordWrap w:val="0"/>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460" w:type="pct"/>
            <w:noWrap w:val="0"/>
            <w:vAlign w:val="center"/>
          </w:tcPr>
          <w:p w14:paraId="5317780D">
            <w:pPr>
              <w:wordWrap w:val="0"/>
              <w:spacing w:line="360" w:lineRule="exact"/>
              <w:ind w:left="420" w:hanging="420" w:hangingChars="20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951" w:type="pct"/>
            <w:noWrap w:val="0"/>
            <w:vAlign w:val="center"/>
          </w:tcPr>
          <w:p w14:paraId="7878433E">
            <w:pPr>
              <w:wordWrap w:val="0"/>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项目名称及项目编号</w:t>
            </w:r>
          </w:p>
        </w:tc>
        <w:tc>
          <w:tcPr>
            <w:tcW w:w="3234" w:type="pct"/>
            <w:noWrap w:val="0"/>
            <w:vAlign w:val="center"/>
          </w:tcPr>
          <w:p w14:paraId="124D5E28">
            <w:pPr>
              <w:pStyle w:val="9"/>
              <w:wordWrap w:val="0"/>
              <w:spacing w:line="36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项目名称：广西桂林雁山园--“雁山别墅”园门保护修缮及环境整治项目</w:t>
            </w:r>
          </w:p>
          <w:p w14:paraId="1DC2D6E5">
            <w:pPr>
              <w:pStyle w:val="9"/>
              <w:wordWrap w:val="0"/>
              <w:spacing w:line="360" w:lineRule="exact"/>
              <w:rPr>
                <w:rFonts w:hint="eastAsia" w:ascii="宋体" w:hAnsi="宋体" w:eastAsia="宋体" w:cs="宋体"/>
                <w:color w:val="auto"/>
                <w:kern w:val="0"/>
                <w:highlight w:val="none"/>
                <w:lang w:eastAsia="zh-CN"/>
              </w:rPr>
            </w:pPr>
            <w:r>
              <w:rPr>
                <w:rFonts w:hint="eastAsia" w:ascii="宋体" w:hAnsi="宋体" w:eastAsia="宋体" w:cs="宋体"/>
                <w:color w:val="auto"/>
                <w:szCs w:val="21"/>
                <w:highlight w:val="none"/>
                <w:lang w:val="en-US" w:eastAsia="zh-CN"/>
              </w:rPr>
              <w:t>项目编号：GLZC2025-C2-990662-GXHC</w:t>
            </w:r>
          </w:p>
        </w:tc>
      </w:tr>
      <w:tr w14:paraId="3EA6B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2" w:type="pct"/>
            <w:noWrap w:val="0"/>
            <w:vAlign w:val="center"/>
          </w:tcPr>
          <w:p w14:paraId="48083532">
            <w:pPr>
              <w:wordWrap w:val="0"/>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460" w:type="pct"/>
            <w:noWrap w:val="0"/>
            <w:vAlign w:val="center"/>
          </w:tcPr>
          <w:p w14:paraId="63564159">
            <w:pPr>
              <w:wordWrap w:val="0"/>
              <w:spacing w:line="360" w:lineRule="exact"/>
              <w:ind w:left="420" w:hanging="420" w:hangingChars="20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951" w:type="pct"/>
            <w:noWrap w:val="0"/>
            <w:vAlign w:val="center"/>
          </w:tcPr>
          <w:p w14:paraId="716D23AD">
            <w:pPr>
              <w:wordWrap w:val="0"/>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工程概况</w:t>
            </w:r>
          </w:p>
        </w:tc>
        <w:tc>
          <w:tcPr>
            <w:tcW w:w="3234" w:type="pct"/>
            <w:noWrap w:val="0"/>
            <w:vAlign w:val="center"/>
          </w:tcPr>
          <w:p w14:paraId="0BB91917">
            <w:pPr>
              <w:pStyle w:val="9"/>
              <w:wordWrap w:val="0"/>
              <w:spacing w:line="36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项目内容：广西桂林雁山园--“雁山别墅”园门保护修缮及环境整治项目（具体详见工程量清单、图纸等要求的内容）。</w:t>
            </w:r>
          </w:p>
          <w:p w14:paraId="100056F6">
            <w:pPr>
              <w:pStyle w:val="9"/>
              <w:wordWrap w:val="0"/>
              <w:spacing w:line="360" w:lineRule="exact"/>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shd w:val="clear" w:color="auto" w:fill="FFFFFF"/>
                <w:lang w:val="en-US" w:eastAsia="zh-CN"/>
              </w:rPr>
              <w:t>施工工期（计划）：</w:t>
            </w:r>
            <w:r>
              <w:rPr>
                <w:rFonts w:hint="eastAsia" w:ascii="宋体" w:hAnsi="宋体" w:eastAsia="宋体" w:cs="宋体"/>
                <w:color w:val="auto"/>
                <w:szCs w:val="21"/>
                <w:highlight w:val="none"/>
                <w:lang w:val="en-US" w:eastAsia="zh-CN"/>
              </w:rPr>
              <w:t>180日历天</w:t>
            </w:r>
          </w:p>
          <w:p w14:paraId="48790997">
            <w:pPr>
              <w:wordWrap w:val="0"/>
              <w:spacing w:line="3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质量</w:t>
            </w:r>
            <w:r>
              <w:rPr>
                <w:rFonts w:hint="eastAsia" w:ascii="宋体" w:hAnsi="宋体" w:eastAsia="宋体" w:cs="宋体"/>
                <w:color w:val="auto"/>
                <w:szCs w:val="21"/>
                <w:highlight w:val="none"/>
                <w:lang w:val="en-US" w:eastAsia="zh-CN"/>
              </w:rPr>
              <w:t>等级</w:t>
            </w:r>
            <w:r>
              <w:rPr>
                <w:rFonts w:hint="eastAsia" w:ascii="宋体" w:hAnsi="宋体" w:eastAsia="宋体" w:cs="宋体"/>
                <w:color w:val="auto"/>
                <w:szCs w:val="21"/>
                <w:highlight w:val="none"/>
              </w:rPr>
              <w:t>标准：</w:t>
            </w:r>
            <w:r>
              <w:rPr>
                <w:rFonts w:hint="eastAsia" w:ascii="宋体" w:hAnsi="宋体" w:eastAsia="宋体" w:cs="宋体"/>
                <w:color w:val="auto"/>
                <w:szCs w:val="22"/>
                <w:highlight w:val="none"/>
              </w:rPr>
              <w:t>达到国家施工验收规范合格标准。</w:t>
            </w:r>
          </w:p>
        </w:tc>
      </w:tr>
      <w:tr w14:paraId="08FB2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trPr>
        <w:tc>
          <w:tcPr>
            <w:tcW w:w="352" w:type="pct"/>
            <w:noWrap w:val="0"/>
            <w:vAlign w:val="center"/>
          </w:tcPr>
          <w:p w14:paraId="2A4E5D3C">
            <w:pPr>
              <w:wordWrap w:val="0"/>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460" w:type="pct"/>
            <w:noWrap w:val="0"/>
            <w:vAlign w:val="center"/>
          </w:tcPr>
          <w:p w14:paraId="21B7358F">
            <w:pPr>
              <w:wordWrap w:val="0"/>
              <w:spacing w:line="360" w:lineRule="exact"/>
              <w:ind w:left="420" w:hanging="420" w:hangingChars="20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951" w:type="pct"/>
            <w:noWrap w:val="0"/>
            <w:vAlign w:val="center"/>
          </w:tcPr>
          <w:p w14:paraId="37518A4E">
            <w:pPr>
              <w:wordWrap w:val="0"/>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供应商资格</w:t>
            </w:r>
          </w:p>
        </w:tc>
        <w:tc>
          <w:tcPr>
            <w:tcW w:w="3234" w:type="pct"/>
            <w:noWrap w:val="0"/>
            <w:vAlign w:val="center"/>
          </w:tcPr>
          <w:p w14:paraId="67434229">
            <w:pPr>
              <w:wordWrap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3.1满足《中华人民共和国政府采购法》第二十二条规定。</w:t>
            </w:r>
          </w:p>
          <w:p w14:paraId="339CD26D">
            <w:pPr>
              <w:wordWrap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3.2落实政府采购政策需满足的资格要求：</w:t>
            </w:r>
            <w:r>
              <w:rPr>
                <w:rFonts w:hint="eastAsia" w:ascii="宋体" w:hAnsi="宋体" w:eastAsia="宋体" w:cs="宋体"/>
                <w:color w:val="auto"/>
                <w:highlight w:val="none"/>
                <w:lang w:bidi="ar"/>
              </w:rPr>
              <w:t>本项目专门面向中小微企业采购</w:t>
            </w:r>
            <w:r>
              <w:rPr>
                <w:rFonts w:hint="eastAsia" w:ascii="宋体" w:hAnsi="宋体" w:eastAsia="宋体" w:cs="宋体"/>
                <w:color w:val="auto"/>
                <w:szCs w:val="21"/>
                <w:highlight w:val="none"/>
              </w:rPr>
              <w:t>。</w:t>
            </w:r>
          </w:p>
          <w:p w14:paraId="69F8DF76">
            <w:pPr>
              <w:wordWrap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3.3本项目的特定资格要求：</w:t>
            </w:r>
            <w:r>
              <w:rPr>
                <w:rFonts w:hint="eastAsia" w:ascii="宋体" w:hAnsi="宋体" w:eastAsia="宋体" w:cs="宋体"/>
                <w:color w:val="auto"/>
                <w:spacing w:val="8"/>
                <w:highlight w:val="none"/>
                <w:lang w:eastAsia="zh-CN"/>
              </w:rPr>
              <w:t>供应商须具备文物行政主管部门颁发的文物保护工程施工</w:t>
            </w:r>
            <w:r>
              <w:rPr>
                <w:rFonts w:hint="eastAsia" w:ascii="宋体" w:hAnsi="宋体" w:eastAsia="宋体" w:cs="宋体"/>
                <w:color w:val="auto"/>
                <w:spacing w:val="8"/>
                <w:highlight w:val="none"/>
                <w:lang w:val="en-US" w:eastAsia="zh-CN"/>
              </w:rPr>
              <w:t>二</w:t>
            </w:r>
            <w:r>
              <w:rPr>
                <w:rFonts w:hint="eastAsia" w:ascii="宋体" w:hAnsi="宋体" w:eastAsia="宋体" w:cs="宋体"/>
                <w:color w:val="auto"/>
                <w:spacing w:val="8"/>
                <w:highlight w:val="none"/>
                <w:lang w:eastAsia="zh-CN"/>
              </w:rPr>
              <w:t>级资质，以及具有有效的安全生产许可证。</w:t>
            </w:r>
            <w:r>
              <w:rPr>
                <w:rFonts w:hint="eastAsia" w:ascii="宋体" w:hAnsi="宋体" w:eastAsia="宋体" w:cs="宋体"/>
                <w:color w:val="auto"/>
                <w:highlight w:val="none"/>
                <w:lang w:eastAsia="zh-CN"/>
              </w:rPr>
              <w:t>项目负责人须具备文物保护工程责任工程师资格证书（</w:t>
            </w:r>
            <w:r>
              <w:rPr>
                <w:rFonts w:hint="eastAsia" w:ascii="宋体" w:hAnsi="宋体" w:eastAsia="宋体" w:cs="宋体"/>
                <w:color w:val="auto"/>
                <w:highlight w:val="none"/>
                <w:lang w:val="en-US" w:eastAsia="zh-CN"/>
              </w:rPr>
              <w:t>从业范围含：</w:t>
            </w:r>
            <w:r>
              <w:rPr>
                <w:rStyle w:val="18"/>
                <w:rFonts w:hint="eastAsia" w:ascii="宋体" w:hAnsi="宋体" w:eastAsia="宋体" w:cs="宋体"/>
                <w:b w:val="0"/>
                <w:bCs w:val="0"/>
                <w:i w:val="0"/>
                <w:iCs w:val="0"/>
                <w:caps w:val="0"/>
                <w:color w:val="0F1115"/>
                <w:spacing w:val="0"/>
                <w:sz w:val="22"/>
                <w:szCs w:val="22"/>
                <w:shd w:val="clear" w:color="auto" w:fill="FFFFFF"/>
              </w:rPr>
              <w:t>近现代重要史迹及代表性建筑</w:t>
            </w:r>
            <w:r>
              <w:rPr>
                <w:rFonts w:hint="eastAsia" w:ascii="宋体" w:hAnsi="宋体" w:eastAsia="宋体" w:cs="宋体"/>
                <w:color w:val="auto"/>
                <w:highlight w:val="none"/>
                <w:lang w:eastAsia="zh-CN"/>
              </w:rPr>
              <w:t>）。</w:t>
            </w:r>
          </w:p>
        </w:tc>
      </w:tr>
      <w:tr w14:paraId="7B3AA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2" w:type="pct"/>
            <w:noWrap w:val="0"/>
            <w:vAlign w:val="center"/>
          </w:tcPr>
          <w:p w14:paraId="3BD471D3">
            <w:pPr>
              <w:wordWrap w:val="0"/>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460" w:type="pct"/>
            <w:noWrap w:val="0"/>
            <w:vAlign w:val="center"/>
          </w:tcPr>
          <w:p w14:paraId="4598EB07">
            <w:pPr>
              <w:wordWrap w:val="0"/>
              <w:spacing w:line="360" w:lineRule="exact"/>
              <w:ind w:left="420" w:hanging="420" w:hangingChars="20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951" w:type="pct"/>
            <w:noWrap w:val="0"/>
            <w:vAlign w:val="center"/>
          </w:tcPr>
          <w:p w14:paraId="485209E8">
            <w:pPr>
              <w:wordWrap w:val="0"/>
              <w:spacing w:line="360" w:lineRule="exact"/>
              <w:jc w:val="center"/>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rPr>
              <w:t>参与电子竞标的准备工作</w:t>
            </w:r>
          </w:p>
        </w:tc>
        <w:tc>
          <w:tcPr>
            <w:tcW w:w="3234" w:type="pct"/>
            <w:noWrap w:val="0"/>
            <w:vAlign w:val="center"/>
          </w:tcPr>
          <w:p w14:paraId="518A8F21">
            <w:pPr>
              <w:wordWrap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4.1本项目实行全流程电子化采购，供应商通过“广西政府采购云平台”参与电子竞标，并应做好以下相关准备工作：①在“广西政府采购云平台”注册成为正式供应商（操作方法详见广西壮族自治区政府采购网—办事服务—办事指南）；②完成CA证书申领和绑定（费用由供应商自行承担，办理流程详见广西壮族自治区政府采购网—办事服务—下载专区，完成CA证书办理预计一周左右，建议供应商尽快办理）；③下载“广西壮族自治区全流程电子招投标项目管理系统--供应商客户端”（操作方法详见广西壮族自治区政府采购网—办事服务—下载专区，以下称“广西政府采购云平台客户端”）并安装成功，供应商应当在响应文件提交截止时间前在“广西政府采购云平台”完成的身份认证，确保能够对相关数据电文进行加密和使用电子签章；④自备计算机和网络设备并确保能接入互联网（费用由供应商自行承担，设备确保可进行视频通话和读取政采云CA证书）。因供应商未做好相关准备工作等自身原因导致无法参加本项目电子竞标或竞标失败的，造成的一切后果，由供应商自行承担。</w:t>
            </w:r>
          </w:p>
          <w:p w14:paraId="0DB52965">
            <w:pPr>
              <w:wordWrap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4.2电子竞标具体操作流程参考《政府采购项目电子交易管理操作指南-供应商》（详见桂林市政府采购网—采购资讯—重要通知）；如遇平台技术问题详询95763。</w:t>
            </w:r>
          </w:p>
          <w:p w14:paraId="034386A2">
            <w:pPr>
              <w:wordWrap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4.3不论磋商结果如何，供应商均应自行承担所有与磋商有关的全部费用。 </w:t>
            </w:r>
          </w:p>
        </w:tc>
      </w:tr>
      <w:tr w14:paraId="7176E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0" w:hRule="atLeast"/>
        </w:trPr>
        <w:tc>
          <w:tcPr>
            <w:tcW w:w="352" w:type="pct"/>
            <w:noWrap w:val="0"/>
            <w:vAlign w:val="center"/>
          </w:tcPr>
          <w:p w14:paraId="7E94CD12">
            <w:pPr>
              <w:wordWrap w:val="0"/>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460" w:type="pct"/>
            <w:noWrap w:val="0"/>
            <w:vAlign w:val="center"/>
          </w:tcPr>
          <w:p w14:paraId="39E4A4B1">
            <w:pPr>
              <w:wordWrap w:val="0"/>
              <w:spacing w:line="360" w:lineRule="exact"/>
              <w:ind w:left="420" w:hanging="420" w:hangingChars="200"/>
              <w:jc w:val="center"/>
              <w:rPr>
                <w:rFonts w:hint="eastAsia" w:ascii="宋体" w:hAnsi="宋体" w:eastAsia="宋体" w:cs="宋体"/>
                <w:color w:val="auto"/>
                <w:kern w:val="0"/>
                <w:position w:val="-2"/>
                <w:szCs w:val="21"/>
                <w:highlight w:val="none"/>
              </w:rPr>
            </w:pPr>
            <w:r>
              <w:rPr>
                <w:rFonts w:hint="eastAsia" w:ascii="宋体" w:hAnsi="宋体" w:eastAsia="宋体" w:cs="宋体"/>
                <w:color w:val="auto"/>
                <w:kern w:val="0"/>
                <w:position w:val="-2"/>
                <w:szCs w:val="21"/>
                <w:highlight w:val="none"/>
              </w:rPr>
              <w:t>13</w:t>
            </w:r>
          </w:p>
        </w:tc>
        <w:tc>
          <w:tcPr>
            <w:tcW w:w="951" w:type="pct"/>
            <w:noWrap w:val="0"/>
            <w:vAlign w:val="center"/>
          </w:tcPr>
          <w:p w14:paraId="59434398">
            <w:pPr>
              <w:wordWrap w:val="0"/>
              <w:spacing w:line="360" w:lineRule="exact"/>
              <w:jc w:val="center"/>
              <w:rPr>
                <w:rFonts w:hint="eastAsia" w:ascii="宋体" w:hAnsi="宋体" w:eastAsia="宋体" w:cs="宋体"/>
                <w:color w:val="auto"/>
                <w:kern w:val="0"/>
                <w:position w:val="-2"/>
                <w:szCs w:val="21"/>
                <w:highlight w:val="none"/>
              </w:rPr>
            </w:pPr>
            <w:r>
              <w:rPr>
                <w:rFonts w:hint="eastAsia" w:ascii="宋体" w:hAnsi="宋体" w:eastAsia="宋体" w:cs="宋体"/>
                <w:color w:val="auto"/>
                <w:kern w:val="0"/>
                <w:szCs w:val="21"/>
                <w:highlight w:val="none"/>
              </w:rPr>
              <w:t>磋商报价及采购</w:t>
            </w:r>
            <w:r>
              <w:rPr>
                <w:rFonts w:hint="eastAsia" w:ascii="宋体" w:hAnsi="宋体" w:eastAsia="宋体" w:cs="宋体"/>
                <w:bCs/>
                <w:color w:val="auto"/>
                <w:kern w:val="0"/>
                <w:szCs w:val="21"/>
                <w:highlight w:val="none"/>
              </w:rPr>
              <w:t>最高磋商限价</w:t>
            </w:r>
          </w:p>
        </w:tc>
        <w:tc>
          <w:tcPr>
            <w:tcW w:w="3234" w:type="pct"/>
            <w:noWrap w:val="0"/>
            <w:vAlign w:val="center"/>
          </w:tcPr>
          <w:p w14:paraId="564D26AD">
            <w:pPr>
              <w:tabs>
                <w:tab w:val="left" w:pos="1305"/>
              </w:tabs>
              <w:wordWrap w:val="0"/>
              <w:spacing w:line="38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w:t>
            </w:r>
            <w:r>
              <w:rPr>
                <w:rFonts w:hint="eastAsia" w:ascii="宋体" w:hAnsi="宋体" w:cs="宋体"/>
                <w:color w:val="FF0000"/>
                <w:kern w:val="0"/>
                <w:szCs w:val="21"/>
              </w:rPr>
              <w:t>本</w:t>
            </w:r>
            <w:r>
              <w:rPr>
                <w:rFonts w:hint="eastAsia" w:ascii="宋体" w:hAnsi="宋体" w:cs="宋体"/>
                <w:color w:val="FF0000"/>
                <w:kern w:val="0"/>
                <w:szCs w:val="21"/>
                <w:lang w:val="en-US" w:eastAsia="zh-CN"/>
              </w:rPr>
              <w:t>工程</w:t>
            </w:r>
            <w:r>
              <w:rPr>
                <w:rFonts w:hint="eastAsia" w:ascii="宋体" w:hAnsi="宋体" w:cs="宋体"/>
                <w:color w:val="FF0000"/>
                <w:kern w:val="0"/>
                <w:szCs w:val="21"/>
              </w:rPr>
              <w:t>采购预算金额为</w:t>
            </w:r>
            <w:r>
              <w:rPr>
                <w:rFonts w:hint="eastAsia" w:ascii="宋体" w:hAnsi="宋体" w:cs="宋体"/>
                <w:color w:val="FF0000"/>
                <w:kern w:val="0"/>
                <w:szCs w:val="21"/>
                <w:u w:val="single"/>
              </w:rPr>
              <w:t xml:space="preserve"> </w:t>
            </w:r>
            <w:r>
              <w:rPr>
                <w:rFonts w:hint="eastAsia" w:ascii="宋体" w:hAnsi="宋体" w:cs="宋体"/>
                <w:color w:val="FF0000"/>
                <w:kern w:val="0"/>
                <w:szCs w:val="21"/>
                <w:u w:val="single"/>
                <w:lang w:val="en-US" w:eastAsia="zh-CN"/>
              </w:rPr>
              <w:t>1000000.00</w:t>
            </w:r>
            <w:r>
              <w:rPr>
                <w:rFonts w:hint="eastAsia" w:ascii="宋体" w:hAnsi="宋体" w:cs="宋体"/>
                <w:color w:val="FF0000"/>
                <w:kern w:val="0"/>
                <w:szCs w:val="21"/>
                <w:u w:val="single"/>
              </w:rPr>
              <w:t xml:space="preserve"> </w:t>
            </w:r>
            <w:r>
              <w:rPr>
                <w:rFonts w:hint="eastAsia" w:ascii="宋体" w:hAnsi="宋体" w:cs="宋体"/>
                <w:color w:val="FF0000"/>
                <w:kern w:val="0"/>
                <w:szCs w:val="21"/>
              </w:rPr>
              <w:t>元，经采购人调整后，本</w:t>
            </w:r>
            <w:r>
              <w:rPr>
                <w:rFonts w:hint="eastAsia" w:ascii="宋体" w:hAnsi="宋体" w:cs="宋体"/>
                <w:color w:val="FF0000"/>
                <w:kern w:val="0"/>
                <w:szCs w:val="21"/>
                <w:lang w:val="en-US" w:eastAsia="zh-CN"/>
              </w:rPr>
              <w:t>工程</w:t>
            </w:r>
            <w:r>
              <w:rPr>
                <w:rFonts w:hint="eastAsia" w:ascii="宋体" w:hAnsi="宋体" w:cs="宋体"/>
                <w:color w:val="FF0000"/>
                <w:kern w:val="0"/>
                <w:szCs w:val="21"/>
              </w:rPr>
              <w:t>采购预算金额（最高限价）为</w:t>
            </w:r>
            <w:r>
              <w:rPr>
                <w:rFonts w:hint="eastAsia" w:ascii="宋体" w:hAnsi="宋体" w:cs="宋体"/>
                <w:color w:val="FF0000"/>
                <w:kern w:val="0"/>
                <w:szCs w:val="21"/>
                <w:u w:val="single"/>
              </w:rPr>
              <w:t xml:space="preserve"> 618851.43 </w:t>
            </w:r>
            <w:r>
              <w:rPr>
                <w:rFonts w:hint="eastAsia" w:ascii="宋体" w:hAnsi="宋体" w:cs="宋体"/>
                <w:color w:val="FF0000"/>
                <w:kern w:val="0"/>
                <w:szCs w:val="21"/>
              </w:rPr>
              <w:t>元</w:t>
            </w:r>
            <w:r>
              <w:rPr>
                <w:rFonts w:hint="eastAsia" w:ascii="宋体" w:hAnsi="宋体" w:cs="宋体"/>
                <w:color w:val="FF0000"/>
                <w:kern w:val="0"/>
                <w:szCs w:val="21"/>
                <w:lang w:eastAsia="zh-CN"/>
              </w:rPr>
              <w:t>（</w:t>
            </w:r>
            <w:r>
              <w:rPr>
                <w:rFonts w:hint="eastAsia" w:ascii="宋体" w:hAnsi="宋体" w:cs="宋体"/>
                <w:color w:val="FF0000"/>
                <w:kern w:val="0"/>
                <w:szCs w:val="21"/>
                <w:highlight w:val="none"/>
              </w:rPr>
              <w:t>其中：预算价</w:t>
            </w:r>
            <w:r>
              <w:rPr>
                <w:rFonts w:hint="eastAsia" w:ascii="宋体" w:hAnsi="宋体" w:cs="宋体"/>
                <w:color w:val="FF0000"/>
                <w:kern w:val="0"/>
                <w:szCs w:val="21"/>
                <w:highlight w:val="none"/>
                <w:u w:val="single"/>
                <w:lang w:val="en-US" w:eastAsia="zh-CN"/>
              </w:rPr>
              <w:t>486735.38</w:t>
            </w:r>
            <w:r>
              <w:rPr>
                <w:rFonts w:hint="eastAsia" w:ascii="宋体" w:hAnsi="宋体" w:cs="宋体"/>
                <w:color w:val="FF0000"/>
                <w:kern w:val="0"/>
                <w:szCs w:val="21"/>
                <w:highlight w:val="none"/>
                <w:u w:val="single"/>
              </w:rPr>
              <w:t xml:space="preserve"> </w:t>
            </w:r>
            <w:r>
              <w:rPr>
                <w:rFonts w:hint="eastAsia" w:ascii="宋体" w:hAnsi="宋体" w:cs="宋体"/>
                <w:color w:val="FF0000"/>
                <w:kern w:val="0"/>
                <w:szCs w:val="21"/>
                <w:highlight w:val="none"/>
              </w:rPr>
              <w:t>元，安全文明施工费</w:t>
            </w:r>
            <w:r>
              <w:rPr>
                <w:rFonts w:hint="eastAsia" w:ascii="宋体" w:hAnsi="宋体" w:cs="宋体"/>
                <w:color w:val="FF0000"/>
                <w:kern w:val="0"/>
                <w:szCs w:val="21"/>
                <w:highlight w:val="none"/>
                <w:u w:val="single"/>
                <w:lang w:val="en-US" w:eastAsia="zh-CN"/>
              </w:rPr>
              <w:t>29489.65</w:t>
            </w:r>
            <w:r>
              <w:rPr>
                <w:rFonts w:hint="eastAsia" w:ascii="宋体" w:hAnsi="宋体" w:cs="宋体"/>
                <w:color w:val="FF0000"/>
                <w:kern w:val="0"/>
                <w:szCs w:val="21"/>
                <w:highlight w:val="none"/>
                <w:u w:val="single"/>
              </w:rPr>
              <w:t xml:space="preserve"> </w:t>
            </w:r>
            <w:r>
              <w:rPr>
                <w:rFonts w:hint="eastAsia" w:ascii="宋体" w:hAnsi="宋体" w:cs="宋体"/>
                <w:color w:val="FF0000"/>
                <w:kern w:val="0"/>
                <w:szCs w:val="21"/>
                <w:highlight w:val="none"/>
              </w:rPr>
              <w:t>元，规费</w:t>
            </w:r>
            <w:r>
              <w:rPr>
                <w:rFonts w:hint="eastAsia" w:ascii="宋体" w:hAnsi="宋体" w:cs="宋体"/>
                <w:color w:val="FF0000"/>
                <w:kern w:val="0"/>
                <w:szCs w:val="21"/>
                <w:highlight w:val="none"/>
                <w:u w:val="single"/>
              </w:rPr>
              <w:t xml:space="preserve"> </w:t>
            </w:r>
            <w:r>
              <w:rPr>
                <w:rFonts w:hint="eastAsia" w:ascii="宋体" w:hAnsi="宋体" w:cs="宋体"/>
                <w:color w:val="FF0000"/>
                <w:kern w:val="0"/>
                <w:szCs w:val="21"/>
                <w:highlight w:val="none"/>
                <w:u w:val="single"/>
                <w:lang w:val="en-US" w:eastAsia="zh-CN"/>
              </w:rPr>
              <w:t>51923.91</w:t>
            </w:r>
            <w:r>
              <w:rPr>
                <w:rFonts w:hint="eastAsia" w:ascii="宋体" w:hAnsi="宋体" w:cs="宋体"/>
                <w:color w:val="FF0000"/>
                <w:kern w:val="0"/>
                <w:szCs w:val="21"/>
                <w:highlight w:val="none"/>
              </w:rPr>
              <w:t>元，增值税</w:t>
            </w:r>
            <w:r>
              <w:rPr>
                <w:rFonts w:hint="eastAsia" w:ascii="宋体" w:hAnsi="宋体" w:cs="宋体"/>
                <w:b/>
                <w:bCs/>
                <w:color w:val="FF0000"/>
                <w:kern w:val="0"/>
                <w:szCs w:val="21"/>
                <w:highlight w:val="none"/>
                <w:u w:val="single"/>
              </w:rPr>
              <w:t xml:space="preserve"> </w:t>
            </w:r>
            <w:r>
              <w:rPr>
                <w:rFonts w:hint="eastAsia" w:ascii="宋体" w:hAnsi="宋体" w:cs="宋体"/>
                <w:color w:val="FF0000"/>
                <w:kern w:val="0"/>
                <w:szCs w:val="21"/>
                <w:highlight w:val="none"/>
                <w:u w:val="single"/>
                <w:lang w:val="en-US" w:eastAsia="zh-CN"/>
              </w:rPr>
              <w:t>46670.03</w:t>
            </w:r>
            <w:r>
              <w:rPr>
                <w:rFonts w:hint="eastAsia" w:ascii="宋体" w:hAnsi="宋体" w:cs="宋体"/>
                <w:b/>
                <w:bCs/>
                <w:color w:val="FF0000"/>
                <w:kern w:val="0"/>
                <w:szCs w:val="21"/>
                <w:highlight w:val="none"/>
                <w:u w:val="single"/>
              </w:rPr>
              <w:t xml:space="preserve"> </w:t>
            </w:r>
            <w:r>
              <w:rPr>
                <w:rFonts w:hint="eastAsia" w:ascii="宋体" w:hAnsi="宋体" w:cs="宋体"/>
                <w:color w:val="FF0000"/>
                <w:kern w:val="0"/>
                <w:szCs w:val="21"/>
                <w:highlight w:val="none"/>
              </w:rPr>
              <w:t>元，安全生产责任保险费暂估价</w:t>
            </w:r>
            <w:r>
              <w:rPr>
                <w:rFonts w:hint="eastAsia" w:ascii="宋体" w:hAnsi="宋体" w:cs="宋体"/>
                <w:color w:val="FF0000"/>
                <w:kern w:val="0"/>
                <w:szCs w:val="21"/>
                <w:highlight w:val="none"/>
                <w:u w:val="single"/>
              </w:rPr>
              <w:t xml:space="preserve"> </w:t>
            </w:r>
            <w:r>
              <w:rPr>
                <w:rFonts w:hint="eastAsia" w:ascii="宋体" w:hAnsi="宋体" w:cs="宋体"/>
                <w:color w:val="FF0000"/>
                <w:kern w:val="0"/>
                <w:szCs w:val="21"/>
                <w:highlight w:val="none"/>
                <w:u w:val="single"/>
                <w:lang w:val="en-US" w:eastAsia="zh-CN"/>
              </w:rPr>
              <w:t>1032.46</w:t>
            </w:r>
            <w:r>
              <w:rPr>
                <w:rFonts w:hint="eastAsia" w:ascii="宋体" w:hAnsi="宋体" w:cs="宋体"/>
                <w:color w:val="FF0000"/>
                <w:kern w:val="0"/>
                <w:szCs w:val="21"/>
                <w:highlight w:val="none"/>
                <w:u w:val="single"/>
              </w:rPr>
              <w:t xml:space="preserve"> </w:t>
            </w:r>
            <w:r>
              <w:rPr>
                <w:rFonts w:hint="eastAsia" w:ascii="宋体" w:hAnsi="宋体" w:cs="宋体"/>
                <w:color w:val="FF0000"/>
                <w:kern w:val="0"/>
                <w:szCs w:val="21"/>
                <w:highlight w:val="none"/>
              </w:rPr>
              <w:t>元，暂列金</w:t>
            </w:r>
            <w:r>
              <w:rPr>
                <w:rFonts w:hint="eastAsia" w:ascii="宋体" w:hAnsi="宋体" w:cs="宋体"/>
                <w:color w:val="FF0000"/>
                <w:kern w:val="0"/>
                <w:szCs w:val="21"/>
                <w:highlight w:val="none"/>
                <w:u w:val="single"/>
                <w:lang w:eastAsia="zh-CN"/>
              </w:rPr>
              <w:t>3000.00</w:t>
            </w:r>
            <w:r>
              <w:rPr>
                <w:rFonts w:hint="eastAsia" w:ascii="宋体" w:hAnsi="宋体" w:cs="宋体"/>
                <w:color w:val="FF0000"/>
                <w:kern w:val="0"/>
                <w:szCs w:val="21"/>
                <w:highlight w:val="none"/>
              </w:rPr>
              <w:t>元</w:t>
            </w:r>
            <w:r>
              <w:rPr>
                <w:rFonts w:hint="eastAsia" w:ascii="宋体" w:hAnsi="宋体" w:cs="宋体"/>
                <w:color w:val="FF0000"/>
                <w:kern w:val="0"/>
                <w:szCs w:val="21"/>
                <w:highlight w:val="none"/>
                <w:lang w:eastAsia="zh-CN"/>
              </w:rPr>
              <w:t>）</w:t>
            </w:r>
            <w:r>
              <w:rPr>
                <w:rFonts w:hint="eastAsia" w:ascii="宋体" w:hAnsi="宋体" w:cs="宋体"/>
                <w:b/>
                <w:bCs/>
                <w:color w:val="FF0000"/>
                <w:kern w:val="0"/>
                <w:szCs w:val="21"/>
              </w:rPr>
              <w:t>。</w:t>
            </w:r>
            <w:r>
              <w:rPr>
                <w:rFonts w:hint="eastAsia" w:ascii="宋体" w:hAnsi="宋体" w:eastAsia="宋体" w:cs="宋体"/>
                <w:color w:val="FF0000"/>
                <w:kern w:val="0"/>
                <w:szCs w:val="21"/>
                <w:highlight w:val="none"/>
              </w:rPr>
              <w:t>磋商总报价应按采购文件中相关附表格式填写。</w:t>
            </w:r>
          </w:p>
          <w:p w14:paraId="54A2ED37">
            <w:pPr>
              <w:tabs>
                <w:tab w:val="left" w:pos="1305"/>
              </w:tabs>
              <w:wordWrap w:val="0"/>
              <w:spacing w:line="38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13.2、磋商供应商必须就磋商文件所有内容作完整唯一报价，否则，其磋商将被拒绝。响应文件只允许有一个报价，有选择的或有条件的报价将不予接受。</w:t>
            </w:r>
          </w:p>
          <w:p w14:paraId="45004260">
            <w:pPr>
              <w:tabs>
                <w:tab w:val="left" w:pos="1305"/>
              </w:tabs>
              <w:wordWrap w:val="0"/>
              <w:spacing w:line="380" w:lineRule="exac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rPr>
              <w:t>13.3、磋商总报价包括本项目采购范围内一切</w:t>
            </w:r>
            <w:r>
              <w:rPr>
                <w:rFonts w:hint="eastAsia" w:ascii="宋体" w:hAnsi="宋体" w:cs="宋体"/>
                <w:color w:val="auto"/>
                <w:kern w:val="0"/>
                <w:szCs w:val="21"/>
                <w:highlight w:val="none"/>
                <w:lang w:eastAsia="zh-CN"/>
              </w:rPr>
              <w:t>工程价款</w:t>
            </w:r>
            <w:r>
              <w:rPr>
                <w:rFonts w:hint="eastAsia" w:ascii="宋体" w:hAnsi="宋体" w:eastAsia="宋体" w:cs="宋体"/>
                <w:color w:val="auto"/>
                <w:kern w:val="0"/>
                <w:szCs w:val="21"/>
                <w:highlight w:val="none"/>
              </w:rPr>
              <w:t>的总和；供应商综合考虑在报价中。</w:t>
            </w:r>
          </w:p>
          <w:p w14:paraId="11B75385">
            <w:pPr>
              <w:wordWrap w:val="0"/>
              <w:snapToGrid w:val="0"/>
              <w:spacing w:line="380" w:lineRule="exact"/>
              <w:jc w:val="left"/>
              <w:rPr>
                <w:rFonts w:hint="eastAsia" w:ascii="宋体" w:hAnsi="宋体" w:eastAsia="宋体" w:cs="宋体"/>
                <w:color w:val="auto"/>
                <w:highlight w:val="none"/>
              </w:rPr>
            </w:pPr>
            <w:r>
              <w:rPr>
                <w:rFonts w:hint="eastAsia" w:ascii="宋体" w:hAnsi="宋体" w:eastAsia="宋体" w:cs="宋体"/>
                <w:b/>
                <w:bCs/>
                <w:color w:val="auto"/>
                <w:kern w:val="0"/>
                <w:szCs w:val="21"/>
                <w:highlight w:val="none"/>
              </w:rPr>
              <w:t>注：供应商的磋商报价不</w:t>
            </w:r>
            <w:r>
              <w:rPr>
                <w:rFonts w:hint="eastAsia" w:ascii="宋体" w:hAnsi="宋体" w:cs="宋体"/>
                <w:b/>
                <w:bCs/>
                <w:color w:val="auto"/>
                <w:kern w:val="0"/>
                <w:szCs w:val="21"/>
                <w:highlight w:val="none"/>
                <w:lang w:eastAsia="zh-CN"/>
              </w:rPr>
              <w:t>得超过本工程最高限价金额</w:t>
            </w:r>
            <w:r>
              <w:rPr>
                <w:rFonts w:hint="eastAsia" w:ascii="宋体" w:hAnsi="宋体" w:eastAsia="宋体" w:cs="宋体"/>
                <w:b/>
                <w:bCs/>
                <w:color w:val="auto"/>
                <w:kern w:val="0"/>
                <w:szCs w:val="21"/>
                <w:highlight w:val="none"/>
              </w:rPr>
              <w:t xml:space="preserve">，否则作无效竞标处理；供应商的第二次磋商报价不得高于该供应商第一次磋商报价，否则做无效标处理。如供应商维持磋商报价不变，以原磋商报价作为供应商最后报价；如供应商需要改变原磋商报价时，供应商应预先准备好调整后的已标价的工程量清单。 </w:t>
            </w:r>
          </w:p>
        </w:tc>
      </w:tr>
      <w:tr w14:paraId="25EC3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2" w:type="pct"/>
            <w:noWrap w:val="0"/>
            <w:vAlign w:val="center"/>
          </w:tcPr>
          <w:p w14:paraId="713AE814">
            <w:pPr>
              <w:wordWrap w:val="0"/>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460" w:type="pct"/>
            <w:noWrap w:val="0"/>
            <w:vAlign w:val="center"/>
          </w:tcPr>
          <w:p w14:paraId="7B776BF7">
            <w:pPr>
              <w:wordWrap w:val="0"/>
              <w:spacing w:line="360" w:lineRule="exact"/>
              <w:ind w:left="420" w:hanging="420" w:hangingChars="200"/>
              <w:jc w:val="center"/>
              <w:rPr>
                <w:rFonts w:hint="eastAsia" w:ascii="宋体" w:hAnsi="宋体" w:eastAsia="宋体" w:cs="宋体"/>
                <w:color w:val="auto"/>
                <w:kern w:val="0"/>
                <w:position w:val="-2"/>
                <w:szCs w:val="21"/>
                <w:highlight w:val="none"/>
              </w:rPr>
            </w:pPr>
            <w:r>
              <w:rPr>
                <w:rFonts w:hint="eastAsia" w:ascii="宋体" w:hAnsi="宋体" w:eastAsia="宋体" w:cs="宋体"/>
                <w:color w:val="auto"/>
                <w:kern w:val="0"/>
                <w:position w:val="-2"/>
                <w:szCs w:val="21"/>
                <w:highlight w:val="none"/>
              </w:rPr>
              <w:t>14.1</w:t>
            </w:r>
          </w:p>
        </w:tc>
        <w:tc>
          <w:tcPr>
            <w:tcW w:w="951" w:type="pct"/>
            <w:noWrap w:val="0"/>
            <w:vAlign w:val="center"/>
          </w:tcPr>
          <w:p w14:paraId="3639F2D9">
            <w:pPr>
              <w:wordWrap w:val="0"/>
              <w:spacing w:line="360" w:lineRule="exact"/>
              <w:jc w:val="center"/>
              <w:rPr>
                <w:rFonts w:hint="eastAsia" w:ascii="宋体" w:hAnsi="宋体" w:eastAsia="宋体" w:cs="宋体"/>
                <w:color w:val="auto"/>
                <w:kern w:val="0"/>
                <w:position w:val="-2"/>
                <w:szCs w:val="21"/>
                <w:highlight w:val="none"/>
              </w:rPr>
            </w:pPr>
            <w:r>
              <w:rPr>
                <w:rFonts w:hint="eastAsia" w:ascii="宋体" w:hAnsi="宋体" w:eastAsia="宋体" w:cs="宋体"/>
                <w:color w:val="auto"/>
                <w:kern w:val="0"/>
                <w:szCs w:val="21"/>
                <w:highlight w:val="none"/>
              </w:rPr>
              <w:t>响应文件有效期</w:t>
            </w:r>
          </w:p>
        </w:tc>
        <w:tc>
          <w:tcPr>
            <w:tcW w:w="3234" w:type="pct"/>
            <w:noWrap w:val="0"/>
            <w:vAlign w:val="center"/>
          </w:tcPr>
          <w:p w14:paraId="50BD0EE3">
            <w:pPr>
              <w:tabs>
                <w:tab w:val="left" w:pos="1305"/>
              </w:tabs>
              <w:wordWrap w:val="0"/>
              <w:spacing w:line="36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自响应文件提交截止时间之日起90天，有效期不足的响应文件将被拒绝。</w:t>
            </w:r>
          </w:p>
        </w:tc>
      </w:tr>
      <w:tr w14:paraId="1E1A1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2" w:type="pct"/>
            <w:noWrap w:val="0"/>
            <w:vAlign w:val="center"/>
          </w:tcPr>
          <w:p w14:paraId="7AFEBA8D">
            <w:pPr>
              <w:wordWrap w:val="0"/>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460" w:type="pct"/>
            <w:noWrap w:val="0"/>
            <w:vAlign w:val="center"/>
          </w:tcPr>
          <w:p w14:paraId="1BC3A392">
            <w:pPr>
              <w:wordWrap w:val="0"/>
              <w:spacing w:line="360" w:lineRule="exact"/>
              <w:ind w:left="420" w:hanging="420" w:hangingChars="20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951" w:type="pct"/>
            <w:noWrap w:val="0"/>
            <w:vAlign w:val="center"/>
          </w:tcPr>
          <w:p w14:paraId="7A93A3D4">
            <w:pPr>
              <w:wordWrap w:val="0"/>
              <w:spacing w:line="360" w:lineRule="exact"/>
              <w:jc w:val="center"/>
              <w:rPr>
                <w:rFonts w:hint="eastAsia" w:ascii="宋体" w:hAnsi="宋体" w:eastAsia="宋体" w:cs="宋体"/>
                <w:bCs/>
                <w:color w:val="auto"/>
                <w:szCs w:val="21"/>
                <w:highlight w:val="none"/>
              </w:rPr>
            </w:pPr>
            <w:r>
              <w:rPr>
                <w:rFonts w:hint="eastAsia" w:ascii="宋体" w:hAnsi="宋体" w:eastAsia="宋体" w:cs="宋体"/>
                <w:color w:val="auto"/>
                <w:kern w:val="0"/>
                <w:szCs w:val="21"/>
                <w:highlight w:val="none"/>
              </w:rPr>
              <w:t>电子响应文件的制作、加密</w:t>
            </w:r>
          </w:p>
        </w:tc>
        <w:tc>
          <w:tcPr>
            <w:tcW w:w="3234" w:type="pct"/>
            <w:noWrap w:val="0"/>
            <w:vAlign w:val="center"/>
          </w:tcPr>
          <w:p w14:paraId="7DC68820">
            <w:pPr>
              <w:wordWrap w:val="0"/>
              <w:snapToGrid w:val="0"/>
              <w:spacing w:line="380" w:lineRule="exact"/>
              <w:jc w:val="left"/>
              <w:rPr>
                <w:rFonts w:hint="eastAsia" w:ascii="宋体" w:hAnsi="宋体" w:eastAsia="宋体" w:cs="宋体"/>
                <w:bCs/>
                <w:color w:val="auto"/>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bCs/>
                <w:color w:val="auto"/>
                <w:szCs w:val="21"/>
                <w:highlight w:val="none"/>
              </w:rPr>
              <w:t>供应商制作电子响应文件前，应</w:t>
            </w:r>
            <w:r>
              <w:rPr>
                <w:rFonts w:hint="eastAsia" w:ascii="宋体" w:hAnsi="宋体" w:cs="宋体"/>
                <w:bCs/>
                <w:color w:val="auto"/>
                <w:szCs w:val="21"/>
                <w:highlight w:val="none"/>
                <w:lang w:eastAsia="zh-CN"/>
              </w:rPr>
              <w:t xml:space="preserve"> 登录</w:t>
            </w:r>
            <w:r>
              <w:rPr>
                <w:rFonts w:hint="eastAsia" w:ascii="宋体" w:hAnsi="宋体" w:eastAsia="宋体" w:cs="宋体"/>
                <w:color w:val="auto"/>
                <w:szCs w:val="21"/>
                <w:highlight w:val="none"/>
              </w:rPr>
              <w:t>“广西政府采购云平台”</w:t>
            </w:r>
            <w:r>
              <w:rPr>
                <w:rFonts w:hint="eastAsia" w:ascii="宋体" w:hAnsi="宋体" w:eastAsia="宋体" w:cs="宋体"/>
                <w:bCs/>
                <w:color w:val="auto"/>
                <w:szCs w:val="21"/>
                <w:highlight w:val="none"/>
              </w:rPr>
              <w:t>进行“申请获取采购文件”操作，否则，有可能导致无法在线编制响应文件并参与竞标，其不利后果由供应商自行承担。</w:t>
            </w:r>
          </w:p>
          <w:p w14:paraId="2C4C8995">
            <w:pPr>
              <w:wordWrap w:val="0"/>
              <w:snapToGrid w:val="0"/>
              <w:spacing w:line="380" w:lineRule="exact"/>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15.2供应商下载或获取竞争性磋商文件后，登录“</w:t>
            </w:r>
            <w:r>
              <w:rPr>
                <w:rFonts w:hint="eastAsia" w:ascii="宋体" w:hAnsi="宋体" w:eastAsia="宋体" w:cs="宋体"/>
                <w:color w:val="auto"/>
                <w:szCs w:val="21"/>
                <w:highlight w:val="none"/>
              </w:rPr>
              <w:t>广西政府采购云平台客户端</w:t>
            </w:r>
            <w:r>
              <w:rPr>
                <w:rFonts w:hint="eastAsia" w:ascii="宋体" w:hAnsi="宋体" w:eastAsia="宋体" w:cs="宋体"/>
                <w:bCs/>
                <w:color w:val="auto"/>
                <w:szCs w:val="21"/>
                <w:highlight w:val="none"/>
              </w:rPr>
              <w:t>”，按照本磋商文件</w:t>
            </w:r>
            <w:r>
              <w:rPr>
                <w:rFonts w:hint="eastAsia" w:ascii="宋体" w:hAnsi="宋体" w:eastAsia="宋体" w:cs="宋体"/>
                <w:color w:val="auto"/>
                <w:szCs w:val="21"/>
                <w:highlight w:val="none"/>
              </w:rPr>
              <w:t>规定的响应文件格式、顺序</w:t>
            </w:r>
            <w:r>
              <w:rPr>
                <w:rFonts w:hint="eastAsia" w:ascii="宋体" w:hAnsi="宋体" w:eastAsia="宋体" w:cs="宋体"/>
                <w:bCs/>
                <w:color w:val="auto"/>
                <w:szCs w:val="21"/>
                <w:highlight w:val="none"/>
              </w:rPr>
              <w:t>以及“</w:t>
            </w:r>
            <w:r>
              <w:rPr>
                <w:rFonts w:hint="eastAsia" w:ascii="宋体" w:hAnsi="宋体" w:eastAsia="宋体" w:cs="宋体"/>
                <w:color w:val="auto"/>
                <w:szCs w:val="21"/>
                <w:highlight w:val="none"/>
              </w:rPr>
              <w:t>广西政府采购云平台</w:t>
            </w:r>
            <w:r>
              <w:rPr>
                <w:rFonts w:hint="eastAsia" w:ascii="宋体" w:hAnsi="宋体" w:eastAsia="宋体" w:cs="宋体"/>
                <w:bCs/>
                <w:color w:val="auto"/>
                <w:szCs w:val="21"/>
                <w:highlight w:val="none"/>
              </w:rPr>
              <w:t>”的要求，通过“</w:t>
            </w:r>
            <w:r>
              <w:rPr>
                <w:rFonts w:hint="eastAsia" w:ascii="宋体" w:hAnsi="宋体" w:eastAsia="宋体" w:cs="宋体"/>
                <w:color w:val="auto"/>
                <w:szCs w:val="21"/>
                <w:highlight w:val="none"/>
              </w:rPr>
              <w:t>广西政府采购云平台客户端</w:t>
            </w:r>
            <w:r>
              <w:rPr>
                <w:rFonts w:hint="eastAsia" w:ascii="宋体" w:hAnsi="宋体" w:eastAsia="宋体" w:cs="宋体"/>
                <w:bCs/>
                <w:color w:val="auto"/>
                <w:szCs w:val="21"/>
                <w:highlight w:val="none"/>
              </w:rPr>
              <w:t>”编制电子响应文件。</w:t>
            </w:r>
          </w:p>
          <w:p w14:paraId="4C452A18">
            <w:pPr>
              <w:keepNext w:val="0"/>
              <w:keepLines w:val="0"/>
              <w:pageBreakBefore w:val="0"/>
              <w:widowControl w:val="0"/>
              <w:kinsoku/>
              <w:wordWrap w:val="0"/>
              <w:overflowPunct/>
              <w:topLinePunct w:val="0"/>
              <w:autoSpaceDE/>
              <w:autoSpaceDN/>
              <w:bidi w:val="0"/>
              <w:adjustRightInd/>
              <w:snapToGrid w:val="0"/>
              <w:spacing w:line="380" w:lineRule="exact"/>
              <w:ind w:left="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w:t>
            </w:r>
            <w:r>
              <w:rPr>
                <w:rFonts w:hint="eastAsia" w:ascii="宋体" w:hAnsi="宋体" w:eastAsia="宋体" w:cs="宋体"/>
                <w:color w:val="auto"/>
                <w:highlight w:val="none"/>
              </w:rPr>
              <w:t>供应商应按“</w:t>
            </w:r>
            <w:r>
              <w:rPr>
                <w:rFonts w:hint="eastAsia" w:ascii="宋体" w:hAnsi="宋体" w:eastAsia="宋体" w:cs="宋体"/>
                <w:color w:val="auto"/>
                <w:szCs w:val="21"/>
                <w:highlight w:val="none"/>
              </w:rPr>
              <w:t>广西政府采购云平台客户端</w:t>
            </w:r>
            <w:r>
              <w:rPr>
                <w:rFonts w:hint="eastAsia" w:ascii="宋体" w:hAnsi="宋体" w:eastAsia="宋体" w:cs="宋体"/>
                <w:color w:val="auto"/>
                <w:highlight w:val="none"/>
              </w:rPr>
              <w:t>”载明的“标书关联”功能进行电子响应文件的关联定位，以便磋商小组在评审时点击相应评审项可直接定位到该评审内容；如供应商的电子响应文件未能关联定位相应内容，或者关联定位的内容与该评审项不符，导致磋商小组无法查询并做出对供应商不利的评审，相关后果由供应商自行承担。</w:t>
            </w:r>
          </w:p>
          <w:p w14:paraId="017E5490">
            <w:pPr>
              <w:wordWrap w:val="0"/>
              <w:snapToGrid w:val="0"/>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15.4电子响应文件不得涂改，若有修改错漏处，须由法定代表人（负责人、自然人）或授权委托代理人通过“广西政府采购云平台客户端”采用政采云个人CA证书签章，没有办理政采云个人CA证书签章的，在响应文件中响应位置手写签字后扫描或者拍照做成 PDF 的格式上传。因响应文件字迹潦草、表达不清、内容不完整、编排混乱导致响应文件被误读、漏读，或者在按竞争性磋商文件规定的部位查找不到相关内容的，其不利后果由供应商自行承担。</w:t>
            </w:r>
          </w:p>
          <w:p w14:paraId="631B0361">
            <w:pPr>
              <w:wordWrap w:val="0"/>
              <w:snapToGrid w:val="0"/>
              <w:spacing w:line="38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15.5供应商编制、生成电子响应文件后应当</w:t>
            </w:r>
            <w:r>
              <w:rPr>
                <w:rFonts w:hint="eastAsia" w:ascii="宋体" w:hAnsi="宋体" w:eastAsia="宋体" w:cs="宋体"/>
                <w:bCs/>
                <w:color w:val="auto"/>
                <w:szCs w:val="21"/>
                <w:highlight w:val="none"/>
              </w:rPr>
              <w:t>加密响应文件。供应商未按规定编制并加密的响应文件，</w:t>
            </w:r>
            <w:r>
              <w:rPr>
                <w:rFonts w:hint="eastAsia" w:ascii="宋体" w:hAnsi="宋体" w:eastAsia="宋体" w:cs="宋体"/>
                <w:color w:val="auto"/>
                <w:szCs w:val="21"/>
                <w:highlight w:val="none"/>
              </w:rPr>
              <w:t>“广西政府采购云平台”</w:t>
            </w:r>
            <w:r>
              <w:rPr>
                <w:rFonts w:hint="eastAsia" w:ascii="宋体" w:hAnsi="宋体" w:eastAsia="宋体" w:cs="宋体"/>
                <w:bCs/>
                <w:color w:val="auto"/>
                <w:szCs w:val="21"/>
                <w:highlight w:val="none"/>
              </w:rPr>
              <w:t>将予以拒收。</w:t>
            </w:r>
          </w:p>
        </w:tc>
      </w:tr>
      <w:tr w14:paraId="739A0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2" w:type="pct"/>
            <w:noWrap w:val="0"/>
            <w:vAlign w:val="center"/>
          </w:tcPr>
          <w:p w14:paraId="40CB9C69">
            <w:pPr>
              <w:wordWrap w:val="0"/>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460" w:type="pct"/>
            <w:noWrap w:val="0"/>
            <w:vAlign w:val="center"/>
          </w:tcPr>
          <w:p w14:paraId="0F88E7B8">
            <w:pPr>
              <w:wordWrap w:val="0"/>
              <w:spacing w:line="360" w:lineRule="exact"/>
              <w:ind w:left="420" w:hanging="420" w:hangingChars="20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15.6</w:t>
            </w:r>
          </w:p>
        </w:tc>
        <w:tc>
          <w:tcPr>
            <w:tcW w:w="951" w:type="pct"/>
            <w:noWrap w:val="0"/>
            <w:vAlign w:val="center"/>
          </w:tcPr>
          <w:p w14:paraId="6EF24976">
            <w:pPr>
              <w:wordWrap w:val="0"/>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供应商公章及签字</w:t>
            </w:r>
          </w:p>
        </w:tc>
        <w:tc>
          <w:tcPr>
            <w:tcW w:w="3234" w:type="pct"/>
            <w:noWrap w:val="0"/>
            <w:vAlign w:val="center"/>
          </w:tcPr>
          <w:p w14:paraId="7DDF8B0E">
            <w:pPr>
              <w:wordWrap w:val="0"/>
              <w:snapToGrid w:val="0"/>
              <w:spacing w:line="38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15.6.1本竞争性磋商文件中描述供应商的“公章”是指供应商通过指定电子化政府采购平台办理数字证书（CA认证证书）获得的以法定主体行为名称制作的电子印章。</w:t>
            </w:r>
          </w:p>
          <w:p w14:paraId="45816C75">
            <w:pPr>
              <w:wordWrap w:val="0"/>
              <w:snapToGrid w:val="0"/>
              <w:spacing w:line="38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15.6.2本竞争性磋商文件中要求供应商对其电子响应文件的相关内容加盖公章的，均指采用CA证书签章。</w:t>
            </w:r>
          </w:p>
          <w:p w14:paraId="43106AB6">
            <w:pPr>
              <w:wordWrap w:val="0"/>
              <w:snapToGrid w:val="0"/>
              <w:spacing w:line="38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15.6.3本磋商文件中描述供应商的“签字”是指供应商通过指定电子化政府采购平台办理数字证书（CA认证证书）获得的以供应商法定代表人（自负责人、自然人）或者委托代理人姓名制作的个人电子印章或手写签字。没有办理个人CA证书的，可以为手写签字的形式。</w:t>
            </w:r>
          </w:p>
        </w:tc>
      </w:tr>
      <w:tr w14:paraId="31891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2" w:type="pct"/>
            <w:noWrap w:val="0"/>
            <w:vAlign w:val="center"/>
          </w:tcPr>
          <w:p w14:paraId="5BA2F8C3">
            <w:pPr>
              <w:wordWrap w:val="0"/>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460" w:type="pct"/>
            <w:noWrap w:val="0"/>
            <w:vAlign w:val="center"/>
          </w:tcPr>
          <w:p w14:paraId="0280415B">
            <w:pPr>
              <w:wordWrap w:val="0"/>
              <w:spacing w:line="360" w:lineRule="exact"/>
              <w:ind w:left="420" w:hanging="420" w:hanging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w:t>
            </w:r>
          </w:p>
        </w:tc>
        <w:tc>
          <w:tcPr>
            <w:tcW w:w="951" w:type="pct"/>
            <w:noWrap w:val="0"/>
            <w:vAlign w:val="center"/>
          </w:tcPr>
          <w:p w14:paraId="7184FD9D">
            <w:pPr>
              <w:wordWrap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首次响应文件的提交、撤回、修改</w:t>
            </w:r>
          </w:p>
        </w:tc>
        <w:tc>
          <w:tcPr>
            <w:tcW w:w="3234" w:type="pct"/>
            <w:noWrap w:val="0"/>
            <w:vAlign w:val="center"/>
          </w:tcPr>
          <w:p w14:paraId="708FF7AE">
            <w:pPr>
              <w:wordWrap w:val="0"/>
              <w:spacing w:line="400" w:lineRule="exact"/>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16.1响应文件的提交截止时间：</w:t>
            </w:r>
            <w:r>
              <w:rPr>
                <w:rFonts w:hint="eastAsia" w:ascii="宋体" w:hAnsi="宋体" w:cs="宋体"/>
                <w:color w:val="auto"/>
                <w:szCs w:val="21"/>
                <w:highlight w:val="none"/>
                <w:lang w:eastAsia="zh-CN"/>
              </w:rPr>
              <w:t>2025年12月22日</w:t>
            </w:r>
            <w:r>
              <w:rPr>
                <w:rFonts w:hint="eastAsia" w:ascii="宋体" w:hAnsi="宋体" w:eastAsia="宋体" w:cs="宋体"/>
                <w:color w:val="auto"/>
                <w:szCs w:val="21"/>
                <w:highlight w:val="none"/>
              </w:rPr>
              <w:t>上午9</w:t>
            </w:r>
            <w:r>
              <w:rPr>
                <w:rFonts w:hint="eastAsia" w:ascii="宋体" w:hAnsi="宋体" w:eastAsia="宋体" w:cs="宋体"/>
                <w:bCs/>
                <w:color w:val="auto"/>
                <w:szCs w:val="21"/>
                <w:highlight w:val="none"/>
              </w:rPr>
              <w:t>时30分（北京时间）</w:t>
            </w:r>
          </w:p>
          <w:p w14:paraId="1462427E">
            <w:pPr>
              <w:wordWrap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16.2地点：通过“广西政府采购云平台”在线提交。</w:t>
            </w:r>
          </w:p>
          <w:p w14:paraId="08F0FE4A">
            <w:pPr>
              <w:wordWrap w:val="0"/>
              <w:adjustRightInd w:val="0"/>
              <w:snapToGrid w:val="0"/>
              <w:spacing w:line="40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16.3供应商应当在响应文件提交截止时间前，将生成的电子响应文件上传提交至</w:t>
            </w:r>
            <w:r>
              <w:rPr>
                <w:rFonts w:hint="eastAsia" w:ascii="宋体" w:hAnsi="宋体" w:eastAsia="宋体" w:cs="宋体"/>
                <w:color w:val="auto"/>
                <w:szCs w:val="21"/>
                <w:highlight w:val="none"/>
              </w:rPr>
              <w:t>“广西政府采购云平台”</w:t>
            </w:r>
            <w:r>
              <w:rPr>
                <w:rFonts w:hint="eastAsia" w:ascii="宋体" w:hAnsi="宋体" w:eastAsia="宋体" w:cs="宋体"/>
                <w:bCs/>
                <w:color w:val="auto"/>
                <w:szCs w:val="21"/>
                <w:highlight w:val="none"/>
              </w:rPr>
              <w:t>。响应文件提交截止时间前可以补充、修改或撤回电子响应文件，补充、修改电子响应文件的，应当先行撤回原文件，补充、修改后重新传输提交。</w:t>
            </w:r>
            <w:r>
              <w:rPr>
                <w:rFonts w:hint="eastAsia" w:ascii="宋体" w:hAnsi="宋体" w:eastAsia="宋体" w:cs="宋体"/>
                <w:color w:val="auto"/>
                <w:kern w:val="0"/>
                <w:szCs w:val="21"/>
                <w:highlight w:val="none"/>
              </w:rPr>
              <w:t>在响应文件提交截止时间后的响应文件有效期内，供应商不得撤回其响应文件。</w:t>
            </w:r>
            <w:r>
              <w:rPr>
                <w:rFonts w:hint="eastAsia" w:ascii="宋体" w:hAnsi="宋体" w:eastAsia="宋体" w:cs="宋体"/>
                <w:bCs/>
                <w:color w:val="auto"/>
                <w:szCs w:val="21"/>
                <w:highlight w:val="none"/>
              </w:rPr>
              <w:t>响应文件提交截止时间前未成功将电子响应文件上传</w:t>
            </w:r>
            <w:r>
              <w:rPr>
                <w:rFonts w:hint="eastAsia" w:ascii="宋体" w:hAnsi="宋体" w:eastAsia="宋体" w:cs="宋体"/>
                <w:color w:val="auto"/>
                <w:szCs w:val="21"/>
                <w:highlight w:val="none"/>
              </w:rPr>
              <w:t>“广西政府采购云平台”</w:t>
            </w:r>
            <w:r>
              <w:rPr>
                <w:rFonts w:hint="eastAsia" w:ascii="宋体" w:hAnsi="宋体" w:eastAsia="宋体" w:cs="宋体"/>
                <w:bCs/>
                <w:color w:val="auto"/>
                <w:szCs w:val="21"/>
                <w:highlight w:val="none"/>
              </w:rPr>
              <w:t>的，视为未提交响应文件。</w:t>
            </w:r>
            <w:r>
              <w:rPr>
                <w:rFonts w:hint="eastAsia" w:ascii="宋体" w:hAnsi="宋体" w:eastAsia="宋体" w:cs="宋体"/>
                <w:color w:val="auto"/>
                <w:szCs w:val="21"/>
                <w:highlight w:val="none"/>
              </w:rPr>
              <w:t>供应商在使用系统进行投标的过程中遇到涉及平台使用的任何问题，可致电广西政府采购云平台技术支持热线咨询，联系方式：95763。</w:t>
            </w:r>
          </w:p>
          <w:p w14:paraId="44B3A3F6">
            <w:pPr>
              <w:tabs>
                <w:tab w:val="left" w:pos="1305"/>
              </w:tabs>
              <w:wordWrap w:val="0"/>
              <w:spacing w:line="38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16.4除竞争性磋商文件另有规定外，供应商所提交的响应文件不予退还。</w:t>
            </w:r>
          </w:p>
        </w:tc>
      </w:tr>
      <w:tr w14:paraId="5FD2D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2" w:type="pct"/>
            <w:noWrap w:val="0"/>
            <w:vAlign w:val="center"/>
          </w:tcPr>
          <w:p w14:paraId="60BBF45A">
            <w:pPr>
              <w:wordWrap w:val="0"/>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460" w:type="pct"/>
            <w:noWrap w:val="0"/>
            <w:vAlign w:val="center"/>
          </w:tcPr>
          <w:p w14:paraId="70212DD0">
            <w:pPr>
              <w:wordWrap w:val="0"/>
              <w:spacing w:line="360" w:lineRule="exact"/>
              <w:ind w:left="420" w:hanging="420" w:hanging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w:t>
            </w:r>
          </w:p>
        </w:tc>
        <w:tc>
          <w:tcPr>
            <w:tcW w:w="951" w:type="pct"/>
            <w:noWrap w:val="0"/>
            <w:vAlign w:val="center"/>
          </w:tcPr>
          <w:p w14:paraId="1EB1BACA">
            <w:pPr>
              <w:wordWrap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响应文件的解密</w:t>
            </w:r>
          </w:p>
        </w:tc>
        <w:tc>
          <w:tcPr>
            <w:tcW w:w="3234" w:type="pct"/>
            <w:noWrap w:val="0"/>
            <w:vAlign w:val="center"/>
          </w:tcPr>
          <w:p w14:paraId="2348C176">
            <w:pPr>
              <w:wordWrap w:val="0"/>
              <w:adjustRightInd w:val="0"/>
              <w:snapToGrid w:val="0"/>
              <w:spacing w:line="40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17.1解密截止时间：响应文件提交截止时间后30分钟，即</w:t>
            </w:r>
            <w:r>
              <w:rPr>
                <w:rFonts w:hint="eastAsia" w:ascii="宋体" w:hAnsi="宋体" w:cs="宋体"/>
                <w:bCs/>
                <w:color w:val="auto"/>
                <w:szCs w:val="21"/>
                <w:highlight w:val="none"/>
                <w:lang w:eastAsia="zh-CN"/>
              </w:rPr>
              <w:t>2025年12月22日</w:t>
            </w:r>
            <w:r>
              <w:rPr>
                <w:rFonts w:hint="eastAsia" w:ascii="宋体" w:hAnsi="宋体" w:eastAsia="宋体" w:cs="宋体"/>
                <w:bCs/>
                <w:color w:val="auto"/>
                <w:szCs w:val="21"/>
                <w:highlight w:val="none"/>
              </w:rPr>
              <w:t>上午</w:t>
            </w:r>
            <w:r>
              <w:rPr>
                <w:rFonts w:hint="eastAsia" w:ascii="宋体" w:hAnsi="宋体" w:eastAsia="宋体" w:cs="宋体"/>
                <w:bCs/>
                <w:color w:val="auto"/>
                <w:szCs w:val="21"/>
                <w:highlight w:val="none"/>
                <w:lang w:val="en-US" w:eastAsia="zh-CN"/>
              </w:rPr>
              <w:t>9</w:t>
            </w:r>
            <w:r>
              <w:rPr>
                <w:rFonts w:hint="eastAsia" w:ascii="宋体" w:hAnsi="宋体" w:eastAsia="宋体" w:cs="宋体"/>
                <w:bCs/>
                <w:color w:val="auto"/>
                <w:szCs w:val="21"/>
                <w:highlight w:val="none"/>
              </w:rPr>
              <w:t>时</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0分。供应商登录</w:t>
            </w:r>
            <w:r>
              <w:rPr>
                <w:rFonts w:hint="eastAsia" w:ascii="宋体" w:hAnsi="宋体" w:eastAsia="宋体" w:cs="宋体"/>
                <w:color w:val="auto"/>
                <w:szCs w:val="21"/>
                <w:highlight w:val="none"/>
              </w:rPr>
              <w:t>“广西政府采购云平台”</w:t>
            </w:r>
            <w:r>
              <w:rPr>
                <w:rFonts w:hint="eastAsia" w:ascii="宋体" w:hAnsi="宋体" w:eastAsia="宋体" w:cs="宋体"/>
                <w:bCs/>
                <w:color w:val="auto"/>
                <w:szCs w:val="21"/>
                <w:highlight w:val="none"/>
              </w:rPr>
              <w:t>，通过“项目采购-开标评标”功能解密电子响应文件。</w:t>
            </w:r>
          </w:p>
          <w:p w14:paraId="59B7C5D6">
            <w:pPr>
              <w:wordWrap w:val="0"/>
              <w:adjustRightInd w:val="0"/>
              <w:snapToGrid w:val="0"/>
              <w:spacing w:line="40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17.2若供应商在上述规定的解密截止时间内无法解密或解密失败的，可以提交电子备份响应文件作为评审依据。电子备份响文件提交时间：解密截止时间起至</w:t>
            </w:r>
            <w:r>
              <w:rPr>
                <w:rFonts w:hint="eastAsia" w:ascii="宋体" w:hAnsi="宋体" w:cs="宋体"/>
                <w:bCs/>
                <w:color w:val="auto"/>
                <w:szCs w:val="21"/>
                <w:highlight w:val="none"/>
                <w:lang w:eastAsia="zh-CN"/>
              </w:rPr>
              <w:t>2025年12月22日</w:t>
            </w:r>
            <w:r>
              <w:rPr>
                <w:rFonts w:hint="eastAsia" w:ascii="宋体" w:hAnsi="宋体" w:eastAsia="宋体" w:cs="宋体"/>
                <w:bCs/>
                <w:color w:val="auto"/>
                <w:szCs w:val="21"/>
                <w:highlight w:val="none"/>
              </w:rPr>
              <w:t>上午10时00分止。可以在</w:t>
            </w:r>
            <w:r>
              <w:rPr>
                <w:rFonts w:hint="eastAsia" w:ascii="宋体" w:hAnsi="宋体" w:eastAsia="宋体" w:cs="宋体"/>
                <w:bCs/>
                <w:color w:val="auto"/>
                <w:szCs w:val="21"/>
                <w:highlight w:val="none"/>
                <w:lang w:val="en-US" w:eastAsia="zh-CN"/>
              </w:rPr>
              <w:t>响应</w:t>
            </w:r>
            <w:r>
              <w:rPr>
                <w:rFonts w:hint="eastAsia" w:ascii="宋体" w:hAnsi="宋体" w:eastAsia="宋体" w:cs="宋体"/>
                <w:bCs/>
                <w:color w:val="auto"/>
                <w:szCs w:val="21"/>
                <w:highlight w:val="none"/>
              </w:rPr>
              <w:t>文件解密截止时间后30分钟内向采购代理机构提交电子备份投标文件（接收电子备份响应文件的电子邮箱为：gxhcdglfgs@163.com），供应商在上述时间以外提交的电子备份响应文件，不予认可）。若供应商在规定时间内无法解密或解密失败且未在规定的时间内提供电子备份响应文件的(包含提供的电子备份文件无效或无法解密的情况)，响应文件按无效处理。</w:t>
            </w:r>
          </w:p>
        </w:tc>
      </w:tr>
      <w:tr w14:paraId="580EA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2" w:type="pct"/>
            <w:noWrap w:val="0"/>
            <w:vAlign w:val="center"/>
          </w:tcPr>
          <w:p w14:paraId="3B177939">
            <w:pPr>
              <w:wordWrap w:val="0"/>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460" w:type="pct"/>
            <w:noWrap w:val="0"/>
            <w:vAlign w:val="center"/>
          </w:tcPr>
          <w:p w14:paraId="3859344C">
            <w:pPr>
              <w:wordWrap w:val="0"/>
              <w:spacing w:line="360" w:lineRule="exact"/>
              <w:ind w:left="420" w:hanging="420" w:hangingChars="200"/>
              <w:jc w:val="center"/>
              <w:rPr>
                <w:rFonts w:hint="eastAsia" w:ascii="宋体" w:hAnsi="宋体" w:eastAsia="宋体" w:cs="宋体"/>
                <w:color w:val="auto"/>
                <w:kern w:val="0"/>
                <w:position w:val="-2"/>
                <w:szCs w:val="21"/>
                <w:highlight w:val="none"/>
              </w:rPr>
            </w:pPr>
            <w:r>
              <w:rPr>
                <w:rFonts w:hint="eastAsia" w:ascii="宋体" w:hAnsi="宋体" w:eastAsia="宋体" w:cs="宋体"/>
                <w:color w:val="auto"/>
                <w:kern w:val="0"/>
                <w:position w:val="-2"/>
                <w:szCs w:val="21"/>
                <w:highlight w:val="none"/>
              </w:rPr>
              <w:t>18.1</w:t>
            </w:r>
          </w:p>
        </w:tc>
        <w:tc>
          <w:tcPr>
            <w:tcW w:w="951" w:type="pct"/>
            <w:noWrap w:val="0"/>
            <w:vAlign w:val="center"/>
          </w:tcPr>
          <w:p w14:paraId="0A91BB5F">
            <w:pPr>
              <w:wordWrap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磋商小组组成</w:t>
            </w:r>
          </w:p>
        </w:tc>
        <w:tc>
          <w:tcPr>
            <w:tcW w:w="3234" w:type="pct"/>
            <w:noWrap w:val="0"/>
            <w:vAlign w:val="center"/>
          </w:tcPr>
          <w:p w14:paraId="50052B1B">
            <w:pPr>
              <w:wordWrap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磋商及评审组织工作由采购代理机构负责，具体磋商、评审工作由依法组建的磋商小组负责，本项目的磋商小组由采购人代表和有关方面的专家组成。磋商小组的构成：3人，其中采购人代表 1 人，有关专家2人。</w:t>
            </w:r>
          </w:p>
        </w:tc>
      </w:tr>
      <w:tr w14:paraId="35DCB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2" w:type="pct"/>
            <w:noWrap w:val="0"/>
            <w:vAlign w:val="center"/>
          </w:tcPr>
          <w:p w14:paraId="248DFC1F">
            <w:pPr>
              <w:wordWrap w:val="0"/>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460" w:type="pct"/>
            <w:noWrap w:val="0"/>
            <w:vAlign w:val="center"/>
          </w:tcPr>
          <w:p w14:paraId="06057E93">
            <w:pPr>
              <w:wordWrap w:val="0"/>
              <w:spacing w:line="360" w:lineRule="exact"/>
              <w:ind w:left="420" w:leftChars="-95" w:hanging="619" w:hangingChars="295"/>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18.2</w:t>
            </w:r>
          </w:p>
        </w:tc>
        <w:tc>
          <w:tcPr>
            <w:tcW w:w="951" w:type="pct"/>
            <w:noWrap w:val="0"/>
            <w:vAlign w:val="center"/>
          </w:tcPr>
          <w:p w14:paraId="38225D3A">
            <w:pPr>
              <w:wordWrap w:val="0"/>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磋商时间、地点、人员</w:t>
            </w:r>
          </w:p>
        </w:tc>
        <w:tc>
          <w:tcPr>
            <w:tcW w:w="3234" w:type="pct"/>
            <w:noWrap w:val="0"/>
            <w:vAlign w:val="top"/>
          </w:tcPr>
          <w:p w14:paraId="5FFBDAE6">
            <w:pPr>
              <w:wordWrap w:val="0"/>
              <w:spacing w:line="38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18.2.1 磋商时间：首次响应文件提交截止时间后。</w:t>
            </w:r>
          </w:p>
          <w:p w14:paraId="14159F60">
            <w:pPr>
              <w:wordWrap w:val="0"/>
              <w:spacing w:line="380" w:lineRule="exact"/>
              <w:rPr>
                <w:rFonts w:hint="eastAsia" w:ascii="宋体" w:hAnsi="宋体" w:eastAsia="宋体" w:cs="宋体"/>
                <w:bCs/>
                <w:color w:val="auto"/>
                <w:szCs w:val="21"/>
                <w:highlight w:val="none"/>
              </w:rPr>
            </w:pPr>
            <w:r>
              <w:rPr>
                <w:rFonts w:hint="eastAsia" w:ascii="宋体" w:hAnsi="宋体" w:eastAsia="宋体" w:cs="宋体"/>
                <w:color w:val="auto"/>
                <w:kern w:val="0"/>
                <w:szCs w:val="21"/>
                <w:highlight w:val="none"/>
              </w:rPr>
              <w:t>18.2.2 磋商地点：</w:t>
            </w:r>
            <w:r>
              <w:rPr>
                <w:rFonts w:hint="eastAsia" w:ascii="宋体" w:hAnsi="宋体" w:eastAsia="宋体" w:cs="宋体"/>
                <w:bCs/>
                <w:color w:val="auto"/>
                <w:szCs w:val="21"/>
                <w:highlight w:val="none"/>
              </w:rPr>
              <w:t>供应商代表在响应文件提交当天实时</w:t>
            </w:r>
            <w:r>
              <w:rPr>
                <w:rFonts w:hint="eastAsia" w:ascii="宋体" w:hAnsi="宋体" w:cs="宋体"/>
                <w:bCs/>
                <w:color w:val="auto"/>
                <w:szCs w:val="21"/>
                <w:highlight w:val="none"/>
                <w:lang w:eastAsia="zh-CN"/>
              </w:rPr>
              <w:t xml:space="preserve"> 登录</w:t>
            </w:r>
            <w:r>
              <w:rPr>
                <w:rFonts w:hint="eastAsia" w:ascii="宋体" w:hAnsi="宋体" w:eastAsia="宋体" w:cs="宋体"/>
                <w:color w:val="auto"/>
                <w:szCs w:val="21"/>
                <w:highlight w:val="none"/>
              </w:rPr>
              <w:t>“广西政府采购云平台”</w:t>
            </w:r>
            <w:r>
              <w:rPr>
                <w:rFonts w:hint="eastAsia" w:ascii="宋体" w:hAnsi="宋体" w:eastAsia="宋体" w:cs="宋体"/>
                <w:bCs/>
                <w:color w:val="auto"/>
                <w:szCs w:val="21"/>
                <w:highlight w:val="none"/>
              </w:rPr>
              <w:t>，按磋商小组要求在线等候参与磋商及提交最后报价。因供应商未保持实时在线，导致磋商小组无法及时与其取得联系，从而造成供应商未按规定参与磋商或报价的，其不利后果由供应商自行承担。</w:t>
            </w:r>
          </w:p>
          <w:p w14:paraId="00C84105">
            <w:pPr>
              <w:wordWrap w:val="0"/>
              <w:spacing w:line="380" w:lineRule="exac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18.2.3磋商参加人员：供应商法定代表人(负责人、自然人)或相应的委托代理人参加磋商。请供应商实时</w:t>
            </w:r>
            <w:r>
              <w:rPr>
                <w:rFonts w:hint="eastAsia" w:ascii="宋体" w:hAnsi="宋体" w:cs="宋体"/>
                <w:bCs/>
                <w:color w:val="auto"/>
                <w:szCs w:val="21"/>
                <w:highlight w:val="none"/>
                <w:lang w:eastAsia="zh-CN"/>
              </w:rPr>
              <w:t xml:space="preserve"> 登录</w:t>
            </w:r>
            <w:r>
              <w:rPr>
                <w:rFonts w:hint="eastAsia" w:ascii="宋体" w:hAnsi="宋体" w:eastAsia="宋体" w:cs="宋体"/>
                <w:color w:val="auto"/>
                <w:szCs w:val="21"/>
                <w:highlight w:val="none"/>
              </w:rPr>
              <w:t>“广西政府采购云平台”</w:t>
            </w:r>
            <w:r>
              <w:rPr>
                <w:rFonts w:hint="eastAsia" w:ascii="宋体" w:hAnsi="宋体" w:eastAsia="宋体" w:cs="宋体"/>
                <w:bCs/>
                <w:color w:val="auto"/>
                <w:szCs w:val="21"/>
                <w:highlight w:val="none"/>
              </w:rPr>
              <w:t>等候在线磋商。</w:t>
            </w:r>
          </w:p>
          <w:p w14:paraId="3B7E30A6">
            <w:pPr>
              <w:wordWrap w:val="0"/>
              <w:spacing w:line="380" w:lineRule="exact"/>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18.2.4 首次响应文件提交截止时间后，登录</w:t>
            </w:r>
            <w:r>
              <w:rPr>
                <w:rFonts w:hint="eastAsia" w:ascii="宋体" w:hAnsi="宋体" w:eastAsia="宋体" w:cs="宋体"/>
                <w:color w:val="auto"/>
                <w:szCs w:val="21"/>
                <w:highlight w:val="none"/>
              </w:rPr>
              <w:t>“广西政府采购云平台”</w:t>
            </w:r>
            <w:r>
              <w:rPr>
                <w:rFonts w:hint="eastAsia" w:ascii="宋体" w:hAnsi="宋体" w:eastAsia="宋体" w:cs="宋体"/>
                <w:bCs/>
                <w:color w:val="auto"/>
                <w:szCs w:val="21"/>
                <w:highlight w:val="none"/>
              </w:rPr>
              <w:t>在线解密开启。</w:t>
            </w:r>
          </w:p>
        </w:tc>
      </w:tr>
      <w:tr w14:paraId="19912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352" w:type="pct"/>
            <w:noWrap w:val="0"/>
            <w:vAlign w:val="center"/>
          </w:tcPr>
          <w:p w14:paraId="552964F6">
            <w:pPr>
              <w:wordWrap w:val="0"/>
              <w:spacing w:line="360" w:lineRule="exact"/>
              <w:jc w:val="center"/>
              <w:rPr>
                <w:rFonts w:hint="eastAsia" w:ascii="宋体" w:hAnsi="宋体" w:eastAsia="宋体" w:cs="宋体"/>
                <w:color w:val="auto"/>
                <w:kern w:val="0"/>
                <w:position w:val="-2"/>
                <w:szCs w:val="21"/>
                <w:highlight w:val="none"/>
              </w:rPr>
            </w:pPr>
            <w:r>
              <w:rPr>
                <w:rFonts w:hint="eastAsia" w:ascii="宋体" w:hAnsi="宋体" w:eastAsia="宋体" w:cs="宋体"/>
                <w:color w:val="auto"/>
                <w:kern w:val="0"/>
                <w:position w:val="-2"/>
                <w:szCs w:val="21"/>
                <w:highlight w:val="none"/>
              </w:rPr>
              <w:t>13</w:t>
            </w:r>
          </w:p>
        </w:tc>
        <w:tc>
          <w:tcPr>
            <w:tcW w:w="460" w:type="pct"/>
            <w:noWrap w:val="0"/>
            <w:vAlign w:val="center"/>
          </w:tcPr>
          <w:p w14:paraId="1C5027D2">
            <w:pPr>
              <w:wordWrap w:val="0"/>
              <w:spacing w:line="360" w:lineRule="exact"/>
              <w:ind w:firstLine="210" w:firstLineChars="1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19.2</w:t>
            </w:r>
          </w:p>
        </w:tc>
        <w:tc>
          <w:tcPr>
            <w:tcW w:w="951" w:type="pct"/>
            <w:noWrap w:val="0"/>
            <w:vAlign w:val="center"/>
          </w:tcPr>
          <w:p w14:paraId="506862B9">
            <w:pPr>
              <w:pStyle w:val="9"/>
              <w:wordWrap w:val="0"/>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评审办法</w:t>
            </w:r>
          </w:p>
        </w:tc>
        <w:tc>
          <w:tcPr>
            <w:tcW w:w="3234" w:type="pct"/>
            <w:noWrap w:val="0"/>
            <w:vAlign w:val="center"/>
          </w:tcPr>
          <w:p w14:paraId="7498105A">
            <w:pPr>
              <w:wordWrap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综合评分法，具体详见第四章“评审办法”。</w:t>
            </w:r>
          </w:p>
        </w:tc>
      </w:tr>
      <w:tr w14:paraId="714F3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2" w:type="pct"/>
            <w:noWrap w:val="0"/>
            <w:vAlign w:val="center"/>
          </w:tcPr>
          <w:p w14:paraId="4A4BB94B">
            <w:pPr>
              <w:wordWrap w:val="0"/>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460" w:type="pct"/>
            <w:noWrap w:val="0"/>
            <w:vAlign w:val="center"/>
          </w:tcPr>
          <w:p w14:paraId="6BBDC55C">
            <w:pPr>
              <w:wordWrap w:val="0"/>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26</w:t>
            </w:r>
          </w:p>
        </w:tc>
        <w:tc>
          <w:tcPr>
            <w:tcW w:w="951" w:type="pct"/>
            <w:noWrap w:val="0"/>
            <w:vAlign w:val="center"/>
          </w:tcPr>
          <w:p w14:paraId="71D6AF44">
            <w:pPr>
              <w:wordWrap w:val="0"/>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信用查询</w:t>
            </w:r>
          </w:p>
        </w:tc>
        <w:tc>
          <w:tcPr>
            <w:tcW w:w="3234" w:type="pct"/>
            <w:noWrap w:val="0"/>
            <w:vAlign w:val="center"/>
          </w:tcPr>
          <w:p w14:paraId="1784AA4E">
            <w:pPr>
              <w:wordWrap w:val="0"/>
              <w:spacing w:line="36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根据《关于做好政府采购有关信用主体标识码登记及在政府采购活动中查询使用信用记录有关问题的通知》（桂财采〔2016〕37），由采购代理机构对第一成交候选人进行信用查询：</w:t>
            </w:r>
          </w:p>
          <w:p w14:paraId="1169A02C">
            <w:pPr>
              <w:pStyle w:val="23"/>
              <w:wordWrap w:val="0"/>
              <w:spacing w:line="360" w:lineRule="exac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（1）查询渠道：“信用中国”网站(www.creditchina.gov.cn)、中国政府采购网(www.ccgp.gov.cn)等；</w:t>
            </w:r>
          </w:p>
          <w:p w14:paraId="5C107D62">
            <w:pPr>
              <w:pStyle w:val="23"/>
              <w:wordWrap w:val="0"/>
              <w:spacing w:line="360" w:lineRule="exac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（2）查询截止时间：成交通知书发出前；</w:t>
            </w:r>
          </w:p>
          <w:p w14:paraId="6B8CA41F">
            <w:pPr>
              <w:pStyle w:val="23"/>
              <w:wordWrap w:val="0"/>
              <w:spacing w:line="360" w:lineRule="exac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（3）信用信息查询记录和证据留存方式：在查询网站中直接打印查询记录，打印材料作为采购活动资料保存；</w:t>
            </w:r>
          </w:p>
          <w:p w14:paraId="2E970156">
            <w:pPr>
              <w:pStyle w:val="23"/>
              <w:wordWrap w:val="0"/>
              <w:spacing w:line="360" w:lineRule="exac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（4）信</w:t>
            </w:r>
            <w:r>
              <w:rPr>
                <w:rFonts w:hint="eastAsia" w:ascii="宋体" w:hAnsi="宋体" w:eastAsia="宋体" w:cs="宋体"/>
                <w:color w:val="auto"/>
                <w:szCs w:val="21"/>
                <w:highlight w:val="none"/>
                <w:lang w:val="en-US" w:eastAsia="zh-CN"/>
              </w:rPr>
              <w:t>用信息使用规则：对在“信用中国”网站(www.creditchina.gov.cn)、中国政府采购网(www.ccgp.gov.cn)等渠道列入失信被执行人、重大税收违法失信主体、政府采购严重违法失信行为记录名单及其他不符合《中华人民共和国政府采购法》第二十二条规定条件的供应商，取消其成交候选人资格。</w:t>
            </w:r>
          </w:p>
        </w:tc>
      </w:tr>
      <w:tr w14:paraId="32793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2" w:type="pct"/>
            <w:noWrap w:val="0"/>
            <w:vAlign w:val="center"/>
          </w:tcPr>
          <w:p w14:paraId="067B10E5">
            <w:pPr>
              <w:wordWrap w:val="0"/>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460" w:type="pct"/>
            <w:noWrap w:val="0"/>
            <w:vAlign w:val="center"/>
          </w:tcPr>
          <w:p w14:paraId="0254BCE2">
            <w:pPr>
              <w:wordWrap w:val="0"/>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w:t>
            </w:r>
          </w:p>
        </w:tc>
        <w:tc>
          <w:tcPr>
            <w:tcW w:w="951" w:type="pct"/>
            <w:noWrap w:val="0"/>
            <w:vAlign w:val="center"/>
          </w:tcPr>
          <w:p w14:paraId="03471BED">
            <w:pPr>
              <w:wordWrap w:val="0"/>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成交公告及成交通知书</w:t>
            </w:r>
          </w:p>
        </w:tc>
        <w:tc>
          <w:tcPr>
            <w:tcW w:w="3234" w:type="pct"/>
            <w:noWrap w:val="0"/>
            <w:vAlign w:val="top"/>
          </w:tcPr>
          <w:p w14:paraId="0620AA07">
            <w:pPr>
              <w:pStyle w:val="23"/>
              <w:wordWrap w:val="0"/>
              <w:spacing w:line="360" w:lineRule="exact"/>
              <w:ind w:firstLine="0" w:firstLineChars="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27.1 采购代理机构于评审结束后两个工作日内将评审报告送交采购人，采购人应当自收到评审报告五个工作日内在评审报告推荐的成交候选供应商中按顺序确定成交供应商，采购代理机构在成交供应商确定之日起两个工作日内发出成交通知书，并在指定媒体上公告成交信息。</w:t>
            </w:r>
          </w:p>
          <w:p w14:paraId="3D5691BD">
            <w:pPr>
              <w:pStyle w:val="23"/>
              <w:wordWrap w:val="0"/>
              <w:spacing w:line="360" w:lineRule="exact"/>
              <w:ind w:firstLine="0" w:firstLineChars="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27.3在发布成交公告的同时，采购代理机构向成交供应商发出成交通知书。成交供应商应自接到通知之日起七个工作日内，办理成交通知书领取手续。</w:t>
            </w:r>
          </w:p>
        </w:tc>
      </w:tr>
      <w:tr w14:paraId="5B4DA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352" w:type="pct"/>
            <w:noWrap w:val="0"/>
            <w:vAlign w:val="center"/>
          </w:tcPr>
          <w:p w14:paraId="1F1E16AF">
            <w:pPr>
              <w:wordWrap w:val="0"/>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460" w:type="pct"/>
            <w:noWrap w:val="0"/>
            <w:vAlign w:val="center"/>
          </w:tcPr>
          <w:p w14:paraId="2E11F0E0">
            <w:pPr>
              <w:wordWrap w:val="0"/>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28.1</w:t>
            </w:r>
          </w:p>
        </w:tc>
        <w:tc>
          <w:tcPr>
            <w:tcW w:w="951" w:type="pct"/>
            <w:noWrap w:val="0"/>
            <w:vAlign w:val="center"/>
          </w:tcPr>
          <w:p w14:paraId="51A23E1F">
            <w:pPr>
              <w:wordWrap w:val="0"/>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履约保证金</w:t>
            </w:r>
          </w:p>
        </w:tc>
        <w:tc>
          <w:tcPr>
            <w:tcW w:w="3234" w:type="pct"/>
            <w:noWrap w:val="0"/>
            <w:vAlign w:val="center"/>
          </w:tcPr>
          <w:p w14:paraId="20F75358">
            <w:pPr>
              <w:pStyle w:val="23"/>
              <w:wordWrap w:val="0"/>
              <w:spacing w:line="360" w:lineRule="exact"/>
              <w:ind w:firstLine="0" w:firstLineChars="0"/>
              <w:rPr>
                <w:rFonts w:hint="eastAsia" w:ascii="宋体" w:hAnsi="宋体" w:eastAsia="宋体" w:cs="宋体"/>
                <w:b/>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本项目无需履约保证金。</w:t>
            </w:r>
          </w:p>
        </w:tc>
      </w:tr>
      <w:tr w14:paraId="7C0B6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352" w:type="pct"/>
            <w:noWrap w:val="0"/>
            <w:vAlign w:val="center"/>
          </w:tcPr>
          <w:p w14:paraId="2037DFDC">
            <w:pPr>
              <w:wordWrap w:val="0"/>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460" w:type="pct"/>
            <w:noWrap w:val="0"/>
            <w:vAlign w:val="center"/>
          </w:tcPr>
          <w:p w14:paraId="087271DA">
            <w:pPr>
              <w:wordWrap w:val="0"/>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29.1</w:t>
            </w:r>
          </w:p>
        </w:tc>
        <w:tc>
          <w:tcPr>
            <w:tcW w:w="951" w:type="pct"/>
            <w:noWrap w:val="0"/>
            <w:vAlign w:val="center"/>
          </w:tcPr>
          <w:p w14:paraId="2C199BE9">
            <w:pPr>
              <w:wordWrap w:val="0"/>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签订合同时间</w:t>
            </w:r>
          </w:p>
        </w:tc>
        <w:tc>
          <w:tcPr>
            <w:tcW w:w="3234" w:type="pct"/>
            <w:noWrap w:val="0"/>
            <w:vAlign w:val="center"/>
          </w:tcPr>
          <w:p w14:paraId="5FBE5B70">
            <w:pPr>
              <w:pStyle w:val="23"/>
              <w:wordWrap w:val="0"/>
              <w:spacing w:line="360" w:lineRule="exact"/>
              <w:ind w:firstLine="0" w:firstLineChars="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成交通知书发出之日起</w:t>
            </w:r>
            <w:r>
              <w:rPr>
                <w:rFonts w:hint="eastAsia" w:ascii="宋体" w:hAnsi="宋体" w:eastAsia="宋体" w:cs="宋体"/>
                <w:color w:val="auto"/>
                <w:szCs w:val="21"/>
                <w:highlight w:val="none"/>
                <w:lang w:val="en-US" w:eastAsia="zh-CN"/>
              </w:rPr>
              <w:t>8个工作日内</w:t>
            </w:r>
            <w:r>
              <w:rPr>
                <w:rFonts w:hint="eastAsia" w:ascii="宋体" w:hAnsi="宋体" w:eastAsia="宋体" w:cs="宋体"/>
                <w:color w:val="auto"/>
                <w:kern w:val="0"/>
                <w:szCs w:val="21"/>
                <w:highlight w:val="none"/>
                <w:lang w:val="en-US" w:eastAsia="zh-CN"/>
              </w:rPr>
              <w:t>。成交供应商领取成交通知书后，应按规定与采购人签订合同。</w:t>
            </w:r>
          </w:p>
        </w:tc>
      </w:tr>
      <w:tr w14:paraId="40EC8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2" w:type="pct"/>
            <w:noWrap w:val="0"/>
            <w:vAlign w:val="center"/>
          </w:tcPr>
          <w:p w14:paraId="70FA7BDE">
            <w:pPr>
              <w:wordWrap w:val="0"/>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w:t>
            </w:r>
          </w:p>
        </w:tc>
        <w:tc>
          <w:tcPr>
            <w:tcW w:w="460" w:type="pct"/>
            <w:noWrap w:val="0"/>
            <w:vAlign w:val="center"/>
          </w:tcPr>
          <w:p w14:paraId="6A3B1330">
            <w:pPr>
              <w:wordWrap w:val="0"/>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29.3</w:t>
            </w:r>
          </w:p>
        </w:tc>
        <w:tc>
          <w:tcPr>
            <w:tcW w:w="951" w:type="pct"/>
            <w:noWrap w:val="0"/>
            <w:vAlign w:val="center"/>
          </w:tcPr>
          <w:p w14:paraId="328B258A">
            <w:pPr>
              <w:wordWrap w:val="0"/>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合同备案存档</w:t>
            </w:r>
          </w:p>
        </w:tc>
        <w:tc>
          <w:tcPr>
            <w:tcW w:w="3234" w:type="pct"/>
            <w:noWrap w:val="0"/>
            <w:vAlign w:val="center"/>
          </w:tcPr>
          <w:p w14:paraId="27218767">
            <w:pPr>
              <w:pStyle w:val="23"/>
              <w:wordWrap w:val="0"/>
              <w:spacing w:line="360" w:lineRule="exact"/>
              <w:ind w:firstLine="0" w:firstLineChars="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政府采购合同双方自签订之日起1个工作日内将合同原件两份交采购代理机构，采购代理机构收到政府采购合同原件后在省级以上人民政府财政部门指定媒体上公告并于合同签订之日起7个工作日内将一份合同原件送监督管理机构备案，一份由采购代理机构存档。</w:t>
            </w:r>
          </w:p>
        </w:tc>
      </w:tr>
      <w:tr w14:paraId="62FB9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352" w:type="pct"/>
            <w:noWrap w:val="0"/>
            <w:vAlign w:val="center"/>
          </w:tcPr>
          <w:p w14:paraId="5297E0D1">
            <w:pPr>
              <w:wordWrap w:val="0"/>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19</w:t>
            </w:r>
          </w:p>
        </w:tc>
        <w:tc>
          <w:tcPr>
            <w:tcW w:w="460" w:type="pct"/>
            <w:noWrap w:val="0"/>
            <w:vAlign w:val="center"/>
          </w:tcPr>
          <w:p w14:paraId="00BF3408">
            <w:pPr>
              <w:wordWrap w:val="0"/>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w:t>
            </w:r>
          </w:p>
        </w:tc>
        <w:tc>
          <w:tcPr>
            <w:tcW w:w="951" w:type="pct"/>
            <w:noWrap w:val="0"/>
            <w:vAlign w:val="center"/>
          </w:tcPr>
          <w:p w14:paraId="16255062">
            <w:pPr>
              <w:wordWrap w:val="0"/>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采购代理服务费</w:t>
            </w:r>
          </w:p>
        </w:tc>
        <w:tc>
          <w:tcPr>
            <w:tcW w:w="3234" w:type="pct"/>
            <w:noWrap w:val="0"/>
            <w:vAlign w:val="top"/>
          </w:tcPr>
          <w:p w14:paraId="5CC80896">
            <w:pPr>
              <w:pStyle w:val="23"/>
              <w:wordWrap w:val="0"/>
              <w:spacing w:line="360" w:lineRule="exact"/>
              <w:ind w:firstLine="0" w:firstLineChars="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成交供应商领取成交通知书前，参照计价格[2002]1980号《招标代理服务收费管理暂行办法》工程类收费标准向广西华诚达建设项目管理有限公司一次性付清代理服务费。</w:t>
            </w:r>
          </w:p>
        </w:tc>
      </w:tr>
      <w:tr w14:paraId="42B0A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2" w:type="pct"/>
            <w:noWrap w:val="0"/>
            <w:vAlign w:val="center"/>
          </w:tcPr>
          <w:p w14:paraId="7E2D552B">
            <w:pPr>
              <w:wordWrap w:val="0"/>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w:t>
            </w:r>
          </w:p>
        </w:tc>
        <w:tc>
          <w:tcPr>
            <w:tcW w:w="460" w:type="pct"/>
            <w:noWrap w:val="0"/>
            <w:vAlign w:val="center"/>
          </w:tcPr>
          <w:p w14:paraId="7EA180EB">
            <w:pPr>
              <w:wordWrap w:val="0"/>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w:t>
            </w:r>
          </w:p>
        </w:tc>
        <w:tc>
          <w:tcPr>
            <w:tcW w:w="951" w:type="pct"/>
            <w:noWrap w:val="0"/>
            <w:vAlign w:val="center"/>
          </w:tcPr>
          <w:p w14:paraId="37BDA352">
            <w:pPr>
              <w:wordWrap w:val="0"/>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解释权</w:t>
            </w:r>
          </w:p>
        </w:tc>
        <w:tc>
          <w:tcPr>
            <w:tcW w:w="3234" w:type="pct"/>
            <w:noWrap w:val="0"/>
            <w:vAlign w:val="top"/>
          </w:tcPr>
          <w:p w14:paraId="2352C5B3">
            <w:pPr>
              <w:pStyle w:val="23"/>
              <w:wordWrap w:val="0"/>
              <w:spacing w:line="360" w:lineRule="exact"/>
              <w:ind w:firstLine="0" w:firstLineChars="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tc>
      </w:tr>
      <w:tr w14:paraId="5EB4C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2" w:type="pct"/>
            <w:noWrap w:val="0"/>
            <w:vAlign w:val="center"/>
          </w:tcPr>
          <w:p w14:paraId="4F0DB362">
            <w:pPr>
              <w:wordWrap w:val="0"/>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w:t>
            </w:r>
          </w:p>
        </w:tc>
        <w:tc>
          <w:tcPr>
            <w:tcW w:w="460" w:type="pct"/>
            <w:noWrap w:val="0"/>
            <w:vAlign w:val="center"/>
          </w:tcPr>
          <w:p w14:paraId="1D2F0B35">
            <w:pPr>
              <w:wordWrap w:val="0"/>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w:t>
            </w:r>
          </w:p>
        </w:tc>
        <w:tc>
          <w:tcPr>
            <w:tcW w:w="951" w:type="pct"/>
            <w:noWrap w:val="0"/>
            <w:vAlign w:val="center"/>
          </w:tcPr>
          <w:p w14:paraId="7868E733">
            <w:pPr>
              <w:wordWrap w:val="0"/>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监督管理机构</w:t>
            </w:r>
          </w:p>
        </w:tc>
        <w:tc>
          <w:tcPr>
            <w:tcW w:w="3234" w:type="pct"/>
            <w:noWrap w:val="0"/>
            <w:vAlign w:val="center"/>
          </w:tcPr>
          <w:p w14:paraId="6635987D">
            <w:pPr>
              <w:pStyle w:val="23"/>
              <w:wordWrap w:val="0"/>
              <w:spacing w:line="360" w:lineRule="exact"/>
              <w:ind w:firstLine="0" w:firstLineChars="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政府采购监督管理部门：桂林市财政局；</w:t>
            </w:r>
          </w:p>
          <w:p w14:paraId="0E795BAE">
            <w:pPr>
              <w:pStyle w:val="23"/>
              <w:wordWrap w:val="0"/>
              <w:spacing w:line="360" w:lineRule="exact"/>
              <w:ind w:firstLine="0" w:firstLineChars="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联系电话：0773-28</w:t>
            </w:r>
            <w:r>
              <w:rPr>
                <w:rFonts w:hint="eastAsia" w:ascii="宋体" w:hAnsi="宋体" w:cs="宋体"/>
                <w:color w:val="auto"/>
                <w:kern w:val="0"/>
                <w:szCs w:val="21"/>
                <w:highlight w:val="none"/>
                <w:lang w:val="en-US" w:eastAsia="zh-CN"/>
              </w:rPr>
              <w:t>29504</w:t>
            </w:r>
          </w:p>
        </w:tc>
      </w:tr>
    </w:tbl>
    <w:p w14:paraId="5134CF13">
      <w:pPr>
        <w:keepNext w:val="0"/>
        <w:keepLines w:val="0"/>
        <w:pageBreakBefore w:val="0"/>
        <w:widowControl w:val="0"/>
        <w:kinsoku/>
        <w:wordWrap w:val="0"/>
        <w:overflowPunct/>
        <w:topLinePunct w:val="0"/>
        <w:autoSpaceDE/>
        <w:autoSpaceDN/>
        <w:bidi w:val="0"/>
        <w:adjustRightInd/>
        <w:snapToGrid/>
        <w:spacing w:after="332" w:afterLines="100" w:line="440" w:lineRule="atLeast"/>
        <w:ind w:left="0" w:leftChars="0" w:firstLine="0" w:firstLineChars="0"/>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28"/>
          <w:szCs w:val="28"/>
          <w:highlight w:val="none"/>
        </w:rPr>
        <w:t>一、总则</w:t>
      </w:r>
    </w:p>
    <w:p w14:paraId="6B39F43C">
      <w:pPr>
        <w:keepNext w:val="0"/>
        <w:keepLines w:val="0"/>
        <w:pageBreakBefore w:val="0"/>
        <w:kinsoku/>
        <w:wordWrap w:val="0"/>
        <w:overflowPunct/>
        <w:topLinePunct w:val="0"/>
        <w:autoSpaceDE/>
        <w:autoSpaceDN/>
        <w:bidi w:val="0"/>
        <w:spacing w:line="370" w:lineRule="exact"/>
        <w:ind w:left="0" w:leftChars="0" w:firstLine="422" w:firstLineChars="200"/>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1.适应范围</w:t>
      </w:r>
    </w:p>
    <w:p w14:paraId="3A269E60">
      <w:pPr>
        <w:keepNext w:val="0"/>
        <w:keepLines w:val="0"/>
        <w:pageBreakBefore w:val="0"/>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 项目名称及项目编号：</w:t>
      </w:r>
    </w:p>
    <w:p w14:paraId="2AE94A3F">
      <w:pPr>
        <w:keepNext w:val="0"/>
        <w:keepLines w:val="0"/>
        <w:pageBreakBefore w:val="0"/>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项目名称：</w:t>
      </w:r>
      <w:r>
        <w:rPr>
          <w:rFonts w:hint="eastAsia" w:ascii="宋体" w:hAnsi="宋体" w:eastAsia="宋体" w:cs="宋体"/>
          <w:color w:val="auto"/>
          <w:kern w:val="0"/>
          <w:szCs w:val="21"/>
          <w:highlight w:val="none"/>
          <w:lang w:eastAsia="zh-CN"/>
        </w:rPr>
        <w:t>广西桂林雁山园--“雁山别墅”园门保护修缮及环境整治项目</w:t>
      </w:r>
    </w:p>
    <w:p w14:paraId="72272C60">
      <w:pPr>
        <w:keepNext w:val="0"/>
        <w:keepLines w:val="0"/>
        <w:pageBreakBefore w:val="0"/>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项目编号：</w:t>
      </w:r>
      <w:r>
        <w:rPr>
          <w:rFonts w:hint="eastAsia" w:ascii="宋体" w:hAnsi="宋体" w:eastAsia="宋体" w:cs="宋体"/>
          <w:color w:val="auto"/>
          <w:kern w:val="0"/>
          <w:szCs w:val="21"/>
          <w:highlight w:val="none"/>
          <w:lang w:eastAsia="zh-CN"/>
        </w:rPr>
        <w:t>GLZC2025-C2-990662-GXHC</w:t>
      </w:r>
    </w:p>
    <w:p w14:paraId="109C964A">
      <w:pPr>
        <w:keepNext w:val="0"/>
        <w:keepLines w:val="0"/>
        <w:pageBreakBefore w:val="0"/>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 工程概况：</w:t>
      </w:r>
    </w:p>
    <w:p w14:paraId="11D39266">
      <w:pPr>
        <w:keepNext w:val="0"/>
        <w:keepLines w:val="0"/>
        <w:pageBreakBefore w:val="0"/>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szCs w:val="21"/>
          <w:highlight w:val="none"/>
          <w:lang w:val="en-GB"/>
        </w:rPr>
      </w:pPr>
      <w:r>
        <w:rPr>
          <w:rFonts w:hint="eastAsia" w:ascii="宋体" w:hAnsi="宋体" w:eastAsia="宋体" w:cs="宋体"/>
          <w:color w:val="auto"/>
          <w:kern w:val="0"/>
          <w:szCs w:val="21"/>
          <w:highlight w:val="none"/>
        </w:rPr>
        <w:t>项目内容：</w:t>
      </w:r>
      <w:r>
        <w:rPr>
          <w:rFonts w:hint="eastAsia" w:ascii="宋体" w:hAnsi="宋体" w:eastAsia="宋体" w:cs="宋体"/>
          <w:color w:val="auto"/>
          <w:kern w:val="0"/>
          <w:szCs w:val="21"/>
          <w:highlight w:val="none"/>
          <w:lang w:eastAsia="zh-CN"/>
        </w:rPr>
        <w:t>广西桂林雁山园--“雁山别墅”园门保护修缮及环境整治项目</w:t>
      </w:r>
      <w:r>
        <w:rPr>
          <w:rFonts w:hint="eastAsia" w:ascii="宋体" w:hAnsi="宋体" w:eastAsia="宋体" w:cs="宋体"/>
          <w:color w:val="auto"/>
          <w:kern w:val="0"/>
          <w:szCs w:val="21"/>
          <w:highlight w:val="none"/>
        </w:rPr>
        <w:t>（具体详见工程量清单、图纸等要求的内容）</w:t>
      </w:r>
      <w:r>
        <w:rPr>
          <w:rFonts w:hint="eastAsia" w:ascii="宋体" w:hAnsi="宋体" w:eastAsia="宋体" w:cs="宋体"/>
          <w:color w:val="auto"/>
          <w:kern w:val="0"/>
          <w:szCs w:val="21"/>
          <w:highlight w:val="none"/>
          <w:lang w:val="en-GB"/>
        </w:rPr>
        <w:t>。</w:t>
      </w:r>
    </w:p>
    <w:p w14:paraId="635841FF">
      <w:pPr>
        <w:keepNext w:val="0"/>
        <w:keepLines w:val="0"/>
        <w:pageBreakBefore w:val="0"/>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szCs w:val="21"/>
          <w:highlight w:val="none"/>
          <w:lang w:val="en-GB"/>
        </w:rPr>
      </w:pPr>
      <w:r>
        <w:rPr>
          <w:rFonts w:hint="eastAsia" w:ascii="宋体" w:hAnsi="宋体" w:eastAsia="宋体" w:cs="宋体"/>
          <w:color w:val="auto"/>
          <w:kern w:val="0"/>
          <w:szCs w:val="21"/>
          <w:highlight w:val="none"/>
        </w:rPr>
        <w:t>施工工期（计划）：</w:t>
      </w:r>
      <w:r>
        <w:rPr>
          <w:rFonts w:hint="eastAsia" w:ascii="宋体" w:hAnsi="宋体" w:eastAsia="宋体" w:cs="宋体"/>
          <w:color w:val="auto"/>
          <w:kern w:val="0"/>
          <w:szCs w:val="21"/>
          <w:highlight w:val="none"/>
          <w:lang w:eastAsia="zh-CN"/>
        </w:rPr>
        <w:t>1</w:t>
      </w:r>
      <w:r>
        <w:rPr>
          <w:rFonts w:hint="eastAsia" w:ascii="宋体" w:hAnsi="宋体" w:eastAsia="宋体" w:cs="宋体"/>
          <w:color w:val="auto"/>
          <w:kern w:val="0"/>
          <w:szCs w:val="21"/>
          <w:highlight w:val="none"/>
          <w:lang w:val="en-US" w:eastAsia="zh-CN"/>
        </w:rPr>
        <w:t>80</w:t>
      </w:r>
      <w:r>
        <w:rPr>
          <w:rFonts w:hint="eastAsia" w:ascii="宋体" w:hAnsi="宋体" w:eastAsia="宋体" w:cs="宋体"/>
          <w:color w:val="auto"/>
          <w:kern w:val="0"/>
          <w:szCs w:val="21"/>
          <w:highlight w:val="none"/>
          <w:lang w:eastAsia="zh-CN"/>
        </w:rPr>
        <w:t>日历天</w:t>
      </w:r>
      <w:r>
        <w:rPr>
          <w:rFonts w:hint="eastAsia" w:ascii="宋体" w:hAnsi="宋体" w:eastAsia="宋体" w:cs="宋体"/>
          <w:color w:val="auto"/>
          <w:kern w:val="0"/>
          <w:szCs w:val="21"/>
          <w:highlight w:val="none"/>
          <w:lang w:val="en-GB"/>
        </w:rPr>
        <w:t>。</w:t>
      </w:r>
    </w:p>
    <w:p w14:paraId="44AE49F9">
      <w:pPr>
        <w:keepNext w:val="0"/>
        <w:keepLines w:val="0"/>
        <w:pageBreakBefore w:val="0"/>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质量标准：达到国家施工验收规范合格标准。</w:t>
      </w:r>
    </w:p>
    <w:p w14:paraId="157D0A48">
      <w:pPr>
        <w:keepNext w:val="0"/>
        <w:keepLines w:val="0"/>
        <w:pageBreakBefore w:val="0"/>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1.3本竞争性磋商文件（以下简称磋商文件）适用于本磋商项目的磋商、评审、合同、验收、付款等行为（法律、法规另有规定的，从其规定）。</w:t>
      </w:r>
    </w:p>
    <w:p w14:paraId="794F64CC">
      <w:pPr>
        <w:keepNext w:val="0"/>
        <w:keepLines w:val="0"/>
        <w:pageBreakBefore w:val="0"/>
        <w:kinsoku/>
        <w:wordWrap w:val="0"/>
        <w:overflowPunct/>
        <w:topLinePunct w:val="0"/>
        <w:autoSpaceDE/>
        <w:autoSpaceDN/>
        <w:bidi w:val="0"/>
        <w:spacing w:line="370" w:lineRule="exact"/>
        <w:ind w:left="0" w:leftChars="0" w:firstLine="422" w:firstLineChars="200"/>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2.定义</w:t>
      </w:r>
    </w:p>
    <w:p w14:paraId="2DF4A165">
      <w:pPr>
        <w:keepNext w:val="0"/>
        <w:keepLines w:val="0"/>
        <w:pageBreakBefore w:val="0"/>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2.1“采购人”是指依法进行政府采购的国家机关、事业单位、团体组织。</w:t>
      </w:r>
    </w:p>
    <w:p w14:paraId="00338565">
      <w:pPr>
        <w:keepNext w:val="0"/>
        <w:keepLines w:val="0"/>
        <w:pageBreakBefore w:val="0"/>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2.2“采购代理机构”是指政府采购代理机构（以下简称采购代理机构）是指集中采购机构以外、受采购人委托从事政府采购代理业务的社会中介机构。</w:t>
      </w:r>
    </w:p>
    <w:p w14:paraId="2D21919A">
      <w:pPr>
        <w:keepNext w:val="0"/>
        <w:keepLines w:val="0"/>
        <w:pageBreakBefore w:val="0"/>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2.3“供应商”是指向采购人提供货物、工程或者服务的法人、其他组织或者自然人。</w:t>
      </w:r>
    </w:p>
    <w:p w14:paraId="4368D2B6">
      <w:pPr>
        <w:keepNext w:val="0"/>
        <w:keepLines w:val="0"/>
        <w:pageBreakBefore w:val="0"/>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2.4“工程量清单”系指供应商按磋商采购文件规定向采购人提供图纸范围内施工内容。</w:t>
      </w:r>
    </w:p>
    <w:p w14:paraId="0F60632F">
      <w:pPr>
        <w:keepNext w:val="0"/>
        <w:keepLines w:val="0"/>
        <w:pageBreakBefore w:val="0"/>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2.5“竞标”是指供应商按照本项目竞争性磋商公告或者邀请函规定的方式获取磋商文件、提交响应文件并希望获得标的的行为。</w:t>
      </w:r>
    </w:p>
    <w:p w14:paraId="199FEE8D">
      <w:pPr>
        <w:keepNext w:val="0"/>
        <w:keepLines w:val="0"/>
        <w:pageBreakBefore w:val="0"/>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2.6“响应文件”是指：供应商根据本磋商文件要求，编制包含资格证明、报价商务技术等所有内容的文件。</w:t>
      </w:r>
    </w:p>
    <w:p w14:paraId="7F166124">
      <w:pPr>
        <w:keepNext w:val="0"/>
        <w:keepLines w:val="0"/>
        <w:pageBreakBefore w:val="0"/>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2.7“实质性要求”是指磋商文件中要求“必须提供”的条款以及指明不满足则响应文件按无效响应处理的条款，或者不能负偏离的条款，或者工程量清单中带“▲”的条款。</w:t>
      </w:r>
    </w:p>
    <w:p w14:paraId="0D1BB077">
      <w:pPr>
        <w:keepNext w:val="0"/>
        <w:keepLines w:val="0"/>
        <w:pageBreakBefore w:val="0"/>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2.8“正偏离”，是指响应文件对磋商文件“工程量清单”中有关条款作出的响应优于条款要求并有利于采购人的情形。</w:t>
      </w:r>
    </w:p>
    <w:p w14:paraId="5DC5CF31">
      <w:pPr>
        <w:keepNext w:val="0"/>
        <w:keepLines w:val="0"/>
        <w:pageBreakBefore w:val="0"/>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2.9“负偏离”，是指响应文件对磋商文件“工程量清单”中有关条款作出的响应不满足条款要求，导致采购人要求不能得到满足的情形。</w:t>
      </w:r>
    </w:p>
    <w:p w14:paraId="426423A7">
      <w:pPr>
        <w:keepNext w:val="0"/>
        <w:keepLines w:val="0"/>
        <w:pageBreakBefore w:val="0"/>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2.10“允许负偏离的条款”是指采购需求中的不属于“实质性要求”的条款。</w:t>
      </w:r>
    </w:p>
    <w:p w14:paraId="4277DA7E">
      <w:pPr>
        <w:keepNext w:val="0"/>
        <w:keepLines w:val="0"/>
        <w:pageBreakBefore w:val="0"/>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2.11“书面形式”是指合同书、信件和数据电文（包括电报、电传、传真、电子数据交换和电子邮件）等可以有形地表现所载内容的形式。</w:t>
      </w:r>
    </w:p>
    <w:p w14:paraId="1B85B867">
      <w:pPr>
        <w:keepNext w:val="0"/>
        <w:keepLines w:val="0"/>
        <w:pageBreakBefore w:val="0"/>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2.12“首次报价”是指供应商提交的首次响应文件中的报价。</w:t>
      </w:r>
    </w:p>
    <w:p w14:paraId="27429002">
      <w:pPr>
        <w:keepNext w:val="0"/>
        <w:keepLines w:val="0"/>
        <w:pageBreakBefore w:val="0"/>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2.13“评审价”是指供应商提交的最后报价并经修正（如有）和政策功能价格扣除（如有）后的价格。</w:t>
      </w:r>
    </w:p>
    <w:p w14:paraId="48D22C8D">
      <w:pPr>
        <w:keepNext w:val="0"/>
        <w:keepLines w:val="0"/>
        <w:pageBreakBefore w:val="0"/>
        <w:kinsoku/>
        <w:wordWrap w:val="0"/>
        <w:overflowPunct/>
        <w:topLinePunct w:val="0"/>
        <w:autoSpaceDE/>
        <w:autoSpaceDN/>
        <w:bidi w:val="0"/>
        <w:spacing w:line="370" w:lineRule="exact"/>
        <w:ind w:left="0" w:leftChars="0" w:firstLine="422" w:firstLineChars="200"/>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3.供应商资格</w:t>
      </w:r>
    </w:p>
    <w:p w14:paraId="0AAF58B9">
      <w:pPr>
        <w:keepNext w:val="0"/>
        <w:keepLines w:val="0"/>
        <w:pageBreakBefore w:val="0"/>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详见投标人须知前附表第3项。</w:t>
      </w:r>
    </w:p>
    <w:p w14:paraId="7BF476F6">
      <w:pPr>
        <w:keepNext w:val="0"/>
        <w:keepLines w:val="0"/>
        <w:pageBreakBefore w:val="0"/>
        <w:kinsoku/>
        <w:wordWrap w:val="0"/>
        <w:overflowPunct/>
        <w:topLinePunct w:val="0"/>
        <w:autoSpaceDE/>
        <w:autoSpaceDN/>
        <w:bidi w:val="0"/>
        <w:spacing w:line="370" w:lineRule="exact"/>
        <w:ind w:left="0" w:leftChars="0" w:firstLine="422" w:firstLineChars="200"/>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4.参与电子竞标的准备工作</w:t>
      </w:r>
    </w:p>
    <w:p w14:paraId="1E92F6EC">
      <w:pPr>
        <w:keepNext w:val="0"/>
        <w:keepLines w:val="0"/>
        <w:pageBreakBefore w:val="0"/>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本项目实行全流程电子化采购，供应商通过“广西政府采购云平台”参与电子竞标，并应做好以下相关准备工作：①在“广西政府采购云平台”注册成为正式供应商（操作方法详见广西壮族自治区政府采购网—办事服务—办事指南）；②完成CA证书申领和绑定（费用由供应商自行承担，办理流程详见广西壮族自治区政府采购网—办事服务—下载专区，完成CA证书办理预计一周左右，建议供应商尽快办理）；③下载“广西壮族自治区全流程电子招投标项目管理系统--供应商客户端”（操作方法详见广西壮族自治区政府采购网—办事服务—下载专区，以下称“广西政府采购云平台客户端”）并安装成功，供应商应当在响应文件提交截止时间前在“广西政府采购云平台”完成的身份认证，确保能够对相关数据电文进行加密和使用电子签章；④自备计算机和网络设备并确保能接入互联网（费用由供应商自行承担，设备确保可进行视频通话和读取政采云CA证书）。因供应商未做好相关准备工作等自身原因导致无法参加本项目电子竞标或竞标失败的，造成的一切后果，由供应商自行承担。</w:t>
      </w:r>
    </w:p>
    <w:p w14:paraId="1B806038">
      <w:pPr>
        <w:keepNext w:val="0"/>
        <w:keepLines w:val="0"/>
        <w:pageBreakBefore w:val="0"/>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4.2电子竞标具体操作流程参考《政府采购项目电子交易管理操作指南-供应商》（详见桂林市政府采购网—采购资讯—重要通知）；如遇平台技术问题详询95763。</w:t>
      </w:r>
    </w:p>
    <w:p w14:paraId="6985A926">
      <w:pPr>
        <w:keepNext w:val="0"/>
        <w:keepLines w:val="0"/>
        <w:pageBreakBefore w:val="0"/>
        <w:tabs>
          <w:tab w:val="left" w:pos="1635"/>
        </w:tabs>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4.3不论磋商结果如何，供应商均应自行承担所有与磋商有关的全部费用。 </w:t>
      </w:r>
    </w:p>
    <w:p w14:paraId="5996436E">
      <w:pPr>
        <w:keepNext w:val="0"/>
        <w:keepLines w:val="0"/>
        <w:pageBreakBefore w:val="0"/>
        <w:tabs>
          <w:tab w:val="left" w:pos="1635"/>
        </w:tabs>
        <w:kinsoku/>
        <w:wordWrap w:val="0"/>
        <w:overflowPunct/>
        <w:topLinePunct w:val="0"/>
        <w:autoSpaceDE/>
        <w:autoSpaceDN/>
        <w:bidi w:val="0"/>
        <w:spacing w:line="370" w:lineRule="exact"/>
        <w:ind w:left="0" w:leftChars="0" w:firstLine="422" w:firstLineChars="200"/>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5.联合体要求：</w:t>
      </w:r>
    </w:p>
    <w:p w14:paraId="21F73363">
      <w:pPr>
        <w:keepNext w:val="0"/>
        <w:keepLines w:val="0"/>
        <w:pageBreakBefore w:val="0"/>
        <w:kinsoku/>
        <w:wordWrap w:val="0"/>
        <w:overflowPunct/>
        <w:topLinePunct w:val="0"/>
        <w:autoSpaceDE/>
        <w:autoSpaceDN/>
        <w:bidi w:val="0"/>
        <w:snapToGrid w:val="0"/>
        <w:spacing w:line="370" w:lineRule="exact"/>
        <w:ind w:left="0" w:leftChars="0" w:firstLine="420" w:firstLineChars="200"/>
        <w:jc w:val="left"/>
        <w:textAlignment w:val="auto"/>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rPr>
        <w:t>本项目不接受联合体参与磋商。</w:t>
      </w:r>
    </w:p>
    <w:p w14:paraId="1FE3805B">
      <w:pPr>
        <w:keepNext w:val="0"/>
        <w:keepLines w:val="0"/>
        <w:pageBreakBefore w:val="0"/>
        <w:tabs>
          <w:tab w:val="left" w:pos="2190"/>
        </w:tabs>
        <w:kinsoku/>
        <w:wordWrap w:val="0"/>
        <w:overflowPunct/>
        <w:topLinePunct w:val="0"/>
        <w:autoSpaceDE/>
        <w:autoSpaceDN/>
        <w:bidi w:val="0"/>
        <w:spacing w:line="370" w:lineRule="exact"/>
        <w:ind w:left="0" w:leftChars="0" w:firstLine="422" w:firstLineChars="200"/>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6.质疑和投诉</w:t>
      </w:r>
      <w:r>
        <w:rPr>
          <w:rFonts w:hint="eastAsia" w:ascii="宋体" w:hAnsi="宋体" w:eastAsia="宋体" w:cs="宋体"/>
          <w:b/>
          <w:color w:val="auto"/>
          <w:kern w:val="0"/>
          <w:szCs w:val="21"/>
          <w:highlight w:val="none"/>
        </w:rPr>
        <w:tab/>
      </w:r>
    </w:p>
    <w:p w14:paraId="7BB46379">
      <w:pPr>
        <w:keepNext w:val="0"/>
        <w:keepLines w:val="0"/>
        <w:pageBreakBefore w:val="0"/>
        <w:tabs>
          <w:tab w:val="left" w:pos="2190"/>
        </w:tabs>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6.1供应商认为磋商文件使自己的合法权益受到损害的，应当于本项目公告期限届满之日起七个工作日内，以书面形式向采购代理机构提出质疑；供应商认为采购过程或成交结果使自己的合法权益受到损害的，应当在各采购程序环节结束之日或成交公告期限届满之日起七个工作日内，以书面形式向采购代理机构提出质疑。否则，采购代理机构有权拒收。</w:t>
      </w:r>
    </w:p>
    <w:p w14:paraId="7DA455AB">
      <w:pPr>
        <w:keepNext w:val="0"/>
        <w:keepLines w:val="0"/>
        <w:pageBreakBefore w:val="0"/>
        <w:tabs>
          <w:tab w:val="left" w:pos="2190"/>
        </w:tabs>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采购代理机构应认真做好质疑处理工作，对于质疑供应商在法定质疑期内提出的质疑函，应当在收到质疑函后7个工作日内作出答复，并以书面形式通知质疑供应商和其他有关供应商。</w:t>
      </w:r>
    </w:p>
    <w:p w14:paraId="282BFF9C">
      <w:pPr>
        <w:keepNext w:val="0"/>
        <w:keepLines w:val="0"/>
        <w:pageBreakBefore w:val="0"/>
        <w:tabs>
          <w:tab w:val="left" w:pos="2190"/>
        </w:tabs>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供应商在法定质疑期内应一次性提出与项目相关的质疑，供应商在提出与项目相关的质疑前应当做好全面且详细的工作，代理机构不再受理供应商针对同一采购程序环节的再次质疑。</w:t>
      </w:r>
    </w:p>
    <w:p w14:paraId="76933D63">
      <w:pPr>
        <w:keepNext w:val="0"/>
        <w:keepLines w:val="0"/>
        <w:pageBreakBefore w:val="0"/>
        <w:tabs>
          <w:tab w:val="left" w:pos="2190"/>
        </w:tabs>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6.2 供应商对采购代理机构的质疑答复不满意或者采购代理机构未在规定的时间内作出答复的，可以在答复期满后十五个工作日内向项目所在地的政府采购监督管理机构投诉。</w:t>
      </w:r>
    </w:p>
    <w:p w14:paraId="379143CF">
      <w:pPr>
        <w:keepNext w:val="0"/>
        <w:keepLines w:val="0"/>
        <w:pageBreakBefore w:val="0"/>
        <w:tabs>
          <w:tab w:val="left" w:pos="2190"/>
        </w:tabs>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6.3 质疑、投诉应当采用书面形式，质疑书、投诉书实行实名制，均应明确阐述磋商文件、磋商过程或成交结果中使自己合法权益受到损害的实质性内容，并提供必要的证明材料</w:t>
      </w:r>
      <w:r>
        <w:rPr>
          <w:rFonts w:hint="eastAsia" w:ascii="宋体" w:hAnsi="宋体" w:eastAsia="宋体" w:cs="宋体"/>
          <w:color w:val="auto"/>
          <w:kern w:val="0"/>
          <w:szCs w:val="21"/>
          <w:highlight w:val="none"/>
        </w:rPr>
        <w:t>。</w:t>
      </w:r>
    </w:p>
    <w:p w14:paraId="281D78F4">
      <w:pPr>
        <w:keepNext w:val="0"/>
        <w:keepLines w:val="0"/>
        <w:pageBreakBefore w:val="0"/>
        <w:tabs>
          <w:tab w:val="left" w:pos="2190"/>
        </w:tabs>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供应商提出质疑应当提交质疑函和必要的证明材料，针对同一采购程序环节的质疑必须在法定质疑期内一次性提出。质疑函应当包括下列内容：</w:t>
      </w:r>
    </w:p>
    <w:p w14:paraId="0F2D4174">
      <w:pPr>
        <w:keepNext w:val="0"/>
        <w:keepLines w:val="0"/>
        <w:pageBreakBefore w:val="0"/>
        <w:tabs>
          <w:tab w:val="left" w:pos="2190"/>
        </w:tabs>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（1）供应商的姓名或者名称、地址、邮编、联系人及联系电话；</w:t>
      </w:r>
    </w:p>
    <w:p w14:paraId="234DA400">
      <w:pPr>
        <w:keepNext w:val="0"/>
        <w:keepLines w:val="0"/>
        <w:pageBreakBefore w:val="0"/>
        <w:tabs>
          <w:tab w:val="left" w:pos="2190"/>
        </w:tabs>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（2）质疑项目的名称、编号；</w:t>
      </w:r>
    </w:p>
    <w:p w14:paraId="6E03DAE0">
      <w:pPr>
        <w:keepNext w:val="0"/>
        <w:keepLines w:val="0"/>
        <w:pageBreakBefore w:val="0"/>
        <w:tabs>
          <w:tab w:val="left" w:pos="2190"/>
        </w:tabs>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（3）具体、明确的质疑事项和与质疑事项相关的请求；</w:t>
      </w:r>
    </w:p>
    <w:p w14:paraId="0072D706">
      <w:pPr>
        <w:keepNext w:val="0"/>
        <w:keepLines w:val="0"/>
        <w:pageBreakBefore w:val="0"/>
        <w:tabs>
          <w:tab w:val="left" w:pos="2190"/>
        </w:tabs>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（4）事实依据；</w:t>
      </w:r>
    </w:p>
    <w:p w14:paraId="7E46F361">
      <w:pPr>
        <w:keepNext w:val="0"/>
        <w:keepLines w:val="0"/>
        <w:pageBreakBefore w:val="0"/>
        <w:tabs>
          <w:tab w:val="left" w:pos="2190"/>
        </w:tabs>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（5）必要的法律依据；</w:t>
      </w:r>
    </w:p>
    <w:p w14:paraId="3718FD52">
      <w:pPr>
        <w:keepNext w:val="0"/>
        <w:keepLines w:val="0"/>
        <w:pageBreakBefore w:val="0"/>
        <w:tabs>
          <w:tab w:val="left" w:pos="2190"/>
        </w:tabs>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（6）提出质疑的日期。</w:t>
      </w:r>
    </w:p>
    <w:p w14:paraId="694CD8F9">
      <w:pPr>
        <w:keepNext w:val="0"/>
        <w:keepLines w:val="0"/>
        <w:pageBreakBefore w:val="0"/>
        <w:tabs>
          <w:tab w:val="left" w:pos="2190"/>
        </w:tabs>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供应商为自然人的，应当由本人签字；供应商为法人或者其他组织的，应当由法定代表人、主要负责人，或者其授权代表签字或者盖章，并加盖公章。</w:t>
      </w:r>
    </w:p>
    <w:p w14:paraId="09B23188">
      <w:pPr>
        <w:keepNext w:val="0"/>
        <w:keepLines w:val="0"/>
        <w:pageBreakBefore w:val="0"/>
        <w:tabs>
          <w:tab w:val="left" w:pos="2190"/>
        </w:tabs>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接收质疑函方式：以书面形式。</w:t>
      </w:r>
    </w:p>
    <w:p w14:paraId="085B9018">
      <w:pPr>
        <w:keepNext w:val="0"/>
        <w:keepLines w:val="0"/>
        <w:pageBreakBefore w:val="0"/>
        <w:tabs>
          <w:tab w:val="left" w:pos="2190"/>
        </w:tabs>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质疑联系部门及联系方式：广西华诚达建设项目管理有限公司，联系人：杨薇，联系电话：0773-5630101，通讯地址：</w:t>
      </w:r>
      <w:r>
        <w:rPr>
          <w:rFonts w:hint="eastAsia" w:ascii="宋体" w:hAnsi="宋体" w:eastAsia="宋体" w:cs="宋体"/>
          <w:color w:val="auto"/>
          <w:kern w:val="0"/>
          <w:highlight w:val="none"/>
        </w:rPr>
        <w:t>广西桂林市七星区骖鸾路25号合鑫大楼6楼。</w:t>
      </w:r>
    </w:p>
    <w:p w14:paraId="573535FA">
      <w:pPr>
        <w:keepNext w:val="0"/>
        <w:keepLines w:val="0"/>
        <w:pageBreakBefore w:val="0"/>
        <w:tabs>
          <w:tab w:val="left" w:pos="2190"/>
        </w:tabs>
        <w:kinsoku/>
        <w:wordWrap w:val="0"/>
        <w:overflowPunct/>
        <w:topLinePunct w:val="0"/>
        <w:autoSpaceDE/>
        <w:autoSpaceDN/>
        <w:bidi w:val="0"/>
        <w:spacing w:line="370" w:lineRule="exact"/>
        <w:ind w:left="0" w:leftChars="0" w:firstLine="422" w:firstLineChars="200"/>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7.转包与分包</w:t>
      </w:r>
    </w:p>
    <w:p w14:paraId="4501BFCC">
      <w:pPr>
        <w:keepNext w:val="0"/>
        <w:keepLines w:val="0"/>
        <w:pageBreakBefore w:val="0"/>
        <w:tabs>
          <w:tab w:val="left" w:pos="2190"/>
        </w:tabs>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本项目不允许转包。</w:t>
      </w:r>
    </w:p>
    <w:p w14:paraId="38093F1C">
      <w:pPr>
        <w:keepNext w:val="0"/>
        <w:keepLines w:val="0"/>
        <w:pageBreakBefore w:val="0"/>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kern w:val="0"/>
          <w:szCs w:val="21"/>
          <w:highlight w:val="none"/>
        </w:rPr>
        <w:t>7.2 本项目不可以分包。</w:t>
      </w:r>
    </w:p>
    <w:p w14:paraId="1F010653">
      <w:pPr>
        <w:keepNext w:val="0"/>
        <w:keepLines w:val="0"/>
        <w:pageBreakBefore w:val="0"/>
        <w:tabs>
          <w:tab w:val="left" w:pos="1635"/>
        </w:tabs>
        <w:kinsoku/>
        <w:wordWrap w:val="0"/>
        <w:overflowPunct/>
        <w:topLinePunct w:val="0"/>
        <w:autoSpaceDE/>
        <w:autoSpaceDN/>
        <w:bidi w:val="0"/>
        <w:spacing w:line="370" w:lineRule="exact"/>
        <w:ind w:left="0" w:leftChars="0" w:firstLine="422" w:firstLineChars="200"/>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8. 特别说明</w:t>
      </w:r>
    </w:p>
    <w:p w14:paraId="4A139285">
      <w:pPr>
        <w:keepNext w:val="0"/>
        <w:keepLines w:val="0"/>
        <w:pageBreakBefore w:val="0"/>
        <w:tabs>
          <w:tab w:val="left" w:pos="2190"/>
        </w:tabs>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 如果本磋商文件要求供应商提供资格、信誉、荣誉、业绩与企业认证等材料的，则供应商所提供的以上材料必须为供应商所拥有。</w:t>
      </w:r>
    </w:p>
    <w:p w14:paraId="708699BE">
      <w:pPr>
        <w:keepNext w:val="0"/>
        <w:keepLines w:val="0"/>
        <w:pageBreakBefore w:val="0"/>
        <w:tabs>
          <w:tab w:val="left" w:pos="2190"/>
        </w:tabs>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 供应商应仔细阅读磋商文件的所有内容，按照磋商文件的要求提交响应文件，并对所提供的全部资料的真实性承担法律责任。</w:t>
      </w:r>
    </w:p>
    <w:p w14:paraId="5935B3AF">
      <w:pPr>
        <w:keepNext w:val="0"/>
        <w:keepLines w:val="0"/>
        <w:pageBreakBefore w:val="0"/>
        <w:tabs>
          <w:tab w:val="left" w:pos="2190"/>
        </w:tabs>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8.3 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711FB372">
      <w:pPr>
        <w:keepNext w:val="0"/>
        <w:keepLines w:val="0"/>
        <w:pageBreakBefore w:val="0"/>
        <w:tabs>
          <w:tab w:val="left" w:pos="2190"/>
        </w:tabs>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8.4 在政府采购活动中，采购人员及相关人员与供应商有下列利害关系之一的，应当回避：</w:t>
      </w:r>
    </w:p>
    <w:p w14:paraId="3687FFC3">
      <w:pPr>
        <w:keepNext w:val="0"/>
        <w:keepLines w:val="0"/>
        <w:pageBreakBefore w:val="0"/>
        <w:tabs>
          <w:tab w:val="left" w:pos="2190"/>
        </w:tabs>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b/>
          <w:color w:val="auto"/>
          <w:kern w:val="0"/>
          <w:sz w:val="28"/>
          <w:szCs w:val="28"/>
          <w:highlight w:val="none"/>
        </w:rPr>
      </w:pPr>
      <w:r>
        <w:rPr>
          <w:rFonts w:hint="eastAsia" w:ascii="宋体" w:hAnsi="宋体" w:eastAsia="宋体" w:cs="宋体"/>
          <w:color w:val="auto"/>
          <w:kern w:val="0"/>
          <w:szCs w:val="21"/>
          <w:highlight w:val="none"/>
        </w:rPr>
        <w:t>（1）参加采购活动前 3 年内与供应商存在劳动关系；</w:t>
      </w:r>
    </w:p>
    <w:p w14:paraId="7643F042">
      <w:pPr>
        <w:keepNext w:val="0"/>
        <w:keepLines w:val="0"/>
        <w:pageBreakBefore w:val="0"/>
        <w:tabs>
          <w:tab w:val="left" w:pos="2190"/>
        </w:tabs>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（2）参加采购活动前 3 年内担任供应商的董事、监事；</w:t>
      </w:r>
    </w:p>
    <w:p w14:paraId="3C45E617">
      <w:pPr>
        <w:keepNext w:val="0"/>
        <w:keepLines w:val="0"/>
        <w:pageBreakBefore w:val="0"/>
        <w:tabs>
          <w:tab w:val="left" w:pos="2190"/>
        </w:tabs>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（3）参加采购活动前 3 年内是供应商的控股股东或者实际控制人；</w:t>
      </w:r>
    </w:p>
    <w:p w14:paraId="0E9E5909">
      <w:pPr>
        <w:keepNext w:val="0"/>
        <w:keepLines w:val="0"/>
        <w:pageBreakBefore w:val="0"/>
        <w:tabs>
          <w:tab w:val="left" w:pos="2190"/>
        </w:tabs>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（4）与供应商的法定代表人或者负责人有夫妻、直系血亲、三代以内旁系血亲或者近姻亲关系；</w:t>
      </w:r>
    </w:p>
    <w:p w14:paraId="1DA13381">
      <w:pPr>
        <w:keepNext w:val="0"/>
        <w:keepLines w:val="0"/>
        <w:pageBreakBefore w:val="0"/>
        <w:tabs>
          <w:tab w:val="left" w:pos="2190"/>
        </w:tabs>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（5）与供应商有其他可能影响政府采购活动公平、公正进行的关系。</w:t>
      </w:r>
    </w:p>
    <w:p w14:paraId="55406CB7">
      <w:pPr>
        <w:keepNext w:val="0"/>
        <w:keepLines w:val="0"/>
        <w:pageBreakBefore w:val="0"/>
        <w:tabs>
          <w:tab w:val="left" w:pos="2190"/>
        </w:tabs>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DD8F99E">
      <w:pPr>
        <w:keepNext w:val="0"/>
        <w:keepLines w:val="0"/>
        <w:pageBreakBefore w:val="0"/>
        <w:tabs>
          <w:tab w:val="left" w:pos="2190"/>
        </w:tabs>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8.5 有下列情形之一的视为供应商相互串通竞标，响应文件将被视为无效：</w:t>
      </w:r>
    </w:p>
    <w:p w14:paraId="0C235A15">
      <w:pPr>
        <w:keepNext w:val="0"/>
        <w:keepLines w:val="0"/>
        <w:pageBreakBefore w:val="0"/>
        <w:tabs>
          <w:tab w:val="left" w:pos="2190"/>
        </w:tabs>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（1）不同供应商的响应文件由同一单位或者个人编制；或者不同供应商报名的 IP 地址一致的；</w:t>
      </w:r>
    </w:p>
    <w:p w14:paraId="1E63BD41">
      <w:pPr>
        <w:keepNext w:val="0"/>
        <w:keepLines w:val="0"/>
        <w:pageBreakBefore w:val="0"/>
        <w:tabs>
          <w:tab w:val="left" w:pos="2190"/>
        </w:tabs>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（2）不同供应商委托同一单位或者个人办理竞标事宜；</w:t>
      </w:r>
    </w:p>
    <w:p w14:paraId="08F87F27">
      <w:pPr>
        <w:keepNext w:val="0"/>
        <w:keepLines w:val="0"/>
        <w:pageBreakBefore w:val="0"/>
        <w:tabs>
          <w:tab w:val="left" w:pos="2190"/>
        </w:tabs>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（3）不同的供应商的响应文件载明的项目管理员为同一个人；</w:t>
      </w:r>
    </w:p>
    <w:p w14:paraId="48473541">
      <w:pPr>
        <w:keepNext w:val="0"/>
        <w:keepLines w:val="0"/>
        <w:pageBreakBefore w:val="0"/>
        <w:tabs>
          <w:tab w:val="left" w:pos="2190"/>
        </w:tabs>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（4）不同供应商的响应文件异常一致或者报价呈规律性差异；</w:t>
      </w:r>
    </w:p>
    <w:p w14:paraId="573385B9">
      <w:pPr>
        <w:keepNext w:val="0"/>
        <w:keepLines w:val="0"/>
        <w:pageBreakBefore w:val="0"/>
        <w:tabs>
          <w:tab w:val="left" w:pos="2190"/>
        </w:tabs>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（5）不同供应商的响应文件相互混装；</w:t>
      </w:r>
    </w:p>
    <w:p w14:paraId="2726B109">
      <w:pPr>
        <w:keepNext w:val="0"/>
        <w:keepLines w:val="0"/>
        <w:pageBreakBefore w:val="0"/>
        <w:tabs>
          <w:tab w:val="left" w:pos="2190"/>
        </w:tabs>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（6）不同供应商的磋商保证金从同一单位或者个人账户转出。</w:t>
      </w:r>
    </w:p>
    <w:p w14:paraId="2A88294D">
      <w:pPr>
        <w:keepNext w:val="0"/>
        <w:keepLines w:val="0"/>
        <w:pageBreakBefore w:val="0"/>
        <w:tabs>
          <w:tab w:val="left" w:pos="2190"/>
        </w:tabs>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8.6 供应商有下列情形之一的，属于恶意串通行为，将报同级监督管理部门：</w:t>
      </w:r>
    </w:p>
    <w:p w14:paraId="44756CD9">
      <w:pPr>
        <w:keepNext w:val="0"/>
        <w:keepLines w:val="0"/>
        <w:pageBreakBefore w:val="0"/>
        <w:tabs>
          <w:tab w:val="left" w:pos="2190"/>
        </w:tabs>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（1）供应商直接或者间接从采购人或者采购代理机构处获得其他供应商的相关信息并修改其响应文件；</w:t>
      </w:r>
    </w:p>
    <w:p w14:paraId="596B89A3">
      <w:pPr>
        <w:keepNext w:val="0"/>
        <w:keepLines w:val="0"/>
        <w:pageBreakBefore w:val="0"/>
        <w:tabs>
          <w:tab w:val="left" w:pos="2190"/>
        </w:tabs>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（2）供应商按照采购人或者采购代理机构的授意撤换、修改响应文件；</w:t>
      </w:r>
    </w:p>
    <w:p w14:paraId="7B0C476E">
      <w:pPr>
        <w:keepNext w:val="0"/>
        <w:keepLines w:val="0"/>
        <w:pageBreakBefore w:val="0"/>
        <w:tabs>
          <w:tab w:val="left" w:pos="2190"/>
        </w:tabs>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（3）供应商之间协商报价、技术方案等响应文件或者响应文件的实质性内容；</w:t>
      </w:r>
    </w:p>
    <w:p w14:paraId="24711563">
      <w:pPr>
        <w:keepNext w:val="0"/>
        <w:keepLines w:val="0"/>
        <w:pageBreakBefore w:val="0"/>
        <w:tabs>
          <w:tab w:val="left" w:pos="2190"/>
        </w:tabs>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（4）属于同一集团、协会、商会等组织成员的供应商按照该组织要求协同参加政府采购活动；</w:t>
      </w:r>
    </w:p>
    <w:p w14:paraId="1DADE396">
      <w:pPr>
        <w:keepNext w:val="0"/>
        <w:keepLines w:val="0"/>
        <w:pageBreakBefore w:val="0"/>
        <w:tabs>
          <w:tab w:val="left" w:pos="2190"/>
        </w:tabs>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（5）供应商之间事先约定一致抬高或者压低报价，或者在政府采购活动中事先约定轮流以高价位或者低价位成交，或者事先约定由某一特定供应商成交，然后再参加竞标；</w:t>
      </w:r>
    </w:p>
    <w:p w14:paraId="62C5D36A">
      <w:pPr>
        <w:keepNext w:val="0"/>
        <w:keepLines w:val="0"/>
        <w:pageBreakBefore w:val="0"/>
        <w:tabs>
          <w:tab w:val="left" w:pos="2190"/>
        </w:tabs>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（6）供应商之间商定部分供应商放弃参加政府采购活动或者放弃成交；</w:t>
      </w:r>
    </w:p>
    <w:p w14:paraId="0E854980">
      <w:pPr>
        <w:keepNext w:val="0"/>
        <w:keepLines w:val="0"/>
        <w:pageBreakBefore w:val="0"/>
        <w:tabs>
          <w:tab w:val="left" w:pos="2190"/>
        </w:tabs>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b/>
          <w:color w:val="auto"/>
          <w:kern w:val="0"/>
          <w:sz w:val="28"/>
          <w:szCs w:val="28"/>
          <w:highlight w:val="none"/>
        </w:rPr>
      </w:pPr>
      <w:r>
        <w:rPr>
          <w:rFonts w:hint="eastAsia" w:ascii="宋体" w:hAnsi="宋体" w:eastAsia="宋体" w:cs="宋体"/>
          <w:color w:val="auto"/>
          <w:kern w:val="0"/>
          <w:szCs w:val="21"/>
          <w:highlight w:val="none"/>
        </w:rPr>
        <w:t>（7）供应商与采购人或者采购代理机构之间、供应商相互之间，为谋求特定供应商成交或者排斥其他供应商的其他串通行为。</w:t>
      </w:r>
    </w:p>
    <w:p w14:paraId="0EB5E874">
      <w:pPr>
        <w:keepNext w:val="0"/>
        <w:keepLines w:val="0"/>
        <w:pageBreakBefore w:val="0"/>
        <w:widowControl w:val="0"/>
        <w:tabs>
          <w:tab w:val="left" w:pos="2190"/>
        </w:tabs>
        <w:kinsoku/>
        <w:wordWrap w:val="0"/>
        <w:overflowPunct/>
        <w:topLinePunct w:val="0"/>
        <w:autoSpaceDE/>
        <w:autoSpaceDN/>
        <w:bidi w:val="0"/>
        <w:adjustRightInd/>
        <w:snapToGrid/>
        <w:spacing w:before="332" w:beforeLines="100" w:after="332" w:afterLines="100" w:line="370" w:lineRule="exact"/>
        <w:jc w:val="center"/>
        <w:textAlignment w:val="auto"/>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二、磋商文件</w:t>
      </w:r>
    </w:p>
    <w:p w14:paraId="0214968C">
      <w:pPr>
        <w:keepNext w:val="0"/>
        <w:keepLines w:val="0"/>
        <w:pageBreakBefore w:val="0"/>
        <w:tabs>
          <w:tab w:val="left" w:pos="2190"/>
        </w:tabs>
        <w:kinsoku/>
        <w:wordWrap w:val="0"/>
        <w:overflowPunct/>
        <w:topLinePunct w:val="0"/>
        <w:autoSpaceDE/>
        <w:autoSpaceDN/>
        <w:bidi w:val="0"/>
        <w:spacing w:line="370" w:lineRule="exact"/>
        <w:ind w:left="0" w:leftChars="0" w:firstLine="422" w:firstLineChars="200"/>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9.磋商文件的构成</w:t>
      </w:r>
    </w:p>
    <w:p w14:paraId="6AFE2587">
      <w:pPr>
        <w:keepNext w:val="0"/>
        <w:keepLines w:val="0"/>
        <w:pageBreakBefore w:val="0"/>
        <w:tabs>
          <w:tab w:val="left" w:pos="2190"/>
        </w:tabs>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（1）竞争性磋商公告；</w:t>
      </w:r>
    </w:p>
    <w:p w14:paraId="37C99A85">
      <w:pPr>
        <w:keepNext w:val="0"/>
        <w:keepLines w:val="0"/>
        <w:pageBreakBefore w:val="0"/>
        <w:tabs>
          <w:tab w:val="left" w:pos="2190"/>
        </w:tabs>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（2）供应商须知；</w:t>
      </w:r>
    </w:p>
    <w:p w14:paraId="1881F40D">
      <w:pPr>
        <w:keepNext w:val="0"/>
        <w:keepLines w:val="0"/>
        <w:pageBreakBefore w:val="0"/>
        <w:tabs>
          <w:tab w:val="left" w:pos="2190"/>
        </w:tabs>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（3）工程量清单；</w:t>
      </w:r>
    </w:p>
    <w:p w14:paraId="613747F8">
      <w:pPr>
        <w:keepNext w:val="0"/>
        <w:keepLines w:val="0"/>
        <w:pageBreakBefore w:val="0"/>
        <w:tabs>
          <w:tab w:val="left" w:pos="2190"/>
        </w:tabs>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（4）评审办法；</w:t>
      </w:r>
    </w:p>
    <w:p w14:paraId="5593AFA7">
      <w:pPr>
        <w:keepNext w:val="0"/>
        <w:keepLines w:val="0"/>
        <w:pageBreakBefore w:val="0"/>
        <w:tabs>
          <w:tab w:val="left" w:pos="2190"/>
        </w:tabs>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（5）采购合同（合同主要条款及格式）；</w:t>
      </w:r>
    </w:p>
    <w:p w14:paraId="621C7A6F">
      <w:pPr>
        <w:keepNext w:val="0"/>
        <w:keepLines w:val="0"/>
        <w:pageBreakBefore w:val="0"/>
        <w:tabs>
          <w:tab w:val="left" w:pos="2190"/>
        </w:tabs>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（6）响应文件（格式）；</w:t>
      </w:r>
    </w:p>
    <w:p w14:paraId="4573E267">
      <w:pPr>
        <w:keepNext w:val="0"/>
        <w:keepLines w:val="0"/>
        <w:pageBreakBefore w:val="0"/>
        <w:tabs>
          <w:tab w:val="left" w:pos="2190"/>
        </w:tabs>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（7）图纸。</w:t>
      </w:r>
    </w:p>
    <w:p w14:paraId="51D467E3">
      <w:pPr>
        <w:keepNext w:val="0"/>
        <w:keepLines w:val="0"/>
        <w:pageBreakBefore w:val="0"/>
        <w:tabs>
          <w:tab w:val="left" w:pos="2190"/>
        </w:tabs>
        <w:kinsoku/>
        <w:wordWrap w:val="0"/>
        <w:overflowPunct/>
        <w:topLinePunct w:val="0"/>
        <w:autoSpaceDE/>
        <w:autoSpaceDN/>
        <w:bidi w:val="0"/>
        <w:spacing w:line="370" w:lineRule="exact"/>
        <w:ind w:left="0" w:leftChars="0" w:firstLine="422" w:firstLineChars="200"/>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10.磋商文件的澄清与修改</w:t>
      </w:r>
    </w:p>
    <w:p w14:paraId="162BF3D1">
      <w:pPr>
        <w:keepNext w:val="0"/>
        <w:keepLines w:val="0"/>
        <w:pageBreakBefore w:val="0"/>
        <w:tabs>
          <w:tab w:val="left" w:pos="2190"/>
        </w:tabs>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提交首次响应文件截止之日前，采购代理机构可以对已发出的磋商文件进行必要澄清或者修改，澄清或者修改的内容可能影响响应文件编制的，采购代理机构应当在提交首次响应文件提交截止时间五日前在本项目竞争性磋商公告发布的同一媒体上发布更正公告，不足五日的，应当顺延首次响应文件提交截止时间。</w:t>
      </w:r>
    </w:p>
    <w:p w14:paraId="1FAA7768">
      <w:pPr>
        <w:keepNext w:val="0"/>
        <w:keepLines w:val="0"/>
        <w:pageBreakBefore w:val="0"/>
        <w:tabs>
          <w:tab w:val="left" w:pos="2190"/>
        </w:tabs>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供应商应实时关注本项目信息公告发布媒体相关网站了解澄清、修改等与项目有关的内容，如因供应商未及时登录本项目信息公告发布媒体相关网站了解澄清、修改等与项目有关的内容，从而导致响应文件无效的，由供应商自行承担责任。</w:t>
      </w:r>
    </w:p>
    <w:p w14:paraId="09058ED5">
      <w:pPr>
        <w:keepNext w:val="0"/>
        <w:keepLines w:val="0"/>
        <w:pageBreakBefore w:val="0"/>
        <w:tabs>
          <w:tab w:val="left" w:pos="2190"/>
        </w:tabs>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10.3澄清或者修改的内容为磋商文件的组成部分。当澄清或者修改通知就同一内容的表述不一致时，以最后发出的书面文件为准。</w:t>
      </w:r>
    </w:p>
    <w:p w14:paraId="48F86251">
      <w:pPr>
        <w:keepNext w:val="0"/>
        <w:keepLines w:val="0"/>
        <w:pageBreakBefore w:val="0"/>
        <w:tabs>
          <w:tab w:val="left" w:pos="2190"/>
        </w:tabs>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10.4 磋商文件的澄清或者修改都应该通过本项目采购代理机构以法定形式发布，采购人非通过本机构，不得擅自澄清、答复、修改或补充磋商文件。</w:t>
      </w:r>
    </w:p>
    <w:p w14:paraId="54B131FE">
      <w:pPr>
        <w:keepNext w:val="0"/>
        <w:keepLines w:val="0"/>
        <w:pageBreakBefore w:val="0"/>
        <w:tabs>
          <w:tab w:val="left" w:pos="2190"/>
        </w:tabs>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10.5 采购代理机构可以视采购具体情况，延长响应文件提交截止时间和磋商时间，并在本项目竞争性磋商公告发布的同一媒体上发布变更公告。</w:t>
      </w:r>
    </w:p>
    <w:p w14:paraId="4602D625">
      <w:pPr>
        <w:keepNext w:val="0"/>
        <w:keepLines w:val="0"/>
        <w:pageBreakBefore w:val="0"/>
        <w:widowControl w:val="0"/>
        <w:tabs>
          <w:tab w:val="left" w:pos="2190"/>
        </w:tabs>
        <w:kinsoku/>
        <w:wordWrap w:val="0"/>
        <w:overflowPunct/>
        <w:topLinePunct w:val="0"/>
        <w:autoSpaceDE/>
        <w:autoSpaceDN/>
        <w:bidi w:val="0"/>
        <w:adjustRightInd/>
        <w:snapToGrid/>
        <w:spacing w:before="332" w:beforeLines="100" w:after="332" w:afterLines="100" w:line="370" w:lineRule="exact"/>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三、竞争性磋商响应文件的编制</w:t>
      </w:r>
    </w:p>
    <w:p w14:paraId="27264F3E">
      <w:pPr>
        <w:keepNext w:val="0"/>
        <w:keepLines w:val="0"/>
        <w:pageBreakBefore w:val="0"/>
        <w:tabs>
          <w:tab w:val="left" w:pos="2190"/>
        </w:tabs>
        <w:kinsoku/>
        <w:wordWrap w:val="0"/>
        <w:overflowPunct/>
        <w:topLinePunct w:val="0"/>
        <w:autoSpaceDE/>
        <w:autoSpaceDN/>
        <w:bidi w:val="0"/>
        <w:spacing w:line="370" w:lineRule="exact"/>
        <w:ind w:left="0" w:leftChars="0" w:firstLine="422" w:firstLineChars="200"/>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11.响应文件（以下简称响应文件）的组成及要求</w:t>
      </w:r>
    </w:p>
    <w:p w14:paraId="189CB2CE">
      <w:pPr>
        <w:keepNext w:val="0"/>
        <w:keepLines w:val="0"/>
        <w:pageBreakBefore w:val="0"/>
        <w:tabs>
          <w:tab w:val="left" w:pos="1305"/>
        </w:tabs>
        <w:kinsoku/>
        <w:wordWrap w:val="0"/>
        <w:overflowPunct/>
        <w:topLinePunct w:val="0"/>
        <w:autoSpaceDE/>
        <w:autoSpaceDN/>
        <w:bidi w:val="0"/>
        <w:spacing w:line="370" w:lineRule="exact"/>
        <w:ind w:left="0" w:leftChars="0" w:firstLine="422" w:firstLineChars="200"/>
        <w:textAlignment w:val="auto"/>
        <w:rPr>
          <w:rFonts w:hint="eastAsia" w:ascii="宋体" w:hAnsi="宋体" w:eastAsia="宋体" w:cs="宋体"/>
          <w:color w:val="auto"/>
          <w:kern w:val="0"/>
          <w:szCs w:val="21"/>
          <w:highlight w:val="none"/>
        </w:rPr>
      </w:pPr>
      <w:r>
        <w:rPr>
          <w:rFonts w:hint="eastAsia" w:ascii="宋体" w:hAnsi="宋体" w:eastAsia="宋体" w:cs="宋体"/>
          <w:b/>
          <w:color w:val="auto"/>
          <w:kern w:val="0"/>
          <w:szCs w:val="21"/>
          <w:highlight w:val="none"/>
        </w:rPr>
        <w:t>11.1响应文件组成【格式见第六章“响应文件（格式）”】</w:t>
      </w:r>
    </w:p>
    <w:p w14:paraId="25CC783A">
      <w:pPr>
        <w:keepNext w:val="0"/>
        <w:keepLines w:val="0"/>
        <w:pageBreakBefore w:val="0"/>
        <w:tabs>
          <w:tab w:val="left" w:pos="1305"/>
        </w:tabs>
        <w:kinsoku/>
        <w:wordWrap w:val="0"/>
        <w:overflowPunct/>
        <w:topLinePunct w:val="0"/>
        <w:autoSpaceDE/>
        <w:autoSpaceDN/>
        <w:bidi w:val="0"/>
        <w:spacing w:line="370" w:lineRule="exact"/>
        <w:ind w:left="0" w:leftChars="0" w:firstLine="422" w:firstLineChars="200"/>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11.1.1.1资格性响应证明材料：</w:t>
      </w:r>
    </w:p>
    <w:p w14:paraId="7C87CA82">
      <w:pPr>
        <w:keepNext w:val="0"/>
        <w:keepLines w:val="0"/>
        <w:pageBreakBefore w:val="0"/>
        <w:tabs>
          <w:tab w:val="left" w:pos="1305"/>
        </w:tabs>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（1）供应商相应的法定代表人、负责人、自然人身份证正反两面复印件</w:t>
      </w:r>
      <w:r>
        <w:rPr>
          <w:rFonts w:hint="eastAsia" w:ascii="宋体" w:hAnsi="宋体" w:eastAsia="宋体" w:cs="宋体"/>
          <w:b/>
          <w:color w:val="auto"/>
          <w:kern w:val="0"/>
          <w:szCs w:val="21"/>
          <w:highlight w:val="none"/>
        </w:rPr>
        <w:t>（必须提供）；</w:t>
      </w:r>
    </w:p>
    <w:p w14:paraId="4C197C52">
      <w:pPr>
        <w:keepNext w:val="0"/>
        <w:keepLines w:val="0"/>
        <w:pageBreakBefore w:val="0"/>
        <w:tabs>
          <w:tab w:val="left" w:pos="1305"/>
        </w:tabs>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供应商的授权委托书原件、委托代理人身份证正反面复印件以及由县级以上（含县级）社会养老保险经办机构出具的供应商为委托代理人缴纳的响应文件递交截止时间前半年内任意连续三个月社保证明复印件</w:t>
      </w:r>
      <w:r>
        <w:rPr>
          <w:rFonts w:hint="eastAsia" w:ascii="宋体" w:hAnsi="宋体" w:eastAsia="宋体" w:cs="宋体"/>
          <w:color w:val="auto"/>
          <w:highlight w:val="none"/>
        </w:rPr>
        <w:t>（属于事业单位编制以及下设机构不用缴纳社保或者统一由上级部门或当地财政部门缴纳社保的，提供上一级缴纳社保证明或者是提供相关文件说明；如为退休返聘人员，提供其退休证及返聘合同原件扫描件</w:t>
      </w:r>
      <w:r>
        <w:rPr>
          <w:rFonts w:hint="eastAsia" w:ascii="宋体" w:hAnsi="宋体" w:eastAsia="宋体" w:cs="宋体"/>
          <w:color w:val="auto"/>
          <w:szCs w:val="21"/>
          <w:highlight w:val="none"/>
        </w:rPr>
        <w:t>；如为近期新聘员工的，以提供劳动合同证明材料为准）</w:t>
      </w:r>
      <w:r>
        <w:rPr>
          <w:rFonts w:hint="eastAsia" w:ascii="宋体" w:hAnsi="宋体" w:eastAsia="宋体" w:cs="宋体"/>
          <w:bCs/>
          <w:color w:val="auto"/>
          <w:kern w:val="0"/>
          <w:szCs w:val="21"/>
          <w:highlight w:val="none"/>
        </w:rPr>
        <w:t>，除供应商为以下二种情形的：</w:t>
      </w:r>
    </w:p>
    <w:p w14:paraId="0B3F60EA">
      <w:pPr>
        <w:keepNext w:val="0"/>
        <w:keepLines w:val="0"/>
        <w:pageBreakBefore w:val="0"/>
        <w:tabs>
          <w:tab w:val="left" w:pos="1305"/>
        </w:tabs>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①如供应商为截标时间前60日以内成立的公司，可以提供供应商与委托代理人签订的劳动合同复印件代替社保证明复印件；</w:t>
      </w:r>
    </w:p>
    <w:p w14:paraId="64C2DA4A">
      <w:pPr>
        <w:keepNext w:val="0"/>
        <w:keepLines w:val="0"/>
        <w:pageBreakBefore w:val="0"/>
        <w:tabs>
          <w:tab w:val="left" w:pos="1305"/>
        </w:tabs>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②如委托代理人为免缴纳社保人员，提供免缴纳社保的证明材料复印件及供应商与委托代理人签订的劳动合同复印件代替社保证明复印件。</w:t>
      </w:r>
    </w:p>
    <w:p w14:paraId="35E58231">
      <w:pPr>
        <w:keepNext w:val="0"/>
        <w:keepLines w:val="0"/>
        <w:pageBreakBefore w:val="0"/>
        <w:tabs>
          <w:tab w:val="left" w:pos="1305"/>
        </w:tabs>
        <w:kinsoku/>
        <w:wordWrap w:val="0"/>
        <w:overflowPunct/>
        <w:topLinePunct w:val="0"/>
        <w:autoSpaceDE/>
        <w:autoSpaceDN/>
        <w:bidi w:val="0"/>
        <w:spacing w:line="370" w:lineRule="exact"/>
        <w:ind w:left="0" w:leftChars="0" w:firstLine="422" w:firstLineChars="200"/>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【属自然人的应提供由县级以上（含县级）社会养老保险经办机构出具的自然人本人及委托代理人所缴纳的响应文件递交截止时间前半年内任意连续三个月社保证明复印件】（委托代理时必须提供）；</w:t>
      </w:r>
    </w:p>
    <w:p w14:paraId="1E6CB937">
      <w:pPr>
        <w:keepNext w:val="0"/>
        <w:keepLines w:val="0"/>
        <w:pageBreakBefore w:val="0"/>
        <w:tabs>
          <w:tab w:val="left" w:pos="1305"/>
        </w:tabs>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b/>
          <w:color w:val="auto"/>
          <w:kern w:val="0"/>
          <w:szCs w:val="21"/>
          <w:highlight w:val="none"/>
        </w:rPr>
      </w:pPr>
      <w:r>
        <w:rPr>
          <w:rFonts w:hint="eastAsia" w:ascii="宋体" w:hAnsi="宋体" w:eastAsia="宋体" w:cs="宋体"/>
          <w:bCs/>
          <w:color w:val="auto"/>
          <w:kern w:val="0"/>
          <w:szCs w:val="21"/>
          <w:highlight w:val="none"/>
        </w:rPr>
        <w:t>（3）供应商的法人或者其他组织营业执照等证明文件复印件</w:t>
      </w:r>
      <w:r>
        <w:rPr>
          <w:rFonts w:hint="eastAsia" w:ascii="宋体" w:hAnsi="宋体" w:eastAsia="宋体" w:cs="宋体"/>
          <w:b/>
          <w:color w:val="auto"/>
          <w:kern w:val="0"/>
          <w:szCs w:val="21"/>
          <w:highlight w:val="none"/>
        </w:rPr>
        <w:t>（必须提供，自然人除外）；</w:t>
      </w:r>
    </w:p>
    <w:p w14:paraId="2C863A76">
      <w:pPr>
        <w:keepNext w:val="0"/>
        <w:keepLines w:val="0"/>
        <w:pageBreakBefore w:val="0"/>
        <w:tabs>
          <w:tab w:val="left" w:pos="1305"/>
        </w:tabs>
        <w:kinsoku/>
        <w:wordWrap w:val="0"/>
        <w:overflowPunct/>
        <w:topLinePunct w:val="0"/>
        <w:autoSpaceDE/>
        <w:autoSpaceDN/>
        <w:bidi w:val="0"/>
        <w:spacing w:line="370" w:lineRule="exact"/>
        <w:ind w:left="0" w:leftChars="0" w:firstLine="422" w:firstLineChars="200"/>
        <w:textAlignment w:val="auto"/>
        <w:rPr>
          <w:rFonts w:hint="eastAsia" w:ascii="宋体" w:hAnsi="宋体" w:eastAsia="宋体" w:cs="宋体"/>
          <w:bCs/>
          <w:color w:val="auto"/>
          <w:kern w:val="0"/>
          <w:szCs w:val="21"/>
          <w:highlight w:val="none"/>
        </w:rPr>
      </w:pPr>
      <w:r>
        <w:rPr>
          <w:rFonts w:hint="eastAsia" w:ascii="宋体" w:hAnsi="宋体" w:eastAsia="宋体" w:cs="宋体"/>
          <w:b/>
          <w:color w:val="auto"/>
          <w:kern w:val="0"/>
          <w:szCs w:val="21"/>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579914BC">
      <w:pPr>
        <w:keepNext w:val="0"/>
        <w:keepLines w:val="0"/>
        <w:pageBreakBefore w:val="0"/>
        <w:tabs>
          <w:tab w:val="left" w:pos="1305"/>
        </w:tabs>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b/>
          <w:color w:val="auto"/>
          <w:kern w:val="0"/>
          <w:szCs w:val="21"/>
          <w:highlight w:val="none"/>
        </w:rPr>
      </w:pPr>
      <w:r>
        <w:rPr>
          <w:rFonts w:hint="eastAsia" w:ascii="宋体" w:hAnsi="宋体" w:eastAsia="宋体" w:cs="宋体"/>
          <w:bCs/>
          <w:color w:val="auto"/>
          <w:kern w:val="0"/>
          <w:szCs w:val="21"/>
          <w:highlight w:val="none"/>
        </w:rPr>
        <w:t>（4）供应商有效的资质证书、安全生产许可证复印件</w:t>
      </w:r>
      <w:r>
        <w:rPr>
          <w:rFonts w:hint="eastAsia" w:ascii="宋体" w:hAnsi="宋体" w:eastAsia="宋体" w:cs="宋体"/>
          <w:b/>
          <w:color w:val="auto"/>
          <w:kern w:val="0"/>
          <w:szCs w:val="21"/>
          <w:highlight w:val="none"/>
        </w:rPr>
        <w:t>（必须提供）；</w:t>
      </w:r>
    </w:p>
    <w:p w14:paraId="097B5537">
      <w:pPr>
        <w:keepNext w:val="0"/>
        <w:keepLines w:val="0"/>
        <w:pageBreakBefore w:val="0"/>
        <w:tabs>
          <w:tab w:val="left" w:pos="1305"/>
        </w:tabs>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（5）拟投入本项目项目经理简历表</w:t>
      </w:r>
      <w:r>
        <w:rPr>
          <w:rFonts w:hint="eastAsia" w:ascii="宋体" w:hAnsi="宋体" w:eastAsia="宋体" w:cs="宋体"/>
          <w:b/>
          <w:color w:val="auto"/>
          <w:kern w:val="0"/>
          <w:szCs w:val="21"/>
          <w:highlight w:val="none"/>
        </w:rPr>
        <w:t>（必须提供）</w:t>
      </w:r>
      <w:r>
        <w:rPr>
          <w:rFonts w:hint="eastAsia" w:ascii="宋体" w:hAnsi="宋体" w:eastAsia="宋体" w:cs="宋体"/>
          <w:bCs/>
          <w:color w:val="auto"/>
          <w:kern w:val="0"/>
          <w:szCs w:val="21"/>
          <w:highlight w:val="none"/>
        </w:rPr>
        <w:t>；</w:t>
      </w:r>
    </w:p>
    <w:p w14:paraId="05C1CCDB">
      <w:pPr>
        <w:keepNext w:val="0"/>
        <w:keepLines w:val="0"/>
        <w:pageBreakBefore w:val="0"/>
        <w:tabs>
          <w:tab w:val="left" w:pos="1305"/>
        </w:tabs>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（6）供应商近半年内任意一个月或任一季度依法缴纳税收的证明材料[增值税缴纳发票(税收完税证明)或企业所得税完税证明或税务部门出具的无欠税证明或免税证明]复印件</w:t>
      </w:r>
      <w:r>
        <w:rPr>
          <w:rFonts w:hint="eastAsia" w:ascii="宋体" w:hAnsi="宋体" w:eastAsia="宋体" w:cs="宋体"/>
          <w:b/>
          <w:color w:val="auto"/>
          <w:kern w:val="0"/>
          <w:szCs w:val="21"/>
          <w:highlight w:val="none"/>
        </w:rPr>
        <w:t>（必须提供）</w:t>
      </w:r>
      <w:r>
        <w:rPr>
          <w:rFonts w:hint="eastAsia" w:ascii="宋体" w:hAnsi="宋体" w:eastAsia="宋体" w:cs="宋体"/>
          <w:bCs/>
          <w:color w:val="auto"/>
          <w:kern w:val="0"/>
          <w:szCs w:val="21"/>
          <w:highlight w:val="none"/>
        </w:rPr>
        <w:t xml:space="preserve">；   </w:t>
      </w:r>
    </w:p>
    <w:p w14:paraId="667CEC66">
      <w:pPr>
        <w:keepNext w:val="0"/>
        <w:keepLines w:val="0"/>
        <w:pageBreakBefore w:val="0"/>
        <w:tabs>
          <w:tab w:val="left" w:pos="1305"/>
        </w:tabs>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（7）供应商参加政府采购活动前3年内在经营活动中没有重大违法记录及有关信用信息的书面声明</w:t>
      </w:r>
      <w:r>
        <w:rPr>
          <w:rFonts w:hint="eastAsia" w:ascii="宋体" w:hAnsi="宋体" w:eastAsia="宋体" w:cs="宋体"/>
          <w:b/>
          <w:bCs w:val="0"/>
          <w:color w:val="auto"/>
          <w:kern w:val="0"/>
          <w:szCs w:val="21"/>
          <w:highlight w:val="none"/>
        </w:rPr>
        <w:t>（必须提供）；</w:t>
      </w:r>
    </w:p>
    <w:p w14:paraId="0056ECB9">
      <w:pPr>
        <w:keepNext w:val="0"/>
        <w:keepLines w:val="0"/>
        <w:pageBreakBefore w:val="0"/>
        <w:tabs>
          <w:tab w:val="left" w:pos="1305"/>
        </w:tabs>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rPr>
        <w:t>（8）供应商参加本项目无围标串标行为的承诺函</w:t>
      </w:r>
      <w:r>
        <w:rPr>
          <w:rFonts w:hint="eastAsia" w:ascii="宋体" w:hAnsi="宋体" w:eastAsia="宋体" w:cs="宋体"/>
          <w:b/>
          <w:bCs w:val="0"/>
          <w:color w:val="auto"/>
          <w:kern w:val="0"/>
          <w:szCs w:val="21"/>
          <w:highlight w:val="none"/>
        </w:rPr>
        <w:t>（必须提供）</w:t>
      </w:r>
      <w:r>
        <w:rPr>
          <w:rFonts w:hint="eastAsia" w:ascii="宋体" w:hAnsi="宋体" w:eastAsia="宋体" w:cs="宋体"/>
          <w:b/>
          <w:bCs w:val="0"/>
          <w:color w:val="auto"/>
          <w:kern w:val="0"/>
          <w:szCs w:val="21"/>
          <w:highlight w:val="none"/>
          <w:lang w:eastAsia="zh-CN"/>
        </w:rPr>
        <w:t>；</w:t>
      </w:r>
    </w:p>
    <w:p w14:paraId="5171774A">
      <w:pPr>
        <w:keepNext w:val="0"/>
        <w:keepLines w:val="0"/>
        <w:pageBreakBefore w:val="0"/>
        <w:tabs>
          <w:tab w:val="left" w:pos="1305"/>
        </w:tabs>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en-US" w:eastAsia="zh-CN"/>
        </w:rPr>
        <w:t>（9）供应商如为符合政策要求的中小企业且承接本项目</w:t>
      </w:r>
      <w:r>
        <w:rPr>
          <w:rFonts w:hint="eastAsia" w:ascii="宋体" w:hAnsi="宋体" w:cs="宋体"/>
          <w:bCs/>
          <w:color w:val="auto"/>
          <w:kern w:val="0"/>
          <w:szCs w:val="21"/>
          <w:highlight w:val="none"/>
          <w:lang w:val="en-US" w:eastAsia="zh-CN"/>
        </w:rPr>
        <w:t>全部工程</w:t>
      </w:r>
      <w:r>
        <w:rPr>
          <w:rFonts w:hint="eastAsia" w:ascii="宋体" w:hAnsi="宋体" w:eastAsia="宋体" w:cs="宋体"/>
          <w:bCs/>
          <w:color w:val="auto"/>
          <w:kern w:val="0"/>
          <w:szCs w:val="21"/>
          <w:highlight w:val="none"/>
          <w:lang w:val="en-US" w:eastAsia="zh-CN"/>
        </w:rPr>
        <w:t>的，提供《中小企业声明函》；供应商如属于监狱企业且承接本项目</w:t>
      </w:r>
      <w:r>
        <w:rPr>
          <w:rFonts w:hint="eastAsia" w:ascii="宋体" w:hAnsi="宋体" w:cs="宋体"/>
          <w:bCs/>
          <w:color w:val="auto"/>
          <w:kern w:val="0"/>
          <w:szCs w:val="21"/>
          <w:highlight w:val="none"/>
          <w:lang w:val="en-US" w:eastAsia="zh-CN"/>
        </w:rPr>
        <w:t>全部工程</w:t>
      </w:r>
      <w:r>
        <w:rPr>
          <w:rFonts w:hint="eastAsia" w:ascii="宋体" w:hAnsi="宋体" w:eastAsia="宋体" w:cs="宋体"/>
          <w:bCs/>
          <w:color w:val="auto"/>
          <w:kern w:val="0"/>
          <w:szCs w:val="21"/>
          <w:highlight w:val="none"/>
          <w:lang w:val="en-US" w:eastAsia="zh-CN"/>
        </w:rPr>
        <w:t>的，提供由省级以上监狱管理局、戒毒管理局(含新疆生产建设兵团)出具的属于监狱企业的证明文件；供应商如属于符合条件的残疾人福利性单位且承接本项目</w:t>
      </w:r>
      <w:r>
        <w:rPr>
          <w:rFonts w:hint="eastAsia" w:ascii="宋体" w:hAnsi="宋体" w:cs="宋体"/>
          <w:bCs/>
          <w:color w:val="auto"/>
          <w:kern w:val="0"/>
          <w:szCs w:val="21"/>
          <w:highlight w:val="none"/>
          <w:lang w:val="en-US" w:eastAsia="zh-CN"/>
        </w:rPr>
        <w:t>全部工程</w:t>
      </w:r>
      <w:r>
        <w:rPr>
          <w:rFonts w:hint="eastAsia" w:ascii="宋体" w:hAnsi="宋体" w:eastAsia="宋体" w:cs="宋体"/>
          <w:bCs/>
          <w:color w:val="auto"/>
          <w:kern w:val="0"/>
          <w:szCs w:val="21"/>
          <w:highlight w:val="none"/>
          <w:lang w:val="en-US" w:eastAsia="zh-CN"/>
        </w:rPr>
        <w:t>的，提供《残疾人福利性单位声明函》</w:t>
      </w:r>
      <w:r>
        <w:rPr>
          <w:rFonts w:hint="eastAsia" w:ascii="宋体" w:hAnsi="宋体" w:eastAsia="宋体" w:cs="宋体"/>
          <w:b/>
          <w:bCs w:val="0"/>
          <w:color w:val="auto"/>
          <w:kern w:val="0"/>
          <w:szCs w:val="21"/>
          <w:highlight w:val="none"/>
          <w:lang w:val="en-US" w:eastAsia="zh-CN"/>
        </w:rPr>
        <w:t>（必须提供）</w:t>
      </w:r>
      <w:r>
        <w:rPr>
          <w:rFonts w:hint="eastAsia" w:ascii="宋体" w:hAnsi="宋体" w:cs="宋体"/>
          <w:b/>
          <w:bCs w:val="0"/>
          <w:color w:val="auto"/>
          <w:kern w:val="0"/>
          <w:szCs w:val="21"/>
          <w:highlight w:val="none"/>
          <w:lang w:val="en-US" w:eastAsia="zh-CN"/>
        </w:rPr>
        <w:t>。</w:t>
      </w:r>
    </w:p>
    <w:p w14:paraId="70133CDD">
      <w:pPr>
        <w:keepNext w:val="0"/>
        <w:keepLines w:val="0"/>
        <w:pageBreakBefore w:val="0"/>
        <w:tabs>
          <w:tab w:val="left" w:pos="1305"/>
        </w:tabs>
        <w:kinsoku/>
        <w:wordWrap w:val="0"/>
        <w:overflowPunct/>
        <w:topLinePunct w:val="0"/>
        <w:autoSpaceDE/>
        <w:autoSpaceDN/>
        <w:bidi w:val="0"/>
        <w:spacing w:line="370" w:lineRule="exact"/>
        <w:ind w:left="0" w:leftChars="0" w:firstLine="422" w:firstLineChars="200"/>
        <w:textAlignment w:val="auto"/>
        <w:rPr>
          <w:rFonts w:hint="eastAsia" w:ascii="宋体" w:hAnsi="宋体" w:eastAsia="宋体" w:cs="宋体"/>
          <w:b/>
          <w:bCs w:val="0"/>
          <w:color w:val="auto"/>
          <w:kern w:val="0"/>
          <w:szCs w:val="21"/>
          <w:highlight w:val="none"/>
          <w:lang w:val="en-US" w:eastAsia="zh-CN"/>
        </w:rPr>
      </w:pPr>
      <w:r>
        <w:rPr>
          <w:rFonts w:hint="eastAsia" w:ascii="宋体" w:hAnsi="宋体" w:eastAsia="宋体" w:cs="宋体"/>
          <w:b/>
          <w:bCs w:val="0"/>
          <w:color w:val="auto"/>
          <w:kern w:val="0"/>
          <w:szCs w:val="21"/>
          <w:highlight w:val="none"/>
          <w:lang w:val="en-US" w:eastAsia="zh-CN"/>
        </w:rPr>
        <w:t>11.1.1.2符合性响应证明材料：</w:t>
      </w:r>
    </w:p>
    <w:p w14:paraId="0EC14A68">
      <w:pPr>
        <w:keepNext w:val="0"/>
        <w:keepLines w:val="0"/>
        <w:pageBreakBefore w:val="0"/>
        <w:tabs>
          <w:tab w:val="left" w:pos="1305"/>
        </w:tabs>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b/>
          <w:color w:val="auto"/>
          <w:kern w:val="0"/>
          <w:szCs w:val="21"/>
          <w:highlight w:val="none"/>
        </w:rPr>
      </w:pPr>
      <w:r>
        <w:rPr>
          <w:rFonts w:hint="eastAsia" w:ascii="宋体" w:hAnsi="宋体" w:eastAsia="宋体" w:cs="宋体"/>
          <w:bCs/>
          <w:color w:val="auto"/>
          <w:kern w:val="0"/>
          <w:szCs w:val="21"/>
          <w:highlight w:val="none"/>
        </w:rPr>
        <w:t>（1）响应函</w:t>
      </w:r>
      <w:r>
        <w:rPr>
          <w:rFonts w:hint="eastAsia" w:ascii="宋体" w:hAnsi="宋体" w:eastAsia="宋体" w:cs="宋体"/>
          <w:b w:val="0"/>
          <w:bCs/>
          <w:color w:val="auto"/>
          <w:kern w:val="0"/>
          <w:szCs w:val="21"/>
          <w:highlight w:val="none"/>
        </w:rPr>
        <w:t>及</w:t>
      </w:r>
      <w:r>
        <w:rPr>
          <w:rFonts w:hint="eastAsia" w:ascii="宋体" w:hAnsi="宋体" w:eastAsia="宋体" w:cs="宋体"/>
          <w:b w:val="0"/>
          <w:bCs/>
          <w:color w:val="auto"/>
          <w:kern w:val="0"/>
          <w:szCs w:val="21"/>
          <w:highlight w:val="none"/>
          <w:lang w:eastAsia="zh-CN"/>
        </w:rPr>
        <w:t>磋商报价汇总表</w:t>
      </w:r>
      <w:r>
        <w:rPr>
          <w:rFonts w:hint="eastAsia" w:ascii="宋体" w:hAnsi="宋体" w:eastAsia="宋体" w:cs="宋体"/>
          <w:bCs/>
          <w:color w:val="auto"/>
          <w:kern w:val="0"/>
          <w:szCs w:val="21"/>
          <w:highlight w:val="none"/>
        </w:rPr>
        <w:t>（格式见附件）</w:t>
      </w:r>
      <w:r>
        <w:rPr>
          <w:rFonts w:hint="eastAsia" w:ascii="宋体" w:hAnsi="宋体" w:eastAsia="宋体" w:cs="宋体"/>
          <w:b/>
          <w:color w:val="auto"/>
          <w:kern w:val="0"/>
          <w:szCs w:val="21"/>
          <w:highlight w:val="none"/>
        </w:rPr>
        <w:t>（必须提供）；</w:t>
      </w:r>
    </w:p>
    <w:p w14:paraId="0AE25684">
      <w:pPr>
        <w:keepNext w:val="0"/>
        <w:keepLines w:val="0"/>
        <w:pageBreakBefore w:val="0"/>
        <w:tabs>
          <w:tab w:val="left" w:pos="1305"/>
        </w:tabs>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b/>
          <w:color w:val="auto"/>
          <w:kern w:val="0"/>
          <w:szCs w:val="21"/>
          <w:highlight w:val="none"/>
        </w:rPr>
      </w:pPr>
      <w:r>
        <w:rPr>
          <w:rFonts w:hint="eastAsia" w:ascii="宋体" w:hAnsi="宋体" w:eastAsia="宋体" w:cs="宋体"/>
          <w:bCs/>
          <w:color w:val="auto"/>
          <w:kern w:val="0"/>
          <w:szCs w:val="21"/>
          <w:highlight w:val="none"/>
        </w:rPr>
        <w:t>（2）已标价工程量清单</w:t>
      </w:r>
      <w:r>
        <w:rPr>
          <w:rFonts w:hint="eastAsia" w:ascii="宋体" w:hAnsi="宋体" w:eastAsia="宋体" w:cs="宋体"/>
          <w:b/>
          <w:color w:val="auto"/>
          <w:kern w:val="0"/>
          <w:szCs w:val="21"/>
          <w:highlight w:val="none"/>
        </w:rPr>
        <w:t>（必须提供）；</w:t>
      </w:r>
    </w:p>
    <w:p w14:paraId="1352BD8F">
      <w:pPr>
        <w:keepNext w:val="0"/>
        <w:keepLines w:val="0"/>
        <w:pageBreakBefore w:val="0"/>
        <w:tabs>
          <w:tab w:val="left" w:pos="1305"/>
        </w:tabs>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b/>
          <w:color w:val="auto"/>
          <w:kern w:val="0"/>
          <w:szCs w:val="21"/>
          <w:highlight w:val="none"/>
        </w:rPr>
      </w:pPr>
      <w:r>
        <w:rPr>
          <w:rFonts w:hint="eastAsia" w:ascii="宋体" w:hAnsi="宋体" w:eastAsia="宋体" w:cs="宋体"/>
          <w:bCs/>
          <w:color w:val="auto"/>
          <w:kern w:val="0"/>
          <w:szCs w:val="21"/>
          <w:highlight w:val="none"/>
        </w:rPr>
        <w:t>（3）拟投入本工程主要施工管理人员表</w:t>
      </w:r>
      <w:r>
        <w:rPr>
          <w:rFonts w:hint="eastAsia" w:ascii="宋体" w:hAnsi="宋体" w:eastAsia="宋体" w:cs="宋体"/>
          <w:b/>
          <w:color w:val="auto"/>
          <w:kern w:val="0"/>
          <w:szCs w:val="21"/>
          <w:highlight w:val="none"/>
        </w:rPr>
        <w:t>（必须提供）；</w:t>
      </w:r>
    </w:p>
    <w:p w14:paraId="4E7B5FA4">
      <w:pPr>
        <w:keepNext w:val="0"/>
        <w:keepLines w:val="0"/>
        <w:pageBreakBefore w:val="0"/>
        <w:tabs>
          <w:tab w:val="left" w:pos="1305"/>
        </w:tabs>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施工实施方案</w:t>
      </w:r>
      <w:r>
        <w:rPr>
          <w:rFonts w:hint="eastAsia" w:ascii="宋体" w:hAnsi="宋体" w:eastAsia="宋体" w:cs="宋体"/>
          <w:b/>
          <w:color w:val="auto"/>
          <w:kern w:val="0"/>
          <w:szCs w:val="21"/>
          <w:highlight w:val="none"/>
        </w:rPr>
        <w:t>（必须提供）；</w:t>
      </w:r>
    </w:p>
    <w:p w14:paraId="529E833E">
      <w:pPr>
        <w:keepNext w:val="0"/>
        <w:keepLines w:val="0"/>
        <w:pageBreakBefore w:val="0"/>
        <w:tabs>
          <w:tab w:val="left" w:pos="1305"/>
        </w:tabs>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（5）工程完工服务承诺书</w:t>
      </w:r>
      <w:r>
        <w:rPr>
          <w:rFonts w:hint="eastAsia" w:ascii="宋体" w:hAnsi="宋体" w:eastAsia="宋体" w:cs="宋体"/>
          <w:b/>
          <w:color w:val="auto"/>
          <w:kern w:val="0"/>
          <w:szCs w:val="21"/>
          <w:highlight w:val="none"/>
        </w:rPr>
        <w:t>（必须提供）；</w:t>
      </w:r>
    </w:p>
    <w:p w14:paraId="0BDA7BD5">
      <w:pPr>
        <w:keepNext w:val="0"/>
        <w:keepLines w:val="0"/>
        <w:pageBreakBefore w:val="0"/>
        <w:tabs>
          <w:tab w:val="left" w:pos="1305"/>
        </w:tabs>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（6）工程渣土清运承诺书</w:t>
      </w:r>
      <w:r>
        <w:rPr>
          <w:rFonts w:hint="eastAsia" w:ascii="宋体" w:hAnsi="宋体" w:eastAsia="宋体" w:cs="宋体"/>
          <w:b/>
          <w:color w:val="auto"/>
          <w:kern w:val="0"/>
          <w:szCs w:val="21"/>
          <w:highlight w:val="none"/>
        </w:rPr>
        <w:t>（必须提供）；</w:t>
      </w:r>
    </w:p>
    <w:p w14:paraId="07FBE5A2">
      <w:pPr>
        <w:keepNext w:val="0"/>
        <w:keepLines w:val="0"/>
        <w:pageBreakBefore w:val="0"/>
        <w:tabs>
          <w:tab w:val="left" w:pos="1305"/>
        </w:tabs>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（7）农民工工资保障金交纳与使用承诺书</w:t>
      </w:r>
      <w:r>
        <w:rPr>
          <w:rFonts w:hint="eastAsia" w:ascii="宋体" w:hAnsi="宋体" w:eastAsia="宋体" w:cs="宋体"/>
          <w:b/>
          <w:bCs w:val="0"/>
          <w:color w:val="auto"/>
          <w:kern w:val="0"/>
          <w:szCs w:val="21"/>
          <w:highlight w:val="none"/>
        </w:rPr>
        <w:t>（必须提供）。</w:t>
      </w:r>
    </w:p>
    <w:p w14:paraId="46792C0A">
      <w:pPr>
        <w:keepNext w:val="0"/>
        <w:keepLines w:val="0"/>
        <w:pageBreakBefore w:val="0"/>
        <w:tabs>
          <w:tab w:val="left" w:pos="1305"/>
        </w:tabs>
        <w:kinsoku/>
        <w:wordWrap w:val="0"/>
        <w:overflowPunct/>
        <w:topLinePunct w:val="0"/>
        <w:autoSpaceDE/>
        <w:autoSpaceDN/>
        <w:bidi w:val="0"/>
        <w:spacing w:line="370" w:lineRule="exact"/>
        <w:ind w:left="0" w:leftChars="0" w:firstLine="422" w:firstLineChars="200"/>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 11.1.1.3其他有效证明材料</w:t>
      </w:r>
    </w:p>
    <w:p w14:paraId="380C3E2A">
      <w:pPr>
        <w:keepNext w:val="0"/>
        <w:keepLines w:val="0"/>
        <w:pageBreakBefore w:val="0"/>
        <w:tabs>
          <w:tab w:val="left" w:pos="1305"/>
        </w:tabs>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（1）供应商</w:t>
      </w:r>
      <w:r>
        <w:rPr>
          <w:rFonts w:hint="eastAsia" w:ascii="宋体" w:hAnsi="宋体" w:eastAsia="宋体" w:cs="宋体"/>
          <w:bCs/>
          <w:color w:val="auto"/>
          <w:kern w:val="0"/>
          <w:szCs w:val="21"/>
          <w:highlight w:val="none"/>
          <w:lang w:eastAsia="zh-CN"/>
        </w:rPr>
        <w:t>20</w:t>
      </w:r>
      <w:r>
        <w:rPr>
          <w:rFonts w:hint="eastAsia" w:ascii="宋体" w:hAnsi="宋体" w:eastAsia="宋体" w:cs="宋体"/>
          <w:bCs/>
          <w:color w:val="auto"/>
          <w:kern w:val="0"/>
          <w:szCs w:val="21"/>
          <w:highlight w:val="none"/>
          <w:lang w:val="en-US" w:eastAsia="zh-CN"/>
        </w:rPr>
        <w:t>20</w:t>
      </w:r>
      <w:r>
        <w:rPr>
          <w:rFonts w:hint="eastAsia" w:ascii="宋体" w:hAnsi="宋体" w:eastAsia="宋体" w:cs="宋体"/>
          <w:bCs/>
          <w:color w:val="auto"/>
          <w:kern w:val="0"/>
          <w:szCs w:val="21"/>
          <w:highlight w:val="none"/>
          <w:lang w:eastAsia="zh-CN"/>
        </w:rPr>
        <w:t>年至今</w:t>
      </w:r>
      <w:r>
        <w:rPr>
          <w:rFonts w:hint="eastAsia" w:ascii="宋体" w:hAnsi="宋体" w:eastAsia="宋体" w:cs="宋体"/>
          <w:bCs/>
          <w:color w:val="auto"/>
          <w:kern w:val="0"/>
          <w:szCs w:val="21"/>
          <w:highlight w:val="none"/>
        </w:rPr>
        <w:t>，完成的与本工程的工程类别相同的</w:t>
      </w:r>
      <w:r>
        <w:rPr>
          <w:rFonts w:hint="eastAsia" w:ascii="宋体" w:hAnsi="宋体" w:eastAsia="宋体" w:cs="宋体"/>
          <w:bCs/>
          <w:color w:val="auto"/>
          <w:kern w:val="0"/>
          <w:szCs w:val="21"/>
          <w:highlight w:val="none"/>
          <w:lang w:val="zh-CN"/>
        </w:rPr>
        <w:t>施工</w:t>
      </w:r>
      <w:r>
        <w:rPr>
          <w:rFonts w:hint="eastAsia" w:ascii="宋体" w:hAnsi="宋体" w:eastAsia="宋体" w:cs="宋体"/>
          <w:bCs/>
          <w:color w:val="auto"/>
          <w:kern w:val="0"/>
          <w:szCs w:val="21"/>
          <w:highlight w:val="none"/>
        </w:rPr>
        <w:t>项目（如有，请提供）；</w:t>
      </w:r>
    </w:p>
    <w:p w14:paraId="048A1F9F">
      <w:pPr>
        <w:keepNext w:val="0"/>
        <w:keepLines w:val="0"/>
        <w:pageBreakBefore w:val="0"/>
        <w:tabs>
          <w:tab w:val="left" w:pos="1305"/>
        </w:tabs>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（2）供应商相关获奖证书、认证证书等复印件</w:t>
      </w:r>
      <w:r>
        <w:rPr>
          <w:rFonts w:hint="eastAsia" w:ascii="宋体" w:hAnsi="宋体" w:eastAsia="宋体" w:cs="宋体"/>
          <w:b/>
          <w:color w:val="auto"/>
          <w:kern w:val="0"/>
          <w:szCs w:val="21"/>
          <w:highlight w:val="none"/>
        </w:rPr>
        <w:t>（如有，请提供）</w:t>
      </w:r>
      <w:r>
        <w:rPr>
          <w:rFonts w:hint="eastAsia" w:ascii="宋体" w:hAnsi="宋体" w:eastAsia="宋体" w:cs="宋体"/>
          <w:bCs/>
          <w:color w:val="auto"/>
          <w:kern w:val="0"/>
          <w:szCs w:val="21"/>
          <w:highlight w:val="none"/>
        </w:rPr>
        <w:t>；</w:t>
      </w:r>
    </w:p>
    <w:p w14:paraId="785B83F2">
      <w:pPr>
        <w:keepNext w:val="0"/>
        <w:keepLines w:val="0"/>
        <w:pageBreakBefore w:val="0"/>
        <w:tabs>
          <w:tab w:val="left" w:pos="1305"/>
        </w:tabs>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w:t>
      </w:r>
      <w:r>
        <w:rPr>
          <w:rFonts w:hint="eastAsia" w:ascii="宋体" w:hAnsi="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）供应商可结合本项目的评审办法视自身情况自行提交其它相关证明材料</w:t>
      </w:r>
      <w:r>
        <w:rPr>
          <w:rFonts w:hint="eastAsia" w:ascii="宋体" w:hAnsi="宋体" w:eastAsia="宋体" w:cs="宋体"/>
          <w:b/>
          <w:color w:val="auto"/>
          <w:kern w:val="0"/>
          <w:szCs w:val="21"/>
          <w:highlight w:val="none"/>
        </w:rPr>
        <w:t>（如有，请提供）</w:t>
      </w:r>
      <w:r>
        <w:rPr>
          <w:rFonts w:hint="eastAsia" w:ascii="宋体" w:hAnsi="宋体" w:eastAsia="宋体" w:cs="宋体"/>
          <w:bCs/>
          <w:color w:val="auto"/>
          <w:kern w:val="0"/>
          <w:szCs w:val="21"/>
          <w:highlight w:val="none"/>
        </w:rPr>
        <w:t>。</w:t>
      </w:r>
    </w:p>
    <w:p w14:paraId="6D05E686">
      <w:pPr>
        <w:pStyle w:val="9"/>
        <w:keepNext w:val="0"/>
        <w:keepLines w:val="0"/>
        <w:pageBreakBefore w:val="0"/>
        <w:kinsoku/>
        <w:wordWrap w:val="0"/>
        <w:overflowPunct/>
        <w:topLinePunct w:val="0"/>
        <w:autoSpaceDE/>
        <w:autoSpaceDN/>
        <w:bidi w:val="0"/>
        <w:spacing w:line="370" w:lineRule="exact"/>
        <w:ind w:left="0" w:leftChars="0"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供应商提供的以上相关证明材料必须真实有效，属于“必须提供”的文件应加盖供应商CA证书签章，否则响应无效；其中“必须提供”的文件“响应文件（格式）”中有要求法定代表人(负责人、自然人)或相应的授权委托代理人在规定位置签字的，可使用法定代表人(负责人、自然人)或相应的授权委托代理人个人CA证书签章，没有办理政采云个人CA证书签章的可在响应文件中涉及到签字的位置手写签字后扫描或者拍照做成 PDF 的格式上传，无个人CA证书签章及手写签字的，响应文件按无效处理。</w:t>
      </w:r>
    </w:p>
    <w:p w14:paraId="3E4A3BF0">
      <w:pPr>
        <w:pStyle w:val="9"/>
        <w:keepNext w:val="0"/>
        <w:keepLines w:val="0"/>
        <w:pageBreakBefore w:val="0"/>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11.2供应商应按竞争性磋商文件第六章“响应文件（格式）”编制响应文件。</w:t>
      </w:r>
    </w:p>
    <w:p w14:paraId="7C928970">
      <w:pPr>
        <w:keepNext w:val="0"/>
        <w:keepLines w:val="0"/>
        <w:pageBreakBefore w:val="0"/>
        <w:tabs>
          <w:tab w:val="left" w:pos="1305"/>
        </w:tabs>
        <w:kinsoku/>
        <w:wordWrap w:val="0"/>
        <w:overflowPunct/>
        <w:topLinePunct w:val="0"/>
        <w:autoSpaceDE/>
        <w:autoSpaceDN/>
        <w:bidi w:val="0"/>
        <w:spacing w:line="370" w:lineRule="exact"/>
        <w:ind w:left="0" w:leftChars="0" w:firstLine="422" w:firstLineChars="200"/>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12.响应文件的语言及计量</w:t>
      </w:r>
    </w:p>
    <w:p w14:paraId="6D4871B1">
      <w:pPr>
        <w:keepNext w:val="0"/>
        <w:keepLines w:val="0"/>
        <w:pageBreakBefore w:val="0"/>
        <w:tabs>
          <w:tab w:val="left" w:pos="1305"/>
        </w:tabs>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响应文件以及供应商与采购代理机构就有关响应事宜的所有来往函电，均必须以中文汉语书写。供应商提交的支持文件和印刷的文献可以使用别的语言，但其相应内容必须附有中文翻译文本，在解释响应文件时以中文翻译文本为主。</w:t>
      </w:r>
    </w:p>
    <w:p w14:paraId="41BDDC0B">
      <w:pPr>
        <w:keepNext w:val="0"/>
        <w:keepLines w:val="0"/>
        <w:pageBreakBefore w:val="0"/>
        <w:tabs>
          <w:tab w:val="left" w:pos="1305"/>
        </w:tabs>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响应计量单位，磋商文件已有明确规定的，使用磋商文件规定的计量单位；磋商文件没有规定的，必须采用中华人民共和国法定计量单位（货币单位：人民币元），否则视同未响应。</w:t>
      </w:r>
    </w:p>
    <w:p w14:paraId="7E5E517E">
      <w:pPr>
        <w:keepNext w:val="0"/>
        <w:keepLines w:val="0"/>
        <w:pageBreakBefore w:val="0"/>
        <w:tabs>
          <w:tab w:val="left" w:pos="1305"/>
        </w:tabs>
        <w:kinsoku/>
        <w:wordWrap w:val="0"/>
        <w:overflowPunct/>
        <w:topLinePunct w:val="0"/>
        <w:autoSpaceDE/>
        <w:autoSpaceDN/>
        <w:bidi w:val="0"/>
        <w:spacing w:line="370" w:lineRule="exact"/>
        <w:ind w:left="0" w:leftChars="0" w:firstLine="422" w:firstLineChars="200"/>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13.磋商报价及采购预算金额</w:t>
      </w:r>
    </w:p>
    <w:p w14:paraId="3FE65711">
      <w:pPr>
        <w:keepNext w:val="0"/>
        <w:keepLines w:val="0"/>
        <w:pageBreakBefore w:val="0"/>
        <w:tabs>
          <w:tab w:val="left" w:pos="1305"/>
        </w:tabs>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w:t>
      </w:r>
      <w:r>
        <w:rPr>
          <w:rFonts w:hint="eastAsia" w:ascii="宋体" w:hAnsi="宋体" w:cs="宋体"/>
          <w:color w:val="FF0000"/>
          <w:kern w:val="0"/>
          <w:szCs w:val="21"/>
        </w:rPr>
        <w:t>本</w:t>
      </w:r>
      <w:r>
        <w:rPr>
          <w:rFonts w:hint="eastAsia" w:ascii="宋体" w:hAnsi="宋体" w:cs="宋体"/>
          <w:color w:val="FF0000"/>
          <w:kern w:val="0"/>
          <w:szCs w:val="21"/>
          <w:lang w:val="en-US" w:eastAsia="zh-CN"/>
        </w:rPr>
        <w:t>工程</w:t>
      </w:r>
      <w:r>
        <w:rPr>
          <w:rFonts w:hint="eastAsia" w:ascii="宋体" w:hAnsi="宋体" w:cs="宋体"/>
          <w:color w:val="FF0000"/>
          <w:kern w:val="0"/>
          <w:szCs w:val="21"/>
        </w:rPr>
        <w:t>采购预算金额为</w:t>
      </w:r>
      <w:r>
        <w:rPr>
          <w:rFonts w:hint="eastAsia" w:ascii="宋体" w:hAnsi="宋体" w:cs="宋体"/>
          <w:color w:val="FF0000"/>
          <w:kern w:val="0"/>
          <w:szCs w:val="21"/>
          <w:u w:val="single"/>
        </w:rPr>
        <w:t xml:space="preserve"> </w:t>
      </w:r>
      <w:r>
        <w:rPr>
          <w:rFonts w:hint="eastAsia" w:ascii="宋体" w:hAnsi="宋体" w:cs="宋体"/>
          <w:color w:val="FF0000"/>
          <w:kern w:val="0"/>
          <w:szCs w:val="21"/>
          <w:u w:val="single"/>
          <w:lang w:val="en-US" w:eastAsia="zh-CN"/>
        </w:rPr>
        <w:t>1000000.00</w:t>
      </w:r>
      <w:r>
        <w:rPr>
          <w:rFonts w:hint="eastAsia" w:ascii="宋体" w:hAnsi="宋体" w:cs="宋体"/>
          <w:color w:val="FF0000"/>
          <w:kern w:val="0"/>
          <w:szCs w:val="21"/>
          <w:u w:val="single"/>
        </w:rPr>
        <w:t xml:space="preserve"> </w:t>
      </w:r>
      <w:r>
        <w:rPr>
          <w:rFonts w:hint="eastAsia" w:ascii="宋体" w:hAnsi="宋体" w:cs="宋体"/>
          <w:color w:val="FF0000"/>
          <w:kern w:val="0"/>
          <w:szCs w:val="21"/>
        </w:rPr>
        <w:t>元，经采购人调整后，本</w:t>
      </w:r>
      <w:r>
        <w:rPr>
          <w:rFonts w:hint="eastAsia" w:ascii="宋体" w:hAnsi="宋体" w:cs="宋体"/>
          <w:color w:val="FF0000"/>
          <w:kern w:val="0"/>
          <w:szCs w:val="21"/>
          <w:lang w:val="en-US" w:eastAsia="zh-CN"/>
        </w:rPr>
        <w:t>工程</w:t>
      </w:r>
      <w:r>
        <w:rPr>
          <w:rFonts w:hint="eastAsia" w:ascii="宋体" w:hAnsi="宋体" w:cs="宋体"/>
          <w:color w:val="FF0000"/>
          <w:kern w:val="0"/>
          <w:szCs w:val="21"/>
        </w:rPr>
        <w:t>采购预算金额（最高限价）为</w:t>
      </w:r>
      <w:r>
        <w:rPr>
          <w:rFonts w:hint="eastAsia" w:ascii="宋体" w:hAnsi="宋体" w:cs="宋体"/>
          <w:color w:val="FF0000"/>
          <w:kern w:val="0"/>
          <w:szCs w:val="21"/>
          <w:u w:val="single"/>
        </w:rPr>
        <w:t xml:space="preserve"> 618851.43 </w:t>
      </w:r>
      <w:r>
        <w:rPr>
          <w:rFonts w:hint="eastAsia" w:ascii="宋体" w:hAnsi="宋体" w:cs="宋体"/>
          <w:color w:val="FF0000"/>
          <w:kern w:val="0"/>
          <w:szCs w:val="21"/>
        </w:rPr>
        <w:t>元</w:t>
      </w:r>
      <w:r>
        <w:rPr>
          <w:rFonts w:hint="eastAsia" w:ascii="宋体" w:hAnsi="宋体" w:cs="宋体"/>
          <w:color w:val="FF0000"/>
          <w:kern w:val="0"/>
          <w:szCs w:val="21"/>
          <w:lang w:eastAsia="zh-CN"/>
        </w:rPr>
        <w:t>（</w:t>
      </w:r>
      <w:r>
        <w:rPr>
          <w:rFonts w:hint="eastAsia" w:ascii="宋体" w:hAnsi="宋体" w:cs="宋体"/>
          <w:color w:val="FF0000"/>
          <w:kern w:val="0"/>
          <w:szCs w:val="21"/>
          <w:highlight w:val="none"/>
        </w:rPr>
        <w:t>其中：预算价</w:t>
      </w:r>
      <w:r>
        <w:rPr>
          <w:rFonts w:hint="eastAsia" w:ascii="宋体" w:hAnsi="宋体" w:cs="宋体"/>
          <w:color w:val="FF0000"/>
          <w:kern w:val="0"/>
          <w:szCs w:val="21"/>
          <w:highlight w:val="none"/>
          <w:u w:val="single"/>
          <w:lang w:val="en-US" w:eastAsia="zh-CN"/>
        </w:rPr>
        <w:t>486735.38</w:t>
      </w:r>
      <w:r>
        <w:rPr>
          <w:rFonts w:hint="eastAsia" w:ascii="宋体" w:hAnsi="宋体" w:cs="宋体"/>
          <w:color w:val="FF0000"/>
          <w:kern w:val="0"/>
          <w:szCs w:val="21"/>
          <w:highlight w:val="none"/>
          <w:u w:val="single"/>
        </w:rPr>
        <w:t xml:space="preserve"> </w:t>
      </w:r>
      <w:r>
        <w:rPr>
          <w:rFonts w:hint="eastAsia" w:ascii="宋体" w:hAnsi="宋体" w:cs="宋体"/>
          <w:color w:val="FF0000"/>
          <w:kern w:val="0"/>
          <w:szCs w:val="21"/>
          <w:highlight w:val="none"/>
        </w:rPr>
        <w:t>元，安全文明施工费</w:t>
      </w:r>
      <w:r>
        <w:rPr>
          <w:rFonts w:hint="eastAsia" w:ascii="宋体" w:hAnsi="宋体" w:cs="宋体"/>
          <w:color w:val="FF0000"/>
          <w:kern w:val="0"/>
          <w:szCs w:val="21"/>
          <w:highlight w:val="none"/>
          <w:u w:val="single"/>
          <w:lang w:val="en-US" w:eastAsia="zh-CN"/>
        </w:rPr>
        <w:t>29489.65</w:t>
      </w:r>
      <w:r>
        <w:rPr>
          <w:rFonts w:hint="eastAsia" w:ascii="宋体" w:hAnsi="宋体" w:cs="宋体"/>
          <w:color w:val="FF0000"/>
          <w:kern w:val="0"/>
          <w:szCs w:val="21"/>
          <w:highlight w:val="none"/>
          <w:u w:val="single"/>
        </w:rPr>
        <w:t xml:space="preserve"> </w:t>
      </w:r>
      <w:r>
        <w:rPr>
          <w:rFonts w:hint="eastAsia" w:ascii="宋体" w:hAnsi="宋体" w:cs="宋体"/>
          <w:color w:val="FF0000"/>
          <w:kern w:val="0"/>
          <w:szCs w:val="21"/>
          <w:highlight w:val="none"/>
        </w:rPr>
        <w:t>元，规费</w:t>
      </w:r>
      <w:r>
        <w:rPr>
          <w:rFonts w:hint="eastAsia" w:ascii="宋体" w:hAnsi="宋体" w:cs="宋体"/>
          <w:color w:val="FF0000"/>
          <w:kern w:val="0"/>
          <w:szCs w:val="21"/>
          <w:highlight w:val="none"/>
          <w:u w:val="single"/>
        </w:rPr>
        <w:t xml:space="preserve"> </w:t>
      </w:r>
      <w:r>
        <w:rPr>
          <w:rFonts w:hint="eastAsia" w:ascii="宋体" w:hAnsi="宋体" w:cs="宋体"/>
          <w:color w:val="FF0000"/>
          <w:kern w:val="0"/>
          <w:szCs w:val="21"/>
          <w:highlight w:val="none"/>
          <w:u w:val="single"/>
          <w:lang w:val="en-US" w:eastAsia="zh-CN"/>
        </w:rPr>
        <w:t>51923.91</w:t>
      </w:r>
      <w:r>
        <w:rPr>
          <w:rFonts w:hint="eastAsia" w:ascii="宋体" w:hAnsi="宋体" w:cs="宋体"/>
          <w:color w:val="FF0000"/>
          <w:kern w:val="0"/>
          <w:szCs w:val="21"/>
          <w:highlight w:val="none"/>
        </w:rPr>
        <w:t>元，增值税</w:t>
      </w:r>
      <w:r>
        <w:rPr>
          <w:rFonts w:hint="eastAsia" w:ascii="宋体" w:hAnsi="宋体" w:cs="宋体"/>
          <w:b/>
          <w:bCs/>
          <w:color w:val="FF0000"/>
          <w:kern w:val="0"/>
          <w:szCs w:val="21"/>
          <w:highlight w:val="none"/>
          <w:u w:val="single"/>
        </w:rPr>
        <w:t xml:space="preserve"> </w:t>
      </w:r>
      <w:r>
        <w:rPr>
          <w:rFonts w:hint="eastAsia" w:ascii="宋体" w:hAnsi="宋体" w:cs="宋体"/>
          <w:color w:val="FF0000"/>
          <w:kern w:val="0"/>
          <w:szCs w:val="21"/>
          <w:highlight w:val="none"/>
          <w:u w:val="single"/>
          <w:lang w:val="en-US" w:eastAsia="zh-CN"/>
        </w:rPr>
        <w:t>46670.03</w:t>
      </w:r>
      <w:r>
        <w:rPr>
          <w:rFonts w:hint="eastAsia" w:ascii="宋体" w:hAnsi="宋体" w:cs="宋体"/>
          <w:b/>
          <w:bCs/>
          <w:color w:val="FF0000"/>
          <w:kern w:val="0"/>
          <w:szCs w:val="21"/>
          <w:highlight w:val="none"/>
          <w:u w:val="single"/>
        </w:rPr>
        <w:t xml:space="preserve"> </w:t>
      </w:r>
      <w:r>
        <w:rPr>
          <w:rFonts w:hint="eastAsia" w:ascii="宋体" w:hAnsi="宋体" w:cs="宋体"/>
          <w:color w:val="FF0000"/>
          <w:kern w:val="0"/>
          <w:szCs w:val="21"/>
          <w:highlight w:val="none"/>
        </w:rPr>
        <w:t>元，安全生产责任保险费暂估价</w:t>
      </w:r>
      <w:r>
        <w:rPr>
          <w:rFonts w:hint="eastAsia" w:ascii="宋体" w:hAnsi="宋体" w:cs="宋体"/>
          <w:color w:val="FF0000"/>
          <w:kern w:val="0"/>
          <w:szCs w:val="21"/>
          <w:highlight w:val="none"/>
          <w:u w:val="single"/>
        </w:rPr>
        <w:t xml:space="preserve"> </w:t>
      </w:r>
      <w:r>
        <w:rPr>
          <w:rFonts w:hint="eastAsia" w:ascii="宋体" w:hAnsi="宋体" w:cs="宋体"/>
          <w:color w:val="FF0000"/>
          <w:kern w:val="0"/>
          <w:szCs w:val="21"/>
          <w:highlight w:val="none"/>
          <w:u w:val="single"/>
          <w:lang w:val="en-US" w:eastAsia="zh-CN"/>
        </w:rPr>
        <w:t>1032.46</w:t>
      </w:r>
      <w:r>
        <w:rPr>
          <w:rFonts w:hint="eastAsia" w:ascii="宋体" w:hAnsi="宋体" w:cs="宋体"/>
          <w:color w:val="FF0000"/>
          <w:kern w:val="0"/>
          <w:szCs w:val="21"/>
          <w:highlight w:val="none"/>
          <w:u w:val="single"/>
        </w:rPr>
        <w:t xml:space="preserve"> </w:t>
      </w:r>
      <w:r>
        <w:rPr>
          <w:rFonts w:hint="eastAsia" w:ascii="宋体" w:hAnsi="宋体" w:cs="宋体"/>
          <w:color w:val="FF0000"/>
          <w:kern w:val="0"/>
          <w:szCs w:val="21"/>
          <w:highlight w:val="none"/>
        </w:rPr>
        <w:t>元，暂列金</w:t>
      </w:r>
      <w:r>
        <w:rPr>
          <w:rFonts w:hint="eastAsia" w:ascii="宋体" w:hAnsi="宋体" w:cs="宋体"/>
          <w:color w:val="FF0000"/>
          <w:kern w:val="0"/>
          <w:szCs w:val="21"/>
          <w:highlight w:val="none"/>
          <w:u w:val="single"/>
          <w:lang w:eastAsia="zh-CN"/>
        </w:rPr>
        <w:t>3000.00</w:t>
      </w:r>
      <w:r>
        <w:rPr>
          <w:rFonts w:hint="eastAsia" w:ascii="宋体" w:hAnsi="宋体" w:cs="宋体"/>
          <w:color w:val="FF0000"/>
          <w:kern w:val="0"/>
          <w:szCs w:val="21"/>
          <w:highlight w:val="none"/>
        </w:rPr>
        <w:t>元</w:t>
      </w:r>
      <w:r>
        <w:rPr>
          <w:rFonts w:hint="eastAsia" w:ascii="宋体" w:hAnsi="宋体" w:cs="宋体"/>
          <w:color w:val="FF0000"/>
          <w:kern w:val="0"/>
          <w:szCs w:val="21"/>
          <w:highlight w:val="none"/>
          <w:lang w:eastAsia="zh-CN"/>
        </w:rPr>
        <w:t>）</w:t>
      </w:r>
      <w:r>
        <w:rPr>
          <w:rFonts w:hint="eastAsia" w:ascii="宋体" w:hAnsi="宋体" w:cs="宋体"/>
          <w:b/>
          <w:bCs/>
          <w:color w:val="FF0000"/>
          <w:kern w:val="0"/>
          <w:szCs w:val="21"/>
        </w:rPr>
        <w:t>。</w:t>
      </w:r>
      <w:r>
        <w:rPr>
          <w:rFonts w:hint="eastAsia" w:ascii="宋体" w:hAnsi="宋体" w:eastAsia="宋体" w:cs="宋体"/>
          <w:color w:val="FF0000"/>
          <w:kern w:val="0"/>
          <w:szCs w:val="21"/>
          <w:highlight w:val="none"/>
        </w:rPr>
        <w:t>磋商总报价应按采购文件中相关附表格式填写。</w:t>
      </w:r>
    </w:p>
    <w:p w14:paraId="6DF7BAD5">
      <w:pPr>
        <w:keepNext w:val="0"/>
        <w:keepLines w:val="0"/>
        <w:pageBreakBefore w:val="0"/>
        <w:tabs>
          <w:tab w:val="left" w:pos="1305"/>
        </w:tabs>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13.2、磋商供应商必须就磋商文件所有内容作完整唯一报价，否则，其磋商将被拒绝。响应文件只允许有一个报价，有选择的或有条件的报价将不予接受。</w:t>
      </w:r>
    </w:p>
    <w:p w14:paraId="31AFDC99">
      <w:pPr>
        <w:keepNext w:val="0"/>
        <w:keepLines w:val="0"/>
        <w:pageBreakBefore w:val="0"/>
        <w:tabs>
          <w:tab w:val="left" w:pos="1305"/>
        </w:tabs>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13.3、磋商总报价包括本项目采购范围内一切工程价款的总和；供应商综合考虑在报价中。</w:t>
      </w:r>
    </w:p>
    <w:p w14:paraId="3D086672">
      <w:pPr>
        <w:keepNext w:val="0"/>
        <w:keepLines w:val="0"/>
        <w:pageBreakBefore w:val="0"/>
        <w:tabs>
          <w:tab w:val="left" w:pos="1305"/>
        </w:tabs>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13.4、响应文件中磋商总报价的大写金额和小写金额不一致的，以大写金额为准；总价金额与按单价汇总金额不一致的，以单价金额计算结果为准；单价金额小数点明显错位的，应以总价为准，并修改单价；对不同文字文本响应文件的解释发生异议的，以中文文本为准。按上述勘误修正原则及方法调整或修正响应文件的磋商报价，供应商需签字确认。</w:t>
      </w:r>
    </w:p>
    <w:p w14:paraId="72A131B9">
      <w:pPr>
        <w:keepNext w:val="0"/>
        <w:keepLines w:val="0"/>
        <w:pageBreakBefore w:val="0"/>
        <w:tabs>
          <w:tab w:val="left" w:pos="1305"/>
        </w:tabs>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13.5、未书面退出磋商的供应商在规定时间内提交最后报价，其最后报价超出采购最高限价金额导致已通过评审的响应文件无效的，按供应商在提交响应文件截止时间后撤回响应文件处理。</w:t>
      </w:r>
    </w:p>
    <w:p w14:paraId="46281F4A">
      <w:pPr>
        <w:keepNext w:val="0"/>
        <w:keepLines w:val="0"/>
        <w:pageBreakBefore w:val="0"/>
        <w:tabs>
          <w:tab w:val="left" w:pos="1305"/>
        </w:tabs>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13.6、最后磋商总报价超出本项目</w:t>
      </w:r>
      <w:r>
        <w:rPr>
          <w:rFonts w:hint="eastAsia" w:ascii="宋体" w:hAnsi="宋体" w:cs="宋体"/>
          <w:color w:val="auto"/>
          <w:kern w:val="0"/>
          <w:szCs w:val="21"/>
          <w:highlight w:val="none"/>
          <w:lang w:eastAsia="zh-CN"/>
        </w:rPr>
        <w:t>采购最高限价金额</w:t>
      </w:r>
      <w:r>
        <w:rPr>
          <w:rFonts w:hint="eastAsia" w:ascii="宋体" w:hAnsi="宋体" w:eastAsia="宋体" w:cs="宋体"/>
          <w:color w:val="auto"/>
          <w:kern w:val="0"/>
          <w:szCs w:val="21"/>
          <w:highlight w:val="none"/>
        </w:rPr>
        <w:t>的将被视为无效磋商。</w:t>
      </w:r>
    </w:p>
    <w:p w14:paraId="1AA1B25A">
      <w:pPr>
        <w:keepNext w:val="0"/>
        <w:keepLines w:val="0"/>
        <w:pageBreakBefore w:val="0"/>
        <w:kinsoku/>
        <w:overflowPunct/>
        <w:topLinePunct w:val="0"/>
        <w:autoSpaceDE/>
        <w:autoSpaceDN/>
        <w:bidi w:val="0"/>
        <w:spacing w:line="370" w:lineRule="exact"/>
        <w:ind w:firstLine="420" w:firstLineChars="200"/>
        <w:textAlignment w:val="auto"/>
        <w:rPr>
          <w:rFonts w:hint="eastAsia" w:ascii="宋体" w:hAnsi="宋体" w:cs="宋体"/>
          <w:bCs/>
          <w:szCs w:val="21"/>
        </w:rPr>
      </w:pPr>
      <w:r>
        <w:rPr>
          <w:rFonts w:hint="eastAsia" w:ascii="宋体" w:hAnsi="宋体" w:cs="宋体"/>
          <w:bCs/>
          <w:szCs w:val="21"/>
        </w:rPr>
        <w:t>13.7、磋商报价应包括本次采购范围内提供的工程量清单报价表中所报的单价和合价，以及报价汇总表中的价格应包括施工设备（含脚手架）、主要材料、辅助材料、安装（如工程量清单中未列所安装设备则包含所安装设备的采购）、垃圾清运、劳务、管理、维护、保险、利润、增值税、政策性文件规定及合同包含的所有风险、责任等各项应有费用；供应商综合考虑在报价中。</w:t>
      </w:r>
    </w:p>
    <w:p w14:paraId="2A3D100A">
      <w:pPr>
        <w:keepNext w:val="0"/>
        <w:keepLines w:val="0"/>
        <w:pageBreakBefore w:val="0"/>
        <w:tabs>
          <w:tab w:val="left" w:pos="1305"/>
        </w:tabs>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cs="宋体"/>
          <w:bCs/>
          <w:szCs w:val="21"/>
        </w:rPr>
        <w:t>13.8、磋商供应商应按磋商文件提供的工程量清单计算工程项目的综合单价和合价。清单中的每一项均需计算填写综合单价和合价，磋商供应商没有填写综合单价和合价的项目将不予支付，并认为此项费用已包括在清单的其他综合单价和合价中。磋商供应商在清单中多报的细目或单价、合价或总额价发包人将不予支持。</w:t>
      </w:r>
    </w:p>
    <w:p w14:paraId="3ADA5A39">
      <w:pPr>
        <w:keepNext w:val="0"/>
        <w:keepLines w:val="0"/>
        <w:pageBreakBefore w:val="0"/>
        <w:tabs>
          <w:tab w:val="left" w:pos="1305"/>
        </w:tabs>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13.9、磋商供应商应按磋商文件提供的工程量清单计算工程项目的综合单价和合价。清单中的每一项均需计算填写综合单价和合价，磋商供应商没有填写综合单价和合价的项目将不予支付，并认为此项费用已包括在清单的其他综合单价和合价中。磋商供应商在清单中多报的细目或单价、合价或总额价发包人将不予支持。</w:t>
      </w:r>
    </w:p>
    <w:p w14:paraId="7EA319C0">
      <w:pPr>
        <w:keepNext w:val="0"/>
        <w:keepLines w:val="0"/>
        <w:pageBreakBefore w:val="0"/>
        <w:tabs>
          <w:tab w:val="left" w:pos="1305"/>
        </w:tabs>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13.10、磋商供应商应对磋商文件中清单所列的各项内容和要求作实质性响应。</w:t>
      </w:r>
    </w:p>
    <w:p w14:paraId="3C12562C">
      <w:pPr>
        <w:keepNext w:val="0"/>
        <w:keepLines w:val="0"/>
        <w:pageBreakBefore w:val="0"/>
        <w:tabs>
          <w:tab w:val="left" w:pos="1305"/>
        </w:tabs>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13.11、磋商供应商应采用综合单价对工程量清单进行磋商，不得采用总价让利或以百分比让利等形式进行磋商。</w:t>
      </w:r>
    </w:p>
    <w:p w14:paraId="21A5FA53">
      <w:pPr>
        <w:keepNext w:val="0"/>
        <w:keepLines w:val="0"/>
        <w:pageBreakBefore w:val="0"/>
        <w:tabs>
          <w:tab w:val="left" w:pos="1305"/>
        </w:tabs>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13.12 供应商应在规定时间内在广西政府采购云平台上提交最后报价，超出磋商小组设定的最后报价时限或其最后报价超出最高限价金额导致已通过评审的响应文件无效的，按供应商在提交响应文件截止时间后撤回响应文件处理。</w:t>
      </w:r>
    </w:p>
    <w:p w14:paraId="19F39034">
      <w:pPr>
        <w:keepNext w:val="0"/>
        <w:keepLines w:val="0"/>
        <w:pageBreakBefore w:val="0"/>
        <w:tabs>
          <w:tab w:val="left" w:pos="1305"/>
        </w:tabs>
        <w:kinsoku/>
        <w:wordWrap w:val="0"/>
        <w:overflowPunct/>
        <w:topLinePunct w:val="0"/>
        <w:autoSpaceDE/>
        <w:autoSpaceDN/>
        <w:bidi w:val="0"/>
        <w:spacing w:line="370" w:lineRule="exact"/>
        <w:ind w:left="0" w:leftChars="0" w:firstLine="422" w:firstLineChars="200"/>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14.响应文件有效期</w:t>
      </w:r>
    </w:p>
    <w:p w14:paraId="1A19B117">
      <w:pPr>
        <w:keepNext w:val="0"/>
        <w:keepLines w:val="0"/>
        <w:pageBreakBefore w:val="0"/>
        <w:tabs>
          <w:tab w:val="left" w:pos="1305"/>
        </w:tabs>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14.1响应文件有效期：自响应文件提交截止时间之日起90天，有效期不足的响应文件将被拒绝。</w:t>
      </w:r>
    </w:p>
    <w:p w14:paraId="750C8F35">
      <w:pPr>
        <w:keepNext w:val="0"/>
        <w:keepLines w:val="0"/>
        <w:pageBreakBefore w:val="0"/>
        <w:tabs>
          <w:tab w:val="left" w:pos="1305"/>
        </w:tabs>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14.2 出现特殊情况下，需要延长响应文件有效期的，采购代理机构以书面形式通知供应商延长响应文件有效期。供应商同意延长的，不能修改响应文件。供应商拒绝延长的，其响应无效。</w:t>
      </w:r>
    </w:p>
    <w:p w14:paraId="45B3E370">
      <w:pPr>
        <w:keepNext w:val="0"/>
        <w:keepLines w:val="0"/>
        <w:pageBreakBefore w:val="0"/>
        <w:tabs>
          <w:tab w:val="left" w:pos="1305"/>
        </w:tabs>
        <w:kinsoku/>
        <w:wordWrap w:val="0"/>
        <w:overflowPunct/>
        <w:topLinePunct w:val="0"/>
        <w:autoSpaceDE/>
        <w:autoSpaceDN/>
        <w:bidi w:val="0"/>
        <w:spacing w:line="370" w:lineRule="exact"/>
        <w:ind w:left="0" w:leftChars="0" w:firstLine="422" w:firstLineChars="200"/>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15.电子响应文件的制作、加密要求</w:t>
      </w:r>
    </w:p>
    <w:p w14:paraId="49238321">
      <w:pPr>
        <w:keepNext w:val="0"/>
        <w:keepLines w:val="0"/>
        <w:pageBreakBefore w:val="0"/>
        <w:kinsoku/>
        <w:wordWrap w:val="0"/>
        <w:overflowPunct/>
        <w:topLinePunct w:val="0"/>
        <w:autoSpaceDE/>
        <w:autoSpaceDN/>
        <w:bidi w:val="0"/>
        <w:snapToGrid w:val="0"/>
        <w:spacing w:line="37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15.1</w:t>
      </w:r>
      <w:r>
        <w:rPr>
          <w:rFonts w:hint="eastAsia" w:ascii="宋体" w:hAnsi="宋体" w:eastAsia="宋体" w:cs="宋体"/>
          <w:bCs/>
          <w:color w:val="auto"/>
          <w:szCs w:val="21"/>
          <w:highlight w:val="none"/>
        </w:rPr>
        <w:t>供应商制作电子响应文件前，应</w:t>
      </w:r>
      <w:r>
        <w:rPr>
          <w:rFonts w:hint="eastAsia" w:ascii="宋体" w:hAnsi="宋体" w:cs="宋体"/>
          <w:bCs/>
          <w:color w:val="auto"/>
          <w:szCs w:val="21"/>
          <w:highlight w:val="none"/>
          <w:lang w:eastAsia="zh-CN"/>
        </w:rPr>
        <w:t xml:space="preserve"> 登录</w:t>
      </w:r>
      <w:r>
        <w:rPr>
          <w:rFonts w:hint="eastAsia" w:ascii="宋体" w:hAnsi="宋体" w:eastAsia="宋体" w:cs="宋体"/>
          <w:bCs/>
          <w:color w:val="auto"/>
          <w:szCs w:val="21"/>
          <w:highlight w:val="none"/>
        </w:rPr>
        <w:t>“广西政府采购云平台”进行“申请获取采购文件”操作，否则，有可能导致无法在线编制响应文件并参与竞标，其不利后果由供应商自行承担</w:t>
      </w:r>
      <w:r>
        <w:rPr>
          <w:rFonts w:hint="eastAsia" w:ascii="宋体" w:hAnsi="宋体" w:eastAsia="宋体" w:cs="宋体"/>
          <w:color w:val="auto"/>
          <w:highlight w:val="none"/>
        </w:rPr>
        <w:t>。</w:t>
      </w:r>
    </w:p>
    <w:p w14:paraId="71D3F561">
      <w:pPr>
        <w:keepNext w:val="0"/>
        <w:keepLines w:val="0"/>
        <w:pageBreakBefore w:val="0"/>
        <w:kinsoku/>
        <w:wordWrap w:val="0"/>
        <w:overflowPunct/>
        <w:topLinePunct w:val="0"/>
        <w:autoSpaceDE/>
        <w:autoSpaceDN/>
        <w:bidi w:val="0"/>
        <w:snapToGrid w:val="0"/>
        <w:spacing w:line="37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15.2供应商下载或获取竞争性磋商文件后，登录“</w:t>
      </w:r>
      <w:r>
        <w:rPr>
          <w:rFonts w:hint="eastAsia" w:ascii="宋体" w:hAnsi="宋体" w:eastAsia="宋体" w:cs="宋体"/>
          <w:color w:val="auto"/>
          <w:szCs w:val="21"/>
          <w:highlight w:val="none"/>
        </w:rPr>
        <w:t>广西政府采购云平台电子交易客户端</w:t>
      </w:r>
      <w:r>
        <w:rPr>
          <w:rFonts w:hint="eastAsia" w:ascii="宋体" w:hAnsi="宋体" w:eastAsia="宋体" w:cs="宋体"/>
          <w:color w:val="auto"/>
          <w:highlight w:val="none"/>
        </w:rPr>
        <w:t>”，按照本磋商文件规定的响应文件格式、顺序以及</w:t>
      </w:r>
      <w:r>
        <w:rPr>
          <w:rFonts w:hint="eastAsia" w:ascii="宋体" w:hAnsi="宋体" w:eastAsia="宋体" w:cs="宋体"/>
          <w:bCs/>
          <w:color w:val="auto"/>
          <w:szCs w:val="21"/>
          <w:highlight w:val="none"/>
        </w:rPr>
        <w:t>“广西政府采购云平台”</w:t>
      </w:r>
      <w:r>
        <w:rPr>
          <w:rFonts w:hint="eastAsia" w:ascii="宋体" w:hAnsi="宋体" w:eastAsia="宋体" w:cs="宋体"/>
          <w:color w:val="auto"/>
          <w:highlight w:val="none"/>
        </w:rPr>
        <w:t>的要求，通过“</w:t>
      </w:r>
      <w:r>
        <w:rPr>
          <w:rFonts w:hint="eastAsia" w:ascii="宋体" w:hAnsi="宋体" w:eastAsia="宋体" w:cs="宋体"/>
          <w:color w:val="auto"/>
          <w:szCs w:val="21"/>
          <w:highlight w:val="none"/>
        </w:rPr>
        <w:t>广西政府采购云平台客户端</w:t>
      </w:r>
      <w:r>
        <w:rPr>
          <w:rFonts w:hint="eastAsia" w:ascii="宋体" w:hAnsi="宋体" w:eastAsia="宋体" w:cs="宋体"/>
          <w:color w:val="auto"/>
          <w:highlight w:val="none"/>
        </w:rPr>
        <w:t>”编制电子响应文件。</w:t>
      </w:r>
    </w:p>
    <w:p w14:paraId="7937AF98">
      <w:pPr>
        <w:keepNext w:val="0"/>
        <w:keepLines w:val="0"/>
        <w:pageBreakBefore w:val="0"/>
        <w:kinsoku/>
        <w:wordWrap w:val="0"/>
        <w:overflowPunct/>
        <w:topLinePunct w:val="0"/>
        <w:autoSpaceDE/>
        <w:autoSpaceDN/>
        <w:bidi w:val="0"/>
        <w:snapToGrid w:val="0"/>
        <w:spacing w:line="37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15.3供应商应按“</w:t>
      </w:r>
      <w:r>
        <w:rPr>
          <w:rFonts w:hint="eastAsia" w:ascii="宋体" w:hAnsi="宋体" w:eastAsia="宋体" w:cs="宋体"/>
          <w:color w:val="auto"/>
          <w:szCs w:val="21"/>
          <w:highlight w:val="none"/>
        </w:rPr>
        <w:t>广西政府采购云平台客户端</w:t>
      </w:r>
      <w:r>
        <w:rPr>
          <w:rFonts w:hint="eastAsia" w:ascii="宋体" w:hAnsi="宋体" w:eastAsia="宋体" w:cs="宋体"/>
          <w:color w:val="auto"/>
          <w:highlight w:val="none"/>
        </w:rPr>
        <w:t>”载明的“标书关联”功能进行电子响应文件的关联定位，以便磋商小组在评审时点击相应评审项可直接定位到该评审内容；如供应商的电子响应文件未能关联定位相应内容，或者关联定位的内容与该评审项不符，导致磋商小组无法查询并做出对供应商不利的评审，相关后果由供应商自行承担。</w:t>
      </w:r>
    </w:p>
    <w:p w14:paraId="44AF7908">
      <w:pPr>
        <w:keepNext w:val="0"/>
        <w:keepLines w:val="0"/>
        <w:pageBreakBefore w:val="0"/>
        <w:kinsoku/>
        <w:wordWrap w:val="0"/>
        <w:overflowPunct/>
        <w:topLinePunct w:val="0"/>
        <w:autoSpaceDE/>
        <w:autoSpaceDN/>
        <w:bidi w:val="0"/>
        <w:snapToGrid w:val="0"/>
        <w:spacing w:line="37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15.4电子响应文件不得涂改，若有修改错漏处，须由法定代表人（负责人、自然人）或授权委托代理人通过“</w:t>
      </w:r>
      <w:r>
        <w:rPr>
          <w:rFonts w:hint="eastAsia" w:ascii="宋体" w:hAnsi="宋体" w:eastAsia="宋体" w:cs="宋体"/>
          <w:color w:val="auto"/>
          <w:szCs w:val="21"/>
          <w:highlight w:val="none"/>
        </w:rPr>
        <w:t>广西政府采购云平台客户端</w:t>
      </w:r>
      <w:r>
        <w:rPr>
          <w:rFonts w:hint="eastAsia" w:ascii="宋体" w:hAnsi="宋体" w:eastAsia="宋体" w:cs="宋体"/>
          <w:color w:val="auto"/>
          <w:highlight w:val="none"/>
        </w:rPr>
        <w:t>”采用政采云个人CA证书签章，没有办理政采云个人CA证书签章的，在响应文件中响应位置手写签字后扫描或者拍照做成 PDF 的格式上传。因响应文件字迹潦草、表达不清、内容不完整、编排混乱导致响应文件被误读、漏读，或者在按竞争性磋商文件规定的部位查找不到相关内容的，其不利后果由供应商自行承担。</w:t>
      </w:r>
    </w:p>
    <w:p w14:paraId="252ECE99">
      <w:pPr>
        <w:keepNext w:val="0"/>
        <w:keepLines w:val="0"/>
        <w:pageBreakBefore w:val="0"/>
        <w:kinsoku/>
        <w:wordWrap w:val="0"/>
        <w:overflowPunct/>
        <w:topLinePunct w:val="0"/>
        <w:autoSpaceDE/>
        <w:autoSpaceDN/>
        <w:bidi w:val="0"/>
        <w:snapToGrid w:val="0"/>
        <w:spacing w:line="37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15.5供应商编制、生成电子响应文件后应当加密响应文件。供应商未按规定编制并加密的响应文件，</w:t>
      </w:r>
      <w:r>
        <w:rPr>
          <w:rFonts w:hint="eastAsia" w:ascii="宋体" w:hAnsi="宋体" w:eastAsia="宋体" w:cs="宋体"/>
          <w:bCs/>
          <w:color w:val="auto"/>
          <w:szCs w:val="21"/>
          <w:highlight w:val="none"/>
        </w:rPr>
        <w:t>“广西政府采购云平台”</w:t>
      </w:r>
      <w:r>
        <w:rPr>
          <w:rFonts w:hint="eastAsia" w:ascii="宋体" w:hAnsi="宋体" w:eastAsia="宋体" w:cs="宋体"/>
          <w:color w:val="auto"/>
          <w:highlight w:val="none"/>
        </w:rPr>
        <w:t>将予以拒收。</w:t>
      </w:r>
    </w:p>
    <w:p w14:paraId="0AA436B9">
      <w:pPr>
        <w:keepNext w:val="0"/>
        <w:keepLines w:val="0"/>
        <w:pageBreakBefore w:val="0"/>
        <w:kinsoku/>
        <w:wordWrap w:val="0"/>
        <w:overflowPunct/>
        <w:topLinePunct w:val="0"/>
        <w:autoSpaceDE/>
        <w:autoSpaceDN/>
        <w:bidi w:val="0"/>
        <w:snapToGrid w:val="0"/>
        <w:spacing w:line="370" w:lineRule="exact"/>
        <w:ind w:left="0" w:leftChars="0" w:firstLine="420" w:firstLineChars="200"/>
        <w:jc w:val="left"/>
        <w:textAlignment w:val="auto"/>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rPr>
        <w:t>15.6</w:t>
      </w:r>
      <w:r>
        <w:rPr>
          <w:rFonts w:hint="eastAsia" w:ascii="宋体" w:hAnsi="宋体" w:eastAsia="宋体" w:cs="宋体"/>
          <w:b/>
          <w:color w:val="auto"/>
          <w:kern w:val="0"/>
          <w:szCs w:val="21"/>
          <w:highlight w:val="none"/>
        </w:rPr>
        <w:t>供应商公章及签字</w:t>
      </w:r>
    </w:p>
    <w:p w14:paraId="661C3C6A">
      <w:pPr>
        <w:keepNext w:val="0"/>
        <w:keepLines w:val="0"/>
        <w:pageBreakBefore w:val="0"/>
        <w:kinsoku/>
        <w:wordWrap w:val="0"/>
        <w:overflowPunct/>
        <w:topLinePunct w:val="0"/>
        <w:autoSpaceDE/>
        <w:autoSpaceDN/>
        <w:bidi w:val="0"/>
        <w:snapToGrid w:val="0"/>
        <w:spacing w:line="37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15.6.1本竞争性磋商文件中描述供应商的“公章”是指供应商通过指定电子化政府采购平台办理数字证书（CA认证证书）获得的以法定主体行为名称制作的电子印章。</w:t>
      </w:r>
    </w:p>
    <w:p w14:paraId="076DA0FE">
      <w:pPr>
        <w:keepNext w:val="0"/>
        <w:keepLines w:val="0"/>
        <w:pageBreakBefore w:val="0"/>
        <w:kinsoku/>
        <w:wordWrap w:val="0"/>
        <w:overflowPunct/>
        <w:topLinePunct w:val="0"/>
        <w:autoSpaceDE/>
        <w:autoSpaceDN/>
        <w:bidi w:val="0"/>
        <w:snapToGrid w:val="0"/>
        <w:spacing w:line="37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15.6.2本竞争性磋商文件中要求供应商对其电子响应文件的相关内容加盖公章的，均指采用CA证书签章。</w:t>
      </w:r>
    </w:p>
    <w:p w14:paraId="6AA7C759">
      <w:pPr>
        <w:keepNext w:val="0"/>
        <w:keepLines w:val="0"/>
        <w:pageBreakBefore w:val="0"/>
        <w:kinsoku/>
        <w:wordWrap w:val="0"/>
        <w:overflowPunct/>
        <w:topLinePunct w:val="0"/>
        <w:autoSpaceDE/>
        <w:autoSpaceDN/>
        <w:bidi w:val="0"/>
        <w:snapToGrid w:val="0"/>
        <w:spacing w:line="370" w:lineRule="exact"/>
        <w:ind w:left="0" w:leftChars="0"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15.6.3本磋商文件中描述供应商的“签字”是指供应商通过指定电子化政府采购平台办理数字证书（CA认证证书）获得的以供应商法定代表人（自负责人、自然人）或者委托代理人姓名制作的个人电子印章或手写签字。没有办理个人CA证书的，可以为手写签字的形式。</w:t>
      </w:r>
    </w:p>
    <w:p w14:paraId="7CFAE7CD">
      <w:pPr>
        <w:keepNext w:val="0"/>
        <w:keepLines w:val="0"/>
        <w:pageBreakBefore w:val="0"/>
        <w:tabs>
          <w:tab w:val="left" w:pos="1305"/>
        </w:tabs>
        <w:kinsoku/>
        <w:wordWrap w:val="0"/>
        <w:overflowPunct/>
        <w:topLinePunct w:val="0"/>
        <w:autoSpaceDE/>
        <w:autoSpaceDN/>
        <w:bidi w:val="0"/>
        <w:spacing w:line="370" w:lineRule="exact"/>
        <w:ind w:left="0" w:leftChars="0" w:firstLine="422" w:firstLineChars="200"/>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16.首次响应文件的提交、撤回、修改</w:t>
      </w:r>
    </w:p>
    <w:p w14:paraId="4C7B78AE">
      <w:pPr>
        <w:keepNext w:val="0"/>
        <w:keepLines w:val="0"/>
        <w:pageBreakBefore w:val="0"/>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16.1响应文件的提交截止时间</w:t>
      </w:r>
      <w:r>
        <w:rPr>
          <w:rFonts w:hint="eastAsia" w:ascii="宋体" w:hAnsi="宋体" w:eastAsia="宋体" w:cs="宋体"/>
          <w:color w:val="auto"/>
          <w:szCs w:val="21"/>
          <w:highlight w:val="none"/>
          <w:u w:val="single"/>
        </w:rPr>
        <w:t>：</w:t>
      </w:r>
      <w:r>
        <w:rPr>
          <w:rFonts w:hint="eastAsia" w:ascii="宋体" w:hAnsi="宋体" w:cs="宋体"/>
          <w:color w:val="auto"/>
          <w:szCs w:val="21"/>
          <w:highlight w:val="none"/>
          <w:u w:val="single"/>
          <w:lang w:eastAsia="zh-CN"/>
        </w:rPr>
        <w:t>2025年12月22日</w:t>
      </w:r>
      <w:r>
        <w:rPr>
          <w:rFonts w:hint="eastAsia" w:ascii="宋体" w:hAnsi="宋体" w:eastAsia="宋体" w:cs="宋体"/>
          <w:color w:val="auto"/>
          <w:szCs w:val="21"/>
          <w:highlight w:val="none"/>
          <w:u w:val="single"/>
        </w:rPr>
        <w:t>上午9</w:t>
      </w:r>
      <w:r>
        <w:rPr>
          <w:rFonts w:hint="eastAsia" w:ascii="宋体" w:hAnsi="宋体" w:eastAsia="宋体" w:cs="宋体"/>
          <w:bCs/>
          <w:color w:val="auto"/>
          <w:szCs w:val="21"/>
          <w:highlight w:val="none"/>
          <w:u w:val="single"/>
        </w:rPr>
        <w:t>时30分</w:t>
      </w:r>
      <w:r>
        <w:rPr>
          <w:rFonts w:hint="eastAsia" w:ascii="宋体" w:hAnsi="宋体" w:eastAsia="宋体" w:cs="宋体"/>
          <w:bCs/>
          <w:color w:val="auto"/>
          <w:szCs w:val="21"/>
          <w:highlight w:val="none"/>
        </w:rPr>
        <w:t>（北京时间）</w:t>
      </w:r>
    </w:p>
    <w:p w14:paraId="797607C4">
      <w:pPr>
        <w:keepNext w:val="0"/>
        <w:keepLines w:val="0"/>
        <w:pageBreakBefore w:val="0"/>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16.2地点：通过</w:t>
      </w:r>
      <w:r>
        <w:rPr>
          <w:rFonts w:hint="eastAsia" w:ascii="宋体" w:hAnsi="宋体" w:eastAsia="宋体" w:cs="宋体"/>
          <w:bCs/>
          <w:color w:val="auto"/>
          <w:szCs w:val="21"/>
          <w:highlight w:val="none"/>
        </w:rPr>
        <w:t>“广西政府采购云平台”</w:t>
      </w:r>
      <w:r>
        <w:rPr>
          <w:rFonts w:hint="eastAsia" w:ascii="宋体" w:hAnsi="宋体" w:eastAsia="宋体" w:cs="宋体"/>
          <w:color w:val="auto"/>
          <w:szCs w:val="21"/>
          <w:highlight w:val="none"/>
        </w:rPr>
        <w:t>在线提交。</w:t>
      </w:r>
    </w:p>
    <w:p w14:paraId="7FC5CDBD">
      <w:pPr>
        <w:keepNext w:val="0"/>
        <w:keepLines w:val="0"/>
        <w:pageBreakBefore w:val="0"/>
        <w:kinsoku/>
        <w:wordWrap w:val="0"/>
        <w:overflowPunct/>
        <w:topLinePunct w:val="0"/>
        <w:autoSpaceDE/>
        <w:autoSpaceDN/>
        <w:bidi w:val="0"/>
        <w:adjustRightInd w:val="0"/>
        <w:snapToGrid w:val="0"/>
        <w:spacing w:line="370" w:lineRule="exact"/>
        <w:ind w:left="0" w:leftChars="0"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16.3供应商应当在响应文件提交截止时间前，将生成的电子响应文件上传提交至“广西政府采购云平台”。响应文件提交截止时间前可以补充、修改或撤回电子响应文件，补充、修改电子响应文件的，应当先行撤回原文件，补充、修改后重新传输提交。</w:t>
      </w:r>
      <w:r>
        <w:rPr>
          <w:rFonts w:hint="eastAsia" w:ascii="宋体" w:hAnsi="宋体" w:eastAsia="宋体" w:cs="宋体"/>
          <w:color w:val="auto"/>
          <w:kern w:val="0"/>
          <w:szCs w:val="21"/>
          <w:highlight w:val="none"/>
        </w:rPr>
        <w:t>在响应文件提交截止时间后的响应文件有效期内，供应商不得撤回其响应文件。</w:t>
      </w:r>
      <w:r>
        <w:rPr>
          <w:rFonts w:hint="eastAsia" w:ascii="宋体" w:hAnsi="宋体" w:eastAsia="宋体" w:cs="宋体"/>
          <w:bCs/>
          <w:color w:val="auto"/>
          <w:szCs w:val="21"/>
          <w:highlight w:val="none"/>
        </w:rPr>
        <w:t>响应文件提交截止时间前未成功将电子响应文件上传“广西政府采购云平台”的，视为未提交响应文件。</w:t>
      </w:r>
    </w:p>
    <w:p w14:paraId="4ACA3DBD">
      <w:pPr>
        <w:keepNext w:val="0"/>
        <w:keepLines w:val="0"/>
        <w:pageBreakBefore w:val="0"/>
        <w:tabs>
          <w:tab w:val="left" w:pos="1305"/>
        </w:tabs>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16.4除竞争性磋商文件另有规定外，供应商所提交的响应文件不予退还。</w:t>
      </w:r>
    </w:p>
    <w:p w14:paraId="2D87CAB3">
      <w:pPr>
        <w:keepNext w:val="0"/>
        <w:keepLines w:val="0"/>
        <w:pageBreakBefore w:val="0"/>
        <w:tabs>
          <w:tab w:val="left" w:pos="1305"/>
        </w:tabs>
        <w:kinsoku/>
        <w:wordWrap w:val="0"/>
        <w:overflowPunct/>
        <w:topLinePunct w:val="0"/>
        <w:autoSpaceDE/>
        <w:autoSpaceDN/>
        <w:bidi w:val="0"/>
        <w:spacing w:line="370" w:lineRule="exact"/>
        <w:ind w:left="0" w:leftChars="0" w:firstLine="422" w:firstLineChars="200"/>
        <w:textAlignment w:val="auto"/>
        <w:rPr>
          <w:rStyle w:val="25"/>
          <w:rFonts w:hint="eastAsia" w:ascii="宋体" w:hAnsi="宋体" w:eastAsia="宋体" w:cs="宋体"/>
          <w:color w:val="auto"/>
          <w:highlight w:val="none"/>
        </w:rPr>
      </w:pPr>
      <w:r>
        <w:rPr>
          <w:rFonts w:hint="eastAsia" w:ascii="宋体" w:hAnsi="宋体" w:eastAsia="宋体" w:cs="宋体"/>
          <w:b/>
          <w:color w:val="auto"/>
          <w:kern w:val="0"/>
          <w:szCs w:val="21"/>
          <w:highlight w:val="none"/>
        </w:rPr>
        <w:t>17.响应文件的解密</w:t>
      </w:r>
    </w:p>
    <w:p w14:paraId="1A086EC6">
      <w:pPr>
        <w:keepNext w:val="0"/>
        <w:keepLines w:val="0"/>
        <w:pageBreakBefore w:val="0"/>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17.1解密截止时间：响应文件提交截止时间后30分钟，即</w:t>
      </w:r>
      <w:r>
        <w:rPr>
          <w:rFonts w:hint="eastAsia" w:ascii="宋体" w:hAnsi="宋体" w:eastAsia="宋体" w:cs="宋体"/>
          <w:color w:val="auto"/>
          <w:kern w:val="0"/>
          <w:sz w:val="20"/>
          <w:szCs w:val="20"/>
          <w:highlight w:val="none"/>
          <w:lang w:bidi="ar"/>
        </w:rPr>
        <w:t>（</w:t>
      </w:r>
      <w:r>
        <w:rPr>
          <w:rFonts w:hint="eastAsia" w:ascii="宋体" w:hAnsi="宋体" w:cs="宋体"/>
          <w:color w:val="auto"/>
          <w:szCs w:val="21"/>
          <w:highlight w:val="none"/>
          <w:u w:val="single"/>
          <w:lang w:eastAsia="zh-CN"/>
        </w:rPr>
        <w:t>2025年12月22日</w:t>
      </w:r>
      <w:r>
        <w:rPr>
          <w:rFonts w:hint="eastAsia" w:ascii="宋体" w:hAnsi="宋体" w:eastAsia="宋体" w:cs="宋体"/>
          <w:color w:val="auto"/>
          <w:szCs w:val="21"/>
          <w:highlight w:val="none"/>
          <w:u w:val="single"/>
        </w:rPr>
        <w:t xml:space="preserve"> 9 时 30 分至 10 时 00 分止)。</w:t>
      </w:r>
      <w:r>
        <w:rPr>
          <w:rFonts w:hint="eastAsia" w:ascii="宋体" w:hAnsi="宋体" w:eastAsia="宋体" w:cs="宋体"/>
          <w:color w:val="auto"/>
          <w:kern w:val="0"/>
          <w:szCs w:val="21"/>
          <w:highlight w:val="none"/>
        </w:rPr>
        <w:t>供应商登录</w:t>
      </w:r>
      <w:r>
        <w:rPr>
          <w:rFonts w:hint="eastAsia" w:ascii="宋体" w:hAnsi="宋体" w:eastAsia="宋体" w:cs="宋体"/>
          <w:bCs/>
          <w:color w:val="auto"/>
          <w:szCs w:val="21"/>
          <w:highlight w:val="none"/>
        </w:rPr>
        <w:t>“广西政府采购云平台”</w:t>
      </w:r>
      <w:r>
        <w:rPr>
          <w:rFonts w:hint="eastAsia" w:ascii="宋体" w:hAnsi="宋体" w:eastAsia="宋体" w:cs="宋体"/>
          <w:color w:val="auto"/>
          <w:kern w:val="0"/>
          <w:szCs w:val="21"/>
          <w:highlight w:val="none"/>
        </w:rPr>
        <w:t>，通过“项目采购-开标评标”功能解密电子响应文件。</w:t>
      </w:r>
    </w:p>
    <w:p w14:paraId="603CD6A9">
      <w:pPr>
        <w:keepNext w:val="0"/>
        <w:keepLines w:val="0"/>
        <w:pageBreakBefore w:val="0"/>
        <w:tabs>
          <w:tab w:val="left" w:pos="1140"/>
        </w:tabs>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17.2若供应商在上述规定的解密截止时间内无法解密或解密失败的，可以提交电子备份响应文件作为评审依据。电子备份响应文件提交时间：解密截止时间起至</w:t>
      </w:r>
      <w:r>
        <w:rPr>
          <w:rFonts w:hint="eastAsia" w:ascii="宋体" w:hAnsi="宋体" w:cs="宋体"/>
          <w:color w:val="auto"/>
          <w:kern w:val="0"/>
          <w:szCs w:val="21"/>
          <w:highlight w:val="none"/>
          <w:lang w:eastAsia="zh-CN"/>
        </w:rPr>
        <w:t>2025年12月22日</w:t>
      </w:r>
      <w:r>
        <w:rPr>
          <w:rFonts w:hint="eastAsia" w:ascii="宋体" w:hAnsi="宋体" w:eastAsia="宋体" w:cs="宋体"/>
          <w:color w:val="auto"/>
          <w:kern w:val="0"/>
          <w:szCs w:val="21"/>
          <w:highlight w:val="none"/>
        </w:rPr>
        <w:t>上午10时00分止。可以在投标文件解密截止时间后30分钟内向采购代理机构提交电子备份投标文件（接收电子备份响应文件的电子邮箱为：gxhcdglfgs@163.com）</w:t>
      </w:r>
      <w:r>
        <w:rPr>
          <w:rFonts w:hint="eastAsia" w:ascii="宋体" w:hAnsi="宋体" w:eastAsia="宋体" w:cs="宋体"/>
          <w:bCs/>
          <w:color w:val="auto"/>
          <w:szCs w:val="21"/>
          <w:highlight w:val="none"/>
        </w:rPr>
        <w:t>，供应商在上述时间以外提交的电子备份响应文件，不予认可）</w:t>
      </w:r>
      <w:r>
        <w:rPr>
          <w:rFonts w:hint="eastAsia" w:ascii="宋体" w:hAnsi="宋体" w:eastAsia="宋体" w:cs="宋体"/>
          <w:color w:val="auto"/>
          <w:kern w:val="0"/>
          <w:szCs w:val="21"/>
          <w:highlight w:val="none"/>
        </w:rPr>
        <w:t>。若供应商在规定时间内无法解密或解密失败且未在规定的时间内提供电子备份响应文件的(包含提供的电子备份文件无效或无法解密的情况)，响应文件按无效处理。</w:t>
      </w:r>
    </w:p>
    <w:p w14:paraId="649550A9">
      <w:pPr>
        <w:keepNext w:val="0"/>
        <w:keepLines w:val="0"/>
        <w:pageBreakBefore w:val="0"/>
        <w:widowControl w:val="0"/>
        <w:tabs>
          <w:tab w:val="left" w:pos="1305"/>
        </w:tabs>
        <w:kinsoku/>
        <w:wordWrap w:val="0"/>
        <w:overflowPunct/>
        <w:topLinePunct w:val="0"/>
        <w:autoSpaceDE/>
        <w:autoSpaceDN/>
        <w:bidi w:val="0"/>
        <w:adjustRightInd/>
        <w:snapToGrid/>
        <w:spacing w:before="332" w:beforeLines="100" w:after="332" w:afterLines="100" w:line="370" w:lineRule="exact"/>
        <w:ind w:left="0" w:leftChars="0" w:firstLine="0" w:firstLineChars="0"/>
        <w:jc w:val="center"/>
        <w:textAlignment w:val="auto"/>
        <w:rPr>
          <w:rFonts w:hint="eastAsia" w:ascii="宋体" w:hAnsi="宋体" w:eastAsia="宋体" w:cs="宋体"/>
          <w:b/>
          <w:color w:val="auto"/>
          <w:szCs w:val="21"/>
          <w:highlight w:val="none"/>
        </w:rPr>
      </w:pPr>
      <w:r>
        <w:rPr>
          <w:rFonts w:hint="eastAsia" w:ascii="宋体" w:hAnsi="宋体" w:eastAsia="宋体" w:cs="宋体"/>
          <w:b/>
          <w:color w:val="auto"/>
          <w:sz w:val="28"/>
          <w:szCs w:val="28"/>
          <w:highlight w:val="none"/>
        </w:rPr>
        <w:t>四、竞争性磋商（简称磋商）与评审</w:t>
      </w:r>
    </w:p>
    <w:p w14:paraId="732FF417">
      <w:pPr>
        <w:keepNext w:val="0"/>
        <w:keepLines w:val="0"/>
        <w:pageBreakBefore w:val="0"/>
        <w:tabs>
          <w:tab w:val="center" w:pos="4411"/>
          <w:tab w:val="left" w:pos="5475"/>
        </w:tabs>
        <w:kinsoku/>
        <w:wordWrap w:val="0"/>
        <w:overflowPunct/>
        <w:topLinePunct w:val="0"/>
        <w:autoSpaceDE/>
        <w:autoSpaceDN/>
        <w:bidi w:val="0"/>
        <w:spacing w:line="370" w:lineRule="exact"/>
        <w:ind w:left="0" w:leftChars="0" w:firstLine="422" w:firstLineChars="200"/>
        <w:jc w:val="left"/>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18.磋商小组组成及磋商时间、地点、人员</w:t>
      </w:r>
    </w:p>
    <w:p w14:paraId="0F9C26C5">
      <w:pPr>
        <w:keepNext w:val="0"/>
        <w:keepLines w:val="0"/>
        <w:pageBreakBefore w:val="0"/>
        <w:kinsoku/>
        <w:wordWrap w:val="0"/>
        <w:overflowPunct/>
        <w:topLinePunct w:val="0"/>
        <w:autoSpaceDE/>
        <w:autoSpaceDN/>
        <w:bidi w:val="0"/>
        <w:spacing w:line="370" w:lineRule="exact"/>
        <w:ind w:left="0" w:leftChars="0" w:firstLine="422" w:firstLineChars="200"/>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18.1 磋商小组组成：</w:t>
      </w:r>
    </w:p>
    <w:p w14:paraId="30C0BD98">
      <w:pPr>
        <w:keepNext w:val="0"/>
        <w:keepLines w:val="0"/>
        <w:pageBreakBefore w:val="0"/>
        <w:tabs>
          <w:tab w:val="left" w:pos="1140"/>
        </w:tabs>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磋商及评审组织工作由采购代理机构负责，具体磋商、评审工作由依法组建的磋商小组负责，</w:t>
      </w:r>
      <w:r>
        <w:rPr>
          <w:rFonts w:hint="eastAsia" w:ascii="宋体" w:hAnsi="宋体" w:eastAsia="宋体" w:cs="宋体"/>
          <w:color w:val="auto"/>
          <w:kern w:val="0"/>
          <w:highlight w:val="none"/>
        </w:rPr>
        <w:t>本项目的磋商小组</w:t>
      </w:r>
      <w:r>
        <w:rPr>
          <w:rFonts w:hint="eastAsia" w:ascii="宋体" w:hAnsi="宋体" w:eastAsia="宋体" w:cs="宋体"/>
          <w:color w:val="auto"/>
          <w:kern w:val="0"/>
          <w:szCs w:val="21"/>
          <w:highlight w:val="none"/>
        </w:rPr>
        <w:t>由有关方面的专家组成。磋商小组的构成：3人</w:t>
      </w:r>
      <w:r>
        <w:rPr>
          <w:rFonts w:hint="eastAsia" w:ascii="宋体" w:hAnsi="宋体" w:eastAsia="宋体" w:cs="宋体"/>
          <w:color w:val="auto"/>
          <w:szCs w:val="21"/>
          <w:highlight w:val="none"/>
        </w:rPr>
        <w:t>，其中采购人代表 1 人，有关专家2人。</w:t>
      </w:r>
    </w:p>
    <w:p w14:paraId="314DE9FF">
      <w:pPr>
        <w:keepNext w:val="0"/>
        <w:keepLines w:val="0"/>
        <w:pageBreakBefore w:val="0"/>
        <w:tabs>
          <w:tab w:val="left" w:pos="1305"/>
        </w:tabs>
        <w:kinsoku/>
        <w:wordWrap w:val="0"/>
        <w:overflowPunct/>
        <w:topLinePunct w:val="0"/>
        <w:autoSpaceDE/>
        <w:autoSpaceDN/>
        <w:bidi w:val="0"/>
        <w:spacing w:line="370" w:lineRule="exact"/>
        <w:ind w:left="0" w:leftChars="0" w:firstLine="422" w:firstLineChars="200"/>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18.2 磋商时间、地点、人员：</w:t>
      </w:r>
    </w:p>
    <w:p w14:paraId="6F399065">
      <w:pPr>
        <w:keepNext w:val="0"/>
        <w:keepLines w:val="0"/>
        <w:pageBreakBefore w:val="0"/>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18.2.1 磋商时间：首次响应文件提交截止时间后。</w:t>
      </w:r>
    </w:p>
    <w:p w14:paraId="1E42A294">
      <w:pPr>
        <w:keepNext w:val="0"/>
        <w:keepLines w:val="0"/>
        <w:pageBreakBefore w:val="0"/>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18.2.2 磋商地点：</w:t>
      </w:r>
      <w:r>
        <w:rPr>
          <w:rFonts w:hint="eastAsia" w:ascii="宋体" w:hAnsi="宋体" w:eastAsia="宋体" w:cs="宋体"/>
          <w:bCs/>
          <w:color w:val="auto"/>
          <w:szCs w:val="21"/>
          <w:highlight w:val="none"/>
          <w:u w:val="single"/>
        </w:rPr>
        <w:t>供应商代表在响应文件提交当天实时</w:t>
      </w:r>
      <w:r>
        <w:rPr>
          <w:rFonts w:hint="eastAsia" w:ascii="宋体" w:hAnsi="宋体" w:cs="宋体"/>
          <w:bCs/>
          <w:color w:val="auto"/>
          <w:szCs w:val="21"/>
          <w:highlight w:val="none"/>
          <w:u w:val="single"/>
          <w:lang w:eastAsia="zh-CN"/>
        </w:rPr>
        <w:t>登录</w:t>
      </w:r>
      <w:r>
        <w:rPr>
          <w:rFonts w:hint="eastAsia" w:ascii="宋体" w:hAnsi="宋体" w:eastAsia="宋体" w:cs="宋体"/>
          <w:bCs/>
          <w:color w:val="auto"/>
          <w:szCs w:val="21"/>
          <w:highlight w:val="none"/>
          <w:u w:val="single"/>
        </w:rPr>
        <w:t>“广西政府采购云平台”，按磋商小组要求在线等候参与磋商及提交最后报价</w:t>
      </w:r>
      <w:r>
        <w:rPr>
          <w:rFonts w:hint="eastAsia" w:ascii="宋体" w:hAnsi="宋体" w:eastAsia="宋体" w:cs="宋体"/>
          <w:bCs/>
          <w:color w:val="auto"/>
          <w:szCs w:val="21"/>
          <w:highlight w:val="none"/>
        </w:rPr>
        <w:t>。因供应商未保持实时在线，导致磋商小组无法及时与其取得联系，从而造成供应商未按规定参与磋商或报价的，其不利后果由供应商自行承担。</w:t>
      </w:r>
    </w:p>
    <w:p w14:paraId="7602DAAD">
      <w:pPr>
        <w:keepNext w:val="0"/>
        <w:keepLines w:val="0"/>
        <w:pageBreakBefore w:val="0"/>
        <w:tabs>
          <w:tab w:val="left" w:pos="1140"/>
        </w:tabs>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18.2.3 磋商参加人员：</w:t>
      </w:r>
      <w:r>
        <w:rPr>
          <w:rFonts w:hint="eastAsia" w:ascii="宋体" w:hAnsi="宋体" w:eastAsia="宋体" w:cs="宋体"/>
          <w:color w:val="auto"/>
          <w:szCs w:val="21"/>
          <w:highlight w:val="none"/>
        </w:rPr>
        <w:t>供应商法定代表人(负责人、自然人)或相应的委托代理人参加磋商。请供应商</w:t>
      </w:r>
      <w:r>
        <w:rPr>
          <w:rFonts w:hint="eastAsia" w:ascii="宋体" w:hAnsi="宋体" w:eastAsia="宋体" w:cs="宋体"/>
          <w:bCs/>
          <w:color w:val="auto"/>
          <w:szCs w:val="21"/>
          <w:highlight w:val="none"/>
        </w:rPr>
        <w:t>实时</w:t>
      </w:r>
      <w:r>
        <w:rPr>
          <w:rFonts w:hint="eastAsia" w:ascii="宋体" w:hAnsi="宋体" w:cs="宋体"/>
          <w:bCs/>
          <w:color w:val="auto"/>
          <w:szCs w:val="21"/>
          <w:highlight w:val="none"/>
          <w:lang w:eastAsia="zh-CN"/>
        </w:rPr>
        <w:t>登录</w:t>
      </w:r>
      <w:r>
        <w:rPr>
          <w:rFonts w:hint="eastAsia" w:ascii="宋体" w:hAnsi="宋体" w:eastAsia="宋体" w:cs="宋体"/>
          <w:bCs/>
          <w:color w:val="auto"/>
          <w:szCs w:val="21"/>
          <w:highlight w:val="none"/>
        </w:rPr>
        <w:t>“广西政府采购云平台”</w:t>
      </w:r>
      <w:r>
        <w:rPr>
          <w:rFonts w:hint="eastAsia" w:ascii="宋体" w:hAnsi="宋体" w:eastAsia="宋体" w:cs="宋体"/>
          <w:color w:val="auto"/>
          <w:szCs w:val="21"/>
          <w:highlight w:val="none"/>
        </w:rPr>
        <w:t>等候在线磋商。</w:t>
      </w:r>
    </w:p>
    <w:p w14:paraId="102D8E06">
      <w:pPr>
        <w:keepNext w:val="0"/>
        <w:keepLines w:val="0"/>
        <w:pageBreakBefore w:val="0"/>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18.2.4 首次响应文件提交截止时间后，登录</w:t>
      </w:r>
      <w:r>
        <w:rPr>
          <w:rFonts w:hint="eastAsia" w:ascii="宋体" w:hAnsi="宋体" w:eastAsia="宋体" w:cs="宋体"/>
          <w:bCs/>
          <w:color w:val="auto"/>
          <w:szCs w:val="21"/>
          <w:highlight w:val="none"/>
        </w:rPr>
        <w:t>“广西政府采购云平台”</w:t>
      </w:r>
      <w:r>
        <w:rPr>
          <w:rFonts w:hint="eastAsia" w:ascii="宋体" w:hAnsi="宋体" w:eastAsia="宋体" w:cs="宋体"/>
          <w:color w:val="auto"/>
          <w:szCs w:val="21"/>
          <w:highlight w:val="none"/>
        </w:rPr>
        <w:t>在线解密开启。</w:t>
      </w:r>
    </w:p>
    <w:p w14:paraId="58B2C9A2">
      <w:pPr>
        <w:keepNext w:val="0"/>
        <w:keepLines w:val="0"/>
        <w:pageBreakBefore w:val="0"/>
        <w:tabs>
          <w:tab w:val="left" w:pos="1140"/>
        </w:tabs>
        <w:kinsoku/>
        <w:wordWrap w:val="0"/>
        <w:overflowPunct/>
        <w:topLinePunct w:val="0"/>
        <w:autoSpaceDE/>
        <w:autoSpaceDN/>
        <w:bidi w:val="0"/>
        <w:spacing w:line="370" w:lineRule="exact"/>
        <w:ind w:left="0" w:leftChars="0" w:firstLine="422" w:firstLineChars="200"/>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19.评审原则和评审办法</w:t>
      </w:r>
    </w:p>
    <w:p w14:paraId="7F76EF29">
      <w:pPr>
        <w:keepNext w:val="0"/>
        <w:keepLines w:val="0"/>
        <w:pageBreakBefore w:val="0"/>
        <w:tabs>
          <w:tab w:val="left" w:pos="1140"/>
        </w:tabs>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0"/>
          <w:highlight w:val="none"/>
        </w:rPr>
        <w:t xml:space="preserve">19.1 </w:t>
      </w:r>
      <w:r>
        <w:rPr>
          <w:rFonts w:hint="eastAsia" w:ascii="宋体" w:hAnsi="宋体" w:eastAsia="宋体" w:cs="宋体"/>
          <w:color w:val="auto"/>
          <w:kern w:val="0"/>
          <w:szCs w:val="21"/>
          <w:highlight w:val="none"/>
        </w:rPr>
        <w:t>磋商小组必须坚持公平、公正、科学和择优的原则。</w:t>
      </w:r>
    </w:p>
    <w:p w14:paraId="638E3D3A">
      <w:pPr>
        <w:keepNext w:val="0"/>
        <w:keepLines w:val="0"/>
        <w:pageBreakBefore w:val="0"/>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19.2综合评分法，具体详见第四章评审办法。</w:t>
      </w:r>
    </w:p>
    <w:p w14:paraId="3B9A6DA7">
      <w:pPr>
        <w:pStyle w:val="9"/>
        <w:keepNext w:val="0"/>
        <w:keepLines w:val="0"/>
        <w:pageBreakBefore w:val="0"/>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19.3 磋商小组应按磋商文件进行评审，不得擅自更改评审办法。</w:t>
      </w:r>
    </w:p>
    <w:p w14:paraId="4AF66724">
      <w:pPr>
        <w:pStyle w:val="9"/>
        <w:keepNext w:val="0"/>
        <w:keepLines w:val="0"/>
        <w:pageBreakBefore w:val="0"/>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19.4 在评审过程中，磋商小组任何人不得对某个供应商发表任何倾向性意见，不得向其他磋商小组成员明示或者暗示自己的评审意见。</w:t>
      </w:r>
    </w:p>
    <w:p w14:paraId="283AD557">
      <w:pPr>
        <w:keepNext w:val="0"/>
        <w:keepLines w:val="0"/>
        <w:pageBreakBefore w:val="0"/>
        <w:tabs>
          <w:tab w:val="left" w:pos="1140"/>
        </w:tabs>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19.5磋商小组成员对需要共同认定的事项存在争议的，按照少数服从多数的原则作出结论。持不同意见的磋商小组成员应当在评审报告上签署不同意见并说明理由，否则视为同意。</w:t>
      </w:r>
    </w:p>
    <w:p w14:paraId="75A4573C">
      <w:pPr>
        <w:keepNext w:val="0"/>
        <w:keepLines w:val="0"/>
        <w:pageBreakBefore w:val="0"/>
        <w:tabs>
          <w:tab w:val="left" w:pos="1140"/>
        </w:tabs>
        <w:kinsoku/>
        <w:wordWrap w:val="0"/>
        <w:overflowPunct/>
        <w:topLinePunct w:val="0"/>
        <w:autoSpaceDE/>
        <w:autoSpaceDN/>
        <w:bidi w:val="0"/>
        <w:spacing w:line="370" w:lineRule="exact"/>
        <w:ind w:left="0" w:leftChars="0" w:firstLine="422" w:firstLineChars="200"/>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20.评审程序及磋商要求</w:t>
      </w:r>
    </w:p>
    <w:p w14:paraId="4E0C2BBC">
      <w:pPr>
        <w:pStyle w:val="9"/>
        <w:keepNext w:val="0"/>
        <w:keepLines w:val="0"/>
        <w:pageBreakBefore w:val="0"/>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20.1磋商小组成员的通讯工具或相关电子设备交由桂林市公共资源交易中心统一保管后到达评标室，采购代理机构核实磋商小组成员身份，告知回避要求，宣布评审工作纪律和程序，推选磋商小组组长。</w:t>
      </w:r>
    </w:p>
    <w:p w14:paraId="74CEC2BD">
      <w:pPr>
        <w:keepNext w:val="0"/>
        <w:keepLines w:val="0"/>
        <w:pageBreakBefore w:val="0"/>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20.2 磋商小组应当审查供应商的响应文件并作出评价；要求供应商解释或者澄清其响应文件；编写评审报告；告知采购人、采购代理机构在评审过程中发现的供应商的违法违规行为。</w:t>
      </w:r>
    </w:p>
    <w:p w14:paraId="446D0A84">
      <w:pPr>
        <w:keepNext w:val="0"/>
        <w:keepLines w:val="0"/>
        <w:pageBreakBefore w:val="0"/>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20.3 磋商小组依据法律法规和竞争性磋商文件的规定，</w:t>
      </w:r>
      <w:r>
        <w:rPr>
          <w:rFonts w:hint="eastAsia" w:ascii="宋体" w:hAnsi="宋体" w:eastAsia="宋体" w:cs="宋体"/>
          <w:color w:val="auto"/>
          <w:kern w:val="0"/>
          <w:highlight w:val="none"/>
        </w:rPr>
        <w:t>首先对响应文件进行资格性审查，</w:t>
      </w:r>
      <w:r>
        <w:rPr>
          <w:rFonts w:hint="eastAsia" w:ascii="宋体" w:hAnsi="宋体" w:eastAsia="宋体" w:cs="宋体"/>
          <w:color w:val="auto"/>
          <w:kern w:val="0"/>
          <w:szCs w:val="21"/>
          <w:highlight w:val="none"/>
        </w:rPr>
        <w:t>以确定供应商是否具备本项目供应商资格；再对通过资格性审查的供应商响应文件的有效性、完整性和对磋商文件的响应程度进行符合性审查，以确定是否对磋商文件的实质性要求做出响应。</w:t>
      </w:r>
    </w:p>
    <w:p w14:paraId="0301200B">
      <w:pPr>
        <w:keepNext w:val="0"/>
        <w:keepLines w:val="0"/>
        <w:pageBreakBefore w:val="0"/>
        <w:kinsoku/>
        <w:wordWrap w:val="0"/>
        <w:overflowPunct/>
        <w:topLinePunct w:val="0"/>
        <w:autoSpaceDE/>
        <w:autoSpaceDN/>
        <w:bidi w:val="0"/>
        <w:spacing w:line="370" w:lineRule="exact"/>
        <w:ind w:left="0" w:leftChars="0" w:firstLine="422" w:firstLineChars="200"/>
        <w:textAlignment w:val="auto"/>
        <w:rPr>
          <w:rFonts w:hint="eastAsia" w:ascii="宋体" w:hAnsi="宋体" w:eastAsia="宋体" w:cs="宋体"/>
          <w:color w:val="auto"/>
          <w:kern w:val="0"/>
          <w:szCs w:val="21"/>
          <w:highlight w:val="none"/>
        </w:rPr>
      </w:pPr>
      <w:r>
        <w:rPr>
          <w:rFonts w:hint="eastAsia" w:ascii="宋体" w:hAnsi="宋体" w:eastAsia="宋体" w:cs="宋体"/>
          <w:b/>
          <w:color w:val="auto"/>
          <w:kern w:val="0"/>
          <w:szCs w:val="21"/>
          <w:highlight w:val="none"/>
        </w:rPr>
        <w:t>20.4磋商小组在对供应商进行资格性审查时，将对供应商企业股东及出资等信息进行查询。根据《中华人民共和国政府采购法实施条例》第十八条第一款规定，审查中如发现供应商存在单位负责人为同一人或者存在直接控股、管理关系的不同供应商参加同一合同项下的政府采购活动的，按响应文件无效处理。</w:t>
      </w:r>
    </w:p>
    <w:p w14:paraId="01D19591">
      <w:pPr>
        <w:keepNext w:val="0"/>
        <w:keepLines w:val="0"/>
        <w:pageBreakBefore w:val="0"/>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20.4.1查询渠道：《国家企业信用信息公示系统》（网址：</w:t>
      </w:r>
      <w:r>
        <w:rPr>
          <w:rFonts w:hint="eastAsia" w:ascii="宋体" w:hAnsi="宋体" w:eastAsia="宋体" w:cs="宋体"/>
          <w:color w:val="auto"/>
          <w:kern w:val="0"/>
          <w:highlight w:val="none"/>
        </w:rPr>
        <w:t>www.gsxt.gov.cn/index.html</w:t>
      </w:r>
      <w:r>
        <w:rPr>
          <w:rFonts w:hint="eastAsia" w:ascii="宋体" w:hAnsi="宋体" w:eastAsia="宋体" w:cs="宋体"/>
          <w:color w:val="auto"/>
          <w:kern w:val="0"/>
          <w:szCs w:val="21"/>
          <w:highlight w:val="none"/>
        </w:rPr>
        <w:t>）</w:t>
      </w:r>
    </w:p>
    <w:p w14:paraId="3CB153BB">
      <w:pPr>
        <w:keepNext w:val="0"/>
        <w:keepLines w:val="0"/>
        <w:pageBreakBefore w:val="0"/>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20.4.2审查流程：</w:t>
      </w:r>
    </w:p>
    <w:p w14:paraId="7076F212">
      <w:pPr>
        <w:keepNext w:val="0"/>
        <w:keepLines w:val="0"/>
        <w:pageBreakBefore w:val="0"/>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（1）进入《国家企业信用信息公示系统》（网址：www.gsxt.gov.cn/index.html），输入企业名称，进入企业信息主页面；</w:t>
      </w:r>
    </w:p>
    <w:p w14:paraId="2395296C">
      <w:pPr>
        <w:keepNext w:val="0"/>
        <w:keepLines w:val="0"/>
        <w:pageBreakBefore w:val="0"/>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（2）查看主页“股东及出资信息”栏，或年报中的“股东及出资信息”栏信息；</w:t>
      </w:r>
    </w:p>
    <w:p w14:paraId="4DBF0B0A">
      <w:pPr>
        <w:keepNext w:val="0"/>
        <w:keepLines w:val="0"/>
        <w:pageBreakBefore w:val="0"/>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（3）将各供应商的股东及出资信息进行比对，得出审查结论；</w:t>
      </w:r>
    </w:p>
    <w:p w14:paraId="4CB4E1F3">
      <w:pPr>
        <w:keepNext w:val="0"/>
        <w:keepLines w:val="0"/>
        <w:pageBreakBefore w:val="0"/>
        <w:kinsoku/>
        <w:wordWrap w:val="0"/>
        <w:overflowPunct/>
        <w:topLinePunct w:val="0"/>
        <w:autoSpaceDE/>
        <w:autoSpaceDN/>
        <w:bidi w:val="0"/>
        <w:snapToGrid w:val="0"/>
        <w:spacing w:line="370" w:lineRule="exact"/>
        <w:ind w:left="0" w:leftChars="0" w:firstLine="420" w:firstLineChars="20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（4）将相关资料作为评审资料打印存档。</w:t>
      </w:r>
    </w:p>
    <w:p w14:paraId="730F33CD">
      <w:pPr>
        <w:keepNext w:val="0"/>
        <w:keepLines w:val="0"/>
        <w:pageBreakBefore w:val="0"/>
        <w:kinsoku/>
        <w:wordWrap w:val="0"/>
        <w:overflowPunct/>
        <w:topLinePunct w:val="0"/>
        <w:autoSpaceDE/>
        <w:autoSpaceDN/>
        <w:bidi w:val="0"/>
        <w:spacing w:line="370" w:lineRule="exact"/>
        <w:ind w:left="0" w:leftChars="0" w:firstLine="422" w:firstLineChars="200"/>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以上审查过程中，如出现查询企业网页主页面无法显示股东及出资信息的或仅以主页面信息内容无法认定供应商之间存在单位负责人为同一人或者存在直接控股、管理关系的，当时审查程序可继续进行，待评审结束后将对以上供应商作进一步核实确认，如确认供应商之间存在有上述关联供应商情形的，关联供应商均按响应文件无效处理。</w:t>
      </w:r>
    </w:p>
    <w:p w14:paraId="1B39D450">
      <w:pPr>
        <w:keepNext w:val="0"/>
        <w:keepLines w:val="0"/>
        <w:pageBreakBefore w:val="0"/>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20.5磋商小组在对响应文件的有效性、完整性和响应程度进行审查时，可以要求供应商对</w:t>
      </w:r>
      <w:r>
        <w:rPr>
          <w:rFonts w:hint="eastAsia" w:ascii="宋体" w:hAnsi="宋体" w:eastAsia="宋体" w:cs="宋体"/>
          <w:color w:val="auto"/>
          <w:szCs w:val="21"/>
          <w:highlight w:val="none"/>
        </w:rPr>
        <w:t>响应文件中含义不明确、同类问题表述不一致或者有明显文字和计算错误的内容等作出必要的澄清、说明或者更正。供应商的澄清、说明或者更正不得超出响应文件的范围或者改变响应文件的实质性内容，供应商的澄清、说明或者更正应当通过</w:t>
      </w:r>
      <w:r>
        <w:rPr>
          <w:rFonts w:hint="eastAsia" w:ascii="宋体" w:hAnsi="宋体" w:eastAsia="宋体" w:cs="宋体"/>
          <w:bCs/>
          <w:color w:val="auto"/>
          <w:szCs w:val="21"/>
          <w:highlight w:val="none"/>
        </w:rPr>
        <w:t>“广西政府采购云平台”</w:t>
      </w:r>
      <w:r>
        <w:rPr>
          <w:rFonts w:hint="eastAsia" w:ascii="宋体" w:hAnsi="宋体" w:eastAsia="宋体" w:cs="宋体"/>
          <w:color w:val="auto"/>
          <w:szCs w:val="21"/>
          <w:highlight w:val="none"/>
        </w:rPr>
        <w:t>采用在线书面形式，并加盖公章（CA证书签章），或者由法定代表人（负责人）或其授权委托代理人个人CA证书签章（没有办理政采云个人CA证书签章的可在响应文件中涉及到签字的位置手写签字后扫描或者拍照做成 PDF 的格式上传），供应商为自然人的，应当由本人个人CA证书签章（没有办理政采云个人CA证书签章的可在响应文件中涉及到签字的位置手写签字后扫描或者拍照做成 PDF 的格式上传）并附身份证明。</w:t>
      </w:r>
    </w:p>
    <w:p w14:paraId="610AB0C5">
      <w:pPr>
        <w:keepNext w:val="0"/>
        <w:keepLines w:val="0"/>
        <w:pageBreakBefore w:val="0"/>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根据磋商文件规定的程序、评定成交的标准等事项与实质性响应竞争性磋商文件要求的供应商进行磋商。未实质性响应磋商文件的响应文件按无效处理，磋商小组应当告知有关供应商。</w:t>
      </w:r>
    </w:p>
    <w:p w14:paraId="405A75BB">
      <w:pPr>
        <w:keepNext w:val="0"/>
        <w:keepLines w:val="0"/>
        <w:pageBreakBefore w:val="0"/>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磋商小组所有成员应当按已确定的磋商顺序集中与单一供应商分别进行磋商，并给予所有实质性响应竞争性磋商文件要求的供应商平等的磋商机会。</w:t>
      </w:r>
    </w:p>
    <w:p w14:paraId="160F4EA2">
      <w:pPr>
        <w:keepNext w:val="0"/>
        <w:keepLines w:val="0"/>
        <w:pageBreakBefore w:val="0"/>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磋商中，磋商小组不得透露与磋商有关的其他供应商的技术资料、价格和其他信息。</w:t>
      </w:r>
    </w:p>
    <w:p w14:paraId="117D1EAB">
      <w:pPr>
        <w:keepNext w:val="0"/>
        <w:keepLines w:val="0"/>
        <w:pageBreakBefore w:val="0"/>
        <w:widowControl/>
        <w:tabs>
          <w:tab w:val="left" w:pos="540"/>
        </w:tabs>
        <w:kinsoku/>
        <w:wordWrap w:val="0"/>
        <w:overflowPunct/>
        <w:topLinePunct w:val="0"/>
        <w:autoSpaceDE/>
        <w:autoSpaceDN/>
        <w:bidi w:val="0"/>
        <w:spacing w:line="370" w:lineRule="exact"/>
        <w:ind w:left="0" w:leftChars="0"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采购代理机构（磋商小组）对磋商过程和重要磋商内容进行记录，磋商双方在记录上签字确认</w:t>
      </w:r>
      <w:r>
        <w:rPr>
          <w:rFonts w:hint="eastAsia" w:ascii="宋体" w:hAnsi="宋体" w:eastAsia="宋体" w:cs="宋体"/>
          <w:color w:val="auto"/>
          <w:szCs w:val="21"/>
          <w:highlight w:val="none"/>
        </w:rPr>
        <w:t>（或CA证书签章）</w:t>
      </w:r>
      <w:r>
        <w:rPr>
          <w:rFonts w:hint="eastAsia" w:ascii="宋体" w:hAnsi="宋体" w:eastAsia="宋体" w:cs="宋体"/>
          <w:color w:val="auto"/>
          <w:kern w:val="0"/>
          <w:szCs w:val="21"/>
          <w:highlight w:val="none"/>
        </w:rPr>
        <w:t>。</w:t>
      </w:r>
    </w:p>
    <w:p w14:paraId="2BC3EE3A">
      <w:pPr>
        <w:keepNext w:val="0"/>
        <w:keepLines w:val="0"/>
        <w:pageBreakBefore w:val="0"/>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20.6在磋商过程中，磋商小组可以根据磋商文件和磋商情况实质性变动</w:t>
      </w:r>
      <w:r>
        <w:rPr>
          <w:rFonts w:hint="eastAsia" w:ascii="宋体" w:hAnsi="宋体" w:cs="宋体"/>
          <w:color w:val="auto"/>
          <w:kern w:val="0"/>
          <w:szCs w:val="21"/>
          <w:highlight w:val="none"/>
          <w:lang w:eastAsia="zh-CN"/>
        </w:rPr>
        <w:t>工程量清单</w:t>
      </w:r>
      <w:r>
        <w:rPr>
          <w:rFonts w:hint="eastAsia" w:ascii="宋体" w:hAnsi="宋体" w:eastAsia="宋体" w:cs="宋体"/>
          <w:color w:val="auto"/>
          <w:kern w:val="0"/>
          <w:szCs w:val="21"/>
          <w:highlight w:val="none"/>
        </w:rPr>
        <w:t>中的</w:t>
      </w:r>
      <w:r>
        <w:rPr>
          <w:rFonts w:hint="eastAsia" w:ascii="宋体" w:hAnsi="宋体" w:cs="宋体"/>
          <w:color w:val="auto"/>
          <w:kern w:val="0"/>
          <w:szCs w:val="21"/>
          <w:highlight w:val="none"/>
          <w:lang w:eastAsia="zh-CN"/>
        </w:rPr>
        <w:t>质量、施工</w:t>
      </w:r>
      <w:r>
        <w:rPr>
          <w:rFonts w:hint="eastAsia" w:ascii="宋体" w:hAnsi="宋体" w:eastAsia="宋体" w:cs="宋体"/>
          <w:color w:val="auto"/>
          <w:kern w:val="0"/>
          <w:szCs w:val="21"/>
          <w:highlight w:val="none"/>
        </w:rPr>
        <w:t>要求以及合同草案条款，但不得变动磋商文件中的其他内容。实质性变动的内容，须经采购人代表确认。</w:t>
      </w:r>
    </w:p>
    <w:p w14:paraId="03B78AE6">
      <w:pPr>
        <w:keepNext w:val="0"/>
        <w:keepLines w:val="0"/>
        <w:pageBreakBefore w:val="0"/>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对磋商文件作出的实质性变动是磋商文件的有效组成部分，磋商小组应当及时通过</w:t>
      </w:r>
      <w:r>
        <w:rPr>
          <w:rFonts w:hint="eastAsia" w:ascii="宋体" w:hAnsi="宋体" w:eastAsia="宋体" w:cs="宋体"/>
          <w:bCs/>
          <w:color w:val="auto"/>
          <w:szCs w:val="21"/>
          <w:highlight w:val="none"/>
        </w:rPr>
        <w:t>“广西政府采购云平台”</w:t>
      </w:r>
      <w:r>
        <w:rPr>
          <w:rFonts w:hint="eastAsia" w:ascii="宋体" w:hAnsi="宋体" w:eastAsia="宋体" w:cs="宋体"/>
          <w:color w:val="auto"/>
          <w:kern w:val="0"/>
          <w:szCs w:val="21"/>
          <w:highlight w:val="none"/>
        </w:rPr>
        <w:t>以书面形式同时通知所有参加磋商的供应商。</w:t>
      </w:r>
    </w:p>
    <w:p w14:paraId="4D07A2C7">
      <w:pPr>
        <w:keepNext w:val="0"/>
        <w:keepLines w:val="0"/>
        <w:pageBreakBefore w:val="0"/>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变动情况和磋商小组的要求重新提交响应文件，并由其法定代表人(负责人、自然人)或相应的授权委托代表个人CA证书签章（没有办理政采云个人CA证书签章的可在响应文件中涉及到签字的位置手写签字后扫描或者拍照做成 PDF 的格式上传）或者加盖供应商公章（CA证书签章）。逾时不交的，视同放弃磋商。</w:t>
      </w:r>
    </w:p>
    <w:p w14:paraId="1E6F81F4">
      <w:pPr>
        <w:keepNext w:val="0"/>
        <w:keepLines w:val="0"/>
        <w:pageBreakBefore w:val="0"/>
        <w:widowControl/>
        <w:kinsoku/>
        <w:wordWrap w:val="0"/>
        <w:overflowPunct/>
        <w:topLinePunct w:val="0"/>
        <w:autoSpaceDE/>
        <w:autoSpaceDN/>
        <w:bidi w:val="0"/>
        <w:spacing w:line="370" w:lineRule="exact"/>
        <w:ind w:left="0" w:leftChars="0"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20.7最后报价</w:t>
      </w:r>
    </w:p>
    <w:p w14:paraId="461AECFE">
      <w:pPr>
        <w:keepNext w:val="0"/>
        <w:keepLines w:val="0"/>
        <w:pageBreakBefore w:val="0"/>
        <w:widowControl w:val="0"/>
        <w:kinsoku/>
        <w:wordWrap w:val="0"/>
        <w:overflowPunct/>
        <w:topLinePunct w:val="0"/>
        <w:autoSpaceDE/>
        <w:autoSpaceDN/>
        <w:bidi w:val="0"/>
        <w:spacing w:line="370" w:lineRule="exact"/>
        <w:ind w:left="0" w:leftChars="0" w:firstLine="420" w:firstLineChars="200"/>
        <w:jc w:val="both"/>
        <w:textAlignment w:val="auto"/>
        <w:rPr>
          <w:rFonts w:hint="eastAsia" w:ascii="宋体" w:hAnsi="宋体" w:cs="宋体"/>
          <w:color w:val="auto"/>
          <w:kern w:val="0"/>
          <w:szCs w:val="21"/>
          <w:highlight w:val="none"/>
        </w:rPr>
      </w:pPr>
      <w:r>
        <w:rPr>
          <w:rFonts w:hint="eastAsia" w:ascii="宋体" w:hAnsi="宋体" w:eastAsia="宋体" w:cs="宋体"/>
          <w:color w:val="auto"/>
          <w:kern w:val="2"/>
          <w:sz w:val="21"/>
          <w:szCs w:val="21"/>
          <w:highlight w:val="none"/>
          <w:lang w:val="en-US" w:eastAsia="zh-CN" w:bidi="ar-SA"/>
        </w:rPr>
        <w:t>20.7.1磋商文件能够详细列明采购标的的质量、施工要求的，磋商结束后，磋商小组应当要求所有继续参加磋商的供应商在规定时间内通过“广西政府采购云平台”在线提交最后报价，提交最后报价的供应商不得少于3家；磋商文件不能详细列明采购标的的质量、施工要求的，需由供应商提供最终设计方案或解决方案的，磋商结束后，磋商小组应当按照少数服从多数的原则投票推荐3家以上（含3家）供应商的设计方案或者解决方案，并要求其在规定时间内通过“广西政府采购云平台”在线提交最后报价。</w:t>
      </w:r>
    </w:p>
    <w:p w14:paraId="4B15D9BC">
      <w:pPr>
        <w:keepNext w:val="0"/>
        <w:keepLines w:val="0"/>
        <w:pageBreakBefore w:val="0"/>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20.7.</w:t>
      </w: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根据财库【2015】124号《财政部关于政府采购竞争性磋商采购方式有关问题的通知》的规定，如采购项目为政府购买服务项目（含政府和社会资本合作项目），在采购过程中符合要求的供应商（社会资本）只有2家的，竞争性磋商采购活动可以继续进行，并要求其在规定时间内通过</w:t>
      </w:r>
      <w:r>
        <w:rPr>
          <w:rFonts w:hint="eastAsia" w:ascii="宋体" w:hAnsi="宋体" w:eastAsia="宋体" w:cs="宋体"/>
          <w:bCs/>
          <w:color w:val="auto"/>
          <w:szCs w:val="21"/>
          <w:highlight w:val="none"/>
        </w:rPr>
        <w:t>“广西政府采购云平台”</w:t>
      </w:r>
      <w:r>
        <w:rPr>
          <w:rFonts w:hint="eastAsia" w:ascii="宋体" w:hAnsi="宋体" w:eastAsia="宋体" w:cs="宋体"/>
          <w:color w:val="auto"/>
          <w:kern w:val="0"/>
          <w:szCs w:val="21"/>
          <w:highlight w:val="none"/>
        </w:rPr>
        <w:t>在线提交最后报价；采购过程中符合要求的供应商（社会资本）只有1家的，采购人或者采购代理机构应当终止竞争性磋商采购活动，发布项目终止公告并说明原因，重新开展采购活动。</w:t>
      </w:r>
    </w:p>
    <w:p w14:paraId="4BA56BEE">
      <w:pPr>
        <w:keepNext w:val="0"/>
        <w:keepLines w:val="0"/>
        <w:pageBreakBefore w:val="0"/>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20.7.3最后报价是供应商响应文件的有效组成部分：供应商做</w:t>
      </w:r>
      <w:r>
        <w:rPr>
          <w:rFonts w:hint="eastAsia" w:ascii="宋体" w:hAnsi="宋体" w:cs="宋体"/>
          <w:color w:val="auto"/>
          <w:kern w:val="0"/>
          <w:szCs w:val="21"/>
          <w:highlight w:val="none"/>
          <w:lang w:eastAsia="zh-CN"/>
        </w:rPr>
        <w:t>最后报价</w:t>
      </w:r>
      <w:r>
        <w:rPr>
          <w:rFonts w:hint="eastAsia" w:ascii="宋体" w:hAnsi="宋体" w:eastAsia="宋体" w:cs="宋体"/>
          <w:color w:val="auto"/>
          <w:kern w:val="0"/>
          <w:szCs w:val="21"/>
          <w:highlight w:val="none"/>
        </w:rPr>
        <w:t>时，如供应商维持磋商报价不变，以原磋商报价作为供应商最后报价；供应商应预先准备好调整后的完整已标价的工程量清单。如供应商在磋商过程中，改变原报价且未按竞争性磋商文件要求提供调整后的磋商报价电子版的，其报价不予认可，视供应商维持原磋商报价不变。必须由供应商加盖公章（CA签章）。</w:t>
      </w:r>
    </w:p>
    <w:p w14:paraId="4F33BB1B">
      <w:pPr>
        <w:keepNext w:val="0"/>
        <w:keepLines w:val="0"/>
        <w:pageBreakBefore w:val="0"/>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20.8已提交响应文件的供应商，在提交最后报价之前，可以根据磋商情况书面退出磋商。</w:t>
      </w:r>
    </w:p>
    <w:p w14:paraId="0C2832A0">
      <w:pPr>
        <w:keepNext w:val="0"/>
        <w:keepLines w:val="0"/>
        <w:pageBreakBefore w:val="0"/>
        <w:widowControl/>
        <w:tabs>
          <w:tab w:val="left" w:pos="540"/>
        </w:tabs>
        <w:kinsoku/>
        <w:wordWrap w:val="0"/>
        <w:overflowPunct/>
        <w:topLinePunct w:val="0"/>
        <w:autoSpaceDE/>
        <w:autoSpaceDN/>
        <w:bidi w:val="0"/>
        <w:spacing w:line="370" w:lineRule="exact"/>
        <w:ind w:left="0" w:leftChars="0"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未书面退出磋商的供应商必须在规定时间内通过</w:t>
      </w:r>
      <w:r>
        <w:rPr>
          <w:rFonts w:hint="eastAsia" w:ascii="宋体" w:hAnsi="宋体" w:eastAsia="宋体" w:cs="宋体"/>
          <w:bCs/>
          <w:color w:val="auto"/>
          <w:szCs w:val="21"/>
          <w:highlight w:val="none"/>
        </w:rPr>
        <w:t>“广西政府采购云平台”</w:t>
      </w:r>
      <w:r>
        <w:rPr>
          <w:rFonts w:hint="eastAsia" w:ascii="宋体" w:hAnsi="宋体" w:eastAsia="宋体" w:cs="宋体"/>
          <w:color w:val="auto"/>
          <w:kern w:val="0"/>
          <w:szCs w:val="21"/>
          <w:highlight w:val="none"/>
        </w:rPr>
        <w:t>在线提交最后报价；磋商过程中磋商文件未作实质性变动的，</w:t>
      </w:r>
      <w:r>
        <w:rPr>
          <w:rFonts w:hint="eastAsia" w:ascii="宋体" w:hAnsi="宋体" w:eastAsia="宋体" w:cs="宋体"/>
          <w:color w:val="auto"/>
          <w:szCs w:val="21"/>
          <w:highlight w:val="none"/>
        </w:rPr>
        <w:t>最后报价不得大于首次报价</w:t>
      </w:r>
      <w:r>
        <w:rPr>
          <w:rFonts w:hint="eastAsia" w:ascii="宋体" w:hAnsi="宋体" w:eastAsia="宋体" w:cs="宋体"/>
          <w:color w:val="auto"/>
          <w:kern w:val="0"/>
          <w:szCs w:val="21"/>
          <w:highlight w:val="none"/>
        </w:rPr>
        <w:t>。</w:t>
      </w:r>
    </w:p>
    <w:p w14:paraId="63F45790">
      <w:pPr>
        <w:keepNext w:val="0"/>
        <w:keepLines w:val="0"/>
        <w:pageBreakBefore w:val="0"/>
        <w:widowControl/>
        <w:tabs>
          <w:tab w:val="left" w:pos="540"/>
        </w:tabs>
        <w:kinsoku/>
        <w:wordWrap w:val="0"/>
        <w:overflowPunct/>
        <w:topLinePunct w:val="0"/>
        <w:autoSpaceDE/>
        <w:autoSpaceDN/>
        <w:bidi w:val="0"/>
        <w:spacing w:line="370" w:lineRule="exact"/>
        <w:ind w:left="0" w:leftChars="0"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20.9综合比较与评价：</w:t>
      </w:r>
    </w:p>
    <w:p w14:paraId="747753C6">
      <w:pPr>
        <w:keepNext w:val="0"/>
        <w:keepLines w:val="0"/>
        <w:pageBreakBefore w:val="0"/>
        <w:tabs>
          <w:tab w:val="left" w:pos="1140"/>
        </w:tabs>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21.9.1 磋商小组按竞争性磋商文件中规定的评审办法，对资格性审查和符合性审查合格的响应文件进行商务和技术评估，综合比较与评价。</w:t>
      </w:r>
    </w:p>
    <w:p w14:paraId="7A4D87BF">
      <w:pPr>
        <w:keepNext w:val="0"/>
        <w:keepLines w:val="0"/>
        <w:pageBreakBefore w:val="0"/>
        <w:tabs>
          <w:tab w:val="left" w:pos="1140"/>
        </w:tabs>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20.9.2磋商小组成员应当独立对每个供应商的响应文件进行评价，最终汇总每个供应商的得分。各供应商的得分为所有磋商小组的有效评分的算术平均数。</w:t>
      </w:r>
    </w:p>
    <w:p w14:paraId="79AA7CAA">
      <w:pPr>
        <w:keepNext w:val="0"/>
        <w:keepLines w:val="0"/>
        <w:pageBreakBefore w:val="0"/>
        <w:tabs>
          <w:tab w:val="left" w:pos="1140"/>
        </w:tabs>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20.9.3采购代理机构对评审数据进行校对、核对，对畸高、畸低的重大差异评分提示磋商小组复核或书面说明理由。</w:t>
      </w:r>
    </w:p>
    <w:p w14:paraId="1B9542D6">
      <w:pPr>
        <w:keepNext w:val="0"/>
        <w:keepLines w:val="0"/>
        <w:pageBreakBefore w:val="0"/>
        <w:tabs>
          <w:tab w:val="left" w:pos="1140"/>
        </w:tabs>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20.10 在评审过程中出现法律法规和磋商文件均没有明确规定的情形时，由磋商小组现场协商解决，协商不一致的，由全体磋商小组投票表决，以得票率二分之一以上专家的意见为准。</w:t>
      </w:r>
    </w:p>
    <w:p w14:paraId="22288616">
      <w:pPr>
        <w:keepNext w:val="0"/>
        <w:keepLines w:val="0"/>
        <w:pageBreakBefore w:val="0"/>
        <w:tabs>
          <w:tab w:val="left" w:pos="1140"/>
        </w:tabs>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20.11采购代理机构发现磋商小组有明显的违规倾向或歧视现象，或不按评审办法进行，或其他不正常行为的，应当及时制止。如制止无效，应及时向项目所在地的政府采购监督管理机构报告。</w:t>
      </w:r>
    </w:p>
    <w:p w14:paraId="4FA10FFF">
      <w:pPr>
        <w:pStyle w:val="9"/>
        <w:keepNext w:val="0"/>
        <w:keepLines w:val="0"/>
        <w:pageBreakBefore w:val="0"/>
        <w:kinsoku/>
        <w:wordWrap w:val="0"/>
        <w:overflowPunct/>
        <w:topLinePunct w:val="0"/>
        <w:autoSpaceDE/>
        <w:autoSpaceDN/>
        <w:bidi w:val="0"/>
        <w:spacing w:line="370" w:lineRule="exact"/>
        <w:ind w:left="0" w:leftChars="0" w:firstLine="422" w:firstLineChars="200"/>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21.</w:t>
      </w:r>
      <w:r>
        <w:rPr>
          <w:rFonts w:hint="eastAsia" w:ascii="宋体" w:hAnsi="宋体" w:eastAsia="宋体" w:cs="宋体"/>
          <w:b/>
          <w:color w:val="auto"/>
          <w:kern w:val="0"/>
          <w:highlight w:val="none"/>
        </w:rPr>
        <w:t>推荐及确定成交候选供应商原则</w:t>
      </w:r>
    </w:p>
    <w:p w14:paraId="7383E2FA">
      <w:pPr>
        <w:keepNext w:val="0"/>
        <w:keepLines w:val="0"/>
        <w:pageBreakBefore w:val="0"/>
        <w:widowControl/>
        <w:kinsoku/>
        <w:wordWrap w:val="0"/>
        <w:overflowPunct/>
        <w:topLinePunct w:val="0"/>
        <w:autoSpaceDE/>
        <w:autoSpaceDN/>
        <w:bidi w:val="0"/>
        <w:spacing w:line="370" w:lineRule="exact"/>
        <w:ind w:left="0" w:leftChars="0"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磋商小组应当根据综合评分情况，按照综合得分由高到低顺序推荐三名成交候选供应商，并编写评审报告。磋商小组根据综合得分由高到低排列次序，若得分相同时，以最后报价由低到高顺序排列；若仍相同的，依次按</w:t>
      </w:r>
      <w:r>
        <w:rPr>
          <w:rFonts w:hint="eastAsia" w:ascii="宋体" w:hAnsi="宋体" w:eastAsia="宋体" w:cs="宋体"/>
          <w:b w:val="0"/>
          <w:bCs w:val="0"/>
          <w:color w:val="auto"/>
          <w:szCs w:val="21"/>
          <w:highlight w:val="none"/>
        </w:rPr>
        <w:t>技术分、</w:t>
      </w:r>
      <w:r>
        <w:rPr>
          <w:rFonts w:hint="eastAsia" w:ascii="宋体" w:hAnsi="宋体" w:eastAsia="宋体" w:cs="宋体"/>
          <w:b w:val="0"/>
          <w:bCs w:val="0"/>
          <w:color w:val="auto"/>
          <w:kern w:val="0"/>
          <w:szCs w:val="21"/>
          <w:highlight w:val="none"/>
          <w:lang w:eastAsia="zh-CN"/>
        </w:rPr>
        <w:t>项目管理机构分、履约能力分</w:t>
      </w:r>
      <w:r>
        <w:rPr>
          <w:rFonts w:hint="eastAsia" w:ascii="宋体" w:hAnsi="宋体" w:eastAsia="宋体" w:cs="宋体"/>
          <w:color w:val="auto"/>
          <w:kern w:val="0"/>
          <w:szCs w:val="21"/>
          <w:highlight w:val="none"/>
          <w:lang w:eastAsia="zh-CN"/>
        </w:rPr>
        <w:t>由高到低顺序排列并推荐成交候选供应商</w:t>
      </w:r>
      <w:r>
        <w:rPr>
          <w:rFonts w:hint="eastAsia" w:ascii="宋体" w:hAnsi="宋体" w:eastAsia="宋体" w:cs="宋体"/>
          <w:color w:val="auto"/>
          <w:kern w:val="0"/>
          <w:szCs w:val="21"/>
          <w:highlight w:val="none"/>
        </w:rPr>
        <w:t>。</w:t>
      </w:r>
    </w:p>
    <w:p w14:paraId="0CAFDF2E">
      <w:pPr>
        <w:keepNext w:val="0"/>
        <w:keepLines w:val="0"/>
        <w:pageBreakBefore w:val="0"/>
        <w:widowControl/>
        <w:kinsoku/>
        <w:wordWrap w:val="0"/>
        <w:overflowPunct/>
        <w:topLinePunct w:val="0"/>
        <w:autoSpaceDE/>
        <w:autoSpaceDN/>
        <w:bidi w:val="0"/>
        <w:spacing w:line="370" w:lineRule="exact"/>
        <w:ind w:left="0" w:leftChars="0"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（2）采购人应当确定磋商小组推荐排名第一的成交候选供应商为成交供应商。</w:t>
      </w:r>
    </w:p>
    <w:p w14:paraId="7E76E28E">
      <w:pPr>
        <w:keepNext w:val="0"/>
        <w:keepLines w:val="0"/>
        <w:pageBreakBefore w:val="0"/>
        <w:widowControl/>
        <w:kinsoku/>
        <w:wordWrap w:val="0"/>
        <w:overflowPunct/>
        <w:topLinePunct w:val="0"/>
        <w:autoSpaceDE/>
        <w:autoSpaceDN/>
        <w:bidi w:val="0"/>
        <w:spacing w:line="370" w:lineRule="exact"/>
        <w:ind w:left="0" w:leftChars="0"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（3）排名第一的成交候选供应商放弃成交、因不可抗力提出不能履行合同，采购人可以按照评审报告推荐的成交候选供应商名单排序，确定下一候选供应商为成交供应商，也可以重新开展政府采购活动。</w:t>
      </w:r>
    </w:p>
    <w:p w14:paraId="66450BEB">
      <w:pPr>
        <w:keepNext w:val="0"/>
        <w:keepLines w:val="0"/>
        <w:pageBreakBefore w:val="0"/>
        <w:widowControl/>
        <w:kinsoku/>
        <w:wordWrap w:val="0"/>
        <w:overflowPunct/>
        <w:topLinePunct w:val="0"/>
        <w:autoSpaceDE/>
        <w:autoSpaceDN/>
        <w:bidi w:val="0"/>
        <w:spacing w:line="370" w:lineRule="exact"/>
        <w:ind w:left="0" w:leftChars="0"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磋商小组认为，某供应商的响应报价或者某些分项报价明显不合理或者低于成本，有可能影响质量和不能诚信履约的，应要求其在规定的期限内提供书面文件予以解释说明，并提交相关证明材料，否则，磋商小组可以取消该供应商的成交候选资格，按顺序由排在其后面的供应商递补，以此类推。</w:t>
      </w:r>
    </w:p>
    <w:p w14:paraId="76A3C338">
      <w:pPr>
        <w:keepNext w:val="0"/>
        <w:keepLines w:val="0"/>
        <w:pageBreakBefore w:val="0"/>
        <w:widowControl/>
        <w:kinsoku/>
        <w:wordWrap w:val="0"/>
        <w:overflowPunct/>
        <w:topLinePunct w:val="0"/>
        <w:autoSpaceDE/>
        <w:autoSpaceDN/>
        <w:bidi w:val="0"/>
        <w:spacing w:line="370" w:lineRule="exact"/>
        <w:ind w:left="0" w:leftChars="0" w:firstLine="422" w:firstLineChars="200"/>
        <w:jc w:val="left"/>
        <w:textAlignment w:val="auto"/>
        <w:rPr>
          <w:rFonts w:hint="eastAsia" w:ascii="宋体" w:hAnsi="宋体" w:eastAsia="宋体" w:cs="宋体"/>
          <w:b/>
          <w:color w:val="auto"/>
          <w:kern w:val="0"/>
          <w:szCs w:val="21"/>
          <w:highlight w:val="none"/>
        </w:rPr>
      </w:pPr>
      <w:r>
        <w:rPr>
          <w:rFonts w:hint="eastAsia" w:ascii="宋体" w:hAnsi="宋体" w:eastAsia="宋体" w:cs="宋体"/>
          <w:b/>
          <w:bCs/>
          <w:color w:val="auto"/>
          <w:kern w:val="0"/>
          <w:szCs w:val="21"/>
          <w:highlight w:val="none"/>
        </w:rPr>
        <w:t>22.</w:t>
      </w:r>
      <w:r>
        <w:rPr>
          <w:rFonts w:hint="eastAsia" w:ascii="宋体" w:hAnsi="宋体" w:eastAsia="宋体" w:cs="宋体"/>
          <w:b/>
          <w:color w:val="auto"/>
          <w:kern w:val="0"/>
          <w:szCs w:val="21"/>
          <w:highlight w:val="none"/>
        </w:rPr>
        <w:t>属于下列情况之一者，响应文件无效：</w:t>
      </w:r>
    </w:p>
    <w:p w14:paraId="1759CE32">
      <w:pPr>
        <w:keepNext w:val="0"/>
        <w:keepLines w:val="0"/>
        <w:pageBreakBefore w:val="0"/>
        <w:kinsoku/>
        <w:wordWrap w:val="0"/>
        <w:overflowPunct/>
        <w:topLinePunct w:val="0"/>
        <w:autoSpaceDE/>
        <w:autoSpaceDN/>
        <w:bidi w:val="0"/>
        <w:snapToGrid w:val="0"/>
        <w:spacing w:line="370" w:lineRule="exact"/>
        <w:ind w:left="0" w:leftChars="0" w:firstLine="420" w:firstLineChars="200"/>
        <w:textAlignment w:val="auto"/>
        <w:outlineLvl w:val="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（1）未按磋商文件规定完整提交响应文件或未按规定要求签字、签章的，或未提供授权委托书（委托代理的）；</w:t>
      </w:r>
    </w:p>
    <w:p w14:paraId="590A4461">
      <w:pPr>
        <w:keepNext w:val="0"/>
        <w:keepLines w:val="0"/>
        <w:pageBreakBefore w:val="0"/>
        <w:kinsoku/>
        <w:wordWrap w:val="0"/>
        <w:overflowPunct/>
        <w:topLinePunct w:val="0"/>
        <w:autoSpaceDE/>
        <w:autoSpaceDN/>
        <w:bidi w:val="0"/>
        <w:snapToGrid w:val="0"/>
        <w:spacing w:line="370" w:lineRule="exact"/>
        <w:ind w:left="0" w:leftChars="0" w:firstLine="420" w:firstLineChars="200"/>
        <w:textAlignment w:val="auto"/>
        <w:outlineLvl w:val="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（2）超越了行政审批的经营范围的；</w:t>
      </w:r>
    </w:p>
    <w:p w14:paraId="6553AF6D">
      <w:pPr>
        <w:keepNext w:val="0"/>
        <w:keepLines w:val="0"/>
        <w:pageBreakBefore w:val="0"/>
        <w:kinsoku/>
        <w:wordWrap w:val="0"/>
        <w:overflowPunct/>
        <w:topLinePunct w:val="0"/>
        <w:autoSpaceDE/>
        <w:autoSpaceDN/>
        <w:bidi w:val="0"/>
        <w:snapToGrid w:val="0"/>
        <w:spacing w:line="370" w:lineRule="exact"/>
        <w:ind w:left="0" w:leftChars="0" w:firstLine="420" w:firstLineChars="200"/>
        <w:textAlignment w:val="auto"/>
        <w:outlineLvl w:val="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（3）不具备磋商文件规定的资格要求的</w:t>
      </w:r>
      <w:r>
        <w:rPr>
          <w:rFonts w:hint="eastAsia" w:ascii="宋体" w:hAnsi="宋体" w:eastAsia="宋体" w:cs="宋体"/>
          <w:color w:val="auto"/>
          <w:kern w:val="0"/>
          <w:highlight w:val="none"/>
        </w:rPr>
        <w:t>；</w:t>
      </w:r>
    </w:p>
    <w:p w14:paraId="05A826D6">
      <w:pPr>
        <w:keepNext w:val="0"/>
        <w:keepLines w:val="0"/>
        <w:pageBreakBefore w:val="0"/>
        <w:kinsoku/>
        <w:wordWrap w:val="0"/>
        <w:overflowPunct/>
        <w:topLinePunct w:val="0"/>
        <w:autoSpaceDE/>
        <w:autoSpaceDN/>
        <w:bidi w:val="0"/>
        <w:snapToGrid w:val="0"/>
        <w:spacing w:line="370" w:lineRule="exact"/>
        <w:ind w:left="0" w:leftChars="0" w:firstLine="420" w:firstLineChars="200"/>
        <w:textAlignment w:val="auto"/>
        <w:outlineLvl w:val="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（4）响应文件未按磋商文件的内容和要求编制，或提供虚假材料的；</w:t>
      </w:r>
    </w:p>
    <w:p w14:paraId="4E0C191F">
      <w:pPr>
        <w:keepNext w:val="0"/>
        <w:keepLines w:val="0"/>
        <w:pageBreakBefore w:val="0"/>
        <w:kinsoku/>
        <w:wordWrap w:val="0"/>
        <w:overflowPunct/>
        <w:topLinePunct w:val="0"/>
        <w:autoSpaceDE/>
        <w:autoSpaceDN/>
        <w:bidi w:val="0"/>
        <w:snapToGrid w:val="0"/>
        <w:spacing w:line="370" w:lineRule="exact"/>
        <w:ind w:left="0" w:leftChars="0" w:firstLine="420" w:firstLineChars="200"/>
        <w:textAlignment w:val="auto"/>
        <w:outlineLvl w:val="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（5）响应文件</w:t>
      </w:r>
      <w:r>
        <w:rPr>
          <w:rFonts w:hint="eastAsia" w:ascii="宋体" w:hAnsi="宋体" w:cs="宋体"/>
          <w:color w:val="auto"/>
          <w:kern w:val="0"/>
          <w:szCs w:val="21"/>
          <w:highlight w:val="none"/>
          <w:lang w:eastAsia="zh-CN"/>
        </w:rPr>
        <w:t>有效期、质量要求、工期要求</w:t>
      </w:r>
      <w:r>
        <w:rPr>
          <w:rFonts w:hint="eastAsia" w:ascii="宋体" w:hAnsi="宋体" w:eastAsia="宋体" w:cs="宋体"/>
          <w:color w:val="auto"/>
          <w:kern w:val="0"/>
          <w:szCs w:val="21"/>
          <w:highlight w:val="none"/>
        </w:rPr>
        <w:t>不能满足磋商文件要求的；</w:t>
      </w:r>
    </w:p>
    <w:p w14:paraId="4A66C59B">
      <w:pPr>
        <w:keepNext w:val="0"/>
        <w:keepLines w:val="0"/>
        <w:pageBreakBefore w:val="0"/>
        <w:kinsoku/>
        <w:wordWrap w:val="0"/>
        <w:overflowPunct/>
        <w:topLinePunct w:val="0"/>
        <w:autoSpaceDE/>
        <w:autoSpaceDN/>
        <w:bidi w:val="0"/>
        <w:snapToGrid w:val="0"/>
        <w:spacing w:line="370" w:lineRule="exact"/>
        <w:ind w:left="0" w:leftChars="0" w:firstLine="420" w:firstLineChars="200"/>
        <w:textAlignment w:val="auto"/>
        <w:outlineLvl w:val="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r>
        <w:rPr>
          <w:rFonts w:hint="eastAsia" w:ascii="宋体" w:hAnsi="宋体" w:eastAsia="宋体" w:cs="宋体"/>
          <w:color w:val="auto"/>
          <w:kern w:val="0"/>
          <w:highlight w:val="none"/>
        </w:rPr>
        <w:t>供应商</w:t>
      </w:r>
      <w:r>
        <w:rPr>
          <w:rFonts w:hint="eastAsia" w:ascii="宋体" w:hAnsi="宋体" w:eastAsia="宋体" w:cs="宋体"/>
          <w:color w:val="auto"/>
          <w:kern w:val="0"/>
          <w:szCs w:val="21"/>
          <w:highlight w:val="none"/>
        </w:rPr>
        <w:t>未就“</w:t>
      </w:r>
      <w:r>
        <w:rPr>
          <w:rFonts w:hint="eastAsia" w:ascii="宋体" w:hAnsi="宋体" w:cs="宋体"/>
          <w:color w:val="auto"/>
          <w:kern w:val="0"/>
          <w:szCs w:val="21"/>
          <w:highlight w:val="none"/>
          <w:lang w:eastAsia="zh-CN"/>
        </w:rPr>
        <w:t>工程量清单</w:t>
      </w:r>
      <w:r>
        <w:rPr>
          <w:rFonts w:hint="eastAsia" w:ascii="宋体" w:hAnsi="宋体" w:eastAsia="宋体" w:cs="宋体"/>
          <w:color w:val="auto"/>
          <w:kern w:val="0"/>
          <w:szCs w:val="21"/>
          <w:highlight w:val="none"/>
        </w:rPr>
        <w:t>”中的所有</w:t>
      </w:r>
      <w:r>
        <w:rPr>
          <w:rFonts w:hint="eastAsia" w:ascii="宋体" w:hAnsi="宋体" w:cs="宋体"/>
          <w:color w:val="auto"/>
          <w:kern w:val="0"/>
          <w:szCs w:val="21"/>
          <w:highlight w:val="none"/>
          <w:lang w:val="en-US" w:eastAsia="zh-CN"/>
        </w:rPr>
        <w:t>工程</w:t>
      </w:r>
      <w:r>
        <w:rPr>
          <w:rFonts w:hint="eastAsia" w:ascii="宋体" w:hAnsi="宋体" w:eastAsia="宋体" w:cs="宋体"/>
          <w:color w:val="auto"/>
          <w:kern w:val="0"/>
          <w:szCs w:val="21"/>
          <w:highlight w:val="none"/>
        </w:rPr>
        <w:t>内容作完整唯一报价的</w:t>
      </w:r>
      <w:r>
        <w:rPr>
          <w:rFonts w:hint="eastAsia" w:ascii="宋体" w:hAnsi="宋体" w:eastAsia="宋体" w:cs="宋体"/>
          <w:color w:val="auto"/>
          <w:kern w:val="0"/>
          <w:highlight w:val="none"/>
        </w:rPr>
        <w:t>；</w:t>
      </w:r>
    </w:p>
    <w:p w14:paraId="66B537CF">
      <w:pPr>
        <w:keepNext w:val="0"/>
        <w:keepLines w:val="0"/>
        <w:pageBreakBefore w:val="0"/>
        <w:kinsoku/>
        <w:wordWrap w:val="0"/>
        <w:overflowPunct/>
        <w:topLinePunct w:val="0"/>
        <w:autoSpaceDE/>
        <w:autoSpaceDN/>
        <w:bidi w:val="0"/>
        <w:snapToGrid w:val="0"/>
        <w:spacing w:line="370" w:lineRule="exact"/>
        <w:ind w:left="0" w:leftChars="0" w:firstLine="420" w:firstLineChars="200"/>
        <w:textAlignment w:val="auto"/>
        <w:outlineLvl w:val="4"/>
        <w:rPr>
          <w:rFonts w:hint="eastAsia" w:ascii="宋体" w:hAnsi="宋体" w:eastAsia="宋体" w:cs="宋体"/>
          <w:color w:val="auto"/>
          <w:kern w:val="0"/>
          <w:highlight w:val="none"/>
        </w:rPr>
      </w:pPr>
      <w:r>
        <w:rPr>
          <w:rFonts w:hint="eastAsia" w:ascii="宋体" w:hAnsi="宋体" w:eastAsia="宋体" w:cs="宋体"/>
          <w:color w:val="auto"/>
          <w:kern w:val="0"/>
          <w:highlight w:val="none"/>
        </w:rPr>
        <w:t>（7）</w:t>
      </w:r>
      <w:r>
        <w:rPr>
          <w:rFonts w:hint="eastAsia" w:ascii="宋体" w:hAnsi="宋体" w:eastAsia="宋体" w:cs="宋体"/>
          <w:color w:val="auto"/>
          <w:kern w:val="0"/>
          <w:szCs w:val="21"/>
          <w:highlight w:val="none"/>
        </w:rPr>
        <w:t>未在磋商小组规定的时间内重新提交响应文件的；</w:t>
      </w:r>
    </w:p>
    <w:p w14:paraId="5567993C">
      <w:pPr>
        <w:keepNext w:val="0"/>
        <w:keepLines w:val="0"/>
        <w:pageBreakBefore w:val="0"/>
        <w:kinsoku/>
        <w:wordWrap w:val="0"/>
        <w:overflowPunct/>
        <w:topLinePunct w:val="0"/>
        <w:autoSpaceDE/>
        <w:autoSpaceDN/>
        <w:bidi w:val="0"/>
        <w:snapToGrid w:val="0"/>
        <w:spacing w:line="370" w:lineRule="exact"/>
        <w:ind w:left="0" w:leftChars="0" w:firstLine="420" w:firstLineChars="200"/>
        <w:textAlignment w:val="auto"/>
        <w:outlineLvl w:val="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（8）未满足磋商文件实质性要求的；或者响应文件有采购人不能接受的附加条件的；</w:t>
      </w:r>
    </w:p>
    <w:p w14:paraId="6B639BB3">
      <w:pPr>
        <w:pStyle w:val="9"/>
        <w:keepNext w:val="0"/>
        <w:keepLines w:val="0"/>
        <w:pageBreakBefore w:val="0"/>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highlight w:val="none"/>
        </w:rPr>
        <w:t>（9）</w:t>
      </w:r>
      <w:r>
        <w:rPr>
          <w:rFonts w:hint="eastAsia" w:ascii="宋体" w:hAnsi="宋体" w:eastAsia="宋体" w:cs="宋体"/>
          <w:color w:val="auto"/>
          <w:kern w:val="0"/>
          <w:szCs w:val="21"/>
          <w:highlight w:val="none"/>
        </w:rPr>
        <w:t>不符合法律、法规和磋商文件规定的其他实质性要求和条件的。</w:t>
      </w:r>
    </w:p>
    <w:p w14:paraId="1A0A966D">
      <w:pPr>
        <w:keepNext w:val="0"/>
        <w:keepLines w:val="0"/>
        <w:pageBreakBefore w:val="0"/>
        <w:kinsoku/>
        <w:wordWrap w:val="0"/>
        <w:overflowPunct/>
        <w:topLinePunct w:val="0"/>
        <w:autoSpaceDE/>
        <w:autoSpaceDN/>
        <w:bidi w:val="0"/>
        <w:snapToGrid w:val="0"/>
        <w:spacing w:line="370" w:lineRule="exact"/>
        <w:ind w:left="0" w:leftChars="0" w:firstLine="422" w:firstLineChars="200"/>
        <w:textAlignment w:val="auto"/>
        <w:outlineLvl w:val="4"/>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供应商有下列情形之一的，视为串通参与磋商，响应文件将被视为无效：</w:t>
      </w:r>
    </w:p>
    <w:p w14:paraId="390A0872">
      <w:pPr>
        <w:keepNext w:val="0"/>
        <w:keepLines w:val="0"/>
        <w:pageBreakBefore w:val="0"/>
        <w:kinsoku/>
        <w:wordWrap w:val="0"/>
        <w:overflowPunct/>
        <w:topLinePunct w:val="0"/>
        <w:autoSpaceDE/>
        <w:autoSpaceDN/>
        <w:bidi w:val="0"/>
        <w:snapToGrid w:val="0"/>
        <w:spacing w:line="370" w:lineRule="exact"/>
        <w:ind w:left="0" w:leftChars="0" w:firstLine="420" w:firstLineChars="200"/>
        <w:textAlignment w:val="auto"/>
        <w:outlineLvl w:val="4"/>
        <w:rPr>
          <w:rFonts w:hint="eastAsia" w:ascii="宋体" w:hAnsi="宋体" w:eastAsia="宋体" w:cs="宋体"/>
          <w:color w:val="auto"/>
          <w:kern w:val="0"/>
          <w:highlight w:val="none"/>
        </w:rPr>
      </w:pPr>
      <w:r>
        <w:rPr>
          <w:rFonts w:hint="eastAsia" w:ascii="宋体" w:hAnsi="宋体" w:eastAsia="宋体" w:cs="宋体"/>
          <w:color w:val="auto"/>
          <w:kern w:val="0"/>
          <w:highlight w:val="none"/>
        </w:rPr>
        <w:t>（1）不同供应商的响应文件由同一单位或者个人编制的；</w:t>
      </w:r>
    </w:p>
    <w:p w14:paraId="198D3684">
      <w:pPr>
        <w:keepNext w:val="0"/>
        <w:keepLines w:val="0"/>
        <w:pageBreakBefore w:val="0"/>
        <w:kinsoku/>
        <w:wordWrap w:val="0"/>
        <w:overflowPunct/>
        <w:topLinePunct w:val="0"/>
        <w:autoSpaceDE/>
        <w:autoSpaceDN/>
        <w:bidi w:val="0"/>
        <w:snapToGrid w:val="0"/>
        <w:spacing w:line="370" w:lineRule="exact"/>
        <w:ind w:left="0" w:leftChars="0" w:firstLine="420" w:firstLineChars="200"/>
        <w:textAlignment w:val="auto"/>
        <w:outlineLvl w:val="4"/>
        <w:rPr>
          <w:rFonts w:hint="eastAsia" w:ascii="宋体" w:hAnsi="宋体" w:eastAsia="宋体" w:cs="宋体"/>
          <w:color w:val="auto"/>
          <w:kern w:val="0"/>
          <w:highlight w:val="none"/>
        </w:rPr>
      </w:pPr>
      <w:r>
        <w:rPr>
          <w:rFonts w:hint="eastAsia" w:ascii="宋体" w:hAnsi="宋体" w:eastAsia="宋体" w:cs="宋体"/>
          <w:color w:val="auto"/>
          <w:kern w:val="0"/>
          <w:highlight w:val="none"/>
        </w:rPr>
        <w:t>（2）不同供应商委托同一单位或者个人办理磋商事宜的；</w:t>
      </w:r>
    </w:p>
    <w:p w14:paraId="7BFBD30C">
      <w:pPr>
        <w:keepNext w:val="0"/>
        <w:keepLines w:val="0"/>
        <w:pageBreakBefore w:val="0"/>
        <w:kinsoku/>
        <w:wordWrap w:val="0"/>
        <w:overflowPunct/>
        <w:topLinePunct w:val="0"/>
        <w:autoSpaceDE/>
        <w:autoSpaceDN/>
        <w:bidi w:val="0"/>
        <w:snapToGrid w:val="0"/>
        <w:spacing w:line="370" w:lineRule="exact"/>
        <w:ind w:left="0" w:leftChars="0" w:firstLine="420" w:firstLineChars="200"/>
        <w:textAlignment w:val="auto"/>
        <w:outlineLvl w:val="4"/>
        <w:rPr>
          <w:rFonts w:hint="eastAsia" w:ascii="宋体" w:hAnsi="宋体" w:eastAsia="宋体" w:cs="宋体"/>
          <w:color w:val="auto"/>
          <w:kern w:val="0"/>
          <w:highlight w:val="none"/>
        </w:rPr>
      </w:pPr>
      <w:r>
        <w:rPr>
          <w:rFonts w:hint="eastAsia" w:ascii="宋体" w:hAnsi="宋体" w:eastAsia="宋体" w:cs="宋体"/>
          <w:color w:val="auto"/>
          <w:kern w:val="0"/>
          <w:highlight w:val="none"/>
        </w:rPr>
        <w:t>（3）不同的供应商的响应文件载明的项目管理员为同一个人的；</w:t>
      </w:r>
    </w:p>
    <w:p w14:paraId="5AEDEA18">
      <w:pPr>
        <w:keepNext w:val="0"/>
        <w:keepLines w:val="0"/>
        <w:pageBreakBefore w:val="0"/>
        <w:kinsoku/>
        <w:wordWrap w:val="0"/>
        <w:overflowPunct/>
        <w:topLinePunct w:val="0"/>
        <w:autoSpaceDE/>
        <w:autoSpaceDN/>
        <w:bidi w:val="0"/>
        <w:snapToGrid w:val="0"/>
        <w:spacing w:line="370" w:lineRule="exact"/>
        <w:ind w:left="0" w:leftChars="0" w:firstLine="420" w:firstLineChars="200"/>
        <w:textAlignment w:val="auto"/>
        <w:outlineLvl w:val="4"/>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（4）不同供应商的响应文件异常一致或最后报价呈规律性差异的； </w:t>
      </w:r>
    </w:p>
    <w:p w14:paraId="412AB49B">
      <w:pPr>
        <w:keepNext w:val="0"/>
        <w:keepLines w:val="0"/>
        <w:pageBreakBefore w:val="0"/>
        <w:kinsoku/>
        <w:wordWrap w:val="0"/>
        <w:overflowPunct/>
        <w:topLinePunct w:val="0"/>
        <w:autoSpaceDE/>
        <w:autoSpaceDN/>
        <w:bidi w:val="0"/>
        <w:snapToGrid w:val="0"/>
        <w:spacing w:line="370" w:lineRule="exact"/>
        <w:ind w:left="0" w:leftChars="0" w:firstLine="420" w:firstLineChars="200"/>
        <w:textAlignment w:val="auto"/>
        <w:outlineLvl w:val="4"/>
        <w:rPr>
          <w:rFonts w:hint="eastAsia" w:ascii="宋体" w:hAnsi="宋体" w:eastAsia="宋体" w:cs="宋体"/>
          <w:color w:val="auto"/>
          <w:kern w:val="0"/>
          <w:highlight w:val="none"/>
        </w:rPr>
      </w:pPr>
      <w:r>
        <w:rPr>
          <w:rFonts w:hint="eastAsia" w:ascii="宋体" w:hAnsi="宋体" w:eastAsia="宋体" w:cs="宋体"/>
          <w:color w:val="auto"/>
          <w:kern w:val="0"/>
          <w:highlight w:val="none"/>
        </w:rPr>
        <w:t>（5）不同供应商的响应文件相互混装的；</w:t>
      </w:r>
    </w:p>
    <w:p w14:paraId="6F698EF4">
      <w:pPr>
        <w:keepNext w:val="0"/>
        <w:keepLines w:val="0"/>
        <w:pageBreakBefore w:val="0"/>
        <w:kinsoku/>
        <w:wordWrap w:val="0"/>
        <w:overflowPunct/>
        <w:topLinePunct w:val="0"/>
        <w:autoSpaceDE/>
        <w:autoSpaceDN/>
        <w:bidi w:val="0"/>
        <w:snapToGrid w:val="0"/>
        <w:spacing w:line="370" w:lineRule="exact"/>
        <w:ind w:left="0" w:leftChars="0" w:firstLine="420" w:firstLineChars="200"/>
        <w:textAlignment w:val="auto"/>
        <w:outlineLvl w:val="4"/>
        <w:rPr>
          <w:rFonts w:hint="eastAsia" w:ascii="宋体" w:hAnsi="宋体" w:eastAsia="宋体" w:cs="宋体"/>
          <w:b/>
          <w:color w:val="auto"/>
          <w:kern w:val="0"/>
          <w:sz w:val="24"/>
          <w:highlight w:val="none"/>
        </w:rPr>
      </w:pPr>
      <w:r>
        <w:rPr>
          <w:rFonts w:hint="eastAsia" w:ascii="宋体" w:hAnsi="宋体" w:eastAsia="宋体" w:cs="宋体"/>
          <w:color w:val="auto"/>
          <w:kern w:val="0"/>
          <w:highlight w:val="none"/>
        </w:rPr>
        <w:t>（6）磋商文件未作实质性变动，供应商最后报价高于首次报价的</w:t>
      </w:r>
      <w:r>
        <w:rPr>
          <w:rFonts w:hint="eastAsia" w:ascii="宋体" w:hAnsi="宋体" w:eastAsia="宋体" w:cs="宋体"/>
          <w:b/>
          <w:color w:val="auto"/>
          <w:kern w:val="0"/>
          <w:sz w:val="24"/>
          <w:highlight w:val="none"/>
        </w:rPr>
        <w:t>。</w:t>
      </w:r>
    </w:p>
    <w:p w14:paraId="5EDEDE41">
      <w:pPr>
        <w:keepNext w:val="0"/>
        <w:keepLines w:val="0"/>
        <w:pageBreakBefore w:val="0"/>
        <w:kinsoku/>
        <w:wordWrap w:val="0"/>
        <w:overflowPunct/>
        <w:topLinePunct w:val="0"/>
        <w:autoSpaceDE/>
        <w:autoSpaceDN/>
        <w:bidi w:val="0"/>
        <w:snapToGrid w:val="0"/>
        <w:spacing w:line="370" w:lineRule="exact"/>
        <w:ind w:left="0" w:leftChars="0" w:firstLine="422" w:firstLineChars="200"/>
        <w:textAlignment w:val="auto"/>
        <w:outlineLvl w:val="4"/>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23.出现下列情形之一的，采购人或者采购代理机构应当终止竞争性磋商采购活动，发布项目终止公告并说明原因，重新开展采购活动：</w:t>
      </w:r>
    </w:p>
    <w:p w14:paraId="23760DC2">
      <w:pPr>
        <w:keepNext w:val="0"/>
        <w:keepLines w:val="0"/>
        <w:pageBreakBefore w:val="0"/>
        <w:kinsoku/>
        <w:wordWrap w:val="0"/>
        <w:overflowPunct/>
        <w:topLinePunct w:val="0"/>
        <w:autoSpaceDE/>
        <w:autoSpaceDN/>
        <w:bidi w:val="0"/>
        <w:snapToGrid w:val="0"/>
        <w:spacing w:line="370" w:lineRule="exact"/>
        <w:ind w:left="0" w:leftChars="0" w:firstLine="420" w:firstLineChars="200"/>
        <w:textAlignment w:val="auto"/>
        <w:outlineLvl w:val="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（1）因情况变化，不再符合规定的竞争性磋商采购方式适用情形的；</w:t>
      </w:r>
    </w:p>
    <w:p w14:paraId="24058E7C">
      <w:pPr>
        <w:keepNext w:val="0"/>
        <w:keepLines w:val="0"/>
        <w:pageBreakBefore w:val="0"/>
        <w:kinsoku/>
        <w:wordWrap w:val="0"/>
        <w:overflowPunct/>
        <w:topLinePunct w:val="0"/>
        <w:autoSpaceDE/>
        <w:autoSpaceDN/>
        <w:bidi w:val="0"/>
        <w:snapToGrid w:val="0"/>
        <w:spacing w:line="370" w:lineRule="exact"/>
        <w:ind w:left="0" w:leftChars="0" w:firstLine="420" w:firstLineChars="200"/>
        <w:textAlignment w:val="auto"/>
        <w:outlineLvl w:val="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（2）出现影响采购公正的违法、违规行为的；</w:t>
      </w:r>
    </w:p>
    <w:p w14:paraId="3B2D0E2E">
      <w:pPr>
        <w:keepNext w:val="0"/>
        <w:keepLines w:val="0"/>
        <w:pageBreakBefore w:val="0"/>
        <w:widowControl/>
        <w:kinsoku/>
        <w:wordWrap w:val="0"/>
        <w:overflowPunct/>
        <w:topLinePunct w:val="0"/>
        <w:autoSpaceDE/>
        <w:autoSpaceDN/>
        <w:bidi w:val="0"/>
        <w:spacing w:line="370" w:lineRule="exact"/>
        <w:ind w:left="0" w:leftChars="0"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（3）除本须知第20.7.2条及法律法规规定的情形外，在采购过程中符合要求的供应商或者报价未超过采购预算的供应商不足3家的。</w:t>
      </w:r>
    </w:p>
    <w:p w14:paraId="38144E43">
      <w:pPr>
        <w:keepNext w:val="0"/>
        <w:keepLines w:val="0"/>
        <w:pageBreakBefore w:val="0"/>
        <w:kinsoku/>
        <w:wordWrap w:val="0"/>
        <w:overflowPunct/>
        <w:topLinePunct w:val="0"/>
        <w:autoSpaceDE/>
        <w:autoSpaceDN/>
        <w:bidi w:val="0"/>
        <w:snapToGrid w:val="0"/>
        <w:spacing w:line="370" w:lineRule="exact"/>
        <w:ind w:left="0" w:leftChars="0" w:firstLine="420" w:firstLineChars="200"/>
        <w:textAlignment w:val="auto"/>
        <w:outlineLvl w:val="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24.在采购活动中因重大变故，采购任务取消的，采购人或者采购代理机构应当终止采购活动，通知所有参加采购活动的供应商，并将项目实施情况和采购任务取消原因报送本级财政部门。</w:t>
      </w:r>
    </w:p>
    <w:p w14:paraId="2CED56B5">
      <w:pPr>
        <w:keepNext w:val="0"/>
        <w:keepLines w:val="0"/>
        <w:pageBreakBefore w:val="0"/>
        <w:kinsoku/>
        <w:wordWrap w:val="0"/>
        <w:overflowPunct/>
        <w:topLinePunct w:val="0"/>
        <w:autoSpaceDE/>
        <w:autoSpaceDN/>
        <w:bidi w:val="0"/>
        <w:snapToGrid w:val="0"/>
        <w:spacing w:line="370" w:lineRule="exact"/>
        <w:ind w:left="0" w:leftChars="0" w:firstLine="422" w:firstLineChars="200"/>
        <w:textAlignment w:val="auto"/>
        <w:outlineLvl w:val="4"/>
        <w:rPr>
          <w:rFonts w:hint="eastAsia" w:ascii="宋体" w:hAnsi="宋体" w:eastAsia="宋体" w:cs="宋体"/>
          <w:b/>
          <w:color w:val="auto"/>
          <w:kern w:val="0"/>
          <w:highlight w:val="none"/>
        </w:rPr>
      </w:pPr>
      <w:r>
        <w:rPr>
          <w:rFonts w:hint="eastAsia" w:ascii="宋体" w:hAnsi="宋体" w:eastAsia="宋体" w:cs="宋体"/>
          <w:b/>
          <w:color w:val="auto"/>
          <w:kern w:val="0"/>
          <w:highlight w:val="none"/>
        </w:rPr>
        <w:t>25.磋商过程的监控</w:t>
      </w:r>
    </w:p>
    <w:p w14:paraId="0D47EEC3">
      <w:pPr>
        <w:pStyle w:val="9"/>
        <w:keepNext w:val="0"/>
        <w:keepLines w:val="0"/>
        <w:pageBreakBefore w:val="0"/>
        <w:kinsoku/>
        <w:wordWrap w:val="0"/>
        <w:overflowPunct/>
        <w:topLinePunct w:val="0"/>
        <w:autoSpaceDE/>
        <w:autoSpaceDN/>
        <w:bidi w:val="0"/>
        <w:spacing w:line="370" w:lineRule="exact"/>
        <w:ind w:left="0" w:leftChars="0" w:firstLine="420" w:firstLineChars="20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本项目磋商过程实行全程录音、录像监控，供应商在磋商过程中所进行的试图影响磋商结果的不公正活动，可能导致其</w:t>
      </w:r>
      <w:r>
        <w:rPr>
          <w:rFonts w:hint="eastAsia" w:ascii="宋体" w:hAnsi="宋体" w:eastAsia="宋体" w:cs="宋体"/>
          <w:color w:val="auto"/>
          <w:kern w:val="0"/>
          <w:szCs w:val="21"/>
          <w:highlight w:val="none"/>
        </w:rPr>
        <w:t>响应</w:t>
      </w:r>
      <w:r>
        <w:rPr>
          <w:rFonts w:hint="eastAsia" w:ascii="宋体" w:hAnsi="宋体" w:eastAsia="宋体" w:cs="宋体"/>
          <w:color w:val="auto"/>
          <w:kern w:val="0"/>
          <w:highlight w:val="none"/>
        </w:rPr>
        <w:t>被拒绝。</w:t>
      </w:r>
    </w:p>
    <w:p w14:paraId="46C261D0">
      <w:pPr>
        <w:keepNext w:val="0"/>
        <w:keepLines w:val="0"/>
        <w:pageBreakBefore w:val="0"/>
        <w:kinsoku/>
        <w:wordWrap w:val="0"/>
        <w:overflowPunct/>
        <w:topLinePunct w:val="0"/>
        <w:autoSpaceDE/>
        <w:autoSpaceDN/>
        <w:bidi w:val="0"/>
        <w:snapToGrid w:val="0"/>
        <w:spacing w:line="370" w:lineRule="exact"/>
        <w:ind w:left="0" w:leftChars="0" w:firstLine="422" w:firstLineChars="200"/>
        <w:textAlignment w:val="auto"/>
        <w:outlineLvl w:val="4"/>
        <w:rPr>
          <w:rFonts w:hint="eastAsia" w:ascii="宋体" w:hAnsi="宋体" w:eastAsia="宋体" w:cs="宋体"/>
          <w:b/>
          <w:color w:val="auto"/>
          <w:kern w:val="0"/>
          <w:highlight w:val="none"/>
        </w:rPr>
      </w:pPr>
      <w:r>
        <w:rPr>
          <w:rFonts w:hint="eastAsia" w:ascii="宋体" w:hAnsi="宋体" w:eastAsia="宋体" w:cs="宋体"/>
          <w:b/>
          <w:color w:val="auto"/>
          <w:kern w:val="0"/>
          <w:highlight w:val="none"/>
        </w:rPr>
        <w:t xml:space="preserve">26. 信用查询 </w:t>
      </w:r>
    </w:p>
    <w:p w14:paraId="4201AAAA">
      <w:pPr>
        <w:keepNext w:val="0"/>
        <w:keepLines w:val="0"/>
        <w:pageBreakBefore w:val="0"/>
        <w:kinsoku/>
        <w:wordWrap w:val="0"/>
        <w:overflowPunct/>
        <w:topLinePunct w:val="0"/>
        <w:autoSpaceDE/>
        <w:autoSpaceDN/>
        <w:bidi w:val="0"/>
        <w:snapToGrid w:val="0"/>
        <w:spacing w:line="370" w:lineRule="exact"/>
        <w:ind w:left="0" w:leftChars="0" w:firstLine="420" w:firstLineChars="200"/>
        <w:textAlignment w:val="auto"/>
        <w:outlineLvl w:val="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根据《关于做好政府采购有关信用主体标识码登记及在政府采购活动中查询使用信用记录有关问题的通知》（桂财采〔2016〕37），由采购代理机构对第一成交候选人进行信用查询：</w:t>
      </w:r>
    </w:p>
    <w:p w14:paraId="525E8EBB">
      <w:pPr>
        <w:keepNext w:val="0"/>
        <w:keepLines w:val="0"/>
        <w:pageBreakBefore w:val="0"/>
        <w:kinsoku/>
        <w:wordWrap w:val="0"/>
        <w:overflowPunct/>
        <w:topLinePunct w:val="0"/>
        <w:autoSpaceDE/>
        <w:autoSpaceDN/>
        <w:bidi w:val="0"/>
        <w:snapToGrid w:val="0"/>
        <w:spacing w:line="370" w:lineRule="exact"/>
        <w:ind w:left="0" w:leftChars="0" w:firstLine="420" w:firstLineChars="200"/>
        <w:textAlignment w:val="auto"/>
        <w:outlineLvl w:val="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⑴查询渠道：“信用中国”网站(www.creditchina.gov.cn)、中国政府采购网(www.ccgp.gov.cn)等；</w:t>
      </w:r>
    </w:p>
    <w:p w14:paraId="3013A5C1">
      <w:pPr>
        <w:keepNext w:val="0"/>
        <w:keepLines w:val="0"/>
        <w:pageBreakBefore w:val="0"/>
        <w:kinsoku/>
        <w:wordWrap w:val="0"/>
        <w:overflowPunct/>
        <w:topLinePunct w:val="0"/>
        <w:autoSpaceDE/>
        <w:autoSpaceDN/>
        <w:bidi w:val="0"/>
        <w:snapToGrid w:val="0"/>
        <w:spacing w:line="370" w:lineRule="exact"/>
        <w:ind w:left="0" w:leftChars="0" w:firstLine="420" w:firstLineChars="200"/>
        <w:textAlignment w:val="auto"/>
        <w:outlineLvl w:val="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⑵查询截止时间：成交通知书发出前；</w:t>
      </w:r>
    </w:p>
    <w:p w14:paraId="375F9DDF">
      <w:pPr>
        <w:keepNext w:val="0"/>
        <w:keepLines w:val="0"/>
        <w:pageBreakBefore w:val="0"/>
        <w:kinsoku/>
        <w:wordWrap w:val="0"/>
        <w:overflowPunct/>
        <w:topLinePunct w:val="0"/>
        <w:autoSpaceDE/>
        <w:autoSpaceDN/>
        <w:bidi w:val="0"/>
        <w:snapToGrid w:val="0"/>
        <w:spacing w:line="370" w:lineRule="exact"/>
        <w:ind w:left="0" w:leftChars="0" w:firstLine="420" w:firstLineChars="200"/>
        <w:textAlignment w:val="auto"/>
        <w:outlineLvl w:val="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⑶信用信息查询记录和证据留存方式：在查询网站中直接打印查询记录，打印材料作为采购活动资料保存；</w:t>
      </w:r>
    </w:p>
    <w:p w14:paraId="67D7C06F">
      <w:pPr>
        <w:keepNext w:val="0"/>
        <w:keepLines w:val="0"/>
        <w:pageBreakBefore w:val="0"/>
        <w:kinsoku/>
        <w:wordWrap w:val="0"/>
        <w:overflowPunct/>
        <w:topLinePunct w:val="0"/>
        <w:autoSpaceDE/>
        <w:autoSpaceDN/>
        <w:bidi w:val="0"/>
        <w:snapToGrid w:val="0"/>
        <w:spacing w:line="370" w:lineRule="exact"/>
        <w:ind w:left="0" w:leftChars="0" w:firstLine="420" w:firstLineChars="200"/>
        <w:textAlignment w:val="auto"/>
        <w:outlineLvl w:val="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⑷信用信息使用规则：对在“信用中国”网站(www.creditchina.gov.cn)、中国政府采购网(www.ccgp.gov.cn)等渠道列入失信被执行人、重大税收违法失信主体、政府采购严重违法失信行为记录名单及其他不符合《中华人民共和国政府采购法》第二十二条规定条件的供应商，取消其成交候选人资格。    </w:t>
      </w:r>
    </w:p>
    <w:p w14:paraId="636398E6">
      <w:pPr>
        <w:pStyle w:val="9"/>
        <w:keepNext w:val="0"/>
        <w:keepLines w:val="0"/>
        <w:pageBreakBefore w:val="0"/>
        <w:kinsoku/>
        <w:wordWrap w:val="0"/>
        <w:overflowPunct/>
        <w:topLinePunct w:val="0"/>
        <w:autoSpaceDE/>
        <w:autoSpaceDN/>
        <w:bidi w:val="0"/>
        <w:spacing w:line="370" w:lineRule="exact"/>
        <w:ind w:left="0" w:leftChars="0" w:firstLine="422" w:firstLineChars="200"/>
        <w:textAlignment w:val="auto"/>
        <w:rPr>
          <w:rFonts w:hint="eastAsia" w:ascii="宋体" w:hAnsi="宋体" w:eastAsia="宋体" w:cs="宋体"/>
          <w:b/>
          <w:color w:val="auto"/>
          <w:kern w:val="0"/>
          <w:highlight w:val="none"/>
        </w:rPr>
      </w:pPr>
      <w:r>
        <w:rPr>
          <w:rFonts w:hint="eastAsia" w:ascii="宋体" w:hAnsi="宋体" w:eastAsia="宋体" w:cs="宋体"/>
          <w:b/>
          <w:color w:val="auto"/>
          <w:kern w:val="0"/>
          <w:highlight w:val="none"/>
        </w:rPr>
        <w:t>27</w:t>
      </w:r>
      <w:r>
        <w:rPr>
          <w:rFonts w:hint="eastAsia" w:ascii="宋体" w:hAnsi="宋体" w:eastAsia="宋体" w:cs="宋体"/>
          <w:b/>
          <w:color w:val="auto"/>
          <w:kern w:val="0"/>
          <w:szCs w:val="21"/>
          <w:highlight w:val="none"/>
        </w:rPr>
        <w:t>.</w:t>
      </w:r>
      <w:r>
        <w:rPr>
          <w:rFonts w:hint="eastAsia" w:ascii="宋体" w:hAnsi="宋体" w:eastAsia="宋体" w:cs="宋体"/>
          <w:b/>
          <w:color w:val="auto"/>
          <w:kern w:val="0"/>
          <w:szCs w:val="24"/>
          <w:highlight w:val="none"/>
        </w:rPr>
        <w:t>成交公告及成交通知书</w:t>
      </w:r>
    </w:p>
    <w:p w14:paraId="3AFB1185">
      <w:pPr>
        <w:keepNext w:val="0"/>
        <w:keepLines w:val="0"/>
        <w:pageBreakBefore w:val="0"/>
        <w:kinsoku/>
        <w:wordWrap w:val="0"/>
        <w:overflowPunct/>
        <w:topLinePunct w:val="0"/>
        <w:autoSpaceDE/>
        <w:autoSpaceDN/>
        <w:bidi w:val="0"/>
        <w:snapToGrid w:val="0"/>
        <w:spacing w:line="370" w:lineRule="exact"/>
        <w:ind w:left="0" w:leftChars="0" w:firstLine="420" w:firstLineChars="200"/>
        <w:textAlignment w:val="auto"/>
        <w:outlineLvl w:val="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27.1 采购代理机构于评审结束后两个工作日内将评审报告送交采购人，采购人应当自收到评审报告五个工作日内在评审报告推荐的成交候选供应商中按顺序确定成交供应商，采购代理机构在成交供应商确定之日起两个工作日内发出成交通知书，并在指定媒体上公告成交信息。</w:t>
      </w:r>
    </w:p>
    <w:p w14:paraId="39321A80">
      <w:pPr>
        <w:keepNext w:val="0"/>
        <w:keepLines w:val="0"/>
        <w:pageBreakBefore w:val="0"/>
        <w:kinsoku/>
        <w:wordWrap w:val="0"/>
        <w:overflowPunct/>
        <w:topLinePunct w:val="0"/>
        <w:autoSpaceDE/>
        <w:autoSpaceDN/>
        <w:bidi w:val="0"/>
        <w:snapToGrid w:val="0"/>
        <w:spacing w:line="370" w:lineRule="exact"/>
        <w:ind w:left="0" w:leftChars="0" w:firstLine="420" w:firstLineChars="200"/>
        <w:textAlignment w:val="auto"/>
        <w:outlineLvl w:val="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27.2中小企业在政府采购活动过程中，请根据自己的真实情况出具《中小企业声明函》。采购人或采购代理机构在公告成交结果时，同时公告其《中小企业声明函》，接受社会监督。</w:t>
      </w:r>
    </w:p>
    <w:p w14:paraId="5590C68F">
      <w:pPr>
        <w:keepNext w:val="0"/>
        <w:keepLines w:val="0"/>
        <w:pageBreakBefore w:val="0"/>
        <w:kinsoku/>
        <w:wordWrap w:val="0"/>
        <w:overflowPunct/>
        <w:topLinePunct w:val="0"/>
        <w:autoSpaceDE/>
        <w:autoSpaceDN/>
        <w:bidi w:val="0"/>
        <w:snapToGrid w:val="0"/>
        <w:spacing w:line="370" w:lineRule="exact"/>
        <w:ind w:left="0" w:leftChars="0" w:firstLine="420" w:firstLineChars="200"/>
        <w:textAlignment w:val="auto"/>
        <w:outlineLvl w:val="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27.3在发布成交公告的同时，采购代理机构向成交供应商发出成交通知书。成交供应商应自接到通知之日起七个工作日内，办理成交通知书领取手续。</w:t>
      </w:r>
    </w:p>
    <w:p w14:paraId="1FE63AF1">
      <w:pPr>
        <w:keepNext w:val="0"/>
        <w:keepLines w:val="0"/>
        <w:pageBreakBefore w:val="0"/>
        <w:kinsoku/>
        <w:wordWrap w:val="0"/>
        <w:overflowPunct/>
        <w:topLinePunct w:val="0"/>
        <w:autoSpaceDE/>
        <w:autoSpaceDN/>
        <w:bidi w:val="0"/>
        <w:snapToGrid w:val="0"/>
        <w:spacing w:line="370" w:lineRule="exact"/>
        <w:ind w:left="0" w:leftChars="0" w:firstLine="420" w:firstLineChars="200"/>
        <w:textAlignment w:val="auto"/>
        <w:outlineLvl w:val="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27.4采购代理机构无义务向未成交的供应商解释未成交原因和退还响应文件。</w:t>
      </w:r>
    </w:p>
    <w:p w14:paraId="75A64EB1">
      <w:pPr>
        <w:pStyle w:val="9"/>
        <w:keepNext w:val="0"/>
        <w:keepLines w:val="0"/>
        <w:pageBreakBefore w:val="0"/>
        <w:widowControl w:val="0"/>
        <w:kinsoku/>
        <w:wordWrap w:val="0"/>
        <w:overflowPunct/>
        <w:topLinePunct w:val="0"/>
        <w:autoSpaceDE/>
        <w:autoSpaceDN/>
        <w:bidi w:val="0"/>
        <w:adjustRightInd/>
        <w:snapToGrid/>
        <w:spacing w:before="332" w:beforeLines="100" w:after="332" w:afterLines="100" w:line="370" w:lineRule="exact"/>
        <w:ind w:left="0" w:leftChars="0" w:firstLine="0" w:firstLineChars="0"/>
        <w:jc w:val="center"/>
        <w:textAlignment w:val="auto"/>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五、签订合同</w:t>
      </w:r>
    </w:p>
    <w:p w14:paraId="36EFC5C0">
      <w:pPr>
        <w:keepNext w:val="0"/>
        <w:keepLines w:val="0"/>
        <w:pageBreakBefore w:val="0"/>
        <w:kinsoku/>
        <w:wordWrap w:val="0"/>
        <w:overflowPunct/>
        <w:topLinePunct w:val="0"/>
        <w:autoSpaceDE/>
        <w:autoSpaceDN/>
        <w:bidi w:val="0"/>
        <w:spacing w:line="370" w:lineRule="exact"/>
        <w:ind w:left="0" w:leftChars="0" w:firstLine="422" w:firstLineChars="200"/>
        <w:textAlignment w:val="auto"/>
        <w:rPr>
          <w:rFonts w:hint="eastAsia" w:ascii="宋体" w:hAnsi="宋体" w:eastAsia="宋体" w:cs="宋体"/>
          <w:b/>
          <w:color w:val="auto"/>
          <w:kern w:val="0"/>
          <w:highlight w:val="none"/>
        </w:rPr>
      </w:pPr>
      <w:r>
        <w:rPr>
          <w:rFonts w:hint="eastAsia" w:ascii="宋体" w:hAnsi="宋体" w:eastAsia="宋体" w:cs="宋体"/>
          <w:b/>
          <w:color w:val="auto"/>
          <w:kern w:val="0"/>
          <w:highlight w:val="none"/>
        </w:rPr>
        <w:t>28</w:t>
      </w:r>
      <w:r>
        <w:rPr>
          <w:rFonts w:hint="eastAsia" w:ascii="宋体" w:hAnsi="宋体" w:eastAsia="宋体" w:cs="宋体"/>
          <w:b/>
          <w:color w:val="auto"/>
          <w:kern w:val="0"/>
          <w:szCs w:val="21"/>
          <w:highlight w:val="none"/>
        </w:rPr>
        <w:t>.</w:t>
      </w:r>
      <w:r>
        <w:rPr>
          <w:rFonts w:hint="eastAsia" w:ascii="宋体" w:hAnsi="宋体" w:eastAsia="宋体" w:cs="宋体"/>
          <w:b/>
          <w:color w:val="auto"/>
          <w:kern w:val="0"/>
          <w:highlight w:val="none"/>
        </w:rPr>
        <w:t>履约保证金</w:t>
      </w:r>
    </w:p>
    <w:p w14:paraId="69898A38">
      <w:pPr>
        <w:keepNext w:val="0"/>
        <w:keepLines w:val="0"/>
        <w:pageBreakBefore w:val="0"/>
        <w:kinsoku/>
        <w:wordWrap w:val="0"/>
        <w:overflowPunct/>
        <w:topLinePunct w:val="0"/>
        <w:autoSpaceDE/>
        <w:autoSpaceDN/>
        <w:bidi w:val="0"/>
        <w:snapToGrid w:val="0"/>
        <w:spacing w:line="370" w:lineRule="exact"/>
        <w:ind w:left="0" w:leftChars="0" w:firstLine="420" w:firstLineChars="200"/>
        <w:textAlignment w:val="auto"/>
        <w:outlineLvl w:val="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本项目无需缴纳履约保证金。</w:t>
      </w:r>
    </w:p>
    <w:p w14:paraId="68ED3146">
      <w:pPr>
        <w:keepNext w:val="0"/>
        <w:keepLines w:val="0"/>
        <w:pageBreakBefore w:val="0"/>
        <w:kinsoku/>
        <w:wordWrap w:val="0"/>
        <w:overflowPunct/>
        <w:topLinePunct w:val="0"/>
        <w:autoSpaceDE/>
        <w:autoSpaceDN/>
        <w:bidi w:val="0"/>
        <w:snapToGrid w:val="0"/>
        <w:spacing w:line="370" w:lineRule="exact"/>
        <w:ind w:left="0" w:leftChars="0" w:firstLine="422" w:firstLineChars="200"/>
        <w:textAlignment w:val="auto"/>
        <w:outlineLvl w:val="4"/>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29.签订合同</w:t>
      </w:r>
    </w:p>
    <w:p w14:paraId="2C42A833">
      <w:pPr>
        <w:keepNext w:val="0"/>
        <w:keepLines w:val="0"/>
        <w:pageBreakBefore w:val="0"/>
        <w:kinsoku/>
        <w:wordWrap w:val="0"/>
        <w:overflowPunct/>
        <w:topLinePunct w:val="0"/>
        <w:autoSpaceDE/>
        <w:autoSpaceDN/>
        <w:bidi w:val="0"/>
        <w:snapToGrid w:val="0"/>
        <w:spacing w:line="370" w:lineRule="exact"/>
        <w:ind w:left="0" w:leftChars="0" w:firstLine="420" w:firstLineChars="200"/>
        <w:textAlignment w:val="auto"/>
        <w:outlineLvl w:val="4"/>
        <w:rPr>
          <w:rFonts w:hint="eastAsia" w:ascii="宋体" w:hAnsi="宋体" w:eastAsia="宋体" w:cs="宋体"/>
          <w:color w:val="auto"/>
          <w:kern w:val="0"/>
          <w:szCs w:val="21"/>
          <w:highlight w:val="none"/>
        </w:rPr>
      </w:pPr>
      <w:r>
        <w:rPr>
          <w:rFonts w:hint="eastAsia" w:ascii="宋体" w:hAnsi="宋体" w:eastAsia="宋体" w:cs="宋体"/>
          <w:color w:val="auto"/>
          <w:kern w:val="0"/>
          <w:highlight w:val="none"/>
        </w:rPr>
        <w:t xml:space="preserve">29.1 </w:t>
      </w:r>
      <w:r>
        <w:rPr>
          <w:rFonts w:hint="eastAsia" w:ascii="宋体" w:hAnsi="宋体" w:eastAsia="宋体" w:cs="宋体"/>
          <w:color w:val="auto"/>
          <w:kern w:val="0"/>
          <w:szCs w:val="21"/>
          <w:highlight w:val="none"/>
        </w:rPr>
        <w:t>签订合同时间：成交通知书发出之日起8个工作日内。成交供应商领取成交通知书后，应按规定与采购人签订合同。</w:t>
      </w:r>
    </w:p>
    <w:p w14:paraId="257A7D0E">
      <w:pPr>
        <w:keepNext w:val="0"/>
        <w:keepLines w:val="0"/>
        <w:pageBreakBefore w:val="0"/>
        <w:kinsoku/>
        <w:wordWrap w:val="0"/>
        <w:overflowPunct/>
        <w:topLinePunct w:val="0"/>
        <w:autoSpaceDE/>
        <w:autoSpaceDN/>
        <w:bidi w:val="0"/>
        <w:snapToGrid w:val="0"/>
        <w:spacing w:line="370" w:lineRule="exact"/>
        <w:ind w:left="0" w:leftChars="0" w:firstLine="420" w:firstLineChars="200"/>
        <w:textAlignment w:val="auto"/>
        <w:outlineLvl w:val="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29.2 如成交供应商有下列情形之一，情节严重的，由财政部门将其列入不良行为记录名单，在一至三年内禁止参加政府采购活动，并予以通报。采购代理机构可从磋商小组推荐的成交候选供应商中按顺序重新确定成交供应商或重新组织采购。拒绝签订政府采购合同的成交供应商不得参加对该项目重新开展的采购活动。</w:t>
      </w:r>
    </w:p>
    <w:p w14:paraId="1EC37517">
      <w:pPr>
        <w:keepNext w:val="0"/>
        <w:keepLines w:val="0"/>
        <w:pageBreakBefore w:val="0"/>
        <w:kinsoku/>
        <w:wordWrap w:val="0"/>
        <w:overflowPunct/>
        <w:topLinePunct w:val="0"/>
        <w:autoSpaceDE/>
        <w:autoSpaceDN/>
        <w:bidi w:val="0"/>
        <w:snapToGrid w:val="0"/>
        <w:spacing w:line="370" w:lineRule="exact"/>
        <w:ind w:left="0" w:leftChars="0" w:firstLine="420" w:firstLineChars="200"/>
        <w:textAlignment w:val="auto"/>
        <w:outlineLvl w:val="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（1）成交后不与采购人签订合同的（不可抗力除外）；</w:t>
      </w:r>
    </w:p>
    <w:p w14:paraId="2CC86DD7">
      <w:pPr>
        <w:keepNext w:val="0"/>
        <w:keepLines w:val="0"/>
        <w:pageBreakBefore w:val="0"/>
        <w:kinsoku/>
        <w:wordWrap w:val="0"/>
        <w:overflowPunct/>
        <w:topLinePunct w:val="0"/>
        <w:autoSpaceDE/>
        <w:autoSpaceDN/>
        <w:bidi w:val="0"/>
        <w:snapToGrid w:val="0"/>
        <w:spacing w:line="370" w:lineRule="exact"/>
        <w:ind w:left="0" w:leftChars="0" w:firstLine="420" w:firstLineChars="200"/>
        <w:textAlignment w:val="auto"/>
        <w:outlineLvl w:val="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（2）将成交项目转让给他人，或者在响应文件中未说明，且未经采购人同意，将成交项目分包给他人的；</w:t>
      </w:r>
    </w:p>
    <w:p w14:paraId="3CEFBFC3">
      <w:pPr>
        <w:keepNext w:val="0"/>
        <w:keepLines w:val="0"/>
        <w:pageBreakBefore w:val="0"/>
        <w:kinsoku/>
        <w:wordWrap w:val="0"/>
        <w:overflowPunct/>
        <w:topLinePunct w:val="0"/>
        <w:autoSpaceDE/>
        <w:autoSpaceDN/>
        <w:bidi w:val="0"/>
        <w:snapToGrid w:val="0"/>
        <w:spacing w:line="370" w:lineRule="exact"/>
        <w:ind w:left="0" w:leftChars="0" w:firstLine="420" w:firstLineChars="200"/>
        <w:textAlignment w:val="auto"/>
        <w:outlineLvl w:val="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（3）拒绝履行合同义务的。</w:t>
      </w:r>
    </w:p>
    <w:p w14:paraId="61723EBD">
      <w:pPr>
        <w:keepNext w:val="0"/>
        <w:keepLines w:val="0"/>
        <w:pageBreakBefore w:val="0"/>
        <w:kinsoku/>
        <w:wordWrap w:val="0"/>
        <w:overflowPunct/>
        <w:topLinePunct w:val="0"/>
        <w:autoSpaceDE/>
        <w:autoSpaceDN/>
        <w:bidi w:val="0"/>
        <w:snapToGrid w:val="0"/>
        <w:spacing w:line="370" w:lineRule="exact"/>
        <w:ind w:left="0" w:leftChars="0" w:firstLine="420" w:firstLineChars="200"/>
        <w:textAlignment w:val="auto"/>
        <w:outlineLvl w:val="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29.3 合同备案存档：政府采购合同双方自签订之日起1个工作日内将合同原件两份交采购代理机构，采购代理机构收到政府采购合同原件后在省级以上人民政府财政部门指定媒体上公告并于合同签订之日起7个工作日内将一份合同原件送桂林市财政局备案，一份由采购代理机构存档。</w:t>
      </w:r>
    </w:p>
    <w:p w14:paraId="7BDF0EB5">
      <w:pPr>
        <w:pStyle w:val="9"/>
        <w:keepNext w:val="0"/>
        <w:keepLines w:val="0"/>
        <w:pageBreakBefore w:val="0"/>
        <w:widowControl w:val="0"/>
        <w:kinsoku/>
        <w:wordWrap w:val="0"/>
        <w:overflowPunct/>
        <w:topLinePunct w:val="0"/>
        <w:autoSpaceDE/>
        <w:autoSpaceDN/>
        <w:bidi w:val="0"/>
        <w:adjustRightInd/>
        <w:snapToGrid/>
        <w:spacing w:before="332" w:beforeLines="100" w:after="332" w:afterLines="100" w:line="370" w:lineRule="exact"/>
        <w:ind w:left="0" w:leftChars="0" w:firstLine="0" w:firstLineChars="0"/>
        <w:jc w:val="center"/>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六、其他事项</w:t>
      </w:r>
    </w:p>
    <w:p w14:paraId="788F1911">
      <w:pPr>
        <w:keepNext w:val="0"/>
        <w:keepLines w:val="0"/>
        <w:pageBreakBefore w:val="0"/>
        <w:widowControl w:val="0"/>
        <w:kinsoku/>
        <w:wordWrap w:val="0"/>
        <w:overflowPunct/>
        <w:topLinePunct w:val="0"/>
        <w:autoSpaceDE/>
        <w:autoSpaceDN/>
        <w:bidi w:val="0"/>
        <w:adjustRightInd/>
        <w:snapToGrid/>
        <w:spacing w:line="370" w:lineRule="exact"/>
        <w:ind w:left="0" w:leftChars="0" w:firstLine="422" w:firstLineChars="2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29</w:t>
      </w:r>
      <w:r>
        <w:rPr>
          <w:rFonts w:hint="eastAsia" w:ascii="宋体" w:hAnsi="宋体" w:eastAsia="宋体" w:cs="宋体"/>
          <w:b/>
          <w:color w:val="auto"/>
          <w:szCs w:val="21"/>
          <w:highlight w:val="none"/>
        </w:rPr>
        <w:t>、</w:t>
      </w:r>
      <w:r>
        <w:rPr>
          <w:rFonts w:hint="eastAsia" w:ascii="宋体" w:hAnsi="宋体" w:eastAsia="宋体" w:cs="宋体"/>
          <w:b/>
          <w:color w:val="auto"/>
          <w:highlight w:val="none"/>
        </w:rPr>
        <w:t>采购代理服务费</w:t>
      </w:r>
    </w:p>
    <w:p w14:paraId="3527AB09">
      <w:pPr>
        <w:keepNext w:val="0"/>
        <w:keepLines w:val="0"/>
        <w:pageBreakBefore w:val="0"/>
        <w:widowControl w:val="0"/>
        <w:kinsoku/>
        <w:wordWrap w:val="0"/>
        <w:overflowPunct/>
        <w:topLinePunct w:val="0"/>
        <w:autoSpaceDE/>
        <w:autoSpaceDN/>
        <w:bidi w:val="0"/>
        <w:adjustRightInd/>
        <w:snapToGrid/>
        <w:spacing w:line="370" w:lineRule="exact"/>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成交供应商领取成交通知书前，参照计价格[2002]1980号《招标代理服务收费管理暂行办法》工程类收费标准向广西华诚达建设项目管理有限公司一次性付清代理服务费。</w:t>
      </w:r>
    </w:p>
    <w:p w14:paraId="44880BF5">
      <w:pPr>
        <w:wordWrap w:val="0"/>
        <w:spacing w:line="400" w:lineRule="exact"/>
        <w:ind w:left="420" w:leftChars="200" w:firstLine="337" w:firstLineChars="16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采购代理服务收费标准</w:t>
      </w:r>
    </w:p>
    <w:tbl>
      <w:tblPr>
        <w:tblStyle w:val="16"/>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9"/>
        <w:gridCol w:w="2002"/>
        <w:gridCol w:w="1992"/>
        <w:gridCol w:w="2293"/>
      </w:tblGrid>
      <w:tr w14:paraId="777C8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719" w:type="dxa"/>
            <w:noWrap w:val="0"/>
            <w:vAlign w:val="top"/>
          </w:tcPr>
          <w:p w14:paraId="04F6E2E4">
            <w:pPr>
              <w:pStyle w:val="9"/>
              <w:wordWrap w:val="0"/>
              <w:spacing w:line="340" w:lineRule="exact"/>
              <w:ind w:left="25"/>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mc:AlternateContent>
                <mc:Choice Requires="wps">
                  <w:drawing>
                    <wp:anchor distT="0" distB="0" distL="114300" distR="114300" simplePos="0" relativeHeight="251659264" behindDoc="0" locked="0" layoutInCell="1" allowOverlap="1">
                      <wp:simplePos x="0" y="0"/>
                      <wp:positionH relativeFrom="column">
                        <wp:posOffset>296545</wp:posOffset>
                      </wp:positionH>
                      <wp:positionV relativeFrom="paragraph">
                        <wp:posOffset>10795</wp:posOffset>
                      </wp:positionV>
                      <wp:extent cx="1352550" cy="631190"/>
                      <wp:effectExtent l="1905" t="4445" r="17145" b="12065"/>
                      <wp:wrapNone/>
                      <wp:docPr id="1" name="直接连接符 1"/>
                      <wp:cNvGraphicFramePr/>
                      <a:graphic xmlns:a="http://schemas.openxmlformats.org/drawingml/2006/main">
                        <a:graphicData uri="http://schemas.microsoft.com/office/word/2010/wordprocessingShape">
                          <wps:wsp>
                            <wps:cNvCnPr/>
                            <wps:spPr>
                              <a:xfrm>
                                <a:off x="0" y="0"/>
                                <a:ext cx="1352550" cy="63119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3.35pt;margin-top:0.85pt;height:49.7pt;width:106.5pt;z-index:251659264;mso-width-relative:page;mso-height-relative:page;" filled="f" stroked="t" coordsize="21600,21600" o:gfxdata="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EgPkV1AAAAAgBAAAPAAAAAAAAAAEAIAAAACIAAABkcnMvZG93bnJldi54&#10;bWxQSwECFAAUAAAACACHTuJAdfhM9f4BAAD3AwAADgAAAAAAAAABACAAAAAjAQAAZHJzL2Uyb0Rv&#10;Yy54bWxQSwUGAAAAAAYABgBZAQAAkwUAAAAA&#10;">
                      <v:fill on="f" focussize="0,0"/>
                      <v:stroke color="#000000" joinstyle="round"/>
                      <v:imagedata o:title=""/>
                      <o:lock v:ext="edit" aspectratio="f"/>
                    </v:line>
                  </w:pict>
                </mc:Fallback>
              </mc:AlternateContent>
            </w:r>
            <w:r>
              <w:rPr>
                <w:rFonts w:hint="eastAsia" w:ascii="宋体" w:hAnsi="宋体" w:eastAsia="宋体" w:cs="宋体"/>
                <w:color w:val="auto"/>
                <w:highlight w:val="none"/>
                <w:lang w:val="en-US" w:eastAsia="zh-CN"/>
              </w:rPr>
              <w:t>费率           类型</w:t>
            </w:r>
          </w:p>
          <w:p w14:paraId="7DEDEBEC">
            <w:pPr>
              <w:pStyle w:val="9"/>
              <w:wordWrap w:val="0"/>
              <w:spacing w:line="340" w:lineRule="exact"/>
              <w:ind w:left="25"/>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mc:AlternateContent>
                <mc:Choice Requires="wps">
                  <w:drawing>
                    <wp:anchor distT="0" distB="0" distL="114300" distR="114300" simplePos="0" relativeHeight="251660288" behindDoc="0" locked="0" layoutInCell="1" allowOverlap="1">
                      <wp:simplePos x="0" y="0"/>
                      <wp:positionH relativeFrom="column">
                        <wp:posOffset>-67945</wp:posOffset>
                      </wp:positionH>
                      <wp:positionV relativeFrom="paragraph">
                        <wp:posOffset>45085</wp:posOffset>
                      </wp:positionV>
                      <wp:extent cx="1714500" cy="396240"/>
                      <wp:effectExtent l="1270" t="4445" r="17780" b="18415"/>
                      <wp:wrapNone/>
                      <wp:docPr id="2" name="直接连接符 2"/>
                      <wp:cNvGraphicFramePr/>
                      <a:graphic xmlns:a="http://schemas.openxmlformats.org/drawingml/2006/main">
                        <a:graphicData uri="http://schemas.microsoft.com/office/word/2010/wordprocessingShape">
                          <wps:wsp>
                            <wps:cNvCnPr/>
                            <wps:spPr>
                              <a:xfrm>
                                <a:off x="0" y="0"/>
                                <a:ext cx="1714500" cy="39624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5.35pt;margin-top:3.55pt;height:31.2pt;width:135pt;z-index:251660288;mso-width-relative:page;mso-height-relative:page;" filled="f" stroked="t" coordsize="21600,21600" o:gfxdata="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a6xid2AAAAAgBAAAPAAAAAAAAAAEAIAAAACIAAABkcnMvZG93&#10;bnJldi54bWxQSwECFAAUAAAACACHTuJAbgy2VgACAAD3AwAADgAAAAAAAAABACAAAAAnAQAAZHJz&#10;L2Uyb0RvYy54bWxQSwUGAAAAAAYABgBZAQAAmQUAAAAA&#10;">
                      <v:fill on="f" focussize="0,0"/>
                      <v:stroke color="#000000" joinstyle="round"/>
                      <v:imagedata o:title=""/>
                      <o:lock v:ext="edit" aspectratio="f"/>
                    </v:line>
                  </w:pict>
                </mc:Fallback>
              </mc:AlternateContent>
            </w:r>
          </w:p>
          <w:p w14:paraId="2D79365C">
            <w:pPr>
              <w:pStyle w:val="9"/>
              <w:wordWrap w:val="0"/>
              <w:spacing w:line="340" w:lineRule="exact"/>
              <w:ind w:left="25"/>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中标金额（万元）</w:t>
            </w:r>
          </w:p>
        </w:tc>
        <w:tc>
          <w:tcPr>
            <w:tcW w:w="2002" w:type="dxa"/>
            <w:noWrap w:val="0"/>
            <w:vAlign w:val="center"/>
          </w:tcPr>
          <w:p w14:paraId="243453FC">
            <w:pPr>
              <w:pStyle w:val="9"/>
              <w:wordWrap w:val="0"/>
              <w:spacing w:line="340" w:lineRule="exact"/>
              <w:ind w:left="25"/>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货物招标</w:t>
            </w:r>
          </w:p>
        </w:tc>
        <w:tc>
          <w:tcPr>
            <w:tcW w:w="1992" w:type="dxa"/>
            <w:noWrap w:val="0"/>
            <w:vAlign w:val="center"/>
          </w:tcPr>
          <w:p w14:paraId="21C72B7D">
            <w:pPr>
              <w:pStyle w:val="9"/>
              <w:wordWrap w:val="0"/>
              <w:spacing w:line="340" w:lineRule="exact"/>
              <w:ind w:left="25"/>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服务招标</w:t>
            </w:r>
          </w:p>
        </w:tc>
        <w:tc>
          <w:tcPr>
            <w:tcW w:w="2293" w:type="dxa"/>
            <w:noWrap w:val="0"/>
            <w:vAlign w:val="center"/>
          </w:tcPr>
          <w:p w14:paraId="3259EF97">
            <w:pPr>
              <w:pStyle w:val="9"/>
              <w:wordWrap w:val="0"/>
              <w:spacing w:line="340" w:lineRule="exact"/>
              <w:ind w:left="25"/>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工程招标</w:t>
            </w:r>
          </w:p>
        </w:tc>
      </w:tr>
      <w:tr w14:paraId="23E40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719" w:type="dxa"/>
            <w:noWrap w:val="0"/>
            <w:vAlign w:val="top"/>
          </w:tcPr>
          <w:p w14:paraId="46DBC0F6">
            <w:pPr>
              <w:pStyle w:val="9"/>
              <w:wordWrap w:val="0"/>
              <w:spacing w:line="340" w:lineRule="exact"/>
              <w:ind w:left="25"/>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100以下</w:t>
            </w:r>
          </w:p>
        </w:tc>
        <w:tc>
          <w:tcPr>
            <w:tcW w:w="2002" w:type="dxa"/>
            <w:noWrap w:val="0"/>
            <w:vAlign w:val="top"/>
          </w:tcPr>
          <w:p w14:paraId="309A7C8E">
            <w:pPr>
              <w:pStyle w:val="9"/>
              <w:wordWrap w:val="0"/>
              <w:spacing w:line="340" w:lineRule="exact"/>
              <w:ind w:left="25"/>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1.5%</w:t>
            </w:r>
          </w:p>
        </w:tc>
        <w:tc>
          <w:tcPr>
            <w:tcW w:w="1992" w:type="dxa"/>
            <w:noWrap w:val="0"/>
            <w:vAlign w:val="top"/>
          </w:tcPr>
          <w:p w14:paraId="41A04BCD">
            <w:pPr>
              <w:pStyle w:val="9"/>
              <w:wordWrap w:val="0"/>
              <w:spacing w:line="340" w:lineRule="exact"/>
              <w:ind w:left="25"/>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1.5%</w:t>
            </w:r>
          </w:p>
        </w:tc>
        <w:tc>
          <w:tcPr>
            <w:tcW w:w="2293" w:type="dxa"/>
            <w:noWrap w:val="0"/>
            <w:vAlign w:val="top"/>
          </w:tcPr>
          <w:p w14:paraId="37F22079">
            <w:pPr>
              <w:pStyle w:val="9"/>
              <w:wordWrap w:val="0"/>
              <w:spacing w:line="340" w:lineRule="exact"/>
              <w:ind w:left="25"/>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w:t>
            </w:r>
          </w:p>
        </w:tc>
      </w:tr>
      <w:tr w14:paraId="076C5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2719" w:type="dxa"/>
            <w:noWrap w:val="0"/>
            <w:vAlign w:val="top"/>
          </w:tcPr>
          <w:p w14:paraId="5E310C20">
            <w:pPr>
              <w:pStyle w:val="9"/>
              <w:wordWrap w:val="0"/>
              <w:spacing w:line="340" w:lineRule="exact"/>
              <w:ind w:left="25"/>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100-500</w:t>
            </w:r>
          </w:p>
        </w:tc>
        <w:tc>
          <w:tcPr>
            <w:tcW w:w="2002" w:type="dxa"/>
            <w:noWrap w:val="0"/>
            <w:vAlign w:val="top"/>
          </w:tcPr>
          <w:p w14:paraId="05140E33">
            <w:pPr>
              <w:pStyle w:val="9"/>
              <w:wordWrap w:val="0"/>
              <w:spacing w:line="340" w:lineRule="exact"/>
              <w:ind w:left="25"/>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1.1%</w:t>
            </w:r>
          </w:p>
        </w:tc>
        <w:tc>
          <w:tcPr>
            <w:tcW w:w="1992" w:type="dxa"/>
            <w:noWrap w:val="0"/>
            <w:vAlign w:val="top"/>
          </w:tcPr>
          <w:p w14:paraId="0D037767">
            <w:pPr>
              <w:pStyle w:val="9"/>
              <w:wordWrap w:val="0"/>
              <w:spacing w:line="340" w:lineRule="exact"/>
              <w:ind w:left="25"/>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0.8%</w:t>
            </w:r>
          </w:p>
        </w:tc>
        <w:tc>
          <w:tcPr>
            <w:tcW w:w="2293" w:type="dxa"/>
            <w:noWrap w:val="0"/>
            <w:vAlign w:val="top"/>
          </w:tcPr>
          <w:p w14:paraId="3522DEB6">
            <w:pPr>
              <w:pStyle w:val="9"/>
              <w:wordWrap w:val="0"/>
              <w:spacing w:line="340" w:lineRule="exact"/>
              <w:ind w:left="25"/>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0.7%</w:t>
            </w:r>
          </w:p>
        </w:tc>
      </w:tr>
      <w:tr w14:paraId="564CF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719" w:type="dxa"/>
            <w:noWrap w:val="0"/>
            <w:vAlign w:val="top"/>
          </w:tcPr>
          <w:p w14:paraId="54CBEBA7">
            <w:pPr>
              <w:pStyle w:val="9"/>
              <w:wordWrap w:val="0"/>
              <w:spacing w:line="340" w:lineRule="exact"/>
              <w:ind w:left="25"/>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500-1000</w:t>
            </w:r>
          </w:p>
        </w:tc>
        <w:tc>
          <w:tcPr>
            <w:tcW w:w="2002" w:type="dxa"/>
            <w:noWrap w:val="0"/>
            <w:vAlign w:val="top"/>
          </w:tcPr>
          <w:p w14:paraId="7DC6F1F0">
            <w:pPr>
              <w:pStyle w:val="9"/>
              <w:wordWrap w:val="0"/>
              <w:spacing w:line="340" w:lineRule="exact"/>
              <w:ind w:left="25"/>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0.8%</w:t>
            </w:r>
          </w:p>
        </w:tc>
        <w:tc>
          <w:tcPr>
            <w:tcW w:w="1992" w:type="dxa"/>
            <w:noWrap w:val="0"/>
            <w:vAlign w:val="top"/>
          </w:tcPr>
          <w:p w14:paraId="058FA72C">
            <w:pPr>
              <w:pStyle w:val="9"/>
              <w:wordWrap w:val="0"/>
              <w:spacing w:line="340" w:lineRule="exact"/>
              <w:ind w:left="25"/>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0.45%</w:t>
            </w:r>
          </w:p>
        </w:tc>
        <w:tc>
          <w:tcPr>
            <w:tcW w:w="2293" w:type="dxa"/>
            <w:noWrap w:val="0"/>
            <w:vAlign w:val="top"/>
          </w:tcPr>
          <w:p w14:paraId="2D7EE4D3">
            <w:pPr>
              <w:pStyle w:val="9"/>
              <w:wordWrap w:val="0"/>
              <w:spacing w:line="340" w:lineRule="exact"/>
              <w:ind w:left="25"/>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0.55%</w:t>
            </w:r>
          </w:p>
        </w:tc>
      </w:tr>
      <w:tr w14:paraId="025EC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719" w:type="dxa"/>
            <w:noWrap w:val="0"/>
            <w:vAlign w:val="top"/>
          </w:tcPr>
          <w:p w14:paraId="68756D33">
            <w:pPr>
              <w:pStyle w:val="9"/>
              <w:wordWrap w:val="0"/>
              <w:spacing w:line="340" w:lineRule="exact"/>
              <w:ind w:left="25"/>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1000-5000</w:t>
            </w:r>
          </w:p>
        </w:tc>
        <w:tc>
          <w:tcPr>
            <w:tcW w:w="2002" w:type="dxa"/>
            <w:noWrap w:val="0"/>
            <w:vAlign w:val="top"/>
          </w:tcPr>
          <w:p w14:paraId="283313A2">
            <w:pPr>
              <w:pStyle w:val="9"/>
              <w:wordWrap w:val="0"/>
              <w:spacing w:line="340" w:lineRule="exact"/>
              <w:ind w:left="25"/>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0.5%</w:t>
            </w:r>
          </w:p>
        </w:tc>
        <w:tc>
          <w:tcPr>
            <w:tcW w:w="1992" w:type="dxa"/>
            <w:noWrap w:val="0"/>
            <w:vAlign w:val="top"/>
          </w:tcPr>
          <w:p w14:paraId="7B49D7CC">
            <w:pPr>
              <w:pStyle w:val="9"/>
              <w:wordWrap w:val="0"/>
              <w:spacing w:line="340" w:lineRule="exact"/>
              <w:ind w:left="25"/>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0.25%</w:t>
            </w:r>
          </w:p>
        </w:tc>
        <w:tc>
          <w:tcPr>
            <w:tcW w:w="2293" w:type="dxa"/>
            <w:noWrap w:val="0"/>
            <w:vAlign w:val="top"/>
          </w:tcPr>
          <w:p w14:paraId="5258013E">
            <w:pPr>
              <w:pStyle w:val="9"/>
              <w:wordWrap w:val="0"/>
              <w:spacing w:line="340" w:lineRule="exact"/>
              <w:ind w:left="25"/>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0.35%</w:t>
            </w:r>
          </w:p>
        </w:tc>
      </w:tr>
      <w:tr w14:paraId="345DB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719" w:type="dxa"/>
            <w:noWrap w:val="0"/>
            <w:vAlign w:val="top"/>
          </w:tcPr>
          <w:p w14:paraId="7C4BB6F4">
            <w:pPr>
              <w:pStyle w:val="9"/>
              <w:wordWrap w:val="0"/>
              <w:spacing w:line="340" w:lineRule="exact"/>
              <w:ind w:left="25"/>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5000-10000</w:t>
            </w:r>
          </w:p>
        </w:tc>
        <w:tc>
          <w:tcPr>
            <w:tcW w:w="2002" w:type="dxa"/>
            <w:noWrap w:val="0"/>
            <w:vAlign w:val="top"/>
          </w:tcPr>
          <w:p w14:paraId="3A98F5B8">
            <w:pPr>
              <w:pStyle w:val="9"/>
              <w:wordWrap w:val="0"/>
              <w:spacing w:line="340" w:lineRule="exact"/>
              <w:ind w:left="25"/>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0.25%</w:t>
            </w:r>
          </w:p>
        </w:tc>
        <w:tc>
          <w:tcPr>
            <w:tcW w:w="1992" w:type="dxa"/>
            <w:noWrap w:val="0"/>
            <w:vAlign w:val="top"/>
          </w:tcPr>
          <w:p w14:paraId="61197CCA">
            <w:pPr>
              <w:pStyle w:val="9"/>
              <w:wordWrap w:val="0"/>
              <w:spacing w:line="340" w:lineRule="exact"/>
              <w:ind w:left="25"/>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0.1%</w:t>
            </w:r>
          </w:p>
        </w:tc>
        <w:tc>
          <w:tcPr>
            <w:tcW w:w="2293" w:type="dxa"/>
            <w:noWrap w:val="0"/>
            <w:vAlign w:val="top"/>
          </w:tcPr>
          <w:p w14:paraId="236CDF07">
            <w:pPr>
              <w:pStyle w:val="9"/>
              <w:wordWrap w:val="0"/>
              <w:spacing w:line="340" w:lineRule="exact"/>
              <w:ind w:left="25"/>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0.2%</w:t>
            </w:r>
          </w:p>
        </w:tc>
      </w:tr>
      <w:tr w14:paraId="48FA6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2719" w:type="dxa"/>
            <w:noWrap w:val="0"/>
            <w:vAlign w:val="top"/>
          </w:tcPr>
          <w:p w14:paraId="636E5C87">
            <w:pPr>
              <w:pStyle w:val="9"/>
              <w:wordWrap w:val="0"/>
              <w:spacing w:line="340" w:lineRule="exact"/>
              <w:ind w:left="25"/>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10000-100000</w:t>
            </w:r>
          </w:p>
        </w:tc>
        <w:tc>
          <w:tcPr>
            <w:tcW w:w="2002" w:type="dxa"/>
            <w:noWrap w:val="0"/>
            <w:vAlign w:val="top"/>
          </w:tcPr>
          <w:p w14:paraId="0414BA34">
            <w:pPr>
              <w:pStyle w:val="9"/>
              <w:wordWrap w:val="0"/>
              <w:spacing w:line="340" w:lineRule="exact"/>
              <w:ind w:left="25"/>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0.05%</w:t>
            </w:r>
          </w:p>
        </w:tc>
        <w:tc>
          <w:tcPr>
            <w:tcW w:w="1992" w:type="dxa"/>
            <w:noWrap w:val="0"/>
            <w:vAlign w:val="top"/>
          </w:tcPr>
          <w:p w14:paraId="4076F1F6">
            <w:pPr>
              <w:pStyle w:val="9"/>
              <w:wordWrap w:val="0"/>
              <w:spacing w:line="340" w:lineRule="exact"/>
              <w:ind w:left="25"/>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0.05%</w:t>
            </w:r>
          </w:p>
        </w:tc>
        <w:tc>
          <w:tcPr>
            <w:tcW w:w="2293" w:type="dxa"/>
            <w:noWrap w:val="0"/>
            <w:vAlign w:val="top"/>
          </w:tcPr>
          <w:p w14:paraId="35ACB728">
            <w:pPr>
              <w:pStyle w:val="9"/>
              <w:wordWrap w:val="0"/>
              <w:spacing w:line="340" w:lineRule="exact"/>
              <w:ind w:left="25"/>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0.05%</w:t>
            </w:r>
          </w:p>
        </w:tc>
      </w:tr>
      <w:tr w14:paraId="65DEA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2719" w:type="dxa"/>
            <w:noWrap w:val="0"/>
            <w:vAlign w:val="top"/>
          </w:tcPr>
          <w:p w14:paraId="3FEBA0FE">
            <w:pPr>
              <w:pStyle w:val="9"/>
              <w:wordWrap w:val="0"/>
              <w:spacing w:line="340" w:lineRule="exact"/>
              <w:ind w:left="25"/>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100000以上</w:t>
            </w:r>
          </w:p>
        </w:tc>
        <w:tc>
          <w:tcPr>
            <w:tcW w:w="2002" w:type="dxa"/>
            <w:noWrap w:val="0"/>
            <w:vAlign w:val="top"/>
          </w:tcPr>
          <w:p w14:paraId="78BBF903">
            <w:pPr>
              <w:pStyle w:val="9"/>
              <w:wordWrap w:val="0"/>
              <w:spacing w:line="340" w:lineRule="exact"/>
              <w:ind w:left="25"/>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0.01%</w:t>
            </w:r>
          </w:p>
        </w:tc>
        <w:tc>
          <w:tcPr>
            <w:tcW w:w="1992" w:type="dxa"/>
            <w:noWrap w:val="0"/>
            <w:vAlign w:val="top"/>
          </w:tcPr>
          <w:p w14:paraId="2D993C27">
            <w:pPr>
              <w:pStyle w:val="9"/>
              <w:wordWrap w:val="0"/>
              <w:spacing w:line="340" w:lineRule="exact"/>
              <w:ind w:left="25"/>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0.01%</w:t>
            </w:r>
          </w:p>
        </w:tc>
        <w:tc>
          <w:tcPr>
            <w:tcW w:w="2293" w:type="dxa"/>
            <w:noWrap w:val="0"/>
            <w:vAlign w:val="top"/>
          </w:tcPr>
          <w:p w14:paraId="609594D7">
            <w:pPr>
              <w:pStyle w:val="9"/>
              <w:wordWrap w:val="0"/>
              <w:spacing w:line="340" w:lineRule="exact"/>
              <w:ind w:left="25"/>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0.01%</w:t>
            </w:r>
          </w:p>
        </w:tc>
      </w:tr>
    </w:tbl>
    <w:p w14:paraId="670F9B1A">
      <w:pPr>
        <w:keepNext w:val="0"/>
        <w:keepLines w:val="0"/>
        <w:pageBreakBefore w:val="0"/>
        <w:widowControl w:val="0"/>
        <w:kinsoku/>
        <w:wordWrap w:val="0"/>
        <w:overflowPunct/>
        <w:topLinePunct w:val="0"/>
        <w:autoSpaceDE/>
        <w:autoSpaceDN/>
        <w:bidi w:val="0"/>
        <w:adjustRightInd/>
        <w:snapToGrid/>
        <w:spacing w:line="380" w:lineRule="exact"/>
        <w:ind w:left="0" w:leftChars="0" w:firstLine="422" w:firstLineChars="200"/>
        <w:textAlignment w:val="auto"/>
        <w:rPr>
          <w:rFonts w:hint="eastAsia" w:ascii="宋体" w:hAnsi="宋体" w:eastAsia="宋体" w:cs="宋体"/>
          <w:color w:val="auto"/>
          <w:highlight w:val="none"/>
        </w:rPr>
      </w:pPr>
      <w:r>
        <w:rPr>
          <w:rFonts w:hint="eastAsia" w:ascii="宋体" w:hAnsi="宋体" w:eastAsia="宋体" w:cs="宋体"/>
          <w:b/>
          <w:color w:val="auto"/>
          <w:highlight w:val="none"/>
        </w:rPr>
        <w:t>30、交纳代理服务费的银行账户：</w:t>
      </w:r>
    </w:p>
    <w:p w14:paraId="3AECC14C">
      <w:pPr>
        <w:keepNext w:val="0"/>
        <w:keepLines w:val="0"/>
        <w:pageBreakBefore w:val="0"/>
        <w:widowControl w:val="0"/>
        <w:kinsoku/>
        <w:wordWrap w:val="0"/>
        <w:overflowPunct/>
        <w:topLinePunct w:val="0"/>
        <w:autoSpaceDE/>
        <w:autoSpaceDN/>
        <w:bidi w:val="0"/>
        <w:adjustRightInd/>
        <w:snapToGrid/>
        <w:spacing w:line="380" w:lineRule="exact"/>
        <w:ind w:left="0" w:leftChars="0" w:firstLine="420" w:firstLineChars="20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开户名称：广西华诚达建设项目管理有限公司桂林分公司</w:t>
      </w:r>
    </w:p>
    <w:p w14:paraId="66D117C5">
      <w:pPr>
        <w:keepNext w:val="0"/>
        <w:keepLines w:val="0"/>
        <w:pageBreakBefore w:val="0"/>
        <w:widowControl w:val="0"/>
        <w:kinsoku/>
        <w:wordWrap w:val="0"/>
        <w:overflowPunct/>
        <w:topLinePunct w:val="0"/>
        <w:autoSpaceDE/>
        <w:autoSpaceDN/>
        <w:bidi w:val="0"/>
        <w:adjustRightInd/>
        <w:snapToGrid/>
        <w:spacing w:line="380" w:lineRule="exact"/>
        <w:ind w:left="0" w:leftChars="0" w:firstLine="420" w:firstLineChars="20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开户银行：桂林银行七星支行</w:t>
      </w:r>
    </w:p>
    <w:p w14:paraId="29A9E2E0">
      <w:pPr>
        <w:keepNext w:val="0"/>
        <w:keepLines w:val="0"/>
        <w:pageBreakBefore w:val="0"/>
        <w:widowControl w:val="0"/>
        <w:kinsoku/>
        <w:wordWrap w:val="0"/>
        <w:overflowPunct/>
        <w:topLinePunct w:val="0"/>
        <w:autoSpaceDE/>
        <w:autoSpaceDN/>
        <w:bidi w:val="0"/>
        <w:adjustRightInd/>
        <w:snapToGrid/>
        <w:spacing w:line="380" w:lineRule="exact"/>
        <w:ind w:left="0" w:leftChars="0" w:firstLine="420" w:firstLineChars="200"/>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银行账号：660011049661800010</w:t>
      </w:r>
    </w:p>
    <w:p w14:paraId="22045920">
      <w:pPr>
        <w:keepNext w:val="0"/>
        <w:keepLines w:val="0"/>
        <w:pageBreakBefore w:val="0"/>
        <w:widowControl w:val="0"/>
        <w:kinsoku/>
        <w:wordWrap w:val="0"/>
        <w:overflowPunct/>
        <w:topLinePunct w:val="0"/>
        <w:autoSpaceDE/>
        <w:autoSpaceDN/>
        <w:bidi w:val="0"/>
        <w:adjustRightInd/>
        <w:snapToGrid/>
        <w:spacing w:line="380" w:lineRule="exact"/>
        <w:ind w:left="0" w:leftChars="0" w:firstLine="422" w:firstLineChars="200"/>
        <w:textAlignment w:val="auto"/>
        <w:rPr>
          <w:rFonts w:hint="eastAsia" w:ascii="宋体" w:hAnsi="宋体" w:eastAsia="宋体" w:cs="宋体"/>
          <w:color w:val="auto"/>
          <w:highlight w:val="none"/>
        </w:rPr>
      </w:pPr>
      <w:r>
        <w:rPr>
          <w:rFonts w:hint="eastAsia" w:ascii="宋体" w:hAnsi="宋体" w:eastAsia="宋体" w:cs="宋体"/>
          <w:b/>
          <w:color w:val="auto"/>
          <w:highlight w:val="none"/>
        </w:rPr>
        <w:t>31、解释权：</w:t>
      </w:r>
    </w:p>
    <w:p w14:paraId="14E609DA">
      <w:pPr>
        <w:keepNext w:val="0"/>
        <w:keepLines w:val="0"/>
        <w:pageBreakBefore w:val="0"/>
        <w:widowControl w:val="0"/>
        <w:kinsoku/>
        <w:wordWrap w:val="0"/>
        <w:overflowPunct/>
        <w:topLinePunct w:val="0"/>
        <w:autoSpaceDE/>
        <w:autoSpaceDN/>
        <w:bidi w:val="0"/>
        <w:adjustRightInd/>
        <w:snapToGrid/>
        <w:spacing w:line="38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本竞争性磋商文件是</w:t>
      </w:r>
      <w:r>
        <w:rPr>
          <w:rFonts w:hint="eastAsia" w:ascii="宋体" w:hAnsi="宋体" w:eastAsia="宋体" w:cs="宋体"/>
          <w:color w:val="auto"/>
          <w:szCs w:val="21"/>
          <w:highlight w:val="none"/>
        </w:rPr>
        <w:t>根据《中华人民共和国政府采购法》、《政府采购非招标采购方式管理办法》、《政府采购竞争性磋商采购方式管理暂行办法》</w:t>
      </w:r>
      <w:r>
        <w:rPr>
          <w:rFonts w:hint="eastAsia" w:ascii="宋体" w:hAnsi="宋体" w:eastAsia="宋体" w:cs="宋体"/>
          <w:color w:val="auto"/>
          <w:highlight w:val="none"/>
        </w:rPr>
        <w:t>和政府采购管理有关规定编制，本竞争性磋商文件的解释权属于采购代理机构。</w:t>
      </w:r>
    </w:p>
    <w:p w14:paraId="5CCF38A6">
      <w:pPr>
        <w:keepNext w:val="0"/>
        <w:keepLines w:val="0"/>
        <w:pageBreakBefore w:val="0"/>
        <w:widowControl w:val="0"/>
        <w:kinsoku/>
        <w:wordWrap w:val="0"/>
        <w:overflowPunct/>
        <w:topLinePunct w:val="0"/>
        <w:autoSpaceDE/>
        <w:autoSpaceDN/>
        <w:bidi w:val="0"/>
        <w:adjustRightInd/>
        <w:snapToGrid/>
        <w:spacing w:line="380" w:lineRule="exact"/>
        <w:ind w:left="0" w:leftChars="0" w:firstLine="422" w:firstLineChars="200"/>
        <w:textAlignment w:val="auto"/>
        <w:rPr>
          <w:rFonts w:hint="eastAsia" w:ascii="宋体" w:hAnsi="宋体" w:eastAsia="宋体" w:cs="宋体"/>
          <w:bCs/>
          <w:color w:val="auto"/>
          <w:highlight w:val="none"/>
        </w:rPr>
      </w:pPr>
      <w:r>
        <w:rPr>
          <w:rFonts w:hint="eastAsia" w:ascii="宋体" w:hAnsi="宋体" w:eastAsia="宋体" w:cs="宋体"/>
          <w:b/>
          <w:color w:val="auto"/>
          <w:highlight w:val="none"/>
        </w:rPr>
        <w:t xml:space="preserve"> 32、监督管理机构：</w:t>
      </w:r>
      <w:r>
        <w:rPr>
          <w:rFonts w:hint="eastAsia" w:ascii="宋体" w:hAnsi="宋体" w:eastAsia="宋体" w:cs="宋体"/>
          <w:color w:val="auto"/>
          <w:kern w:val="0"/>
          <w:szCs w:val="21"/>
          <w:highlight w:val="none"/>
        </w:rPr>
        <w:t>政府采购监督管理部门：桂林市财政局；联系电话：0773-2862142</w:t>
      </w:r>
    </w:p>
    <w:p w14:paraId="45771BF6">
      <w:pPr>
        <w:wordWrap w:val="0"/>
        <w:spacing w:line="380" w:lineRule="exact"/>
        <w:ind w:left="420" w:leftChars="200" w:firstLine="336" w:firstLineChars="160"/>
        <w:rPr>
          <w:rFonts w:hint="eastAsia" w:ascii="宋体" w:hAnsi="宋体" w:eastAsia="宋体" w:cs="宋体"/>
          <w:color w:val="auto"/>
          <w:highlight w:val="none"/>
        </w:rPr>
      </w:pPr>
    </w:p>
    <w:p w14:paraId="3E70439F">
      <w:pPr>
        <w:pStyle w:val="9"/>
        <w:wordWrap w:val="0"/>
        <w:snapToGrid w:val="0"/>
        <w:ind w:left="420" w:leftChars="200" w:firstLine="336" w:firstLineChars="160"/>
        <w:rPr>
          <w:rFonts w:hint="eastAsia" w:ascii="宋体" w:hAnsi="宋体" w:eastAsia="宋体" w:cs="宋体"/>
          <w:b/>
          <w:color w:val="auto"/>
          <w:sz w:val="24"/>
          <w:szCs w:val="24"/>
          <w:highlight w:val="none"/>
        </w:rPr>
      </w:pPr>
      <w:r>
        <w:rPr>
          <w:rFonts w:hint="eastAsia" w:ascii="宋体" w:hAnsi="宋体" w:eastAsia="宋体" w:cs="宋体"/>
          <w:color w:val="auto"/>
          <w:highlight w:val="none"/>
        </w:rPr>
        <w:br w:type="page"/>
      </w:r>
      <w:r>
        <w:rPr>
          <w:rFonts w:hint="eastAsia" w:ascii="宋体" w:hAnsi="宋体" w:eastAsia="宋体" w:cs="宋体"/>
          <w:b/>
          <w:color w:val="auto"/>
          <w:sz w:val="24"/>
          <w:szCs w:val="24"/>
          <w:highlight w:val="none"/>
        </w:rPr>
        <w:t>附表1：</w:t>
      </w:r>
    </w:p>
    <w:p w14:paraId="510380F6">
      <w:pPr>
        <w:wordWrap w:val="0"/>
        <w:spacing w:line="460" w:lineRule="exact"/>
        <w:ind w:left="420" w:leftChars="200" w:firstLine="704" w:firstLineChars="160"/>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t>质疑函（格式）</w:t>
      </w:r>
    </w:p>
    <w:p w14:paraId="4BDAADED">
      <w:pPr>
        <w:pStyle w:val="9"/>
        <w:wordWrap w:val="0"/>
        <w:snapToGrid w:val="0"/>
        <w:spacing w:line="360" w:lineRule="exact"/>
        <w:ind w:left="420" w:leftChars="200" w:firstLine="337" w:firstLineChars="160"/>
        <w:rPr>
          <w:rFonts w:hint="eastAsia" w:ascii="宋体" w:hAnsi="宋体" w:eastAsia="宋体" w:cs="宋体"/>
          <w:b/>
          <w:bCs/>
          <w:color w:val="auto"/>
          <w:highlight w:val="none"/>
        </w:rPr>
      </w:pPr>
      <w:r>
        <w:rPr>
          <w:rFonts w:hint="eastAsia" w:ascii="宋体" w:hAnsi="宋体" w:eastAsia="宋体" w:cs="宋体"/>
          <w:b/>
          <w:bCs/>
          <w:color w:val="auto"/>
          <w:highlight w:val="none"/>
        </w:rPr>
        <w:t>一、质疑供应商基本信息：</w:t>
      </w:r>
    </w:p>
    <w:p w14:paraId="4E614905">
      <w:pPr>
        <w:pStyle w:val="9"/>
        <w:wordWrap w:val="0"/>
        <w:snapToGrid w:val="0"/>
        <w:spacing w:line="360" w:lineRule="exact"/>
        <w:ind w:left="420" w:leftChars="200" w:firstLine="336" w:firstLineChars="160"/>
        <w:rPr>
          <w:rFonts w:hint="eastAsia" w:ascii="宋体" w:hAnsi="宋体" w:eastAsia="宋体" w:cs="宋体"/>
          <w:bCs/>
          <w:color w:val="auto"/>
          <w:highlight w:val="none"/>
          <w:u w:val="single"/>
        </w:rPr>
      </w:pPr>
      <w:r>
        <w:rPr>
          <w:rFonts w:hint="eastAsia" w:ascii="宋体" w:hAnsi="宋体" w:eastAsia="宋体" w:cs="宋体"/>
          <w:bCs/>
          <w:color w:val="auto"/>
          <w:highlight w:val="none"/>
        </w:rPr>
        <w:t>质疑供应商：</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rPr>
        <w:t xml:space="preserve">                 </w:t>
      </w:r>
    </w:p>
    <w:p w14:paraId="204CFBF3">
      <w:pPr>
        <w:pStyle w:val="9"/>
        <w:wordWrap w:val="0"/>
        <w:snapToGrid w:val="0"/>
        <w:spacing w:line="360" w:lineRule="exact"/>
        <w:ind w:left="420" w:leftChars="200" w:firstLine="336" w:firstLineChars="160"/>
        <w:rPr>
          <w:rFonts w:hint="eastAsia" w:ascii="宋体" w:hAnsi="宋体" w:eastAsia="宋体" w:cs="宋体"/>
          <w:bCs/>
          <w:color w:val="auto"/>
          <w:highlight w:val="none"/>
        </w:rPr>
      </w:pPr>
      <w:r>
        <w:rPr>
          <w:rFonts w:hint="eastAsia" w:ascii="宋体" w:hAnsi="宋体" w:eastAsia="宋体" w:cs="宋体"/>
          <w:bCs/>
          <w:color w:val="auto"/>
          <w:highlight w:val="none"/>
        </w:rPr>
        <w:t>地址：</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rPr>
        <w:t>邮编：</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rPr>
        <w:t xml:space="preserve">                 </w:t>
      </w:r>
    </w:p>
    <w:p w14:paraId="22FE2FE8">
      <w:pPr>
        <w:pStyle w:val="9"/>
        <w:wordWrap w:val="0"/>
        <w:snapToGrid w:val="0"/>
        <w:spacing w:line="360" w:lineRule="exact"/>
        <w:ind w:left="420" w:leftChars="200" w:firstLine="336" w:firstLineChars="160"/>
        <w:rPr>
          <w:rFonts w:hint="eastAsia" w:ascii="宋体" w:hAnsi="宋体" w:eastAsia="宋体" w:cs="宋体"/>
          <w:bCs/>
          <w:color w:val="auto"/>
          <w:highlight w:val="none"/>
        </w:rPr>
      </w:pPr>
      <w:r>
        <w:rPr>
          <w:rFonts w:hint="eastAsia" w:ascii="宋体" w:hAnsi="宋体" w:eastAsia="宋体" w:cs="宋体"/>
          <w:bCs/>
          <w:color w:val="auto"/>
          <w:highlight w:val="none"/>
        </w:rPr>
        <w:t>联系人：</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rPr>
        <w:t>联系电话：</w:t>
      </w:r>
      <w:r>
        <w:rPr>
          <w:rFonts w:hint="eastAsia" w:ascii="宋体" w:hAnsi="宋体" w:eastAsia="宋体" w:cs="宋体"/>
          <w:bCs/>
          <w:color w:val="auto"/>
          <w:highlight w:val="none"/>
          <w:u w:val="single"/>
        </w:rPr>
        <w:t xml:space="preserve">                 </w:t>
      </w:r>
    </w:p>
    <w:p w14:paraId="2835014F">
      <w:pPr>
        <w:pStyle w:val="9"/>
        <w:wordWrap w:val="0"/>
        <w:snapToGrid w:val="0"/>
        <w:spacing w:line="360" w:lineRule="exact"/>
        <w:ind w:left="420" w:leftChars="200" w:firstLine="336" w:firstLineChars="160"/>
        <w:rPr>
          <w:rFonts w:hint="eastAsia" w:ascii="宋体" w:hAnsi="宋体" w:eastAsia="宋体" w:cs="宋体"/>
          <w:bCs/>
          <w:color w:val="auto"/>
          <w:highlight w:val="none"/>
        </w:rPr>
      </w:pPr>
      <w:r>
        <w:rPr>
          <w:rFonts w:hint="eastAsia" w:ascii="宋体" w:hAnsi="宋体" w:eastAsia="宋体" w:cs="宋体"/>
          <w:bCs/>
          <w:color w:val="auto"/>
          <w:highlight w:val="none"/>
        </w:rPr>
        <w:t>授权代表：</w:t>
      </w:r>
      <w:r>
        <w:rPr>
          <w:rFonts w:hint="eastAsia" w:ascii="宋体" w:hAnsi="宋体" w:eastAsia="宋体" w:cs="宋体"/>
          <w:bCs/>
          <w:color w:val="auto"/>
          <w:highlight w:val="none"/>
          <w:u w:val="single"/>
        </w:rPr>
        <w:t xml:space="preserve">                   </w:t>
      </w:r>
    </w:p>
    <w:p w14:paraId="4C00566C">
      <w:pPr>
        <w:pStyle w:val="9"/>
        <w:wordWrap w:val="0"/>
        <w:snapToGrid w:val="0"/>
        <w:spacing w:line="360" w:lineRule="exact"/>
        <w:ind w:left="420" w:leftChars="200" w:firstLine="336" w:firstLineChars="160"/>
        <w:rPr>
          <w:rFonts w:hint="eastAsia" w:ascii="宋体" w:hAnsi="宋体" w:eastAsia="宋体" w:cs="宋体"/>
          <w:bCs/>
          <w:color w:val="auto"/>
          <w:highlight w:val="none"/>
          <w:u w:val="single"/>
        </w:rPr>
      </w:pPr>
      <w:r>
        <w:rPr>
          <w:rFonts w:hint="eastAsia" w:ascii="宋体" w:hAnsi="宋体" w:eastAsia="宋体" w:cs="宋体"/>
          <w:bCs/>
          <w:color w:val="auto"/>
          <w:highlight w:val="none"/>
        </w:rPr>
        <w:t>联系电话：</w:t>
      </w:r>
      <w:r>
        <w:rPr>
          <w:rFonts w:hint="eastAsia" w:ascii="宋体" w:hAnsi="宋体" w:eastAsia="宋体" w:cs="宋体"/>
          <w:bCs/>
          <w:color w:val="auto"/>
          <w:highlight w:val="none"/>
          <w:u w:val="single"/>
        </w:rPr>
        <w:t xml:space="preserve">               </w:t>
      </w:r>
      <w:r>
        <w:rPr>
          <w:rFonts w:hint="eastAsia" w:hAnsi="宋体" w:cs="宋体"/>
          <w:bCs/>
          <w:color w:val="auto"/>
          <w:highlight w:val="none"/>
          <w:u w:val="single"/>
          <w:lang w:val="en-US" w:eastAsia="zh-CN"/>
        </w:rPr>
        <w:t xml:space="preserve"> </w:t>
      </w:r>
      <w:r>
        <w:rPr>
          <w:rFonts w:hint="eastAsia" w:ascii="宋体" w:hAnsi="宋体" w:eastAsia="宋体" w:cs="宋体"/>
          <w:bCs/>
          <w:color w:val="auto"/>
          <w:highlight w:val="none"/>
          <w:u w:val="single"/>
        </w:rPr>
        <w:t xml:space="preserve">   </w:t>
      </w:r>
    </w:p>
    <w:p w14:paraId="6AF48886">
      <w:pPr>
        <w:pStyle w:val="9"/>
        <w:wordWrap w:val="0"/>
        <w:snapToGrid w:val="0"/>
        <w:spacing w:line="360" w:lineRule="exact"/>
        <w:ind w:left="420" w:leftChars="200" w:firstLine="336" w:firstLineChars="160"/>
        <w:rPr>
          <w:rFonts w:hint="eastAsia" w:ascii="宋体" w:hAnsi="宋体" w:eastAsia="宋体" w:cs="宋体"/>
          <w:bCs/>
          <w:color w:val="auto"/>
          <w:highlight w:val="none"/>
        </w:rPr>
      </w:pPr>
      <w:r>
        <w:rPr>
          <w:rFonts w:hint="eastAsia" w:ascii="宋体" w:hAnsi="宋体" w:eastAsia="宋体" w:cs="宋体"/>
          <w:bCs/>
          <w:color w:val="auto"/>
          <w:highlight w:val="none"/>
        </w:rPr>
        <w:t>地址：</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rPr>
        <w:t>邮编：</w:t>
      </w:r>
      <w:r>
        <w:rPr>
          <w:rFonts w:hint="eastAsia" w:ascii="宋体" w:hAnsi="宋体" w:eastAsia="宋体" w:cs="宋体"/>
          <w:bCs/>
          <w:color w:val="auto"/>
          <w:highlight w:val="none"/>
          <w:u w:val="single"/>
        </w:rPr>
        <w:t xml:space="preserve">                  </w:t>
      </w:r>
      <w:r>
        <w:rPr>
          <w:rFonts w:hint="eastAsia" w:ascii="宋体" w:hAnsi="宋体" w:eastAsia="宋体" w:cs="宋体"/>
          <w:bCs/>
          <w:color w:val="auto"/>
          <w:highlight w:val="none"/>
        </w:rPr>
        <w:t xml:space="preserve">     </w:t>
      </w:r>
    </w:p>
    <w:p w14:paraId="5763DD3D">
      <w:pPr>
        <w:pStyle w:val="9"/>
        <w:wordWrap w:val="0"/>
        <w:snapToGrid w:val="0"/>
        <w:spacing w:line="360" w:lineRule="exact"/>
        <w:ind w:left="420" w:leftChars="200" w:firstLine="337" w:firstLineChars="160"/>
        <w:rPr>
          <w:rFonts w:hint="eastAsia" w:ascii="宋体" w:hAnsi="宋体" w:eastAsia="宋体" w:cs="宋体"/>
          <w:b/>
          <w:bCs/>
          <w:color w:val="auto"/>
          <w:highlight w:val="none"/>
        </w:rPr>
      </w:pPr>
      <w:r>
        <w:rPr>
          <w:rFonts w:hint="eastAsia" w:ascii="宋体" w:hAnsi="宋体" w:eastAsia="宋体" w:cs="宋体"/>
          <w:b/>
          <w:bCs/>
          <w:color w:val="auto"/>
          <w:highlight w:val="none"/>
        </w:rPr>
        <w:t>二、质疑项目基本情况：</w:t>
      </w:r>
    </w:p>
    <w:p w14:paraId="089E23CA">
      <w:pPr>
        <w:pStyle w:val="9"/>
        <w:wordWrap w:val="0"/>
        <w:spacing w:line="360" w:lineRule="exact"/>
        <w:ind w:left="420" w:leftChars="200" w:firstLine="336" w:firstLineChars="160"/>
        <w:rPr>
          <w:rFonts w:hint="eastAsia" w:ascii="宋体" w:hAnsi="宋体" w:eastAsia="宋体" w:cs="宋体"/>
          <w:color w:val="auto"/>
          <w:szCs w:val="21"/>
          <w:highlight w:val="none"/>
        </w:rPr>
      </w:pPr>
      <w:r>
        <w:rPr>
          <w:rFonts w:hint="eastAsia" w:ascii="宋体" w:hAnsi="宋体" w:eastAsia="宋体" w:cs="宋体"/>
          <w:bCs/>
          <w:color w:val="auto"/>
          <w:highlight w:val="none"/>
        </w:rPr>
        <w:t>质疑</w:t>
      </w:r>
      <w:r>
        <w:rPr>
          <w:rFonts w:hint="eastAsia" w:ascii="宋体" w:hAnsi="宋体" w:eastAsia="宋体" w:cs="宋体"/>
          <w:color w:val="auto"/>
          <w:szCs w:val="21"/>
          <w:highlight w:val="none"/>
        </w:rPr>
        <w:t>项目的名称：</w:t>
      </w:r>
      <w:r>
        <w:rPr>
          <w:rFonts w:hint="eastAsia" w:ascii="宋体" w:hAnsi="宋体" w:eastAsia="宋体" w:cs="宋体"/>
          <w:color w:val="auto"/>
          <w:szCs w:val="21"/>
          <w:highlight w:val="none"/>
          <w:u w:val="single"/>
        </w:rPr>
        <w:t xml:space="preserve">                                </w:t>
      </w:r>
      <w:r>
        <w:rPr>
          <w:rFonts w:hint="eastAsia" w:hAnsi="宋体" w:cs="宋体"/>
          <w:color w:val="auto"/>
          <w:szCs w:val="21"/>
          <w:highlight w:val="none"/>
          <w:u w:val="single"/>
          <w:lang w:val="en-US" w:eastAsia="zh-CN"/>
        </w:rPr>
        <w:t xml:space="preserve"> </w:t>
      </w:r>
      <w:r>
        <w:rPr>
          <w:rFonts w:hint="eastAsia" w:ascii="宋体" w:hAnsi="宋体" w:eastAsia="宋体" w:cs="宋体"/>
          <w:bCs/>
          <w:color w:val="auto"/>
          <w:highlight w:val="none"/>
          <w:u w:val="single"/>
        </w:rPr>
        <w:t xml:space="preserve">                                </w:t>
      </w:r>
      <w:r>
        <w:rPr>
          <w:rFonts w:hint="eastAsia" w:hAnsi="宋体" w:cs="宋体"/>
          <w:bCs/>
          <w:color w:val="auto"/>
          <w:highlight w:val="none"/>
          <w:u w:val="single"/>
          <w:lang w:val="en-US" w:eastAsia="zh-CN"/>
        </w:rPr>
        <w:t xml:space="preserve"> </w:t>
      </w:r>
      <w:r>
        <w:rPr>
          <w:rFonts w:hint="eastAsia" w:ascii="宋体" w:hAnsi="宋体" w:eastAsia="宋体" w:cs="宋体"/>
          <w:bCs/>
          <w:color w:val="auto"/>
          <w:highlight w:val="none"/>
          <w:u w:val="single"/>
        </w:rPr>
        <w:t xml:space="preserve">  </w:t>
      </w:r>
    </w:p>
    <w:p w14:paraId="007D6C17">
      <w:pPr>
        <w:pStyle w:val="9"/>
        <w:wordWrap w:val="0"/>
        <w:spacing w:line="360" w:lineRule="exact"/>
        <w:ind w:left="420" w:leftChars="200" w:firstLine="336" w:firstLineChars="160"/>
        <w:rPr>
          <w:rFonts w:hint="eastAsia" w:ascii="宋体" w:hAnsi="宋体" w:eastAsia="宋体" w:cs="宋体"/>
          <w:color w:val="auto"/>
          <w:szCs w:val="21"/>
          <w:highlight w:val="none"/>
        </w:rPr>
      </w:pPr>
      <w:r>
        <w:rPr>
          <w:rFonts w:hint="eastAsia" w:ascii="宋体" w:hAnsi="宋体" w:eastAsia="宋体" w:cs="宋体"/>
          <w:bCs/>
          <w:color w:val="auto"/>
          <w:highlight w:val="none"/>
        </w:rPr>
        <w:t>质疑</w:t>
      </w:r>
      <w:r>
        <w:rPr>
          <w:rFonts w:hint="eastAsia" w:ascii="宋体" w:hAnsi="宋体" w:eastAsia="宋体" w:cs="宋体"/>
          <w:color w:val="auto"/>
          <w:szCs w:val="21"/>
          <w:highlight w:val="none"/>
        </w:rPr>
        <w:t>项目的编号：</w:t>
      </w:r>
      <w:r>
        <w:rPr>
          <w:rFonts w:hint="eastAsia" w:ascii="宋体" w:hAnsi="宋体" w:eastAsia="宋体" w:cs="宋体"/>
          <w:color w:val="auto"/>
          <w:szCs w:val="21"/>
          <w:highlight w:val="none"/>
          <w:u w:val="single"/>
        </w:rPr>
        <w:t xml:space="preserve">                                </w:t>
      </w:r>
      <w:r>
        <w:rPr>
          <w:rFonts w:hint="eastAsia" w:hAnsi="宋体" w:cs="宋体"/>
          <w:color w:val="auto"/>
          <w:szCs w:val="21"/>
          <w:highlight w:val="none"/>
          <w:u w:val="single"/>
          <w:lang w:val="en-US" w:eastAsia="zh-CN"/>
        </w:rPr>
        <w:t xml:space="preserve">                                 </w:t>
      </w:r>
      <w:r>
        <w:rPr>
          <w:rFonts w:hint="eastAsia" w:ascii="宋体" w:hAnsi="宋体" w:eastAsia="宋体" w:cs="宋体"/>
          <w:bCs/>
          <w:color w:val="auto"/>
          <w:highlight w:val="none"/>
          <w:u w:val="single"/>
        </w:rPr>
        <w:t xml:space="preserve">   </w:t>
      </w:r>
      <w:r>
        <w:rPr>
          <w:rFonts w:hint="eastAsia" w:ascii="宋体" w:hAnsi="宋体" w:eastAsia="宋体" w:cs="宋体"/>
          <w:color w:val="auto"/>
          <w:szCs w:val="21"/>
          <w:highlight w:val="none"/>
        </w:rPr>
        <w:t xml:space="preserve"> </w:t>
      </w:r>
    </w:p>
    <w:p w14:paraId="178926EF">
      <w:pPr>
        <w:pStyle w:val="9"/>
        <w:wordWrap w:val="0"/>
        <w:spacing w:line="360" w:lineRule="exact"/>
        <w:ind w:left="420" w:leftChars="200" w:firstLine="336" w:firstLineChars="16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采购人名称：</w:t>
      </w:r>
      <w:r>
        <w:rPr>
          <w:rFonts w:hint="eastAsia" w:ascii="宋体" w:hAnsi="宋体" w:eastAsia="宋体" w:cs="宋体"/>
          <w:bCs/>
          <w:color w:val="auto"/>
          <w:highlight w:val="none"/>
          <w:u w:val="single"/>
        </w:rPr>
        <w:t xml:space="preserve">                                         </w:t>
      </w:r>
      <w:r>
        <w:rPr>
          <w:rFonts w:hint="eastAsia" w:hAnsi="宋体" w:cs="宋体"/>
          <w:bCs/>
          <w:color w:val="auto"/>
          <w:highlight w:val="none"/>
          <w:u w:val="single"/>
          <w:lang w:val="en-US" w:eastAsia="zh-CN"/>
        </w:rPr>
        <w:t xml:space="preserve">                               </w:t>
      </w:r>
    </w:p>
    <w:p w14:paraId="689CC5E0">
      <w:pPr>
        <w:pStyle w:val="9"/>
        <w:wordWrap w:val="0"/>
        <w:spacing w:line="360" w:lineRule="exact"/>
        <w:ind w:left="420" w:leftChars="200" w:firstLine="336" w:firstLineChars="16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质疑事项：</w:t>
      </w:r>
    </w:p>
    <w:p w14:paraId="5B04310C">
      <w:pPr>
        <w:pStyle w:val="9"/>
        <w:wordWrap w:val="0"/>
        <w:spacing w:line="360" w:lineRule="exact"/>
        <w:ind w:left="420" w:leftChars="200" w:firstLine="480" w:firstLineChars="160"/>
        <w:rPr>
          <w:rFonts w:hint="eastAsia" w:ascii="宋体" w:hAnsi="宋体" w:eastAsia="宋体" w:cs="宋体"/>
          <w:color w:val="auto"/>
          <w:szCs w:val="21"/>
          <w:highlight w:val="none"/>
        </w:rPr>
      </w:pPr>
      <w:r>
        <w:rPr>
          <w:rFonts w:hint="eastAsia" w:ascii="宋体" w:hAnsi="宋体" w:eastAsia="宋体" w:cs="宋体"/>
          <w:color w:val="auto"/>
          <w:sz w:val="30"/>
          <w:szCs w:val="30"/>
          <w:highlight w:val="none"/>
        </w:rPr>
        <w:t>□</w:t>
      </w:r>
      <w:r>
        <w:rPr>
          <w:rFonts w:hint="eastAsia" w:ascii="宋体" w:hAnsi="宋体" w:eastAsia="宋体" w:cs="宋体"/>
          <w:color w:val="auto"/>
          <w:szCs w:val="21"/>
          <w:highlight w:val="none"/>
        </w:rPr>
        <w:t>磋商文件   采购文件获取日期：</w:t>
      </w:r>
      <w:r>
        <w:rPr>
          <w:rFonts w:hint="eastAsia" w:ascii="宋体" w:hAnsi="宋体" w:eastAsia="宋体" w:cs="宋体"/>
          <w:bCs/>
          <w:color w:val="auto"/>
          <w:highlight w:val="none"/>
          <w:u w:val="single"/>
        </w:rPr>
        <w:t xml:space="preserve">                            </w:t>
      </w:r>
      <w:r>
        <w:rPr>
          <w:rFonts w:hint="eastAsia" w:hAnsi="宋体" w:cs="宋体"/>
          <w:bCs/>
          <w:color w:val="auto"/>
          <w:highlight w:val="none"/>
          <w:u w:val="single"/>
          <w:lang w:val="en-US" w:eastAsia="zh-CN"/>
        </w:rPr>
        <w:t xml:space="preserve">                </w:t>
      </w:r>
      <w:r>
        <w:rPr>
          <w:rFonts w:hint="eastAsia" w:ascii="宋体" w:hAnsi="宋体" w:eastAsia="宋体" w:cs="宋体"/>
          <w:bCs/>
          <w:color w:val="auto"/>
          <w:highlight w:val="none"/>
          <w:u w:val="single"/>
        </w:rPr>
        <w:t xml:space="preserve">       </w:t>
      </w:r>
    </w:p>
    <w:p w14:paraId="41B8EDCB">
      <w:pPr>
        <w:pStyle w:val="9"/>
        <w:wordWrap w:val="0"/>
        <w:spacing w:line="360" w:lineRule="exact"/>
        <w:ind w:left="420" w:leftChars="200" w:firstLine="480" w:firstLineChars="160"/>
        <w:rPr>
          <w:rFonts w:hint="eastAsia" w:ascii="宋体" w:hAnsi="宋体" w:eastAsia="宋体" w:cs="宋体"/>
          <w:color w:val="auto"/>
          <w:szCs w:val="21"/>
          <w:highlight w:val="none"/>
        </w:rPr>
      </w:pPr>
      <w:r>
        <w:rPr>
          <w:rFonts w:hint="eastAsia" w:ascii="宋体" w:hAnsi="宋体" w:eastAsia="宋体" w:cs="宋体"/>
          <w:color w:val="auto"/>
          <w:sz w:val="30"/>
          <w:szCs w:val="30"/>
          <w:highlight w:val="none"/>
        </w:rPr>
        <w:t>□</w:t>
      </w:r>
      <w:r>
        <w:rPr>
          <w:rFonts w:hint="eastAsia" w:ascii="宋体" w:hAnsi="宋体" w:eastAsia="宋体" w:cs="宋体"/>
          <w:color w:val="auto"/>
          <w:szCs w:val="21"/>
          <w:highlight w:val="none"/>
        </w:rPr>
        <w:t xml:space="preserve">采购过程   </w:t>
      </w:r>
    </w:p>
    <w:p w14:paraId="4AD057DD">
      <w:pPr>
        <w:pStyle w:val="9"/>
        <w:wordWrap w:val="0"/>
        <w:spacing w:line="360" w:lineRule="exact"/>
        <w:ind w:left="420" w:leftChars="200" w:firstLine="480" w:firstLineChars="160"/>
        <w:rPr>
          <w:rFonts w:hint="eastAsia" w:ascii="宋体" w:hAnsi="宋体" w:eastAsia="宋体" w:cs="宋体"/>
          <w:bCs/>
          <w:color w:val="auto"/>
          <w:highlight w:val="none"/>
          <w:u w:val="single"/>
        </w:rPr>
      </w:pPr>
      <w:r>
        <w:rPr>
          <w:rFonts w:hint="eastAsia" w:ascii="宋体" w:hAnsi="宋体" w:eastAsia="宋体" w:cs="宋体"/>
          <w:color w:val="auto"/>
          <w:sz w:val="30"/>
          <w:szCs w:val="30"/>
          <w:highlight w:val="none"/>
        </w:rPr>
        <w:t>□</w:t>
      </w:r>
      <w:r>
        <w:rPr>
          <w:rFonts w:hint="eastAsia" w:ascii="宋体" w:hAnsi="宋体" w:eastAsia="宋体" w:cs="宋体"/>
          <w:color w:val="auto"/>
          <w:szCs w:val="21"/>
          <w:highlight w:val="none"/>
        </w:rPr>
        <w:t xml:space="preserve">成交结果   </w:t>
      </w:r>
    </w:p>
    <w:p w14:paraId="6511C092">
      <w:pPr>
        <w:pStyle w:val="9"/>
        <w:wordWrap w:val="0"/>
        <w:spacing w:line="360" w:lineRule="exact"/>
        <w:ind w:left="420" w:leftChars="200" w:firstLine="337" w:firstLineChars="16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三、质疑事项具体内容</w:t>
      </w:r>
    </w:p>
    <w:p w14:paraId="5E468787">
      <w:pPr>
        <w:pStyle w:val="9"/>
        <w:wordWrap w:val="0"/>
        <w:spacing w:line="360" w:lineRule="exact"/>
        <w:ind w:left="420" w:leftChars="200" w:firstLine="336" w:firstLineChars="160"/>
        <w:rPr>
          <w:rFonts w:hint="eastAsia" w:ascii="宋体" w:hAnsi="宋体" w:eastAsia="宋体" w:cs="宋体"/>
          <w:bCs/>
          <w:color w:val="auto"/>
          <w:highlight w:val="none"/>
          <w:u w:val="single"/>
        </w:rPr>
      </w:pPr>
      <w:r>
        <w:rPr>
          <w:rFonts w:hint="eastAsia" w:ascii="宋体" w:hAnsi="宋体" w:eastAsia="宋体" w:cs="宋体"/>
          <w:color w:val="auto"/>
          <w:szCs w:val="21"/>
          <w:highlight w:val="none"/>
        </w:rPr>
        <w:t>质疑事项1：</w:t>
      </w:r>
      <w:r>
        <w:rPr>
          <w:rFonts w:hint="eastAsia" w:ascii="宋体" w:hAnsi="宋体" w:eastAsia="宋体" w:cs="宋体"/>
          <w:color w:val="auto"/>
          <w:szCs w:val="21"/>
          <w:highlight w:val="none"/>
          <w:u w:val="single"/>
        </w:rPr>
        <w:t xml:space="preserve">                                                    </w:t>
      </w:r>
      <w:r>
        <w:rPr>
          <w:rFonts w:hint="eastAsia"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22582D5E">
      <w:pPr>
        <w:pStyle w:val="9"/>
        <w:wordWrap w:val="0"/>
        <w:spacing w:line="360" w:lineRule="exact"/>
        <w:ind w:left="420" w:leftChars="200" w:firstLine="336" w:firstLineChars="16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事实依据：</w:t>
      </w:r>
      <w:r>
        <w:rPr>
          <w:rFonts w:hint="eastAsia" w:ascii="宋体" w:hAnsi="宋体" w:eastAsia="宋体" w:cs="宋体"/>
          <w:color w:val="auto"/>
          <w:szCs w:val="21"/>
          <w:highlight w:val="none"/>
          <w:u w:val="single"/>
        </w:rPr>
        <w:t xml:space="preserve">                                                          </w:t>
      </w:r>
      <w:r>
        <w:rPr>
          <w:rFonts w:hint="eastAsia"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25B77485">
      <w:pPr>
        <w:pStyle w:val="9"/>
        <w:wordWrap w:val="0"/>
        <w:spacing w:line="360" w:lineRule="exact"/>
        <w:ind w:left="420" w:leftChars="200" w:firstLine="336" w:firstLineChars="16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法律依据：</w:t>
      </w:r>
      <w:r>
        <w:rPr>
          <w:rFonts w:hint="eastAsia" w:ascii="宋体" w:hAnsi="宋体" w:eastAsia="宋体" w:cs="宋体"/>
          <w:color w:val="auto"/>
          <w:szCs w:val="21"/>
          <w:highlight w:val="none"/>
          <w:u w:val="single"/>
        </w:rPr>
        <w:t xml:space="preserve">                                                            </w:t>
      </w:r>
      <w:r>
        <w:rPr>
          <w:rFonts w:hint="eastAsia"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2C3F6C3D">
      <w:pPr>
        <w:pStyle w:val="9"/>
        <w:wordWrap w:val="0"/>
        <w:spacing w:line="360" w:lineRule="exact"/>
        <w:ind w:left="420" w:leftChars="200" w:firstLine="336" w:firstLineChars="16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质疑事项2：</w:t>
      </w:r>
      <w:r>
        <w:rPr>
          <w:rFonts w:hint="eastAsia" w:ascii="宋体" w:hAnsi="宋体" w:eastAsia="宋体" w:cs="宋体"/>
          <w:color w:val="auto"/>
          <w:szCs w:val="21"/>
          <w:highlight w:val="none"/>
          <w:u w:val="single"/>
        </w:rPr>
        <w:t xml:space="preserve">                                                            </w:t>
      </w:r>
      <w:r>
        <w:rPr>
          <w:rFonts w:hint="eastAsia"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5840EA9F">
      <w:pPr>
        <w:pStyle w:val="9"/>
        <w:wordWrap w:val="0"/>
        <w:spacing w:line="360" w:lineRule="exact"/>
        <w:ind w:left="420" w:leftChars="200" w:firstLine="336" w:firstLineChars="16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p w14:paraId="5935E381">
      <w:pPr>
        <w:pStyle w:val="9"/>
        <w:wordWrap w:val="0"/>
        <w:spacing w:line="360" w:lineRule="exact"/>
        <w:ind w:left="420" w:leftChars="200" w:firstLine="336" w:firstLineChars="16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四、与质疑事项相关的质疑请求：</w:t>
      </w:r>
    </w:p>
    <w:p w14:paraId="36F31C74">
      <w:pPr>
        <w:pStyle w:val="9"/>
        <w:wordWrap w:val="0"/>
        <w:spacing w:line="360" w:lineRule="exact"/>
        <w:ind w:left="420" w:leftChars="200" w:firstLine="336" w:firstLineChars="16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请求：</w:t>
      </w:r>
      <w:r>
        <w:rPr>
          <w:rFonts w:hint="eastAsia" w:ascii="宋体" w:hAnsi="宋体" w:eastAsia="宋体" w:cs="宋体"/>
          <w:color w:val="auto"/>
          <w:szCs w:val="21"/>
          <w:highlight w:val="none"/>
          <w:u w:val="single"/>
        </w:rPr>
        <w:t xml:space="preserve">                                    </w:t>
      </w:r>
      <w:r>
        <w:rPr>
          <w:rFonts w:hint="eastAsia"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0200F9D2">
      <w:pPr>
        <w:pStyle w:val="9"/>
        <w:wordWrap w:val="0"/>
        <w:spacing w:line="360" w:lineRule="exact"/>
        <w:ind w:left="420" w:leftChars="200" w:firstLine="336" w:firstLineChars="160"/>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签字（签章）：                                       公章：</w:t>
      </w:r>
    </w:p>
    <w:p w14:paraId="44CDCB02">
      <w:pPr>
        <w:pStyle w:val="9"/>
        <w:wordWrap w:val="0"/>
        <w:spacing w:line="360" w:lineRule="exact"/>
        <w:ind w:left="420" w:leftChars="200" w:firstLine="336" w:firstLineChars="160"/>
        <w:rPr>
          <w:rFonts w:hint="eastAsia" w:ascii="宋体" w:hAnsi="宋体" w:eastAsia="宋体" w:cs="宋体"/>
          <w:color w:val="auto"/>
          <w:szCs w:val="21"/>
          <w:highlight w:val="none"/>
        </w:rPr>
      </w:pPr>
    </w:p>
    <w:p w14:paraId="4F4AC47D">
      <w:pPr>
        <w:pStyle w:val="9"/>
        <w:wordWrap w:val="0"/>
        <w:spacing w:line="360" w:lineRule="exact"/>
        <w:ind w:left="420" w:leftChars="200" w:firstLine="336" w:firstLineChars="16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p>
    <w:p w14:paraId="56A4F058">
      <w:pPr>
        <w:pStyle w:val="9"/>
        <w:wordWrap w:val="0"/>
        <w:snapToGrid w:val="0"/>
        <w:spacing w:line="340" w:lineRule="exact"/>
        <w:ind w:left="420" w:leftChars="200" w:firstLine="337" w:firstLineChars="16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说明：</w:t>
      </w:r>
    </w:p>
    <w:p w14:paraId="3BF8213F">
      <w:pPr>
        <w:pStyle w:val="9"/>
        <w:wordWrap w:val="0"/>
        <w:snapToGrid w:val="0"/>
        <w:spacing w:line="340" w:lineRule="exact"/>
        <w:ind w:left="420" w:leftChars="200" w:firstLine="337" w:firstLineChars="16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1.供应商提出质疑时，应提交质疑函和必要的证明材料。</w:t>
      </w:r>
    </w:p>
    <w:p w14:paraId="36054C96">
      <w:pPr>
        <w:pStyle w:val="9"/>
        <w:wordWrap w:val="0"/>
        <w:snapToGrid w:val="0"/>
        <w:spacing w:line="340" w:lineRule="exact"/>
        <w:ind w:left="420" w:leftChars="200" w:firstLine="337" w:firstLineChars="16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7687D21">
      <w:pPr>
        <w:pStyle w:val="9"/>
        <w:wordWrap w:val="0"/>
        <w:snapToGrid w:val="0"/>
        <w:spacing w:line="340" w:lineRule="exact"/>
        <w:ind w:left="420" w:leftChars="200" w:firstLine="337" w:firstLineChars="16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3.质疑函的质疑事项应具体、明确，并有必要的事实依据和法律依据。</w:t>
      </w:r>
    </w:p>
    <w:p w14:paraId="172DBB1D">
      <w:pPr>
        <w:pStyle w:val="9"/>
        <w:wordWrap w:val="0"/>
        <w:snapToGrid w:val="0"/>
        <w:spacing w:line="340" w:lineRule="exact"/>
        <w:ind w:left="420" w:leftChars="200" w:firstLine="337" w:firstLineChars="16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4.质疑函的质疑请求应与质疑事项相关。</w:t>
      </w:r>
    </w:p>
    <w:p w14:paraId="09CBDC0E">
      <w:pPr>
        <w:pStyle w:val="9"/>
        <w:wordWrap w:val="0"/>
        <w:snapToGrid w:val="0"/>
        <w:spacing w:line="340" w:lineRule="exact"/>
        <w:ind w:left="420" w:leftChars="200" w:firstLine="337" w:firstLineChars="16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5.质疑供应商为自然人的，质疑函应由本人签字；质疑供应商为法人或者其他组织的，质疑函应由法定代表人、主要负责人，或者其授权代表签字或者盖章，并加盖公章。</w:t>
      </w:r>
    </w:p>
    <w:p w14:paraId="0FA6EA07">
      <w:pPr>
        <w:wordWrap w:val="0"/>
        <w:ind w:left="420" w:leftChars="200" w:firstLine="336" w:firstLineChars="160"/>
        <w:rPr>
          <w:rFonts w:hint="eastAsia" w:ascii="宋体" w:hAnsi="宋体" w:eastAsia="宋体" w:cs="宋体"/>
          <w:color w:val="auto"/>
          <w:highlight w:val="none"/>
        </w:rPr>
      </w:pPr>
    </w:p>
    <w:p w14:paraId="2DC243C6">
      <w:pPr>
        <w:pStyle w:val="9"/>
        <w:wordWrap w:val="0"/>
        <w:snapToGrid w:val="0"/>
        <w:spacing w:line="3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附表2：</w:t>
      </w:r>
    </w:p>
    <w:p w14:paraId="7BCA5FC7">
      <w:pPr>
        <w:wordWrap w:val="0"/>
        <w:spacing w:line="460" w:lineRule="exact"/>
        <w:ind w:left="420" w:leftChars="200" w:firstLine="576" w:firstLineChars="160"/>
        <w:jc w:val="center"/>
        <w:rPr>
          <w:rFonts w:hint="eastAsia" w:ascii="宋体" w:hAnsi="宋体" w:eastAsia="宋体" w:cs="宋体"/>
          <w:color w:val="auto"/>
          <w:sz w:val="44"/>
          <w:highlight w:val="none"/>
        </w:rPr>
      </w:pPr>
      <w:r>
        <w:rPr>
          <w:rFonts w:hint="eastAsia" w:ascii="宋体" w:hAnsi="宋体" w:eastAsia="宋体" w:cs="宋体"/>
          <w:color w:val="auto"/>
          <w:sz w:val="36"/>
          <w:szCs w:val="21"/>
          <w:highlight w:val="none"/>
        </w:rPr>
        <w:t>投诉书（格式）</w:t>
      </w:r>
    </w:p>
    <w:p w14:paraId="026895A3">
      <w:pPr>
        <w:pStyle w:val="9"/>
        <w:keepNext w:val="0"/>
        <w:keepLines w:val="0"/>
        <w:pageBreakBefore w:val="0"/>
        <w:widowControl w:val="0"/>
        <w:kinsoku/>
        <w:wordWrap w:val="0"/>
        <w:overflowPunct/>
        <w:topLinePunct w:val="0"/>
        <w:autoSpaceDE/>
        <w:autoSpaceDN/>
        <w:bidi w:val="0"/>
        <w:adjustRightInd/>
        <w:snapToGrid w:val="0"/>
        <w:spacing w:line="280" w:lineRule="exact"/>
        <w:ind w:left="0" w:leftChars="0" w:firstLine="361" w:firstLineChars="200"/>
        <w:textAlignment w:val="auto"/>
        <w:rPr>
          <w:rFonts w:hint="eastAsia" w:ascii="宋体" w:hAnsi="宋体" w:eastAsia="宋体" w:cs="宋体"/>
          <w:b/>
          <w:bCs/>
          <w:color w:val="auto"/>
          <w:sz w:val="18"/>
          <w:szCs w:val="16"/>
          <w:highlight w:val="none"/>
        </w:rPr>
      </w:pPr>
      <w:r>
        <w:rPr>
          <w:rFonts w:hint="eastAsia" w:ascii="宋体" w:hAnsi="宋体" w:eastAsia="宋体" w:cs="宋体"/>
          <w:b/>
          <w:bCs/>
          <w:color w:val="auto"/>
          <w:sz w:val="18"/>
          <w:szCs w:val="16"/>
          <w:highlight w:val="none"/>
        </w:rPr>
        <w:t>一、投诉相关主体基本情况：</w:t>
      </w:r>
    </w:p>
    <w:p w14:paraId="1C17360A">
      <w:pPr>
        <w:pStyle w:val="9"/>
        <w:keepNext w:val="0"/>
        <w:keepLines w:val="0"/>
        <w:pageBreakBefore w:val="0"/>
        <w:widowControl w:val="0"/>
        <w:kinsoku/>
        <w:wordWrap w:val="0"/>
        <w:overflowPunct/>
        <w:topLinePunct w:val="0"/>
        <w:autoSpaceDE/>
        <w:autoSpaceDN/>
        <w:bidi w:val="0"/>
        <w:adjustRightInd/>
        <w:snapToGrid w:val="0"/>
        <w:spacing w:line="280" w:lineRule="exact"/>
        <w:ind w:left="0" w:leftChars="0" w:firstLine="360" w:firstLineChars="200"/>
        <w:textAlignment w:val="auto"/>
        <w:rPr>
          <w:rFonts w:hint="eastAsia" w:ascii="宋体" w:hAnsi="宋体" w:eastAsia="宋体" w:cs="宋体"/>
          <w:bCs/>
          <w:color w:val="auto"/>
          <w:sz w:val="18"/>
          <w:szCs w:val="16"/>
          <w:highlight w:val="none"/>
          <w:u w:val="single"/>
        </w:rPr>
      </w:pPr>
      <w:r>
        <w:rPr>
          <w:rFonts w:hint="eastAsia" w:ascii="宋体" w:hAnsi="宋体" w:eastAsia="宋体" w:cs="宋体"/>
          <w:bCs/>
          <w:color w:val="auto"/>
          <w:sz w:val="18"/>
          <w:szCs w:val="16"/>
          <w:highlight w:val="none"/>
        </w:rPr>
        <w:t>供应商：</w:t>
      </w:r>
      <w:r>
        <w:rPr>
          <w:rFonts w:hint="eastAsia" w:ascii="宋体" w:hAnsi="宋体" w:eastAsia="宋体" w:cs="宋体"/>
          <w:bCs/>
          <w:color w:val="auto"/>
          <w:sz w:val="18"/>
          <w:szCs w:val="16"/>
          <w:highlight w:val="none"/>
          <w:u w:val="single"/>
        </w:rPr>
        <w:t xml:space="preserve">              </w:t>
      </w:r>
      <w:r>
        <w:rPr>
          <w:rFonts w:hint="eastAsia" w:hAnsi="宋体" w:cs="宋体"/>
          <w:bCs/>
          <w:color w:val="auto"/>
          <w:sz w:val="18"/>
          <w:szCs w:val="16"/>
          <w:highlight w:val="none"/>
          <w:u w:val="single"/>
          <w:lang w:val="en-US" w:eastAsia="zh-CN"/>
        </w:rPr>
        <w:t xml:space="preserve">                                                   </w:t>
      </w:r>
      <w:r>
        <w:rPr>
          <w:rFonts w:hint="eastAsia" w:ascii="宋体" w:hAnsi="宋体" w:eastAsia="宋体" w:cs="宋体"/>
          <w:bCs/>
          <w:color w:val="auto"/>
          <w:sz w:val="18"/>
          <w:szCs w:val="16"/>
          <w:highlight w:val="none"/>
          <w:u w:val="single"/>
        </w:rPr>
        <w:t xml:space="preserve">       </w:t>
      </w:r>
    </w:p>
    <w:p w14:paraId="168270D7">
      <w:pPr>
        <w:pStyle w:val="9"/>
        <w:keepNext w:val="0"/>
        <w:keepLines w:val="0"/>
        <w:pageBreakBefore w:val="0"/>
        <w:widowControl w:val="0"/>
        <w:kinsoku/>
        <w:wordWrap w:val="0"/>
        <w:overflowPunct/>
        <w:topLinePunct w:val="0"/>
        <w:autoSpaceDE/>
        <w:autoSpaceDN/>
        <w:bidi w:val="0"/>
        <w:adjustRightInd/>
        <w:snapToGrid w:val="0"/>
        <w:spacing w:line="280" w:lineRule="exact"/>
        <w:ind w:left="0" w:leftChars="0" w:firstLine="360" w:firstLineChars="200"/>
        <w:textAlignment w:val="auto"/>
        <w:rPr>
          <w:rFonts w:hint="eastAsia" w:ascii="宋体" w:hAnsi="宋体" w:eastAsia="宋体" w:cs="宋体"/>
          <w:bCs/>
          <w:color w:val="auto"/>
          <w:sz w:val="18"/>
          <w:szCs w:val="16"/>
          <w:highlight w:val="none"/>
          <w:u w:val="single"/>
        </w:rPr>
      </w:pPr>
      <w:r>
        <w:rPr>
          <w:rFonts w:hint="eastAsia" w:ascii="宋体" w:hAnsi="宋体" w:eastAsia="宋体" w:cs="宋体"/>
          <w:bCs/>
          <w:color w:val="auto"/>
          <w:sz w:val="18"/>
          <w:szCs w:val="16"/>
          <w:highlight w:val="none"/>
        </w:rPr>
        <w:t>地址：</w:t>
      </w:r>
      <w:r>
        <w:rPr>
          <w:rFonts w:hint="eastAsia" w:ascii="宋体" w:hAnsi="宋体" w:eastAsia="宋体" w:cs="宋体"/>
          <w:bCs/>
          <w:color w:val="auto"/>
          <w:sz w:val="18"/>
          <w:szCs w:val="16"/>
          <w:highlight w:val="none"/>
          <w:u w:val="single"/>
        </w:rPr>
        <w:t xml:space="preserve">                                          </w:t>
      </w:r>
      <w:r>
        <w:rPr>
          <w:rFonts w:hint="eastAsia" w:ascii="宋体" w:hAnsi="宋体" w:eastAsia="宋体" w:cs="宋体"/>
          <w:bCs/>
          <w:color w:val="auto"/>
          <w:sz w:val="18"/>
          <w:szCs w:val="16"/>
          <w:highlight w:val="none"/>
        </w:rPr>
        <w:t>邮编：</w:t>
      </w:r>
      <w:r>
        <w:rPr>
          <w:rFonts w:hint="eastAsia" w:ascii="宋体" w:hAnsi="宋体" w:eastAsia="宋体" w:cs="宋体"/>
          <w:bCs/>
          <w:color w:val="auto"/>
          <w:sz w:val="18"/>
          <w:szCs w:val="16"/>
          <w:highlight w:val="none"/>
          <w:u w:val="single"/>
        </w:rPr>
        <w:t xml:space="preserve">                          </w:t>
      </w:r>
    </w:p>
    <w:p w14:paraId="743A0AD2">
      <w:pPr>
        <w:pStyle w:val="9"/>
        <w:keepNext w:val="0"/>
        <w:keepLines w:val="0"/>
        <w:pageBreakBefore w:val="0"/>
        <w:widowControl w:val="0"/>
        <w:kinsoku/>
        <w:wordWrap w:val="0"/>
        <w:overflowPunct/>
        <w:topLinePunct w:val="0"/>
        <w:autoSpaceDE/>
        <w:autoSpaceDN/>
        <w:bidi w:val="0"/>
        <w:adjustRightInd/>
        <w:snapToGrid w:val="0"/>
        <w:spacing w:line="280" w:lineRule="exact"/>
        <w:ind w:left="0" w:leftChars="0" w:firstLine="360" w:firstLineChars="200"/>
        <w:textAlignment w:val="auto"/>
        <w:rPr>
          <w:rFonts w:hint="eastAsia" w:ascii="宋体" w:hAnsi="宋体" w:eastAsia="宋体" w:cs="宋体"/>
          <w:bCs/>
          <w:color w:val="auto"/>
          <w:sz w:val="18"/>
          <w:szCs w:val="16"/>
          <w:highlight w:val="none"/>
          <w:lang w:val="en-US" w:eastAsia="zh-CN"/>
        </w:rPr>
      </w:pPr>
      <w:r>
        <w:rPr>
          <w:rFonts w:hint="eastAsia" w:ascii="宋体" w:hAnsi="宋体" w:eastAsia="宋体" w:cs="宋体"/>
          <w:bCs/>
          <w:color w:val="auto"/>
          <w:sz w:val="18"/>
          <w:szCs w:val="16"/>
          <w:highlight w:val="none"/>
        </w:rPr>
        <w:t>法定代表人/主要负责人：</w:t>
      </w:r>
      <w:r>
        <w:rPr>
          <w:rFonts w:hint="eastAsia" w:ascii="宋体" w:hAnsi="宋体" w:eastAsia="宋体" w:cs="宋体"/>
          <w:bCs/>
          <w:color w:val="auto"/>
          <w:sz w:val="18"/>
          <w:szCs w:val="16"/>
          <w:highlight w:val="none"/>
          <w:u w:val="single"/>
        </w:rPr>
        <w:t xml:space="preserve">                         </w:t>
      </w:r>
      <w:r>
        <w:rPr>
          <w:rFonts w:hint="eastAsia" w:ascii="宋体" w:hAnsi="宋体" w:eastAsia="宋体" w:cs="宋体"/>
          <w:bCs/>
          <w:color w:val="auto"/>
          <w:sz w:val="18"/>
          <w:szCs w:val="16"/>
          <w:highlight w:val="none"/>
        </w:rPr>
        <w:t>联系电话：</w:t>
      </w:r>
      <w:r>
        <w:rPr>
          <w:rFonts w:hint="eastAsia" w:ascii="宋体" w:hAnsi="宋体" w:eastAsia="宋体" w:cs="宋体"/>
          <w:bCs/>
          <w:color w:val="auto"/>
          <w:sz w:val="18"/>
          <w:szCs w:val="16"/>
          <w:highlight w:val="none"/>
          <w:u w:val="single"/>
        </w:rPr>
        <w:t xml:space="preserve">                     </w:t>
      </w:r>
      <w:r>
        <w:rPr>
          <w:rFonts w:hint="eastAsia" w:hAnsi="宋体" w:cs="宋体"/>
          <w:bCs/>
          <w:color w:val="auto"/>
          <w:sz w:val="18"/>
          <w:szCs w:val="16"/>
          <w:highlight w:val="none"/>
          <w:u w:val="single"/>
          <w:lang w:val="en-US" w:eastAsia="zh-CN"/>
        </w:rPr>
        <w:t xml:space="preserve"> </w:t>
      </w:r>
    </w:p>
    <w:p w14:paraId="03134012">
      <w:pPr>
        <w:pStyle w:val="9"/>
        <w:keepNext w:val="0"/>
        <w:keepLines w:val="0"/>
        <w:pageBreakBefore w:val="0"/>
        <w:widowControl w:val="0"/>
        <w:kinsoku/>
        <w:wordWrap w:val="0"/>
        <w:overflowPunct/>
        <w:topLinePunct w:val="0"/>
        <w:autoSpaceDE/>
        <w:autoSpaceDN/>
        <w:bidi w:val="0"/>
        <w:adjustRightInd/>
        <w:snapToGrid w:val="0"/>
        <w:spacing w:line="280" w:lineRule="exact"/>
        <w:ind w:left="0" w:leftChars="0" w:firstLine="360" w:firstLineChars="200"/>
        <w:textAlignment w:val="auto"/>
        <w:rPr>
          <w:rFonts w:hint="eastAsia" w:ascii="宋体" w:hAnsi="宋体" w:eastAsia="宋体" w:cs="宋体"/>
          <w:bCs/>
          <w:color w:val="auto"/>
          <w:sz w:val="18"/>
          <w:szCs w:val="16"/>
          <w:highlight w:val="none"/>
          <w:u w:val="single"/>
        </w:rPr>
      </w:pPr>
      <w:r>
        <w:rPr>
          <w:rFonts w:hint="eastAsia" w:ascii="宋体" w:hAnsi="宋体" w:eastAsia="宋体" w:cs="宋体"/>
          <w:bCs/>
          <w:color w:val="auto"/>
          <w:sz w:val="18"/>
          <w:szCs w:val="16"/>
          <w:highlight w:val="none"/>
        </w:rPr>
        <w:t>授权代表：</w:t>
      </w:r>
      <w:r>
        <w:rPr>
          <w:rFonts w:hint="eastAsia" w:ascii="宋体" w:hAnsi="宋体" w:eastAsia="宋体" w:cs="宋体"/>
          <w:bCs/>
          <w:color w:val="auto"/>
          <w:sz w:val="18"/>
          <w:szCs w:val="16"/>
          <w:highlight w:val="none"/>
          <w:u w:val="single"/>
        </w:rPr>
        <w:t xml:space="preserve">                                      </w:t>
      </w:r>
      <w:r>
        <w:rPr>
          <w:rFonts w:hint="eastAsia" w:ascii="宋体" w:hAnsi="宋体" w:eastAsia="宋体" w:cs="宋体"/>
          <w:bCs/>
          <w:color w:val="auto"/>
          <w:sz w:val="18"/>
          <w:szCs w:val="16"/>
          <w:highlight w:val="none"/>
        </w:rPr>
        <w:t>联系电话：</w:t>
      </w:r>
      <w:r>
        <w:rPr>
          <w:rFonts w:hint="eastAsia" w:ascii="宋体" w:hAnsi="宋体" w:eastAsia="宋体" w:cs="宋体"/>
          <w:bCs/>
          <w:color w:val="auto"/>
          <w:sz w:val="18"/>
          <w:szCs w:val="16"/>
          <w:highlight w:val="none"/>
          <w:u w:val="single"/>
        </w:rPr>
        <w:t xml:space="preserve">             </w:t>
      </w:r>
      <w:r>
        <w:rPr>
          <w:rFonts w:hint="eastAsia" w:hAnsi="宋体" w:cs="宋体"/>
          <w:bCs/>
          <w:color w:val="auto"/>
          <w:sz w:val="18"/>
          <w:szCs w:val="16"/>
          <w:highlight w:val="none"/>
          <w:u w:val="single"/>
          <w:lang w:val="en-US" w:eastAsia="zh-CN"/>
        </w:rPr>
        <w:t xml:space="preserve">   </w:t>
      </w:r>
      <w:r>
        <w:rPr>
          <w:rFonts w:hint="eastAsia" w:ascii="宋体" w:hAnsi="宋体" w:eastAsia="宋体" w:cs="宋体"/>
          <w:bCs/>
          <w:color w:val="auto"/>
          <w:sz w:val="18"/>
          <w:szCs w:val="16"/>
          <w:highlight w:val="none"/>
          <w:u w:val="single"/>
        </w:rPr>
        <w:t xml:space="preserve">      </w:t>
      </w:r>
    </w:p>
    <w:p w14:paraId="19ADC3E7">
      <w:pPr>
        <w:pStyle w:val="9"/>
        <w:keepNext w:val="0"/>
        <w:keepLines w:val="0"/>
        <w:pageBreakBefore w:val="0"/>
        <w:widowControl w:val="0"/>
        <w:kinsoku/>
        <w:wordWrap w:val="0"/>
        <w:overflowPunct/>
        <w:topLinePunct w:val="0"/>
        <w:autoSpaceDE/>
        <w:autoSpaceDN/>
        <w:bidi w:val="0"/>
        <w:adjustRightInd/>
        <w:snapToGrid w:val="0"/>
        <w:spacing w:line="280" w:lineRule="exact"/>
        <w:ind w:left="0" w:leftChars="0" w:firstLine="360" w:firstLineChars="200"/>
        <w:textAlignment w:val="auto"/>
        <w:rPr>
          <w:rFonts w:hint="eastAsia" w:ascii="宋体" w:hAnsi="宋体" w:eastAsia="宋体" w:cs="宋体"/>
          <w:bCs/>
          <w:color w:val="auto"/>
          <w:sz w:val="18"/>
          <w:szCs w:val="16"/>
          <w:highlight w:val="none"/>
        </w:rPr>
      </w:pPr>
      <w:r>
        <w:rPr>
          <w:rFonts w:hint="eastAsia" w:ascii="宋体" w:hAnsi="宋体" w:eastAsia="宋体" w:cs="宋体"/>
          <w:bCs/>
          <w:color w:val="auto"/>
          <w:sz w:val="18"/>
          <w:szCs w:val="16"/>
          <w:highlight w:val="none"/>
        </w:rPr>
        <w:t>地址：</w:t>
      </w:r>
      <w:r>
        <w:rPr>
          <w:rFonts w:hint="eastAsia" w:ascii="宋体" w:hAnsi="宋体" w:eastAsia="宋体" w:cs="宋体"/>
          <w:bCs/>
          <w:color w:val="auto"/>
          <w:sz w:val="18"/>
          <w:szCs w:val="16"/>
          <w:highlight w:val="none"/>
          <w:u w:val="single"/>
        </w:rPr>
        <w:t xml:space="preserve">                                          </w:t>
      </w:r>
      <w:r>
        <w:rPr>
          <w:rFonts w:hint="eastAsia" w:ascii="宋体" w:hAnsi="宋体" w:eastAsia="宋体" w:cs="宋体"/>
          <w:bCs/>
          <w:color w:val="auto"/>
          <w:sz w:val="18"/>
          <w:szCs w:val="16"/>
          <w:highlight w:val="none"/>
        </w:rPr>
        <w:t>邮</w:t>
      </w:r>
      <w:r>
        <w:rPr>
          <w:rFonts w:hint="eastAsia" w:hAnsi="宋体" w:cs="宋体"/>
          <w:bCs/>
          <w:color w:val="auto"/>
          <w:sz w:val="18"/>
          <w:szCs w:val="16"/>
          <w:highlight w:val="none"/>
          <w:lang w:val="en-US" w:eastAsia="zh-CN"/>
        </w:rPr>
        <w:t xml:space="preserve">    </w:t>
      </w:r>
      <w:r>
        <w:rPr>
          <w:rFonts w:hint="eastAsia" w:ascii="宋体" w:hAnsi="宋体" w:eastAsia="宋体" w:cs="宋体"/>
          <w:bCs/>
          <w:color w:val="auto"/>
          <w:sz w:val="18"/>
          <w:szCs w:val="16"/>
          <w:highlight w:val="none"/>
        </w:rPr>
        <w:t>编：</w:t>
      </w:r>
      <w:r>
        <w:rPr>
          <w:rFonts w:hint="eastAsia" w:ascii="宋体" w:hAnsi="宋体" w:eastAsia="宋体" w:cs="宋体"/>
          <w:bCs/>
          <w:color w:val="auto"/>
          <w:sz w:val="18"/>
          <w:szCs w:val="16"/>
          <w:highlight w:val="none"/>
          <w:u w:val="single"/>
        </w:rPr>
        <w:t xml:space="preserve">  </w:t>
      </w:r>
      <w:r>
        <w:rPr>
          <w:rFonts w:hint="eastAsia" w:hAnsi="宋体" w:cs="宋体"/>
          <w:bCs/>
          <w:color w:val="auto"/>
          <w:sz w:val="18"/>
          <w:szCs w:val="16"/>
          <w:highlight w:val="none"/>
          <w:u w:val="single"/>
          <w:lang w:val="en-US" w:eastAsia="zh-CN"/>
        </w:rPr>
        <w:t xml:space="preserve">          </w:t>
      </w:r>
      <w:r>
        <w:rPr>
          <w:rFonts w:hint="eastAsia" w:ascii="宋体" w:hAnsi="宋体" w:eastAsia="宋体" w:cs="宋体"/>
          <w:bCs/>
          <w:color w:val="auto"/>
          <w:sz w:val="18"/>
          <w:szCs w:val="16"/>
          <w:highlight w:val="none"/>
          <w:u w:val="single"/>
        </w:rPr>
        <w:t xml:space="preserve"> </w:t>
      </w:r>
      <w:r>
        <w:rPr>
          <w:rFonts w:hint="eastAsia" w:hAnsi="宋体" w:cs="宋体"/>
          <w:bCs/>
          <w:color w:val="auto"/>
          <w:sz w:val="18"/>
          <w:szCs w:val="16"/>
          <w:highlight w:val="none"/>
          <w:u w:val="single"/>
          <w:lang w:val="en-US" w:eastAsia="zh-CN"/>
        </w:rPr>
        <w:t xml:space="preserve">   </w:t>
      </w:r>
      <w:r>
        <w:rPr>
          <w:rFonts w:hint="eastAsia" w:ascii="宋体" w:hAnsi="宋体" w:eastAsia="宋体" w:cs="宋体"/>
          <w:bCs/>
          <w:color w:val="auto"/>
          <w:sz w:val="18"/>
          <w:szCs w:val="16"/>
          <w:highlight w:val="none"/>
          <w:u w:val="single"/>
        </w:rPr>
        <w:t xml:space="preserve">      </w:t>
      </w:r>
      <w:r>
        <w:rPr>
          <w:rFonts w:hint="eastAsia" w:ascii="宋体" w:hAnsi="宋体" w:eastAsia="宋体" w:cs="宋体"/>
          <w:bCs/>
          <w:color w:val="auto"/>
          <w:sz w:val="18"/>
          <w:szCs w:val="16"/>
          <w:highlight w:val="none"/>
        </w:rPr>
        <w:t xml:space="preserve">   </w:t>
      </w:r>
    </w:p>
    <w:p w14:paraId="7CC8F0BF">
      <w:pPr>
        <w:pStyle w:val="9"/>
        <w:keepNext w:val="0"/>
        <w:keepLines w:val="0"/>
        <w:pageBreakBefore w:val="0"/>
        <w:widowControl w:val="0"/>
        <w:kinsoku/>
        <w:wordWrap w:val="0"/>
        <w:overflowPunct/>
        <w:topLinePunct w:val="0"/>
        <w:autoSpaceDE/>
        <w:autoSpaceDN/>
        <w:bidi w:val="0"/>
        <w:adjustRightInd/>
        <w:snapToGrid w:val="0"/>
        <w:spacing w:line="280" w:lineRule="exact"/>
        <w:ind w:left="0" w:leftChars="0" w:firstLine="360" w:firstLineChars="200"/>
        <w:textAlignment w:val="auto"/>
        <w:rPr>
          <w:rFonts w:hint="eastAsia" w:ascii="宋体" w:hAnsi="宋体" w:eastAsia="宋体" w:cs="宋体"/>
          <w:bCs/>
          <w:color w:val="auto"/>
          <w:sz w:val="18"/>
          <w:szCs w:val="16"/>
          <w:highlight w:val="none"/>
        </w:rPr>
      </w:pPr>
      <w:r>
        <w:rPr>
          <w:rFonts w:hint="eastAsia" w:ascii="宋体" w:hAnsi="宋体" w:eastAsia="宋体" w:cs="宋体"/>
          <w:bCs/>
          <w:color w:val="auto"/>
          <w:sz w:val="18"/>
          <w:szCs w:val="16"/>
          <w:highlight w:val="none"/>
        </w:rPr>
        <w:t>被投诉人1：</w:t>
      </w:r>
    </w:p>
    <w:p w14:paraId="0579A96E">
      <w:pPr>
        <w:pStyle w:val="9"/>
        <w:keepNext w:val="0"/>
        <w:keepLines w:val="0"/>
        <w:pageBreakBefore w:val="0"/>
        <w:widowControl w:val="0"/>
        <w:kinsoku/>
        <w:wordWrap w:val="0"/>
        <w:overflowPunct/>
        <w:topLinePunct w:val="0"/>
        <w:autoSpaceDE/>
        <w:autoSpaceDN/>
        <w:bidi w:val="0"/>
        <w:adjustRightInd/>
        <w:snapToGrid w:val="0"/>
        <w:spacing w:line="280" w:lineRule="exact"/>
        <w:ind w:left="0" w:leftChars="0" w:firstLine="360" w:firstLineChars="200"/>
        <w:textAlignment w:val="auto"/>
        <w:rPr>
          <w:rFonts w:hint="eastAsia" w:ascii="宋体" w:hAnsi="宋体" w:eastAsia="宋体" w:cs="宋体"/>
          <w:bCs/>
          <w:color w:val="auto"/>
          <w:sz w:val="18"/>
          <w:szCs w:val="16"/>
          <w:highlight w:val="none"/>
        </w:rPr>
      </w:pPr>
      <w:r>
        <w:rPr>
          <w:rFonts w:hint="eastAsia" w:ascii="宋体" w:hAnsi="宋体" w:eastAsia="宋体" w:cs="宋体"/>
          <w:bCs/>
          <w:color w:val="auto"/>
          <w:sz w:val="18"/>
          <w:szCs w:val="16"/>
          <w:highlight w:val="none"/>
        </w:rPr>
        <w:t>地址：</w:t>
      </w:r>
      <w:r>
        <w:rPr>
          <w:rFonts w:hint="eastAsia" w:ascii="宋体" w:hAnsi="宋体" w:eastAsia="宋体" w:cs="宋体"/>
          <w:bCs/>
          <w:color w:val="auto"/>
          <w:sz w:val="18"/>
          <w:szCs w:val="16"/>
          <w:highlight w:val="none"/>
          <w:u w:val="single"/>
        </w:rPr>
        <w:t xml:space="preserve">                                         </w:t>
      </w:r>
      <w:r>
        <w:rPr>
          <w:rFonts w:hint="eastAsia" w:hAnsi="宋体" w:cs="宋体"/>
          <w:bCs/>
          <w:color w:val="auto"/>
          <w:sz w:val="18"/>
          <w:szCs w:val="16"/>
          <w:highlight w:val="none"/>
          <w:u w:val="single"/>
          <w:lang w:val="en-US" w:eastAsia="zh-CN"/>
        </w:rPr>
        <w:t xml:space="preserve">  </w:t>
      </w:r>
      <w:r>
        <w:rPr>
          <w:rFonts w:hint="eastAsia" w:ascii="宋体" w:hAnsi="宋体" w:eastAsia="宋体" w:cs="宋体"/>
          <w:bCs/>
          <w:color w:val="auto"/>
          <w:sz w:val="18"/>
          <w:szCs w:val="16"/>
          <w:highlight w:val="none"/>
        </w:rPr>
        <w:t>邮</w:t>
      </w:r>
      <w:r>
        <w:rPr>
          <w:rFonts w:hint="eastAsia" w:hAnsi="宋体" w:cs="宋体"/>
          <w:bCs/>
          <w:color w:val="auto"/>
          <w:sz w:val="18"/>
          <w:szCs w:val="16"/>
          <w:highlight w:val="none"/>
          <w:lang w:val="en-US" w:eastAsia="zh-CN"/>
        </w:rPr>
        <w:t xml:space="preserve">    </w:t>
      </w:r>
      <w:r>
        <w:rPr>
          <w:rFonts w:hint="eastAsia" w:ascii="宋体" w:hAnsi="宋体" w:eastAsia="宋体" w:cs="宋体"/>
          <w:bCs/>
          <w:color w:val="auto"/>
          <w:sz w:val="18"/>
          <w:szCs w:val="16"/>
          <w:highlight w:val="none"/>
        </w:rPr>
        <w:t>编：</w:t>
      </w:r>
      <w:r>
        <w:rPr>
          <w:rFonts w:hint="eastAsia" w:ascii="宋体" w:hAnsi="宋体" w:eastAsia="宋体" w:cs="宋体"/>
          <w:bCs/>
          <w:color w:val="auto"/>
          <w:sz w:val="18"/>
          <w:szCs w:val="16"/>
          <w:highlight w:val="none"/>
          <w:u w:val="single"/>
        </w:rPr>
        <w:t xml:space="preserve">     </w:t>
      </w:r>
      <w:r>
        <w:rPr>
          <w:rFonts w:hint="eastAsia" w:hAnsi="宋体" w:cs="宋体"/>
          <w:bCs/>
          <w:color w:val="auto"/>
          <w:sz w:val="18"/>
          <w:szCs w:val="16"/>
          <w:highlight w:val="none"/>
          <w:u w:val="single"/>
          <w:lang w:val="en-US" w:eastAsia="zh-CN"/>
        </w:rPr>
        <w:t xml:space="preserve">            </w:t>
      </w:r>
      <w:r>
        <w:rPr>
          <w:rFonts w:hint="eastAsia" w:ascii="宋体" w:hAnsi="宋体" w:eastAsia="宋体" w:cs="宋体"/>
          <w:bCs/>
          <w:color w:val="auto"/>
          <w:sz w:val="18"/>
          <w:szCs w:val="16"/>
          <w:highlight w:val="none"/>
          <w:u w:val="single"/>
        </w:rPr>
        <w:t xml:space="preserve">    </w:t>
      </w:r>
      <w:r>
        <w:rPr>
          <w:rFonts w:hint="eastAsia" w:ascii="宋体" w:hAnsi="宋体" w:eastAsia="宋体" w:cs="宋体"/>
          <w:bCs/>
          <w:color w:val="auto"/>
          <w:sz w:val="18"/>
          <w:szCs w:val="16"/>
          <w:highlight w:val="none"/>
        </w:rPr>
        <w:t xml:space="preserve">  </w:t>
      </w:r>
    </w:p>
    <w:p w14:paraId="52AF0ADA">
      <w:pPr>
        <w:pStyle w:val="9"/>
        <w:keepNext w:val="0"/>
        <w:keepLines w:val="0"/>
        <w:pageBreakBefore w:val="0"/>
        <w:widowControl w:val="0"/>
        <w:kinsoku/>
        <w:wordWrap w:val="0"/>
        <w:overflowPunct/>
        <w:topLinePunct w:val="0"/>
        <w:autoSpaceDE/>
        <w:autoSpaceDN/>
        <w:bidi w:val="0"/>
        <w:adjustRightInd/>
        <w:snapToGrid w:val="0"/>
        <w:spacing w:line="280" w:lineRule="exact"/>
        <w:ind w:left="0" w:leftChars="0" w:firstLine="360" w:firstLineChars="200"/>
        <w:textAlignment w:val="auto"/>
        <w:rPr>
          <w:rFonts w:hint="eastAsia" w:ascii="宋体" w:hAnsi="宋体" w:eastAsia="宋体" w:cs="宋体"/>
          <w:bCs/>
          <w:color w:val="auto"/>
          <w:sz w:val="18"/>
          <w:szCs w:val="16"/>
          <w:highlight w:val="none"/>
          <w:u w:val="single"/>
        </w:rPr>
      </w:pPr>
      <w:r>
        <w:rPr>
          <w:rFonts w:hint="eastAsia" w:ascii="宋体" w:hAnsi="宋体" w:eastAsia="宋体" w:cs="宋体"/>
          <w:bCs/>
          <w:color w:val="auto"/>
          <w:sz w:val="18"/>
          <w:szCs w:val="16"/>
          <w:highlight w:val="none"/>
        </w:rPr>
        <w:t>联系人：</w:t>
      </w:r>
      <w:r>
        <w:rPr>
          <w:rFonts w:hint="eastAsia" w:ascii="宋体" w:hAnsi="宋体" w:eastAsia="宋体" w:cs="宋体"/>
          <w:bCs/>
          <w:color w:val="auto"/>
          <w:sz w:val="18"/>
          <w:szCs w:val="16"/>
          <w:highlight w:val="none"/>
          <w:u w:val="single"/>
        </w:rPr>
        <w:t xml:space="preserve">                                         </w:t>
      </w:r>
      <w:r>
        <w:rPr>
          <w:rFonts w:hint="eastAsia" w:ascii="宋体" w:hAnsi="宋体" w:eastAsia="宋体" w:cs="宋体"/>
          <w:bCs/>
          <w:color w:val="auto"/>
          <w:sz w:val="18"/>
          <w:szCs w:val="16"/>
          <w:highlight w:val="none"/>
        </w:rPr>
        <w:t>联系电话：</w:t>
      </w:r>
      <w:r>
        <w:rPr>
          <w:rFonts w:hint="eastAsia" w:ascii="宋体" w:hAnsi="宋体" w:eastAsia="宋体" w:cs="宋体"/>
          <w:bCs/>
          <w:color w:val="auto"/>
          <w:sz w:val="18"/>
          <w:szCs w:val="16"/>
          <w:highlight w:val="none"/>
          <w:u w:val="single"/>
        </w:rPr>
        <w:t xml:space="preserve">  </w:t>
      </w:r>
      <w:r>
        <w:rPr>
          <w:rFonts w:hint="eastAsia" w:hAnsi="宋体" w:cs="宋体"/>
          <w:bCs/>
          <w:color w:val="auto"/>
          <w:sz w:val="18"/>
          <w:szCs w:val="16"/>
          <w:highlight w:val="none"/>
          <w:u w:val="single"/>
          <w:lang w:val="en-US" w:eastAsia="zh-CN"/>
        </w:rPr>
        <w:t xml:space="preserve">   </w:t>
      </w:r>
      <w:r>
        <w:rPr>
          <w:rFonts w:hint="eastAsia" w:ascii="宋体" w:hAnsi="宋体" w:eastAsia="宋体" w:cs="宋体"/>
          <w:bCs/>
          <w:color w:val="auto"/>
          <w:sz w:val="18"/>
          <w:szCs w:val="16"/>
          <w:highlight w:val="none"/>
          <w:u w:val="single"/>
        </w:rPr>
        <w:t xml:space="preserve">        </w:t>
      </w:r>
      <w:r>
        <w:rPr>
          <w:rFonts w:hint="eastAsia" w:hAnsi="宋体" w:cs="宋体"/>
          <w:bCs/>
          <w:color w:val="auto"/>
          <w:sz w:val="18"/>
          <w:szCs w:val="16"/>
          <w:highlight w:val="none"/>
          <w:u w:val="single"/>
          <w:lang w:val="en-US" w:eastAsia="zh-CN"/>
        </w:rPr>
        <w:t xml:space="preserve">  </w:t>
      </w:r>
      <w:r>
        <w:rPr>
          <w:rFonts w:hint="eastAsia" w:ascii="宋体" w:hAnsi="宋体" w:eastAsia="宋体" w:cs="宋体"/>
          <w:bCs/>
          <w:color w:val="auto"/>
          <w:sz w:val="18"/>
          <w:szCs w:val="16"/>
          <w:highlight w:val="none"/>
          <w:u w:val="single"/>
        </w:rPr>
        <w:t xml:space="preserve">      </w:t>
      </w:r>
    </w:p>
    <w:p w14:paraId="6E642D28">
      <w:pPr>
        <w:pStyle w:val="9"/>
        <w:keepNext w:val="0"/>
        <w:keepLines w:val="0"/>
        <w:pageBreakBefore w:val="0"/>
        <w:widowControl w:val="0"/>
        <w:kinsoku/>
        <w:wordWrap w:val="0"/>
        <w:overflowPunct/>
        <w:topLinePunct w:val="0"/>
        <w:autoSpaceDE/>
        <w:autoSpaceDN/>
        <w:bidi w:val="0"/>
        <w:adjustRightInd/>
        <w:snapToGrid w:val="0"/>
        <w:spacing w:line="280" w:lineRule="exact"/>
        <w:ind w:left="0" w:leftChars="0" w:firstLine="360" w:firstLineChars="200"/>
        <w:textAlignment w:val="auto"/>
        <w:rPr>
          <w:rFonts w:hint="eastAsia" w:ascii="宋体" w:hAnsi="宋体" w:eastAsia="宋体" w:cs="宋体"/>
          <w:bCs/>
          <w:color w:val="auto"/>
          <w:sz w:val="18"/>
          <w:szCs w:val="16"/>
          <w:highlight w:val="none"/>
        </w:rPr>
      </w:pPr>
      <w:r>
        <w:rPr>
          <w:rFonts w:hint="eastAsia" w:ascii="宋体" w:hAnsi="宋体" w:eastAsia="宋体" w:cs="宋体"/>
          <w:bCs/>
          <w:color w:val="auto"/>
          <w:sz w:val="18"/>
          <w:szCs w:val="16"/>
          <w:highlight w:val="none"/>
        </w:rPr>
        <w:t>被投诉人2：</w:t>
      </w:r>
    </w:p>
    <w:p w14:paraId="3B0A90EE">
      <w:pPr>
        <w:pStyle w:val="9"/>
        <w:keepNext w:val="0"/>
        <w:keepLines w:val="0"/>
        <w:pageBreakBefore w:val="0"/>
        <w:widowControl w:val="0"/>
        <w:kinsoku/>
        <w:wordWrap w:val="0"/>
        <w:overflowPunct/>
        <w:topLinePunct w:val="0"/>
        <w:autoSpaceDE/>
        <w:autoSpaceDN/>
        <w:bidi w:val="0"/>
        <w:adjustRightInd/>
        <w:snapToGrid w:val="0"/>
        <w:spacing w:line="280" w:lineRule="exact"/>
        <w:ind w:left="0" w:leftChars="0" w:firstLine="360" w:firstLineChars="200"/>
        <w:textAlignment w:val="auto"/>
        <w:rPr>
          <w:rFonts w:hint="eastAsia" w:ascii="宋体" w:hAnsi="宋体" w:eastAsia="宋体" w:cs="宋体"/>
          <w:bCs/>
          <w:color w:val="auto"/>
          <w:sz w:val="18"/>
          <w:szCs w:val="16"/>
          <w:highlight w:val="none"/>
        </w:rPr>
      </w:pPr>
      <w:r>
        <w:rPr>
          <w:rFonts w:hint="eastAsia" w:ascii="宋体" w:hAnsi="宋体" w:eastAsia="宋体" w:cs="宋体"/>
          <w:bCs/>
          <w:color w:val="auto"/>
          <w:sz w:val="18"/>
          <w:szCs w:val="16"/>
          <w:highlight w:val="none"/>
        </w:rPr>
        <w:t>……</w:t>
      </w:r>
    </w:p>
    <w:p w14:paraId="5C64815E">
      <w:pPr>
        <w:pStyle w:val="9"/>
        <w:keepNext w:val="0"/>
        <w:keepLines w:val="0"/>
        <w:pageBreakBefore w:val="0"/>
        <w:widowControl w:val="0"/>
        <w:kinsoku/>
        <w:wordWrap w:val="0"/>
        <w:overflowPunct/>
        <w:topLinePunct w:val="0"/>
        <w:autoSpaceDE/>
        <w:autoSpaceDN/>
        <w:bidi w:val="0"/>
        <w:adjustRightInd/>
        <w:snapToGrid w:val="0"/>
        <w:spacing w:line="280" w:lineRule="exact"/>
        <w:ind w:left="0" w:leftChars="0" w:firstLine="360" w:firstLineChars="200"/>
        <w:textAlignment w:val="auto"/>
        <w:rPr>
          <w:rFonts w:hint="eastAsia" w:ascii="宋体" w:hAnsi="宋体" w:eastAsia="宋体" w:cs="宋体"/>
          <w:bCs/>
          <w:color w:val="auto"/>
          <w:sz w:val="18"/>
          <w:szCs w:val="16"/>
          <w:highlight w:val="none"/>
          <w:u w:val="single"/>
        </w:rPr>
      </w:pPr>
      <w:r>
        <w:rPr>
          <w:rFonts w:hint="eastAsia" w:ascii="宋体" w:hAnsi="宋体" w:eastAsia="宋体" w:cs="宋体"/>
          <w:bCs/>
          <w:color w:val="auto"/>
          <w:sz w:val="18"/>
          <w:szCs w:val="16"/>
          <w:highlight w:val="none"/>
        </w:rPr>
        <w:t>相关供应商：</w:t>
      </w:r>
      <w:r>
        <w:rPr>
          <w:rFonts w:hint="eastAsia" w:ascii="宋体" w:hAnsi="宋体" w:eastAsia="宋体" w:cs="宋体"/>
          <w:bCs/>
          <w:color w:val="auto"/>
          <w:sz w:val="18"/>
          <w:szCs w:val="16"/>
          <w:highlight w:val="none"/>
          <w:u w:val="single"/>
        </w:rPr>
        <w:t xml:space="preserve">              </w:t>
      </w:r>
      <w:r>
        <w:rPr>
          <w:rFonts w:hint="eastAsia" w:hAnsi="宋体" w:cs="宋体"/>
          <w:bCs/>
          <w:color w:val="auto"/>
          <w:sz w:val="18"/>
          <w:szCs w:val="16"/>
          <w:highlight w:val="none"/>
          <w:u w:val="single"/>
          <w:lang w:val="en-US" w:eastAsia="zh-CN"/>
        </w:rPr>
        <w:t xml:space="preserve">                                                  </w:t>
      </w:r>
      <w:r>
        <w:rPr>
          <w:rFonts w:hint="eastAsia" w:ascii="宋体" w:hAnsi="宋体" w:eastAsia="宋体" w:cs="宋体"/>
          <w:bCs/>
          <w:color w:val="auto"/>
          <w:sz w:val="18"/>
          <w:szCs w:val="16"/>
          <w:highlight w:val="none"/>
          <w:u w:val="single"/>
        </w:rPr>
        <w:t xml:space="preserve">    </w:t>
      </w:r>
    </w:p>
    <w:p w14:paraId="012D0542">
      <w:pPr>
        <w:pStyle w:val="9"/>
        <w:keepNext w:val="0"/>
        <w:keepLines w:val="0"/>
        <w:pageBreakBefore w:val="0"/>
        <w:widowControl w:val="0"/>
        <w:kinsoku/>
        <w:wordWrap w:val="0"/>
        <w:overflowPunct/>
        <w:topLinePunct w:val="0"/>
        <w:autoSpaceDE/>
        <w:autoSpaceDN/>
        <w:bidi w:val="0"/>
        <w:adjustRightInd/>
        <w:snapToGrid w:val="0"/>
        <w:spacing w:line="280" w:lineRule="exact"/>
        <w:ind w:left="0" w:leftChars="0" w:firstLine="360" w:firstLineChars="200"/>
        <w:textAlignment w:val="auto"/>
        <w:rPr>
          <w:rFonts w:hint="eastAsia" w:ascii="宋体" w:hAnsi="宋体" w:eastAsia="宋体" w:cs="宋体"/>
          <w:bCs/>
          <w:color w:val="auto"/>
          <w:sz w:val="18"/>
          <w:szCs w:val="16"/>
          <w:highlight w:val="none"/>
          <w:u w:val="single"/>
        </w:rPr>
      </w:pPr>
      <w:r>
        <w:rPr>
          <w:rFonts w:hint="eastAsia" w:ascii="宋体" w:hAnsi="宋体" w:eastAsia="宋体" w:cs="宋体"/>
          <w:bCs/>
          <w:color w:val="auto"/>
          <w:sz w:val="18"/>
          <w:szCs w:val="16"/>
          <w:highlight w:val="none"/>
        </w:rPr>
        <w:t>地址：</w:t>
      </w:r>
      <w:r>
        <w:rPr>
          <w:rFonts w:hint="eastAsia" w:ascii="宋体" w:hAnsi="宋体" w:eastAsia="宋体" w:cs="宋体"/>
          <w:bCs/>
          <w:color w:val="auto"/>
          <w:sz w:val="18"/>
          <w:szCs w:val="16"/>
          <w:highlight w:val="none"/>
          <w:u w:val="single"/>
        </w:rPr>
        <w:t xml:space="preserve">                                            </w:t>
      </w:r>
      <w:r>
        <w:rPr>
          <w:rFonts w:hint="eastAsia" w:ascii="宋体" w:hAnsi="宋体" w:eastAsia="宋体" w:cs="宋体"/>
          <w:bCs/>
          <w:color w:val="auto"/>
          <w:sz w:val="18"/>
          <w:szCs w:val="16"/>
          <w:highlight w:val="none"/>
        </w:rPr>
        <w:t>邮</w:t>
      </w:r>
      <w:r>
        <w:rPr>
          <w:rFonts w:hint="eastAsia" w:hAnsi="宋体" w:cs="宋体"/>
          <w:bCs/>
          <w:color w:val="auto"/>
          <w:sz w:val="18"/>
          <w:szCs w:val="16"/>
          <w:highlight w:val="none"/>
          <w:lang w:val="en-US" w:eastAsia="zh-CN"/>
        </w:rPr>
        <w:t xml:space="preserve">    </w:t>
      </w:r>
      <w:r>
        <w:rPr>
          <w:rFonts w:hint="eastAsia" w:ascii="宋体" w:hAnsi="宋体" w:eastAsia="宋体" w:cs="宋体"/>
          <w:bCs/>
          <w:color w:val="auto"/>
          <w:sz w:val="18"/>
          <w:szCs w:val="16"/>
          <w:highlight w:val="none"/>
        </w:rPr>
        <w:t>编：</w:t>
      </w:r>
      <w:r>
        <w:rPr>
          <w:rFonts w:hint="eastAsia" w:ascii="宋体" w:hAnsi="宋体" w:eastAsia="宋体" w:cs="宋体"/>
          <w:bCs/>
          <w:color w:val="auto"/>
          <w:sz w:val="18"/>
          <w:szCs w:val="16"/>
          <w:highlight w:val="none"/>
          <w:u w:val="single"/>
        </w:rPr>
        <w:t xml:space="preserve">                    </w:t>
      </w:r>
    </w:p>
    <w:p w14:paraId="7FA593C2">
      <w:pPr>
        <w:pStyle w:val="9"/>
        <w:keepNext w:val="0"/>
        <w:keepLines w:val="0"/>
        <w:pageBreakBefore w:val="0"/>
        <w:widowControl w:val="0"/>
        <w:kinsoku/>
        <w:wordWrap w:val="0"/>
        <w:overflowPunct/>
        <w:topLinePunct w:val="0"/>
        <w:autoSpaceDE/>
        <w:autoSpaceDN/>
        <w:bidi w:val="0"/>
        <w:adjustRightInd/>
        <w:snapToGrid w:val="0"/>
        <w:spacing w:line="280" w:lineRule="exact"/>
        <w:ind w:left="0" w:leftChars="0" w:firstLine="360" w:firstLineChars="200"/>
        <w:textAlignment w:val="auto"/>
        <w:rPr>
          <w:rFonts w:hint="eastAsia" w:ascii="宋体" w:hAnsi="宋体" w:eastAsia="宋体" w:cs="宋体"/>
          <w:bCs/>
          <w:color w:val="auto"/>
          <w:sz w:val="18"/>
          <w:szCs w:val="16"/>
          <w:highlight w:val="none"/>
        </w:rPr>
      </w:pPr>
      <w:r>
        <w:rPr>
          <w:rFonts w:hint="eastAsia" w:ascii="宋体" w:hAnsi="宋体" w:eastAsia="宋体" w:cs="宋体"/>
          <w:bCs/>
          <w:color w:val="auto"/>
          <w:sz w:val="18"/>
          <w:szCs w:val="16"/>
          <w:highlight w:val="none"/>
        </w:rPr>
        <w:t>联系人：</w:t>
      </w:r>
      <w:r>
        <w:rPr>
          <w:rFonts w:hint="eastAsia" w:ascii="宋体" w:hAnsi="宋体" w:eastAsia="宋体" w:cs="宋体"/>
          <w:bCs/>
          <w:color w:val="auto"/>
          <w:sz w:val="18"/>
          <w:szCs w:val="16"/>
          <w:highlight w:val="none"/>
          <w:u w:val="single"/>
        </w:rPr>
        <w:t xml:space="preserve">                                          </w:t>
      </w:r>
      <w:r>
        <w:rPr>
          <w:rFonts w:hint="eastAsia" w:ascii="宋体" w:hAnsi="宋体" w:eastAsia="宋体" w:cs="宋体"/>
          <w:bCs/>
          <w:color w:val="auto"/>
          <w:sz w:val="18"/>
          <w:szCs w:val="16"/>
          <w:highlight w:val="none"/>
        </w:rPr>
        <w:t>联系电话：</w:t>
      </w:r>
      <w:r>
        <w:rPr>
          <w:rFonts w:hint="eastAsia" w:ascii="宋体" w:hAnsi="宋体" w:eastAsia="宋体" w:cs="宋体"/>
          <w:bCs/>
          <w:color w:val="auto"/>
          <w:sz w:val="18"/>
          <w:szCs w:val="16"/>
          <w:highlight w:val="none"/>
          <w:u w:val="single"/>
        </w:rPr>
        <w:t xml:space="preserve">                    </w:t>
      </w:r>
      <w:r>
        <w:rPr>
          <w:rFonts w:hint="eastAsia" w:ascii="宋体" w:hAnsi="宋体" w:eastAsia="宋体" w:cs="宋体"/>
          <w:bCs/>
          <w:color w:val="auto"/>
          <w:sz w:val="18"/>
          <w:szCs w:val="16"/>
          <w:highlight w:val="none"/>
        </w:rPr>
        <w:t xml:space="preserve">   </w:t>
      </w:r>
    </w:p>
    <w:p w14:paraId="26A16DF9">
      <w:pPr>
        <w:pStyle w:val="9"/>
        <w:keepNext w:val="0"/>
        <w:keepLines w:val="0"/>
        <w:pageBreakBefore w:val="0"/>
        <w:widowControl w:val="0"/>
        <w:kinsoku/>
        <w:wordWrap w:val="0"/>
        <w:overflowPunct/>
        <w:topLinePunct w:val="0"/>
        <w:autoSpaceDE/>
        <w:autoSpaceDN/>
        <w:bidi w:val="0"/>
        <w:adjustRightInd/>
        <w:snapToGrid w:val="0"/>
        <w:spacing w:line="280" w:lineRule="exact"/>
        <w:ind w:left="0" w:leftChars="0" w:firstLine="361" w:firstLineChars="200"/>
        <w:textAlignment w:val="auto"/>
        <w:rPr>
          <w:rFonts w:hint="eastAsia" w:ascii="宋体" w:hAnsi="宋体" w:eastAsia="宋体" w:cs="宋体"/>
          <w:b/>
          <w:bCs/>
          <w:color w:val="auto"/>
          <w:sz w:val="18"/>
          <w:szCs w:val="16"/>
          <w:highlight w:val="none"/>
        </w:rPr>
      </w:pPr>
      <w:r>
        <w:rPr>
          <w:rFonts w:hint="eastAsia" w:ascii="宋体" w:hAnsi="宋体" w:eastAsia="宋体" w:cs="宋体"/>
          <w:b/>
          <w:bCs/>
          <w:color w:val="auto"/>
          <w:sz w:val="18"/>
          <w:szCs w:val="16"/>
          <w:highlight w:val="none"/>
        </w:rPr>
        <w:t>二、投诉项目基本情况：</w:t>
      </w:r>
    </w:p>
    <w:p w14:paraId="499781DD">
      <w:pPr>
        <w:pStyle w:val="9"/>
        <w:keepNext w:val="0"/>
        <w:keepLines w:val="0"/>
        <w:pageBreakBefore w:val="0"/>
        <w:widowControl w:val="0"/>
        <w:kinsoku/>
        <w:wordWrap w:val="0"/>
        <w:overflowPunct/>
        <w:topLinePunct w:val="0"/>
        <w:autoSpaceDE/>
        <w:autoSpaceDN/>
        <w:bidi w:val="0"/>
        <w:adjustRightInd/>
        <w:spacing w:line="280" w:lineRule="exact"/>
        <w:ind w:left="0" w:leftChars="0" w:firstLine="360" w:firstLineChars="200"/>
        <w:textAlignment w:val="auto"/>
        <w:rPr>
          <w:rFonts w:hint="eastAsia" w:ascii="宋体" w:hAnsi="宋体" w:eastAsia="宋体" w:cs="宋体"/>
          <w:color w:val="auto"/>
          <w:sz w:val="18"/>
          <w:szCs w:val="18"/>
          <w:highlight w:val="none"/>
        </w:rPr>
      </w:pPr>
      <w:r>
        <w:rPr>
          <w:rFonts w:hint="eastAsia" w:ascii="宋体" w:hAnsi="宋体" w:eastAsia="宋体" w:cs="宋体"/>
          <w:bCs/>
          <w:color w:val="auto"/>
          <w:sz w:val="18"/>
          <w:szCs w:val="16"/>
          <w:highlight w:val="none"/>
        </w:rPr>
        <w:t>采购</w:t>
      </w:r>
      <w:r>
        <w:rPr>
          <w:rFonts w:hint="eastAsia" w:ascii="宋体" w:hAnsi="宋体" w:eastAsia="宋体" w:cs="宋体"/>
          <w:color w:val="auto"/>
          <w:sz w:val="18"/>
          <w:szCs w:val="18"/>
          <w:highlight w:val="none"/>
        </w:rPr>
        <w:t>项目的名称：</w:t>
      </w:r>
      <w:r>
        <w:rPr>
          <w:rFonts w:hint="eastAsia" w:ascii="宋体" w:hAnsi="宋体" w:eastAsia="宋体" w:cs="宋体"/>
          <w:bCs/>
          <w:color w:val="auto"/>
          <w:sz w:val="18"/>
          <w:szCs w:val="16"/>
          <w:highlight w:val="none"/>
          <w:u w:val="single"/>
        </w:rPr>
        <w:t xml:space="preserve">                                                                </w:t>
      </w:r>
    </w:p>
    <w:p w14:paraId="3483329B">
      <w:pPr>
        <w:pStyle w:val="9"/>
        <w:keepNext w:val="0"/>
        <w:keepLines w:val="0"/>
        <w:pageBreakBefore w:val="0"/>
        <w:widowControl w:val="0"/>
        <w:kinsoku/>
        <w:wordWrap w:val="0"/>
        <w:overflowPunct/>
        <w:topLinePunct w:val="0"/>
        <w:autoSpaceDE/>
        <w:autoSpaceDN/>
        <w:bidi w:val="0"/>
        <w:adjustRightInd/>
        <w:spacing w:line="280" w:lineRule="exact"/>
        <w:ind w:left="0" w:leftChars="0" w:firstLine="360" w:firstLineChars="200"/>
        <w:textAlignment w:val="auto"/>
        <w:rPr>
          <w:rFonts w:hint="default" w:ascii="宋体" w:hAnsi="宋体" w:eastAsia="宋体" w:cs="宋体"/>
          <w:color w:val="auto"/>
          <w:sz w:val="18"/>
          <w:szCs w:val="18"/>
          <w:highlight w:val="none"/>
          <w:lang w:val="en-US" w:eastAsia="zh-CN"/>
        </w:rPr>
      </w:pPr>
      <w:r>
        <w:rPr>
          <w:rFonts w:hint="eastAsia" w:ascii="宋体" w:hAnsi="宋体" w:eastAsia="宋体" w:cs="宋体"/>
          <w:bCs/>
          <w:color w:val="auto"/>
          <w:sz w:val="18"/>
          <w:szCs w:val="16"/>
          <w:highlight w:val="none"/>
        </w:rPr>
        <w:t>采购</w:t>
      </w:r>
      <w:r>
        <w:rPr>
          <w:rFonts w:hint="eastAsia" w:ascii="宋体" w:hAnsi="宋体" w:eastAsia="宋体" w:cs="宋体"/>
          <w:color w:val="auto"/>
          <w:sz w:val="18"/>
          <w:szCs w:val="18"/>
          <w:highlight w:val="none"/>
        </w:rPr>
        <w:t>项目的编号：</w:t>
      </w:r>
      <w:r>
        <w:rPr>
          <w:rFonts w:hint="eastAsia" w:ascii="宋体" w:hAnsi="宋体" w:eastAsia="宋体" w:cs="宋体"/>
          <w:bCs/>
          <w:color w:val="auto"/>
          <w:sz w:val="18"/>
          <w:szCs w:val="16"/>
          <w:highlight w:val="none"/>
          <w:u w:val="single"/>
        </w:rPr>
        <w:t xml:space="preserve">                                        </w:t>
      </w:r>
      <w:r>
        <w:rPr>
          <w:rFonts w:hint="eastAsia" w:hAnsi="宋体" w:cs="宋体"/>
          <w:bCs/>
          <w:color w:val="auto"/>
          <w:sz w:val="18"/>
          <w:szCs w:val="16"/>
          <w:highlight w:val="none"/>
          <w:u w:val="single"/>
          <w:lang w:val="en-US" w:eastAsia="zh-CN"/>
        </w:rPr>
        <w:t xml:space="preserve">                        </w:t>
      </w:r>
    </w:p>
    <w:p w14:paraId="7E36A9EE">
      <w:pPr>
        <w:pStyle w:val="9"/>
        <w:keepNext w:val="0"/>
        <w:keepLines w:val="0"/>
        <w:pageBreakBefore w:val="0"/>
        <w:widowControl w:val="0"/>
        <w:kinsoku/>
        <w:wordWrap w:val="0"/>
        <w:overflowPunct/>
        <w:topLinePunct w:val="0"/>
        <w:autoSpaceDE/>
        <w:autoSpaceDN/>
        <w:bidi w:val="0"/>
        <w:adjustRightInd/>
        <w:spacing w:line="280" w:lineRule="exact"/>
        <w:ind w:left="0" w:leftChars="0" w:firstLine="360" w:firstLineChars="200"/>
        <w:textAlignment w:val="auto"/>
        <w:rPr>
          <w:rFonts w:hint="eastAsia" w:ascii="宋体" w:hAnsi="宋体" w:eastAsia="宋体" w:cs="宋体"/>
          <w:bCs/>
          <w:color w:val="auto"/>
          <w:sz w:val="18"/>
          <w:szCs w:val="16"/>
          <w:highlight w:val="none"/>
          <w:u w:val="single"/>
        </w:rPr>
      </w:pPr>
      <w:r>
        <w:rPr>
          <w:rFonts w:hint="eastAsia" w:ascii="宋体" w:hAnsi="宋体" w:eastAsia="宋体" w:cs="宋体"/>
          <w:color w:val="auto"/>
          <w:sz w:val="18"/>
          <w:szCs w:val="18"/>
          <w:highlight w:val="none"/>
        </w:rPr>
        <w:t>采购人名称：</w:t>
      </w:r>
      <w:r>
        <w:rPr>
          <w:rFonts w:hint="eastAsia" w:ascii="宋体" w:hAnsi="宋体" w:eastAsia="宋体" w:cs="宋体"/>
          <w:bCs/>
          <w:color w:val="auto"/>
          <w:sz w:val="18"/>
          <w:szCs w:val="16"/>
          <w:highlight w:val="none"/>
          <w:u w:val="single"/>
        </w:rPr>
        <w:t xml:space="preserve">                                                                    </w:t>
      </w:r>
    </w:p>
    <w:p w14:paraId="3F1C50C1">
      <w:pPr>
        <w:pStyle w:val="9"/>
        <w:keepNext w:val="0"/>
        <w:keepLines w:val="0"/>
        <w:pageBreakBefore w:val="0"/>
        <w:widowControl w:val="0"/>
        <w:kinsoku/>
        <w:wordWrap w:val="0"/>
        <w:overflowPunct/>
        <w:topLinePunct w:val="0"/>
        <w:autoSpaceDE/>
        <w:autoSpaceDN/>
        <w:bidi w:val="0"/>
        <w:adjustRightInd/>
        <w:spacing w:line="280" w:lineRule="exact"/>
        <w:ind w:left="0" w:leftChars="0" w:firstLine="360" w:firstLineChars="200"/>
        <w:textAlignment w:val="auto"/>
        <w:rPr>
          <w:rFonts w:hint="eastAsia" w:ascii="宋体" w:hAnsi="宋体" w:eastAsia="宋体" w:cs="宋体"/>
          <w:bCs/>
          <w:color w:val="auto"/>
          <w:sz w:val="18"/>
          <w:szCs w:val="16"/>
          <w:highlight w:val="none"/>
          <w:u w:val="single"/>
        </w:rPr>
      </w:pPr>
      <w:r>
        <w:rPr>
          <w:rFonts w:hint="eastAsia" w:ascii="宋体" w:hAnsi="宋体" w:eastAsia="宋体" w:cs="宋体"/>
          <w:color w:val="auto"/>
          <w:sz w:val="18"/>
          <w:szCs w:val="18"/>
          <w:highlight w:val="none"/>
        </w:rPr>
        <w:t>代理机构名称：</w:t>
      </w:r>
      <w:r>
        <w:rPr>
          <w:rFonts w:hint="eastAsia" w:ascii="宋体" w:hAnsi="宋体" w:eastAsia="宋体" w:cs="宋体"/>
          <w:bCs/>
          <w:color w:val="auto"/>
          <w:sz w:val="18"/>
          <w:szCs w:val="16"/>
          <w:highlight w:val="none"/>
          <w:u w:val="single"/>
        </w:rPr>
        <w:t xml:space="preserve">                                                                  </w:t>
      </w:r>
    </w:p>
    <w:p w14:paraId="10B89DBF">
      <w:pPr>
        <w:pStyle w:val="9"/>
        <w:keepNext w:val="0"/>
        <w:keepLines w:val="0"/>
        <w:pageBreakBefore w:val="0"/>
        <w:widowControl w:val="0"/>
        <w:kinsoku/>
        <w:wordWrap w:val="0"/>
        <w:overflowPunct/>
        <w:topLinePunct w:val="0"/>
        <w:autoSpaceDE/>
        <w:autoSpaceDN/>
        <w:bidi w:val="0"/>
        <w:adjustRightInd/>
        <w:spacing w:line="280" w:lineRule="exact"/>
        <w:ind w:left="0" w:leftChars="0" w:firstLine="360" w:firstLineChars="200"/>
        <w:textAlignment w:val="auto"/>
        <w:rPr>
          <w:rFonts w:hint="eastAsia" w:ascii="宋体" w:hAnsi="宋体" w:eastAsia="宋体" w:cs="宋体"/>
          <w:bCs/>
          <w:color w:val="auto"/>
          <w:sz w:val="18"/>
          <w:szCs w:val="16"/>
          <w:highlight w:val="none"/>
          <w:u w:val="single"/>
        </w:rPr>
      </w:pPr>
      <w:r>
        <w:rPr>
          <w:rFonts w:hint="eastAsia" w:ascii="宋体" w:hAnsi="宋体" w:eastAsia="宋体" w:cs="宋体"/>
          <w:bCs/>
          <w:color w:val="auto"/>
          <w:sz w:val="18"/>
          <w:szCs w:val="16"/>
          <w:highlight w:val="none"/>
        </w:rPr>
        <w:t>采购文件公告：</w:t>
      </w:r>
      <w:r>
        <w:rPr>
          <w:rFonts w:hint="eastAsia" w:ascii="宋体" w:hAnsi="宋体" w:eastAsia="宋体" w:cs="宋体"/>
          <w:bCs/>
          <w:color w:val="auto"/>
          <w:sz w:val="18"/>
          <w:szCs w:val="16"/>
          <w:highlight w:val="none"/>
          <w:u w:val="single"/>
        </w:rPr>
        <w:t>是/否</w:t>
      </w:r>
      <w:r>
        <w:rPr>
          <w:rFonts w:hint="eastAsia" w:ascii="宋体" w:hAnsi="宋体" w:eastAsia="宋体" w:cs="宋体"/>
          <w:bCs/>
          <w:color w:val="auto"/>
          <w:sz w:val="18"/>
          <w:szCs w:val="16"/>
          <w:highlight w:val="none"/>
        </w:rPr>
        <w:t>公告期限：</w:t>
      </w:r>
      <w:r>
        <w:rPr>
          <w:rFonts w:hint="eastAsia" w:ascii="宋体" w:hAnsi="宋体" w:eastAsia="宋体" w:cs="宋体"/>
          <w:bCs/>
          <w:color w:val="auto"/>
          <w:sz w:val="18"/>
          <w:szCs w:val="16"/>
          <w:highlight w:val="none"/>
          <w:u w:val="single"/>
        </w:rPr>
        <w:t xml:space="preserve">                                                   </w:t>
      </w:r>
    </w:p>
    <w:p w14:paraId="634F8D54">
      <w:pPr>
        <w:pStyle w:val="9"/>
        <w:keepNext w:val="0"/>
        <w:keepLines w:val="0"/>
        <w:pageBreakBefore w:val="0"/>
        <w:widowControl w:val="0"/>
        <w:kinsoku/>
        <w:wordWrap w:val="0"/>
        <w:overflowPunct/>
        <w:topLinePunct w:val="0"/>
        <w:autoSpaceDE/>
        <w:autoSpaceDN/>
        <w:bidi w:val="0"/>
        <w:adjustRightInd/>
        <w:spacing w:line="280" w:lineRule="exact"/>
        <w:ind w:left="0" w:leftChars="0" w:firstLine="360" w:firstLineChars="200"/>
        <w:textAlignment w:val="auto"/>
        <w:rPr>
          <w:rFonts w:hint="eastAsia" w:ascii="宋体" w:hAnsi="宋体" w:eastAsia="宋体" w:cs="宋体"/>
          <w:b/>
          <w:color w:val="auto"/>
          <w:sz w:val="18"/>
          <w:szCs w:val="18"/>
          <w:highlight w:val="none"/>
        </w:rPr>
      </w:pPr>
      <w:r>
        <w:rPr>
          <w:rFonts w:hint="eastAsia" w:ascii="宋体" w:hAnsi="宋体" w:eastAsia="宋体" w:cs="宋体"/>
          <w:bCs/>
          <w:color w:val="auto"/>
          <w:sz w:val="18"/>
          <w:szCs w:val="16"/>
          <w:highlight w:val="none"/>
        </w:rPr>
        <w:t>采购结果公告：</w:t>
      </w:r>
      <w:r>
        <w:rPr>
          <w:rFonts w:hint="eastAsia" w:ascii="宋体" w:hAnsi="宋体" w:eastAsia="宋体" w:cs="宋体"/>
          <w:bCs/>
          <w:color w:val="auto"/>
          <w:sz w:val="18"/>
          <w:szCs w:val="16"/>
          <w:highlight w:val="none"/>
          <w:u w:val="single"/>
        </w:rPr>
        <w:t>是/否</w:t>
      </w:r>
      <w:r>
        <w:rPr>
          <w:rFonts w:hint="eastAsia" w:ascii="宋体" w:hAnsi="宋体" w:eastAsia="宋体" w:cs="宋体"/>
          <w:bCs/>
          <w:color w:val="auto"/>
          <w:sz w:val="18"/>
          <w:szCs w:val="16"/>
          <w:highlight w:val="none"/>
        </w:rPr>
        <w:t>公告期限：</w:t>
      </w:r>
      <w:r>
        <w:rPr>
          <w:rFonts w:hint="eastAsia" w:ascii="宋体" w:hAnsi="宋体" w:eastAsia="宋体" w:cs="宋体"/>
          <w:bCs/>
          <w:color w:val="auto"/>
          <w:sz w:val="18"/>
          <w:szCs w:val="16"/>
          <w:highlight w:val="none"/>
          <w:u w:val="single"/>
        </w:rPr>
        <w:t xml:space="preserve">                                                   </w:t>
      </w:r>
    </w:p>
    <w:p w14:paraId="3D3955F1">
      <w:pPr>
        <w:pStyle w:val="9"/>
        <w:keepNext w:val="0"/>
        <w:keepLines w:val="0"/>
        <w:pageBreakBefore w:val="0"/>
        <w:widowControl w:val="0"/>
        <w:kinsoku/>
        <w:wordWrap w:val="0"/>
        <w:overflowPunct/>
        <w:topLinePunct w:val="0"/>
        <w:autoSpaceDE/>
        <w:autoSpaceDN/>
        <w:bidi w:val="0"/>
        <w:adjustRightInd/>
        <w:spacing w:line="280" w:lineRule="exact"/>
        <w:ind w:left="0" w:leftChars="0" w:firstLine="361" w:firstLineChars="200"/>
        <w:textAlignment w:val="auto"/>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三、质疑基本情况</w:t>
      </w:r>
    </w:p>
    <w:p w14:paraId="78C37FA2">
      <w:pPr>
        <w:pStyle w:val="9"/>
        <w:keepNext w:val="0"/>
        <w:keepLines w:val="0"/>
        <w:pageBreakBefore w:val="0"/>
        <w:widowControl w:val="0"/>
        <w:kinsoku/>
        <w:wordWrap w:val="0"/>
        <w:overflowPunct/>
        <w:topLinePunct w:val="0"/>
        <w:autoSpaceDE/>
        <w:autoSpaceDN/>
        <w:bidi w:val="0"/>
        <w:adjustRightInd/>
        <w:spacing w:line="280" w:lineRule="exact"/>
        <w:ind w:left="0" w:leftChars="0" w:firstLine="360" w:firstLineChars="200"/>
        <w:textAlignment w:val="auto"/>
        <w:rPr>
          <w:rFonts w:hint="eastAsia" w:ascii="宋体" w:hAnsi="宋体" w:eastAsia="宋体" w:cs="宋体"/>
          <w:bCs/>
          <w:color w:val="auto"/>
          <w:sz w:val="18"/>
          <w:szCs w:val="16"/>
          <w:highlight w:val="none"/>
          <w:u w:val="single"/>
        </w:rPr>
      </w:pPr>
      <w:r>
        <w:rPr>
          <w:rFonts w:hint="eastAsia" w:ascii="宋体" w:hAnsi="宋体" w:eastAsia="宋体" w:cs="宋体"/>
          <w:color w:val="auto"/>
          <w:sz w:val="18"/>
          <w:szCs w:val="18"/>
          <w:highlight w:val="none"/>
        </w:rPr>
        <w:t>投诉人于</w:t>
      </w:r>
      <w:r>
        <w:rPr>
          <w:rFonts w:hint="eastAsia" w:ascii="宋体" w:hAnsi="宋体" w:eastAsia="宋体" w:cs="宋体"/>
          <w:color w:val="auto"/>
          <w:sz w:val="18"/>
          <w:szCs w:val="18"/>
          <w:highlight w:val="none"/>
          <w:u w:val="single"/>
        </w:rPr>
        <w:t xml:space="preserve">      </w:t>
      </w:r>
      <w:r>
        <w:rPr>
          <w:rFonts w:hint="eastAsia" w:ascii="宋体" w:hAnsi="宋体" w:eastAsia="宋体" w:cs="宋体"/>
          <w:color w:val="auto"/>
          <w:sz w:val="18"/>
          <w:szCs w:val="18"/>
          <w:highlight w:val="none"/>
        </w:rPr>
        <w:t>年</w:t>
      </w:r>
      <w:r>
        <w:rPr>
          <w:rFonts w:hint="eastAsia" w:ascii="宋体" w:hAnsi="宋体" w:eastAsia="宋体" w:cs="宋体"/>
          <w:color w:val="auto"/>
          <w:sz w:val="18"/>
          <w:szCs w:val="18"/>
          <w:highlight w:val="none"/>
          <w:u w:val="single"/>
        </w:rPr>
        <w:t xml:space="preserve">   </w:t>
      </w:r>
      <w:r>
        <w:rPr>
          <w:rFonts w:hint="eastAsia" w:ascii="宋体" w:hAnsi="宋体" w:eastAsia="宋体" w:cs="宋体"/>
          <w:color w:val="auto"/>
          <w:sz w:val="18"/>
          <w:szCs w:val="18"/>
          <w:highlight w:val="none"/>
        </w:rPr>
        <w:t>月</w:t>
      </w:r>
      <w:r>
        <w:rPr>
          <w:rFonts w:hint="eastAsia" w:ascii="宋体" w:hAnsi="宋体" w:eastAsia="宋体" w:cs="宋体"/>
          <w:color w:val="auto"/>
          <w:sz w:val="18"/>
          <w:szCs w:val="18"/>
          <w:highlight w:val="none"/>
          <w:u w:val="single"/>
        </w:rPr>
        <w:t xml:space="preserve">   </w:t>
      </w:r>
      <w:r>
        <w:rPr>
          <w:rFonts w:hint="eastAsia" w:ascii="宋体" w:hAnsi="宋体" w:eastAsia="宋体" w:cs="宋体"/>
          <w:color w:val="auto"/>
          <w:sz w:val="18"/>
          <w:szCs w:val="18"/>
          <w:highlight w:val="none"/>
        </w:rPr>
        <w:t>日，向</w:t>
      </w:r>
      <w:r>
        <w:rPr>
          <w:rFonts w:hint="eastAsia" w:ascii="宋体" w:hAnsi="宋体" w:eastAsia="宋体" w:cs="宋体"/>
          <w:color w:val="auto"/>
          <w:sz w:val="18"/>
          <w:szCs w:val="18"/>
          <w:highlight w:val="none"/>
          <w:u w:val="single"/>
        </w:rPr>
        <w:t xml:space="preserve">                       </w:t>
      </w:r>
      <w:r>
        <w:rPr>
          <w:rFonts w:hint="eastAsia" w:ascii="宋体" w:hAnsi="宋体" w:eastAsia="宋体" w:cs="宋体"/>
          <w:color w:val="auto"/>
          <w:sz w:val="18"/>
          <w:szCs w:val="18"/>
          <w:highlight w:val="none"/>
        </w:rPr>
        <w:t>提出质疑，质疑事项为：</w:t>
      </w:r>
      <w:r>
        <w:rPr>
          <w:rFonts w:hint="eastAsia" w:ascii="宋体" w:hAnsi="宋体" w:eastAsia="宋体" w:cs="宋体"/>
          <w:bCs/>
          <w:color w:val="auto"/>
          <w:sz w:val="18"/>
          <w:szCs w:val="16"/>
          <w:highlight w:val="none"/>
          <w:u w:val="single"/>
        </w:rPr>
        <w:t xml:space="preserve">                              </w:t>
      </w:r>
    </w:p>
    <w:p w14:paraId="5C8D7411">
      <w:pPr>
        <w:pStyle w:val="9"/>
        <w:keepNext w:val="0"/>
        <w:keepLines w:val="0"/>
        <w:pageBreakBefore w:val="0"/>
        <w:widowControl w:val="0"/>
        <w:kinsoku/>
        <w:wordWrap w:val="0"/>
        <w:overflowPunct/>
        <w:topLinePunct w:val="0"/>
        <w:autoSpaceDE/>
        <w:autoSpaceDN/>
        <w:bidi w:val="0"/>
        <w:adjustRightInd/>
        <w:spacing w:line="280" w:lineRule="exact"/>
        <w:ind w:left="0" w:leftChars="0" w:firstLine="360" w:firstLineChars="200"/>
        <w:textAlignment w:val="auto"/>
        <w:rPr>
          <w:rFonts w:hint="eastAsia" w:ascii="宋体" w:hAnsi="宋体" w:eastAsia="宋体" w:cs="宋体"/>
          <w:color w:val="auto"/>
          <w:sz w:val="18"/>
          <w:szCs w:val="18"/>
          <w:highlight w:val="none"/>
        </w:rPr>
      </w:pPr>
      <w:r>
        <w:rPr>
          <w:rFonts w:hint="eastAsia" w:ascii="宋体" w:hAnsi="宋体" w:eastAsia="宋体" w:cs="宋体"/>
          <w:bCs/>
          <w:color w:val="auto"/>
          <w:sz w:val="18"/>
          <w:szCs w:val="16"/>
          <w:highlight w:val="none"/>
          <w:u w:val="single"/>
        </w:rPr>
        <w:t>采购人/代理机构</w:t>
      </w:r>
      <w:r>
        <w:rPr>
          <w:rFonts w:hint="eastAsia" w:ascii="宋体" w:hAnsi="宋体" w:eastAsia="宋体" w:cs="宋体"/>
          <w:bCs/>
          <w:color w:val="auto"/>
          <w:sz w:val="18"/>
          <w:szCs w:val="16"/>
          <w:highlight w:val="none"/>
        </w:rPr>
        <w:t>于</w:t>
      </w:r>
      <w:r>
        <w:rPr>
          <w:rFonts w:hint="eastAsia" w:ascii="宋体" w:hAnsi="宋体" w:eastAsia="宋体" w:cs="宋体"/>
          <w:color w:val="auto"/>
          <w:sz w:val="18"/>
          <w:szCs w:val="18"/>
          <w:highlight w:val="none"/>
          <w:u w:val="single"/>
        </w:rPr>
        <w:t xml:space="preserve">      </w:t>
      </w:r>
      <w:r>
        <w:rPr>
          <w:rFonts w:hint="eastAsia" w:ascii="宋体" w:hAnsi="宋体" w:eastAsia="宋体" w:cs="宋体"/>
          <w:color w:val="auto"/>
          <w:sz w:val="18"/>
          <w:szCs w:val="18"/>
          <w:highlight w:val="none"/>
        </w:rPr>
        <w:t>年</w:t>
      </w:r>
      <w:r>
        <w:rPr>
          <w:rFonts w:hint="eastAsia" w:ascii="宋体" w:hAnsi="宋体" w:eastAsia="宋体" w:cs="宋体"/>
          <w:color w:val="auto"/>
          <w:sz w:val="18"/>
          <w:szCs w:val="18"/>
          <w:highlight w:val="none"/>
          <w:u w:val="single"/>
        </w:rPr>
        <w:t xml:space="preserve">   </w:t>
      </w:r>
      <w:r>
        <w:rPr>
          <w:rFonts w:hint="eastAsia" w:ascii="宋体" w:hAnsi="宋体" w:eastAsia="宋体" w:cs="宋体"/>
          <w:color w:val="auto"/>
          <w:sz w:val="18"/>
          <w:szCs w:val="18"/>
          <w:highlight w:val="none"/>
        </w:rPr>
        <w:t>月</w:t>
      </w:r>
      <w:r>
        <w:rPr>
          <w:rFonts w:hint="eastAsia" w:ascii="宋体" w:hAnsi="宋体" w:eastAsia="宋体" w:cs="宋体"/>
          <w:color w:val="auto"/>
          <w:sz w:val="18"/>
          <w:szCs w:val="18"/>
          <w:highlight w:val="none"/>
          <w:u w:val="single"/>
        </w:rPr>
        <w:t xml:space="preserve">   </w:t>
      </w:r>
      <w:r>
        <w:rPr>
          <w:rFonts w:hint="eastAsia" w:ascii="宋体" w:hAnsi="宋体" w:eastAsia="宋体" w:cs="宋体"/>
          <w:color w:val="auto"/>
          <w:sz w:val="18"/>
          <w:szCs w:val="18"/>
          <w:highlight w:val="none"/>
        </w:rPr>
        <w:t>日，</w:t>
      </w:r>
      <w:r>
        <w:rPr>
          <w:rFonts w:hint="eastAsia" w:ascii="宋体" w:hAnsi="宋体" w:eastAsia="宋体" w:cs="宋体"/>
          <w:bCs/>
          <w:color w:val="auto"/>
          <w:sz w:val="18"/>
          <w:szCs w:val="16"/>
          <w:highlight w:val="none"/>
        </w:rPr>
        <w:t xml:space="preserve">就质疑事项作出了答复/没有在法定期限内作出答复。  </w:t>
      </w:r>
    </w:p>
    <w:p w14:paraId="652E39C6">
      <w:pPr>
        <w:pStyle w:val="9"/>
        <w:keepNext w:val="0"/>
        <w:keepLines w:val="0"/>
        <w:pageBreakBefore w:val="0"/>
        <w:widowControl w:val="0"/>
        <w:kinsoku/>
        <w:wordWrap w:val="0"/>
        <w:overflowPunct/>
        <w:topLinePunct w:val="0"/>
        <w:autoSpaceDE/>
        <w:autoSpaceDN/>
        <w:bidi w:val="0"/>
        <w:adjustRightInd/>
        <w:spacing w:line="280" w:lineRule="exact"/>
        <w:ind w:left="0" w:leftChars="0" w:firstLine="361" w:firstLineChars="200"/>
        <w:textAlignment w:val="auto"/>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四、投诉事项具体内容</w:t>
      </w:r>
    </w:p>
    <w:p w14:paraId="3FD1114B">
      <w:pPr>
        <w:pStyle w:val="9"/>
        <w:keepNext w:val="0"/>
        <w:keepLines w:val="0"/>
        <w:pageBreakBefore w:val="0"/>
        <w:widowControl w:val="0"/>
        <w:kinsoku/>
        <w:wordWrap w:val="0"/>
        <w:overflowPunct/>
        <w:topLinePunct w:val="0"/>
        <w:autoSpaceDE/>
        <w:autoSpaceDN/>
        <w:bidi w:val="0"/>
        <w:adjustRightInd/>
        <w:spacing w:line="280" w:lineRule="exact"/>
        <w:ind w:left="0" w:leftChars="0" w:firstLine="360" w:firstLineChars="200"/>
        <w:textAlignment w:val="auto"/>
        <w:rPr>
          <w:rFonts w:hint="eastAsia" w:ascii="宋体" w:hAnsi="宋体" w:eastAsia="宋体" w:cs="宋体"/>
          <w:bCs/>
          <w:color w:val="auto"/>
          <w:sz w:val="18"/>
          <w:szCs w:val="16"/>
          <w:highlight w:val="none"/>
          <w:u w:val="single"/>
        </w:rPr>
      </w:pPr>
      <w:r>
        <w:rPr>
          <w:rFonts w:hint="eastAsia" w:ascii="宋体" w:hAnsi="宋体" w:eastAsia="宋体" w:cs="宋体"/>
          <w:color w:val="auto"/>
          <w:sz w:val="18"/>
          <w:szCs w:val="18"/>
          <w:highlight w:val="none"/>
        </w:rPr>
        <w:t>投诉事项1：</w:t>
      </w:r>
      <w:r>
        <w:rPr>
          <w:rFonts w:hint="eastAsia" w:ascii="宋体" w:hAnsi="宋体" w:eastAsia="宋体" w:cs="宋体"/>
          <w:color w:val="auto"/>
          <w:sz w:val="18"/>
          <w:szCs w:val="18"/>
          <w:highlight w:val="none"/>
          <w:u w:val="single"/>
        </w:rPr>
        <w:t xml:space="preserve">                                                                 </w:t>
      </w:r>
      <w:r>
        <w:rPr>
          <w:rFonts w:hint="eastAsia" w:hAnsi="宋体" w:cs="宋体"/>
          <w:color w:val="auto"/>
          <w:sz w:val="18"/>
          <w:szCs w:val="18"/>
          <w:highlight w:val="none"/>
          <w:u w:val="single"/>
          <w:lang w:val="en-US" w:eastAsia="zh-CN"/>
        </w:rPr>
        <w:t xml:space="preserve">  </w:t>
      </w:r>
      <w:r>
        <w:rPr>
          <w:rFonts w:hint="eastAsia" w:ascii="宋体" w:hAnsi="宋体" w:eastAsia="宋体" w:cs="宋体"/>
          <w:bCs/>
          <w:color w:val="auto"/>
          <w:sz w:val="18"/>
          <w:szCs w:val="16"/>
          <w:highlight w:val="none"/>
          <w:u w:val="single"/>
        </w:rPr>
        <w:t xml:space="preserve">        </w:t>
      </w:r>
    </w:p>
    <w:p w14:paraId="6E1ACBBD">
      <w:pPr>
        <w:pStyle w:val="9"/>
        <w:keepNext w:val="0"/>
        <w:keepLines w:val="0"/>
        <w:pageBreakBefore w:val="0"/>
        <w:widowControl w:val="0"/>
        <w:kinsoku/>
        <w:wordWrap w:val="0"/>
        <w:overflowPunct/>
        <w:topLinePunct w:val="0"/>
        <w:autoSpaceDE/>
        <w:autoSpaceDN/>
        <w:bidi w:val="0"/>
        <w:adjustRightInd/>
        <w:spacing w:line="280" w:lineRule="exact"/>
        <w:ind w:left="0" w:leftChars="0" w:firstLine="360" w:firstLineChars="200"/>
        <w:textAlignment w:val="auto"/>
        <w:rPr>
          <w:rFonts w:hint="eastAsia" w:ascii="宋体" w:hAnsi="宋体" w:eastAsia="宋体" w:cs="宋体"/>
          <w:bCs/>
          <w:color w:val="auto"/>
          <w:sz w:val="18"/>
          <w:szCs w:val="16"/>
          <w:highlight w:val="none"/>
          <w:u w:val="single"/>
        </w:rPr>
      </w:pPr>
      <w:r>
        <w:rPr>
          <w:rFonts w:hint="eastAsia" w:ascii="宋体" w:hAnsi="宋体" w:eastAsia="宋体" w:cs="宋体"/>
          <w:bCs/>
          <w:color w:val="auto"/>
          <w:sz w:val="18"/>
          <w:szCs w:val="16"/>
          <w:highlight w:val="none"/>
        </w:rPr>
        <w:t>事实依据：</w:t>
      </w:r>
      <w:r>
        <w:rPr>
          <w:rFonts w:hint="eastAsia" w:ascii="宋体" w:hAnsi="宋体" w:eastAsia="宋体" w:cs="宋体"/>
          <w:color w:val="auto"/>
          <w:sz w:val="18"/>
          <w:szCs w:val="18"/>
          <w:highlight w:val="none"/>
          <w:u w:val="single"/>
        </w:rPr>
        <w:t xml:space="preserve">                                                            </w:t>
      </w:r>
      <w:r>
        <w:rPr>
          <w:rFonts w:hint="eastAsia" w:hAnsi="宋体" w:cs="宋体"/>
          <w:color w:val="auto"/>
          <w:sz w:val="18"/>
          <w:szCs w:val="18"/>
          <w:highlight w:val="none"/>
          <w:u w:val="single"/>
          <w:lang w:val="en-US" w:eastAsia="zh-CN"/>
        </w:rPr>
        <w:t xml:space="preserve">  </w:t>
      </w:r>
      <w:r>
        <w:rPr>
          <w:rFonts w:hint="eastAsia" w:ascii="宋体" w:hAnsi="宋体" w:eastAsia="宋体" w:cs="宋体"/>
          <w:color w:val="auto"/>
          <w:sz w:val="18"/>
          <w:szCs w:val="18"/>
          <w:highlight w:val="none"/>
          <w:u w:val="single"/>
        </w:rPr>
        <w:t xml:space="preserve">     </w:t>
      </w:r>
      <w:r>
        <w:rPr>
          <w:rFonts w:hint="eastAsia" w:hAnsi="宋体" w:cs="宋体"/>
          <w:color w:val="auto"/>
          <w:sz w:val="18"/>
          <w:szCs w:val="18"/>
          <w:highlight w:val="none"/>
          <w:u w:val="single"/>
          <w:lang w:val="en-US" w:eastAsia="zh-CN"/>
        </w:rPr>
        <w:t xml:space="preserve">  </w:t>
      </w:r>
      <w:r>
        <w:rPr>
          <w:rFonts w:hint="eastAsia" w:ascii="宋体" w:hAnsi="宋体" w:eastAsia="宋体" w:cs="宋体"/>
          <w:bCs/>
          <w:color w:val="auto"/>
          <w:sz w:val="18"/>
          <w:szCs w:val="16"/>
          <w:highlight w:val="none"/>
          <w:u w:val="single"/>
        </w:rPr>
        <w:t xml:space="preserve">       </w:t>
      </w:r>
    </w:p>
    <w:p w14:paraId="2443431B">
      <w:pPr>
        <w:pStyle w:val="9"/>
        <w:keepNext w:val="0"/>
        <w:keepLines w:val="0"/>
        <w:pageBreakBefore w:val="0"/>
        <w:widowControl w:val="0"/>
        <w:kinsoku/>
        <w:wordWrap w:val="0"/>
        <w:overflowPunct/>
        <w:topLinePunct w:val="0"/>
        <w:autoSpaceDE/>
        <w:autoSpaceDN/>
        <w:bidi w:val="0"/>
        <w:adjustRightInd/>
        <w:spacing w:line="280" w:lineRule="exact"/>
        <w:ind w:left="0" w:leftChars="0" w:firstLine="360" w:firstLineChars="200"/>
        <w:textAlignment w:val="auto"/>
        <w:rPr>
          <w:rFonts w:hint="eastAsia" w:ascii="宋体" w:hAnsi="宋体" w:eastAsia="宋体" w:cs="宋体"/>
          <w:bCs/>
          <w:color w:val="auto"/>
          <w:sz w:val="18"/>
          <w:szCs w:val="16"/>
          <w:highlight w:val="none"/>
          <w:u w:val="single"/>
        </w:rPr>
      </w:pPr>
      <w:r>
        <w:rPr>
          <w:rFonts w:hint="eastAsia" w:ascii="宋体" w:hAnsi="宋体" w:eastAsia="宋体" w:cs="宋体"/>
          <w:bCs/>
          <w:color w:val="auto"/>
          <w:sz w:val="18"/>
          <w:szCs w:val="16"/>
          <w:highlight w:val="none"/>
        </w:rPr>
        <w:t>法律依据：</w:t>
      </w:r>
      <w:r>
        <w:rPr>
          <w:rFonts w:hint="eastAsia" w:ascii="宋体" w:hAnsi="宋体" w:eastAsia="宋体" w:cs="宋体"/>
          <w:color w:val="auto"/>
          <w:sz w:val="18"/>
          <w:szCs w:val="18"/>
          <w:highlight w:val="none"/>
          <w:u w:val="single"/>
        </w:rPr>
        <w:t xml:space="preserve">                                                            </w:t>
      </w:r>
      <w:r>
        <w:rPr>
          <w:rFonts w:hint="eastAsia" w:hAnsi="宋体" w:cs="宋体"/>
          <w:color w:val="auto"/>
          <w:sz w:val="18"/>
          <w:szCs w:val="18"/>
          <w:highlight w:val="none"/>
          <w:u w:val="single"/>
          <w:lang w:val="en-US" w:eastAsia="zh-CN"/>
        </w:rPr>
        <w:t xml:space="preserve">   </w:t>
      </w:r>
      <w:r>
        <w:rPr>
          <w:rFonts w:hint="eastAsia" w:ascii="宋体" w:hAnsi="宋体" w:eastAsia="宋体" w:cs="宋体"/>
          <w:color w:val="auto"/>
          <w:sz w:val="18"/>
          <w:szCs w:val="18"/>
          <w:highlight w:val="none"/>
          <w:u w:val="single"/>
        </w:rPr>
        <w:t xml:space="preserve">      </w:t>
      </w:r>
      <w:r>
        <w:rPr>
          <w:rFonts w:hint="eastAsia" w:hAnsi="宋体" w:cs="宋体"/>
          <w:color w:val="auto"/>
          <w:sz w:val="18"/>
          <w:szCs w:val="18"/>
          <w:highlight w:val="none"/>
          <w:u w:val="single"/>
          <w:lang w:val="en-US" w:eastAsia="zh-CN"/>
        </w:rPr>
        <w:t xml:space="preserve"> </w:t>
      </w:r>
      <w:r>
        <w:rPr>
          <w:rFonts w:hint="eastAsia" w:ascii="宋体" w:hAnsi="宋体" w:eastAsia="宋体" w:cs="宋体"/>
          <w:bCs/>
          <w:color w:val="auto"/>
          <w:sz w:val="18"/>
          <w:szCs w:val="16"/>
          <w:highlight w:val="none"/>
          <w:u w:val="single"/>
        </w:rPr>
        <w:t xml:space="preserve">      </w:t>
      </w:r>
    </w:p>
    <w:p w14:paraId="6C615F64">
      <w:pPr>
        <w:pStyle w:val="9"/>
        <w:keepNext w:val="0"/>
        <w:keepLines w:val="0"/>
        <w:pageBreakBefore w:val="0"/>
        <w:widowControl w:val="0"/>
        <w:kinsoku/>
        <w:wordWrap w:val="0"/>
        <w:overflowPunct/>
        <w:topLinePunct w:val="0"/>
        <w:autoSpaceDE/>
        <w:autoSpaceDN/>
        <w:bidi w:val="0"/>
        <w:adjustRightInd/>
        <w:spacing w:line="280" w:lineRule="exact"/>
        <w:ind w:left="0" w:leftChars="0" w:firstLine="360" w:firstLineChars="200"/>
        <w:textAlignment w:val="auto"/>
        <w:rPr>
          <w:rFonts w:hint="eastAsia" w:ascii="宋体" w:hAnsi="宋体" w:eastAsia="宋体" w:cs="宋体"/>
          <w:bCs/>
          <w:color w:val="auto"/>
          <w:sz w:val="18"/>
          <w:szCs w:val="16"/>
          <w:highlight w:val="none"/>
        </w:rPr>
      </w:pPr>
      <w:r>
        <w:rPr>
          <w:rFonts w:hint="eastAsia" w:ascii="宋体" w:hAnsi="宋体" w:eastAsia="宋体" w:cs="宋体"/>
          <w:color w:val="auto"/>
          <w:sz w:val="18"/>
          <w:szCs w:val="18"/>
          <w:highlight w:val="none"/>
        </w:rPr>
        <w:t>投诉事项2</w:t>
      </w:r>
      <w:r>
        <w:rPr>
          <w:rFonts w:hint="eastAsia" w:hAnsi="宋体" w:cs="宋体"/>
          <w:color w:val="auto"/>
          <w:sz w:val="18"/>
          <w:szCs w:val="18"/>
          <w:highlight w:val="none"/>
          <w:lang w:eastAsia="zh-CN"/>
        </w:rPr>
        <w:t>：</w:t>
      </w:r>
      <w:r>
        <w:rPr>
          <w:rFonts w:hint="eastAsia" w:ascii="宋体" w:hAnsi="宋体" w:eastAsia="宋体" w:cs="宋体"/>
          <w:color w:val="auto"/>
          <w:sz w:val="18"/>
          <w:szCs w:val="18"/>
          <w:highlight w:val="none"/>
          <w:u w:val="single"/>
        </w:rPr>
        <w:t xml:space="preserve">                                                                </w:t>
      </w:r>
      <w:r>
        <w:rPr>
          <w:rFonts w:hint="eastAsia" w:hAnsi="宋体" w:cs="宋体"/>
          <w:color w:val="auto"/>
          <w:sz w:val="18"/>
          <w:szCs w:val="18"/>
          <w:highlight w:val="none"/>
          <w:u w:val="single"/>
          <w:lang w:val="en-US" w:eastAsia="zh-CN"/>
        </w:rPr>
        <w:t xml:space="preserve">           </w:t>
      </w:r>
    </w:p>
    <w:p w14:paraId="1E15D5B3">
      <w:pPr>
        <w:pStyle w:val="9"/>
        <w:keepNext w:val="0"/>
        <w:keepLines w:val="0"/>
        <w:pageBreakBefore w:val="0"/>
        <w:widowControl w:val="0"/>
        <w:kinsoku/>
        <w:wordWrap w:val="0"/>
        <w:overflowPunct/>
        <w:topLinePunct w:val="0"/>
        <w:autoSpaceDE/>
        <w:autoSpaceDN/>
        <w:bidi w:val="0"/>
        <w:adjustRightInd/>
        <w:spacing w:line="280" w:lineRule="exact"/>
        <w:ind w:left="0" w:leftChars="0" w:firstLine="360" w:firstLineChars="200"/>
        <w:textAlignment w:val="auto"/>
        <w:rPr>
          <w:rFonts w:hint="eastAsia" w:ascii="宋体" w:hAnsi="宋体" w:eastAsia="宋体" w:cs="宋体"/>
          <w:bCs/>
          <w:color w:val="auto"/>
          <w:sz w:val="18"/>
          <w:szCs w:val="16"/>
          <w:highlight w:val="none"/>
        </w:rPr>
      </w:pPr>
      <w:r>
        <w:rPr>
          <w:rFonts w:hint="eastAsia" w:ascii="宋体" w:hAnsi="宋体" w:eastAsia="宋体" w:cs="宋体"/>
          <w:bCs/>
          <w:color w:val="auto"/>
          <w:sz w:val="18"/>
          <w:szCs w:val="16"/>
          <w:highlight w:val="none"/>
        </w:rPr>
        <w:t>……</w:t>
      </w:r>
    </w:p>
    <w:p w14:paraId="0D2A5EE9">
      <w:pPr>
        <w:pStyle w:val="9"/>
        <w:keepNext w:val="0"/>
        <w:keepLines w:val="0"/>
        <w:pageBreakBefore w:val="0"/>
        <w:widowControl w:val="0"/>
        <w:kinsoku/>
        <w:wordWrap w:val="0"/>
        <w:overflowPunct/>
        <w:topLinePunct w:val="0"/>
        <w:autoSpaceDE/>
        <w:autoSpaceDN/>
        <w:bidi w:val="0"/>
        <w:adjustRightInd/>
        <w:spacing w:line="280" w:lineRule="exact"/>
        <w:ind w:left="0" w:leftChars="0" w:firstLine="361" w:firstLineChars="200"/>
        <w:textAlignment w:val="auto"/>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五、与投诉事项相关的投诉请求：</w:t>
      </w:r>
    </w:p>
    <w:p w14:paraId="04D58AD8">
      <w:pPr>
        <w:pStyle w:val="9"/>
        <w:keepNext w:val="0"/>
        <w:keepLines w:val="0"/>
        <w:pageBreakBefore w:val="0"/>
        <w:widowControl w:val="0"/>
        <w:kinsoku/>
        <w:wordWrap w:val="0"/>
        <w:overflowPunct/>
        <w:topLinePunct w:val="0"/>
        <w:autoSpaceDE/>
        <w:autoSpaceDN/>
        <w:bidi w:val="0"/>
        <w:adjustRightInd/>
        <w:spacing w:line="280" w:lineRule="exact"/>
        <w:ind w:left="0" w:leftChars="0" w:firstLine="360" w:firstLineChars="20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请求：</w:t>
      </w:r>
      <w:r>
        <w:rPr>
          <w:rFonts w:hint="eastAsia" w:ascii="宋体" w:hAnsi="宋体" w:eastAsia="宋体" w:cs="宋体"/>
          <w:bCs/>
          <w:color w:val="auto"/>
          <w:sz w:val="18"/>
          <w:szCs w:val="16"/>
          <w:highlight w:val="none"/>
          <w:u w:val="single"/>
        </w:rPr>
        <w:t xml:space="preserve">                                                                                </w:t>
      </w:r>
    </w:p>
    <w:p w14:paraId="307471F3">
      <w:pPr>
        <w:pStyle w:val="9"/>
        <w:keepNext w:val="0"/>
        <w:keepLines w:val="0"/>
        <w:pageBreakBefore w:val="0"/>
        <w:widowControl w:val="0"/>
        <w:kinsoku/>
        <w:wordWrap w:val="0"/>
        <w:overflowPunct/>
        <w:topLinePunct w:val="0"/>
        <w:autoSpaceDE/>
        <w:autoSpaceDN/>
        <w:bidi w:val="0"/>
        <w:adjustRightInd/>
        <w:spacing w:line="280" w:lineRule="exact"/>
        <w:ind w:left="0" w:leftChars="0" w:firstLine="360" w:firstLineChars="200"/>
        <w:textAlignment w:val="auto"/>
        <w:rPr>
          <w:rFonts w:hint="eastAsia" w:ascii="宋体" w:hAnsi="宋体" w:eastAsia="宋体" w:cs="宋体"/>
          <w:color w:val="auto"/>
          <w:sz w:val="18"/>
          <w:szCs w:val="18"/>
          <w:highlight w:val="none"/>
        </w:rPr>
      </w:pPr>
    </w:p>
    <w:p w14:paraId="75CB018E">
      <w:pPr>
        <w:pStyle w:val="9"/>
        <w:keepNext w:val="0"/>
        <w:keepLines w:val="0"/>
        <w:pageBreakBefore w:val="0"/>
        <w:widowControl w:val="0"/>
        <w:kinsoku/>
        <w:wordWrap w:val="0"/>
        <w:overflowPunct/>
        <w:topLinePunct w:val="0"/>
        <w:autoSpaceDE/>
        <w:autoSpaceDN/>
        <w:bidi w:val="0"/>
        <w:adjustRightInd/>
        <w:spacing w:line="280" w:lineRule="exact"/>
        <w:ind w:left="0" w:leftChars="0" w:firstLine="360" w:firstLineChars="20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签字（签章）：                                       公章：</w:t>
      </w:r>
    </w:p>
    <w:p w14:paraId="5FB5BFFD">
      <w:pPr>
        <w:pStyle w:val="9"/>
        <w:keepNext w:val="0"/>
        <w:keepLines w:val="0"/>
        <w:pageBreakBefore w:val="0"/>
        <w:widowControl w:val="0"/>
        <w:kinsoku/>
        <w:wordWrap w:val="0"/>
        <w:overflowPunct/>
        <w:topLinePunct w:val="0"/>
        <w:autoSpaceDE/>
        <w:autoSpaceDN/>
        <w:bidi w:val="0"/>
        <w:adjustRightInd/>
        <w:spacing w:line="280" w:lineRule="exact"/>
        <w:ind w:left="0" w:leftChars="0" w:firstLine="360" w:firstLineChars="200"/>
        <w:textAlignment w:val="auto"/>
        <w:rPr>
          <w:rFonts w:hint="eastAsia" w:ascii="宋体" w:hAnsi="宋体" w:eastAsia="宋体" w:cs="宋体"/>
          <w:color w:val="auto"/>
          <w:sz w:val="18"/>
          <w:szCs w:val="18"/>
          <w:highlight w:val="none"/>
        </w:rPr>
      </w:pPr>
    </w:p>
    <w:p w14:paraId="50D26AF0">
      <w:pPr>
        <w:pStyle w:val="9"/>
        <w:keepNext w:val="0"/>
        <w:keepLines w:val="0"/>
        <w:pageBreakBefore w:val="0"/>
        <w:widowControl w:val="0"/>
        <w:kinsoku/>
        <w:wordWrap w:val="0"/>
        <w:overflowPunct/>
        <w:topLinePunct w:val="0"/>
        <w:autoSpaceDE/>
        <w:autoSpaceDN/>
        <w:bidi w:val="0"/>
        <w:adjustRightInd/>
        <w:spacing w:line="280" w:lineRule="exact"/>
        <w:ind w:left="0" w:leftChars="0" w:firstLine="360" w:firstLineChars="20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日期：</w:t>
      </w:r>
      <w:r>
        <w:rPr>
          <w:rFonts w:hint="eastAsia" w:ascii="宋体" w:hAnsi="宋体" w:eastAsia="宋体" w:cs="宋体"/>
          <w:bCs/>
          <w:color w:val="auto"/>
          <w:sz w:val="18"/>
          <w:szCs w:val="16"/>
          <w:highlight w:val="none"/>
        </w:rPr>
        <w:t xml:space="preserve">                                                                                 </w:t>
      </w:r>
    </w:p>
    <w:p w14:paraId="6C50E29E">
      <w:pPr>
        <w:pStyle w:val="9"/>
        <w:keepNext w:val="0"/>
        <w:keepLines w:val="0"/>
        <w:pageBreakBefore w:val="0"/>
        <w:widowControl w:val="0"/>
        <w:kinsoku/>
        <w:wordWrap w:val="0"/>
        <w:overflowPunct/>
        <w:topLinePunct w:val="0"/>
        <w:autoSpaceDE/>
        <w:autoSpaceDN/>
        <w:bidi w:val="0"/>
        <w:adjustRightInd/>
        <w:spacing w:line="280" w:lineRule="exact"/>
        <w:ind w:left="0" w:leftChars="0" w:firstLine="361" w:firstLineChars="200"/>
        <w:textAlignment w:val="auto"/>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说明：</w:t>
      </w:r>
    </w:p>
    <w:p w14:paraId="63DA5AB1">
      <w:pPr>
        <w:pStyle w:val="9"/>
        <w:keepNext w:val="0"/>
        <w:keepLines w:val="0"/>
        <w:pageBreakBefore w:val="0"/>
        <w:widowControl w:val="0"/>
        <w:kinsoku/>
        <w:wordWrap w:val="0"/>
        <w:overflowPunct/>
        <w:topLinePunct w:val="0"/>
        <w:autoSpaceDE/>
        <w:autoSpaceDN/>
        <w:bidi w:val="0"/>
        <w:adjustRightInd/>
        <w:spacing w:line="280" w:lineRule="exact"/>
        <w:ind w:left="0" w:leftChars="0" w:firstLine="361" w:firstLineChars="200"/>
        <w:textAlignment w:val="auto"/>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1.投诉人提起投诉时，应当提交投诉书和必要的证明材料，并按照被投诉人和与投诉事项有关的供应商数量提供投诉书副本。</w:t>
      </w:r>
    </w:p>
    <w:p w14:paraId="390F9FD2">
      <w:pPr>
        <w:pStyle w:val="9"/>
        <w:keepNext w:val="0"/>
        <w:keepLines w:val="0"/>
        <w:pageBreakBefore w:val="0"/>
        <w:widowControl w:val="0"/>
        <w:kinsoku/>
        <w:wordWrap w:val="0"/>
        <w:overflowPunct/>
        <w:topLinePunct w:val="0"/>
        <w:autoSpaceDE/>
        <w:autoSpaceDN/>
        <w:bidi w:val="0"/>
        <w:adjustRightInd/>
        <w:spacing w:line="280" w:lineRule="exact"/>
        <w:ind w:left="0" w:leftChars="0" w:firstLine="361" w:firstLineChars="200"/>
        <w:textAlignment w:val="auto"/>
        <w:rPr>
          <w:rFonts w:hint="eastAsia" w:ascii="宋体" w:hAnsi="宋体" w:eastAsia="宋体" w:cs="宋体"/>
          <w:b/>
          <w:color w:val="auto"/>
          <w:sz w:val="18"/>
          <w:szCs w:val="16"/>
          <w:highlight w:val="none"/>
        </w:rPr>
      </w:pPr>
      <w:r>
        <w:rPr>
          <w:rFonts w:hint="eastAsia" w:ascii="宋体" w:hAnsi="宋体" w:eastAsia="宋体" w:cs="宋体"/>
          <w:b/>
          <w:color w:val="auto"/>
          <w:sz w:val="18"/>
          <w:szCs w:val="18"/>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6B7BFDE8">
      <w:pPr>
        <w:pStyle w:val="9"/>
        <w:keepNext w:val="0"/>
        <w:keepLines w:val="0"/>
        <w:pageBreakBefore w:val="0"/>
        <w:widowControl w:val="0"/>
        <w:kinsoku/>
        <w:wordWrap w:val="0"/>
        <w:overflowPunct/>
        <w:topLinePunct w:val="0"/>
        <w:autoSpaceDE/>
        <w:autoSpaceDN/>
        <w:bidi w:val="0"/>
        <w:adjustRightInd/>
        <w:spacing w:line="280" w:lineRule="exact"/>
        <w:ind w:left="0" w:leftChars="0" w:firstLine="361" w:firstLineChars="200"/>
        <w:textAlignment w:val="auto"/>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3.投诉书应简要列明质疑事项，质疑函、质疑答复等作为附件材料提供。</w:t>
      </w:r>
    </w:p>
    <w:p w14:paraId="5B87FA46">
      <w:pPr>
        <w:pStyle w:val="9"/>
        <w:keepNext w:val="0"/>
        <w:keepLines w:val="0"/>
        <w:pageBreakBefore w:val="0"/>
        <w:widowControl w:val="0"/>
        <w:kinsoku/>
        <w:wordWrap w:val="0"/>
        <w:overflowPunct/>
        <w:topLinePunct w:val="0"/>
        <w:autoSpaceDE/>
        <w:autoSpaceDN/>
        <w:bidi w:val="0"/>
        <w:adjustRightInd/>
        <w:spacing w:line="280" w:lineRule="exact"/>
        <w:ind w:left="0" w:leftChars="0" w:firstLine="361" w:firstLineChars="200"/>
        <w:textAlignment w:val="auto"/>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4.投诉书的投诉事项应具体、明确，并有必要的事实依据和法律依据。</w:t>
      </w:r>
    </w:p>
    <w:p w14:paraId="5A0695E6">
      <w:pPr>
        <w:pStyle w:val="9"/>
        <w:keepNext w:val="0"/>
        <w:keepLines w:val="0"/>
        <w:pageBreakBefore w:val="0"/>
        <w:widowControl w:val="0"/>
        <w:kinsoku/>
        <w:wordWrap w:val="0"/>
        <w:overflowPunct/>
        <w:topLinePunct w:val="0"/>
        <w:autoSpaceDE/>
        <w:autoSpaceDN/>
        <w:bidi w:val="0"/>
        <w:adjustRightInd/>
        <w:spacing w:line="280" w:lineRule="exact"/>
        <w:ind w:left="0" w:leftChars="0" w:firstLine="361" w:firstLineChars="200"/>
        <w:textAlignment w:val="auto"/>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5.投诉书的投诉请求应与投诉事项相关。</w:t>
      </w:r>
    </w:p>
    <w:p w14:paraId="7F08A037">
      <w:pPr>
        <w:pStyle w:val="9"/>
        <w:keepNext w:val="0"/>
        <w:keepLines w:val="0"/>
        <w:pageBreakBefore w:val="0"/>
        <w:widowControl w:val="0"/>
        <w:kinsoku/>
        <w:wordWrap w:val="0"/>
        <w:overflowPunct/>
        <w:topLinePunct w:val="0"/>
        <w:autoSpaceDE/>
        <w:autoSpaceDN/>
        <w:bidi w:val="0"/>
        <w:adjustRightInd/>
        <w:spacing w:line="280" w:lineRule="exact"/>
        <w:ind w:left="0" w:leftChars="0" w:firstLine="361" w:firstLineChars="200"/>
        <w:textAlignment w:val="auto"/>
        <w:rPr>
          <w:rFonts w:hint="eastAsia" w:ascii="宋体" w:hAnsi="宋体" w:eastAsia="宋体" w:cs="宋体"/>
          <w:b/>
          <w:color w:val="auto"/>
          <w:kern w:val="0"/>
          <w:sz w:val="32"/>
          <w:szCs w:val="32"/>
          <w:highlight w:val="none"/>
        </w:rPr>
      </w:pPr>
      <w:r>
        <w:rPr>
          <w:rFonts w:hint="eastAsia" w:ascii="宋体" w:hAnsi="宋体" w:eastAsia="宋体" w:cs="宋体"/>
          <w:b/>
          <w:color w:val="auto"/>
          <w:sz w:val="18"/>
          <w:szCs w:val="18"/>
          <w:highlight w:val="none"/>
        </w:rPr>
        <w:t>6.投诉人为自然人的，投诉书应由本人签字；投诉人为法人或者其他组织的，投诉书应由法定代表人、主要负责人，或者其授权代表签字或者盖章，并加盖公章。</w:t>
      </w:r>
    </w:p>
    <w:p w14:paraId="533D5202">
      <w:pPr>
        <w:pStyle w:val="2"/>
        <w:numPr>
          <w:ilvl w:val="0"/>
          <w:numId w:val="0"/>
        </w:numPr>
        <w:wordWrap w:val="0"/>
        <w:spacing w:before="0" w:after="0" w:line="360" w:lineRule="auto"/>
        <w:jc w:val="center"/>
        <w:rPr>
          <w:rFonts w:hint="eastAsia" w:ascii="宋体" w:hAnsi="宋体" w:eastAsia="宋体" w:cs="宋体"/>
          <w:color w:val="auto"/>
          <w:sz w:val="36"/>
          <w:szCs w:val="36"/>
          <w:highlight w:val="none"/>
        </w:rPr>
      </w:pPr>
      <w:bookmarkStart w:id="29" w:name="_Toc30317"/>
      <w:bookmarkStart w:id="30" w:name="_Toc191888425"/>
      <w:r>
        <w:rPr>
          <w:rFonts w:hint="eastAsia" w:ascii="宋体" w:hAnsi="宋体" w:eastAsia="宋体" w:cs="宋体"/>
          <w:b/>
          <w:bCs/>
          <w:color w:val="auto"/>
          <w:kern w:val="44"/>
          <w:sz w:val="36"/>
          <w:szCs w:val="36"/>
          <w:lang w:val="en-US" w:eastAsia="zh-CN" w:bidi="ar-SA"/>
        </w:rPr>
        <w:t>第三章</w:t>
      </w:r>
      <w:r>
        <w:rPr>
          <w:rFonts w:hint="eastAsia" w:ascii="宋体" w:hAnsi="宋体" w:cs="宋体"/>
          <w:b/>
          <w:bCs/>
          <w:color w:val="auto"/>
          <w:kern w:val="44"/>
          <w:sz w:val="36"/>
          <w:szCs w:val="36"/>
          <w:lang w:val="en-US" w:eastAsia="zh-CN" w:bidi="ar-SA"/>
        </w:rPr>
        <w:t xml:space="preserve"> </w:t>
      </w:r>
      <w:r>
        <w:rPr>
          <w:rFonts w:hint="eastAsia" w:ascii="宋体" w:hAnsi="宋体" w:eastAsia="宋体" w:cs="宋体"/>
          <w:color w:val="auto"/>
          <w:sz w:val="36"/>
          <w:szCs w:val="36"/>
          <w:highlight w:val="none"/>
        </w:rPr>
        <w:t>工程量清单</w:t>
      </w:r>
      <w:bookmarkEnd w:id="29"/>
    </w:p>
    <w:p w14:paraId="4A1208F7">
      <w:pPr>
        <w:wordWrap w:val="0"/>
        <w:ind w:firstLine="643" w:firstLineChars="200"/>
        <w:jc w:val="lef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工程量清单（另附，自行下载）</w:t>
      </w:r>
    </w:p>
    <w:p w14:paraId="0E4EEA3C">
      <w:pPr>
        <w:wordWrap w:val="0"/>
        <w:ind w:firstLine="643" w:firstLineChars="200"/>
        <w:jc w:val="lef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本项目所属行业：建筑行业</w:t>
      </w:r>
    </w:p>
    <w:p w14:paraId="4CBC137D">
      <w:pPr>
        <w:wordWrap w:val="0"/>
        <w:ind w:left="420" w:leftChars="200" w:firstLine="336" w:firstLineChars="160"/>
        <w:rPr>
          <w:rFonts w:hint="eastAsia" w:ascii="宋体" w:hAnsi="宋体" w:eastAsia="宋体" w:cs="宋体"/>
          <w:color w:val="auto"/>
          <w:highlight w:val="none"/>
        </w:rPr>
      </w:pPr>
    </w:p>
    <w:p w14:paraId="7E2E13B5">
      <w:pPr>
        <w:wordWrap w:val="0"/>
        <w:snapToGrid w:val="0"/>
        <w:spacing w:line="440" w:lineRule="exact"/>
        <w:jc w:val="center"/>
        <w:outlineLvl w:val="4"/>
        <w:rPr>
          <w:rStyle w:val="20"/>
          <w:rFonts w:hint="eastAsia" w:ascii="宋体" w:hAnsi="宋体" w:eastAsia="宋体" w:cs="宋体"/>
          <w:color w:val="auto"/>
          <w:sz w:val="36"/>
          <w:szCs w:val="36"/>
          <w:highlight w:val="none"/>
        </w:rPr>
      </w:pPr>
      <w:bookmarkStart w:id="31" w:name="_Toc7466"/>
      <w:r>
        <w:rPr>
          <w:rFonts w:hint="eastAsia" w:ascii="宋体" w:hAnsi="宋体" w:eastAsia="宋体" w:cs="宋体"/>
          <w:color w:val="auto"/>
          <w:kern w:val="0"/>
          <w:szCs w:val="21"/>
          <w:highlight w:val="none"/>
        </w:rPr>
        <w:br w:type="page"/>
      </w:r>
      <w:bookmarkStart w:id="32" w:name="_Toc16558"/>
      <w:r>
        <w:rPr>
          <w:rStyle w:val="20"/>
          <w:rFonts w:hint="eastAsia" w:ascii="宋体" w:hAnsi="宋体" w:eastAsia="宋体" w:cs="宋体"/>
          <w:color w:val="auto"/>
          <w:sz w:val="36"/>
          <w:szCs w:val="36"/>
          <w:highlight w:val="none"/>
        </w:rPr>
        <w:t>第四章 评审办法</w:t>
      </w:r>
      <w:bookmarkEnd w:id="31"/>
    </w:p>
    <w:bookmarkEnd w:id="32"/>
    <w:p w14:paraId="1DB120CA">
      <w:pPr>
        <w:pStyle w:val="9"/>
        <w:keepNext w:val="0"/>
        <w:keepLines w:val="0"/>
        <w:pageBreakBefore w:val="0"/>
        <w:widowControl w:val="0"/>
        <w:kinsoku/>
        <w:wordWrap w:val="0"/>
        <w:overflowPunct/>
        <w:topLinePunct w:val="0"/>
        <w:autoSpaceDE/>
        <w:autoSpaceDN/>
        <w:bidi w:val="0"/>
        <w:adjustRightInd/>
        <w:snapToGrid/>
        <w:spacing w:line="380" w:lineRule="exact"/>
        <w:ind w:left="0" w:leftChars="0" w:firstLine="42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一、评审依据及方式</w:t>
      </w:r>
    </w:p>
    <w:p w14:paraId="4F0D235F">
      <w:pPr>
        <w:pStyle w:val="9"/>
        <w:keepNext w:val="0"/>
        <w:keepLines w:val="0"/>
        <w:pageBreakBefore w:val="0"/>
        <w:widowControl w:val="0"/>
        <w:kinsoku/>
        <w:wordWrap w:val="0"/>
        <w:overflowPunct/>
        <w:topLinePunct w:val="0"/>
        <w:autoSpaceDE/>
        <w:autoSpaceDN/>
        <w:bidi w:val="0"/>
        <w:adjustRightInd/>
        <w:snapToGrid/>
        <w:spacing w:line="38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1.评审依据：磋商小组以竞争性磋商文件和响应文件为评审依据，对磋商供应商的响应文件按百分制打分。</w:t>
      </w:r>
    </w:p>
    <w:p w14:paraId="58629A7C">
      <w:pPr>
        <w:pStyle w:val="9"/>
        <w:keepNext w:val="0"/>
        <w:keepLines w:val="0"/>
        <w:pageBreakBefore w:val="0"/>
        <w:widowControl w:val="0"/>
        <w:kinsoku/>
        <w:wordWrap w:val="0"/>
        <w:overflowPunct/>
        <w:topLinePunct w:val="0"/>
        <w:autoSpaceDE/>
        <w:autoSpaceDN/>
        <w:bidi w:val="0"/>
        <w:adjustRightInd/>
        <w:snapToGrid/>
        <w:spacing w:line="38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2.评审方式：以封闭方式进行评审。</w:t>
      </w:r>
    </w:p>
    <w:p w14:paraId="16AC0516">
      <w:pPr>
        <w:pStyle w:val="9"/>
        <w:keepNext w:val="0"/>
        <w:keepLines w:val="0"/>
        <w:pageBreakBefore w:val="0"/>
        <w:widowControl w:val="0"/>
        <w:kinsoku/>
        <w:wordWrap w:val="0"/>
        <w:overflowPunct/>
        <w:topLinePunct w:val="0"/>
        <w:autoSpaceDE/>
        <w:autoSpaceDN/>
        <w:bidi w:val="0"/>
        <w:adjustRightInd/>
        <w:snapToGrid/>
        <w:spacing w:line="38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3.根据财库〔2012〕69号文规定，采购人和采购代理机构，磋商小组成员要严格遵守政府采购相关法律制度，依法履行各自职责，公正、客观、审慎地组织和参与评审工作。</w:t>
      </w:r>
    </w:p>
    <w:p w14:paraId="4EFEFE57">
      <w:pPr>
        <w:pStyle w:val="9"/>
        <w:keepNext w:val="0"/>
        <w:keepLines w:val="0"/>
        <w:pageBreakBefore w:val="0"/>
        <w:widowControl w:val="0"/>
        <w:kinsoku/>
        <w:wordWrap w:val="0"/>
        <w:overflowPunct/>
        <w:topLinePunct w:val="0"/>
        <w:autoSpaceDE/>
        <w:autoSpaceDN/>
        <w:bidi w:val="0"/>
        <w:adjustRightInd/>
        <w:snapToGrid/>
        <w:spacing w:line="380" w:lineRule="exact"/>
        <w:ind w:left="0" w:leftChars="0" w:firstLine="42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二、评审办法</w:t>
      </w:r>
    </w:p>
    <w:p w14:paraId="43C8B1AD">
      <w:pPr>
        <w:pStyle w:val="9"/>
        <w:keepNext w:val="0"/>
        <w:keepLines w:val="0"/>
        <w:pageBreakBefore w:val="0"/>
        <w:widowControl w:val="0"/>
        <w:kinsoku/>
        <w:wordWrap w:val="0"/>
        <w:overflowPunct/>
        <w:topLinePunct w:val="0"/>
        <w:autoSpaceDE/>
        <w:autoSpaceDN/>
        <w:bidi w:val="0"/>
        <w:adjustRightInd/>
        <w:snapToGrid/>
        <w:spacing w:line="380" w:lineRule="exact"/>
        <w:ind w:left="0" w:leftChars="0" w:firstLine="420" w:firstLineChars="200"/>
        <w:textAlignment w:val="auto"/>
        <w:rPr>
          <w:rFonts w:hint="eastAsia" w:ascii="宋体" w:hAnsi="宋体" w:eastAsia="宋体" w:cs="宋体"/>
          <w:color w:val="auto"/>
          <w:highlight w:val="none"/>
        </w:rPr>
      </w:pPr>
      <w:r>
        <w:rPr>
          <w:rFonts w:hint="eastAsia" w:ascii="宋体" w:hAnsi="宋体" w:eastAsia="宋体" w:cs="宋体"/>
          <w:bCs/>
          <w:color w:val="auto"/>
          <w:highlight w:val="none"/>
        </w:rPr>
        <w:t>（一）本次评标采用综合评分法。磋商小组会首先对磋商供应商提交的响应文件进行资格性审查和符合性审查，只有通过了资格性审查和符合性审查才能进入详评。</w:t>
      </w:r>
    </w:p>
    <w:p w14:paraId="52938A11">
      <w:pPr>
        <w:pStyle w:val="9"/>
        <w:keepNext w:val="0"/>
        <w:keepLines w:val="0"/>
        <w:pageBreakBefore w:val="0"/>
        <w:widowControl w:val="0"/>
        <w:kinsoku/>
        <w:wordWrap w:val="0"/>
        <w:overflowPunct/>
        <w:topLinePunct w:val="0"/>
        <w:autoSpaceDE/>
        <w:autoSpaceDN/>
        <w:bidi w:val="0"/>
        <w:adjustRightInd/>
        <w:snapToGrid/>
        <w:spacing w:line="380" w:lineRule="exact"/>
        <w:ind w:left="0" w:leftChars="0" w:firstLine="420" w:firstLineChars="20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（二）计分办法</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1260"/>
        <w:gridCol w:w="1933"/>
        <w:gridCol w:w="6342"/>
      </w:tblGrid>
      <w:tr w14:paraId="4CE42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4"/>
            <w:noWrap w:val="0"/>
            <w:vAlign w:val="center"/>
          </w:tcPr>
          <w:p w14:paraId="68D598C3">
            <w:pPr>
              <w:keepNext w:val="0"/>
              <w:keepLines w:val="0"/>
              <w:pageBreakBefore w:val="0"/>
              <w:widowControl w:val="0"/>
              <w:kinsoku/>
              <w:wordWrap w:val="0"/>
              <w:overflowPunct/>
              <w:topLinePunct w:val="0"/>
              <w:autoSpaceDE/>
              <w:autoSpaceDN/>
              <w:bidi w:val="0"/>
              <w:adjustRightInd/>
              <w:snapToGrid w:val="0"/>
              <w:spacing w:line="380" w:lineRule="exact"/>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一、分值构成（总分100分）</w:t>
            </w:r>
          </w:p>
          <w:p w14:paraId="1869D5AB">
            <w:pPr>
              <w:keepNext w:val="0"/>
              <w:keepLines w:val="0"/>
              <w:pageBreakBefore w:val="0"/>
              <w:widowControl w:val="0"/>
              <w:kinsoku/>
              <w:wordWrap w:val="0"/>
              <w:overflowPunct/>
              <w:topLinePunct w:val="0"/>
              <w:autoSpaceDE/>
              <w:autoSpaceDN/>
              <w:bidi w:val="0"/>
              <w:adjustRightInd/>
              <w:snapToGrid w:val="0"/>
              <w:spacing w:line="380" w:lineRule="exact"/>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1.商务分（磋商报价分）：</w:t>
            </w:r>
            <w:r>
              <w:rPr>
                <w:rFonts w:hint="eastAsia" w:ascii="宋体" w:hAnsi="宋体" w:eastAsia="宋体" w:cs="宋体"/>
                <w:color w:val="auto"/>
                <w:kern w:val="0"/>
                <w:highlight w:val="none"/>
                <w:lang w:val="en-US" w:eastAsia="zh-CN"/>
              </w:rPr>
              <w:t>30</w:t>
            </w:r>
            <w:r>
              <w:rPr>
                <w:rFonts w:hint="eastAsia" w:ascii="宋体" w:hAnsi="宋体" w:eastAsia="宋体" w:cs="宋体"/>
                <w:color w:val="auto"/>
                <w:kern w:val="0"/>
                <w:highlight w:val="none"/>
              </w:rPr>
              <w:t>分</w:t>
            </w:r>
          </w:p>
          <w:p w14:paraId="0AF95682">
            <w:pPr>
              <w:keepNext w:val="0"/>
              <w:keepLines w:val="0"/>
              <w:pageBreakBefore w:val="0"/>
              <w:widowControl w:val="0"/>
              <w:kinsoku/>
              <w:wordWrap w:val="0"/>
              <w:overflowPunct/>
              <w:topLinePunct w:val="0"/>
              <w:autoSpaceDE/>
              <w:autoSpaceDN/>
              <w:bidi w:val="0"/>
              <w:adjustRightInd/>
              <w:snapToGrid w:val="0"/>
              <w:spacing w:line="380" w:lineRule="exact"/>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2.技术分（</w:t>
            </w:r>
            <w:r>
              <w:rPr>
                <w:rFonts w:hint="eastAsia" w:ascii="宋体" w:hAnsi="宋体" w:eastAsia="宋体" w:cs="宋体"/>
                <w:color w:val="auto"/>
                <w:kern w:val="0"/>
                <w:highlight w:val="none"/>
                <w:lang w:eastAsia="zh-CN"/>
              </w:rPr>
              <w:t>施工实施方案</w:t>
            </w:r>
            <w:r>
              <w:rPr>
                <w:rFonts w:hint="eastAsia" w:ascii="宋体" w:hAnsi="宋体" w:eastAsia="宋体" w:cs="宋体"/>
                <w:color w:val="auto"/>
                <w:kern w:val="0"/>
                <w:highlight w:val="none"/>
              </w:rPr>
              <w:t>分）：</w:t>
            </w:r>
            <w:r>
              <w:rPr>
                <w:rFonts w:hint="eastAsia" w:ascii="宋体" w:hAnsi="宋体" w:eastAsia="宋体" w:cs="宋体"/>
                <w:color w:val="auto"/>
                <w:kern w:val="0"/>
                <w:highlight w:val="none"/>
                <w:lang w:val="en-US" w:eastAsia="zh-CN"/>
              </w:rPr>
              <w:t>56</w:t>
            </w:r>
            <w:r>
              <w:rPr>
                <w:rFonts w:hint="eastAsia" w:ascii="宋体" w:hAnsi="宋体" w:eastAsia="宋体" w:cs="宋体"/>
                <w:color w:val="auto"/>
                <w:kern w:val="0"/>
                <w:highlight w:val="none"/>
              </w:rPr>
              <w:t>分</w:t>
            </w:r>
          </w:p>
          <w:p w14:paraId="5229FBB8">
            <w:pPr>
              <w:keepNext w:val="0"/>
              <w:keepLines w:val="0"/>
              <w:pageBreakBefore w:val="0"/>
              <w:widowControl w:val="0"/>
              <w:kinsoku/>
              <w:wordWrap w:val="0"/>
              <w:overflowPunct/>
              <w:topLinePunct w:val="0"/>
              <w:autoSpaceDE/>
              <w:autoSpaceDN/>
              <w:bidi w:val="0"/>
              <w:adjustRightInd/>
              <w:snapToGrid w:val="0"/>
              <w:spacing w:line="380" w:lineRule="exact"/>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3.</w:t>
            </w:r>
            <w:r>
              <w:rPr>
                <w:rFonts w:hint="eastAsia" w:ascii="宋体" w:hAnsi="宋体" w:eastAsia="宋体" w:cs="宋体"/>
                <w:color w:val="auto"/>
                <w:kern w:val="0"/>
                <w:szCs w:val="21"/>
                <w:highlight w:val="none"/>
              </w:rPr>
              <w:t>项目管理机构分：1</w:t>
            </w:r>
            <w:r>
              <w:rPr>
                <w:rFonts w:hint="eastAsia" w:ascii="宋体" w:hAnsi="宋体" w:eastAsia="宋体" w:cs="宋体"/>
                <w:color w:val="auto"/>
                <w:kern w:val="0"/>
                <w:szCs w:val="21"/>
                <w:highlight w:val="none"/>
                <w:lang w:val="en-US" w:eastAsia="zh-CN"/>
              </w:rPr>
              <w:t>0</w:t>
            </w:r>
            <w:r>
              <w:rPr>
                <w:rFonts w:hint="eastAsia" w:ascii="宋体" w:hAnsi="宋体" w:eastAsia="宋体" w:cs="宋体"/>
                <w:color w:val="auto"/>
                <w:szCs w:val="21"/>
                <w:highlight w:val="none"/>
              </w:rPr>
              <w:t>分</w:t>
            </w:r>
          </w:p>
          <w:p w14:paraId="35FD300D">
            <w:pPr>
              <w:keepNext w:val="0"/>
              <w:keepLines w:val="0"/>
              <w:pageBreakBefore w:val="0"/>
              <w:widowControl w:val="0"/>
              <w:kinsoku/>
              <w:wordWrap w:val="0"/>
              <w:overflowPunct/>
              <w:topLinePunct w:val="0"/>
              <w:autoSpaceDE/>
              <w:autoSpaceDN/>
              <w:bidi w:val="0"/>
              <w:adjustRightInd/>
              <w:snapToGrid w:val="0"/>
              <w:spacing w:line="380" w:lineRule="exact"/>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4.</w:t>
            </w:r>
            <w:r>
              <w:rPr>
                <w:rFonts w:hint="eastAsia" w:ascii="宋体" w:hAnsi="宋体" w:eastAsia="宋体" w:cs="宋体"/>
                <w:color w:val="auto"/>
                <w:kern w:val="0"/>
                <w:highlight w:val="none"/>
                <w:lang w:val="en-US" w:eastAsia="zh-CN"/>
              </w:rPr>
              <w:t>履约能</w:t>
            </w:r>
            <w:r>
              <w:rPr>
                <w:rFonts w:hint="eastAsia" w:ascii="宋体" w:hAnsi="宋体" w:eastAsia="宋体" w:cs="宋体"/>
                <w:color w:val="auto"/>
                <w:kern w:val="0"/>
                <w:highlight w:val="none"/>
              </w:rPr>
              <w:t>力分：</w:t>
            </w:r>
            <w:r>
              <w:rPr>
                <w:rFonts w:hint="eastAsia" w:ascii="宋体" w:hAnsi="宋体" w:eastAsia="宋体" w:cs="宋体"/>
                <w:color w:val="auto"/>
                <w:kern w:val="0"/>
                <w:highlight w:val="none"/>
                <w:lang w:val="en-US" w:eastAsia="zh-CN"/>
              </w:rPr>
              <w:t>4</w:t>
            </w:r>
            <w:r>
              <w:rPr>
                <w:rFonts w:hint="eastAsia" w:ascii="宋体" w:hAnsi="宋体" w:eastAsia="宋体" w:cs="宋体"/>
                <w:color w:val="auto"/>
                <w:kern w:val="0"/>
                <w:highlight w:val="none"/>
              </w:rPr>
              <w:t>分</w:t>
            </w:r>
          </w:p>
        </w:tc>
      </w:tr>
      <w:tr w14:paraId="41E45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4" w:type="pct"/>
            <w:noWrap w:val="0"/>
            <w:vAlign w:val="center"/>
          </w:tcPr>
          <w:p w14:paraId="16E9A535">
            <w:pPr>
              <w:widowControl/>
              <w:wordWrap w:val="0"/>
              <w:snapToGrid w:val="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商</w:t>
            </w:r>
          </w:p>
          <w:p w14:paraId="792DC28B">
            <w:pPr>
              <w:widowControl/>
              <w:wordWrap w:val="0"/>
              <w:snapToGrid w:val="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务</w:t>
            </w:r>
          </w:p>
          <w:p w14:paraId="1253A3A9">
            <w:pPr>
              <w:widowControl/>
              <w:wordWrap w:val="0"/>
              <w:snapToGrid w:val="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分</w:t>
            </w:r>
          </w:p>
        </w:tc>
        <w:tc>
          <w:tcPr>
            <w:tcW w:w="633" w:type="pct"/>
            <w:noWrap w:val="0"/>
            <w:vAlign w:val="center"/>
          </w:tcPr>
          <w:p w14:paraId="7EF62F5D">
            <w:pPr>
              <w:widowControl/>
              <w:wordWrap w:val="0"/>
              <w:snapToGrid w:val="0"/>
              <w:spacing w:line="420" w:lineRule="exact"/>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磋商报价分（满分</w:t>
            </w:r>
            <w:r>
              <w:rPr>
                <w:rFonts w:hint="eastAsia" w:ascii="宋体" w:hAnsi="宋体" w:eastAsia="宋体" w:cs="宋体"/>
                <w:b/>
                <w:bCs/>
                <w:color w:val="auto"/>
                <w:kern w:val="0"/>
                <w:szCs w:val="21"/>
                <w:highlight w:val="none"/>
                <w:lang w:val="en-US" w:eastAsia="zh-CN"/>
              </w:rPr>
              <w:t>30</w:t>
            </w:r>
            <w:r>
              <w:rPr>
                <w:rFonts w:hint="eastAsia" w:ascii="宋体" w:hAnsi="宋体" w:eastAsia="宋体" w:cs="宋体"/>
                <w:b/>
                <w:bCs/>
                <w:color w:val="auto"/>
                <w:kern w:val="0"/>
                <w:szCs w:val="21"/>
                <w:highlight w:val="none"/>
              </w:rPr>
              <w:t>分）</w:t>
            </w:r>
          </w:p>
        </w:tc>
        <w:tc>
          <w:tcPr>
            <w:tcW w:w="4152" w:type="pct"/>
            <w:gridSpan w:val="2"/>
            <w:noWrap w:val="0"/>
            <w:vAlign w:val="center"/>
          </w:tcPr>
          <w:p w14:paraId="1C1A0B27">
            <w:pPr>
              <w:pStyle w:val="9"/>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1.以进入详评的且最后报价（磋商报价）最低的供应商的价格为磋商基准价，其价格分为30分；</w:t>
            </w:r>
          </w:p>
          <w:p w14:paraId="26FB8AC1">
            <w:pPr>
              <w:pStyle w:val="9"/>
              <w:snapToGrid w:val="0"/>
              <w:spacing w:line="360" w:lineRule="exac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rPr>
              <w:t>2.供应商磋商报价得分=（磋商基准价/最后磋商报价）×30分。</w:t>
            </w:r>
          </w:p>
        </w:tc>
      </w:tr>
      <w:tr w14:paraId="2C86F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4" w:type="pct"/>
            <w:vMerge w:val="restart"/>
            <w:noWrap w:val="0"/>
            <w:vAlign w:val="center"/>
          </w:tcPr>
          <w:p w14:paraId="62D02B7B">
            <w:pPr>
              <w:widowControl/>
              <w:wordWrap w:val="0"/>
              <w:snapToGrid w:val="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技</w:t>
            </w:r>
          </w:p>
          <w:p w14:paraId="78AD77D5">
            <w:pPr>
              <w:widowControl/>
              <w:wordWrap w:val="0"/>
              <w:snapToGrid w:val="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术</w:t>
            </w:r>
          </w:p>
          <w:p w14:paraId="64A664B0">
            <w:pPr>
              <w:widowControl/>
              <w:wordWrap w:val="0"/>
              <w:snapToGrid w:val="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分</w:t>
            </w:r>
          </w:p>
        </w:tc>
        <w:tc>
          <w:tcPr>
            <w:tcW w:w="633" w:type="pct"/>
            <w:vMerge w:val="restart"/>
            <w:noWrap w:val="0"/>
            <w:vAlign w:val="center"/>
          </w:tcPr>
          <w:p w14:paraId="39C0E276">
            <w:pPr>
              <w:widowControl/>
              <w:wordWrap w:val="0"/>
              <w:snapToGrid w:val="0"/>
              <w:spacing w:line="420" w:lineRule="exac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eastAsia="zh-CN"/>
              </w:rPr>
              <w:t>施工实施方案</w:t>
            </w:r>
            <w:r>
              <w:rPr>
                <w:rFonts w:hint="eastAsia" w:ascii="宋体" w:hAnsi="宋体" w:eastAsia="宋体" w:cs="宋体"/>
                <w:b/>
                <w:bCs/>
                <w:color w:val="auto"/>
                <w:kern w:val="0"/>
                <w:szCs w:val="21"/>
                <w:highlight w:val="none"/>
              </w:rPr>
              <w:t>分（满分</w:t>
            </w:r>
            <w:r>
              <w:rPr>
                <w:rFonts w:hint="eastAsia" w:ascii="宋体" w:hAnsi="宋体" w:eastAsia="宋体" w:cs="宋体"/>
                <w:b/>
                <w:bCs/>
                <w:color w:val="auto"/>
                <w:kern w:val="0"/>
                <w:szCs w:val="21"/>
                <w:highlight w:val="none"/>
                <w:lang w:val="en-US" w:eastAsia="zh-CN"/>
              </w:rPr>
              <w:t>56</w:t>
            </w:r>
            <w:r>
              <w:rPr>
                <w:rFonts w:hint="eastAsia" w:ascii="宋体" w:hAnsi="宋体" w:eastAsia="宋体" w:cs="宋体"/>
                <w:b/>
                <w:bCs/>
                <w:color w:val="auto"/>
                <w:kern w:val="0"/>
                <w:szCs w:val="21"/>
                <w:highlight w:val="none"/>
              </w:rPr>
              <w:t>分）</w:t>
            </w:r>
          </w:p>
        </w:tc>
        <w:tc>
          <w:tcPr>
            <w:tcW w:w="970" w:type="pct"/>
            <w:noWrap w:val="0"/>
            <w:vAlign w:val="center"/>
          </w:tcPr>
          <w:p w14:paraId="3C4084B4">
            <w:pPr>
              <w:widowControl/>
              <w:snapToGrid w:val="0"/>
              <w:spacing w:line="400" w:lineRule="exact"/>
              <w:jc w:val="center"/>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color w:val="auto"/>
                <w:szCs w:val="21"/>
                <w:highlight w:val="none"/>
              </w:rPr>
              <w:t>总体施工组织布置及规划</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en-US" w:eastAsia="zh-CN"/>
              </w:rPr>
              <w:t>满分10</w:t>
            </w:r>
            <w:r>
              <w:rPr>
                <w:rFonts w:hint="eastAsia" w:ascii="宋体" w:hAnsi="宋体" w:eastAsia="宋体" w:cs="宋体"/>
                <w:b/>
                <w:bCs/>
                <w:color w:val="auto"/>
                <w:kern w:val="0"/>
                <w:szCs w:val="21"/>
                <w:highlight w:val="none"/>
              </w:rPr>
              <w:t>分）</w:t>
            </w:r>
          </w:p>
        </w:tc>
        <w:tc>
          <w:tcPr>
            <w:tcW w:w="3182" w:type="pct"/>
            <w:noWrap w:val="0"/>
            <w:vAlign w:val="center"/>
          </w:tcPr>
          <w:p w14:paraId="01EFF70F">
            <w:pPr>
              <w:widowControl/>
              <w:snapToGrid w:val="0"/>
              <w:spacing w:line="400" w:lineRule="exact"/>
              <w:ind w:left="-8" w:leftChars="-4" w:firstLine="4" w:firstLineChars="2"/>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一档（0分）：</w:t>
            </w:r>
            <w:r>
              <w:rPr>
                <w:rFonts w:hint="eastAsia" w:ascii="宋体" w:hAnsi="宋体" w:eastAsia="宋体" w:cs="宋体"/>
                <w:color w:val="auto"/>
                <w:szCs w:val="21"/>
                <w:highlight w:val="none"/>
              </w:rPr>
              <w:t>方案不可行或未提供的；</w:t>
            </w:r>
          </w:p>
          <w:p w14:paraId="45221D89">
            <w:pPr>
              <w:widowControl/>
              <w:snapToGrid w:val="0"/>
              <w:spacing w:line="400" w:lineRule="exact"/>
              <w:ind w:left="-8" w:leftChars="-4" w:firstLine="4" w:firstLineChars="2"/>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二档（2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分）：对项目有基本认识，但表达不清晰，</w:t>
            </w:r>
            <w:r>
              <w:rPr>
                <w:rFonts w:hint="eastAsia" w:ascii="宋体" w:hAnsi="宋体" w:eastAsia="宋体" w:cs="宋体"/>
                <w:color w:val="auto"/>
                <w:szCs w:val="21"/>
                <w:highlight w:val="none"/>
              </w:rPr>
              <w:t>施工组织部署及规划基本满足项目要求</w:t>
            </w:r>
            <w:r>
              <w:rPr>
                <w:rFonts w:hint="eastAsia" w:ascii="宋体" w:hAnsi="宋体" w:eastAsia="宋体" w:cs="宋体"/>
                <w:color w:val="auto"/>
                <w:kern w:val="0"/>
                <w:szCs w:val="21"/>
                <w:highlight w:val="none"/>
              </w:rPr>
              <w:t>；</w:t>
            </w:r>
          </w:p>
          <w:p w14:paraId="29598E6D">
            <w:pPr>
              <w:widowControl/>
              <w:snapToGrid w:val="0"/>
              <w:spacing w:line="400" w:lineRule="exact"/>
              <w:ind w:left="-8" w:leftChars="-4" w:firstLine="4" w:firstLineChars="2"/>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三档（</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分）：对项目总体有一定认识，表达清晰、完整；</w:t>
            </w:r>
            <w:r>
              <w:rPr>
                <w:rFonts w:hint="eastAsia" w:ascii="宋体" w:hAnsi="宋体" w:eastAsia="宋体" w:cs="宋体"/>
                <w:color w:val="auto"/>
                <w:szCs w:val="21"/>
                <w:highlight w:val="none"/>
              </w:rPr>
              <w:t>施工组织部署及规划全面，措施具体有效，施工段划分清晰，符合规范要求</w:t>
            </w:r>
            <w:r>
              <w:rPr>
                <w:rFonts w:hint="eastAsia" w:ascii="宋体" w:hAnsi="宋体" w:eastAsia="宋体" w:cs="宋体"/>
                <w:color w:val="auto"/>
                <w:kern w:val="0"/>
                <w:szCs w:val="21"/>
                <w:highlight w:val="none"/>
              </w:rPr>
              <w:t>；</w:t>
            </w:r>
          </w:p>
          <w:p w14:paraId="58BE90B9">
            <w:pPr>
              <w:widowControl/>
              <w:snapToGrid w:val="0"/>
              <w:spacing w:line="400" w:lineRule="exact"/>
              <w:ind w:left="-8" w:leftChars="-4" w:firstLine="4" w:firstLineChars="2"/>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四档（</w:t>
            </w:r>
            <w:r>
              <w:rPr>
                <w:rFonts w:hint="eastAsia" w:ascii="宋体" w:hAnsi="宋体" w:eastAsia="宋体" w:cs="宋体"/>
                <w:color w:val="auto"/>
                <w:kern w:val="0"/>
                <w:szCs w:val="21"/>
                <w:highlight w:val="none"/>
                <w:lang w:val="en-US" w:eastAsia="zh-CN"/>
              </w:rPr>
              <w:t>7.5</w:t>
            </w:r>
            <w:r>
              <w:rPr>
                <w:rFonts w:hint="eastAsia" w:ascii="宋体" w:hAnsi="宋体" w:eastAsia="宋体" w:cs="宋体"/>
                <w:color w:val="auto"/>
                <w:kern w:val="0"/>
                <w:szCs w:val="21"/>
                <w:highlight w:val="none"/>
              </w:rPr>
              <w:t>分）：对项目总体有深刻认识，表达清晰、完整、严谨、合理；</w:t>
            </w:r>
            <w:r>
              <w:rPr>
                <w:rFonts w:hint="eastAsia" w:ascii="宋体" w:hAnsi="宋体" w:eastAsia="宋体" w:cs="宋体"/>
                <w:color w:val="auto"/>
                <w:szCs w:val="21"/>
                <w:highlight w:val="none"/>
              </w:rPr>
              <w:t>施工组织部署及规划全面，</w:t>
            </w:r>
            <w:r>
              <w:rPr>
                <w:rFonts w:hint="eastAsia" w:ascii="宋体" w:hAnsi="宋体" w:eastAsia="宋体" w:cs="宋体"/>
                <w:color w:val="auto"/>
                <w:kern w:val="0"/>
                <w:szCs w:val="21"/>
                <w:highlight w:val="none"/>
              </w:rPr>
              <w:t>措施先进、具体、有效、成熟；施工段划分清晰、合理，符合规范要求；</w:t>
            </w:r>
          </w:p>
          <w:p w14:paraId="584A5A6D">
            <w:pPr>
              <w:widowControl/>
              <w:snapToGrid w:val="0"/>
              <w:spacing w:line="400" w:lineRule="exact"/>
              <w:ind w:left="-8" w:leftChars="-4" w:firstLine="4" w:firstLineChars="2"/>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五档（</w:t>
            </w:r>
            <w:r>
              <w:rPr>
                <w:rFonts w:hint="eastAsia" w:ascii="宋体" w:hAnsi="宋体" w:eastAsia="宋体" w:cs="宋体"/>
                <w:color w:val="auto"/>
                <w:kern w:val="0"/>
                <w:szCs w:val="21"/>
                <w:highlight w:val="none"/>
                <w:lang w:val="en-US" w:eastAsia="zh-CN"/>
              </w:rPr>
              <w:t>10</w:t>
            </w:r>
            <w:r>
              <w:rPr>
                <w:rFonts w:hint="eastAsia" w:ascii="宋体" w:hAnsi="宋体" w:eastAsia="宋体" w:cs="宋体"/>
                <w:color w:val="auto"/>
                <w:kern w:val="0"/>
                <w:szCs w:val="21"/>
                <w:highlight w:val="none"/>
              </w:rPr>
              <w:t>分）：在四档基础上，可以</w:t>
            </w:r>
            <w:r>
              <w:rPr>
                <w:rFonts w:hint="eastAsia" w:ascii="宋体" w:hAnsi="宋体" w:eastAsia="宋体" w:cs="宋体"/>
                <w:color w:val="auto"/>
                <w:szCs w:val="21"/>
                <w:highlight w:val="none"/>
              </w:rPr>
              <w:t>对项目以往保护工程进行梳理，做好本工程与以往工程的衔接、借鉴</w:t>
            </w:r>
            <w:r>
              <w:rPr>
                <w:rFonts w:hint="eastAsia" w:ascii="宋体" w:hAnsi="宋体" w:eastAsia="宋体" w:cs="宋体"/>
                <w:color w:val="auto"/>
                <w:kern w:val="0"/>
                <w:szCs w:val="21"/>
                <w:highlight w:val="none"/>
              </w:rPr>
              <w:t>。</w:t>
            </w:r>
          </w:p>
        </w:tc>
      </w:tr>
      <w:tr w14:paraId="7785A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4" w:type="pct"/>
            <w:vMerge w:val="continue"/>
            <w:noWrap w:val="0"/>
            <w:vAlign w:val="center"/>
          </w:tcPr>
          <w:p w14:paraId="7E69DA9E">
            <w:pPr>
              <w:widowControl/>
              <w:wordWrap w:val="0"/>
              <w:snapToGrid w:val="0"/>
              <w:ind w:left="420" w:leftChars="200" w:firstLine="336" w:firstLineChars="160"/>
              <w:rPr>
                <w:rFonts w:hint="eastAsia" w:ascii="宋体" w:hAnsi="宋体" w:eastAsia="宋体" w:cs="宋体"/>
                <w:color w:val="auto"/>
                <w:kern w:val="0"/>
                <w:szCs w:val="21"/>
                <w:highlight w:val="none"/>
              </w:rPr>
            </w:pPr>
          </w:p>
        </w:tc>
        <w:tc>
          <w:tcPr>
            <w:tcW w:w="633" w:type="pct"/>
            <w:vMerge w:val="continue"/>
            <w:noWrap w:val="0"/>
            <w:vAlign w:val="center"/>
          </w:tcPr>
          <w:p w14:paraId="7BAB1659">
            <w:pPr>
              <w:widowControl/>
              <w:wordWrap w:val="0"/>
              <w:snapToGrid w:val="0"/>
              <w:spacing w:line="420" w:lineRule="exact"/>
              <w:ind w:left="420" w:leftChars="200" w:firstLine="336" w:firstLineChars="160"/>
              <w:rPr>
                <w:rFonts w:hint="eastAsia" w:ascii="宋体" w:hAnsi="宋体" w:eastAsia="宋体" w:cs="宋体"/>
                <w:color w:val="auto"/>
                <w:kern w:val="0"/>
                <w:szCs w:val="21"/>
                <w:highlight w:val="none"/>
              </w:rPr>
            </w:pPr>
          </w:p>
        </w:tc>
        <w:tc>
          <w:tcPr>
            <w:tcW w:w="970" w:type="pct"/>
            <w:noWrap w:val="0"/>
            <w:vAlign w:val="center"/>
          </w:tcPr>
          <w:p w14:paraId="12884ED1">
            <w:pPr>
              <w:widowControl/>
              <w:snapToGrid w:val="0"/>
              <w:spacing w:line="400" w:lineRule="exact"/>
              <w:ind w:left="29" w:leftChars="0" w:hanging="29" w:firstLineChars="0"/>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施工进度及其保障措施</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en-US" w:eastAsia="zh-CN"/>
              </w:rPr>
              <w:t>满分9</w:t>
            </w:r>
            <w:r>
              <w:rPr>
                <w:rFonts w:hint="eastAsia" w:ascii="宋体" w:hAnsi="宋体" w:eastAsia="宋体" w:cs="宋体"/>
                <w:b/>
                <w:bCs/>
                <w:color w:val="auto"/>
                <w:kern w:val="0"/>
                <w:szCs w:val="21"/>
                <w:highlight w:val="none"/>
              </w:rPr>
              <w:t>分）</w:t>
            </w:r>
          </w:p>
        </w:tc>
        <w:tc>
          <w:tcPr>
            <w:tcW w:w="3182" w:type="pct"/>
            <w:noWrap w:val="0"/>
            <w:vAlign w:val="center"/>
          </w:tcPr>
          <w:p w14:paraId="6B4188CA">
            <w:pPr>
              <w:widowControl/>
              <w:snapToGrid w:val="0"/>
              <w:spacing w:line="400" w:lineRule="exact"/>
              <w:ind w:left="-8" w:leftChars="-4" w:firstLine="4" w:firstLineChars="2"/>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一档（0分）：</w:t>
            </w:r>
            <w:r>
              <w:rPr>
                <w:rFonts w:hint="eastAsia" w:ascii="宋体" w:hAnsi="宋体" w:eastAsia="宋体" w:cs="宋体"/>
                <w:color w:val="auto"/>
                <w:szCs w:val="21"/>
                <w:highlight w:val="none"/>
              </w:rPr>
              <w:t>方案不可行或未提供的；</w:t>
            </w:r>
          </w:p>
          <w:p w14:paraId="6208C5C0">
            <w:pPr>
              <w:widowControl/>
              <w:snapToGrid w:val="0"/>
              <w:spacing w:line="400" w:lineRule="exact"/>
              <w:ind w:left="-8" w:leftChars="-4" w:firstLine="4" w:firstLineChars="2"/>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二档（</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分）：</w:t>
            </w:r>
            <w:r>
              <w:rPr>
                <w:rFonts w:hint="eastAsia" w:ascii="宋体" w:hAnsi="宋体" w:eastAsia="宋体" w:cs="宋体"/>
                <w:color w:val="auto"/>
                <w:szCs w:val="21"/>
                <w:highlight w:val="none"/>
              </w:rPr>
              <w:t>工期保证体系基本完整，关键线路、计划编制基本准确，关键节点的控制措施基本可行；</w:t>
            </w:r>
          </w:p>
          <w:p w14:paraId="759E3DC8">
            <w:pPr>
              <w:widowControl/>
              <w:snapToGrid w:val="0"/>
              <w:spacing w:line="400" w:lineRule="exact"/>
              <w:ind w:left="-8" w:leftChars="-4" w:firstLine="4" w:firstLineChars="2"/>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三档（</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分）：</w:t>
            </w:r>
            <w:r>
              <w:rPr>
                <w:rFonts w:hint="eastAsia" w:ascii="宋体" w:hAnsi="宋体" w:eastAsia="宋体" w:cs="宋体"/>
                <w:color w:val="auto"/>
                <w:szCs w:val="21"/>
                <w:highlight w:val="none"/>
              </w:rPr>
              <w:t>工期保证体系较完整，关键线路清晰、完整，计划编制可行，关键节点的控制措施合理、可行；</w:t>
            </w:r>
          </w:p>
          <w:p w14:paraId="254F05FF">
            <w:pPr>
              <w:widowControl/>
              <w:snapToGrid w:val="0"/>
              <w:spacing w:line="400" w:lineRule="exact"/>
              <w:ind w:left="-8" w:leftChars="-4" w:firstLine="4" w:firstLineChars="2"/>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四档（</w:t>
            </w: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分）：</w:t>
            </w:r>
            <w:r>
              <w:rPr>
                <w:rFonts w:hint="eastAsia" w:ascii="宋体" w:hAnsi="宋体" w:eastAsia="宋体" w:cs="宋体"/>
                <w:color w:val="auto"/>
                <w:szCs w:val="21"/>
                <w:highlight w:val="none"/>
              </w:rPr>
              <w:t>工期保证体系完整，关键线路清晰、准确、完整，计划编制合理、可行，关键节点的控制措施有力、针对性强。</w:t>
            </w:r>
          </w:p>
        </w:tc>
      </w:tr>
      <w:tr w14:paraId="3DB43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4" w:type="pct"/>
            <w:vMerge w:val="continue"/>
            <w:noWrap w:val="0"/>
            <w:vAlign w:val="center"/>
          </w:tcPr>
          <w:p w14:paraId="0F067D94">
            <w:pPr>
              <w:widowControl/>
              <w:wordWrap w:val="0"/>
              <w:snapToGrid w:val="0"/>
              <w:ind w:left="420" w:leftChars="200" w:firstLine="336" w:firstLineChars="160"/>
              <w:rPr>
                <w:rFonts w:hint="eastAsia" w:ascii="宋体" w:hAnsi="宋体" w:eastAsia="宋体" w:cs="宋体"/>
                <w:color w:val="auto"/>
                <w:kern w:val="0"/>
                <w:szCs w:val="21"/>
                <w:highlight w:val="none"/>
              </w:rPr>
            </w:pPr>
          </w:p>
        </w:tc>
        <w:tc>
          <w:tcPr>
            <w:tcW w:w="633" w:type="pct"/>
            <w:vMerge w:val="continue"/>
            <w:noWrap w:val="0"/>
            <w:vAlign w:val="center"/>
          </w:tcPr>
          <w:p w14:paraId="19AC66CE">
            <w:pPr>
              <w:widowControl/>
              <w:wordWrap w:val="0"/>
              <w:snapToGrid w:val="0"/>
              <w:spacing w:line="420" w:lineRule="exact"/>
              <w:ind w:left="420" w:leftChars="200" w:firstLine="336" w:firstLineChars="160"/>
              <w:rPr>
                <w:rFonts w:hint="eastAsia" w:ascii="宋体" w:hAnsi="宋体" w:eastAsia="宋体" w:cs="宋体"/>
                <w:color w:val="auto"/>
                <w:kern w:val="0"/>
                <w:szCs w:val="21"/>
                <w:highlight w:val="none"/>
              </w:rPr>
            </w:pPr>
          </w:p>
        </w:tc>
        <w:tc>
          <w:tcPr>
            <w:tcW w:w="970" w:type="pct"/>
            <w:noWrap w:val="0"/>
            <w:vAlign w:val="center"/>
          </w:tcPr>
          <w:p w14:paraId="75C2D3ED">
            <w:pPr>
              <w:widowControl/>
              <w:snapToGrid w:val="0"/>
              <w:spacing w:line="400" w:lineRule="exact"/>
              <w:ind w:left="27" w:leftChars="13" w:firstLine="27" w:firstLineChars="13"/>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修缮措施（</w:t>
            </w:r>
            <w:r>
              <w:rPr>
                <w:rFonts w:hint="eastAsia" w:ascii="宋体" w:hAnsi="宋体" w:eastAsia="宋体" w:cs="宋体"/>
                <w:b/>
                <w:color w:val="auto"/>
                <w:szCs w:val="21"/>
                <w:highlight w:val="none"/>
                <w:lang w:val="en-US" w:eastAsia="zh-CN"/>
              </w:rPr>
              <w:t>10</w:t>
            </w:r>
            <w:r>
              <w:rPr>
                <w:rFonts w:hint="eastAsia" w:ascii="宋体" w:hAnsi="宋体" w:eastAsia="宋体" w:cs="宋体"/>
                <w:b/>
                <w:color w:val="auto"/>
                <w:szCs w:val="21"/>
                <w:highlight w:val="none"/>
              </w:rPr>
              <w:t>分）</w:t>
            </w:r>
          </w:p>
        </w:tc>
        <w:tc>
          <w:tcPr>
            <w:tcW w:w="3182" w:type="pct"/>
            <w:noWrap w:val="0"/>
            <w:vAlign w:val="center"/>
          </w:tcPr>
          <w:p w14:paraId="0FF0C609">
            <w:pPr>
              <w:widowControl/>
              <w:snapToGrid w:val="0"/>
              <w:spacing w:line="400" w:lineRule="exact"/>
              <w:ind w:left="-8" w:leftChars="-4" w:firstLine="4" w:firstLineChars="2"/>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一档（0分）：</w:t>
            </w:r>
            <w:r>
              <w:rPr>
                <w:rFonts w:hint="eastAsia" w:ascii="宋体" w:hAnsi="宋体" w:eastAsia="宋体" w:cs="宋体"/>
                <w:color w:val="auto"/>
                <w:szCs w:val="21"/>
                <w:highlight w:val="none"/>
              </w:rPr>
              <w:t>方案不可行或未提供的；</w:t>
            </w:r>
          </w:p>
          <w:p w14:paraId="0E95F877">
            <w:pPr>
              <w:widowControl/>
              <w:snapToGrid w:val="0"/>
              <w:spacing w:line="400" w:lineRule="exact"/>
              <w:ind w:left="-8" w:leftChars="-4" w:firstLine="4" w:firstLineChars="2"/>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二档（</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分）：各主要分部的施工方法能满足</w:t>
            </w:r>
            <w:r>
              <w:rPr>
                <w:rFonts w:hint="eastAsia" w:ascii="宋体" w:hAnsi="宋体" w:eastAsia="宋体" w:cs="宋体"/>
                <w:color w:val="auto"/>
                <w:szCs w:val="21"/>
                <w:highlight w:val="none"/>
              </w:rPr>
              <w:t>本项目的文物本体保护修缮的</w:t>
            </w:r>
            <w:r>
              <w:rPr>
                <w:rFonts w:hint="eastAsia" w:ascii="宋体" w:hAnsi="宋体" w:eastAsia="宋体" w:cs="宋体"/>
                <w:color w:val="auto"/>
                <w:kern w:val="0"/>
                <w:szCs w:val="21"/>
                <w:highlight w:val="none"/>
              </w:rPr>
              <w:t>需求，施工技术方案</w:t>
            </w:r>
            <w:r>
              <w:rPr>
                <w:rFonts w:hint="eastAsia" w:ascii="宋体" w:hAnsi="宋体" w:eastAsia="宋体" w:cs="宋体"/>
                <w:color w:val="auto"/>
                <w:szCs w:val="21"/>
                <w:highlight w:val="none"/>
              </w:rPr>
              <w:t>基本可行</w:t>
            </w:r>
            <w:r>
              <w:rPr>
                <w:rFonts w:hint="eastAsia" w:ascii="宋体" w:hAnsi="宋体" w:eastAsia="宋体" w:cs="宋体"/>
                <w:color w:val="auto"/>
                <w:kern w:val="0"/>
                <w:szCs w:val="21"/>
                <w:highlight w:val="none"/>
              </w:rPr>
              <w:t>；</w:t>
            </w:r>
          </w:p>
          <w:p w14:paraId="6D5840E7">
            <w:pPr>
              <w:widowControl/>
              <w:snapToGrid w:val="0"/>
              <w:spacing w:line="400" w:lineRule="exact"/>
              <w:ind w:left="-8" w:leftChars="-4" w:firstLine="4" w:firstLineChars="2"/>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三档（</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分）：各主要分部施工方法符合项目</w:t>
            </w:r>
            <w:r>
              <w:rPr>
                <w:rFonts w:hint="eastAsia" w:ascii="宋体" w:hAnsi="宋体" w:eastAsia="宋体" w:cs="宋体"/>
                <w:color w:val="auto"/>
                <w:szCs w:val="21"/>
                <w:highlight w:val="none"/>
              </w:rPr>
              <w:t>文物本体保护修缮的</w:t>
            </w:r>
            <w:r>
              <w:rPr>
                <w:rFonts w:hint="eastAsia" w:ascii="宋体" w:hAnsi="宋体" w:eastAsia="宋体" w:cs="宋体"/>
                <w:color w:val="auto"/>
                <w:kern w:val="0"/>
                <w:szCs w:val="21"/>
                <w:highlight w:val="none"/>
              </w:rPr>
              <w:t>实际，施工技术方案完整，修缮措施方法可行，能指导具体施工并确保安全；</w:t>
            </w:r>
          </w:p>
          <w:p w14:paraId="5A1FD8D9">
            <w:pPr>
              <w:widowControl/>
              <w:snapToGrid w:val="0"/>
              <w:spacing w:line="400" w:lineRule="exact"/>
              <w:ind w:left="-8" w:leftChars="-4" w:firstLine="4" w:firstLineChars="2"/>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四档（</w:t>
            </w:r>
            <w:r>
              <w:rPr>
                <w:rFonts w:hint="eastAsia" w:ascii="宋体" w:hAnsi="宋体" w:eastAsia="宋体" w:cs="宋体"/>
                <w:color w:val="auto"/>
                <w:kern w:val="0"/>
                <w:szCs w:val="21"/>
                <w:highlight w:val="none"/>
                <w:lang w:val="en-US" w:eastAsia="zh-CN"/>
              </w:rPr>
              <w:t>10</w:t>
            </w:r>
            <w:r>
              <w:rPr>
                <w:rFonts w:hint="eastAsia" w:ascii="宋体" w:hAnsi="宋体" w:eastAsia="宋体" w:cs="宋体"/>
                <w:color w:val="auto"/>
                <w:kern w:val="0"/>
                <w:szCs w:val="21"/>
                <w:highlight w:val="none"/>
              </w:rPr>
              <w:t>分）：各主要分部施工方法符合项目实际、针对性强，有详尽的施工技术方案，工艺先进、修缮措施方法科学合理、可行、安全，措施得力。</w:t>
            </w:r>
          </w:p>
        </w:tc>
      </w:tr>
      <w:tr w14:paraId="74D65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4" w:type="pct"/>
            <w:vMerge w:val="continue"/>
            <w:noWrap w:val="0"/>
            <w:vAlign w:val="center"/>
          </w:tcPr>
          <w:p w14:paraId="57202357">
            <w:pPr>
              <w:widowControl/>
              <w:wordWrap w:val="0"/>
              <w:snapToGrid w:val="0"/>
              <w:ind w:left="420" w:leftChars="200" w:firstLine="336" w:firstLineChars="160"/>
              <w:rPr>
                <w:rFonts w:hint="eastAsia" w:ascii="宋体" w:hAnsi="宋体" w:eastAsia="宋体" w:cs="宋体"/>
                <w:color w:val="auto"/>
                <w:kern w:val="0"/>
                <w:szCs w:val="21"/>
                <w:highlight w:val="none"/>
              </w:rPr>
            </w:pPr>
          </w:p>
        </w:tc>
        <w:tc>
          <w:tcPr>
            <w:tcW w:w="633" w:type="pct"/>
            <w:vMerge w:val="continue"/>
            <w:noWrap w:val="0"/>
            <w:vAlign w:val="center"/>
          </w:tcPr>
          <w:p w14:paraId="1162406E">
            <w:pPr>
              <w:widowControl/>
              <w:wordWrap w:val="0"/>
              <w:snapToGrid w:val="0"/>
              <w:spacing w:line="420" w:lineRule="exact"/>
              <w:ind w:left="420" w:leftChars="200" w:firstLine="336" w:firstLineChars="160"/>
              <w:rPr>
                <w:rFonts w:hint="eastAsia" w:ascii="宋体" w:hAnsi="宋体" w:eastAsia="宋体" w:cs="宋体"/>
                <w:color w:val="auto"/>
                <w:kern w:val="0"/>
                <w:szCs w:val="21"/>
                <w:highlight w:val="none"/>
              </w:rPr>
            </w:pPr>
          </w:p>
        </w:tc>
        <w:tc>
          <w:tcPr>
            <w:tcW w:w="970" w:type="pct"/>
            <w:noWrap w:val="0"/>
            <w:vAlign w:val="center"/>
          </w:tcPr>
          <w:p w14:paraId="4C8826B7">
            <w:pPr>
              <w:widowControl/>
              <w:snapToGrid w:val="0"/>
              <w:spacing w:line="400" w:lineRule="exact"/>
              <w:ind w:left="27" w:leftChars="13" w:firstLine="27" w:firstLineChars="13"/>
              <w:jc w:val="center"/>
              <w:rPr>
                <w:rFonts w:hint="eastAsia" w:ascii="宋体" w:hAnsi="宋体" w:eastAsia="宋体" w:cs="宋体"/>
                <w:color w:val="auto"/>
                <w:kern w:val="0"/>
                <w:szCs w:val="21"/>
                <w:highlight w:val="none"/>
              </w:rPr>
            </w:pPr>
            <w:r>
              <w:rPr>
                <w:rFonts w:hint="eastAsia" w:ascii="宋体" w:hAnsi="宋体" w:eastAsia="宋体" w:cs="宋体"/>
                <w:b/>
                <w:color w:val="auto"/>
                <w:szCs w:val="21"/>
                <w:highlight w:val="none"/>
              </w:rPr>
              <w:t>修缮质量检测以及重点、难点解决方案</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en-US" w:eastAsia="zh-CN"/>
              </w:rPr>
              <w:t>9</w:t>
            </w:r>
            <w:r>
              <w:rPr>
                <w:rFonts w:hint="eastAsia" w:ascii="宋体" w:hAnsi="宋体" w:eastAsia="宋体" w:cs="宋体"/>
                <w:b/>
                <w:bCs/>
                <w:color w:val="auto"/>
                <w:kern w:val="0"/>
                <w:szCs w:val="21"/>
                <w:highlight w:val="none"/>
              </w:rPr>
              <w:t>分）</w:t>
            </w:r>
          </w:p>
          <w:p w14:paraId="6AA70E93">
            <w:pPr>
              <w:widowControl/>
              <w:snapToGrid w:val="0"/>
              <w:spacing w:line="400" w:lineRule="exact"/>
              <w:ind w:firstLine="315" w:firstLineChars="0"/>
              <w:jc w:val="center"/>
              <w:rPr>
                <w:rFonts w:hint="eastAsia" w:ascii="宋体" w:hAnsi="宋体" w:eastAsia="宋体" w:cs="宋体"/>
                <w:color w:val="auto"/>
                <w:szCs w:val="21"/>
                <w:highlight w:val="none"/>
              </w:rPr>
            </w:pPr>
          </w:p>
        </w:tc>
        <w:tc>
          <w:tcPr>
            <w:tcW w:w="3182" w:type="pct"/>
            <w:noWrap w:val="0"/>
            <w:vAlign w:val="center"/>
          </w:tcPr>
          <w:p w14:paraId="2B75DD2F">
            <w:pPr>
              <w:widowControl/>
              <w:snapToGrid w:val="0"/>
              <w:spacing w:line="400" w:lineRule="exact"/>
              <w:ind w:firstLine="4" w:firstLineChars="2"/>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一档（0分）：</w:t>
            </w:r>
            <w:r>
              <w:rPr>
                <w:rFonts w:hint="eastAsia" w:ascii="宋体" w:hAnsi="宋体" w:eastAsia="宋体" w:cs="宋体"/>
                <w:color w:val="auto"/>
                <w:szCs w:val="21"/>
                <w:highlight w:val="none"/>
              </w:rPr>
              <w:t>方案不可行或未提供的；</w:t>
            </w:r>
          </w:p>
          <w:p w14:paraId="552522DA">
            <w:pPr>
              <w:widowControl/>
              <w:snapToGrid w:val="0"/>
              <w:spacing w:line="400" w:lineRule="exact"/>
              <w:ind w:firstLine="4" w:firstLineChars="2"/>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二档（</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分）：</w:t>
            </w:r>
            <w:r>
              <w:rPr>
                <w:rFonts w:hint="eastAsia" w:ascii="宋体" w:hAnsi="宋体" w:eastAsia="宋体" w:cs="宋体"/>
                <w:color w:val="auto"/>
                <w:szCs w:val="21"/>
                <w:highlight w:val="none"/>
              </w:rPr>
              <w:t>对项目检测技术有一定了解，对重点、难点有建议，解决方案基本可行；</w:t>
            </w:r>
          </w:p>
          <w:p w14:paraId="01D2EED9">
            <w:pPr>
              <w:widowControl/>
              <w:snapToGrid w:val="0"/>
              <w:spacing w:line="400" w:lineRule="exact"/>
              <w:ind w:firstLine="4" w:firstLineChars="2"/>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三档（</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分）：</w:t>
            </w:r>
            <w:r>
              <w:rPr>
                <w:rFonts w:hint="eastAsia" w:ascii="宋体" w:hAnsi="宋体" w:eastAsia="宋体" w:cs="宋体"/>
                <w:color w:val="auto"/>
                <w:szCs w:val="21"/>
                <w:highlight w:val="none"/>
              </w:rPr>
              <w:t>对项目检测技术、工艺有清晰、完整的表达，对重点、难点有可行性的建议，解决方案</w:t>
            </w:r>
            <w:r>
              <w:rPr>
                <w:rFonts w:hint="eastAsia" w:ascii="宋体" w:hAnsi="宋体" w:eastAsia="宋体" w:cs="宋体"/>
                <w:color w:val="auto"/>
                <w:kern w:val="0"/>
                <w:szCs w:val="21"/>
                <w:highlight w:val="none"/>
              </w:rPr>
              <w:t>能指导具体工程实施</w:t>
            </w:r>
            <w:r>
              <w:rPr>
                <w:rFonts w:hint="eastAsia" w:ascii="宋体" w:hAnsi="宋体" w:eastAsia="宋体" w:cs="宋体"/>
                <w:color w:val="auto"/>
                <w:szCs w:val="21"/>
                <w:highlight w:val="none"/>
              </w:rPr>
              <w:t>；</w:t>
            </w:r>
          </w:p>
          <w:p w14:paraId="11676F9C">
            <w:pPr>
              <w:widowControl/>
              <w:snapToGrid w:val="0"/>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四档（</w:t>
            </w: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分）：对</w:t>
            </w:r>
            <w:r>
              <w:rPr>
                <w:rFonts w:hint="eastAsia" w:ascii="宋体" w:hAnsi="宋体" w:eastAsia="宋体" w:cs="宋体"/>
                <w:color w:val="auto"/>
                <w:szCs w:val="21"/>
                <w:highlight w:val="none"/>
              </w:rPr>
              <w:t>项目检测技术</w:t>
            </w:r>
            <w:r>
              <w:rPr>
                <w:rFonts w:hint="eastAsia" w:ascii="宋体" w:hAnsi="宋体" w:eastAsia="宋体" w:cs="宋体"/>
                <w:color w:val="auto"/>
                <w:kern w:val="0"/>
                <w:szCs w:val="21"/>
                <w:highlight w:val="none"/>
              </w:rPr>
              <w:t>、工艺有深入、针对性的表达，对重点、难点有先进、合理的施工措施并有可行的安全措施，解决方案完整、经济、安全、切实可行，措施得力，并</w:t>
            </w:r>
            <w:r>
              <w:rPr>
                <w:rFonts w:hint="eastAsia" w:ascii="宋体" w:hAnsi="宋体" w:eastAsia="宋体" w:cs="宋体"/>
                <w:color w:val="auto"/>
                <w:kern w:val="0"/>
                <w:szCs w:val="21"/>
                <w:highlight w:val="none"/>
                <w:lang w:bidi="ar"/>
              </w:rPr>
              <w:t>具备完善的检测能力证明</w:t>
            </w:r>
            <w:r>
              <w:rPr>
                <w:rFonts w:hint="eastAsia" w:ascii="宋体" w:hAnsi="宋体" w:eastAsia="宋体" w:cs="宋体"/>
                <w:color w:val="auto"/>
                <w:szCs w:val="21"/>
                <w:highlight w:val="none"/>
              </w:rPr>
              <w:t>。</w:t>
            </w:r>
          </w:p>
        </w:tc>
      </w:tr>
      <w:tr w14:paraId="1A108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4" w:type="pct"/>
            <w:vMerge w:val="continue"/>
            <w:noWrap w:val="0"/>
            <w:vAlign w:val="center"/>
          </w:tcPr>
          <w:p w14:paraId="247285E0">
            <w:pPr>
              <w:widowControl/>
              <w:wordWrap w:val="0"/>
              <w:snapToGrid w:val="0"/>
              <w:ind w:left="420" w:leftChars="200" w:firstLine="336" w:firstLineChars="160"/>
              <w:rPr>
                <w:rFonts w:hint="eastAsia" w:ascii="宋体" w:hAnsi="宋体" w:eastAsia="宋体" w:cs="宋体"/>
                <w:color w:val="auto"/>
                <w:kern w:val="0"/>
                <w:szCs w:val="21"/>
                <w:highlight w:val="none"/>
              </w:rPr>
            </w:pPr>
          </w:p>
        </w:tc>
        <w:tc>
          <w:tcPr>
            <w:tcW w:w="633" w:type="pct"/>
            <w:vMerge w:val="continue"/>
            <w:noWrap w:val="0"/>
            <w:vAlign w:val="center"/>
          </w:tcPr>
          <w:p w14:paraId="63BD1E2D">
            <w:pPr>
              <w:widowControl/>
              <w:wordWrap w:val="0"/>
              <w:snapToGrid w:val="0"/>
              <w:spacing w:line="420" w:lineRule="exact"/>
              <w:ind w:left="420" w:leftChars="200" w:firstLine="336" w:firstLineChars="160"/>
              <w:rPr>
                <w:rFonts w:hint="eastAsia" w:ascii="宋体" w:hAnsi="宋体" w:eastAsia="宋体" w:cs="宋体"/>
                <w:color w:val="auto"/>
                <w:kern w:val="0"/>
                <w:szCs w:val="21"/>
                <w:highlight w:val="none"/>
              </w:rPr>
            </w:pPr>
          </w:p>
        </w:tc>
        <w:tc>
          <w:tcPr>
            <w:tcW w:w="970" w:type="pct"/>
            <w:noWrap w:val="0"/>
            <w:vAlign w:val="center"/>
          </w:tcPr>
          <w:p w14:paraId="53DD8BA3">
            <w:pPr>
              <w:widowControl/>
              <w:snapToGrid w:val="0"/>
              <w:spacing w:line="400" w:lineRule="exact"/>
              <w:ind w:left="27" w:leftChars="13" w:firstLine="27" w:firstLineChars="13"/>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安全生产管理体系及保证措施、应急预案</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en-US" w:eastAsia="zh-CN"/>
              </w:rPr>
              <w:t>9</w:t>
            </w:r>
            <w:r>
              <w:rPr>
                <w:rFonts w:hint="eastAsia" w:ascii="宋体" w:hAnsi="宋体" w:eastAsia="宋体" w:cs="宋体"/>
                <w:b/>
                <w:bCs/>
                <w:color w:val="auto"/>
                <w:kern w:val="0"/>
                <w:szCs w:val="21"/>
                <w:highlight w:val="none"/>
              </w:rPr>
              <w:t>分）</w:t>
            </w:r>
          </w:p>
        </w:tc>
        <w:tc>
          <w:tcPr>
            <w:tcW w:w="3182" w:type="pct"/>
            <w:noWrap w:val="0"/>
            <w:vAlign w:val="center"/>
          </w:tcPr>
          <w:p w14:paraId="7A33847F">
            <w:pPr>
              <w:widowControl/>
              <w:snapToGrid w:val="0"/>
              <w:spacing w:line="400" w:lineRule="exact"/>
              <w:ind w:left="-8" w:leftChars="-4" w:firstLine="4" w:firstLineChars="2"/>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一档（0分）：</w:t>
            </w:r>
            <w:r>
              <w:rPr>
                <w:rFonts w:hint="eastAsia" w:ascii="宋体" w:hAnsi="宋体" w:eastAsia="宋体" w:cs="宋体"/>
                <w:color w:val="auto"/>
                <w:szCs w:val="21"/>
                <w:highlight w:val="none"/>
              </w:rPr>
              <w:t>方案不可行或未提供的；</w:t>
            </w:r>
          </w:p>
          <w:p w14:paraId="7C5148C9">
            <w:pPr>
              <w:widowControl/>
              <w:snapToGrid w:val="0"/>
              <w:spacing w:line="400" w:lineRule="exact"/>
              <w:ind w:left="-8" w:leftChars="-4" w:firstLine="4" w:firstLineChars="2"/>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二档（</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分）：</w:t>
            </w:r>
            <w:r>
              <w:rPr>
                <w:rFonts w:hint="eastAsia" w:ascii="宋体" w:hAnsi="宋体" w:eastAsia="宋体" w:cs="宋体"/>
                <w:color w:val="auto"/>
                <w:szCs w:val="21"/>
                <w:highlight w:val="none"/>
              </w:rPr>
              <w:t>安全生产管理体系不完整，有基本合理的措施及预案</w:t>
            </w:r>
            <w:r>
              <w:rPr>
                <w:rFonts w:hint="eastAsia" w:ascii="宋体" w:hAnsi="宋体" w:eastAsia="宋体" w:cs="宋体"/>
                <w:color w:val="auto"/>
                <w:kern w:val="0"/>
                <w:szCs w:val="21"/>
                <w:highlight w:val="none"/>
              </w:rPr>
              <w:t>；</w:t>
            </w:r>
          </w:p>
          <w:p w14:paraId="12793AA4">
            <w:pPr>
              <w:widowControl/>
              <w:snapToGrid w:val="0"/>
              <w:spacing w:line="400" w:lineRule="exact"/>
              <w:ind w:left="-8" w:leftChars="-4" w:firstLine="4" w:firstLineChars="2"/>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三档（</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分）：</w:t>
            </w:r>
            <w:r>
              <w:rPr>
                <w:rFonts w:hint="eastAsia" w:ascii="宋体" w:hAnsi="宋体" w:eastAsia="宋体" w:cs="宋体"/>
                <w:color w:val="auto"/>
                <w:szCs w:val="21"/>
                <w:highlight w:val="none"/>
              </w:rPr>
              <w:t>安全生产管理体系基本完整，</w:t>
            </w:r>
            <w:r>
              <w:rPr>
                <w:rFonts w:hint="eastAsia" w:ascii="宋体" w:hAnsi="宋体" w:eastAsia="宋体" w:cs="宋体"/>
                <w:color w:val="auto"/>
                <w:kern w:val="0"/>
                <w:szCs w:val="21"/>
                <w:highlight w:val="none"/>
              </w:rPr>
              <w:t>针对项目实际情况，有合理的措施且具体、可行，采用规范正确；</w:t>
            </w:r>
          </w:p>
          <w:p w14:paraId="63EB7884">
            <w:pPr>
              <w:widowControl/>
              <w:snapToGrid w:val="0"/>
              <w:spacing w:line="400" w:lineRule="exact"/>
              <w:ind w:left="-8" w:leftChars="-4" w:firstLine="4" w:firstLineChars="2"/>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rPr>
              <w:t>四档（</w:t>
            </w: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分）：</w:t>
            </w:r>
            <w:r>
              <w:rPr>
                <w:rFonts w:hint="eastAsia" w:ascii="宋体" w:hAnsi="宋体" w:eastAsia="宋体" w:cs="宋体"/>
                <w:color w:val="auto"/>
                <w:szCs w:val="21"/>
                <w:highlight w:val="none"/>
              </w:rPr>
              <w:t>安全生产管理体系完整，</w:t>
            </w:r>
            <w:r>
              <w:rPr>
                <w:rFonts w:hint="eastAsia" w:ascii="宋体" w:hAnsi="宋体" w:eastAsia="宋体" w:cs="宋体"/>
                <w:color w:val="auto"/>
                <w:kern w:val="0"/>
                <w:szCs w:val="21"/>
                <w:highlight w:val="none"/>
              </w:rPr>
              <w:t>针对项目实际情况，有具体、完整、规范、可行的针对性实施措施，且</w:t>
            </w:r>
            <w:r>
              <w:rPr>
                <w:rFonts w:hint="eastAsia" w:ascii="宋体" w:hAnsi="宋体" w:eastAsia="宋体" w:cs="宋体"/>
                <w:color w:val="auto"/>
                <w:szCs w:val="21"/>
                <w:highlight w:val="none"/>
              </w:rPr>
              <w:t>项目风险预测与防范方案及事故应急预案措施得当</w:t>
            </w:r>
            <w:r>
              <w:rPr>
                <w:rFonts w:hint="eastAsia" w:ascii="宋体" w:hAnsi="宋体" w:cs="宋体"/>
                <w:color w:val="auto"/>
                <w:kern w:val="0"/>
                <w:szCs w:val="21"/>
                <w:highlight w:val="none"/>
                <w:lang w:eastAsia="zh-CN"/>
              </w:rPr>
              <w:t>。</w:t>
            </w:r>
          </w:p>
        </w:tc>
      </w:tr>
      <w:tr w14:paraId="72708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4" w:type="pct"/>
            <w:vMerge w:val="continue"/>
            <w:noWrap w:val="0"/>
            <w:vAlign w:val="center"/>
          </w:tcPr>
          <w:p w14:paraId="3E63658B">
            <w:pPr>
              <w:widowControl/>
              <w:wordWrap w:val="0"/>
              <w:snapToGrid w:val="0"/>
              <w:ind w:left="420" w:leftChars="200" w:firstLine="336" w:firstLineChars="160"/>
              <w:rPr>
                <w:rFonts w:hint="eastAsia" w:ascii="宋体" w:hAnsi="宋体" w:eastAsia="宋体" w:cs="宋体"/>
                <w:color w:val="auto"/>
                <w:kern w:val="0"/>
                <w:szCs w:val="21"/>
                <w:highlight w:val="none"/>
              </w:rPr>
            </w:pPr>
          </w:p>
        </w:tc>
        <w:tc>
          <w:tcPr>
            <w:tcW w:w="633" w:type="pct"/>
            <w:vMerge w:val="continue"/>
            <w:noWrap w:val="0"/>
            <w:vAlign w:val="center"/>
          </w:tcPr>
          <w:p w14:paraId="36705D48">
            <w:pPr>
              <w:widowControl/>
              <w:wordWrap w:val="0"/>
              <w:snapToGrid w:val="0"/>
              <w:spacing w:line="420" w:lineRule="exact"/>
              <w:ind w:left="420" w:leftChars="200" w:firstLine="336" w:firstLineChars="160"/>
              <w:rPr>
                <w:rFonts w:hint="eastAsia" w:ascii="宋体" w:hAnsi="宋体" w:eastAsia="宋体" w:cs="宋体"/>
                <w:color w:val="auto"/>
                <w:kern w:val="0"/>
                <w:szCs w:val="21"/>
                <w:highlight w:val="none"/>
              </w:rPr>
            </w:pPr>
          </w:p>
        </w:tc>
        <w:tc>
          <w:tcPr>
            <w:tcW w:w="970" w:type="pct"/>
            <w:noWrap w:val="0"/>
            <w:vAlign w:val="center"/>
          </w:tcPr>
          <w:p w14:paraId="3AF6B841">
            <w:pPr>
              <w:widowControl/>
              <w:snapToGrid w:val="0"/>
              <w:spacing w:line="400" w:lineRule="exact"/>
              <w:ind w:left="27" w:leftChars="13" w:firstLine="27" w:firstLineChars="13"/>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质量保证与承诺 </w:t>
            </w:r>
          </w:p>
          <w:p w14:paraId="3592C11E">
            <w:pPr>
              <w:widowControl/>
              <w:snapToGrid w:val="0"/>
              <w:spacing w:line="400" w:lineRule="exact"/>
              <w:ind w:left="27" w:leftChars="13" w:firstLine="27" w:firstLineChars="13"/>
              <w:jc w:val="center"/>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en-US" w:eastAsia="zh-CN"/>
              </w:rPr>
              <w:t>9</w:t>
            </w:r>
            <w:r>
              <w:rPr>
                <w:rFonts w:hint="eastAsia" w:ascii="宋体" w:hAnsi="宋体" w:eastAsia="宋体" w:cs="宋体"/>
                <w:b/>
                <w:bCs/>
                <w:color w:val="auto"/>
                <w:kern w:val="0"/>
                <w:szCs w:val="21"/>
                <w:highlight w:val="none"/>
              </w:rPr>
              <w:t>分）</w:t>
            </w:r>
          </w:p>
        </w:tc>
        <w:tc>
          <w:tcPr>
            <w:tcW w:w="3182" w:type="pct"/>
            <w:noWrap w:val="0"/>
            <w:vAlign w:val="center"/>
          </w:tcPr>
          <w:p w14:paraId="0A7B222C">
            <w:pPr>
              <w:widowControl/>
              <w:snapToGrid w:val="0"/>
              <w:spacing w:line="400" w:lineRule="exact"/>
              <w:ind w:left="-8" w:leftChars="-4" w:firstLine="4" w:firstLineChars="2"/>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一档（0分）：</w:t>
            </w:r>
            <w:r>
              <w:rPr>
                <w:rFonts w:hint="eastAsia" w:ascii="宋体" w:hAnsi="宋体" w:eastAsia="宋体" w:cs="宋体"/>
                <w:color w:val="auto"/>
                <w:szCs w:val="21"/>
                <w:highlight w:val="none"/>
              </w:rPr>
              <w:t>方案不可行或未提供的；</w:t>
            </w:r>
          </w:p>
          <w:p w14:paraId="72780697">
            <w:pPr>
              <w:widowControl/>
              <w:snapToGrid w:val="0"/>
              <w:spacing w:line="400" w:lineRule="exact"/>
              <w:ind w:left="-8" w:leftChars="-4" w:firstLine="4" w:firstLineChars="2"/>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二档（</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分）：</w:t>
            </w:r>
            <w:r>
              <w:rPr>
                <w:rFonts w:hint="eastAsia" w:ascii="宋体" w:hAnsi="宋体" w:eastAsia="宋体" w:cs="宋体"/>
                <w:color w:val="auto"/>
                <w:szCs w:val="21"/>
                <w:highlight w:val="none"/>
              </w:rPr>
              <w:t>有工程整体深化设计及质量管理体系，各分项工程深化设计及质量评估保证措施、承诺基本合理</w:t>
            </w:r>
            <w:r>
              <w:rPr>
                <w:rFonts w:hint="eastAsia" w:ascii="宋体" w:hAnsi="宋体" w:eastAsia="宋体" w:cs="宋体"/>
                <w:color w:val="auto"/>
                <w:kern w:val="0"/>
                <w:szCs w:val="21"/>
                <w:highlight w:val="none"/>
              </w:rPr>
              <w:t>；</w:t>
            </w:r>
          </w:p>
          <w:p w14:paraId="000CFA23">
            <w:pPr>
              <w:widowControl/>
              <w:snapToGrid w:val="0"/>
              <w:spacing w:line="400" w:lineRule="exact"/>
              <w:ind w:left="-8" w:leftChars="-4" w:firstLine="4" w:firstLineChars="2"/>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三档（</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分）：</w:t>
            </w:r>
            <w:r>
              <w:rPr>
                <w:rFonts w:hint="eastAsia" w:ascii="宋体" w:hAnsi="宋体" w:eastAsia="宋体" w:cs="宋体"/>
                <w:color w:val="auto"/>
                <w:szCs w:val="21"/>
                <w:highlight w:val="none"/>
              </w:rPr>
              <w:t>针对本项目实际情况，工程整体深化设计及质量管理体系基本完整，各分项工程深化设计及质量评估保证措施可行、具体，满足</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的质量</w:t>
            </w:r>
            <w:r>
              <w:rPr>
                <w:rFonts w:hint="eastAsia" w:ascii="宋体" w:hAnsi="宋体" w:eastAsia="宋体" w:cs="宋体"/>
                <w:color w:val="auto"/>
                <w:szCs w:val="21"/>
                <w:highlight w:val="none"/>
                <w:lang w:val="en-US" w:eastAsia="zh-CN"/>
              </w:rPr>
              <w:t>等级</w:t>
            </w:r>
            <w:r>
              <w:rPr>
                <w:rFonts w:hint="eastAsia" w:ascii="宋体" w:hAnsi="宋体" w:eastAsia="宋体" w:cs="宋体"/>
                <w:color w:val="auto"/>
                <w:szCs w:val="21"/>
                <w:highlight w:val="none"/>
              </w:rPr>
              <w:t>要求</w:t>
            </w:r>
            <w:r>
              <w:rPr>
                <w:rFonts w:hint="eastAsia" w:ascii="宋体" w:hAnsi="宋体" w:eastAsia="宋体" w:cs="宋体"/>
                <w:color w:val="auto"/>
                <w:kern w:val="0"/>
                <w:szCs w:val="21"/>
                <w:highlight w:val="none"/>
              </w:rPr>
              <w:t>；</w:t>
            </w:r>
          </w:p>
          <w:p w14:paraId="0247AA12">
            <w:pPr>
              <w:widowControl/>
              <w:snapToGrid w:val="0"/>
              <w:spacing w:line="400" w:lineRule="exact"/>
              <w:ind w:left="-8" w:leftChars="-4" w:firstLine="4" w:firstLineChars="2"/>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rPr>
              <w:t>四档（</w:t>
            </w: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分）：</w:t>
            </w:r>
            <w:r>
              <w:rPr>
                <w:rFonts w:hint="eastAsia" w:ascii="宋体" w:hAnsi="宋体" w:eastAsia="宋体" w:cs="宋体"/>
                <w:color w:val="auto"/>
                <w:szCs w:val="21"/>
                <w:highlight w:val="none"/>
              </w:rPr>
              <w:t>针对本项目实际情况，工程整体深化设计及质量管理体系完整，各分项工程深化设计及质量评估保证措施先进、可行、具体，优于</w:t>
            </w:r>
            <w:r>
              <w:rPr>
                <w:rFonts w:hint="eastAsia" w:ascii="宋体" w:hAnsi="宋体" w:eastAsia="宋体" w:cs="宋体"/>
                <w:color w:val="auto"/>
                <w:szCs w:val="21"/>
                <w:highlight w:val="none"/>
                <w:lang w:eastAsia="zh-CN"/>
              </w:rPr>
              <w:t>采购文件</w:t>
            </w:r>
            <w:r>
              <w:rPr>
                <w:rFonts w:hint="eastAsia" w:ascii="宋体" w:hAnsi="宋体" w:eastAsia="宋体" w:cs="宋体"/>
                <w:color w:val="auto"/>
                <w:szCs w:val="21"/>
                <w:highlight w:val="none"/>
              </w:rPr>
              <w:t>的质量</w:t>
            </w:r>
            <w:r>
              <w:rPr>
                <w:rFonts w:hint="eastAsia" w:ascii="宋体" w:hAnsi="宋体" w:eastAsia="宋体" w:cs="宋体"/>
                <w:color w:val="auto"/>
                <w:szCs w:val="21"/>
                <w:highlight w:val="none"/>
                <w:lang w:val="en-US" w:eastAsia="zh-CN"/>
              </w:rPr>
              <w:t>等级</w:t>
            </w:r>
            <w:r>
              <w:rPr>
                <w:rFonts w:hint="eastAsia" w:ascii="宋体" w:hAnsi="宋体" w:eastAsia="宋体" w:cs="宋体"/>
                <w:color w:val="auto"/>
                <w:szCs w:val="21"/>
                <w:highlight w:val="none"/>
              </w:rPr>
              <w:t>要求及施工验收</w:t>
            </w:r>
            <w:r>
              <w:rPr>
                <w:rFonts w:hint="eastAsia" w:ascii="宋体" w:hAnsi="宋体" w:cs="宋体"/>
                <w:color w:val="auto"/>
                <w:szCs w:val="21"/>
                <w:highlight w:val="none"/>
                <w:lang w:eastAsia="zh-CN"/>
              </w:rPr>
              <w:t>。</w:t>
            </w:r>
          </w:p>
        </w:tc>
      </w:tr>
      <w:tr w14:paraId="766CF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7" w:type="pct"/>
            <w:gridSpan w:val="2"/>
            <w:vMerge w:val="restart"/>
            <w:noWrap w:val="0"/>
            <w:vAlign w:val="center"/>
          </w:tcPr>
          <w:p w14:paraId="55A76DAA">
            <w:pPr>
              <w:widowControl/>
              <w:wordWrap w:val="0"/>
              <w:snapToGrid w:val="0"/>
              <w:rPr>
                <w:rFonts w:hint="eastAsia" w:ascii="宋体" w:hAnsi="宋体" w:eastAsia="宋体" w:cs="宋体"/>
                <w:b/>
                <w:bCs/>
                <w:color w:val="auto"/>
                <w:szCs w:val="21"/>
                <w:highlight w:val="none"/>
              </w:rPr>
            </w:pPr>
            <w:r>
              <w:rPr>
                <w:rFonts w:hint="eastAsia" w:ascii="宋体" w:hAnsi="宋体" w:eastAsia="宋体" w:cs="宋体"/>
                <w:b/>
                <w:bCs/>
                <w:color w:val="auto"/>
                <w:kern w:val="0"/>
                <w:szCs w:val="21"/>
                <w:highlight w:val="none"/>
              </w:rPr>
              <w:t>项目管理机构分</w:t>
            </w:r>
            <w:r>
              <w:rPr>
                <w:rFonts w:hint="eastAsia" w:ascii="宋体" w:hAnsi="宋体" w:eastAsia="宋体" w:cs="宋体"/>
                <w:b/>
                <w:bCs/>
                <w:color w:val="auto"/>
                <w:szCs w:val="21"/>
                <w:highlight w:val="none"/>
                <w:lang w:val="zh-CN"/>
              </w:rPr>
              <w:t>（满</w:t>
            </w:r>
            <w:r>
              <w:rPr>
                <w:rFonts w:hint="eastAsia" w:ascii="宋体" w:hAnsi="宋体" w:eastAsia="宋体" w:cs="宋体"/>
                <w:b/>
                <w:bCs/>
                <w:color w:val="auto"/>
                <w:szCs w:val="21"/>
                <w:highlight w:val="none"/>
              </w:rPr>
              <w:t>分1</w:t>
            </w:r>
            <w:r>
              <w:rPr>
                <w:rFonts w:hint="eastAsia" w:ascii="宋体" w:hAnsi="宋体" w:eastAsia="宋体" w:cs="宋体"/>
                <w:b/>
                <w:bCs/>
                <w:color w:val="auto"/>
                <w:szCs w:val="21"/>
                <w:highlight w:val="none"/>
                <w:lang w:val="en-US" w:eastAsia="zh-CN"/>
              </w:rPr>
              <w:t>0</w:t>
            </w:r>
            <w:r>
              <w:rPr>
                <w:rFonts w:hint="eastAsia" w:ascii="宋体" w:hAnsi="宋体" w:eastAsia="宋体" w:cs="宋体"/>
                <w:b/>
                <w:bCs/>
                <w:color w:val="auto"/>
                <w:szCs w:val="21"/>
                <w:highlight w:val="none"/>
                <w:lang w:val="zh-CN"/>
              </w:rPr>
              <w:t>分）</w:t>
            </w:r>
          </w:p>
        </w:tc>
        <w:tc>
          <w:tcPr>
            <w:tcW w:w="970" w:type="pct"/>
            <w:noWrap w:val="0"/>
            <w:vAlign w:val="center"/>
          </w:tcPr>
          <w:p w14:paraId="704737C3">
            <w:pPr>
              <w:snapToGrid w:val="0"/>
              <w:spacing w:line="440" w:lineRule="exact"/>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拟投入项目经理</w:t>
            </w:r>
          </w:p>
          <w:p w14:paraId="01E154F8">
            <w:pPr>
              <w:snapToGrid w:val="0"/>
              <w:spacing w:line="440" w:lineRule="exact"/>
              <w:jc w:val="center"/>
              <w:rPr>
                <w:rFonts w:hint="eastAsia" w:ascii="宋体" w:hAnsi="宋体" w:eastAsia="宋体" w:cs="宋体"/>
                <w:b/>
                <w:bCs/>
                <w:color w:val="auto"/>
                <w:highlight w:val="none"/>
              </w:rPr>
            </w:pPr>
            <w:r>
              <w:rPr>
                <w:rFonts w:hint="eastAsia" w:ascii="宋体" w:hAnsi="宋体" w:eastAsia="宋体" w:cs="宋体"/>
                <w:b/>
                <w:bCs/>
                <w:color w:val="auto"/>
                <w:szCs w:val="21"/>
                <w:highlight w:val="none"/>
              </w:rPr>
              <w:t>（3分）</w:t>
            </w:r>
          </w:p>
        </w:tc>
        <w:tc>
          <w:tcPr>
            <w:tcW w:w="3182" w:type="pct"/>
            <w:noWrap w:val="0"/>
            <w:vAlign w:val="center"/>
          </w:tcPr>
          <w:p w14:paraId="74F30476">
            <w:pPr>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项目经理具有文物博物类或工程类专业，中级技术职称的得1分,</w:t>
            </w:r>
            <w:r>
              <w:rPr>
                <w:rFonts w:hint="eastAsia" w:ascii="宋体" w:hAnsi="宋体" w:eastAsia="宋体" w:cs="宋体"/>
                <w:color w:val="auto"/>
                <w:highlight w:val="none"/>
                <w:lang w:eastAsia="zh-CN"/>
              </w:rPr>
              <w:t>同时具有二级或以上注册建造师执业资格证书以及文物博物系列高级技术职称得</w:t>
            </w:r>
            <w:r>
              <w:rPr>
                <w:rFonts w:hint="eastAsia" w:ascii="宋体" w:hAnsi="宋体" w:eastAsia="宋体" w:cs="宋体"/>
                <w:color w:val="auto"/>
                <w:highlight w:val="none"/>
                <w:lang w:val="en-US" w:eastAsia="zh-CN"/>
              </w:rPr>
              <w:t>3分</w:t>
            </w:r>
            <w:r>
              <w:rPr>
                <w:rFonts w:hint="eastAsia" w:ascii="宋体" w:hAnsi="宋体" w:eastAsia="宋体" w:cs="宋体"/>
                <w:color w:val="auto"/>
                <w:szCs w:val="21"/>
                <w:highlight w:val="none"/>
              </w:rPr>
              <w:t>（满分3分）</w:t>
            </w:r>
            <w:r>
              <w:rPr>
                <w:rFonts w:hint="eastAsia" w:ascii="宋体" w:hAnsi="宋体" w:eastAsia="宋体" w:cs="宋体"/>
                <w:color w:val="auto"/>
                <w:highlight w:val="none"/>
              </w:rPr>
              <w:t>；</w:t>
            </w:r>
          </w:p>
          <w:p w14:paraId="6C02322F">
            <w:pPr>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szCs w:val="21"/>
                <w:highlight w:val="none"/>
              </w:rPr>
              <w:t>注：响应时以提供相关资格证明材料以及供应商为其缴纳的近半年内任意</w:t>
            </w:r>
            <w:r>
              <w:rPr>
                <w:rFonts w:hint="eastAsia" w:ascii="宋体" w:hAnsi="宋体" w:cs="宋体"/>
                <w:color w:val="auto"/>
                <w:szCs w:val="21"/>
                <w:highlight w:val="none"/>
                <w:lang w:val="en-US" w:eastAsia="zh-CN"/>
              </w:rPr>
              <w:t>三</w:t>
            </w:r>
            <w:r>
              <w:rPr>
                <w:rFonts w:hint="eastAsia" w:ascii="宋体" w:hAnsi="宋体" w:eastAsia="宋体" w:cs="宋体"/>
                <w:color w:val="auto"/>
                <w:szCs w:val="21"/>
                <w:highlight w:val="none"/>
              </w:rPr>
              <w:t>个月社保证明扫描件为准。</w:t>
            </w:r>
          </w:p>
        </w:tc>
      </w:tr>
      <w:tr w14:paraId="20F86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7" w:type="pct"/>
            <w:gridSpan w:val="2"/>
            <w:vMerge w:val="continue"/>
            <w:noWrap w:val="0"/>
            <w:vAlign w:val="center"/>
          </w:tcPr>
          <w:p w14:paraId="68420846">
            <w:pPr>
              <w:widowControl/>
              <w:wordWrap w:val="0"/>
              <w:snapToGrid w:val="0"/>
              <w:rPr>
                <w:rFonts w:hint="eastAsia" w:ascii="宋体" w:hAnsi="宋体" w:eastAsia="宋体" w:cs="宋体"/>
                <w:b/>
                <w:bCs/>
                <w:color w:val="auto"/>
                <w:kern w:val="0"/>
                <w:szCs w:val="21"/>
                <w:highlight w:val="none"/>
              </w:rPr>
            </w:pPr>
          </w:p>
        </w:tc>
        <w:tc>
          <w:tcPr>
            <w:tcW w:w="970" w:type="pct"/>
            <w:noWrap w:val="0"/>
            <w:vAlign w:val="center"/>
          </w:tcPr>
          <w:p w14:paraId="619ED5AA">
            <w:pPr>
              <w:snapToGrid w:val="0"/>
              <w:spacing w:line="440" w:lineRule="exact"/>
              <w:jc w:val="center"/>
              <w:rPr>
                <w:rFonts w:hint="eastAsia" w:ascii="宋体" w:hAnsi="宋体" w:eastAsia="宋体" w:cs="宋体"/>
                <w:b/>
                <w:bCs/>
                <w:color w:val="auto"/>
                <w:highlight w:val="none"/>
                <w:lang w:val="zh-CN"/>
              </w:rPr>
            </w:pPr>
            <w:r>
              <w:rPr>
                <w:rFonts w:hint="eastAsia" w:ascii="宋体" w:hAnsi="宋体" w:eastAsia="宋体" w:cs="宋体"/>
                <w:b/>
                <w:bCs/>
                <w:color w:val="auto"/>
                <w:szCs w:val="21"/>
                <w:highlight w:val="none"/>
              </w:rPr>
              <w:t>拟投入项目其他人员（</w:t>
            </w:r>
            <w:r>
              <w:rPr>
                <w:rFonts w:hint="eastAsia" w:ascii="宋体" w:hAnsi="宋体" w:eastAsia="宋体" w:cs="宋体"/>
                <w:b/>
                <w:bCs/>
                <w:color w:val="auto"/>
                <w:szCs w:val="21"/>
                <w:highlight w:val="none"/>
                <w:lang w:val="en-US" w:eastAsia="zh-CN"/>
              </w:rPr>
              <w:t>7</w:t>
            </w:r>
            <w:r>
              <w:rPr>
                <w:rFonts w:hint="eastAsia" w:ascii="宋体" w:hAnsi="宋体" w:eastAsia="宋体" w:cs="宋体"/>
                <w:b/>
                <w:bCs/>
                <w:color w:val="auto"/>
                <w:szCs w:val="21"/>
                <w:highlight w:val="none"/>
              </w:rPr>
              <w:t>分）</w:t>
            </w:r>
          </w:p>
        </w:tc>
        <w:tc>
          <w:tcPr>
            <w:tcW w:w="3182" w:type="pct"/>
            <w:noWrap w:val="0"/>
            <w:vAlign w:val="center"/>
          </w:tcPr>
          <w:p w14:paraId="0CB19AB4">
            <w:pPr>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rPr>
              <w:t>1.项目技术负责人具有文物博物类或工程类专业中级技术职称的得1分，</w:t>
            </w:r>
            <w:r>
              <w:rPr>
                <w:rFonts w:hint="eastAsia" w:ascii="宋体" w:hAnsi="宋体" w:eastAsia="宋体" w:cs="宋体"/>
                <w:color w:val="auto"/>
                <w:highlight w:val="none"/>
                <w:lang w:eastAsia="zh-CN"/>
              </w:rPr>
              <w:t>同时具有二级或以上注册建造师执业资格证书以及文物博物系列高级或以上技术职称</w:t>
            </w:r>
            <w:r>
              <w:rPr>
                <w:rFonts w:hint="eastAsia" w:ascii="宋体" w:hAnsi="宋体" w:eastAsia="宋体" w:cs="宋体"/>
                <w:color w:val="auto"/>
                <w:highlight w:val="none"/>
              </w:rPr>
              <w:t>的得3分</w:t>
            </w:r>
            <w:r>
              <w:rPr>
                <w:rFonts w:hint="eastAsia" w:ascii="宋体" w:hAnsi="宋体" w:eastAsia="宋体" w:cs="宋体"/>
                <w:color w:val="auto"/>
                <w:szCs w:val="21"/>
                <w:highlight w:val="none"/>
              </w:rPr>
              <w:t>（满分3分）</w:t>
            </w:r>
            <w:r>
              <w:rPr>
                <w:rFonts w:hint="eastAsia" w:ascii="宋体" w:hAnsi="宋体" w:eastAsia="宋体" w:cs="宋体"/>
                <w:color w:val="auto"/>
                <w:highlight w:val="none"/>
              </w:rPr>
              <w:t>；</w:t>
            </w:r>
          </w:p>
          <w:p w14:paraId="7B48E73E">
            <w:pPr>
              <w:snapToGrid w:val="0"/>
              <w:spacing w:line="440" w:lineRule="exact"/>
              <w:jc w:val="left"/>
              <w:rPr>
                <w:rFonts w:hint="eastAsia" w:ascii="宋体" w:hAnsi="宋体" w:eastAsia="宋体" w:cs="宋体"/>
                <w:color w:val="auto"/>
                <w:highlight w:val="none"/>
                <w:lang w:eastAsia="zh-CN"/>
              </w:rPr>
            </w:pPr>
            <w:r>
              <w:rPr>
                <w:rFonts w:hint="eastAsia" w:ascii="宋体" w:hAnsi="宋体" w:eastAsia="宋体" w:cs="宋体"/>
                <w:color w:val="auto"/>
                <w:highlight w:val="none"/>
              </w:rPr>
              <w:t>2.项目管理机构中除项目经理外，除具有相关资格证外还具有中国古迹遗址保护协会颁发的文物责任工程师证的，每有1人得</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分，满分</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分</w:t>
            </w:r>
            <w:r>
              <w:rPr>
                <w:rFonts w:hint="eastAsia" w:ascii="宋体" w:hAnsi="宋体" w:cs="宋体"/>
                <w:color w:val="auto"/>
                <w:highlight w:val="none"/>
                <w:lang w:eastAsia="zh-CN"/>
              </w:rPr>
              <w:t>。</w:t>
            </w:r>
          </w:p>
          <w:p w14:paraId="735D394D">
            <w:pPr>
              <w:snapToGrid w:val="0"/>
              <w:spacing w:line="440" w:lineRule="exact"/>
              <w:jc w:val="left"/>
              <w:rPr>
                <w:rFonts w:hint="eastAsia" w:ascii="宋体" w:hAnsi="宋体" w:eastAsia="宋体" w:cs="宋体"/>
                <w:b/>
                <w:bCs/>
                <w:color w:val="auto"/>
                <w:highlight w:val="none"/>
                <w:lang w:val="zh-CN"/>
              </w:rPr>
            </w:pPr>
            <w:r>
              <w:rPr>
                <w:rFonts w:hint="eastAsia" w:ascii="宋体" w:hAnsi="宋体" w:eastAsia="宋体" w:cs="宋体"/>
                <w:color w:val="auto"/>
                <w:highlight w:val="none"/>
              </w:rPr>
              <w:t>注：以上以提供相关资格证等从业证明材料以及供应商为其缴纳的近半年内任意</w:t>
            </w:r>
            <w:r>
              <w:rPr>
                <w:rFonts w:hint="eastAsia" w:ascii="宋体" w:hAnsi="宋体" w:cs="宋体"/>
                <w:color w:val="auto"/>
                <w:highlight w:val="none"/>
                <w:lang w:val="en-US" w:eastAsia="zh-CN"/>
              </w:rPr>
              <w:t>三</w:t>
            </w:r>
            <w:r>
              <w:rPr>
                <w:rFonts w:hint="eastAsia" w:ascii="宋体" w:hAnsi="宋体" w:eastAsia="宋体" w:cs="宋体"/>
                <w:color w:val="auto"/>
                <w:highlight w:val="none"/>
              </w:rPr>
              <w:t>个月社保证明复印件为准。</w:t>
            </w:r>
          </w:p>
        </w:tc>
      </w:tr>
      <w:tr w14:paraId="5B4A0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7" w:type="pct"/>
            <w:gridSpan w:val="2"/>
            <w:noWrap w:val="0"/>
            <w:vAlign w:val="center"/>
          </w:tcPr>
          <w:p w14:paraId="762F342E">
            <w:pPr>
              <w:snapToGrid w:val="0"/>
              <w:spacing w:line="440" w:lineRule="exact"/>
              <w:jc w:val="center"/>
              <w:rPr>
                <w:rFonts w:hint="eastAsia" w:ascii="宋体" w:hAnsi="宋体" w:eastAsia="宋体" w:cs="宋体"/>
                <w:b/>
                <w:color w:val="auto"/>
                <w:highlight w:val="none"/>
                <w:lang w:val="en-US" w:eastAsia="zh-CN"/>
              </w:rPr>
            </w:pPr>
            <w:r>
              <w:rPr>
                <w:rFonts w:hint="eastAsia" w:ascii="宋体" w:hAnsi="宋体" w:eastAsia="宋体" w:cs="宋体"/>
                <w:b/>
                <w:color w:val="auto"/>
                <w:kern w:val="0"/>
                <w:szCs w:val="21"/>
                <w:highlight w:val="none"/>
              </w:rPr>
              <w:t>履约能力</w:t>
            </w:r>
            <w:r>
              <w:rPr>
                <w:rFonts w:hint="eastAsia" w:ascii="宋体" w:hAnsi="宋体" w:cs="宋体"/>
                <w:b/>
                <w:color w:val="auto"/>
                <w:kern w:val="0"/>
                <w:szCs w:val="21"/>
                <w:highlight w:val="none"/>
                <w:lang w:val="en-US" w:eastAsia="zh-CN"/>
              </w:rPr>
              <w:t>分</w:t>
            </w:r>
          </w:p>
          <w:p w14:paraId="398C48E0">
            <w:pPr>
              <w:snapToGrid w:val="0"/>
              <w:spacing w:line="440" w:lineRule="exact"/>
              <w:jc w:val="center"/>
              <w:rPr>
                <w:rFonts w:hint="eastAsia" w:ascii="宋体" w:hAnsi="宋体" w:eastAsia="宋体" w:cs="宋体"/>
                <w:color w:val="auto"/>
                <w:kern w:val="0"/>
                <w:szCs w:val="21"/>
                <w:highlight w:val="none"/>
              </w:rPr>
            </w:pPr>
            <w:r>
              <w:rPr>
                <w:rFonts w:hint="eastAsia" w:ascii="宋体" w:hAnsi="宋体" w:eastAsia="宋体" w:cs="宋体"/>
                <w:b/>
                <w:color w:val="auto"/>
                <w:highlight w:val="none"/>
              </w:rPr>
              <w:t>（满分</w:t>
            </w:r>
            <w:r>
              <w:rPr>
                <w:rFonts w:hint="eastAsia" w:ascii="宋体" w:hAnsi="宋体" w:eastAsia="宋体" w:cs="宋体"/>
                <w:b/>
                <w:color w:val="auto"/>
                <w:highlight w:val="none"/>
                <w:lang w:val="en-US" w:eastAsia="zh-CN"/>
              </w:rPr>
              <w:t>4</w:t>
            </w:r>
            <w:r>
              <w:rPr>
                <w:rFonts w:hint="eastAsia" w:ascii="宋体" w:hAnsi="宋体" w:eastAsia="宋体" w:cs="宋体"/>
                <w:b/>
                <w:color w:val="auto"/>
                <w:highlight w:val="none"/>
              </w:rPr>
              <w:t>分）</w:t>
            </w:r>
          </w:p>
        </w:tc>
        <w:tc>
          <w:tcPr>
            <w:tcW w:w="4152" w:type="pct"/>
            <w:gridSpan w:val="2"/>
            <w:noWrap w:val="0"/>
            <w:vAlign w:val="center"/>
          </w:tcPr>
          <w:p w14:paraId="6B2E8A38">
            <w:pPr>
              <w:snapToGrid w:val="0"/>
              <w:spacing w:line="440" w:lineRule="exact"/>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供应商2020年1月1日以来具有的同类施工项目业绩（如：近现代类全国重点文物保护单位的工程项目等）【无不良记录，以中标、成交通知书或签订的项目合同及竣工验收相关文件材料为准，并能清晰反映项目名称、相关内容，否则将不予评审，同一个编号的项目有两个或两个以上的分标中标的只算一次】，每提供一个得2分（满分</w:t>
            </w:r>
            <w:r>
              <w:rPr>
                <w:rFonts w:hint="eastAsia" w:ascii="宋体" w:hAnsi="宋体" w:cs="宋体"/>
                <w:color w:val="auto"/>
                <w:sz w:val="21"/>
                <w:szCs w:val="21"/>
                <w:highlight w:val="none"/>
                <w:lang w:val="en-US" w:eastAsia="zh-CN"/>
              </w:rPr>
              <w:t>4</w:t>
            </w:r>
            <w:bookmarkStart w:id="1808" w:name="_GoBack"/>
            <w:bookmarkEnd w:id="1808"/>
            <w:r>
              <w:rPr>
                <w:rFonts w:hint="eastAsia" w:ascii="宋体" w:hAnsi="宋体" w:eastAsia="宋体" w:cs="宋体"/>
                <w:color w:val="auto"/>
                <w:sz w:val="21"/>
                <w:szCs w:val="21"/>
                <w:highlight w:val="none"/>
                <w:lang w:eastAsia="zh-CN"/>
              </w:rPr>
              <w:t>分）。</w:t>
            </w:r>
          </w:p>
        </w:tc>
      </w:tr>
      <w:tr w14:paraId="74E1E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4"/>
            <w:noWrap w:val="0"/>
            <w:vAlign w:val="center"/>
          </w:tcPr>
          <w:p w14:paraId="072BE530">
            <w:pPr>
              <w:wordWrap w:val="0"/>
              <w:snapToGrid w:val="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综合得分=商务分+技术分+项目管理机构分+履约能力分</w:t>
            </w:r>
          </w:p>
        </w:tc>
      </w:tr>
      <w:tr w14:paraId="03706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4"/>
            <w:noWrap w:val="0"/>
            <w:vAlign w:val="center"/>
          </w:tcPr>
          <w:p w14:paraId="09C59745">
            <w:pPr>
              <w:wordWrap w:val="0"/>
              <w:snapToGrid w:val="0"/>
              <w:spacing w:line="360" w:lineRule="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二.推荐成交候选人原则</w:t>
            </w:r>
          </w:p>
          <w:p w14:paraId="5EBCADD3">
            <w:pPr>
              <w:tabs>
                <w:tab w:val="left" w:pos="1305"/>
              </w:tabs>
              <w:wordWrap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小组应当根据综合评分情况，按照综合得分由高到低顺序推荐三名成交候选供应商，并编写评审报告。磋商小组根据综合得分由高到低排列次序，若得分相同时，以最后报价由低到高顺序排列；若仍相同的，依次按技术分、</w:t>
            </w:r>
            <w:r>
              <w:rPr>
                <w:rFonts w:hint="eastAsia" w:ascii="宋体" w:hAnsi="宋体" w:eastAsia="宋体" w:cs="宋体"/>
                <w:color w:val="auto"/>
                <w:kern w:val="0"/>
                <w:szCs w:val="21"/>
                <w:highlight w:val="none"/>
                <w:lang w:eastAsia="zh-CN"/>
              </w:rPr>
              <w:t>项目管理机构分、履约能力分由高到低顺序排列并推荐成交候选供应商</w:t>
            </w:r>
            <w:r>
              <w:rPr>
                <w:rFonts w:hint="eastAsia" w:ascii="宋体" w:hAnsi="宋体" w:eastAsia="宋体" w:cs="宋体"/>
                <w:color w:val="auto"/>
                <w:szCs w:val="21"/>
                <w:highlight w:val="none"/>
              </w:rPr>
              <w:t>。</w:t>
            </w:r>
          </w:p>
          <w:p w14:paraId="74839403">
            <w:pPr>
              <w:tabs>
                <w:tab w:val="left" w:pos="1305"/>
              </w:tabs>
              <w:wordWrap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（2）采购人应当确定磋商小组推荐排名第一的成交候选供应商为成交供应商。</w:t>
            </w:r>
          </w:p>
          <w:p w14:paraId="1521ADF0">
            <w:pPr>
              <w:tabs>
                <w:tab w:val="left" w:pos="1305"/>
              </w:tabs>
              <w:wordWrap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（3）排名第一的成交候选供应商放弃成交、因不可抗力提出不能履行合同，采购人可以按照评审报告推荐的成交候选供应商名单排序，确定下一候选供应商为成交供应商，也可以重新开展政府采购活动。</w:t>
            </w:r>
          </w:p>
          <w:p w14:paraId="0159936F">
            <w:pPr>
              <w:tabs>
                <w:tab w:val="left" w:pos="1305"/>
              </w:tabs>
              <w:wordWrap w:val="0"/>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4）磋商小组认为，某供应商的响应报价或者某些分项报价明显不合理或者低于成本，有可能影响质量和不能诚信履约的，应要求其在规定的期限内提供书面文件予以解释说明，并提交相关证明材料，否则，磋商小组可以取消该供应商的成交候选资格，按顺序由排在其后面的供应商递补，以此类推。</w:t>
            </w:r>
          </w:p>
        </w:tc>
      </w:tr>
    </w:tbl>
    <w:p w14:paraId="17C403D1">
      <w:pPr>
        <w:pStyle w:val="26"/>
        <w:wordWrap w:val="0"/>
        <w:jc w:val="both"/>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33" w:name="_Toc7589"/>
      <w:bookmarkStart w:id="34" w:name="_Toc570"/>
      <w:r>
        <w:rPr>
          <w:rFonts w:hint="eastAsia" w:ascii="宋体" w:hAnsi="宋体" w:eastAsia="宋体" w:cs="宋体"/>
          <w:color w:val="auto"/>
          <w:highlight w:val="none"/>
        </w:rPr>
        <w:t>附表</w:t>
      </w:r>
      <w:bookmarkEnd w:id="33"/>
      <w:bookmarkEnd w:id="34"/>
    </w:p>
    <w:p w14:paraId="334A2561">
      <w:pPr>
        <w:widowControl/>
        <w:wordWrap w:val="0"/>
        <w:spacing w:before="120" w:beforeLines="50" w:after="120" w:afterLines="50" w:line="400" w:lineRule="exact"/>
        <w:jc w:val="center"/>
        <w:rPr>
          <w:rFonts w:hint="eastAsia" w:ascii="宋体" w:hAnsi="宋体" w:eastAsia="宋体" w:cs="宋体"/>
          <w:b/>
          <w:bCs/>
          <w:color w:val="auto"/>
          <w:kern w:val="0"/>
          <w:sz w:val="30"/>
          <w:szCs w:val="30"/>
          <w:highlight w:val="none"/>
        </w:rPr>
      </w:pPr>
      <w:bookmarkStart w:id="35" w:name="_Toc28361_WPSOffice_Level2"/>
      <w:r>
        <w:rPr>
          <w:rFonts w:hint="eastAsia" w:ascii="宋体" w:hAnsi="宋体" w:eastAsia="宋体" w:cs="宋体"/>
          <w:b/>
          <w:bCs/>
          <w:color w:val="auto"/>
          <w:kern w:val="0"/>
          <w:sz w:val="30"/>
          <w:szCs w:val="30"/>
          <w:highlight w:val="none"/>
        </w:rPr>
        <w:t>统计上大中小微型企业划分标准</w:t>
      </w:r>
      <w:bookmarkEnd w:id="35"/>
    </w:p>
    <w:tbl>
      <w:tblPr>
        <w:tblStyle w:val="1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0"/>
        <w:gridCol w:w="1445"/>
        <w:gridCol w:w="747"/>
        <w:gridCol w:w="1188"/>
        <w:gridCol w:w="1796"/>
        <w:gridCol w:w="1505"/>
        <w:gridCol w:w="1047"/>
      </w:tblGrid>
      <w:tr w14:paraId="4D52A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trPr>
        <w:tc>
          <w:tcPr>
            <w:tcW w:w="1119" w:type="pct"/>
            <w:shd w:val="clear" w:color="auto" w:fill="8DB3E2"/>
            <w:noWrap w:val="0"/>
            <w:vAlign w:val="center"/>
          </w:tcPr>
          <w:p w14:paraId="4EBC5FF4">
            <w:pPr>
              <w:widowControl/>
              <w:wordWrap w:val="0"/>
              <w:spacing w:line="240" w:lineRule="exact"/>
              <w:jc w:val="center"/>
              <w:rPr>
                <w:rFonts w:hint="eastAsia" w:ascii="宋体" w:hAnsi="宋体" w:eastAsia="宋体" w:cs="宋体"/>
                <w:b/>
                <w:bCs/>
                <w:color w:val="auto"/>
                <w:kern w:val="0"/>
                <w:sz w:val="18"/>
                <w:szCs w:val="21"/>
                <w:highlight w:val="none"/>
              </w:rPr>
            </w:pPr>
            <w:r>
              <w:rPr>
                <w:rFonts w:hint="eastAsia" w:ascii="宋体" w:hAnsi="宋体" w:eastAsia="宋体" w:cs="宋体"/>
                <w:b/>
                <w:bCs/>
                <w:color w:val="auto"/>
                <w:kern w:val="0"/>
                <w:sz w:val="18"/>
                <w:szCs w:val="21"/>
                <w:highlight w:val="none"/>
              </w:rPr>
              <w:t>行业名称</w:t>
            </w:r>
          </w:p>
        </w:tc>
        <w:tc>
          <w:tcPr>
            <w:tcW w:w="725" w:type="pct"/>
            <w:shd w:val="clear" w:color="auto" w:fill="8DB3E2"/>
            <w:noWrap w:val="0"/>
            <w:vAlign w:val="center"/>
          </w:tcPr>
          <w:p w14:paraId="09119B4E">
            <w:pPr>
              <w:widowControl/>
              <w:wordWrap w:val="0"/>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指标名称</w:t>
            </w:r>
          </w:p>
        </w:tc>
        <w:tc>
          <w:tcPr>
            <w:tcW w:w="375" w:type="pct"/>
            <w:shd w:val="clear" w:color="auto" w:fill="8DB3E2"/>
            <w:noWrap w:val="0"/>
            <w:vAlign w:val="center"/>
          </w:tcPr>
          <w:p w14:paraId="5CC222F6">
            <w:pPr>
              <w:widowControl/>
              <w:wordWrap w:val="0"/>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计量</w:t>
            </w:r>
          </w:p>
          <w:p w14:paraId="607F1E5C">
            <w:pPr>
              <w:widowControl/>
              <w:wordWrap w:val="0"/>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单位</w:t>
            </w:r>
          </w:p>
        </w:tc>
        <w:tc>
          <w:tcPr>
            <w:tcW w:w="596" w:type="pct"/>
            <w:shd w:val="clear" w:color="auto" w:fill="8DB3E2"/>
            <w:noWrap w:val="0"/>
            <w:vAlign w:val="center"/>
          </w:tcPr>
          <w:p w14:paraId="4F30DDE6">
            <w:pPr>
              <w:widowControl/>
              <w:wordWrap w:val="0"/>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大型</w:t>
            </w:r>
          </w:p>
        </w:tc>
        <w:tc>
          <w:tcPr>
            <w:tcW w:w="901" w:type="pct"/>
            <w:shd w:val="clear" w:color="auto" w:fill="8DB3E2"/>
            <w:noWrap w:val="0"/>
            <w:vAlign w:val="center"/>
          </w:tcPr>
          <w:p w14:paraId="08A46A14">
            <w:pPr>
              <w:widowControl/>
              <w:wordWrap w:val="0"/>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中型</w:t>
            </w:r>
          </w:p>
        </w:tc>
        <w:tc>
          <w:tcPr>
            <w:tcW w:w="755" w:type="pct"/>
            <w:shd w:val="clear" w:color="auto" w:fill="8DB3E2"/>
            <w:noWrap w:val="0"/>
            <w:vAlign w:val="center"/>
          </w:tcPr>
          <w:p w14:paraId="0968EB3F">
            <w:pPr>
              <w:widowControl/>
              <w:wordWrap w:val="0"/>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小型</w:t>
            </w:r>
          </w:p>
        </w:tc>
        <w:tc>
          <w:tcPr>
            <w:tcW w:w="525" w:type="pct"/>
            <w:shd w:val="clear" w:color="auto" w:fill="8DB3E2"/>
            <w:noWrap w:val="0"/>
            <w:vAlign w:val="center"/>
          </w:tcPr>
          <w:p w14:paraId="68DD6F6E">
            <w:pPr>
              <w:widowControl/>
              <w:wordWrap w:val="0"/>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微型</w:t>
            </w:r>
          </w:p>
        </w:tc>
      </w:tr>
      <w:tr w14:paraId="6D542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119" w:type="pct"/>
            <w:noWrap w:val="0"/>
            <w:vAlign w:val="center"/>
          </w:tcPr>
          <w:p w14:paraId="1A518B71">
            <w:pPr>
              <w:widowControl/>
              <w:wordWrap w:val="0"/>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农、林、牧、渔业</w:t>
            </w:r>
          </w:p>
        </w:tc>
        <w:tc>
          <w:tcPr>
            <w:tcW w:w="725" w:type="pct"/>
            <w:noWrap w:val="0"/>
            <w:vAlign w:val="center"/>
          </w:tcPr>
          <w:p w14:paraId="69D63FE5">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375" w:type="pct"/>
            <w:noWrap w:val="0"/>
            <w:vAlign w:val="center"/>
          </w:tcPr>
          <w:p w14:paraId="6BA7AA5B">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596" w:type="pct"/>
            <w:noWrap w:val="0"/>
            <w:vAlign w:val="center"/>
          </w:tcPr>
          <w:p w14:paraId="704895FE">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901" w:type="pct"/>
            <w:noWrap w:val="0"/>
            <w:vAlign w:val="center"/>
          </w:tcPr>
          <w:p w14:paraId="74FB6884">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755" w:type="pct"/>
            <w:noWrap w:val="0"/>
            <w:vAlign w:val="center"/>
          </w:tcPr>
          <w:p w14:paraId="0070C4A2">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50≤Y＜500</w:t>
            </w:r>
          </w:p>
        </w:tc>
        <w:tc>
          <w:tcPr>
            <w:tcW w:w="525" w:type="pct"/>
            <w:noWrap w:val="0"/>
            <w:vAlign w:val="center"/>
          </w:tcPr>
          <w:p w14:paraId="3464A718">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7CCD7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119" w:type="pct"/>
            <w:vMerge w:val="restart"/>
            <w:noWrap w:val="0"/>
            <w:vAlign w:val="center"/>
          </w:tcPr>
          <w:p w14:paraId="01C62302">
            <w:pPr>
              <w:widowControl/>
              <w:wordWrap w:val="0"/>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工业 *</w:t>
            </w:r>
          </w:p>
        </w:tc>
        <w:tc>
          <w:tcPr>
            <w:tcW w:w="725" w:type="pct"/>
            <w:noWrap w:val="0"/>
            <w:vAlign w:val="center"/>
          </w:tcPr>
          <w:p w14:paraId="043CC0E0">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375" w:type="pct"/>
            <w:noWrap w:val="0"/>
            <w:vAlign w:val="center"/>
          </w:tcPr>
          <w:p w14:paraId="59C83215">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596" w:type="pct"/>
            <w:noWrap w:val="0"/>
            <w:vAlign w:val="center"/>
          </w:tcPr>
          <w:p w14:paraId="755A5CFF">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901" w:type="pct"/>
            <w:noWrap w:val="0"/>
            <w:vAlign w:val="center"/>
          </w:tcPr>
          <w:p w14:paraId="31024BE9">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755" w:type="pct"/>
            <w:noWrap w:val="0"/>
            <w:vAlign w:val="center"/>
          </w:tcPr>
          <w:p w14:paraId="102D9E7D">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525" w:type="pct"/>
            <w:noWrap w:val="0"/>
            <w:vAlign w:val="center"/>
          </w:tcPr>
          <w:p w14:paraId="488EAFA3">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60B3E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119" w:type="pct"/>
            <w:vMerge w:val="continue"/>
            <w:noWrap w:val="0"/>
            <w:vAlign w:val="center"/>
          </w:tcPr>
          <w:p w14:paraId="2D7398AA">
            <w:pPr>
              <w:widowControl/>
              <w:wordWrap w:val="0"/>
              <w:jc w:val="left"/>
              <w:rPr>
                <w:rFonts w:hint="eastAsia" w:ascii="宋体" w:hAnsi="宋体" w:eastAsia="宋体" w:cs="宋体"/>
                <w:color w:val="auto"/>
                <w:kern w:val="0"/>
                <w:sz w:val="18"/>
                <w:szCs w:val="18"/>
                <w:highlight w:val="none"/>
              </w:rPr>
            </w:pPr>
          </w:p>
        </w:tc>
        <w:tc>
          <w:tcPr>
            <w:tcW w:w="725" w:type="pct"/>
            <w:noWrap w:val="0"/>
            <w:vAlign w:val="center"/>
          </w:tcPr>
          <w:p w14:paraId="2B4ADECC">
            <w:pPr>
              <w:widowControl/>
              <w:wordWrap w:val="0"/>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375" w:type="pct"/>
            <w:noWrap w:val="0"/>
            <w:vAlign w:val="center"/>
          </w:tcPr>
          <w:p w14:paraId="239A56A8">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596" w:type="pct"/>
            <w:noWrap w:val="0"/>
            <w:vAlign w:val="center"/>
          </w:tcPr>
          <w:p w14:paraId="3DBD9072">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901" w:type="pct"/>
            <w:noWrap w:val="0"/>
            <w:vAlign w:val="center"/>
          </w:tcPr>
          <w:p w14:paraId="4636D6E7">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755" w:type="pct"/>
            <w:noWrap w:val="0"/>
            <w:vAlign w:val="center"/>
          </w:tcPr>
          <w:p w14:paraId="0279712E">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525" w:type="pct"/>
            <w:noWrap w:val="0"/>
            <w:vAlign w:val="center"/>
          </w:tcPr>
          <w:p w14:paraId="4CABA628">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512E8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119" w:type="pct"/>
            <w:vMerge w:val="restart"/>
            <w:noWrap w:val="0"/>
            <w:vAlign w:val="center"/>
          </w:tcPr>
          <w:p w14:paraId="5A2433F4">
            <w:pPr>
              <w:widowControl/>
              <w:wordWrap w:val="0"/>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建筑业</w:t>
            </w:r>
          </w:p>
        </w:tc>
        <w:tc>
          <w:tcPr>
            <w:tcW w:w="725" w:type="pct"/>
            <w:noWrap w:val="0"/>
            <w:vAlign w:val="center"/>
          </w:tcPr>
          <w:p w14:paraId="51B20AD3">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375" w:type="pct"/>
            <w:noWrap w:val="0"/>
            <w:vAlign w:val="center"/>
          </w:tcPr>
          <w:p w14:paraId="7F8FC0B5">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596" w:type="pct"/>
            <w:noWrap w:val="0"/>
            <w:vAlign w:val="center"/>
          </w:tcPr>
          <w:p w14:paraId="47C25021">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Y≥80000</w:t>
            </w:r>
          </w:p>
        </w:tc>
        <w:tc>
          <w:tcPr>
            <w:tcW w:w="901" w:type="pct"/>
            <w:noWrap w:val="0"/>
            <w:vAlign w:val="center"/>
          </w:tcPr>
          <w:p w14:paraId="3A1127E8">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755" w:type="pct"/>
            <w:noWrap w:val="0"/>
            <w:vAlign w:val="center"/>
          </w:tcPr>
          <w:p w14:paraId="5478A83D">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525" w:type="pct"/>
            <w:noWrap w:val="0"/>
            <w:vAlign w:val="center"/>
          </w:tcPr>
          <w:p w14:paraId="282216B3">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48F65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119" w:type="pct"/>
            <w:vMerge w:val="continue"/>
            <w:noWrap w:val="0"/>
            <w:vAlign w:val="center"/>
          </w:tcPr>
          <w:p w14:paraId="73703057">
            <w:pPr>
              <w:widowControl/>
              <w:wordWrap w:val="0"/>
              <w:jc w:val="left"/>
              <w:rPr>
                <w:rFonts w:hint="eastAsia" w:ascii="宋体" w:hAnsi="宋体" w:eastAsia="宋体" w:cs="宋体"/>
                <w:color w:val="auto"/>
                <w:kern w:val="0"/>
                <w:sz w:val="18"/>
                <w:szCs w:val="18"/>
                <w:highlight w:val="none"/>
              </w:rPr>
            </w:pPr>
          </w:p>
        </w:tc>
        <w:tc>
          <w:tcPr>
            <w:tcW w:w="725" w:type="pct"/>
            <w:noWrap w:val="0"/>
            <w:vAlign w:val="center"/>
          </w:tcPr>
          <w:p w14:paraId="5E6350AA">
            <w:pPr>
              <w:widowControl/>
              <w:wordWrap w:val="0"/>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375" w:type="pct"/>
            <w:noWrap w:val="0"/>
            <w:vAlign w:val="center"/>
          </w:tcPr>
          <w:p w14:paraId="05F48CE7">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596" w:type="pct"/>
            <w:noWrap w:val="0"/>
            <w:vAlign w:val="center"/>
          </w:tcPr>
          <w:p w14:paraId="6DAC9381">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Z≥80000</w:t>
            </w:r>
          </w:p>
        </w:tc>
        <w:tc>
          <w:tcPr>
            <w:tcW w:w="901" w:type="pct"/>
            <w:noWrap w:val="0"/>
            <w:vAlign w:val="center"/>
          </w:tcPr>
          <w:p w14:paraId="18F505D0">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755" w:type="pct"/>
            <w:noWrap w:val="0"/>
            <w:vAlign w:val="center"/>
          </w:tcPr>
          <w:p w14:paraId="5B9E4A5B">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525" w:type="pct"/>
            <w:noWrap w:val="0"/>
            <w:vAlign w:val="center"/>
          </w:tcPr>
          <w:p w14:paraId="70E52DB9">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14:paraId="0B0F6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119" w:type="pct"/>
            <w:vMerge w:val="restart"/>
            <w:noWrap w:val="0"/>
            <w:vAlign w:val="center"/>
          </w:tcPr>
          <w:p w14:paraId="36FAF5E1">
            <w:pPr>
              <w:widowControl/>
              <w:wordWrap w:val="0"/>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批发业</w:t>
            </w:r>
          </w:p>
        </w:tc>
        <w:tc>
          <w:tcPr>
            <w:tcW w:w="725" w:type="pct"/>
            <w:noWrap w:val="0"/>
            <w:vAlign w:val="center"/>
          </w:tcPr>
          <w:p w14:paraId="22F06101">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375" w:type="pct"/>
            <w:noWrap w:val="0"/>
            <w:vAlign w:val="center"/>
          </w:tcPr>
          <w:p w14:paraId="05E6AC61">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596" w:type="pct"/>
            <w:noWrap w:val="0"/>
            <w:vAlign w:val="center"/>
          </w:tcPr>
          <w:p w14:paraId="618FCB51">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w:t>
            </w:r>
          </w:p>
        </w:tc>
        <w:tc>
          <w:tcPr>
            <w:tcW w:w="901" w:type="pct"/>
            <w:noWrap w:val="0"/>
            <w:vAlign w:val="center"/>
          </w:tcPr>
          <w:p w14:paraId="4D4449FE">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20≤X＜200</w:t>
            </w:r>
          </w:p>
        </w:tc>
        <w:tc>
          <w:tcPr>
            <w:tcW w:w="755" w:type="pct"/>
            <w:noWrap w:val="0"/>
            <w:vAlign w:val="center"/>
          </w:tcPr>
          <w:p w14:paraId="4B3558F3">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5≤X＜20</w:t>
            </w:r>
          </w:p>
        </w:tc>
        <w:tc>
          <w:tcPr>
            <w:tcW w:w="525" w:type="pct"/>
            <w:noWrap w:val="0"/>
            <w:vAlign w:val="center"/>
          </w:tcPr>
          <w:p w14:paraId="589C8B7B">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X＜5</w:t>
            </w:r>
          </w:p>
        </w:tc>
      </w:tr>
      <w:tr w14:paraId="121AD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119" w:type="pct"/>
            <w:vMerge w:val="continue"/>
            <w:noWrap w:val="0"/>
            <w:vAlign w:val="center"/>
          </w:tcPr>
          <w:p w14:paraId="2D883CFB">
            <w:pPr>
              <w:widowControl/>
              <w:wordWrap w:val="0"/>
              <w:jc w:val="left"/>
              <w:rPr>
                <w:rFonts w:hint="eastAsia" w:ascii="宋体" w:hAnsi="宋体" w:eastAsia="宋体" w:cs="宋体"/>
                <w:color w:val="auto"/>
                <w:kern w:val="0"/>
                <w:sz w:val="18"/>
                <w:szCs w:val="18"/>
                <w:highlight w:val="none"/>
              </w:rPr>
            </w:pPr>
          </w:p>
        </w:tc>
        <w:tc>
          <w:tcPr>
            <w:tcW w:w="725" w:type="pct"/>
            <w:noWrap w:val="0"/>
            <w:vAlign w:val="center"/>
          </w:tcPr>
          <w:p w14:paraId="325F9D67">
            <w:pPr>
              <w:widowControl/>
              <w:wordWrap w:val="0"/>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375" w:type="pct"/>
            <w:noWrap w:val="0"/>
            <w:vAlign w:val="center"/>
          </w:tcPr>
          <w:p w14:paraId="49B491A5">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596" w:type="pct"/>
            <w:noWrap w:val="0"/>
            <w:vAlign w:val="center"/>
          </w:tcPr>
          <w:p w14:paraId="7BCFD989">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901" w:type="pct"/>
            <w:noWrap w:val="0"/>
            <w:vAlign w:val="center"/>
          </w:tcPr>
          <w:p w14:paraId="58085EE9">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755" w:type="pct"/>
            <w:noWrap w:val="0"/>
            <w:vAlign w:val="center"/>
          </w:tcPr>
          <w:p w14:paraId="6F98EC6B">
            <w:pPr>
              <w:widowControl/>
              <w:wordWrap w:val="0"/>
              <w:ind w:left="-1" w:leftChars="-1" w:hanging="1"/>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525" w:type="pct"/>
            <w:noWrap w:val="0"/>
            <w:vAlign w:val="center"/>
          </w:tcPr>
          <w:p w14:paraId="02F85A5A">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14:paraId="3FC68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119" w:type="pct"/>
            <w:vMerge w:val="restart"/>
            <w:noWrap w:val="0"/>
            <w:vAlign w:val="center"/>
          </w:tcPr>
          <w:p w14:paraId="2F618CAA">
            <w:pPr>
              <w:widowControl/>
              <w:wordWrap w:val="0"/>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零售业</w:t>
            </w:r>
          </w:p>
        </w:tc>
        <w:tc>
          <w:tcPr>
            <w:tcW w:w="725" w:type="pct"/>
            <w:noWrap w:val="0"/>
            <w:vAlign w:val="center"/>
          </w:tcPr>
          <w:p w14:paraId="6AF7D747">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375" w:type="pct"/>
            <w:noWrap w:val="0"/>
            <w:vAlign w:val="center"/>
          </w:tcPr>
          <w:p w14:paraId="0EDB5A6A">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596" w:type="pct"/>
            <w:noWrap w:val="0"/>
            <w:vAlign w:val="center"/>
          </w:tcPr>
          <w:p w14:paraId="69A34216">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901" w:type="pct"/>
            <w:noWrap w:val="0"/>
            <w:vAlign w:val="center"/>
          </w:tcPr>
          <w:p w14:paraId="59DCD1A6">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50≤X＜300</w:t>
            </w:r>
          </w:p>
        </w:tc>
        <w:tc>
          <w:tcPr>
            <w:tcW w:w="755" w:type="pct"/>
            <w:noWrap w:val="0"/>
            <w:vAlign w:val="center"/>
          </w:tcPr>
          <w:p w14:paraId="7253C700">
            <w:pPr>
              <w:widowControl/>
              <w:wordWrap w:val="0"/>
              <w:ind w:left="-1" w:leftChars="-1" w:hanging="1"/>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10≤X＜50 </w:t>
            </w:r>
          </w:p>
        </w:tc>
        <w:tc>
          <w:tcPr>
            <w:tcW w:w="525" w:type="pct"/>
            <w:noWrap w:val="0"/>
            <w:vAlign w:val="center"/>
          </w:tcPr>
          <w:p w14:paraId="6CBF5F95">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30D5B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119" w:type="pct"/>
            <w:vMerge w:val="continue"/>
            <w:noWrap w:val="0"/>
            <w:vAlign w:val="center"/>
          </w:tcPr>
          <w:p w14:paraId="3069F55D">
            <w:pPr>
              <w:widowControl/>
              <w:wordWrap w:val="0"/>
              <w:jc w:val="left"/>
              <w:rPr>
                <w:rFonts w:hint="eastAsia" w:ascii="宋体" w:hAnsi="宋体" w:eastAsia="宋体" w:cs="宋体"/>
                <w:color w:val="auto"/>
                <w:kern w:val="0"/>
                <w:sz w:val="18"/>
                <w:szCs w:val="18"/>
                <w:highlight w:val="none"/>
              </w:rPr>
            </w:pPr>
          </w:p>
        </w:tc>
        <w:tc>
          <w:tcPr>
            <w:tcW w:w="725" w:type="pct"/>
            <w:noWrap w:val="0"/>
            <w:vAlign w:val="center"/>
          </w:tcPr>
          <w:p w14:paraId="48D210E3">
            <w:pPr>
              <w:widowControl/>
              <w:wordWrap w:val="0"/>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375" w:type="pct"/>
            <w:noWrap w:val="0"/>
            <w:vAlign w:val="center"/>
          </w:tcPr>
          <w:p w14:paraId="3FDA64F2">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596" w:type="pct"/>
            <w:noWrap w:val="0"/>
            <w:vAlign w:val="center"/>
          </w:tcPr>
          <w:p w14:paraId="5C30FD80">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901" w:type="pct"/>
            <w:noWrap w:val="0"/>
            <w:vAlign w:val="center"/>
          </w:tcPr>
          <w:p w14:paraId="54E346AE">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755" w:type="pct"/>
            <w:noWrap w:val="0"/>
            <w:vAlign w:val="center"/>
          </w:tcPr>
          <w:p w14:paraId="3E4C06F6">
            <w:pPr>
              <w:widowControl/>
              <w:wordWrap w:val="0"/>
              <w:ind w:left="-1" w:leftChars="-1" w:hanging="1"/>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100≤Y＜500</w:t>
            </w:r>
          </w:p>
        </w:tc>
        <w:tc>
          <w:tcPr>
            <w:tcW w:w="525" w:type="pct"/>
            <w:noWrap w:val="0"/>
            <w:vAlign w:val="center"/>
          </w:tcPr>
          <w:p w14:paraId="64230EB8">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277EA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119" w:type="pct"/>
            <w:vMerge w:val="restart"/>
            <w:noWrap w:val="0"/>
            <w:vAlign w:val="center"/>
          </w:tcPr>
          <w:p w14:paraId="3044C484">
            <w:pPr>
              <w:widowControl/>
              <w:wordWrap w:val="0"/>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交通运输业 *</w:t>
            </w:r>
          </w:p>
        </w:tc>
        <w:tc>
          <w:tcPr>
            <w:tcW w:w="725" w:type="pct"/>
            <w:noWrap w:val="0"/>
            <w:vAlign w:val="center"/>
          </w:tcPr>
          <w:p w14:paraId="0D8B8E9A">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375" w:type="pct"/>
            <w:noWrap w:val="0"/>
            <w:vAlign w:val="center"/>
          </w:tcPr>
          <w:p w14:paraId="62B506FD">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596" w:type="pct"/>
            <w:noWrap w:val="0"/>
            <w:vAlign w:val="center"/>
          </w:tcPr>
          <w:p w14:paraId="7BBD8B21">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901" w:type="pct"/>
            <w:noWrap w:val="0"/>
            <w:vAlign w:val="center"/>
          </w:tcPr>
          <w:p w14:paraId="6D3AC9F6">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755" w:type="pct"/>
            <w:noWrap w:val="0"/>
            <w:vAlign w:val="center"/>
          </w:tcPr>
          <w:p w14:paraId="6F9CCB39">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525" w:type="pct"/>
            <w:noWrap w:val="0"/>
            <w:vAlign w:val="center"/>
          </w:tcPr>
          <w:p w14:paraId="58BC85E6">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4323A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119" w:type="pct"/>
            <w:vMerge w:val="continue"/>
            <w:noWrap w:val="0"/>
            <w:vAlign w:val="center"/>
          </w:tcPr>
          <w:p w14:paraId="02A42458">
            <w:pPr>
              <w:widowControl/>
              <w:wordWrap w:val="0"/>
              <w:jc w:val="left"/>
              <w:rPr>
                <w:rFonts w:hint="eastAsia" w:ascii="宋体" w:hAnsi="宋体" w:eastAsia="宋体" w:cs="宋体"/>
                <w:color w:val="auto"/>
                <w:kern w:val="0"/>
                <w:sz w:val="18"/>
                <w:szCs w:val="18"/>
                <w:highlight w:val="none"/>
              </w:rPr>
            </w:pPr>
          </w:p>
        </w:tc>
        <w:tc>
          <w:tcPr>
            <w:tcW w:w="725" w:type="pct"/>
            <w:noWrap w:val="0"/>
            <w:vAlign w:val="center"/>
          </w:tcPr>
          <w:p w14:paraId="6A23A238">
            <w:pPr>
              <w:widowControl/>
              <w:wordWrap w:val="0"/>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375" w:type="pct"/>
            <w:noWrap w:val="0"/>
            <w:vAlign w:val="center"/>
          </w:tcPr>
          <w:p w14:paraId="4C1BA843">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596" w:type="pct"/>
            <w:noWrap w:val="0"/>
            <w:vAlign w:val="center"/>
          </w:tcPr>
          <w:p w14:paraId="41907084">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901" w:type="pct"/>
            <w:noWrap w:val="0"/>
            <w:vAlign w:val="center"/>
          </w:tcPr>
          <w:p w14:paraId="5968CA51">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755" w:type="pct"/>
            <w:noWrap w:val="0"/>
            <w:vAlign w:val="center"/>
          </w:tcPr>
          <w:p w14:paraId="33239E79">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200≤Y＜3000</w:t>
            </w:r>
          </w:p>
        </w:tc>
        <w:tc>
          <w:tcPr>
            <w:tcW w:w="525" w:type="pct"/>
            <w:noWrap w:val="0"/>
            <w:vAlign w:val="center"/>
          </w:tcPr>
          <w:p w14:paraId="6D9A3C2E">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14:paraId="57D0B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119" w:type="pct"/>
            <w:vMerge w:val="restart"/>
            <w:noWrap w:val="0"/>
            <w:vAlign w:val="center"/>
          </w:tcPr>
          <w:p w14:paraId="7C8D6A24">
            <w:pPr>
              <w:widowControl/>
              <w:wordWrap w:val="0"/>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仓储业*</w:t>
            </w:r>
          </w:p>
        </w:tc>
        <w:tc>
          <w:tcPr>
            <w:tcW w:w="725" w:type="pct"/>
            <w:noWrap w:val="0"/>
            <w:vAlign w:val="center"/>
          </w:tcPr>
          <w:p w14:paraId="3FD31CA1">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375" w:type="pct"/>
            <w:noWrap w:val="0"/>
            <w:vAlign w:val="center"/>
          </w:tcPr>
          <w:p w14:paraId="4153B70D">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596" w:type="pct"/>
            <w:noWrap w:val="0"/>
            <w:vAlign w:val="center"/>
          </w:tcPr>
          <w:p w14:paraId="70068367">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w:t>
            </w:r>
          </w:p>
        </w:tc>
        <w:tc>
          <w:tcPr>
            <w:tcW w:w="901" w:type="pct"/>
            <w:noWrap w:val="0"/>
            <w:vAlign w:val="center"/>
          </w:tcPr>
          <w:p w14:paraId="46535C0A">
            <w:pPr>
              <w:widowControl/>
              <w:wordWrap w:val="0"/>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w:t>
            </w:r>
          </w:p>
        </w:tc>
        <w:tc>
          <w:tcPr>
            <w:tcW w:w="755" w:type="pct"/>
            <w:noWrap w:val="0"/>
            <w:vAlign w:val="center"/>
          </w:tcPr>
          <w:p w14:paraId="35670031">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20≤X＜100</w:t>
            </w:r>
          </w:p>
        </w:tc>
        <w:tc>
          <w:tcPr>
            <w:tcW w:w="525" w:type="pct"/>
            <w:noWrap w:val="0"/>
            <w:vAlign w:val="center"/>
          </w:tcPr>
          <w:p w14:paraId="4471BE10">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78D84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119" w:type="pct"/>
            <w:vMerge w:val="continue"/>
            <w:noWrap w:val="0"/>
            <w:vAlign w:val="center"/>
          </w:tcPr>
          <w:p w14:paraId="5D7DAE0F">
            <w:pPr>
              <w:widowControl/>
              <w:wordWrap w:val="0"/>
              <w:jc w:val="left"/>
              <w:rPr>
                <w:rFonts w:hint="eastAsia" w:ascii="宋体" w:hAnsi="宋体" w:eastAsia="宋体" w:cs="宋体"/>
                <w:color w:val="auto"/>
                <w:kern w:val="0"/>
                <w:sz w:val="18"/>
                <w:szCs w:val="18"/>
                <w:highlight w:val="none"/>
              </w:rPr>
            </w:pPr>
          </w:p>
        </w:tc>
        <w:tc>
          <w:tcPr>
            <w:tcW w:w="725" w:type="pct"/>
            <w:noWrap w:val="0"/>
            <w:vAlign w:val="center"/>
          </w:tcPr>
          <w:p w14:paraId="6FB26CE3">
            <w:pPr>
              <w:widowControl/>
              <w:wordWrap w:val="0"/>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375" w:type="pct"/>
            <w:noWrap w:val="0"/>
            <w:vAlign w:val="center"/>
          </w:tcPr>
          <w:p w14:paraId="7BB4BA6A">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596" w:type="pct"/>
            <w:noWrap w:val="0"/>
            <w:vAlign w:val="center"/>
          </w:tcPr>
          <w:p w14:paraId="40B100A5">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901" w:type="pct"/>
            <w:noWrap w:val="0"/>
            <w:vAlign w:val="center"/>
          </w:tcPr>
          <w:p w14:paraId="1F958EA8">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755" w:type="pct"/>
            <w:noWrap w:val="0"/>
            <w:vAlign w:val="center"/>
          </w:tcPr>
          <w:p w14:paraId="7E475CB2">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525" w:type="pct"/>
            <w:noWrap w:val="0"/>
            <w:vAlign w:val="center"/>
          </w:tcPr>
          <w:p w14:paraId="5AB41A81">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26171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119" w:type="pct"/>
            <w:vMerge w:val="restart"/>
            <w:noWrap w:val="0"/>
            <w:vAlign w:val="center"/>
          </w:tcPr>
          <w:p w14:paraId="27FEB447">
            <w:pPr>
              <w:widowControl/>
              <w:wordWrap w:val="0"/>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邮政业</w:t>
            </w:r>
          </w:p>
        </w:tc>
        <w:tc>
          <w:tcPr>
            <w:tcW w:w="725" w:type="pct"/>
            <w:noWrap w:val="0"/>
            <w:vAlign w:val="center"/>
          </w:tcPr>
          <w:p w14:paraId="3D5ADB1B">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375" w:type="pct"/>
            <w:noWrap w:val="0"/>
            <w:vAlign w:val="center"/>
          </w:tcPr>
          <w:p w14:paraId="2E379837">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596" w:type="pct"/>
            <w:noWrap w:val="0"/>
            <w:vAlign w:val="center"/>
          </w:tcPr>
          <w:p w14:paraId="24D51073">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901" w:type="pct"/>
            <w:noWrap w:val="0"/>
            <w:vAlign w:val="center"/>
          </w:tcPr>
          <w:p w14:paraId="09698B92">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755" w:type="pct"/>
            <w:noWrap w:val="0"/>
            <w:vAlign w:val="center"/>
          </w:tcPr>
          <w:p w14:paraId="286230C1">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525" w:type="pct"/>
            <w:noWrap w:val="0"/>
            <w:vAlign w:val="center"/>
          </w:tcPr>
          <w:p w14:paraId="2680CDCE">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6A0D7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119" w:type="pct"/>
            <w:vMerge w:val="continue"/>
            <w:noWrap w:val="0"/>
            <w:vAlign w:val="center"/>
          </w:tcPr>
          <w:p w14:paraId="4F580D40">
            <w:pPr>
              <w:widowControl/>
              <w:wordWrap w:val="0"/>
              <w:jc w:val="left"/>
              <w:rPr>
                <w:rFonts w:hint="eastAsia" w:ascii="宋体" w:hAnsi="宋体" w:eastAsia="宋体" w:cs="宋体"/>
                <w:color w:val="auto"/>
                <w:kern w:val="0"/>
                <w:sz w:val="18"/>
                <w:szCs w:val="18"/>
                <w:highlight w:val="none"/>
              </w:rPr>
            </w:pPr>
          </w:p>
        </w:tc>
        <w:tc>
          <w:tcPr>
            <w:tcW w:w="725" w:type="pct"/>
            <w:noWrap w:val="0"/>
            <w:vAlign w:val="center"/>
          </w:tcPr>
          <w:p w14:paraId="12686B18">
            <w:pPr>
              <w:widowControl/>
              <w:wordWrap w:val="0"/>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375" w:type="pct"/>
            <w:noWrap w:val="0"/>
            <w:vAlign w:val="center"/>
          </w:tcPr>
          <w:p w14:paraId="5BE1E0EB">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596" w:type="pct"/>
            <w:noWrap w:val="0"/>
            <w:vAlign w:val="center"/>
          </w:tcPr>
          <w:p w14:paraId="62B77133">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901" w:type="pct"/>
            <w:noWrap w:val="0"/>
            <w:vAlign w:val="center"/>
          </w:tcPr>
          <w:p w14:paraId="20BA7186">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755" w:type="pct"/>
            <w:noWrap w:val="0"/>
            <w:vAlign w:val="center"/>
          </w:tcPr>
          <w:p w14:paraId="6CCFF988">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525" w:type="pct"/>
            <w:noWrap w:val="0"/>
            <w:vAlign w:val="center"/>
          </w:tcPr>
          <w:p w14:paraId="6ED675FB">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5EF40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119" w:type="pct"/>
            <w:vMerge w:val="restart"/>
            <w:noWrap w:val="0"/>
            <w:vAlign w:val="center"/>
          </w:tcPr>
          <w:p w14:paraId="35883636">
            <w:pPr>
              <w:widowControl/>
              <w:wordWrap w:val="0"/>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住宿业</w:t>
            </w:r>
          </w:p>
        </w:tc>
        <w:tc>
          <w:tcPr>
            <w:tcW w:w="725" w:type="pct"/>
            <w:noWrap w:val="0"/>
            <w:vAlign w:val="center"/>
          </w:tcPr>
          <w:p w14:paraId="047EFF3B">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375" w:type="pct"/>
            <w:noWrap w:val="0"/>
            <w:vAlign w:val="center"/>
          </w:tcPr>
          <w:p w14:paraId="57EFD41A">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596" w:type="pct"/>
            <w:noWrap w:val="0"/>
            <w:vAlign w:val="center"/>
          </w:tcPr>
          <w:p w14:paraId="45F71ACD">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901" w:type="pct"/>
            <w:noWrap w:val="0"/>
            <w:vAlign w:val="center"/>
          </w:tcPr>
          <w:p w14:paraId="554245DB">
            <w:pPr>
              <w:widowControl/>
              <w:wordWrap w:val="0"/>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755" w:type="pct"/>
            <w:noWrap w:val="0"/>
            <w:vAlign w:val="center"/>
          </w:tcPr>
          <w:p w14:paraId="418ACC36">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525" w:type="pct"/>
            <w:noWrap w:val="0"/>
            <w:vAlign w:val="center"/>
          </w:tcPr>
          <w:p w14:paraId="3575C9C4">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42D59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119" w:type="pct"/>
            <w:vMerge w:val="continue"/>
            <w:noWrap w:val="0"/>
            <w:vAlign w:val="center"/>
          </w:tcPr>
          <w:p w14:paraId="73C18AF2">
            <w:pPr>
              <w:widowControl/>
              <w:wordWrap w:val="0"/>
              <w:jc w:val="left"/>
              <w:rPr>
                <w:rFonts w:hint="eastAsia" w:ascii="宋体" w:hAnsi="宋体" w:eastAsia="宋体" w:cs="宋体"/>
                <w:color w:val="auto"/>
                <w:kern w:val="0"/>
                <w:sz w:val="18"/>
                <w:szCs w:val="18"/>
                <w:highlight w:val="none"/>
              </w:rPr>
            </w:pPr>
          </w:p>
        </w:tc>
        <w:tc>
          <w:tcPr>
            <w:tcW w:w="725" w:type="pct"/>
            <w:noWrap w:val="0"/>
            <w:vAlign w:val="center"/>
          </w:tcPr>
          <w:p w14:paraId="0D0BFC49">
            <w:pPr>
              <w:widowControl/>
              <w:wordWrap w:val="0"/>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375" w:type="pct"/>
            <w:noWrap w:val="0"/>
            <w:vAlign w:val="center"/>
          </w:tcPr>
          <w:p w14:paraId="719D2DF8">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596" w:type="pct"/>
            <w:noWrap w:val="0"/>
            <w:vAlign w:val="center"/>
          </w:tcPr>
          <w:p w14:paraId="503DFBD2">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901" w:type="pct"/>
            <w:noWrap w:val="0"/>
            <w:vAlign w:val="center"/>
          </w:tcPr>
          <w:p w14:paraId="34E48447">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755" w:type="pct"/>
            <w:noWrap w:val="0"/>
            <w:vAlign w:val="center"/>
          </w:tcPr>
          <w:p w14:paraId="24E923C2">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525" w:type="pct"/>
            <w:noWrap w:val="0"/>
            <w:vAlign w:val="center"/>
          </w:tcPr>
          <w:p w14:paraId="005B63C5">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0837D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119" w:type="pct"/>
            <w:vMerge w:val="restart"/>
            <w:noWrap w:val="0"/>
            <w:vAlign w:val="center"/>
          </w:tcPr>
          <w:p w14:paraId="04E9D10D">
            <w:pPr>
              <w:widowControl/>
              <w:wordWrap w:val="0"/>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餐饮业</w:t>
            </w:r>
          </w:p>
        </w:tc>
        <w:tc>
          <w:tcPr>
            <w:tcW w:w="725" w:type="pct"/>
            <w:noWrap w:val="0"/>
            <w:vAlign w:val="center"/>
          </w:tcPr>
          <w:p w14:paraId="511D973A">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375" w:type="pct"/>
            <w:noWrap w:val="0"/>
            <w:vAlign w:val="center"/>
          </w:tcPr>
          <w:p w14:paraId="7687EBBD">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596" w:type="pct"/>
            <w:noWrap w:val="0"/>
            <w:vAlign w:val="center"/>
          </w:tcPr>
          <w:p w14:paraId="237D2843">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901" w:type="pct"/>
            <w:noWrap w:val="0"/>
            <w:vAlign w:val="center"/>
          </w:tcPr>
          <w:p w14:paraId="4C5F0E1B">
            <w:pPr>
              <w:widowControl/>
              <w:wordWrap w:val="0"/>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755" w:type="pct"/>
            <w:noWrap w:val="0"/>
            <w:vAlign w:val="center"/>
          </w:tcPr>
          <w:p w14:paraId="34F2D9F9">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525" w:type="pct"/>
            <w:noWrap w:val="0"/>
            <w:vAlign w:val="center"/>
          </w:tcPr>
          <w:p w14:paraId="03995269">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6D1E2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119" w:type="pct"/>
            <w:vMerge w:val="continue"/>
            <w:noWrap w:val="0"/>
            <w:vAlign w:val="center"/>
          </w:tcPr>
          <w:p w14:paraId="1B7859F3">
            <w:pPr>
              <w:widowControl/>
              <w:wordWrap w:val="0"/>
              <w:jc w:val="left"/>
              <w:rPr>
                <w:rFonts w:hint="eastAsia" w:ascii="宋体" w:hAnsi="宋体" w:eastAsia="宋体" w:cs="宋体"/>
                <w:color w:val="auto"/>
                <w:kern w:val="0"/>
                <w:sz w:val="18"/>
                <w:szCs w:val="18"/>
                <w:highlight w:val="none"/>
              </w:rPr>
            </w:pPr>
          </w:p>
        </w:tc>
        <w:tc>
          <w:tcPr>
            <w:tcW w:w="725" w:type="pct"/>
            <w:noWrap w:val="0"/>
            <w:vAlign w:val="center"/>
          </w:tcPr>
          <w:p w14:paraId="3CDF764C">
            <w:pPr>
              <w:widowControl/>
              <w:wordWrap w:val="0"/>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375" w:type="pct"/>
            <w:noWrap w:val="0"/>
            <w:vAlign w:val="center"/>
          </w:tcPr>
          <w:p w14:paraId="6D14BD3C">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596" w:type="pct"/>
            <w:noWrap w:val="0"/>
            <w:vAlign w:val="center"/>
          </w:tcPr>
          <w:p w14:paraId="5F0CA65D">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901" w:type="pct"/>
            <w:noWrap w:val="0"/>
            <w:vAlign w:val="center"/>
          </w:tcPr>
          <w:p w14:paraId="1A51A670">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755" w:type="pct"/>
            <w:noWrap w:val="0"/>
            <w:vAlign w:val="center"/>
          </w:tcPr>
          <w:p w14:paraId="3D6A8062">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525" w:type="pct"/>
            <w:noWrap w:val="0"/>
            <w:vAlign w:val="center"/>
          </w:tcPr>
          <w:p w14:paraId="26BE7B9D">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53563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119" w:type="pct"/>
            <w:vMerge w:val="restart"/>
            <w:noWrap w:val="0"/>
            <w:vAlign w:val="center"/>
          </w:tcPr>
          <w:p w14:paraId="15F4E71A">
            <w:pPr>
              <w:widowControl/>
              <w:wordWrap w:val="0"/>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信息传输业 *</w:t>
            </w:r>
          </w:p>
        </w:tc>
        <w:tc>
          <w:tcPr>
            <w:tcW w:w="725" w:type="pct"/>
            <w:noWrap w:val="0"/>
            <w:vAlign w:val="center"/>
          </w:tcPr>
          <w:p w14:paraId="56CEABBA">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375" w:type="pct"/>
            <w:noWrap w:val="0"/>
            <w:vAlign w:val="center"/>
          </w:tcPr>
          <w:p w14:paraId="6A750AB3">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596" w:type="pct"/>
            <w:noWrap w:val="0"/>
            <w:vAlign w:val="center"/>
          </w:tcPr>
          <w:p w14:paraId="43A380BC">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X≥2000</w:t>
            </w:r>
          </w:p>
        </w:tc>
        <w:tc>
          <w:tcPr>
            <w:tcW w:w="901" w:type="pct"/>
            <w:noWrap w:val="0"/>
            <w:vAlign w:val="center"/>
          </w:tcPr>
          <w:p w14:paraId="1A114CBD">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100≤X＜2000</w:t>
            </w:r>
          </w:p>
        </w:tc>
        <w:tc>
          <w:tcPr>
            <w:tcW w:w="755" w:type="pct"/>
            <w:noWrap w:val="0"/>
            <w:vAlign w:val="center"/>
          </w:tcPr>
          <w:p w14:paraId="2094D628">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525" w:type="pct"/>
            <w:noWrap w:val="0"/>
            <w:vAlign w:val="center"/>
          </w:tcPr>
          <w:p w14:paraId="337451E6">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23382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119" w:type="pct"/>
            <w:vMerge w:val="continue"/>
            <w:noWrap w:val="0"/>
            <w:vAlign w:val="center"/>
          </w:tcPr>
          <w:p w14:paraId="11247728">
            <w:pPr>
              <w:widowControl/>
              <w:wordWrap w:val="0"/>
              <w:jc w:val="left"/>
              <w:rPr>
                <w:rFonts w:hint="eastAsia" w:ascii="宋体" w:hAnsi="宋体" w:eastAsia="宋体" w:cs="宋体"/>
                <w:color w:val="auto"/>
                <w:kern w:val="0"/>
                <w:sz w:val="18"/>
                <w:szCs w:val="18"/>
                <w:highlight w:val="none"/>
              </w:rPr>
            </w:pPr>
          </w:p>
        </w:tc>
        <w:tc>
          <w:tcPr>
            <w:tcW w:w="725" w:type="pct"/>
            <w:noWrap w:val="0"/>
            <w:vAlign w:val="center"/>
          </w:tcPr>
          <w:p w14:paraId="68DD924D">
            <w:pPr>
              <w:widowControl/>
              <w:wordWrap w:val="0"/>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375" w:type="pct"/>
            <w:noWrap w:val="0"/>
            <w:vAlign w:val="center"/>
          </w:tcPr>
          <w:p w14:paraId="04E9F6E3">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596" w:type="pct"/>
            <w:noWrap w:val="0"/>
            <w:vAlign w:val="center"/>
          </w:tcPr>
          <w:p w14:paraId="38B9C261">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Y≥100000</w:t>
            </w:r>
          </w:p>
        </w:tc>
        <w:tc>
          <w:tcPr>
            <w:tcW w:w="901" w:type="pct"/>
            <w:noWrap w:val="0"/>
            <w:vAlign w:val="center"/>
          </w:tcPr>
          <w:p w14:paraId="0DDB60C3">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1000≤Y＜100000</w:t>
            </w:r>
          </w:p>
        </w:tc>
        <w:tc>
          <w:tcPr>
            <w:tcW w:w="755" w:type="pct"/>
            <w:noWrap w:val="0"/>
            <w:vAlign w:val="center"/>
          </w:tcPr>
          <w:p w14:paraId="145C546B">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525" w:type="pct"/>
            <w:noWrap w:val="0"/>
            <w:vAlign w:val="center"/>
          </w:tcPr>
          <w:p w14:paraId="63EBF2D6">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5409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119" w:type="pct"/>
            <w:vMerge w:val="restart"/>
            <w:noWrap w:val="0"/>
            <w:vAlign w:val="center"/>
          </w:tcPr>
          <w:p w14:paraId="5052432C">
            <w:pPr>
              <w:widowControl/>
              <w:wordWrap w:val="0"/>
              <w:spacing w:line="240" w:lineRule="exact"/>
              <w:jc w:val="left"/>
              <w:rPr>
                <w:rFonts w:hint="eastAsia" w:ascii="宋体" w:hAnsi="宋体" w:eastAsia="宋体" w:cs="宋体"/>
                <w:color w:val="auto"/>
                <w:spacing w:val="-12"/>
                <w:kern w:val="0"/>
                <w:sz w:val="18"/>
                <w:szCs w:val="18"/>
                <w:highlight w:val="none"/>
              </w:rPr>
            </w:pPr>
            <w:r>
              <w:rPr>
                <w:rFonts w:hint="eastAsia" w:ascii="宋体" w:hAnsi="宋体" w:eastAsia="宋体" w:cs="宋体"/>
                <w:color w:val="auto"/>
                <w:spacing w:val="-12"/>
                <w:kern w:val="0"/>
                <w:sz w:val="18"/>
                <w:szCs w:val="18"/>
                <w:highlight w:val="none"/>
              </w:rPr>
              <w:t>软件和信息技术服</w:t>
            </w:r>
            <w:r>
              <w:rPr>
                <w:rFonts w:hint="eastAsia" w:ascii="宋体" w:hAnsi="宋体" w:eastAsia="宋体" w:cs="宋体"/>
                <w:color w:val="auto"/>
                <w:kern w:val="0"/>
                <w:sz w:val="18"/>
                <w:szCs w:val="18"/>
                <w:highlight w:val="none"/>
              </w:rPr>
              <w:t>务业</w:t>
            </w:r>
          </w:p>
        </w:tc>
        <w:tc>
          <w:tcPr>
            <w:tcW w:w="725" w:type="pct"/>
            <w:noWrap w:val="0"/>
            <w:vAlign w:val="center"/>
          </w:tcPr>
          <w:p w14:paraId="58B49F6F">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375" w:type="pct"/>
            <w:noWrap w:val="0"/>
            <w:vAlign w:val="center"/>
          </w:tcPr>
          <w:p w14:paraId="042C1F3F">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596" w:type="pct"/>
            <w:noWrap w:val="0"/>
            <w:vAlign w:val="center"/>
          </w:tcPr>
          <w:p w14:paraId="0A9A0C04">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901" w:type="pct"/>
            <w:noWrap w:val="0"/>
            <w:vAlign w:val="center"/>
          </w:tcPr>
          <w:p w14:paraId="53F38B7A">
            <w:pPr>
              <w:widowControl/>
              <w:wordWrap w:val="0"/>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755" w:type="pct"/>
            <w:noWrap w:val="0"/>
            <w:vAlign w:val="center"/>
          </w:tcPr>
          <w:p w14:paraId="30F06575">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525" w:type="pct"/>
            <w:noWrap w:val="0"/>
            <w:vAlign w:val="center"/>
          </w:tcPr>
          <w:p w14:paraId="205E6D79">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2CFDD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119" w:type="pct"/>
            <w:vMerge w:val="continue"/>
            <w:noWrap w:val="0"/>
            <w:vAlign w:val="center"/>
          </w:tcPr>
          <w:p w14:paraId="78EEF94A">
            <w:pPr>
              <w:widowControl/>
              <w:wordWrap w:val="0"/>
              <w:jc w:val="left"/>
              <w:rPr>
                <w:rFonts w:hint="eastAsia" w:ascii="宋体" w:hAnsi="宋体" w:eastAsia="宋体" w:cs="宋体"/>
                <w:color w:val="auto"/>
                <w:spacing w:val="-12"/>
                <w:kern w:val="0"/>
                <w:sz w:val="18"/>
                <w:szCs w:val="18"/>
                <w:highlight w:val="none"/>
              </w:rPr>
            </w:pPr>
          </w:p>
        </w:tc>
        <w:tc>
          <w:tcPr>
            <w:tcW w:w="725" w:type="pct"/>
            <w:noWrap w:val="0"/>
            <w:vAlign w:val="center"/>
          </w:tcPr>
          <w:p w14:paraId="4E1D00F4">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375" w:type="pct"/>
            <w:noWrap w:val="0"/>
            <w:vAlign w:val="center"/>
          </w:tcPr>
          <w:p w14:paraId="2C4C164F">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596" w:type="pct"/>
            <w:noWrap w:val="0"/>
            <w:vAlign w:val="center"/>
          </w:tcPr>
          <w:p w14:paraId="3B5E449E">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901" w:type="pct"/>
            <w:noWrap w:val="0"/>
            <w:vAlign w:val="center"/>
          </w:tcPr>
          <w:p w14:paraId="7F1EEFD9">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755" w:type="pct"/>
            <w:noWrap w:val="0"/>
            <w:vAlign w:val="center"/>
          </w:tcPr>
          <w:p w14:paraId="0BECEC74">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525" w:type="pct"/>
            <w:noWrap w:val="0"/>
            <w:vAlign w:val="center"/>
          </w:tcPr>
          <w:p w14:paraId="4E84188B">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0E742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119" w:type="pct"/>
            <w:vMerge w:val="restart"/>
            <w:noWrap w:val="0"/>
            <w:vAlign w:val="center"/>
          </w:tcPr>
          <w:p w14:paraId="17188AD4">
            <w:pPr>
              <w:widowControl/>
              <w:wordWrap w:val="0"/>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房地产开发经营</w:t>
            </w:r>
          </w:p>
        </w:tc>
        <w:tc>
          <w:tcPr>
            <w:tcW w:w="725" w:type="pct"/>
            <w:noWrap w:val="0"/>
            <w:vAlign w:val="center"/>
          </w:tcPr>
          <w:p w14:paraId="6C744182">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375" w:type="pct"/>
            <w:noWrap w:val="0"/>
            <w:vAlign w:val="center"/>
          </w:tcPr>
          <w:p w14:paraId="3960E22F">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596" w:type="pct"/>
            <w:noWrap w:val="0"/>
            <w:vAlign w:val="center"/>
          </w:tcPr>
          <w:p w14:paraId="12E81626">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Y≥200000</w:t>
            </w:r>
          </w:p>
        </w:tc>
        <w:tc>
          <w:tcPr>
            <w:tcW w:w="901" w:type="pct"/>
            <w:noWrap w:val="0"/>
            <w:vAlign w:val="center"/>
          </w:tcPr>
          <w:p w14:paraId="220D96FE">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1000≤Y＜200000</w:t>
            </w:r>
          </w:p>
        </w:tc>
        <w:tc>
          <w:tcPr>
            <w:tcW w:w="755" w:type="pct"/>
            <w:noWrap w:val="0"/>
            <w:vAlign w:val="center"/>
          </w:tcPr>
          <w:p w14:paraId="455104D2">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525" w:type="pct"/>
            <w:noWrap w:val="0"/>
            <w:vAlign w:val="center"/>
          </w:tcPr>
          <w:p w14:paraId="1A602776">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005DD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119" w:type="pct"/>
            <w:vMerge w:val="continue"/>
            <w:noWrap w:val="0"/>
            <w:vAlign w:val="center"/>
          </w:tcPr>
          <w:p w14:paraId="011FDAFB">
            <w:pPr>
              <w:widowControl/>
              <w:wordWrap w:val="0"/>
              <w:jc w:val="left"/>
              <w:rPr>
                <w:rFonts w:hint="eastAsia" w:ascii="宋体" w:hAnsi="宋体" w:eastAsia="宋体" w:cs="宋体"/>
                <w:color w:val="auto"/>
                <w:kern w:val="0"/>
                <w:sz w:val="18"/>
                <w:szCs w:val="18"/>
                <w:highlight w:val="none"/>
              </w:rPr>
            </w:pPr>
          </w:p>
        </w:tc>
        <w:tc>
          <w:tcPr>
            <w:tcW w:w="725" w:type="pct"/>
            <w:noWrap w:val="0"/>
            <w:vAlign w:val="center"/>
          </w:tcPr>
          <w:p w14:paraId="2D7896AE">
            <w:pPr>
              <w:widowControl/>
              <w:wordWrap w:val="0"/>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375" w:type="pct"/>
            <w:noWrap w:val="0"/>
            <w:vAlign w:val="center"/>
          </w:tcPr>
          <w:p w14:paraId="403FB87F">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596" w:type="pct"/>
            <w:noWrap w:val="0"/>
            <w:vAlign w:val="center"/>
          </w:tcPr>
          <w:p w14:paraId="20857D8C">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Z≥10000</w:t>
            </w:r>
          </w:p>
        </w:tc>
        <w:tc>
          <w:tcPr>
            <w:tcW w:w="901" w:type="pct"/>
            <w:noWrap w:val="0"/>
            <w:vAlign w:val="center"/>
          </w:tcPr>
          <w:p w14:paraId="662BDE6E">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755" w:type="pct"/>
            <w:noWrap w:val="0"/>
            <w:vAlign w:val="center"/>
          </w:tcPr>
          <w:p w14:paraId="3A283589">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2000≤Z＜5000</w:t>
            </w:r>
          </w:p>
        </w:tc>
        <w:tc>
          <w:tcPr>
            <w:tcW w:w="525" w:type="pct"/>
            <w:noWrap w:val="0"/>
            <w:vAlign w:val="center"/>
          </w:tcPr>
          <w:p w14:paraId="058CFBA7">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Z＜2000</w:t>
            </w:r>
          </w:p>
        </w:tc>
      </w:tr>
      <w:tr w14:paraId="57733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119" w:type="pct"/>
            <w:vMerge w:val="restart"/>
            <w:noWrap w:val="0"/>
            <w:vAlign w:val="center"/>
          </w:tcPr>
          <w:p w14:paraId="6EDB4862">
            <w:pPr>
              <w:widowControl/>
              <w:wordWrap w:val="0"/>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物业管理</w:t>
            </w:r>
          </w:p>
        </w:tc>
        <w:tc>
          <w:tcPr>
            <w:tcW w:w="725" w:type="pct"/>
            <w:noWrap w:val="0"/>
            <w:vAlign w:val="center"/>
          </w:tcPr>
          <w:p w14:paraId="2AE0297A">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375" w:type="pct"/>
            <w:noWrap w:val="0"/>
            <w:vAlign w:val="center"/>
          </w:tcPr>
          <w:p w14:paraId="293241BB">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596" w:type="pct"/>
            <w:noWrap w:val="0"/>
            <w:vAlign w:val="center"/>
          </w:tcPr>
          <w:p w14:paraId="5886A05F">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901" w:type="pct"/>
            <w:noWrap w:val="0"/>
            <w:vAlign w:val="center"/>
          </w:tcPr>
          <w:p w14:paraId="33D17018">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755" w:type="pct"/>
            <w:noWrap w:val="0"/>
            <w:vAlign w:val="center"/>
          </w:tcPr>
          <w:p w14:paraId="1B4DB307">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525" w:type="pct"/>
            <w:noWrap w:val="0"/>
            <w:vAlign w:val="center"/>
          </w:tcPr>
          <w:p w14:paraId="155CD295">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2B50E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119" w:type="pct"/>
            <w:vMerge w:val="continue"/>
            <w:noWrap w:val="0"/>
            <w:vAlign w:val="center"/>
          </w:tcPr>
          <w:p w14:paraId="7C32C540">
            <w:pPr>
              <w:widowControl/>
              <w:wordWrap w:val="0"/>
              <w:jc w:val="left"/>
              <w:rPr>
                <w:rFonts w:hint="eastAsia" w:ascii="宋体" w:hAnsi="宋体" w:eastAsia="宋体" w:cs="宋体"/>
                <w:color w:val="auto"/>
                <w:kern w:val="0"/>
                <w:sz w:val="18"/>
                <w:szCs w:val="18"/>
                <w:highlight w:val="none"/>
              </w:rPr>
            </w:pPr>
          </w:p>
        </w:tc>
        <w:tc>
          <w:tcPr>
            <w:tcW w:w="725" w:type="pct"/>
            <w:noWrap w:val="0"/>
            <w:vAlign w:val="center"/>
          </w:tcPr>
          <w:p w14:paraId="523309CB">
            <w:pPr>
              <w:widowControl/>
              <w:wordWrap w:val="0"/>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375" w:type="pct"/>
            <w:noWrap w:val="0"/>
            <w:vAlign w:val="center"/>
          </w:tcPr>
          <w:p w14:paraId="1D4627AE">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596" w:type="pct"/>
            <w:noWrap w:val="0"/>
            <w:vAlign w:val="center"/>
          </w:tcPr>
          <w:p w14:paraId="3B512B50">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Y≥5000</w:t>
            </w:r>
          </w:p>
        </w:tc>
        <w:tc>
          <w:tcPr>
            <w:tcW w:w="901" w:type="pct"/>
            <w:noWrap w:val="0"/>
            <w:vAlign w:val="center"/>
          </w:tcPr>
          <w:p w14:paraId="738CC43D">
            <w:pPr>
              <w:widowControl/>
              <w:wordWrap w:val="0"/>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755" w:type="pct"/>
            <w:noWrap w:val="0"/>
            <w:vAlign w:val="center"/>
          </w:tcPr>
          <w:p w14:paraId="5A63BFCA">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500≤Y＜1000</w:t>
            </w:r>
          </w:p>
        </w:tc>
        <w:tc>
          <w:tcPr>
            <w:tcW w:w="525" w:type="pct"/>
            <w:noWrap w:val="0"/>
            <w:vAlign w:val="center"/>
          </w:tcPr>
          <w:p w14:paraId="33CBF0F5">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14:paraId="27AA4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119" w:type="pct"/>
            <w:vMerge w:val="restart"/>
            <w:noWrap w:val="0"/>
            <w:vAlign w:val="center"/>
          </w:tcPr>
          <w:p w14:paraId="48ED086E">
            <w:pPr>
              <w:widowControl/>
              <w:wordWrap w:val="0"/>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租赁和商务服务业</w:t>
            </w:r>
          </w:p>
        </w:tc>
        <w:tc>
          <w:tcPr>
            <w:tcW w:w="725" w:type="pct"/>
            <w:noWrap w:val="0"/>
            <w:vAlign w:val="center"/>
          </w:tcPr>
          <w:p w14:paraId="0E78943D">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375" w:type="pct"/>
            <w:noWrap w:val="0"/>
            <w:vAlign w:val="center"/>
          </w:tcPr>
          <w:p w14:paraId="21A038B7">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596" w:type="pct"/>
            <w:noWrap w:val="0"/>
            <w:vAlign w:val="center"/>
          </w:tcPr>
          <w:p w14:paraId="36F232F3">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901" w:type="pct"/>
            <w:noWrap w:val="0"/>
            <w:vAlign w:val="center"/>
          </w:tcPr>
          <w:p w14:paraId="0F576108">
            <w:pPr>
              <w:widowControl/>
              <w:wordWrap w:val="0"/>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755" w:type="pct"/>
            <w:noWrap w:val="0"/>
            <w:vAlign w:val="center"/>
          </w:tcPr>
          <w:p w14:paraId="750FC891">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525" w:type="pct"/>
            <w:noWrap w:val="0"/>
            <w:vAlign w:val="center"/>
          </w:tcPr>
          <w:p w14:paraId="679C2173">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377CD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119" w:type="pct"/>
            <w:vMerge w:val="continue"/>
            <w:noWrap w:val="0"/>
            <w:vAlign w:val="center"/>
          </w:tcPr>
          <w:p w14:paraId="46104F33">
            <w:pPr>
              <w:widowControl/>
              <w:wordWrap w:val="0"/>
              <w:jc w:val="left"/>
              <w:rPr>
                <w:rFonts w:hint="eastAsia" w:ascii="宋体" w:hAnsi="宋体" w:eastAsia="宋体" w:cs="宋体"/>
                <w:color w:val="auto"/>
                <w:kern w:val="0"/>
                <w:sz w:val="18"/>
                <w:szCs w:val="18"/>
                <w:highlight w:val="none"/>
              </w:rPr>
            </w:pPr>
          </w:p>
        </w:tc>
        <w:tc>
          <w:tcPr>
            <w:tcW w:w="725" w:type="pct"/>
            <w:noWrap w:val="0"/>
            <w:vAlign w:val="center"/>
          </w:tcPr>
          <w:p w14:paraId="75C0CE2C">
            <w:pPr>
              <w:widowControl/>
              <w:wordWrap w:val="0"/>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375" w:type="pct"/>
            <w:noWrap w:val="0"/>
            <w:vAlign w:val="center"/>
          </w:tcPr>
          <w:p w14:paraId="4D31A4BA">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596" w:type="pct"/>
            <w:noWrap w:val="0"/>
            <w:vAlign w:val="center"/>
          </w:tcPr>
          <w:p w14:paraId="1133AA77">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Z≥120000</w:t>
            </w:r>
          </w:p>
        </w:tc>
        <w:tc>
          <w:tcPr>
            <w:tcW w:w="901" w:type="pct"/>
            <w:noWrap w:val="0"/>
            <w:vAlign w:val="center"/>
          </w:tcPr>
          <w:p w14:paraId="2FDF881D">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8000≤Z＜120000</w:t>
            </w:r>
          </w:p>
        </w:tc>
        <w:tc>
          <w:tcPr>
            <w:tcW w:w="755" w:type="pct"/>
            <w:noWrap w:val="0"/>
            <w:vAlign w:val="center"/>
          </w:tcPr>
          <w:p w14:paraId="54AC5003">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100≤Z＜8000</w:t>
            </w:r>
          </w:p>
        </w:tc>
        <w:tc>
          <w:tcPr>
            <w:tcW w:w="525" w:type="pct"/>
            <w:noWrap w:val="0"/>
            <w:vAlign w:val="center"/>
          </w:tcPr>
          <w:p w14:paraId="38A21930">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w:t>
            </w:r>
          </w:p>
        </w:tc>
      </w:tr>
      <w:tr w14:paraId="26AB6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119" w:type="pct"/>
            <w:noWrap w:val="0"/>
            <w:vAlign w:val="center"/>
          </w:tcPr>
          <w:p w14:paraId="2578DA27">
            <w:pPr>
              <w:widowControl/>
              <w:wordWrap w:val="0"/>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其他未列明行业 *</w:t>
            </w:r>
          </w:p>
        </w:tc>
        <w:tc>
          <w:tcPr>
            <w:tcW w:w="725" w:type="pct"/>
            <w:noWrap w:val="0"/>
            <w:vAlign w:val="center"/>
          </w:tcPr>
          <w:p w14:paraId="16E588D2">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375" w:type="pct"/>
            <w:noWrap w:val="0"/>
            <w:vAlign w:val="center"/>
          </w:tcPr>
          <w:p w14:paraId="00E0619F">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596" w:type="pct"/>
            <w:noWrap w:val="0"/>
            <w:vAlign w:val="center"/>
          </w:tcPr>
          <w:p w14:paraId="14163B37">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901" w:type="pct"/>
            <w:noWrap w:val="0"/>
            <w:vAlign w:val="center"/>
          </w:tcPr>
          <w:p w14:paraId="6511DC7B">
            <w:pPr>
              <w:widowControl/>
              <w:wordWrap w:val="0"/>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755" w:type="pct"/>
            <w:noWrap w:val="0"/>
            <w:vAlign w:val="center"/>
          </w:tcPr>
          <w:p w14:paraId="65873FDD">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525" w:type="pct"/>
            <w:noWrap w:val="0"/>
            <w:vAlign w:val="center"/>
          </w:tcPr>
          <w:p w14:paraId="5864E233">
            <w:pPr>
              <w:widowControl/>
              <w:wordWrap w:val="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bl>
    <w:p w14:paraId="2FF3A14F">
      <w:pPr>
        <w:widowControl/>
        <w:wordWrap w:val="0"/>
        <w:spacing w:line="540" w:lineRule="exact"/>
        <w:rPr>
          <w:rFonts w:hint="eastAsia" w:ascii="宋体" w:hAnsi="宋体" w:eastAsia="宋体" w:cs="宋体"/>
          <w:color w:val="auto"/>
          <w:spacing w:val="8"/>
          <w:kern w:val="0"/>
          <w:sz w:val="24"/>
          <w:highlight w:val="none"/>
        </w:rPr>
      </w:pPr>
      <w:r>
        <w:rPr>
          <w:rFonts w:hint="eastAsia" w:ascii="宋体" w:hAnsi="宋体" w:eastAsia="宋体" w:cs="宋体"/>
          <w:color w:val="auto"/>
          <w:spacing w:val="8"/>
          <w:kern w:val="0"/>
          <w:sz w:val="24"/>
          <w:highlight w:val="none"/>
        </w:rPr>
        <w:br w:type="page"/>
      </w:r>
      <w:r>
        <w:rPr>
          <w:rFonts w:hint="eastAsia" w:ascii="宋体" w:hAnsi="宋体" w:eastAsia="宋体" w:cs="宋体"/>
          <w:color w:val="auto"/>
          <w:spacing w:val="8"/>
          <w:kern w:val="0"/>
          <w:sz w:val="24"/>
          <w:highlight w:val="none"/>
        </w:rPr>
        <w:t>说明：</w:t>
      </w:r>
    </w:p>
    <w:p w14:paraId="42A0D9AE">
      <w:pPr>
        <w:pStyle w:val="9"/>
        <w:wordWrap w:val="0"/>
        <w:adjustRightInd w:val="0"/>
        <w:spacing w:line="380" w:lineRule="exact"/>
        <w:ind w:left="420" w:leftChars="200" w:firstLine="361" w:firstLineChars="160"/>
        <w:contextualSpacing/>
        <w:rPr>
          <w:rFonts w:hint="eastAsia" w:ascii="宋体" w:hAnsi="宋体" w:eastAsia="宋体" w:cs="宋体"/>
          <w:color w:val="auto"/>
          <w:spacing w:val="8"/>
          <w:szCs w:val="21"/>
          <w:highlight w:val="none"/>
        </w:rPr>
      </w:pPr>
      <w:r>
        <w:rPr>
          <w:rFonts w:hint="eastAsia" w:ascii="宋体" w:hAnsi="宋体" w:eastAsia="宋体" w:cs="宋体"/>
          <w:color w:val="auto"/>
          <w:spacing w:val="8"/>
          <w:szCs w:val="21"/>
          <w:highlight w:val="none"/>
        </w:rPr>
        <w:t>1.大型、中型和小型企业须同时满足所列指标的下限，否则下划一档；微型企业只须满足所列指标中的一项即可。</w:t>
      </w:r>
    </w:p>
    <w:p w14:paraId="19891229">
      <w:pPr>
        <w:pStyle w:val="9"/>
        <w:wordWrap w:val="0"/>
        <w:adjustRightInd w:val="0"/>
        <w:spacing w:line="380" w:lineRule="exact"/>
        <w:ind w:left="420" w:leftChars="200" w:firstLine="361" w:firstLineChars="160"/>
        <w:contextualSpacing/>
        <w:rPr>
          <w:rFonts w:hint="eastAsia" w:ascii="宋体" w:hAnsi="宋体" w:eastAsia="宋体" w:cs="宋体"/>
          <w:color w:val="auto"/>
          <w:spacing w:val="8"/>
          <w:szCs w:val="21"/>
          <w:highlight w:val="none"/>
        </w:rPr>
      </w:pPr>
      <w:r>
        <w:rPr>
          <w:rFonts w:hint="eastAsia" w:ascii="宋体" w:hAnsi="宋体" w:eastAsia="宋体" w:cs="宋体"/>
          <w:color w:val="auto"/>
          <w:spacing w:val="8"/>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25DA76F">
      <w:pPr>
        <w:pStyle w:val="9"/>
        <w:wordWrap w:val="0"/>
        <w:adjustRightInd w:val="0"/>
        <w:spacing w:line="380" w:lineRule="exact"/>
        <w:ind w:left="420" w:leftChars="200" w:firstLine="361" w:firstLineChars="160"/>
        <w:contextualSpacing/>
        <w:rPr>
          <w:rFonts w:hint="eastAsia" w:ascii="宋体" w:hAnsi="宋体" w:eastAsia="宋体" w:cs="宋体"/>
          <w:bCs/>
          <w:color w:val="auto"/>
          <w:szCs w:val="21"/>
          <w:highlight w:val="none"/>
        </w:rPr>
      </w:pPr>
      <w:r>
        <w:rPr>
          <w:rFonts w:hint="eastAsia" w:ascii="宋体" w:hAnsi="宋体" w:eastAsia="宋体" w:cs="宋体"/>
          <w:color w:val="auto"/>
          <w:spacing w:val="8"/>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1AB3CFDB">
      <w:pPr>
        <w:wordWrap w:val="0"/>
        <w:ind w:left="420" w:leftChars="200" w:firstLine="336" w:firstLineChars="160"/>
        <w:rPr>
          <w:rFonts w:hint="eastAsia" w:ascii="宋体" w:hAnsi="宋体" w:eastAsia="宋体" w:cs="宋体"/>
          <w:color w:val="auto"/>
          <w:highlight w:val="none"/>
        </w:rPr>
      </w:pPr>
    </w:p>
    <w:p w14:paraId="7ED8296F">
      <w:pPr>
        <w:wordWrap w:val="0"/>
        <w:ind w:left="420" w:leftChars="200" w:firstLine="336" w:firstLineChars="160"/>
        <w:rPr>
          <w:rFonts w:hint="eastAsia" w:ascii="宋体" w:hAnsi="宋体" w:eastAsia="宋体" w:cs="宋体"/>
          <w:color w:val="auto"/>
          <w:highlight w:val="none"/>
        </w:rPr>
      </w:pPr>
    </w:p>
    <w:p w14:paraId="2F45ADE5">
      <w:pPr>
        <w:wordWrap w:val="0"/>
        <w:ind w:left="420" w:leftChars="200" w:firstLine="336" w:firstLineChars="160"/>
        <w:rPr>
          <w:rFonts w:hint="eastAsia" w:ascii="宋体" w:hAnsi="宋体" w:eastAsia="宋体" w:cs="宋体"/>
          <w:color w:val="auto"/>
          <w:highlight w:val="none"/>
        </w:rPr>
      </w:pPr>
    </w:p>
    <w:p w14:paraId="3A1AFBE4">
      <w:pPr>
        <w:wordWrap w:val="0"/>
        <w:ind w:left="420" w:leftChars="200" w:firstLine="336" w:firstLineChars="160"/>
        <w:rPr>
          <w:rFonts w:hint="eastAsia" w:ascii="宋体" w:hAnsi="宋体" w:eastAsia="宋体" w:cs="宋体"/>
          <w:color w:val="auto"/>
          <w:highlight w:val="none"/>
        </w:rPr>
      </w:pPr>
    </w:p>
    <w:p w14:paraId="562F1A78">
      <w:pPr>
        <w:wordWrap w:val="0"/>
        <w:ind w:left="420" w:leftChars="200" w:firstLine="336" w:firstLineChars="160"/>
        <w:rPr>
          <w:rFonts w:hint="eastAsia" w:ascii="宋体" w:hAnsi="宋体" w:eastAsia="宋体" w:cs="宋体"/>
          <w:color w:val="auto"/>
          <w:highlight w:val="none"/>
        </w:rPr>
      </w:pPr>
    </w:p>
    <w:p w14:paraId="26E25AF8">
      <w:pPr>
        <w:wordWrap w:val="0"/>
        <w:ind w:left="420" w:leftChars="200" w:firstLine="336" w:firstLineChars="160"/>
        <w:rPr>
          <w:rFonts w:hint="eastAsia" w:ascii="宋体" w:hAnsi="宋体" w:eastAsia="宋体" w:cs="宋体"/>
          <w:color w:val="auto"/>
          <w:highlight w:val="none"/>
        </w:rPr>
      </w:pPr>
    </w:p>
    <w:p w14:paraId="3FE51A9F">
      <w:pPr>
        <w:wordWrap w:val="0"/>
        <w:ind w:left="420" w:leftChars="200" w:firstLine="336" w:firstLineChars="160"/>
        <w:rPr>
          <w:rFonts w:hint="eastAsia" w:ascii="宋体" w:hAnsi="宋体" w:eastAsia="宋体" w:cs="宋体"/>
          <w:color w:val="auto"/>
          <w:highlight w:val="none"/>
        </w:rPr>
      </w:pPr>
    </w:p>
    <w:p w14:paraId="421275AA">
      <w:pPr>
        <w:pStyle w:val="27"/>
        <w:wordWrap w:val="0"/>
        <w:ind w:left="420" w:leftChars="200" w:right="63" w:firstLine="320" w:firstLineChars="160"/>
        <w:rPr>
          <w:rFonts w:hint="eastAsia" w:ascii="宋体" w:hAnsi="宋体" w:eastAsia="宋体" w:cs="宋体"/>
          <w:color w:val="auto"/>
          <w:highlight w:val="none"/>
        </w:rPr>
      </w:pPr>
    </w:p>
    <w:p w14:paraId="009768B7">
      <w:pPr>
        <w:pStyle w:val="27"/>
        <w:wordWrap w:val="0"/>
        <w:ind w:left="420" w:leftChars="200" w:right="63" w:firstLine="320" w:firstLineChars="160"/>
        <w:rPr>
          <w:rFonts w:hint="eastAsia" w:ascii="宋体" w:hAnsi="宋体" w:eastAsia="宋体" w:cs="宋体"/>
          <w:color w:val="auto"/>
          <w:highlight w:val="none"/>
        </w:rPr>
      </w:pPr>
    </w:p>
    <w:p w14:paraId="46658110">
      <w:pPr>
        <w:pStyle w:val="27"/>
        <w:wordWrap w:val="0"/>
        <w:ind w:left="420" w:leftChars="200" w:right="63" w:firstLine="320" w:firstLineChars="160"/>
        <w:rPr>
          <w:rFonts w:hint="eastAsia" w:ascii="宋体" w:hAnsi="宋体" w:eastAsia="宋体" w:cs="宋体"/>
          <w:color w:val="auto"/>
          <w:highlight w:val="none"/>
        </w:rPr>
      </w:pPr>
    </w:p>
    <w:p w14:paraId="0417081F">
      <w:pPr>
        <w:pStyle w:val="27"/>
        <w:wordWrap w:val="0"/>
        <w:ind w:left="420" w:leftChars="200" w:right="63" w:firstLine="320" w:firstLineChars="160"/>
        <w:rPr>
          <w:rFonts w:hint="eastAsia" w:ascii="宋体" w:hAnsi="宋体" w:eastAsia="宋体" w:cs="宋体"/>
          <w:color w:val="auto"/>
          <w:highlight w:val="none"/>
        </w:rPr>
      </w:pPr>
    </w:p>
    <w:p w14:paraId="15A517B6">
      <w:pPr>
        <w:wordWrap w:val="0"/>
        <w:ind w:left="420" w:leftChars="200" w:firstLine="336" w:firstLineChars="160"/>
        <w:rPr>
          <w:rFonts w:hint="eastAsia" w:ascii="宋体" w:hAnsi="宋体" w:eastAsia="宋体" w:cs="宋体"/>
          <w:color w:val="auto"/>
          <w:highlight w:val="none"/>
        </w:rPr>
        <w:sectPr>
          <w:footerReference r:id="rId10" w:type="first"/>
          <w:headerReference r:id="rId7" w:type="default"/>
          <w:footerReference r:id="rId8" w:type="default"/>
          <w:footerReference r:id="rId9" w:type="even"/>
          <w:pgSz w:w="11906" w:h="16838"/>
          <w:pgMar w:top="1440" w:right="1080" w:bottom="1440" w:left="1080" w:header="720" w:footer="720" w:gutter="0"/>
          <w:pgNumType w:fmt="decimal"/>
          <w:cols w:space="720" w:num="1"/>
          <w:titlePg/>
          <w:docGrid w:linePitch="331" w:charSpace="0"/>
        </w:sectPr>
      </w:pPr>
    </w:p>
    <w:bookmarkEnd w:id="30"/>
    <w:p w14:paraId="2595147B">
      <w:pPr>
        <w:pStyle w:val="2"/>
        <w:wordWrap w:val="0"/>
        <w:spacing w:before="0" w:after="0" w:line="360" w:lineRule="auto"/>
        <w:ind w:left="420" w:leftChars="200" w:firstLine="578" w:firstLineChars="160"/>
        <w:jc w:val="center"/>
        <w:rPr>
          <w:rFonts w:hint="eastAsia" w:ascii="宋体" w:hAnsi="宋体" w:eastAsia="宋体" w:cs="宋体"/>
          <w:b/>
          <w:bCs/>
          <w:color w:val="auto"/>
          <w:sz w:val="36"/>
          <w:szCs w:val="36"/>
          <w:highlight w:val="none"/>
          <w:lang w:val="en-US" w:eastAsia="zh-CN"/>
        </w:rPr>
      </w:pPr>
      <w:bookmarkStart w:id="36" w:name="_Toc29688"/>
      <w:bookmarkStart w:id="37" w:name="_Toc605"/>
      <w:bookmarkStart w:id="38" w:name="_Toc2681"/>
      <w:r>
        <w:rPr>
          <w:rFonts w:hint="eastAsia" w:ascii="宋体" w:hAnsi="宋体" w:eastAsia="宋体" w:cs="宋体"/>
          <w:b/>
          <w:bCs/>
          <w:color w:val="auto"/>
          <w:sz w:val="36"/>
          <w:szCs w:val="36"/>
          <w:highlight w:val="none"/>
          <w:lang w:val="en-US" w:eastAsia="zh-CN"/>
        </w:rPr>
        <w:t xml:space="preserve">第五章 </w:t>
      </w:r>
      <w:bookmarkEnd w:id="36"/>
      <w:r>
        <w:rPr>
          <w:rFonts w:hint="eastAsia" w:ascii="宋体" w:hAnsi="宋体" w:eastAsia="宋体" w:cs="宋体"/>
          <w:b/>
          <w:bCs/>
          <w:color w:val="auto"/>
          <w:sz w:val="36"/>
          <w:szCs w:val="36"/>
          <w:highlight w:val="none"/>
          <w:lang w:val="en-US" w:eastAsia="zh-CN"/>
        </w:rPr>
        <w:t>采购合同（合同主要条款及格式）</w:t>
      </w:r>
      <w:bookmarkEnd w:id="37"/>
    </w:p>
    <w:p w14:paraId="2CC8CBEB">
      <w:pPr>
        <w:keepNext/>
        <w:keepLines/>
        <w:widowControl w:val="0"/>
        <w:spacing w:line="340" w:lineRule="exact"/>
        <w:jc w:val="center"/>
        <w:outlineLvl w:val="0"/>
        <w:rPr>
          <w:rFonts w:hint="eastAsia" w:ascii="宋体" w:hAnsi="宋体" w:eastAsia="宋体" w:cs="宋体"/>
          <w:b/>
          <w:bCs/>
          <w:color w:val="auto"/>
          <w:kern w:val="44"/>
          <w:sz w:val="32"/>
          <w:szCs w:val="21"/>
          <w:highlight w:val="none"/>
          <w:lang w:val="en-US" w:eastAsia="zh-CN" w:bidi="ar-SA"/>
        </w:rPr>
      </w:pPr>
      <w:bookmarkStart w:id="39" w:name="_Toc256000031"/>
      <w:bookmarkStart w:id="40" w:name="_Toc656"/>
      <w:bookmarkStart w:id="41" w:name="_Toc522201558"/>
      <w:r>
        <w:rPr>
          <w:rFonts w:hint="eastAsia" w:ascii="宋体" w:hAnsi="宋体" w:eastAsia="宋体" w:cs="宋体"/>
          <w:b/>
          <w:bCs/>
          <w:color w:val="auto"/>
          <w:kern w:val="44"/>
          <w:sz w:val="32"/>
          <w:szCs w:val="21"/>
          <w:highlight w:val="none"/>
          <w:lang w:val="en-US" w:eastAsia="zh-CN" w:bidi="ar-SA"/>
        </w:rPr>
        <w:t>第一部分 合同协议书</w:t>
      </w:r>
      <w:bookmarkEnd w:id="39"/>
      <w:bookmarkEnd w:id="40"/>
      <w:bookmarkEnd w:id="41"/>
    </w:p>
    <w:p w14:paraId="368F5B2D">
      <w:pPr>
        <w:widowControl w:val="0"/>
        <w:adjustRightInd w:val="0"/>
        <w:snapToGrid w:val="0"/>
        <w:spacing w:line="400" w:lineRule="exact"/>
        <w:ind w:firstLine="420" w:firstLineChars="200"/>
        <w:jc w:val="both"/>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发包人（全称）：</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u w:val="none"/>
          <w:lang w:val="en-US" w:eastAsia="zh-CN" w:bidi="ar-SA"/>
        </w:rPr>
        <w:t xml:space="preserve">  </w:t>
      </w:r>
    </w:p>
    <w:p w14:paraId="552ADB18">
      <w:pPr>
        <w:widowControl w:val="0"/>
        <w:adjustRightInd w:val="0"/>
        <w:snapToGrid w:val="0"/>
        <w:spacing w:line="400" w:lineRule="exact"/>
        <w:ind w:firstLine="420" w:firstLineChars="200"/>
        <w:jc w:val="both"/>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承包人（全称）：</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u w:val="single"/>
          <w:lang w:val="en-US" w:eastAsia="zh-CN" w:bidi="ar-SA"/>
        </w:rPr>
        <w:t xml:space="preserve">  </w:t>
      </w:r>
    </w:p>
    <w:p w14:paraId="636D31EF">
      <w:pPr>
        <w:widowControl w:val="0"/>
        <w:adjustRightInd w:val="0"/>
        <w:snapToGrid w:val="0"/>
        <w:spacing w:line="40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根据《中华人民共和国民法典》、《中华人民共和国建筑法》及有关法律规定，遵循平等、自愿、公平和诚实信用的原则，双方就</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工程施工及有关事项协商一致，共同达成如下协议：</w:t>
      </w:r>
      <w:bookmarkStart w:id="42" w:name="_Toc351203481"/>
    </w:p>
    <w:p w14:paraId="10A23570">
      <w:pPr>
        <w:widowControl w:val="0"/>
        <w:adjustRightInd w:val="0"/>
        <w:snapToGrid w:val="0"/>
        <w:spacing w:line="400" w:lineRule="exact"/>
        <w:ind w:firstLine="422" w:firstLineChars="200"/>
        <w:jc w:val="both"/>
        <w:outlineLvl w:val="0"/>
        <w:rPr>
          <w:rFonts w:hint="eastAsia" w:ascii="宋体" w:hAnsi="宋体" w:eastAsia="宋体" w:cs="宋体"/>
          <w:b/>
          <w:color w:val="auto"/>
          <w:kern w:val="2"/>
          <w:sz w:val="21"/>
          <w:szCs w:val="21"/>
          <w:highlight w:val="none"/>
          <w:lang w:val="en-US" w:eastAsia="zh-CN" w:bidi="ar-SA"/>
        </w:rPr>
      </w:pPr>
      <w:bookmarkStart w:id="43" w:name="_Toc406522028"/>
      <w:bookmarkStart w:id="44" w:name="_Toc21332"/>
      <w:bookmarkStart w:id="45" w:name="_Toc406419153"/>
      <w:bookmarkStart w:id="46" w:name="_Toc522201559"/>
      <w:bookmarkStart w:id="47" w:name="_Toc20764"/>
      <w:r>
        <w:rPr>
          <w:rFonts w:hint="eastAsia" w:ascii="宋体" w:hAnsi="宋体" w:eastAsia="宋体" w:cs="宋体"/>
          <w:b/>
          <w:color w:val="auto"/>
          <w:kern w:val="2"/>
          <w:sz w:val="21"/>
          <w:szCs w:val="21"/>
          <w:highlight w:val="none"/>
          <w:lang w:val="en-US" w:eastAsia="zh-CN" w:bidi="ar-SA"/>
        </w:rPr>
        <w:t>一、工程概况</w:t>
      </w:r>
      <w:bookmarkEnd w:id="42"/>
      <w:bookmarkEnd w:id="43"/>
      <w:bookmarkEnd w:id="44"/>
      <w:bookmarkEnd w:id="45"/>
      <w:bookmarkEnd w:id="46"/>
      <w:bookmarkEnd w:id="47"/>
    </w:p>
    <w:p w14:paraId="435D4E77">
      <w:pPr>
        <w:widowControl w:val="0"/>
        <w:adjustRightInd w:val="0"/>
        <w:snapToGrid w:val="0"/>
        <w:spacing w:line="400" w:lineRule="exact"/>
        <w:ind w:firstLine="459"/>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1.工程名称：</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w:t>
      </w:r>
    </w:p>
    <w:p w14:paraId="64A979C2">
      <w:pPr>
        <w:widowControl w:val="0"/>
        <w:adjustRightInd w:val="0"/>
        <w:snapToGrid w:val="0"/>
        <w:spacing w:line="400" w:lineRule="exact"/>
        <w:ind w:firstLine="459"/>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2.工程地点：</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w:t>
      </w:r>
    </w:p>
    <w:p w14:paraId="42DF0EA0">
      <w:pPr>
        <w:widowControl w:val="0"/>
        <w:adjustRightInd w:val="0"/>
        <w:snapToGrid w:val="0"/>
        <w:spacing w:line="400" w:lineRule="exact"/>
        <w:ind w:firstLine="459"/>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3.资金来源：</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w:t>
      </w:r>
    </w:p>
    <w:p w14:paraId="7703AFB0">
      <w:pPr>
        <w:widowControl w:val="0"/>
        <w:adjustRightInd w:val="0"/>
        <w:snapToGrid w:val="0"/>
        <w:spacing w:line="400" w:lineRule="exact"/>
        <w:ind w:firstLine="459"/>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4.工程内容：</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w:t>
      </w:r>
    </w:p>
    <w:p w14:paraId="5699186F">
      <w:pPr>
        <w:widowControl w:val="0"/>
        <w:adjustRightInd w:val="0"/>
        <w:snapToGrid w:val="0"/>
        <w:spacing w:line="400" w:lineRule="exact"/>
        <w:ind w:firstLine="459"/>
        <w:jc w:val="both"/>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5.工程承包范围：</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w:t>
      </w:r>
    </w:p>
    <w:p w14:paraId="599F12D1">
      <w:pPr>
        <w:widowControl w:val="0"/>
        <w:adjustRightInd w:val="0"/>
        <w:snapToGrid w:val="0"/>
        <w:spacing w:line="400" w:lineRule="exact"/>
        <w:ind w:firstLine="422" w:firstLineChars="200"/>
        <w:jc w:val="both"/>
        <w:outlineLvl w:val="0"/>
        <w:rPr>
          <w:rFonts w:hint="eastAsia" w:ascii="宋体" w:hAnsi="宋体" w:eastAsia="宋体" w:cs="宋体"/>
          <w:b/>
          <w:color w:val="auto"/>
          <w:kern w:val="2"/>
          <w:sz w:val="21"/>
          <w:szCs w:val="21"/>
          <w:highlight w:val="none"/>
          <w:lang w:val="en-US" w:eastAsia="zh-CN" w:bidi="ar-SA"/>
        </w:rPr>
      </w:pPr>
      <w:bookmarkStart w:id="48" w:name="_Toc351203482"/>
      <w:bookmarkStart w:id="49" w:name="_Toc349"/>
      <w:bookmarkStart w:id="50" w:name="_Toc13148"/>
      <w:bookmarkStart w:id="51" w:name="_Toc406419154"/>
      <w:bookmarkStart w:id="52" w:name="_Toc406522029"/>
      <w:bookmarkStart w:id="53" w:name="_Toc522201560"/>
      <w:r>
        <w:rPr>
          <w:rFonts w:hint="eastAsia" w:ascii="宋体" w:hAnsi="宋体" w:eastAsia="宋体" w:cs="宋体"/>
          <w:b/>
          <w:color w:val="auto"/>
          <w:kern w:val="2"/>
          <w:sz w:val="21"/>
          <w:szCs w:val="21"/>
          <w:highlight w:val="none"/>
          <w:lang w:val="en-US" w:eastAsia="zh-CN" w:bidi="ar-SA"/>
        </w:rPr>
        <w:t>二、合同工期</w:t>
      </w:r>
      <w:bookmarkEnd w:id="48"/>
      <w:bookmarkEnd w:id="49"/>
      <w:bookmarkEnd w:id="50"/>
      <w:bookmarkEnd w:id="51"/>
      <w:bookmarkEnd w:id="52"/>
      <w:bookmarkEnd w:id="53"/>
    </w:p>
    <w:p w14:paraId="403C91C9">
      <w:pPr>
        <w:widowControl w:val="0"/>
        <w:adjustRightInd w:val="0"/>
        <w:snapToGrid w:val="0"/>
        <w:spacing w:line="400" w:lineRule="exact"/>
        <w:ind w:firstLine="459"/>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计划开工日期：</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年</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月</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日。（实际开工日期以开工令为准）</w:t>
      </w:r>
    </w:p>
    <w:p w14:paraId="55CCCFFE">
      <w:pPr>
        <w:widowControl w:val="0"/>
        <w:adjustRightInd w:val="0"/>
        <w:snapToGrid w:val="0"/>
        <w:spacing w:line="400" w:lineRule="exact"/>
        <w:ind w:firstLine="459"/>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计划竣工日期：</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年</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月</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日。</w:t>
      </w:r>
    </w:p>
    <w:p w14:paraId="20B7DFDD">
      <w:pPr>
        <w:widowControl w:val="0"/>
        <w:adjustRightInd w:val="0"/>
        <w:snapToGrid w:val="0"/>
        <w:spacing w:line="400" w:lineRule="exact"/>
        <w:ind w:firstLine="459"/>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工期总日历天数：</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天。工期总日历天数与根据前述计划开竣工日期计算的工期天数不一致的，以工期总日历天数为准。</w:t>
      </w:r>
    </w:p>
    <w:p w14:paraId="44ECBE91">
      <w:pPr>
        <w:widowControl w:val="0"/>
        <w:adjustRightInd w:val="0"/>
        <w:snapToGrid w:val="0"/>
        <w:spacing w:line="400" w:lineRule="exact"/>
        <w:ind w:firstLine="422" w:firstLineChars="200"/>
        <w:jc w:val="both"/>
        <w:outlineLvl w:val="0"/>
        <w:rPr>
          <w:rFonts w:hint="eastAsia" w:ascii="宋体" w:hAnsi="宋体" w:eastAsia="宋体" w:cs="宋体"/>
          <w:b/>
          <w:color w:val="auto"/>
          <w:kern w:val="2"/>
          <w:sz w:val="21"/>
          <w:szCs w:val="21"/>
          <w:highlight w:val="none"/>
          <w:lang w:val="en-US" w:eastAsia="zh-CN" w:bidi="ar-SA"/>
        </w:rPr>
      </w:pPr>
      <w:bookmarkStart w:id="54" w:name="_Toc522201561"/>
      <w:bookmarkStart w:id="55" w:name="_Toc406522030"/>
      <w:bookmarkStart w:id="56" w:name="_Toc2298"/>
      <w:bookmarkStart w:id="57" w:name="_Toc406419155"/>
      <w:bookmarkStart w:id="58" w:name="_Toc15140"/>
      <w:bookmarkStart w:id="59" w:name="_Toc351203483"/>
      <w:r>
        <w:rPr>
          <w:rFonts w:hint="eastAsia" w:ascii="宋体" w:hAnsi="宋体" w:eastAsia="宋体" w:cs="宋体"/>
          <w:b/>
          <w:color w:val="auto"/>
          <w:kern w:val="2"/>
          <w:sz w:val="21"/>
          <w:szCs w:val="21"/>
          <w:highlight w:val="none"/>
          <w:lang w:val="en-US" w:eastAsia="zh-CN" w:bidi="ar-SA"/>
        </w:rPr>
        <w:t>三、质量标准</w:t>
      </w:r>
      <w:bookmarkEnd w:id="54"/>
      <w:bookmarkEnd w:id="55"/>
      <w:bookmarkEnd w:id="56"/>
      <w:bookmarkEnd w:id="57"/>
      <w:bookmarkEnd w:id="58"/>
      <w:bookmarkEnd w:id="59"/>
    </w:p>
    <w:p w14:paraId="62F536C2">
      <w:pPr>
        <w:widowControl w:val="0"/>
        <w:adjustRightInd w:val="0"/>
        <w:snapToGrid w:val="0"/>
        <w:spacing w:line="400" w:lineRule="exact"/>
        <w:ind w:firstLine="459"/>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工程质量符合</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标准。</w:t>
      </w:r>
    </w:p>
    <w:p w14:paraId="5415EB38">
      <w:pPr>
        <w:widowControl w:val="0"/>
        <w:adjustRightInd w:val="0"/>
        <w:snapToGrid w:val="0"/>
        <w:spacing w:line="400" w:lineRule="exact"/>
        <w:ind w:firstLine="422" w:firstLineChars="200"/>
        <w:jc w:val="both"/>
        <w:outlineLvl w:val="0"/>
        <w:rPr>
          <w:rFonts w:hint="eastAsia" w:ascii="宋体" w:hAnsi="宋体" w:eastAsia="宋体" w:cs="宋体"/>
          <w:b/>
          <w:color w:val="auto"/>
          <w:kern w:val="2"/>
          <w:sz w:val="21"/>
          <w:szCs w:val="21"/>
          <w:highlight w:val="none"/>
          <w:lang w:val="en-US" w:eastAsia="zh-CN" w:bidi="ar-SA"/>
        </w:rPr>
      </w:pPr>
      <w:bookmarkStart w:id="60" w:name="_Toc522201562"/>
      <w:bookmarkStart w:id="61" w:name="_Toc406522031"/>
      <w:bookmarkStart w:id="62" w:name="_Toc351203484"/>
      <w:bookmarkStart w:id="63" w:name="_Toc8031"/>
      <w:bookmarkStart w:id="64" w:name="_Toc8432"/>
      <w:bookmarkStart w:id="65" w:name="_Toc406419156"/>
      <w:r>
        <w:rPr>
          <w:rFonts w:hint="eastAsia" w:ascii="宋体" w:hAnsi="宋体" w:eastAsia="宋体" w:cs="宋体"/>
          <w:b/>
          <w:color w:val="auto"/>
          <w:kern w:val="2"/>
          <w:sz w:val="21"/>
          <w:szCs w:val="21"/>
          <w:highlight w:val="none"/>
          <w:lang w:val="en-US" w:eastAsia="zh-CN" w:bidi="ar-SA"/>
        </w:rPr>
        <w:t>四、签约合同价与合同价格形式</w:t>
      </w:r>
      <w:bookmarkEnd w:id="60"/>
      <w:bookmarkEnd w:id="61"/>
      <w:bookmarkEnd w:id="62"/>
      <w:bookmarkEnd w:id="63"/>
      <w:bookmarkEnd w:id="64"/>
      <w:bookmarkEnd w:id="65"/>
    </w:p>
    <w:p w14:paraId="7CE7DCFC">
      <w:pPr>
        <w:widowControl w:val="0"/>
        <w:adjustRightInd w:val="0"/>
        <w:snapToGrid w:val="0"/>
        <w:spacing w:line="400" w:lineRule="exact"/>
        <w:ind w:firstLine="459"/>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 签约合同价为：</w:t>
      </w:r>
    </w:p>
    <w:p w14:paraId="56BED066">
      <w:pPr>
        <w:widowControl w:val="0"/>
        <w:adjustRightInd w:val="0"/>
        <w:snapToGrid w:val="0"/>
        <w:spacing w:line="400" w:lineRule="exact"/>
        <w:ind w:firstLine="525" w:firstLineChars="25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总价：人民币（大写）</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元）；</w:t>
      </w:r>
    </w:p>
    <w:p w14:paraId="784A6B3D">
      <w:pPr>
        <w:widowControl w:val="0"/>
        <w:adjustRightInd w:val="0"/>
        <w:snapToGrid w:val="0"/>
        <w:spacing w:line="400" w:lineRule="exact"/>
        <w:ind w:firstLine="525" w:firstLineChars="25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其中：</w:t>
      </w:r>
    </w:p>
    <w:p w14:paraId="0D19B926">
      <w:pPr>
        <w:widowControl w:val="0"/>
        <w:adjustRightInd w:val="0"/>
        <w:snapToGrid w:val="0"/>
        <w:spacing w:line="40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（1）投标报价：</w:t>
      </w:r>
    </w:p>
    <w:p w14:paraId="6592A53A">
      <w:pPr>
        <w:widowControl w:val="0"/>
        <w:adjustRightInd w:val="0"/>
        <w:snapToGrid w:val="0"/>
        <w:spacing w:line="400" w:lineRule="exact"/>
        <w:ind w:firstLine="978" w:firstLineChars="466"/>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人民币（大写）</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 xml:space="preserve"> （¥</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元）；</w:t>
      </w:r>
    </w:p>
    <w:p w14:paraId="01E50FB8">
      <w:pPr>
        <w:widowControl w:val="0"/>
        <w:adjustRightInd w:val="0"/>
        <w:snapToGrid w:val="0"/>
        <w:spacing w:line="40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（2）安全文明施工费：</w:t>
      </w:r>
    </w:p>
    <w:p w14:paraId="1AB462F4">
      <w:pPr>
        <w:widowControl w:val="0"/>
        <w:adjustRightInd w:val="0"/>
        <w:snapToGrid w:val="0"/>
        <w:spacing w:line="400" w:lineRule="exact"/>
        <w:ind w:firstLine="978" w:firstLineChars="466"/>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人民币（大写）</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 xml:space="preserve"> （¥</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元）；</w:t>
      </w:r>
    </w:p>
    <w:p w14:paraId="4CDE26E9">
      <w:pPr>
        <w:widowControl w:val="0"/>
        <w:adjustRightInd w:val="0"/>
        <w:snapToGrid w:val="0"/>
        <w:spacing w:line="40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（3）规费：人民币（大写）</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 xml:space="preserve"> （¥</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元）；</w:t>
      </w:r>
    </w:p>
    <w:p w14:paraId="07A062C0">
      <w:pPr>
        <w:widowControl w:val="0"/>
        <w:adjustRightInd w:val="0"/>
        <w:snapToGrid w:val="0"/>
        <w:spacing w:line="400" w:lineRule="exact"/>
        <w:ind w:firstLine="1050" w:firstLineChars="5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其中社会保险费：</w:t>
      </w:r>
    </w:p>
    <w:p w14:paraId="4D601CC4">
      <w:pPr>
        <w:widowControl w:val="0"/>
        <w:adjustRightInd w:val="0"/>
        <w:snapToGrid w:val="0"/>
        <w:spacing w:line="400" w:lineRule="exact"/>
        <w:ind w:left="420" w:leftChars="200" w:firstLine="638" w:firstLineChars="304"/>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人民币（大写）</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 xml:space="preserve"> （¥</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元）；</w:t>
      </w:r>
    </w:p>
    <w:p w14:paraId="26B937B0">
      <w:pPr>
        <w:widowControl w:val="0"/>
        <w:adjustRightInd w:val="0"/>
        <w:snapToGrid w:val="0"/>
        <w:spacing w:line="400" w:lineRule="exact"/>
        <w:ind w:firstLine="945" w:firstLineChars="45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其他：人民币（大写）</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 xml:space="preserve"> （¥</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元）；</w:t>
      </w:r>
    </w:p>
    <w:p w14:paraId="49754C00">
      <w:pPr>
        <w:widowControl w:val="0"/>
        <w:numPr>
          <w:ilvl w:val="0"/>
          <w:numId w:val="1"/>
        </w:numPr>
        <w:adjustRightInd w:val="0"/>
        <w:snapToGrid w:val="0"/>
        <w:spacing w:line="40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增值税：</w:t>
      </w:r>
    </w:p>
    <w:p w14:paraId="0DB0F7AF">
      <w:pPr>
        <w:widowControl w:val="0"/>
        <w:adjustRightInd w:val="0"/>
        <w:snapToGrid w:val="0"/>
        <w:spacing w:line="400" w:lineRule="exact"/>
        <w:ind w:left="420" w:leftChars="200"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人民币（大写）</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 xml:space="preserve"> （¥</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元）；</w:t>
      </w:r>
    </w:p>
    <w:p w14:paraId="4970620B">
      <w:pPr>
        <w:widowControl w:val="0"/>
        <w:adjustRightInd w:val="0"/>
        <w:snapToGrid w:val="0"/>
        <w:spacing w:line="40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（5）材料和工程设备暂估价金额：</w:t>
      </w:r>
    </w:p>
    <w:p w14:paraId="1A192371">
      <w:pPr>
        <w:widowControl w:val="0"/>
        <w:adjustRightInd w:val="0"/>
        <w:snapToGrid w:val="0"/>
        <w:spacing w:line="400" w:lineRule="exact"/>
        <w:ind w:firstLine="945" w:firstLineChars="45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人民币（大写）</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 xml:space="preserve"> （¥</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元）；</w:t>
      </w:r>
    </w:p>
    <w:p w14:paraId="296EF0B3">
      <w:pPr>
        <w:widowControl w:val="0"/>
        <w:adjustRightInd w:val="0"/>
        <w:snapToGrid w:val="0"/>
        <w:spacing w:line="40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（6）专业工程暂估价金额：</w:t>
      </w:r>
    </w:p>
    <w:p w14:paraId="69F348DD">
      <w:pPr>
        <w:widowControl w:val="0"/>
        <w:adjustRightInd w:val="0"/>
        <w:snapToGrid w:val="0"/>
        <w:spacing w:line="400" w:lineRule="exact"/>
        <w:ind w:firstLine="945" w:firstLineChars="45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人民币（大写）</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 xml:space="preserve"> （¥</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元）；</w:t>
      </w:r>
    </w:p>
    <w:p w14:paraId="6EBF73D7">
      <w:pPr>
        <w:widowControl w:val="0"/>
        <w:adjustRightInd w:val="0"/>
        <w:snapToGrid w:val="0"/>
        <w:spacing w:line="40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（7）暂列金额：</w:t>
      </w:r>
    </w:p>
    <w:p w14:paraId="14074C28">
      <w:pPr>
        <w:widowControl w:val="0"/>
        <w:adjustRightInd w:val="0"/>
        <w:snapToGrid w:val="0"/>
        <w:spacing w:line="400" w:lineRule="exact"/>
        <w:ind w:firstLine="945" w:firstLineChars="45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人民币（大写）</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 xml:space="preserve"> （¥</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元）。</w:t>
      </w:r>
    </w:p>
    <w:p w14:paraId="6174F89D">
      <w:pPr>
        <w:widowControl w:val="0"/>
        <w:adjustRightInd w:val="0"/>
        <w:snapToGrid w:val="0"/>
        <w:spacing w:line="40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 合同价格形式：</w:t>
      </w:r>
      <w:r>
        <w:rPr>
          <w:rFonts w:hint="eastAsia" w:ascii="宋体" w:hAnsi="宋体" w:eastAsia="宋体" w:cs="宋体"/>
          <w:color w:val="auto"/>
          <w:kern w:val="2"/>
          <w:sz w:val="21"/>
          <w:szCs w:val="21"/>
          <w:highlight w:val="none"/>
          <w:u w:val="single"/>
          <w:lang w:val="en-US" w:eastAsia="zh-CN" w:bidi="ar-SA"/>
        </w:rPr>
        <w:t>采用固定综合单价合同形式</w:t>
      </w:r>
      <w:r>
        <w:rPr>
          <w:rFonts w:hint="eastAsia" w:ascii="宋体" w:hAnsi="宋体" w:eastAsia="宋体" w:cs="宋体"/>
          <w:color w:val="auto"/>
          <w:kern w:val="2"/>
          <w:sz w:val="21"/>
          <w:szCs w:val="21"/>
          <w:highlight w:val="none"/>
          <w:lang w:val="en-US" w:eastAsia="zh-CN" w:bidi="ar-SA"/>
        </w:rPr>
        <w:t>。</w:t>
      </w:r>
    </w:p>
    <w:p w14:paraId="50ABE2B0">
      <w:pPr>
        <w:widowControl w:val="0"/>
        <w:adjustRightInd w:val="0"/>
        <w:snapToGrid w:val="0"/>
        <w:spacing w:line="400" w:lineRule="exact"/>
        <w:ind w:firstLine="422" w:firstLineChars="200"/>
        <w:jc w:val="both"/>
        <w:outlineLvl w:val="0"/>
        <w:rPr>
          <w:rFonts w:hint="eastAsia" w:ascii="宋体" w:hAnsi="宋体" w:eastAsia="宋体" w:cs="宋体"/>
          <w:b/>
          <w:color w:val="auto"/>
          <w:kern w:val="2"/>
          <w:sz w:val="21"/>
          <w:szCs w:val="21"/>
          <w:highlight w:val="none"/>
          <w:lang w:val="en-US" w:eastAsia="zh-CN" w:bidi="ar-SA"/>
        </w:rPr>
      </w:pPr>
      <w:bookmarkStart w:id="66" w:name="_Toc351203485"/>
      <w:bookmarkStart w:id="67" w:name="_Toc406419157"/>
      <w:bookmarkStart w:id="68" w:name="_Toc10860"/>
      <w:bookmarkStart w:id="69" w:name="_Toc24784"/>
      <w:bookmarkStart w:id="70" w:name="_Toc522201563"/>
      <w:bookmarkStart w:id="71" w:name="_Toc406522032"/>
      <w:r>
        <w:rPr>
          <w:rFonts w:hint="eastAsia" w:ascii="宋体" w:hAnsi="宋体" w:eastAsia="宋体" w:cs="宋体"/>
          <w:b/>
          <w:color w:val="auto"/>
          <w:kern w:val="2"/>
          <w:sz w:val="21"/>
          <w:szCs w:val="21"/>
          <w:highlight w:val="none"/>
          <w:lang w:val="en-US" w:eastAsia="zh-CN" w:bidi="ar-SA"/>
        </w:rPr>
        <w:t>五、</w:t>
      </w:r>
      <w:bookmarkEnd w:id="66"/>
      <w:r>
        <w:rPr>
          <w:rFonts w:hint="eastAsia" w:ascii="宋体" w:hAnsi="宋体" w:eastAsia="宋体" w:cs="宋体"/>
          <w:b/>
          <w:color w:val="auto"/>
          <w:kern w:val="2"/>
          <w:sz w:val="21"/>
          <w:szCs w:val="21"/>
          <w:highlight w:val="none"/>
          <w:lang w:val="en-US" w:eastAsia="zh-CN" w:bidi="ar-SA"/>
        </w:rPr>
        <w:t>项目经理</w:t>
      </w:r>
      <w:bookmarkEnd w:id="67"/>
      <w:bookmarkEnd w:id="68"/>
      <w:bookmarkEnd w:id="69"/>
      <w:bookmarkEnd w:id="70"/>
      <w:bookmarkEnd w:id="71"/>
    </w:p>
    <w:p w14:paraId="5CFE0775">
      <w:pPr>
        <w:widowControl w:val="0"/>
        <w:adjustRightInd w:val="0"/>
        <w:snapToGrid w:val="0"/>
        <w:spacing w:line="40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承包人项目经理：</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w:t>
      </w:r>
    </w:p>
    <w:p w14:paraId="2ADF39BD">
      <w:pPr>
        <w:widowControl w:val="0"/>
        <w:adjustRightInd w:val="0"/>
        <w:snapToGrid w:val="0"/>
        <w:spacing w:line="400" w:lineRule="exact"/>
        <w:ind w:firstLine="422" w:firstLineChars="200"/>
        <w:jc w:val="both"/>
        <w:outlineLvl w:val="0"/>
        <w:rPr>
          <w:rFonts w:hint="eastAsia" w:ascii="宋体" w:hAnsi="宋体" w:eastAsia="宋体" w:cs="宋体"/>
          <w:b/>
          <w:color w:val="auto"/>
          <w:kern w:val="2"/>
          <w:sz w:val="21"/>
          <w:szCs w:val="21"/>
          <w:highlight w:val="none"/>
          <w:lang w:val="en-US" w:eastAsia="zh-CN" w:bidi="ar-SA"/>
        </w:rPr>
      </w:pPr>
      <w:bookmarkStart w:id="72" w:name="_Toc351203486"/>
      <w:bookmarkStart w:id="73" w:name="_Toc21333"/>
      <w:bookmarkStart w:id="74" w:name="_Toc23735"/>
      <w:bookmarkStart w:id="75" w:name="_Toc406419158"/>
      <w:bookmarkStart w:id="76" w:name="_Toc522201564"/>
      <w:bookmarkStart w:id="77" w:name="_Toc406522033"/>
      <w:r>
        <w:rPr>
          <w:rFonts w:hint="eastAsia" w:ascii="宋体" w:hAnsi="宋体" w:eastAsia="宋体" w:cs="宋体"/>
          <w:b/>
          <w:color w:val="auto"/>
          <w:kern w:val="2"/>
          <w:sz w:val="21"/>
          <w:szCs w:val="21"/>
          <w:highlight w:val="none"/>
          <w:lang w:val="en-US" w:eastAsia="zh-CN" w:bidi="ar-SA"/>
        </w:rPr>
        <w:t>六、合同文件构成</w:t>
      </w:r>
      <w:bookmarkEnd w:id="72"/>
      <w:bookmarkEnd w:id="73"/>
      <w:bookmarkEnd w:id="74"/>
      <w:bookmarkEnd w:id="75"/>
      <w:bookmarkEnd w:id="76"/>
      <w:bookmarkEnd w:id="77"/>
    </w:p>
    <w:p w14:paraId="2B88CE8B">
      <w:pPr>
        <w:widowControl w:val="0"/>
        <w:adjustRightInd w:val="0"/>
        <w:snapToGrid w:val="0"/>
        <w:spacing w:line="400" w:lineRule="exact"/>
        <w:ind w:firstLine="420" w:firstLineChars="200"/>
        <w:jc w:val="both"/>
        <w:rPr>
          <w:rFonts w:hint="eastAsia" w:ascii="宋体" w:hAnsi="宋体" w:eastAsia="宋体" w:cs="宋体"/>
          <w:color w:val="auto"/>
          <w:kern w:val="2"/>
          <w:sz w:val="21"/>
          <w:szCs w:val="21"/>
          <w:highlight w:val="none"/>
          <w:lang w:val="en-US" w:eastAsia="zh-CN" w:bidi="ar-SA"/>
        </w:rPr>
      </w:pPr>
      <w:bookmarkStart w:id="78" w:name="_Toc406419159"/>
      <w:bookmarkStart w:id="79" w:name="_Toc351203487"/>
      <w:bookmarkStart w:id="80" w:name="_Toc7021"/>
      <w:bookmarkStart w:id="81" w:name="_Toc406522034"/>
      <w:r>
        <w:rPr>
          <w:rFonts w:hint="eastAsia" w:ascii="宋体" w:hAnsi="宋体" w:eastAsia="宋体" w:cs="宋体"/>
          <w:color w:val="auto"/>
          <w:kern w:val="2"/>
          <w:sz w:val="21"/>
          <w:szCs w:val="21"/>
          <w:highlight w:val="none"/>
          <w:lang w:val="en-US" w:eastAsia="zh-CN" w:bidi="ar-SA"/>
        </w:rPr>
        <w:t>本协议书与下列文件一起构成合同文件：</w:t>
      </w:r>
    </w:p>
    <w:p w14:paraId="0C60D855">
      <w:pPr>
        <w:widowControl w:val="0"/>
        <w:adjustRightInd w:val="0"/>
        <w:snapToGrid w:val="0"/>
        <w:spacing w:line="40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（1）中标通知书（如有）；</w:t>
      </w:r>
    </w:p>
    <w:p w14:paraId="6E41C195">
      <w:pPr>
        <w:widowControl w:val="0"/>
        <w:adjustRightInd w:val="0"/>
        <w:snapToGrid w:val="0"/>
        <w:spacing w:line="40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（2）投标函及其附录（如有）； </w:t>
      </w:r>
    </w:p>
    <w:p w14:paraId="068DFFAD">
      <w:pPr>
        <w:widowControl w:val="0"/>
        <w:adjustRightInd w:val="0"/>
        <w:snapToGrid w:val="0"/>
        <w:spacing w:line="40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（3）专用合同条款及其附件；</w:t>
      </w:r>
    </w:p>
    <w:p w14:paraId="6148FE63">
      <w:pPr>
        <w:widowControl w:val="0"/>
        <w:adjustRightInd w:val="0"/>
        <w:snapToGrid w:val="0"/>
        <w:spacing w:line="40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（4）通用合同条款；</w:t>
      </w:r>
    </w:p>
    <w:p w14:paraId="3BDA122A">
      <w:pPr>
        <w:widowControl w:val="0"/>
        <w:adjustRightInd w:val="0"/>
        <w:snapToGrid w:val="0"/>
        <w:spacing w:line="40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（5）技术标准和要求；</w:t>
      </w:r>
    </w:p>
    <w:p w14:paraId="033AD548">
      <w:pPr>
        <w:widowControl w:val="0"/>
        <w:adjustRightInd w:val="0"/>
        <w:snapToGrid w:val="0"/>
        <w:spacing w:line="40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（6）图纸；</w:t>
      </w:r>
    </w:p>
    <w:p w14:paraId="6178BC2F">
      <w:pPr>
        <w:widowControl w:val="0"/>
        <w:adjustRightInd w:val="0"/>
        <w:snapToGrid w:val="0"/>
        <w:spacing w:line="40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（7）已标价工程量清单或预算书；</w:t>
      </w:r>
    </w:p>
    <w:p w14:paraId="0881DF3C">
      <w:pPr>
        <w:widowControl w:val="0"/>
        <w:adjustRightInd w:val="0"/>
        <w:snapToGrid w:val="0"/>
        <w:spacing w:line="40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（8）其他合同文件。</w:t>
      </w:r>
    </w:p>
    <w:p w14:paraId="5E4EDFF0">
      <w:pPr>
        <w:widowControl w:val="0"/>
        <w:adjustRightInd w:val="0"/>
        <w:snapToGrid w:val="0"/>
        <w:spacing w:line="40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在合同订立及履行过程中形成的与合同有关的文件均构成合同文件组成部分。</w:t>
      </w:r>
    </w:p>
    <w:p w14:paraId="24A49425">
      <w:pPr>
        <w:widowControl w:val="0"/>
        <w:adjustRightInd w:val="0"/>
        <w:snapToGrid w:val="0"/>
        <w:spacing w:line="40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上述各项合同文件包括合同当事人就该项合同文件所作出的补充和修改，属于同一类内容的文件，应以最新签署的为准。专用合同条款及其附件须经合同当事人签字或盖章。</w:t>
      </w:r>
    </w:p>
    <w:p w14:paraId="2B668C6B">
      <w:pPr>
        <w:widowControl w:val="0"/>
        <w:adjustRightInd w:val="0"/>
        <w:snapToGrid w:val="0"/>
        <w:spacing w:line="400" w:lineRule="exact"/>
        <w:ind w:firstLine="422" w:firstLineChars="200"/>
        <w:jc w:val="both"/>
        <w:outlineLvl w:val="0"/>
        <w:rPr>
          <w:rFonts w:hint="eastAsia" w:ascii="宋体" w:hAnsi="宋体" w:eastAsia="宋体" w:cs="宋体"/>
          <w:b/>
          <w:color w:val="auto"/>
          <w:kern w:val="2"/>
          <w:sz w:val="21"/>
          <w:szCs w:val="21"/>
          <w:highlight w:val="none"/>
          <w:lang w:val="en-US" w:eastAsia="zh-CN" w:bidi="ar-SA"/>
        </w:rPr>
      </w:pPr>
      <w:bookmarkStart w:id="82" w:name="_Toc522201565"/>
      <w:bookmarkStart w:id="83" w:name="_Toc18695"/>
      <w:r>
        <w:rPr>
          <w:rFonts w:hint="eastAsia" w:ascii="宋体" w:hAnsi="宋体" w:eastAsia="宋体" w:cs="宋体"/>
          <w:b/>
          <w:color w:val="auto"/>
          <w:kern w:val="2"/>
          <w:sz w:val="21"/>
          <w:szCs w:val="21"/>
          <w:highlight w:val="none"/>
          <w:lang w:val="en-US" w:eastAsia="zh-CN" w:bidi="ar-SA"/>
        </w:rPr>
        <w:t>七、承诺</w:t>
      </w:r>
      <w:bookmarkEnd w:id="78"/>
      <w:bookmarkEnd w:id="79"/>
      <w:bookmarkEnd w:id="80"/>
      <w:bookmarkEnd w:id="81"/>
      <w:bookmarkEnd w:id="82"/>
      <w:bookmarkEnd w:id="83"/>
    </w:p>
    <w:p w14:paraId="56B51B7E">
      <w:pPr>
        <w:widowControl w:val="0"/>
        <w:adjustRightInd w:val="0"/>
        <w:snapToGrid w:val="0"/>
        <w:spacing w:line="400" w:lineRule="exact"/>
        <w:ind w:firstLine="420" w:firstLineChars="200"/>
        <w:jc w:val="both"/>
        <w:rPr>
          <w:rFonts w:hint="eastAsia" w:ascii="宋体" w:hAnsi="宋体" w:eastAsia="宋体" w:cs="宋体"/>
          <w:color w:val="auto"/>
          <w:kern w:val="2"/>
          <w:sz w:val="21"/>
          <w:szCs w:val="21"/>
          <w:highlight w:val="none"/>
          <w:lang w:val="en-US" w:eastAsia="zh-CN" w:bidi="ar-SA"/>
        </w:rPr>
      </w:pPr>
      <w:bookmarkStart w:id="84" w:name="_Toc11962"/>
      <w:bookmarkStart w:id="85" w:name="_Toc406419160"/>
      <w:bookmarkStart w:id="86" w:name="_Toc351203488"/>
      <w:bookmarkStart w:id="87" w:name="_Toc406522035"/>
      <w:r>
        <w:rPr>
          <w:rFonts w:hint="eastAsia" w:ascii="宋体" w:hAnsi="宋体" w:eastAsia="宋体" w:cs="宋体"/>
          <w:color w:val="auto"/>
          <w:kern w:val="2"/>
          <w:sz w:val="21"/>
          <w:szCs w:val="21"/>
          <w:highlight w:val="none"/>
          <w:lang w:val="en-US" w:eastAsia="zh-CN" w:bidi="ar-SA"/>
        </w:rPr>
        <w:t>1.发包人承诺按照法律规定履行项目审批手续、筹集工程建设资金并按照合同约定的期限和方式支付合同价款。</w:t>
      </w:r>
    </w:p>
    <w:p w14:paraId="4EEBCD45">
      <w:pPr>
        <w:widowControl w:val="0"/>
        <w:adjustRightInd w:val="0"/>
        <w:snapToGrid w:val="0"/>
        <w:spacing w:line="40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2.承包人承诺按照法律规定及合同约定组织完成工程施工，确保工程质量和安全，不进行转包及违法分包，并在缺陷责任期及保修期内承担相应的工程维修责任。</w:t>
      </w:r>
    </w:p>
    <w:p w14:paraId="20ADE819">
      <w:pPr>
        <w:widowControl w:val="0"/>
        <w:adjustRightInd w:val="0"/>
        <w:snapToGrid w:val="0"/>
        <w:spacing w:line="40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3.发包人和承包人通过招投标形式签订合同的，双方理解并承诺不再就同一工程另行签订与合同实质性内容相背离的协议。</w:t>
      </w:r>
    </w:p>
    <w:p w14:paraId="61A5E3CD">
      <w:pPr>
        <w:widowControl w:val="0"/>
        <w:adjustRightInd w:val="0"/>
        <w:snapToGrid w:val="0"/>
        <w:spacing w:line="400" w:lineRule="exact"/>
        <w:ind w:firstLine="422" w:firstLineChars="200"/>
        <w:jc w:val="both"/>
        <w:outlineLvl w:val="0"/>
        <w:rPr>
          <w:rFonts w:hint="eastAsia" w:ascii="宋体" w:hAnsi="宋体" w:eastAsia="宋体" w:cs="宋体"/>
          <w:b/>
          <w:color w:val="auto"/>
          <w:kern w:val="2"/>
          <w:sz w:val="21"/>
          <w:szCs w:val="21"/>
          <w:highlight w:val="none"/>
          <w:lang w:val="en-US" w:eastAsia="zh-CN" w:bidi="ar-SA"/>
        </w:rPr>
      </w:pPr>
      <w:bookmarkStart w:id="88" w:name="_Toc5409"/>
      <w:bookmarkStart w:id="89" w:name="_Toc522201566"/>
      <w:r>
        <w:rPr>
          <w:rFonts w:hint="eastAsia" w:ascii="宋体" w:hAnsi="宋体" w:eastAsia="宋体" w:cs="宋体"/>
          <w:b/>
          <w:color w:val="auto"/>
          <w:kern w:val="2"/>
          <w:sz w:val="21"/>
          <w:szCs w:val="21"/>
          <w:highlight w:val="none"/>
          <w:lang w:val="en-US" w:eastAsia="zh-CN" w:bidi="ar-SA"/>
        </w:rPr>
        <w:t>八、词语含义</w:t>
      </w:r>
      <w:bookmarkEnd w:id="84"/>
      <w:bookmarkEnd w:id="85"/>
      <w:bookmarkEnd w:id="86"/>
      <w:bookmarkEnd w:id="87"/>
      <w:bookmarkEnd w:id="88"/>
      <w:bookmarkEnd w:id="89"/>
    </w:p>
    <w:p w14:paraId="04B5F7CB">
      <w:pPr>
        <w:widowControl w:val="0"/>
        <w:adjustRightInd w:val="0"/>
        <w:snapToGrid w:val="0"/>
        <w:spacing w:line="40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本协议书中词语含义与第二部分通用合同条款中赋予的含义相同。</w:t>
      </w:r>
    </w:p>
    <w:p w14:paraId="49CA617B">
      <w:pPr>
        <w:widowControl w:val="0"/>
        <w:adjustRightInd w:val="0"/>
        <w:snapToGrid w:val="0"/>
        <w:spacing w:line="400" w:lineRule="exact"/>
        <w:ind w:firstLine="422" w:firstLineChars="200"/>
        <w:jc w:val="both"/>
        <w:outlineLvl w:val="0"/>
        <w:rPr>
          <w:rFonts w:hint="eastAsia" w:ascii="宋体" w:hAnsi="宋体" w:eastAsia="宋体" w:cs="宋体"/>
          <w:b/>
          <w:color w:val="auto"/>
          <w:kern w:val="2"/>
          <w:sz w:val="21"/>
          <w:szCs w:val="21"/>
          <w:highlight w:val="none"/>
          <w:lang w:val="en-US" w:eastAsia="zh-CN" w:bidi="ar-SA"/>
        </w:rPr>
      </w:pPr>
      <w:bookmarkStart w:id="90" w:name="_Toc10871"/>
      <w:bookmarkStart w:id="91" w:name="_Toc406419161"/>
      <w:bookmarkStart w:id="92" w:name="_Toc522201567"/>
      <w:bookmarkStart w:id="93" w:name="_Toc406522036"/>
      <w:bookmarkStart w:id="94" w:name="_Toc22011"/>
      <w:bookmarkStart w:id="95" w:name="_Toc351203489"/>
      <w:r>
        <w:rPr>
          <w:rFonts w:hint="eastAsia" w:ascii="宋体" w:hAnsi="宋体" w:eastAsia="宋体" w:cs="宋体"/>
          <w:b/>
          <w:color w:val="auto"/>
          <w:kern w:val="2"/>
          <w:sz w:val="21"/>
          <w:szCs w:val="21"/>
          <w:highlight w:val="none"/>
          <w:lang w:val="en-US" w:eastAsia="zh-CN" w:bidi="ar-SA"/>
        </w:rPr>
        <w:t>九、签订时间</w:t>
      </w:r>
      <w:bookmarkEnd w:id="90"/>
      <w:bookmarkEnd w:id="91"/>
      <w:bookmarkEnd w:id="92"/>
      <w:bookmarkEnd w:id="93"/>
      <w:bookmarkEnd w:id="94"/>
      <w:bookmarkEnd w:id="95"/>
    </w:p>
    <w:p w14:paraId="73B3D081">
      <w:pPr>
        <w:widowControl w:val="0"/>
        <w:adjustRightInd w:val="0"/>
        <w:snapToGrid w:val="0"/>
        <w:spacing w:line="400" w:lineRule="exact"/>
        <w:ind w:firstLine="420" w:firstLineChars="200"/>
        <w:jc w:val="both"/>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本合同于</w:t>
      </w:r>
      <w:r>
        <w:rPr>
          <w:rFonts w:hint="eastAsia" w:ascii="宋体" w:hAnsi="宋体" w:eastAsia="宋体" w:cs="宋体"/>
          <w:bCs/>
          <w:color w:val="auto"/>
          <w:kern w:val="2"/>
          <w:sz w:val="21"/>
          <w:szCs w:val="21"/>
          <w:highlight w:val="none"/>
          <w:u w:val="single"/>
          <w:lang w:val="en-US" w:eastAsia="zh-CN" w:bidi="ar-SA"/>
        </w:rPr>
        <w:t xml:space="preserve">  </w:t>
      </w:r>
      <w:r>
        <w:rPr>
          <w:rFonts w:hint="eastAsia" w:ascii="宋体" w:hAnsi="宋体" w:eastAsia="宋体" w:cs="宋体"/>
          <w:bCs/>
          <w:color w:val="auto"/>
          <w:kern w:val="2"/>
          <w:sz w:val="21"/>
          <w:szCs w:val="21"/>
          <w:highlight w:val="none"/>
          <w:lang w:val="en-US" w:eastAsia="zh-CN" w:bidi="ar-SA"/>
        </w:rPr>
        <w:t>年</w:t>
      </w:r>
      <w:r>
        <w:rPr>
          <w:rFonts w:hint="eastAsia" w:ascii="宋体" w:hAnsi="宋体" w:eastAsia="宋体" w:cs="宋体"/>
          <w:bCs/>
          <w:color w:val="auto"/>
          <w:kern w:val="2"/>
          <w:sz w:val="21"/>
          <w:szCs w:val="21"/>
          <w:highlight w:val="none"/>
          <w:u w:val="single"/>
          <w:lang w:val="en-US" w:eastAsia="zh-CN" w:bidi="ar-SA"/>
        </w:rPr>
        <w:t xml:space="preserve">  </w:t>
      </w:r>
      <w:r>
        <w:rPr>
          <w:rFonts w:hint="eastAsia" w:ascii="宋体" w:hAnsi="宋体" w:eastAsia="宋体" w:cs="宋体"/>
          <w:bCs/>
          <w:color w:val="auto"/>
          <w:kern w:val="2"/>
          <w:sz w:val="21"/>
          <w:szCs w:val="21"/>
          <w:highlight w:val="none"/>
          <w:lang w:val="en-US" w:eastAsia="zh-CN" w:bidi="ar-SA"/>
        </w:rPr>
        <w:t>月</w:t>
      </w:r>
      <w:r>
        <w:rPr>
          <w:rFonts w:hint="eastAsia" w:ascii="宋体" w:hAnsi="宋体" w:eastAsia="宋体" w:cs="宋体"/>
          <w:bCs/>
          <w:color w:val="auto"/>
          <w:kern w:val="2"/>
          <w:sz w:val="21"/>
          <w:szCs w:val="21"/>
          <w:highlight w:val="none"/>
          <w:u w:val="single"/>
          <w:lang w:val="en-US" w:eastAsia="zh-CN" w:bidi="ar-SA"/>
        </w:rPr>
        <w:t xml:space="preserve">  </w:t>
      </w:r>
      <w:r>
        <w:rPr>
          <w:rFonts w:hint="eastAsia" w:ascii="宋体" w:hAnsi="宋体" w:eastAsia="宋体" w:cs="宋体"/>
          <w:bCs/>
          <w:color w:val="auto"/>
          <w:kern w:val="2"/>
          <w:sz w:val="21"/>
          <w:szCs w:val="21"/>
          <w:highlight w:val="none"/>
          <w:lang w:val="en-US" w:eastAsia="zh-CN" w:bidi="ar-SA"/>
        </w:rPr>
        <w:t>日签订。</w:t>
      </w:r>
    </w:p>
    <w:p w14:paraId="72768E42">
      <w:pPr>
        <w:widowControl w:val="0"/>
        <w:adjustRightInd w:val="0"/>
        <w:snapToGrid w:val="0"/>
        <w:spacing w:line="400" w:lineRule="exact"/>
        <w:ind w:firstLine="422" w:firstLineChars="200"/>
        <w:jc w:val="both"/>
        <w:outlineLvl w:val="0"/>
        <w:rPr>
          <w:rFonts w:hint="eastAsia" w:ascii="宋体" w:hAnsi="宋体" w:eastAsia="宋体" w:cs="宋体"/>
          <w:b/>
          <w:color w:val="auto"/>
          <w:kern w:val="2"/>
          <w:sz w:val="21"/>
          <w:szCs w:val="21"/>
          <w:highlight w:val="none"/>
          <w:lang w:val="en-US" w:eastAsia="zh-CN" w:bidi="ar-SA"/>
        </w:rPr>
      </w:pPr>
      <w:bookmarkStart w:id="96" w:name="_Toc406419162"/>
      <w:bookmarkStart w:id="97" w:name="_Toc14839"/>
      <w:bookmarkStart w:id="98" w:name="_Toc351203490"/>
      <w:bookmarkStart w:id="99" w:name="_Toc3692"/>
      <w:bookmarkStart w:id="100" w:name="_Toc522201568"/>
      <w:bookmarkStart w:id="101" w:name="_Toc406522037"/>
      <w:r>
        <w:rPr>
          <w:rFonts w:hint="eastAsia" w:ascii="宋体" w:hAnsi="宋体" w:eastAsia="宋体" w:cs="宋体"/>
          <w:b/>
          <w:color w:val="auto"/>
          <w:kern w:val="2"/>
          <w:sz w:val="21"/>
          <w:szCs w:val="21"/>
          <w:highlight w:val="none"/>
          <w:lang w:val="en-US" w:eastAsia="zh-CN" w:bidi="ar-SA"/>
        </w:rPr>
        <w:t>十、签订地点</w:t>
      </w:r>
      <w:bookmarkEnd w:id="96"/>
      <w:bookmarkEnd w:id="97"/>
      <w:bookmarkEnd w:id="98"/>
      <w:bookmarkEnd w:id="99"/>
      <w:bookmarkEnd w:id="100"/>
      <w:bookmarkEnd w:id="101"/>
    </w:p>
    <w:p w14:paraId="4DA3A1B4">
      <w:pPr>
        <w:widowControl w:val="0"/>
        <w:adjustRightInd w:val="0"/>
        <w:snapToGrid w:val="0"/>
        <w:spacing w:line="400" w:lineRule="exact"/>
        <w:ind w:firstLine="420" w:firstLineChars="200"/>
        <w:jc w:val="both"/>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本合同在</w:t>
      </w:r>
      <w:r>
        <w:rPr>
          <w:rFonts w:hint="eastAsia" w:ascii="宋体" w:hAnsi="宋体" w:eastAsia="宋体" w:cs="宋体"/>
          <w:bCs/>
          <w:color w:val="auto"/>
          <w:kern w:val="2"/>
          <w:sz w:val="21"/>
          <w:szCs w:val="21"/>
          <w:highlight w:val="none"/>
          <w:u w:val="single"/>
          <w:lang w:val="en-US" w:eastAsia="zh-CN" w:bidi="ar-SA"/>
        </w:rPr>
        <w:t xml:space="preserve">  广西桂林市   </w:t>
      </w:r>
      <w:r>
        <w:rPr>
          <w:rFonts w:hint="eastAsia" w:ascii="宋体" w:hAnsi="宋体" w:eastAsia="宋体" w:cs="宋体"/>
          <w:bCs/>
          <w:color w:val="auto"/>
          <w:kern w:val="2"/>
          <w:sz w:val="21"/>
          <w:szCs w:val="21"/>
          <w:highlight w:val="none"/>
          <w:lang w:val="en-US" w:eastAsia="zh-CN" w:bidi="ar-SA"/>
        </w:rPr>
        <w:t>签订。</w:t>
      </w:r>
    </w:p>
    <w:p w14:paraId="0481D2A1">
      <w:pPr>
        <w:widowControl w:val="0"/>
        <w:adjustRightInd w:val="0"/>
        <w:snapToGrid w:val="0"/>
        <w:spacing w:line="400" w:lineRule="exact"/>
        <w:ind w:firstLine="422" w:firstLineChars="200"/>
        <w:jc w:val="both"/>
        <w:outlineLvl w:val="0"/>
        <w:rPr>
          <w:rFonts w:hint="eastAsia" w:ascii="宋体" w:hAnsi="宋体" w:eastAsia="宋体" w:cs="宋体"/>
          <w:b/>
          <w:color w:val="auto"/>
          <w:kern w:val="2"/>
          <w:sz w:val="21"/>
          <w:szCs w:val="21"/>
          <w:highlight w:val="none"/>
          <w:lang w:val="en-US" w:eastAsia="zh-CN" w:bidi="ar-SA"/>
        </w:rPr>
      </w:pPr>
      <w:bookmarkStart w:id="102" w:name="_Toc10142"/>
      <w:bookmarkStart w:id="103" w:name="_Toc406419163"/>
      <w:bookmarkStart w:id="104" w:name="_Toc522201569"/>
      <w:bookmarkStart w:id="105" w:name="_Toc351203491"/>
      <w:bookmarkStart w:id="106" w:name="_Toc406522038"/>
      <w:bookmarkStart w:id="107" w:name="_Toc9576"/>
      <w:r>
        <w:rPr>
          <w:rFonts w:hint="eastAsia" w:ascii="宋体" w:hAnsi="宋体" w:eastAsia="宋体" w:cs="宋体"/>
          <w:b/>
          <w:color w:val="auto"/>
          <w:kern w:val="2"/>
          <w:sz w:val="21"/>
          <w:szCs w:val="21"/>
          <w:highlight w:val="none"/>
          <w:lang w:val="en-US" w:eastAsia="zh-CN" w:bidi="ar-SA"/>
        </w:rPr>
        <w:t>十一、补充协议</w:t>
      </w:r>
      <w:bookmarkEnd w:id="102"/>
      <w:bookmarkEnd w:id="103"/>
      <w:bookmarkEnd w:id="104"/>
      <w:bookmarkEnd w:id="105"/>
      <w:bookmarkEnd w:id="106"/>
      <w:bookmarkEnd w:id="107"/>
    </w:p>
    <w:p w14:paraId="03F56526">
      <w:pPr>
        <w:widowControl w:val="0"/>
        <w:adjustRightInd w:val="0"/>
        <w:snapToGrid w:val="0"/>
        <w:spacing w:line="400" w:lineRule="exact"/>
        <w:ind w:firstLine="420" w:firstLineChars="200"/>
        <w:jc w:val="both"/>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合同未尽事宜，合同当事人另行签订补充协议，补充协议是合同的组成部分。</w:t>
      </w:r>
    </w:p>
    <w:p w14:paraId="78EDFBC1">
      <w:pPr>
        <w:widowControl w:val="0"/>
        <w:adjustRightInd w:val="0"/>
        <w:snapToGrid w:val="0"/>
        <w:spacing w:line="400" w:lineRule="exact"/>
        <w:ind w:firstLine="422" w:firstLineChars="200"/>
        <w:jc w:val="both"/>
        <w:outlineLvl w:val="0"/>
        <w:rPr>
          <w:rFonts w:hint="eastAsia" w:ascii="宋体" w:hAnsi="宋体" w:eastAsia="宋体" w:cs="宋体"/>
          <w:b/>
          <w:color w:val="auto"/>
          <w:kern w:val="2"/>
          <w:sz w:val="21"/>
          <w:szCs w:val="21"/>
          <w:highlight w:val="none"/>
          <w:lang w:val="en-US" w:eastAsia="zh-CN" w:bidi="ar-SA"/>
        </w:rPr>
      </w:pPr>
      <w:bookmarkStart w:id="108" w:name="_Toc522201570"/>
      <w:bookmarkStart w:id="109" w:name="_Toc10787"/>
      <w:bookmarkStart w:id="110" w:name="_Toc406522039"/>
      <w:bookmarkStart w:id="111" w:name="_Toc406419164"/>
      <w:bookmarkStart w:id="112" w:name="_Toc32443"/>
      <w:bookmarkStart w:id="113" w:name="_Toc351203492"/>
      <w:r>
        <w:rPr>
          <w:rFonts w:hint="eastAsia" w:ascii="宋体" w:hAnsi="宋体" w:eastAsia="宋体" w:cs="宋体"/>
          <w:b/>
          <w:color w:val="auto"/>
          <w:kern w:val="2"/>
          <w:sz w:val="21"/>
          <w:szCs w:val="21"/>
          <w:highlight w:val="none"/>
          <w:lang w:val="en-US" w:eastAsia="zh-CN" w:bidi="ar-SA"/>
        </w:rPr>
        <w:t>十二、合同生效</w:t>
      </w:r>
      <w:bookmarkEnd w:id="108"/>
      <w:bookmarkEnd w:id="109"/>
      <w:bookmarkEnd w:id="110"/>
      <w:bookmarkEnd w:id="111"/>
      <w:bookmarkEnd w:id="112"/>
      <w:bookmarkEnd w:id="113"/>
    </w:p>
    <w:p w14:paraId="6CDB3C96">
      <w:pPr>
        <w:widowControl w:val="0"/>
        <w:adjustRightInd w:val="0"/>
        <w:snapToGrid w:val="0"/>
        <w:spacing w:line="400" w:lineRule="exact"/>
        <w:ind w:firstLine="420" w:firstLineChars="200"/>
        <w:jc w:val="both"/>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本合同自</w:t>
      </w:r>
      <w:r>
        <w:rPr>
          <w:rFonts w:hint="eastAsia" w:ascii="宋体" w:hAnsi="宋体" w:eastAsia="宋体" w:cs="宋体"/>
          <w:bCs/>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u w:val="single"/>
          <w:lang w:val="en-US" w:eastAsia="zh-CN" w:bidi="ar-SA"/>
        </w:rPr>
        <w:t>双方法定代表人或其委托代理人签字或盖章并加盖单位公章后</w:t>
      </w:r>
      <w:r>
        <w:rPr>
          <w:rFonts w:hint="eastAsia" w:ascii="宋体" w:hAnsi="宋体" w:eastAsia="宋体" w:cs="宋体"/>
          <w:bCs/>
          <w:color w:val="auto"/>
          <w:kern w:val="2"/>
          <w:sz w:val="21"/>
          <w:szCs w:val="21"/>
          <w:highlight w:val="none"/>
          <w:u w:val="single"/>
          <w:lang w:val="en-US" w:eastAsia="zh-CN" w:bidi="ar-SA"/>
        </w:rPr>
        <w:t xml:space="preserve"> </w:t>
      </w:r>
      <w:r>
        <w:rPr>
          <w:rFonts w:hint="eastAsia" w:ascii="宋体" w:hAnsi="宋体" w:eastAsia="宋体" w:cs="宋体"/>
          <w:bCs/>
          <w:color w:val="auto"/>
          <w:kern w:val="2"/>
          <w:sz w:val="21"/>
          <w:szCs w:val="21"/>
          <w:highlight w:val="none"/>
          <w:lang w:val="en-US" w:eastAsia="zh-CN" w:bidi="ar-SA"/>
        </w:rPr>
        <w:t>生效。</w:t>
      </w:r>
    </w:p>
    <w:p w14:paraId="787ADE06">
      <w:pPr>
        <w:widowControl w:val="0"/>
        <w:adjustRightInd w:val="0"/>
        <w:snapToGrid w:val="0"/>
        <w:spacing w:line="400" w:lineRule="exact"/>
        <w:ind w:firstLine="422" w:firstLineChars="200"/>
        <w:jc w:val="both"/>
        <w:outlineLvl w:val="0"/>
        <w:rPr>
          <w:rFonts w:hint="eastAsia" w:ascii="宋体" w:hAnsi="宋体" w:eastAsia="宋体" w:cs="宋体"/>
          <w:b/>
          <w:color w:val="auto"/>
          <w:kern w:val="2"/>
          <w:sz w:val="21"/>
          <w:szCs w:val="21"/>
          <w:highlight w:val="none"/>
          <w:lang w:val="en-US" w:eastAsia="zh-CN" w:bidi="ar-SA"/>
        </w:rPr>
      </w:pPr>
      <w:bookmarkStart w:id="114" w:name="_Toc406419165"/>
      <w:bookmarkStart w:id="115" w:name="_Toc406522040"/>
      <w:bookmarkStart w:id="116" w:name="_Toc351203493"/>
      <w:bookmarkStart w:id="117" w:name="_Toc522201571"/>
      <w:bookmarkStart w:id="118" w:name="_Toc14945"/>
      <w:bookmarkStart w:id="119" w:name="_Toc8277"/>
      <w:r>
        <w:rPr>
          <w:rFonts w:hint="eastAsia" w:ascii="宋体" w:hAnsi="宋体" w:eastAsia="宋体" w:cs="宋体"/>
          <w:b/>
          <w:color w:val="auto"/>
          <w:kern w:val="2"/>
          <w:sz w:val="21"/>
          <w:szCs w:val="21"/>
          <w:highlight w:val="none"/>
          <w:lang w:val="en-US" w:eastAsia="zh-CN" w:bidi="ar-SA"/>
        </w:rPr>
        <w:t>十三、合同份数</w:t>
      </w:r>
      <w:bookmarkEnd w:id="114"/>
      <w:bookmarkEnd w:id="115"/>
      <w:bookmarkEnd w:id="116"/>
      <w:bookmarkEnd w:id="117"/>
      <w:bookmarkEnd w:id="118"/>
      <w:bookmarkEnd w:id="119"/>
    </w:p>
    <w:p w14:paraId="3FF09E12">
      <w:pPr>
        <w:widowControl w:val="0"/>
        <w:adjustRightInd w:val="0"/>
        <w:snapToGrid w:val="0"/>
        <w:spacing w:line="400" w:lineRule="exact"/>
        <w:ind w:firstLine="420" w:firstLineChars="200"/>
        <w:jc w:val="both"/>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本合同一式</w:t>
      </w:r>
      <w:r>
        <w:rPr>
          <w:rFonts w:hint="eastAsia" w:ascii="宋体" w:hAnsi="宋体" w:eastAsia="宋体" w:cs="宋体"/>
          <w:bCs/>
          <w:color w:val="auto"/>
          <w:kern w:val="2"/>
          <w:sz w:val="21"/>
          <w:szCs w:val="21"/>
          <w:highlight w:val="none"/>
          <w:u w:val="single"/>
          <w:lang w:val="en-US" w:eastAsia="zh-CN" w:bidi="ar-SA"/>
        </w:rPr>
        <w:t xml:space="preserve"> 柒 </w:t>
      </w:r>
      <w:r>
        <w:rPr>
          <w:rFonts w:hint="eastAsia" w:ascii="宋体" w:hAnsi="宋体" w:eastAsia="宋体" w:cs="宋体"/>
          <w:bCs/>
          <w:color w:val="auto"/>
          <w:kern w:val="2"/>
          <w:sz w:val="21"/>
          <w:szCs w:val="21"/>
          <w:highlight w:val="none"/>
          <w:lang w:val="en-US" w:eastAsia="zh-CN" w:bidi="ar-SA"/>
        </w:rPr>
        <w:t>份，均具有同等法律效力，发包人执</w:t>
      </w:r>
      <w:r>
        <w:rPr>
          <w:rFonts w:hint="eastAsia" w:ascii="宋体" w:hAnsi="宋体" w:eastAsia="宋体" w:cs="宋体"/>
          <w:bCs/>
          <w:color w:val="auto"/>
          <w:kern w:val="2"/>
          <w:sz w:val="21"/>
          <w:szCs w:val="21"/>
          <w:highlight w:val="none"/>
          <w:u w:val="single"/>
          <w:lang w:val="en-US" w:eastAsia="zh-CN" w:bidi="ar-SA"/>
        </w:rPr>
        <w:t xml:space="preserve">  叁  </w:t>
      </w:r>
      <w:r>
        <w:rPr>
          <w:rFonts w:hint="eastAsia" w:ascii="宋体" w:hAnsi="宋体" w:eastAsia="宋体" w:cs="宋体"/>
          <w:bCs/>
          <w:color w:val="auto"/>
          <w:kern w:val="2"/>
          <w:sz w:val="21"/>
          <w:szCs w:val="21"/>
          <w:highlight w:val="none"/>
          <w:lang w:val="en-US" w:eastAsia="zh-CN" w:bidi="ar-SA"/>
        </w:rPr>
        <w:t>份，承包人执</w:t>
      </w:r>
      <w:r>
        <w:rPr>
          <w:rFonts w:hint="eastAsia" w:ascii="宋体" w:hAnsi="宋体" w:eastAsia="宋体" w:cs="宋体"/>
          <w:bCs/>
          <w:color w:val="auto"/>
          <w:kern w:val="2"/>
          <w:sz w:val="21"/>
          <w:szCs w:val="21"/>
          <w:highlight w:val="none"/>
          <w:u w:val="single"/>
          <w:lang w:val="en-US" w:eastAsia="zh-CN" w:bidi="ar-SA"/>
        </w:rPr>
        <w:t xml:space="preserve"> 叁 </w:t>
      </w:r>
      <w:r>
        <w:rPr>
          <w:rFonts w:hint="eastAsia" w:ascii="宋体" w:hAnsi="宋体" w:eastAsia="宋体" w:cs="宋体"/>
          <w:bCs/>
          <w:color w:val="auto"/>
          <w:kern w:val="2"/>
          <w:sz w:val="21"/>
          <w:szCs w:val="21"/>
          <w:highlight w:val="none"/>
          <w:lang w:val="en-US" w:eastAsia="zh-CN" w:bidi="ar-SA"/>
        </w:rPr>
        <w:t>份，招标代理机构执</w:t>
      </w:r>
      <w:r>
        <w:rPr>
          <w:rFonts w:hint="eastAsia" w:ascii="宋体" w:hAnsi="宋体" w:eastAsia="宋体" w:cs="宋体"/>
          <w:bCs/>
          <w:color w:val="auto"/>
          <w:kern w:val="2"/>
          <w:sz w:val="21"/>
          <w:szCs w:val="21"/>
          <w:highlight w:val="none"/>
          <w:u w:val="single"/>
          <w:lang w:val="en-US" w:eastAsia="zh-CN" w:bidi="ar-SA"/>
        </w:rPr>
        <w:t xml:space="preserve"> 壹 </w:t>
      </w:r>
      <w:r>
        <w:rPr>
          <w:rFonts w:hint="eastAsia" w:ascii="宋体" w:hAnsi="宋体" w:eastAsia="宋体" w:cs="宋体"/>
          <w:bCs/>
          <w:color w:val="auto"/>
          <w:kern w:val="2"/>
          <w:sz w:val="21"/>
          <w:szCs w:val="21"/>
          <w:highlight w:val="none"/>
          <w:lang w:val="en-US" w:eastAsia="zh-CN" w:bidi="ar-SA"/>
        </w:rPr>
        <w:t>份。</w:t>
      </w:r>
    </w:p>
    <w:p w14:paraId="484ABCC2">
      <w:pPr>
        <w:widowControl w:val="0"/>
        <w:adjustRightInd w:val="0"/>
        <w:snapToGrid w:val="0"/>
        <w:spacing w:line="400" w:lineRule="exact"/>
        <w:ind w:firstLine="420" w:firstLineChars="200"/>
        <w:jc w:val="both"/>
        <w:rPr>
          <w:rFonts w:hint="eastAsia" w:ascii="宋体" w:hAnsi="宋体" w:eastAsia="宋体" w:cs="宋体"/>
          <w:bCs/>
          <w:color w:val="auto"/>
          <w:kern w:val="2"/>
          <w:sz w:val="21"/>
          <w:szCs w:val="21"/>
          <w:highlight w:val="none"/>
          <w:lang w:val="en-US" w:eastAsia="zh-CN" w:bidi="ar-SA"/>
        </w:rPr>
      </w:pPr>
    </w:p>
    <w:tbl>
      <w:tblPr>
        <w:tblStyle w:val="16"/>
        <w:tblW w:w="0" w:type="auto"/>
        <w:tblInd w:w="46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03"/>
        <w:gridCol w:w="4597"/>
      </w:tblGrid>
      <w:tr w14:paraId="2386A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03" w:type="dxa"/>
            <w:noWrap w:val="0"/>
            <w:vAlign w:val="top"/>
          </w:tcPr>
          <w:p w14:paraId="0426809F">
            <w:pPr>
              <w:spacing w:line="360" w:lineRule="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发包人：（公章）</w:t>
            </w:r>
          </w:p>
          <w:p w14:paraId="54D63F56">
            <w:pPr>
              <w:spacing w:line="360" w:lineRule="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b/>
                <w:bCs/>
                <w:color w:val="auto"/>
                <w:kern w:val="0"/>
                <w:sz w:val="21"/>
                <w:szCs w:val="21"/>
                <w:highlight w:val="none"/>
                <w:u w:val="none"/>
                <w:lang w:val="en-US" w:eastAsia="zh-CN"/>
              </w:rPr>
              <w:t xml:space="preserve"> </w:t>
            </w:r>
          </w:p>
        </w:tc>
        <w:tc>
          <w:tcPr>
            <w:tcW w:w="4597" w:type="dxa"/>
            <w:noWrap w:val="0"/>
            <w:vAlign w:val="top"/>
          </w:tcPr>
          <w:p w14:paraId="47258860">
            <w:pPr>
              <w:spacing w:line="360" w:lineRule="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承包人：（公章）</w:t>
            </w:r>
          </w:p>
          <w:p w14:paraId="2FD93245">
            <w:pPr>
              <w:spacing w:line="360" w:lineRule="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b/>
                <w:bCs/>
                <w:color w:val="auto"/>
                <w:highlight w:val="none"/>
                <w:u w:val="none"/>
                <w:lang w:val="en-US" w:eastAsia="zh-CN"/>
              </w:rPr>
              <w:t xml:space="preserve"> </w:t>
            </w:r>
          </w:p>
        </w:tc>
      </w:tr>
      <w:tr w14:paraId="071BA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03" w:type="dxa"/>
            <w:noWrap w:val="0"/>
            <w:vAlign w:val="top"/>
          </w:tcPr>
          <w:p w14:paraId="047A6CEC">
            <w:pPr>
              <w:spacing w:line="360" w:lineRule="auto"/>
              <w:rPr>
                <w:rFonts w:hint="eastAsia" w:ascii="宋体" w:hAnsi="宋体" w:eastAsia="宋体" w:cs="宋体"/>
                <w:color w:val="auto"/>
                <w:kern w:val="0"/>
                <w:sz w:val="21"/>
                <w:szCs w:val="21"/>
                <w:highlight w:val="none"/>
                <w:u w:val="none"/>
                <w:lang w:val="en-US" w:eastAsia="zh-CN"/>
              </w:rPr>
            </w:pPr>
          </w:p>
        </w:tc>
        <w:tc>
          <w:tcPr>
            <w:tcW w:w="4597" w:type="dxa"/>
            <w:noWrap w:val="0"/>
            <w:vAlign w:val="top"/>
          </w:tcPr>
          <w:p w14:paraId="3F28475B">
            <w:pPr>
              <w:spacing w:line="360" w:lineRule="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 xml:space="preserve"> </w:t>
            </w:r>
          </w:p>
        </w:tc>
      </w:tr>
      <w:tr w14:paraId="1D157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03" w:type="dxa"/>
            <w:noWrap w:val="0"/>
            <w:vAlign w:val="top"/>
          </w:tcPr>
          <w:p w14:paraId="70E99AB2">
            <w:pPr>
              <w:spacing w:line="360" w:lineRule="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法定代表人</w:t>
            </w:r>
            <w:r>
              <w:rPr>
                <w:rFonts w:hint="eastAsia" w:ascii="宋体" w:hAnsi="宋体" w:eastAsia="宋体" w:cs="宋体"/>
                <w:color w:val="auto"/>
                <w:szCs w:val="21"/>
                <w:highlight w:val="none"/>
              </w:rPr>
              <w:t>或其委托代理人</w:t>
            </w:r>
            <w:r>
              <w:rPr>
                <w:rFonts w:hint="eastAsia" w:ascii="宋体" w:hAnsi="宋体" w:eastAsia="宋体" w:cs="宋体"/>
                <w:color w:val="auto"/>
                <w:kern w:val="0"/>
                <w:sz w:val="21"/>
                <w:szCs w:val="21"/>
                <w:highlight w:val="none"/>
                <w:u w:val="none"/>
                <w:lang w:val="en-US" w:eastAsia="zh-CN"/>
              </w:rPr>
              <w:t>：</w:t>
            </w:r>
          </w:p>
          <w:p w14:paraId="2C356A4B">
            <w:pPr>
              <w:spacing w:line="360" w:lineRule="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（签字或盖章）</w:t>
            </w:r>
          </w:p>
        </w:tc>
        <w:tc>
          <w:tcPr>
            <w:tcW w:w="4597" w:type="dxa"/>
            <w:noWrap w:val="0"/>
            <w:vAlign w:val="top"/>
          </w:tcPr>
          <w:p w14:paraId="569E7170">
            <w:pPr>
              <w:spacing w:line="360" w:lineRule="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法定代表人</w:t>
            </w:r>
            <w:r>
              <w:rPr>
                <w:rFonts w:hint="eastAsia" w:ascii="宋体" w:hAnsi="宋体" w:eastAsia="宋体" w:cs="宋体"/>
                <w:color w:val="auto"/>
                <w:szCs w:val="21"/>
                <w:highlight w:val="none"/>
              </w:rPr>
              <w:t>或其委托代理人</w:t>
            </w:r>
            <w:r>
              <w:rPr>
                <w:rFonts w:hint="eastAsia" w:ascii="宋体" w:hAnsi="宋体" w:eastAsia="宋体" w:cs="宋体"/>
                <w:color w:val="auto"/>
                <w:kern w:val="0"/>
                <w:sz w:val="21"/>
                <w:szCs w:val="21"/>
                <w:highlight w:val="none"/>
                <w:u w:val="none"/>
                <w:lang w:val="en-US" w:eastAsia="zh-CN"/>
              </w:rPr>
              <w:t>：</w:t>
            </w:r>
          </w:p>
          <w:p w14:paraId="34695768">
            <w:pPr>
              <w:spacing w:line="360" w:lineRule="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（签字或盖章）</w:t>
            </w:r>
          </w:p>
        </w:tc>
      </w:tr>
      <w:tr w14:paraId="6ABF8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303" w:type="dxa"/>
            <w:noWrap w:val="0"/>
            <w:vAlign w:val="top"/>
          </w:tcPr>
          <w:p w14:paraId="0BE36276">
            <w:pPr>
              <w:spacing w:line="360" w:lineRule="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统一社会信用代码：</w:t>
            </w:r>
            <w:r>
              <w:rPr>
                <w:rFonts w:hint="eastAsia" w:ascii="宋体" w:hAnsi="宋体" w:eastAsia="宋体" w:cs="宋体"/>
                <w:color w:val="auto"/>
                <w:kern w:val="0"/>
                <w:szCs w:val="21"/>
                <w:highlight w:val="none"/>
                <w:lang w:val="en-US" w:eastAsia="zh-CN"/>
              </w:rPr>
              <w:t xml:space="preserve"> </w:t>
            </w:r>
          </w:p>
        </w:tc>
        <w:tc>
          <w:tcPr>
            <w:tcW w:w="4597" w:type="dxa"/>
            <w:noWrap w:val="0"/>
            <w:vAlign w:val="top"/>
          </w:tcPr>
          <w:p w14:paraId="102D25EE">
            <w:pPr>
              <w:spacing w:line="360" w:lineRule="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 xml:space="preserve">统一社会信用代码： </w:t>
            </w:r>
          </w:p>
        </w:tc>
      </w:tr>
      <w:tr w14:paraId="327B8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03" w:type="dxa"/>
            <w:noWrap w:val="0"/>
            <w:vAlign w:val="top"/>
          </w:tcPr>
          <w:p w14:paraId="511E6F6E">
            <w:pPr>
              <w:spacing w:line="360" w:lineRule="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 xml:space="preserve">地址： </w:t>
            </w:r>
          </w:p>
        </w:tc>
        <w:tc>
          <w:tcPr>
            <w:tcW w:w="4597" w:type="dxa"/>
            <w:noWrap w:val="0"/>
            <w:vAlign w:val="top"/>
          </w:tcPr>
          <w:p w14:paraId="12FEBC1E">
            <w:pPr>
              <w:spacing w:line="360" w:lineRule="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地址：</w:t>
            </w:r>
            <w:r>
              <w:rPr>
                <w:rFonts w:hint="eastAsia" w:ascii="宋体" w:hAnsi="宋体" w:eastAsia="宋体" w:cs="宋体"/>
                <w:color w:val="auto"/>
                <w:sz w:val="21"/>
                <w:szCs w:val="21"/>
                <w:highlight w:val="none"/>
                <w:u w:val="none"/>
                <w:lang w:val="en-US" w:eastAsia="zh-CN"/>
              </w:rPr>
              <w:t xml:space="preserve">  </w:t>
            </w:r>
          </w:p>
        </w:tc>
      </w:tr>
      <w:tr w14:paraId="4712E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03" w:type="dxa"/>
            <w:noWrap w:val="0"/>
            <w:vAlign w:val="top"/>
          </w:tcPr>
          <w:p w14:paraId="71D24215">
            <w:pPr>
              <w:spacing w:line="360" w:lineRule="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邮政编码：</w:t>
            </w:r>
          </w:p>
        </w:tc>
        <w:tc>
          <w:tcPr>
            <w:tcW w:w="4597" w:type="dxa"/>
            <w:noWrap w:val="0"/>
            <w:vAlign w:val="top"/>
          </w:tcPr>
          <w:p w14:paraId="508F76ED">
            <w:pPr>
              <w:spacing w:line="360" w:lineRule="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 xml:space="preserve">邮政编码：  </w:t>
            </w:r>
          </w:p>
        </w:tc>
      </w:tr>
      <w:tr w14:paraId="38A00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03" w:type="dxa"/>
            <w:noWrap w:val="0"/>
            <w:vAlign w:val="top"/>
          </w:tcPr>
          <w:p w14:paraId="797FA3E8">
            <w:pPr>
              <w:spacing w:line="360" w:lineRule="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联系人：</w:t>
            </w:r>
          </w:p>
        </w:tc>
        <w:tc>
          <w:tcPr>
            <w:tcW w:w="4597" w:type="dxa"/>
            <w:noWrap w:val="0"/>
            <w:vAlign w:val="top"/>
          </w:tcPr>
          <w:p w14:paraId="2AE89C76">
            <w:pPr>
              <w:spacing w:line="360" w:lineRule="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 xml:space="preserve">联系人： </w:t>
            </w:r>
          </w:p>
        </w:tc>
      </w:tr>
      <w:tr w14:paraId="393B4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03" w:type="dxa"/>
            <w:noWrap w:val="0"/>
            <w:vAlign w:val="top"/>
          </w:tcPr>
          <w:p w14:paraId="587C7387">
            <w:pPr>
              <w:spacing w:line="360" w:lineRule="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电话：</w:t>
            </w:r>
          </w:p>
        </w:tc>
        <w:tc>
          <w:tcPr>
            <w:tcW w:w="4597" w:type="dxa"/>
            <w:noWrap w:val="0"/>
            <w:vAlign w:val="top"/>
          </w:tcPr>
          <w:p w14:paraId="2676AF02">
            <w:pPr>
              <w:spacing w:line="360" w:lineRule="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 xml:space="preserve">电话： </w:t>
            </w:r>
          </w:p>
        </w:tc>
      </w:tr>
      <w:tr w14:paraId="2911E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03" w:type="dxa"/>
            <w:noWrap w:val="0"/>
            <w:vAlign w:val="top"/>
          </w:tcPr>
          <w:p w14:paraId="603E432F">
            <w:pPr>
              <w:spacing w:line="360" w:lineRule="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传真：</w:t>
            </w:r>
          </w:p>
        </w:tc>
        <w:tc>
          <w:tcPr>
            <w:tcW w:w="4597" w:type="dxa"/>
            <w:noWrap w:val="0"/>
            <w:vAlign w:val="top"/>
          </w:tcPr>
          <w:p w14:paraId="2443DD81">
            <w:pPr>
              <w:spacing w:line="360" w:lineRule="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 xml:space="preserve">传真：  </w:t>
            </w:r>
          </w:p>
        </w:tc>
      </w:tr>
      <w:tr w14:paraId="017F4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03" w:type="dxa"/>
            <w:noWrap w:val="0"/>
            <w:vAlign w:val="top"/>
          </w:tcPr>
          <w:p w14:paraId="148984D4">
            <w:pPr>
              <w:spacing w:line="360" w:lineRule="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电子信箱：</w:t>
            </w:r>
          </w:p>
        </w:tc>
        <w:tc>
          <w:tcPr>
            <w:tcW w:w="4597" w:type="dxa"/>
            <w:noWrap w:val="0"/>
            <w:vAlign w:val="top"/>
          </w:tcPr>
          <w:p w14:paraId="1E57A0A8">
            <w:pPr>
              <w:spacing w:line="360" w:lineRule="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 xml:space="preserve">电子信箱： </w:t>
            </w:r>
          </w:p>
        </w:tc>
      </w:tr>
      <w:tr w14:paraId="341CD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03" w:type="dxa"/>
            <w:noWrap w:val="0"/>
            <w:vAlign w:val="top"/>
          </w:tcPr>
          <w:p w14:paraId="31105712">
            <w:pPr>
              <w:spacing w:line="360" w:lineRule="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开户银行：</w:t>
            </w:r>
          </w:p>
        </w:tc>
        <w:tc>
          <w:tcPr>
            <w:tcW w:w="4597" w:type="dxa"/>
            <w:noWrap w:val="0"/>
            <w:vAlign w:val="top"/>
          </w:tcPr>
          <w:p w14:paraId="00A6C470">
            <w:pPr>
              <w:spacing w:line="360" w:lineRule="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 xml:space="preserve">开户银行：  </w:t>
            </w:r>
          </w:p>
        </w:tc>
      </w:tr>
      <w:tr w14:paraId="087FB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03" w:type="dxa"/>
            <w:noWrap w:val="0"/>
            <w:vAlign w:val="top"/>
          </w:tcPr>
          <w:p w14:paraId="6C5C0793">
            <w:pPr>
              <w:spacing w:line="360" w:lineRule="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开户名称：</w:t>
            </w:r>
          </w:p>
        </w:tc>
        <w:tc>
          <w:tcPr>
            <w:tcW w:w="4597" w:type="dxa"/>
            <w:noWrap w:val="0"/>
            <w:vAlign w:val="top"/>
          </w:tcPr>
          <w:p w14:paraId="1076F95F">
            <w:pPr>
              <w:spacing w:line="360" w:lineRule="auto"/>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 xml:space="preserve">开户名称： </w:t>
            </w:r>
          </w:p>
        </w:tc>
      </w:tr>
      <w:tr w14:paraId="157FA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303" w:type="dxa"/>
            <w:noWrap w:val="0"/>
            <w:vAlign w:val="top"/>
          </w:tcPr>
          <w:p w14:paraId="5E79EEE1">
            <w:pPr>
              <w:spacing w:line="360" w:lineRule="auto"/>
              <w:rPr>
                <w:rFonts w:hint="eastAsia" w:ascii="宋体" w:hAnsi="宋体" w:eastAsia="宋体" w:cs="宋体"/>
                <w:color w:val="auto"/>
                <w:kern w:val="0"/>
                <w:sz w:val="21"/>
                <w:szCs w:val="21"/>
                <w:highlight w:val="none"/>
                <w:u w:val="none"/>
                <w:lang w:val="en-US" w:eastAsia="zh-CN" w:bidi="ar-SA"/>
              </w:rPr>
            </w:pPr>
            <w:r>
              <w:rPr>
                <w:rFonts w:hint="eastAsia" w:ascii="宋体" w:hAnsi="宋体" w:eastAsia="宋体" w:cs="宋体"/>
                <w:color w:val="auto"/>
                <w:kern w:val="0"/>
                <w:sz w:val="21"/>
                <w:szCs w:val="21"/>
                <w:highlight w:val="none"/>
                <w:u w:val="none"/>
                <w:lang w:val="en-US" w:eastAsia="zh-CN"/>
              </w:rPr>
              <w:t>账号：</w:t>
            </w:r>
          </w:p>
        </w:tc>
        <w:tc>
          <w:tcPr>
            <w:tcW w:w="4597" w:type="dxa"/>
            <w:noWrap w:val="0"/>
            <w:vAlign w:val="top"/>
          </w:tcPr>
          <w:p w14:paraId="7C12CDD6">
            <w:pPr>
              <w:spacing w:line="360" w:lineRule="auto"/>
              <w:rPr>
                <w:rFonts w:hint="eastAsia" w:ascii="宋体" w:hAnsi="宋体" w:eastAsia="宋体" w:cs="宋体"/>
                <w:color w:val="auto"/>
                <w:kern w:val="0"/>
                <w:sz w:val="21"/>
                <w:szCs w:val="21"/>
                <w:highlight w:val="none"/>
                <w:u w:val="none"/>
                <w:lang w:val="en-US" w:eastAsia="zh-CN" w:bidi="ar-SA"/>
              </w:rPr>
            </w:pPr>
            <w:r>
              <w:rPr>
                <w:rFonts w:hint="eastAsia" w:ascii="宋体" w:hAnsi="宋体" w:eastAsia="宋体" w:cs="宋体"/>
                <w:color w:val="auto"/>
                <w:kern w:val="0"/>
                <w:sz w:val="21"/>
                <w:szCs w:val="21"/>
                <w:highlight w:val="none"/>
                <w:u w:val="none"/>
                <w:lang w:val="en-US" w:eastAsia="zh-CN"/>
              </w:rPr>
              <w:t xml:space="preserve">账号：  </w:t>
            </w:r>
          </w:p>
        </w:tc>
      </w:tr>
    </w:tbl>
    <w:p w14:paraId="33EFE802">
      <w:pPr>
        <w:keepNext/>
        <w:keepLines/>
        <w:widowControl w:val="0"/>
        <w:spacing w:line="420" w:lineRule="exact"/>
        <w:jc w:val="center"/>
        <w:outlineLvl w:val="0"/>
        <w:rPr>
          <w:rFonts w:hint="eastAsia" w:ascii="宋体" w:hAnsi="宋体" w:eastAsia="宋体" w:cs="宋体"/>
          <w:b w:val="0"/>
          <w:bCs w:val="0"/>
          <w:color w:val="auto"/>
          <w:kern w:val="44"/>
          <w:sz w:val="32"/>
          <w:szCs w:val="32"/>
          <w:highlight w:val="none"/>
          <w:lang w:val="en-US" w:eastAsia="zh-CN" w:bidi="ar-SA"/>
        </w:rPr>
      </w:pPr>
      <w:r>
        <w:rPr>
          <w:rFonts w:hint="eastAsia" w:ascii="宋体" w:hAnsi="宋体" w:eastAsia="宋体" w:cs="宋体"/>
          <w:b w:val="0"/>
          <w:bCs w:val="0"/>
          <w:color w:val="auto"/>
          <w:kern w:val="44"/>
          <w:sz w:val="21"/>
          <w:szCs w:val="21"/>
          <w:highlight w:val="none"/>
          <w:lang w:val="en-US" w:eastAsia="zh-CN" w:bidi="ar-SA"/>
        </w:rPr>
        <w:br w:type="page"/>
      </w:r>
      <w:bookmarkStart w:id="120" w:name="_Toc25579"/>
      <w:r>
        <w:rPr>
          <w:rFonts w:hint="eastAsia" w:ascii="宋体" w:hAnsi="宋体" w:eastAsia="宋体" w:cs="宋体"/>
          <w:b/>
          <w:bCs/>
          <w:color w:val="auto"/>
          <w:kern w:val="44"/>
          <w:sz w:val="32"/>
          <w:szCs w:val="21"/>
          <w:highlight w:val="none"/>
          <w:lang w:val="en-US" w:eastAsia="zh-CN" w:bidi="ar-SA"/>
        </w:rPr>
        <w:t>第二部分 通用合同条款</w:t>
      </w:r>
      <w:bookmarkEnd w:id="120"/>
    </w:p>
    <w:p w14:paraId="3AF31CEA">
      <w:pPr>
        <w:rPr>
          <w:rFonts w:hint="eastAsia" w:ascii="宋体" w:hAnsi="宋体" w:eastAsia="宋体" w:cs="宋体"/>
          <w:color w:val="auto"/>
          <w:highlight w:val="none"/>
        </w:rPr>
      </w:pPr>
      <w:bookmarkStart w:id="121" w:name="_Toc16978"/>
    </w:p>
    <w:p w14:paraId="10F7B96B">
      <w:pPr>
        <w:pStyle w:val="28"/>
        <w:ind w:left="63" w:right="63"/>
        <w:rPr>
          <w:rFonts w:hint="eastAsia" w:ascii="宋体" w:hAnsi="宋体" w:eastAsia="宋体" w:cs="宋体"/>
          <w:color w:val="auto"/>
          <w:highlight w:val="none"/>
          <w:lang w:eastAsia="zh-CN"/>
        </w:rPr>
      </w:pPr>
      <w:r>
        <w:rPr>
          <w:rFonts w:hint="eastAsia" w:ascii="宋体" w:hAnsi="宋体" w:eastAsia="宋体" w:cs="宋体"/>
          <w:b w:val="0"/>
          <w:bCs w:val="0"/>
          <w:color w:val="auto"/>
          <w:sz w:val="24"/>
          <w:szCs w:val="24"/>
          <w:highlight w:val="none"/>
        </w:rPr>
        <w:t>本工程的施工合同通用条款按国家工商行政管理局和建设部颁布的：</w:t>
      </w:r>
      <w:bookmarkEnd w:id="121"/>
      <w:r>
        <w:rPr>
          <w:rFonts w:hint="eastAsia" w:ascii="宋体" w:hAnsi="宋体" w:eastAsia="宋体" w:cs="宋体"/>
          <w:b w:val="0"/>
          <w:bCs w:val="0"/>
          <w:color w:val="auto"/>
          <w:sz w:val="24"/>
          <w:szCs w:val="24"/>
          <w:highlight w:val="none"/>
        </w:rPr>
        <w:t>《建设工程施工合同（示范文本）》（GF-2017-0201）</w:t>
      </w:r>
      <w:r>
        <w:rPr>
          <w:rFonts w:hint="eastAsia" w:ascii="宋体" w:hAnsi="宋体" w:eastAsia="宋体" w:cs="宋体"/>
          <w:b w:val="0"/>
          <w:bCs w:val="0"/>
          <w:color w:val="auto"/>
          <w:sz w:val="24"/>
          <w:szCs w:val="24"/>
          <w:highlight w:val="none"/>
          <w:lang w:eastAsia="zh-CN"/>
        </w:rPr>
        <w:t>。</w:t>
      </w:r>
    </w:p>
    <w:p w14:paraId="4AA45296">
      <w:pPr>
        <w:pStyle w:val="28"/>
        <w:ind w:left="63" w:right="63"/>
        <w:rPr>
          <w:rFonts w:hint="eastAsia" w:ascii="宋体" w:hAnsi="宋体" w:eastAsia="宋体" w:cs="宋体"/>
          <w:color w:val="auto"/>
          <w:highlight w:val="none"/>
        </w:rPr>
      </w:pPr>
    </w:p>
    <w:p w14:paraId="18AB58FA">
      <w:pPr>
        <w:pStyle w:val="28"/>
        <w:ind w:left="63" w:right="63"/>
        <w:rPr>
          <w:rFonts w:hint="eastAsia" w:ascii="宋体" w:hAnsi="宋体" w:eastAsia="宋体" w:cs="宋体"/>
          <w:color w:val="auto"/>
          <w:highlight w:val="none"/>
        </w:rPr>
      </w:pPr>
    </w:p>
    <w:p w14:paraId="573DD7FF">
      <w:pPr>
        <w:pStyle w:val="28"/>
        <w:ind w:left="63" w:right="63"/>
        <w:rPr>
          <w:rFonts w:hint="eastAsia" w:ascii="宋体" w:hAnsi="宋体" w:eastAsia="宋体" w:cs="宋体"/>
          <w:color w:val="auto"/>
          <w:highlight w:val="none"/>
        </w:rPr>
      </w:pPr>
    </w:p>
    <w:p w14:paraId="4925A59A">
      <w:pPr>
        <w:pStyle w:val="28"/>
        <w:ind w:left="63" w:right="63"/>
        <w:rPr>
          <w:rFonts w:hint="eastAsia" w:ascii="宋体" w:hAnsi="宋体" w:eastAsia="宋体" w:cs="宋体"/>
          <w:color w:val="auto"/>
          <w:highlight w:val="none"/>
        </w:rPr>
      </w:pPr>
    </w:p>
    <w:p w14:paraId="325D6DB1">
      <w:pPr>
        <w:pStyle w:val="28"/>
        <w:ind w:left="63" w:right="63"/>
        <w:rPr>
          <w:rFonts w:hint="eastAsia" w:ascii="宋体" w:hAnsi="宋体" w:eastAsia="宋体" w:cs="宋体"/>
          <w:color w:val="auto"/>
          <w:highlight w:val="none"/>
        </w:rPr>
      </w:pPr>
    </w:p>
    <w:p w14:paraId="0796B8DB">
      <w:pPr>
        <w:pStyle w:val="28"/>
        <w:ind w:left="63" w:right="63"/>
        <w:rPr>
          <w:rFonts w:hint="eastAsia" w:ascii="宋体" w:hAnsi="宋体" w:eastAsia="宋体" w:cs="宋体"/>
          <w:color w:val="auto"/>
          <w:highlight w:val="none"/>
        </w:rPr>
      </w:pPr>
    </w:p>
    <w:p w14:paraId="00160FC0">
      <w:pPr>
        <w:pStyle w:val="28"/>
        <w:ind w:left="63" w:right="63"/>
        <w:rPr>
          <w:rFonts w:hint="eastAsia" w:ascii="宋体" w:hAnsi="宋体" w:eastAsia="宋体" w:cs="宋体"/>
          <w:color w:val="auto"/>
          <w:highlight w:val="none"/>
        </w:rPr>
      </w:pPr>
    </w:p>
    <w:p w14:paraId="73F7D834">
      <w:pPr>
        <w:pStyle w:val="28"/>
        <w:ind w:left="63" w:right="63"/>
        <w:rPr>
          <w:rFonts w:hint="eastAsia" w:ascii="宋体" w:hAnsi="宋体" w:eastAsia="宋体" w:cs="宋体"/>
          <w:color w:val="auto"/>
          <w:highlight w:val="none"/>
        </w:rPr>
      </w:pPr>
    </w:p>
    <w:p w14:paraId="6842E0FF">
      <w:pPr>
        <w:pStyle w:val="28"/>
        <w:ind w:left="63" w:right="63"/>
        <w:rPr>
          <w:rFonts w:hint="eastAsia" w:ascii="宋体" w:hAnsi="宋体" w:eastAsia="宋体" w:cs="宋体"/>
          <w:color w:val="auto"/>
          <w:highlight w:val="none"/>
        </w:rPr>
      </w:pPr>
    </w:p>
    <w:p w14:paraId="6AD95CC2">
      <w:pPr>
        <w:pStyle w:val="28"/>
        <w:ind w:left="63" w:right="63"/>
        <w:rPr>
          <w:rFonts w:hint="eastAsia" w:ascii="宋体" w:hAnsi="宋体" w:eastAsia="宋体" w:cs="宋体"/>
          <w:color w:val="auto"/>
          <w:highlight w:val="none"/>
        </w:rPr>
      </w:pPr>
    </w:p>
    <w:p w14:paraId="1D90423A">
      <w:pPr>
        <w:pStyle w:val="28"/>
        <w:ind w:left="63" w:right="63"/>
        <w:rPr>
          <w:rFonts w:hint="eastAsia" w:ascii="宋体" w:hAnsi="宋体" w:eastAsia="宋体" w:cs="宋体"/>
          <w:color w:val="auto"/>
          <w:highlight w:val="none"/>
        </w:rPr>
      </w:pPr>
    </w:p>
    <w:p w14:paraId="12A1D757">
      <w:pPr>
        <w:pStyle w:val="28"/>
        <w:ind w:left="63" w:right="63"/>
        <w:rPr>
          <w:rFonts w:hint="eastAsia" w:ascii="宋体" w:hAnsi="宋体" w:eastAsia="宋体" w:cs="宋体"/>
          <w:color w:val="auto"/>
          <w:highlight w:val="none"/>
        </w:rPr>
      </w:pPr>
    </w:p>
    <w:p w14:paraId="7F84ECB8">
      <w:pPr>
        <w:pStyle w:val="28"/>
        <w:ind w:left="63" w:right="63"/>
        <w:rPr>
          <w:rFonts w:hint="eastAsia" w:ascii="宋体" w:hAnsi="宋体" w:eastAsia="宋体" w:cs="宋体"/>
          <w:color w:val="auto"/>
          <w:highlight w:val="none"/>
        </w:rPr>
      </w:pPr>
    </w:p>
    <w:p w14:paraId="6969892E">
      <w:pPr>
        <w:pStyle w:val="28"/>
        <w:ind w:left="63" w:right="63"/>
        <w:rPr>
          <w:rFonts w:hint="eastAsia" w:ascii="宋体" w:hAnsi="宋体" w:eastAsia="宋体" w:cs="宋体"/>
          <w:color w:val="auto"/>
          <w:highlight w:val="none"/>
        </w:rPr>
      </w:pPr>
    </w:p>
    <w:p w14:paraId="0715510B">
      <w:pPr>
        <w:pStyle w:val="28"/>
        <w:ind w:left="63" w:right="63"/>
        <w:rPr>
          <w:rFonts w:hint="eastAsia" w:ascii="宋体" w:hAnsi="宋体" w:eastAsia="宋体" w:cs="宋体"/>
          <w:color w:val="auto"/>
          <w:highlight w:val="none"/>
        </w:rPr>
      </w:pPr>
    </w:p>
    <w:p w14:paraId="0D685736">
      <w:pPr>
        <w:pStyle w:val="28"/>
        <w:ind w:left="63" w:right="63"/>
        <w:rPr>
          <w:rFonts w:hint="eastAsia" w:ascii="宋体" w:hAnsi="宋体" w:eastAsia="宋体" w:cs="宋体"/>
          <w:color w:val="auto"/>
          <w:highlight w:val="none"/>
        </w:rPr>
      </w:pPr>
    </w:p>
    <w:p w14:paraId="35FEC463">
      <w:pPr>
        <w:pStyle w:val="28"/>
        <w:ind w:left="63" w:right="63"/>
        <w:rPr>
          <w:rFonts w:hint="eastAsia" w:ascii="宋体" w:hAnsi="宋体" w:eastAsia="宋体" w:cs="宋体"/>
          <w:color w:val="auto"/>
          <w:highlight w:val="none"/>
        </w:rPr>
      </w:pPr>
    </w:p>
    <w:p w14:paraId="3D968625">
      <w:pPr>
        <w:pStyle w:val="28"/>
        <w:ind w:left="63" w:right="63"/>
        <w:rPr>
          <w:rFonts w:hint="eastAsia" w:ascii="宋体" w:hAnsi="宋体" w:eastAsia="宋体" w:cs="宋体"/>
          <w:color w:val="auto"/>
          <w:highlight w:val="none"/>
        </w:rPr>
      </w:pPr>
    </w:p>
    <w:p w14:paraId="626F8851">
      <w:pPr>
        <w:pStyle w:val="28"/>
        <w:ind w:left="63" w:right="63"/>
        <w:rPr>
          <w:rFonts w:hint="eastAsia" w:ascii="宋体" w:hAnsi="宋体" w:eastAsia="宋体" w:cs="宋体"/>
          <w:color w:val="auto"/>
          <w:highlight w:val="none"/>
        </w:rPr>
      </w:pPr>
    </w:p>
    <w:p w14:paraId="2B1AC4DF">
      <w:pPr>
        <w:pStyle w:val="28"/>
        <w:ind w:left="63" w:right="63"/>
        <w:rPr>
          <w:rFonts w:hint="eastAsia" w:ascii="宋体" w:hAnsi="宋体" w:eastAsia="宋体" w:cs="宋体"/>
          <w:color w:val="auto"/>
          <w:highlight w:val="none"/>
        </w:rPr>
      </w:pPr>
    </w:p>
    <w:p w14:paraId="5D1B384B">
      <w:pPr>
        <w:pStyle w:val="28"/>
        <w:ind w:left="63" w:right="63"/>
        <w:rPr>
          <w:rFonts w:hint="eastAsia" w:ascii="宋体" w:hAnsi="宋体" w:eastAsia="宋体" w:cs="宋体"/>
          <w:color w:val="auto"/>
          <w:highlight w:val="none"/>
        </w:rPr>
      </w:pPr>
    </w:p>
    <w:p w14:paraId="5233E7B1">
      <w:pPr>
        <w:pStyle w:val="28"/>
        <w:ind w:left="63" w:right="63"/>
        <w:rPr>
          <w:rFonts w:hint="eastAsia" w:ascii="宋体" w:hAnsi="宋体" w:eastAsia="宋体" w:cs="宋体"/>
          <w:color w:val="auto"/>
          <w:highlight w:val="none"/>
        </w:rPr>
      </w:pPr>
    </w:p>
    <w:p w14:paraId="19FADC3B">
      <w:pPr>
        <w:pStyle w:val="28"/>
        <w:ind w:left="63" w:right="63"/>
        <w:rPr>
          <w:rFonts w:hint="eastAsia" w:ascii="宋体" w:hAnsi="宋体" w:eastAsia="宋体" w:cs="宋体"/>
          <w:color w:val="auto"/>
          <w:highlight w:val="none"/>
        </w:rPr>
      </w:pPr>
    </w:p>
    <w:p w14:paraId="78DDAE9D">
      <w:pPr>
        <w:pStyle w:val="28"/>
        <w:ind w:left="63" w:right="63"/>
        <w:rPr>
          <w:rFonts w:hint="eastAsia" w:ascii="宋体" w:hAnsi="宋体" w:eastAsia="宋体" w:cs="宋体"/>
          <w:color w:val="auto"/>
          <w:highlight w:val="none"/>
        </w:rPr>
      </w:pPr>
    </w:p>
    <w:p w14:paraId="0842089B">
      <w:pPr>
        <w:pStyle w:val="28"/>
        <w:ind w:left="63" w:right="63"/>
        <w:rPr>
          <w:rFonts w:hint="eastAsia" w:ascii="宋体" w:hAnsi="宋体" w:eastAsia="宋体" w:cs="宋体"/>
          <w:color w:val="auto"/>
          <w:highlight w:val="none"/>
        </w:rPr>
      </w:pPr>
    </w:p>
    <w:p w14:paraId="2A3AB515">
      <w:pPr>
        <w:pStyle w:val="28"/>
        <w:ind w:left="63" w:right="63"/>
        <w:rPr>
          <w:rFonts w:hint="eastAsia" w:ascii="宋体" w:hAnsi="宋体" w:eastAsia="宋体" w:cs="宋体"/>
          <w:color w:val="auto"/>
          <w:highlight w:val="none"/>
        </w:rPr>
      </w:pPr>
    </w:p>
    <w:p w14:paraId="57076CAD">
      <w:pPr>
        <w:pStyle w:val="28"/>
        <w:ind w:left="63" w:right="63"/>
        <w:rPr>
          <w:rFonts w:hint="eastAsia" w:ascii="宋体" w:hAnsi="宋体" w:eastAsia="宋体" w:cs="宋体"/>
          <w:color w:val="auto"/>
          <w:highlight w:val="none"/>
        </w:rPr>
      </w:pPr>
    </w:p>
    <w:p w14:paraId="7B625AB3">
      <w:pPr>
        <w:keepNext/>
        <w:keepLines/>
        <w:widowControl w:val="0"/>
        <w:spacing w:line="400" w:lineRule="atLeast"/>
        <w:jc w:val="center"/>
        <w:outlineLvl w:val="0"/>
        <w:rPr>
          <w:rFonts w:hint="eastAsia" w:ascii="宋体" w:hAnsi="宋体" w:eastAsia="宋体" w:cs="宋体"/>
          <w:b/>
          <w:bCs/>
          <w:color w:val="auto"/>
          <w:kern w:val="44"/>
          <w:sz w:val="21"/>
          <w:szCs w:val="21"/>
          <w:highlight w:val="none"/>
          <w:lang w:val="en-US" w:eastAsia="zh-CN" w:bidi="ar-SA"/>
        </w:rPr>
      </w:pPr>
      <w:bookmarkStart w:id="122" w:name="_Toc256000171"/>
      <w:r>
        <w:rPr>
          <w:rFonts w:hint="eastAsia" w:ascii="宋体" w:hAnsi="宋体" w:eastAsia="宋体" w:cs="宋体"/>
          <w:b/>
          <w:bCs/>
          <w:color w:val="auto"/>
          <w:kern w:val="44"/>
          <w:sz w:val="32"/>
          <w:szCs w:val="21"/>
          <w:highlight w:val="none"/>
          <w:lang w:val="en-US" w:eastAsia="zh-CN" w:bidi="ar-SA"/>
        </w:rPr>
        <w:br w:type="page"/>
      </w:r>
      <w:bookmarkStart w:id="123" w:name="_Toc2133"/>
      <w:r>
        <w:rPr>
          <w:rFonts w:hint="eastAsia" w:ascii="宋体" w:hAnsi="宋体" w:eastAsia="宋体" w:cs="宋体"/>
          <w:b/>
          <w:bCs/>
          <w:color w:val="auto"/>
          <w:kern w:val="44"/>
          <w:sz w:val="32"/>
          <w:szCs w:val="21"/>
          <w:highlight w:val="none"/>
          <w:lang w:val="en-US" w:eastAsia="zh-CN" w:bidi="ar-SA"/>
        </w:rPr>
        <w:t>第三部分 专用合同条款</w:t>
      </w:r>
      <w:bookmarkEnd w:id="122"/>
      <w:bookmarkEnd w:id="123"/>
    </w:p>
    <w:p w14:paraId="393798F1">
      <w:pPr>
        <w:keepNext/>
        <w:keepLines/>
        <w:widowControl w:val="0"/>
        <w:spacing w:line="380" w:lineRule="exact"/>
        <w:jc w:val="both"/>
        <w:outlineLvl w:val="0"/>
        <w:rPr>
          <w:rFonts w:hint="eastAsia" w:ascii="宋体" w:hAnsi="宋体" w:eastAsia="宋体" w:cs="宋体"/>
          <w:b/>
          <w:bCs/>
          <w:color w:val="auto"/>
          <w:kern w:val="44"/>
          <w:sz w:val="21"/>
          <w:szCs w:val="21"/>
          <w:highlight w:val="none"/>
          <w:lang w:val="en-US" w:eastAsia="zh-CN" w:bidi="ar-SA"/>
        </w:rPr>
      </w:pPr>
      <w:bookmarkStart w:id="124" w:name="_Toc256000172"/>
      <w:bookmarkStart w:id="125" w:name="_Toc497747171"/>
      <w:bookmarkStart w:id="126" w:name="_Toc26761"/>
      <w:bookmarkStart w:id="127" w:name="_Toc497746774"/>
      <w:bookmarkStart w:id="128" w:name="_Toc418752235"/>
      <w:bookmarkStart w:id="129" w:name="_Toc351203633"/>
      <w:bookmarkStart w:id="130" w:name="_Toc406522213"/>
      <w:bookmarkStart w:id="131" w:name="_Toc522201723"/>
      <w:bookmarkStart w:id="132" w:name="_Toc418751789"/>
      <w:r>
        <w:rPr>
          <w:rFonts w:hint="eastAsia" w:ascii="宋体" w:hAnsi="宋体" w:eastAsia="宋体" w:cs="宋体"/>
          <w:b/>
          <w:bCs/>
          <w:color w:val="auto"/>
          <w:kern w:val="44"/>
          <w:sz w:val="21"/>
          <w:szCs w:val="21"/>
          <w:highlight w:val="none"/>
          <w:lang w:val="en-US" w:eastAsia="zh-CN" w:bidi="ar-SA"/>
        </w:rPr>
        <w:t>1</w:t>
      </w:r>
      <w:bookmarkStart w:id="133" w:name="_Toc296944495"/>
      <w:bookmarkStart w:id="134" w:name="_Toc296347155"/>
      <w:bookmarkStart w:id="135" w:name="_Toc296346657"/>
      <w:bookmarkStart w:id="136" w:name="_Toc296503156"/>
      <w:bookmarkStart w:id="137" w:name="_Toc297120456"/>
      <w:bookmarkStart w:id="138" w:name="_Toc296891196"/>
      <w:bookmarkStart w:id="139" w:name="_Toc292559361"/>
      <w:bookmarkStart w:id="140" w:name="_Toc296890984"/>
      <w:bookmarkStart w:id="141" w:name="_Toc292559866"/>
      <w:bookmarkStart w:id="142" w:name="_Toc297048342"/>
      <w:r>
        <w:rPr>
          <w:rFonts w:hint="eastAsia" w:ascii="宋体" w:hAnsi="宋体" w:eastAsia="宋体" w:cs="宋体"/>
          <w:b/>
          <w:bCs/>
          <w:color w:val="auto"/>
          <w:kern w:val="44"/>
          <w:sz w:val="21"/>
          <w:szCs w:val="21"/>
          <w:highlight w:val="none"/>
          <w:lang w:val="en-US" w:eastAsia="zh-CN" w:bidi="ar-SA"/>
        </w:rPr>
        <w:t>. 一般约定</w:t>
      </w:r>
      <w:bookmarkEnd w:id="124"/>
      <w:bookmarkEnd w:id="125"/>
      <w:bookmarkEnd w:id="126"/>
      <w:bookmarkEnd w:id="127"/>
      <w:bookmarkEnd w:id="128"/>
      <w:bookmarkEnd w:id="129"/>
      <w:bookmarkEnd w:id="130"/>
      <w:bookmarkEnd w:id="131"/>
      <w:bookmarkEnd w:id="132"/>
    </w:p>
    <w:bookmarkEnd w:id="133"/>
    <w:bookmarkEnd w:id="134"/>
    <w:bookmarkEnd w:id="135"/>
    <w:bookmarkEnd w:id="136"/>
    <w:bookmarkEnd w:id="137"/>
    <w:bookmarkEnd w:id="138"/>
    <w:bookmarkEnd w:id="139"/>
    <w:bookmarkEnd w:id="140"/>
    <w:bookmarkEnd w:id="141"/>
    <w:bookmarkEnd w:id="142"/>
    <w:p w14:paraId="725158A9">
      <w:pPr>
        <w:keepNext/>
        <w:keepLines/>
        <w:widowControl w:val="0"/>
        <w:spacing w:line="380" w:lineRule="exact"/>
        <w:ind w:firstLine="422" w:firstLineChars="200"/>
        <w:jc w:val="both"/>
        <w:outlineLvl w:val="0"/>
        <w:rPr>
          <w:rFonts w:hint="eastAsia" w:ascii="宋体" w:hAnsi="宋体" w:eastAsia="宋体" w:cs="宋体"/>
          <w:b/>
          <w:bCs/>
          <w:color w:val="auto"/>
          <w:kern w:val="44"/>
          <w:sz w:val="21"/>
          <w:szCs w:val="21"/>
          <w:highlight w:val="none"/>
          <w:lang w:val="en-US" w:eastAsia="zh-CN" w:bidi="ar-SA"/>
        </w:rPr>
      </w:pPr>
      <w:bookmarkStart w:id="143" w:name="_Toc20165"/>
      <w:bookmarkStart w:id="144" w:name="_Toc406522214"/>
      <w:bookmarkStart w:id="145" w:name="_Toc497747172"/>
      <w:bookmarkStart w:id="146" w:name="_Toc522201724"/>
      <w:bookmarkStart w:id="147" w:name="_Toc418751790"/>
      <w:bookmarkStart w:id="148" w:name="_Toc256000173"/>
      <w:bookmarkStart w:id="149" w:name="_Toc497746775"/>
      <w:bookmarkStart w:id="150" w:name="_Toc418752236"/>
      <w:r>
        <w:rPr>
          <w:rFonts w:hint="eastAsia" w:ascii="宋体" w:hAnsi="宋体" w:eastAsia="宋体" w:cs="宋体"/>
          <w:b/>
          <w:bCs/>
          <w:color w:val="auto"/>
          <w:kern w:val="44"/>
          <w:sz w:val="21"/>
          <w:szCs w:val="21"/>
          <w:highlight w:val="none"/>
          <w:lang w:val="en-US" w:eastAsia="zh-CN" w:bidi="ar-SA"/>
        </w:rPr>
        <w:t>1.1 词语定义</w:t>
      </w:r>
      <w:bookmarkEnd w:id="143"/>
      <w:bookmarkEnd w:id="144"/>
      <w:bookmarkEnd w:id="145"/>
      <w:bookmarkEnd w:id="146"/>
      <w:bookmarkEnd w:id="147"/>
      <w:bookmarkEnd w:id="148"/>
      <w:bookmarkEnd w:id="149"/>
      <w:bookmarkEnd w:id="150"/>
    </w:p>
    <w:p w14:paraId="286C9FE3">
      <w:pPr>
        <w:pStyle w:val="3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1.1.1合同</w:t>
      </w:r>
    </w:p>
    <w:p w14:paraId="14CF50C1">
      <w:pPr>
        <w:pStyle w:val="30"/>
        <w:spacing w:line="380" w:lineRule="exact"/>
        <w:rPr>
          <w:rFonts w:hint="eastAsia" w:ascii="宋体" w:hAnsi="宋体" w:eastAsia="宋体" w:cs="宋体"/>
          <w:color w:val="auto"/>
          <w:highlight w:val="none"/>
          <w:u w:val="single"/>
        </w:rPr>
      </w:pPr>
      <w:r>
        <w:rPr>
          <w:rFonts w:hint="eastAsia" w:ascii="宋体" w:hAnsi="宋体" w:eastAsia="宋体" w:cs="宋体"/>
          <w:color w:val="auto"/>
          <w:highlight w:val="none"/>
        </w:rPr>
        <w:t>1.1.1.10其他合同文件包括：</w:t>
      </w:r>
      <w:r>
        <w:rPr>
          <w:rFonts w:hint="eastAsia" w:ascii="宋体" w:hAnsi="宋体" w:eastAsia="宋体" w:cs="宋体"/>
          <w:color w:val="auto"/>
          <w:highlight w:val="none"/>
          <w:u w:val="single"/>
        </w:rPr>
        <w:t>（1）本合同协议书；（2）中标通知书；（3）投标书及其附件；（4）本合同专用条款及补充条款；（5）本合同通用条款；（6）标准、规范及有关技术文件；（7）图纸（含图纸修改通知单及图纸设计变更文件）；（8）工程量清单；（9）本工程预算控制价造价成果文件及其他合同文件</w:t>
      </w:r>
      <w:r>
        <w:rPr>
          <w:rFonts w:hint="eastAsia" w:ascii="宋体" w:hAnsi="宋体" w:eastAsia="宋体" w:cs="宋体"/>
          <w:color w:val="auto"/>
          <w:highlight w:val="none"/>
        </w:rPr>
        <w:t>。</w:t>
      </w:r>
    </w:p>
    <w:p w14:paraId="4A017C25">
      <w:pPr>
        <w:pStyle w:val="3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1.1.2 合同当事人及其他相关方</w:t>
      </w:r>
    </w:p>
    <w:p w14:paraId="56082CFE">
      <w:pPr>
        <w:pStyle w:val="3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1.1.2.4监理人：</w:t>
      </w:r>
    </w:p>
    <w:p w14:paraId="163D5046">
      <w:pPr>
        <w:pStyle w:val="3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名    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以发包人书面通知为准</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0340F50E">
      <w:pPr>
        <w:pStyle w:val="3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资质类别和等级：</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以发包人书面通知为准</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4627EF0A">
      <w:pPr>
        <w:pStyle w:val="3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联系电话：</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以发包人书面通知为准</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429F7785">
      <w:pPr>
        <w:pStyle w:val="3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电子信箱：</w:t>
      </w:r>
      <w:r>
        <w:rPr>
          <w:rFonts w:hint="eastAsia" w:ascii="宋体" w:hAnsi="宋体" w:eastAsia="宋体" w:cs="宋体"/>
          <w:color w:val="auto"/>
          <w:highlight w:val="none"/>
          <w:u w:val="single"/>
          <w:lang w:val="en-US" w:eastAsia="zh-CN"/>
        </w:rPr>
        <w:t xml:space="preserve"> 以发包人书面通知为准 </w:t>
      </w:r>
      <w:r>
        <w:rPr>
          <w:rFonts w:hint="eastAsia" w:ascii="宋体" w:hAnsi="宋体" w:eastAsia="宋体" w:cs="宋体"/>
          <w:color w:val="auto"/>
          <w:highlight w:val="none"/>
        </w:rPr>
        <w:t>；</w:t>
      </w:r>
    </w:p>
    <w:p w14:paraId="75CB8CBF">
      <w:pPr>
        <w:pStyle w:val="3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通信地址：</w:t>
      </w:r>
      <w:r>
        <w:rPr>
          <w:rFonts w:hint="eastAsia" w:ascii="宋体" w:hAnsi="宋体" w:eastAsia="宋体" w:cs="宋体"/>
          <w:color w:val="auto"/>
          <w:highlight w:val="none"/>
          <w:u w:val="single"/>
          <w:lang w:val="en-US" w:eastAsia="zh-CN"/>
        </w:rPr>
        <w:t xml:space="preserve"> 以发包人书面通知为准 </w:t>
      </w:r>
      <w:r>
        <w:rPr>
          <w:rFonts w:hint="eastAsia" w:ascii="宋体" w:hAnsi="宋体" w:eastAsia="宋体" w:cs="宋体"/>
          <w:color w:val="auto"/>
          <w:highlight w:val="none"/>
        </w:rPr>
        <w:t>。</w:t>
      </w:r>
    </w:p>
    <w:p w14:paraId="74E5C7D9">
      <w:pPr>
        <w:pStyle w:val="3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1.1.2.5 设计人：</w:t>
      </w:r>
    </w:p>
    <w:p w14:paraId="76A2B81E">
      <w:pPr>
        <w:pStyle w:val="3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名    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48D0DFFD">
      <w:pPr>
        <w:pStyle w:val="3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资质类别和等级：</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464377C1">
      <w:pPr>
        <w:pStyle w:val="3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联系电话：</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39142304">
      <w:pPr>
        <w:pStyle w:val="3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电子信箱：</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1D169369">
      <w:pPr>
        <w:pStyle w:val="3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通信地址：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713D7984">
      <w:pPr>
        <w:pStyle w:val="3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1.1.3 工程和设备</w:t>
      </w:r>
    </w:p>
    <w:p w14:paraId="70F7423B">
      <w:pPr>
        <w:pStyle w:val="3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1.1.3.7 作为施工现场组成部分的其他场所包括：</w:t>
      </w:r>
      <w:r>
        <w:rPr>
          <w:rFonts w:hint="eastAsia" w:ascii="宋体" w:hAnsi="宋体" w:eastAsia="宋体" w:cs="宋体"/>
          <w:color w:val="auto"/>
          <w:highlight w:val="none"/>
          <w:u w:val="single"/>
        </w:rPr>
        <w:t xml:space="preserve">  按通用条款执行</w:t>
      </w:r>
      <w:r>
        <w:rPr>
          <w:rFonts w:hint="eastAsia" w:ascii="宋体" w:hAnsi="宋体" w:eastAsia="宋体" w:cs="宋体"/>
          <w:color w:val="auto"/>
          <w:highlight w:val="none"/>
        </w:rPr>
        <w:t>。</w:t>
      </w:r>
    </w:p>
    <w:p w14:paraId="14238986">
      <w:pPr>
        <w:pStyle w:val="3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1.1.3.9 永久占地包括：</w:t>
      </w:r>
      <w:r>
        <w:rPr>
          <w:rFonts w:hint="eastAsia" w:ascii="宋体" w:hAnsi="宋体" w:eastAsia="宋体" w:cs="宋体"/>
          <w:color w:val="auto"/>
          <w:highlight w:val="none"/>
          <w:u w:val="single"/>
        </w:rPr>
        <w:t xml:space="preserve">  为实施工程需永久占用的土地</w:t>
      </w:r>
      <w:r>
        <w:rPr>
          <w:rFonts w:hint="eastAsia" w:ascii="宋体" w:hAnsi="宋体" w:eastAsia="宋体" w:cs="宋体"/>
          <w:color w:val="auto"/>
          <w:highlight w:val="none"/>
        </w:rPr>
        <w:t>。</w:t>
      </w:r>
    </w:p>
    <w:p w14:paraId="341A1F32">
      <w:pPr>
        <w:pStyle w:val="3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1.1.3.10 临时占地包括：</w:t>
      </w:r>
      <w:r>
        <w:rPr>
          <w:rFonts w:hint="eastAsia" w:ascii="宋体" w:hAnsi="宋体" w:eastAsia="宋体" w:cs="宋体"/>
          <w:color w:val="auto"/>
          <w:highlight w:val="none"/>
          <w:u w:val="single"/>
        </w:rPr>
        <w:t xml:space="preserve"> 为实施工程需临时占用的土地 </w:t>
      </w:r>
      <w:r>
        <w:rPr>
          <w:rFonts w:hint="eastAsia" w:ascii="宋体" w:hAnsi="宋体" w:eastAsia="宋体" w:cs="宋体"/>
          <w:color w:val="auto"/>
          <w:highlight w:val="none"/>
        </w:rPr>
        <w:t>。</w:t>
      </w:r>
    </w:p>
    <w:p w14:paraId="5649BFC0">
      <w:pPr>
        <w:keepNext/>
        <w:keepLines/>
        <w:widowControl w:val="0"/>
        <w:spacing w:line="380" w:lineRule="exact"/>
        <w:ind w:firstLine="422" w:firstLineChars="200"/>
        <w:jc w:val="both"/>
        <w:outlineLvl w:val="0"/>
        <w:rPr>
          <w:rFonts w:hint="eastAsia" w:ascii="宋体" w:hAnsi="宋体" w:eastAsia="宋体" w:cs="宋体"/>
          <w:b/>
          <w:bCs/>
          <w:color w:val="auto"/>
          <w:kern w:val="44"/>
          <w:sz w:val="21"/>
          <w:szCs w:val="21"/>
          <w:highlight w:val="none"/>
          <w:lang w:val="en-US" w:eastAsia="zh-CN" w:bidi="ar-SA"/>
        </w:rPr>
      </w:pPr>
      <w:bookmarkStart w:id="151" w:name="_Toc497747173"/>
      <w:bookmarkStart w:id="152" w:name="_Toc256000174"/>
      <w:bookmarkStart w:id="153" w:name="_Toc418752237"/>
      <w:bookmarkStart w:id="154" w:name="_Toc406522215"/>
      <w:bookmarkStart w:id="155" w:name="_Toc497746776"/>
      <w:bookmarkStart w:id="156" w:name="_Toc418751791"/>
      <w:bookmarkStart w:id="157" w:name="_Toc31221"/>
      <w:bookmarkStart w:id="158" w:name="_Toc522201725"/>
      <w:r>
        <w:rPr>
          <w:rFonts w:hint="eastAsia" w:ascii="宋体" w:hAnsi="宋体" w:eastAsia="宋体" w:cs="宋体"/>
          <w:b/>
          <w:bCs/>
          <w:color w:val="auto"/>
          <w:kern w:val="44"/>
          <w:sz w:val="21"/>
          <w:szCs w:val="21"/>
          <w:highlight w:val="none"/>
          <w:lang w:val="en-US" w:eastAsia="zh-CN" w:bidi="ar-SA"/>
        </w:rPr>
        <w:t>1.3法律</w:t>
      </w:r>
      <w:bookmarkEnd w:id="151"/>
      <w:bookmarkEnd w:id="152"/>
      <w:bookmarkEnd w:id="153"/>
      <w:bookmarkEnd w:id="154"/>
      <w:bookmarkEnd w:id="155"/>
      <w:bookmarkEnd w:id="156"/>
      <w:bookmarkEnd w:id="157"/>
      <w:bookmarkEnd w:id="158"/>
      <w:r>
        <w:rPr>
          <w:rFonts w:hint="eastAsia" w:ascii="宋体" w:hAnsi="宋体" w:eastAsia="宋体" w:cs="宋体"/>
          <w:b/>
          <w:bCs/>
          <w:color w:val="auto"/>
          <w:kern w:val="44"/>
          <w:sz w:val="21"/>
          <w:szCs w:val="21"/>
          <w:highlight w:val="none"/>
          <w:lang w:val="en-US" w:eastAsia="zh-CN" w:bidi="ar-SA"/>
        </w:rPr>
        <w:t xml:space="preserve"> </w:t>
      </w:r>
    </w:p>
    <w:p w14:paraId="33A17E64">
      <w:pPr>
        <w:pStyle w:val="3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适用于合同的其他规范性文件：</w:t>
      </w:r>
      <w:r>
        <w:rPr>
          <w:rFonts w:hint="eastAsia" w:ascii="宋体" w:hAnsi="宋体" w:eastAsia="宋体" w:cs="宋体"/>
          <w:color w:val="auto"/>
          <w:highlight w:val="none"/>
          <w:u w:val="single"/>
        </w:rPr>
        <w:t>同通用条款</w:t>
      </w:r>
      <w:r>
        <w:rPr>
          <w:rFonts w:hint="eastAsia" w:ascii="宋体" w:hAnsi="宋体" w:eastAsia="宋体" w:cs="宋体"/>
          <w:color w:val="auto"/>
          <w:highlight w:val="none"/>
        </w:rPr>
        <w:t>。</w:t>
      </w:r>
    </w:p>
    <w:p w14:paraId="59771021">
      <w:pPr>
        <w:keepNext/>
        <w:keepLines/>
        <w:widowControl w:val="0"/>
        <w:spacing w:line="380" w:lineRule="exact"/>
        <w:ind w:firstLine="422" w:firstLineChars="200"/>
        <w:jc w:val="both"/>
        <w:outlineLvl w:val="0"/>
        <w:rPr>
          <w:rFonts w:hint="eastAsia" w:ascii="宋体" w:hAnsi="宋体" w:eastAsia="宋体" w:cs="宋体"/>
          <w:b/>
          <w:bCs/>
          <w:color w:val="auto"/>
          <w:kern w:val="44"/>
          <w:sz w:val="21"/>
          <w:szCs w:val="21"/>
          <w:highlight w:val="none"/>
          <w:lang w:val="en-US" w:eastAsia="zh-CN" w:bidi="ar-SA"/>
        </w:rPr>
      </w:pPr>
      <w:bookmarkStart w:id="159" w:name="_Toc497746777"/>
      <w:bookmarkStart w:id="160" w:name="_Toc406522216"/>
      <w:bookmarkStart w:id="161" w:name="_Toc256000175"/>
      <w:bookmarkStart w:id="162" w:name="_Toc418751792"/>
      <w:bookmarkStart w:id="163" w:name="_Toc497747174"/>
      <w:bookmarkStart w:id="164" w:name="_Toc522201726"/>
      <w:bookmarkStart w:id="165" w:name="_Toc18285"/>
      <w:bookmarkStart w:id="166" w:name="_Toc418752238"/>
      <w:r>
        <w:rPr>
          <w:rFonts w:hint="eastAsia" w:ascii="宋体" w:hAnsi="宋体" w:eastAsia="宋体" w:cs="宋体"/>
          <w:b/>
          <w:bCs/>
          <w:color w:val="auto"/>
          <w:kern w:val="44"/>
          <w:sz w:val="21"/>
          <w:szCs w:val="21"/>
          <w:highlight w:val="none"/>
          <w:lang w:val="en-US" w:eastAsia="zh-CN" w:bidi="ar-SA"/>
        </w:rPr>
        <w:t>1.4 标准和规范</w:t>
      </w:r>
      <w:bookmarkEnd w:id="159"/>
      <w:bookmarkEnd w:id="160"/>
      <w:bookmarkEnd w:id="161"/>
      <w:bookmarkEnd w:id="162"/>
      <w:bookmarkEnd w:id="163"/>
      <w:bookmarkEnd w:id="164"/>
      <w:bookmarkEnd w:id="165"/>
      <w:bookmarkEnd w:id="166"/>
    </w:p>
    <w:p w14:paraId="7C23EDDE">
      <w:pPr>
        <w:pStyle w:val="3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1.4.1适用于工程的标准规范包括：</w:t>
      </w:r>
      <w:r>
        <w:rPr>
          <w:rFonts w:hint="eastAsia" w:ascii="宋体" w:hAnsi="宋体" w:eastAsia="宋体" w:cs="宋体"/>
          <w:color w:val="auto"/>
          <w:highlight w:val="none"/>
          <w:u w:val="single"/>
        </w:rPr>
        <w:t>现行国家、地方、部门有关标准规范</w:t>
      </w:r>
      <w:r>
        <w:rPr>
          <w:rFonts w:hint="eastAsia" w:ascii="宋体" w:hAnsi="宋体" w:eastAsia="宋体" w:cs="宋体"/>
          <w:color w:val="auto"/>
          <w:highlight w:val="none"/>
        </w:rPr>
        <w:t>。</w:t>
      </w:r>
    </w:p>
    <w:p w14:paraId="290C269F">
      <w:pPr>
        <w:pStyle w:val="3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1.4.2 发包人提供国外标准、规范的名称：</w:t>
      </w:r>
      <w:r>
        <w:rPr>
          <w:rFonts w:hint="eastAsia" w:ascii="宋体" w:hAnsi="宋体" w:eastAsia="宋体" w:cs="宋体"/>
          <w:color w:val="auto"/>
          <w:highlight w:val="none"/>
          <w:u w:val="single"/>
        </w:rPr>
        <w:t xml:space="preserve"> 无 </w:t>
      </w:r>
      <w:r>
        <w:rPr>
          <w:rFonts w:hint="eastAsia" w:ascii="宋体" w:hAnsi="宋体" w:eastAsia="宋体" w:cs="宋体"/>
          <w:color w:val="auto"/>
          <w:highlight w:val="none"/>
        </w:rPr>
        <w:t>；</w:t>
      </w:r>
    </w:p>
    <w:p w14:paraId="42D0D05F">
      <w:pPr>
        <w:pStyle w:val="3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发包人提供国外标准、规范的份数：</w:t>
      </w:r>
      <w:r>
        <w:rPr>
          <w:rFonts w:hint="eastAsia" w:ascii="宋体" w:hAnsi="宋体" w:eastAsia="宋体" w:cs="宋体"/>
          <w:color w:val="auto"/>
          <w:highlight w:val="none"/>
          <w:u w:val="single"/>
        </w:rPr>
        <w:t xml:space="preserve">  无 </w:t>
      </w:r>
      <w:r>
        <w:rPr>
          <w:rFonts w:hint="eastAsia" w:ascii="宋体" w:hAnsi="宋体" w:eastAsia="宋体" w:cs="宋体"/>
          <w:color w:val="auto"/>
          <w:highlight w:val="none"/>
        </w:rPr>
        <w:t>；</w:t>
      </w:r>
    </w:p>
    <w:p w14:paraId="1D956940">
      <w:pPr>
        <w:pStyle w:val="3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发包人提供国外标准、规范的名称：</w:t>
      </w:r>
      <w:r>
        <w:rPr>
          <w:rFonts w:hint="eastAsia" w:ascii="宋体" w:hAnsi="宋体" w:eastAsia="宋体" w:cs="宋体"/>
          <w:color w:val="auto"/>
          <w:highlight w:val="none"/>
          <w:u w:val="single"/>
        </w:rPr>
        <w:t xml:space="preserve"> 无 </w:t>
      </w:r>
      <w:r>
        <w:rPr>
          <w:rFonts w:hint="eastAsia" w:ascii="宋体" w:hAnsi="宋体" w:eastAsia="宋体" w:cs="宋体"/>
          <w:color w:val="auto"/>
          <w:highlight w:val="none"/>
        </w:rPr>
        <w:t>。</w:t>
      </w:r>
    </w:p>
    <w:p w14:paraId="2C903295">
      <w:pPr>
        <w:pStyle w:val="3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1.4.3发包人对工程的技术标准和功能要求的特殊要求：</w:t>
      </w:r>
      <w:r>
        <w:rPr>
          <w:rFonts w:hint="eastAsia" w:ascii="宋体" w:hAnsi="宋体" w:eastAsia="宋体" w:cs="宋体"/>
          <w:color w:val="auto"/>
          <w:highlight w:val="none"/>
          <w:u w:val="single"/>
        </w:rPr>
        <w:t xml:space="preserve">无 </w:t>
      </w:r>
      <w:r>
        <w:rPr>
          <w:rFonts w:hint="eastAsia" w:ascii="宋体" w:hAnsi="宋体" w:eastAsia="宋体" w:cs="宋体"/>
          <w:color w:val="auto"/>
          <w:highlight w:val="none"/>
        </w:rPr>
        <w:t>。</w:t>
      </w:r>
    </w:p>
    <w:p w14:paraId="4685354F">
      <w:pPr>
        <w:keepNext/>
        <w:keepLines/>
        <w:widowControl w:val="0"/>
        <w:spacing w:line="380" w:lineRule="exact"/>
        <w:ind w:firstLine="422" w:firstLineChars="200"/>
        <w:jc w:val="both"/>
        <w:outlineLvl w:val="0"/>
        <w:rPr>
          <w:rFonts w:hint="eastAsia" w:ascii="宋体" w:hAnsi="宋体" w:eastAsia="宋体" w:cs="宋体"/>
          <w:b/>
          <w:bCs/>
          <w:color w:val="auto"/>
          <w:kern w:val="44"/>
          <w:sz w:val="21"/>
          <w:szCs w:val="21"/>
          <w:highlight w:val="none"/>
          <w:lang w:val="en-US" w:eastAsia="zh-CN" w:bidi="ar-SA"/>
        </w:rPr>
      </w:pPr>
      <w:bookmarkStart w:id="167" w:name="_Toc522201727"/>
      <w:bookmarkStart w:id="168" w:name="_Toc497747175"/>
      <w:bookmarkStart w:id="169" w:name="_Toc406522217"/>
      <w:bookmarkStart w:id="170" w:name="_Toc497746778"/>
      <w:bookmarkStart w:id="171" w:name="_Toc30683"/>
      <w:bookmarkStart w:id="172" w:name="_Toc418751793"/>
      <w:bookmarkStart w:id="173" w:name="_Toc418752239"/>
      <w:bookmarkStart w:id="174" w:name="_Toc256000176"/>
      <w:r>
        <w:rPr>
          <w:rFonts w:hint="eastAsia" w:ascii="宋体" w:hAnsi="宋体" w:eastAsia="宋体" w:cs="宋体"/>
          <w:b/>
          <w:bCs/>
          <w:color w:val="auto"/>
          <w:kern w:val="44"/>
          <w:sz w:val="21"/>
          <w:szCs w:val="21"/>
          <w:highlight w:val="none"/>
          <w:lang w:val="en-US" w:eastAsia="zh-CN" w:bidi="ar-SA"/>
        </w:rPr>
        <w:t>1.5 合同文件的优先顺序</w:t>
      </w:r>
      <w:bookmarkEnd w:id="167"/>
      <w:bookmarkEnd w:id="168"/>
      <w:bookmarkEnd w:id="169"/>
      <w:bookmarkEnd w:id="170"/>
      <w:bookmarkEnd w:id="171"/>
      <w:bookmarkEnd w:id="172"/>
      <w:bookmarkEnd w:id="173"/>
      <w:bookmarkEnd w:id="174"/>
    </w:p>
    <w:p w14:paraId="038C7A86">
      <w:pPr>
        <w:pStyle w:val="29"/>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合同文件组成及优先顺序为：</w:t>
      </w:r>
    </w:p>
    <w:p w14:paraId="7CDD9C4C">
      <w:pPr>
        <w:pStyle w:val="29"/>
        <w:spacing w:line="3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（1）合同协议书；</w:t>
      </w:r>
    </w:p>
    <w:p w14:paraId="16DEF9A4">
      <w:pPr>
        <w:pStyle w:val="29"/>
        <w:spacing w:line="3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（2）中标通知书（如果有）；</w:t>
      </w:r>
    </w:p>
    <w:p w14:paraId="16A0D43B">
      <w:pPr>
        <w:pStyle w:val="29"/>
        <w:spacing w:line="3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（3）投标函及其附录（如果有）；</w:t>
      </w:r>
    </w:p>
    <w:p w14:paraId="4E3A5724">
      <w:pPr>
        <w:pStyle w:val="29"/>
        <w:spacing w:line="3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（4）专用合同条款及其附件；</w:t>
      </w:r>
    </w:p>
    <w:p w14:paraId="3A87BA1D">
      <w:pPr>
        <w:pStyle w:val="29"/>
        <w:spacing w:line="3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（5）通用合同条款；</w:t>
      </w:r>
    </w:p>
    <w:p w14:paraId="7BD13702">
      <w:pPr>
        <w:pStyle w:val="29"/>
        <w:spacing w:line="3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（6）技术标准和要求 ；</w:t>
      </w:r>
    </w:p>
    <w:p w14:paraId="673CA6CE">
      <w:pPr>
        <w:pStyle w:val="29"/>
        <w:spacing w:line="3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（7）图纸（含图纸修改通知单及图纸设计变更文件） ；</w:t>
      </w:r>
    </w:p>
    <w:p w14:paraId="47F15F0A">
      <w:pPr>
        <w:pStyle w:val="29"/>
        <w:spacing w:line="3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（8）已标价工程量清单 ；</w:t>
      </w:r>
    </w:p>
    <w:p w14:paraId="778F0A98">
      <w:pPr>
        <w:pStyle w:val="29"/>
        <w:spacing w:line="3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（9）其他合同文件（包括本工程预算控制价造价成果文件、</w:t>
      </w:r>
      <w:r>
        <w:rPr>
          <w:rFonts w:hint="eastAsia" w:ascii="宋体" w:hAnsi="宋体" w:eastAsia="宋体" w:cs="宋体"/>
          <w:color w:val="auto"/>
          <w:kern w:val="0"/>
          <w:szCs w:val="21"/>
          <w:highlight w:val="none"/>
          <w:lang w:eastAsia="zh-CN"/>
        </w:rPr>
        <w:t>采购文件</w:t>
      </w:r>
      <w:r>
        <w:rPr>
          <w:rFonts w:hint="eastAsia" w:ascii="宋体" w:hAnsi="宋体" w:eastAsia="宋体" w:cs="宋体"/>
          <w:color w:val="auto"/>
          <w:kern w:val="0"/>
          <w:szCs w:val="21"/>
          <w:highlight w:val="none"/>
        </w:rPr>
        <w:t>等文件）；</w:t>
      </w:r>
    </w:p>
    <w:p w14:paraId="11F540CF">
      <w:pPr>
        <w:pStyle w:val="29"/>
        <w:spacing w:line="3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建设工程工程量清单计价规范（GB5050-2013）》及其广西实施细则及《关于建筑业实施营业税改征增值税后广西壮族自治区建设工程计价依据调整的通知》（桂建标〔2016〕17号）、《建设工程工程量清单计算规范（</w:t>
      </w:r>
      <w:r>
        <w:rPr>
          <w:rFonts w:hint="eastAsia" w:ascii="宋体" w:hAnsi="宋体" w:eastAsia="宋体" w:cs="宋体"/>
          <w:color w:val="auto"/>
          <w:kern w:val="0"/>
          <w:szCs w:val="21"/>
          <w:highlight w:val="none"/>
          <w:lang w:eastAsia="zh-CN"/>
        </w:rPr>
        <w:t>GB50854</w:t>
      </w:r>
      <w:r>
        <w:rPr>
          <w:rFonts w:hint="eastAsia" w:ascii="宋体" w:hAnsi="宋体" w:eastAsia="宋体" w:cs="宋体"/>
          <w:color w:val="auto"/>
          <w:kern w:val="0"/>
          <w:szCs w:val="21"/>
          <w:highlight w:val="none"/>
        </w:rPr>
        <w:t>～50862-2013）》及其广西实施细则（修订本）。</w:t>
      </w:r>
    </w:p>
    <w:p w14:paraId="08D7B258">
      <w:pPr>
        <w:keepNext/>
        <w:keepLines/>
        <w:widowControl w:val="0"/>
        <w:spacing w:line="380" w:lineRule="exact"/>
        <w:ind w:firstLine="422" w:firstLineChars="200"/>
        <w:jc w:val="both"/>
        <w:outlineLvl w:val="0"/>
        <w:rPr>
          <w:rFonts w:hint="eastAsia" w:ascii="宋体" w:hAnsi="宋体" w:eastAsia="宋体" w:cs="宋体"/>
          <w:b/>
          <w:bCs/>
          <w:color w:val="auto"/>
          <w:kern w:val="0"/>
          <w:sz w:val="21"/>
          <w:szCs w:val="21"/>
          <w:highlight w:val="none"/>
          <w:lang w:val="en-US" w:eastAsia="zh-CN" w:bidi="ar-SA"/>
        </w:rPr>
      </w:pPr>
      <w:bookmarkStart w:id="175" w:name="_Toc256000177"/>
      <w:bookmarkStart w:id="176" w:name="_Toc19007"/>
      <w:bookmarkStart w:id="177" w:name="_Toc406522218"/>
      <w:bookmarkStart w:id="178" w:name="_Toc418751794"/>
      <w:bookmarkStart w:id="179" w:name="_Toc522201728"/>
      <w:bookmarkStart w:id="180" w:name="_Toc497746779"/>
      <w:bookmarkStart w:id="181" w:name="_Toc497747176"/>
      <w:bookmarkStart w:id="182" w:name="_Toc418752240"/>
      <w:r>
        <w:rPr>
          <w:rFonts w:hint="eastAsia" w:ascii="宋体" w:hAnsi="宋体" w:eastAsia="宋体" w:cs="宋体"/>
          <w:b/>
          <w:bCs/>
          <w:color w:val="auto"/>
          <w:kern w:val="0"/>
          <w:sz w:val="21"/>
          <w:szCs w:val="21"/>
          <w:highlight w:val="none"/>
          <w:lang w:val="en-US" w:eastAsia="zh-CN" w:bidi="ar-SA"/>
        </w:rPr>
        <w:t>说明：（6）、（7）、（8）、（9）填空内容分别限于技术标准和要求、图纸、已标价工程量清单或预算书、其他合同文件四者之一，其优先顺序可根据采取的不同合同方式由双方约定。</w:t>
      </w:r>
      <w:bookmarkEnd w:id="175"/>
      <w:bookmarkEnd w:id="176"/>
    </w:p>
    <w:p w14:paraId="6F9A88A2">
      <w:pPr>
        <w:keepNext/>
        <w:keepLines/>
        <w:widowControl w:val="0"/>
        <w:spacing w:line="380" w:lineRule="exact"/>
        <w:ind w:firstLine="422" w:firstLineChars="200"/>
        <w:jc w:val="both"/>
        <w:outlineLvl w:val="0"/>
        <w:rPr>
          <w:rFonts w:hint="eastAsia" w:ascii="宋体" w:hAnsi="宋体" w:eastAsia="宋体" w:cs="宋体"/>
          <w:b/>
          <w:bCs/>
          <w:color w:val="auto"/>
          <w:kern w:val="44"/>
          <w:sz w:val="21"/>
          <w:szCs w:val="21"/>
          <w:highlight w:val="none"/>
          <w:lang w:val="en-US" w:eastAsia="zh-CN" w:bidi="ar-SA"/>
        </w:rPr>
      </w:pPr>
      <w:bookmarkStart w:id="183" w:name="_Toc23929"/>
      <w:bookmarkStart w:id="184" w:name="_Toc256000178"/>
      <w:r>
        <w:rPr>
          <w:rFonts w:hint="eastAsia" w:ascii="宋体" w:hAnsi="宋体" w:eastAsia="宋体" w:cs="宋体"/>
          <w:b/>
          <w:bCs/>
          <w:color w:val="auto"/>
          <w:kern w:val="44"/>
          <w:sz w:val="21"/>
          <w:szCs w:val="21"/>
          <w:highlight w:val="none"/>
          <w:lang w:val="en-US" w:eastAsia="zh-CN" w:bidi="ar-SA"/>
        </w:rPr>
        <w:t>1.6 图纸和承包人文件</w:t>
      </w:r>
      <w:bookmarkEnd w:id="177"/>
      <w:bookmarkEnd w:id="178"/>
      <w:bookmarkEnd w:id="179"/>
      <w:bookmarkEnd w:id="180"/>
      <w:bookmarkEnd w:id="181"/>
      <w:bookmarkEnd w:id="182"/>
      <w:bookmarkEnd w:id="183"/>
      <w:bookmarkEnd w:id="184"/>
      <w:r>
        <w:rPr>
          <w:rFonts w:hint="eastAsia" w:ascii="宋体" w:hAnsi="宋体" w:eastAsia="宋体" w:cs="宋体"/>
          <w:b/>
          <w:bCs/>
          <w:color w:val="auto"/>
          <w:kern w:val="44"/>
          <w:sz w:val="21"/>
          <w:szCs w:val="21"/>
          <w:highlight w:val="none"/>
          <w:lang w:val="en-US" w:eastAsia="zh-CN" w:bidi="ar-SA"/>
        </w:rPr>
        <w:tab/>
      </w:r>
    </w:p>
    <w:p w14:paraId="08D0B82D">
      <w:pPr>
        <w:pStyle w:val="3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1.6.1 图纸的提供</w:t>
      </w:r>
    </w:p>
    <w:p w14:paraId="7A872029">
      <w:pPr>
        <w:pStyle w:val="29"/>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发包人向承包人提供图纸的期限：</w:t>
      </w:r>
      <w:r>
        <w:rPr>
          <w:rFonts w:hint="eastAsia" w:ascii="宋体" w:hAnsi="宋体" w:eastAsia="宋体" w:cs="宋体"/>
          <w:color w:val="auto"/>
          <w:szCs w:val="21"/>
          <w:highlight w:val="none"/>
          <w:u w:val="single"/>
        </w:rPr>
        <w:t>合同签订生效后7天内</w:t>
      </w:r>
      <w:r>
        <w:rPr>
          <w:rFonts w:hint="eastAsia" w:ascii="宋体" w:hAnsi="宋体" w:eastAsia="宋体" w:cs="宋体"/>
          <w:color w:val="auto"/>
          <w:szCs w:val="21"/>
          <w:highlight w:val="none"/>
        </w:rPr>
        <w:t>；</w:t>
      </w:r>
    </w:p>
    <w:p w14:paraId="5EBCE986">
      <w:pPr>
        <w:pStyle w:val="29"/>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发包人向承包人提供图纸的数量：</w:t>
      </w:r>
      <w:r>
        <w:rPr>
          <w:rFonts w:hint="eastAsia" w:ascii="宋体" w:hAnsi="宋体" w:eastAsia="宋体" w:cs="宋体"/>
          <w:color w:val="auto"/>
          <w:szCs w:val="21"/>
          <w:highlight w:val="none"/>
          <w:u w:val="single"/>
        </w:rPr>
        <w:t>贰份，上述图纸及技术资料，未经监理工程师和发包人同意，承包人不得提供给与本工程无关的第三方。承包人需要增加图纸套数的，承包人自行复制，复制费用由承包人承担。</w:t>
      </w:r>
    </w:p>
    <w:p w14:paraId="06FC802E">
      <w:pPr>
        <w:pStyle w:val="29"/>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发包人向承包人提供图纸的内容：</w:t>
      </w:r>
      <w:r>
        <w:rPr>
          <w:rFonts w:hint="eastAsia" w:ascii="宋体" w:hAnsi="宋体" w:eastAsia="宋体" w:cs="宋体"/>
          <w:color w:val="auto"/>
          <w:kern w:val="0"/>
          <w:szCs w:val="21"/>
          <w:highlight w:val="none"/>
          <w:u w:val="single"/>
        </w:rPr>
        <w:t>全套施工图纸和其他技术资料</w:t>
      </w:r>
      <w:r>
        <w:rPr>
          <w:rFonts w:hint="eastAsia" w:ascii="宋体" w:hAnsi="宋体" w:eastAsia="宋体" w:cs="宋体"/>
          <w:color w:val="auto"/>
          <w:szCs w:val="21"/>
          <w:highlight w:val="none"/>
        </w:rPr>
        <w:t>。</w:t>
      </w:r>
    </w:p>
    <w:p w14:paraId="63426898">
      <w:pPr>
        <w:pStyle w:val="29"/>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1.6.4 承包人文件</w:t>
      </w:r>
    </w:p>
    <w:p w14:paraId="71D4A82F">
      <w:pPr>
        <w:pStyle w:val="29"/>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需要由承包人提供的文件，包括：</w:t>
      </w:r>
      <w:r>
        <w:rPr>
          <w:rFonts w:hint="eastAsia" w:ascii="宋体" w:hAnsi="宋体" w:eastAsia="宋体" w:cs="宋体"/>
          <w:color w:val="auto"/>
          <w:szCs w:val="21"/>
          <w:highlight w:val="none"/>
          <w:u w:val="single"/>
        </w:rPr>
        <w:t>1、施工组织设计；2、工程进度计划；3、管理人员名单、职称、职务、上岗证等；4、安全文明施工措施；5、质量保证体系；6、每月25日前提供当月施工统计报表和下月进度计划各一份交监理工程师及发包人；7</w:t>
      </w:r>
      <w:r>
        <w:rPr>
          <w:rFonts w:hint="eastAsia" w:ascii="宋体" w:hAnsi="宋体" w:eastAsia="宋体" w:cs="宋体"/>
          <w:color w:val="auto"/>
          <w:szCs w:val="21"/>
          <w:highlight w:val="none"/>
          <w:u w:val="single"/>
          <w:lang w:val="zh-CN"/>
        </w:rPr>
        <w:t>、</w:t>
      </w:r>
      <w:r>
        <w:rPr>
          <w:rFonts w:hint="eastAsia" w:ascii="宋体" w:hAnsi="宋体" w:eastAsia="宋体" w:cs="宋体"/>
          <w:color w:val="auto"/>
          <w:szCs w:val="21"/>
          <w:highlight w:val="none"/>
          <w:u w:val="single"/>
        </w:rPr>
        <w:t>施工图以外的大样图、加工图、标准图、以及建筑装饰深化设计图纸设计优化建议等。但设计成果文件需经原设计单位审核及认可。最终设计成果归发包人所有。</w:t>
      </w:r>
    </w:p>
    <w:p w14:paraId="2780C44A">
      <w:pPr>
        <w:pStyle w:val="29"/>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承包人提供的文件的期限为：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u w:val="single"/>
        </w:rPr>
        <w:t xml:space="preserve">开始施工前7天内  </w:t>
      </w:r>
      <w:r>
        <w:rPr>
          <w:rFonts w:hint="eastAsia" w:ascii="宋体" w:hAnsi="宋体" w:eastAsia="宋体" w:cs="宋体"/>
          <w:color w:val="auto"/>
          <w:szCs w:val="21"/>
          <w:highlight w:val="none"/>
        </w:rPr>
        <w:t>；</w:t>
      </w:r>
    </w:p>
    <w:p w14:paraId="3CE9368A">
      <w:pPr>
        <w:pStyle w:val="29"/>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承包人提供的文件的数量为：</w:t>
      </w:r>
      <w:r>
        <w:rPr>
          <w:rFonts w:hint="eastAsia" w:ascii="宋体" w:hAnsi="宋体" w:eastAsia="宋体" w:cs="宋体"/>
          <w:color w:val="auto"/>
          <w:szCs w:val="21"/>
          <w:highlight w:val="none"/>
          <w:u w:val="single"/>
        </w:rPr>
        <w:t xml:space="preserve">  6</w:t>
      </w:r>
      <w:r>
        <w:rPr>
          <w:rFonts w:hint="eastAsia" w:ascii="宋体" w:hAnsi="宋体" w:eastAsia="宋体" w:cs="宋体"/>
          <w:color w:val="auto"/>
          <w:kern w:val="0"/>
          <w:szCs w:val="21"/>
          <w:highlight w:val="none"/>
          <w:u w:val="single"/>
        </w:rPr>
        <w:t>份</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56C99205">
      <w:pPr>
        <w:pStyle w:val="29"/>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承包人提供的文件的形式为：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u w:val="single"/>
        </w:rPr>
        <w:t>纸质版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73DD787">
      <w:pPr>
        <w:pStyle w:val="3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发包人审批承包人文件的期限：</w:t>
      </w:r>
      <w:r>
        <w:rPr>
          <w:rFonts w:hint="eastAsia" w:ascii="宋体" w:hAnsi="宋体" w:eastAsia="宋体" w:cs="宋体"/>
          <w:color w:val="auto"/>
          <w:highlight w:val="none"/>
          <w:u w:val="single"/>
        </w:rPr>
        <w:t xml:space="preserve"> 收到承包人提供的文件后七天内 </w:t>
      </w:r>
      <w:r>
        <w:rPr>
          <w:rFonts w:hint="eastAsia" w:ascii="宋体" w:hAnsi="宋体" w:eastAsia="宋体" w:cs="宋体"/>
          <w:color w:val="auto"/>
          <w:highlight w:val="none"/>
        </w:rPr>
        <w:t>。</w:t>
      </w:r>
    </w:p>
    <w:p w14:paraId="2D330C87">
      <w:pPr>
        <w:pStyle w:val="3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1.6.5 现场图纸准备</w:t>
      </w:r>
    </w:p>
    <w:p w14:paraId="1DF0641F">
      <w:pPr>
        <w:pStyle w:val="3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关于现场图纸准备的约定：</w:t>
      </w:r>
      <w:r>
        <w:rPr>
          <w:rFonts w:hint="eastAsia" w:ascii="宋体" w:hAnsi="宋体" w:eastAsia="宋体" w:cs="宋体"/>
          <w:color w:val="auto"/>
          <w:highlight w:val="none"/>
          <w:u w:val="single"/>
        </w:rPr>
        <w:t xml:space="preserve">  按通用条款执行</w:t>
      </w:r>
      <w:r>
        <w:rPr>
          <w:rFonts w:hint="eastAsia" w:ascii="宋体" w:hAnsi="宋体" w:eastAsia="宋体" w:cs="宋体"/>
          <w:color w:val="auto"/>
          <w:highlight w:val="none"/>
        </w:rPr>
        <w:t>。</w:t>
      </w:r>
    </w:p>
    <w:p w14:paraId="459FEA87">
      <w:pPr>
        <w:keepNext/>
        <w:keepLines/>
        <w:widowControl w:val="0"/>
        <w:spacing w:line="380" w:lineRule="exact"/>
        <w:ind w:firstLine="422" w:firstLineChars="200"/>
        <w:jc w:val="both"/>
        <w:outlineLvl w:val="0"/>
        <w:rPr>
          <w:rFonts w:hint="eastAsia" w:ascii="宋体" w:hAnsi="宋体" w:eastAsia="宋体" w:cs="宋体"/>
          <w:b/>
          <w:bCs/>
          <w:color w:val="auto"/>
          <w:kern w:val="44"/>
          <w:sz w:val="21"/>
          <w:szCs w:val="21"/>
          <w:highlight w:val="none"/>
          <w:lang w:val="en-US" w:eastAsia="zh-CN" w:bidi="ar-SA"/>
        </w:rPr>
      </w:pPr>
      <w:bookmarkStart w:id="185" w:name="_Toc497746780"/>
      <w:bookmarkStart w:id="186" w:name="_Toc522201729"/>
      <w:bookmarkStart w:id="187" w:name="_Toc418752241"/>
      <w:bookmarkStart w:id="188" w:name="_Toc256000179"/>
      <w:bookmarkStart w:id="189" w:name="_Toc418751795"/>
      <w:bookmarkStart w:id="190" w:name="_Toc497747177"/>
      <w:bookmarkStart w:id="191" w:name="_Toc406522219"/>
      <w:bookmarkStart w:id="192" w:name="_Toc9292"/>
      <w:r>
        <w:rPr>
          <w:rFonts w:hint="eastAsia" w:ascii="宋体" w:hAnsi="宋体" w:eastAsia="宋体" w:cs="宋体"/>
          <w:b/>
          <w:bCs/>
          <w:color w:val="auto"/>
          <w:kern w:val="44"/>
          <w:sz w:val="21"/>
          <w:szCs w:val="21"/>
          <w:highlight w:val="none"/>
          <w:lang w:val="en-US" w:eastAsia="zh-CN" w:bidi="ar-SA"/>
        </w:rPr>
        <w:t>1.7 联络</w:t>
      </w:r>
      <w:bookmarkEnd w:id="185"/>
      <w:bookmarkEnd w:id="186"/>
      <w:bookmarkEnd w:id="187"/>
      <w:bookmarkEnd w:id="188"/>
      <w:bookmarkEnd w:id="189"/>
      <w:bookmarkEnd w:id="190"/>
      <w:bookmarkEnd w:id="191"/>
      <w:bookmarkEnd w:id="192"/>
    </w:p>
    <w:p w14:paraId="492EFAA0">
      <w:pPr>
        <w:pStyle w:val="3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1.7.1发包人和承包人应当在</w:t>
      </w:r>
      <w:r>
        <w:rPr>
          <w:rFonts w:hint="eastAsia" w:ascii="宋体" w:hAnsi="宋体" w:eastAsia="宋体" w:cs="宋体"/>
          <w:color w:val="auto"/>
          <w:highlight w:val="none"/>
          <w:u w:val="single"/>
        </w:rPr>
        <w:t xml:space="preserve">  7 </w:t>
      </w:r>
      <w:r>
        <w:rPr>
          <w:rFonts w:hint="eastAsia" w:ascii="宋体" w:hAnsi="宋体" w:eastAsia="宋体" w:cs="宋体"/>
          <w:color w:val="auto"/>
          <w:highlight w:val="none"/>
        </w:rPr>
        <w:t>天内将与合同有关的通知、批准、证明、证书、指示、指令、要求、请求、同意、意见、确定和决定等书面函件送达对方当事人。</w:t>
      </w:r>
    </w:p>
    <w:p w14:paraId="434CD770">
      <w:pPr>
        <w:pStyle w:val="29"/>
        <w:spacing w:line="3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1.7.2发包人接收文件的地点：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w:t>
      </w:r>
    </w:p>
    <w:p w14:paraId="166D155B">
      <w:pPr>
        <w:pStyle w:val="29"/>
        <w:spacing w:line="3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发包人指定的接收人为：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6E39CBA8">
      <w:pPr>
        <w:pStyle w:val="29"/>
        <w:spacing w:line="3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承包人接收文件的地点：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u w:val="single"/>
        </w:rPr>
        <w:t>施工现场项目部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w:t>
      </w:r>
    </w:p>
    <w:p w14:paraId="7806A5B9">
      <w:pPr>
        <w:pStyle w:val="29"/>
        <w:spacing w:line="3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承包人指定的接收人为：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w:t>
      </w:r>
    </w:p>
    <w:p w14:paraId="1F76F766">
      <w:pPr>
        <w:pStyle w:val="29"/>
        <w:spacing w:line="3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监理人接收文件的地点：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w:t>
      </w:r>
    </w:p>
    <w:p w14:paraId="18C1E9A9">
      <w:pPr>
        <w:pStyle w:val="3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监理人指定的接收人为：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1BBE3600">
      <w:pPr>
        <w:keepNext/>
        <w:keepLines/>
        <w:widowControl w:val="0"/>
        <w:spacing w:line="380" w:lineRule="exact"/>
        <w:ind w:firstLine="422" w:firstLineChars="200"/>
        <w:jc w:val="both"/>
        <w:outlineLvl w:val="0"/>
        <w:rPr>
          <w:rFonts w:hint="eastAsia" w:ascii="宋体" w:hAnsi="宋体" w:eastAsia="宋体" w:cs="宋体"/>
          <w:b/>
          <w:bCs/>
          <w:color w:val="auto"/>
          <w:kern w:val="44"/>
          <w:sz w:val="21"/>
          <w:szCs w:val="21"/>
          <w:highlight w:val="none"/>
          <w:lang w:val="en-US" w:eastAsia="zh-CN" w:bidi="ar-SA"/>
        </w:rPr>
      </w:pPr>
      <w:bookmarkStart w:id="193" w:name="_Toc522201730"/>
      <w:bookmarkStart w:id="194" w:name="_Toc497747178"/>
      <w:bookmarkStart w:id="195" w:name="_Toc418751796"/>
      <w:bookmarkStart w:id="196" w:name="_Toc418752242"/>
      <w:bookmarkStart w:id="197" w:name="_Toc406522220"/>
      <w:bookmarkStart w:id="198" w:name="_Toc12090"/>
      <w:bookmarkStart w:id="199" w:name="_Toc256000180"/>
      <w:bookmarkStart w:id="200" w:name="_Toc497746781"/>
      <w:r>
        <w:rPr>
          <w:rFonts w:hint="eastAsia" w:ascii="宋体" w:hAnsi="宋体" w:eastAsia="宋体" w:cs="宋体"/>
          <w:b/>
          <w:bCs/>
          <w:color w:val="auto"/>
          <w:kern w:val="44"/>
          <w:sz w:val="21"/>
          <w:szCs w:val="21"/>
          <w:highlight w:val="none"/>
          <w:lang w:val="en-US" w:eastAsia="zh-CN" w:bidi="ar-SA"/>
        </w:rPr>
        <w:t>1.10 交通运输</w:t>
      </w:r>
      <w:bookmarkEnd w:id="193"/>
      <w:bookmarkEnd w:id="194"/>
      <w:bookmarkEnd w:id="195"/>
      <w:bookmarkEnd w:id="196"/>
      <w:bookmarkEnd w:id="197"/>
      <w:bookmarkEnd w:id="198"/>
      <w:bookmarkEnd w:id="199"/>
      <w:bookmarkEnd w:id="200"/>
    </w:p>
    <w:p w14:paraId="30FA997F">
      <w:pPr>
        <w:pStyle w:val="3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1</w:t>
      </w:r>
      <w:bookmarkStart w:id="201" w:name="_Toc318581155"/>
      <w:bookmarkStart w:id="202" w:name="_Toc304295521"/>
      <w:bookmarkStart w:id="203" w:name="_Toc300934943"/>
      <w:bookmarkStart w:id="204" w:name="_Toc312677986"/>
      <w:bookmarkStart w:id="205" w:name="_Toc303539100"/>
      <w:r>
        <w:rPr>
          <w:rFonts w:hint="eastAsia" w:ascii="宋体" w:hAnsi="宋体" w:eastAsia="宋体" w:cs="宋体"/>
          <w:color w:val="auto"/>
          <w:highlight w:val="none"/>
        </w:rPr>
        <w:t>.10.1 出入现场的权利</w:t>
      </w:r>
    </w:p>
    <w:p w14:paraId="6621F490">
      <w:pPr>
        <w:pStyle w:val="3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关于出入现场的权利的约定：</w:t>
      </w:r>
      <w:r>
        <w:rPr>
          <w:rFonts w:hint="eastAsia" w:ascii="宋体" w:hAnsi="宋体" w:eastAsia="宋体" w:cs="宋体"/>
          <w:color w:val="auto"/>
          <w:highlight w:val="none"/>
          <w:u w:val="single"/>
        </w:rPr>
        <w:t xml:space="preserve"> 除正常施工涉及的人员及车辆外，其他人员及车辆进出场内须经过发包人同意，且由承包人进行管理登记 </w:t>
      </w:r>
      <w:r>
        <w:rPr>
          <w:rFonts w:hint="eastAsia" w:ascii="宋体" w:hAnsi="宋体" w:eastAsia="宋体" w:cs="宋体"/>
          <w:color w:val="auto"/>
          <w:highlight w:val="none"/>
        </w:rPr>
        <w:t>。</w:t>
      </w:r>
    </w:p>
    <w:bookmarkEnd w:id="201"/>
    <w:bookmarkEnd w:id="202"/>
    <w:bookmarkEnd w:id="203"/>
    <w:bookmarkEnd w:id="204"/>
    <w:bookmarkEnd w:id="205"/>
    <w:p w14:paraId="6B30BDEB">
      <w:pPr>
        <w:pStyle w:val="3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1</w:t>
      </w:r>
      <w:bookmarkStart w:id="206" w:name="_Toc303539101"/>
      <w:bookmarkStart w:id="207" w:name="_Toc304295522"/>
      <w:bookmarkStart w:id="208" w:name="_Toc312677987"/>
      <w:bookmarkStart w:id="209" w:name="_Toc300934944"/>
      <w:bookmarkStart w:id="210" w:name="_Toc318581156"/>
      <w:r>
        <w:rPr>
          <w:rFonts w:hint="eastAsia" w:ascii="宋体" w:hAnsi="宋体" w:eastAsia="宋体" w:cs="宋体"/>
          <w:color w:val="auto"/>
          <w:highlight w:val="none"/>
        </w:rPr>
        <w:t>.10.3 场内交通</w:t>
      </w:r>
    </w:p>
    <w:p w14:paraId="2C8A0F74">
      <w:pPr>
        <w:pStyle w:val="3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关于场外交通和场内交通的边界的约定：</w:t>
      </w:r>
      <w:r>
        <w:rPr>
          <w:rFonts w:hint="eastAsia" w:ascii="宋体" w:hAnsi="宋体" w:eastAsia="宋体" w:cs="宋体"/>
          <w:color w:val="auto"/>
          <w:highlight w:val="none"/>
          <w:u w:val="single"/>
        </w:rPr>
        <w:t xml:space="preserve">  规划批复总平用地红线  </w:t>
      </w:r>
      <w:r>
        <w:rPr>
          <w:rFonts w:hint="eastAsia" w:ascii="宋体" w:hAnsi="宋体" w:eastAsia="宋体" w:cs="宋体"/>
          <w:color w:val="auto"/>
          <w:highlight w:val="none"/>
        </w:rPr>
        <w:t>。</w:t>
      </w:r>
    </w:p>
    <w:p w14:paraId="50189163">
      <w:pPr>
        <w:pStyle w:val="3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关于发包人向承包人免费提供满足工程施工需要的场内道路和交通设施的约定：</w:t>
      </w:r>
      <w:r>
        <w:rPr>
          <w:rFonts w:hint="eastAsia" w:ascii="宋体" w:hAnsi="宋体" w:eastAsia="宋体" w:cs="宋体"/>
          <w:color w:val="auto"/>
          <w:highlight w:val="none"/>
          <w:u w:val="single"/>
        </w:rPr>
        <w:t>承包人负责场内道路和交通设施的修建并承担相应费用</w:t>
      </w:r>
      <w:r>
        <w:rPr>
          <w:rFonts w:hint="eastAsia" w:ascii="宋体" w:hAnsi="宋体" w:eastAsia="宋体" w:cs="宋体"/>
          <w:color w:val="auto"/>
          <w:highlight w:val="none"/>
        </w:rPr>
        <w:t>。</w:t>
      </w:r>
      <w:bookmarkEnd w:id="206"/>
      <w:bookmarkEnd w:id="207"/>
      <w:bookmarkEnd w:id="208"/>
      <w:bookmarkEnd w:id="209"/>
      <w:bookmarkEnd w:id="210"/>
      <w:r>
        <w:rPr>
          <w:rFonts w:hint="eastAsia" w:ascii="宋体" w:hAnsi="宋体" w:eastAsia="宋体" w:cs="宋体"/>
          <w:color w:val="auto"/>
          <w:highlight w:val="none"/>
        </w:rPr>
        <w:t xml:space="preserve">  </w:t>
      </w:r>
      <w:bookmarkStart w:id="211" w:name="_Toc318581157"/>
    </w:p>
    <w:p w14:paraId="26365438">
      <w:pPr>
        <w:pStyle w:val="3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1.10.4超大件和超重件的运输</w:t>
      </w:r>
    </w:p>
    <w:p w14:paraId="3610BC51">
      <w:pPr>
        <w:pStyle w:val="3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运输超大件或超重件所需的道路和桥梁临时加固改造费用和其他有关费用由</w:t>
      </w:r>
      <w:r>
        <w:rPr>
          <w:rFonts w:hint="eastAsia" w:ascii="宋体" w:hAnsi="宋体" w:eastAsia="宋体" w:cs="宋体"/>
          <w:color w:val="auto"/>
          <w:highlight w:val="none"/>
          <w:u w:val="single"/>
        </w:rPr>
        <w:t>承包人</w:t>
      </w:r>
      <w:r>
        <w:rPr>
          <w:rFonts w:hint="eastAsia" w:ascii="宋体" w:hAnsi="宋体" w:eastAsia="宋体" w:cs="宋体"/>
          <w:color w:val="auto"/>
          <w:highlight w:val="none"/>
        </w:rPr>
        <w:t>承担。</w:t>
      </w:r>
    </w:p>
    <w:bookmarkEnd w:id="211"/>
    <w:p w14:paraId="6EA53721">
      <w:pPr>
        <w:keepNext/>
        <w:keepLines/>
        <w:widowControl w:val="0"/>
        <w:spacing w:line="380" w:lineRule="exact"/>
        <w:ind w:firstLine="422" w:firstLineChars="200"/>
        <w:jc w:val="both"/>
        <w:outlineLvl w:val="0"/>
        <w:rPr>
          <w:rFonts w:hint="eastAsia" w:ascii="宋体" w:hAnsi="宋体" w:eastAsia="宋体" w:cs="宋体"/>
          <w:b/>
          <w:bCs/>
          <w:color w:val="auto"/>
          <w:kern w:val="44"/>
          <w:sz w:val="21"/>
          <w:szCs w:val="21"/>
          <w:highlight w:val="none"/>
          <w:lang w:val="en-US" w:eastAsia="zh-CN" w:bidi="ar-SA"/>
        </w:rPr>
      </w:pPr>
      <w:bookmarkStart w:id="212" w:name="_Toc406522221"/>
      <w:bookmarkStart w:id="213" w:name="_Toc418752243"/>
      <w:bookmarkStart w:id="214" w:name="_Toc497746782"/>
      <w:bookmarkStart w:id="215" w:name="_Toc497747179"/>
      <w:bookmarkStart w:id="216" w:name="_Toc522201731"/>
      <w:bookmarkStart w:id="217" w:name="_Toc418751797"/>
      <w:bookmarkStart w:id="218" w:name="_Toc3440"/>
      <w:bookmarkStart w:id="219" w:name="_Toc256000181"/>
      <w:r>
        <w:rPr>
          <w:rFonts w:hint="eastAsia" w:ascii="宋体" w:hAnsi="宋体" w:eastAsia="宋体" w:cs="宋体"/>
          <w:b/>
          <w:bCs/>
          <w:color w:val="auto"/>
          <w:kern w:val="44"/>
          <w:sz w:val="21"/>
          <w:szCs w:val="21"/>
          <w:highlight w:val="none"/>
          <w:lang w:val="en-US" w:eastAsia="zh-CN" w:bidi="ar-SA"/>
        </w:rPr>
        <w:t>1.11 知识产权</w:t>
      </w:r>
      <w:bookmarkEnd w:id="212"/>
      <w:bookmarkEnd w:id="213"/>
      <w:bookmarkEnd w:id="214"/>
      <w:bookmarkEnd w:id="215"/>
      <w:bookmarkEnd w:id="216"/>
      <w:bookmarkEnd w:id="217"/>
      <w:bookmarkEnd w:id="218"/>
      <w:bookmarkEnd w:id="219"/>
    </w:p>
    <w:p w14:paraId="061B69A7">
      <w:pPr>
        <w:pStyle w:val="3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highlight w:val="none"/>
          <w:u w:val="single"/>
        </w:rPr>
        <w:t>著作权属于发包人</w:t>
      </w:r>
      <w:r>
        <w:rPr>
          <w:rFonts w:hint="eastAsia" w:ascii="宋体" w:hAnsi="宋体" w:eastAsia="宋体" w:cs="宋体"/>
          <w:color w:val="auto"/>
          <w:highlight w:val="none"/>
        </w:rPr>
        <w:t>。</w:t>
      </w:r>
    </w:p>
    <w:p w14:paraId="0985DA1A">
      <w:pPr>
        <w:pStyle w:val="3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关于发包人提供的上述文件的使用限制的要求：</w:t>
      </w:r>
      <w:r>
        <w:rPr>
          <w:rFonts w:hint="eastAsia" w:ascii="宋体" w:hAnsi="宋体" w:eastAsia="宋体" w:cs="宋体"/>
          <w:color w:val="auto"/>
          <w:highlight w:val="none"/>
          <w:u w:val="single"/>
        </w:rPr>
        <w:t>未经发包人同意，承包人不得为了合同以外的目的而复制、使用上述文件或将之提供给任何第三方</w:t>
      </w:r>
      <w:r>
        <w:rPr>
          <w:rFonts w:hint="eastAsia" w:ascii="宋体" w:hAnsi="宋体" w:eastAsia="宋体" w:cs="宋体"/>
          <w:color w:val="auto"/>
          <w:highlight w:val="none"/>
        </w:rPr>
        <w:t>。</w:t>
      </w:r>
    </w:p>
    <w:p w14:paraId="7E7C558B">
      <w:pPr>
        <w:pStyle w:val="3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1.11.2 关于承包人为实施工程所编制文件的著作权的归属：</w:t>
      </w:r>
      <w:r>
        <w:rPr>
          <w:rFonts w:hint="eastAsia" w:ascii="宋体" w:hAnsi="宋体" w:eastAsia="宋体" w:cs="宋体"/>
          <w:color w:val="auto"/>
          <w:highlight w:val="none"/>
          <w:u w:val="single"/>
        </w:rPr>
        <w:t>除署名以外著作权属于发包人</w:t>
      </w:r>
      <w:r>
        <w:rPr>
          <w:rFonts w:hint="eastAsia" w:ascii="宋体" w:hAnsi="宋体" w:eastAsia="宋体" w:cs="宋体"/>
          <w:color w:val="auto"/>
          <w:highlight w:val="none"/>
        </w:rPr>
        <w:t>。</w:t>
      </w:r>
    </w:p>
    <w:p w14:paraId="3DBD0CB5">
      <w:pPr>
        <w:pStyle w:val="3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关于承包人提供的上述文件的使用限制的要求：</w:t>
      </w:r>
      <w:r>
        <w:rPr>
          <w:rFonts w:hint="eastAsia" w:ascii="宋体" w:hAnsi="宋体" w:eastAsia="宋体" w:cs="宋体"/>
          <w:color w:val="auto"/>
          <w:highlight w:val="none"/>
          <w:u w:val="single"/>
        </w:rPr>
        <w:t>未经发包人同意，承包人不得为了合同以外的目的而复制、使用上述文件或将之提供给任何第三方</w:t>
      </w:r>
      <w:r>
        <w:rPr>
          <w:rFonts w:hint="eastAsia" w:ascii="宋体" w:hAnsi="宋体" w:eastAsia="宋体" w:cs="宋体"/>
          <w:color w:val="auto"/>
          <w:highlight w:val="none"/>
        </w:rPr>
        <w:t>。</w:t>
      </w:r>
    </w:p>
    <w:p w14:paraId="55CBA78D">
      <w:pPr>
        <w:pStyle w:val="30"/>
        <w:spacing w:line="380" w:lineRule="exact"/>
        <w:rPr>
          <w:rFonts w:hint="eastAsia" w:ascii="宋体" w:hAnsi="宋体" w:eastAsia="宋体" w:cs="宋体"/>
          <w:color w:val="auto"/>
          <w:highlight w:val="none"/>
          <w:u w:val="single"/>
        </w:rPr>
      </w:pPr>
      <w:r>
        <w:rPr>
          <w:rFonts w:hint="eastAsia" w:ascii="宋体" w:hAnsi="宋体" w:eastAsia="宋体" w:cs="宋体"/>
          <w:color w:val="auto"/>
          <w:highlight w:val="none"/>
        </w:rPr>
        <w:t>1.11.4 承包人在施工过程中所采用的专利、专有技术、技术秘密的使用费的承担方式：</w:t>
      </w:r>
      <w:r>
        <w:rPr>
          <w:rFonts w:hint="eastAsia" w:ascii="宋体" w:hAnsi="宋体" w:eastAsia="宋体" w:cs="宋体"/>
          <w:color w:val="auto"/>
          <w:highlight w:val="none"/>
          <w:u w:val="single"/>
        </w:rPr>
        <w:t>由承包人承担</w:t>
      </w:r>
      <w:r>
        <w:rPr>
          <w:rFonts w:hint="eastAsia" w:ascii="宋体" w:hAnsi="宋体" w:eastAsia="宋体" w:cs="宋体"/>
          <w:color w:val="auto"/>
          <w:highlight w:val="none"/>
        </w:rPr>
        <w:t>。</w:t>
      </w:r>
    </w:p>
    <w:p w14:paraId="78669C8C">
      <w:pPr>
        <w:pStyle w:val="3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1.13工程量清单错误的修正</w:t>
      </w:r>
    </w:p>
    <w:p w14:paraId="4F4C0D60">
      <w:pPr>
        <w:pStyle w:val="30"/>
        <w:spacing w:line="380" w:lineRule="exact"/>
        <w:rPr>
          <w:rFonts w:hint="eastAsia" w:ascii="宋体" w:hAnsi="宋体" w:eastAsia="宋体" w:cs="宋体"/>
          <w:color w:val="auto"/>
          <w:highlight w:val="none"/>
          <w:u w:val="single"/>
        </w:rPr>
      </w:pPr>
      <w:r>
        <w:rPr>
          <w:rFonts w:hint="eastAsia" w:ascii="宋体" w:hAnsi="宋体" w:eastAsia="宋体" w:cs="宋体"/>
          <w:color w:val="auto"/>
          <w:highlight w:val="none"/>
        </w:rPr>
        <w:t>出现工程量清单错误时，是否调整合同价格：</w:t>
      </w:r>
      <w:r>
        <w:rPr>
          <w:rFonts w:hint="eastAsia" w:ascii="宋体" w:hAnsi="宋体" w:eastAsia="宋体" w:cs="宋体"/>
          <w:color w:val="auto"/>
          <w:highlight w:val="none"/>
          <w:u w:val="single"/>
        </w:rPr>
        <w:t>按《建设工程工程量清单计价规范（GB5050-2013）》及其广西实施细则、《建设工程工程量清单计算规范（</w:t>
      </w:r>
      <w:r>
        <w:rPr>
          <w:rFonts w:hint="eastAsia" w:ascii="宋体" w:hAnsi="宋体" w:eastAsia="宋体" w:cs="宋体"/>
          <w:color w:val="auto"/>
          <w:highlight w:val="none"/>
          <w:u w:val="single"/>
          <w:lang w:eastAsia="zh-CN"/>
        </w:rPr>
        <w:t>GB50854</w:t>
      </w:r>
      <w:r>
        <w:rPr>
          <w:rFonts w:hint="eastAsia" w:ascii="宋体" w:hAnsi="宋体" w:eastAsia="宋体" w:cs="宋体"/>
          <w:color w:val="auto"/>
          <w:highlight w:val="none"/>
          <w:u w:val="single"/>
        </w:rPr>
        <w:t>～50862-2013）》及其广西实施细则（修订本）等规定。</w:t>
      </w:r>
    </w:p>
    <w:p w14:paraId="7A68A777">
      <w:pPr>
        <w:pStyle w:val="3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允许调整合同价格的工程量偏差范围： </w:t>
      </w:r>
      <w:r>
        <w:rPr>
          <w:rFonts w:hint="eastAsia" w:ascii="宋体" w:hAnsi="宋体" w:eastAsia="宋体" w:cs="宋体"/>
          <w:color w:val="auto"/>
          <w:highlight w:val="none"/>
          <w:u w:val="single"/>
        </w:rPr>
        <w:t>按《建设工程工程量清单计价规范（GB5050-2013）》及其广西实施细则、《建设工程工程量清单计算规范（</w:t>
      </w:r>
      <w:r>
        <w:rPr>
          <w:rFonts w:hint="eastAsia" w:ascii="宋体" w:hAnsi="宋体" w:eastAsia="宋体" w:cs="宋体"/>
          <w:color w:val="auto"/>
          <w:highlight w:val="none"/>
          <w:u w:val="single"/>
          <w:lang w:eastAsia="zh-CN"/>
        </w:rPr>
        <w:t>GB50854</w:t>
      </w:r>
      <w:r>
        <w:rPr>
          <w:rFonts w:hint="eastAsia" w:ascii="宋体" w:hAnsi="宋体" w:eastAsia="宋体" w:cs="宋体"/>
          <w:color w:val="auto"/>
          <w:highlight w:val="none"/>
          <w:u w:val="single"/>
        </w:rPr>
        <w:t>～50862-2013）》及其广西实施细则（修订本）等规定</w:t>
      </w:r>
      <w:r>
        <w:rPr>
          <w:rFonts w:hint="eastAsia" w:ascii="宋体" w:hAnsi="宋体" w:eastAsia="宋体" w:cs="宋体"/>
          <w:color w:val="auto"/>
          <w:highlight w:val="none"/>
        </w:rPr>
        <w:t>。</w:t>
      </w:r>
    </w:p>
    <w:p w14:paraId="68D4BAB2">
      <w:pPr>
        <w:keepNext/>
        <w:keepLines/>
        <w:widowControl w:val="0"/>
        <w:spacing w:line="380" w:lineRule="exact"/>
        <w:jc w:val="both"/>
        <w:outlineLvl w:val="0"/>
        <w:rPr>
          <w:rFonts w:hint="eastAsia" w:ascii="宋体" w:hAnsi="宋体" w:eastAsia="宋体" w:cs="宋体"/>
          <w:b/>
          <w:bCs/>
          <w:color w:val="auto"/>
          <w:kern w:val="44"/>
          <w:sz w:val="21"/>
          <w:szCs w:val="21"/>
          <w:highlight w:val="none"/>
          <w:lang w:val="en-US" w:eastAsia="zh-CN" w:bidi="ar-SA"/>
        </w:rPr>
      </w:pPr>
      <w:bookmarkStart w:id="220" w:name="_Toc24127"/>
      <w:bookmarkStart w:id="221" w:name="_Toc522201732"/>
      <w:bookmarkStart w:id="222" w:name="_Toc351203634"/>
      <w:bookmarkStart w:id="223" w:name="_Toc497747180"/>
      <w:bookmarkStart w:id="224" w:name="_Toc418752244"/>
      <w:bookmarkStart w:id="225" w:name="_Toc497746783"/>
      <w:bookmarkStart w:id="226" w:name="_Toc418751798"/>
      <w:bookmarkStart w:id="227" w:name="_Toc256000182"/>
      <w:bookmarkStart w:id="228" w:name="_Toc406522222"/>
      <w:r>
        <w:rPr>
          <w:rFonts w:hint="eastAsia" w:ascii="宋体" w:hAnsi="宋体" w:eastAsia="宋体" w:cs="宋体"/>
          <w:b/>
          <w:bCs/>
          <w:color w:val="auto"/>
          <w:kern w:val="44"/>
          <w:sz w:val="21"/>
          <w:szCs w:val="21"/>
          <w:highlight w:val="none"/>
          <w:lang w:val="en-US" w:eastAsia="zh-CN" w:bidi="ar-SA"/>
        </w:rPr>
        <w:t>2</w:t>
      </w:r>
      <w:bookmarkStart w:id="229" w:name="_Toc296503157"/>
      <w:bookmarkStart w:id="230" w:name="_Toc297048343"/>
      <w:bookmarkStart w:id="231" w:name="_Toc296346658"/>
      <w:bookmarkStart w:id="232" w:name="_Toc297120457"/>
      <w:bookmarkStart w:id="233" w:name="_Toc296944496"/>
      <w:bookmarkStart w:id="234" w:name="_Toc296347156"/>
      <w:bookmarkStart w:id="235" w:name="_Toc296891197"/>
      <w:bookmarkStart w:id="236" w:name="_Toc296890985"/>
      <w:bookmarkStart w:id="237" w:name="_Toc292559362"/>
      <w:bookmarkStart w:id="238" w:name="_Toc292559867"/>
      <w:r>
        <w:rPr>
          <w:rFonts w:hint="eastAsia" w:ascii="宋体" w:hAnsi="宋体" w:eastAsia="宋体" w:cs="宋体"/>
          <w:b/>
          <w:bCs/>
          <w:color w:val="auto"/>
          <w:kern w:val="44"/>
          <w:sz w:val="21"/>
          <w:szCs w:val="21"/>
          <w:highlight w:val="none"/>
          <w:lang w:val="en-US" w:eastAsia="zh-CN" w:bidi="ar-SA"/>
        </w:rPr>
        <w:t>. 发包人</w:t>
      </w:r>
      <w:bookmarkEnd w:id="220"/>
      <w:bookmarkEnd w:id="221"/>
      <w:bookmarkEnd w:id="222"/>
      <w:bookmarkEnd w:id="223"/>
      <w:bookmarkEnd w:id="224"/>
      <w:bookmarkEnd w:id="225"/>
      <w:bookmarkEnd w:id="226"/>
      <w:bookmarkEnd w:id="227"/>
      <w:bookmarkEnd w:id="228"/>
    </w:p>
    <w:bookmarkEnd w:id="229"/>
    <w:bookmarkEnd w:id="230"/>
    <w:bookmarkEnd w:id="231"/>
    <w:bookmarkEnd w:id="232"/>
    <w:bookmarkEnd w:id="233"/>
    <w:bookmarkEnd w:id="234"/>
    <w:bookmarkEnd w:id="235"/>
    <w:bookmarkEnd w:id="236"/>
    <w:bookmarkEnd w:id="237"/>
    <w:bookmarkEnd w:id="238"/>
    <w:p w14:paraId="76CE0E03">
      <w:pPr>
        <w:keepNext/>
        <w:keepLines/>
        <w:widowControl w:val="0"/>
        <w:spacing w:line="380" w:lineRule="exact"/>
        <w:ind w:firstLine="422" w:firstLineChars="200"/>
        <w:jc w:val="both"/>
        <w:outlineLvl w:val="0"/>
        <w:rPr>
          <w:rFonts w:hint="eastAsia" w:ascii="宋体" w:hAnsi="宋体" w:eastAsia="宋体" w:cs="宋体"/>
          <w:b/>
          <w:bCs/>
          <w:color w:val="auto"/>
          <w:kern w:val="44"/>
          <w:sz w:val="21"/>
          <w:szCs w:val="21"/>
          <w:highlight w:val="none"/>
          <w:lang w:val="en-US" w:eastAsia="zh-CN" w:bidi="ar-SA"/>
        </w:rPr>
      </w:pPr>
      <w:bookmarkStart w:id="239" w:name="_Toc256000183"/>
      <w:bookmarkStart w:id="240" w:name="_Toc522201733"/>
      <w:bookmarkStart w:id="241" w:name="_Toc418751799"/>
      <w:bookmarkStart w:id="242" w:name="_Toc418752245"/>
      <w:bookmarkStart w:id="243" w:name="_Toc497747181"/>
      <w:bookmarkStart w:id="244" w:name="_Toc406522223"/>
      <w:bookmarkStart w:id="245" w:name="_Toc12333"/>
      <w:bookmarkStart w:id="246" w:name="_Toc497746784"/>
      <w:r>
        <w:rPr>
          <w:rFonts w:hint="eastAsia" w:ascii="宋体" w:hAnsi="宋体" w:eastAsia="宋体" w:cs="宋体"/>
          <w:b/>
          <w:bCs/>
          <w:color w:val="auto"/>
          <w:kern w:val="44"/>
          <w:sz w:val="21"/>
          <w:szCs w:val="21"/>
          <w:highlight w:val="none"/>
          <w:lang w:val="en-US" w:eastAsia="zh-CN" w:bidi="ar-SA"/>
        </w:rPr>
        <w:t>2.2 发包人代表</w:t>
      </w:r>
      <w:bookmarkEnd w:id="239"/>
      <w:bookmarkEnd w:id="240"/>
      <w:bookmarkEnd w:id="241"/>
      <w:bookmarkEnd w:id="242"/>
      <w:bookmarkEnd w:id="243"/>
      <w:bookmarkEnd w:id="244"/>
      <w:bookmarkEnd w:id="245"/>
      <w:bookmarkEnd w:id="246"/>
    </w:p>
    <w:p w14:paraId="5E89AF99">
      <w:pPr>
        <w:pStyle w:val="3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发包人代表：</w:t>
      </w:r>
    </w:p>
    <w:p w14:paraId="1DB9A4BE">
      <w:pPr>
        <w:pStyle w:val="3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姓    名：</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1C31FA2C">
      <w:pPr>
        <w:pStyle w:val="3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职    务：</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4F142D56">
      <w:pPr>
        <w:pStyle w:val="3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联系电话：</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6C7078F3">
      <w:pPr>
        <w:pStyle w:val="3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电子信箱：</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1F776E9C">
      <w:pPr>
        <w:pStyle w:val="3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通信地址：</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w:t>
      </w:r>
    </w:p>
    <w:p w14:paraId="12AC02A8">
      <w:pPr>
        <w:pStyle w:val="30"/>
        <w:spacing w:line="380" w:lineRule="exact"/>
        <w:rPr>
          <w:rFonts w:hint="eastAsia" w:ascii="宋体" w:hAnsi="宋体" w:eastAsia="宋体" w:cs="宋体"/>
          <w:b/>
          <w:color w:val="auto"/>
          <w:highlight w:val="none"/>
        </w:rPr>
      </w:pPr>
      <w:r>
        <w:rPr>
          <w:rFonts w:hint="eastAsia" w:ascii="宋体" w:hAnsi="宋体" w:eastAsia="宋体" w:cs="宋体"/>
          <w:color w:val="auto"/>
          <w:highlight w:val="none"/>
        </w:rPr>
        <w:t>发包人对发包人代表的授权范围如下：</w:t>
      </w:r>
      <w:r>
        <w:rPr>
          <w:rFonts w:hint="eastAsia" w:ascii="宋体" w:hAnsi="宋体" w:eastAsia="宋体" w:cs="宋体"/>
          <w:color w:val="auto"/>
          <w:highlight w:val="none"/>
          <w:u w:val="single"/>
        </w:rPr>
        <w:t>对工程进度、质量进行监督、办理中间交工工程验收手续，负责现场签证，解决由发包人授权处理的事宜</w:t>
      </w:r>
      <w:r>
        <w:rPr>
          <w:rFonts w:hint="eastAsia" w:ascii="宋体" w:hAnsi="宋体" w:eastAsia="宋体" w:cs="宋体"/>
          <w:color w:val="auto"/>
          <w:highlight w:val="none"/>
        </w:rPr>
        <w:t>。</w:t>
      </w:r>
    </w:p>
    <w:p w14:paraId="4146F7AF">
      <w:pPr>
        <w:keepNext/>
        <w:keepLines/>
        <w:widowControl w:val="0"/>
        <w:spacing w:line="380" w:lineRule="exact"/>
        <w:ind w:firstLine="422" w:firstLineChars="200"/>
        <w:jc w:val="both"/>
        <w:outlineLvl w:val="0"/>
        <w:rPr>
          <w:rFonts w:hint="eastAsia" w:ascii="宋体" w:hAnsi="宋体" w:eastAsia="宋体" w:cs="宋体"/>
          <w:b/>
          <w:bCs/>
          <w:color w:val="auto"/>
          <w:kern w:val="44"/>
          <w:sz w:val="21"/>
          <w:szCs w:val="21"/>
          <w:highlight w:val="none"/>
          <w:lang w:val="en-US" w:eastAsia="zh-CN" w:bidi="ar-SA"/>
        </w:rPr>
      </w:pPr>
      <w:bookmarkStart w:id="247" w:name="_Toc522201734"/>
      <w:bookmarkStart w:id="248" w:name="_Toc6466"/>
      <w:bookmarkStart w:id="249" w:name="_Toc497747182"/>
      <w:bookmarkStart w:id="250" w:name="_Toc418751800"/>
      <w:bookmarkStart w:id="251" w:name="_Toc256000184"/>
      <w:bookmarkStart w:id="252" w:name="_Toc406522224"/>
      <w:bookmarkStart w:id="253" w:name="_Toc497746785"/>
      <w:bookmarkStart w:id="254" w:name="_Toc418752246"/>
      <w:r>
        <w:rPr>
          <w:rFonts w:hint="eastAsia" w:ascii="宋体" w:hAnsi="宋体" w:eastAsia="宋体" w:cs="宋体"/>
          <w:b/>
          <w:bCs/>
          <w:color w:val="auto"/>
          <w:kern w:val="44"/>
          <w:sz w:val="21"/>
          <w:szCs w:val="21"/>
          <w:highlight w:val="none"/>
          <w:lang w:val="en-US" w:eastAsia="zh-CN" w:bidi="ar-SA"/>
        </w:rPr>
        <w:t>2.4 施工现场、施工条件和基础资料的提供</w:t>
      </w:r>
      <w:bookmarkEnd w:id="247"/>
      <w:bookmarkEnd w:id="248"/>
      <w:bookmarkEnd w:id="249"/>
      <w:bookmarkEnd w:id="250"/>
      <w:bookmarkEnd w:id="251"/>
      <w:bookmarkEnd w:id="252"/>
      <w:bookmarkEnd w:id="253"/>
      <w:bookmarkEnd w:id="254"/>
    </w:p>
    <w:p w14:paraId="74FAC768">
      <w:pPr>
        <w:pStyle w:val="3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2.4.1 提供施工现场</w:t>
      </w:r>
    </w:p>
    <w:p w14:paraId="077BC256">
      <w:pPr>
        <w:pStyle w:val="3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关于发包人移交施工现场的期限要求：</w:t>
      </w:r>
      <w:r>
        <w:rPr>
          <w:rFonts w:hint="eastAsia" w:ascii="宋体" w:hAnsi="宋体" w:eastAsia="宋体" w:cs="宋体"/>
          <w:color w:val="auto"/>
          <w:highlight w:val="none"/>
          <w:u w:val="single"/>
        </w:rPr>
        <w:t xml:space="preserve"> 施工场地应当在监理人发出的开工通知中载明的开工日期前七天具备施工条件并移交给承包人，具体施工条件在施工合同中约定。发包人最迟应当在移交施工场地的同时向承包人提供施工场地内地下管线和地下设施等有关资料，并保证资料的真实、准确和完整</w:t>
      </w:r>
      <w:r>
        <w:rPr>
          <w:rFonts w:hint="eastAsia" w:ascii="宋体" w:hAnsi="宋体" w:eastAsia="宋体" w:cs="宋体"/>
          <w:color w:val="auto"/>
          <w:highlight w:val="none"/>
        </w:rPr>
        <w:t>。</w:t>
      </w:r>
    </w:p>
    <w:p w14:paraId="726C0CFF">
      <w:pPr>
        <w:pStyle w:val="3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2.4.2 提供施工条件</w:t>
      </w:r>
    </w:p>
    <w:p w14:paraId="2FAEB836">
      <w:pPr>
        <w:pStyle w:val="30"/>
        <w:spacing w:line="380" w:lineRule="exact"/>
        <w:rPr>
          <w:rFonts w:hint="eastAsia" w:ascii="宋体" w:hAnsi="宋体" w:eastAsia="宋体" w:cs="宋体"/>
          <w:color w:val="auto"/>
          <w:highlight w:val="none"/>
          <w:u w:val="single"/>
        </w:rPr>
      </w:pPr>
      <w:r>
        <w:rPr>
          <w:rFonts w:hint="eastAsia" w:ascii="宋体" w:hAnsi="宋体" w:eastAsia="宋体" w:cs="宋体"/>
          <w:color w:val="auto"/>
          <w:highlight w:val="none"/>
        </w:rPr>
        <w:t>关于发包人应负责提供施工所需要的条件，包括：</w:t>
      </w:r>
      <w:r>
        <w:rPr>
          <w:rFonts w:hint="eastAsia" w:ascii="宋体" w:hAnsi="宋体" w:eastAsia="宋体" w:cs="宋体"/>
          <w:color w:val="auto"/>
          <w:highlight w:val="none"/>
          <w:u w:val="single"/>
        </w:rPr>
        <w:t>发包人可配合承包人办理开工所需手续及相关申请，费用由承包人自行解决，施工场地与公共道路的通道，由承包人负责实施，费用已包含在合同价中</w:t>
      </w:r>
      <w:r>
        <w:rPr>
          <w:rFonts w:hint="eastAsia" w:ascii="宋体" w:hAnsi="宋体" w:eastAsia="宋体" w:cs="宋体"/>
          <w:color w:val="auto"/>
          <w:highlight w:val="none"/>
        </w:rPr>
        <w:t>。</w:t>
      </w:r>
    </w:p>
    <w:p w14:paraId="774F1AE1">
      <w:pPr>
        <w:keepNext/>
        <w:keepLines/>
        <w:widowControl w:val="0"/>
        <w:spacing w:line="380" w:lineRule="exact"/>
        <w:ind w:firstLine="422" w:firstLineChars="200"/>
        <w:jc w:val="both"/>
        <w:outlineLvl w:val="0"/>
        <w:rPr>
          <w:rFonts w:hint="eastAsia" w:ascii="宋体" w:hAnsi="宋体" w:eastAsia="宋体" w:cs="宋体"/>
          <w:b/>
          <w:bCs/>
          <w:color w:val="auto"/>
          <w:kern w:val="44"/>
          <w:sz w:val="21"/>
          <w:szCs w:val="21"/>
          <w:highlight w:val="none"/>
          <w:lang w:val="en-US" w:eastAsia="zh-CN" w:bidi="ar-SA"/>
        </w:rPr>
      </w:pPr>
      <w:bookmarkStart w:id="255" w:name="_Toc32144"/>
      <w:bookmarkStart w:id="256" w:name="_Toc522201735"/>
      <w:bookmarkStart w:id="257" w:name="_Toc418751801"/>
      <w:bookmarkStart w:id="258" w:name="_Toc497747183"/>
      <w:bookmarkStart w:id="259" w:name="_Toc256000185"/>
      <w:bookmarkStart w:id="260" w:name="_Toc418752247"/>
      <w:bookmarkStart w:id="261" w:name="_Toc406522225"/>
      <w:bookmarkStart w:id="262" w:name="_Toc497746786"/>
      <w:r>
        <w:rPr>
          <w:rFonts w:hint="eastAsia" w:ascii="宋体" w:hAnsi="宋体" w:eastAsia="宋体" w:cs="宋体"/>
          <w:b/>
          <w:bCs/>
          <w:color w:val="auto"/>
          <w:kern w:val="44"/>
          <w:sz w:val="21"/>
          <w:szCs w:val="21"/>
          <w:highlight w:val="none"/>
          <w:lang w:val="en-US" w:eastAsia="zh-CN" w:bidi="ar-SA"/>
        </w:rPr>
        <w:t>2.5 资金来源证明及支付担保</w:t>
      </w:r>
      <w:bookmarkEnd w:id="255"/>
      <w:bookmarkEnd w:id="256"/>
      <w:bookmarkEnd w:id="257"/>
      <w:bookmarkEnd w:id="258"/>
      <w:bookmarkEnd w:id="259"/>
      <w:bookmarkEnd w:id="260"/>
      <w:bookmarkEnd w:id="261"/>
      <w:bookmarkEnd w:id="262"/>
    </w:p>
    <w:p w14:paraId="74C3C13D">
      <w:pPr>
        <w:pStyle w:val="3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发包人提供资金来源证明的期限要求：</w:t>
      </w:r>
      <w:r>
        <w:rPr>
          <w:rFonts w:hint="eastAsia" w:ascii="宋体" w:hAnsi="宋体" w:eastAsia="宋体" w:cs="宋体"/>
          <w:color w:val="auto"/>
          <w:highlight w:val="none"/>
          <w:u w:val="single"/>
        </w:rPr>
        <w:t xml:space="preserve"> 无 </w:t>
      </w:r>
      <w:r>
        <w:rPr>
          <w:rFonts w:hint="eastAsia" w:ascii="宋体" w:hAnsi="宋体" w:eastAsia="宋体" w:cs="宋体"/>
          <w:color w:val="auto"/>
          <w:highlight w:val="none"/>
        </w:rPr>
        <w:t>。</w:t>
      </w:r>
    </w:p>
    <w:p w14:paraId="7139F202">
      <w:pPr>
        <w:pStyle w:val="3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发包人是否提供支付担保：</w:t>
      </w:r>
      <w:r>
        <w:rPr>
          <w:rFonts w:hint="eastAsia" w:ascii="宋体" w:hAnsi="宋体" w:eastAsia="宋体" w:cs="宋体"/>
          <w:color w:val="auto"/>
          <w:highlight w:val="none"/>
          <w:u w:val="single"/>
        </w:rPr>
        <w:t xml:space="preserve">    否　　　   </w:t>
      </w:r>
      <w:r>
        <w:rPr>
          <w:rFonts w:hint="eastAsia" w:ascii="宋体" w:hAnsi="宋体" w:eastAsia="宋体" w:cs="宋体"/>
          <w:color w:val="auto"/>
          <w:highlight w:val="none"/>
        </w:rPr>
        <w:t>。</w:t>
      </w:r>
    </w:p>
    <w:p w14:paraId="1B6EE3D9">
      <w:pPr>
        <w:pStyle w:val="30"/>
        <w:spacing w:line="380" w:lineRule="exact"/>
        <w:rPr>
          <w:rFonts w:hint="eastAsia" w:ascii="宋体" w:hAnsi="宋体" w:eastAsia="宋体" w:cs="宋体"/>
          <w:color w:val="auto"/>
          <w:highlight w:val="none"/>
          <w:u w:val="single"/>
        </w:rPr>
      </w:pPr>
      <w:r>
        <w:rPr>
          <w:rFonts w:hint="eastAsia" w:ascii="宋体" w:hAnsi="宋体" w:eastAsia="宋体" w:cs="宋体"/>
          <w:color w:val="auto"/>
          <w:highlight w:val="none"/>
        </w:rPr>
        <w:t>发包人提供支付担保的形式：</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4139A9F9">
      <w:pPr>
        <w:keepNext/>
        <w:keepLines/>
        <w:widowControl w:val="0"/>
        <w:spacing w:line="380" w:lineRule="exact"/>
        <w:jc w:val="both"/>
        <w:outlineLvl w:val="0"/>
        <w:rPr>
          <w:rFonts w:hint="eastAsia" w:ascii="宋体" w:hAnsi="宋体" w:eastAsia="宋体" w:cs="宋体"/>
          <w:b/>
          <w:bCs/>
          <w:color w:val="auto"/>
          <w:kern w:val="44"/>
          <w:sz w:val="21"/>
          <w:szCs w:val="21"/>
          <w:highlight w:val="none"/>
          <w:lang w:val="en-US" w:eastAsia="zh-CN" w:bidi="ar-SA"/>
        </w:rPr>
      </w:pPr>
      <w:bookmarkStart w:id="263" w:name="_Toc351203635"/>
      <w:bookmarkStart w:id="264" w:name="_Toc418752248"/>
      <w:bookmarkStart w:id="265" w:name="_Toc418751802"/>
      <w:bookmarkStart w:id="266" w:name="_Toc522201736"/>
      <w:bookmarkStart w:id="267" w:name="_Toc256000186"/>
      <w:bookmarkStart w:id="268" w:name="_Toc406522226"/>
      <w:bookmarkStart w:id="269" w:name="_Toc497746787"/>
      <w:bookmarkStart w:id="270" w:name="_Toc497747184"/>
      <w:bookmarkStart w:id="271" w:name="_Toc32115"/>
      <w:r>
        <w:rPr>
          <w:rFonts w:hint="eastAsia" w:ascii="宋体" w:hAnsi="宋体" w:eastAsia="宋体" w:cs="宋体"/>
          <w:b/>
          <w:bCs/>
          <w:color w:val="auto"/>
          <w:kern w:val="44"/>
          <w:sz w:val="21"/>
          <w:szCs w:val="21"/>
          <w:highlight w:val="none"/>
          <w:lang w:val="en-US" w:eastAsia="zh-CN" w:bidi="ar-SA"/>
        </w:rPr>
        <w:t>3</w:t>
      </w:r>
      <w:bookmarkStart w:id="272" w:name="_Toc296347157"/>
      <w:bookmarkStart w:id="273" w:name="_Toc296346659"/>
      <w:bookmarkStart w:id="274" w:name="_Toc296891198"/>
      <w:bookmarkStart w:id="275" w:name="_Toc297120458"/>
      <w:bookmarkStart w:id="276" w:name="_Toc296503158"/>
      <w:bookmarkStart w:id="277" w:name="_Toc292559868"/>
      <w:bookmarkStart w:id="278" w:name="_Toc297048344"/>
      <w:bookmarkStart w:id="279" w:name="_Toc292559363"/>
      <w:bookmarkStart w:id="280" w:name="_Toc296890986"/>
      <w:bookmarkStart w:id="281" w:name="_Toc296944497"/>
      <w:r>
        <w:rPr>
          <w:rFonts w:hint="eastAsia" w:ascii="宋体" w:hAnsi="宋体" w:eastAsia="宋体" w:cs="宋体"/>
          <w:b/>
          <w:bCs/>
          <w:color w:val="auto"/>
          <w:kern w:val="44"/>
          <w:sz w:val="21"/>
          <w:szCs w:val="21"/>
          <w:highlight w:val="none"/>
          <w:lang w:val="en-US" w:eastAsia="zh-CN" w:bidi="ar-SA"/>
        </w:rPr>
        <w:t>. 承包人</w:t>
      </w:r>
      <w:bookmarkEnd w:id="263"/>
      <w:bookmarkEnd w:id="264"/>
      <w:bookmarkEnd w:id="265"/>
      <w:bookmarkEnd w:id="266"/>
      <w:bookmarkEnd w:id="267"/>
      <w:bookmarkEnd w:id="268"/>
      <w:bookmarkEnd w:id="269"/>
      <w:bookmarkEnd w:id="270"/>
      <w:bookmarkEnd w:id="271"/>
    </w:p>
    <w:bookmarkEnd w:id="272"/>
    <w:bookmarkEnd w:id="273"/>
    <w:bookmarkEnd w:id="274"/>
    <w:bookmarkEnd w:id="275"/>
    <w:bookmarkEnd w:id="276"/>
    <w:bookmarkEnd w:id="277"/>
    <w:bookmarkEnd w:id="278"/>
    <w:bookmarkEnd w:id="279"/>
    <w:bookmarkEnd w:id="280"/>
    <w:bookmarkEnd w:id="281"/>
    <w:p w14:paraId="4809B49D">
      <w:pPr>
        <w:keepNext/>
        <w:keepLines/>
        <w:widowControl w:val="0"/>
        <w:spacing w:line="380" w:lineRule="exact"/>
        <w:ind w:firstLine="422" w:firstLineChars="200"/>
        <w:jc w:val="both"/>
        <w:outlineLvl w:val="0"/>
        <w:rPr>
          <w:rFonts w:hint="eastAsia" w:ascii="宋体" w:hAnsi="宋体" w:eastAsia="宋体" w:cs="宋体"/>
          <w:b/>
          <w:bCs/>
          <w:color w:val="auto"/>
          <w:kern w:val="44"/>
          <w:sz w:val="21"/>
          <w:szCs w:val="21"/>
          <w:highlight w:val="none"/>
          <w:lang w:val="en-US" w:eastAsia="zh-CN" w:bidi="ar-SA"/>
        </w:rPr>
      </w:pPr>
      <w:bookmarkStart w:id="282" w:name="_Toc497747185"/>
      <w:bookmarkStart w:id="283" w:name="_Toc418752249"/>
      <w:bookmarkStart w:id="284" w:name="_Toc418751803"/>
      <w:bookmarkStart w:id="285" w:name="_Toc497746788"/>
      <w:bookmarkStart w:id="286" w:name="_Toc406522227"/>
      <w:bookmarkStart w:id="287" w:name="_Toc256000187"/>
      <w:bookmarkStart w:id="288" w:name="_Toc522201737"/>
      <w:bookmarkStart w:id="289" w:name="_Toc5399"/>
      <w:r>
        <w:rPr>
          <w:rFonts w:hint="eastAsia" w:ascii="宋体" w:hAnsi="宋体" w:eastAsia="宋体" w:cs="宋体"/>
          <w:b/>
          <w:bCs/>
          <w:color w:val="auto"/>
          <w:kern w:val="44"/>
          <w:sz w:val="21"/>
          <w:szCs w:val="21"/>
          <w:highlight w:val="none"/>
          <w:lang w:val="en-US" w:eastAsia="zh-CN" w:bidi="ar-SA"/>
        </w:rPr>
        <w:t>3.1 承包人的一般义务</w:t>
      </w:r>
      <w:bookmarkEnd w:id="282"/>
      <w:bookmarkEnd w:id="283"/>
      <w:bookmarkEnd w:id="284"/>
      <w:bookmarkEnd w:id="285"/>
      <w:bookmarkEnd w:id="286"/>
      <w:bookmarkEnd w:id="287"/>
      <w:bookmarkEnd w:id="288"/>
      <w:bookmarkEnd w:id="289"/>
    </w:p>
    <w:p w14:paraId="2347A0B4">
      <w:pPr>
        <w:pStyle w:val="29"/>
        <w:spacing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rPr>
        <w:t>（9）</w:t>
      </w:r>
      <w:r>
        <w:rPr>
          <w:rFonts w:hint="eastAsia" w:ascii="宋体" w:hAnsi="宋体" w:eastAsia="宋体" w:cs="宋体"/>
          <w:color w:val="auto"/>
          <w:szCs w:val="21"/>
          <w:highlight w:val="none"/>
        </w:rPr>
        <w:t>承包人提交的竣工资料的内容：</w:t>
      </w:r>
      <w:r>
        <w:rPr>
          <w:rFonts w:hint="eastAsia" w:ascii="宋体" w:hAnsi="宋体" w:eastAsia="宋体" w:cs="宋体"/>
          <w:color w:val="auto"/>
          <w:szCs w:val="21"/>
          <w:highlight w:val="none"/>
          <w:u w:val="single"/>
        </w:rPr>
        <w:t>工程具备竣工验收条件，承包人按工程竣工验收有关规定，向发包人提交符合《建设工程文件归档整理规范》内容装订成册的完整竣工资料及竣工验收报告、工程竣工图</w:t>
      </w:r>
      <w:r>
        <w:rPr>
          <w:rFonts w:hint="eastAsia" w:ascii="宋体" w:hAnsi="宋体" w:eastAsia="宋体" w:cs="宋体"/>
          <w:color w:val="auto"/>
          <w:szCs w:val="21"/>
          <w:highlight w:val="none"/>
        </w:rPr>
        <w:t>。</w:t>
      </w:r>
    </w:p>
    <w:p w14:paraId="7041DFB7">
      <w:pPr>
        <w:pStyle w:val="29"/>
        <w:spacing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承包人需要提交的竣工资料套数：</w:t>
      </w:r>
      <w:r>
        <w:rPr>
          <w:rFonts w:hint="eastAsia" w:ascii="宋体" w:hAnsi="宋体" w:eastAsia="宋体" w:cs="宋体"/>
          <w:color w:val="auto"/>
          <w:szCs w:val="21"/>
          <w:highlight w:val="none"/>
          <w:u w:val="single"/>
        </w:rPr>
        <w:t xml:space="preserve">  承包人向发包人提交竣工档案份数为一式四份；备案资料一式两份；建设工程质量监督档案一式两份  </w:t>
      </w:r>
      <w:r>
        <w:rPr>
          <w:rFonts w:hint="eastAsia" w:ascii="宋体" w:hAnsi="宋体" w:eastAsia="宋体" w:cs="宋体"/>
          <w:color w:val="auto"/>
          <w:szCs w:val="21"/>
          <w:highlight w:val="none"/>
        </w:rPr>
        <w:t>。</w:t>
      </w:r>
    </w:p>
    <w:p w14:paraId="7C8A8887">
      <w:pPr>
        <w:pStyle w:val="29"/>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承包人提交的竣工资料的费用承担：</w:t>
      </w:r>
      <w:r>
        <w:rPr>
          <w:rFonts w:hint="eastAsia" w:ascii="宋体" w:hAnsi="宋体" w:eastAsia="宋体" w:cs="宋体"/>
          <w:color w:val="auto"/>
          <w:szCs w:val="21"/>
          <w:highlight w:val="none"/>
          <w:u w:val="single"/>
        </w:rPr>
        <w:t xml:space="preserve">  由承包人承担相关费用 </w:t>
      </w:r>
      <w:r>
        <w:rPr>
          <w:rFonts w:hint="eastAsia" w:ascii="宋体" w:hAnsi="宋体" w:eastAsia="宋体" w:cs="宋体"/>
          <w:color w:val="auto"/>
          <w:szCs w:val="21"/>
          <w:highlight w:val="none"/>
        </w:rPr>
        <w:t>。</w:t>
      </w:r>
    </w:p>
    <w:p w14:paraId="59F1FB37">
      <w:pPr>
        <w:pStyle w:val="29"/>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承包人提交的竣工资料移交时间：</w:t>
      </w:r>
      <w:r>
        <w:rPr>
          <w:rFonts w:hint="eastAsia" w:ascii="宋体" w:hAnsi="宋体" w:eastAsia="宋体" w:cs="宋体"/>
          <w:color w:val="auto"/>
          <w:szCs w:val="21"/>
          <w:highlight w:val="none"/>
          <w:u w:val="single"/>
        </w:rPr>
        <w:t xml:space="preserve">  工程竣工验收合格后30天内  </w:t>
      </w:r>
      <w:r>
        <w:rPr>
          <w:rFonts w:hint="eastAsia" w:ascii="宋体" w:hAnsi="宋体" w:eastAsia="宋体" w:cs="宋体"/>
          <w:color w:val="auto"/>
          <w:szCs w:val="21"/>
          <w:highlight w:val="none"/>
        </w:rPr>
        <w:t>。</w:t>
      </w:r>
    </w:p>
    <w:p w14:paraId="3B5EF8DB">
      <w:pPr>
        <w:pStyle w:val="29"/>
        <w:spacing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承包人提交的竣工资料形式要求：</w:t>
      </w:r>
      <w:r>
        <w:rPr>
          <w:rFonts w:hint="eastAsia" w:ascii="宋体" w:hAnsi="宋体" w:eastAsia="宋体" w:cs="宋体"/>
          <w:color w:val="auto"/>
          <w:szCs w:val="21"/>
          <w:highlight w:val="none"/>
          <w:u w:val="single"/>
        </w:rPr>
        <w:t>竣工档案（竣工档案的内容：施工单位竣工验收文件、施工文件、竣工图（按城市建设档案馆要求整理，相关费用由承包人承担）、备案资料（应由承包人提供的部分按桂林市住建局要求整理）、建设工程质量监督档案（应由承包人提供的部分按桂林市建设工程质量监督管理站要求整理）</w:t>
      </w:r>
      <w:r>
        <w:rPr>
          <w:rFonts w:hint="eastAsia" w:ascii="宋体" w:hAnsi="宋体" w:eastAsia="宋体" w:cs="宋体"/>
          <w:color w:val="auto"/>
          <w:szCs w:val="21"/>
          <w:highlight w:val="none"/>
        </w:rPr>
        <w:t>。</w:t>
      </w:r>
    </w:p>
    <w:p w14:paraId="0E71EFCC">
      <w:pPr>
        <w:pStyle w:val="29"/>
        <w:spacing w:line="38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rPr>
        <w:t>（10）承包人应履行的其他义务：</w:t>
      </w:r>
      <w:r>
        <w:rPr>
          <w:rFonts w:hint="eastAsia" w:ascii="宋体" w:hAnsi="宋体" w:eastAsia="宋体" w:cs="宋体"/>
          <w:color w:val="auto"/>
          <w:szCs w:val="21"/>
          <w:highlight w:val="none"/>
          <w:u w:val="single"/>
        </w:rPr>
        <w:t>①施工用水、用电按表计量，费用由承包人承担，由承包人指派专人配合发包人的计量工作，水费及电费按发包人要求进行交付；单位工程内其他单位用水、用电由承包人与相关用水、用电单位协商解决。②本工程在施工过程中如存在多个施工单位同时作业时，承包人必须顾全大局、相互协作、密切配合，严格服从发包人和监理单位的协调指挥；承包人须积极协调解决施工过程中存在的各类问题，处理好与相邻施工单位的施工接口关系，否则，发包人有权要求承包人整改或另行指定其他单位来完成相关配合工作，其发生的费用从承包人的工程进度款中扣除，且并不需要承包人同意。承包人应始终采取各种合理的预防措施，对于存在的问题及时反映，对于需要发包人协调解决的问题，要提前提出，否则，由此所造成的损失由承包人承担 。③承包人负责办理施工有关的交通特别通告证、有害污水、环卫、环保和噪音等审批手续，并承担费用，如因承包人未交纳相关费用，发包人有权从工程款中扣除用于支付相关费用并计入结算。承包人负责对施工场地内的化石、文物具有保护责任，并承担相应费用。承包人负责满足施工期间政府职能部门对工地消防设施有关要求，并承担相关费用。④承包人应负责协调解决本项目当地居民对工程施工的人为干扰，施工机械进出、材料运输如需通过村道及村民土地；承包人应当协调与施工现场周边农村及村民的关系，并承担相关费用，确保项目施工顺利进行。⑤承包人应始终采取各种合理的预防措施，防止承包人员或其内部发生任何非法的、骚动的或无序的行为，以保持安定，保护现场及第三人的财产和人身安全。⑥为发包人依法发包的专业工程承包商提供总承包管理与协调服务，并为专业工程承包商提供一切施工方便。为发包人和监理人在施工现场提供必要的办公室和办公桌椅等设备。⑦按建设行政主管部门有关规定配合发包人其他工程的施工等。⑧施工期间和施工完毕后，均应及时对施工场地和为其施工提供的公共道路进行保洁、维护以及维修，产生的垃圾和被破坏的场地，必须遵照监理人和发包人的指示进行清理、修复，并根据实际情况将场地恢复到原有状态，费用自理。⑨由于本工程施工现场为居民区，承包人应合理安排施工时间，确保做到不影响周边居民的正常生活，对居民的合理意见应积极整改，确保工程顺利进行。⑩配合发包人做好安全文明工程、领导检查、宣传等工作。以上相关费用均由承包人承担，并在投标报价清单中综合考虑，不再另计。⑪承包人在工程施工期间由于承包人原因引起的责任事故，全部由承包人承担经济责任和法律责任。⑫满足国家、行业、控制标准和验收规范，在质量管理过程中达到或超过质量标准，杜绝重大设备一般及以上质量事故，确保工程无永久性缺陷。</w:t>
      </w:r>
    </w:p>
    <w:p w14:paraId="0D07CF69">
      <w:pPr>
        <w:keepNext/>
        <w:keepLines/>
        <w:widowControl w:val="0"/>
        <w:spacing w:line="380" w:lineRule="exact"/>
        <w:ind w:firstLine="422" w:firstLineChars="200"/>
        <w:jc w:val="both"/>
        <w:outlineLvl w:val="0"/>
        <w:rPr>
          <w:rFonts w:hint="eastAsia" w:ascii="宋体" w:hAnsi="宋体" w:eastAsia="宋体" w:cs="宋体"/>
          <w:b/>
          <w:bCs/>
          <w:color w:val="auto"/>
          <w:kern w:val="44"/>
          <w:sz w:val="21"/>
          <w:szCs w:val="21"/>
          <w:highlight w:val="none"/>
          <w:lang w:val="en-US" w:eastAsia="zh-CN" w:bidi="ar-SA"/>
        </w:rPr>
      </w:pPr>
      <w:bookmarkStart w:id="290" w:name="_Toc497746789"/>
      <w:bookmarkStart w:id="291" w:name="_Toc389065274"/>
      <w:bookmarkStart w:id="292" w:name="_Toc418061319"/>
      <w:bookmarkStart w:id="293" w:name="_Toc373478355"/>
      <w:bookmarkStart w:id="294" w:name="_Toc418752250"/>
      <w:bookmarkStart w:id="295" w:name="_Toc403578942"/>
      <w:bookmarkStart w:id="296" w:name="_Toc497747186"/>
      <w:bookmarkStart w:id="297" w:name="_Toc522201738"/>
      <w:bookmarkStart w:id="298" w:name="_Toc256000188"/>
      <w:bookmarkStart w:id="299" w:name="_Toc28469"/>
      <w:bookmarkStart w:id="300" w:name="_Toc418518354"/>
      <w:bookmarkStart w:id="301" w:name="_Toc373227708"/>
      <w:bookmarkStart w:id="302" w:name="_Toc418518118"/>
      <w:bookmarkStart w:id="303" w:name="_Toc418751804"/>
      <w:r>
        <w:rPr>
          <w:rFonts w:hint="eastAsia" w:ascii="宋体" w:hAnsi="宋体" w:eastAsia="宋体" w:cs="宋体"/>
          <w:b/>
          <w:bCs/>
          <w:color w:val="auto"/>
          <w:kern w:val="44"/>
          <w:sz w:val="21"/>
          <w:szCs w:val="21"/>
          <w:highlight w:val="none"/>
          <w:lang w:val="en-US" w:eastAsia="zh-CN" w:bidi="ar-SA"/>
        </w:rPr>
        <w:t>3.2 项目经理</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11DAC6CB">
      <w:pPr>
        <w:pStyle w:val="29"/>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3.2.1 </w:t>
      </w:r>
      <w:r>
        <w:rPr>
          <w:rFonts w:hint="eastAsia" w:ascii="宋体" w:hAnsi="宋体" w:eastAsia="宋体" w:cs="宋体"/>
          <w:color w:val="auto"/>
          <w:szCs w:val="21"/>
          <w:highlight w:val="none"/>
        </w:rPr>
        <w:t>项目经理：</w:t>
      </w:r>
    </w:p>
    <w:p w14:paraId="6D691C43">
      <w:pPr>
        <w:pStyle w:val="29"/>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    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1ADF8A48">
      <w:pPr>
        <w:pStyle w:val="29"/>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6D9DCC7">
      <w:pPr>
        <w:pStyle w:val="29"/>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建造师执业资格等级：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6CECC18">
      <w:pPr>
        <w:pStyle w:val="29"/>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建造师注册证书号：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11298333">
      <w:pPr>
        <w:pStyle w:val="29"/>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建造师执业印章号：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7D552F91">
      <w:pPr>
        <w:pStyle w:val="29"/>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安全生产考核合格证书号：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7A7353F5">
      <w:pPr>
        <w:pStyle w:val="29"/>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78C47785">
      <w:pPr>
        <w:pStyle w:val="29"/>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电子信箱：</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22BC64A6">
      <w:pPr>
        <w:pStyle w:val="29"/>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通信地址：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901EC9D">
      <w:pPr>
        <w:pStyle w:val="29"/>
        <w:spacing w:line="38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承包人对项目经理的授权范围如下： </w:t>
      </w:r>
      <w:r>
        <w:rPr>
          <w:rFonts w:hint="eastAsia" w:ascii="宋体" w:hAnsi="宋体" w:eastAsia="宋体" w:cs="宋体"/>
          <w:color w:val="auto"/>
          <w:szCs w:val="21"/>
          <w:highlight w:val="none"/>
          <w:u w:val="single"/>
        </w:rPr>
        <w:t>（1）对本工程的建设进行全面管理，行使合同约定的权利，履行合同约定的义务；（2）负责本工程的施工组织方案制定和施工组织设计；（3）负责本工程的劳动力组织和机械设备组织；（4）经发包人同意分包的专业工程，项目经理参与选择并使用具有相应资质的分包人； （5）合同约定由承包人采购的材料、工程设备，项目经理参与选择物资供应单位；（6）在授权范围内协调与项目有关的内、外部关系；（7）负责与发包人、监理人办理设计变更、现场签证等手续，及时办理本工程相关索赔；（8）负责签收发包人、监理人往来函件，承包人的要求、通知均应以书面形式由承包人项目经理签字并加盖承包人公司公章后递交发包人；（9）代表承包人接受监理工程师或发包人现场代表发出的指示和指令。但未经承包人盖章同意不得以承包人名义向外融资、 采购材料设备、 租用建筑周转材料、 雇佣劳动力、签订分包合同等从事一切为承包人设立义务或责任的行为</w:t>
      </w:r>
      <w:r>
        <w:rPr>
          <w:rFonts w:hint="eastAsia" w:ascii="宋体" w:hAnsi="宋体" w:eastAsia="宋体" w:cs="宋体"/>
          <w:color w:val="auto"/>
          <w:szCs w:val="21"/>
          <w:highlight w:val="none"/>
        </w:rPr>
        <w:t>。</w:t>
      </w:r>
    </w:p>
    <w:p w14:paraId="6A895569">
      <w:pPr>
        <w:pStyle w:val="29"/>
        <w:spacing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关于项目经理每月在施工现场的时间要求：</w:t>
      </w:r>
      <w:r>
        <w:rPr>
          <w:rFonts w:hint="eastAsia" w:ascii="宋体" w:hAnsi="宋体" w:eastAsia="宋体" w:cs="宋体"/>
          <w:color w:val="auto"/>
          <w:szCs w:val="21"/>
          <w:highlight w:val="none"/>
          <w:u w:val="single"/>
        </w:rPr>
        <w:t xml:space="preserve">  不少于22个工作日,若项目经理每月在岗时间少于22个工作日，发包人有权更换项目经理，由此造成的一切损失由承包人承担</w:t>
      </w:r>
      <w:r>
        <w:rPr>
          <w:rFonts w:hint="eastAsia" w:ascii="宋体" w:hAnsi="宋体" w:eastAsia="宋体" w:cs="宋体"/>
          <w:color w:val="auto"/>
          <w:szCs w:val="21"/>
          <w:highlight w:val="none"/>
        </w:rPr>
        <w:t>。</w:t>
      </w:r>
    </w:p>
    <w:p w14:paraId="19208459">
      <w:pPr>
        <w:pStyle w:val="29"/>
        <w:spacing w:line="38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rPr>
        <w:t>承包人未提交劳动合同，以及没有为项目经理缴纳社会保险证明的违约责任：</w:t>
      </w:r>
      <w:r>
        <w:rPr>
          <w:rFonts w:hint="eastAsia" w:ascii="宋体" w:hAnsi="宋体" w:eastAsia="宋体" w:cs="宋体"/>
          <w:color w:val="auto"/>
          <w:szCs w:val="21"/>
          <w:highlight w:val="none"/>
          <w:u w:val="single"/>
        </w:rPr>
        <w:t>承包人不提交上述文件的，项目经理无权履行职责，发包人有权要求更换项目经理，由此增加的费用和延误的工期由承包人承担</w:t>
      </w:r>
      <w:r>
        <w:rPr>
          <w:rFonts w:hint="eastAsia" w:ascii="宋体" w:hAnsi="宋体" w:eastAsia="宋体" w:cs="宋体"/>
          <w:color w:val="auto"/>
          <w:szCs w:val="21"/>
          <w:highlight w:val="none"/>
        </w:rPr>
        <w:t>。</w:t>
      </w:r>
    </w:p>
    <w:p w14:paraId="32BD2164">
      <w:pPr>
        <w:pStyle w:val="29"/>
        <w:spacing w:line="38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rPr>
        <w:t>项目经理未经批准，擅自离开施工现场的违约责任：</w:t>
      </w:r>
      <w:r>
        <w:rPr>
          <w:rFonts w:hint="eastAsia" w:ascii="宋体" w:hAnsi="宋体" w:eastAsia="宋体" w:cs="宋体"/>
          <w:color w:val="auto"/>
          <w:szCs w:val="21"/>
          <w:highlight w:val="none"/>
          <w:u w:val="single"/>
        </w:rPr>
        <w:t>项目经理每月在岗带班时间不得少于22天。未经发包人同意或正当理由，项目经理每月在岗带班时间少于22天的，少在岗带班一天，发包人有权处违约金 500元/日（人民币）</w:t>
      </w:r>
      <w:r>
        <w:rPr>
          <w:rFonts w:hint="eastAsia" w:ascii="宋体" w:hAnsi="宋体" w:eastAsia="宋体" w:cs="宋体"/>
          <w:color w:val="auto"/>
          <w:szCs w:val="21"/>
          <w:highlight w:val="none"/>
        </w:rPr>
        <w:t>。</w:t>
      </w:r>
    </w:p>
    <w:p w14:paraId="5A1C1B44">
      <w:pPr>
        <w:pStyle w:val="29"/>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3.2.3 承包人擅自更换项目经理的违约责任：</w:t>
      </w:r>
      <w:r>
        <w:rPr>
          <w:rFonts w:hint="eastAsia" w:ascii="宋体" w:hAnsi="宋体" w:eastAsia="宋体" w:cs="宋体"/>
          <w:color w:val="auto"/>
          <w:szCs w:val="21"/>
          <w:highlight w:val="none"/>
          <w:u w:val="single"/>
        </w:rPr>
        <w:t>承包人项目经理必须与承包人投标时所承诺的人员一致，并在（开工日期）前到任。在监理人向承包人颁发（竣工证明材料名称）前，项目经理不得同时兼任其他任何项目的项目经理（符合桂建管﹝2013﹞17号和桂建管﹝2014﹞25号文除外）。未经发包人书面同意，承包人擅自更换项目经理的视为违约，违约金处10000元/人•次（人民币）</w:t>
      </w:r>
      <w:r>
        <w:rPr>
          <w:rFonts w:hint="eastAsia" w:ascii="宋体" w:hAnsi="宋体" w:eastAsia="宋体" w:cs="宋体"/>
          <w:color w:val="auto"/>
          <w:szCs w:val="21"/>
          <w:highlight w:val="none"/>
        </w:rPr>
        <w:t>。</w:t>
      </w:r>
    </w:p>
    <w:p w14:paraId="6A63756E">
      <w:pPr>
        <w:pStyle w:val="29"/>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3.2.4 承包人无正当理由拒绝更换项目经理的违约责任：</w:t>
      </w:r>
      <w:r>
        <w:rPr>
          <w:rFonts w:hint="eastAsia" w:ascii="宋体" w:hAnsi="宋体" w:eastAsia="宋体" w:cs="宋体"/>
          <w:color w:val="auto"/>
          <w:szCs w:val="21"/>
          <w:highlight w:val="none"/>
          <w:u w:val="single"/>
        </w:rPr>
        <w:t>因承包人项目经理不称职，发包人要求调换而未及时调换的，视为承包人违约，必须向发包人交纳处罚金5000元/人•次（人民币）</w:t>
      </w:r>
      <w:r>
        <w:rPr>
          <w:rFonts w:hint="eastAsia" w:ascii="宋体" w:hAnsi="宋体" w:eastAsia="宋体" w:cs="宋体"/>
          <w:color w:val="auto"/>
          <w:szCs w:val="21"/>
          <w:highlight w:val="none"/>
        </w:rPr>
        <w:t>。</w:t>
      </w:r>
    </w:p>
    <w:p w14:paraId="30AD6530">
      <w:pPr>
        <w:keepNext/>
        <w:keepLines/>
        <w:widowControl w:val="0"/>
        <w:spacing w:line="380" w:lineRule="exact"/>
        <w:ind w:firstLine="422" w:firstLineChars="200"/>
        <w:jc w:val="both"/>
        <w:outlineLvl w:val="0"/>
        <w:rPr>
          <w:rFonts w:hint="eastAsia" w:ascii="宋体" w:hAnsi="宋体" w:eastAsia="宋体" w:cs="宋体"/>
          <w:b/>
          <w:bCs/>
          <w:color w:val="auto"/>
          <w:kern w:val="44"/>
          <w:sz w:val="21"/>
          <w:szCs w:val="21"/>
          <w:highlight w:val="none"/>
          <w:lang w:val="en-US" w:eastAsia="zh-CN" w:bidi="ar-SA"/>
        </w:rPr>
      </w:pPr>
      <w:bookmarkStart w:id="304" w:name="_Toc418751805"/>
      <w:bookmarkStart w:id="305" w:name="_Toc403578943"/>
      <w:bookmarkStart w:id="306" w:name="_Toc373227709"/>
      <w:bookmarkStart w:id="307" w:name="_Toc497746790"/>
      <w:bookmarkStart w:id="308" w:name="_Toc418061320"/>
      <w:bookmarkStart w:id="309" w:name="_Toc2288"/>
      <w:bookmarkStart w:id="310" w:name="_Toc522201739"/>
      <w:bookmarkStart w:id="311" w:name="_Toc389065275"/>
      <w:bookmarkStart w:id="312" w:name="_Toc418518119"/>
      <w:bookmarkStart w:id="313" w:name="_Toc373478356"/>
      <w:bookmarkStart w:id="314" w:name="_Toc497747187"/>
      <w:bookmarkStart w:id="315" w:name="_Toc418518355"/>
      <w:bookmarkStart w:id="316" w:name="_Toc418752251"/>
      <w:bookmarkStart w:id="317" w:name="_Toc256000189"/>
      <w:r>
        <w:rPr>
          <w:rFonts w:hint="eastAsia" w:ascii="宋体" w:hAnsi="宋体" w:eastAsia="宋体" w:cs="宋体"/>
          <w:b/>
          <w:bCs/>
          <w:color w:val="auto"/>
          <w:kern w:val="44"/>
          <w:sz w:val="21"/>
          <w:szCs w:val="21"/>
          <w:highlight w:val="none"/>
          <w:lang w:val="en-US" w:eastAsia="zh-CN" w:bidi="ar-SA"/>
        </w:rPr>
        <w:t>3.3 承包人人员</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14:paraId="0600DC2A">
      <w:pPr>
        <w:pStyle w:val="29"/>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3.3.1 承包人提交项目管理机构及施工现场管理人员安排报告（格式见合同附件6）的期限：</w:t>
      </w:r>
      <w:r>
        <w:rPr>
          <w:rFonts w:hint="eastAsia" w:ascii="宋体" w:hAnsi="宋体" w:eastAsia="宋体" w:cs="宋体"/>
          <w:color w:val="auto"/>
          <w:szCs w:val="21"/>
          <w:highlight w:val="none"/>
          <w:u w:val="single"/>
        </w:rPr>
        <w:t>开工前7日内</w:t>
      </w:r>
      <w:r>
        <w:rPr>
          <w:rFonts w:hint="eastAsia" w:ascii="宋体" w:hAnsi="宋体" w:eastAsia="宋体" w:cs="宋体"/>
          <w:color w:val="auto"/>
          <w:szCs w:val="21"/>
          <w:highlight w:val="none"/>
        </w:rPr>
        <w:t>。</w:t>
      </w:r>
    </w:p>
    <w:p w14:paraId="38B5536E">
      <w:pPr>
        <w:pStyle w:val="29"/>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3.3.3 承包人无正当理由拒绝撤换主要施工管理人员的违约责任：</w:t>
      </w:r>
      <w:r>
        <w:rPr>
          <w:rFonts w:hint="eastAsia" w:ascii="宋体" w:hAnsi="宋体" w:eastAsia="宋体" w:cs="宋体"/>
          <w:color w:val="auto"/>
          <w:szCs w:val="21"/>
          <w:highlight w:val="none"/>
          <w:u w:val="single"/>
        </w:rPr>
        <w:t>因承包人主要施工管理人员不称职，发包人要求调换而无正当理由拒绝撤换或未及时调换的，视为承包人违约，必须向发包人交纳处罚金，处罚标准：技术负责人3000元/人•次（人民币）；专业工程师1000元/人•次（人民币）</w:t>
      </w:r>
      <w:r>
        <w:rPr>
          <w:rFonts w:hint="eastAsia" w:ascii="宋体" w:hAnsi="宋体" w:eastAsia="宋体" w:cs="宋体"/>
          <w:color w:val="auto"/>
          <w:szCs w:val="21"/>
          <w:highlight w:val="none"/>
        </w:rPr>
        <w:t>。</w:t>
      </w:r>
    </w:p>
    <w:p w14:paraId="3623BF97">
      <w:pPr>
        <w:pStyle w:val="29"/>
        <w:spacing w:line="38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3.3.4 承包人主要施工管理人员离开施工现场的批准要求：</w:t>
      </w:r>
      <w:r>
        <w:rPr>
          <w:rFonts w:hint="eastAsia" w:ascii="宋体" w:hAnsi="宋体" w:eastAsia="宋体" w:cs="宋体"/>
          <w:color w:val="auto"/>
          <w:szCs w:val="21"/>
          <w:highlight w:val="none"/>
          <w:u w:val="single"/>
        </w:rPr>
        <w:t>经建设单位及监理单位批准同意后</w:t>
      </w:r>
      <w:r>
        <w:rPr>
          <w:rFonts w:hint="eastAsia" w:ascii="宋体" w:hAnsi="宋体" w:eastAsia="宋体" w:cs="宋体"/>
          <w:color w:val="auto"/>
          <w:szCs w:val="21"/>
          <w:highlight w:val="none"/>
        </w:rPr>
        <w:t>。</w:t>
      </w:r>
    </w:p>
    <w:p w14:paraId="13CC86F5">
      <w:pPr>
        <w:pStyle w:val="29"/>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3.3.5 承包人擅自更换主要施工管理人员的违约责任：</w:t>
      </w:r>
      <w:r>
        <w:rPr>
          <w:rFonts w:hint="eastAsia" w:ascii="宋体" w:hAnsi="宋体" w:eastAsia="宋体" w:cs="宋体"/>
          <w:color w:val="auto"/>
          <w:szCs w:val="21"/>
          <w:highlight w:val="none"/>
          <w:u w:val="single"/>
        </w:rPr>
        <w:t>项目技术负责人、专职安全员及其承诺的其它在场管理人员未经发包人书面同意不准擅自更换，擅自更换项目技术负责人处 3000元/人•次（人民币）违约金；擅自更换专职安全员处1000元/人•次（人民币）违约金；擅自更换其它在场管理人员处500元/人•次（人民币）违约金</w:t>
      </w:r>
      <w:r>
        <w:rPr>
          <w:rFonts w:hint="eastAsia" w:ascii="宋体" w:hAnsi="宋体" w:eastAsia="宋体" w:cs="宋体"/>
          <w:color w:val="auto"/>
          <w:szCs w:val="21"/>
          <w:highlight w:val="none"/>
        </w:rPr>
        <w:t>。</w:t>
      </w:r>
    </w:p>
    <w:p w14:paraId="74573106">
      <w:pPr>
        <w:pStyle w:val="29"/>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承包人主要施工管理人员擅自离开施工现场的违约责任：</w:t>
      </w:r>
      <w:r>
        <w:rPr>
          <w:rFonts w:hint="eastAsia" w:ascii="宋体" w:hAnsi="宋体" w:eastAsia="宋体" w:cs="宋体"/>
          <w:color w:val="auto"/>
          <w:szCs w:val="21"/>
          <w:highlight w:val="none"/>
          <w:u w:val="single"/>
        </w:rPr>
        <w:t>未经发包人同意，项目技术负责人擅自离岗的，视为承包人违约，发包人有权处违约金500元/人•次（人民币）；未经发包人同意，专职安全员擅自离岗的，视为承包人违约，发包人有权处违约金500元/人•次（人民币）；其它在场管理人员擅自离岗的，视为承包人违约，发包人有权处违约金300元/人•次（人民币）</w:t>
      </w:r>
      <w:r>
        <w:rPr>
          <w:rFonts w:hint="eastAsia" w:ascii="宋体" w:hAnsi="宋体" w:eastAsia="宋体" w:cs="宋体"/>
          <w:color w:val="auto"/>
          <w:szCs w:val="21"/>
          <w:highlight w:val="none"/>
        </w:rPr>
        <w:t>。</w:t>
      </w:r>
    </w:p>
    <w:p w14:paraId="17BA670F">
      <w:pPr>
        <w:keepNext/>
        <w:keepLines/>
        <w:widowControl w:val="0"/>
        <w:spacing w:line="380" w:lineRule="exact"/>
        <w:ind w:firstLine="422" w:firstLineChars="200"/>
        <w:jc w:val="both"/>
        <w:outlineLvl w:val="0"/>
        <w:rPr>
          <w:rFonts w:hint="eastAsia" w:ascii="宋体" w:hAnsi="宋体" w:eastAsia="宋体" w:cs="宋体"/>
          <w:b/>
          <w:bCs/>
          <w:color w:val="auto"/>
          <w:kern w:val="44"/>
          <w:sz w:val="21"/>
          <w:szCs w:val="21"/>
          <w:highlight w:val="none"/>
          <w:lang w:val="en-US" w:eastAsia="zh-CN" w:bidi="ar-SA"/>
        </w:rPr>
      </w:pPr>
      <w:bookmarkStart w:id="318" w:name="_Toc403578944"/>
      <w:bookmarkStart w:id="319" w:name="_Toc373478357"/>
      <w:bookmarkStart w:id="320" w:name="_Toc418751806"/>
      <w:bookmarkStart w:id="321" w:name="_Toc522201740"/>
      <w:bookmarkStart w:id="322" w:name="_Toc497746791"/>
      <w:bookmarkStart w:id="323" w:name="_Toc418061321"/>
      <w:bookmarkStart w:id="324" w:name="_Toc256000190"/>
      <w:bookmarkStart w:id="325" w:name="_Toc25072"/>
      <w:bookmarkStart w:id="326" w:name="_Toc418752252"/>
      <w:bookmarkStart w:id="327" w:name="_Toc373227710"/>
      <w:bookmarkStart w:id="328" w:name="_Toc389065276"/>
      <w:bookmarkStart w:id="329" w:name="_Toc418518356"/>
      <w:bookmarkStart w:id="330" w:name="_Toc497747188"/>
      <w:bookmarkStart w:id="331" w:name="_Toc418518120"/>
      <w:r>
        <w:rPr>
          <w:rFonts w:hint="eastAsia" w:ascii="宋体" w:hAnsi="宋体" w:eastAsia="宋体" w:cs="宋体"/>
          <w:b/>
          <w:bCs/>
          <w:color w:val="auto"/>
          <w:kern w:val="44"/>
          <w:sz w:val="21"/>
          <w:szCs w:val="21"/>
          <w:highlight w:val="none"/>
          <w:lang w:val="en-US" w:eastAsia="zh-CN" w:bidi="ar-SA"/>
        </w:rPr>
        <w:t>3</w:t>
      </w:r>
      <w:bookmarkStart w:id="332" w:name="_Toc303539102"/>
      <w:bookmarkStart w:id="333" w:name="_Toc296891199"/>
      <w:bookmarkStart w:id="334" w:name="_Toc297120459"/>
      <w:bookmarkStart w:id="335" w:name="_Toc297048345"/>
      <w:bookmarkStart w:id="336" w:name="_Toc304295523"/>
      <w:bookmarkStart w:id="337" w:name="_Toc297123492"/>
      <w:bookmarkStart w:id="338" w:name="_Toc300934945"/>
      <w:bookmarkStart w:id="339" w:name="_Toc296890987"/>
      <w:bookmarkStart w:id="340" w:name="_Toc296346660"/>
      <w:bookmarkStart w:id="341" w:name="_Toc297216151"/>
      <w:bookmarkStart w:id="342" w:name="_Toc292559364"/>
      <w:bookmarkStart w:id="343" w:name="_Toc296347158"/>
      <w:bookmarkStart w:id="344" w:name="_Toc312677988"/>
      <w:bookmarkStart w:id="345" w:name="_Toc296944498"/>
      <w:bookmarkStart w:id="346" w:name="_Toc292559869"/>
      <w:bookmarkStart w:id="347" w:name="_Toc296503159"/>
      <w:r>
        <w:rPr>
          <w:rFonts w:hint="eastAsia" w:ascii="宋体" w:hAnsi="宋体" w:eastAsia="宋体" w:cs="宋体"/>
          <w:b/>
          <w:bCs/>
          <w:color w:val="auto"/>
          <w:kern w:val="44"/>
          <w:sz w:val="21"/>
          <w:szCs w:val="21"/>
          <w:highlight w:val="none"/>
          <w:lang w:val="en-US" w:eastAsia="zh-CN" w:bidi="ar-SA"/>
        </w:rPr>
        <w:t>.5 分包</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14:paraId="0FC77878">
      <w:pPr>
        <w:pStyle w:val="29"/>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bookmarkStart w:id="348" w:name="_Toc296347159"/>
      <w:bookmarkStart w:id="349" w:name="_Toc296890988"/>
      <w:bookmarkStart w:id="350" w:name="_Toc292559365"/>
      <w:bookmarkStart w:id="351" w:name="_Toc300934946"/>
      <w:bookmarkStart w:id="352" w:name="_Toc292559870"/>
      <w:bookmarkStart w:id="353" w:name="_Toc296891200"/>
      <w:bookmarkStart w:id="354" w:name="_Toc297048346"/>
      <w:bookmarkStart w:id="355" w:name="_Toc297120460"/>
      <w:bookmarkStart w:id="356" w:name="_Toc296346661"/>
      <w:bookmarkStart w:id="357" w:name="_Toc303539103"/>
      <w:bookmarkStart w:id="358" w:name="_Toc312677989"/>
      <w:bookmarkStart w:id="359" w:name="_Toc304295524"/>
      <w:bookmarkStart w:id="360" w:name="_Toc318581158"/>
      <w:bookmarkStart w:id="361" w:name="_Toc297216152"/>
      <w:bookmarkStart w:id="362" w:name="_Toc296944499"/>
      <w:bookmarkStart w:id="363" w:name="_Toc297123493"/>
      <w:bookmarkStart w:id="364" w:name="_Toc296503160"/>
      <w:r>
        <w:rPr>
          <w:rFonts w:hint="eastAsia" w:ascii="宋体" w:hAnsi="宋体" w:eastAsia="宋体" w:cs="宋体"/>
          <w:color w:val="auto"/>
          <w:szCs w:val="21"/>
          <w:highlight w:val="none"/>
        </w:rPr>
        <w:t>.5.1 分包的一般约定</w:t>
      </w:r>
    </w:p>
    <w:p w14:paraId="3BB9D914">
      <w:pPr>
        <w:pStyle w:val="29"/>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禁止分包的工程包括：</w:t>
      </w:r>
      <w:r>
        <w:rPr>
          <w:rFonts w:hint="eastAsia" w:ascii="宋体" w:hAnsi="宋体" w:eastAsia="宋体" w:cs="宋体"/>
          <w:color w:val="auto"/>
          <w:szCs w:val="21"/>
          <w:highlight w:val="none"/>
          <w:u w:val="single"/>
        </w:rPr>
        <w:t>除劳务工程外</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23D92A29">
      <w:pPr>
        <w:pStyle w:val="29"/>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主体结构、关键性工作的范围：</w:t>
      </w:r>
      <w:r>
        <w:rPr>
          <w:rFonts w:hint="eastAsia" w:ascii="宋体" w:hAnsi="宋体" w:eastAsia="宋体" w:cs="宋体"/>
          <w:color w:val="auto"/>
          <w:szCs w:val="21"/>
          <w:highlight w:val="none"/>
          <w:u w:val="single"/>
        </w:rPr>
        <w:t xml:space="preserve">禁止分包  </w:t>
      </w:r>
      <w:r>
        <w:rPr>
          <w:rFonts w:hint="eastAsia" w:ascii="宋体" w:hAnsi="宋体" w:eastAsia="宋体" w:cs="宋体"/>
          <w:color w:val="auto"/>
          <w:szCs w:val="21"/>
          <w:highlight w:val="none"/>
        </w:rPr>
        <w:t>。</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p w14:paraId="25482592">
      <w:pPr>
        <w:pStyle w:val="29"/>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bookmarkStart w:id="365" w:name="_Toc312677990"/>
      <w:bookmarkStart w:id="366" w:name="_Toc318581159"/>
      <w:r>
        <w:rPr>
          <w:rFonts w:hint="eastAsia" w:ascii="宋体" w:hAnsi="宋体" w:eastAsia="宋体" w:cs="宋体"/>
          <w:color w:val="auto"/>
          <w:szCs w:val="21"/>
          <w:highlight w:val="none"/>
        </w:rPr>
        <w:t>.5.2 分包的确定</w:t>
      </w:r>
    </w:p>
    <w:p w14:paraId="63947A94">
      <w:pPr>
        <w:pStyle w:val="29"/>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允许分包的专业工程包括：</w:t>
      </w:r>
      <w:r>
        <w:rPr>
          <w:rFonts w:hint="eastAsia" w:ascii="宋体" w:hAnsi="宋体" w:eastAsia="宋体" w:cs="宋体"/>
          <w:color w:val="auto"/>
          <w:szCs w:val="21"/>
          <w:highlight w:val="none"/>
          <w:u w:val="single"/>
        </w:rPr>
        <w:t xml:space="preserve">劳务工程  </w:t>
      </w:r>
      <w:r>
        <w:rPr>
          <w:rFonts w:hint="eastAsia" w:ascii="宋体" w:hAnsi="宋体" w:eastAsia="宋体" w:cs="宋体"/>
          <w:color w:val="auto"/>
          <w:szCs w:val="21"/>
          <w:highlight w:val="none"/>
        </w:rPr>
        <w:t>。</w:t>
      </w:r>
    </w:p>
    <w:p w14:paraId="3EBA5BE2">
      <w:pPr>
        <w:pStyle w:val="29"/>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其他关于分包的约定：</w:t>
      </w:r>
    </w:p>
    <w:p w14:paraId="320C4C03">
      <w:pPr>
        <w:pStyle w:val="29"/>
        <w:spacing w:line="38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7。</w:t>
      </w:r>
    </w:p>
    <w:p w14:paraId="2DF24E4D">
      <w:pPr>
        <w:pStyle w:val="29"/>
        <w:spacing w:line="38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（2）在相关分包合同签订并报送有关建设行政主管部门备案后7天内，承包人应当将一份副本提交给监理人，承包人应保障分包工作不得再次分包。</w:t>
      </w:r>
    </w:p>
    <w:p w14:paraId="7350B297">
      <w:pPr>
        <w:pStyle w:val="29"/>
        <w:spacing w:line="38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（3）未经承包人和监理人审批同意的分包工程和分包人，承包人有权拒绝验收分包工程和支付相应款项，由此引起的发包人费用增加和(或)延误的工期由发包人承担。</w:t>
      </w:r>
    </w:p>
    <w:p w14:paraId="0AB89908">
      <w:pPr>
        <w:pStyle w:val="29"/>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3.5.4 分包合同价款 </w:t>
      </w:r>
    </w:p>
    <w:p w14:paraId="329076B1">
      <w:pPr>
        <w:pStyle w:val="29"/>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关于分包合同价款支付的约定：</w:t>
      </w:r>
      <w:r>
        <w:rPr>
          <w:rFonts w:hint="eastAsia" w:ascii="宋体" w:hAnsi="宋体" w:eastAsia="宋体" w:cs="宋体"/>
          <w:color w:val="auto"/>
          <w:szCs w:val="21"/>
          <w:highlight w:val="none"/>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bookmarkEnd w:id="365"/>
    <w:bookmarkEnd w:id="366"/>
    <w:p w14:paraId="58E30B14">
      <w:pPr>
        <w:keepNext/>
        <w:keepLines/>
        <w:widowControl w:val="0"/>
        <w:spacing w:line="380" w:lineRule="exact"/>
        <w:ind w:firstLine="422" w:firstLineChars="200"/>
        <w:jc w:val="both"/>
        <w:outlineLvl w:val="0"/>
        <w:rPr>
          <w:rFonts w:hint="eastAsia" w:ascii="宋体" w:hAnsi="宋体" w:eastAsia="宋体" w:cs="宋体"/>
          <w:b/>
          <w:bCs/>
          <w:color w:val="auto"/>
          <w:kern w:val="44"/>
          <w:sz w:val="21"/>
          <w:szCs w:val="21"/>
          <w:highlight w:val="none"/>
          <w:lang w:val="en-US" w:eastAsia="zh-CN" w:bidi="ar-SA"/>
        </w:rPr>
      </w:pPr>
      <w:bookmarkStart w:id="367" w:name="_Toc373478358"/>
      <w:bookmarkStart w:id="368" w:name="_Toc18699"/>
      <w:bookmarkStart w:id="369" w:name="_Toc497747189"/>
      <w:bookmarkStart w:id="370" w:name="_Toc418752253"/>
      <w:bookmarkStart w:id="371" w:name="_Toc418518121"/>
      <w:bookmarkStart w:id="372" w:name="_Toc418061322"/>
      <w:bookmarkStart w:id="373" w:name="_Toc418518357"/>
      <w:bookmarkStart w:id="374" w:name="_Toc522201741"/>
      <w:bookmarkStart w:id="375" w:name="_Toc256000191"/>
      <w:bookmarkStart w:id="376" w:name="_Toc389065277"/>
      <w:bookmarkStart w:id="377" w:name="_Toc418751807"/>
      <w:bookmarkStart w:id="378" w:name="_Toc497746792"/>
      <w:bookmarkStart w:id="379" w:name="_Toc403578945"/>
      <w:bookmarkStart w:id="380" w:name="_Toc373227711"/>
      <w:r>
        <w:rPr>
          <w:rFonts w:hint="eastAsia" w:ascii="宋体" w:hAnsi="宋体" w:eastAsia="宋体" w:cs="宋体"/>
          <w:b/>
          <w:bCs/>
          <w:color w:val="auto"/>
          <w:kern w:val="44"/>
          <w:sz w:val="21"/>
          <w:szCs w:val="21"/>
          <w:highlight w:val="none"/>
          <w:lang w:val="en-US" w:eastAsia="zh-CN" w:bidi="ar-SA"/>
        </w:rPr>
        <w:t>3.6 工程照管与成品、半成品保护</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14:paraId="6E1B6425">
      <w:pPr>
        <w:pStyle w:val="29"/>
        <w:spacing w:line="3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承包人负责照管工程及工程相关的材料、工程设备的起始时间：</w:t>
      </w:r>
      <w:r>
        <w:rPr>
          <w:rFonts w:hint="eastAsia" w:ascii="宋体" w:hAnsi="宋体" w:eastAsia="宋体" w:cs="宋体"/>
          <w:color w:val="auto"/>
          <w:szCs w:val="21"/>
          <w:highlight w:val="none"/>
          <w:u w:val="single"/>
        </w:rPr>
        <w:t>自发包人向承包人移交施工现场之日起，到颁发工程接收证书之日止</w:t>
      </w:r>
      <w:r>
        <w:rPr>
          <w:rFonts w:hint="eastAsia" w:ascii="宋体" w:hAnsi="宋体" w:eastAsia="宋体" w:cs="宋体"/>
          <w:color w:val="auto"/>
          <w:kern w:val="0"/>
          <w:szCs w:val="21"/>
          <w:highlight w:val="none"/>
        </w:rPr>
        <w:t>。</w:t>
      </w:r>
    </w:p>
    <w:p w14:paraId="5115169C">
      <w:pPr>
        <w:pStyle w:val="3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承包人负责照管工程及工程相关的材料、工程设备的范围：</w:t>
      </w:r>
      <w:r>
        <w:rPr>
          <w:rFonts w:hint="eastAsia" w:ascii="宋体" w:hAnsi="宋体" w:eastAsia="宋体" w:cs="宋体"/>
          <w:color w:val="auto"/>
          <w:highlight w:val="none"/>
          <w:u w:val="single"/>
        </w:rPr>
        <w:t>除承包人自身承包范围内的材料、工程设备外，也有义务照管与本项目相关的由发包人另行发包的其他专业工程设备。并有义务避免因自身的原因造成对其他承包人的成品、半成品的损坏、污染</w:t>
      </w:r>
      <w:r>
        <w:rPr>
          <w:rFonts w:hint="eastAsia" w:ascii="宋体" w:hAnsi="宋体" w:eastAsia="宋体" w:cs="宋体"/>
          <w:color w:val="auto"/>
          <w:highlight w:val="none"/>
        </w:rPr>
        <w:t>。</w:t>
      </w:r>
    </w:p>
    <w:p w14:paraId="6177BDDB">
      <w:pPr>
        <w:keepNext/>
        <w:keepLines/>
        <w:widowControl w:val="0"/>
        <w:spacing w:line="380" w:lineRule="exact"/>
        <w:ind w:firstLine="422" w:firstLineChars="200"/>
        <w:jc w:val="both"/>
        <w:outlineLvl w:val="0"/>
        <w:rPr>
          <w:rFonts w:hint="eastAsia" w:ascii="宋体" w:hAnsi="宋体" w:eastAsia="宋体" w:cs="宋体"/>
          <w:b/>
          <w:bCs/>
          <w:color w:val="auto"/>
          <w:kern w:val="44"/>
          <w:sz w:val="21"/>
          <w:szCs w:val="21"/>
          <w:highlight w:val="none"/>
          <w:lang w:val="en-US" w:eastAsia="zh-CN" w:bidi="ar-SA"/>
        </w:rPr>
      </w:pPr>
      <w:bookmarkStart w:id="381" w:name="_Toc389065278"/>
      <w:bookmarkStart w:id="382" w:name="_Toc497747190"/>
      <w:bookmarkStart w:id="383" w:name="_Toc497746793"/>
      <w:bookmarkStart w:id="384" w:name="_Toc418752254"/>
      <w:bookmarkStart w:id="385" w:name="_Toc418518358"/>
      <w:bookmarkStart w:id="386" w:name="_Toc373478359"/>
      <w:bookmarkStart w:id="387" w:name="_Toc522201742"/>
      <w:bookmarkStart w:id="388" w:name="_Toc403578946"/>
      <w:bookmarkStart w:id="389" w:name="_Toc418518122"/>
      <w:bookmarkStart w:id="390" w:name="_Toc418061323"/>
      <w:bookmarkStart w:id="391" w:name="_Toc373227712"/>
      <w:bookmarkStart w:id="392" w:name="_Toc418751808"/>
      <w:bookmarkStart w:id="393" w:name="_Toc256000192"/>
      <w:bookmarkStart w:id="394" w:name="_Toc20309"/>
      <w:r>
        <w:rPr>
          <w:rFonts w:hint="eastAsia" w:ascii="宋体" w:hAnsi="宋体" w:eastAsia="宋体" w:cs="宋体"/>
          <w:b/>
          <w:bCs/>
          <w:color w:val="auto"/>
          <w:kern w:val="44"/>
          <w:sz w:val="21"/>
          <w:szCs w:val="21"/>
          <w:highlight w:val="none"/>
          <w:lang w:val="en-US" w:eastAsia="zh-CN" w:bidi="ar-SA"/>
        </w:rPr>
        <w:t>3.7 履约</w:t>
      </w:r>
      <w:bookmarkEnd w:id="381"/>
      <w:bookmarkEnd w:id="382"/>
      <w:bookmarkEnd w:id="383"/>
      <w:bookmarkEnd w:id="384"/>
      <w:bookmarkEnd w:id="385"/>
      <w:bookmarkEnd w:id="386"/>
      <w:bookmarkEnd w:id="387"/>
      <w:bookmarkEnd w:id="388"/>
      <w:bookmarkEnd w:id="389"/>
      <w:bookmarkEnd w:id="390"/>
      <w:bookmarkEnd w:id="391"/>
      <w:bookmarkEnd w:id="392"/>
      <w:r>
        <w:rPr>
          <w:rFonts w:hint="eastAsia" w:ascii="宋体" w:hAnsi="宋体" w:eastAsia="宋体" w:cs="宋体"/>
          <w:b/>
          <w:bCs/>
          <w:color w:val="auto"/>
          <w:kern w:val="44"/>
          <w:sz w:val="21"/>
          <w:szCs w:val="21"/>
          <w:highlight w:val="none"/>
          <w:lang w:val="en-US" w:eastAsia="zh-CN" w:bidi="ar-SA"/>
        </w:rPr>
        <w:t>担保</w:t>
      </w:r>
      <w:bookmarkEnd w:id="393"/>
      <w:bookmarkEnd w:id="394"/>
    </w:p>
    <w:p w14:paraId="740C1BFA">
      <w:pPr>
        <w:pStyle w:val="30"/>
        <w:spacing w:line="380" w:lineRule="exact"/>
        <w:rPr>
          <w:rFonts w:hint="eastAsia" w:ascii="宋体" w:hAnsi="宋体" w:eastAsia="宋体" w:cs="宋体"/>
          <w:color w:val="auto"/>
          <w:highlight w:val="none"/>
        </w:rPr>
      </w:pPr>
      <w:bookmarkStart w:id="395" w:name="_Toc418751809"/>
      <w:bookmarkStart w:id="396" w:name="_Toc373227713"/>
      <w:bookmarkStart w:id="397" w:name="_Toc418518123"/>
      <w:bookmarkStart w:id="398" w:name="_Toc418752255"/>
      <w:bookmarkStart w:id="399" w:name="_Toc403578947"/>
      <w:bookmarkStart w:id="400" w:name="_Toc351203636"/>
      <w:bookmarkStart w:id="401" w:name="_Toc389065279"/>
      <w:bookmarkStart w:id="402" w:name="_Toc418061324"/>
      <w:bookmarkStart w:id="403" w:name="_Toc418518359"/>
      <w:bookmarkStart w:id="404" w:name="_Toc373478360"/>
      <w:r>
        <w:rPr>
          <w:rFonts w:hint="eastAsia" w:ascii="宋体" w:hAnsi="宋体" w:eastAsia="宋体" w:cs="宋体"/>
          <w:color w:val="auto"/>
          <w:highlight w:val="none"/>
        </w:rPr>
        <w:t>承包人是否提供履约担保：</w:t>
      </w:r>
      <w:r>
        <w:rPr>
          <w:rFonts w:hint="eastAsia" w:ascii="宋体" w:hAnsi="宋体" w:eastAsia="宋体" w:cs="宋体"/>
          <w:color w:val="auto"/>
          <w:highlight w:val="none"/>
          <w:u w:val="single"/>
        </w:rPr>
        <w:t xml:space="preserve"> </w:t>
      </w:r>
      <w:r>
        <w:rPr>
          <w:rFonts w:hint="eastAsia" w:ascii="宋体" w:hAnsi="宋体" w:cs="宋体"/>
          <w:color w:val="auto"/>
          <w:highlight w:val="none"/>
          <w:u w:val="single"/>
          <w:lang w:val="en-US" w:eastAsia="zh-CN"/>
        </w:rPr>
        <w:t xml:space="preserve"> 否 </w:t>
      </w:r>
      <w:r>
        <w:rPr>
          <w:rFonts w:hint="eastAsia" w:ascii="宋体" w:hAnsi="宋体" w:eastAsia="宋体" w:cs="宋体"/>
          <w:color w:val="auto"/>
          <w:highlight w:val="none"/>
          <w:u w:val="single"/>
        </w:rPr>
        <w:t>　</w:t>
      </w:r>
      <w:r>
        <w:rPr>
          <w:rFonts w:hint="eastAsia" w:ascii="宋体" w:hAnsi="宋体" w:eastAsia="宋体" w:cs="宋体"/>
          <w:color w:val="auto"/>
          <w:highlight w:val="none"/>
        </w:rPr>
        <w:t>。</w:t>
      </w:r>
    </w:p>
    <w:p w14:paraId="0A5EDCFF">
      <w:pPr>
        <w:pStyle w:val="29"/>
        <w:spacing w:line="380" w:lineRule="exact"/>
        <w:ind w:firstLine="420" w:firstLineChars="200"/>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承包人提供履约担保的形式、金额及期限的：</w:t>
      </w:r>
      <w:r>
        <w:rPr>
          <w:rFonts w:hint="eastAsia" w:ascii="宋体" w:hAnsi="宋体" w:eastAsia="宋体" w:cs="宋体"/>
          <w:color w:val="auto"/>
          <w:szCs w:val="21"/>
          <w:highlight w:val="none"/>
          <w:u w:val="single"/>
        </w:rPr>
        <w:t>在收到中标通知书后，承包人须在30日内向发包人足额提交合同价款的</w:t>
      </w:r>
      <w:r>
        <w:rPr>
          <w:rFonts w:hint="eastAsia" w:ascii="宋体" w:hAnsi="宋体" w:eastAsia="宋体" w:cs="宋体"/>
          <w:color w:val="auto"/>
          <w:szCs w:val="21"/>
          <w:highlight w:val="none"/>
          <w:u w:val="single"/>
          <w:lang w:val="en-US" w:eastAsia="zh-CN"/>
        </w:rPr>
        <w:t>2</w:t>
      </w:r>
      <w:r>
        <w:rPr>
          <w:rFonts w:hint="eastAsia" w:ascii="宋体" w:hAnsi="宋体" w:eastAsia="宋体" w:cs="宋体"/>
          <w:color w:val="auto"/>
          <w:szCs w:val="21"/>
          <w:highlight w:val="none"/>
          <w:u w:val="single"/>
        </w:rPr>
        <w:t>%的现金或银行保函或保证保险的履约担保（格式见合同附件8）。履约担保的有效期应当自本合同生效之日起至发包人签认并由监理人向承包人出具（竣工证明材料名称）之日止。如果承包人无法获得一份不带具体截止日期的担保，履约担保中应当有“变更工程竣工日期的，保证期间按照变更后的竣工日期做相应调整”或类似约定的条款。</w:t>
      </w:r>
    </w:p>
    <w:p w14:paraId="35679CB7">
      <w:pPr>
        <w:pStyle w:val="29"/>
        <w:spacing w:line="3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工程竣工验收合格并对验收发现的问题完成整改后的7个日历天内，</w:t>
      </w:r>
      <w:r>
        <w:rPr>
          <w:rFonts w:hint="eastAsia" w:ascii="宋体" w:hAnsi="宋体" w:eastAsia="宋体" w:cs="宋体"/>
          <w:color w:val="auto"/>
          <w:szCs w:val="21"/>
          <w:highlight w:val="none"/>
        </w:rPr>
        <w:t>承包人可向发包人申请退还履约保证金。发包人应在收到申请之日起28个日历天内</w:t>
      </w:r>
      <w:r>
        <w:rPr>
          <w:rFonts w:hint="eastAsia" w:ascii="宋体" w:hAnsi="宋体" w:eastAsia="宋体" w:cs="宋体"/>
          <w:color w:val="auto"/>
          <w:kern w:val="0"/>
          <w:szCs w:val="21"/>
          <w:highlight w:val="none"/>
        </w:rPr>
        <w:t>扣减承包人赔偿金和其他应从承包人扣回的款项后，</w:t>
      </w:r>
      <w:r>
        <w:rPr>
          <w:rFonts w:hint="eastAsia" w:ascii="宋体" w:hAnsi="宋体" w:eastAsia="宋体" w:cs="宋体"/>
          <w:color w:val="auto"/>
          <w:szCs w:val="21"/>
          <w:highlight w:val="none"/>
        </w:rPr>
        <w:t>将履约保证金退还给承包人（无息）。</w:t>
      </w:r>
    </w:p>
    <w:p w14:paraId="35FFA885">
      <w:pPr>
        <w:pStyle w:val="29"/>
        <w:spacing w:line="3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签订合同前承包人必须按市财建（2018）73号文规定将农民工工资保障金存入帐户。工程竣工验收结算经审定后，按照规定程序，将农民工工资保障金没有使用或剩余的金额退还给承包人。</w:t>
      </w:r>
    </w:p>
    <w:p w14:paraId="689134D1">
      <w:pPr>
        <w:keepNext/>
        <w:keepLines/>
        <w:widowControl w:val="0"/>
        <w:spacing w:line="380" w:lineRule="exact"/>
        <w:jc w:val="both"/>
        <w:outlineLvl w:val="0"/>
        <w:rPr>
          <w:rFonts w:hint="eastAsia" w:ascii="宋体" w:hAnsi="宋体" w:eastAsia="宋体" w:cs="宋体"/>
          <w:b/>
          <w:bCs/>
          <w:color w:val="auto"/>
          <w:kern w:val="44"/>
          <w:sz w:val="21"/>
          <w:szCs w:val="21"/>
          <w:highlight w:val="none"/>
          <w:lang w:val="en-US" w:eastAsia="zh-CN" w:bidi="ar-SA"/>
        </w:rPr>
      </w:pPr>
      <w:bookmarkStart w:id="405" w:name="_Toc5074"/>
      <w:bookmarkStart w:id="406" w:name="_Toc497746794"/>
      <w:bookmarkStart w:id="407" w:name="_Toc497747191"/>
      <w:bookmarkStart w:id="408" w:name="_Toc522201743"/>
      <w:bookmarkStart w:id="409" w:name="_Toc256000193"/>
      <w:r>
        <w:rPr>
          <w:rFonts w:hint="eastAsia" w:ascii="宋体" w:hAnsi="宋体" w:eastAsia="宋体" w:cs="宋体"/>
          <w:b/>
          <w:bCs/>
          <w:color w:val="auto"/>
          <w:kern w:val="44"/>
          <w:sz w:val="21"/>
          <w:szCs w:val="21"/>
          <w:highlight w:val="none"/>
          <w:lang w:val="en-US" w:eastAsia="zh-CN" w:bidi="ar-SA"/>
        </w:rPr>
        <w:t>4</w:t>
      </w:r>
      <w:bookmarkStart w:id="410" w:name="_Toc267251413"/>
      <w:bookmarkStart w:id="411" w:name="_Toc296890990"/>
      <w:bookmarkStart w:id="412" w:name="_Toc296891202"/>
      <w:bookmarkStart w:id="413" w:name="_Toc296346663"/>
      <w:bookmarkStart w:id="414" w:name="_Toc292559366"/>
      <w:bookmarkStart w:id="415" w:name="_Toc296347161"/>
      <w:bookmarkStart w:id="416" w:name="_Toc297120462"/>
      <w:bookmarkStart w:id="417" w:name="_Toc297048348"/>
      <w:bookmarkStart w:id="418" w:name="_Toc296503162"/>
      <w:bookmarkStart w:id="419" w:name="_Toc292559871"/>
      <w:bookmarkStart w:id="420" w:name="_Toc296944501"/>
      <w:r>
        <w:rPr>
          <w:rFonts w:hint="eastAsia" w:ascii="宋体" w:hAnsi="宋体" w:eastAsia="宋体" w:cs="宋体"/>
          <w:b/>
          <w:bCs/>
          <w:color w:val="auto"/>
          <w:kern w:val="44"/>
          <w:sz w:val="21"/>
          <w:szCs w:val="21"/>
          <w:highlight w:val="none"/>
          <w:lang w:val="en-US" w:eastAsia="zh-CN" w:bidi="ar-SA"/>
        </w:rPr>
        <w:t>. 监</w:t>
      </w:r>
      <w:bookmarkEnd w:id="410"/>
      <w:bookmarkEnd w:id="411"/>
      <w:bookmarkEnd w:id="412"/>
      <w:bookmarkEnd w:id="413"/>
      <w:bookmarkEnd w:id="414"/>
      <w:bookmarkEnd w:id="415"/>
      <w:bookmarkEnd w:id="416"/>
      <w:bookmarkEnd w:id="417"/>
      <w:bookmarkEnd w:id="418"/>
      <w:bookmarkEnd w:id="419"/>
      <w:bookmarkEnd w:id="420"/>
      <w:r>
        <w:rPr>
          <w:rFonts w:hint="eastAsia" w:ascii="宋体" w:hAnsi="宋体" w:eastAsia="宋体" w:cs="宋体"/>
          <w:b/>
          <w:bCs/>
          <w:color w:val="auto"/>
          <w:kern w:val="44"/>
          <w:sz w:val="21"/>
          <w:szCs w:val="21"/>
          <w:highlight w:val="none"/>
          <w:lang w:val="en-US" w:eastAsia="zh-CN" w:bidi="ar-SA"/>
        </w:rPr>
        <w:t>理人</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p w14:paraId="79A8F8E7">
      <w:pPr>
        <w:keepNext/>
        <w:keepLines/>
        <w:widowControl w:val="0"/>
        <w:spacing w:line="380" w:lineRule="exact"/>
        <w:ind w:firstLine="422" w:firstLineChars="200"/>
        <w:jc w:val="both"/>
        <w:outlineLvl w:val="0"/>
        <w:rPr>
          <w:rFonts w:hint="eastAsia" w:ascii="宋体" w:hAnsi="宋体" w:eastAsia="宋体" w:cs="宋体"/>
          <w:b/>
          <w:bCs/>
          <w:color w:val="auto"/>
          <w:kern w:val="44"/>
          <w:sz w:val="21"/>
          <w:szCs w:val="21"/>
          <w:highlight w:val="none"/>
          <w:lang w:val="en-US" w:eastAsia="zh-CN" w:bidi="ar-SA"/>
        </w:rPr>
      </w:pPr>
      <w:bookmarkStart w:id="421" w:name="_Toc418752256"/>
      <w:bookmarkStart w:id="422" w:name="_Toc389065280"/>
      <w:bookmarkStart w:id="423" w:name="_Toc373478361"/>
      <w:bookmarkStart w:id="424" w:name="_Toc418518360"/>
      <w:bookmarkStart w:id="425" w:name="_Toc418061325"/>
      <w:bookmarkStart w:id="426" w:name="_Toc522201744"/>
      <w:bookmarkStart w:id="427" w:name="_Toc418751810"/>
      <w:bookmarkStart w:id="428" w:name="_Toc497747192"/>
      <w:bookmarkStart w:id="429" w:name="_Toc497746795"/>
      <w:bookmarkStart w:id="430" w:name="_Toc403578948"/>
      <w:bookmarkStart w:id="431" w:name="_Toc256000194"/>
      <w:bookmarkStart w:id="432" w:name="_Toc418518124"/>
      <w:bookmarkStart w:id="433" w:name="_Toc373227714"/>
      <w:bookmarkStart w:id="434" w:name="_Toc25022"/>
      <w:r>
        <w:rPr>
          <w:rFonts w:hint="eastAsia" w:ascii="宋体" w:hAnsi="宋体" w:eastAsia="宋体" w:cs="宋体"/>
          <w:b/>
          <w:bCs/>
          <w:color w:val="auto"/>
          <w:kern w:val="44"/>
          <w:sz w:val="21"/>
          <w:szCs w:val="21"/>
          <w:highlight w:val="none"/>
          <w:lang w:val="en-US" w:eastAsia="zh-CN" w:bidi="ar-SA"/>
        </w:rPr>
        <w:t>4.1 监理人的一般规定</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6792C75B">
      <w:pPr>
        <w:pStyle w:val="29"/>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关于监理人的监理内容：</w:t>
      </w:r>
      <w:r>
        <w:rPr>
          <w:rFonts w:hint="eastAsia" w:ascii="宋体" w:hAnsi="宋体" w:eastAsia="宋体" w:cs="宋体"/>
          <w:color w:val="auto"/>
          <w:szCs w:val="21"/>
          <w:highlight w:val="none"/>
          <w:u w:val="single"/>
        </w:rPr>
        <w:t xml:space="preserve"> 检查施工承包人工程质量，安全生产管理制度及组织机构人员资格；审查施工承包人员提交的施工进度计划及工程施工范围内所有内容。</w:t>
      </w:r>
    </w:p>
    <w:p w14:paraId="5CBF9DBC">
      <w:pPr>
        <w:pStyle w:val="29"/>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关于监理人的监理权限：</w:t>
      </w:r>
      <w:r>
        <w:rPr>
          <w:rFonts w:hint="eastAsia" w:ascii="宋体" w:hAnsi="宋体" w:eastAsia="宋体" w:cs="宋体"/>
          <w:color w:val="auto"/>
          <w:szCs w:val="21"/>
          <w:highlight w:val="none"/>
          <w:u w:val="single"/>
        </w:rPr>
        <w:t>代表发包人对工程施工相关事项进行检查、查验、审核、验收，并签发相关指示，但监理人无权修改合同，且无权减轻或免除合同约定的承包人的任何责任与义务: 1、在发出施工进度计划和施工方案说明以及有关能引起工程费用实际增加（减少）或延长工期的指令前，应得到发包人的书面批准。2、监理工程师在向承包人发出有关技术规范的重大变更或有关变更合同条款的任何指令前均应获得发包人书面批准。3、工程实际竣工日期提前或超过工程承包合同规定的竣工期限的签证之前应得到发包人的书面批准。4、签证单监理只有证明权，无确认权。5、工程内容和材料变更确认应得到发包人的书面批准。不管通用合同条款如何约定，监理人履行须经发包人批准行使的权利时，应当向承包人出示其行使该权利已经取得发包人批准的文件或者其他合法有效的证明 。</w:t>
      </w:r>
      <w:r>
        <w:rPr>
          <w:rFonts w:hint="eastAsia" w:ascii="宋体" w:hAnsi="宋体" w:eastAsia="宋体" w:cs="宋体"/>
          <w:color w:val="auto"/>
          <w:szCs w:val="21"/>
          <w:highlight w:val="none"/>
        </w:rPr>
        <w:t xml:space="preserve">  </w:t>
      </w:r>
    </w:p>
    <w:p w14:paraId="706D96CE">
      <w:pPr>
        <w:pStyle w:val="29"/>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关于监理人在施工现场的办公场所、生活场所的提供和费用承担的约定：</w:t>
      </w:r>
      <w:r>
        <w:rPr>
          <w:rFonts w:hint="eastAsia" w:ascii="宋体" w:hAnsi="宋体" w:eastAsia="宋体" w:cs="宋体"/>
          <w:color w:val="auto"/>
          <w:szCs w:val="21"/>
          <w:highlight w:val="none"/>
          <w:u w:val="single"/>
        </w:rPr>
        <w:t>由承包人为发包人、监理单位免费提供三间办公室并承担相关费用</w:t>
      </w:r>
      <w:r>
        <w:rPr>
          <w:rFonts w:hint="eastAsia" w:ascii="宋体" w:hAnsi="宋体" w:eastAsia="宋体" w:cs="宋体"/>
          <w:color w:val="auto"/>
          <w:szCs w:val="21"/>
          <w:highlight w:val="none"/>
        </w:rPr>
        <w:t>。</w:t>
      </w:r>
    </w:p>
    <w:p w14:paraId="717AD899">
      <w:pPr>
        <w:keepNext/>
        <w:keepLines/>
        <w:widowControl w:val="0"/>
        <w:spacing w:line="380" w:lineRule="exact"/>
        <w:ind w:firstLine="422" w:firstLineChars="200"/>
        <w:jc w:val="both"/>
        <w:outlineLvl w:val="0"/>
        <w:rPr>
          <w:rFonts w:hint="eastAsia" w:ascii="宋体" w:hAnsi="宋体" w:eastAsia="宋体" w:cs="宋体"/>
          <w:b/>
          <w:bCs/>
          <w:color w:val="auto"/>
          <w:kern w:val="44"/>
          <w:sz w:val="21"/>
          <w:szCs w:val="21"/>
          <w:highlight w:val="none"/>
          <w:lang w:val="en-US" w:eastAsia="zh-CN" w:bidi="ar-SA"/>
        </w:rPr>
      </w:pPr>
      <w:bookmarkStart w:id="435" w:name="_Toc418751811"/>
      <w:bookmarkStart w:id="436" w:name="_Toc418518361"/>
      <w:bookmarkStart w:id="437" w:name="_Toc373478362"/>
      <w:bookmarkStart w:id="438" w:name="_Toc497746796"/>
      <w:bookmarkStart w:id="439" w:name="_Toc373227715"/>
      <w:bookmarkStart w:id="440" w:name="_Toc497747193"/>
      <w:bookmarkStart w:id="441" w:name="_Toc418061326"/>
      <w:bookmarkStart w:id="442" w:name="_Toc418518125"/>
      <w:bookmarkStart w:id="443" w:name="_Toc522201745"/>
      <w:bookmarkStart w:id="444" w:name="_Toc389065281"/>
      <w:bookmarkStart w:id="445" w:name="_Toc418752257"/>
      <w:bookmarkStart w:id="446" w:name="_Toc403578949"/>
      <w:bookmarkStart w:id="447" w:name="_Toc256000195"/>
      <w:bookmarkStart w:id="448" w:name="_Toc386"/>
      <w:r>
        <w:rPr>
          <w:rFonts w:hint="eastAsia" w:ascii="宋体" w:hAnsi="宋体" w:eastAsia="宋体" w:cs="宋体"/>
          <w:b/>
          <w:bCs/>
          <w:color w:val="auto"/>
          <w:kern w:val="44"/>
          <w:sz w:val="21"/>
          <w:szCs w:val="21"/>
          <w:highlight w:val="none"/>
          <w:lang w:val="en-US" w:eastAsia="zh-CN" w:bidi="ar-SA"/>
        </w:rPr>
        <w:t>4.2 监理人员</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p w14:paraId="15A816AF">
      <w:pPr>
        <w:pStyle w:val="29"/>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总监理工程师：</w:t>
      </w:r>
    </w:p>
    <w:p w14:paraId="6DB85162">
      <w:pPr>
        <w:pStyle w:val="29"/>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    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w:t>
      </w:r>
    </w:p>
    <w:p w14:paraId="2846D023">
      <w:pPr>
        <w:pStyle w:val="29"/>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    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2B9741FB">
      <w:pPr>
        <w:pStyle w:val="29"/>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监理工程师执业资格证书号：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5FA9808F">
      <w:pPr>
        <w:pStyle w:val="29"/>
        <w:spacing w:line="38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none"/>
        </w:rPr>
        <w:t>；</w:t>
      </w:r>
    </w:p>
    <w:p w14:paraId="0E0DB67E">
      <w:pPr>
        <w:pStyle w:val="29"/>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电子信箱：</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none"/>
        </w:rPr>
        <w:t>；</w:t>
      </w:r>
    </w:p>
    <w:p w14:paraId="59C9A31F">
      <w:pPr>
        <w:pStyle w:val="29"/>
        <w:spacing w:line="380" w:lineRule="exact"/>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rPr>
        <w:t>通信地址：</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none"/>
        </w:rPr>
        <w:t>；</w:t>
      </w:r>
    </w:p>
    <w:p w14:paraId="5CC12E71">
      <w:pPr>
        <w:pStyle w:val="29"/>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关于监理人的其他约定：</w:t>
      </w:r>
      <w:r>
        <w:rPr>
          <w:rFonts w:hint="eastAsia" w:ascii="宋体" w:hAnsi="宋体" w:eastAsia="宋体" w:cs="宋体"/>
          <w:color w:val="auto"/>
          <w:szCs w:val="21"/>
          <w:highlight w:val="none"/>
          <w:u w:val="single"/>
        </w:rPr>
        <w:t xml:space="preserve"> 见监理合同</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none"/>
        </w:rPr>
        <w:t>。</w:t>
      </w:r>
    </w:p>
    <w:p w14:paraId="27F6A05B">
      <w:pPr>
        <w:keepNext/>
        <w:keepLines/>
        <w:widowControl w:val="0"/>
        <w:spacing w:line="380" w:lineRule="exact"/>
        <w:ind w:firstLine="422" w:firstLineChars="200"/>
        <w:jc w:val="both"/>
        <w:outlineLvl w:val="0"/>
        <w:rPr>
          <w:rFonts w:hint="eastAsia" w:ascii="宋体" w:hAnsi="宋体" w:eastAsia="宋体" w:cs="宋体"/>
          <w:b/>
          <w:bCs/>
          <w:color w:val="auto"/>
          <w:kern w:val="44"/>
          <w:sz w:val="21"/>
          <w:szCs w:val="21"/>
          <w:highlight w:val="none"/>
          <w:lang w:val="en-US" w:eastAsia="zh-CN" w:bidi="ar-SA"/>
        </w:rPr>
      </w:pPr>
      <w:bookmarkStart w:id="449" w:name="_Toc418752258"/>
      <w:bookmarkStart w:id="450" w:name="_Toc389065282"/>
      <w:bookmarkStart w:id="451" w:name="_Toc497746797"/>
      <w:bookmarkStart w:id="452" w:name="_Toc418518126"/>
      <w:bookmarkStart w:id="453" w:name="_Toc12945"/>
      <w:bookmarkStart w:id="454" w:name="_Toc522201746"/>
      <w:bookmarkStart w:id="455" w:name="_Toc373478363"/>
      <w:bookmarkStart w:id="456" w:name="_Toc497747194"/>
      <w:bookmarkStart w:id="457" w:name="_Toc403578950"/>
      <w:bookmarkStart w:id="458" w:name="_Toc373227716"/>
      <w:bookmarkStart w:id="459" w:name="_Toc418061327"/>
      <w:bookmarkStart w:id="460" w:name="_Toc418518362"/>
      <w:bookmarkStart w:id="461" w:name="_Toc256000196"/>
      <w:bookmarkStart w:id="462" w:name="_Toc418751812"/>
      <w:r>
        <w:rPr>
          <w:rFonts w:hint="eastAsia" w:ascii="宋体" w:hAnsi="宋体" w:eastAsia="宋体" w:cs="宋体"/>
          <w:b/>
          <w:bCs/>
          <w:color w:val="auto"/>
          <w:kern w:val="44"/>
          <w:sz w:val="21"/>
          <w:szCs w:val="21"/>
          <w:highlight w:val="none"/>
          <w:lang w:val="en-US" w:eastAsia="zh-CN" w:bidi="ar-SA"/>
        </w:rPr>
        <w:t>4.4 商定或确定</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p w14:paraId="110B6669">
      <w:pPr>
        <w:pStyle w:val="29"/>
        <w:spacing w:line="380" w:lineRule="exact"/>
        <w:ind w:firstLine="420" w:firstLineChars="200"/>
        <w:rPr>
          <w:rFonts w:hint="eastAsia" w:ascii="宋体" w:hAnsi="宋体" w:eastAsia="宋体" w:cs="宋体"/>
          <w:color w:val="auto"/>
          <w:szCs w:val="21"/>
          <w:highlight w:val="none"/>
        </w:rPr>
      </w:pPr>
      <w:bookmarkStart w:id="463" w:name="_Toc267251418"/>
      <w:r>
        <w:rPr>
          <w:rFonts w:hint="eastAsia" w:ascii="宋体" w:hAnsi="宋体" w:eastAsia="宋体" w:cs="宋体"/>
          <w:color w:val="auto"/>
          <w:szCs w:val="21"/>
          <w:highlight w:val="none"/>
        </w:rPr>
        <w:t>在发包人和承包人不能通过协商达成一致意见时，发包人授权监理人对以下事项进行确定：</w:t>
      </w:r>
      <w:r>
        <w:rPr>
          <w:rFonts w:hint="eastAsia" w:ascii="宋体" w:hAnsi="宋体" w:eastAsia="宋体" w:cs="宋体"/>
          <w:color w:val="auto"/>
          <w:kern w:val="0"/>
          <w:szCs w:val="21"/>
          <w:highlight w:val="none"/>
          <w:u w:val="single"/>
        </w:rPr>
        <w:t>无</w:t>
      </w:r>
      <w:r>
        <w:rPr>
          <w:rFonts w:hint="eastAsia" w:ascii="宋体" w:hAnsi="宋体" w:eastAsia="宋体" w:cs="宋体"/>
          <w:color w:val="auto"/>
          <w:szCs w:val="21"/>
          <w:highlight w:val="none"/>
        </w:rPr>
        <w:t>；</w:t>
      </w:r>
    </w:p>
    <w:p w14:paraId="0E9AB5FA">
      <w:pPr>
        <w:keepNext/>
        <w:keepLines/>
        <w:widowControl w:val="0"/>
        <w:spacing w:line="380" w:lineRule="exact"/>
        <w:jc w:val="both"/>
        <w:outlineLvl w:val="0"/>
        <w:rPr>
          <w:rFonts w:hint="eastAsia" w:ascii="宋体" w:hAnsi="宋体" w:eastAsia="宋体" w:cs="宋体"/>
          <w:b/>
          <w:bCs/>
          <w:color w:val="auto"/>
          <w:kern w:val="44"/>
          <w:sz w:val="21"/>
          <w:szCs w:val="21"/>
          <w:highlight w:val="none"/>
          <w:lang w:val="en-US" w:eastAsia="zh-CN" w:bidi="ar-SA"/>
        </w:rPr>
      </w:pPr>
      <w:bookmarkStart w:id="464" w:name="_Toc418518127"/>
      <w:bookmarkStart w:id="465" w:name="_Toc418752259"/>
      <w:bookmarkStart w:id="466" w:name="_Toc256000197"/>
      <w:bookmarkStart w:id="467" w:name="_Toc497746798"/>
      <w:bookmarkStart w:id="468" w:name="_Toc418061328"/>
      <w:bookmarkStart w:id="469" w:name="_Toc497747195"/>
      <w:bookmarkStart w:id="470" w:name="_Toc389065283"/>
      <w:bookmarkStart w:id="471" w:name="_Toc418751813"/>
      <w:bookmarkStart w:id="472" w:name="_Toc403578951"/>
      <w:bookmarkStart w:id="473" w:name="_Toc418518363"/>
      <w:bookmarkStart w:id="474" w:name="_Toc373227717"/>
      <w:bookmarkStart w:id="475" w:name="_Toc351203637"/>
      <w:bookmarkStart w:id="476" w:name="_Toc522201747"/>
      <w:bookmarkStart w:id="477" w:name="_Toc373478364"/>
      <w:bookmarkStart w:id="478" w:name="_Toc10110"/>
      <w:r>
        <w:rPr>
          <w:rFonts w:hint="eastAsia" w:ascii="宋体" w:hAnsi="宋体" w:eastAsia="宋体" w:cs="宋体"/>
          <w:b/>
          <w:bCs/>
          <w:color w:val="auto"/>
          <w:kern w:val="44"/>
          <w:sz w:val="21"/>
          <w:szCs w:val="21"/>
          <w:highlight w:val="none"/>
          <w:lang w:val="en-US" w:eastAsia="zh-CN" w:bidi="ar-SA"/>
        </w:rPr>
        <w:t>5</w:t>
      </w:r>
      <w:bookmarkEnd w:id="463"/>
      <w:bookmarkStart w:id="479" w:name="_Toc296347162"/>
      <w:bookmarkStart w:id="480" w:name="_Toc296346664"/>
      <w:bookmarkStart w:id="481" w:name="_Toc297048349"/>
      <w:bookmarkStart w:id="482" w:name="_Toc297120463"/>
      <w:bookmarkStart w:id="483" w:name="_Toc296944502"/>
      <w:bookmarkStart w:id="484" w:name="_Toc292559367"/>
      <w:bookmarkStart w:id="485" w:name="_Toc296890991"/>
      <w:bookmarkStart w:id="486" w:name="_Toc296503163"/>
      <w:bookmarkStart w:id="487" w:name="_Toc292559872"/>
      <w:bookmarkStart w:id="488" w:name="_Toc296891203"/>
      <w:r>
        <w:rPr>
          <w:rFonts w:hint="eastAsia" w:ascii="宋体" w:hAnsi="宋体" w:eastAsia="宋体" w:cs="宋体"/>
          <w:b/>
          <w:bCs/>
          <w:color w:val="auto"/>
          <w:kern w:val="44"/>
          <w:sz w:val="21"/>
          <w:szCs w:val="21"/>
          <w:highlight w:val="none"/>
          <w:lang w:val="en-US" w:eastAsia="zh-CN" w:bidi="ar-SA"/>
        </w:rPr>
        <w:t>. 工程质量</w:t>
      </w:r>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14:paraId="12B61B8C">
      <w:pPr>
        <w:keepNext/>
        <w:keepLines/>
        <w:widowControl w:val="0"/>
        <w:spacing w:line="380" w:lineRule="exact"/>
        <w:ind w:firstLine="422" w:firstLineChars="200"/>
        <w:jc w:val="both"/>
        <w:outlineLvl w:val="0"/>
        <w:rPr>
          <w:rFonts w:hint="eastAsia" w:ascii="宋体" w:hAnsi="宋体" w:eastAsia="宋体" w:cs="宋体"/>
          <w:b/>
          <w:bCs/>
          <w:color w:val="auto"/>
          <w:kern w:val="44"/>
          <w:sz w:val="21"/>
          <w:szCs w:val="21"/>
          <w:highlight w:val="none"/>
          <w:lang w:val="en-US" w:eastAsia="zh-CN" w:bidi="ar-SA"/>
        </w:rPr>
      </w:pPr>
      <w:bookmarkStart w:id="489" w:name="_Toc418518364"/>
      <w:bookmarkStart w:id="490" w:name="_Toc373227718"/>
      <w:bookmarkStart w:id="491" w:name="_Toc497747196"/>
      <w:bookmarkStart w:id="492" w:name="_Toc497746799"/>
      <w:bookmarkStart w:id="493" w:name="_Toc256000198"/>
      <w:bookmarkStart w:id="494" w:name="_Toc403578952"/>
      <w:bookmarkStart w:id="495" w:name="_Toc418061329"/>
      <w:bookmarkStart w:id="496" w:name="_Toc418752260"/>
      <w:bookmarkStart w:id="497" w:name="_Toc389065284"/>
      <w:bookmarkStart w:id="498" w:name="_Toc418751814"/>
      <w:bookmarkStart w:id="499" w:name="_Toc418518128"/>
      <w:bookmarkStart w:id="500" w:name="_Toc522201748"/>
      <w:bookmarkStart w:id="501" w:name="_Toc17624"/>
      <w:bookmarkStart w:id="502" w:name="_Toc373478365"/>
      <w:r>
        <w:rPr>
          <w:rFonts w:hint="eastAsia" w:ascii="宋体" w:hAnsi="宋体" w:eastAsia="宋体" w:cs="宋体"/>
          <w:b/>
          <w:bCs/>
          <w:color w:val="auto"/>
          <w:kern w:val="44"/>
          <w:sz w:val="21"/>
          <w:szCs w:val="21"/>
          <w:highlight w:val="none"/>
          <w:lang w:val="en-US" w:eastAsia="zh-CN" w:bidi="ar-SA"/>
        </w:rPr>
        <w:t>5.1 质量要求</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p w14:paraId="06923285">
      <w:pPr>
        <w:pStyle w:val="29"/>
        <w:spacing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5</w:t>
      </w:r>
      <w:bookmarkStart w:id="503" w:name="_Toc304295527"/>
      <w:bookmarkStart w:id="504" w:name="_Toc297123496"/>
      <w:bookmarkStart w:id="505" w:name="_Toc300934949"/>
      <w:bookmarkStart w:id="506" w:name="_Toc303539106"/>
      <w:bookmarkStart w:id="507" w:name="_Toc312677997"/>
      <w:bookmarkStart w:id="508" w:name="_Toc297216155"/>
      <w:bookmarkStart w:id="509" w:name="_Toc318581164"/>
      <w:r>
        <w:rPr>
          <w:rFonts w:hint="eastAsia" w:ascii="宋体" w:hAnsi="宋体" w:eastAsia="宋体" w:cs="宋体"/>
          <w:color w:val="auto"/>
          <w:szCs w:val="21"/>
          <w:highlight w:val="none"/>
        </w:rPr>
        <w:t>.1.1 特殊质量标准和要求：</w:t>
      </w:r>
      <w:r>
        <w:rPr>
          <w:rFonts w:hint="eastAsia" w:ascii="宋体" w:hAnsi="宋体" w:eastAsia="宋体" w:cs="宋体"/>
          <w:color w:val="auto"/>
          <w:szCs w:val="21"/>
          <w:highlight w:val="none"/>
          <w:u w:val="single"/>
        </w:rPr>
        <w:t xml:space="preserve"> 工程质量达到国家验收合格标准 </w:t>
      </w:r>
      <w:r>
        <w:rPr>
          <w:rFonts w:hint="eastAsia" w:ascii="宋体" w:hAnsi="宋体" w:eastAsia="宋体" w:cs="宋体"/>
          <w:color w:val="auto"/>
          <w:szCs w:val="21"/>
          <w:highlight w:val="none"/>
        </w:rPr>
        <w:t>。</w:t>
      </w:r>
    </w:p>
    <w:p w14:paraId="01ED8487">
      <w:pPr>
        <w:pStyle w:val="29"/>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关于工程奖项的约定：</w:t>
      </w:r>
      <w:r>
        <w:rPr>
          <w:rFonts w:hint="eastAsia" w:ascii="宋体" w:hAnsi="宋体" w:eastAsia="宋体" w:cs="宋体"/>
          <w:color w:val="auto"/>
          <w:szCs w:val="21"/>
          <w:highlight w:val="none"/>
          <w:u w:val="single"/>
        </w:rPr>
        <w:t xml:space="preserve"> 无 </w:t>
      </w:r>
      <w:r>
        <w:rPr>
          <w:rFonts w:hint="eastAsia" w:ascii="宋体" w:hAnsi="宋体" w:eastAsia="宋体" w:cs="宋体"/>
          <w:color w:val="auto"/>
          <w:szCs w:val="21"/>
          <w:highlight w:val="none"/>
        </w:rPr>
        <w:t>。</w:t>
      </w:r>
    </w:p>
    <w:p w14:paraId="59D52B08">
      <w:pPr>
        <w:pStyle w:val="29"/>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隐蔽工程检查</w:t>
      </w:r>
    </w:p>
    <w:p w14:paraId="59877463">
      <w:pPr>
        <w:pStyle w:val="29"/>
        <w:spacing w:line="38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5.3.2承包人提前通知监理人隐蔽工程检查的期限的约定：</w:t>
      </w:r>
      <w:r>
        <w:rPr>
          <w:rFonts w:hint="eastAsia" w:ascii="宋体" w:hAnsi="宋体" w:eastAsia="宋体" w:cs="宋体"/>
          <w:color w:val="auto"/>
          <w:kern w:val="0"/>
          <w:szCs w:val="21"/>
          <w:highlight w:val="none"/>
          <w:u w:val="single"/>
        </w:rPr>
        <w:t>任何部位的隐蔽工程需要覆盖或隐蔽前，承包人均应提前 48 小时通知发包人、监理工程师和质量监督站进行中间验收并拍照，没有发包人、监理工程师和质量监督站的批准，均不得隐蔽或验收。对相关单位所提出涉及工程质量、安全管理等存在问题时，必须进行整改，承包人应在监理人及相关人员指示的时间内修正返工后，由监理人及相关人员重新检查。否则发包人按规定有权进行经济处罚</w:t>
      </w:r>
      <w:r>
        <w:rPr>
          <w:rFonts w:hint="eastAsia" w:ascii="宋体" w:hAnsi="宋体" w:eastAsia="宋体" w:cs="宋体"/>
          <w:bCs/>
          <w:color w:val="auto"/>
          <w:szCs w:val="21"/>
          <w:highlight w:val="none"/>
          <w:u w:val="single"/>
        </w:rPr>
        <w:t>。</w:t>
      </w:r>
    </w:p>
    <w:p w14:paraId="19F9EBA0">
      <w:pPr>
        <w:pStyle w:val="29"/>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监理人不能按时进行检查时，应提前</w:t>
      </w:r>
      <w:r>
        <w:rPr>
          <w:rFonts w:hint="eastAsia" w:ascii="宋体" w:hAnsi="宋体" w:eastAsia="宋体" w:cs="宋体"/>
          <w:color w:val="auto"/>
          <w:szCs w:val="21"/>
          <w:highlight w:val="none"/>
          <w:u w:val="single"/>
        </w:rPr>
        <w:t xml:space="preserve"> 24 </w:t>
      </w:r>
      <w:r>
        <w:rPr>
          <w:rFonts w:hint="eastAsia" w:ascii="宋体" w:hAnsi="宋体" w:eastAsia="宋体" w:cs="宋体"/>
          <w:color w:val="auto"/>
          <w:szCs w:val="21"/>
          <w:highlight w:val="none"/>
        </w:rPr>
        <w:t>小时提交书面延期要求。</w:t>
      </w:r>
    </w:p>
    <w:p w14:paraId="3DD481BD">
      <w:pPr>
        <w:pStyle w:val="29"/>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关于延期最长不得超过：</w:t>
      </w:r>
      <w:r>
        <w:rPr>
          <w:rFonts w:hint="eastAsia" w:ascii="宋体" w:hAnsi="宋体" w:eastAsia="宋体" w:cs="宋体"/>
          <w:color w:val="auto"/>
          <w:szCs w:val="21"/>
          <w:highlight w:val="none"/>
          <w:u w:val="single"/>
        </w:rPr>
        <w:t xml:space="preserve"> 48 </w:t>
      </w:r>
      <w:r>
        <w:rPr>
          <w:rFonts w:hint="eastAsia" w:ascii="宋体" w:hAnsi="宋体" w:eastAsia="宋体" w:cs="宋体"/>
          <w:color w:val="auto"/>
          <w:szCs w:val="21"/>
          <w:highlight w:val="none"/>
        </w:rPr>
        <w:t>小时。</w:t>
      </w:r>
    </w:p>
    <w:p w14:paraId="46910653">
      <w:pPr>
        <w:keepNext/>
        <w:keepLines/>
        <w:widowControl w:val="0"/>
        <w:spacing w:line="380" w:lineRule="exact"/>
        <w:jc w:val="both"/>
        <w:outlineLvl w:val="0"/>
        <w:rPr>
          <w:rFonts w:hint="eastAsia" w:ascii="宋体" w:hAnsi="宋体" w:eastAsia="宋体" w:cs="宋体"/>
          <w:b/>
          <w:bCs/>
          <w:color w:val="auto"/>
          <w:kern w:val="44"/>
          <w:sz w:val="21"/>
          <w:szCs w:val="21"/>
          <w:highlight w:val="none"/>
          <w:lang w:val="en-US" w:eastAsia="zh-CN" w:bidi="ar-SA"/>
        </w:rPr>
      </w:pPr>
      <w:bookmarkStart w:id="510" w:name="_Toc497747197"/>
      <w:bookmarkStart w:id="511" w:name="_Toc522201749"/>
      <w:bookmarkStart w:id="512" w:name="_Toc373227719"/>
      <w:bookmarkStart w:id="513" w:name="_Toc418752261"/>
      <w:bookmarkStart w:id="514" w:name="_Toc256000199"/>
      <w:bookmarkStart w:id="515" w:name="_Toc351203638"/>
      <w:bookmarkStart w:id="516" w:name="_Toc418061330"/>
      <w:bookmarkStart w:id="517" w:name="_Toc497746800"/>
      <w:bookmarkStart w:id="518" w:name="_Toc403578953"/>
      <w:bookmarkStart w:id="519" w:name="_Toc389065285"/>
      <w:bookmarkStart w:id="520" w:name="_Toc31511"/>
      <w:bookmarkStart w:id="521" w:name="_Toc418518365"/>
      <w:bookmarkStart w:id="522" w:name="_Toc418518129"/>
      <w:bookmarkStart w:id="523" w:name="_Toc418751815"/>
      <w:bookmarkStart w:id="524" w:name="_Toc373478366"/>
      <w:r>
        <w:rPr>
          <w:rFonts w:hint="eastAsia" w:ascii="宋体" w:hAnsi="宋体" w:eastAsia="宋体" w:cs="宋体"/>
          <w:b/>
          <w:bCs/>
          <w:color w:val="auto"/>
          <w:kern w:val="44"/>
          <w:sz w:val="21"/>
          <w:szCs w:val="21"/>
          <w:highlight w:val="none"/>
          <w:lang w:val="en-US" w:eastAsia="zh-CN" w:bidi="ar-SA"/>
        </w:rPr>
        <w:t>6. 安全文明施工与环境保护</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3CBEFCDF">
      <w:pPr>
        <w:keepNext/>
        <w:keepLines/>
        <w:widowControl w:val="0"/>
        <w:spacing w:line="380" w:lineRule="exact"/>
        <w:ind w:firstLine="422" w:firstLineChars="200"/>
        <w:jc w:val="both"/>
        <w:outlineLvl w:val="0"/>
        <w:rPr>
          <w:rFonts w:hint="eastAsia" w:ascii="宋体" w:hAnsi="宋体" w:eastAsia="宋体" w:cs="宋体"/>
          <w:b/>
          <w:bCs/>
          <w:color w:val="auto"/>
          <w:kern w:val="44"/>
          <w:sz w:val="21"/>
          <w:szCs w:val="21"/>
          <w:highlight w:val="none"/>
          <w:lang w:val="en-US" w:eastAsia="zh-CN" w:bidi="ar-SA"/>
        </w:rPr>
      </w:pPr>
      <w:bookmarkStart w:id="525" w:name="_Toc256000200"/>
      <w:bookmarkStart w:id="526" w:name="_Toc497746801"/>
      <w:bookmarkStart w:id="527" w:name="_Toc522201750"/>
      <w:bookmarkStart w:id="528" w:name="_Toc389065286"/>
      <w:bookmarkStart w:id="529" w:name="_Toc497747198"/>
      <w:bookmarkStart w:id="530" w:name="_Toc373478367"/>
      <w:bookmarkStart w:id="531" w:name="_Toc418518130"/>
      <w:bookmarkStart w:id="532" w:name="_Toc418061331"/>
      <w:bookmarkStart w:id="533" w:name="_Toc403578954"/>
      <w:bookmarkStart w:id="534" w:name="_Toc418751816"/>
      <w:bookmarkStart w:id="535" w:name="_Toc418518366"/>
      <w:bookmarkStart w:id="536" w:name="_Toc25956"/>
      <w:bookmarkStart w:id="537" w:name="_Toc418752262"/>
      <w:bookmarkStart w:id="538" w:name="_Toc373227720"/>
      <w:r>
        <w:rPr>
          <w:rFonts w:hint="eastAsia" w:ascii="宋体" w:hAnsi="宋体" w:eastAsia="宋体" w:cs="宋体"/>
          <w:b/>
          <w:bCs/>
          <w:color w:val="auto"/>
          <w:kern w:val="44"/>
          <w:sz w:val="21"/>
          <w:szCs w:val="21"/>
          <w:highlight w:val="none"/>
          <w:lang w:val="en-US" w:eastAsia="zh-CN" w:bidi="ar-SA"/>
        </w:rPr>
        <w:t>6.1 安全文明施工</w:t>
      </w:r>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14:paraId="774D7785">
      <w:pPr>
        <w:pStyle w:val="29"/>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6.1.1 项目安全生产的达标目标及相应事项的约定：</w:t>
      </w:r>
      <w:r>
        <w:rPr>
          <w:rFonts w:hint="eastAsia" w:ascii="宋体" w:hAnsi="宋体" w:eastAsia="宋体" w:cs="宋体"/>
          <w:color w:val="auto"/>
          <w:szCs w:val="21"/>
          <w:highlight w:val="none"/>
          <w:u w:val="single"/>
        </w:rPr>
        <w:t xml:space="preserve"> 按照国家及地方安全文明施工的有关规定执行 </w:t>
      </w:r>
      <w:r>
        <w:rPr>
          <w:rFonts w:hint="eastAsia" w:ascii="宋体" w:hAnsi="宋体" w:eastAsia="宋体" w:cs="宋体"/>
          <w:color w:val="auto"/>
          <w:szCs w:val="21"/>
          <w:highlight w:val="none"/>
        </w:rPr>
        <w:t>。</w:t>
      </w:r>
    </w:p>
    <w:p w14:paraId="1A609DBA">
      <w:pPr>
        <w:pStyle w:val="29"/>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关于安全文明施工奖项的约定：</w:t>
      </w:r>
      <w:r>
        <w:rPr>
          <w:rFonts w:hint="eastAsia" w:ascii="宋体" w:hAnsi="宋体" w:eastAsia="宋体" w:cs="宋体"/>
          <w:color w:val="auto"/>
          <w:szCs w:val="21"/>
          <w:highlight w:val="none"/>
          <w:u w:val="single"/>
        </w:rPr>
        <w:t xml:space="preserve">  承包人应当负责统一管理施工场地的治安保卫事项，履行合同工程的治安保卫职责  </w:t>
      </w:r>
      <w:r>
        <w:rPr>
          <w:rFonts w:hint="eastAsia" w:ascii="宋体" w:hAnsi="宋体" w:eastAsia="宋体" w:cs="宋体"/>
          <w:color w:val="auto"/>
          <w:szCs w:val="21"/>
          <w:highlight w:val="none"/>
        </w:rPr>
        <w:t>。</w:t>
      </w:r>
    </w:p>
    <w:p w14:paraId="40C4EEE1">
      <w:pPr>
        <w:pStyle w:val="29"/>
        <w:spacing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6.1.4 关于治安保卫的特别约定：</w:t>
      </w:r>
      <w:r>
        <w:rPr>
          <w:rFonts w:hint="eastAsia" w:ascii="宋体" w:hAnsi="宋体" w:eastAsia="宋体" w:cs="宋体"/>
          <w:color w:val="auto"/>
          <w:szCs w:val="21"/>
          <w:highlight w:val="none"/>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r>
        <w:rPr>
          <w:rFonts w:hint="eastAsia" w:ascii="宋体" w:hAnsi="宋体" w:eastAsia="宋体" w:cs="宋体"/>
          <w:color w:val="auto"/>
          <w:szCs w:val="21"/>
          <w:highlight w:val="none"/>
        </w:rPr>
        <w:t>。</w:t>
      </w:r>
    </w:p>
    <w:p w14:paraId="05976D6B">
      <w:pPr>
        <w:pStyle w:val="29"/>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关于编制施工场地治安管理计划的约定：</w:t>
      </w:r>
      <w:r>
        <w:rPr>
          <w:rFonts w:hint="eastAsia" w:ascii="宋体" w:hAnsi="宋体" w:eastAsia="宋体" w:cs="宋体"/>
          <w:color w:val="auto"/>
          <w:szCs w:val="21"/>
          <w:highlight w:val="none"/>
          <w:u w:val="single"/>
        </w:rPr>
        <w:t xml:space="preserve">  开工前7天内承包人编制施工场地治安管理计划和突发治安事件紧急预案</w:t>
      </w:r>
      <w:r>
        <w:rPr>
          <w:rFonts w:hint="eastAsia" w:ascii="宋体" w:hAnsi="宋体" w:eastAsia="宋体" w:cs="宋体"/>
          <w:color w:val="auto"/>
          <w:szCs w:val="21"/>
          <w:highlight w:val="none"/>
        </w:rPr>
        <w:t>。</w:t>
      </w:r>
    </w:p>
    <w:p w14:paraId="138EDED1">
      <w:pPr>
        <w:pStyle w:val="29"/>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6.1.5 文明施工</w:t>
      </w:r>
    </w:p>
    <w:p w14:paraId="71E906FA">
      <w:pPr>
        <w:pStyle w:val="29"/>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合同当事人对文明施工的要求：</w:t>
      </w:r>
      <w:r>
        <w:rPr>
          <w:rFonts w:hint="eastAsia" w:ascii="宋体" w:hAnsi="宋体" w:eastAsia="宋体" w:cs="宋体"/>
          <w:color w:val="auto"/>
          <w:szCs w:val="21"/>
          <w:highlight w:val="none"/>
          <w:u w:val="single"/>
        </w:rPr>
        <w:t>按照国家及地方安全文明施工的有关规定执行</w:t>
      </w:r>
      <w:r>
        <w:rPr>
          <w:rFonts w:hint="eastAsia" w:ascii="宋体" w:hAnsi="宋体" w:eastAsia="宋体" w:cs="宋体"/>
          <w:color w:val="auto"/>
          <w:szCs w:val="21"/>
          <w:highlight w:val="none"/>
        </w:rPr>
        <w:t>。</w:t>
      </w:r>
    </w:p>
    <w:p w14:paraId="079D54D4">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highlight w:val="none"/>
        </w:rPr>
      </w:pPr>
      <w:r>
        <w:rPr>
          <w:rFonts w:hint="eastAsia" w:ascii="宋体" w:hAnsi="宋体" w:eastAsia="宋体" w:cs="宋体"/>
          <w:color w:val="auto"/>
          <w:szCs w:val="21"/>
          <w:highlight w:val="none"/>
        </w:rPr>
        <w:t>6.1.6 关于安全文明施工费支付比例和支付期限的约定：</w:t>
      </w:r>
      <w:r>
        <w:rPr>
          <w:rFonts w:hint="eastAsia" w:ascii="宋体" w:hAnsi="宋体" w:eastAsia="宋体" w:cs="宋体"/>
          <w:color w:val="auto"/>
          <w:kern w:val="0"/>
          <w:highlight w:val="none"/>
          <w:u w:val="single"/>
        </w:rPr>
        <w:t>专款专用</w:t>
      </w:r>
      <w:r>
        <w:rPr>
          <w:rFonts w:hint="eastAsia" w:ascii="宋体" w:hAnsi="宋体" w:eastAsia="宋体" w:cs="宋体"/>
          <w:color w:val="auto"/>
          <w:kern w:val="0"/>
          <w:highlight w:val="none"/>
        </w:rPr>
        <w:t>。具体按《广西壮族自治区建筑工程安全防护、文明施工措施费及管理细则》（桂建质〔2006〕22号）和</w:t>
      </w:r>
      <w:r>
        <w:rPr>
          <w:rFonts w:hint="eastAsia" w:ascii="宋体" w:hAnsi="宋体" w:eastAsia="宋体" w:cs="宋体"/>
          <w:color w:val="auto"/>
          <w:szCs w:val="24"/>
          <w:highlight w:val="none"/>
          <w:u w:val="single"/>
        </w:rPr>
        <w:t>桂林市建规[2007]131号文及市建规[2008]224号文</w:t>
      </w:r>
      <w:r>
        <w:rPr>
          <w:rFonts w:hint="eastAsia" w:ascii="宋体" w:hAnsi="宋体" w:eastAsia="宋体" w:cs="宋体"/>
          <w:color w:val="auto"/>
          <w:kern w:val="0"/>
          <w:highlight w:val="none"/>
        </w:rPr>
        <w:t>相关规定执行。</w:t>
      </w:r>
    </w:p>
    <w:p w14:paraId="47F69EC4">
      <w:pPr>
        <w:pStyle w:val="29"/>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（3）支付约定：</w:t>
      </w:r>
      <w:r>
        <w:rPr>
          <w:rFonts w:hint="eastAsia" w:ascii="宋体" w:hAnsi="宋体" w:eastAsia="宋体" w:cs="宋体"/>
          <w:color w:val="auto"/>
          <w:highlight w:val="none"/>
          <w:u w:val="single"/>
        </w:rPr>
        <w:t>具体按《广西壮族自治区建筑工程安全防护、文明施工措施费及管理细则》（桂建质〔2006〕22号）和桂林市建规[2007]131号文及市建规[2008]224号文相关规定执行。</w:t>
      </w:r>
      <w:r>
        <w:rPr>
          <w:rFonts w:hint="eastAsia" w:ascii="宋体" w:hAnsi="宋体" w:eastAsia="宋体" w:cs="宋体"/>
          <w:color w:val="auto"/>
          <w:szCs w:val="21"/>
          <w:highlight w:val="none"/>
        </w:rPr>
        <w:t xml:space="preserve">  </w:t>
      </w:r>
    </w:p>
    <w:p w14:paraId="134131D5">
      <w:pPr>
        <w:pStyle w:val="30"/>
        <w:spacing w:line="380" w:lineRule="exact"/>
        <w:rPr>
          <w:rFonts w:hint="eastAsia" w:ascii="宋体" w:hAnsi="宋体" w:eastAsia="宋体" w:cs="宋体"/>
          <w:color w:val="auto"/>
          <w:highlight w:val="none"/>
          <w:u w:val="single"/>
        </w:rPr>
      </w:pPr>
      <w:bookmarkStart w:id="539" w:name="_Toc418061332"/>
      <w:bookmarkStart w:id="540" w:name="_Toc418752263"/>
      <w:bookmarkStart w:id="541" w:name="_Toc418518131"/>
      <w:bookmarkStart w:id="542" w:name="_Toc389065287"/>
      <w:bookmarkStart w:id="543" w:name="_Toc418518367"/>
      <w:bookmarkStart w:id="544" w:name="_Toc497746802"/>
      <w:bookmarkStart w:id="545" w:name="_Toc497747199"/>
      <w:bookmarkStart w:id="546" w:name="_Toc403578955"/>
      <w:bookmarkStart w:id="547" w:name="_Toc373478368"/>
      <w:bookmarkStart w:id="548" w:name="_Toc418751817"/>
      <w:bookmarkStart w:id="549" w:name="_Toc373227721"/>
      <w:r>
        <w:rPr>
          <w:rFonts w:hint="eastAsia" w:ascii="宋体" w:hAnsi="宋体" w:eastAsia="宋体" w:cs="宋体"/>
          <w:color w:val="auto"/>
          <w:highlight w:val="none"/>
        </w:rPr>
        <w:t>6.2职业健康</w:t>
      </w:r>
    </w:p>
    <w:p w14:paraId="289EEF13">
      <w:pPr>
        <w:pStyle w:val="29"/>
        <w:spacing w:line="380" w:lineRule="exact"/>
        <w:ind w:firstLine="420" w:firstLineChars="200"/>
        <w:jc w:val="left"/>
        <w:rPr>
          <w:rFonts w:hint="default" w:ascii="宋体" w:hAnsi="宋体" w:eastAsia="宋体" w:cs="宋体"/>
          <w:color w:val="auto"/>
          <w:szCs w:val="21"/>
          <w:highlight w:val="none"/>
          <w:lang w:val="en-US"/>
        </w:rPr>
      </w:pPr>
      <w:r>
        <w:rPr>
          <w:rFonts w:hint="eastAsia" w:ascii="宋体" w:hAnsi="宋体" w:eastAsia="宋体" w:cs="宋体"/>
          <w:color w:val="auto"/>
          <w:szCs w:val="21"/>
          <w:highlight w:val="none"/>
        </w:rPr>
        <w:t>6.2.3 扬尘防治：</w:t>
      </w:r>
      <w:r>
        <w:rPr>
          <w:rFonts w:hint="eastAsia" w:ascii="宋体" w:hAnsi="宋体" w:cs="宋体"/>
          <w:color w:val="auto"/>
          <w:szCs w:val="21"/>
          <w:highlight w:val="none"/>
          <w:u w:val="single"/>
          <w:lang w:val="en-US" w:eastAsia="zh-CN"/>
        </w:rPr>
        <w:t xml:space="preserve">   /  </w:t>
      </w:r>
    </w:p>
    <w:p w14:paraId="08C54275">
      <w:pPr>
        <w:pStyle w:val="29"/>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6.3 环境保护</w:t>
      </w:r>
      <w:bookmarkEnd w:id="539"/>
      <w:bookmarkEnd w:id="540"/>
      <w:bookmarkEnd w:id="541"/>
      <w:bookmarkEnd w:id="542"/>
      <w:bookmarkEnd w:id="543"/>
      <w:bookmarkEnd w:id="544"/>
      <w:bookmarkEnd w:id="545"/>
      <w:bookmarkEnd w:id="546"/>
      <w:bookmarkEnd w:id="547"/>
      <w:bookmarkEnd w:id="548"/>
      <w:bookmarkEnd w:id="549"/>
      <w:r>
        <w:rPr>
          <w:rFonts w:hint="eastAsia" w:ascii="宋体" w:hAnsi="宋体" w:eastAsia="宋体" w:cs="宋体"/>
          <w:color w:val="auto"/>
          <w:szCs w:val="21"/>
          <w:highlight w:val="none"/>
        </w:rPr>
        <w:t>因施工需要，经发包人批准，由承包人办理有关施工场地交通、环卫和施工噪音管理等手续，费用由承包人负责。</w:t>
      </w:r>
    </w:p>
    <w:p w14:paraId="75927C29">
      <w:pPr>
        <w:pStyle w:val="29"/>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经过城市道路的施工车辆，必须按交警、城管、运输等部门相关规定执行。由于施工车辆造成的道路、环境等污染，其责任和费用均由承包人承担。</w:t>
      </w:r>
    </w:p>
    <w:p w14:paraId="61B4F97A">
      <w:pPr>
        <w:pStyle w:val="3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环保工作的约定：</w:t>
      </w:r>
      <w:r>
        <w:rPr>
          <w:rFonts w:hint="eastAsia" w:ascii="宋体" w:hAnsi="宋体" w:eastAsia="宋体" w:cs="宋体"/>
          <w:color w:val="auto"/>
          <w:highlight w:val="none"/>
          <w:u w:val="single"/>
        </w:rPr>
        <w:t>承包人负责办理有关环保报批手续，并承担相应的费用。在施工期间对环境主要影响是机械声和废水、废渣、尘埃，对此承包人应采取相应的防治措施和严格管理，严格控制污染物排放，污染物排放前必须处理，达到排污标准后再排放。严禁把污染物直接排入江中。控制标准：《地面环境质量标准》GB3838-88Ⅱ。施工完毕后，承包人应及时将被破坏的场地，遵照监理工程师的指示进行清理、修正，并根据实际情况将场地恢复到原有状态，费用自理。</w:t>
      </w:r>
    </w:p>
    <w:bookmarkEnd w:id="503"/>
    <w:bookmarkEnd w:id="504"/>
    <w:bookmarkEnd w:id="505"/>
    <w:bookmarkEnd w:id="506"/>
    <w:bookmarkEnd w:id="507"/>
    <w:bookmarkEnd w:id="508"/>
    <w:bookmarkEnd w:id="509"/>
    <w:p w14:paraId="3C654A33">
      <w:pPr>
        <w:keepNext/>
        <w:keepLines/>
        <w:widowControl w:val="0"/>
        <w:spacing w:line="380" w:lineRule="exact"/>
        <w:jc w:val="both"/>
        <w:outlineLvl w:val="0"/>
        <w:rPr>
          <w:rFonts w:hint="eastAsia" w:ascii="宋体" w:hAnsi="宋体" w:eastAsia="宋体" w:cs="宋体"/>
          <w:b/>
          <w:bCs/>
          <w:color w:val="auto"/>
          <w:kern w:val="44"/>
          <w:sz w:val="21"/>
          <w:szCs w:val="21"/>
          <w:highlight w:val="none"/>
          <w:lang w:val="en-US" w:eastAsia="zh-CN" w:bidi="ar-SA"/>
        </w:rPr>
      </w:pPr>
      <w:bookmarkStart w:id="550" w:name="_Toc389065288"/>
      <w:bookmarkStart w:id="551" w:name="_Toc418518368"/>
      <w:bookmarkStart w:id="552" w:name="_Toc497747200"/>
      <w:bookmarkStart w:id="553" w:name="_Toc522201751"/>
      <w:bookmarkStart w:id="554" w:name="_Toc418061333"/>
      <w:bookmarkStart w:id="555" w:name="_Toc6034"/>
      <w:bookmarkStart w:id="556" w:name="_Toc418751818"/>
      <w:bookmarkStart w:id="557" w:name="_Toc403578956"/>
      <w:bookmarkStart w:id="558" w:name="_Toc351203639"/>
      <w:bookmarkStart w:id="559" w:name="_Toc418752264"/>
      <w:bookmarkStart w:id="560" w:name="_Toc373478369"/>
      <w:bookmarkStart w:id="561" w:name="_Toc256000201"/>
      <w:bookmarkStart w:id="562" w:name="_Toc497746803"/>
      <w:bookmarkStart w:id="563" w:name="_Toc418518132"/>
      <w:bookmarkStart w:id="564" w:name="_Toc373227722"/>
      <w:r>
        <w:rPr>
          <w:rFonts w:hint="eastAsia" w:ascii="宋体" w:hAnsi="宋体" w:eastAsia="宋体" w:cs="宋体"/>
          <w:b/>
          <w:bCs/>
          <w:color w:val="auto"/>
          <w:kern w:val="44"/>
          <w:sz w:val="21"/>
          <w:szCs w:val="21"/>
          <w:highlight w:val="none"/>
          <w:lang w:val="en-US" w:eastAsia="zh-CN" w:bidi="ar-SA"/>
        </w:rPr>
        <w:t>7. 工期和进度</w:t>
      </w:r>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 w14:paraId="29E1647C">
      <w:pPr>
        <w:keepNext/>
        <w:keepLines/>
        <w:widowControl w:val="0"/>
        <w:spacing w:line="380" w:lineRule="exact"/>
        <w:ind w:firstLine="422" w:firstLineChars="200"/>
        <w:jc w:val="both"/>
        <w:outlineLvl w:val="0"/>
        <w:rPr>
          <w:rFonts w:hint="eastAsia" w:ascii="宋体" w:hAnsi="宋体" w:eastAsia="宋体" w:cs="宋体"/>
          <w:b/>
          <w:bCs/>
          <w:color w:val="auto"/>
          <w:kern w:val="44"/>
          <w:sz w:val="21"/>
          <w:szCs w:val="21"/>
          <w:highlight w:val="none"/>
          <w:lang w:val="en-US" w:eastAsia="zh-CN" w:bidi="ar-SA"/>
        </w:rPr>
      </w:pPr>
      <w:bookmarkStart w:id="565" w:name="_Toc497746804"/>
      <w:bookmarkStart w:id="566" w:name="_Toc403578957"/>
      <w:bookmarkStart w:id="567" w:name="_Toc256000202"/>
      <w:bookmarkStart w:id="568" w:name="_Toc373478370"/>
      <w:bookmarkStart w:id="569" w:name="_Toc418752265"/>
      <w:bookmarkStart w:id="570" w:name="_Toc418518369"/>
      <w:bookmarkStart w:id="571" w:name="_Toc418751819"/>
      <w:bookmarkStart w:id="572" w:name="_Toc418518133"/>
      <w:bookmarkStart w:id="573" w:name="_Toc418061334"/>
      <w:bookmarkStart w:id="574" w:name="_Toc497747201"/>
      <w:bookmarkStart w:id="575" w:name="_Toc373227723"/>
      <w:bookmarkStart w:id="576" w:name="_Toc522201752"/>
      <w:bookmarkStart w:id="577" w:name="_Toc9523"/>
      <w:bookmarkStart w:id="578" w:name="_Toc389065289"/>
      <w:r>
        <w:rPr>
          <w:rFonts w:hint="eastAsia" w:ascii="宋体" w:hAnsi="宋体" w:eastAsia="宋体" w:cs="宋体"/>
          <w:b/>
          <w:bCs/>
          <w:color w:val="auto"/>
          <w:kern w:val="44"/>
          <w:sz w:val="21"/>
          <w:szCs w:val="21"/>
          <w:highlight w:val="none"/>
          <w:lang w:val="en-US" w:eastAsia="zh-CN" w:bidi="ar-SA"/>
        </w:rPr>
        <w:t>7.1 施工组织设计</w:t>
      </w:r>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p>
    <w:p w14:paraId="14A034E0">
      <w:pPr>
        <w:pStyle w:val="30"/>
        <w:spacing w:line="380" w:lineRule="exact"/>
        <w:rPr>
          <w:rFonts w:hint="eastAsia" w:ascii="宋体" w:hAnsi="宋体" w:eastAsia="宋体" w:cs="宋体"/>
          <w:color w:val="auto"/>
          <w:highlight w:val="none"/>
          <w:u w:val="single"/>
        </w:rPr>
      </w:pPr>
      <w:r>
        <w:rPr>
          <w:rFonts w:hint="eastAsia" w:ascii="宋体" w:hAnsi="宋体" w:eastAsia="宋体" w:cs="宋体"/>
          <w:color w:val="auto"/>
          <w:highlight w:val="none"/>
        </w:rPr>
        <w:t>7.1.1 合同当事人约定的施工组织设计应包括的其他内容：</w:t>
      </w:r>
      <w:r>
        <w:rPr>
          <w:rFonts w:hint="eastAsia" w:ascii="宋体" w:hAnsi="宋体" w:eastAsia="宋体" w:cs="宋体"/>
          <w:color w:val="auto"/>
          <w:highlight w:val="none"/>
          <w:u w:val="single"/>
        </w:rPr>
        <w:t>(1)管理人员名单，含职称、职务并附相关人员岗位证书等复印件；（2）施工进度计划包括总进度计划、分阶段和分项进度计划、设备材料人员进场计划；施工方案说明包括分部、分项工程或工程部位的名称及施工顺序和方法；（3）国家及地方有关规定应当提交的内容。</w:t>
      </w:r>
    </w:p>
    <w:p w14:paraId="3F384429">
      <w:pPr>
        <w:pStyle w:val="29"/>
        <w:autoSpaceDE w:val="0"/>
        <w:autoSpaceDN w:val="0"/>
        <w:adjustRightInd w:val="0"/>
        <w:spacing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 xml:space="preserve">7.1.2 </w:t>
      </w:r>
      <w:r>
        <w:rPr>
          <w:rFonts w:hint="eastAsia" w:ascii="宋体" w:hAnsi="宋体" w:eastAsia="宋体" w:cs="宋体"/>
          <w:color w:val="auto"/>
          <w:kern w:val="0"/>
          <w:szCs w:val="21"/>
          <w:highlight w:val="none"/>
        </w:rPr>
        <w:t>施工组织设计的提交和修改</w:t>
      </w:r>
    </w:p>
    <w:p w14:paraId="502F1BFA">
      <w:pPr>
        <w:pStyle w:val="29"/>
        <w:autoSpaceDE w:val="0"/>
        <w:autoSpaceDN w:val="0"/>
        <w:adjustRightInd w:val="0"/>
        <w:spacing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rPr>
        <w:t>承包人提交详细施工组织设计的期限的约定：</w:t>
      </w:r>
      <w:r>
        <w:rPr>
          <w:rFonts w:hint="eastAsia" w:ascii="宋体" w:hAnsi="宋体" w:eastAsia="宋体" w:cs="宋体"/>
          <w:color w:val="auto"/>
          <w:szCs w:val="21"/>
          <w:highlight w:val="none"/>
          <w:u w:val="single"/>
        </w:rPr>
        <w:t xml:space="preserve">  合同签订后14天内，最迟不得晚于开工通知载明的开工日期前7天  </w:t>
      </w:r>
      <w:r>
        <w:rPr>
          <w:rFonts w:hint="eastAsia" w:ascii="宋体" w:hAnsi="宋体" w:eastAsia="宋体" w:cs="宋体"/>
          <w:color w:val="auto"/>
          <w:szCs w:val="21"/>
          <w:highlight w:val="none"/>
        </w:rPr>
        <w:t>。</w:t>
      </w:r>
    </w:p>
    <w:p w14:paraId="17D9E60D">
      <w:pPr>
        <w:pStyle w:val="29"/>
        <w:spacing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发包人和监理人在收到详细的施工组织设计后确认或提出修改意见的期限：</w:t>
      </w:r>
      <w:r>
        <w:rPr>
          <w:rFonts w:hint="eastAsia" w:ascii="宋体" w:hAnsi="宋体" w:eastAsia="宋体" w:cs="宋体"/>
          <w:color w:val="auto"/>
          <w:szCs w:val="21"/>
          <w:highlight w:val="none"/>
          <w:u w:val="single"/>
        </w:rPr>
        <w:t>收到施工组织设计后7天内确认或提出修改意见。</w:t>
      </w:r>
    </w:p>
    <w:p w14:paraId="45366D15">
      <w:pPr>
        <w:keepNext/>
        <w:keepLines/>
        <w:widowControl w:val="0"/>
        <w:spacing w:line="380" w:lineRule="exact"/>
        <w:ind w:firstLine="422" w:firstLineChars="200"/>
        <w:jc w:val="both"/>
        <w:outlineLvl w:val="0"/>
        <w:rPr>
          <w:rFonts w:hint="eastAsia" w:ascii="宋体" w:hAnsi="宋体" w:eastAsia="宋体" w:cs="宋体"/>
          <w:b/>
          <w:bCs/>
          <w:color w:val="auto"/>
          <w:kern w:val="44"/>
          <w:sz w:val="21"/>
          <w:szCs w:val="21"/>
          <w:highlight w:val="none"/>
          <w:lang w:val="en-US" w:eastAsia="zh-CN" w:bidi="ar-SA"/>
        </w:rPr>
      </w:pPr>
      <w:bookmarkStart w:id="579" w:name="_Toc27008"/>
      <w:bookmarkStart w:id="580" w:name="_Toc418752266"/>
      <w:bookmarkStart w:id="581" w:name="_Toc418518370"/>
      <w:bookmarkStart w:id="582" w:name="_Toc418751820"/>
      <w:bookmarkStart w:id="583" w:name="_Toc497746805"/>
      <w:bookmarkStart w:id="584" w:name="_Toc389065290"/>
      <w:bookmarkStart w:id="585" w:name="_Toc497747202"/>
      <w:bookmarkStart w:id="586" w:name="_Toc418061335"/>
      <w:bookmarkStart w:id="587" w:name="_Toc418518134"/>
      <w:bookmarkStart w:id="588" w:name="_Toc373478371"/>
      <w:bookmarkStart w:id="589" w:name="_Toc522201753"/>
      <w:bookmarkStart w:id="590" w:name="_Toc403578958"/>
      <w:bookmarkStart w:id="591" w:name="_Toc373227724"/>
      <w:bookmarkStart w:id="592" w:name="_Toc256000203"/>
      <w:r>
        <w:rPr>
          <w:rFonts w:hint="eastAsia" w:ascii="宋体" w:hAnsi="宋体" w:eastAsia="宋体" w:cs="宋体"/>
          <w:b/>
          <w:bCs/>
          <w:color w:val="auto"/>
          <w:kern w:val="44"/>
          <w:sz w:val="21"/>
          <w:szCs w:val="21"/>
          <w:highlight w:val="none"/>
          <w:lang w:val="en-US" w:eastAsia="zh-CN" w:bidi="ar-SA"/>
        </w:rPr>
        <w:t>7</w:t>
      </w:r>
      <w:bookmarkStart w:id="593" w:name="_Toc300934966"/>
      <w:bookmarkStart w:id="594" w:name="_Toc312678005"/>
      <w:bookmarkStart w:id="595" w:name="_Toc312677479"/>
      <w:bookmarkStart w:id="596" w:name="_Toc303539123"/>
      <w:bookmarkStart w:id="597" w:name="_Toc297216173"/>
      <w:bookmarkStart w:id="598" w:name="_Toc297123514"/>
      <w:bookmarkStart w:id="599" w:name="_Toc304295541"/>
      <w:r>
        <w:rPr>
          <w:rFonts w:hint="eastAsia" w:ascii="宋体" w:hAnsi="宋体" w:eastAsia="宋体" w:cs="宋体"/>
          <w:b/>
          <w:bCs/>
          <w:color w:val="auto"/>
          <w:kern w:val="44"/>
          <w:sz w:val="21"/>
          <w:szCs w:val="21"/>
          <w:highlight w:val="none"/>
          <w:lang w:val="en-US" w:eastAsia="zh-CN" w:bidi="ar-SA"/>
        </w:rPr>
        <w:t>.2 施工进度计划</w:t>
      </w:r>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 w14:paraId="7D4CF32F">
      <w:pPr>
        <w:pStyle w:val="29"/>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7.2.2 施工进度计划的修订</w:t>
      </w:r>
    </w:p>
    <w:p w14:paraId="5D5B5A12">
      <w:pPr>
        <w:pStyle w:val="29"/>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（1）发包人和监理人在收到修订的施工进度计划后确认或提出修改意见的期限：</w:t>
      </w:r>
      <w:r>
        <w:rPr>
          <w:rFonts w:hint="eastAsia" w:ascii="宋体" w:hAnsi="宋体" w:eastAsia="宋体" w:cs="宋体"/>
          <w:color w:val="auto"/>
          <w:szCs w:val="21"/>
          <w:highlight w:val="none"/>
          <w:u w:val="single"/>
        </w:rPr>
        <w:t>自监理人收到承包人报送的相关进度计划后 7天内。</w:t>
      </w:r>
      <w:r>
        <w:rPr>
          <w:rFonts w:hint="eastAsia" w:ascii="宋体" w:hAnsi="宋体" w:eastAsia="宋体" w:cs="宋体"/>
          <w:color w:val="auto"/>
          <w:szCs w:val="21"/>
          <w:highlight w:val="none"/>
        </w:rPr>
        <w:t xml:space="preserve"> </w:t>
      </w:r>
    </w:p>
    <w:p w14:paraId="3F0B68F9">
      <w:pPr>
        <w:pStyle w:val="29"/>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（2）承包人编制分阶段或分项施工进度计划和施工方案说明的内容：</w:t>
      </w:r>
      <w:r>
        <w:rPr>
          <w:rFonts w:hint="eastAsia" w:ascii="宋体" w:hAnsi="宋体" w:eastAsia="宋体" w:cs="宋体"/>
          <w:color w:val="auto"/>
          <w:szCs w:val="21"/>
          <w:highlight w:val="none"/>
          <w:u w:val="single"/>
        </w:rPr>
        <w:t>包含但不限于月进度计划、原地面测量方案、不良地基处理方案等。</w:t>
      </w:r>
      <w:r>
        <w:rPr>
          <w:rFonts w:hint="eastAsia" w:ascii="宋体" w:hAnsi="宋体" w:eastAsia="宋体" w:cs="宋体"/>
          <w:color w:val="auto"/>
          <w:szCs w:val="21"/>
          <w:highlight w:val="none"/>
        </w:rPr>
        <w:t xml:space="preserve"> </w:t>
      </w:r>
    </w:p>
    <w:p w14:paraId="216FCD0B">
      <w:pPr>
        <w:pStyle w:val="29"/>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 承包人报送分阶段或分项施工进度计划和施工方案说明的期限： </w:t>
      </w:r>
      <w:r>
        <w:rPr>
          <w:rFonts w:hint="eastAsia" w:ascii="宋体" w:hAnsi="宋体" w:eastAsia="宋体" w:cs="宋体"/>
          <w:color w:val="auto"/>
          <w:szCs w:val="21"/>
          <w:highlight w:val="none"/>
          <w:u w:val="single"/>
        </w:rPr>
        <w:t>月进度计划于上月 30 日前提交，分项施工进度计划和施工方案说明应不迟于该分项工程施工前14 天提交。</w:t>
      </w:r>
    </w:p>
    <w:p w14:paraId="72E7940A">
      <w:pPr>
        <w:keepNext/>
        <w:keepLines/>
        <w:widowControl w:val="0"/>
        <w:spacing w:line="380" w:lineRule="exact"/>
        <w:ind w:firstLine="422" w:firstLineChars="200"/>
        <w:jc w:val="both"/>
        <w:outlineLvl w:val="0"/>
        <w:rPr>
          <w:rFonts w:hint="eastAsia" w:ascii="宋体" w:hAnsi="宋体" w:eastAsia="宋体" w:cs="宋体"/>
          <w:b/>
          <w:bCs/>
          <w:color w:val="auto"/>
          <w:kern w:val="44"/>
          <w:sz w:val="21"/>
          <w:szCs w:val="21"/>
          <w:highlight w:val="none"/>
          <w:lang w:val="en-US" w:eastAsia="zh-CN" w:bidi="ar-SA"/>
        </w:rPr>
      </w:pPr>
      <w:bookmarkStart w:id="600" w:name="_Toc403578959"/>
      <w:bookmarkStart w:id="601" w:name="_Toc418518371"/>
      <w:bookmarkStart w:id="602" w:name="_Toc2043"/>
      <w:bookmarkStart w:id="603" w:name="_Toc373478372"/>
      <w:bookmarkStart w:id="604" w:name="_Toc256000204"/>
      <w:bookmarkStart w:id="605" w:name="_Toc418518135"/>
      <w:bookmarkStart w:id="606" w:name="_Toc497747203"/>
      <w:bookmarkStart w:id="607" w:name="_Toc389065291"/>
      <w:bookmarkStart w:id="608" w:name="_Toc522201754"/>
      <w:bookmarkStart w:id="609" w:name="_Toc418751821"/>
      <w:bookmarkStart w:id="610" w:name="_Toc373227725"/>
      <w:bookmarkStart w:id="611" w:name="_Toc497746806"/>
      <w:bookmarkStart w:id="612" w:name="_Toc418752267"/>
      <w:bookmarkStart w:id="613" w:name="_Toc418061336"/>
      <w:r>
        <w:rPr>
          <w:rFonts w:hint="eastAsia" w:ascii="宋体" w:hAnsi="宋体" w:eastAsia="宋体" w:cs="宋体"/>
          <w:b/>
          <w:bCs/>
          <w:color w:val="auto"/>
          <w:kern w:val="44"/>
          <w:sz w:val="21"/>
          <w:szCs w:val="21"/>
          <w:highlight w:val="none"/>
          <w:lang w:val="en-US" w:eastAsia="zh-CN" w:bidi="ar-SA"/>
        </w:rPr>
        <w:t>7.3 开工</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p>
    <w:p w14:paraId="33BE1209">
      <w:pPr>
        <w:pStyle w:val="29"/>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7.3.1 开工准备</w:t>
      </w:r>
    </w:p>
    <w:p w14:paraId="7F607BCF">
      <w:pPr>
        <w:pStyle w:val="29"/>
        <w:spacing w:line="380" w:lineRule="exact"/>
        <w:ind w:firstLine="525" w:firstLineChars="25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关于承包人提交</w:t>
      </w:r>
      <w:r>
        <w:rPr>
          <w:rFonts w:hint="eastAsia" w:ascii="宋体" w:hAnsi="宋体" w:eastAsia="宋体" w:cs="宋体"/>
          <w:color w:val="auto"/>
          <w:kern w:val="0"/>
          <w:szCs w:val="21"/>
          <w:highlight w:val="none"/>
        </w:rPr>
        <w:t>工程开工报审表的期限：</w:t>
      </w:r>
      <w:r>
        <w:rPr>
          <w:rFonts w:hint="eastAsia" w:ascii="宋体" w:hAnsi="宋体" w:eastAsia="宋体" w:cs="宋体"/>
          <w:color w:val="auto"/>
          <w:szCs w:val="21"/>
          <w:highlight w:val="none"/>
          <w:u w:val="single"/>
        </w:rPr>
        <w:t xml:space="preserve">  7天   </w:t>
      </w:r>
      <w:r>
        <w:rPr>
          <w:rFonts w:hint="eastAsia" w:ascii="宋体" w:hAnsi="宋体" w:eastAsia="宋体" w:cs="宋体"/>
          <w:color w:val="auto"/>
          <w:szCs w:val="21"/>
          <w:highlight w:val="none"/>
        </w:rPr>
        <w:t>。</w:t>
      </w:r>
    </w:p>
    <w:p w14:paraId="59AED986">
      <w:pPr>
        <w:pStyle w:val="29"/>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关于发包人应完成的其他开工准备工作及期限：</w:t>
      </w:r>
      <w:r>
        <w:rPr>
          <w:rFonts w:hint="eastAsia" w:ascii="宋体" w:hAnsi="宋体" w:eastAsia="宋体" w:cs="宋体"/>
          <w:color w:val="auto"/>
          <w:szCs w:val="21"/>
          <w:highlight w:val="none"/>
          <w:u w:val="single"/>
        </w:rPr>
        <w:t xml:space="preserve">   7天    </w:t>
      </w:r>
      <w:r>
        <w:rPr>
          <w:rFonts w:hint="eastAsia" w:ascii="宋体" w:hAnsi="宋体" w:eastAsia="宋体" w:cs="宋体"/>
          <w:color w:val="auto"/>
          <w:szCs w:val="21"/>
          <w:highlight w:val="none"/>
        </w:rPr>
        <w:t>。</w:t>
      </w:r>
    </w:p>
    <w:p w14:paraId="521412E5">
      <w:pPr>
        <w:pStyle w:val="29"/>
        <w:spacing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关于承包人应完成的其他开工准备工作及期限：</w:t>
      </w:r>
      <w:r>
        <w:rPr>
          <w:rFonts w:hint="eastAsia" w:ascii="宋体" w:hAnsi="宋体" w:eastAsia="宋体" w:cs="宋体"/>
          <w:color w:val="auto"/>
          <w:szCs w:val="21"/>
          <w:highlight w:val="none"/>
          <w:u w:val="single"/>
        </w:rPr>
        <w:t xml:space="preserve">   7天   </w:t>
      </w:r>
      <w:r>
        <w:rPr>
          <w:rFonts w:hint="eastAsia" w:ascii="宋体" w:hAnsi="宋体" w:eastAsia="宋体" w:cs="宋体"/>
          <w:color w:val="auto"/>
          <w:szCs w:val="21"/>
          <w:highlight w:val="none"/>
        </w:rPr>
        <w:t>。</w:t>
      </w:r>
    </w:p>
    <w:p w14:paraId="1D84CEEB">
      <w:pPr>
        <w:pStyle w:val="29"/>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7.3.2 开工通知</w:t>
      </w:r>
    </w:p>
    <w:p w14:paraId="145E2222">
      <w:pPr>
        <w:pStyle w:val="29"/>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因发包人原因造成监理人未能在计划开工日期之日起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天内发出开工通知的，承包人有权提出价格调整要求，或者解除合同。</w:t>
      </w:r>
    </w:p>
    <w:bookmarkEnd w:id="593"/>
    <w:bookmarkEnd w:id="594"/>
    <w:bookmarkEnd w:id="595"/>
    <w:bookmarkEnd w:id="596"/>
    <w:bookmarkEnd w:id="597"/>
    <w:bookmarkEnd w:id="598"/>
    <w:bookmarkEnd w:id="599"/>
    <w:p w14:paraId="22D702A3">
      <w:pPr>
        <w:keepNext/>
        <w:keepLines/>
        <w:widowControl w:val="0"/>
        <w:spacing w:line="380" w:lineRule="exact"/>
        <w:ind w:firstLine="422" w:firstLineChars="200"/>
        <w:jc w:val="both"/>
        <w:outlineLvl w:val="0"/>
        <w:rPr>
          <w:rFonts w:hint="eastAsia" w:ascii="宋体" w:hAnsi="宋体" w:eastAsia="宋体" w:cs="宋体"/>
          <w:b/>
          <w:bCs/>
          <w:color w:val="auto"/>
          <w:kern w:val="44"/>
          <w:sz w:val="21"/>
          <w:szCs w:val="21"/>
          <w:highlight w:val="none"/>
          <w:lang w:val="en-US" w:eastAsia="zh-CN" w:bidi="ar-SA"/>
        </w:rPr>
      </w:pPr>
      <w:bookmarkStart w:id="614" w:name="_Toc418752268"/>
      <w:bookmarkStart w:id="615" w:name="_Toc403578960"/>
      <w:bookmarkStart w:id="616" w:name="_Toc256000205"/>
      <w:bookmarkStart w:id="617" w:name="_Toc389065292"/>
      <w:bookmarkStart w:id="618" w:name="_Toc373478373"/>
      <w:bookmarkStart w:id="619" w:name="_Toc418061337"/>
      <w:bookmarkStart w:id="620" w:name="_Toc418751822"/>
      <w:bookmarkStart w:id="621" w:name="_Toc418518372"/>
      <w:bookmarkStart w:id="622" w:name="_Toc373227726"/>
      <w:bookmarkStart w:id="623" w:name="_Toc497746807"/>
      <w:bookmarkStart w:id="624" w:name="_Toc4506"/>
      <w:bookmarkStart w:id="625" w:name="_Toc522201755"/>
      <w:bookmarkStart w:id="626" w:name="_Toc418518136"/>
      <w:bookmarkStart w:id="627" w:name="_Toc497747204"/>
      <w:r>
        <w:rPr>
          <w:rFonts w:hint="eastAsia" w:ascii="宋体" w:hAnsi="宋体" w:eastAsia="宋体" w:cs="宋体"/>
          <w:b/>
          <w:bCs/>
          <w:color w:val="auto"/>
          <w:kern w:val="44"/>
          <w:sz w:val="21"/>
          <w:szCs w:val="21"/>
          <w:highlight w:val="none"/>
          <w:lang w:val="en-US" w:eastAsia="zh-CN" w:bidi="ar-SA"/>
        </w:rPr>
        <w:t>7.4 测量放线</w:t>
      </w:r>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p>
    <w:p w14:paraId="1004ABD8">
      <w:pPr>
        <w:pStyle w:val="29"/>
        <w:spacing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7.4.1发包人通过监理人向承包人提供测量基准点、基准线和水准点及其书面资料的期限：</w:t>
      </w:r>
      <w:r>
        <w:rPr>
          <w:rFonts w:hint="eastAsia" w:ascii="宋体" w:hAnsi="宋体" w:eastAsia="宋体" w:cs="宋体"/>
          <w:color w:val="auto"/>
          <w:szCs w:val="21"/>
          <w:highlight w:val="none"/>
          <w:u w:val="single"/>
        </w:rPr>
        <w:t>开工通知载明的开工日前 7 天，承包人进入工地后进行现场书面交桩。水准点、座标控制点交验完毕，即由承包人负责保护，此后由于破坏或失准带来的重新测量、放点费用及由此造成的其他损失均由承包人负担； 承包人应于开工通知后七天内现场校验，并根据国家测绘基准、测绘系统和工程测量技术规范，按上述基准点（线）以及合同工程精度要求，测设施工控制网，三方做好签认工作；承包人应于开工前3天，并在工程竣工后将施工控制网点移交发包人 。</w:t>
      </w:r>
    </w:p>
    <w:p w14:paraId="3990BD06">
      <w:pPr>
        <w:keepNext/>
        <w:keepLines/>
        <w:widowControl w:val="0"/>
        <w:spacing w:line="380" w:lineRule="exact"/>
        <w:ind w:firstLine="422" w:firstLineChars="200"/>
        <w:jc w:val="both"/>
        <w:outlineLvl w:val="0"/>
        <w:rPr>
          <w:rFonts w:hint="eastAsia" w:ascii="宋体" w:hAnsi="宋体" w:eastAsia="宋体" w:cs="宋体"/>
          <w:b/>
          <w:bCs/>
          <w:color w:val="auto"/>
          <w:kern w:val="44"/>
          <w:sz w:val="21"/>
          <w:szCs w:val="21"/>
          <w:highlight w:val="none"/>
          <w:lang w:val="en-US" w:eastAsia="zh-CN" w:bidi="ar-SA"/>
        </w:rPr>
      </w:pPr>
      <w:bookmarkStart w:id="628" w:name="_Toc418061338"/>
      <w:bookmarkStart w:id="629" w:name="_Toc418751823"/>
      <w:bookmarkStart w:id="630" w:name="_Toc418518373"/>
      <w:bookmarkStart w:id="631" w:name="_Toc403578961"/>
      <w:bookmarkStart w:id="632" w:name="_Toc497747205"/>
      <w:bookmarkStart w:id="633" w:name="_Toc256000206"/>
      <w:bookmarkStart w:id="634" w:name="_Toc4093"/>
      <w:bookmarkStart w:id="635" w:name="_Toc497746808"/>
      <w:bookmarkStart w:id="636" w:name="_Toc373227727"/>
      <w:bookmarkStart w:id="637" w:name="_Toc389065293"/>
      <w:bookmarkStart w:id="638" w:name="_Toc418752269"/>
      <w:bookmarkStart w:id="639" w:name="_Toc418518137"/>
      <w:bookmarkStart w:id="640" w:name="_Toc522201756"/>
      <w:bookmarkStart w:id="641" w:name="_Toc373478374"/>
      <w:r>
        <w:rPr>
          <w:rFonts w:hint="eastAsia" w:ascii="宋体" w:hAnsi="宋体" w:eastAsia="宋体" w:cs="宋体"/>
          <w:b/>
          <w:bCs/>
          <w:color w:val="auto"/>
          <w:kern w:val="44"/>
          <w:sz w:val="21"/>
          <w:szCs w:val="21"/>
          <w:highlight w:val="none"/>
          <w:lang w:val="en-US" w:eastAsia="zh-CN" w:bidi="ar-SA"/>
        </w:rPr>
        <w:t>7</w:t>
      </w:r>
      <w:bookmarkStart w:id="642" w:name="_Toc300934968"/>
      <w:bookmarkStart w:id="643" w:name="_Toc312677484"/>
      <w:bookmarkStart w:id="644" w:name="_Toc304295546"/>
      <w:bookmarkStart w:id="645" w:name="_Toc303539125"/>
      <w:bookmarkStart w:id="646" w:name="_Toc297216175"/>
      <w:bookmarkStart w:id="647" w:name="_Toc297123516"/>
      <w:bookmarkStart w:id="648" w:name="_Toc312678010"/>
      <w:r>
        <w:rPr>
          <w:rFonts w:hint="eastAsia" w:ascii="宋体" w:hAnsi="宋体" w:eastAsia="宋体" w:cs="宋体"/>
          <w:b/>
          <w:bCs/>
          <w:color w:val="auto"/>
          <w:kern w:val="44"/>
          <w:sz w:val="21"/>
          <w:szCs w:val="21"/>
          <w:highlight w:val="none"/>
          <w:lang w:val="en-US" w:eastAsia="zh-CN" w:bidi="ar-SA"/>
        </w:rPr>
        <w:t>.5 工期延误</w:t>
      </w:r>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bookmarkEnd w:id="642"/>
    <w:bookmarkEnd w:id="643"/>
    <w:bookmarkEnd w:id="644"/>
    <w:bookmarkEnd w:id="645"/>
    <w:bookmarkEnd w:id="646"/>
    <w:bookmarkEnd w:id="647"/>
    <w:bookmarkEnd w:id="648"/>
    <w:p w14:paraId="095880F7">
      <w:pPr>
        <w:pStyle w:val="29"/>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7.5.1 因发包人原因导致工期延误</w:t>
      </w:r>
    </w:p>
    <w:p w14:paraId="2FF9B215">
      <w:pPr>
        <w:pStyle w:val="29"/>
        <w:spacing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（7）因发包人原因导致工期延误的其他情形：</w:t>
      </w:r>
      <w:r>
        <w:rPr>
          <w:rFonts w:hint="eastAsia" w:ascii="宋体" w:hAnsi="宋体" w:eastAsia="宋体" w:cs="宋体"/>
          <w:color w:val="auto"/>
          <w:szCs w:val="21"/>
          <w:highlight w:val="none"/>
          <w:u w:val="single"/>
        </w:rPr>
        <w:t xml:space="preserve">无  </w:t>
      </w:r>
      <w:r>
        <w:rPr>
          <w:rFonts w:hint="eastAsia" w:ascii="宋体" w:hAnsi="宋体" w:eastAsia="宋体" w:cs="宋体"/>
          <w:color w:val="auto"/>
          <w:szCs w:val="21"/>
          <w:highlight w:val="none"/>
        </w:rPr>
        <w:t>。</w:t>
      </w:r>
    </w:p>
    <w:p w14:paraId="7351E428">
      <w:pPr>
        <w:pStyle w:val="29"/>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bookmarkStart w:id="649" w:name="_Toc318581169"/>
      <w:bookmarkStart w:id="650" w:name="_Toc312678012"/>
      <w:bookmarkStart w:id="651" w:name="_Toc312677486"/>
      <w:bookmarkStart w:id="652" w:name="_Toc303539127"/>
      <w:bookmarkStart w:id="653" w:name="_Toc297123518"/>
      <w:bookmarkStart w:id="654" w:name="_Toc300934970"/>
      <w:bookmarkStart w:id="655" w:name="_Toc304295548"/>
      <w:bookmarkStart w:id="656" w:name="_Toc297216177"/>
      <w:r>
        <w:rPr>
          <w:rFonts w:hint="eastAsia" w:ascii="宋体" w:hAnsi="宋体" w:eastAsia="宋体" w:cs="宋体"/>
          <w:color w:val="auto"/>
          <w:szCs w:val="21"/>
          <w:highlight w:val="none"/>
        </w:rPr>
        <w:t>.5.2 因承包人原因导致工期延误</w:t>
      </w:r>
    </w:p>
    <w:bookmarkEnd w:id="649"/>
    <w:bookmarkEnd w:id="650"/>
    <w:bookmarkEnd w:id="651"/>
    <w:p w14:paraId="2AAD7647">
      <w:pPr>
        <w:pStyle w:val="29"/>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双方约定经监理工程师确认，工期相应顺延的情况：</w:t>
      </w:r>
      <w:r>
        <w:rPr>
          <w:rFonts w:hint="eastAsia" w:ascii="宋体" w:hAnsi="宋体" w:eastAsia="宋体" w:cs="宋体"/>
          <w:color w:val="auto"/>
          <w:szCs w:val="21"/>
          <w:highlight w:val="none"/>
          <w:u w:val="single"/>
        </w:rPr>
        <w:t xml:space="preserve">  非承包人原因导致的工期延误，合同工期相应顺延</w:t>
      </w:r>
      <w:r>
        <w:rPr>
          <w:rFonts w:hint="eastAsia" w:ascii="宋体" w:hAnsi="宋体" w:eastAsia="宋体" w:cs="宋体"/>
          <w:color w:val="auto"/>
          <w:szCs w:val="21"/>
          <w:highlight w:val="none"/>
        </w:rPr>
        <w:t>。</w:t>
      </w:r>
    </w:p>
    <w:p w14:paraId="40C7A172">
      <w:pPr>
        <w:pStyle w:val="29"/>
        <w:spacing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因</w:t>
      </w:r>
      <w:bookmarkStart w:id="657" w:name="_Toc318581170"/>
      <w:bookmarkStart w:id="658" w:name="_Toc312678013"/>
      <w:bookmarkStart w:id="659" w:name="_Toc312677487"/>
      <w:r>
        <w:rPr>
          <w:rFonts w:hint="eastAsia" w:ascii="宋体" w:hAnsi="宋体" w:eastAsia="宋体" w:cs="宋体"/>
          <w:color w:val="auto"/>
          <w:szCs w:val="21"/>
          <w:highlight w:val="none"/>
        </w:rPr>
        <w:t>承包人原因造成工期延误，逾期竣工违约金的计算方法为：</w:t>
      </w:r>
      <w:r>
        <w:rPr>
          <w:rFonts w:hint="eastAsia" w:ascii="宋体" w:hAnsi="宋体" w:eastAsia="宋体" w:cs="宋体"/>
          <w:color w:val="auto"/>
          <w:szCs w:val="21"/>
          <w:highlight w:val="none"/>
          <w:u w:val="single"/>
        </w:rPr>
        <w:t xml:space="preserve">非上述原因，承包人不能按合同约定的时间竣工，承包人应承担违约责任，并应向发包人支付误期赔偿费（每天赔偿金额为合同价款扣除发包人材料价款、暂估专业工程、暂列金额后的的万分之四），误期时间从规定竣工日期起直到全部工程或相应部分工程竣工验收各方签章日期之间的天数（扣除发包人批准顺延的工期）。发包人可从应向承包人支付的任何金额中扣除此项赔款费或其他方式收回此款，此赔偿款的支付并不能解除承包人应完成工程的责任或合同规定的其他责任。如非承包人原因造成工期延误则承包人须在规定的时间内提出书面意见，逾期则视为承包人自行放弃。由于承包人原因造成本工程延期三个月的，除按上述标准赔偿给发包人外，发包人有权中止合同，并依法追究承包人的违约责任，由此造成的一切损失均由责任人负责。 </w:t>
      </w:r>
    </w:p>
    <w:bookmarkEnd w:id="652"/>
    <w:bookmarkEnd w:id="653"/>
    <w:bookmarkEnd w:id="654"/>
    <w:bookmarkEnd w:id="655"/>
    <w:bookmarkEnd w:id="656"/>
    <w:bookmarkEnd w:id="657"/>
    <w:bookmarkEnd w:id="658"/>
    <w:bookmarkEnd w:id="659"/>
    <w:p w14:paraId="59714E97">
      <w:pPr>
        <w:pStyle w:val="29"/>
        <w:spacing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因承包人原因造成工期延误，逾</w:t>
      </w:r>
      <w:bookmarkStart w:id="660" w:name="_Toc312678014"/>
      <w:bookmarkStart w:id="661" w:name="_Toc318581171"/>
      <w:r>
        <w:rPr>
          <w:rFonts w:hint="eastAsia" w:ascii="宋体" w:hAnsi="宋体" w:eastAsia="宋体" w:cs="宋体"/>
          <w:color w:val="auto"/>
          <w:szCs w:val="21"/>
          <w:highlight w:val="none"/>
        </w:rPr>
        <w:t>期竣工违约金的上限：</w:t>
      </w:r>
      <w:r>
        <w:rPr>
          <w:rFonts w:hint="eastAsia" w:ascii="宋体" w:hAnsi="宋体" w:eastAsia="宋体" w:cs="宋体"/>
          <w:color w:val="auto"/>
          <w:szCs w:val="21"/>
          <w:highlight w:val="none"/>
          <w:u w:val="single"/>
          <w:lang w:eastAsia="zh-CN"/>
        </w:rPr>
        <w:t>结算</w:t>
      </w:r>
      <w:r>
        <w:rPr>
          <w:rFonts w:hint="eastAsia" w:ascii="宋体" w:hAnsi="宋体" w:eastAsia="宋体" w:cs="宋体"/>
          <w:color w:val="auto"/>
          <w:szCs w:val="21"/>
          <w:highlight w:val="none"/>
          <w:u w:val="single"/>
          <w:lang w:val="en-US" w:eastAsia="zh-CN"/>
        </w:rPr>
        <w:t>总</w:t>
      </w:r>
      <w:r>
        <w:rPr>
          <w:rFonts w:hint="eastAsia" w:ascii="宋体" w:hAnsi="宋体" w:eastAsia="宋体" w:cs="宋体"/>
          <w:color w:val="auto"/>
          <w:szCs w:val="21"/>
          <w:highlight w:val="none"/>
          <w:u w:val="single"/>
        </w:rPr>
        <w:t>价的3%</w:t>
      </w:r>
      <w:r>
        <w:rPr>
          <w:rFonts w:hint="eastAsia" w:ascii="宋体" w:hAnsi="宋体" w:eastAsia="宋体" w:cs="宋体"/>
          <w:color w:val="auto"/>
          <w:szCs w:val="21"/>
          <w:highlight w:val="none"/>
        </w:rPr>
        <w:t>。</w:t>
      </w:r>
    </w:p>
    <w:bookmarkEnd w:id="660"/>
    <w:bookmarkEnd w:id="661"/>
    <w:p w14:paraId="56593C4F">
      <w:pPr>
        <w:keepNext/>
        <w:keepLines/>
        <w:widowControl w:val="0"/>
        <w:spacing w:line="380" w:lineRule="exact"/>
        <w:ind w:firstLine="422" w:firstLineChars="200"/>
        <w:jc w:val="both"/>
        <w:outlineLvl w:val="0"/>
        <w:rPr>
          <w:rFonts w:hint="eastAsia" w:ascii="宋体" w:hAnsi="宋体" w:eastAsia="宋体" w:cs="宋体"/>
          <w:b/>
          <w:bCs/>
          <w:color w:val="auto"/>
          <w:kern w:val="44"/>
          <w:sz w:val="21"/>
          <w:szCs w:val="21"/>
          <w:highlight w:val="none"/>
          <w:lang w:val="en-US" w:eastAsia="zh-CN" w:bidi="ar-SA"/>
        </w:rPr>
      </w:pPr>
      <w:bookmarkStart w:id="662" w:name="_Toc418751824"/>
      <w:bookmarkStart w:id="663" w:name="_Toc497747206"/>
      <w:bookmarkStart w:id="664" w:name="_Toc522201757"/>
      <w:bookmarkStart w:id="665" w:name="_Toc418752270"/>
      <w:bookmarkStart w:id="666" w:name="_Toc418518374"/>
      <w:bookmarkStart w:id="667" w:name="_Toc418061339"/>
      <w:bookmarkStart w:id="668" w:name="_Toc389065294"/>
      <w:bookmarkStart w:id="669" w:name="_Toc497746809"/>
      <w:bookmarkStart w:id="670" w:name="_Toc403578962"/>
      <w:bookmarkStart w:id="671" w:name="_Toc373227728"/>
      <w:bookmarkStart w:id="672" w:name="_Toc418518138"/>
      <w:bookmarkStart w:id="673" w:name="_Toc373478375"/>
      <w:bookmarkStart w:id="674" w:name="_Toc256000207"/>
      <w:bookmarkStart w:id="675" w:name="_Toc9154"/>
      <w:r>
        <w:rPr>
          <w:rFonts w:hint="eastAsia" w:ascii="宋体" w:hAnsi="宋体" w:eastAsia="宋体" w:cs="宋体"/>
          <w:b/>
          <w:bCs/>
          <w:color w:val="auto"/>
          <w:kern w:val="44"/>
          <w:sz w:val="21"/>
          <w:szCs w:val="21"/>
          <w:highlight w:val="none"/>
          <w:lang w:val="en-US" w:eastAsia="zh-CN" w:bidi="ar-SA"/>
        </w:rPr>
        <w:t>7</w:t>
      </w:r>
      <w:bookmarkStart w:id="676" w:name="_Toc304295549"/>
      <w:bookmarkStart w:id="677" w:name="_Toc312678015"/>
      <w:bookmarkStart w:id="678" w:name="_Toc303539128"/>
      <w:bookmarkStart w:id="679" w:name="_Toc300934971"/>
      <w:bookmarkStart w:id="680" w:name="_Toc297123519"/>
      <w:bookmarkStart w:id="681" w:name="_Toc297216178"/>
      <w:r>
        <w:rPr>
          <w:rFonts w:hint="eastAsia" w:ascii="宋体" w:hAnsi="宋体" w:eastAsia="宋体" w:cs="宋体"/>
          <w:b/>
          <w:bCs/>
          <w:color w:val="auto"/>
          <w:kern w:val="44"/>
          <w:sz w:val="21"/>
          <w:szCs w:val="21"/>
          <w:highlight w:val="none"/>
          <w:lang w:val="en-US" w:eastAsia="zh-CN" w:bidi="ar-SA"/>
        </w:rPr>
        <w:t>.6 不</w:t>
      </w:r>
      <w:bookmarkEnd w:id="676"/>
      <w:bookmarkEnd w:id="677"/>
      <w:bookmarkEnd w:id="678"/>
      <w:bookmarkEnd w:id="679"/>
      <w:bookmarkEnd w:id="680"/>
      <w:bookmarkEnd w:id="681"/>
      <w:r>
        <w:rPr>
          <w:rFonts w:hint="eastAsia" w:ascii="宋体" w:hAnsi="宋体" w:eastAsia="宋体" w:cs="宋体"/>
          <w:b/>
          <w:bCs/>
          <w:color w:val="auto"/>
          <w:kern w:val="44"/>
          <w:sz w:val="21"/>
          <w:szCs w:val="21"/>
          <w:highlight w:val="none"/>
          <w:lang w:val="en-US" w:eastAsia="zh-CN" w:bidi="ar-SA"/>
        </w:rPr>
        <w:t>利物质条件</w:t>
      </w:r>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p>
    <w:p w14:paraId="4D4B0794">
      <w:pPr>
        <w:pStyle w:val="29"/>
        <w:spacing w:line="380" w:lineRule="exact"/>
        <w:ind w:firstLine="420" w:firstLineChars="200"/>
        <w:jc w:val="left"/>
        <w:rPr>
          <w:rFonts w:hint="eastAsia" w:ascii="宋体" w:hAnsi="宋体" w:eastAsia="宋体" w:cs="宋体"/>
          <w:color w:val="auto"/>
          <w:szCs w:val="21"/>
          <w:highlight w:val="none"/>
          <w:u w:val="single"/>
        </w:rPr>
      </w:pPr>
      <w:bookmarkStart w:id="682" w:name="_Toc300934972"/>
      <w:bookmarkStart w:id="683" w:name="_Toc303539129"/>
      <w:bookmarkStart w:id="684" w:name="_Toc297216179"/>
      <w:bookmarkStart w:id="685" w:name="_Toc318581172"/>
      <w:bookmarkStart w:id="686" w:name="_Toc304295550"/>
      <w:bookmarkStart w:id="687" w:name="_Toc312678016"/>
      <w:bookmarkStart w:id="688" w:name="_Toc297123520"/>
      <w:r>
        <w:rPr>
          <w:rFonts w:hint="eastAsia" w:ascii="宋体" w:hAnsi="宋体" w:eastAsia="宋体" w:cs="宋体"/>
          <w:color w:val="auto"/>
          <w:szCs w:val="21"/>
          <w:highlight w:val="none"/>
        </w:rPr>
        <w:t>不利物质条件的其他情形和有关约定：</w:t>
      </w:r>
      <w:r>
        <w:rPr>
          <w:rFonts w:hint="eastAsia" w:ascii="宋体" w:hAnsi="宋体" w:eastAsia="宋体" w:cs="宋体"/>
          <w:color w:val="auto"/>
          <w:szCs w:val="21"/>
          <w:highlight w:val="none"/>
          <w:u w:val="single"/>
        </w:rPr>
        <w:t xml:space="preserve">  一周内非承包人原因，停水、停电、停气造成停工连续超过8小时；重大设计变更和工程量增加；发包人手续不全致使施工不能正常进行；发包人未能按约定时间支付工程款致使施工不能正常进行的；非承包人原因的政府及发包人有关的停工通知，以上不利物质条件延误工期的相应延长工期，因发包人原因给承包人造成损失的由发包人相应赔偿承包人，属政府和环境等原因的，双方协商处理</w:t>
      </w:r>
      <w:r>
        <w:rPr>
          <w:rFonts w:hint="eastAsia" w:ascii="宋体" w:hAnsi="宋体" w:eastAsia="宋体" w:cs="宋体"/>
          <w:color w:val="auto"/>
          <w:szCs w:val="21"/>
          <w:highlight w:val="none"/>
        </w:rPr>
        <w:t>。</w:t>
      </w:r>
    </w:p>
    <w:bookmarkEnd w:id="682"/>
    <w:bookmarkEnd w:id="683"/>
    <w:bookmarkEnd w:id="684"/>
    <w:bookmarkEnd w:id="685"/>
    <w:bookmarkEnd w:id="686"/>
    <w:bookmarkEnd w:id="687"/>
    <w:bookmarkEnd w:id="688"/>
    <w:p w14:paraId="6162B53D">
      <w:pPr>
        <w:keepNext/>
        <w:keepLines/>
        <w:widowControl w:val="0"/>
        <w:spacing w:line="380" w:lineRule="exact"/>
        <w:ind w:firstLine="422" w:firstLineChars="200"/>
        <w:jc w:val="both"/>
        <w:outlineLvl w:val="0"/>
        <w:rPr>
          <w:rFonts w:hint="eastAsia" w:ascii="宋体" w:hAnsi="宋体" w:eastAsia="宋体" w:cs="宋体"/>
          <w:b/>
          <w:bCs/>
          <w:color w:val="auto"/>
          <w:kern w:val="44"/>
          <w:sz w:val="21"/>
          <w:szCs w:val="21"/>
          <w:highlight w:val="none"/>
          <w:lang w:val="en-US" w:eastAsia="zh-CN" w:bidi="ar-SA"/>
        </w:rPr>
      </w:pPr>
      <w:bookmarkStart w:id="689" w:name="_Toc389065295"/>
      <w:bookmarkStart w:id="690" w:name="_Toc373478376"/>
      <w:bookmarkStart w:id="691" w:name="_Toc497747207"/>
      <w:bookmarkStart w:id="692" w:name="_Toc418061340"/>
      <w:bookmarkStart w:id="693" w:name="_Toc373227729"/>
      <w:bookmarkStart w:id="694" w:name="_Toc497746810"/>
      <w:bookmarkStart w:id="695" w:name="_Toc418518139"/>
      <w:bookmarkStart w:id="696" w:name="_Toc22934"/>
      <w:bookmarkStart w:id="697" w:name="_Toc418751825"/>
      <w:bookmarkStart w:id="698" w:name="_Toc403578963"/>
      <w:bookmarkStart w:id="699" w:name="_Toc256000208"/>
      <w:bookmarkStart w:id="700" w:name="_Toc418752271"/>
      <w:bookmarkStart w:id="701" w:name="_Toc418518375"/>
      <w:bookmarkStart w:id="702" w:name="_Toc522201758"/>
      <w:r>
        <w:rPr>
          <w:rFonts w:hint="eastAsia" w:ascii="宋体" w:hAnsi="宋体" w:eastAsia="宋体" w:cs="宋体"/>
          <w:b/>
          <w:bCs/>
          <w:color w:val="auto"/>
          <w:kern w:val="44"/>
          <w:sz w:val="21"/>
          <w:szCs w:val="21"/>
          <w:highlight w:val="none"/>
          <w:lang w:val="en-US" w:eastAsia="zh-CN" w:bidi="ar-SA"/>
        </w:rPr>
        <w:t>7</w:t>
      </w:r>
      <w:bookmarkStart w:id="703" w:name="_Toc303539130"/>
      <w:bookmarkStart w:id="704" w:name="_Toc312678017"/>
      <w:bookmarkStart w:id="705" w:name="_Toc300934973"/>
      <w:bookmarkStart w:id="706" w:name="_Toc297123521"/>
      <w:bookmarkStart w:id="707" w:name="_Toc304295551"/>
      <w:bookmarkStart w:id="708" w:name="_Toc297216180"/>
      <w:r>
        <w:rPr>
          <w:rFonts w:hint="eastAsia" w:ascii="宋体" w:hAnsi="宋体" w:eastAsia="宋体" w:cs="宋体"/>
          <w:b/>
          <w:bCs/>
          <w:color w:val="auto"/>
          <w:kern w:val="44"/>
          <w:sz w:val="21"/>
          <w:szCs w:val="21"/>
          <w:highlight w:val="none"/>
          <w:lang w:val="en-US" w:eastAsia="zh-CN" w:bidi="ar-SA"/>
        </w:rPr>
        <w:t>.7 异常恶劣的气候条件</w:t>
      </w:r>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p>
    <w:bookmarkEnd w:id="703"/>
    <w:bookmarkEnd w:id="704"/>
    <w:bookmarkEnd w:id="705"/>
    <w:bookmarkEnd w:id="706"/>
    <w:bookmarkEnd w:id="707"/>
    <w:bookmarkEnd w:id="708"/>
    <w:p w14:paraId="7DF24910">
      <w:pPr>
        <w:pStyle w:val="29"/>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发包人和承包人同意以下情形视为异常恶劣的气候条件：</w:t>
      </w:r>
    </w:p>
    <w:p w14:paraId="5B456043">
      <w:pPr>
        <w:pStyle w:val="29"/>
        <w:spacing w:line="380" w:lineRule="exact"/>
        <w:ind w:firstLine="420" w:firstLineChars="200"/>
        <w:rPr>
          <w:rFonts w:hint="eastAsia" w:ascii="宋体" w:hAnsi="宋体" w:eastAsia="宋体" w:cs="宋体"/>
          <w:color w:val="auto"/>
          <w:szCs w:val="21"/>
          <w:highlight w:val="none"/>
          <w:u w:val="single"/>
        </w:rPr>
      </w:pPr>
      <w:bookmarkStart w:id="709" w:name="_Toc418061341"/>
      <w:bookmarkStart w:id="710" w:name="_Toc373227730"/>
      <w:bookmarkStart w:id="711" w:name="_Toc389065296"/>
      <w:bookmarkStart w:id="712" w:name="_Toc403578964"/>
      <w:bookmarkStart w:id="713" w:name="_Toc418518376"/>
      <w:bookmarkStart w:id="714" w:name="_Toc418751826"/>
      <w:bookmarkStart w:id="715" w:name="_Toc497746811"/>
      <w:bookmarkStart w:id="716" w:name="_Toc418518140"/>
      <w:bookmarkStart w:id="717" w:name="_Toc497747208"/>
      <w:bookmarkStart w:id="718" w:name="_Toc373478377"/>
      <w:bookmarkStart w:id="719" w:name="_Toc418752272"/>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10级以上持续1天的大风；</w:t>
      </w:r>
    </w:p>
    <w:p w14:paraId="172D609C">
      <w:pPr>
        <w:pStyle w:val="29"/>
        <w:numPr>
          <w:ilvl w:val="0"/>
          <w:numId w:val="2"/>
        </w:numPr>
        <w:spacing w:line="38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暴雨级以上持续2天的大雨；</w:t>
      </w:r>
    </w:p>
    <w:p w14:paraId="19C7A520">
      <w:pPr>
        <w:pStyle w:val="29"/>
        <w:numPr>
          <w:ilvl w:val="0"/>
          <w:numId w:val="2"/>
        </w:numPr>
        <w:spacing w:line="38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当地6级以上的破坏性地震；</w:t>
      </w:r>
    </w:p>
    <w:p w14:paraId="50C06D2A">
      <w:pPr>
        <w:pStyle w:val="29"/>
        <w:numPr>
          <w:ilvl w:val="0"/>
          <w:numId w:val="2"/>
        </w:numPr>
        <w:spacing w:line="38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50年以上未发生过的持续2天的高温天气；</w:t>
      </w:r>
    </w:p>
    <w:p w14:paraId="17CA7D57">
      <w:pPr>
        <w:pStyle w:val="29"/>
        <w:numPr>
          <w:ilvl w:val="0"/>
          <w:numId w:val="2"/>
        </w:numPr>
        <w:spacing w:line="38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50年以上未发生的持续2天的低温天气。</w:t>
      </w:r>
    </w:p>
    <w:p w14:paraId="58FE98AB">
      <w:pPr>
        <w:pStyle w:val="29"/>
        <w:spacing w:line="380" w:lineRule="exact"/>
        <w:ind w:firstLine="630" w:firstLineChars="3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施工场地受淹超过发包人提供设计图纸指明的设计洪水位以及因天气原因无法施工并经监理确认引起延误的情况。承包人有权要求发包人延长工期, 但对上述几种情形，对工程施工造成影响和灾害的，需提供政府相关部门对不可抗力认定的证明材料为依据。</w:t>
      </w:r>
    </w:p>
    <w:p w14:paraId="01D5F6D7">
      <w:pPr>
        <w:pStyle w:val="29"/>
        <w:spacing w:line="38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7.8暂停施工</w:t>
      </w:r>
    </w:p>
    <w:p w14:paraId="1EA78FF8">
      <w:pPr>
        <w:pStyle w:val="30"/>
        <w:spacing w:line="380" w:lineRule="exact"/>
        <w:ind w:firstLine="0" w:firstLineChars="0"/>
        <w:rPr>
          <w:rFonts w:hint="eastAsia" w:ascii="宋体" w:hAnsi="宋体" w:eastAsia="宋体" w:cs="宋体"/>
          <w:b/>
          <w:color w:val="auto"/>
          <w:highlight w:val="none"/>
        </w:rPr>
      </w:pPr>
      <w:r>
        <w:rPr>
          <w:rFonts w:hint="eastAsia" w:ascii="宋体" w:hAnsi="宋体" w:eastAsia="宋体" w:cs="宋体"/>
          <w:b/>
          <w:color w:val="auto"/>
          <w:highlight w:val="none"/>
        </w:rPr>
        <w:t>7.8.2承包人原因引起的暂停施工</w:t>
      </w:r>
    </w:p>
    <w:p w14:paraId="1FC37FF7">
      <w:pPr>
        <w:pStyle w:val="29"/>
        <w:spacing w:line="38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承包人承担暂停施工责任的其他情形：</w:t>
      </w:r>
      <w:r>
        <w:rPr>
          <w:rFonts w:hint="eastAsia" w:ascii="宋体" w:hAnsi="宋体" w:eastAsia="宋体" w:cs="宋体"/>
          <w:color w:val="auto"/>
          <w:szCs w:val="21"/>
          <w:highlight w:val="none"/>
          <w:u w:val="single"/>
        </w:rPr>
        <w:t>（1）监理工程师为保证工程质量和施工安全所指令的暂停施工；（2）因质量安全隐患或事故，被建设行政主管部门及安全生产监督责令暂停施工或自行暂停施工；（3）因承包人违反规范或任何工程质量不合格而进行返工、重建、修建的工期；（4）未按设计要求进行施工、或因施工组织方案不可行导致发包人未能按时审批而影响开工的；（5）工程验收不合格发现存在质量问题或技术问题需要修改的；（6）承包人与发包人未能在约定时间内达成一致而暂停施工；（7）工程质量未达到等级标准要求，发包人要求承包人返工的；（8）承包人因农忙时期而暂停施工；综述其工期不予顺延，责任自负。</w:t>
      </w:r>
    </w:p>
    <w:p w14:paraId="550BBF73">
      <w:pPr>
        <w:pStyle w:val="30"/>
        <w:spacing w:line="380" w:lineRule="exact"/>
        <w:rPr>
          <w:rFonts w:hint="eastAsia" w:ascii="宋体" w:hAnsi="宋体" w:eastAsia="宋体" w:cs="宋体"/>
          <w:color w:val="auto"/>
          <w:highlight w:val="none"/>
          <w:u w:val="single"/>
        </w:rPr>
      </w:pPr>
      <w:r>
        <w:rPr>
          <w:rFonts w:hint="eastAsia" w:ascii="宋体" w:hAnsi="宋体" w:eastAsia="宋体" w:cs="宋体"/>
          <w:color w:val="auto"/>
          <w:highlight w:val="none"/>
          <w:u w:val="single"/>
        </w:rPr>
        <w:t>因承包人责任暂停施工延误施工时机而导致遭遇不利条件物质条件和异常恶劣的气候条件、不可抗力造成的工期延误和费用增加由承包人承担。</w:t>
      </w:r>
    </w:p>
    <w:p w14:paraId="20D3DFE5">
      <w:pPr>
        <w:pStyle w:val="30"/>
        <w:spacing w:line="380" w:lineRule="exact"/>
        <w:ind w:firstLine="0" w:firstLineChars="0"/>
        <w:rPr>
          <w:rFonts w:hint="eastAsia" w:ascii="宋体" w:hAnsi="宋体" w:eastAsia="宋体" w:cs="宋体"/>
          <w:b/>
          <w:color w:val="auto"/>
          <w:highlight w:val="none"/>
        </w:rPr>
      </w:pPr>
      <w:r>
        <w:rPr>
          <w:rFonts w:hint="eastAsia" w:ascii="宋体" w:hAnsi="宋体" w:eastAsia="宋体" w:cs="宋体"/>
          <w:b/>
          <w:color w:val="auto"/>
          <w:highlight w:val="none"/>
        </w:rPr>
        <w:t>7.8.5暂停施工后的复工</w:t>
      </w:r>
    </w:p>
    <w:p w14:paraId="1B1539B0">
      <w:pPr>
        <w:pStyle w:val="30"/>
        <w:spacing w:line="380" w:lineRule="exact"/>
        <w:rPr>
          <w:rFonts w:hint="eastAsia" w:ascii="宋体" w:hAnsi="宋体" w:eastAsia="宋体" w:cs="宋体"/>
          <w:color w:val="auto"/>
          <w:highlight w:val="none"/>
        </w:rPr>
      </w:pPr>
      <w:r>
        <w:rPr>
          <w:rFonts w:hint="eastAsia" w:ascii="宋体" w:hAnsi="宋体" w:eastAsia="宋体" w:cs="宋体"/>
          <w:color w:val="auto"/>
          <w:highlight w:val="none"/>
          <w:u w:val="single"/>
        </w:rPr>
        <w:t>监理人发出复工通知后，监理人应和承包人一起对受到暂停施工影响的工程、材料和工程设备进行检查。承包人负责修复在暂停施工期间发生在工程、材料和工程设备上的任何损蚀、缺陷或损失，修复费用由承担暂停施工责任的责任人承担。</w:t>
      </w:r>
    </w:p>
    <w:p w14:paraId="49ED898B">
      <w:pPr>
        <w:keepNext/>
        <w:keepLines/>
        <w:widowControl w:val="0"/>
        <w:spacing w:line="380" w:lineRule="exact"/>
        <w:ind w:firstLine="422" w:firstLineChars="200"/>
        <w:jc w:val="both"/>
        <w:outlineLvl w:val="0"/>
        <w:rPr>
          <w:rFonts w:hint="eastAsia" w:ascii="宋体" w:hAnsi="宋体" w:eastAsia="宋体" w:cs="宋体"/>
          <w:b/>
          <w:bCs/>
          <w:color w:val="auto"/>
          <w:kern w:val="44"/>
          <w:sz w:val="21"/>
          <w:szCs w:val="21"/>
          <w:highlight w:val="none"/>
          <w:lang w:val="en-US" w:eastAsia="zh-CN" w:bidi="ar-SA"/>
        </w:rPr>
      </w:pPr>
      <w:bookmarkStart w:id="720" w:name="_Toc19168"/>
      <w:bookmarkStart w:id="721" w:name="_Toc522201759"/>
      <w:bookmarkStart w:id="722" w:name="_Toc256000209"/>
      <w:r>
        <w:rPr>
          <w:rFonts w:hint="eastAsia" w:ascii="宋体" w:hAnsi="宋体" w:eastAsia="宋体" w:cs="宋体"/>
          <w:b/>
          <w:bCs/>
          <w:color w:val="auto"/>
          <w:kern w:val="44"/>
          <w:sz w:val="21"/>
          <w:szCs w:val="21"/>
          <w:highlight w:val="none"/>
          <w:lang w:val="en-US" w:eastAsia="zh-CN" w:bidi="ar-SA"/>
        </w:rPr>
        <w:t>7.9 提前竣工</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p>
    <w:p w14:paraId="01579D35">
      <w:pPr>
        <w:pStyle w:val="29"/>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7.9.2提前竣工的奖励：</w:t>
      </w:r>
      <w:r>
        <w:rPr>
          <w:rFonts w:hint="eastAsia" w:ascii="宋体" w:hAnsi="宋体" w:eastAsia="宋体" w:cs="宋体"/>
          <w:color w:val="auto"/>
          <w:szCs w:val="21"/>
          <w:highlight w:val="none"/>
          <w:u w:val="single"/>
        </w:rPr>
        <w:t xml:space="preserve"> 无 </w:t>
      </w:r>
      <w:r>
        <w:rPr>
          <w:rFonts w:hint="eastAsia" w:ascii="宋体" w:hAnsi="宋体" w:eastAsia="宋体" w:cs="宋体"/>
          <w:color w:val="auto"/>
          <w:szCs w:val="21"/>
          <w:highlight w:val="none"/>
        </w:rPr>
        <w:t>。</w:t>
      </w:r>
    </w:p>
    <w:p w14:paraId="7C7BF151">
      <w:pPr>
        <w:keepNext/>
        <w:keepLines/>
        <w:widowControl w:val="0"/>
        <w:numPr>
          <w:ilvl w:val="0"/>
          <w:numId w:val="3"/>
        </w:numPr>
        <w:spacing w:line="380" w:lineRule="exact"/>
        <w:jc w:val="both"/>
        <w:outlineLvl w:val="0"/>
        <w:rPr>
          <w:rFonts w:hint="eastAsia" w:ascii="宋体" w:hAnsi="宋体" w:eastAsia="宋体" w:cs="宋体"/>
          <w:b/>
          <w:bCs/>
          <w:color w:val="auto"/>
          <w:kern w:val="44"/>
          <w:sz w:val="21"/>
          <w:szCs w:val="21"/>
          <w:highlight w:val="none"/>
          <w:lang w:val="en-US" w:eastAsia="zh-CN" w:bidi="ar-SA"/>
        </w:rPr>
      </w:pPr>
      <w:bookmarkStart w:id="723" w:name="_Toc418061342"/>
      <w:bookmarkStart w:id="724" w:name="_Toc418752273"/>
      <w:bookmarkStart w:id="725" w:name="_Toc373227731"/>
      <w:bookmarkStart w:id="726" w:name="_Toc351203640"/>
      <w:bookmarkStart w:id="727" w:name="_Toc19490"/>
      <w:bookmarkStart w:id="728" w:name="_Toc256000210"/>
      <w:bookmarkStart w:id="729" w:name="_Toc403578965"/>
      <w:bookmarkStart w:id="730" w:name="_Toc389065297"/>
      <w:bookmarkStart w:id="731" w:name="_Toc497747209"/>
      <w:bookmarkStart w:id="732" w:name="_Toc522201760"/>
      <w:bookmarkStart w:id="733" w:name="_Toc497746812"/>
      <w:bookmarkStart w:id="734" w:name="_Toc373478378"/>
      <w:bookmarkStart w:id="735" w:name="_Toc418518377"/>
      <w:bookmarkStart w:id="736" w:name="_Toc418751827"/>
      <w:bookmarkStart w:id="737" w:name="_Toc418518141"/>
      <w:r>
        <w:rPr>
          <w:rFonts w:hint="eastAsia" w:ascii="宋体" w:hAnsi="宋体" w:eastAsia="宋体" w:cs="宋体"/>
          <w:b/>
          <w:bCs/>
          <w:color w:val="auto"/>
          <w:kern w:val="44"/>
          <w:sz w:val="21"/>
          <w:szCs w:val="21"/>
          <w:highlight w:val="none"/>
          <w:lang w:val="en-US" w:eastAsia="zh-CN" w:bidi="ar-SA"/>
        </w:rPr>
        <w:t>材料与设备</w:t>
      </w:r>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p>
    <w:p w14:paraId="17FBC23F">
      <w:pPr>
        <w:pStyle w:val="3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承包人采购材料和设备的约定：</w:t>
      </w:r>
    </w:p>
    <w:bookmarkEnd w:id="479"/>
    <w:bookmarkEnd w:id="480"/>
    <w:bookmarkEnd w:id="481"/>
    <w:bookmarkEnd w:id="482"/>
    <w:bookmarkEnd w:id="483"/>
    <w:bookmarkEnd w:id="484"/>
    <w:bookmarkEnd w:id="485"/>
    <w:bookmarkEnd w:id="486"/>
    <w:bookmarkEnd w:id="487"/>
    <w:bookmarkEnd w:id="488"/>
    <w:p w14:paraId="5ABA0FBB">
      <w:pPr>
        <w:keepNext/>
        <w:keepLines/>
        <w:widowControl w:val="0"/>
        <w:spacing w:line="380" w:lineRule="exact"/>
        <w:ind w:firstLine="422" w:firstLineChars="200"/>
        <w:jc w:val="both"/>
        <w:outlineLvl w:val="0"/>
        <w:rPr>
          <w:rFonts w:hint="eastAsia" w:ascii="宋体" w:hAnsi="宋体" w:eastAsia="宋体" w:cs="宋体"/>
          <w:b/>
          <w:bCs/>
          <w:color w:val="auto"/>
          <w:kern w:val="44"/>
          <w:sz w:val="21"/>
          <w:szCs w:val="21"/>
          <w:highlight w:val="none"/>
          <w:lang w:val="en-US" w:eastAsia="zh-CN" w:bidi="ar-SA"/>
        </w:rPr>
      </w:pPr>
      <w:bookmarkStart w:id="738" w:name="_Toc373478379"/>
      <w:bookmarkStart w:id="739" w:name="_Toc418751828"/>
      <w:bookmarkStart w:id="740" w:name="_Toc256000211"/>
      <w:bookmarkStart w:id="741" w:name="_Toc24741"/>
      <w:bookmarkStart w:id="742" w:name="_Toc418061343"/>
      <w:bookmarkStart w:id="743" w:name="_Toc522201761"/>
      <w:bookmarkStart w:id="744" w:name="_Toc497747210"/>
      <w:bookmarkStart w:id="745" w:name="_Toc389065298"/>
      <w:bookmarkStart w:id="746" w:name="_Toc418518378"/>
      <w:bookmarkStart w:id="747" w:name="_Toc418752274"/>
      <w:bookmarkStart w:id="748" w:name="_Toc373227732"/>
      <w:bookmarkStart w:id="749" w:name="_Toc497746813"/>
      <w:bookmarkStart w:id="750" w:name="_Toc418518142"/>
      <w:bookmarkStart w:id="751" w:name="_Toc403578966"/>
      <w:r>
        <w:rPr>
          <w:rFonts w:hint="eastAsia" w:ascii="宋体" w:hAnsi="宋体" w:eastAsia="宋体" w:cs="宋体"/>
          <w:b/>
          <w:bCs/>
          <w:color w:val="auto"/>
          <w:kern w:val="44"/>
          <w:sz w:val="21"/>
          <w:szCs w:val="21"/>
          <w:highlight w:val="none"/>
          <w:lang w:val="en-US" w:eastAsia="zh-CN" w:bidi="ar-SA"/>
        </w:rPr>
        <w:t>8.2 承包人采购材料与工程设备</w:t>
      </w:r>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p>
    <w:p w14:paraId="0DFE5735">
      <w:pPr>
        <w:pStyle w:val="29"/>
        <w:autoSpaceDE w:val="0"/>
        <w:autoSpaceDN w:val="0"/>
        <w:adjustRightInd w:val="0"/>
        <w:spacing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除已标价工程量清单《发包人提供主要材料和工程设备一览表》（表-21）中明确的材料、工程设备外，由承包人负责材料和工程设备的采购、运输和保管。《</w:t>
      </w:r>
      <w:r>
        <w:rPr>
          <w:rFonts w:hint="eastAsia" w:ascii="宋体" w:hAnsi="宋体" w:eastAsia="宋体" w:cs="宋体"/>
          <w:color w:val="auto"/>
          <w:szCs w:val="21"/>
          <w:highlight w:val="none"/>
        </w:rPr>
        <w:t>承包人提供主要材料和工程设备一览表》</w:t>
      </w:r>
      <w:r>
        <w:rPr>
          <w:rFonts w:hint="eastAsia" w:ascii="宋体" w:hAnsi="宋体" w:eastAsia="宋体" w:cs="宋体"/>
          <w:color w:val="auto"/>
          <w:kern w:val="0"/>
          <w:szCs w:val="21"/>
          <w:highlight w:val="none"/>
        </w:rPr>
        <w:t>（表-22）见已标价工程量清单。</w:t>
      </w:r>
    </w:p>
    <w:p w14:paraId="29923113">
      <w:pPr>
        <w:keepNext/>
        <w:keepLines/>
        <w:widowControl w:val="0"/>
        <w:spacing w:line="380" w:lineRule="exact"/>
        <w:ind w:firstLine="422" w:firstLineChars="200"/>
        <w:jc w:val="both"/>
        <w:outlineLvl w:val="0"/>
        <w:rPr>
          <w:rFonts w:hint="eastAsia" w:ascii="宋体" w:hAnsi="宋体" w:eastAsia="宋体" w:cs="宋体"/>
          <w:b/>
          <w:bCs/>
          <w:color w:val="auto"/>
          <w:kern w:val="44"/>
          <w:sz w:val="21"/>
          <w:szCs w:val="21"/>
          <w:highlight w:val="none"/>
          <w:lang w:val="en-US" w:eastAsia="zh-CN" w:bidi="ar-SA"/>
        </w:rPr>
      </w:pPr>
      <w:bookmarkStart w:id="752" w:name="_Toc418518143"/>
      <w:bookmarkStart w:id="753" w:name="_Toc403578967"/>
      <w:bookmarkStart w:id="754" w:name="_Toc373478380"/>
      <w:bookmarkStart w:id="755" w:name="_Toc21296"/>
      <w:bookmarkStart w:id="756" w:name="_Toc497746814"/>
      <w:bookmarkStart w:id="757" w:name="_Toc497747211"/>
      <w:bookmarkStart w:id="758" w:name="_Toc418752275"/>
      <w:bookmarkStart w:id="759" w:name="_Toc256000212"/>
      <w:bookmarkStart w:id="760" w:name="_Toc418518379"/>
      <w:bookmarkStart w:id="761" w:name="_Toc418751829"/>
      <w:bookmarkStart w:id="762" w:name="_Toc522201762"/>
      <w:bookmarkStart w:id="763" w:name="_Toc418061344"/>
      <w:bookmarkStart w:id="764" w:name="_Toc373227733"/>
      <w:bookmarkStart w:id="765" w:name="_Toc389065299"/>
      <w:r>
        <w:rPr>
          <w:rFonts w:hint="eastAsia" w:ascii="宋体" w:hAnsi="宋体" w:eastAsia="宋体" w:cs="宋体"/>
          <w:b/>
          <w:bCs/>
          <w:color w:val="auto"/>
          <w:kern w:val="44"/>
          <w:sz w:val="21"/>
          <w:szCs w:val="21"/>
          <w:highlight w:val="none"/>
          <w:lang w:val="en-US" w:eastAsia="zh-CN" w:bidi="ar-SA"/>
        </w:rPr>
        <w:t>8</w:t>
      </w:r>
      <w:bookmarkStart w:id="766" w:name="_Toc297123527"/>
      <w:bookmarkStart w:id="767" w:name="_Toc296891207"/>
      <w:bookmarkStart w:id="768" w:name="_Toc312678019"/>
      <w:bookmarkStart w:id="769" w:name="_Toc280868654"/>
      <w:bookmarkStart w:id="770" w:name="_Toc292559372"/>
      <w:bookmarkStart w:id="771" w:name="_Toc297120467"/>
      <w:bookmarkStart w:id="772" w:name="_Toc297048353"/>
      <w:bookmarkStart w:id="773" w:name="_Toc296503167"/>
      <w:bookmarkStart w:id="774" w:name="_Toc296347166"/>
      <w:bookmarkStart w:id="775" w:name="_Toc296890995"/>
      <w:bookmarkStart w:id="776" w:name="_Toc303539136"/>
      <w:bookmarkStart w:id="777" w:name="_Toc296944506"/>
      <w:bookmarkStart w:id="778" w:name="_Toc300934979"/>
      <w:bookmarkStart w:id="779" w:name="_Toc292559877"/>
      <w:bookmarkStart w:id="780" w:name="_Toc296346668"/>
      <w:bookmarkStart w:id="781" w:name="_Toc312677493"/>
      <w:bookmarkStart w:id="782" w:name="_Toc297216186"/>
      <w:bookmarkStart w:id="783" w:name="_Toc304295556"/>
      <w:bookmarkStart w:id="784" w:name="_Toc267251424"/>
      <w:bookmarkStart w:id="785" w:name="_Toc280868655"/>
      <w:bookmarkStart w:id="786" w:name="_Toc280868656"/>
      <w:r>
        <w:rPr>
          <w:rFonts w:hint="eastAsia" w:ascii="宋体" w:hAnsi="宋体" w:eastAsia="宋体" w:cs="宋体"/>
          <w:b/>
          <w:bCs/>
          <w:color w:val="auto"/>
          <w:kern w:val="44"/>
          <w:sz w:val="21"/>
          <w:szCs w:val="21"/>
          <w:highlight w:val="none"/>
          <w:lang w:val="en-US" w:eastAsia="zh-CN" w:bidi="ar-SA"/>
        </w:rPr>
        <w:t>.4 材料与工程设备的保管与使用</w:t>
      </w:r>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p>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14:paraId="72C6660C">
      <w:pPr>
        <w:pStyle w:val="29"/>
        <w:spacing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8</w:t>
      </w:r>
      <w:bookmarkStart w:id="787" w:name="_Toc292559878"/>
      <w:bookmarkStart w:id="788" w:name="_Toc292559373"/>
      <w:bookmarkStart w:id="789" w:name="_Toc296891208"/>
      <w:bookmarkStart w:id="790" w:name="_Toc300934980"/>
      <w:bookmarkStart w:id="791" w:name="_Toc296503168"/>
      <w:bookmarkStart w:id="792" w:name="_Toc296890996"/>
      <w:bookmarkStart w:id="793" w:name="_Toc304295557"/>
      <w:bookmarkStart w:id="794" w:name="_Toc318581173"/>
      <w:bookmarkStart w:id="795" w:name="_Toc296944507"/>
      <w:bookmarkStart w:id="796" w:name="_Toc312677494"/>
      <w:bookmarkStart w:id="797" w:name="_Toc296346669"/>
      <w:bookmarkStart w:id="798" w:name="_Toc297120468"/>
      <w:bookmarkStart w:id="799" w:name="_Toc312678020"/>
      <w:bookmarkStart w:id="800" w:name="_Toc296347167"/>
      <w:bookmarkStart w:id="801" w:name="_Toc297216187"/>
      <w:bookmarkStart w:id="802" w:name="_Toc297048354"/>
      <w:bookmarkStart w:id="803" w:name="_Toc297123528"/>
      <w:bookmarkStart w:id="804" w:name="_Toc303539137"/>
      <w:r>
        <w:rPr>
          <w:rFonts w:hint="eastAsia" w:ascii="宋体" w:hAnsi="宋体" w:eastAsia="宋体" w:cs="宋体"/>
          <w:color w:val="auto"/>
          <w:szCs w:val="21"/>
          <w:highlight w:val="none"/>
        </w:rPr>
        <w:t>.4.1发包人供应的材料设备的保管费用的承担：</w:t>
      </w:r>
      <w:r>
        <w:rPr>
          <w:rFonts w:hint="eastAsia" w:ascii="宋体" w:hAnsi="宋体" w:eastAsia="宋体" w:cs="宋体"/>
          <w:color w:val="auto"/>
          <w:szCs w:val="21"/>
          <w:highlight w:val="none"/>
          <w:u w:val="single"/>
        </w:rPr>
        <w:t>发包人供应的材料和设备经三方验收合格后，保管费用由承包人承担</w:t>
      </w:r>
      <w:r>
        <w:rPr>
          <w:rFonts w:hint="eastAsia" w:ascii="宋体" w:hAnsi="宋体" w:eastAsia="宋体" w:cs="宋体"/>
          <w:color w:val="auto"/>
          <w:szCs w:val="21"/>
          <w:highlight w:val="none"/>
        </w:rPr>
        <w:t>。</w:t>
      </w:r>
    </w:p>
    <w:bookmarkEnd w:id="787"/>
    <w:bookmarkEnd w:id="788"/>
    <w:p w14:paraId="242632EC">
      <w:pPr>
        <w:keepNext/>
        <w:keepLines/>
        <w:widowControl w:val="0"/>
        <w:spacing w:line="380" w:lineRule="exact"/>
        <w:ind w:firstLine="422" w:firstLineChars="200"/>
        <w:jc w:val="both"/>
        <w:outlineLvl w:val="0"/>
        <w:rPr>
          <w:rFonts w:hint="eastAsia" w:ascii="宋体" w:hAnsi="宋体" w:eastAsia="宋体" w:cs="宋体"/>
          <w:b/>
          <w:bCs/>
          <w:color w:val="auto"/>
          <w:kern w:val="44"/>
          <w:sz w:val="21"/>
          <w:szCs w:val="21"/>
          <w:highlight w:val="none"/>
          <w:lang w:val="en-US" w:eastAsia="zh-CN" w:bidi="ar-SA"/>
        </w:rPr>
      </w:pPr>
      <w:bookmarkStart w:id="805" w:name="_Toc389065300"/>
      <w:bookmarkStart w:id="806" w:name="_Toc497747212"/>
      <w:bookmarkStart w:id="807" w:name="_Toc418752276"/>
      <w:bookmarkStart w:id="808" w:name="_Toc403578968"/>
      <w:bookmarkStart w:id="809" w:name="_Toc373227734"/>
      <w:bookmarkStart w:id="810" w:name="_Toc522201763"/>
      <w:bookmarkStart w:id="811" w:name="_Toc418518380"/>
      <w:bookmarkStart w:id="812" w:name="_Toc418061345"/>
      <w:bookmarkStart w:id="813" w:name="_Toc256000213"/>
      <w:bookmarkStart w:id="814" w:name="_Toc373478381"/>
      <w:bookmarkStart w:id="815" w:name="_Toc16518"/>
      <w:bookmarkStart w:id="816" w:name="_Toc418518144"/>
      <w:bookmarkStart w:id="817" w:name="_Toc418751830"/>
      <w:bookmarkStart w:id="818" w:name="_Toc497746815"/>
      <w:r>
        <w:rPr>
          <w:rFonts w:hint="eastAsia" w:ascii="宋体" w:hAnsi="宋体" w:eastAsia="宋体" w:cs="宋体"/>
          <w:b/>
          <w:bCs/>
          <w:color w:val="auto"/>
          <w:kern w:val="44"/>
          <w:sz w:val="21"/>
          <w:szCs w:val="21"/>
          <w:highlight w:val="none"/>
          <w:lang w:val="en-US" w:eastAsia="zh-CN" w:bidi="ar-SA"/>
        </w:rPr>
        <w:t>8.6 样品</w:t>
      </w:r>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p>
    <w:p w14:paraId="5D6437C1">
      <w:pPr>
        <w:pStyle w:val="29"/>
        <w:autoSpaceDE w:val="0"/>
        <w:autoSpaceDN w:val="0"/>
        <w:adjustRightInd w:val="0"/>
        <w:spacing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8.6.1 样品的报送与封存</w:t>
      </w:r>
    </w:p>
    <w:p w14:paraId="0E8EA3A5">
      <w:pPr>
        <w:pStyle w:val="29"/>
        <w:autoSpaceDE w:val="0"/>
        <w:autoSpaceDN w:val="0"/>
        <w:adjustRightInd w:val="0"/>
        <w:spacing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rPr>
        <w:t>需要承包人报送样品的材料或工程设备，样品的种类、名称、规格、数量要求：</w:t>
      </w:r>
      <w:r>
        <w:rPr>
          <w:rFonts w:hint="eastAsia" w:ascii="宋体" w:hAnsi="宋体" w:eastAsia="宋体" w:cs="宋体"/>
          <w:color w:val="auto"/>
          <w:szCs w:val="21"/>
          <w:highlight w:val="none"/>
          <w:u w:val="single"/>
        </w:rPr>
        <w:t>主要材料涉及品种、款式、颜色等方面内容的，承包人在进货前需将货物样品报送监理或发包人现场办公室，待设计及发包人确认样品，并封存样品后，承包人方可订货。除上述材料外</w:t>
      </w:r>
      <w:r>
        <w:rPr>
          <w:rFonts w:hint="eastAsia" w:ascii="宋体" w:hAnsi="宋体" w:eastAsia="宋体" w:cs="宋体"/>
          <w:color w:val="auto"/>
          <w:szCs w:val="21"/>
          <w:highlight w:val="none"/>
          <w:u w:val="single"/>
          <w:lang w:eastAsia="zh-CN"/>
        </w:rPr>
        <w:t>采购文件</w:t>
      </w:r>
      <w:r>
        <w:rPr>
          <w:rFonts w:hint="eastAsia" w:ascii="宋体" w:hAnsi="宋体" w:eastAsia="宋体" w:cs="宋体"/>
          <w:color w:val="auto"/>
          <w:szCs w:val="21"/>
          <w:highlight w:val="none"/>
          <w:u w:val="single"/>
        </w:rPr>
        <w:t>和招标工程量清单中对材料、设备有档次或质量要求的，按</w:t>
      </w:r>
      <w:r>
        <w:rPr>
          <w:rFonts w:hint="eastAsia" w:ascii="宋体" w:hAnsi="宋体" w:eastAsia="宋体" w:cs="宋体"/>
          <w:color w:val="auto"/>
          <w:szCs w:val="21"/>
          <w:highlight w:val="none"/>
          <w:u w:val="single"/>
          <w:lang w:eastAsia="zh-CN"/>
        </w:rPr>
        <w:t>采购文件</w:t>
      </w:r>
      <w:r>
        <w:rPr>
          <w:rFonts w:hint="eastAsia" w:ascii="宋体" w:hAnsi="宋体" w:eastAsia="宋体" w:cs="宋体"/>
          <w:color w:val="auto"/>
          <w:szCs w:val="21"/>
          <w:highlight w:val="none"/>
          <w:u w:val="single"/>
        </w:rPr>
        <w:t>和招标工程量清单确定；其他由合同各方协商确定。</w:t>
      </w:r>
    </w:p>
    <w:p w14:paraId="5F1F0792">
      <w:pPr>
        <w:keepNext/>
        <w:keepLines/>
        <w:widowControl w:val="0"/>
        <w:spacing w:line="380" w:lineRule="exact"/>
        <w:ind w:firstLine="422" w:firstLineChars="200"/>
        <w:jc w:val="both"/>
        <w:outlineLvl w:val="0"/>
        <w:rPr>
          <w:rFonts w:hint="eastAsia" w:ascii="宋体" w:hAnsi="宋体" w:eastAsia="宋体" w:cs="宋体"/>
          <w:b/>
          <w:bCs/>
          <w:color w:val="auto"/>
          <w:kern w:val="44"/>
          <w:sz w:val="21"/>
          <w:szCs w:val="21"/>
          <w:highlight w:val="none"/>
          <w:lang w:val="en-US" w:eastAsia="zh-CN" w:bidi="ar-SA"/>
        </w:rPr>
      </w:pPr>
      <w:bookmarkStart w:id="819" w:name="_Toc497746816"/>
      <w:bookmarkStart w:id="820" w:name="_Toc522201764"/>
      <w:bookmarkStart w:id="821" w:name="_Toc418752277"/>
      <w:bookmarkStart w:id="822" w:name="_Toc497747213"/>
      <w:bookmarkStart w:id="823" w:name="_Toc418751831"/>
      <w:bookmarkStart w:id="824" w:name="_Toc403578969"/>
      <w:bookmarkStart w:id="825" w:name="_Toc418518381"/>
      <w:bookmarkStart w:id="826" w:name="_Toc373227735"/>
      <w:bookmarkStart w:id="827" w:name="_Toc256000214"/>
      <w:bookmarkStart w:id="828" w:name="_Toc27157"/>
      <w:bookmarkStart w:id="829" w:name="_Toc389065301"/>
      <w:bookmarkStart w:id="830" w:name="_Toc418518145"/>
      <w:bookmarkStart w:id="831" w:name="_Toc373478382"/>
      <w:bookmarkStart w:id="832" w:name="_Toc418061346"/>
      <w:r>
        <w:rPr>
          <w:rFonts w:hint="eastAsia" w:ascii="宋体" w:hAnsi="宋体" w:eastAsia="宋体" w:cs="宋体"/>
          <w:b/>
          <w:bCs/>
          <w:color w:val="auto"/>
          <w:kern w:val="44"/>
          <w:sz w:val="21"/>
          <w:szCs w:val="21"/>
          <w:highlight w:val="none"/>
          <w:lang w:val="en-US" w:eastAsia="zh-CN" w:bidi="ar-SA"/>
        </w:rPr>
        <w:t>8.8 施工设备和临时设施</w:t>
      </w:r>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p>
    <w:p w14:paraId="6FE192C0">
      <w:pPr>
        <w:pStyle w:val="29"/>
        <w:autoSpaceDE w:val="0"/>
        <w:autoSpaceDN w:val="0"/>
        <w:adjustRightInd w:val="0"/>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8.8.1 承包人提供的施工设备和临时设施</w:t>
      </w:r>
    </w:p>
    <w:p w14:paraId="74D646E2">
      <w:pPr>
        <w:pStyle w:val="29"/>
        <w:autoSpaceDE w:val="0"/>
        <w:autoSpaceDN w:val="0"/>
        <w:adjustRightInd w:val="0"/>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5。</w:t>
      </w:r>
    </w:p>
    <w:p w14:paraId="2F165623">
      <w:pPr>
        <w:pStyle w:val="29"/>
        <w:autoSpaceDE w:val="0"/>
        <w:autoSpaceDN w:val="0"/>
        <w:adjustRightInd w:val="0"/>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关于修建临时设施费用承担的约定：</w:t>
      </w:r>
    </w:p>
    <w:p w14:paraId="435C0F43">
      <w:pPr>
        <w:pStyle w:val="29"/>
        <w:autoSpaceDE w:val="0"/>
        <w:autoSpaceDN w:val="0"/>
        <w:adjustRightInd w:val="0"/>
        <w:spacing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 xml:space="preserve">①承包人的临时用地（含项目部驻地等）租用费（含拆迁补偿）、临时用地的环保、恢复、临时用地的青苗补偿及地面附着物拆除等费用均由承包人负责，以上费用在投标报价中综合考虑。 </w:t>
      </w:r>
    </w:p>
    <w:p w14:paraId="78BDC74A">
      <w:pPr>
        <w:pStyle w:val="29"/>
        <w:autoSpaceDE w:val="0"/>
        <w:autoSpaceDN w:val="0"/>
        <w:adjustRightInd w:val="0"/>
        <w:spacing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 xml:space="preserve">②承包人负责合同实施期间其合同段内临时交通道路和交通设施的修建、维修、养护和交通管理工作，并承担一切费用。 </w:t>
      </w:r>
    </w:p>
    <w:p w14:paraId="591D1A17">
      <w:pPr>
        <w:pStyle w:val="29"/>
        <w:autoSpaceDE w:val="0"/>
        <w:autoSpaceDN w:val="0"/>
        <w:adjustRightInd w:val="0"/>
        <w:spacing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 xml:space="preserve">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 </w:t>
      </w:r>
    </w:p>
    <w:p w14:paraId="209B2AF3">
      <w:pPr>
        <w:pStyle w:val="29"/>
        <w:autoSpaceDE w:val="0"/>
        <w:autoSpaceDN w:val="0"/>
        <w:adjustRightInd w:val="0"/>
        <w:spacing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④承包人在发包人拟开发区域内已经搭设的施工现场办公等临时设施，一旦发包人因开发需要，通知承包人搬迁、拆除的，承包人应无条件在规定期限内搬迁、拆除，发包人不另行支付搬迁、拆除等费用。承包人自行解决民工住宿问题，并承担因此而增加的交通费用、工人生产降效等相关费用。</w:t>
      </w:r>
    </w:p>
    <w:p w14:paraId="089B8BEF">
      <w:pPr>
        <w:pStyle w:val="29"/>
        <w:autoSpaceDE w:val="0"/>
        <w:autoSpaceDN w:val="0"/>
        <w:adjustRightInd w:val="0"/>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8.8.2 发包人提供的施工设备和临时设施</w:t>
      </w:r>
    </w:p>
    <w:p w14:paraId="13898282">
      <w:pPr>
        <w:pStyle w:val="29"/>
        <w:autoSpaceDE w:val="0"/>
        <w:autoSpaceDN w:val="0"/>
        <w:adjustRightInd w:val="0"/>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发包人提供的施工设备和临时设施：</w:t>
      </w:r>
      <w:r>
        <w:rPr>
          <w:rFonts w:hint="eastAsia" w:ascii="宋体" w:hAnsi="宋体" w:eastAsia="宋体" w:cs="宋体"/>
          <w:color w:val="auto"/>
          <w:szCs w:val="21"/>
          <w:highlight w:val="none"/>
          <w:u w:val="single"/>
        </w:rPr>
        <w:t xml:space="preserve">  无 </w:t>
      </w:r>
      <w:r>
        <w:rPr>
          <w:rFonts w:hint="eastAsia" w:ascii="宋体" w:hAnsi="宋体" w:eastAsia="宋体" w:cs="宋体"/>
          <w:color w:val="auto"/>
          <w:szCs w:val="21"/>
          <w:highlight w:val="none"/>
        </w:rPr>
        <w:t>。</w:t>
      </w:r>
    </w:p>
    <w:p w14:paraId="3C438464">
      <w:pPr>
        <w:pStyle w:val="29"/>
        <w:autoSpaceDE w:val="0"/>
        <w:autoSpaceDN w:val="0"/>
        <w:adjustRightInd w:val="0"/>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发包人提供的施工设备和临时设施的运行、维护、拆除、清运费用的承担人：</w:t>
      </w:r>
      <w:r>
        <w:rPr>
          <w:rFonts w:hint="eastAsia" w:ascii="宋体" w:hAnsi="宋体" w:eastAsia="宋体" w:cs="宋体"/>
          <w:color w:val="auto"/>
          <w:szCs w:val="21"/>
          <w:highlight w:val="none"/>
          <w:u w:val="single"/>
        </w:rPr>
        <w:t xml:space="preserve">  承包人  </w:t>
      </w:r>
      <w:r>
        <w:rPr>
          <w:rFonts w:hint="eastAsia" w:ascii="宋体" w:hAnsi="宋体" w:eastAsia="宋体" w:cs="宋体"/>
          <w:color w:val="auto"/>
          <w:szCs w:val="21"/>
          <w:highlight w:val="none"/>
        </w:rPr>
        <w:t>。</w:t>
      </w:r>
    </w:p>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p w14:paraId="01B70EC3">
      <w:pPr>
        <w:keepNext/>
        <w:keepLines/>
        <w:widowControl w:val="0"/>
        <w:spacing w:line="380" w:lineRule="exact"/>
        <w:jc w:val="both"/>
        <w:outlineLvl w:val="0"/>
        <w:rPr>
          <w:rFonts w:hint="eastAsia" w:ascii="宋体" w:hAnsi="宋体" w:eastAsia="宋体" w:cs="宋体"/>
          <w:b/>
          <w:bCs/>
          <w:color w:val="auto"/>
          <w:kern w:val="44"/>
          <w:sz w:val="21"/>
          <w:szCs w:val="21"/>
          <w:highlight w:val="none"/>
          <w:lang w:val="en-US" w:eastAsia="zh-CN" w:bidi="ar-SA"/>
        </w:rPr>
      </w:pPr>
      <w:bookmarkStart w:id="833" w:name="_Toc256000215"/>
      <w:bookmarkStart w:id="834" w:name="_Toc497746817"/>
      <w:bookmarkStart w:id="835" w:name="_Toc522201765"/>
      <w:bookmarkStart w:id="836" w:name="_Toc373478383"/>
      <w:bookmarkStart w:id="837" w:name="_Toc5990"/>
      <w:bookmarkStart w:id="838" w:name="_Toc497747214"/>
      <w:bookmarkStart w:id="839" w:name="_Toc418752278"/>
      <w:bookmarkStart w:id="840" w:name="_Toc418518382"/>
      <w:bookmarkStart w:id="841" w:name="_Toc351203641"/>
      <w:bookmarkStart w:id="842" w:name="_Toc373227736"/>
      <w:bookmarkStart w:id="843" w:name="_Toc389065302"/>
      <w:bookmarkStart w:id="844" w:name="_Toc418518146"/>
      <w:bookmarkStart w:id="845" w:name="_Toc418751832"/>
      <w:bookmarkStart w:id="846" w:name="_Toc418061347"/>
      <w:bookmarkStart w:id="847" w:name="_Toc403578970"/>
      <w:r>
        <w:rPr>
          <w:rFonts w:hint="eastAsia" w:ascii="宋体" w:hAnsi="宋体" w:eastAsia="宋体" w:cs="宋体"/>
          <w:b/>
          <w:bCs/>
          <w:color w:val="auto"/>
          <w:kern w:val="44"/>
          <w:sz w:val="21"/>
          <w:szCs w:val="21"/>
          <w:highlight w:val="none"/>
          <w:lang w:val="en-US" w:eastAsia="zh-CN" w:bidi="ar-SA"/>
        </w:rPr>
        <w:t>9</w:t>
      </w:r>
      <w:bookmarkEnd w:id="784"/>
      <w:bookmarkEnd w:id="785"/>
      <w:bookmarkEnd w:id="786"/>
      <w:bookmarkStart w:id="848" w:name="_Toc304295559"/>
      <w:bookmarkStart w:id="849" w:name="_Toc297216192"/>
      <w:bookmarkStart w:id="850" w:name="_Toc297123533"/>
      <w:bookmarkStart w:id="851" w:name="_Toc312678021"/>
      <w:bookmarkStart w:id="852" w:name="_Toc303539139"/>
      <w:bookmarkStart w:id="853" w:name="_Toc312677495"/>
      <w:bookmarkStart w:id="854" w:name="_Toc300934982"/>
      <w:bookmarkStart w:id="855" w:name="_Toc297048359"/>
      <w:bookmarkStart w:id="856" w:name="_Toc296503173"/>
      <w:bookmarkStart w:id="857" w:name="_Toc296347172"/>
      <w:bookmarkStart w:id="858" w:name="_Toc297120473"/>
      <w:bookmarkStart w:id="859" w:name="_Toc267251427"/>
      <w:bookmarkStart w:id="860" w:name="_Toc296891001"/>
      <w:bookmarkStart w:id="861" w:name="_Toc292559883"/>
      <w:bookmarkStart w:id="862" w:name="_Toc267251428"/>
      <w:bookmarkStart w:id="863" w:name="_Toc296944512"/>
      <w:bookmarkStart w:id="864" w:name="_Toc296891213"/>
      <w:bookmarkStart w:id="865" w:name="_Toc296346674"/>
      <w:bookmarkStart w:id="866" w:name="_Toc292559378"/>
      <w:r>
        <w:rPr>
          <w:rFonts w:hint="eastAsia" w:ascii="宋体" w:hAnsi="宋体" w:eastAsia="宋体" w:cs="宋体"/>
          <w:b/>
          <w:bCs/>
          <w:color w:val="auto"/>
          <w:kern w:val="44"/>
          <w:sz w:val="21"/>
          <w:szCs w:val="21"/>
          <w:highlight w:val="none"/>
          <w:lang w:val="en-US" w:eastAsia="zh-CN" w:bidi="ar-SA"/>
        </w:rPr>
        <w:t>. 试验与检验</w:t>
      </w:r>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p>
    <w:bookmarkEnd w:id="848"/>
    <w:bookmarkEnd w:id="849"/>
    <w:bookmarkEnd w:id="850"/>
    <w:bookmarkEnd w:id="851"/>
    <w:bookmarkEnd w:id="852"/>
    <w:bookmarkEnd w:id="853"/>
    <w:bookmarkEnd w:id="854"/>
    <w:p w14:paraId="27A442AF">
      <w:pPr>
        <w:keepNext/>
        <w:keepLines/>
        <w:widowControl w:val="0"/>
        <w:spacing w:line="380" w:lineRule="exact"/>
        <w:ind w:firstLine="422" w:firstLineChars="200"/>
        <w:jc w:val="both"/>
        <w:outlineLvl w:val="0"/>
        <w:rPr>
          <w:rFonts w:hint="eastAsia" w:ascii="宋体" w:hAnsi="宋体" w:eastAsia="宋体" w:cs="宋体"/>
          <w:b/>
          <w:bCs/>
          <w:color w:val="auto"/>
          <w:kern w:val="44"/>
          <w:sz w:val="21"/>
          <w:szCs w:val="21"/>
          <w:highlight w:val="none"/>
          <w:lang w:val="en-US" w:eastAsia="zh-CN" w:bidi="ar-SA"/>
        </w:rPr>
      </w:pPr>
      <w:bookmarkStart w:id="867" w:name="_Toc418518147"/>
      <w:bookmarkStart w:id="868" w:name="_Toc418751833"/>
      <w:bookmarkStart w:id="869" w:name="_Toc21858"/>
      <w:bookmarkStart w:id="870" w:name="_Toc418061348"/>
      <w:bookmarkStart w:id="871" w:name="_Toc389065303"/>
      <w:bookmarkStart w:id="872" w:name="_Toc373478384"/>
      <w:bookmarkStart w:id="873" w:name="_Toc497746818"/>
      <w:bookmarkStart w:id="874" w:name="_Toc497747215"/>
      <w:bookmarkStart w:id="875" w:name="_Toc418518383"/>
      <w:bookmarkStart w:id="876" w:name="_Toc373227737"/>
      <w:bookmarkStart w:id="877" w:name="_Toc418752279"/>
      <w:bookmarkStart w:id="878" w:name="_Toc256000216"/>
      <w:bookmarkStart w:id="879" w:name="_Toc403578971"/>
      <w:bookmarkStart w:id="880" w:name="_Toc522201766"/>
      <w:r>
        <w:rPr>
          <w:rFonts w:hint="eastAsia" w:ascii="宋体" w:hAnsi="宋体" w:eastAsia="宋体" w:cs="宋体"/>
          <w:b/>
          <w:bCs/>
          <w:color w:val="auto"/>
          <w:kern w:val="44"/>
          <w:sz w:val="21"/>
          <w:szCs w:val="21"/>
          <w:highlight w:val="none"/>
          <w:lang w:val="en-US" w:eastAsia="zh-CN" w:bidi="ar-SA"/>
        </w:rPr>
        <w:t>9</w:t>
      </w:r>
      <w:bookmarkStart w:id="881" w:name="_Toc312678022"/>
      <w:bookmarkStart w:id="882" w:name="_Toc303539140"/>
      <w:bookmarkStart w:id="883" w:name="_Toc297123534"/>
      <w:bookmarkStart w:id="884" w:name="_Toc312677496"/>
      <w:bookmarkStart w:id="885" w:name="_Toc304295560"/>
      <w:bookmarkStart w:id="886" w:name="_Toc297216193"/>
      <w:bookmarkStart w:id="887" w:name="_Toc300934983"/>
      <w:r>
        <w:rPr>
          <w:rFonts w:hint="eastAsia" w:ascii="宋体" w:hAnsi="宋体" w:eastAsia="宋体" w:cs="宋体"/>
          <w:b/>
          <w:bCs/>
          <w:color w:val="auto"/>
          <w:kern w:val="44"/>
          <w:sz w:val="21"/>
          <w:szCs w:val="21"/>
          <w:highlight w:val="none"/>
          <w:lang w:val="en-US" w:eastAsia="zh-CN" w:bidi="ar-SA"/>
        </w:rPr>
        <w:t>.1 试验设备与试验人员</w:t>
      </w:r>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p>
    <w:bookmarkEnd w:id="881"/>
    <w:bookmarkEnd w:id="882"/>
    <w:bookmarkEnd w:id="883"/>
    <w:bookmarkEnd w:id="884"/>
    <w:bookmarkEnd w:id="885"/>
    <w:bookmarkEnd w:id="886"/>
    <w:bookmarkEnd w:id="887"/>
    <w:p w14:paraId="6FC9125C">
      <w:pPr>
        <w:pStyle w:val="29"/>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bookmarkStart w:id="888" w:name="_Toc312677497"/>
      <w:bookmarkStart w:id="889" w:name="_Toc297123535"/>
      <w:bookmarkStart w:id="890" w:name="_Toc300934984"/>
      <w:bookmarkStart w:id="891" w:name="_Toc304295561"/>
      <w:bookmarkStart w:id="892" w:name="_Toc312678023"/>
      <w:bookmarkStart w:id="893" w:name="_Toc303539141"/>
      <w:bookmarkStart w:id="894" w:name="_Toc297216194"/>
      <w:bookmarkStart w:id="895" w:name="_Toc318581174"/>
      <w:r>
        <w:rPr>
          <w:rFonts w:hint="eastAsia" w:ascii="宋体" w:hAnsi="宋体" w:eastAsia="宋体" w:cs="宋体"/>
          <w:color w:val="auto"/>
          <w:szCs w:val="21"/>
          <w:highlight w:val="none"/>
        </w:rPr>
        <w:t>.1.2 试验设备</w:t>
      </w:r>
    </w:p>
    <w:bookmarkEnd w:id="888"/>
    <w:bookmarkEnd w:id="889"/>
    <w:bookmarkEnd w:id="890"/>
    <w:bookmarkEnd w:id="891"/>
    <w:bookmarkEnd w:id="892"/>
    <w:bookmarkEnd w:id="893"/>
    <w:bookmarkEnd w:id="894"/>
    <w:p w14:paraId="18948C0D">
      <w:pPr>
        <w:pStyle w:val="29"/>
        <w:spacing w:line="380" w:lineRule="exact"/>
        <w:ind w:firstLine="420" w:firstLineChars="200"/>
        <w:jc w:val="left"/>
        <w:rPr>
          <w:rFonts w:hint="eastAsia" w:ascii="宋体" w:hAnsi="宋体" w:eastAsia="宋体" w:cs="宋体"/>
          <w:color w:val="auto"/>
          <w:szCs w:val="21"/>
          <w:highlight w:val="none"/>
        </w:rPr>
      </w:pPr>
      <w:bookmarkStart w:id="896" w:name="_Toc303539142"/>
      <w:bookmarkStart w:id="897" w:name="_Toc300934985"/>
      <w:bookmarkStart w:id="898" w:name="_Toc312678024"/>
      <w:bookmarkStart w:id="899" w:name="_Toc312677498"/>
      <w:bookmarkStart w:id="900" w:name="_Toc297216195"/>
      <w:bookmarkStart w:id="901" w:name="_Toc304295562"/>
      <w:bookmarkStart w:id="902" w:name="_Toc297123536"/>
      <w:r>
        <w:rPr>
          <w:rFonts w:hint="eastAsia" w:ascii="宋体" w:hAnsi="宋体" w:eastAsia="宋体" w:cs="宋体"/>
          <w:color w:val="auto"/>
          <w:szCs w:val="21"/>
          <w:highlight w:val="none"/>
        </w:rPr>
        <w:t>施工现场需要配置的试验场所：</w:t>
      </w:r>
      <w:r>
        <w:rPr>
          <w:rFonts w:hint="eastAsia" w:ascii="宋体" w:hAnsi="宋体" w:eastAsia="宋体" w:cs="宋体"/>
          <w:color w:val="auto"/>
          <w:szCs w:val="21"/>
          <w:highlight w:val="none"/>
          <w:u w:val="single"/>
        </w:rPr>
        <w:t xml:space="preserve"> 由承包人承担，所需费用包含在投标报价中 </w:t>
      </w:r>
      <w:r>
        <w:rPr>
          <w:rFonts w:hint="eastAsia" w:ascii="宋体" w:hAnsi="宋体" w:eastAsia="宋体" w:cs="宋体"/>
          <w:color w:val="auto"/>
          <w:szCs w:val="21"/>
          <w:highlight w:val="none"/>
        </w:rPr>
        <w:t xml:space="preserve">。 </w:t>
      </w:r>
    </w:p>
    <w:p w14:paraId="1F2472BF">
      <w:pPr>
        <w:pStyle w:val="29"/>
        <w:spacing w:line="38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施工现场需要配备的试验设备：</w:t>
      </w:r>
      <w:r>
        <w:rPr>
          <w:rFonts w:hint="eastAsia" w:ascii="宋体" w:hAnsi="宋体" w:eastAsia="宋体" w:cs="宋体"/>
          <w:color w:val="auto"/>
          <w:szCs w:val="21"/>
          <w:highlight w:val="none"/>
          <w:u w:val="single"/>
        </w:rPr>
        <w:t xml:space="preserve"> 由承包人承担，所需费用包含在投标报价中 </w:t>
      </w:r>
      <w:r>
        <w:rPr>
          <w:rFonts w:hint="eastAsia" w:ascii="宋体" w:hAnsi="宋体" w:eastAsia="宋体" w:cs="宋体"/>
          <w:color w:val="auto"/>
          <w:szCs w:val="21"/>
          <w:highlight w:val="none"/>
        </w:rPr>
        <w:t>。</w:t>
      </w:r>
    </w:p>
    <w:p w14:paraId="287907D9">
      <w:pPr>
        <w:pStyle w:val="29"/>
        <w:spacing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施工现场需要具备的其他试验条件：</w:t>
      </w:r>
      <w:r>
        <w:rPr>
          <w:rFonts w:hint="eastAsia" w:ascii="宋体" w:hAnsi="宋体" w:eastAsia="宋体" w:cs="宋体"/>
          <w:color w:val="auto"/>
          <w:szCs w:val="21"/>
          <w:highlight w:val="none"/>
          <w:u w:val="single"/>
        </w:rPr>
        <w:t xml:space="preserve"> 由承包人承担，所需费用包含在投标报价中 </w:t>
      </w:r>
      <w:r>
        <w:rPr>
          <w:rFonts w:hint="eastAsia" w:ascii="宋体" w:hAnsi="宋体" w:eastAsia="宋体" w:cs="宋体"/>
          <w:color w:val="auto"/>
          <w:szCs w:val="21"/>
          <w:highlight w:val="none"/>
        </w:rPr>
        <w:t>。</w:t>
      </w:r>
    </w:p>
    <w:p w14:paraId="0F8941B4">
      <w:pPr>
        <w:keepNext/>
        <w:keepLines/>
        <w:widowControl w:val="0"/>
        <w:spacing w:line="380" w:lineRule="exact"/>
        <w:ind w:firstLine="422" w:firstLineChars="200"/>
        <w:jc w:val="both"/>
        <w:outlineLvl w:val="0"/>
        <w:rPr>
          <w:rFonts w:hint="eastAsia" w:ascii="宋体" w:hAnsi="宋体" w:eastAsia="宋体" w:cs="宋体"/>
          <w:b/>
          <w:bCs/>
          <w:color w:val="auto"/>
          <w:kern w:val="44"/>
          <w:sz w:val="21"/>
          <w:szCs w:val="21"/>
          <w:highlight w:val="none"/>
          <w:lang w:val="en-US" w:eastAsia="zh-CN" w:bidi="ar-SA"/>
        </w:rPr>
      </w:pPr>
      <w:bookmarkStart w:id="903" w:name="_Toc418752280"/>
      <w:bookmarkStart w:id="904" w:name="_Toc418518148"/>
      <w:bookmarkStart w:id="905" w:name="_Toc389065304"/>
      <w:bookmarkStart w:id="906" w:name="_Toc497746819"/>
      <w:bookmarkStart w:id="907" w:name="_Toc522201767"/>
      <w:bookmarkStart w:id="908" w:name="_Toc373478385"/>
      <w:bookmarkStart w:id="909" w:name="_Toc497747216"/>
      <w:bookmarkStart w:id="910" w:name="_Toc15825"/>
      <w:bookmarkStart w:id="911" w:name="_Toc418061349"/>
      <w:bookmarkStart w:id="912" w:name="_Toc373227738"/>
      <w:bookmarkStart w:id="913" w:name="_Toc403578972"/>
      <w:bookmarkStart w:id="914" w:name="_Toc256000217"/>
      <w:bookmarkStart w:id="915" w:name="_Toc418518384"/>
      <w:bookmarkStart w:id="916" w:name="_Toc418751834"/>
      <w:r>
        <w:rPr>
          <w:rFonts w:hint="eastAsia" w:ascii="宋体" w:hAnsi="宋体" w:eastAsia="宋体" w:cs="宋体"/>
          <w:b/>
          <w:bCs/>
          <w:color w:val="auto"/>
          <w:kern w:val="44"/>
          <w:sz w:val="21"/>
          <w:szCs w:val="21"/>
          <w:highlight w:val="none"/>
          <w:lang w:val="en-US" w:eastAsia="zh-CN" w:bidi="ar-SA"/>
        </w:rPr>
        <w:t>9.4 现场工艺试验</w:t>
      </w:r>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r>
        <w:rPr>
          <w:rFonts w:hint="eastAsia" w:ascii="宋体" w:hAnsi="宋体" w:eastAsia="宋体" w:cs="宋体"/>
          <w:b/>
          <w:bCs/>
          <w:color w:val="auto"/>
          <w:kern w:val="44"/>
          <w:sz w:val="21"/>
          <w:szCs w:val="21"/>
          <w:highlight w:val="none"/>
          <w:lang w:val="en-US" w:eastAsia="zh-CN" w:bidi="ar-SA"/>
        </w:rPr>
        <w:t xml:space="preserve"> </w:t>
      </w:r>
    </w:p>
    <w:p w14:paraId="117A6E24">
      <w:pPr>
        <w:pStyle w:val="29"/>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现场工艺试验的有关约定：</w:t>
      </w:r>
      <w:r>
        <w:rPr>
          <w:rFonts w:hint="eastAsia" w:ascii="宋体" w:hAnsi="宋体" w:eastAsia="宋体" w:cs="宋体"/>
          <w:color w:val="auto"/>
          <w:szCs w:val="21"/>
          <w:highlight w:val="none"/>
          <w:u w:val="single"/>
        </w:rPr>
        <w:t xml:space="preserve">  按通用条款执行</w:t>
      </w:r>
      <w:r>
        <w:rPr>
          <w:rFonts w:hint="eastAsia" w:ascii="宋体" w:hAnsi="宋体" w:eastAsia="宋体" w:cs="宋体"/>
          <w:color w:val="auto"/>
          <w:szCs w:val="21"/>
          <w:highlight w:val="none"/>
        </w:rPr>
        <w:t>。</w:t>
      </w:r>
      <w:bookmarkStart w:id="917" w:name="_Toc406420990"/>
      <w:bookmarkStart w:id="918" w:name="_Toc395382541"/>
      <w:bookmarkStart w:id="919" w:name="_Toc406522259"/>
      <w:bookmarkStart w:id="920" w:name="OLE_LINK1"/>
    </w:p>
    <w:p w14:paraId="6012F3DC">
      <w:pPr>
        <w:pStyle w:val="29"/>
        <w:spacing w:line="380" w:lineRule="exact"/>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9.5 检验费用</w:t>
      </w:r>
      <w:bookmarkEnd w:id="917"/>
      <w:bookmarkEnd w:id="918"/>
      <w:bookmarkEnd w:id="919"/>
    </w:p>
    <w:p w14:paraId="1AEB6AC0">
      <w:pPr>
        <w:pStyle w:val="29"/>
        <w:spacing w:line="380" w:lineRule="exact"/>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根据《建设工程质量检测管理办法》（</w:t>
      </w:r>
      <w:r>
        <w:rPr>
          <w:rFonts w:hint="eastAsia" w:ascii="宋体" w:hAnsi="宋体" w:eastAsia="宋体" w:cs="宋体"/>
          <w:color w:val="auto"/>
          <w:sz w:val="21"/>
          <w:szCs w:val="21"/>
          <w:highlight w:val="none"/>
          <w:lang w:val="en-US" w:eastAsia="zh-CN"/>
        </w:rPr>
        <w:t>住建部令57号</w:t>
      </w:r>
      <w:r>
        <w:rPr>
          <w:rFonts w:hint="eastAsia" w:ascii="宋体" w:hAnsi="宋体" w:eastAsia="宋体" w:cs="宋体"/>
          <w:color w:val="auto"/>
          <w:szCs w:val="21"/>
          <w:highlight w:val="none"/>
        </w:rPr>
        <w:t>）以及</w:t>
      </w:r>
      <w:r>
        <w:rPr>
          <w:rFonts w:hint="eastAsia" w:ascii="宋体" w:hAnsi="宋体" w:eastAsia="宋体" w:cs="宋体"/>
          <w:bCs/>
          <w:color w:val="auto"/>
          <w:szCs w:val="21"/>
          <w:highlight w:val="none"/>
        </w:rPr>
        <w:t>《广西壮族自治区建设工程质量检测管理规定》（桂建管〔2013〕11号）</w:t>
      </w:r>
      <w:r>
        <w:rPr>
          <w:rFonts w:hint="eastAsia" w:ascii="宋体" w:hAnsi="宋体" w:eastAsia="宋体" w:cs="宋体"/>
          <w:color w:val="auto"/>
          <w:szCs w:val="21"/>
          <w:highlight w:val="none"/>
        </w:rPr>
        <w:t>规定，工程质量检测业务由发包人委托有相应资质的检测机构检测。费用从发包人的项目建设经费中支出并直接支付给检测机构，不计入合同价款内。</w:t>
      </w:r>
      <w:bookmarkEnd w:id="920"/>
    </w:p>
    <w:bookmarkEnd w:id="895"/>
    <w:bookmarkEnd w:id="896"/>
    <w:bookmarkEnd w:id="897"/>
    <w:bookmarkEnd w:id="898"/>
    <w:bookmarkEnd w:id="899"/>
    <w:bookmarkEnd w:id="900"/>
    <w:bookmarkEnd w:id="901"/>
    <w:bookmarkEnd w:id="902"/>
    <w:p w14:paraId="77FD3344">
      <w:pPr>
        <w:keepNext/>
        <w:keepLines/>
        <w:widowControl w:val="0"/>
        <w:spacing w:line="380" w:lineRule="exact"/>
        <w:jc w:val="both"/>
        <w:outlineLvl w:val="0"/>
        <w:rPr>
          <w:rFonts w:hint="eastAsia" w:ascii="宋体" w:hAnsi="宋体" w:eastAsia="宋体" w:cs="宋体"/>
          <w:b/>
          <w:bCs/>
          <w:color w:val="auto"/>
          <w:kern w:val="44"/>
          <w:sz w:val="21"/>
          <w:szCs w:val="21"/>
          <w:highlight w:val="none"/>
          <w:lang w:val="en-US" w:eastAsia="zh-CN" w:bidi="ar-SA"/>
        </w:rPr>
      </w:pPr>
      <w:bookmarkStart w:id="921" w:name="_Toc351203642"/>
      <w:bookmarkStart w:id="922" w:name="_Toc205"/>
      <w:bookmarkStart w:id="923" w:name="_Toc418518386"/>
      <w:bookmarkStart w:id="924" w:name="_Toc418061351"/>
      <w:bookmarkStart w:id="925" w:name="_Toc373478386"/>
      <w:bookmarkStart w:id="926" w:name="_Toc256000218"/>
      <w:bookmarkStart w:id="927" w:name="_Toc497747218"/>
      <w:bookmarkStart w:id="928" w:name="_Toc418752282"/>
      <w:bookmarkStart w:id="929" w:name="_Toc522201768"/>
      <w:bookmarkStart w:id="930" w:name="_Toc418751836"/>
      <w:bookmarkStart w:id="931" w:name="_Toc418518150"/>
      <w:bookmarkStart w:id="932" w:name="_Toc403578974"/>
      <w:bookmarkStart w:id="933" w:name="_Toc389065305"/>
      <w:bookmarkStart w:id="934" w:name="_Toc497746821"/>
      <w:bookmarkStart w:id="935" w:name="_Toc373227739"/>
      <w:r>
        <w:rPr>
          <w:rFonts w:hint="eastAsia" w:ascii="宋体" w:hAnsi="宋体" w:eastAsia="宋体" w:cs="宋体"/>
          <w:b/>
          <w:bCs/>
          <w:color w:val="auto"/>
          <w:kern w:val="44"/>
          <w:sz w:val="21"/>
          <w:szCs w:val="21"/>
          <w:highlight w:val="none"/>
          <w:lang w:val="en-US" w:eastAsia="zh-CN" w:bidi="ar-SA"/>
        </w:rPr>
        <w:t>1</w:t>
      </w:r>
      <w:bookmarkEnd w:id="855"/>
      <w:bookmarkEnd w:id="856"/>
      <w:bookmarkEnd w:id="857"/>
      <w:bookmarkEnd w:id="858"/>
      <w:bookmarkEnd w:id="859"/>
      <w:bookmarkEnd w:id="860"/>
      <w:bookmarkEnd w:id="861"/>
      <w:bookmarkEnd w:id="862"/>
      <w:bookmarkEnd w:id="863"/>
      <w:bookmarkEnd w:id="864"/>
      <w:bookmarkEnd w:id="865"/>
      <w:bookmarkEnd w:id="866"/>
      <w:bookmarkStart w:id="936" w:name="_Toc304295566"/>
      <w:bookmarkStart w:id="937" w:name="_Toc297048379"/>
      <w:bookmarkStart w:id="938" w:name="_Toc296891021"/>
      <w:bookmarkStart w:id="939" w:name="_Toc296503193"/>
      <w:bookmarkStart w:id="940" w:name="_Toc303539146"/>
      <w:bookmarkStart w:id="941" w:name="_Toc292559398"/>
      <w:bookmarkStart w:id="942" w:name="_Toc296347192"/>
      <w:bookmarkStart w:id="943" w:name="_Toc297216199"/>
      <w:bookmarkStart w:id="944" w:name="_Toc300934989"/>
      <w:bookmarkStart w:id="945" w:name="_Toc297120493"/>
      <w:bookmarkStart w:id="946" w:name="_Toc297123540"/>
      <w:bookmarkStart w:id="947" w:name="_Toc296346694"/>
      <w:bookmarkStart w:id="948" w:name="_Toc296944532"/>
      <w:bookmarkStart w:id="949" w:name="_Toc292559903"/>
      <w:bookmarkStart w:id="950" w:name="_Toc296891233"/>
      <w:bookmarkStart w:id="951" w:name="_Toc312677499"/>
      <w:bookmarkStart w:id="952" w:name="_Toc312678025"/>
      <w:bookmarkStart w:id="953" w:name="_Toc267251442"/>
      <w:r>
        <w:rPr>
          <w:rFonts w:hint="eastAsia" w:ascii="宋体" w:hAnsi="宋体" w:eastAsia="宋体" w:cs="宋体"/>
          <w:b/>
          <w:bCs/>
          <w:color w:val="auto"/>
          <w:kern w:val="44"/>
          <w:sz w:val="21"/>
          <w:szCs w:val="21"/>
          <w:highlight w:val="none"/>
          <w:lang w:val="en-US" w:eastAsia="zh-CN" w:bidi="ar-SA"/>
        </w:rPr>
        <w:t>0. 变更</w:t>
      </w:r>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p>
    <w:bookmarkEnd w:id="951"/>
    <w:bookmarkEnd w:id="952"/>
    <w:p w14:paraId="2DBF22D6">
      <w:pPr>
        <w:keepNext/>
        <w:keepLines/>
        <w:widowControl w:val="0"/>
        <w:spacing w:line="380" w:lineRule="exact"/>
        <w:ind w:firstLine="422" w:firstLineChars="200"/>
        <w:jc w:val="both"/>
        <w:outlineLvl w:val="0"/>
        <w:rPr>
          <w:rFonts w:hint="eastAsia" w:ascii="宋体" w:hAnsi="宋体" w:eastAsia="宋体" w:cs="宋体"/>
          <w:b/>
          <w:bCs/>
          <w:color w:val="auto"/>
          <w:kern w:val="44"/>
          <w:sz w:val="21"/>
          <w:szCs w:val="21"/>
          <w:highlight w:val="none"/>
          <w:lang w:val="en-US" w:eastAsia="zh-CN" w:bidi="ar-SA"/>
        </w:rPr>
      </w:pPr>
      <w:bookmarkStart w:id="954" w:name="_Toc373227740"/>
      <w:bookmarkStart w:id="955" w:name="_Toc403578975"/>
      <w:bookmarkStart w:id="956" w:name="_Toc418518387"/>
      <w:bookmarkStart w:id="957" w:name="_Toc22701"/>
      <w:bookmarkStart w:id="958" w:name="_Toc418518151"/>
      <w:bookmarkStart w:id="959" w:name="_Toc418752283"/>
      <w:bookmarkStart w:id="960" w:name="_Toc373478387"/>
      <w:bookmarkStart w:id="961" w:name="_Toc418751837"/>
      <w:bookmarkStart w:id="962" w:name="_Toc497746822"/>
      <w:bookmarkStart w:id="963" w:name="_Toc522201769"/>
      <w:bookmarkStart w:id="964" w:name="_Toc256000219"/>
      <w:bookmarkStart w:id="965" w:name="_Toc497747219"/>
      <w:bookmarkStart w:id="966" w:name="_Toc389065306"/>
      <w:bookmarkStart w:id="967" w:name="_Toc418061352"/>
      <w:r>
        <w:rPr>
          <w:rFonts w:hint="eastAsia" w:ascii="宋体" w:hAnsi="宋体" w:eastAsia="宋体" w:cs="宋体"/>
          <w:b/>
          <w:bCs/>
          <w:color w:val="auto"/>
          <w:kern w:val="44"/>
          <w:sz w:val="21"/>
          <w:szCs w:val="21"/>
          <w:highlight w:val="none"/>
          <w:lang w:val="en-US" w:eastAsia="zh-CN" w:bidi="ar-SA"/>
        </w:rPr>
        <w:t>1</w:t>
      </w:r>
      <w:bookmarkStart w:id="968" w:name="_Toc296503194"/>
      <w:bookmarkStart w:id="969" w:name="_Toc296944533"/>
      <w:bookmarkStart w:id="970" w:name="_Toc312678026"/>
      <w:bookmarkStart w:id="971" w:name="_Toc303539147"/>
      <w:bookmarkStart w:id="972" w:name="_Toc304295567"/>
      <w:bookmarkStart w:id="973" w:name="_Toc297048380"/>
      <w:bookmarkStart w:id="974" w:name="_Toc292559399"/>
      <w:bookmarkStart w:id="975" w:name="_Toc296891022"/>
      <w:bookmarkStart w:id="976" w:name="_Toc297120494"/>
      <w:bookmarkStart w:id="977" w:name="_Toc297216200"/>
      <w:bookmarkStart w:id="978" w:name="_Toc297123541"/>
      <w:bookmarkStart w:id="979" w:name="_Toc292559904"/>
      <w:bookmarkStart w:id="980" w:name="_Toc300934990"/>
      <w:bookmarkStart w:id="981" w:name="_Toc296347193"/>
      <w:bookmarkStart w:id="982" w:name="_Toc296346695"/>
      <w:bookmarkStart w:id="983" w:name="_Toc312677500"/>
      <w:bookmarkStart w:id="984" w:name="_Toc296891234"/>
      <w:r>
        <w:rPr>
          <w:rFonts w:hint="eastAsia" w:ascii="宋体" w:hAnsi="宋体" w:eastAsia="宋体" w:cs="宋体"/>
          <w:b/>
          <w:bCs/>
          <w:color w:val="auto"/>
          <w:kern w:val="44"/>
          <w:sz w:val="21"/>
          <w:szCs w:val="21"/>
          <w:highlight w:val="none"/>
          <w:lang w:val="en-US" w:eastAsia="zh-CN" w:bidi="ar-SA"/>
        </w:rPr>
        <w:t>0.1 变更的范围</w:t>
      </w:r>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p>
    <w:p w14:paraId="5DF47569">
      <w:pPr>
        <w:pStyle w:val="29"/>
        <w:spacing w:line="380" w:lineRule="exact"/>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关于变更的范围的约定：</w:t>
      </w:r>
      <w:r>
        <w:rPr>
          <w:rFonts w:hint="eastAsia" w:ascii="宋体" w:hAnsi="宋体" w:eastAsia="宋体" w:cs="宋体"/>
          <w:color w:val="auto"/>
          <w:szCs w:val="21"/>
          <w:highlight w:val="none"/>
          <w:u w:val="single"/>
        </w:rPr>
        <w:t>施工期间因不可预见因素或发包人要求所发生的工程量增减（由变更、签证产生），其工程量按实际发生并经监理工程师及发包人签证认可，工程变更综合单价按专用条款第10.4点规定执行</w:t>
      </w:r>
      <w:r>
        <w:rPr>
          <w:rFonts w:hint="eastAsia" w:ascii="宋体" w:hAnsi="宋体" w:eastAsia="宋体" w:cs="宋体"/>
          <w:color w:val="auto"/>
          <w:szCs w:val="21"/>
          <w:highlight w:val="none"/>
        </w:rPr>
        <w:t>。</w:t>
      </w:r>
      <w:bookmarkStart w:id="985" w:name="_Toc373478388"/>
      <w:bookmarkStart w:id="986" w:name="_Toc389065307"/>
      <w:bookmarkStart w:id="987" w:name="_Toc395382544"/>
      <w:bookmarkStart w:id="988" w:name="_Toc406522262"/>
      <w:bookmarkStart w:id="989" w:name="_Toc373227741"/>
    </w:p>
    <w:p w14:paraId="620E825A">
      <w:pPr>
        <w:keepNext/>
        <w:keepLines/>
        <w:widowControl w:val="0"/>
        <w:spacing w:line="380" w:lineRule="exact"/>
        <w:ind w:firstLine="422" w:firstLineChars="200"/>
        <w:jc w:val="both"/>
        <w:outlineLvl w:val="0"/>
        <w:rPr>
          <w:rFonts w:hint="eastAsia" w:ascii="宋体" w:hAnsi="宋体" w:eastAsia="宋体" w:cs="宋体"/>
          <w:b/>
          <w:bCs/>
          <w:color w:val="auto"/>
          <w:kern w:val="44"/>
          <w:sz w:val="21"/>
          <w:szCs w:val="21"/>
          <w:highlight w:val="none"/>
          <w:lang w:val="en-US" w:eastAsia="zh-CN" w:bidi="ar-SA"/>
        </w:rPr>
      </w:pPr>
      <w:bookmarkStart w:id="990" w:name="_Toc28037"/>
      <w:bookmarkStart w:id="991" w:name="_Toc256000220"/>
      <w:r>
        <w:rPr>
          <w:rFonts w:hint="eastAsia" w:ascii="宋体" w:hAnsi="宋体" w:eastAsia="宋体" w:cs="宋体"/>
          <w:b/>
          <w:bCs/>
          <w:color w:val="auto"/>
          <w:kern w:val="44"/>
          <w:sz w:val="21"/>
          <w:szCs w:val="21"/>
          <w:highlight w:val="none"/>
          <w:lang w:val="en-US" w:eastAsia="zh-CN" w:bidi="ar-SA"/>
        </w:rPr>
        <w:t>10.3 变更程序</w:t>
      </w:r>
      <w:bookmarkEnd w:id="985"/>
      <w:bookmarkEnd w:id="986"/>
      <w:bookmarkEnd w:id="987"/>
      <w:bookmarkEnd w:id="988"/>
      <w:bookmarkEnd w:id="989"/>
      <w:bookmarkEnd w:id="990"/>
      <w:bookmarkEnd w:id="991"/>
    </w:p>
    <w:p w14:paraId="5D65BB0C">
      <w:pPr>
        <w:pStyle w:val="29"/>
        <w:spacing w:line="380" w:lineRule="exact"/>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10.3.1 国有投资项目：</w:t>
      </w:r>
    </w:p>
    <w:p w14:paraId="248C6B5C">
      <w:pPr>
        <w:pStyle w:val="29"/>
        <w:spacing w:line="380" w:lineRule="exact"/>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⑴设计变更和工程签证，按各市政府或相关部门的规定办理。属不可抗力（自然灾害、突发事件等）造成变更的，按特事特办原则予以办理。</w:t>
      </w:r>
    </w:p>
    <w:p w14:paraId="0DBDF7E8">
      <w:pPr>
        <w:pStyle w:val="29"/>
        <w:spacing w:line="380" w:lineRule="exact"/>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⑵发包人在实施项目过程中，若发生单价变动，由发包人、监理单位、承包人及其他相关单位共同商定并签字确认。</w:t>
      </w:r>
    </w:p>
    <w:p w14:paraId="448A5E2C">
      <w:pPr>
        <w:pStyle w:val="29"/>
        <w:spacing w:line="380" w:lineRule="exact"/>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⑶ 当合同规定的合同价款调整情况发生后，承包人未在规定时间内通知发包人，或者未在规定时间内提出调整报告，发包人可以根据有关资料，决定是否调整和调整的金额，并书面通知承包人。</w:t>
      </w:r>
    </w:p>
    <w:p w14:paraId="2EFA8947">
      <w:pPr>
        <w:pStyle w:val="29"/>
        <w:spacing w:line="380" w:lineRule="exact"/>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10.3.2 非国有投资项目： 同通用条款。</w:t>
      </w:r>
    </w:p>
    <w:p w14:paraId="34672BFC">
      <w:pPr>
        <w:keepNext/>
        <w:keepLines/>
        <w:widowControl w:val="0"/>
        <w:spacing w:line="380" w:lineRule="exact"/>
        <w:ind w:firstLine="422" w:firstLineChars="200"/>
        <w:jc w:val="both"/>
        <w:outlineLvl w:val="0"/>
        <w:rPr>
          <w:rFonts w:hint="eastAsia" w:ascii="宋体" w:hAnsi="宋体" w:eastAsia="宋体" w:cs="宋体"/>
          <w:b/>
          <w:bCs/>
          <w:color w:val="auto"/>
          <w:kern w:val="44"/>
          <w:sz w:val="21"/>
          <w:szCs w:val="21"/>
          <w:highlight w:val="none"/>
          <w:lang w:val="en-US" w:eastAsia="zh-CN" w:bidi="ar-SA"/>
        </w:rPr>
      </w:pPr>
      <w:bookmarkStart w:id="992" w:name="_Toc389065308"/>
      <w:bookmarkStart w:id="993" w:name="_Toc418518389"/>
      <w:bookmarkStart w:id="994" w:name="_Toc418751839"/>
      <w:bookmarkStart w:id="995" w:name="_Toc418518153"/>
      <w:bookmarkStart w:id="996" w:name="_Toc497746824"/>
      <w:bookmarkStart w:id="997" w:name="_Toc373227742"/>
      <w:bookmarkStart w:id="998" w:name="_Toc256000221"/>
      <w:bookmarkStart w:id="999" w:name="_Toc7368"/>
      <w:bookmarkStart w:id="1000" w:name="_Toc497747221"/>
      <w:bookmarkStart w:id="1001" w:name="_Toc418752285"/>
      <w:bookmarkStart w:id="1002" w:name="_Toc522201770"/>
      <w:bookmarkStart w:id="1003" w:name="_Toc373478389"/>
      <w:bookmarkStart w:id="1004" w:name="_Toc403578977"/>
      <w:bookmarkStart w:id="1005" w:name="_Toc418061354"/>
      <w:r>
        <w:rPr>
          <w:rFonts w:hint="eastAsia" w:ascii="宋体" w:hAnsi="宋体" w:eastAsia="宋体" w:cs="宋体"/>
          <w:b/>
          <w:bCs/>
          <w:color w:val="auto"/>
          <w:kern w:val="44"/>
          <w:sz w:val="21"/>
          <w:szCs w:val="21"/>
          <w:highlight w:val="none"/>
          <w:lang w:val="en-US" w:eastAsia="zh-CN" w:bidi="ar-SA"/>
        </w:rPr>
        <w:t>10.4 变更估价</w:t>
      </w:r>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p>
    <w:p w14:paraId="76D0F6DC">
      <w:pPr>
        <w:pStyle w:val="29"/>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10.4.1 变更估价原则</w:t>
      </w:r>
    </w:p>
    <w:p w14:paraId="1B228AF8">
      <w:pPr>
        <w:pStyle w:val="29"/>
        <w:spacing w:line="380" w:lineRule="exact"/>
        <w:ind w:firstLine="426"/>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关于变更估价的约定: </w:t>
      </w:r>
      <w:r>
        <w:rPr>
          <w:rFonts w:hint="eastAsia" w:ascii="宋体" w:hAnsi="宋体" w:eastAsia="宋体" w:cs="宋体"/>
          <w:color w:val="auto"/>
          <w:szCs w:val="21"/>
          <w:highlight w:val="none"/>
          <w:u w:val="single"/>
        </w:rPr>
        <w:t>（1）、投标报价中已有适用于变更工程的综合单价，按已有的综合单价；（2）、投标报价中有类似变更工程的综合单价，可参照投标报价中类似的综合单价确定；（3）、投标报价中没有适用或类似于变更工程的综合单价，则有定额的套用定额计算，执行本工程编制招标控制价的参考依据，其中材料价格有信息价的按合同该新增子项实施期间《桂林市建设工程造价信息》中的平均价计取（信息价无相关信息的参照信息价中桂林市的平均价），无信息价时按市场价格共同协商初步确定；此类工程结算综合单价=按现行定额计算（管理费、利润取中值）的综合单价×中标下浮系数（中标人的投标</w:t>
      </w:r>
      <w:r>
        <w:rPr>
          <w:rFonts w:hint="eastAsia" w:ascii="宋体" w:hAnsi="宋体" w:eastAsia="宋体" w:cs="宋体"/>
          <w:color w:val="auto"/>
          <w:szCs w:val="21"/>
          <w:highlight w:val="none"/>
          <w:u w:val="single"/>
          <w:lang w:val="en-US"/>
        </w:rPr>
        <w:t>总</w:t>
      </w:r>
      <w:r>
        <w:rPr>
          <w:rFonts w:hint="eastAsia" w:ascii="宋体" w:hAnsi="宋体" w:eastAsia="宋体" w:cs="宋体"/>
          <w:color w:val="auto"/>
          <w:szCs w:val="21"/>
          <w:highlight w:val="none"/>
          <w:u w:val="single"/>
        </w:rPr>
        <w:t>价÷</w:t>
      </w:r>
      <w:r>
        <w:rPr>
          <w:rFonts w:hint="eastAsia" w:ascii="宋体" w:hAnsi="宋体" w:eastAsia="宋体" w:cs="宋体"/>
          <w:color w:val="auto"/>
          <w:szCs w:val="21"/>
          <w:highlight w:val="none"/>
          <w:u w:val="single"/>
          <w:lang w:val="en-US"/>
        </w:rPr>
        <w:t>采购</w:t>
      </w:r>
      <w:r>
        <w:rPr>
          <w:rFonts w:hint="eastAsia" w:ascii="宋体" w:hAnsi="宋体" w:eastAsia="宋体" w:cs="宋体"/>
          <w:color w:val="auto"/>
          <w:szCs w:val="21"/>
          <w:highlight w:val="none"/>
          <w:u w:val="single"/>
        </w:rPr>
        <w:t>预算价），新增项目无定额可套用时，由发包人、承包人及监理三方共同协商初步确定，最终以</w:t>
      </w:r>
      <w:r>
        <w:rPr>
          <w:rFonts w:hint="eastAsia" w:ascii="宋体" w:hAnsi="宋体" w:eastAsia="宋体" w:cs="宋体"/>
          <w:highlight w:val="none"/>
          <w:lang w:val="en-US" w:eastAsia="zh-CN"/>
        </w:rPr>
        <w:t>桂林市财政局</w:t>
      </w:r>
      <w:r>
        <w:rPr>
          <w:rFonts w:hint="eastAsia" w:ascii="宋体" w:hAnsi="宋体" w:eastAsia="宋体" w:cs="宋体"/>
          <w:color w:val="auto"/>
          <w:szCs w:val="21"/>
          <w:highlight w:val="none"/>
          <w:u w:val="single"/>
        </w:rPr>
        <w:t>审定或审计单位审定并经发包人及承包人双方确认的金额为准。（4）若发包人和监理人认为有关的工作不能以实物工程量的方法计算及估值时，则按以下的方法计算：若工程量清单中有计日工价目表，则以计日工价目表中相应的项目计价；若计日工作价目表中无类似项目，则按三方协商的价格估值。附带条件为，承包人须提交每天用于该项工作的时间的记录、相关工人的姓名及经发包人、监理人复核的所用物料的清单。上述数据须于该项工作执行后的一星期内提交给发包人及监理人。（5）暂定价调整方法为：暂定材料价格部分仅调整合同实施期间材料市场价与暂定价之间的材差并计相应的规费和增值税，投标书中相应的综合单价不再调整。专业工程暂估价的确定方法：由承包人申报单价，发包人组织监理人、造价审核机构共同询价确定。如发包人认为材料暂估价及专业工程暂估价需要进行市场询价的，应以询价小组（询价小组由发包人、承包人、监理人组成）调查确认的单价为准。（6）无约定的参照我区现行《建设工程工程量清单计价规范》及配套定额相关规定执行。（7） 本工程最终结算以</w:t>
      </w:r>
      <w:r>
        <w:rPr>
          <w:rFonts w:hint="eastAsia" w:ascii="宋体" w:hAnsi="宋体" w:eastAsia="宋体" w:cs="宋体"/>
          <w:highlight w:val="none"/>
          <w:lang w:val="en-US" w:eastAsia="zh-CN"/>
        </w:rPr>
        <w:t>桂林市财政局</w:t>
      </w:r>
      <w:r>
        <w:rPr>
          <w:rFonts w:hint="eastAsia" w:ascii="宋体" w:hAnsi="宋体" w:eastAsia="宋体" w:cs="宋体"/>
          <w:color w:val="auto"/>
          <w:szCs w:val="21"/>
          <w:highlight w:val="none"/>
          <w:u w:val="single"/>
        </w:rPr>
        <w:t>或发包人委托的造价咨询机构审定并经发包人及承包人双方确认的金额为准。</w:t>
      </w:r>
    </w:p>
    <w:p w14:paraId="62E79F49">
      <w:pPr>
        <w:keepNext/>
        <w:keepLines/>
        <w:widowControl w:val="0"/>
        <w:spacing w:line="380" w:lineRule="exact"/>
        <w:ind w:firstLine="422" w:firstLineChars="200"/>
        <w:jc w:val="both"/>
        <w:outlineLvl w:val="0"/>
        <w:rPr>
          <w:rFonts w:hint="eastAsia" w:ascii="宋体" w:hAnsi="宋体" w:eastAsia="宋体" w:cs="宋体"/>
          <w:b/>
          <w:bCs/>
          <w:color w:val="auto"/>
          <w:kern w:val="44"/>
          <w:sz w:val="21"/>
          <w:szCs w:val="21"/>
          <w:highlight w:val="none"/>
          <w:lang w:val="en-US" w:eastAsia="zh-CN" w:bidi="ar-SA"/>
        </w:rPr>
      </w:pPr>
      <w:bookmarkStart w:id="1006" w:name="_Toc418751840"/>
      <w:bookmarkStart w:id="1007" w:name="_Toc418518154"/>
      <w:bookmarkStart w:id="1008" w:name="_Toc15374"/>
      <w:bookmarkStart w:id="1009" w:name="_Toc373227743"/>
      <w:bookmarkStart w:id="1010" w:name="_Toc389065309"/>
      <w:bookmarkStart w:id="1011" w:name="_Toc418752286"/>
      <w:bookmarkStart w:id="1012" w:name="_Toc522201771"/>
      <w:bookmarkStart w:id="1013" w:name="_Toc256000222"/>
      <w:bookmarkStart w:id="1014" w:name="_Toc403578978"/>
      <w:bookmarkStart w:id="1015" w:name="_Toc497747222"/>
      <w:bookmarkStart w:id="1016" w:name="_Toc418061355"/>
      <w:bookmarkStart w:id="1017" w:name="_Toc373478390"/>
      <w:bookmarkStart w:id="1018" w:name="_Toc497746825"/>
      <w:bookmarkStart w:id="1019" w:name="_Toc418518390"/>
      <w:r>
        <w:rPr>
          <w:rFonts w:hint="eastAsia" w:ascii="宋体" w:hAnsi="宋体" w:eastAsia="宋体" w:cs="宋体"/>
          <w:b/>
          <w:bCs/>
          <w:color w:val="auto"/>
          <w:kern w:val="44"/>
          <w:sz w:val="21"/>
          <w:szCs w:val="21"/>
          <w:highlight w:val="none"/>
          <w:lang w:val="en-US" w:eastAsia="zh-CN" w:bidi="ar-SA"/>
        </w:rPr>
        <w:t>1</w:t>
      </w:r>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Start w:id="1020" w:name="_Toc296891025"/>
      <w:bookmarkStart w:id="1021" w:name="_Toc297120497"/>
      <w:bookmarkStart w:id="1022" w:name="_Toc296347196"/>
      <w:bookmarkStart w:id="1023" w:name="_Toc296503197"/>
      <w:bookmarkStart w:id="1024" w:name="_Toc297216203"/>
      <w:bookmarkStart w:id="1025" w:name="_Toc303539150"/>
      <w:bookmarkStart w:id="1026" w:name="_Toc297048383"/>
      <w:bookmarkStart w:id="1027" w:name="_Toc296891237"/>
      <w:bookmarkStart w:id="1028" w:name="_Toc296944536"/>
      <w:bookmarkStart w:id="1029" w:name="_Toc297123544"/>
      <w:bookmarkStart w:id="1030" w:name="_Toc300934993"/>
      <w:bookmarkStart w:id="1031" w:name="_Toc296346698"/>
      <w:bookmarkStart w:id="1032" w:name="_Toc292559402"/>
      <w:bookmarkStart w:id="1033" w:name="_Toc292559907"/>
      <w:bookmarkStart w:id="1034" w:name="_Toc312678029"/>
      <w:bookmarkStart w:id="1035" w:name="_Toc312677503"/>
      <w:bookmarkStart w:id="1036" w:name="_Toc304295570"/>
      <w:r>
        <w:rPr>
          <w:rFonts w:hint="eastAsia" w:ascii="宋体" w:hAnsi="宋体" w:eastAsia="宋体" w:cs="宋体"/>
          <w:b/>
          <w:bCs/>
          <w:color w:val="auto"/>
          <w:kern w:val="44"/>
          <w:sz w:val="21"/>
          <w:szCs w:val="21"/>
          <w:highlight w:val="none"/>
          <w:lang w:val="en-US" w:eastAsia="zh-CN" w:bidi="ar-SA"/>
        </w:rPr>
        <w:t>0.5 承</w:t>
      </w:r>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Start w:id="1037" w:name="_Toc296503203"/>
      <w:bookmarkStart w:id="1038" w:name="_Toc296944542"/>
      <w:bookmarkStart w:id="1039" w:name="_Toc296346704"/>
      <w:bookmarkStart w:id="1040" w:name="_Toc297120503"/>
      <w:bookmarkStart w:id="1041" w:name="_Toc296347202"/>
      <w:bookmarkStart w:id="1042" w:name="_Toc292559408"/>
      <w:bookmarkStart w:id="1043" w:name="_Toc296891031"/>
      <w:bookmarkStart w:id="1044" w:name="_Toc296891243"/>
      <w:bookmarkStart w:id="1045" w:name="_Toc297048389"/>
      <w:bookmarkStart w:id="1046" w:name="_Toc300934994"/>
      <w:bookmarkStart w:id="1047" w:name="_Toc292559913"/>
      <w:bookmarkStart w:id="1048" w:name="_Toc297123545"/>
      <w:bookmarkStart w:id="1049" w:name="_Toc303539151"/>
      <w:bookmarkStart w:id="1050" w:name="_Toc297216204"/>
      <w:r>
        <w:rPr>
          <w:rFonts w:hint="eastAsia" w:ascii="宋体" w:hAnsi="宋体" w:eastAsia="宋体" w:cs="宋体"/>
          <w:b/>
          <w:bCs/>
          <w:color w:val="auto"/>
          <w:kern w:val="44"/>
          <w:sz w:val="21"/>
          <w:szCs w:val="21"/>
          <w:highlight w:val="none"/>
          <w:lang w:val="en-US" w:eastAsia="zh-CN" w:bidi="ar-SA"/>
        </w:rPr>
        <w:t>包人的合理化建议</w:t>
      </w:r>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p>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p w14:paraId="54A32BFD">
      <w:pPr>
        <w:pStyle w:val="29"/>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监理人审查承包人合理化建议的期限：</w:t>
      </w:r>
      <w:r>
        <w:rPr>
          <w:rFonts w:hint="eastAsia" w:ascii="宋体" w:hAnsi="宋体" w:eastAsia="宋体" w:cs="宋体"/>
          <w:color w:val="auto"/>
          <w:szCs w:val="21"/>
          <w:highlight w:val="none"/>
          <w:u w:val="single"/>
        </w:rPr>
        <w:t>监理人应在收到承包人提交的合理化建议后7天内审查完毕并报送发包人，发现其中存在技术上的缺陷，应通知承包人修改</w:t>
      </w:r>
      <w:r>
        <w:rPr>
          <w:rFonts w:hint="eastAsia" w:ascii="宋体" w:hAnsi="宋体" w:eastAsia="宋体" w:cs="宋体"/>
          <w:color w:val="auto"/>
          <w:szCs w:val="21"/>
          <w:highlight w:val="none"/>
        </w:rPr>
        <w:t>。</w:t>
      </w:r>
    </w:p>
    <w:p w14:paraId="1EFBDB6F">
      <w:pPr>
        <w:pStyle w:val="29"/>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发包人审批承包人合理化建议的期限：</w:t>
      </w:r>
      <w:r>
        <w:rPr>
          <w:rFonts w:hint="eastAsia" w:ascii="宋体" w:hAnsi="宋体" w:eastAsia="宋体" w:cs="宋体"/>
          <w:color w:val="auto"/>
          <w:szCs w:val="21"/>
          <w:highlight w:val="none"/>
          <w:u w:val="single"/>
        </w:rPr>
        <w:t>发包人应在收到监理人报送的合理化建议后7天内审批完毕</w:t>
      </w:r>
      <w:r>
        <w:rPr>
          <w:rFonts w:hint="eastAsia" w:ascii="宋体" w:hAnsi="宋体" w:eastAsia="宋体" w:cs="宋体"/>
          <w:color w:val="auto"/>
          <w:szCs w:val="21"/>
          <w:highlight w:val="none"/>
        </w:rPr>
        <w:t>。</w:t>
      </w:r>
    </w:p>
    <w:p w14:paraId="2CEF08F2">
      <w:pPr>
        <w:pStyle w:val="29"/>
        <w:spacing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承</w:t>
      </w:r>
      <w:bookmarkStart w:id="1051" w:name="_Toc292559914"/>
      <w:bookmarkStart w:id="1052" w:name="_Toc312677504"/>
      <w:bookmarkStart w:id="1053" w:name="_Toc312678030"/>
      <w:bookmarkStart w:id="1054" w:name="_Toc318581175"/>
      <w:bookmarkStart w:id="1055" w:name="_Toc296503204"/>
      <w:bookmarkStart w:id="1056" w:name="_Toc297216205"/>
      <w:bookmarkStart w:id="1057" w:name="_Toc304295571"/>
      <w:bookmarkStart w:id="1058" w:name="_Toc300934995"/>
      <w:bookmarkStart w:id="1059" w:name="_Toc292559409"/>
      <w:bookmarkStart w:id="1060" w:name="_Toc296891244"/>
      <w:bookmarkStart w:id="1061" w:name="_Toc296347203"/>
      <w:bookmarkStart w:id="1062" w:name="_Toc296944543"/>
      <w:bookmarkStart w:id="1063" w:name="_Toc303539152"/>
      <w:bookmarkStart w:id="1064" w:name="_Toc297048390"/>
      <w:bookmarkStart w:id="1065" w:name="_Toc297120504"/>
      <w:bookmarkStart w:id="1066" w:name="_Toc297123546"/>
      <w:bookmarkStart w:id="1067" w:name="_Toc296891032"/>
      <w:bookmarkStart w:id="1068" w:name="_Toc296346705"/>
      <w:r>
        <w:rPr>
          <w:rFonts w:hint="eastAsia" w:ascii="宋体" w:hAnsi="宋体" w:eastAsia="宋体" w:cs="宋体"/>
          <w:color w:val="auto"/>
          <w:szCs w:val="21"/>
          <w:highlight w:val="none"/>
        </w:rPr>
        <w:t>包人提出的合理化建议降低了合同价格或者提高了工程经济效益的奖励的方法和金额为：</w:t>
      </w:r>
      <w:r>
        <w:rPr>
          <w:rFonts w:hint="eastAsia" w:ascii="宋体" w:hAnsi="宋体" w:eastAsia="宋体" w:cs="宋体"/>
          <w:color w:val="auto"/>
          <w:szCs w:val="21"/>
          <w:highlight w:val="none"/>
          <w:u w:val="single"/>
        </w:rPr>
        <w:t xml:space="preserve"> 无 </w:t>
      </w:r>
      <w:r>
        <w:rPr>
          <w:rFonts w:hint="eastAsia" w:ascii="宋体" w:hAnsi="宋体" w:eastAsia="宋体" w:cs="宋体"/>
          <w:color w:val="auto"/>
          <w:szCs w:val="21"/>
          <w:highlight w:val="none"/>
        </w:rPr>
        <w:t>。</w:t>
      </w:r>
    </w:p>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p w14:paraId="2ABBDB02">
      <w:pPr>
        <w:keepNext/>
        <w:keepLines/>
        <w:widowControl w:val="0"/>
        <w:spacing w:line="380" w:lineRule="exact"/>
        <w:ind w:firstLine="422" w:firstLineChars="200"/>
        <w:jc w:val="both"/>
        <w:outlineLvl w:val="0"/>
        <w:rPr>
          <w:rFonts w:hint="eastAsia" w:ascii="宋体" w:hAnsi="宋体" w:eastAsia="宋体" w:cs="宋体"/>
          <w:b/>
          <w:bCs/>
          <w:color w:val="auto"/>
          <w:kern w:val="44"/>
          <w:sz w:val="21"/>
          <w:szCs w:val="21"/>
          <w:highlight w:val="none"/>
          <w:lang w:val="en-US" w:eastAsia="zh-CN" w:bidi="ar-SA"/>
        </w:rPr>
      </w:pPr>
      <w:bookmarkStart w:id="1069" w:name="_Toc418061356"/>
      <w:bookmarkStart w:id="1070" w:name="_Toc256000223"/>
      <w:bookmarkStart w:id="1071" w:name="_Toc13246"/>
      <w:bookmarkStart w:id="1072" w:name="_Toc418518155"/>
      <w:bookmarkStart w:id="1073" w:name="_Toc497747223"/>
      <w:bookmarkStart w:id="1074" w:name="_Toc373227744"/>
      <w:bookmarkStart w:id="1075" w:name="_Toc418751841"/>
      <w:bookmarkStart w:id="1076" w:name="_Toc418752287"/>
      <w:bookmarkStart w:id="1077" w:name="_Toc403578979"/>
      <w:bookmarkStart w:id="1078" w:name="_Toc373478391"/>
      <w:bookmarkStart w:id="1079" w:name="_Toc418518391"/>
      <w:bookmarkStart w:id="1080" w:name="_Toc497746826"/>
      <w:bookmarkStart w:id="1081" w:name="_Toc522201772"/>
      <w:bookmarkStart w:id="1082" w:name="_Toc389065310"/>
      <w:r>
        <w:rPr>
          <w:rFonts w:hint="eastAsia" w:ascii="宋体" w:hAnsi="宋体" w:eastAsia="宋体" w:cs="宋体"/>
          <w:b/>
          <w:bCs/>
          <w:color w:val="auto"/>
          <w:kern w:val="44"/>
          <w:sz w:val="21"/>
          <w:szCs w:val="21"/>
          <w:highlight w:val="none"/>
          <w:lang w:val="en-US" w:eastAsia="zh-CN" w:bidi="ar-SA"/>
        </w:rPr>
        <w:t>1</w:t>
      </w:r>
      <w:bookmarkStart w:id="1083" w:name="_Toc296891239"/>
      <w:bookmarkStart w:id="1084" w:name="_Toc296346700"/>
      <w:bookmarkStart w:id="1085" w:name="_Toc292559404"/>
      <w:bookmarkStart w:id="1086" w:name="_Toc297048385"/>
      <w:bookmarkStart w:id="1087" w:name="_Toc312678033"/>
      <w:bookmarkStart w:id="1088" w:name="_Toc303539154"/>
      <w:bookmarkStart w:id="1089" w:name="_Toc304295574"/>
      <w:bookmarkStart w:id="1090" w:name="_Toc297216207"/>
      <w:bookmarkStart w:id="1091" w:name="_Toc296347198"/>
      <w:bookmarkStart w:id="1092" w:name="_Toc297123548"/>
      <w:bookmarkStart w:id="1093" w:name="_Toc297120499"/>
      <w:bookmarkStart w:id="1094" w:name="_Toc296503199"/>
      <w:bookmarkStart w:id="1095" w:name="_Toc296891027"/>
      <w:bookmarkStart w:id="1096" w:name="_Toc292559909"/>
      <w:bookmarkStart w:id="1097" w:name="_Toc312677507"/>
      <w:bookmarkStart w:id="1098" w:name="_Toc296944538"/>
      <w:bookmarkStart w:id="1099" w:name="_Toc300934997"/>
      <w:r>
        <w:rPr>
          <w:rFonts w:hint="eastAsia" w:ascii="宋体" w:hAnsi="宋体" w:eastAsia="宋体" w:cs="宋体"/>
          <w:b/>
          <w:bCs/>
          <w:color w:val="auto"/>
          <w:kern w:val="44"/>
          <w:sz w:val="21"/>
          <w:szCs w:val="21"/>
          <w:highlight w:val="none"/>
          <w:lang w:val="en-US" w:eastAsia="zh-CN" w:bidi="ar-SA"/>
        </w:rPr>
        <w:t>0.7 暂估价</w:t>
      </w:r>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p>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p w14:paraId="6F156CB9">
      <w:pPr>
        <w:pStyle w:val="29"/>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暂</w:t>
      </w:r>
      <w:bookmarkStart w:id="1100" w:name="_Toc312677508"/>
      <w:bookmarkStart w:id="1101" w:name="_Toc312678034"/>
      <w:bookmarkStart w:id="1102" w:name="_Toc318581176"/>
      <w:r>
        <w:rPr>
          <w:rFonts w:hint="eastAsia" w:ascii="宋体" w:hAnsi="宋体" w:eastAsia="宋体" w:cs="宋体"/>
          <w:color w:val="auto"/>
          <w:kern w:val="0"/>
          <w:szCs w:val="21"/>
          <w:highlight w:val="none"/>
        </w:rPr>
        <w:t>估价材料和工程设备的明细详见已标价工程量清单《</w:t>
      </w:r>
      <w:r>
        <w:rPr>
          <w:rFonts w:hint="eastAsia" w:ascii="宋体" w:hAnsi="宋体" w:eastAsia="宋体" w:cs="宋体"/>
          <w:color w:val="auto"/>
          <w:szCs w:val="21"/>
          <w:highlight w:val="none"/>
        </w:rPr>
        <w:t>材料（工程设备）暂估价格及调整表》</w:t>
      </w:r>
      <w:r>
        <w:rPr>
          <w:rFonts w:hint="eastAsia" w:ascii="宋体" w:hAnsi="宋体" w:eastAsia="宋体" w:cs="宋体"/>
          <w:color w:val="auto"/>
          <w:kern w:val="0"/>
          <w:szCs w:val="21"/>
          <w:highlight w:val="none"/>
        </w:rPr>
        <w:t>（表12-2）和《</w:t>
      </w:r>
      <w:r>
        <w:rPr>
          <w:rFonts w:hint="eastAsia" w:ascii="宋体" w:hAnsi="宋体" w:eastAsia="宋体" w:cs="宋体"/>
          <w:color w:val="auto"/>
          <w:szCs w:val="21"/>
          <w:highlight w:val="none"/>
        </w:rPr>
        <w:t>专业工程暂估价表》（</w:t>
      </w:r>
      <w:r>
        <w:rPr>
          <w:rFonts w:hint="eastAsia" w:ascii="宋体" w:hAnsi="宋体" w:eastAsia="宋体" w:cs="宋体"/>
          <w:color w:val="auto"/>
          <w:kern w:val="0"/>
          <w:szCs w:val="21"/>
          <w:highlight w:val="none"/>
        </w:rPr>
        <w:t>表12-3）。</w:t>
      </w:r>
    </w:p>
    <w:bookmarkEnd w:id="1100"/>
    <w:bookmarkEnd w:id="1101"/>
    <w:bookmarkEnd w:id="1102"/>
    <w:p w14:paraId="0346998A">
      <w:pPr>
        <w:pStyle w:val="29"/>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bookmarkStart w:id="1103" w:name="_Toc312677509"/>
      <w:bookmarkStart w:id="1104" w:name="_Toc312678035"/>
      <w:bookmarkStart w:id="1105" w:name="_Toc318581177"/>
      <w:r>
        <w:rPr>
          <w:rFonts w:hint="eastAsia" w:ascii="宋体" w:hAnsi="宋体" w:eastAsia="宋体" w:cs="宋体"/>
          <w:color w:val="auto"/>
          <w:szCs w:val="21"/>
          <w:highlight w:val="none"/>
        </w:rPr>
        <w:t>0.7.1 依法必须招标的暂估价项目</w:t>
      </w:r>
    </w:p>
    <w:bookmarkEnd w:id="1103"/>
    <w:bookmarkEnd w:id="1104"/>
    <w:bookmarkEnd w:id="1105"/>
    <w:p w14:paraId="5A0559A0">
      <w:pPr>
        <w:pStyle w:val="29"/>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对于依法必须招标的暂估价项目的确认和批准采取第</w:t>
      </w:r>
      <w:r>
        <w:rPr>
          <w:rFonts w:hint="eastAsia" w:ascii="宋体" w:hAnsi="宋体" w:eastAsia="宋体" w:cs="宋体"/>
          <w:color w:val="auto"/>
          <w:szCs w:val="21"/>
          <w:highlight w:val="none"/>
          <w:u w:val="single"/>
        </w:rPr>
        <w:t xml:space="preserve">  2  </w:t>
      </w:r>
      <w:r>
        <w:rPr>
          <w:rFonts w:hint="eastAsia" w:ascii="宋体" w:hAnsi="宋体" w:eastAsia="宋体" w:cs="宋体"/>
          <w:color w:val="auto"/>
          <w:szCs w:val="21"/>
          <w:highlight w:val="none"/>
        </w:rPr>
        <w:t>种方式确定。</w:t>
      </w:r>
    </w:p>
    <w:p w14:paraId="6117D50A">
      <w:pPr>
        <w:pStyle w:val="29"/>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10.7.2 不属于依法必须招标的暂估价项目</w:t>
      </w:r>
    </w:p>
    <w:p w14:paraId="0126531E">
      <w:pPr>
        <w:pStyle w:val="29"/>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对于不属于依法必须招标的暂估价项目的确认和批准采取第</w:t>
      </w:r>
      <w:r>
        <w:rPr>
          <w:rFonts w:hint="eastAsia" w:ascii="宋体" w:hAnsi="宋体" w:eastAsia="宋体" w:cs="宋体"/>
          <w:color w:val="auto"/>
          <w:szCs w:val="21"/>
          <w:highlight w:val="none"/>
          <w:u w:val="single"/>
        </w:rPr>
        <w:t xml:space="preserve"> 1 </w:t>
      </w:r>
      <w:r>
        <w:rPr>
          <w:rFonts w:hint="eastAsia" w:ascii="宋体" w:hAnsi="宋体" w:eastAsia="宋体" w:cs="宋体"/>
          <w:color w:val="auto"/>
          <w:szCs w:val="21"/>
          <w:highlight w:val="none"/>
        </w:rPr>
        <w:t xml:space="preserve"> 种方式确定。</w:t>
      </w:r>
    </w:p>
    <w:p w14:paraId="1C87E25F">
      <w:pPr>
        <w:pStyle w:val="29"/>
        <w:spacing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第3种方式：</w:t>
      </w:r>
      <w:r>
        <w:rPr>
          <w:rFonts w:hint="eastAsia" w:ascii="宋体" w:hAnsi="宋体" w:eastAsia="宋体" w:cs="宋体"/>
          <w:color w:val="auto"/>
          <w:kern w:val="0"/>
          <w:szCs w:val="21"/>
          <w:highlight w:val="none"/>
        </w:rPr>
        <w:t>承包人直接实施的暂估价项目</w:t>
      </w:r>
    </w:p>
    <w:p w14:paraId="298C44C5">
      <w:pPr>
        <w:pStyle w:val="29"/>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承包人直接实施的暂估价项目的约定：</w:t>
      </w:r>
      <w:r>
        <w:rPr>
          <w:rFonts w:hint="eastAsia" w:ascii="宋体" w:hAnsi="宋体" w:eastAsia="宋体" w:cs="宋体"/>
          <w:color w:val="auto"/>
          <w:szCs w:val="21"/>
          <w:highlight w:val="none"/>
          <w:u w:val="single"/>
        </w:rPr>
        <w:t xml:space="preserve"> 无 </w:t>
      </w:r>
      <w:r>
        <w:rPr>
          <w:rFonts w:hint="eastAsia" w:ascii="宋体" w:hAnsi="宋体" w:eastAsia="宋体" w:cs="宋体"/>
          <w:color w:val="auto"/>
          <w:szCs w:val="21"/>
          <w:highlight w:val="none"/>
        </w:rPr>
        <w:t>。</w:t>
      </w:r>
    </w:p>
    <w:p w14:paraId="30CB0277">
      <w:pPr>
        <w:keepNext/>
        <w:keepLines/>
        <w:widowControl w:val="0"/>
        <w:spacing w:line="380" w:lineRule="exact"/>
        <w:ind w:firstLine="422" w:firstLineChars="200"/>
        <w:jc w:val="both"/>
        <w:outlineLvl w:val="0"/>
        <w:rPr>
          <w:rFonts w:hint="eastAsia" w:ascii="宋体" w:hAnsi="宋体" w:eastAsia="宋体" w:cs="宋体"/>
          <w:b/>
          <w:bCs/>
          <w:color w:val="auto"/>
          <w:kern w:val="44"/>
          <w:sz w:val="21"/>
          <w:szCs w:val="21"/>
          <w:highlight w:val="none"/>
          <w:lang w:val="en-US" w:eastAsia="zh-CN" w:bidi="ar-SA"/>
        </w:rPr>
      </w:pPr>
      <w:bookmarkStart w:id="1106" w:name="_Toc522201773"/>
      <w:bookmarkStart w:id="1107" w:name="_Toc497747224"/>
      <w:bookmarkStart w:id="1108" w:name="_Toc373478392"/>
      <w:bookmarkStart w:id="1109" w:name="_Toc418518392"/>
      <w:bookmarkStart w:id="1110" w:name="_Toc30231"/>
      <w:bookmarkStart w:id="1111" w:name="_Toc497746827"/>
      <w:bookmarkStart w:id="1112" w:name="_Toc403578980"/>
      <w:bookmarkStart w:id="1113" w:name="_Toc418061357"/>
      <w:bookmarkStart w:id="1114" w:name="_Toc418518156"/>
      <w:bookmarkStart w:id="1115" w:name="_Toc256000224"/>
      <w:bookmarkStart w:id="1116" w:name="_Toc418752288"/>
      <w:bookmarkStart w:id="1117" w:name="_Toc418751842"/>
      <w:bookmarkStart w:id="1118" w:name="_Toc389065311"/>
      <w:bookmarkStart w:id="1119" w:name="_Toc373227745"/>
      <w:r>
        <w:rPr>
          <w:rFonts w:hint="eastAsia" w:ascii="宋体" w:hAnsi="宋体" w:eastAsia="宋体" w:cs="宋体"/>
          <w:b/>
          <w:bCs/>
          <w:color w:val="auto"/>
          <w:kern w:val="44"/>
          <w:sz w:val="21"/>
          <w:szCs w:val="21"/>
          <w:highlight w:val="none"/>
          <w:lang w:val="en-US" w:eastAsia="zh-CN" w:bidi="ar-SA"/>
        </w:rPr>
        <w:t>10.8 暂列金额</w:t>
      </w:r>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p>
    <w:p w14:paraId="40ECCF0E">
      <w:pPr>
        <w:pStyle w:val="29"/>
        <w:autoSpaceDE w:val="0"/>
        <w:autoSpaceDN w:val="0"/>
        <w:adjustRightInd w:val="0"/>
        <w:spacing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rPr>
        <w:t>合同当事人关于暂列金额使用的约定：</w:t>
      </w:r>
      <w:r>
        <w:rPr>
          <w:rFonts w:hint="eastAsia" w:ascii="宋体" w:hAnsi="宋体" w:eastAsia="宋体" w:cs="宋体"/>
          <w:color w:val="auto"/>
          <w:szCs w:val="21"/>
          <w:highlight w:val="none"/>
          <w:u w:val="single"/>
        </w:rPr>
        <w:t xml:space="preserve">（1）已签约合同价中的暂列金额由发包人掌握使用。（2）发包人按照规定所作支付后，暂列金额如有余额归发包人 </w:t>
      </w:r>
      <w:r>
        <w:rPr>
          <w:rFonts w:hint="eastAsia" w:ascii="宋体" w:hAnsi="宋体" w:eastAsia="宋体" w:cs="宋体"/>
          <w:color w:val="auto"/>
          <w:kern w:val="0"/>
          <w:szCs w:val="21"/>
          <w:highlight w:val="none"/>
        </w:rPr>
        <w:t>。</w:t>
      </w:r>
    </w:p>
    <w:p w14:paraId="65A74B9D">
      <w:pPr>
        <w:keepNext/>
        <w:keepLines/>
        <w:widowControl w:val="0"/>
        <w:spacing w:line="380" w:lineRule="exact"/>
        <w:jc w:val="both"/>
        <w:outlineLvl w:val="0"/>
        <w:rPr>
          <w:rFonts w:hint="eastAsia" w:ascii="宋体" w:hAnsi="宋体" w:eastAsia="宋体" w:cs="宋体"/>
          <w:b/>
          <w:bCs/>
          <w:color w:val="auto"/>
          <w:kern w:val="44"/>
          <w:sz w:val="21"/>
          <w:szCs w:val="21"/>
          <w:highlight w:val="none"/>
          <w:lang w:val="en-US" w:eastAsia="zh-CN" w:bidi="ar-SA"/>
        </w:rPr>
      </w:pPr>
      <w:bookmarkStart w:id="1120" w:name="_Toc497746828"/>
      <w:bookmarkStart w:id="1121" w:name="_Toc522201774"/>
      <w:bookmarkStart w:id="1122" w:name="_Toc497747225"/>
      <w:bookmarkStart w:id="1123" w:name="_Toc418751843"/>
      <w:bookmarkStart w:id="1124" w:name="_Toc418518393"/>
      <w:bookmarkStart w:id="1125" w:name="_Toc403578981"/>
      <w:bookmarkStart w:id="1126" w:name="_Toc256000225"/>
      <w:bookmarkStart w:id="1127" w:name="_Toc351203643"/>
      <w:bookmarkStart w:id="1128" w:name="_Toc418518157"/>
      <w:bookmarkStart w:id="1129" w:name="_Toc373478393"/>
      <w:bookmarkStart w:id="1130" w:name="_Toc29950"/>
      <w:bookmarkStart w:id="1131" w:name="_Toc418752289"/>
      <w:bookmarkStart w:id="1132" w:name="_Toc389065312"/>
      <w:bookmarkStart w:id="1133" w:name="_Toc373227746"/>
      <w:bookmarkStart w:id="1134" w:name="_Toc418061358"/>
      <w:r>
        <w:rPr>
          <w:rFonts w:hint="eastAsia" w:ascii="宋体" w:hAnsi="宋体" w:eastAsia="宋体" w:cs="宋体"/>
          <w:b/>
          <w:bCs/>
          <w:color w:val="auto"/>
          <w:kern w:val="44"/>
          <w:sz w:val="21"/>
          <w:szCs w:val="21"/>
          <w:highlight w:val="none"/>
          <w:lang w:val="en-US" w:eastAsia="zh-CN" w:bidi="ar-SA"/>
        </w:rPr>
        <w:t>11. 价格调整</w:t>
      </w:r>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p>
    <w:p w14:paraId="45AB748A">
      <w:pPr>
        <w:keepNext/>
        <w:keepLines/>
        <w:widowControl w:val="0"/>
        <w:spacing w:line="380" w:lineRule="exact"/>
        <w:ind w:firstLine="422" w:firstLineChars="200"/>
        <w:jc w:val="both"/>
        <w:outlineLvl w:val="0"/>
        <w:rPr>
          <w:rFonts w:hint="eastAsia" w:ascii="宋体" w:hAnsi="宋体" w:eastAsia="宋体" w:cs="宋体"/>
          <w:b/>
          <w:bCs/>
          <w:color w:val="auto"/>
          <w:kern w:val="44"/>
          <w:sz w:val="21"/>
          <w:szCs w:val="21"/>
          <w:highlight w:val="none"/>
          <w:lang w:val="en-US" w:eastAsia="zh-CN" w:bidi="ar-SA"/>
        </w:rPr>
      </w:pPr>
      <w:bookmarkStart w:id="1135" w:name="_Toc418751844"/>
      <w:bookmarkStart w:id="1136" w:name="_Toc418752290"/>
      <w:bookmarkStart w:id="1137" w:name="_Toc522201775"/>
      <w:bookmarkStart w:id="1138" w:name="_Toc389065313"/>
      <w:bookmarkStart w:id="1139" w:name="_Toc8169"/>
      <w:bookmarkStart w:id="1140" w:name="_Toc418518158"/>
      <w:bookmarkStart w:id="1141" w:name="_Toc418061359"/>
      <w:bookmarkStart w:id="1142" w:name="_Toc418518394"/>
      <w:bookmarkStart w:id="1143" w:name="_Toc497746829"/>
      <w:bookmarkStart w:id="1144" w:name="_Toc256000226"/>
      <w:bookmarkStart w:id="1145" w:name="_Toc497747226"/>
      <w:bookmarkStart w:id="1146" w:name="_Toc373227747"/>
      <w:bookmarkStart w:id="1147" w:name="_Toc403578982"/>
      <w:bookmarkStart w:id="1148" w:name="_Toc373478394"/>
      <w:bookmarkStart w:id="1149" w:name="_Toc297123550"/>
      <w:bookmarkStart w:id="1150" w:name="_Toc296347200"/>
      <w:bookmarkStart w:id="1151" w:name="_Toc296944540"/>
      <w:bookmarkStart w:id="1152" w:name="_Toc292559406"/>
      <w:bookmarkStart w:id="1153" w:name="_Toc304295577"/>
      <w:bookmarkStart w:id="1154" w:name="_Toc296503201"/>
      <w:bookmarkStart w:id="1155" w:name="_Toc297120501"/>
      <w:bookmarkStart w:id="1156" w:name="_Toc296346702"/>
      <w:bookmarkStart w:id="1157" w:name="_Toc297048387"/>
      <w:bookmarkStart w:id="1158" w:name="_Toc303539157"/>
      <w:bookmarkStart w:id="1159" w:name="_Toc312678039"/>
      <w:bookmarkStart w:id="1160" w:name="_Toc296891241"/>
      <w:bookmarkStart w:id="1161" w:name="_Toc297216209"/>
      <w:bookmarkStart w:id="1162" w:name="_Toc300935000"/>
      <w:bookmarkStart w:id="1163" w:name="_Toc292559911"/>
      <w:bookmarkStart w:id="1164" w:name="_Toc296891029"/>
      <w:r>
        <w:rPr>
          <w:rFonts w:hint="eastAsia" w:ascii="宋体" w:hAnsi="宋体" w:eastAsia="宋体" w:cs="宋体"/>
          <w:b/>
          <w:bCs/>
          <w:color w:val="auto"/>
          <w:kern w:val="44"/>
          <w:sz w:val="21"/>
          <w:szCs w:val="21"/>
          <w:highlight w:val="none"/>
          <w:lang w:val="en-US" w:eastAsia="zh-CN" w:bidi="ar-SA"/>
        </w:rPr>
        <w:t>11.1 市场价格波动引起的调整</w:t>
      </w:r>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p>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p w14:paraId="46575EBB">
      <w:pPr>
        <w:pStyle w:val="29"/>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市场价格波动是否调整合同价格的约定：</w:t>
      </w:r>
      <w:r>
        <w:rPr>
          <w:rFonts w:hint="eastAsia" w:ascii="宋体" w:hAnsi="宋体" w:eastAsia="宋体" w:cs="宋体"/>
          <w:color w:val="auto"/>
          <w:szCs w:val="21"/>
          <w:highlight w:val="none"/>
          <w:u w:val="single"/>
          <w:lang w:val="en-US" w:eastAsia="zh-CN"/>
        </w:rPr>
        <w:t>不</w:t>
      </w:r>
      <w:r>
        <w:rPr>
          <w:rFonts w:hint="eastAsia" w:ascii="宋体" w:hAnsi="宋体" w:eastAsia="宋体" w:cs="宋体"/>
          <w:color w:val="auto"/>
          <w:szCs w:val="21"/>
          <w:highlight w:val="none"/>
          <w:u w:val="single"/>
        </w:rPr>
        <w:t xml:space="preserve">调整 </w:t>
      </w:r>
      <w:r>
        <w:rPr>
          <w:rFonts w:hint="eastAsia" w:ascii="宋体" w:hAnsi="宋体" w:eastAsia="宋体" w:cs="宋体"/>
          <w:color w:val="auto"/>
          <w:szCs w:val="21"/>
          <w:highlight w:val="none"/>
        </w:rPr>
        <w:t>。</w:t>
      </w:r>
    </w:p>
    <w:p w14:paraId="3C89B6C5">
      <w:pPr>
        <w:pStyle w:val="29"/>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因市场价格波动调整合同价格，采用以下第</w:t>
      </w:r>
      <w:r>
        <w:rPr>
          <w:rFonts w:hint="eastAsia" w:ascii="宋体" w:hAnsi="宋体" w:eastAsia="宋体" w:cs="宋体"/>
          <w:color w:val="auto"/>
          <w:szCs w:val="21"/>
          <w:highlight w:val="none"/>
          <w:u w:val="single"/>
        </w:rPr>
        <w:t>2</w:t>
      </w:r>
      <w:r>
        <w:rPr>
          <w:rFonts w:hint="eastAsia" w:ascii="宋体" w:hAnsi="宋体" w:eastAsia="宋体" w:cs="宋体"/>
          <w:color w:val="auto"/>
          <w:szCs w:val="21"/>
          <w:highlight w:val="none"/>
        </w:rPr>
        <w:t>种方式对合同价格进行调整：</w:t>
      </w:r>
    </w:p>
    <w:p w14:paraId="4BBCD047">
      <w:pPr>
        <w:pStyle w:val="29"/>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第1种方式：采用价格指数进行价格调整。</w:t>
      </w:r>
    </w:p>
    <w:p w14:paraId="0D69E996">
      <w:pPr>
        <w:pStyle w:val="29"/>
        <w:spacing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关于各可调因子、定值和变值权重，以及基本价格指数及其来源的约定：</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 xml:space="preserve">；  </w:t>
      </w:r>
    </w:p>
    <w:p w14:paraId="308E31F3">
      <w:pPr>
        <w:pStyle w:val="29"/>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第2种方式：采用造价信息进行价格调整。</w:t>
      </w:r>
    </w:p>
    <w:p w14:paraId="61679BE1">
      <w:pPr>
        <w:pStyle w:val="29"/>
        <w:spacing w:line="380" w:lineRule="exact"/>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（1）关于基准价格的约定： </w:t>
      </w:r>
      <w:r>
        <w:rPr>
          <w:rFonts w:hint="eastAsia" w:ascii="宋体" w:hAnsi="宋体" w:eastAsia="宋体" w:cs="宋体"/>
          <w:color w:val="auto"/>
          <w:szCs w:val="21"/>
          <w:highlight w:val="none"/>
          <w:u w:val="single"/>
          <w:lang w:val="en-US" w:eastAsia="zh-CN"/>
        </w:rPr>
        <w:t>2025</w:t>
      </w:r>
      <w:r>
        <w:rPr>
          <w:rFonts w:hint="eastAsia" w:ascii="宋体" w:hAnsi="宋体" w:eastAsia="宋体" w:cs="宋体"/>
          <w:color w:val="auto"/>
          <w:szCs w:val="21"/>
          <w:highlight w:val="none"/>
          <w:u w:val="single"/>
        </w:rPr>
        <w:t>年第</w:t>
      </w:r>
      <w:r>
        <w:rPr>
          <w:rFonts w:hint="eastAsia" w:ascii="宋体" w:hAnsi="宋体" w:eastAsia="宋体" w:cs="宋体"/>
          <w:color w:val="auto"/>
          <w:szCs w:val="21"/>
          <w:highlight w:val="none"/>
          <w:u w:val="single"/>
          <w:lang w:val="en-US" w:eastAsia="zh-CN"/>
        </w:rPr>
        <w:t>10</w:t>
      </w:r>
      <w:r>
        <w:rPr>
          <w:rFonts w:hint="eastAsia" w:ascii="宋体" w:hAnsi="宋体" w:eastAsia="宋体" w:cs="宋体"/>
          <w:color w:val="auto"/>
          <w:szCs w:val="21"/>
          <w:highlight w:val="none"/>
          <w:u w:val="single"/>
        </w:rPr>
        <w:t>期《桂林市建设工程造价信息》同期发布信息</w:t>
      </w:r>
      <w:r>
        <w:rPr>
          <w:rFonts w:hint="eastAsia" w:ascii="宋体" w:hAnsi="宋体" w:eastAsia="宋体" w:cs="宋体"/>
          <w:color w:val="auto"/>
          <w:szCs w:val="21"/>
          <w:highlight w:val="none"/>
          <w:u w:val="single"/>
          <w:lang w:val="en-US" w:eastAsia="zh-CN"/>
        </w:rPr>
        <w:t>价</w:t>
      </w:r>
      <w:r>
        <w:rPr>
          <w:rFonts w:hint="eastAsia" w:ascii="宋体" w:hAnsi="宋体" w:eastAsia="宋体" w:cs="宋体"/>
          <w:color w:val="auto"/>
          <w:szCs w:val="21"/>
          <w:highlight w:val="none"/>
          <w:u w:val="single"/>
        </w:rPr>
        <w:t>。</w:t>
      </w:r>
    </w:p>
    <w:p w14:paraId="476C17DD">
      <w:pPr>
        <w:pStyle w:val="29"/>
        <w:spacing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投</w:t>
      </w:r>
      <w:r>
        <w:rPr>
          <w:rFonts w:hint="eastAsia" w:ascii="宋体" w:hAnsi="宋体" w:eastAsia="宋体" w:cs="宋体"/>
          <w:color w:val="auto"/>
          <w:kern w:val="0"/>
          <w:szCs w:val="21"/>
          <w:highlight w:val="none"/>
        </w:rPr>
        <w:t>标人应根据施工期间材料可能由于市场价格上涨（或下跌）因素自行考虑由此引起的风险并计入投标报价中，投标人应对自己的报价承担风险，除本合同约定的钢筋、水泥、商品混凝土、沥青混凝土、碎石、砂、片石、沥青、管材、石材、土方（含购土与弃土）等项材料价格可做调整外，其余材料价格不作调整。</w:t>
      </w:r>
    </w:p>
    <w:p w14:paraId="5538012D">
      <w:pPr>
        <w:pStyle w:val="29"/>
        <w:spacing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①承包人在已标价工程量清单或预算书中载明的材料单价低于基准价格的，合同履行期间材料单价涨幅以基准价格为基础超过</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%时，或材料单价跌幅以已标价工程量清单或预算书中载明材料单价为基础超过</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%时，其超过部分据实调整。</w:t>
      </w:r>
    </w:p>
    <w:p w14:paraId="1C6FA40B">
      <w:pPr>
        <w:pStyle w:val="29"/>
        <w:spacing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②承包人在已标价工程量清单或预算书中载明的材料单价高于基准价格的：专用合同条款合同履行期间材料单价跌幅以基准价格为基础超过</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%时，材料单价涨幅以已标价工程量清单或预算书中载明材料单价为基础超过</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%时，其超过部分据实调整。</w:t>
      </w:r>
    </w:p>
    <w:p w14:paraId="1A619819">
      <w:pPr>
        <w:pStyle w:val="29"/>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%时，其超过部分据实调整。</w:t>
      </w:r>
    </w:p>
    <w:p w14:paraId="10389CA9">
      <w:pPr>
        <w:pStyle w:val="29"/>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④除专用合同约定的钢筋、水泥、商品混凝土、沥青混凝土、碎石、砂、片石、沥青、管材、石材、土方</w:t>
      </w:r>
      <w:r>
        <w:rPr>
          <w:rFonts w:hint="eastAsia" w:ascii="宋体" w:hAnsi="宋体" w:eastAsia="宋体" w:cs="宋体"/>
          <w:color w:val="auto"/>
          <w:kern w:val="0"/>
          <w:szCs w:val="21"/>
          <w:highlight w:val="none"/>
        </w:rPr>
        <w:t>（含购土与弃土）</w:t>
      </w:r>
      <w:r>
        <w:rPr>
          <w:rFonts w:hint="eastAsia" w:ascii="宋体" w:hAnsi="宋体" w:eastAsia="宋体" w:cs="宋体"/>
          <w:color w:val="auto"/>
          <w:szCs w:val="21"/>
          <w:highlight w:val="none"/>
        </w:rPr>
        <w:t>等项材料外，其余材料价格不做调整。调整方法：钢筋、水泥、商品混凝土、沥青混凝土、碎石、砂、片石、沥青、管材、石材、土方</w:t>
      </w:r>
      <w:r>
        <w:rPr>
          <w:rFonts w:hint="eastAsia" w:ascii="宋体" w:hAnsi="宋体" w:eastAsia="宋体" w:cs="宋体"/>
          <w:color w:val="auto"/>
          <w:kern w:val="0"/>
          <w:szCs w:val="21"/>
          <w:highlight w:val="none"/>
        </w:rPr>
        <w:t>（含购土与弃土）</w:t>
      </w:r>
      <w:r>
        <w:rPr>
          <w:rFonts w:hint="eastAsia" w:ascii="宋体" w:hAnsi="宋体" w:eastAsia="宋体" w:cs="宋体"/>
          <w:color w:val="auto"/>
          <w:szCs w:val="21"/>
          <w:highlight w:val="none"/>
        </w:rPr>
        <w:t>价格超过部分×中标下浮系数（中标人的投标报价÷预算价），该部分费用列入税前独立费。</w:t>
      </w:r>
    </w:p>
    <w:p w14:paraId="5B83C838">
      <w:pPr>
        <w:pStyle w:val="29"/>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在工程施工期间，国家及地区如有新的人工费调整政策文件出台，可按国家及地区相关文件进行人工费调差。</w:t>
      </w:r>
    </w:p>
    <w:p w14:paraId="6DBFCE66">
      <w:pPr>
        <w:pStyle w:val="29"/>
        <w:spacing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第3种方式：</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1A83F8EF">
      <w:pPr>
        <w:keepNext/>
        <w:keepLines/>
        <w:widowControl w:val="0"/>
        <w:spacing w:line="380" w:lineRule="exact"/>
        <w:jc w:val="both"/>
        <w:outlineLvl w:val="0"/>
        <w:rPr>
          <w:rFonts w:hint="eastAsia" w:ascii="宋体" w:hAnsi="宋体" w:eastAsia="宋体" w:cs="宋体"/>
          <w:b/>
          <w:bCs/>
          <w:color w:val="auto"/>
          <w:kern w:val="44"/>
          <w:sz w:val="21"/>
          <w:szCs w:val="21"/>
          <w:highlight w:val="none"/>
          <w:lang w:val="en-US" w:eastAsia="zh-CN" w:bidi="ar-SA"/>
        </w:rPr>
      </w:pPr>
      <w:bookmarkStart w:id="1165" w:name="_Toc297120505"/>
      <w:bookmarkStart w:id="1166" w:name="_Toc296503205"/>
      <w:bookmarkStart w:id="1167" w:name="_Toc296346706"/>
      <w:bookmarkStart w:id="1168" w:name="_Toc296347204"/>
      <w:bookmarkStart w:id="1169" w:name="_Toc296891245"/>
      <w:bookmarkStart w:id="1170" w:name="_Toc297048391"/>
      <w:bookmarkStart w:id="1171" w:name="_Toc296944544"/>
      <w:bookmarkStart w:id="1172" w:name="_Toc292559915"/>
      <w:bookmarkStart w:id="1173" w:name="_Toc292559410"/>
      <w:bookmarkStart w:id="1174" w:name="_Toc296891033"/>
      <w:bookmarkStart w:id="1175" w:name="_Toc522201776"/>
      <w:bookmarkStart w:id="1176" w:name="_Toc31731"/>
      <w:bookmarkStart w:id="1177" w:name="_Toc418518395"/>
      <w:bookmarkStart w:id="1178" w:name="_Toc373478395"/>
      <w:bookmarkStart w:id="1179" w:name="_Toc418751845"/>
      <w:bookmarkStart w:id="1180" w:name="_Toc373227748"/>
      <w:bookmarkStart w:id="1181" w:name="_Toc418061360"/>
      <w:bookmarkStart w:id="1182" w:name="_Toc403578983"/>
      <w:bookmarkStart w:id="1183" w:name="_Toc497747227"/>
      <w:bookmarkStart w:id="1184" w:name="_Toc351203644"/>
      <w:bookmarkStart w:id="1185" w:name="_Toc497746830"/>
      <w:bookmarkStart w:id="1186" w:name="_Toc418752291"/>
      <w:bookmarkStart w:id="1187" w:name="_Toc256000227"/>
      <w:bookmarkStart w:id="1188" w:name="_Toc418518159"/>
      <w:bookmarkStart w:id="1189" w:name="_Toc297216211"/>
      <w:bookmarkStart w:id="1190" w:name="_Toc304295579"/>
      <w:bookmarkStart w:id="1191" w:name="_Toc297123552"/>
      <w:bookmarkStart w:id="1192" w:name="_Toc303539159"/>
      <w:bookmarkStart w:id="1193" w:name="_Toc300935002"/>
      <w:bookmarkStart w:id="1194" w:name="_Toc312678040"/>
      <w:r>
        <w:rPr>
          <w:rFonts w:hint="eastAsia" w:ascii="宋体" w:hAnsi="宋体" w:eastAsia="宋体" w:cs="宋体"/>
          <w:b/>
          <w:bCs/>
          <w:color w:val="auto"/>
          <w:kern w:val="44"/>
          <w:sz w:val="21"/>
          <w:szCs w:val="21"/>
          <w:highlight w:val="none"/>
          <w:lang w:val="en-US" w:eastAsia="zh-CN" w:bidi="ar-SA"/>
        </w:rPr>
        <w:t xml:space="preserve">12. </w:t>
      </w:r>
      <w:bookmarkEnd w:id="1165"/>
      <w:bookmarkEnd w:id="1166"/>
      <w:bookmarkEnd w:id="1167"/>
      <w:bookmarkEnd w:id="1168"/>
      <w:bookmarkEnd w:id="1169"/>
      <w:bookmarkEnd w:id="1170"/>
      <w:bookmarkEnd w:id="1171"/>
      <w:bookmarkEnd w:id="1172"/>
      <w:bookmarkEnd w:id="1173"/>
      <w:bookmarkEnd w:id="1174"/>
      <w:r>
        <w:rPr>
          <w:rFonts w:hint="eastAsia" w:ascii="宋体" w:hAnsi="宋体" w:eastAsia="宋体" w:cs="宋体"/>
          <w:b/>
          <w:bCs/>
          <w:color w:val="auto"/>
          <w:kern w:val="44"/>
          <w:sz w:val="21"/>
          <w:szCs w:val="21"/>
          <w:highlight w:val="none"/>
          <w:lang w:val="en-US" w:eastAsia="zh-CN" w:bidi="ar-SA"/>
        </w:rPr>
        <w:t>合同价格、计量与支付</w:t>
      </w:r>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p>
    <w:bookmarkEnd w:id="1189"/>
    <w:bookmarkEnd w:id="1190"/>
    <w:bookmarkEnd w:id="1191"/>
    <w:bookmarkEnd w:id="1192"/>
    <w:bookmarkEnd w:id="1193"/>
    <w:bookmarkEnd w:id="1194"/>
    <w:p w14:paraId="63D7BB33">
      <w:pPr>
        <w:keepNext/>
        <w:keepLines/>
        <w:widowControl w:val="0"/>
        <w:spacing w:line="380" w:lineRule="exact"/>
        <w:ind w:firstLine="422" w:firstLineChars="200"/>
        <w:jc w:val="both"/>
        <w:outlineLvl w:val="0"/>
        <w:rPr>
          <w:rFonts w:hint="eastAsia" w:ascii="宋体" w:hAnsi="宋体" w:eastAsia="宋体" w:cs="宋体"/>
          <w:b/>
          <w:bCs/>
          <w:color w:val="auto"/>
          <w:kern w:val="44"/>
          <w:sz w:val="21"/>
          <w:szCs w:val="21"/>
          <w:highlight w:val="none"/>
          <w:lang w:val="en-US" w:eastAsia="zh-CN" w:bidi="ar-SA"/>
        </w:rPr>
      </w:pPr>
      <w:bookmarkStart w:id="1195" w:name="_Toc292559411"/>
      <w:bookmarkStart w:id="1196" w:name="_Toc267251461"/>
      <w:bookmarkStart w:id="1197" w:name="_Toc292559916"/>
      <w:bookmarkStart w:id="1198" w:name="_Toc297048392"/>
      <w:bookmarkStart w:id="1199" w:name="_Toc296891246"/>
      <w:bookmarkStart w:id="1200" w:name="_Toc296347205"/>
      <w:bookmarkStart w:id="1201" w:name="_Toc296944545"/>
      <w:bookmarkStart w:id="1202" w:name="_Toc296891034"/>
      <w:bookmarkStart w:id="1203" w:name="_Toc297120506"/>
      <w:bookmarkStart w:id="1204" w:name="_Toc296503206"/>
      <w:bookmarkStart w:id="1205" w:name="_Toc296346707"/>
      <w:bookmarkStart w:id="1206" w:name="_Toc403578984"/>
      <w:bookmarkStart w:id="1207" w:name="_Toc522201777"/>
      <w:bookmarkStart w:id="1208" w:name="_Toc418518160"/>
      <w:bookmarkStart w:id="1209" w:name="_Toc418752292"/>
      <w:bookmarkStart w:id="1210" w:name="_Toc497746831"/>
      <w:bookmarkStart w:id="1211" w:name="_Toc418751846"/>
      <w:bookmarkStart w:id="1212" w:name="_Toc373227749"/>
      <w:bookmarkStart w:id="1213" w:name="_Toc497747228"/>
      <w:bookmarkStart w:id="1214" w:name="_Toc418061361"/>
      <w:bookmarkStart w:id="1215" w:name="_Toc389065314"/>
      <w:bookmarkStart w:id="1216" w:name="_Toc418518396"/>
      <w:bookmarkStart w:id="1217" w:name="_Toc5727"/>
      <w:bookmarkStart w:id="1218" w:name="_Toc373478396"/>
      <w:bookmarkStart w:id="1219" w:name="_Toc256000228"/>
      <w:bookmarkStart w:id="1220" w:name="_Toc304295580"/>
      <w:bookmarkStart w:id="1221" w:name="_Toc297216212"/>
      <w:bookmarkStart w:id="1222" w:name="_Toc303539160"/>
      <w:bookmarkStart w:id="1223" w:name="_Toc312678041"/>
      <w:bookmarkStart w:id="1224" w:name="_Toc297123553"/>
      <w:bookmarkStart w:id="1225" w:name="_Toc300935003"/>
      <w:r>
        <w:rPr>
          <w:rFonts w:hint="eastAsia" w:ascii="宋体" w:hAnsi="宋体" w:eastAsia="宋体" w:cs="宋体"/>
          <w:b/>
          <w:bCs/>
          <w:color w:val="auto"/>
          <w:kern w:val="44"/>
          <w:sz w:val="21"/>
          <w:szCs w:val="21"/>
          <w:highlight w:val="none"/>
          <w:lang w:val="en-US" w:eastAsia="zh-CN" w:bidi="ar-SA"/>
        </w:rPr>
        <w:t>12.1 合</w:t>
      </w:r>
      <w:bookmarkEnd w:id="1195"/>
      <w:bookmarkEnd w:id="1196"/>
      <w:bookmarkEnd w:id="1197"/>
      <w:r>
        <w:rPr>
          <w:rFonts w:hint="eastAsia" w:ascii="宋体" w:hAnsi="宋体" w:eastAsia="宋体" w:cs="宋体"/>
          <w:b/>
          <w:bCs/>
          <w:color w:val="auto"/>
          <w:kern w:val="44"/>
          <w:sz w:val="21"/>
          <w:szCs w:val="21"/>
          <w:highlight w:val="none"/>
          <w:lang w:val="en-US" w:eastAsia="zh-CN" w:bidi="ar-SA"/>
        </w:rPr>
        <w:t>同价</w:t>
      </w:r>
      <w:bookmarkEnd w:id="1198"/>
      <w:bookmarkEnd w:id="1199"/>
      <w:bookmarkEnd w:id="1200"/>
      <w:bookmarkEnd w:id="1201"/>
      <w:bookmarkEnd w:id="1202"/>
      <w:bookmarkEnd w:id="1203"/>
      <w:bookmarkEnd w:id="1204"/>
      <w:bookmarkEnd w:id="1205"/>
      <w:r>
        <w:rPr>
          <w:rFonts w:hint="eastAsia" w:ascii="宋体" w:hAnsi="宋体" w:eastAsia="宋体" w:cs="宋体"/>
          <w:b/>
          <w:bCs/>
          <w:color w:val="auto"/>
          <w:kern w:val="44"/>
          <w:sz w:val="21"/>
          <w:szCs w:val="21"/>
          <w:highlight w:val="none"/>
          <w:lang w:val="en-US" w:eastAsia="zh-CN" w:bidi="ar-SA"/>
        </w:rPr>
        <w:t>格形式</w:t>
      </w:r>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p>
    <w:bookmarkEnd w:id="1220"/>
    <w:bookmarkEnd w:id="1221"/>
    <w:bookmarkEnd w:id="1222"/>
    <w:bookmarkEnd w:id="1223"/>
    <w:bookmarkEnd w:id="1224"/>
    <w:bookmarkEnd w:id="1225"/>
    <w:p w14:paraId="6CD1424D">
      <w:pPr>
        <w:pStyle w:val="29"/>
        <w:spacing w:line="380" w:lineRule="exact"/>
        <w:ind w:firstLine="420" w:firstLineChars="200"/>
        <w:jc w:val="left"/>
        <w:rPr>
          <w:rFonts w:hint="eastAsia" w:ascii="宋体" w:hAnsi="宋体" w:eastAsia="宋体" w:cs="宋体"/>
          <w:color w:val="auto"/>
          <w:szCs w:val="21"/>
          <w:highlight w:val="none"/>
        </w:rPr>
      </w:pPr>
      <w:bookmarkStart w:id="1226" w:name="_Toc373478397"/>
      <w:bookmarkStart w:id="1227" w:name="_Toc373227750"/>
      <w:bookmarkStart w:id="1228" w:name="_Toc389065315"/>
      <w:bookmarkStart w:id="1229" w:name="_Toc312678042"/>
      <w:bookmarkStart w:id="1230" w:name="_Toc304295581"/>
      <w:bookmarkStart w:id="1231" w:name="_Toc297216213"/>
      <w:bookmarkStart w:id="1232" w:name="_Toc300935004"/>
      <w:bookmarkStart w:id="1233" w:name="_Toc303539161"/>
      <w:bookmarkStart w:id="1234" w:name="_Toc297123554"/>
      <w:bookmarkStart w:id="1235" w:name="_Toc296347206"/>
      <w:bookmarkStart w:id="1236" w:name="_Toc292559412"/>
      <w:bookmarkStart w:id="1237" w:name="_Toc292559917"/>
      <w:bookmarkStart w:id="1238" w:name="_Toc297048393"/>
      <w:bookmarkStart w:id="1239" w:name="_Toc296944546"/>
      <w:bookmarkStart w:id="1240" w:name="_Toc296346708"/>
      <w:bookmarkStart w:id="1241" w:name="_Toc296503207"/>
      <w:bookmarkStart w:id="1242" w:name="_Toc296891247"/>
      <w:bookmarkStart w:id="1243" w:name="_Toc296891035"/>
      <w:bookmarkStart w:id="1244" w:name="_Toc297120507"/>
      <w:r>
        <w:rPr>
          <w:rFonts w:hint="eastAsia" w:ascii="宋体" w:hAnsi="宋体" w:eastAsia="宋体" w:cs="宋体"/>
          <w:color w:val="auto"/>
          <w:szCs w:val="21"/>
          <w:highlight w:val="none"/>
        </w:rPr>
        <w:t>（1）单价合同。</w:t>
      </w:r>
    </w:p>
    <w:p w14:paraId="477379A8">
      <w:pPr>
        <w:pStyle w:val="29"/>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本合同价款采用</w:t>
      </w:r>
      <w:r>
        <w:rPr>
          <w:rFonts w:hint="eastAsia" w:ascii="宋体" w:hAnsi="宋体" w:eastAsia="宋体" w:cs="宋体"/>
          <w:color w:val="auto"/>
          <w:szCs w:val="21"/>
          <w:highlight w:val="none"/>
          <w:u w:val="single"/>
        </w:rPr>
        <w:t>固定综合单价方式</w:t>
      </w:r>
      <w:r>
        <w:rPr>
          <w:rFonts w:hint="eastAsia" w:ascii="宋体" w:hAnsi="宋体" w:eastAsia="宋体" w:cs="宋体"/>
          <w:color w:val="auto"/>
          <w:szCs w:val="21"/>
          <w:highlight w:val="none"/>
        </w:rPr>
        <w:t>确定。</w:t>
      </w:r>
    </w:p>
    <w:p w14:paraId="2153DBE3">
      <w:pPr>
        <w:pStyle w:val="29"/>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综合单价包含的风险范围：</w:t>
      </w:r>
      <w:r>
        <w:rPr>
          <w:rFonts w:hint="eastAsia" w:ascii="宋体" w:hAnsi="宋体" w:eastAsia="宋体" w:cs="宋体"/>
          <w:color w:val="auto"/>
          <w:szCs w:val="21"/>
          <w:highlight w:val="none"/>
          <w:u w:val="single"/>
        </w:rPr>
        <w:t>除工程变更、政策性调整、本合同约定的材料、设备价格变动风险以外因素。</w:t>
      </w:r>
    </w:p>
    <w:p w14:paraId="61746132">
      <w:pPr>
        <w:pStyle w:val="32"/>
        <w:spacing w:line="380" w:lineRule="exact"/>
        <w:ind w:firstLine="441" w:firstLineChars="210"/>
        <w:rPr>
          <w:rFonts w:hint="eastAsia" w:ascii="宋体" w:hAnsi="宋体" w:eastAsia="宋体" w:cs="宋体"/>
          <w:color w:val="auto"/>
          <w:szCs w:val="21"/>
          <w:highlight w:val="none"/>
        </w:rPr>
      </w:pPr>
      <w:r>
        <w:rPr>
          <w:rFonts w:hint="eastAsia" w:ascii="宋体" w:hAnsi="宋体" w:eastAsia="宋体" w:cs="宋体"/>
          <w:color w:val="auto"/>
          <w:szCs w:val="21"/>
          <w:highlight w:val="none"/>
        </w:rPr>
        <w:t>风险范围以外合同价格的调整方法：</w:t>
      </w:r>
    </w:p>
    <w:p w14:paraId="3F5F87A2">
      <w:pPr>
        <w:pStyle w:val="32"/>
        <w:spacing w:line="380" w:lineRule="exact"/>
        <w:ind w:firstLine="441" w:firstLineChars="21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①工程变更：按10.4.1变更估价原则的约定调整。</w:t>
      </w:r>
    </w:p>
    <w:p w14:paraId="1CBD7BBD">
      <w:pPr>
        <w:pStyle w:val="32"/>
        <w:spacing w:line="380" w:lineRule="exact"/>
        <w:ind w:firstLine="441" w:firstLineChars="21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②政策性调整：按自治区建设行政主管部门颁布的文件执行。</w:t>
      </w:r>
    </w:p>
    <w:p w14:paraId="3EC84A60">
      <w:pPr>
        <w:pStyle w:val="32"/>
        <w:spacing w:line="380" w:lineRule="exact"/>
        <w:ind w:firstLine="441" w:firstLineChars="21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③材料、设备价格变动风险：按11.1的约定调整。</w:t>
      </w:r>
    </w:p>
    <w:p w14:paraId="69B589C3">
      <w:pPr>
        <w:pStyle w:val="29"/>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④其它：</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15AC4420">
      <w:pPr>
        <w:pStyle w:val="29"/>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（2）总价合同。</w:t>
      </w:r>
    </w:p>
    <w:p w14:paraId="269E2244">
      <w:pPr>
        <w:pStyle w:val="29"/>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总价包含的风险范围：</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7FC0D9EF">
      <w:pPr>
        <w:pStyle w:val="29"/>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风险范围以外合同价格的调整方法：</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010BE0B5">
      <w:pPr>
        <w:pStyle w:val="29"/>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（3）其他价格方式：</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1479632E">
      <w:pPr>
        <w:keepNext/>
        <w:keepLines/>
        <w:widowControl w:val="0"/>
        <w:spacing w:line="380" w:lineRule="exact"/>
        <w:ind w:firstLine="422" w:firstLineChars="200"/>
        <w:jc w:val="both"/>
        <w:outlineLvl w:val="0"/>
        <w:rPr>
          <w:rFonts w:hint="eastAsia" w:ascii="宋体" w:hAnsi="宋体" w:eastAsia="宋体" w:cs="宋体"/>
          <w:b/>
          <w:bCs/>
          <w:color w:val="auto"/>
          <w:kern w:val="44"/>
          <w:sz w:val="21"/>
          <w:szCs w:val="21"/>
          <w:highlight w:val="none"/>
          <w:lang w:val="en-US" w:eastAsia="zh-CN" w:bidi="ar-SA"/>
        </w:rPr>
      </w:pPr>
      <w:bookmarkStart w:id="1245" w:name="_Toc11436"/>
      <w:bookmarkStart w:id="1246" w:name="_Toc418751847"/>
      <w:bookmarkStart w:id="1247" w:name="_Toc418518161"/>
      <w:bookmarkStart w:id="1248" w:name="_Toc497746832"/>
      <w:bookmarkStart w:id="1249" w:name="_Toc403578985"/>
      <w:bookmarkStart w:id="1250" w:name="_Toc418752293"/>
      <w:bookmarkStart w:id="1251" w:name="_Toc522201778"/>
      <w:bookmarkStart w:id="1252" w:name="_Toc418061362"/>
      <w:bookmarkStart w:id="1253" w:name="_Toc497747229"/>
      <w:bookmarkStart w:id="1254" w:name="_Toc256000229"/>
      <w:bookmarkStart w:id="1255" w:name="_Toc418518397"/>
      <w:r>
        <w:rPr>
          <w:rFonts w:hint="eastAsia" w:ascii="宋体" w:hAnsi="宋体" w:eastAsia="宋体" w:cs="宋体"/>
          <w:b/>
          <w:bCs/>
          <w:color w:val="auto"/>
          <w:kern w:val="44"/>
          <w:sz w:val="21"/>
          <w:szCs w:val="21"/>
          <w:highlight w:val="none"/>
          <w:lang w:val="en-US" w:eastAsia="zh-CN" w:bidi="ar-SA"/>
        </w:rPr>
        <w:t>12.2 预付款</w:t>
      </w:r>
      <w:bookmarkEnd w:id="1226"/>
      <w:bookmarkEnd w:id="1227"/>
      <w:bookmarkEnd w:id="1228"/>
      <w:bookmarkEnd w:id="1245"/>
      <w:bookmarkEnd w:id="1246"/>
      <w:bookmarkEnd w:id="1247"/>
      <w:bookmarkEnd w:id="1248"/>
      <w:bookmarkEnd w:id="1249"/>
      <w:bookmarkEnd w:id="1250"/>
      <w:bookmarkEnd w:id="1251"/>
      <w:bookmarkEnd w:id="1252"/>
      <w:bookmarkEnd w:id="1253"/>
      <w:bookmarkEnd w:id="1254"/>
      <w:bookmarkEnd w:id="1255"/>
    </w:p>
    <w:bookmarkEnd w:id="1229"/>
    <w:bookmarkEnd w:id="1230"/>
    <w:bookmarkEnd w:id="1231"/>
    <w:bookmarkEnd w:id="1232"/>
    <w:bookmarkEnd w:id="1233"/>
    <w:bookmarkEnd w:id="1234"/>
    <w:p w14:paraId="4DBAB8FA">
      <w:pPr>
        <w:pStyle w:val="33"/>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12.2.1 预付款的支付</w:t>
      </w:r>
    </w:p>
    <w:p w14:paraId="7AEE987A">
      <w:pPr>
        <w:pStyle w:val="33"/>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预付款支付比例或金额：</w:t>
      </w:r>
      <w:r>
        <w:rPr>
          <w:rFonts w:hint="eastAsia" w:ascii="宋体" w:hAnsi="宋体" w:eastAsia="宋体" w:cs="宋体"/>
          <w:color w:val="auto"/>
          <w:highlight w:val="none"/>
          <w:u w:val="single"/>
        </w:rPr>
        <w:t>合同价款的30%。</w:t>
      </w:r>
    </w:p>
    <w:p w14:paraId="3496988A">
      <w:pPr>
        <w:pStyle w:val="33"/>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预付款支付期限：</w:t>
      </w:r>
      <w:r>
        <w:rPr>
          <w:rFonts w:hint="eastAsia" w:ascii="宋体" w:hAnsi="宋体" w:eastAsia="宋体" w:cs="宋体"/>
          <w:color w:val="auto"/>
          <w:highlight w:val="none"/>
          <w:u w:val="single"/>
        </w:rPr>
        <w:t>合同签订后。</w:t>
      </w:r>
    </w:p>
    <w:p w14:paraId="0EFB0185">
      <w:pPr>
        <w:pStyle w:val="33"/>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预付款扣回的方式：</w:t>
      </w:r>
      <w:r>
        <w:rPr>
          <w:rFonts w:hint="eastAsia" w:ascii="宋体" w:hAnsi="宋体" w:eastAsia="宋体" w:cs="宋体"/>
          <w:color w:val="auto"/>
          <w:highlight w:val="none"/>
          <w:u w:val="single"/>
        </w:rPr>
        <w:t>在每次工程进度款支付时按比例扣回预付款，预付款在工程进度款支付至合同价80%时一次性扣完。</w:t>
      </w:r>
    </w:p>
    <w:p w14:paraId="153E63DE">
      <w:pPr>
        <w:pStyle w:val="35"/>
        <w:spacing w:line="360" w:lineRule="auto"/>
        <w:ind w:firstLine="420" w:firstLineChars="200"/>
        <w:rPr>
          <w:rFonts w:hint="eastAsia" w:ascii="宋体" w:hAnsi="宋体" w:eastAsia="宋体" w:cs="宋体"/>
          <w:color w:val="auto"/>
          <w:highlight w:val="none"/>
        </w:rPr>
      </w:pPr>
      <w:bookmarkStart w:id="1256" w:name="_Toc406522273"/>
      <w:bookmarkEnd w:id="1256"/>
      <w:bookmarkStart w:id="1257" w:name="_Toc406419397"/>
      <w:r>
        <w:rPr>
          <w:rFonts w:hint="eastAsia" w:ascii="宋体" w:hAnsi="宋体" w:eastAsia="宋体" w:cs="宋体"/>
          <w:color w:val="auto"/>
          <w:highlight w:val="none"/>
        </w:rPr>
        <w:t>12.2.2预付款担保</w:t>
      </w:r>
      <w:bookmarkEnd w:id="1257"/>
    </w:p>
    <w:p w14:paraId="3F2988EF">
      <w:pPr>
        <w:pStyle w:val="3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承包人提交预付款担保的期限：</w:t>
      </w:r>
      <w:r>
        <w:rPr>
          <w:rFonts w:hint="eastAsia" w:ascii="宋体" w:hAnsi="宋体" w:eastAsia="宋体" w:cs="宋体"/>
          <w:color w:val="auto"/>
          <w:highlight w:val="none"/>
          <w:u w:val="single"/>
          <w:lang w:val="en-US" w:eastAsia="zh-CN"/>
        </w:rPr>
        <w:t>/</w:t>
      </w:r>
      <w:r>
        <w:rPr>
          <w:rFonts w:hint="eastAsia" w:ascii="宋体" w:hAnsi="宋体" w:eastAsia="宋体" w:cs="宋体"/>
          <w:color w:val="auto"/>
          <w:highlight w:val="none"/>
        </w:rPr>
        <w:t>。</w:t>
      </w:r>
    </w:p>
    <w:p w14:paraId="639EE508">
      <w:pPr>
        <w:pStyle w:val="3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预付款担保的形式为：</w:t>
      </w:r>
      <w:r>
        <w:rPr>
          <w:rFonts w:hint="eastAsia" w:ascii="宋体" w:hAnsi="宋体" w:eastAsia="宋体" w:cs="宋体"/>
          <w:color w:val="auto"/>
          <w:highlight w:val="none"/>
          <w:u w:val="single"/>
          <w:lang w:val="en-US" w:eastAsia="zh-CN"/>
        </w:rPr>
        <w:t>/</w:t>
      </w:r>
      <w:r>
        <w:rPr>
          <w:rFonts w:hint="eastAsia" w:ascii="宋体" w:hAnsi="宋体" w:eastAsia="宋体" w:cs="宋体"/>
          <w:color w:val="auto"/>
          <w:highlight w:val="none"/>
        </w:rPr>
        <w:t>。</w:t>
      </w:r>
    </w:p>
    <w:bookmarkEnd w:id="1235"/>
    <w:bookmarkEnd w:id="1236"/>
    <w:bookmarkEnd w:id="1237"/>
    <w:bookmarkEnd w:id="1238"/>
    <w:bookmarkEnd w:id="1239"/>
    <w:bookmarkEnd w:id="1240"/>
    <w:bookmarkEnd w:id="1241"/>
    <w:bookmarkEnd w:id="1242"/>
    <w:bookmarkEnd w:id="1243"/>
    <w:bookmarkEnd w:id="1244"/>
    <w:p w14:paraId="62518779">
      <w:pPr>
        <w:keepNext/>
        <w:keepLines/>
        <w:widowControl w:val="0"/>
        <w:spacing w:line="380" w:lineRule="exact"/>
        <w:ind w:firstLine="422" w:firstLineChars="200"/>
        <w:jc w:val="both"/>
        <w:outlineLvl w:val="0"/>
        <w:rPr>
          <w:rFonts w:hint="eastAsia" w:ascii="宋体" w:hAnsi="宋体" w:eastAsia="宋体" w:cs="宋体"/>
          <w:b/>
          <w:bCs/>
          <w:color w:val="auto"/>
          <w:kern w:val="44"/>
          <w:sz w:val="21"/>
          <w:szCs w:val="21"/>
          <w:highlight w:val="none"/>
          <w:lang w:val="en-US" w:eastAsia="zh-CN" w:bidi="ar-SA"/>
        </w:rPr>
      </w:pPr>
      <w:bookmarkStart w:id="1258" w:name="_Toc389065316"/>
      <w:bookmarkStart w:id="1259" w:name="_Toc373227751"/>
      <w:bookmarkStart w:id="1260" w:name="_Toc418518162"/>
      <w:bookmarkStart w:id="1261" w:name="_Toc522201779"/>
      <w:bookmarkStart w:id="1262" w:name="_Toc418752294"/>
      <w:bookmarkStart w:id="1263" w:name="_Toc9606"/>
      <w:bookmarkStart w:id="1264" w:name="_Toc418751848"/>
      <w:bookmarkStart w:id="1265" w:name="_Toc418061363"/>
      <w:bookmarkStart w:id="1266" w:name="_Toc373478398"/>
      <w:bookmarkStart w:id="1267" w:name="_Toc256000230"/>
      <w:bookmarkStart w:id="1268" w:name="_Toc403578986"/>
      <w:bookmarkStart w:id="1269" w:name="_Toc497746833"/>
      <w:bookmarkStart w:id="1270" w:name="_Toc418518398"/>
      <w:bookmarkStart w:id="1271" w:name="_Toc497747230"/>
      <w:r>
        <w:rPr>
          <w:rFonts w:hint="eastAsia" w:ascii="宋体" w:hAnsi="宋体" w:eastAsia="宋体" w:cs="宋体"/>
          <w:b/>
          <w:bCs/>
          <w:color w:val="auto"/>
          <w:kern w:val="44"/>
          <w:sz w:val="21"/>
          <w:szCs w:val="21"/>
          <w:highlight w:val="none"/>
          <w:lang w:val="en-US" w:eastAsia="zh-CN" w:bidi="ar-SA"/>
        </w:rPr>
        <w:t>12.3 计量</w:t>
      </w:r>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p>
    <w:p w14:paraId="411183D0">
      <w:pPr>
        <w:pStyle w:val="29"/>
        <w:spacing w:line="380" w:lineRule="exact"/>
        <w:ind w:firstLine="420" w:firstLineChars="200"/>
        <w:jc w:val="left"/>
        <w:rPr>
          <w:rFonts w:hint="eastAsia" w:ascii="宋体" w:hAnsi="宋体" w:eastAsia="宋体" w:cs="宋体"/>
          <w:color w:val="auto"/>
          <w:szCs w:val="21"/>
          <w:highlight w:val="none"/>
        </w:rPr>
      </w:pPr>
      <w:bookmarkStart w:id="1272" w:name="_Toc497747231"/>
      <w:bookmarkStart w:id="1273" w:name="_Toc403578987"/>
      <w:bookmarkStart w:id="1274" w:name="_Toc373227752"/>
      <w:bookmarkStart w:id="1275" w:name="_Toc389065317"/>
      <w:bookmarkStart w:id="1276" w:name="_Toc418061364"/>
      <w:bookmarkStart w:id="1277" w:name="_Toc418751849"/>
      <w:bookmarkStart w:id="1278" w:name="_Toc418752295"/>
      <w:bookmarkStart w:id="1279" w:name="_Toc373478399"/>
      <w:bookmarkStart w:id="1280" w:name="_Toc497746834"/>
      <w:bookmarkStart w:id="1281" w:name="_Toc418518399"/>
      <w:bookmarkStart w:id="1282" w:name="_Toc418518163"/>
      <w:r>
        <w:rPr>
          <w:rFonts w:hint="eastAsia" w:ascii="宋体" w:hAnsi="宋体" w:eastAsia="宋体" w:cs="宋体"/>
          <w:color w:val="auto"/>
          <w:szCs w:val="21"/>
          <w:highlight w:val="none"/>
        </w:rPr>
        <w:t xml:space="preserve">12.3.1 计量原则 </w:t>
      </w:r>
    </w:p>
    <w:p w14:paraId="5C03138E">
      <w:pPr>
        <w:pStyle w:val="29"/>
        <w:spacing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工程量计算规则：</w:t>
      </w:r>
      <w:r>
        <w:rPr>
          <w:rFonts w:hint="eastAsia" w:ascii="宋体" w:hAnsi="宋体" w:eastAsia="宋体" w:cs="宋体"/>
          <w:color w:val="auto"/>
          <w:szCs w:val="21"/>
          <w:highlight w:val="none"/>
          <w:u w:val="single"/>
        </w:rPr>
        <w:t>工程的计量均以《建设工程工程量清单计价规范》 （GB50500－2013）和及其广西壮族自治区实施细则、 《建设工程工程量清单计算规范》 （GB50854～50862－2013）及其广西实施细则（修订本）、本工程补充项目清单为准。</w:t>
      </w:r>
      <w:r>
        <w:rPr>
          <w:rFonts w:hint="eastAsia" w:ascii="宋体" w:hAnsi="宋体" w:eastAsia="宋体" w:cs="宋体"/>
          <w:color w:val="auto"/>
          <w:szCs w:val="21"/>
          <w:highlight w:val="none"/>
        </w:rPr>
        <w:t xml:space="preserve"> </w:t>
      </w:r>
    </w:p>
    <w:p w14:paraId="6381E722">
      <w:pPr>
        <w:pStyle w:val="29"/>
        <w:spacing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12.3.2 计量周期 </w:t>
      </w:r>
    </w:p>
    <w:p w14:paraId="5765EA4B">
      <w:pPr>
        <w:pStyle w:val="29"/>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关于计量周期的约定：</w:t>
      </w:r>
      <w:r>
        <w:rPr>
          <w:rFonts w:hint="eastAsia" w:ascii="宋体" w:hAnsi="宋体" w:eastAsia="宋体" w:cs="宋体"/>
          <w:color w:val="auto"/>
          <w:szCs w:val="21"/>
          <w:highlight w:val="none"/>
          <w:u w:val="single"/>
        </w:rPr>
        <w:t xml:space="preserve"> 承包人每月25日前向监理人报送上月20日至本月19日完成的工程量报告，并附具进度款申请单、已完成工程量报表和有关资料。</w:t>
      </w:r>
      <w:r>
        <w:rPr>
          <w:rFonts w:hint="eastAsia" w:ascii="宋体" w:hAnsi="宋体" w:eastAsia="宋体" w:cs="宋体"/>
          <w:color w:val="auto"/>
          <w:szCs w:val="21"/>
          <w:highlight w:val="none"/>
        </w:rPr>
        <w:t xml:space="preserve"> </w:t>
      </w:r>
    </w:p>
    <w:p w14:paraId="4F90DCCE">
      <w:pPr>
        <w:pStyle w:val="29"/>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12.3.3 单价合同的计量 </w:t>
      </w:r>
    </w:p>
    <w:p w14:paraId="258BF57F">
      <w:pPr>
        <w:pStyle w:val="29"/>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关于单价合同计量的约定：</w:t>
      </w:r>
      <w:r>
        <w:rPr>
          <w:rFonts w:hint="eastAsia" w:ascii="宋体" w:hAnsi="宋体" w:eastAsia="宋体" w:cs="宋体"/>
          <w:color w:val="auto"/>
          <w:szCs w:val="21"/>
          <w:highlight w:val="none"/>
          <w:u w:val="single"/>
        </w:rPr>
        <w:t xml:space="preserve"> (1) 工程量清单所列的工程量，不能作为承包人按合同履行其责任依据，实际施工中发生的工程量增加或减少并不影响承包人履行合同的责任，工程结算以完成的实际工程量为准。(2) 除另有规定外，工程师应按照合同通过计量来核实确定已完成的工程量和价款，承包人应得到该价款扣除保留金后的金额。当工程师要对已完工的工程量进行计量时，应适时地通知承包人参加</w:t>
      </w:r>
      <w:r>
        <w:rPr>
          <w:rFonts w:hint="eastAsia" w:ascii="宋体" w:hAnsi="宋体" w:eastAsia="宋体" w:cs="宋体"/>
          <w:color w:val="auto"/>
          <w:szCs w:val="21"/>
          <w:highlight w:val="none"/>
        </w:rPr>
        <w:t xml:space="preserve">。 </w:t>
      </w:r>
    </w:p>
    <w:p w14:paraId="095022D1">
      <w:pPr>
        <w:pStyle w:val="29"/>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12.3.4 总价合同的计量 </w:t>
      </w:r>
    </w:p>
    <w:p w14:paraId="3E90BB09">
      <w:pPr>
        <w:pStyle w:val="29"/>
        <w:spacing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关于总价合同计量的约定：</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27020180">
      <w:pPr>
        <w:pStyle w:val="29"/>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12.3.5 总价合同采用支付分解表计量支付的，是否适用第 12.3.4 项〔总价合同的计量〕约定进行计量：</w:t>
      </w:r>
      <w:r>
        <w:rPr>
          <w:rFonts w:hint="eastAsia" w:ascii="宋体" w:hAnsi="宋体" w:eastAsia="宋体" w:cs="宋体"/>
          <w:color w:val="auto"/>
          <w:szCs w:val="21"/>
          <w:highlight w:val="none"/>
          <w:u w:val="single"/>
        </w:rPr>
        <w:t xml:space="preserve">无 </w:t>
      </w:r>
      <w:r>
        <w:rPr>
          <w:rFonts w:hint="eastAsia" w:ascii="宋体" w:hAnsi="宋体" w:eastAsia="宋体" w:cs="宋体"/>
          <w:color w:val="auto"/>
          <w:szCs w:val="21"/>
          <w:highlight w:val="none"/>
        </w:rPr>
        <w:t xml:space="preserve">。 </w:t>
      </w:r>
    </w:p>
    <w:p w14:paraId="3206319E">
      <w:pPr>
        <w:pStyle w:val="29"/>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12.3.6 其他价格形式合同的计量 </w:t>
      </w:r>
    </w:p>
    <w:p w14:paraId="064859AF">
      <w:pPr>
        <w:pStyle w:val="29"/>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其他价格形式的计量方式和程序：</w:t>
      </w:r>
      <w:r>
        <w:rPr>
          <w:rFonts w:hint="eastAsia" w:ascii="宋体" w:hAnsi="宋体" w:eastAsia="宋体" w:cs="宋体"/>
          <w:color w:val="auto"/>
          <w:szCs w:val="21"/>
          <w:highlight w:val="none"/>
          <w:u w:val="single"/>
        </w:rPr>
        <w:t xml:space="preserve"> 无 </w:t>
      </w:r>
      <w:r>
        <w:rPr>
          <w:rFonts w:hint="eastAsia" w:ascii="宋体" w:hAnsi="宋体" w:eastAsia="宋体" w:cs="宋体"/>
          <w:color w:val="auto"/>
          <w:szCs w:val="21"/>
          <w:highlight w:val="none"/>
        </w:rPr>
        <w:t xml:space="preserve">。 </w:t>
      </w:r>
    </w:p>
    <w:p w14:paraId="1F2E2F69">
      <w:pPr>
        <w:pStyle w:val="29"/>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12.4 工程进度款支付</w:t>
      </w:r>
      <w:bookmarkEnd w:id="1272"/>
      <w:bookmarkEnd w:id="1273"/>
      <w:bookmarkEnd w:id="1274"/>
      <w:bookmarkEnd w:id="1275"/>
      <w:bookmarkEnd w:id="1276"/>
      <w:bookmarkEnd w:id="1277"/>
      <w:bookmarkEnd w:id="1278"/>
      <w:bookmarkEnd w:id="1279"/>
      <w:bookmarkEnd w:id="1280"/>
      <w:bookmarkEnd w:id="1281"/>
      <w:bookmarkEnd w:id="1282"/>
    </w:p>
    <w:p w14:paraId="1917C7E9">
      <w:pPr>
        <w:pStyle w:val="29"/>
        <w:spacing w:line="380" w:lineRule="exact"/>
        <w:ind w:firstLine="420" w:firstLineChars="200"/>
        <w:jc w:val="left"/>
        <w:rPr>
          <w:rFonts w:hint="eastAsia" w:ascii="宋体" w:hAnsi="宋体" w:eastAsia="宋体" w:cs="宋体"/>
          <w:color w:val="auto"/>
          <w:szCs w:val="21"/>
          <w:highlight w:val="none"/>
        </w:rPr>
      </w:pPr>
      <w:bookmarkStart w:id="1283" w:name="_Toc297120511"/>
      <w:bookmarkStart w:id="1284" w:name="_Toc296944550"/>
      <w:bookmarkStart w:id="1285" w:name="_Toc300935006"/>
      <w:bookmarkStart w:id="1286" w:name="_Toc297048397"/>
      <w:bookmarkStart w:id="1287" w:name="_Toc292559921"/>
      <w:bookmarkStart w:id="1288" w:name="_Toc303539163"/>
      <w:bookmarkStart w:id="1289" w:name="_Toc296346712"/>
      <w:bookmarkStart w:id="1290" w:name="_Toc296891039"/>
      <w:bookmarkStart w:id="1291" w:name="_Toc297123556"/>
      <w:bookmarkStart w:id="1292" w:name="_Toc296891251"/>
      <w:bookmarkStart w:id="1293" w:name="_Toc297216215"/>
      <w:bookmarkStart w:id="1294" w:name="_Toc296503211"/>
      <w:bookmarkStart w:id="1295" w:name="_Toc296347210"/>
      <w:bookmarkStart w:id="1296" w:name="_Toc292559416"/>
      <w:r>
        <w:rPr>
          <w:rFonts w:hint="eastAsia" w:ascii="宋体" w:hAnsi="宋体" w:eastAsia="宋体" w:cs="宋体"/>
          <w:color w:val="auto"/>
          <w:szCs w:val="21"/>
          <w:highlight w:val="none"/>
        </w:rPr>
        <w:t>12.4.1 付款周期</w:t>
      </w:r>
    </w:p>
    <w:p w14:paraId="68ABA23E">
      <w:pPr>
        <w:pStyle w:val="29"/>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关于付款周期的约定：</w:t>
      </w:r>
    </w:p>
    <w:p w14:paraId="7FCEEC2B">
      <w:pPr>
        <w:keepNext w:val="0"/>
        <w:keepLines w:val="0"/>
        <w:pageBreakBefore w:val="0"/>
        <w:widowControl w:val="0"/>
        <w:kinsoku/>
        <w:wordWrap/>
        <w:overflowPunct/>
        <w:topLinePunct w:val="0"/>
        <w:autoSpaceDE/>
        <w:autoSpaceDN/>
        <w:bidi w:val="0"/>
        <w:adjustRightInd w:val="0"/>
        <w:snapToGrid/>
        <w:spacing w:after="60" w:line="380" w:lineRule="exact"/>
        <w:ind w:left="63" w:leftChars="30" w:right="63" w:rightChars="30" w:firstLine="400"/>
        <w:jc w:val="left"/>
        <w:textAlignment w:val="auto"/>
        <w:rPr>
          <w:rFonts w:hint="eastAsia" w:ascii="宋体" w:hAnsi="宋体" w:eastAsia="宋体" w:cs="宋体"/>
          <w:bCs/>
          <w:i w:val="0"/>
          <w:caps w:val="0"/>
          <w:color w:val="auto"/>
          <w:spacing w:val="0"/>
          <w:kern w:val="0"/>
          <w:sz w:val="20"/>
          <w:szCs w:val="21"/>
          <w:highlight w:val="none"/>
          <w:u w:val="single"/>
          <w:shd w:val="clear" w:color="auto" w:fill="auto"/>
          <w:lang w:val="en-US" w:eastAsia="zh-CN" w:bidi="ar-SA"/>
        </w:rPr>
      </w:pPr>
      <w:r>
        <w:rPr>
          <w:rFonts w:hint="eastAsia" w:ascii="宋体" w:hAnsi="宋体" w:eastAsia="宋体" w:cs="宋体"/>
          <w:color w:val="auto"/>
          <w:sz w:val="22"/>
          <w:szCs w:val="22"/>
          <w:highlight w:val="none"/>
          <w:u w:val="single"/>
          <w:lang w:eastAsia="zh-CN"/>
        </w:rPr>
        <w:t>合同签订后按工程进度支付，按当期工程进度款8</w:t>
      </w:r>
      <w:r>
        <w:rPr>
          <w:rFonts w:hint="eastAsia" w:ascii="宋体" w:hAnsi="宋体" w:eastAsia="宋体" w:cs="宋体"/>
          <w:color w:val="auto"/>
          <w:sz w:val="22"/>
          <w:szCs w:val="22"/>
          <w:highlight w:val="none"/>
          <w:u w:val="single"/>
          <w:lang w:val="en-US" w:eastAsia="zh-CN"/>
        </w:rPr>
        <w:t>5</w:t>
      </w:r>
      <w:r>
        <w:rPr>
          <w:rFonts w:hint="eastAsia" w:ascii="宋体" w:hAnsi="宋体" w:eastAsia="宋体" w:cs="宋体"/>
          <w:color w:val="auto"/>
          <w:sz w:val="22"/>
          <w:szCs w:val="22"/>
          <w:highlight w:val="none"/>
          <w:u w:val="single"/>
          <w:lang w:eastAsia="zh-CN"/>
        </w:rPr>
        <w:t>%支付工程款</w:t>
      </w:r>
      <w:r>
        <w:rPr>
          <w:rFonts w:hint="eastAsia" w:ascii="宋体" w:hAnsi="宋体" w:eastAsia="宋体" w:cs="宋体"/>
          <w:color w:val="auto"/>
          <w:spacing w:val="8"/>
          <w:sz w:val="22"/>
          <w:szCs w:val="22"/>
          <w:highlight w:val="none"/>
          <w:u w:val="single"/>
          <w:lang w:eastAsia="zh-CN"/>
        </w:rPr>
        <w:t>；</w:t>
      </w:r>
      <w:r>
        <w:rPr>
          <w:rFonts w:hint="eastAsia" w:ascii="宋体" w:hAnsi="宋体" w:eastAsia="宋体" w:cs="宋体"/>
          <w:color w:val="auto"/>
          <w:spacing w:val="-2"/>
          <w:sz w:val="22"/>
          <w:szCs w:val="22"/>
          <w:highlight w:val="none"/>
          <w:u w:val="single"/>
          <w:lang w:eastAsia="zh-CN"/>
        </w:rPr>
        <w:t>待工程结算审核</w:t>
      </w:r>
      <w:r>
        <w:rPr>
          <w:rFonts w:hint="eastAsia" w:ascii="宋体" w:hAnsi="宋体" w:eastAsia="宋体" w:cs="宋体"/>
          <w:color w:val="auto"/>
          <w:sz w:val="22"/>
          <w:szCs w:val="22"/>
          <w:highlight w:val="none"/>
          <w:u w:val="single"/>
          <w:lang w:eastAsia="zh-CN"/>
        </w:rPr>
        <w:t>造价后，工程款付至结算价的97%（含已支付的工程</w:t>
      </w:r>
      <w:r>
        <w:rPr>
          <w:rFonts w:hint="eastAsia" w:ascii="宋体" w:hAnsi="宋体" w:eastAsia="宋体" w:cs="宋体"/>
          <w:color w:val="auto"/>
          <w:spacing w:val="-1"/>
          <w:sz w:val="22"/>
          <w:szCs w:val="22"/>
          <w:highlight w:val="none"/>
          <w:u w:val="single"/>
          <w:lang w:eastAsia="zh-CN"/>
        </w:rPr>
        <w:t>款</w:t>
      </w:r>
      <w:r>
        <w:rPr>
          <w:rFonts w:hint="eastAsia" w:ascii="宋体" w:hAnsi="宋体" w:eastAsia="宋体" w:cs="宋体"/>
          <w:color w:val="auto"/>
          <w:spacing w:val="6"/>
          <w:sz w:val="22"/>
          <w:szCs w:val="22"/>
          <w:highlight w:val="none"/>
          <w:u w:val="single"/>
          <w:lang w:eastAsia="zh-CN"/>
        </w:rPr>
        <w:t>）；</w:t>
      </w:r>
      <w:r>
        <w:rPr>
          <w:rFonts w:hint="eastAsia" w:ascii="宋体" w:hAnsi="宋体" w:eastAsia="宋体" w:cs="宋体"/>
          <w:color w:val="auto"/>
          <w:spacing w:val="-1"/>
          <w:sz w:val="22"/>
          <w:szCs w:val="22"/>
          <w:highlight w:val="none"/>
          <w:u w:val="single"/>
          <w:lang w:eastAsia="zh-CN"/>
        </w:rPr>
        <w:t>结算余款的3%作为工程质量保修金，待</w:t>
      </w:r>
      <w:r>
        <w:rPr>
          <w:rFonts w:hint="eastAsia" w:ascii="宋体" w:hAnsi="宋体" w:eastAsia="宋体" w:cs="宋体"/>
          <w:color w:val="auto"/>
          <w:sz w:val="22"/>
          <w:szCs w:val="22"/>
          <w:highlight w:val="none"/>
          <w:u w:val="single"/>
          <w:lang w:eastAsia="zh-CN"/>
        </w:rPr>
        <w:t>工程质量保修期满及审计结算后支付</w:t>
      </w:r>
      <w:r>
        <w:rPr>
          <w:rFonts w:hint="eastAsia" w:ascii="宋体" w:hAnsi="宋体" w:eastAsia="宋体" w:cs="宋体"/>
          <w:color w:val="auto"/>
          <w:sz w:val="21"/>
          <w:szCs w:val="21"/>
          <w:highlight w:val="none"/>
          <w:u w:val="single"/>
        </w:rPr>
        <w:t>。</w:t>
      </w:r>
    </w:p>
    <w:p w14:paraId="6FD077B9">
      <w:pPr>
        <w:pStyle w:val="29"/>
        <w:spacing w:line="380" w:lineRule="exact"/>
        <w:ind w:firstLine="420" w:firstLineChars="200"/>
        <w:jc w:val="left"/>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u w:val="single"/>
          <w:lang w:val="en-US" w:eastAsia="zh-CN" w:bidi="ar-SA"/>
        </w:rPr>
        <w:t>每次付款前，承包人应按发包人的要求提供符合相关法律法规的增值税发票，如发票不符合要求，发包人有权拒收，承包人应承担因不合格发票产生的所有责任。</w:t>
      </w:r>
    </w:p>
    <w:p w14:paraId="7E2C0953">
      <w:pPr>
        <w:pStyle w:val="29"/>
        <w:spacing w:line="380" w:lineRule="exact"/>
        <w:ind w:firstLine="420" w:firstLineChars="200"/>
        <w:jc w:val="left"/>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u w:val="single"/>
          <w:lang w:val="en-US" w:eastAsia="zh-CN" w:bidi="ar-SA"/>
        </w:rPr>
        <w:t>根据自治区办公厅 《关于全面治理拖欠农民工工资问题的实施意见》(桂政办发[2016]113号)、《关于印发广西壮族自治区工程建设领域工人工资支付专用账户管理办法的通知》(桂薪联发[2016]1号)、《桂林市财政局关于落实政府投资工程项目工程款与农民工工资分帐拨款的通知》市财建【2018】73号等文件规定，在全区工程建设领域，实行人工费用和其他工程款分账管理。双方约定：发包人在每次拨付工程进度款或结算款时，按拨付工程款数额的    %比例将人工费用拨付到承包人的农民工工资专用账户，用于发放农民工工资。（农民工工资专用账户开户名称： ；开户银行： ；账号：  ）。</w:t>
      </w:r>
    </w:p>
    <w:p w14:paraId="64EA33CD">
      <w:pPr>
        <w:pStyle w:val="29"/>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12.4.2 进度付款申请单的编制</w:t>
      </w:r>
    </w:p>
    <w:p w14:paraId="61A67C36">
      <w:pPr>
        <w:pStyle w:val="29"/>
        <w:spacing w:line="380" w:lineRule="exact"/>
        <w:ind w:firstLine="420" w:firstLineChars="200"/>
        <w:jc w:val="left"/>
        <w:rPr>
          <w:rFonts w:hint="eastAsia" w:ascii="宋体" w:hAnsi="宋体" w:eastAsia="宋体" w:cs="宋体"/>
          <w:bCs/>
          <w:color w:val="auto"/>
          <w:szCs w:val="21"/>
          <w:highlight w:val="none"/>
          <w:u w:val="single"/>
        </w:rPr>
      </w:pPr>
      <w:r>
        <w:rPr>
          <w:rFonts w:hint="eastAsia" w:ascii="宋体" w:hAnsi="宋体" w:eastAsia="宋体" w:cs="宋体"/>
          <w:color w:val="auto"/>
          <w:szCs w:val="21"/>
          <w:highlight w:val="none"/>
        </w:rPr>
        <w:t>关于进度付款申请单编制的约定：</w:t>
      </w:r>
      <w:r>
        <w:rPr>
          <w:rFonts w:hint="eastAsia" w:ascii="宋体" w:hAnsi="宋体" w:eastAsia="宋体" w:cs="宋体"/>
          <w:bCs/>
          <w:color w:val="auto"/>
          <w:szCs w:val="21"/>
          <w:highlight w:val="none"/>
          <w:u w:val="single"/>
        </w:rPr>
        <w:t>承包人应在每个计量周期到期后的7天内向发包人提交已完工程进度款支付申请一式四份，详细说明此周期自己认为有权得到的款额，包括分包人已完工程的价款，内容包括已完工程预算书、工程量计算式及劳务队组提供的民工工资支付证明。</w:t>
      </w:r>
    </w:p>
    <w:p w14:paraId="66C3C5CB">
      <w:pPr>
        <w:pStyle w:val="29"/>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r>
        <w:rPr>
          <w:rFonts w:hint="eastAsia" w:ascii="宋体" w:hAnsi="宋体" w:eastAsia="宋体" w:cs="宋体"/>
          <w:color w:val="auto"/>
          <w:szCs w:val="21"/>
          <w:highlight w:val="none"/>
        </w:rPr>
        <w:t>2.4.3 进度付款申请单的提交</w:t>
      </w:r>
    </w:p>
    <w:p w14:paraId="147E88DE">
      <w:pPr>
        <w:pStyle w:val="29"/>
        <w:spacing w:line="380" w:lineRule="exact"/>
        <w:ind w:firstLine="420" w:firstLineChars="200"/>
        <w:jc w:val="left"/>
        <w:rPr>
          <w:rFonts w:hint="eastAsia" w:ascii="宋体" w:hAnsi="宋体" w:eastAsia="宋体" w:cs="宋体"/>
          <w:bCs/>
          <w:color w:val="auto"/>
          <w:szCs w:val="21"/>
          <w:highlight w:val="none"/>
          <w:u w:val="single"/>
        </w:rPr>
      </w:pPr>
      <w:r>
        <w:rPr>
          <w:rFonts w:hint="eastAsia" w:ascii="宋体" w:hAnsi="宋体" w:eastAsia="宋体" w:cs="宋体"/>
          <w:color w:val="auto"/>
          <w:szCs w:val="21"/>
          <w:highlight w:val="none"/>
        </w:rPr>
        <w:t>（1）单价合同进度付款申请单提交的约定：</w:t>
      </w:r>
      <w:r>
        <w:rPr>
          <w:rFonts w:hint="eastAsia" w:ascii="宋体" w:hAnsi="宋体" w:eastAsia="宋体" w:cs="宋体"/>
          <w:bCs/>
          <w:color w:val="auto"/>
          <w:szCs w:val="21"/>
          <w:highlight w:val="none"/>
          <w:u w:val="single"/>
        </w:rPr>
        <w:t>承包人应在每个计量周期到期后的3天内向发包人提交支付申请一式三份，承包人当月完成的产值不足合同价的1％时，不支付进度款，累计至下月一并支付。承包人应随投标文件提交不拖欠民工工资的承诺函和措施。具体支付手续按财政性资金支付程序有关规定办理。</w:t>
      </w:r>
    </w:p>
    <w:p w14:paraId="503C59CF">
      <w:pPr>
        <w:pStyle w:val="29"/>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（2）总价合同进度付款申请单提交的约定：</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46909BD0">
      <w:pPr>
        <w:pStyle w:val="29"/>
        <w:spacing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（3）其他价格形式合同进度付款申请单提交的约定：</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5C7EF005">
      <w:pPr>
        <w:pStyle w:val="29"/>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12.4.4 进度款审核和支付</w:t>
      </w:r>
    </w:p>
    <w:p w14:paraId="27195C19">
      <w:pPr>
        <w:pStyle w:val="29"/>
        <w:spacing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（1）监理人审查并报送发包人的期限：</w:t>
      </w:r>
      <w:r>
        <w:rPr>
          <w:rFonts w:hint="eastAsia" w:ascii="宋体" w:hAnsi="宋体" w:eastAsia="宋体" w:cs="宋体"/>
          <w:color w:val="auto"/>
          <w:szCs w:val="21"/>
          <w:highlight w:val="none"/>
          <w:u w:val="single"/>
        </w:rPr>
        <w:t>监理人收到承包人进度付款申请单以及相关资料后 7 天内完成审查并报送发包人</w:t>
      </w:r>
      <w:r>
        <w:rPr>
          <w:rFonts w:hint="eastAsia" w:ascii="宋体" w:hAnsi="宋体" w:eastAsia="宋体" w:cs="宋体"/>
          <w:color w:val="auto"/>
          <w:szCs w:val="21"/>
          <w:highlight w:val="none"/>
        </w:rPr>
        <w:t>。</w:t>
      </w:r>
    </w:p>
    <w:p w14:paraId="07504321">
      <w:pPr>
        <w:pStyle w:val="29"/>
        <w:spacing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发包人完成审批并签发进度款支付证书的期限：</w:t>
      </w:r>
      <w:r>
        <w:rPr>
          <w:rFonts w:hint="eastAsia" w:ascii="宋体" w:hAnsi="宋体" w:eastAsia="宋体" w:cs="宋体"/>
          <w:color w:val="auto"/>
          <w:szCs w:val="21"/>
          <w:highlight w:val="none"/>
          <w:u w:val="single"/>
        </w:rPr>
        <w:t>收到后 7 天内完成审批并签发</w:t>
      </w:r>
      <w:r>
        <w:rPr>
          <w:rFonts w:hint="eastAsia" w:ascii="宋体" w:hAnsi="宋体" w:eastAsia="宋体" w:cs="宋体"/>
          <w:color w:val="auto"/>
          <w:szCs w:val="21"/>
          <w:highlight w:val="none"/>
        </w:rPr>
        <w:t>。</w:t>
      </w:r>
    </w:p>
    <w:p w14:paraId="21F33B22">
      <w:pPr>
        <w:pStyle w:val="29"/>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（2）发包人支付进度款的期限：</w:t>
      </w:r>
      <w:r>
        <w:rPr>
          <w:rFonts w:hint="eastAsia" w:ascii="宋体" w:hAnsi="宋体" w:eastAsia="宋体" w:cs="宋体"/>
          <w:color w:val="auto"/>
          <w:szCs w:val="21"/>
          <w:highlight w:val="none"/>
          <w:u w:val="single"/>
        </w:rPr>
        <w:t xml:space="preserve">办理相关付款手续后的7天内 </w:t>
      </w:r>
      <w:r>
        <w:rPr>
          <w:rFonts w:hint="eastAsia" w:ascii="宋体" w:hAnsi="宋体" w:eastAsia="宋体" w:cs="宋体"/>
          <w:color w:val="auto"/>
          <w:szCs w:val="21"/>
          <w:highlight w:val="none"/>
        </w:rPr>
        <w:t>。</w:t>
      </w:r>
    </w:p>
    <w:p w14:paraId="7DDE8332">
      <w:pPr>
        <w:pStyle w:val="29"/>
        <w:spacing w:line="380" w:lineRule="exact"/>
        <w:ind w:firstLine="525" w:firstLineChars="2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发包人逾期支付进度款的违约金的计算方式：</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40B666DB">
      <w:pPr>
        <w:pStyle w:val="29"/>
        <w:spacing w:line="380" w:lineRule="exact"/>
        <w:ind w:firstLine="525" w:firstLineChars="2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进度款支付方式：</w:t>
      </w:r>
      <w:r>
        <w:rPr>
          <w:rFonts w:hint="eastAsia" w:ascii="宋体" w:hAnsi="宋体" w:eastAsia="宋体" w:cs="宋体"/>
          <w:color w:val="auto"/>
          <w:szCs w:val="21"/>
          <w:highlight w:val="none"/>
          <w:u w:val="single"/>
        </w:rPr>
        <w:t>银行转账</w:t>
      </w:r>
      <w:r>
        <w:rPr>
          <w:rFonts w:hint="eastAsia" w:ascii="宋体" w:hAnsi="宋体" w:eastAsia="宋体" w:cs="宋体"/>
          <w:color w:val="auto"/>
          <w:szCs w:val="21"/>
          <w:highlight w:val="none"/>
        </w:rPr>
        <w:t>。</w:t>
      </w:r>
    </w:p>
    <w:p w14:paraId="4C9F6D5F">
      <w:pPr>
        <w:pStyle w:val="29"/>
        <w:spacing w:line="380" w:lineRule="exact"/>
        <w:ind w:firstLine="525" w:firstLineChars="2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12.4.6 支付分解表的编制</w:t>
      </w:r>
    </w:p>
    <w:p w14:paraId="6E745233">
      <w:pPr>
        <w:pStyle w:val="29"/>
        <w:spacing w:line="380" w:lineRule="exact"/>
        <w:ind w:firstLine="525" w:firstLineChars="25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 总价合同支付分解表的编制与审批：</w:t>
      </w:r>
      <w:r>
        <w:rPr>
          <w:rFonts w:hint="eastAsia" w:ascii="宋体" w:hAnsi="宋体" w:eastAsia="宋体" w:cs="宋体"/>
          <w:color w:val="auto"/>
          <w:szCs w:val="21"/>
          <w:highlight w:val="none"/>
          <w:u w:val="single"/>
        </w:rPr>
        <w:t xml:space="preserve"> 无 </w:t>
      </w:r>
      <w:r>
        <w:rPr>
          <w:rFonts w:hint="eastAsia" w:ascii="宋体" w:hAnsi="宋体" w:eastAsia="宋体" w:cs="宋体"/>
          <w:color w:val="auto"/>
          <w:szCs w:val="21"/>
          <w:highlight w:val="none"/>
        </w:rPr>
        <w:t>。</w:t>
      </w:r>
    </w:p>
    <w:p w14:paraId="64D30E82">
      <w:pPr>
        <w:pStyle w:val="29"/>
        <w:spacing w:line="380" w:lineRule="exact"/>
        <w:ind w:firstLine="525" w:firstLineChars="25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3. 单价合同的总价项目支付分解表的编制与审批：</w:t>
      </w:r>
      <w:r>
        <w:rPr>
          <w:rFonts w:hint="eastAsia" w:ascii="宋体" w:hAnsi="宋体" w:eastAsia="宋体" w:cs="宋体"/>
          <w:color w:val="auto"/>
          <w:szCs w:val="21"/>
          <w:highlight w:val="none"/>
          <w:u w:val="single"/>
        </w:rPr>
        <w:t>单价项目不采用支付分解表的方式计算，而按《建设工程工程量清单计价规范（GB50500-2013）广西壮族自治区实施细则（修订本）》的规定执行。</w:t>
      </w:r>
    </w:p>
    <w:bookmarkEnd w:id="953"/>
    <w:p w14:paraId="34AD918A">
      <w:pPr>
        <w:keepNext/>
        <w:keepLines/>
        <w:widowControl w:val="0"/>
        <w:spacing w:line="380" w:lineRule="exact"/>
        <w:jc w:val="both"/>
        <w:outlineLvl w:val="0"/>
        <w:rPr>
          <w:rFonts w:hint="eastAsia" w:ascii="宋体" w:hAnsi="宋体" w:eastAsia="宋体" w:cs="宋体"/>
          <w:b/>
          <w:bCs/>
          <w:color w:val="auto"/>
          <w:kern w:val="44"/>
          <w:sz w:val="21"/>
          <w:szCs w:val="21"/>
          <w:highlight w:val="none"/>
          <w:lang w:val="en-US" w:eastAsia="zh-CN" w:bidi="ar-SA"/>
        </w:rPr>
      </w:pPr>
      <w:bookmarkStart w:id="1297" w:name="_Toc256000231"/>
      <w:bookmarkStart w:id="1298" w:name="_Toc389065318"/>
      <w:bookmarkStart w:id="1299" w:name="_Toc403578988"/>
      <w:bookmarkStart w:id="1300" w:name="_Toc418751850"/>
      <w:bookmarkStart w:id="1301" w:name="_Toc522201780"/>
      <w:bookmarkStart w:id="1302" w:name="_Toc418061365"/>
      <w:bookmarkStart w:id="1303" w:name="_Toc497746835"/>
      <w:bookmarkStart w:id="1304" w:name="_Toc373478400"/>
      <w:bookmarkStart w:id="1305" w:name="_Toc373227753"/>
      <w:bookmarkStart w:id="1306" w:name="_Toc618"/>
      <w:bookmarkStart w:id="1307" w:name="_Toc418518164"/>
      <w:bookmarkStart w:id="1308" w:name="_Toc418752296"/>
      <w:bookmarkStart w:id="1309" w:name="_Toc418518400"/>
      <w:bookmarkStart w:id="1310" w:name="_Toc497747232"/>
      <w:bookmarkStart w:id="1311" w:name="_Toc351203645"/>
      <w:bookmarkStart w:id="1312" w:name="_Toc296346720"/>
      <w:bookmarkStart w:id="1313" w:name="_Toc296503219"/>
      <w:bookmarkStart w:id="1314" w:name="_Toc296347218"/>
      <w:bookmarkStart w:id="1315" w:name="_Toc297048405"/>
      <w:bookmarkStart w:id="1316" w:name="_Toc297216223"/>
      <w:bookmarkStart w:id="1317" w:name="_Toc297120519"/>
      <w:bookmarkStart w:id="1318" w:name="_Toc292559929"/>
      <w:bookmarkStart w:id="1319" w:name="_Toc312678053"/>
      <w:bookmarkStart w:id="1320" w:name="_Toc296891259"/>
      <w:bookmarkStart w:id="1321" w:name="_Toc297123564"/>
      <w:bookmarkStart w:id="1322" w:name="_Toc304295593"/>
      <w:bookmarkStart w:id="1323" w:name="_Toc296891047"/>
      <w:bookmarkStart w:id="1324" w:name="_Toc300935015"/>
      <w:bookmarkStart w:id="1325" w:name="_Toc296944558"/>
      <w:bookmarkStart w:id="1326" w:name="_Toc292559424"/>
      <w:bookmarkStart w:id="1327" w:name="_Toc303539172"/>
      <w:r>
        <w:rPr>
          <w:rFonts w:hint="eastAsia" w:ascii="宋体" w:hAnsi="宋体" w:eastAsia="宋体" w:cs="宋体"/>
          <w:b/>
          <w:bCs/>
          <w:color w:val="auto"/>
          <w:kern w:val="44"/>
          <w:sz w:val="21"/>
          <w:szCs w:val="21"/>
          <w:highlight w:val="none"/>
          <w:lang w:val="en-US" w:eastAsia="zh-CN" w:bidi="ar-SA"/>
        </w:rPr>
        <w:t>13. 验收和工程试车</w:t>
      </w:r>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p>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p w14:paraId="6CD17AA8">
      <w:pPr>
        <w:keepNext/>
        <w:keepLines/>
        <w:widowControl w:val="0"/>
        <w:spacing w:line="380" w:lineRule="exact"/>
        <w:ind w:firstLine="422" w:firstLineChars="200"/>
        <w:jc w:val="both"/>
        <w:outlineLvl w:val="0"/>
        <w:rPr>
          <w:rFonts w:hint="eastAsia" w:ascii="宋体" w:hAnsi="宋体" w:eastAsia="宋体" w:cs="宋体"/>
          <w:b/>
          <w:bCs/>
          <w:color w:val="auto"/>
          <w:kern w:val="44"/>
          <w:sz w:val="21"/>
          <w:szCs w:val="21"/>
          <w:highlight w:val="none"/>
          <w:lang w:val="en-US" w:eastAsia="zh-CN" w:bidi="ar-SA"/>
        </w:rPr>
      </w:pPr>
      <w:bookmarkStart w:id="1328" w:name="_Toc373227754"/>
      <w:bookmarkStart w:id="1329" w:name="_Toc373478401"/>
      <w:bookmarkStart w:id="1330" w:name="_Toc418518401"/>
      <w:bookmarkStart w:id="1331" w:name="_Toc25940"/>
      <w:bookmarkStart w:id="1332" w:name="_Toc522201781"/>
      <w:bookmarkStart w:id="1333" w:name="_Toc403578989"/>
      <w:bookmarkStart w:id="1334" w:name="_Toc418518165"/>
      <w:bookmarkStart w:id="1335" w:name="_Toc497747233"/>
      <w:bookmarkStart w:id="1336" w:name="_Toc418752297"/>
      <w:bookmarkStart w:id="1337" w:name="_Toc418751851"/>
      <w:bookmarkStart w:id="1338" w:name="_Toc256000232"/>
      <w:bookmarkStart w:id="1339" w:name="_Toc497746836"/>
      <w:bookmarkStart w:id="1340" w:name="_Toc418061366"/>
      <w:bookmarkStart w:id="1341" w:name="_Toc389065319"/>
      <w:r>
        <w:rPr>
          <w:rFonts w:hint="eastAsia" w:ascii="宋体" w:hAnsi="宋体" w:eastAsia="宋体" w:cs="宋体"/>
          <w:b/>
          <w:bCs/>
          <w:color w:val="auto"/>
          <w:kern w:val="44"/>
          <w:sz w:val="21"/>
          <w:szCs w:val="21"/>
          <w:highlight w:val="none"/>
          <w:lang w:val="en-US" w:eastAsia="zh-CN" w:bidi="ar-SA"/>
        </w:rPr>
        <w:t>13.1 分部分项工程验收</w:t>
      </w:r>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p>
    <w:p w14:paraId="3FCB1104">
      <w:pPr>
        <w:pStyle w:val="29"/>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13.1.2监理人不能按时进行验收时，应提前</w:t>
      </w:r>
      <w:r>
        <w:rPr>
          <w:rFonts w:hint="eastAsia" w:ascii="宋体" w:hAnsi="宋体" w:eastAsia="宋体" w:cs="宋体"/>
          <w:color w:val="auto"/>
          <w:szCs w:val="21"/>
          <w:highlight w:val="none"/>
          <w:u w:val="single"/>
        </w:rPr>
        <w:t xml:space="preserve"> 24 </w:t>
      </w:r>
      <w:r>
        <w:rPr>
          <w:rFonts w:hint="eastAsia" w:ascii="宋体" w:hAnsi="宋体" w:eastAsia="宋体" w:cs="宋体"/>
          <w:color w:val="auto"/>
          <w:szCs w:val="21"/>
          <w:highlight w:val="none"/>
        </w:rPr>
        <w:t>小时提交书面延期要求。</w:t>
      </w:r>
    </w:p>
    <w:p w14:paraId="6A34AAAD">
      <w:pPr>
        <w:pStyle w:val="29"/>
        <w:spacing w:line="380" w:lineRule="exact"/>
        <w:ind w:firstLine="420" w:firstLineChars="200"/>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关于延期最长不得超过：</w:t>
      </w:r>
      <w:r>
        <w:rPr>
          <w:rFonts w:hint="eastAsia" w:ascii="宋体" w:hAnsi="宋体" w:eastAsia="宋体" w:cs="宋体"/>
          <w:color w:val="auto"/>
          <w:szCs w:val="21"/>
          <w:highlight w:val="none"/>
          <w:u w:val="single"/>
        </w:rPr>
        <w:t xml:space="preserve"> 48 </w:t>
      </w:r>
      <w:r>
        <w:rPr>
          <w:rFonts w:hint="eastAsia" w:ascii="宋体" w:hAnsi="宋体" w:eastAsia="宋体" w:cs="宋体"/>
          <w:color w:val="auto"/>
          <w:szCs w:val="21"/>
          <w:highlight w:val="none"/>
        </w:rPr>
        <w:t>小时。</w:t>
      </w:r>
    </w:p>
    <w:p w14:paraId="2389D720">
      <w:pPr>
        <w:keepNext/>
        <w:keepLines/>
        <w:widowControl w:val="0"/>
        <w:spacing w:line="380" w:lineRule="exact"/>
        <w:ind w:firstLine="422" w:firstLineChars="200"/>
        <w:jc w:val="both"/>
        <w:outlineLvl w:val="0"/>
        <w:rPr>
          <w:rFonts w:hint="eastAsia" w:ascii="宋体" w:hAnsi="宋体" w:eastAsia="宋体" w:cs="宋体"/>
          <w:b/>
          <w:bCs/>
          <w:color w:val="auto"/>
          <w:kern w:val="44"/>
          <w:sz w:val="21"/>
          <w:szCs w:val="21"/>
          <w:highlight w:val="none"/>
          <w:lang w:val="en-US" w:eastAsia="zh-CN" w:bidi="ar-SA"/>
        </w:rPr>
      </w:pPr>
      <w:bookmarkStart w:id="1342" w:name="_Toc373227755"/>
      <w:bookmarkStart w:id="1343" w:name="_Toc418518166"/>
      <w:bookmarkStart w:id="1344" w:name="_Toc373478402"/>
      <w:bookmarkStart w:id="1345" w:name="_Toc389065320"/>
      <w:bookmarkStart w:id="1346" w:name="_Toc522201782"/>
      <w:bookmarkStart w:id="1347" w:name="_Toc403578990"/>
      <w:bookmarkStart w:id="1348" w:name="_Toc418752298"/>
      <w:bookmarkStart w:id="1349" w:name="_Toc497746837"/>
      <w:bookmarkStart w:id="1350" w:name="_Toc418518402"/>
      <w:bookmarkStart w:id="1351" w:name="_Toc256000233"/>
      <w:bookmarkStart w:id="1352" w:name="_Toc418061367"/>
      <w:bookmarkStart w:id="1353" w:name="_Toc497747234"/>
      <w:bookmarkStart w:id="1354" w:name="_Toc418751852"/>
      <w:bookmarkStart w:id="1355" w:name="_Toc8194"/>
      <w:bookmarkStart w:id="1356" w:name="_Toc303539173"/>
      <w:bookmarkStart w:id="1357" w:name="_Toc296346724"/>
      <w:bookmarkStart w:id="1358" w:name="_Toc292559933"/>
      <w:bookmarkStart w:id="1359" w:name="_Toc304295596"/>
      <w:bookmarkStart w:id="1360" w:name="_Toc297048409"/>
      <w:bookmarkStart w:id="1361" w:name="_Toc296347222"/>
      <w:bookmarkStart w:id="1362" w:name="_Toc300935016"/>
      <w:bookmarkStart w:id="1363" w:name="_Toc297120523"/>
      <w:bookmarkStart w:id="1364" w:name="_Toc297123565"/>
      <w:bookmarkStart w:id="1365" w:name="_Toc296891051"/>
      <w:bookmarkStart w:id="1366" w:name="_Toc296503223"/>
      <w:bookmarkStart w:id="1367" w:name="_Toc312678056"/>
      <w:bookmarkStart w:id="1368" w:name="_Toc296891263"/>
      <w:bookmarkStart w:id="1369" w:name="_Toc292559428"/>
      <w:bookmarkStart w:id="1370" w:name="_Toc297216224"/>
      <w:bookmarkStart w:id="1371" w:name="_Toc296944562"/>
      <w:bookmarkStart w:id="1372" w:name="_Toc267251473"/>
      <w:bookmarkStart w:id="1373" w:name="_Toc267251475"/>
      <w:bookmarkStart w:id="1374" w:name="_Toc267251474"/>
      <w:bookmarkStart w:id="1375" w:name="_Toc267251470"/>
      <w:bookmarkStart w:id="1376" w:name="_Toc267251476"/>
      <w:bookmarkStart w:id="1377" w:name="_Toc267251471"/>
      <w:bookmarkStart w:id="1378" w:name="_Toc267251472"/>
      <w:r>
        <w:rPr>
          <w:rFonts w:hint="eastAsia" w:ascii="宋体" w:hAnsi="宋体" w:eastAsia="宋体" w:cs="宋体"/>
          <w:b/>
          <w:bCs/>
          <w:color w:val="auto"/>
          <w:kern w:val="44"/>
          <w:sz w:val="21"/>
          <w:szCs w:val="21"/>
          <w:highlight w:val="none"/>
          <w:lang w:val="en-US" w:eastAsia="zh-CN" w:bidi="ar-SA"/>
        </w:rPr>
        <w:t>13.2 竣工验收</w:t>
      </w:r>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p>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p w14:paraId="7A777C16">
      <w:pPr>
        <w:pStyle w:val="29"/>
        <w:spacing w:line="380" w:lineRule="exact"/>
        <w:ind w:firstLine="420" w:firstLineChars="200"/>
        <w:jc w:val="left"/>
        <w:rPr>
          <w:rFonts w:hint="eastAsia" w:ascii="宋体" w:hAnsi="宋体" w:eastAsia="宋体" w:cs="宋体"/>
          <w:color w:val="auto"/>
          <w:szCs w:val="21"/>
          <w:highlight w:val="none"/>
        </w:rPr>
      </w:pPr>
      <w:bookmarkStart w:id="1379" w:name="_Toc280868704"/>
      <w:bookmarkStart w:id="1380" w:name="_Toc280868705"/>
      <w:bookmarkStart w:id="1381" w:name="_Toc280868706"/>
      <w:bookmarkStart w:id="1382" w:name="_Toc280868707"/>
      <w:bookmarkStart w:id="1383" w:name="_Toc280868708"/>
      <w:bookmarkStart w:id="1384" w:name="_Toc280868709"/>
      <w:r>
        <w:rPr>
          <w:rFonts w:hint="eastAsia" w:ascii="宋体" w:hAnsi="宋体" w:eastAsia="宋体" w:cs="宋体"/>
          <w:color w:val="auto"/>
          <w:szCs w:val="21"/>
          <w:highlight w:val="none"/>
        </w:rPr>
        <w:t>13.2.1竣工验收条件</w:t>
      </w:r>
    </w:p>
    <w:p w14:paraId="0BD9F2DF">
      <w:pPr>
        <w:pStyle w:val="29"/>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（3）承包人负责整理和提交的竣工验收资料应当符合工程所在地建设行政主管部门和(或)城市建设档案管理机构有关施工资料的要求，具体内容包括：</w:t>
      </w:r>
      <w:r>
        <w:rPr>
          <w:rFonts w:hint="eastAsia" w:ascii="宋体" w:hAnsi="宋体" w:eastAsia="宋体" w:cs="宋体"/>
          <w:color w:val="auto"/>
          <w:szCs w:val="21"/>
          <w:highlight w:val="none"/>
          <w:u w:val="single"/>
        </w:rPr>
        <w:t xml:space="preserve">  1、工程具备竣工验收条件，承包人按工期竣工验收有关规定，向发包人提交符合桂林市城建档案馆归档要求内容装订成册的完整竣工资料及竣工验收报告、工程竣工图。2、承包人所提交的竣工资料必须符合《建设工程归档整理规范》要求，并在结算审批时出具《工程档案验收合格证明》及建设单位接收档案资料清单证明   </w:t>
      </w:r>
      <w:r>
        <w:rPr>
          <w:rFonts w:hint="eastAsia" w:ascii="宋体" w:hAnsi="宋体" w:eastAsia="宋体" w:cs="宋体"/>
          <w:color w:val="auto"/>
          <w:szCs w:val="21"/>
          <w:highlight w:val="none"/>
        </w:rPr>
        <w:t>。</w:t>
      </w:r>
    </w:p>
    <w:p w14:paraId="7D69664A">
      <w:pPr>
        <w:pStyle w:val="29"/>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竣工验收资料的份数：</w:t>
      </w:r>
      <w:r>
        <w:rPr>
          <w:rFonts w:hint="eastAsia" w:ascii="宋体" w:hAnsi="宋体" w:eastAsia="宋体" w:cs="宋体"/>
          <w:color w:val="auto"/>
          <w:szCs w:val="21"/>
          <w:highlight w:val="none"/>
          <w:u w:val="single"/>
        </w:rPr>
        <w:t>肆份，承包人承担竣工验收资料编制、立卷及至档案馆归档等一切费用</w:t>
      </w:r>
      <w:r>
        <w:rPr>
          <w:rFonts w:hint="eastAsia" w:ascii="宋体" w:hAnsi="宋体" w:eastAsia="宋体" w:cs="宋体"/>
          <w:color w:val="auto"/>
          <w:szCs w:val="21"/>
          <w:highlight w:val="none"/>
        </w:rPr>
        <w:t>。</w:t>
      </w:r>
    </w:p>
    <w:p w14:paraId="74F499F6">
      <w:pPr>
        <w:pStyle w:val="29"/>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承包人提供竣工图的约定：</w:t>
      </w:r>
      <w:r>
        <w:rPr>
          <w:rFonts w:hint="eastAsia" w:ascii="宋体" w:hAnsi="宋体" w:eastAsia="宋体" w:cs="宋体"/>
          <w:bCs/>
          <w:color w:val="auto"/>
          <w:szCs w:val="21"/>
          <w:highlight w:val="none"/>
          <w:u w:val="single"/>
        </w:rPr>
        <w:t>竣工验收正式通过后15天，提供4套竣工图。</w:t>
      </w:r>
    </w:p>
    <w:p w14:paraId="5B485397">
      <w:pPr>
        <w:pStyle w:val="29"/>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13.2.2竣工验收程序</w:t>
      </w:r>
    </w:p>
    <w:bookmarkEnd w:id="1379"/>
    <w:p w14:paraId="45EEBCFB">
      <w:pPr>
        <w:pStyle w:val="29"/>
        <w:spacing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rPr>
        <w:t>关于竣工验收程序的约定</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Cs w:val="21"/>
          <w:highlight w:val="none"/>
          <w:u w:val="single"/>
        </w:rPr>
        <w:t>由承包人提出申请，经监理工程师及承包人同意后，通知各质检及监督部门进行竣工验收。本工程竣工验收合格后，双方应在验收报告上签字认可，本工程实际竣工日期以建设、设计、勘察、监理、施工五家单位验收小组正式验收签字日期为准。工程保修按合同附件3《工程质量保修书》有关规定执行。</w:t>
      </w:r>
    </w:p>
    <w:p w14:paraId="7EDA2821">
      <w:pPr>
        <w:pStyle w:val="29"/>
        <w:spacing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rPr>
        <w:t>发包人不按照本项约定组织竣工验收、颁发工程接收证书的违约金的计算方法：</w:t>
      </w:r>
      <w:r>
        <w:rPr>
          <w:rFonts w:hint="eastAsia" w:ascii="宋体" w:hAnsi="宋体" w:eastAsia="宋体" w:cs="宋体"/>
          <w:color w:val="auto"/>
          <w:szCs w:val="21"/>
          <w:highlight w:val="none"/>
          <w:u w:val="single"/>
        </w:rPr>
        <w:t xml:space="preserve"> 无  </w:t>
      </w:r>
      <w:r>
        <w:rPr>
          <w:rFonts w:hint="eastAsia" w:ascii="宋体" w:hAnsi="宋体" w:eastAsia="宋体" w:cs="宋体"/>
          <w:color w:val="auto"/>
          <w:szCs w:val="21"/>
          <w:highlight w:val="none"/>
        </w:rPr>
        <w:t>。</w:t>
      </w:r>
    </w:p>
    <w:bookmarkEnd w:id="1380"/>
    <w:p w14:paraId="5A45F2D0">
      <w:pPr>
        <w:pStyle w:val="29"/>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13.2.5移交、接收全部与部分工程</w:t>
      </w:r>
    </w:p>
    <w:bookmarkEnd w:id="1381"/>
    <w:p w14:paraId="7C918162">
      <w:pPr>
        <w:pStyle w:val="29"/>
        <w:spacing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承包人向发包人移交工程的期限：</w:t>
      </w:r>
      <w:r>
        <w:rPr>
          <w:rFonts w:hint="eastAsia" w:ascii="宋体" w:hAnsi="宋体" w:eastAsia="宋体" w:cs="宋体"/>
          <w:color w:val="auto"/>
          <w:szCs w:val="21"/>
          <w:highlight w:val="none"/>
          <w:u w:val="single"/>
        </w:rPr>
        <w:t xml:space="preserve"> 竣工验收整改完毕三日内 </w:t>
      </w:r>
      <w:r>
        <w:rPr>
          <w:rFonts w:hint="eastAsia" w:ascii="宋体" w:hAnsi="宋体" w:eastAsia="宋体" w:cs="宋体"/>
          <w:color w:val="auto"/>
          <w:szCs w:val="21"/>
          <w:highlight w:val="none"/>
        </w:rPr>
        <w:t>。</w:t>
      </w:r>
    </w:p>
    <w:p w14:paraId="7314E26B">
      <w:pPr>
        <w:pStyle w:val="29"/>
        <w:spacing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rPr>
        <w:t>发包人未按本合同约定接收全部或部分工程的，违约金的计算方法为：</w:t>
      </w:r>
      <w:r>
        <w:rPr>
          <w:rFonts w:hint="eastAsia" w:ascii="宋体" w:hAnsi="宋体" w:eastAsia="宋体" w:cs="宋体"/>
          <w:color w:val="auto"/>
          <w:szCs w:val="21"/>
          <w:highlight w:val="none"/>
          <w:u w:val="single"/>
        </w:rPr>
        <w:t xml:space="preserve">  </w:t>
      </w:r>
      <w:r>
        <w:rPr>
          <w:rFonts w:hint="eastAsia" w:ascii="宋体" w:hAnsi="宋体" w:eastAsia="宋体" w:cs="宋体"/>
          <w:bCs/>
          <w:color w:val="auto"/>
          <w:szCs w:val="21"/>
          <w:highlight w:val="none"/>
          <w:u w:val="single"/>
        </w:rPr>
        <w:t>每逾期一天，按</w:t>
      </w:r>
      <w:r>
        <w:rPr>
          <w:rFonts w:hint="eastAsia" w:ascii="宋体" w:hAnsi="宋体" w:eastAsia="宋体" w:cs="宋体"/>
          <w:color w:val="auto"/>
          <w:szCs w:val="21"/>
          <w:highlight w:val="none"/>
          <w:u w:val="single"/>
          <w:lang w:val="zh-CN"/>
        </w:rPr>
        <w:t>签约合同价</w:t>
      </w:r>
      <w:r>
        <w:rPr>
          <w:rFonts w:hint="eastAsia" w:ascii="宋体" w:hAnsi="宋体" w:eastAsia="宋体" w:cs="宋体"/>
          <w:color w:val="auto"/>
          <w:szCs w:val="21"/>
          <w:highlight w:val="none"/>
          <w:u w:val="single"/>
        </w:rPr>
        <w:t>款扣除发包人材料价款、暂估专业工程、暂列金额后的万分之四/天</w:t>
      </w:r>
      <w:r>
        <w:rPr>
          <w:rFonts w:hint="eastAsia" w:ascii="宋体" w:hAnsi="宋体" w:eastAsia="宋体" w:cs="宋体"/>
          <w:bCs/>
          <w:color w:val="auto"/>
          <w:szCs w:val="21"/>
          <w:highlight w:val="none"/>
          <w:u w:val="single"/>
        </w:rPr>
        <w:t xml:space="preserve">支付违约金，最高限额为结算价的3% </w:t>
      </w:r>
      <w:r>
        <w:rPr>
          <w:rFonts w:hint="eastAsia" w:ascii="宋体" w:hAnsi="宋体" w:eastAsia="宋体" w:cs="宋体"/>
          <w:color w:val="auto"/>
          <w:szCs w:val="21"/>
          <w:highlight w:val="none"/>
        </w:rPr>
        <w:t>。</w:t>
      </w:r>
    </w:p>
    <w:bookmarkEnd w:id="1382"/>
    <w:p w14:paraId="5139A95E">
      <w:pPr>
        <w:pStyle w:val="29"/>
        <w:spacing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承包人未按时移交工程的，违约金的计算方法为：</w:t>
      </w:r>
      <w:r>
        <w:rPr>
          <w:rFonts w:hint="eastAsia" w:ascii="宋体" w:hAnsi="宋体" w:eastAsia="宋体" w:cs="宋体"/>
          <w:color w:val="auto"/>
          <w:szCs w:val="21"/>
          <w:highlight w:val="none"/>
          <w:u w:val="single"/>
        </w:rPr>
        <w:t xml:space="preserve">  </w:t>
      </w:r>
      <w:r>
        <w:rPr>
          <w:rFonts w:hint="eastAsia" w:ascii="宋体" w:hAnsi="宋体" w:eastAsia="宋体" w:cs="宋体"/>
          <w:bCs/>
          <w:color w:val="auto"/>
          <w:szCs w:val="21"/>
          <w:highlight w:val="none"/>
          <w:u w:val="single"/>
        </w:rPr>
        <w:t>每逾期一天</w:t>
      </w:r>
      <w:r>
        <w:rPr>
          <w:rFonts w:hint="eastAsia" w:ascii="宋体" w:hAnsi="宋体" w:eastAsia="宋体" w:cs="宋体"/>
          <w:color w:val="auto"/>
          <w:szCs w:val="21"/>
          <w:highlight w:val="none"/>
          <w:u w:val="single"/>
        </w:rPr>
        <w:t>，按</w:t>
      </w:r>
      <w:r>
        <w:rPr>
          <w:rFonts w:hint="eastAsia" w:ascii="宋体" w:hAnsi="宋体" w:eastAsia="宋体" w:cs="宋体"/>
          <w:color w:val="auto"/>
          <w:szCs w:val="21"/>
          <w:highlight w:val="none"/>
          <w:u w:val="single"/>
          <w:lang w:val="zh-CN"/>
        </w:rPr>
        <w:t>签约合同价</w:t>
      </w:r>
      <w:r>
        <w:rPr>
          <w:rFonts w:hint="eastAsia" w:ascii="宋体" w:hAnsi="宋体" w:eastAsia="宋体" w:cs="宋体"/>
          <w:color w:val="auto"/>
          <w:szCs w:val="21"/>
          <w:highlight w:val="none"/>
          <w:u w:val="single"/>
        </w:rPr>
        <w:t xml:space="preserve">款扣除发包人材料价款、暂估专业工程、暂列金额后的万分之四/天支付违约金，最高限额为结算价的3%  </w:t>
      </w:r>
      <w:r>
        <w:rPr>
          <w:rFonts w:hint="eastAsia" w:ascii="宋体" w:hAnsi="宋体" w:eastAsia="宋体" w:cs="宋体"/>
          <w:color w:val="auto"/>
          <w:szCs w:val="21"/>
          <w:highlight w:val="none"/>
        </w:rPr>
        <w:t>。</w:t>
      </w:r>
    </w:p>
    <w:p w14:paraId="736E9163">
      <w:pPr>
        <w:keepNext/>
        <w:keepLines/>
        <w:widowControl w:val="0"/>
        <w:spacing w:line="380" w:lineRule="exact"/>
        <w:ind w:firstLine="422" w:firstLineChars="200"/>
        <w:jc w:val="both"/>
        <w:outlineLvl w:val="0"/>
        <w:rPr>
          <w:rFonts w:hint="eastAsia" w:ascii="宋体" w:hAnsi="宋体" w:eastAsia="宋体" w:cs="宋体"/>
          <w:b/>
          <w:bCs/>
          <w:color w:val="auto"/>
          <w:kern w:val="44"/>
          <w:sz w:val="21"/>
          <w:szCs w:val="21"/>
          <w:highlight w:val="none"/>
          <w:lang w:val="en-US" w:eastAsia="zh-CN" w:bidi="ar-SA"/>
        </w:rPr>
      </w:pPr>
      <w:bookmarkStart w:id="1385" w:name="_Toc389065321"/>
      <w:bookmarkStart w:id="1386" w:name="_Toc418061368"/>
      <w:bookmarkStart w:id="1387" w:name="_Toc6139"/>
      <w:bookmarkStart w:id="1388" w:name="_Toc373478403"/>
      <w:bookmarkStart w:id="1389" w:name="_Toc418752299"/>
      <w:bookmarkStart w:id="1390" w:name="_Toc497746838"/>
      <w:bookmarkStart w:id="1391" w:name="_Toc418518403"/>
      <w:bookmarkStart w:id="1392" w:name="_Toc373227756"/>
      <w:bookmarkStart w:id="1393" w:name="_Toc497747235"/>
      <w:bookmarkStart w:id="1394" w:name="_Toc403578991"/>
      <w:bookmarkStart w:id="1395" w:name="_Toc522201783"/>
      <w:bookmarkStart w:id="1396" w:name="_Toc418751853"/>
      <w:bookmarkStart w:id="1397" w:name="_Toc256000234"/>
      <w:bookmarkStart w:id="1398" w:name="_Toc418518167"/>
      <w:r>
        <w:rPr>
          <w:rFonts w:hint="eastAsia" w:ascii="宋体" w:hAnsi="宋体" w:eastAsia="宋体" w:cs="宋体"/>
          <w:b/>
          <w:bCs/>
          <w:color w:val="auto"/>
          <w:kern w:val="44"/>
          <w:sz w:val="21"/>
          <w:szCs w:val="21"/>
          <w:highlight w:val="none"/>
          <w:lang w:val="en-US" w:eastAsia="zh-CN" w:bidi="ar-SA"/>
        </w:rPr>
        <w:t>13.3 工程试车</w:t>
      </w:r>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p>
    <w:bookmarkEnd w:id="1383"/>
    <w:p w14:paraId="5F76D29E">
      <w:pPr>
        <w:pStyle w:val="29"/>
        <w:spacing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13.3.1 试车程序</w:t>
      </w:r>
    </w:p>
    <w:p w14:paraId="498A1357">
      <w:pPr>
        <w:pStyle w:val="29"/>
        <w:spacing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rPr>
        <w:t>工程试车内容：</w:t>
      </w:r>
      <w:r>
        <w:rPr>
          <w:rFonts w:hint="eastAsia" w:ascii="宋体" w:hAnsi="宋体" w:eastAsia="宋体" w:cs="宋体"/>
          <w:color w:val="auto"/>
          <w:szCs w:val="21"/>
          <w:highlight w:val="none"/>
          <w:u w:val="single"/>
        </w:rPr>
        <w:t xml:space="preserve">  为达到本工程的验收标准，工程范围内的设施和承包人安装的设备应进行试运行调试，费用由承包人自行负责并已包括在投标报价中 </w:t>
      </w:r>
      <w:r>
        <w:rPr>
          <w:rFonts w:hint="eastAsia" w:ascii="宋体" w:hAnsi="宋体" w:eastAsia="宋体" w:cs="宋体"/>
          <w:color w:val="auto"/>
          <w:szCs w:val="21"/>
          <w:highlight w:val="none"/>
        </w:rPr>
        <w:t>。</w:t>
      </w:r>
    </w:p>
    <w:p w14:paraId="299F9CAC">
      <w:pPr>
        <w:pStyle w:val="29"/>
        <w:spacing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（1）单机无负荷试车费用由</w:t>
      </w:r>
      <w:r>
        <w:rPr>
          <w:rFonts w:hint="eastAsia" w:ascii="宋体" w:hAnsi="宋体" w:eastAsia="宋体" w:cs="宋体"/>
          <w:color w:val="auto"/>
          <w:szCs w:val="21"/>
          <w:highlight w:val="none"/>
          <w:u w:val="single"/>
        </w:rPr>
        <w:t xml:space="preserve">  承包人组织试运行，费用由承包人</w:t>
      </w:r>
      <w:r>
        <w:rPr>
          <w:rFonts w:hint="eastAsia" w:ascii="宋体" w:hAnsi="宋体" w:eastAsia="宋体" w:cs="宋体"/>
          <w:color w:val="auto"/>
          <w:kern w:val="0"/>
          <w:szCs w:val="21"/>
          <w:highlight w:val="none"/>
        </w:rPr>
        <w:t>承担；</w:t>
      </w:r>
    </w:p>
    <w:p w14:paraId="0762BB56">
      <w:pPr>
        <w:pStyle w:val="29"/>
        <w:spacing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（2）无负荷联动试车费用由</w:t>
      </w:r>
      <w:r>
        <w:rPr>
          <w:rFonts w:hint="eastAsia" w:ascii="宋体" w:hAnsi="宋体" w:eastAsia="宋体" w:cs="宋体"/>
          <w:color w:val="auto"/>
          <w:szCs w:val="21"/>
          <w:highlight w:val="none"/>
          <w:u w:val="single"/>
        </w:rPr>
        <w:t xml:space="preserve">  承包人组织试运行，费用由承包人</w:t>
      </w:r>
      <w:r>
        <w:rPr>
          <w:rFonts w:hint="eastAsia" w:ascii="宋体" w:hAnsi="宋体" w:eastAsia="宋体" w:cs="宋体"/>
          <w:color w:val="auto"/>
          <w:kern w:val="0"/>
          <w:szCs w:val="21"/>
          <w:highlight w:val="none"/>
        </w:rPr>
        <w:t>承担。</w:t>
      </w:r>
    </w:p>
    <w:p w14:paraId="18E8577D">
      <w:pPr>
        <w:pStyle w:val="29"/>
        <w:spacing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13.3.3 投料试车</w:t>
      </w:r>
    </w:p>
    <w:p w14:paraId="521DB9F5">
      <w:pPr>
        <w:pStyle w:val="29"/>
        <w:spacing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rPr>
        <w:t>关于投料试车相关事项的约定：</w:t>
      </w:r>
      <w:r>
        <w:rPr>
          <w:rFonts w:hint="eastAsia" w:ascii="宋体" w:hAnsi="宋体" w:eastAsia="宋体" w:cs="宋体"/>
          <w:color w:val="auto"/>
          <w:szCs w:val="21"/>
          <w:highlight w:val="none"/>
          <w:u w:val="single"/>
        </w:rPr>
        <w:t xml:space="preserve"> 由承包人组织试运行，费用由承包人承担 </w:t>
      </w:r>
      <w:r>
        <w:rPr>
          <w:rFonts w:hint="eastAsia" w:ascii="宋体" w:hAnsi="宋体" w:eastAsia="宋体" w:cs="宋体"/>
          <w:color w:val="auto"/>
          <w:szCs w:val="21"/>
          <w:highlight w:val="none"/>
        </w:rPr>
        <w:t>。</w:t>
      </w:r>
    </w:p>
    <w:p w14:paraId="1A664C32">
      <w:pPr>
        <w:keepNext/>
        <w:keepLines/>
        <w:widowControl w:val="0"/>
        <w:spacing w:line="380" w:lineRule="exact"/>
        <w:ind w:firstLine="422" w:firstLineChars="200"/>
        <w:jc w:val="both"/>
        <w:outlineLvl w:val="0"/>
        <w:rPr>
          <w:rFonts w:hint="eastAsia" w:ascii="宋体" w:hAnsi="宋体" w:eastAsia="宋体" w:cs="宋体"/>
          <w:b/>
          <w:bCs/>
          <w:color w:val="auto"/>
          <w:kern w:val="44"/>
          <w:sz w:val="21"/>
          <w:szCs w:val="21"/>
          <w:highlight w:val="none"/>
          <w:lang w:val="en-US" w:eastAsia="zh-CN" w:bidi="ar-SA"/>
        </w:rPr>
      </w:pPr>
      <w:bookmarkStart w:id="1399" w:name="_Toc256000235"/>
      <w:bookmarkStart w:id="1400" w:name="_Toc418061369"/>
      <w:bookmarkStart w:id="1401" w:name="_Toc418752300"/>
      <w:bookmarkStart w:id="1402" w:name="_Toc13244"/>
      <w:bookmarkStart w:id="1403" w:name="_Toc418518168"/>
      <w:bookmarkStart w:id="1404" w:name="_Toc389065322"/>
      <w:bookmarkStart w:id="1405" w:name="_Toc373227757"/>
      <w:bookmarkStart w:id="1406" w:name="_Toc418518404"/>
      <w:bookmarkStart w:id="1407" w:name="_Toc373478404"/>
      <w:bookmarkStart w:id="1408" w:name="_Toc418751854"/>
      <w:bookmarkStart w:id="1409" w:name="_Toc497746839"/>
      <w:bookmarkStart w:id="1410" w:name="_Toc522201784"/>
      <w:bookmarkStart w:id="1411" w:name="_Toc403578992"/>
      <w:bookmarkStart w:id="1412" w:name="_Toc497747236"/>
      <w:r>
        <w:rPr>
          <w:rFonts w:hint="eastAsia" w:ascii="宋体" w:hAnsi="宋体" w:eastAsia="宋体" w:cs="宋体"/>
          <w:b/>
          <w:bCs/>
          <w:color w:val="auto"/>
          <w:kern w:val="44"/>
          <w:sz w:val="21"/>
          <w:szCs w:val="21"/>
          <w:highlight w:val="none"/>
          <w:lang w:val="en-US" w:eastAsia="zh-CN" w:bidi="ar-SA"/>
        </w:rPr>
        <w:t>13.6 竣工退场</w:t>
      </w:r>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p>
    <w:p w14:paraId="524E17B3">
      <w:pPr>
        <w:pStyle w:val="29"/>
        <w:spacing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13.6.1 竣工退场</w:t>
      </w:r>
    </w:p>
    <w:p w14:paraId="2850A59A">
      <w:pPr>
        <w:pStyle w:val="29"/>
        <w:spacing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承包人完成竣工退场的期限：</w:t>
      </w:r>
      <w:r>
        <w:rPr>
          <w:rFonts w:hint="eastAsia" w:ascii="宋体" w:hAnsi="宋体" w:eastAsia="宋体" w:cs="宋体"/>
          <w:color w:val="auto"/>
          <w:szCs w:val="21"/>
          <w:highlight w:val="none"/>
          <w:u w:val="single"/>
        </w:rPr>
        <w:t>监理人颁发(出具)工程接收证书后，承包人负责按照通用合同条款本项约定的要求对施工场地进行清理并承担相关费用，直至监理人检验合格后七日内，如承包人到期后不退场，发包人有权安排其他人员进行清理，费用从承包人工程款中扣除。</w:t>
      </w:r>
    </w:p>
    <w:p w14:paraId="1CF3B588">
      <w:pPr>
        <w:keepNext/>
        <w:keepLines/>
        <w:widowControl w:val="0"/>
        <w:spacing w:line="380" w:lineRule="exact"/>
        <w:jc w:val="both"/>
        <w:outlineLvl w:val="0"/>
        <w:rPr>
          <w:rFonts w:hint="eastAsia" w:ascii="宋体" w:hAnsi="宋体" w:eastAsia="宋体" w:cs="宋体"/>
          <w:b/>
          <w:bCs/>
          <w:color w:val="auto"/>
          <w:kern w:val="44"/>
          <w:sz w:val="21"/>
          <w:szCs w:val="21"/>
          <w:highlight w:val="none"/>
          <w:lang w:val="en-US" w:eastAsia="zh-CN" w:bidi="ar-SA"/>
        </w:rPr>
      </w:pPr>
      <w:bookmarkStart w:id="1413" w:name="_Toc418518405"/>
      <w:bookmarkStart w:id="1414" w:name="_Toc21183"/>
      <w:bookmarkStart w:id="1415" w:name="_Toc418751855"/>
      <w:bookmarkStart w:id="1416" w:name="_Toc418518169"/>
      <w:bookmarkStart w:id="1417" w:name="_Toc522201785"/>
      <w:bookmarkStart w:id="1418" w:name="_Toc256000236"/>
      <w:bookmarkStart w:id="1419" w:name="_Toc403578993"/>
      <w:bookmarkStart w:id="1420" w:name="_Toc389065323"/>
      <w:bookmarkStart w:id="1421" w:name="_Toc497747237"/>
      <w:bookmarkStart w:id="1422" w:name="_Toc373478405"/>
      <w:bookmarkStart w:id="1423" w:name="_Toc418061370"/>
      <w:bookmarkStart w:id="1424" w:name="_Toc418752301"/>
      <w:bookmarkStart w:id="1425" w:name="_Toc373227758"/>
      <w:bookmarkStart w:id="1426" w:name="_Toc497746840"/>
      <w:bookmarkStart w:id="1427" w:name="_Toc351203646"/>
      <w:r>
        <w:rPr>
          <w:rFonts w:hint="eastAsia" w:ascii="宋体" w:hAnsi="宋体" w:eastAsia="宋体" w:cs="宋体"/>
          <w:b/>
          <w:bCs/>
          <w:color w:val="auto"/>
          <w:kern w:val="44"/>
          <w:sz w:val="21"/>
          <w:szCs w:val="21"/>
          <w:highlight w:val="none"/>
          <w:lang w:val="en-US" w:eastAsia="zh-CN" w:bidi="ar-SA"/>
        </w:rPr>
        <w:t>14. 竣工结算</w:t>
      </w:r>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p>
    <w:p w14:paraId="4B77886A">
      <w:pPr>
        <w:keepNext/>
        <w:keepLines/>
        <w:widowControl w:val="0"/>
        <w:spacing w:line="380" w:lineRule="exact"/>
        <w:ind w:firstLine="422" w:firstLineChars="200"/>
        <w:jc w:val="both"/>
        <w:outlineLvl w:val="0"/>
        <w:rPr>
          <w:rFonts w:hint="eastAsia" w:ascii="宋体" w:hAnsi="宋体" w:eastAsia="宋体" w:cs="宋体"/>
          <w:b/>
          <w:bCs/>
          <w:color w:val="auto"/>
          <w:kern w:val="44"/>
          <w:sz w:val="21"/>
          <w:szCs w:val="21"/>
          <w:highlight w:val="none"/>
          <w:lang w:val="en-US" w:eastAsia="zh-CN" w:bidi="ar-SA"/>
        </w:rPr>
      </w:pPr>
      <w:bookmarkStart w:id="1428" w:name="_Toc389065324"/>
      <w:bookmarkStart w:id="1429" w:name="_Toc418061371"/>
      <w:bookmarkStart w:id="1430" w:name="_Toc373478406"/>
      <w:bookmarkStart w:id="1431" w:name="_Toc497747238"/>
      <w:bookmarkStart w:id="1432" w:name="_Toc256000237"/>
      <w:bookmarkStart w:id="1433" w:name="_Toc418752302"/>
      <w:bookmarkStart w:id="1434" w:name="_Toc418518170"/>
      <w:bookmarkStart w:id="1435" w:name="_Toc418751856"/>
      <w:bookmarkStart w:id="1436" w:name="_Toc16723"/>
      <w:bookmarkStart w:id="1437" w:name="_Toc418518406"/>
      <w:bookmarkStart w:id="1438" w:name="_Toc373227759"/>
      <w:bookmarkStart w:id="1439" w:name="_Toc403578994"/>
      <w:bookmarkStart w:id="1440" w:name="_Toc497746841"/>
      <w:bookmarkStart w:id="1441" w:name="_Toc522201786"/>
      <w:r>
        <w:rPr>
          <w:rFonts w:hint="eastAsia" w:ascii="宋体" w:hAnsi="宋体" w:eastAsia="宋体" w:cs="宋体"/>
          <w:b/>
          <w:bCs/>
          <w:color w:val="auto"/>
          <w:kern w:val="44"/>
          <w:sz w:val="21"/>
          <w:szCs w:val="21"/>
          <w:highlight w:val="none"/>
          <w:lang w:val="en-US" w:eastAsia="zh-CN" w:bidi="ar-SA"/>
        </w:rPr>
        <w:t>14.1 竣工结算申请</w:t>
      </w:r>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p>
    <w:p w14:paraId="1ABAE807">
      <w:pPr>
        <w:pStyle w:val="29"/>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承包人提交竣工结算申请单的期限：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u w:val="single"/>
        </w:rPr>
        <w:t>具备竣工收条件后28天内</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56804B2C">
      <w:pPr>
        <w:pStyle w:val="29"/>
        <w:spacing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竣工结算申请单应包括的内容：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u w:val="single"/>
        </w:rPr>
        <w:t>竣工结算由承包人提交相关结算资料（主要包括合同、工程量计算书、结算书、变更设计通知单、签证单、竣工图）齐全后经监理初审、发包人审核后，</w:t>
      </w:r>
      <w:r>
        <w:rPr>
          <w:rFonts w:hint="eastAsia" w:ascii="宋体" w:hAnsi="宋体" w:eastAsia="宋体" w:cs="宋体"/>
          <w:highlight w:val="none"/>
          <w:u w:val="single"/>
          <w:lang w:val="en-US" w:eastAsia="zh-CN"/>
        </w:rPr>
        <w:t>最终结算以桂林市财政局</w:t>
      </w:r>
      <w:r>
        <w:rPr>
          <w:rFonts w:hint="eastAsia" w:ascii="宋体" w:hAnsi="宋体" w:eastAsia="宋体" w:cs="宋体"/>
          <w:color w:val="auto"/>
          <w:szCs w:val="21"/>
          <w:highlight w:val="none"/>
          <w:u w:val="single"/>
        </w:rPr>
        <w:t>或发包人委托的造价咨询机构审定并经发包人及承包人双方确认的金额为准</w:t>
      </w:r>
      <w:r>
        <w:rPr>
          <w:rFonts w:hint="eastAsia" w:ascii="宋体" w:hAnsi="宋体" w:eastAsia="宋体" w:cs="宋体"/>
          <w:color w:val="auto"/>
          <w:szCs w:val="21"/>
          <w:highlight w:val="none"/>
        </w:rPr>
        <w:t>。</w:t>
      </w:r>
    </w:p>
    <w:p w14:paraId="41BF8ED8">
      <w:pPr>
        <w:keepNext/>
        <w:keepLines/>
        <w:widowControl w:val="0"/>
        <w:spacing w:line="380" w:lineRule="exact"/>
        <w:ind w:firstLine="422" w:firstLineChars="200"/>
        <w:jc w:val="both"/>
        <w:outlineLvl w:val="0"/>
        <w:rPr>
          <w:rFonts w:hint="eastAsia" w:ascii="宋体" w:hAnsi="宋体" w:eastAsia="宋体" w:cs="宋体"/>
          <w:b/>
          <w:bCs/>
          <w:color w:val="auto"/>
          <w:kern w:val="44"/>
          <w:sz w:val="21"/>
          <w:szCs w:val="21"/>
          <w:highlight w:val="none"/>
          <w:lang w:val="en-US" w:eastAsia="zh-CN" w:bidi="ar-SA"/>
        </w:rPr>
      </w:pPr>
      <w:bookmarkStart w:id="1442" w:name="_Toc418751857"/>
      <w:bookmarkStart w:id="1443" w:name="_Toc373227760"/>
      <w:bookmarkStart w:id="1444" w:name="_Toc522201787"/>
      <w:bookmarkStart w:id="1445" w:name="_Toc497747239"/>
      <w:bookmarkStart w:id="1446" w:name="_Toc497746842"/>
      <w:bookmarkStart w:id="1447" w:name="_Toc418518171"/>
      <w:bookmarkStart w:id="1448" w:name="_Toc418518407"/>
      <w:bookmarkStart w:id="1449" w:name="_Toc256000238"/>
      <w:bookmarkStart w:id="1450" w:name="_Toc403578995"/>
      <w:bookmarkStart w:id="1451" w:name="_Toc373478407"/>
      <w:bookmarkStart w:id="1452" w:name="_Toc418061372"/>
      <w:bookmarkStart w:id="1453" w:name="_Toc389065325"/>
      <w:bookmarkStart w:id="1454" w:name="_Toc418752303"/>
      <w:bookmarkStart w:id="1455" w:name="_Toc27501"/>
      <w:r>
        <w:rPr>
          <w:rFonts w:hint="eastAsia" w:ascii="宋体" w:hAnsi="宋体" w:eastAsia="宋体" w:cs="宋体"/>
          <w:b/>
          <w:bCs/>
          <w:color w:val="auto"/>
          <w:kern w:val="44"/>
          <w:sz w:val="21"/>
          <w:szCs w:val="21"/>
          <w:highlight w:val="none"/>
          <w:lang w:val="en-US" w:eastAsia="zh-CN" w:bidi="ar-SA"/>
        </w:rPr>
        <w:t>14.2 竣工结算审核</w:t>
      </w:r>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p>
    <w:p w14:paraId="034A23B1">
      <w:pPr>
        <w:pStyle w:val="29"/>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发包人审批竣工付款申请单的期限：</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616"/>
        <w:gridCol w:w="5817"/>
      </w:tblGrid>
      <w:tr w14:paraId="3C683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44BC22F2">
            <w:pPr>
              <w:pStyle w:val="29"/>
              <w:spacing w:line="380" w:lineRule="exact"/>
              <w:jc w:val="center"/>
              <w:rPr>
                <w:rFonts w:hint="eastAsia" w:ascii="宋体" w:hAnsi="宋体" w:eastAsia="宋体" w:cs="宋体"/>
                <w:bCs/>
                <w:color w:val="auto"/>
                <w:szCs w:val="21"/>
                <w:highlight w:val="none"/>
              </w:rPr>
            </w:pPr>
          </w:p>
        </w:tc>
        <w:tc>
          <w:tcPr>
            <w:tcW w:w="2616" w:type="dxa"/>
            <w:noWrap w:val="0"/>
            <w:vAlign w:val="center"/>
          </w:tcPr>
          <w:p w14:paraId="72BDCF3E">
            <w:pPr>
              <w:pStyle w:val="29"/>
              <w:spacing w:line="380" w:lineRule="exact"/>
              <w:ind w:firstLine="27" w:firstLineChars="13"/>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工程竣工结算报告金额</w:t>
            </w:r>
          </w:p>
        </w:tc>
        <w:tc>
          <w:tcPr>
            <w:tcW w:w="5817" w:type="dxa"/>
            <w:noWrap w:val="0"/>
            <w:vAlign w:val="center"/>
          </w:tcPr>
          <w:p w14:paraId="0307B8C9">
            <w:pPr>
              <w:pStyle w:val="29"/>
              <w:spacing w:line="38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发包人审查时间</w:t>
            </w:r>
          </w:p>
        </w:tc>
      </w:tr>
      <w:tr w14:paraId="5FB28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651B7CAC">
            <w:pPr>
              <w:pStyle w:val="29"/>
              <w:spacing w:line="38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p>
        </w:tc>
        <w:tc>
          <w:tcPr>
            <w:tcW w:w="2616" w:type="dxa"/>
            <w:noWrap w:val="0"/>
            <w:vAlign w:val="center"/>
          </w:tcPr>
          <w:p w14:paraId="188E6785">
            <w:pPr>
              <w:pStyle w:val="29"/>
              <w:spacing w:line="380" w:lineRule="exact"/>
              <w:ind w:firstLine="27" w:firstLineChars="13"/>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500万元以下</w:t>
            </w:r>
          </w:p>
        </w:tc>
        <w:tc>
          <w:tcPr>
            <w:tcW w:w="5817" w:type="dxa"/>
            <w:noWrap w:val="0"/>
            <w:vAlign w:val="center"/>
          </w:tcPr>
          <w:p w14:paraId="6D7CBBBA">
            <w:pPr>
              <w:pStyle w:val="29"/>
              <w:spacing w:line="38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从接到竣工结算报告和完整的竣工结算资料之日起20天</w:t>
            </w:r>
          </w:p>
        </w:tc>
      </w:tr>
      <w:tr w14:paraId="74B7F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4EA62309">
            <w:pPr>
              <w:pStyle w:val="29"/>
              <w:spacing w:line="38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p>
        </w:tc>
        <w:tc>
          <w:tcPr>
            <w:tcW w:w="2616" w:type="dxa"/>
            <w:noWrap w:val="0"/>
            <w:vAlign w:val="center"/>
          </w:tcPr>
          <w:p w14:paraId="36444CF7">
            <w:pPr>
              <w:pStyle w:val="29"/>
              <w:spacing w:line="380" w:lineRule="exact"/>
              <w:ind w:firstLine="27" w:firstLineChars="13"/>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500万元-2000万元</w:t>
            </w:r>
          </w:p>
        </w:tc>
        <w:tc>
          <w:tcPr>
            <w:tcW w:w="5817" w:type="dxa"/>
            <w:noWrap w:val="0"/>
            <w:vAlign w:val="center"/>
          </w:tcPr>
          <w:p w14:paraId="1232D70E">
            <w:pPr>
              <w:pStyle w:val="29"/>
              <w:spacing w:line="38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从接到竣工结算报告和完整的竣工结算资料之日起30天</w:t>
            </w:r>
          </w:p>
        </w:tc>
      </w:tr>
      <w:tr w14:paraId="0FB88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41C4356C">
            <w:pPr>
              <w:pStyle w:val="29"/>
              <w:spacing w:line="38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w:t>
            </w:r>
          </w:p>
        </w:tc>
        <w:tc>
          <w:tcPr>
            <w:tcW w:w="2616" w:type="dxa"/>
            <w:noWrap w:val="0"/>
            <w:vAlign w:val="center"/>
          </w:tcPr>
          <w:p w14:paraId="1D9B853F">
            <w:pPr>
              <w:pStyle w:val="29"/>
              <w:spacing w:line="380" w:lineRule="exact"/>
              <w:ind w:firstLine="27" w:firstLineChars="13"/>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2000万元-5000万元</w:t>
            </w:r>
          </w:p>
        </w:tc>
        <w:tc>
          <w:tcPr>
            <w:tcW w:w="5817" w:type="dxa"/>
            <w:noWrap w:val="0"/>
            <w:vAlign w:val="center"/>
          </w:tcPr>
          <w:p w14:paraId="2DCE788A">
            <w:pPr>
              <w:pStyle w:val="29"/>
              <w:spacing w:line="38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从接到竣工结算报告和完整的竣工结算资料之日起45天</w:t>
            </w:r>
          </w:p>
        </w:tc>
      </w:tr>
      <w:tr w14:paraId="3FC65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3DE02AAF">
            <w:pPr>
              <w:pStyle w:val="29"/>
              <w:spacing w:line="38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w:t>
            </w:r>
          </w:p>
        </w:tc>
        <w:tc>
          <w:tcPr>
            <w:tcW w:w="2616" w:type="dxa"/>
            <w:noWrap w:val="0"/>
            <w:vAlign w:val="center"/>
          </w:tcPr>
          <w:p w14:paraId="0E3A9F67">
            <w:pPr>
              <w:pStyle w:val="29"/>
              <w:spacing w:line="380" w:lineRule="exact"/>
              <w:ind w:firstLine="27" w:firstLineChars="13"/>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5000万元以上</w:t>
            </w:r>
          </w:p>
        </w:tc>
        <w:tc>
          <w:tcPr>
            <w:tcW w:w="5817" w:type="dxa"/>
            <w:noWrap w:val="0"/>
            <w:vAlign w:val="center"/>
          </w:tcPr>
          <w:p w14:paraId="1C9EC0B2">
            <w:pPr>
              <w:pStyle w:val="29"/>
              <w:spacing w:line="380" w:lineRule="exact"/>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从接到竣工结算报告和完整的竣工结算资料之日起60天</w:t>
            </w:r>
          </w:p>
        </w:tc>
      </w:tr>
    </w:tbl>
    <w:p w14:paraId="06D5E62D">
      <w:pPr>
        <w:pStyle w:val="29"/>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因承包人提供的结算资料不完整而需要补充或承包人不按时对账耽误时间时，审查时间应相应顺延</w:t>
      </w:r>
      <w:r>
        <w:rPr>
          <w:rFonts w:hint="eastAsia" w:ascii="宋体" w:hAnsi="宋体" w:eastAsia="宋体" w:cs="宋体"/>
          <w:color w:val="auto"/>
          <w:szCs w:val="21"/>
          <w:highlight w:val="none"/>
        </w:rPr>
        <w:t>。</w:t>
      </w:r>
    </w:p>
    <w:p w14:paraId="1D812B73">
      <w:pPr>
        <w:pStyle w:val="29"/>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发包人完成竣工付款的期限：</w:t>
      </w:r>
      <w:r>
        <w:rPr>
          <w:rFonts w:hint="eastAsia" w:ascii="宋体" w:hAnsi="宋体" w:eastAsia="宋体" w:cs="宋体"/>
          <w:color w:val="auto"/>
          <w:szCs w:val="21"/>
          <w:highlight w:val="none"/>
          <w:u w:val="single"/>
        </w:rPr>
        <w:t>结算审核报告出具后且审核完承包人的竣工付款申请单30天内</w:t>
      </w:r>
      <w:r>
        <w:rPr>
          <w:rFonts w:hint="eastAsia" w:ascii="宋体" w:hAnsi="宋体" w:eastAsia="宋体" w:cs="宋体"/>
          <w:color w:val="auto"/>
          <w:szCs w:val="21"/>
          <w:highlight w:val="none"/>
        </w:rPr>
        <w:t>。</w:t>
      </w:r>
    </w:p>
    <w:p w14:paraId="28C00089">
      <w:pPr>
        <w:pStyle w:val="29"/>
        <w:spacing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关于竣工付款证书异议部分复核的方式和程序：</w:t>
      </w:r>
      <w:r>
        <w:rPr>
          <w:rFonts w:hint="eastAsia" w:ascii="宋体" w:hAnsi="宋体" w:eastAsia="宋体" w:cs="宋体"/>
          <w:color w:val="auto"/>
          <w:szCs w:val="21"/>
          <w:highlight w:val="none"/>
          <w:u w:val="single"/>
        </w:rPr>
        <w:t>存在异议的部分，由承包人核对后对异议部分进行书面描叙，并交由发包人再次审定。</w:t>
      </w:r>
    </w:p>
    <w:p w14:paraId="31F4ADC9">
      <w:pPr>
        <w:keepNext/>
        <w:keepLines/>
        <w:widowControl w:val="0"/>
        <w:spacing w:line="380" w:lineRule="exact"/>
        <w:ind w:firstLine="422" w:firstLineChars="200"/>
        <w:jc w:val="both"/>
        <w:outlineLvl w:val="0"/>
        <w:rPr>
          <w:rFonts w:hint="eastAsia" w:ascii="宋体" w:hAnsi="宋体" w:eastAsia="宋体" w:cs="宋体"/>
          <w:b/>
          <w:bCs/>
          <w:color w:val="auto"/>
          <w:kern w:val="44"/>
          <w:sz w:val="21"/>
          <w:szCs w:val="21"/>
          <w:highlight w:val="none"/>
          <w:lang w:val="en-US" w:eastAsia="zh-CN" w:bidi="ar-SA"/>
        </w:rPr>
      </w:pPr>
      <w:bookmarkStart w:id="1456" w:name="_Toc418751858"/>
      <w:bookmarkStart w:id="1457" w:name="_Toc403578996"/>
      <w:bookmarkStart w:id="1458" w:name="_Toc418752304"/>
      <w:bookmarkStart w:id="1459" w:name="_Toc418061373"/>
      <w:bookmarkStart w:id="1460" w:name="_Toc389065326"/>
      <w:bookmarkStart w:id="1461" w:name="_Toc16785"/>
      <w:bookmarkStart w:id="1462" w:name="_Toc497746843"/>
      <w:bookmarkStart w:id="1463" w:name="_Toc522201788"/>
      <w:bookmarkStart w:id="1464" w:name="_Toc256000239"/>
      <w:bookmarkStart w:id="1465" w:name="_Toc373227761"/>
      <w:bookmarkStart w:id="1466" w:name="_Toc418518172"/>
      <w:bookmarkStart w:id="1467" w:name="_Toc497747240"/>
      <w:bookmarkStart w:id="1468" w:name="_Toc418518408"/>
      <w:bookmarkStart w:id="1469" w:name="_Toc373478408"/>
      <w:r>
        <w:rPr>
          <w:rFonts w:hint="eastAsia" w:ascii="宋体" w:hAnsi="宋体" w:eastAsia="宋体" w:cs="宋体"/>
          <w:b/>
          <w:bCs/>
          <w:color w:val="auto"/>
          <w:kern w:val="44"/>
          <w:sz w:val="21"/>
          <w:szCs w:val="21"/>
          <w:highlight w:val="none"/>
          <w:lang w:val="en-US" w:eastAsia="zh-CN" w:bidi="ar-SA"/>
        </w:rPr>
        <w:t>14.4 最终结清</w:t>
      </w:r>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p>
    <w:p w14:paraId="771FFBE6">
      <w:pPr>
        <w:pStyle w:val="29"/>
        <w:spacing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14.4.1 最终结清申请单</w:t>
      </w:r>
    </w:p>
    <w:p w14:paraId="2ED86A15">
      <w:pPr>
        <w:pStyle w:val="29"/>
        <w:spacing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承包人提交最终结清申请单的份数：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u w:val="single"/>
        </w:rPr>
        <w:t xml:space="preserve">一式四份 </w:t>
      </w:r>
      <w:r>
        <w:rPr>
          <w:rFonts w:hint="eastAsia" w:ascii="宋体" w:hAnsi="宋体" w:eastAsia="宋体" w:cs="宋体"/>
          <w:color w:val="auto"/>
          <w:szCs w:val="21"/>
          <w:highlight w:val="none"/>
        </w:rPr>
        <w:t>。</w:t>
      </w:r>
    </w:p>
    <w:p w14:paraId="371AA62B">
      <w:pPr>
        <w:pStyle w:val="29"/>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承包人提交最终结算申请单的期限：</w:t>
      </w:r>
      <w:r>
        <w:rPr>
          <w:rFonts w:hint="eastAsia" w:ascii="宋体" w:hAnsi="宋体" w:eastAsia="宋体" w:cs="宋体"/>
          <w:color w:val="auto"/>
          <w:kern w:val="0"/>
          <w:szCs w:val="21"/>
          <w:highlight w:val="none"/>
          <w:u w:val="single"/>
        </w:rPr>
        <w:t>缺陷责任期终止证书签发后14天内向监理人提交4份竣工付款申请单及相关证明材料</w:t>
      </w:r>
      <w:r>
        <w:rPr>
          <w:rFonts w:hint="eastAsia" w:ascii="宋体" w:hAnsi="宋体" w:eastAsia="宋体" w:cs="宋体"/>
          <w:color w:val="auto"/>
          <w:szCs w:val="21"/>
          <w:highlight w:val="none"/>
        </w:rPr>
        <w:t xml:space="preserve">。 </w:t>
      </w:r>
    </w:p>
    <w:p w14:paraId="4E75A581">
      <w:pPr>
        <w:pStyle w:val="29"/>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14.4.2 最终结清证书和支付</w:t>
      </w:r>
    </w:p>
    <w:p w14:paraId="5DD559FB">
      <w:pPr>
        <w:pStyle w:val="29"/>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（1）发包人完成最终结清申请单的审批并颁发最终结清证书的期限：</w:t>
      </w:r>
      <w:r>
        <w:rPr>
          <w:rFonts w:hint="eastAsia" w:ascii="宋体" w:hAnsi="宋体" w:eastAsia="宋体" w:cs="宋体"/>
          <w:color w:val="auto"/>
          <w:kern w:val="0"/>
          <w:szCs w:val="21"/>
          <w:highlight w:val="none"/>
          <w:u w:val="single"/>
        </w:rPr>
        <w:t xml:space="preserve">按通用条款执行 </w:t>
      </w:r>
      <w:r>
        <w:rPr>
          <w:rFonts w:hint="eastAsia" w:ascii="宋体" w:hAnsi="宋体" w:eastAsia="宋体" w:cs="宋体"/>
          <w:color w:val="auto"/>
          <w:szCs w:val="21"/>
          <w:highlight w:val="none"/>
        </w:rPr>
        <w:t>。</w:t>
      </w:r>
    </w:p>
    <w:p w14:paraId="2AB25322">
      <w:pPr>
        <w:pStyle w:val="29"/>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（2）发包人完成支付的期限：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u w:val="single"/>
        </w:rPr>
        <w:t xml:space="preserve">在颁发最终结清证书后的30天内 </w:t>
      </w:r>
      <w:r>
        <w:rPr>
          <w:rFonts w:hint="eastAsia" w:ascii="宋体" w:hAnsi="宋体" w:eastAsia="宋体" w:cs="宋体"/>
          <w:color w:val="auto"/>
          <w:szCs w:val="21"/>
          <w:highlight w:val="none"/>
        </w:rPr>
        <w:t>。</w:t>
      </w:r>
    </w:p>
    <w:bookmarkEnd w:id="1372"/>
    <w:bookmarkEnd w:id="1373"/>
    <w:bookmarkEnd w:id="1374"/>
    <w:bookmarkEnd w:id="1375"/>
    <w:bookmarkEnd w:id="1376"/>
    <w:bookmarkEnd w:id="1377"/>
    <w:bookmarkEnd w:id="1378"/>
    <w:bookmarkEnd w:id="1384"/>
    <w:p w14:paraId="796B13C7">
      <w:pPr>
        <w:keepNext/>
        <w:keepLines/>
        <w:widowControl w:val="0"/>
        <w:spacing w:line="380" w:lineRule="exact"/>
        <w:jc w:val="both"/>
        <w:outlineLvl w:val="0"/>
        <w:rPr>
          <w:rFonts w:hint="eastAsia" w:ascii="宋体" w:hAnsi="宋体" w:eastAsia="宋体" w:cs="宋体"/>
          <w:b/>
          <w:bCs/>
          <w:color w:val="auto"/>
          <w:kern w:val="44"/>
          <w:sz w:val="21"/>
          <w:szCs w:val="21"/>
          <w:highlight w:val="none"/>
          <w:lang w:val="en-US" w:eastAsia="zh-CN" w:bidi="ar-SA"/>
        </w:rPr>
      </w:pPr>
      <w:bookmarkStart w:id="1470" w:name="_Toc418518173"/>
      <w:bookmarkStart w:id="1471" w:name="_Toc418061374"/>
      <w:bookmarkStart w:id="1472" w:name="_Toc497746844"/>
      <w:bookmarkStart w:id="1473" w:name="_Toc256000240"/>
      <w:bookmarkStart w:id="1474" w:name="_Toc373478409"/>
      <w:bookmarkStart w:id="1475" w:name="_Toc497747241"/>
      <w:bookmarkStart w:id="1476" w:name="_Toc24576"/>
      <w:bookmarkStart w:id="1477" w:name="_Toc418751859"/>
      <w:bookmarkStart w:id="1478" w:name="_Toc418752305"/>
      <w:bookmarkStart w:id="1479" w:name="_Toc522201789"/>
      <w:bookmarkStart w:id="1480" w:name="_Toc418518409"/>
      <w:bookmarkStart w:id="1481" w:name="_Toc389065327"/>
      <w:bookmarkStart w:id="1482" w:name="_Toc403578997"/>
      <w:bookmarkStart w:id="1483" w:name="_Toc351203647"/>
      <w:bookmarkStart w:id="1484" w:name="_Toc373227762"/>
      <w:bookmarkStart w:id="1485" w:name="_Toc267251483"/>
      <w:bookmarkStart w:id="1486" w:name="_Toc267251482"/>
      <w:bookmarkStart w:id="1487" w:name="_Toc267251484"/>
      <w:bookmarkStart w:id="1488" w:name="_Toc267251485"/>
      <w:bookmarkStart w:id="1489" w:name="_Toc267251490"/>
      <w:bookmarkStart w:id="1490" w:name="_Toc267251486"/>
      <w:bookmarkStart w:id="1491" w:name="_Toc267251489"/>
      <w:bookmarkStart w:id="1492" w:name="_Toc267251488"/>
      <w:bookmarkStart w:id="1493" w:name="_Toc267251493"/>
      <w:bookmarkStart w:id="1494" w:name="_Toc267251497"/>
      <w:bookmarkStart w:id="1495" w:name="_Toc267251492"/>
      <w:bookmarkStart w:id="1496" w:name="_Toc267251494"/>
      <w:bookmarkStart w:id="1497" w:name="_Toc267251501"/>
      <w:bookmarkStart w:id="1498" w:name="_Toc267251498"/>
      <w:bookmarkStart w:id="1499" w:name="_Toc267251491"/>
      <w:bookmarkStart w:id="1500" w:name="_Toc267251499"/>
      <w:bookmarkStart w:id="1501" w:name="_Toc267251496"/>
      <w:bookmarkStart w:id="1502" w:name="_Toc267251502"/>
      <w:bookmarkStart w:id="1503" w:name="_Toc267251495"/>
      <w:bookmarkStart w:id="1504" w:name="_Toc267251503"/>
      <w:bookmarkStart w:id="1505" w:name="_Toc267251504"/>
      <w:bookmarkStart w:id="1506" w:name="_Toc267251506"/>
      <w:bookmarkStart w:id="1507" w:name="_Toc267251507"/>
      <w:bookmarkStart w:id="1508" w:name="_Toc267251508"/>
      <w:bookmarkStart w:id="1509" w:name="_Toc267251515"/>
      <w:bookmarkStart w:id="1510" w:name="_Toc267251513"/>
      <w:bookmarkStart w:id="1511" w:name="_Toc267251511"/>
      <w:bookmarkStart w:id="1512" w:name="_Toc267251509"/>
      <w:bookmarkStart w:id="1513" w:name="_Toc267251510"/>
      <w:bookmarkStart w:id="1514" w:name="_Toc267251514"/>
      <w:r>
        <w:rPr>
          <w:rFonts w:hint="eastAsia" w:ascii="宋体" w:hAnsi="宋体" w:eastAsia="宋体" w:cs="宋体"/>
          <w:b/>
          <w:bCs/>
          <w:color w:val="auto"/>
          <w:kern w:val="44"/>
          <w:sz w:val="21"/>
          <w:szCs w:val="21"/>
          <w:highlight w:val="none"/>
          <w:lang w:val="en-US" w:eastAsia="zh-CN" w:bidi="ar-SA"/>
        </w:rPr>
        <w:t>15. 缺陷责任期与保修</w:t>
      </w:r>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p>
    <w:p w14:paraId="2FB78357">
      <w:pPr>
        <w:keepNext/>
        <w:keepLines/>
        <w:widowControl w:val="0"/>
        <w:spacing w:line="380" w:lineRule="exact"/>
        <w:ind w:firstLine="422" w:firstLineChars="200"/>
        <w:jc w:val="both"/>
        <w:outlineLvl w:val="0"/>
        <w:rPr>
          <w:rFonts w:hint="eastAsia" w:ascii="宋体" w:hAnsi="宋体" w:eastAsia="宋体" w:cs="宋体"/>
          <w:b/>
          <w:bCs/>
          <w:color w:val="auto"/>
          <w:kern w:val="44"/>
          <w:sz w:val="21"/>
          <w:szCs w:val="21"/>
          <w:highlight w:val="none"/>
          <w:lang w:val="en-US" w:eastAsia="zh-CN" w:bidi="ar-SA"/>
        </w:rPr>
      </w:pPr>
      <w:bookmarkStart w:id="1515" w:name="_Toc497747242"/>
      <w:bookmarkStart w:id="1516" w:name="_Toc373227763"/>
      <w:bookmarkStart w:id="1517" w:name="_Toc373478410"/>
      <w:bookmarkStart w:id="1518" w:name="_Toc1939"/>
      <w:bookmarkStart w:id="1519" w:name="_Toc522201790"/>
      <w:bookmarkStart w:id="1520" w:name="_Toc418751860"/>
      <w:bookmarkStart w:id="1521" w:name="_Toc389065328"/>
      <w:bookmarkStart w:id="1522" w:name="_Toc403578998"/>
      <w:bookmarkStart w:id="1523" w:name="_Toc418518174"/>
      <w:bookmarkStart w:id="1524" w:name="_Toc418061375"/>
      <w:bookmarkStart w:id="1525" w:name="_Toc497746845"/>
      <w:bookmarkStart w:id="1526" w:name="_Toc418518410"/>
      <w:bookmarkStart w:id="1527" w:name="_Toc256000241"/>
      <w:bookmarkStart w:id="1528" w:name="_Toc418752306"/>
      <w:r>
        <w:rPr>
          <w:rFonts w:hint="eastAsia" w:ascii="宋体" w:hAnsi="宋体" w:eastAsia="宋体" w:cs="宋体"/>
          <w:b/>
          <w:bCs/>
          <w:color w:val="auto"/>
          <w:kern w:val="44"/>
          <w:sz w:val="21"/>
          <w:szCs w:val="21"/>
          <w:highlight w:val="none"/>
          <w:lang w:val="en-US" w:eastAsia="zh-CN" w:bidi="ar-SA"/>
        </w:rPr>
        <w:t>15.2 缺陷责任期</w:t>
      </w:r>
      <w:bookmarkEnd w:id="1485"/>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p>
    <w:p w14:paraId="24E12952">
      <w:pPr>
        <w:pStyle w:val="29"/>
        <w:spacing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缺陷责任期的具体期限：</w:t>
      </w:r>
      <w:r>
        <w:rPr>
          <w:rFonts w:hint="eastAsia" w:ascii="宋体" w:hAnsi="宋体" w:eastAsia="宋体" w:cs="宋体"/>
          <w:color w:val="auto"/>
          <w:szCs w:val="21"/>
          <w:highlight w:val="none"/>
          <w:u w:val="single"/>
          <w:lang w:val="en-US" w:eastAsia="zh-CN"/>
        </w:rPr>
        <w:t>12</w:t>
      </w:r>
      <w:r>
        <w:rPr>
          <w:rFonts w:hint="eastAsia" w:ascii="宋体" w:hAnsi="宋体" w:eastAsia="宋体" w:cs="宋体"/>
          <w:color w:val="auto"/>
          <w:szCs w:val="21"/>
          <w:highlight w:val="none"/>
          <w:u w:val="single"/>
        </w:rPr>
        <w:t>个月，</w:t>
      </w:r>
      <w:r>
        <w:rPr>
          <w:rFonts w:hint="eastAsia" w:ascii="宋体" w:hAnsi="宋体" w:eastAsia="宋体" w:cs="宋体"/>
          <w:color w:val="auto"/>
          <w:kern w:val="0"/>
          <w:szCs w:val="21"/>
          <w:highlight w:val="none"/>
          <w:u w:val="single"/>
        </w:rPr>
        <w:t>工程竣工验收合格，自交付使用之日起计算</w:t>
      </w:r>
      <w:r>
        <w:rPr>
          <w:rFonts w:hint="eastAsia" w:ascii="宋体" w:hAnsi="宋体" w:eastAsia="宋体" w:cs="宋体"/>
          <w:color w:val="auto"/>
          <w:szCs w:val="21"/>
          <w:highlight w:val="none"/>
          <w:u w:val="single"/>
        </w:rPr>
        <w:t xml:space="preserve"> ，按照《建设工程质量管理条例》执行，</w:t>
      </w:r>
      <w:r>
        <w:rPr>
          <w:rFonts w:hint="eastAsia" w:ascii="宋体" w:hAnsi="宋体" w:eastAsia="宋体" w:cs="宋体"/>
          <w:bCs/>
          <w:color w:val="auto"/>
          <w:szCs w:val="21"/>
          <w:highlight w:val="none"/>
          <w:u w:val="single"/>
        </w:rPr>
        <w:t xml:space="preserve">详见本合同附件3：《工程质量保修书》 </w:t>
      </w:r>
      <w:r>
        <w:rPr>
          <w:rFonts w:hint="eastAsia" w:ascii="宋体" w:hAnsi="宋体" w:eastAsia="宋体" w:cs="宋体"/>
          <w:color w:val="auto"/>
          <w:szCs w:val="21"/>
          <w:highlight w:val="none"/>
        </w:rPr>
        <w:t>。</w:t>
      </w:r>
    </w:p>
    <w:p w14:paraId="61748674">
      <w:pPr>
        <w:keepNext/>
        <w:keepLines/>
        <w:widowControl w:val="0"/>
        <w:spacing w:line="380" w:lineRule="exact"/>
        <w:ind w:firstLine="422" w:firstLineChars="200"/>
        <w:jc w:val="both"/>
        <w:outlineLvl w:val="0"/>
        <w:rPr>
          <w:rFonts w:hint="eastAsia" w:ascii="宋体" w:hAnsi="宋体" w:eastAsia="宋体" w:cs="宋体"/>
          <w:b/>
          <w:bCs/>
          <w:color w:val="auto"/>
          <w:kern w:val="44"/>
          <w:sz w:val="21"/>
          <w:szCs w:val="21"/>
          <w:highlight w:val="none"/>
          <w:lang w:val="en-US" w:eastAsia="zh-CN" w:bidi="ar-SA"/>
        </w:rPr>
      </w:pPr>
      <w:bookmarkStart w:id="1529" w:name="_Toc403578999"/>
      <w:bookmarkStart w:id="1530" w:name="_Toc418518411"/>
      <w:bookmarkStart w:id="1531" w:name="_Toc6121"/>
      <w:bookmarkStart w:id="1532" w:name="_Toc418518175"/>
      <w:bookmarkStart w:id="1533" w:name="_Toc522201791"/>
      <w:bookmarkStart w:id="1534" w:name="_Toc418061376"/>
      <w:bookmarkStart w:id="1535" w:name="_Toc418751861"/>
      <w:bookmarkStart w:id="1536" w:name="_Toc389065329"/>
      <w:bookmarkStart w:id="1537" w:name="_Toc373227764"/>
      <w:bookmarkStart w:id="1538" w:name="_Toc418752307"/>
      <w:bookmarkStart w:id="1539" w:name="_Toc256000242"/>
      <w:bookmarkStart w:id="1540" w:name="_Toc497747243"/>
      <w:bookmarkStart w:id="1541" w:name="_Toc497746846"/>
      <w:bookmarkStart w:id="1542" w:name="_Toc373478411"/>
      <w:r>
        <w:rPr>
          <w:rFonts w:hint="eastAsia" w:ascii="宋体" w:hAnsi="宋体" w:eastAsia="宋体" w:cs="宋体"/>
          <w:b/>
          <w:bCs/>
          <w:color w:val="auto"/>
          <w:kern w:val="44"/>
          <w:sz w:val="21"/>
          <w:szCs w:val="21"/>
          <w:highlight w:val="none"/>
          <w:lang w:val="en-US" w:eastAsia="zh-CN" w:bidi="ar-SA"/>
        </w:rPr>
        <w:t>15.3 质量保证金</w:t>
      </w:r>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p>
    <w:p w14:paraId="33AB25D2">
      <w:pPr>
        <w:pStyle w:val="29"/>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关于是否扣留质量保证金的约定：</w:t>
      </w:r>
      <w:r>
        <w:rPr>
          <w:rFonts w:hint="eastAsia" w:ascii="宋体" w:hAnsi="宋体" w:eastAsia="宋体" w:cs="宋体"/>
          <w:color w:val="auto"/>
          <w:kern w:val="0"/>
          <w:szCs w:val="21"/>
          <w:highlight w:val="none"/>
          <w:u w:val="single"/>
        </w:rPr>
        <w:t>按工程价款结算总额的</w:t>
      </w:r>
      <w:r>
        <w:rPr>
          <w:rFonts w:hint="eastAsia" w:ascii="宋体" w:hAnsi="宋体" w:eastAsia="宋体" w:cs="宋体"/>
          <w:color w:val="auto"/>
          <w:kern w:val="0"/>
          <w:szCs w:val="21"/>
          <w:highlight w:val="none"/>
          <w:u w:val="single"/>
          <w:lang w:val="en-US" w:eastAsia="zh-CN"/>
        </w:rPr>
        <w:t>3</w:t>
      </w:r>
      <w:r>
        <w:rPr>
          <w:rFonts w:hint="eastAsia" w:ascii="宋体" w:hAnsi="宋体" w:eastAsia="宋体" w:cs="宋体"/>
          <w:color w:val="auto"/>
          <w:kern w:val="0"/>
          <w:szCs w:val="21"/>
          <w:highlight w:val="none"/>
          <w:u w:val="single"/>
        </w:rPr>
        <w:t xml:space="preserve">%作为质保金 </w:t>
      </w:r>
      <w:r>
        <w:rPr>
          <w:rFonts w:hint="eastAsia" w:ascii="宋体" w:hAnsi="宋体" w:eastAsia="宋体" w:cs="宋体"/>
          <w:color w:val="auto"/>
          <w:szCs w:val="21"/>
          <w:highlight w:val="none"/>
        </w:rPr>
        <w:t>。</w:t>
      </w:r>
    </w:p>
    <w:p w14:paraId="745A52D7">
      <w:pPr>
        <w:pStyle w:val="29"/>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 承包人提供质量保证金的方式</w:t>
      </w:r>
    </w:p>
    <w:p w14:paraId="7897D732">
      <w:pPr>
        <w:pStyle w:val="29"/>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质量保证金采用以下第</w:t>
      </w:r>
      <w:r>
        <w:rPr>
          <w:rFonts w:hint="eastAsia" w:ascii="宋体" w:hAnsi="宋体" w:eastAsia="宋体" w:cs="宋体"/>
          <w:color w:val="auto"/>
          <w:szCs w:val="21"/>
          <w:highlight w:val="none"/>
          <w:u w:val="single"/>
        </w:rPr>
        <w:t xml:space="preserve">  （2）   </w:t>
      </w:r>
      <w:r>
        <w:rPr>
          <w:rFonts w:hint="eastAsia" w:ascii="宋体" w:hAnsi="宋体" w:eastAsia="宋体" w:cs="宋体"/>
          <w:color w:val="auto"/>
          <w:szCs w:val="21"/>
          <w:highlight w:val="none"/>
        </w:rPr>
        <w:t>种方式：</w:t>
      </w:r>
    </w:p>
    <w:p w14:paraId="47518EAA">
      <w:pPr>
        <w:pStyle w:val="29"/>
        <w:autoSpaceDE w:val="0"/>
        <w:autoSpaceDN w:val="0"/>
        <w:adjustRightInd w:val="0"/>
        <w:spacing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（1）质量保证金保函，保证金额为：</w:t>
      </w:r>
      <w:r>
        <w:rPr>
          <w:rFonts w:hint="eastAsia" w:ascii="宋体" w:hAnsi="宋体" w:eastAsia="宋体" w:cs="宋体"/>
          <w:color w:val="auto"/>
          <w:kern w:val="0"/>
          <w:szCs w:val="21"/>
          <w:highlight w:val="none"/>
          <w:u w:val="single"/>
        </w:rPr>
        <w:t xml:space="preserve">  /   </w:t>
      </w:r>
      <w:r>
        <w:rPr>
          <w:rFonts w:hint="eastAsia" w:ascii="宋体" w:hAnsi="宋体" w:eastAsia="宋体" w:cs="宋体"/>
          <w:color w:val="auto"/>
          <w:kern w:val="0"/>
          <w:szCs w:val="21"/>
          <w:highlight w:val="none"/>
        </w:rPr>
        <w:t>；</w:t>
      </w:r>
    </w:p>
    <w:p w14:paraId="460DAA22">
      <w:pPr>
        <w:pStyle w:val="29"/>
        <w:autoSpaceDE w:val="0"/>
        <w:autoSpaceDN w:val="0"/>
        <w:adjustRightInd w:val="0"/>
        <w:spacing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bCs/>
          <w:color w:val="auto"/>
          <w:szCs w:val="21"/>
          <w:highlight w:val="none"/>
        </w:rPr>
        <w:t>发包人按工程价款结算总额的</w:t>
      </w:r>
      <w:r>
        <w:rPr>
          <w:rFonts w:hint="eastAsia" w:ascii="宋体" w:hAnsi="宋体" w:eastAsia="宋体" w:cs="宋体"/>
          <w:bCs/>
          <w:color w:val="auto"/>
          <w:szCs w:val="21"/>
          <w:highlight w:val="none"/>
          <w:u w:val="single"/>
        </w:rPr>
        <w:t xml:space="preserve"> 3 </w:t>
      </w:r>
      <w:r>
        <w:rPr>
          <w:rFonts w:hint="eastAsia" w:ascii="宋体" w:hAnsi="宋体" w:eastAsia="宋体" w:cs="宋体"/>
          <w:bCs/>
          <w:color w:val="auto"/>
          <w:szCs w:val="21"/>
          <w:highlight w:val="none"/>
        </w:rPr>
        <w:t>%预留工程</w:t>
      </w:r>
      <w:r>
        <w:rPr>
          <w:rFonts w:hint="eastAsia" w:ascii="宋体" w:hAnsi="宋体" w:eastAsia="宋体" w:cs="宋体"/>
          <w:bCs/>
          <w:color w:val="auto"/>
          <w:szCs w:val="21"/>
          <w:highlight w:val="none"/>
          <w:lang w:eastAsia="zh-CN"/>
        </w:rPr>
        <w:t>质量保证金</w:t>
      </w:r>
      <w:r>
        <w:rPr>
          <w:rFonts w:hint="eastAsia" w:ascii="宋体" w:hAnsi="宋体" w:eastAsia="宋体" w:cs="宋体"/>
          <w:bCs/>
          <w:color w:val="auto"/>
          <w:szCs w:val="21"/>
          <w:highlight w:val="none"/>
        </w:rPr>
        <w:t>，待缺陷责任期满后返还</w:t>
      </w:r>
      <w:r>
        <w:rPr>
          <w:rFonts w:hint="eastAsia" w:ascii="宋体" w:hAnsi="宋体" w:eastAsia="宋体" w:cs="宋体"/>
          <w:color w:val="auto"/>
          <w:kern w:val="0"/>
          <w:szCs w:val="21"/>
          <w:highlight w:val="none"/>
        </w:rPr>
        <w:t>；</w:t>
      </w:r>
    </w:p>
    <w:p w14:paraId="47B8DD07">
      <w:pPr>
        <w:pStyle w:val="29"/>
        <w:autoSpaceDE w:val="0"/>
        <w:autoSpaceDN w:val="0"/>
        <w:adjustRightInd w:val="0"/>
        <w:spacing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（3）其他方式：</w:t>
      </w:r>
      <w:r>
        <w:rPr>
          <w:rFonts w:hint="eastAsia" w:ascii="宋体" w:hAnsi="宋体" w:eastAsia="宋体" w:cs="宋体"/>
          <w:bCs/>
          <w:color w:val="auto"/>
          <w:szCs w:val="21"/>
          <w:highlight w:val="none"/>
          <w:u w:val="single"/>
        </w:rPr>
        <w:t xml:space="preserve">   /        </w:t>
      </w:r>
      <w:r>
        <w:rPr>
          <w:rFonts w:hint="eastAsia" w:ascii="宋体" w:hAnsi="宋体" w:eastAsia="宋体" w:cs="宋体"/>
          <w:bCs/>
          <w:color w:val="auto"/>
          <w:szCs w:val="21"/>
          <w:highlight w:val="none"/>
        </w:rPr>
        <w:t>。</w:t>
      </w:r>
    </w:p>
    <w:p w14:paraId="04098657">
      <w:pPr>
        <w:pStyle w:val="29"/>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 质量保证金的扣留</w:t>
      </w:r>
    </w:p>
    <w:p w14:paraId="267A0176">
      <w:pPr>
        <w:pStyle w:val="29"/>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质量保证金的扣留采取以下第</w:t>
      </w:r>
      <w:r>
        <w:rPr>
          <w:rFonts w:hint="eastAsia" w:ascii="宋体" w:hAnsi="宋体" w:eastAsia="宋体" w:cs="宋体"/>
          <w:color w:val="auto"/>
          <w:szCs w:val="21"/>
          <w:highlight w:val="none"/>
          <w:u w:val="single"/>
        </w:rPr>
        <w:t xml:space="preserve">   （2）   </w:t>
      </w:r>
      <w:r>
        <w:rPr>
          <w:rFonts w:hint="eastAsia" w:ascii="宋体" w:hAnsi="宋体" w:eastAsia="宋体" w:cs="宋体"/>
          <w:color w:val="auto"/>
          <w:szCs w:val="21"/>
          <w:highlight w:val="none"/>
        </w:rPr>
        <w:t>种方式：</w:t>
      </w:r>
    </w:p>
    <w:p w14:paraId="2486DA01">
      <w:pPr>
        <w:pStyle w:val="29"/>
        <w:autoSpaceDE w:val="0"/>
        <w:autoSpaceDN w:val="0"/>
        <w:adjustRightInd w:val="0"/>
        <w:spacing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（1）在支付工程进度款时逐次扣留，在此情形下，质量保证金的计算基数不包括预付款的支付、扣回以及价格调整的金额；</w:t>
      </w:r>
    </w:p>
    <w:p w14:paraId="6E529F7D">
      <w:pPr>
        <w:pStyle w:val="29"/>
        <w:autoSpaceDE w:val="0"/>
        <w:autoSpaceDN w:val="0"/>
        <w:adjustRightInd w:val="0"/>
        <w:spacing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（2）工程竣工结算时一次性扣留质量保证金；</w:t>
      </w:r>
    </w:p>
    <w:p w14:paraId="45BBB53B">
      <w:pPr>
        <w:pStyle w:val="29"/>
        <w:autoSpaceDE w:val="0"/>
        <w:autoSpaceDN w:val="0"/>
        <w:adjustRightInd w:val="0"/>
        <w:spacing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（3）其他扣留方式:</w:t>
      </w:r>
      <w:r>
        <w:rPr>
          <w:rFonts w:hint="eastAsia" w:ascii="宋体" w:hAnsi="宋体" w:eastAsia="宋体" w:cs="宋体"/>
          <w:color w:val="auto"/>
          <w:kern w:val="0"/>
          <w:szCs w:val="21"/>
          <w:highlight w:val="none"/>
          <w:u w:val="single"/>
        </w:rPr>
        <w:t xml:space="preserve">    /                </w:t>
      </w:r>
      <w:r>
        <w:rPr>
          <w:rFonts w:hint="eastAsia" w:ascii="宋体" w:hAnsi="宋体" w:eastAsia="宋体" w:cs="宋体"/>
          <w:color w:val="auto"/>
          <w:kern w:val="0"/>
          <w:szCs w:val="21"/>
          <w:highlight w:val="none"/>
        </w:rPr>
        <w:t>。</w:t>
      </w:r>
    </w:p>
    <w:p w14:paraId="3DB478B8">
      <w:pPr>
        <w:pStyle w:val="29"/>
        <w:spacing w:line="38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关于质量保证金的补充约定：</w:t>
      </w:r>
      <w:r>
        <w:rPr>
          <w:rFonts w:hint="eastAsia" w:ascii="宋体" w:hAnsi="宋体" w:eastAsia="宋体" w:cs="宋体"/>
          <w:color w:val="auto"/>
          <w:szCs w:val="21"/>
          <w:highlight w:val="none"/>
          <w:u w:val="single"/>
        </w:rPr>
        <w:t>承包人未按照法律法规有关规定和合同约定履行质量保修义务的，发包人有权从质量保证金中扣留用于质量保修的各项支出。</w:t>
      </w:r>
      <w:r>
        <w:rPr>
          <w:rFonts w:hint="eastAsia" w:ascii="宋体" w:hAnsi="宋体" w:eastAsia="宋体" w:cs="宋体"/>
          <w:color w:val="auto"/>
          <w:kern w:val="0"/>
          <w:szCs w:val="21"/>
          <w:highlight w:val="none"/>
          <w:u w:val="single"/>
        </w:rPr>
        <w:t>发包人在工程缺陷责任期满后 14 天内将保修金一次性返回给承包人（无息）。质量保证金的返还，并不能免除承包人按照合同约定应承担的质量保修责任和应履行的质量保修义务。</w:t>
      </w:r>
    </w:p>
    <w:bookmarkEnd w:id="1486"/>
    <w:bookmarkEnd w:id="1487"/>
    <w:p w14:paraId="1D67B18A">
      <w:pPr>
        <w:keepNext/>
        <w:keepLines/>
        <w:widowControl w:val="0"/>
        <w:spacing w:line="380" w:lineRule="exact"/>
        <w:ind w:firstLine="422" w:firstLineChars="200"/>
        <w:jc w:val="both"/>
        <w:outlineLvl w:val="0"/>
        <w:rPr>
          <w:rFonts w:hint="eastAsia" w:ascii="宋体" w:hAnsi="宋体" w:eastAsia="宋体" w:cs="宋体"/>
          <w:b/>
          <w:bCs/>
          <w:color w:val="auto"/>
          <w:kern w:val="44"/>
          <w:sz w:val="21"/>
          <w:szCs w:val="21"/>
          <w:highlight w:val="none"/>
          <w:lang w:val="en-US" w:eastAsia="zh-CN" w:bidi="ar-SA"/>
        </w:rPr>
      </w:pPr>
      <w:bookmarkStart w:id="1543" w:name="_Toc418061377"/>
      <w:bookmarkStart w:id="1544" w:name="_Toc403579000"/>
      <w:bookmarkStart w:id="1545" w:name="_Toc256000243"/>
      <w:bookmarkStart w:id="1546" w:name="_Toc497746847"/>
      <w:bookmarkStart w:id="1547" w:name="_Toc522201792"/>
      <w:bookmarkStart w:id="1548" w:name="_Toc418752308"/>
      <w:bookmarkStart w:id="1549" w:name="_Toc389065330"/>
      <w:bookmarkStart w:id="1550" w:name="_Toc418751862"/>
      <w:bookmarkStart w:id="1551" w:name="_Toc497747244"/>
      <w:bookmarkStart w:id="1552" w:name="_Toc418518176"/>
      <w:bookmarkStart w:id="1553" w:name="_Toc25256"/>
      <w:bookmarkStart w:id="1554" w:name="_Toc373227765"/>
      <w:bookmarkStart w:id="1555" w:name="_Toc373478412"/>
      <w:bookmarkStart w:id="1556" w:name="_Toc418518412"/>
      <w:r>
        <w:rPr>
          <w:rFonts w:hint="eastAsia" w:ascii="宋体" w:hAnsi="宋体" w:eastAsia="宋体" w:cs="宋体"/>
          <w:b/>
          <w:bCs/>
          <w:color w:val="auto"/>
          <w:kern w:val="44"/>
          <w:sz w:val="21"/>
          <w:szCs w:val="21"/>
          <w:highlight w:val="none"/>
          <w:lang w:val="en-US" w:eastAsia="zh-CN" w:bidi="ar-SA"/>
        </w:rPr>
        <w:t>15.4 保修</w:t>
      </w:r>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p>
    <w:bookmarkEnd w:id="1488"/>
    <w:p w14:paraId="01DA9EF9">
      <w:pPr>
        <w:pStyle w:val="29"/>
        <w:spacing w:line="380" w:lineRule="exact"/>
        <w:ind w:firstLine="409" w:firstLineChars="19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15.4.1 保修责任</w:t>
      </w:r>
    </w:p>
    <w:p w14:paraId="323EAB6C">
      <w:pPr>
        <w:pStyle w:val="29"/>
        <w:spacing w:line="380" w:lineRule="exact"/>
        <w:ind w:firstLine="409" w:firstLineChars="195"/>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工程保修期为：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Cs w:val="21"/>
          <w:highlight w:val="none"/>
          <w:u w:val="single"/>
        </w:rPr>
        <w:t>根据《建设工程质量管理条例》及有关规定，约定本工程的保修期详见《工程质量保修书》。</w:t>
      </w:r>
    </w:p>
    <w:p w14:paraId="7A020558">
      <w:pPr>
        <w:pStyle w:val="29"/>
        <w:spacing w:line="380" w:lineRule="exact"/>
        <w:ind w:firstLine="409" w:firstLineChars="195"/>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工程保修书具体内容见合同附件3。</w:t>
      </w:r>
    </w:p>
    <w:p w14:paraId="7AB6F8AE">
      <w:pPr>
        <w:pStyle w:val="29"/>
        <w:spacing w:line="380" w:lineRule="exact"/>
        <w:ind w:firstLine="409" w:firstLineChars="19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15.4.3 修复通知</w:t>
      </w:r>
    </w:p>
    <w:p w14:paraId="6F465338">
      <w:pPr>
        <w:pStyle w:val="29"/>
        <w:spacing w:line="380" w:lineRule="exact"/>
        <w:ind w:firstLine="409" w:firstLineChars="195"/>
        <w:jc w:val="left"/>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rPr>
        <w:t>承包人收到保修通知并到达工程现场的合理时间：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Cs w:val="21"/>
          <w:highlight w:val="none"/>
          <w:u w:val="single"/>
        </w:rPr>
        <w:t xml:space="preserve"> 1、属于保修范围、内容的项目，承包人应当在接到保修通知之日起三天内派人保修。承包人不在约定期限内派人保修的，发包人有权直接安排维修，费用从工程保修金中扣除，不足部分发包人有权向承包人追索。2、发生紧急抢修事故的，承包人在接到事故通知后，应当立即到达事故现场抢修。3、对于涉及设备的质量问题，应当提出保修方案，及时更换设备，承包人实施保修。属于涉及结构安全的质量问题，应当按照《房屋建筑工程质量保修办法》的规定，立即向当地建设行政主管部门报告，采取安全防范措施；由原设计单位或者具有相应资质等级的设计单位提出保修方案，承包人实施保修。4、质量保修完成后，由发包人组织验收。5、保修费用由造成质量缺陷的责任方承担 。</w:t>
      </w:r>
    </w:p>
    <w:bookmarkEnd w:id="1489"/>
    <w:bookmarkEnd w:id="1490"/>
    <w:bookmarkEnd w:id="1491"/>
    <w:bookmarkEnd w:id="1492"/>
    <w:p w14:paraId="78004227">
      <w:pPr>
        <w:keepNext/>
        <w:keepLines/>
        <w:widowControl w:val="0"/>
        <w:spacing w:line="380" w:lineRule="exact"/>
        <w:jc w:val="both"/>
        <w:outlineLvl w:val="0"/>
        <w:rPr>
          <w:rFonts w:hint="eastAsia" w:ascii="宋体" w:hAnsi="宋体" w:eastAsia="宋体" w:cs="宋体"/>
          <w:b/>
          <w:bCs/>
          <w:color w:val="auto"/>
          <w:kern w:val="44"/>
          <w:sz w:val="21"/>
          <w:szCs w:val="21"/>
          <w:highlight w:val="none"/>
          <w:lang w:val="en-US" w:eastAsia="zh-CN" w:bidi="ar-SA"/>
        </w:rPr>
      </w:pPr>
      <w:bookmarkStart w:id="1557" w:name="_Toc403579001"/>
      <w:bookmarkStart w:id="1558" w:name="_Toc389065331"/>
      <w:bookmarkStart w:id="1559" w:name="_Toc418518177"/>
      <w:bookmarkStart w:id="1560" w:name="_Toc418752309"/>
      <w:bookmarkStart w:id="1561" w:name="_Toc7253"/>
      <w:bookmarkStart w:id="1562" w:name="_Toc497746848"/>
      <w:bookmarkStart w:id="1563" w:name="_Toc497747245"/>
      <w:bookmarkStart w:id="1564" w:name="_Toc373478413"/>
      <w:bookmarkStart w:id="1565" w:name="_Toc522201793"/>
      <w:bookmarkStart w:id="1566" w:name="_Toc256000244"/>
      <w:bookmarkStart w:id="1567" w:name="_Toc418061378"/>
      <w:bookmarkStart w:id="1568" w:name="_Toc373227766"/>
      <w:bookmarkStart w:id="1569" w:name="_Toc351203648"/>
      <w:bookmarkStart w:id="1570" w:name="_Toc418518413"/>
      <w:bookmarkStart w:id="1571" w:name="_Toc418751863"/>
      <w:bookmarkStart w:id="1572" w:name="_Toc280868717"/>
      <w:bookmarkStart w:id="1573" w:name="_Toc280868718"/>
      <w:r>
        <w:rPr>
          <w:rFonts w:hint="eastAsia" w:ascii="宋体" w:hAnsi="宋体" w:eastAsia="宋体" w:cs="宋体"/>
          <w:b/>
          <w:bCs/>
          <w:color w:val="auto"/>
          <w:kern w:val="44"/>
          <w:sz w:val="21"/>
          <w:szCs w:val="21"/>
          <w:highlight w:val="none"/>
          <w:lang w:val="en-US" w:eastAsia="zh-CN" w:bidi="ar-SA"/>
        </w:rPr>
        <w:t>16. 违约</w:t>
      </w:r>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p>
    <w:p w14:paraId="416BF0FD">
      <w:pPr>
        <w:keepNext/>
        <w:keepLines/>
        <w:widowControl w:val="0"/>
        <w:spacing w:line="380" w:lineRule="exact"/>
        <w:ind w:firstLine="422" w:firstLineChars="200"/>
        <w:jc w:val="both"/>
        <w:outlineLvl w:val="0"/>
        <w:rPr>
          <w:rFonts w:hint="eastAsia" w:ascii="宋体" w:hAnsi="宋体" w:eastAsia="宋体" w:cs="宋体"/>
          <w:b/>
          <w:bCs/>
          <w:color w:val="auto"/>
          <w:kern w:val="44"/>
          <w:sz w:val="21"/>
          <w:szCs w:val="21"/>
          <w:highlight w:val="none"/>
          <w:lang w:val="en-US" w:eastAsia="zh-CN" w:bidi="ar-SA"/>
        </w:rPr>
      </w:pPr>
      <w:bookmarkStart w:id="1574" w:name="_Toc418751864"/>
      <w:bookmarkStart w:id="1575" w:name="_Toc522201794"/>
      <w:bookmarkStart w:id="1576" w:name="_Toc373478414"/>
      <w:bookmarkStart w:id="1577" w:name="_Toc403579002"/>
      <w:bookmarkStart w:id="1578" w:name="_Toc418752310"/>
      <w:bookmarkStart w:id="1579" w:name="_Toc418518414"/>
      <w:bookmarkStart w:id="1580" w:name="_Toc389065332"/>
      <w:bookmarkStart w:id="1581" w:name="_Toc418518178"/>
      <w:bookmarkStart w:id="1582" w:name="_Toc14844"/>
      <w:bookmarkStart w:id="1583" w:name="_Toc497747246"/>
      <w:bookmarkStart w:id="1584" w:name="_Toc497746849"/>
      <w:bookmarkStart w:id="1585" w:name="_Toc256000245"/>
      <w:bookmarkStart w:id="1586" w:name="_Toc418061379"/>
      <w:bookmarkStart w:id="1587" w:name="_Toc373227767"/>
      <w:r>
        <w:rPr>
          <w:rFonts w:hint="eastAsia" w:ascii="宋体" w:hAnsi="宋体" w:eastAsia="宋体" w:cs="宋体"/>
          <w:b/>
          <w:bCs/>
          <w:color w:val="auto"/>
          <w:kern w:val="44"/>
          <w:sz w:val="21"/>
          <w:szCs w:val="21"/>
          <w:highlight w:val="none"/>
          <w:lang w:val="en-US" w:eastAsia="zh-CN" w:bidi="ar-SA"/>
        </w:rPr>
        <w:t>16.1 发包人违约</w:t>
      </w:r>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p>
    <w:p w14:paraId="31B8E590">
      <w:pPr>
        <w:pStyle w:val="29"/>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16.1.1发包人违约的情形</w:t>
      </w:r>
    </w:p>
    <w:p w14:paraId="67649EA7">
      <w:pPr>
        <w:pStyle w:val="29"/>
        <w:spacing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发包人违约的其他情形：</w:t>
      </w:r>
      <w:r>
        <w:rPr>
          <w:rFonts w:hint="eastAsia" w:ascii="宋体" w:hAnsi="宋体" w:eastAsia="宋体" w:cs="宋体"/>
          <w:color w:val="auto"/>
          <w:kern w:val="0"/>
          <w:szCs w:val="21"/>
          <w:highlight w:val="none"/>
          <w:u w:val="single"/>
        </w:rPr>
        <w:t xml:space="preserve">    无   </w:t>
      </w:r>
      <w:r>
        <w:rPr>
          <w:rFonts w:hint="eastAsia" w:ascii="宋体" w:hAnsi="宋体" w:eastAsia="宋体" w:cs="宋体"/>
          <w:color w:val="auto"/>
          <w:kern w:val="0"/>
          <w:szCs w:val="21"/>
          <w:highlight w:val="none"/>
        </w:rPr>
        <w:t>。</w:t>
      </w:r>
    </w:p>
    <w:p w14:paraId="2311803D">
      <w:pPr>
        <w:pStyle w:val="29"/>
        <w:spacing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16.1.2 发包人违约的责任</w:t>
      </w:r>
    </w:p>
    <w:p w14:paraId="57BEF3C0">
      <w:pPr>
        <w:pStyle w:val="29"/>
        <w:spacing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发包人违约责任的承担方式和计算方法：</w:t>
      </w:r>
    </w:p>
    <w:p w14:paraId="1B903310">
      <w:pPr>
        <w:pStyle w:val="29"/>
        <w:spacing w:line="38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（1）因发包人原因未能在计划开工日期前7天内下达开工通知的违约责任：</w:t>
      </w:r>
      <w:r>
        <w:rPr>
          <w:rFonts w:hint="eastAsia" w:ascii="宋体" w:hAnsi="宋体" w:eastAsia="宋体" w:cs="宋体"/>
          <w:color w:val="auto"/>
          <w:kern w:val="0"/>
          <w:szCs w:val="21"/>
          <w:highlight w:val="none"/>
          <w:u w:val="single"/>
        </w:rPr>
        <w:t>工期相应顺延</w:t>
      </w:r>
      <w:r>
        <w:rPr>
          <w:rFonts w:hint="eastAsia" w:ascii="宋体" w:hAnsi="宋体" w:eastAsia="宋体" w:cs="宋体"/>
          <w:color w:val="auto"/>
          <w:kern w:val="0"/>
          <w:szCs w:val="21"/>
          <w:highlight w:val="none"/>
        </w:rPr>
        <w:t>。</w:t>
      </w:r>
    </w:p>
    <w:p w14:paraId="69E08857">
      <w:pPr>
        <w:pStyle w:val="29"/>
        <w:spacing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（2）因发包人原因未能按合同约定支付合同价款的违约责任：</w:t>
      </w:r>
      <w:r>
        <w:rPr>
          <w:rFonts w:hint="eastAsia" w:ascii="宋体" w:hAnsi="宋体" w:eastAsia="宋体" w:cs="宋体"/>
          <w:color w:val="auto"/>
          <w:kern w:val="0"/>
          <w:szCs w:val="21"/>
          <w:highlight w:val="none"/>
          <w:u w:val="single"/>
        </w:rPr>
        <w:t xml:space="preserve"> / </w:t>
      </w:r>
      <w:r>
        <w:rPr>
          <w:rFonts w:hint="eastAsia" w:ascii="宋体" w:hAnsi="宋体" w:eastAsia="宋体" w:cs="宋体"/>
          <w:color w:val="auto"/>
          <w:kern w:val="0"/>
          <w:szCs w:val="21"/>
          <w:highlight w:val="none"/>
        </w:rPr>
        <w:t>。</w:t>
      </w:r>
    </w:p>
    <w:p w14:paraId="4E8BE16B">
      <w:pPr>
        <w:pStyle w:val="29"/>
        <w:spacing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（3）发包人违反第10.1款〔变更的范围〕第（2）项约定，自行实施被取消的工作或转由他人实施的违约责任：</w:t>
      </w:r>
      <w:r>
        <w:rPr>
          <w:rFonts w:hint="eastAsia" w:ascii="宋体" w:hAnsi="宋体" w:eastAsia="宋体" w:cs="宋体"/>
          <w:color w:val="auto"/>
          <w:kern w:val="0"/>
          <w:szCs w:val="21"/>
          <w:highlight w:val="none"/>
          <w:u w:val="single"/>
        </w:rPr>
        <w:t xml:space="preserve">  按通用条款执行  </w:t>
      </w:r>
      <w:r>
        <w:rPr>
          <w:rFonts w:hint="eastAsia" w:ascii="宋体" w:hAnsi="宋体" w:eastAsia="宋体" w:cs="宋体"/>
          <w:color w:val="auto"/>
          <w:kern w:val="0"/>
          <w:szCs w:val="21"/>
          <w:highlight w:val="none"/>
        </w:rPr>
        <w:t>。</w:t>
      </w:r>
    </w:p>
    <w:p w14:paraId="3F84E27B">
      <w:pPr>
        <w:pStyle w:val="29"/>
        <w:spacing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kern w:val="0"/>
          <w:szCs w:val="21"/>
          <w:highlight w:val="none"/>
          <w:u w:val="single"/>
        </w:rPr>
        <w:t>工期相应顺延</w:t>
      </w:r>
      <w:r>
        <w:rPr>
          <w:rFonts w:hint="eastAsia" w:ascii="宋体" w:hAnsi="宋体" w:eastAsia="宋体" w:cs="宋体"/>
          <w:color w:val="auto"/>
          <w:kern w:val="0"/>
          <w:szCs w:val="21"/>
          <w:highlight w:val="none"/>
        </w:rPr>
        <w:t>。</w:t>
      </w:r>
    </w:p>
    <w:p w14:paraId="486B0A1A">
      <w:pPr>
        <w:pStyle w:val="29"/>
        <w:spacing w:line="38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（5）因发包人违反合同约定造成暂停施工的违约责任：</w:t>
      </w:r>
      <w:r>
        <w:rPr>
          <w:rFonts w:hint="eastAsia" w:ascii="宋体" w:hAnsi="宋体" w:eastAsia="宋体" w:cs="宋体"/>
          <w:color w:val="auto"/>
          <w:kern w:val="0"/>
          <w:szCs w:val="21"/>
          <w:highlight w:val="none"/>
          <w:u w:val="single"/>
        </w:rPr>
        <w:t>按通用条款执行</w:t>
      </w:r>
      <w:r>
        <w:rPr>
          <w:rFonts w:hint="eastAsia" w:ascii="宋体" w:hAnsi="宋体" w:eastAsia="宋体" w:cs="宋体"/>
          <w:color w:val="auto"/>
          <w:kern w:val="0"/>
          <w:szCs w:val="21"/>
          <w:highlight w:val="none"/>
        </w:rPr>
        <w:t>。</w:t>
      </w:r>
    </w:p>
    <w:p w14:paraId="5F692E2C">
      <w:pPr>
        <w:pStyle w:val="29"/>
        <w:spacing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（6）发包人无正当理由没有在约定期限内发出复工指示，导致承包人无法复工的违约责任：</w:t>
      </w:r>
      <w:r>
        <w:rPr>
          <w:rFonts w:hint="eastAsia" w:ascii="宋体" w:hAnsi="宋体" w:eastAsia="宋体" w:cs="宋体"/>
          <w:color w:val="auto"/>
          <w:kern w:val="0"/>
          <w:szCs w:val="21"/>
          <w:highlight w:val="none"/>
          <w:u w:val="single"/>
        </w:rPr>
        <w:t xml:space="preserve">   按通用条款执行</w:t>
      </w:r>
      <w:r>
        <w:rPr>
          <w:rFonts w:hint="eastAsia" w:ascii="宋体" w:hAnsi="宋体" w:eastAsia="宋体" w:cs="宋体"/>
          <w:color w:val="auto"/>
          <w:kern w:val="0"/>
          <w:szCs w:val="21"/>
          <w:highlight w:val="none"/>
        </w:rPr>
        <w:t>。</w:t>
      </w:r>
    </w:p>
    <w:p w14:paraId="22C6C259">
      <w:pPr>
        <w:pStyle w:val="29"/>
        <w:spacing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（7）其他：</w:t>
      </w:r>
      <w:r>
        <w:rPr>
          <w:rFonts w:hint="eastAsia" w:ascii="宋体" w:hAnsi="宋体" w:eastAsia="宋体" w:cs="宋体"/>
          <w:color w:val="auto"/>
          <w:kern w:val="0"/>
          <w:szCs w:val="21"/>
          <w:highlight w:val="none"/>
          <w:u w:val="single"/>
        </w:rPr>
        <w:t xml:space="preserve">  /  </w:t>
      </w:r>
      <w:r>
        <w:rPr>
          <w:rFonts w:hint="eastAsia" w:ascii="宋体" w:hAnsi="宋体" w:eastAsia="宋体" w:cs="宋体"/>
          <w:color w:val="auto"/>
          <w:kern w:val="0"/>
          <w:szCs w:val="21"/>
          <w:highlight w:val="none"/>
        </w:rPr>
        <w:t>。</w:t>
      </w:r>
    </w:p>
    <w:p w14:paraId="656148E8">
      <w:pPr>
        <w:pStyle w:val="29"/>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16.1.3 因发包人违约解除合同</w:t>
      </w:r>
    </w:p>
    <w:p w14:paraId="39C9B2E4">
      <w:pPr>
        <w:pStyle w:val="29"/>
        <w:autoSpaceDE w:val="0"/>
        <w:autoSpaceDN w:val="0"/>
        <w:adjustRightInd w:val="0"/>
        <w:spacing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承包人按16.1.1项〔发包人违约的情形〕约定暂停施工满</w:t>
      </w:r>
      <w:r>
        <w:rPr>
          <w:rFonts w:hint="eastAsia" w:ascii="宋体" w:hAnsi="宋体" w:eastAsia="宋体" w:cs="宋体"/>
          <w:color w:val="auto"/>
          <w:kern w:val="0"/>
          <w:szCs w:val="21"/>
          <w:highlight w:val="none"/>
          <w:u w:val="single"/>
        </w:rPr>
        <w:t xml:space="preserve">  /  </w:t>
      </w:r>
      <w:r>
        <w:rPr>
          <w:rFonts w:hint="eastAsia" w:ascii="宋体" w:hAnsi="宋体" w:eastAsia="宋体" w:cs="宋体"/>
          <w:color w:val="auto"/>
          <w:kern w:val="0"/>
          <w:szCs w:val="21"/>
          <w:highlight w:val="none"/>
        </w:rPr>
        <w:t>天后发包人仍不纠正其违约行为并致使合同目的不能实现的，承包人有权解除合同。</w:t>
      </w:r>
    </w:p>
    <w:p w14:paraId="3678F56A">
      <w:pPr>
        <w:keepNext/>
        <w:keepLines/>
        <w:widowControl w:val="0"/>
        <w:spacing w:line="380" w:lineRule="exact"/>
        <w:ind w:firstLine="422" w:firstLineChars="200"/>
        <w:jc w:val="both"/>
        <w:outlineLvl w:val="0"/>
        <w:rPr>
          <w:rFonts w:hint="eastAsia" w:ascii="宋体" w:hAnsi="宋体" w:eastAsia="宋体" w:cs="宋体"/>
          <w:b/>
          <w:bCs/>
          <w:color w:val="auto"/>
          <w:kern w:val="44"/>
          <w:sz w:val="21"/>
          <w:szCs w:val="21"/>
          <w:highlight w:val="none"/>
          <w:lang w:val="en-US" w:eastAsia="zh-CN" w:bidi="ar-SA"/>
        </w:rPr>
      </w:pPr>
      <w:bookmarkStart w:id="1588" w:name="_Toc30638"/>
      <w:bookmarkStart w:id="1589" w:name="_Toc522201795"/>
      <w:bookmarkStart w:id="1590" w:name="_Toc418518415"/>
      <w:bookmarkStart w:id="1591" w:name="_Toc418061380"/>
      <w:bookmarkStart w:id="1592" w:name="_Toc373478415"/>
      <w:bookmarkStart w:id="1593" w:name="_Toc497746850"/>
      <w:bookmarkStart w:id="1594" w:name="_Toc497747247"/>
      <w:bookmarkStart w:id="1595" w:name="_Toc256000246"/>
      <w:bookmarkStart w:id="1596" w:name="_Toc373227768"/>
      <w:bookmarkStart w:id="1597" w:name="_Toc418518179"/>
      <w:bookmarkStart w:id="1598" w:name="_Toc389065333"/>
      <w:bookmarkStart w:id="1599" w:name="_Toc403579003"/>
      <w:bookmarkStart w:id="1600" w:name="_Toc418751865"/>
      <w:bookmarkStart w:id="1601" w:name="_Toc418752311"/>
      <w:r>
        <w:rPr>
          <w:rFonts w:hint="eastAsia" w:ascii="宋体" w:hAnsi="宋体" w:eastAsia="宋体" w:cs="宋体"/>
          <w:b/>
          <w:bCs/>
          <w:color w:val="auto"/>
          <w:kern w:val="44"/>
          <w:sz w:val="21"/>
          <w:szCs w:val="21"/>
          <w:highlight w:val="none"/>
          <w:lang w:val="en-US" w:eastAsia="zh-CN" w:bidi="ar-SA"/>
        </w:rPr>
        <w:t>16.2 承包人违约</w:t>
      </w:r>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p>
    <w:p w14:paraId="2898E7BF">
      <w:pPr>
        <w:pStyle w:val="29"/>
        <w:spacing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16.2.1 承包人违约的情形</w:t>
      </w:r>
    </w:p>
    <w:p w14:paraId="40E8E467">
      <w:pPr>
        <w:pStyle w:val="29"/>
        <w:spacing w:line="38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承包人违约的其他情形：</w:t>
      </w:r>
      <w:r>
        <w:rPr>
          <w:rFonts w:hint="eastAsia" w:ascii="宋体" w:hAnsi="宋体" w:eastAsia="宋体" w:cs="宋体"/>
          <w:color w:val="auto"/>
          <w:kern w:val="0"/>
          <w:szCs w:val="21"/>
          <w:highlight w:val="none"/>
          <w:u w:val="single"/>
        </w:rPr>
        <w:t xml:space="preserve">按通用条款执行 </w:t>
      </w:r>
      <w:r>
        <w:rPr>
          <w:rFonts w:hint="eastAsia" w:ascii="宋体" w:hAnsi="宋体" w:eastAsia="宋体" w:cs="宋体"/>
          <w:color w:val="auto"/>
          <w:kern w:val="0"/>
          <w:szCs w:val="21"/>
          <w:highlight w:val="none"/>
        </w:rPr>
        <w:t>。</w:t>
      </w:r>
    </w:p>
    <w:p w14:paraId="5C7E4D53">
      <w:pPr>
        <w:pStyle w:val="29"/>
        <w:spacing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16.2.2承包人违约的责任</w:t>
      </w:r>
    </w:p>
    <w:p w14:paraId="59EAB31D">
      <w:pPr>
        <w:pStyle w:val="29"/>
        <w:spacing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承包人违约责任的承担方式和计算方法：</w:t>
      </w:r>
    </w:p>
    <w:p w14:paraId="2A2F2F42">
      <w:pPr>
        <w:pStyle w:val="29"/>
        <w:spacing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承包人未按本合同通用条款第16.2.1（2）、（3）条内容完成的，承包人无条件返工处理，修复至工程质量要求并承担相关费用，并在发包人规定的时间内完成返工，否则发包人有权扣罚该分项工程10%的工程款作为处罚。</w:t>
      </w:r>
    </w:p>
    <w:p w14:paraId="2A62B6B5">
      <w:pPr>
        <w:pStyle w:val="29"/>
        <w:spacing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（2）承包人有本合同通用条款第16.2.1（6）条情形的，或经监理人检验认为修复质量不合格而承包人拒绝再进行修补的，发包人将扣除承包人全部</w:t>
      </w:r>
      <w:r>
        <w:rPr>
          <w:rFonts w:hint="eastAsia" w:ascii="宋体" w:hAnsi="宋体" w:eastAsia="宋体" w:cs="宋体"/>
          <w:color w:val="auto"/>
          <w:kern w:val="0"/>
          <w:szCs w:val="21"/>
          <w:highlight w:val="none"/>
          <w:lang w:eastAsia="zh-CN"/>
        </w:rPr>
        <w:t>质量保证金</w:t>
      </w:r>
      <w:r>
        <w:rPr>
          <w:rFonts w:hint="eastAsia" w:ascii="宋体" w:hAnsi="宋体" w:eastAsia="宋体" w:cs="宋体"/>
          <w:color w:val="auto"/>
          <w:kern w:val="0"/>
          <w:szCs w:val="21"/>
          <w:highlight w:val="none"/>
        </w:rPr>
        <w:t>。</w:t>
      </w:r>
    </w:p>
    <w:p w14:paraId="57DD5B02">
      <w:pPr>
        <w:pStyle w:val="29"/>
        <w:spacing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承包人有本专用合同条款3.2、3.3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w:t>
      </w:r>
      <w:r>
        <w:rPr>
          <w:rFonts w:hint="eastAsia" w:ascii="宋体" w:hAnsi="宋体" w:eastAsia="宋体" w:cs="宋体"/>
          <w:color w:val="auto"/>
          <w:szCs w:val="21"/>
          <w:highlight w:val="none"/>
        </w:rPr>
        <w:t>承包人在合同期内，完成合同规定的全部工程，且质量合格，在本工程施工竣工验收后十五天内可申请返还全部或部分罚款，返还金额由监理人审核，发包人批准。罚款金额返还时不包括银行利息。</w:t>
      </w:r>
      <w:r>
        <w:rPr>
          <w:rFonts w:hint="eastAsia" w:ascii="宋体" w:hAnsi="宋体" w:eastAsia="宋体" w:cs="宋体"/>
          <w:color w:val="auto"/>
          <w:kern w:val="0"/>
          <w:szCs w:val="21"/>
          <w:highlight w:val="none"/>
        </w:rPr>
        <w:t>承包人履约保证金被罚款后由发包人从最后一次计量支付时扣除相应金额补足履约保证金。</w:t>
      </w:r>
    </w:p>
    <w:p w14:paraId="78B6267A">
      <w:pPr>
        <w:pStyle w:val="29"/>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16.2.3 因承包人违约解除合同</w:t>
      </w:r>
    </w:p>
    <w:p w14:paraId="7A812E81">
      <w:pPr>
        <w:pStyle w:val="29"/>
        <w:spacing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关于承包人违约解除合同的特别约定：</w:t>
      </w:r>
      <w:r>
        <w:rPr>
          <w:rFonts w:hint="eastAsia" w:ascii="宋体" w:hAnsi="宋体" w:eastAsia="宋体" w:cs="宋体"/>
          <w:color w:val="auto"/>
          <w:kern w:val="0"/>
          <w:szCs w:val="21"/>
          <w:highlight w:val="none"/>
          <w:u w:val="single"/>
        </w:rPr>
        <w:t>承包人有违反以下情况之一的，发包人有权解除合同，并没收其全部履约保证金</w:t>
      </w:r>
      <w:r>
        <w:rPr>
          <w:rFonts w:hint="eastAsia" w:ascii="宋体" w:hAnsi="宋体" w:eastAsia="宋体" w:cs="宋体"/>
          <w:color w:val="auto"/>
          <w:kern w:val="0"/>
          <w:szCs w:val="21"/>
          <w:highlight w:val="none"/>
        </w:rPr>
        <w:t>。</w:t>
      </w:r>
    </w:p>
    <w:p w14:paraId="49CA0616">
      <w:pPr>
        <w:pStyle w:val="29"/>
        <w:spacing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(1)承包人无正当理由不按开工通知的要求及时进场组织施工和不按签订协议书时商定的进度计划有效地开展施工准备，造成工期延误的；</w:t>
      </w:r>
    </w:p>
    <w:p w14:paraId="6409E21F">
      <w:pPr>
        <w:pStyle w:val="29"/>
        <w:spacing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(2)承包人违反本合同通用条款第3.5条规定私自将合同或合同的任何部分或任何权利转让给其他人，或私自将工程或工程的一部分分包出去的；</w:t>
      </w:r>
    </w:p>
    <w:p w14:paraId="668458B0">
      <w:pPr>
        <w:pStyle w:val="29"/>
        <w:spacing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(3)未经监理人批准，承包人私自将已按投标文件承诺进入工地的工程设备、施工设备、临时工程或材料撤离工地的；</w:t>
      </w:r>
    </w:p>
    <w:p w14:paraId="433A5E99">
      <w:pPr>
        <w:pStyle w:val="29"/>
        <w:spacing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(4)由于承包人原因拒绝按合同进度计划及时完成合同规定的工程，而又未采取有效措施赶上进度，造成工期延误的；</w:t>
      </w:r>
    </w:p>
    <w:p w14:paraId="3A9429A5">
      <w:pPr>
        <w:pStyle w:val="29"/>
        <w:spacing w:line="3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(5)承包人否认合同有效或拒绝履行合同规定的承包人义务，或由于法律、财务等原因导致承包人无法继续履行或实质上已停止履行合同的义务的；</w:t>
      </w:r>
    </w:p>
    <w:p w14:paraId="5740D33D">
      <w:pPr>
        <w:pStyle w:val="29"/>
        <w:spacing w:line="3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(6)合同签订之日起十五日内，承包人无法按合同规定及投标文件的承诺进场经监理工程师认可的全部人员和机械的。</w:t>
      </w:r>
    </w:p>
    <w:p w14:paraId="13B8B7ED">
      <w:pPr>
        <w:pStyle w:val="29"/>
        <w:spacing w:line="3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auto"/>
          <w:kern w:val="0"/>
          <w:szCs w:val="21"/>
          <w:highlight w:val="none"/>
          <w:u w:val="single"/>
        </w:rPr>
        <w:t xml:space="preserve">   协商决定   </w:t>
      </w:r>
      <w:r>
        <w:rPr>
          <w:rFonts w:hint="eastAsia" w:ascii="宋体" w:hAnsi="宋体" w:eastAsia="宋体" w:cs="宋体"/>
          <w:color w:val="auto"/>
          <w:kern w:val="0"/>
          <w:szCs w:val="21"/>
          <w:highlight w:val="none"/>
        </w:rPr>
        <w:t>。</w:t>
      </w:r>
    </w:p>
    <w:p w14:paraId="7363831C">
      <w:pPr>
        <w:keepNext/>
        <w:keepLines/>
        <w:widowControl w:val="0"/>
        <w:spacing w:line="380" w:lineRule="exact"/>
        <w:jc w:val="both"/>
        <w:outlineLvl w:val="0"/>
        <w:rPr>
          <w:rFonts w:hint="eastAsia" w:ascii="宋体" w:hAnsi="宋体" w:eastAsia="宋体" w:cs="宋体"/>
          <w:b/>
          <w:bCs/>
          <w:color w:val="auto"/>
          <w:kern w:val="44"/>
          <w:sz w:val="21"/>
          <w:szCs w:val="21"/>
          <w:highlight w:val="none"/>
          <w:lang w:val="en-US" w:eastAsia="zh-CN" w:bidi="ar-SA"/>
        </w:rPr>
      </w:pPr>
      <w:bookmarkStart w:id="1602" w:name="_Toc389065334"/>
      <w:bookmarkStart w:id="1603" w:name="_Toc418752312"/>
      <w:bookmarkStart w:id="1604" w:name="_Toc351203649"/>
      <w:bookmarkStart w:id="1605" w:name="_Toc418061381"/>
      <w:bookmarkStart w:id="1606" w:name="_Toc256000247"/>
      <w:bookmarkStart w:id="1607" w:name="_Toc373227769"/>
      <w:bookmarkStart w:id="1608" w:name="_Toc403579004"/>
      <w:bookmarkStart w:id="1609" w:name="_Toc22165"/>
      <w:bookmarkStart w:id="1610" w:name="_Toc373478416"/>
      <w:bookmarkStart w:id="1611" w:name="_Toc418518416"/>
      <w:bookmarkStart w:id="1612" w:name="_Toc497746851"/>
      <w:bookmarkStart w:id="1613" w:name="_Toc522201796"/>
      <w:bookmarkStart w:id="1614" w:name="_Toc497747248"/>
      <w:bookmarkStart w:id="1615" w:name="_Toc418751866"/>
      <w:bookmarkStart w:id="1616" w:name="_Toc418518180"/>
      <w:r>
        <w:rPr>
          <w:rFonts w:hint="eastAsia" w:ascii="宋体" w:hAnsi="宋体" w:eastAsia="宋体" w:cs="宋体"/>
          <w:b/>
          <w:bCs/>
          <w:color w:val="auto"/>
          <w:kern w:val="44"/>
          <w:sz w:val="21"/>
          <w:szCs w:val="21"/>
          <w:highlight w:val="none"/>
          <w:lang w:val="en-US" w:eastAsia="zh-CN" w:bidi="ar-SA"/>
        </w:rPr>
        <w:t>17. 不可抗力</w:t>
      </w:r>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r>
        <w:rPr>
          <w:rFonts w:hint="eastAsia" w:ascii="宋体" w:hAnsi="宋体" w:eastAsia="宋体" w:cs="宋体"/>
          <w:b/>
          <w:bCs/>
          <w:color w:val="auto"/>
          <w:kern w:val="44"/>
          <w:sz w:val="21"/>
          <w:szCs w:val="21"/>
          <w:highlight w:val="none"/>
          <w:lang w:val="en-US" w:eastAsia="zh-CN" w:bidi="ar-SA"/>
        </w:rPr>
        <w:t xml:space="preserve"> </w:t>
      </w:r>
      <w:bookmarkEnd w:id="1572"/>
    </w:p>
    <w:p w14:paraId="61139AAA">
      <w:pPr>
        <w:keepNext/>
        <w:keepLines/>
        <w:widowControl w:val="0"/>
        <w:spacing w:line="380" w:lineRule="exact"/>
        <w:ind w:firstLine="422" w:firstLineChars="200"/>
        <w:jc w:val="both"/>
        <w:outlineLvl w:val="0"/>
        <w:rPr>
          <w:rFonts w:hint="eastAsia" w:ascii="宋体" w:hAnsi="宋体" w:eastAsia="宋体" w:cs="宋体"/>
          <w:b/>
          <w:bCs/>
          <w:color w:val="auto"/>
          <w:kern w:val="44"/>
          <w:sz w:val="21"/>
          <w:szCs w:val="21"/>
          <w:highlight w:val="none"/>
          <w:lang w:val="en-US" w:eastAsia="zh-CN" w:bidi="ar-SA"/>
        </w:rPr>
      </w:pPr>
      <w:bookmarkStart w:id="1617" w:name="_Toc403579005"/>
      <w:bookmarkStart w:id="1618" w:name="_Toc373227770"/>
      <w:bookmarkStart w:id="1619" w:name="_Toc373478417"/>
      <w:bookmarkStart w:id="1620" w:name="_Toc256000248"/>
      <w:bookmarkStart w:id="1621" w:name="_Toc418752313"/>
      <w:bookmarkStart w:id="1622" w:name="_Toc418518181"/>
      <w:bookmarkStart w:id="1623" w:name="_Toc497746852"/>
      <w:bookmarkStart w:id="1624" w:name="_Toc418061382"/>
      <w:bookmarkStart w:id="1625" w:name="_Toc389065335"/>
      <w:bookmarkStart w:id="1626" w:name="_Toc522201797"/>
      <w:bookmarkStart w:id="1627" w:name="_Toc7706"/>
      <w:bookmarkStart w:id="1628" w:name="_Toc497747249"/>
      <w:bookmarkStart w:id="1629" w:name="_Toc418518417"/>
      <w:bookmarkStart w:id="1630" w:name="_Toc418751867"/>
      <w:r>
        <w:rPr>
          <w:rFonts w:hint="eastAsia" w:ascii="宋体" w:hAnsi="宋体" w:eastAsia="宋体" w:cs="宋体"/>
          <w:b/>
          <w:bCs/>
          <w:color w:val="auto"/>
          <w:kern w:val="44"/>
          <w:sz w:val="21"/>
          <w:szCs w:val="21"/>
          <w:highlight w:val="none"/>
          <w:lang w:val="en-US" w:eastAsia="zh-CN" w:bidi="ar-SA"/>
        </w:rPr>
        <w:t>17.1 不可抗力的确认</w:t>
      </w:r>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p>
    <w:p w14:paraId="7C045289">
      <w:pPr>
        <w:pStyle w:val="29"/>
        <w:spacing w:line="380" w:lineRule="exact"/>
        <w:ind w:firstLine="420" w:firstLineChars="200"/>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除通用合同条款约定的不可抗力事件之外，视为不可抗力的其他情形：</w:t>
      </w:r>
      <w:r>
        <w:rPr>
          <w:rFonts w:hint="eastAsia" w:ascii="宋体" w:hAnsi="宋体" w:eastAsia="宋体" w:cs="宋体"/>
          <w:color w:val="auto"/>
          <w:kern w:val="0"/>
          <w:szCs w:val="21"/>
          <w:highlight w:val="none"/>
          <w:u w:val="single"/>
        </w:rPr>
        <w:t>（1）、6级以上地震；（2）、10级以上持续1天的大风；（3）、暴雨级以上持续1天的大雨；（4）、50年以上未发生过，持续2天的高温天气；（5）、50年以上未发生过，持续2天的低温天气；（6）、50年以上未发生过 的洪水；（7）、战争、敌对行动（不论宣战与否）、入侵、外敌行动；（8）、暴乱、骚乱、叛乱、革命、暴动，或军事政变、篡夺政权、内战等；（9）、由于任何有危险性物质所引起的离子辐射或放射性污染；（10）、以音速飞行的飞机或其他飞行装置产生的压力波；（11）、对以上几种形式，应以造成灾害和影响施工为准</w:t>
      </w:r>
      <w:r>
        <w:rPr>
          <w:rFonts w:hint="eastAsia" w:ascii="宋体" w:hAnsi="宋体" w:eastAsia="宋体" w:cs="宋体"/>
          <w:color w:val="auto"/>
          <w:kern w:val="0"/>
          <w:szCs w:val="21"/>
          <w:highlight w:val="none"/>
        </w:rPr>
        <w:t>。</w:t>
      </w:r>
    </w:p>
    <w:p w14:paraId="74DCA6B1">
      <w:pPr>
        <w:keepNext/>
        <w:keepLines/>
        <w:widowControl w:val="0"/>
        <w:spacing w:line="380" w:lineRule="exact"/>
        <w:ind w:firstLine="422" w:firstLineChars="200"/>
        <w:jc w:val="both"/>
        <w:outlineLvl w:val="0"/>
        <w:rPr>
          <w:rFonts w:hint="eastAsia" w:ascii="宋体" w:hAnsi="宋体" w:eastAsia="宋体" w:cs="宋体"/>
          <w:b/>
          <w:bCs/>
          <w:color w:val="auto"/>
          <w:kern w:val="44"/>
          <w:sz w:val="21"/>
          <w:szCs w:val="21"/>
          <w:highlight w:val="none"/>
          <w:lang w:val="en-US" w:eastAsia="zh-CN" w:bidi="ar-SA"/>
        </w:rPr>
      </w:pPr>
      <w:bookmarkStart w:id="1631" w:name="_Toc497746853"/>
      <w:bookmarkStart w:id="1632" w:name="_Toc522201798"/>
      <w:bookmarkStart w:id="1633" w:name="_Toc22097"/>
      <w:bookmarkStart w:id="1634" w:name="_Toc403579006"/>
      <w:bookmarkStart w:id="1635" w:name="_Toc389065336"/>
      <w:bookmarkStart w:id="1636" w:name="_Toc497747250"/>
      <w:bookmarkStart w:id="1637" w:name="_Toc256000249"/>
      <w:bookmarkStart w:id="1638" w:name="_Toc418061383"/>
      <w:bookmarkStart w:id="1639" w:name="_Toc418518418"/>
      <w:bookmarkStart w:id="1640" w:name="_Toc418518182"/>
      <w:bookmarkStart w:id="1641" w:name="_Toc418751868"/>
      <w:bookmarkStart w:id="1642" w:name="_Toc373478418"/>
      <w:bookmarkStart w:id="1643" w:name="_Toc418752314"/>
      <w:bookmarkStart w:id="1644" w:name="_Toc373227771"/>
      <w:r>
        <w:rPr>
          <w:rFonts w:hint="eastAsia" w:ascii="宋体" w:hAnsi="宋体" w:eastAsia="宋体" w:cs="宋体"/>
          <w:b/>
          <w:bCs/>
          <w:color w:val="auto"/>
          <w:kern w:val="44"/>
          <w:sz w:val="21"/>
          <w:szCs w:val="21"/>
          <w:highlight w:val="none"/>
          <w:lang w:val="en-US" w:eastAsia="zh-CN" w:bidi="ar-SA"/>
        </w:rPr>
        <w:t>17.4 因不可抗力解除合同</w:t>
      </w:r>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p>
    <w:p w14:paraId="0D9FD8CB">
      <w:pPr>
        <w:pStyle w:val="29"/>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合同解除后，发包人应在商定或确定发包人应支付款项后</w:t>
      </w:r>
      <w:r>
        <w:rPr>
          <w:rFonts w:hint="eastAsia" w:ascii="宋体" w:hAnsi="宋体" w:eastAsia="宋体" w:cs="宋体"/>
          <w:color w:val="auto"/>
          <w:szCs w:val="21"/>
          <w:highlight w:val="none"/>
          <w:u w:val="single"/>
        </w:rPr>
        <w:t xml:space="preserve"> 30 </w:t>
      </w:r>
      <w:r>
        <w:rPr>
          <w:rFonts w:hint="eastAsia" w:ascii="宋体" w:hAnsi="宋体" w:eastAsia="宋体" w:cs="宋体"/>
          <w:color w:val="auto"/>
          <w:szCs w:val="21"/>
          <w:highlight w:val="none"/>
        </w:rPr>
        <w:t>天内完成款项的支付。</w:t>
      </w:r>
    </w:p>
    <w:p w14:paraId="0A2E4AA1">
      <w:pPr>
        <w:keepNext/>
        <w:keepLines/>
        <w:widowControl w:val="0"/>
        <w:spacing w:line="380" w:lineRule="exact"/>
        <w:jc w:val="both"/>
        <w:outlineLvl w:val="0"/>
        <w:rPr>
          <w:rFonts w:hint="eastAsia" w:ascii="宋体" w:hAnsi="宋体" w:eastAsia="宋体" w:cs="宋体"/>
          <w:b/>
          <w:bCs/>
          <w:color w:val="auto"/>
          <w:kern w:val="44"/>
          <w:sz w:val="21"/>
          <w:szCs w:val="21"/>
          <w:highlight w:val="none"/>
          <w:lang w:val="en-US" w:eastAsia="zh-CN" w:bidi="ar-SA"/>
        </w:rPr>
      </w:pPr>
      <w:bookmarkStart w:id="1645" w:name="_Toc256000250"/>
      <w:bookmarkStart w:id="1646" w:name="_Toc418518183"/>
      <w:bookmarkStart w:id="1647" w:name="_Toc418751869"/>
      <w:bookmarkStart w:id="1648" w:name="_Toc522201799"/>
      <w:bookmarkStart w:id="1649" w:name="_Toc418061384"/>
      <w:bookmarkStart w:id="1650" w:name="_Toc497746854"/>
      <w:bookmarkStart w:id="1651" w:name="_Toc3847"/>
      <w:bookmarkStart w:id="1652" w:name="_Toc403579007"/>
      <w:bookmarkStart w:id="1653" w:name="_Toc497747251"/>
      <w:bookmarkStart w:id="1654" w:name="_Toc418752315"/>
      <w:bookmarkStart w:id="1655" w:name="_Toc351203650"/>
      <w:bookmarkStart w:id="1656" w:name="_Toc418518419"/>
      <w:bookmarkStart w:id="1657" w:name="_Toc373227772"/>
      <w:bookmarkStart w:id="1658" w:name="_Toc373478419"/>
      <w:bookmarkStart w:id="1659" w:name="_Toc389065337"/>
      <w:r>
        <w:rPr>
          <w:rFonts w:hint="eastAsia" w:ascii="宋体" w:hAnsi="宋体" w:eastAsia="宋体" w:cs="宋体"/>
          <w:b/>
          <w:bCs/>
          <w:color w:val="auto"/>
          <w:kern w:val="44"/>
          <w:sz w:val="21"/>
          <w:szCs w:val="21"/>
          <w:highlight w:val="none"/>
          <w:lang w:val="en-US" w:eastAsia="zh-CN" w:bidi="ar-SA"/>
        </w:rPr>
        <w:t>18. 保险</w:t>
      </w:r>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p>
    <w:bookmarkEnd w:id="1573"/>
    <w:p w14:paraId="765C09F8">
      <w:pPr>
        <w:keepNext/>
        <w:keepLines/>
        <w:widowControl w:val="0"/>
        <w:spacing w:line="380" w:lineRule="exact"/>
        <w:ind w:firstLine="422" w:firstLineChars="200"/>
        <w:jc w:val="both"/>
        <w:outlineLvl w:val="0"/>
        <w:rPr>
          <w:rFonts w:hint="eastAsia" w:ascii="宋体" w:hAnsi="宋体" w:eastAsia="宋体" w:cs="宋体"/>
          <w:b/>
          <w:bCs/>
          <w:color w:val="auto"/>
          <w:kern w:val="44"/>
          <w:sz w:val="21"/>
          <w:szCs w:val="21"/>
          <w:highlight w:val="none"/>
          <w:lang w:val="en-US" w:eastAsia="zh-CN" w:bidi="ar-SA"/>
        </w:rPr>
      </w:pPr>
      <w:bookmarkStart w:id="1660" w:name="_Toc373478420"/>
      <w:bookmarkStart w:id="1661" w:name="_Toc22473"/>
      <w:bookmarkStart w:id="1662" w:name="_Toc403579008"/>
      <w:bookmarkStart w:id="1663" w:name="_Toc418061385"/>
      <w:bookmarkStart w:id="1664" w:name="_Toc497746855"/>
      <w:bookmarkStart w:id="1665" w:name="_Toc497747252"/>
      <w:bookmarkStart w:id="1666" w:name="_Toc389065338"/>
      <w:bookmarkStart w:id="1667" w:name="_Toc418518184"/>
      <w:bookmarkStart w:id="1668" w:name="_Toc373227773"/>
      <w:bookmarkStart w:id="1669" w:name="_Toc256000251"/>
      <w:bookmarkStart w:id="1670" w:name="_Toc418752316"/>
      <w:bookmarkStart w:id="1671" w:name="_Toc418751870"/>
      <w:bookmarkStart w:id="1672" w:name="_Toc418518420"/>
      <w:bookmarkStart w:id="1673" w:name="_Toc522201800"/>
      <w:r>
        <w:rPr>
          <w:rFonts w:hint="eastAsia" w:ascii="宋体" w:hAnsi="宋体" w:eastAsia="宋体" w:cs="宋体"/>
          <w:b/>
          <w:bCs/>
          <w:color w:val="auto"/>
          <w:kern w:val="44"/>
          <w:sz w:val="21"/>
          <w:szCs w:val="21"/>
          <w:highlight w:val="none"/>
          <w:lang w:val="en-US" w:eastAsia="zh-CN" w:bidi="ar-SA"/>
        </w:rPr>
        <w:t>18.1 工程保险</w:t>
      </w:r>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p>
    <w:p w14:paraId="21DDC57D">
      <w:pPr>
        <w:pStyle w:val="29"/>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关于工程保险的特别约定：</w:t>
      </w:r>
      <w:r>
        <w:rPr>
          <w:rFonts w:hint="eastAsia" w:ascii="宋体" w:hAnsi="宋体" w:eastAsia="宋体" w:cs="宋体"/>
          <w:color w:val="auto"/>
          <w:kern w:val="0"/>
          <w:szCs w:val="21"/>
          <w:highlight w:val="none"/>
          <w:u w:val="single"/>
        </w:rPr>
        <w:t>承包人应投保建筑工程一切险并承担与之相关的所有费用</w:t>
      </w:r>
      <w:r>
        <w:rPr>
          <w:rFonts w:hint="eastAsia" w:ascii="宋体" w:hAnsi="宋体" w:eastAsia="宋体" w:cs="宋体"/>
          <w:color w:val="auto"/>
          <w:kern w:val="0"/>
          <w:szCs w:val="21"/>
          <w:highlight w:val="none"/>
        </w:rPr>
        <w:t>。</w:t>
      </w:r>
    </w:p>
    <w:p w14:paraId="6B5B0790">
      <w:pPr>
        <w:keepNext/>
        <w:keepLines/>
        <w:widowControl w:val="0"/>
        <w:spacing w:line="380" w:lineRule="exact"/>
        <w:ind w:firstLine="422" w:firstLineChars="200"/>
        <w:jc w:val="both"/>
        <w:outlineLvl w:val="0"/>
        <w:rPr>
          <w:rFonts w:hint="eastAsia" w:ascii="宋体" w:hAnsi="宋体" w:eastAsia="宋体" w:cs="宋体"/>
          <w:b/>
          <w:bCs/>
          <w:color w:val="auto"/>
          <w:kern w:val="44"/>
          <w:sz w:val="21"/>
          <w:szCs w:val="21"/>
          <w:highlight w:val="none"/>
          <w:lang w:val="en-US" w:eastAsia="zh-CN" w:bidi="ar-SA"/>
        </w:rPr>
      </w:pPr>
      <w:bookmarkStart w:id="1674" w:name="_Toc497746856"/>
      <w:bookmarkStart w:id="1675" w:name="_Toc403579009"/>
      <w:bookmarkStart w:id="1676" w:name="_Toc256000252"/>
      <w:bookmarkStart w:id="1677" w:name="_Toc389065339"/>
      <w:bookmarkStart w:id="1678" w:name="_Toc418518185"/>
      <w:bookmarkStart w:id="1679" w:name="_Toc373227774"/>
      <w:bookmarkStart w:id="1680" w:name="_Toc418752317"/>
      <w:bookmarkStart w:id="1681" w:name="_Toc522201801"/>
      <w:bookmarkStart w:id="1682" w:name="_Toc373478421"/>
      <w:bookmarkStart w:id="1683" w:name="_Toc497747253"/>
      <w:bookmarkStart w:id="1684" w:name="_Toc418061386"/>
      <w:bookmarkStart w:id="1685" w:name="_Toc8197"/>
      <w:bookmarkStart w:id="1686" w:name="_Toc418518421"/>
      <w:bookmarkStart w:id="1687" w:name="_Toc418751871"/>
      <w:r>
        <w:rPr>
          <w:rFonts w:hint="eastAsia" w:ascii="宋体" w:hAnsi="宋体" w:eastAsia="宋体" w:cs="宋体"/>
          <w:b/>
          <w:bCs/>
          <w:color w:val="auto"/>
          <w:kern w:val="44"/>
          <w:sz w:val="21"/>
          <w:szCs w:val="21"/>
          <w:highlight w:val="none"/>
          <w:lang w:val="en-US" w:eastAsia="zh-CN" w:bidi="ar-SA"/>
        </w:rPr>
        <w:t>18.3 其他保险</w:t>
      </w:r>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p>
    <w:p w14:paraId="570736E2">
      <w:pPr>
        <w:pStyle w:val="29"/>
        <w:spacing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关于其他保险的约定：</w:t>
      </w:r>
      <w:r>
        <w:rPr>
          <w:rFonts w:hint="eastAsia" w:ascii="宋体" w:hAnsi="宋体" w:eastAsia="宋体" w:cs="宋体"/>
          <w:color w:val="auto"/>
          <w:kern w:val="0"/>
          <w:szCs w:val="21"/>
          <w:highlight w:val="none"/>
          <w:u w:val="single"/>
        </w:rPr>
        <w:t>承包人根据市建协字【2009】3号文必须</w:t>
      </w:r>
      <w:r>
        <w:rPr>
          <w:rFonts w:hint="eastAsia" w:ascii="宋体" w:hAnsi="宋体" w:eastAsia="宋体" w:cs="宋体"/>
          <w:color w:val="auto"/>
          <w:szCs w:val="21"/>
          <w:highlight w:val="none"/>
          <w:u w:val="single"/>
        </w:rPr>
        <w:t>为施工现场从事施工的所有作业人员和管理人员办理意外伤害保险，并支付保险费</w:t>
      </w:r>
      <w:r>
        <w:rPr>
          <w:rFonts w:hint="eastAsia" w:ascii="宋体" w:hAnsi="宋体" w:eastAsia="宋体" w:cs="宋体"/>
          <w:bCs/>
          <w:color w:val="auto"/>
          <w:szCs w:val="21"/>
          <w:highlight w:val="none"/>
        </w:rPr>
        <w:t>。</w:t>
      </w:r>
    </w:p>
    <w:p w14:paraId="712E98C5">
      <w:pPr>
        <w:pStyle w:val="29"/>
        <w:spacing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承包人是否应为其施工设备等办理财产保险：</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u w:val="single"/>
        </w:rPr>
        <w:t>按通用条款执行，无特殊约定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7ADC3531">
      <w:pPr>
        <w:keepNext/>
        <w:keepLines/>
        <w:widowControl w:val="0"/>
        <w:spacing w:line="380" w:lineRule="exact"/>
        <w:ind w:firstLine="422" w:firstLineChars="200"/>
        <w:jc w:val="both"/>
        <w:outlineLvl w:val="0"/>
        <w:rPr>
          <w:rFonts w:hint="eastAsia" w:ascii="宋体" w:hAnsi="宋体" w:eastAsia="宋体" w:cs="宋体"/>
          <w:b/>
          <w:bCs/>
          <w:color w:val="auto"/>
          <w:kern w:val="44"/>
          <w:sz w:val="21"/>
          <w:szCs w:val="21"/>
          <w:highlight w:val="none"/>
          <w:lang w:val="en-US" w:eastAsia="zh-CN" w:bidi="ar-SA"/>
        </w:rPr>
      </w:pPr>
      <w:bookmarkStart w:id="1688" w:name="_Toc418752318"/>
      <w:bookmarkStart w:id="1689" w:name="_Toc389065340"/>
      <w:bookmarkStart w:id="1690" w:name="_Toc403579010"/>
      <w:bookmarkStart w:id="1691" w:name="_Toc497746857"/>
      <w:bookmarkStart w:id="1692" w:name="_Toc418751872"/>
      <w:bookmarkStart w:id="1693" w:name="_Toc418518422"/>
      <w:bookmarkStart w:id="1694" w:name="_Toc11838"/>
      <w:bookmarkStart w:id="1695" w:name="_Toc373478422"/>
      <w:bookmarkStart w:id="1696" w:name="_Toc418061387"/>
      <w:bookmarkStart w:id="1697" w:name="_Toc497747254"/>
      <w:bookmarkStart w:id="1698" w:name="_Toc373227775"/>
      <w:bookmarkStart w:id="1699" w:name="_Toc418518186"/>
      <w:bookmarkStart w:id="1700" w:name="_Toc256000253"/>
      <w:bookmarkStart w:id="1701" w:name="_Toc522201802"/>
      <w:r>
        <w:rPr>
          <w:rFonts w:hint="eastAsia" w:ascii="宋体" w:hAnsi="宋体" w:eastAsia="宋体" w:cs="宋体"/>
          <w:b/>
          <w:bCs/>
          <w:color w:val="auto"/>
          <w:kern w:val="44"/>
          <w:sz w:val="21"/>
          <w:szCs w:val="21"/>
          <w:highlight w:val="none"/>
          <w:lang w:val="en-US" w:eastAsia="zh-CN" w:bidi="ar-SA"/>
        </w:rPr>
        <w:t>18.7 通知义务</w:t>
      </w:r>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p>
    <w:p w14:paraId="19BDEDBD">
      <w:pPr>
        <w:pStyle w:val="29"/>
        <w:spacing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rPr>
        <w:t>关于变更保险合同时的通知义务的约定：</w:t>
      </w:r>
      <w:r>
        <w:rPr>
          <w:rFonts w:hint="eastAsia" w:ascii="宋体" w:hAnsi="宋体" w:eastAsia="宋体" w:cs="宋体"/>
          <w:color w:val="auto"/>
          <w:szCs w:val="21"/>
          <w:highlight w:val="none"/>
          <w:u w:val="single"/>
        </w:rPr>
        <w:t xml:space="preserve">  变更应通知当事人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Cs w:val="21"/>
          <w:highlight w:val="none"/>
        </w:rPr>
        <w:t>。</w:t>
      </w:r>
    </w:p>
    <w:bookmarkEnd w:id="1493"/>
    <w:bookmarkEnd w:id="1494"/>
    <w:bookmarkEnd w:id="1495"/>
    <w:bookmarkEnd w:id="1496"/>
    <w:bookmarkEnd w:id="1497"/>
    <w:bookmarkEnd w:id="1498"/>
    <w:bookmarkEnd w:id="1499"/>
    <w:bookmarkEnd w:id="1500"/>
    <w:bookmarkEnd w:id="1501"/>
    <w:bookmarkEnd w:id="1502"/>
    <w:bookmarkEnd w:id="1503"/>
    <w:bookmarkEnd w:id="1504"/>
    <w:p w14:paraId="619B8B6A">
      <w:pPr>
        <w:keepNext/>
        <w:keepLines/>
        <w:widowControl w:val="0"/>
        <w:spacing w:line="380" w:lineRule="exact"/>
        <w:jc w:val="both"/>
        <w:outlineLvl w:val="0"/>
        <w:rPr>
          <w:rFonts w:hint="eastAsia" w:ascii="宋体" w:hAnsi="宋体" w:eastAsia="宋体" w:cs="宋体"/>
          <w:b/>
          <w:bCs/>
          <w:color w:val="auto"/>
          <w:kern w:val="44"/>
          <w:sz w:val="21"/>
          <w:szCs w:val="21"/>
          <w:highlight w:val="none"/>
          <w:lang w:val="en-US" w:eastAsia="zh-CN" w:bidi="ar-SA"/>
        </w:rPr>
      </w:pPr>
      <w:bookmarkStart w:id="1702" w:name="_Toc389065341"/>
      <w:bookmarkStart w:id="1703" w:name="_Toc522201803"/>
      <w:bookmarkStart w:id="1704" w:name="_Toc418751873"/>
      <w:bookmarkStart w:id="1705" w:name="_Toc497746858"/>
      <w:bookmarkStart w:id="1706" w:name="_Toc497747255"/>
      <w:bookmarkStart w:id="1707" w:name="_Toc403579011"/>
      <w:bookmarkStart w:id="1708" w:name="_Toc373478423"/>
      <w:bookmarkStart w:id="1709" w:name="_Toc418518187"/>
      <w:bookmarkStart w:id="1710" w:name="_Toc256000254"/>
      <w:bookmarkStart w:id="1711" w:name="_Toc418518423"/>
      <w:bookmarkStart w:id="1712" w:name="_Toc373227776"/>
      <w:bookmarkStart w:id="1713" w:name="_Toc351203651"/>
      <w:bookmarkStart w:id="1714" w:name="_Toc418061388"/>
      <w:bookmarkStart w:id="1715" w:name="_Toc9082"/>
      <w:bookmarkStart w:id="1716" w:name="_Toc418752319"/>
      <w:r>
        <w:rPr>
          <w:rFonts w:hint="eastAsia" w:ascii="宋体" w:hAnsi="宋体" w:eastAsia="宋体" w:cs="宋体"/>
          <w:b/>
          <w:bCs/>
          <w:color w:val="auto"/>
          <w:kern w:val="44"/>
          <w:sz w:val="21"/>
          <w:szCs w:val="21"/>
          <w:highlight w:val="none"/>
          <w:lang w:val="en-US" w:eastAsia="zh-CN" w:bidi="ar-SA"/>
        </w:rPr>
        <w:t>20. 争议解决</w:t>
      </w:r>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p>
    <w:bookmarkEnd w:id="1505"/>
    <w:bookmarkEnd w:id="1506"/>
    <w:p w14:paraId="4FB4BE9C">
      <w:pPr>
        <w:keepNext/>
        <w:keepLines/>
        <w:widowControl w:val="0"/>
        <w:spacing w:line="380" w:lineRule="exact"/>
        <w:ind w:firstLine="422" w:firstLineChars="200"/>
        <w:jc w:val="both"/>
        <w:outlineLvl w:val="0"/>
        <w:rPr>
          <w:rFonts w:hint="eastAsia" w:ascii="宋体" w:hAnsi="宋体" w:eastAsia="宋体" w:cs="宋体"/>
          <w:b/>
          <w:bCs/>
          <w:color w:val="auto"/>
          <w:kern w:val="44"/>
          <w:sz w:val="21"/>
          <w:szCs w:val="21"/>
          <w:highlight w:val="none"/>
          <w:lang w:val="en-US" w:eastAsia="zh-CN" w:bidi="ar-SA"/>
        </w:rPr>
      </w:pPr>
      <w:bookmarkStart w:id="1717" w:name="_Toc497747256"/>
      <w:bookmarkStart w:id="1718" w:name="_Toc389065342"/>
      <w:bookmarkStart w:id="1719" w:name="_Toc418751874"/>
      <w:bookmarkStart w:id="1720" w:name="_Toc403579012"/>
      <w:bookmarkStart w:id="1721" w:name="_Toc418061389"/>
      <w:bookmarkStart w:id="1722" w:name="_Toc497746859"/>
      <w:bookmarkStart w:id="1723" w:name="_Toc418752320"/>
      <w:bookmarkStart w:id="1724" w:name="_Toc373478424"/>
      <w:bookmarkStart w:id="1725" w:name="_Toc9725"/>
      <w:bookmarkStart w:id="1726" w:name="_Toc522201804"/>
      <w:bookmarkStart w:id="1727" w:name="_Toc256000255"/>
      <w:bookmarkStart w:id="1728" w:name="_Toc418518424"/>
      <w:bookmarkStart w:id="1729" w:name="_Toc373227777"/>
      <w:bookmarkStart w:id="1730" w:name="_Toc418518188"/>
      <w:r>
        <w:rPr>
          <w:rFonts w:hint="eastAsia" w:ascii="宋体" w:hAnsi="宋体" w:eastAsia="宋体" w:cs="宋体"/>
          <w:b/>
          <w:bCs/>
          <w:color w:val="auto"/>
          <w:kern w:val="44"/>
          <w:sz w:val="21"/>
          <w:szCs w:val="21"/>
          <w:highlight w:val="none"/>
          <w:lang w:val="en-US" w:eastAsia="zh-CN" w:bidi="ar-SA"/>
        </w:rPr>
        <w:t>20.3 争</w:t>
      </w:r>
      <w:bookmarkEnd w:id="1507"/>
      <w:r>
        <w:rPr>
          <w:rFonts w:hint="eastAsia" w:ascii="宋体" w:hAnsi="宋体" w:eastAsia="宋体" w:cs="宋体"/>
          <w:b/>
          <w:bCs/>
          <w:color w:val="auto"/>
          <w:kern w:val="44"/>
          <w:sz w:val="21"/>
          <w:szCs w:val="21"/>
          <w:highlight w:val="none"/>
          <w:lang w:val="en-US" w:eastAsia="zh-CN" w:bidi="ar-SA"/>
        </w:rPr>
        <w:t>议评审</w:t>
      </w:r>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p>
    <w:p w14:paraId="695C3D70">
      <w:pPr>
        <w:pStyle w:val="29"/>
        <w:spacing w:line="380" w:lineRule="exact"/>
        <w:ind w:left="149" w:leftChars="71" w:firstLine="315" w:firstLineChars="15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合同当事人是否同意将工程争议提交争议评审小组决定：</w:t>
      </w:r>
      <w:r>
        <w:rPr>
          <w:rFonts w:hint="eastAsia" w:ascii="宋体" w:hAnsi="宋体" w:eastAsia="宋体" w:cs="宋体"/>
          <w:color w:val="auto"/>
          <w:szCs w:val="21"/>
          <w:highlight w:val="none"/>
          <w:u w:val="single"/>
        </w:rPr>
        <w:t xml:space="preserve">  不同意  </w:t>
      </w:r>
      <w:r>
        <w:rPr>
          <w:rFonts w:hint="eastAsia" w:ascii="宋体" w:hAnsi="宋体" w:eastAsia="宋体" w:cs="宋体"/>
          <w:color w:val="auto"/>
          <w:szCs w:val="21"/>
          <w:highlight w:val="none"/>
        </w:rPr>
        <w:t>。</w:t>
      </w:r>
    </w:p>
    <w:p w14:paraId="61909146">
      <w:pPr>
        <w:pStyle w:val="29"/>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20.3.1 争议评审小组的确定</w:t>
      </w:r>
    </w:p>
    <w:p w14:paraId="07A50FBF">
      <w:pPr>
        <w:pStyle w:val="29"/>
        <w:spacing w:line="38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争议评审小组成员的确定：</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0AFF76B1">
      <w:pPr>
        <w:pStyle w:val="29"/>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选定争议评审员的期限：</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1B8E7A2B">
      <w:pPr>
        <w:pStyle w:val="29"/>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争议评审小组成员的报酬承担方式：</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1DBC4866">
      <w:pPr>
        <w:pStyle w:val="29"/>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其他事项的约定：</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55CE6E36">
      <w:pPr>
        <w:pStyle w:val="29"/>
        <w:autoSpaceDE w:val="0"/>
        <w:autoSpaceDN w:val="0"/>
        <w:adjustRightInd w:val="0"/>
        <w:spacing w:line="38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20.3.2 争议评审小组的决定</w:t>
      </w:r>
    </w:p>
    <w:p w14:paraId="3EA8DB18">
      <w:pPr>
        <w:pStyle w:val="29"/>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合同当事人关于本项的约定：</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w:t>
      </w:r>
    </w:p>
    <w:p w14:paraId="3CE6AF6E">
      <w:pPr>
        <w:keepNext/>
        <w:keepLines/>
        <w:widowControl w:val="0"/>
        <w:spacing w:line="380" w:lineRule="exact"/>
        <w:ind w:firstLine="422" w:firstLineChars="200"/>
        <w:jc w:val="both"/>
        <w:outlineLvl w:val="0"/>
        <w:rPr>
          <w:rFonts w:hint="eastAsia" w:ascii="宋体" w:hAnsi="宋体" w:eastAsia="宋体" w:cs="宋体"/>
          <w:b/>
          <w:bCs/>
          <w:color w:val="auto"/>
          <w:kern w:val="44"/>
          <w:sz w:val="21"/>
          <w:szCs w:val="21"/>
          <w:highlight w:val="none"/>
          <w:lang w:val="en-US" w:eastAsia="zh-CN" w:bidi="ar-SA"/>
        </w:rPr>
      </w:pPr>
      <w:bookmarkStart w:id="1731" w:name="_Toc373478425"/>
      <w:bookmarkStart w:id="1732" w:name="_Toc418061390"/>
      <w:bookmarkStart w:id="1733" w:name="_Toc389065343"/>
      <w:bookmarkStart w:id="1734" w:name="_Toc373227778"/>
      <w:bookmarkStart w:id="1735" w:name="_Toc418518189"/>
      <w:bookmarkStart w:id="1736" w:name="_Toc522201805"/>
      <w:bookmarkStart w:id="1737" w:name="_Toc418518425"/>
      <w:bookmarkStart w:id="1738" w:name="_Toc29179"/>
      <w:bookmarkStart w:id="1739" w:name="_Toc418751875"/>
      <w:bookmarkStart w:id="1740" w:name="_Toc418752321"/>
      <w:bookmarkStart w:id="1741" w:name="_Toc256000256"/>
      <w:bookmarkStart w:id="1742" w:name="_Toc497746860"/>
      <w:bookmarkStart w:id="1743" w:name="_Toc403579013"/>
      <w:bookmarkStart w:id="1744" w:name="_Toc497747257"/>
      <w:r>
        <w:rPr>
          <w:rFonts w:hint="eastAsia" w:ascii="宋体" w:hAnsi="宋体" w:eastAsia="宋体" w:cs="宋体"/>
          <w:b/>
          <w:bCs/>
          <w:color w:val="auto"/>
          <w:kern w:val="44"/>
          <w:sz w:val="21"/>
          <w:szCs w:val="21"/>
          <w:highlight w:val="none"/>
          <w:lang w:val="en-US" w:eastAsia="zh-CN" w:bidi="ar-SA"/>
        </w:rPr>
        <w:t>20.4 仲裁或诉讼</w:t>
      </w:r>
      <w:bookmarkEnd w:id="1508"/>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p>
    <w:p w14:paraId="552F5F03">
      <w:pPr>
        <w:pStyle w:val="29"/>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因合同及合同有关事项发生的争议，按下列第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（2）    </w:t>
      </w:r>
      <w:r>
        <w:rPr>
          <w:rFonts w:hint="eastAsia" w:ascii="宋体" w:hAnsi="宋体" w:eastAsia="宋体" w:cs="宋体"/>
          <w:color w:val="auto"/>
          <w:szCs w:val="21"/>
          <w:highlight w:val="none"/>
        </w:rPr>
        <w:t>种方式解决：</w:t>
      </w:r>
    </w:p>
    <w:p w14:paraId="69AD4155">
      <w:pPr>
        <w:pStyle w:val="29"/>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（1）提请仲裁委员会按照该会仲裁规则进行仲裁，仲裁裁决是终局的，对合同双方均有约束力。</w:t>
      </w:r>
    </w:p>
    <w:p w14:paraId="71871C27">
      <w:pPr>
        <w:pStyle w:val="29"/>
        <w:spacing w:line="38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（2）向</w:t>
      </w:r>
      <w:r>
        <w:rPr>
          <w:rFonts w:hint="eastAsia" w:ascii="宋体" w:hAnsi="宋体" w:eastAsia="宋体" w:cs="宋体"/>
          <w:color w:val="auto"/>
          <w:szCs w:val="21"/>
          <w:highlight w:val="none"/>
          <w:u w:val="single"/>
        </w:rPr>
        <w:t>桂林市本工程辖区内</w:t>
      </w:r>
      <w:r>
        <w:rPr>
          <w:rFonts w:hint="eastAsia" w:ascii="宋体" w:hAnsi="宋体" w:eastAsia="宋体" w:cs="宋体"/>
          <w:color w:val="auto"/>
          <w:szCs w:val="21"/>
          <w:highlight w:val="none"/>
        </w:rPr>
        <w:t>人民法院起诉。</w:t>
      </w:r>
      <w:bookmarkEnd w:id="1509"/>
      <w:bookmarkEnd w:id="1510"/>
      <w:bookmarkEnd w:id="1511"/>
      <w:bookmarkEnd w:id="1512"/>
      <w:bookmarkEnd w:id="1513"/>
      <w:bookmarkEnd w:id="1514"/>
    </w:p>
    <w:p w14:paraId="49A09826">
      <w:pPr>
        <w:keepNext/>
        <w:keepLines/>
        <w:widowControl w:val="0"/>
        <w:spacing w:line="380" w:lineRule="exact"/>
        <w:jc w:val="both"/>
        <w:outlineLvl w:val="0"/>
        <w:rPr>
          <w:rFonts w:hint="eastAsia" w:ascii="宋体" w:hAnsi="宋体" w:eastAsia="宋体" w:cs="宋体"/>
          <w:b/>
          <w:bCs/>
          <w:color w:val="auto"/>
          <w:kern w:val="44"/>
          <w:sz w:val="21"/>
          <w:szCs w:val="21"/>
          <w:highlight w:val="none"/>
          <w:lang w:val="en-US" w:eastAsia="zh-CN" w:bidi="ar-SA"/>
        </w:rPr>
      </w:pPr>
      <w:bookmarkStart w:id="1745" w:name="_Toc497747258"/>
      <w:bookmarkStart w:id="1746" w:name="_Toc522201806"/>
      <w:bookmarkStart w:id="1747" w:name="_Toc256000257"/>
      <w:bookmarkStart w:id="1748" w:name="_Toc389065344"/>
      <w:bookmarkStart w:id="1749" w:name="_Toc373227779"/>
      <w:bookmarkStart w:id="1750" w:name="_Toc373478426"/>
      <w:bookmarkStart w:id="1751" w:name="_Toc395382582"/>
      <w:bookmarkStart w:id="1752" w:name="_Toc25824"/>
      <w:bookmarkStart w:id="1753" w:name="_Toc497746861"/>
      <w:r>
        <w:rPr>
          <w:rFonts w:hint="eastAsia" w:ascii="宋体" w:hAnsi="宋体" w:eastAsia="宋体" w:cs="宋体"/>
          <w:b/>
          <w:bCs/>
          <w:color w:val="auto"/>
          <w:kern w:val="44"/>
          <w:sz w:val="21"/>
          <w:szCs w:val="21"/>
          <w:highlight w:val="none"/>
          <w:lang w:val="en-US" w:eastAsia="zh-CN" w:bidi="ar-SA"/>
        </w:rPr>
        <w:t>21. 补充条款</w:t>
      </w:r>
      <w:bookmarkEnd w:id="1745"/>
      <w:bookmarkEnd w:id="1746"/>
      <w:bookmarkEnd w:id="1747"/>
      <w:bookmarkEnd w:id="1748"/>
      <w:bookmarkEnd w:id="1749"/>
      <w:bookmarkEnd w:id="1750"/>
      <w:bookmarkEnd w:id="1751"/>
      <w:bookmarkEnd w:id="1752"/>
      <w:bookmarkEnd w:id="1753"/>
    </w:p>
    <w:p w14:paraId="29CB9CBE">
      <w:pPr>
        <w:pStyle w:val="29"/>
        <w:autoSpaceDE w:val="0"/>
        <w:autoSpaceDN w:val="0"/>
        <w:adjustRightInd w:val="0"/>
        <w:spacing w:line="3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21.1 根据桂劳社[2003]150 号文，承包人在投标时必须在投标文件中承诺，在发包人发出交款通知之日起 7 个工作日内足额将民工工资保障金转入建设行政主管部门设立的农民工工资保障金专用帐号。发包人按节点足额支付工程款后，一旦其承包的建设工程项目中出现拖欠农民工工资情况的，由主管部门从其农民工工资保障金中先予支付。 </w:t>
      </w:r>
    </w:p>
    <w:p w14:paraId="60BB4F44">
      <w:pPr>
        <w:pStyle w:val="29"/>
        <w:autoSpaceDE w:val="0"/>
        <w:autoSpaceDN w:val="0"/>
        <w:adjustRightInd w:val="0"/>
        <w:spacing w:line="3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21.2 承包方采用新工艺新材料，必须在使用前 2 个月，向发包方提交相关的技术资料、发明专利、产品证书、样品及应用的实例、单价组成等有关资料；经发包方、设计单位认可后方可使用，凡未经批准擅自使用者除费用自行承担外还应赔偿发包方由此引起的经济损失。 </w:t>
      </w:r>
    </w:p>
    <w:p w14:paraId="7BDEA0D6">
      <w:pPr>
        <w:pStyle w:val="29"/>
        <w:autoSpaceDE w:val="0"/>
        <w:autoSpaceDN w:val="0"/>
        <w:adjustRightInd w:val="0"/>
        <w:spacing w:line="3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21.3 赶工费、夜间施工费由投标人结合自身企业的实际情况及对施工现场的考察、提供的图纸等各方面的资料自行报价，并包干使用，今后不作任何调整和签证。</w:t>
      </w:r>
    </w:p>
    <w:p w14:paraId="1F29A849">
      <w:pPr>
        <w:pStyle w:val="29"/>
        <w:autoSpaceDE w:val="0"/>
        <w:autoSpaceDN w:val="0"/>
        <w:adjustRightInd w:val="0"/>
        <w:spacing w:line="3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21.4 根据《建设工程质量检测管理办法》（</w:t>
      </w:r>
      <w:r>
        <w:rPr>
          <w:rFonts w:hint="eastAsia" w:ascii="宋体" w:hAnsi="宋体" w:eastAsia="宋体" w:cs="宋体"/>
          <w:color w:val="auto"/>
          <w:sz w:val="21"/>
          <w:szCs w:val="21"/>
          <w:highlight w:val="none"/>
          <w:lang w:val="en-US" w:eastAsia="zh-CN"/>
        </w:rPr>
        <w:t>住建部令57号</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以及《广西壮族自治区建设工程质量检测管理规定》（桂建管〔2013〕11 号）规定，工程质量检测业务由招标人委托有相应资质的检测机构检测。费用从招标人的项目建设经费中支出并直接支付给检测机构，不计入合同价款内。 </w:t>
      </w:r>
    </w:p>
    <w:p w14:paraId="1C719186">
      <w:pPr>
        <w:pStyle w:val="29"/>
        <w:autoSpaceDE w:val="0"/>
        <w:autoSpaceDN w:val="0"/>
        <w:spacing w:line="3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u w:val="none"/>
          <w:lang w:val="en-US" w:eastAsia="zh-CN"/>
        </w:rPr>
        <w:t>21.5承包人的结算申报价的核减额（即：结算送审价-审定的结算价）超过审定的结算价的8%时，</w:t>
      </w:r>
      <w:r>
        <w:rPr>
          <w:rFonts w:hint="eastAsia" w:ascii="宋体" w:hAnsi="宋体" w:eastAsia="宋体" w:cs="宋体"/>
          <w:color w:val="auto"/>
          <w:kern w:val="0"/>
          <w:szCs w:val="21"/>
          <w:highlight w:val="none"/>
          <w:u w:val="none"/>
        </w:rPr>
        <w:t>则超出送审价</w:t>
      </w:r>
      <w:r>
        <w:rPr>
          <w:rFonts w:hint="eastAsia" w:ascii="宋体" w:hAnsi="宋体" w:eastAsia="宋体" w:cs="宋体"/>
          <w:color w:val="auto"/>
          <w:kern w:val="0"/>
          <w:szCs w:val="21"/>
          <w:highlight w:val="none"/>
          <w:u w:val="none"/>
          <w:lang w:val="en-US" w:eastAsia="zh-CN"/>
        </w:rPr>
        <w:t>8</w:t>
      </w:r>
      <w:r>
        <w:rPr>
          <w:rFonts w:hint="eastAsia" w:ascii="宋体" w:hAnsi="宋体" w:eastAsia="宋体" w:cs="宋体"/>
          <w:color w:val="auto"/>
          <w:kern w:val="0"/>
          <w:szCs w:val="21"/>
          <w:highlight w:val="none"/>
          <w:u w:val="none"/>
        </w:rPr>
        <w:t>%部分审减</w:t>
      </w:r>
      <w:r>
        <w:rPr>
          <w:rFonts w:hint="eastAsia" w:ascii="宋体" w:hAnsi="宋体" w:eastAsia="宋体" w:cs="宋体"/>
          <w:color w:val="auto"/>
          <w:kern w:val="0"/>
          <w:szCs w:val="21"/>
          <w:highlight w:val="none"/>
          <w:u w:val="none"/>
          <w:lang w:eastAsia="zh-CN"/>
        </w:rPr>
        <w:t>（</w:t>
      </w:r>
      <w:r>
        <w:rPr>
          <w:rFonts w:hint="eastAsia" w:ascii="宋体" w:hAnsi="宋体" w:eastAsia="宋体" w:cs="宋体"/>
          <w:color w:val="auto"/>
          <w:kern w:val="0"/>
          <w:szCs w:val="21"/>
          <w:highlight w:val="none"/>
          <w:u w:val="none"/>
          <w:lang w:val="en-US" w:eastAsia="zh-CN"/>
        </w:rPr>
        <w:t>增</w:t>
      </w:r>
      <w:r>
        <w:rPr>
          <w:rFonts w:hint="eastAsia" w:ascii="宋体" w:hAnsi="宋体" w:eastAsia="宋体" w:cs="宋体"/>
          <w:color w:val="auto"/>
          <w:kern w:val="0"/>
          <w:szCs w:val="21"/>
          <w:highlight w:val="none"/>
          <w:u w:val="none"/>
          <w:lang w:eastAsia="zh-CN"/>
        </w:rPr>
        <w:t>）</w:t>
      </w:r>
      <w:r>
        <w:rPr>
          <w:rFonts w:hint="eastAsia" w:ascii="宋体" w:hAnsi="宋体" w:eastAsia="宋体" w:cs="宋体"/>
          <w:color w:val="auto"/>
          <w:kern w:val="0"/>
          <w:szCs w:val="21"/>
          <w:highlight w:val="none"/>
          <w:u w:val="none"/>
        </w:rPr>
        <w:t>额的审核服务费由承包人承担</w:t>
      </w:r>
      <w:r>
        <w:rPr>
          <w:rFonts w:hint="eastAsia" w:ascii="宋体" w:hAnsi="宋体" w:eastAsia="宋体" w:cs="宋体"/>
          <w:color w:val="auto"/>
          <w:kern w:val="0"/>
          <w:sz w:val="21"/>
          <w:szCs w:val="21"/>
          <w:highlight w:val="none"/>
          <w:u w:val="none"/>
          <w:lang w:val="en-US" w:eastAsia="zh-CN"/>
        </w:rPr>
        <w:t>，承担费用计算式为：[（结算送审价-审定的结算价）-结算送审价×8%]×【发包人相关部门规定结算审核计取的费率（或发包人与造价咨询机构签订的造价咨询合同中的约定的费率）】，由发包人从承包人的工程价款中予以扣除后支付给中介机构（或由承包人自行支付至相关单位指定账户）</w:t>
      </w:r>
    </w:p>
    <w:p w14:paraId="1B538E7C">
      <w:pPr>
        <w:pStyle w:val="29"/>
        <w:autoSpaceDE w:val="0"/>
        <w:autoSpaceDN w:val="0"/>
        <w:adjustRightInd w:val="0"/>
        <w:spacing w:line="3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21.6 发包人需要持散装水泥、多孔砖、砼砌块的材料发票原件到政府有关部门办理退款手续，承包人必须及时提供。否则，发包人有权按政府有关部门收缴标准及数额在承包人工程款中扣罚。 </w:t>
      </w:r>
    </w:p>
    <w:p w14:paraId="6260B81E">
      <w:pPr>
        <w:pStyle w:val="29"/>
        <w:autoSpaceDE w:val="0"/>
        <w:autoSpaceDN w:val="0"/>
        <w:adjustRightInd w:val="0"/>
        <w:spacing w:line="3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21.7 由于承包人不能按时提供属承包人应提供的文件导致发包人不能及时办理施工许可证，所有造成的后果由承包人承担责任。造成发包人损失的，承包人应赔偿发包人损失。 </w:t>
      </w:r>
    </w:p>
    <w:p w14:paraId="218035D8">
      <w:pPr>
        <w:pStyle w:val="29"/>
        <w:autoSpaceDE w:val="0"/>
        <w:autoSpaceDN w:val="0"/>
        <w:adjustRightInd w:val="0"/>
        <w:spacing w:line="3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21.8 已完工程成品保护的特殊要求及费用承担： 已竣工工程未交付发包人之前，承包人负责已完工程的成品保护工作，保护期间发生损坏，承包人自费予以修复。工程已交付发包人或发包人提前使用后的损坏及所需的修理费用、 工程成品毁损的风险， 由发包人承担。 若发包人要求承包人采取特殊措施保护的，由发包人就保护的工程部位和相应的追加合同价款另外进行协商。 </w:t>
      </w:r>
    </w:p>
    <w:p w14:paraId="6E214A4F">
      <w:pPr>
        <w:pStyle w:val="29"/>
        <w:autoSpaceDE w:val="0"/>
        <w:autoSpaceDN w:val="0"/>
        <w:adjustRightInd w:val="0"/>
        <w:spacing w:line="3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21.9 材料严格保证质量，相同类型材料质量应一致，若发现有材料以次品冒充，则该部分所有材料均按次品处理且须重新更换合格材料才能使用。 </w:t>
      </w:r>
    </w:p>
    <w:p w14:paraId="7DA541F4">
      <w:pPr>
        <w:pStyle w:val="29"/>
        <w:autoSpaceDE w:val="0"/>
        <w:autoSpaceDN w:val="0"/>
        <w:adjustRightInd w:val="0"/>
        <w:spacing w:line="3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21.10 承包人必须配合监理工程师和发包人派驻工程师的工作，一切签证事宜均须在规定的时间内作出书面签证申请，过期补签无效，发包人超过规定期限没有签证的视为此签证发包人已同意。夜间施工增加费（含夜间加班加点）已包含在合同价款内，施工期间不予再签证。 </w:t>
      </w:r>
    </w:p>
    <w:p w14:paraId="3AAE8368">
      <w:pPr>
        <w:pStyle w:val="29"/>
        <w:autoSpaceDE w:val="0"/>
        <w:autoSpaceDN w:val="0"/>
        <w:adjustRightInd w:val="0"/>
        <w:spacing w:line="3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21.11 承包人有以下情形之一者，视为违约，发包人有权依法解除合同，没收其全部履约保证金，承包人还应承担相应的法律责任。  </w:t>
      </w:r>
    </w:p>
    <w:p w14:paraId="5E204540">
      <w:pPr>
        <w:pStyle w:val="29"/>
        <w:autoSpaceDE w:val="0"/>
        <w:autoSpaceDN w:val="0"/>
        <w:adjustRightInd w:val="0"/>
        <w:spacing w:line="3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① 经有关建设主管部门鉴定确认，承包人有挂靠行为。 </w:t>
      </w:r>
    </w:p>
    <w:p w14:paraId="2E87692C">
      <w:pPr>
        <w:pStyle w:val="29"/>
        <w:autoSpaceDE w:val="0"/>
        <w:autoSpaceDN w:val="0"/>
        <w:adjustRightInd w:val="0"/>
        <w:spacing w:line="3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② 转包工程，以牟取转让费、管理费。  </w:t>
      </w:r>
    </w:p>
    <w:p w14:paraId="133891DB">
      <w:pPr>
        <w:pStyle w:val="29"/>
        <w:autoSpaceDE w:val="0"/>
        <w:autoSpaceDN w:val="0"/>
        <w:adjustRightInd w:val="0"/>
        <w:spacing w:line="3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③ 自签订合同之日起 15 日内，因承包人责任无法组织合同规定的人员、机械进场或进场人员机械与合同严重不符。 </w:t>
      </w:r>
    </w:p>
    <w:p w14:paraId="6DCCAC89">
      <w:pPr>
        <w:pStyle w:val="29"/>
        <w:autoSpaceDE w:val="0"/>
        <w:autoSpaceDN w:val="0"/>
        <w:adjustRightInd w:val="0"/>
        <w:spacing w:line="3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21.12 工程竣工验收通过后 14 天之内，承包人必须将临时工棚、建筑垃圾等全部清理出现场，否则从第15天起，每天处以1000元罚款且不办理结算。</w:t>
      </w:r>
    </w:p>
    <w:p w14:paraId="73762B94">
      <w:pPr>
        <w:pStyle w:val="29"/>
        <w:autoSpaceDE w:val="0"/>
        <w:autoSpaceDN w:val="0"/>
        <w:adjustRightInd w:val="0"/>
        <w:spacing w:line="3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21.13 凡进入本工程工作的妇女应持有计生证、否则不准安排工作，禁止使用童工。</w:t>
      </w:r>
    </w:p>
    <w:p w14:paraId="5FD18A9B">
      <w:pPr>
        <w:pStyle w:val="29"/>
        <w:autoSpaceDE w:val="0"/>
        <w:autoSpaceDN w:val="0"/>
        <w:adjustRightInd w:val="0"/>
        <w:spacing w:line="3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21.14 如因政策性原因或者项目暂时（或永久）取消导致开工延误或无法开工，发包人不支付承包人任何赔偿或补偿，并可根据政策要求或项目情况延时开工或取消部分合同内容。</w:t>
      </w:r>
    </w:p>
    <w:p w14:paraId="3B0CDF0D">
      <w:pPr>
        <w:pStyle w:val="29"/>
        <w:autoSpaceDE w:val="0"/>
        <w:autoSpaceDN w:val="0"/>
        <w:adjustRightInd w:val="0"/>
        <w:spacing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kern w:val="0"/>
          <w:szCs w:val="21"/>
          <w:highlight w:val="none"/>
        </w:rPr>
        <w:t>21.15 承包人应自行协调与施工现场周边及村民的关系，确保项目施工顺利进行。发包人不再支付承包人因协调施工现场周边及村民关系而发生的任何费用。如因征地拆迁造成的问题由由发包人负责牵头解决。</w:t>
      </w:r>
    </w:p>
    <w:p w14:paraId="12E0C022">
      <w:pP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br w:type="page"/>
      </w:r>
    </w:p>
    <w:p w14:paraId="34FE0DC2">
      <w:pPr>
        <w:pStyle w:val="30"/>
        <w:tabs>
          <w:tab w:val="left" w:pos="0"/>
        </w:tabs>
        <w:spacing w:line="276" w:lineRule="auto"/>
        <w:ind w:firstLine="0" w:firstLineChars="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附件：    </w:t>
      </w:r>
    </w:p>
    <w:p w14:paraId="05F20FAA">
      <w:pPr>
        <w:pStyle w:val="29"/>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工程质量保修书</w:t>
      </w:r>
    </w:p>
    <w:p w14:paraId="5A3C452F">
      <w:pPr>
        <w:pStyle w:val="30"/>
        <w:spacing w:line="320" w:lineRule="exact"/>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发包人（全称）：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6368E66B">
      <w:pPr>
        <w:pStyle w:val="30"/>
        <w:spacing w:line="320" w:lineRule="exact"/>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承包人（全称）：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 xml:space="preserve"> </w:t>
      </w:r>
    </w:p>
    <w:p w14:paraId="44BA1FDC">
      <w:pPr>
        <w:pStyle w:val="29"/>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为保证</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Cs w:val="21"/>
          <w:highlight w:val="none"/>
          <w:u w:val="single"/>
          <w:lang w:eastAsia="zh-CN"/>
        </w:rPr>
        <w:t>工程</w:t>
      </w:r>
      <w:r>
        <w:rPr>
          <w:rFonts w:hint="eastAsia" w:ascii="宋体" w:hAnsi="宋体" w:eastAsia="宋体" w:cs="宋体"/>
          <w:color w:val="auto"/>
          <w:szCs w:val="21"/>
          <w:highlight w:val="none"/>
        </w:rPr>
        <w:t>在合理使用期限内正常使用，经发包人、承包人协商一致签订本工程质量保修书。承包人在质量保修期内按照有关管理规定及双方约定承担工程质量保修责任。</w:t>
      </w:r>
    </w:p>
    <w:p w14:paraId="77911BED">
      <w:pPr>
        <w:pStyle w:val="36"/>
        <w:spacing w:line="400" w:lineRule="exact"/>
        <w:ind w:firstLine="420" w:firstLineChars="200"/>
        <w:outlineLvl w:val="0"/>
        <w:rPr>
          <w:rFonts w:hint="eastAsia" w:ascii="宋体" w:hAnsi="宋体" w:eastAsia="宋体" w:cs="宋体"/>
          <w:color w:val="auto"/>
          <w:szCs w:val="21"/>
          <w:highlight w:val="none"/>
        </w:rPr>
      </w:pPr>
      <w:bookmarkStart w:id="1754" w:name="_Toc522201808"/>
      <w:bookmarkStart w:id="1755" w:name="_Toc21315"/>
      <w:r>
        <w:rPr>
          <w:rFonts w:hint="eastAsia" w:ascii="宋体" w:hAnsi="宋体" w:eastAsia="宋体" w:cs="宋体"/>
          <w:color w:val="auto"/>
          <w:szCs w:val="21"/>
          <w:highlight w:val="none"/>
        </w:rPr>
        <w:t>一、工程保修范围和内容</w:t>
      </w:r>
      <w:bookmarkEnd w:id="1754"/>
      <w:bookmarkEnd w:id="1755"/>
    </w:p>
    <w:p w14:paraId="0C20EBF7">
      <w:pPr>
        <w:pStyle w:val="29"/>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rPr>
        <w:t>质量保修范围为施工图纸所包括的工程内容</w:t>
      </w:r>
      <w:r>
        <w:rPr>
          <w:rFonts w:hint="eastAsia" w:ascii="宋体" w:hAnsi="宋体" w:eastAsia="宋体" w:cs="宋体"/>
          <w:color w:val="auto"/>
          <w:highlight w:val="none"/>
          <w:lang w:eastAsia="zh-CN"/>
        </w:rPr>
        <w:t>，</w:t>
      </w:r>
      <w:r>
        <w:rPr>
          <w:rFonts w:hint="eastAsia" w:ascii="宋体" w:hAnsi="宋体" w:eastAsia="宋体" w:cs="宋体"/>
          <w:color w:val="auto"/>
          <w:szCs w:val="21"/>
          <w:highlight w:val="none"/>
        </w:rPr>
        <w:t>具体质量保修内容双方约定如下：</w:t>
      </w:r>
      <w:r>
        <w:rPr>
          <w:rFonts w:hint="eastAsia" w:ascii="宋体" w:hAnsi="宋体" w:eastAsia="宋体" w:cs="宋体"/>
          <w:color w:val="auto"/>
          <w:szCs w:val="21"/>
          <w:highlight w:val="none"/>
          <w:u w:val="single"/>
        </w:rPr>
        <w:t xml:space="preserve"> 承包方所承包施工的全部工程内容 </w:t>
      </w:r>
      <w:r>
        <w:rPr>
          <w:rFonts w:hint="eastAsia" w:ascii="宋体" w:hAnsi="宋体" w:eastAsia="宋体" w:cs="宋体"/>
          <w:color w:val="auto"/>
          <w:szCs w:val="21"/>
          <w:highlight w:val="none"/>
        </w:rPr>
        <w:t>。</w:t>
      </w:r>
    </w:p>
    <w:p w14:paraId="75CC6464">
      <w:pPr>
        <w:pStyle w:val="36"/>
        <w:spacing w:line="400" w:lineRule="exact"/>
        <w:ind w:firstLine="420" w:firstLineChars="200"/>
        <w:outlineLvl w:val="0"/>
        <w:rPr>
          <w:rFonts w:hint="eastAsia" w:ascii="宋体" w:hAnsi="宋体" w:eastAsia="宋体" w:cs="宋体"/>
          <w:color w:val="auto"/>
          <w:szCs w:val="21"/>
          <w:highlight w:val="none"/>
        </w:rPr>
      </w:pPr>
      <w:bookmarkStart w:id="1756" w:name="_Toc4052"/>
      <w:bookmarkStart w:id="1757" w:name="_Toc522201809"/>
      <w:r>
        <w:rPr>
          <w:rFonts w:hint="eastAsia" w:ascii="宋体" w:hAnsi="宋体" w:eastAsia="宋体" w:cs="宋体"/>
          <w:color w:val="auto"/>
          <w:szCs w:val="21"/>
          <w:highlight w:val="none"/>
        </w:rPr>
        <w:t>二、</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rPr>
        <w:t>保修期</w:t>
      </w:r>
      <w:bookmarkEnd w:id="1756"/>
      <w:bookmarkEnd w:id="1757"/>
    </w:p>
    <w:p w14:paraId="743272E9">
      <w:pPr>
        <w:widowControl w:val="0"/>
        <w:spacing w:line="360" w:lineRule="auto"/>
        <w:ind w:firstLine="540"/>
        <w:jc w:val="both"/>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质量保修期从工程实际竣工验收通过之日算起。分单项竣工验收的工程，按单项工程分别计算质量保修期。</w:t>
      </w:r>
    </w:p>
    <w:p w14:paraId="338DA141">
      <w:pPr>
        <w:pStyle w:val="29"/>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根据《建设工程质量管理条例》及有关规定，工程的质量保修期如下：</w:t>
      </w:r>
    </w:p>
    <w:p w14:paraId="152DD3B4">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1．地基基础工程和主体结构工程为设计文件规定的工程合理使用年限；</w:t>
      </w:r>
    </w:p>
    <w:p w14:paraId="0CCF1CAE">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2．屋面防水工程、有防水要求的卫生间、房间和外墙面的防渗为</w:t>
      </w:r>
      <w:r>
        <w:rPr>
          <w:rFonts w:hint="eastAsia" w:ascii="宋体" w:hAnsi="宋体" w:eastAsia="宋体" w:cs="宋体"/>
          <w:color w:val="auto"/>
          <w:highlight w:val="none"/>
          <w:u w:val="single"/>
        </w:rPr>
        <w:t xml:space="preserve"> 5 </w:t>
      </w:r>
      <w:r>
        <w:rPr>
          <w:rFonts w:hint="eastAsia" w:ascii="宋体" w:hAnsi="宋体" w:eastAsia="宋体" w:cs="宋体"/>
          <w:color w:val="auto"/>
          <w:highlight w:val="none"/>
        </w:rPr>
        <w:t>年；</w:t>
      </w:r>
    </w:p>
    <w:p w14:paraId="5FCB35B4">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3．装修工程为</w:t>
      </w:r>
      <w:r>
        <w:rPr>
          <w:rFonts w:hint="eastAsia" w:ascii="宋体" w:hAnsi="宋体" w:eastAsia="宋体" w:cs="宋体"/>
          <w:color w:val="auto"/>
          <w:highlight w:val="none"/>
          <w:u w:val="single"/>
        </w:rPr>
        <w:t xml:space="preserve"> 2 </w:t>
      </w:r>
      <w:r>
        <w:rPr>
          <w:rFonts w:hint="eastAsia" w:ascii="宋体" w:hAnsi="宋体" w:eastAsia="宋体" w:cs="宋体"/>
          <w:color w:val="auto"/>
          <w:highlight w:val="none"/>
        </w:rPr>
        <w:t>年；</w:t>
      </w:r>
    </w:p>
    <w:p w14:paraId="2027F484">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4．电气管线、给排水管道、设备安装工程为</w:t>
      </w:r>
      <w:r>
        <w:rPr>
          <w:rFonts w:hint="eastAsia" w:ascii="宋体" w:hAnsi="宋体" w:eastAsia="宋体" w:cs="宋体"/>
          <w:color w:val="auto"/>
          <w:highlight w:val="none"/>
          <w:u w:val="single"/>
        </w:rPr>
        <w:t xml:space="preserve"> 2 </w:t>
      </w:r>
      <w:r>
        <w:rPr>
          <w:rFonts w:hint="eastAsia" w:ascii="宋体" w:hAnsi="宋体" w:eastAsia="宋体" w:cs="宋体"/>
          <w:color w:val="auto"/>
          <w:highlight w:val="none"/>
        </w:rPr>
        <w:t>年；</w:t>
      </w:r>
    </w:p>
    <w:p w14:paraId="2DB2309D">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5．供热与供冷系统为</w:t>
      </w:r>
      <w:r>
        <w:rPr>
          <w:rFonts w:hint="eastAsia" w:ascii="宋体" w:hAnsi="宋体" w:eastAsia="宋体" w:cs="宋体"/>
          <w:color w:val="auto"/>
          <w:highlight w:val="none"/>
          <w:u w:val="single"/>
        </w:rPr>
        <w:t xml:space="preserve"> 2 </w:t>
      </w:r>
      <w:r>
        <w:rPr>
          <w:rFonts w:hint="eastAsia" w:ascii="宋体" w:hAnsi="宋体" w:eastAsia="宋体" w:cs="宋体"/>
          <w:color w:val="auto"/>
          <w:highlight w:val="none"/>
        </w:rPr>
        <w:t>个采暖期、供冷期；</w:t>
      </w:r>
    </w:p>
    <w:p w14:paraId="02DFDFDA">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6．住宅小区内的给排水设施、道路等配套工程为</w:t>
      </w:r>
      <w:r>
        <w:rPr>
          <w:rFonts w:hint="eastAsia" w:ascii="宋体" w:hAnsi="宋体" w:eastAsia="宋体" w:cs="宋体"/>
          <w:color w:val="auto"/>
          <w:highlight w:val="none"/>
          <w:u w:val="single"/>
        </w:rPr>
        <w:t xml:space="preserve"> 2 </w:t>
      </w:r>
      <w:r>
        <w:rPr>
          <w:rFonts w:hint="eastAsia" w:ascii="宋体" w:hAnsi="宋体" w:eastAsia="宋体" w:cs="宋体"/>
          <w:color w:val="auto"/>
          <w:highlight w:val="none"/>
        </w:rPr>
        <w:t>年；</w:t>
      </w:r>
    </w:p>
    <w:p w14:paraId="58813E82">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7．其他项目保修期限约定如下：建筑幕墙工程为</w:t>
      </w:r>
      <w:r>
        <w:rPr>
          <w:rFonts w:hint="eastAsia" w:ascii="宋体" w:hAnsi="宋体" w:eastAsia="宋体" w:cs="宋体"/>
          <w:color w:val="auto"/>
          <w:highlight w:val="none"/>
          <w:u w:val="single"/>
        </w:rPr>
        <w:t>3</w:t>
      </w:r>
      <w:r>
        <w:rPr>
          <w:rFonts w:hint="eastAsia" w:ascii="宋体" w:hAnsi="宋体" w:eastAsia="宋体" w:cs="宋体"/>
          <w:color w:val="auto"/>
          <w:highlight w:val="none"/>
        </w:rPr>
        <w:t>年；园林绿化工程为</w:t>
      </w:r>
      <w:r>
        <w:rPr>
          <w:rFonts w:hint="eastAsia" w:ascii="宋体" w:hAnsi="宋体" w:eastAsia="宋体" w:cs="宋体"/>
          <w:color w:val="auto"/>
          <w:highlight w:val="none"/>
          <w:u w:val="single"/>
        </w:rPr>
        <w:t>1</w:t>
      </w:r>
      <w:r>
        <w:rPr>
          <w:rFonts w:hint="eastAsia" w:ascii="宋体" w:hAnsi="宋体" w:eastAsia="宋体" w:cs="宋体"/>
          <w:color w:val="auto"/>
          <w:highlight w:val="none"/>
        </w:rPr>
        <w:t>年。</w:t>
      </w:r>
    </w:p>
    <w:p w14:paraId="3C37C505">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质量保修期自工程竣工验收合格之日起计算。</w:t>
      </w:r>
    </w:p>
    <w:p w14:paraId="4D5FB83E">
      <w:pPr>
        <w:pStyle w:val="29"/>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质量保修期自工程竣工验收合格之日起计算。 </w:t>
      </w:r>
    </w:p>
    <w:p w14:paraId="6AD11F7A">
      <w:pPr>
        <w:pStyle w:val="36"/>
        <w:spacing w:line="400" w:lineRule="exact"/>
        <w:ind w:firstLine="420" w:firstLineChars="200"/>
        <w:outlineLvl w:val="0"/>
        <w:rPr>
          <w:rFonts w:hint="eastAsia" w:ascii="宋体" w:hAnsi="宋体" w:eastAsia="宋体" w:cs="宋体"/>
          <w:color w:val="auto"/>
          <w:szCs w:val="21"/>
          <w:highlight w:val="none"/>
        </w:rPr>
      </w:pPr>
      <w:bookmarkStart w:id="1758" w:name="_Toc27688"/>
      <w:r>
        <w:rPr>
          <w:rFonts w:hint="eastAsia" w:ascii="宋体" w:hAnsi="宋体" w:eastAsia="宋体" w:cs="宋体"/>
          <w:color w:val="auto"/>
          <w:szCs w:val="21"/>
          <w:highlight w:val="none"/>
        </w:rPr>
        <w:t>三、缺陷责任期</w:t>
      </w:r>
      <w:bookmarkEnd w:id="1758"/>
    </w:p>
    <w:p w14:paraId="50AF95E6">
      <w:pPr>
        <w:pStyle w:val="29"/>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工程缺陷责任期为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12</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个月（最长不超过24个月），缺陷责任期自工程竣工验收合格之日起计算。单位工程先于全部工程进行验收，单位工程缺陷责任期自单位工程验收合格之日起算。</w:t>
      </w:r>
    </w:p>
    <w:p w14:paraId="4B6092DC">
      <w:pPr>
        <w:pStyle w:val="29"/>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缺陷责任期终止后，发包人应退还剩余的质量保证金。</w:t>
      </w:r>
    </w:p>
    <w:p w14:paraId="21D0AB36">
      <w:pPr>
        <w:pStyle w:val="36"/>
        <w:spacing w:line="400" w:lineRule="exact"/>
        <w:ind w:firstLine="420" w:firstLineChars="200"/>
        <w:outlineLvl w:val="0"/>
        <w:rPr>
          <w:rFonts w:hint="eastAsia" w:ascii="宋体" w:hAnsi="宋体" w:eastAsia="宋体" w:cs="宋体"/>
          <w:color w:val="auto"/>
          <w:szCs w:val="21"/>
          <w:highlight w:val="none"/>
        </w:rPr>
      </w:pPr>
      <w:bookmarkStart w:id="1759" w:name="_Toc25992"/>
      <w:r>
        <w:rPr>
          <w:rFonts w:hint="eastAsia" w:ascii="宋体" w:hAnsi="宋体" w:eastAsia="宋体" w:cs="宋体"/>
          <w:color w:val="auto"/>
          <w:szCs w:val="21"/>
          <w:highlight w:val="none"/>
        </w:rPr>
        <w:t>四、质量保修责任</w:t>
      </w:r>
      <w:bookmarkEnd w:id="1759"/>
    </w:p>
    <w:p w14:paraId="59F6118D">
      <w:pPr>
        <w:pStyle w:val="29"/>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1．属于保修范围、内容的项目，承包人应当在接到保修通知之日起</w:t>
      </w:r>
      <w:r>
        <w:rPr>
          <w:rFonts w:hint="eastAsia" w:ascii="宋体" w:hAnsi="宋体" w:eastAsia="宋体" w:cs="宋体"/>
          <w:color w:val="auto"/>
          <w:szCs w:val="21"/>
          <w:highlight w:val="none"/>
          <w:u w:val="single"/>
        </w:rPr>
        <w:t xml:space="preserve">  三 </w:t>
      </w:r>
      <w:r>
        <w:rPr>
          <w:rFonts w:hint="eastAsia" w:ascii="宋体" w:hAnsi="宋体" w:eastAsia="宋体" w:cs="宋体"/>
          <w:color w:val="auto"/>
          <w:szCs w:val="21"/>
          <w:highlight w:val="none"/>
        </w:rPr>
        <w:t>天内派人保修。承包人不在约定期限内派人保修的，发包人可以委托他人修理，修理费用从</w:t>
      </w:r>
      <w:r>
        <w:rPr>
          <w:rFonts w:hint="eastAsia" w:ascii="宋体" w:hAnsi="宋体" w:eastAsia="宋体" w:cs="宋体"/>
          <w:color w:val="auto"/>
          <w:szCs w:val="21"/>
          <w:highlight w:val="none"/>
          <w:lang w:eastAsia="zh-CN"/>
        </w:rPr>
        <w:t>质量保证金</w:t>
      </w:r>
      <w:r>
        <w:rPr>
          <w:rFonts w:hint="eastAsia" w:ascii="宋体" w:hAnsi="宋体" w:eastAsia="宋体" w:cs="宋体"/>
          <w:color w:val="auto"/>
          <w:szCs w:val="21"/>
          <w:highlight w:val="none"/>
        </w:rPr>
        <w:t>内扣除。</w:t>
      </w:r>
    </w:p>
    <w:p w14:paraId="29599308">
      <w:pPr>
        <w:pStyle w:val="29"/>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2．发生紧急事故需抢修的，承包人在接到事故通知后，应当立即到达事故现场抢修。</w:t>
      </w:r>
    </w:p>
    <w:p w14:paraId="39F1887F">
      <w:pPr>
        <w:pStyle w:val="29"/>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9DC6C3A">
      <w:pPr>
        <w:pStyle w:val="29"/>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4．质量保修完成后，由发包人组织验收。</w:t>
      </w:r>
    </w:p>
    <w:p w14:paraId="77FE6B3D">
      <w:pPr>
        <w:pStyle w:val="36"/>
        <w:spacing w:line="400" w:lineRule="exact"/>
        <w:ind w:firstLine="420" w:firstLineChars="200"/>
        <w:outlineLvl w:val="0"/>
        <w:rPr>
          <w:rFonts w:hint="eastAsia" w:ascii="宋体" w:hAnsi="宋体" w:eastAsia="宋体" w:cs="宋体"/>
          <w:color w:val="auto"/>
          <w:szCs w:val="21"/>
          <w:highlight w:val="none"/>
        </w:rPr>
      </w:pPr>
      <w:bookmarkStart w:id="1760" w:name="_Toc16641"/>
      <w:r>
        <w:rPr>
          <w:rFonts w:hint="eastAsia" w:ascii="宋体" w:hAnsi="宋体" w:eastAsia="宋体" w:cs="宋体"/>
          <w:color w:val="auto"/>
          <w:szCs w:val="21"/>
          <w:highlight w:val="none"/>
        </w:rPr>
        <w:t>五、保修费用</w:t>
      </w:r>
      <w:bookmarkEnd w:id="1760"/>
    </w:p>
    <w:p w14:paraId="612A218D">
      <w:pPr>
        <w:pStyle w:val="29"/>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保修费用由造成质量缺陷的责任方承担。</w:t>
      </w:r>
    </w:p>
    <w:p w14:paraId="54F7211A">
      <w:pPr>
        <w:pStyle w:val="30"/>
        <w:numPr>
          <w:ilvl w:val="0"/>
          <w:numId w:val="4"/>
        </w:numPr>
        <w:spacing w:line="400" w:lineRule="exact"/>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双方约定的其他工程质量保修事项：  1. </w:t>
      </w:r>
      <w:r>
        <w:rPr>
          <w:rFonts w:hint="eastAsia" w:ascii="宋体" w:hAnsi="宋体" w:eastAsia="宋体" w:cs="宋体"/>
          <w:color w:val="auto"/>
          <w:highlight w:val="none"/>
          <w:u w:val="single"/>
        </w:rPr>
        <w:t>承包人未按照法律法规有关规定和合同约定履行质量保修义务的，发包人有权从质量保证金中扣留用于质量保修的各项支出。</w:t>
      </w:r>
    </w:p>
    <w:p w14:paraId="4BD31B49">
      <w:pPr>
        <w:pStyle w:val="30"/>
        <w:numPr>
          <w:ilvl w:val="0"/>
          <w:numId w:val="5"/>
        </w:numPr>
        <w:spacing w:line="400" w:lineRule="exact"/>
        <w:rPr>
          <w:rFonts w:hint="eastAsia" w:ascii="宋体" w:hAnsi="宋体" w:eastAsia="宋体" w:cs="宋体"/>
          <w:color w:val="auto"/>
          <w:highlight w:val="none"/>
          <w:u w:val="single"/>
        </w:rPr>
      </w:pPr>
      <w:r>
        <w:rPr>
          <w:rFonts w:hint="eastAsia" w:ascii="宋体" w:hAnsi="宋体" w:eastAsia="宋体" w:cs="宋体"/>
          <w:color w:val="auto"/>
          <w:highlight w:val="none"/>
          <w:u w:val="single"/>
          <w:lang w:eastAsia="zh-CN"/>
        </w:rPr>
        <w:t>质量保证金</w:t>
      </w:r>
      <w:r>
        <w:rPr>
          <w:rFonts w:hint="eastAsia" w:ascii="宋体" w:hAnsi="宋体" w:eastAsia="宋体" w:cs="宋体"/>
          <w:color w:val="auto"/>
          <w:highlight w:val="none"/>
          <w:u w:val="single"/>
        </w:rPr>
        <w:t>比例：工程结算价的</w:t>
      </w:r>
      <w:r>
        <w:rPr>
          <w:rFonts w:hint="eastAsia" w:ascii="宋体" w:hAnsi="宋体" w:eastAsia="宋体" w:cs="宋体"/>
          <w:color w:val="auto"/>
          <w:highlight w:val="none"/>
          <w:u w:val="single"/>
          <w:lang w:val="en-US" w:eastAsia="zh-CN"/>
        </w:rPr>
        <w:t>3</w:t>
      </w:r>
      <w:r>
        <w:rPr>
          <w:rFonts w:hint="eastAsia" w:ascii="宋体" w:hAnsi="宋体" w:eastAsia="宋体" w:cs="宋体"/>
          <w:color w:val="auto"/>
          <w:highlight w:val="none"/>
          <w:u w:val="single"/>
        </w:rPr>
        <w:t>%。</w:t>
      </w:r>
    </w:p>
    <w:p w14:paraId="47616C41">
      <w:pPr>
        <w:pStyle w:val="30"/>
        <w:numPr>
          <w:ilvl w:val="0"/>
          <w:numId w:val="5"/>
        </w:num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u w:val="single"/>
          <w:lang w:eastAsia="zh-CN"/>
        </w:rPr>
        <w:t>质量保证金</w:t>
      </w:r>
      <w:r>
        <w:rPr>
          <w:rFonts w:hint="eastAsia" w:ascii="宋体" w:hAnsi="宋体" w:eastAsia="宋体" w:cs="宋体"/>
          <w:color w:val="auto"/>
          <w:highlight w:val="none"/>
          <w:u w:val="single"/>
        </w:rPr>
        <w:t>返还：发包人在工程竣工验收合格之日起满</w:t>
      </w:r>
      <w:r>
        <w:rPr>
          <w:rFonts w:hint="eastAsia" w:ascii="宋体" w:hAnsi="宋体" w:eastAsia="宋体" w:cs="宋体"/>
          <w:color w:val="auto"/>
          <w:highlight w:val="none"/>
          <w:u w:val="single"/>
          <w:lang w:val="en-US" w:eastAsia="zh-CN"/>
        </w:rPr>
        <w:t>1</w:t>
      </w:r>
      <w:r>
        <w:rPr>
          <w:rFonts w:hint="eastAsia" w:ascii="宋体" w:hAnsi="宋体" w:eastAsia="宋体" w:cs="宋体"/>
          <w:color w:val="auto"/>
          <w:highlight w:val="none"/>
          <w:u w:val="single"/>
        </w:rPr>
        <w:t>年后14天内将保修金（无息）的返回给承包人，</w:t>
      </w:r>
      <w:r>
        <w:rPr>
          <w:rFonts w:hint="eastAsia" w:ascii="宋体" w:hAnsi="宋体" w:eastAsia="宋体" w:cs="宋体"/>
          <w:color w:val="auto"/>
          <w:highlight w:val="none"/>
          <w:u w:val="single"/>
          <w:lang w:eastAsia="zh-CN"/>
        </w:rPr>
        <w:t>质量保证金</w:t>
      </w:r>
      <w:r>
        <w:rPr>
          <w:rFonts w:hint="eastAsia" w:ascii="宋体" w:hAnsi="宋体" w:eastAsia="宋体" w:cs="宋体"/>
          <w:color w:val="auto"/>
          <w:highlight w:val="none"/>
          <w:u w:val="single"/>
        </w:rPr>
        <w:t xml:space="preserve">的返还，并不能免除承包人按照合同约定应承担的质量保修责任和应履行的质量保修义务  </w:t>
      </w:r>
      <w:r>
        <w:rPr>
          <w:rFonts w:hint="eastAsia" w:ascii="宋体" w:hAnsi="宋体" w:eastAsia="宋体" w:cs="宋体"/>
          <w:color w:val="auto"/>
          <w:highlight w:val="none"/>
        </w:rPr>
        <w:t>。</w:t>
      </w:r>
    </w:p>
    <w:p w14:paraId="6FEE1C26">
      <w:pPr>
        <w:pStyle w:val="29"/>
        <w:spacing w:line="3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工程质量保修书由发包人、承包人在工程竣工验收前共同签署，作为施工合同附件，其有效期限至保修期满。</w:t>
      </w:r>
    </w:p>
    <w:p w14:paraId="5B655271">
      <w:pPr>
        <w:pStyle w:val="29"/>
        <w:spacing w:line="320" w:lineRule="exact"/>
        <w:ind w:firstLine="420" w:firstLineChars="200"/>
        <w:rPr>
          <w:rFonts w:hint="eastAsia" w:ascii="宋体" w:hAnsi="宋体" w:eastAsia="宋体" w:cs="宋体"/>
          <w:color w:val="auto"/>
          <w:szCs w:val="21"/>
          <w:highlight w:val="none"/>
        </w:rPr>
      </w:pPr>
    </w:p>
    <w:p w14:paraId="0443104F">
      <w:pPr>
        <w:pStyle w:val="28"/>
        <w:ind w:left="63" w:right="63"/>
        <w:rPr>
          <w:rFonts w:hint="eastAsia" w:ascii="宋体" w:hAnsi="宋体" w:eastAsia="宋体" w:cs="宋体"/>
          <w:color w:val="auto"/>
          <w:highlight w:val="none"/>
          <w:lang w:val="en-US" w:eastAsia="zh-CN"/>
        </w:rPr>
      </w:pPr>
    </w:p>
    <w:p w14:paraId="0894C394">
      <w:pPr>
        <w:pStyle w:val="30"/>
        <w:spacing w:line="320" w:lineRule="exact"/>
        <w:ind w:left="0" w:leftChars="0" w:firstLine="0" w:firstLineChars="0"/>
        <w:rPr>
          <w:rFonts w:hint="eastAsia" w:ascii="宋体" w:hAnsi="宋体" w:eastAsia="宋体" w:cs="宋体"/>
          <w:color w:val="auto"/>
          <w:highlight w:val="none"/>
          <w:u w:val="single"/>
          <w:lang w:val="en-US" w:eastAsia="zh-CN"/>
        </w:rPr>
      </w:pPr>
      <w:r>
        <w:rPr>
          <w:rFonts w:hint="eastAsia" w:ascii="宋体" w:hAnsi="宋体" w:eastAsia="宋体" w:cs="宋体"/>
          <w:color w:val="auto"/>
          <w:highlight w:val="none"/>
        </w:rPr>
        <w:t>发包人(公章)：</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none"/>
          <w:lang w:val="en-US" w:eastAsia="zh-CN"/>
        </w:rPr>
        <w:t xml:space="preserve">                              </w:t>
      </w:r>
      <w:r>
        <w:rPr>
          <w:rFonts w:hint="eastAsia" w:ascii="宋体" w:hAnsi="宋体" w:eastAsia="宋体" w:cs="宋体"/>
          <w:color w:val="auto"/>
          <w:highlight w:val="none"/>
        </w:rPr>
        <w:t>承包人(公章)：</w:t>
      </w:r>
      <w:r>
        <w:rPr>
          <w:rFonts w:hint="eastAsia" w:ascii="宋体" w:hAnsi="宋体" w:eastAsia="宋体" w:cs="宋体"/>
          <w:color w:val="auto"/>
          <w:highlight w:val="none"/>
          <w:u w:val="single"/>
          <w:lang w:val="en-US" w:eastAsia="zh-CN"/>
        </w:rPr>
        <w:t xml:space="preserve">  </w:t>
      </w:r>
    </w:p>
    <w:p w14:paraId="24ABFC1B">
      <w:pPr>
        <w:pStyle w:val="30"/>
        <w:spacing w:line="320" w:lineRule="exact"/>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5F124301">
      <w:pPr>
        <w:pStyle w:val="30"/>
        <w:spacing w:line="320" w:lineRule="exact"/>
        <w:ind w:left="0" w:leftChars="0" w:firstLine="0" w:firstLineChars="0"/>
        <w:rPr>
          <w:rFonts w:hint="eastAsia" w:ascii="宋体" w:hAnsi="宋体" w:eastAsia="宋体" w:cs="宋体"/>
          <w:color w:val="auto"/>
          <w:highlight w:val="none"/>
          <w:lang w:eastAsia="zh-CN"/>
        </w:rPr>
      </w:pPr>
      <w:r>
        <w:rPr>
          <w:rFonts w:hint="eastAsia" w:ascii="宋体" w:hAnsi="宋体" w:eastAsia="宋体" w:cs="宋体"/>
          <w:color w:val="auto"/>
          <w:highlight w:val="none"/>
        </w:rPr>
        <w:t xml:space="preserve">地  址：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地  址：</w:t>
      </w:r>
      <w:r>
        <w:rPr>
          <w:rFonts w:hint="eastAsia" w:ascii="宋体" w:hAnsi="宋体" w:eastAsia="宋体" w:cs="宋体"/>
          <w:color w:val="auto"/>
          <w:highlight w:val="none"/>
          <w:u w:val="single"/>
          <w:lang w:val="en-US" w:eastAsia="zh-CN"/>
        </w:rPr>
        <w:t xml:space="preserve"> </w:t>
      </w:r>
    </w:p>
    <w:p w14:paraId="7E791840">
      <w:pPr>
        <w:pStyle w:val="30"/>
        <w:spacing w:line="320" w:lineRule="exact"/>
        <w:ind w:left="0" w:leftChars="0" w:firstLine="0" w:firstLineChars="0"/>
        <w:rPr>
          <w:rFonts w:hint="eastAsia" w:ascii="宋体" w:hAnsi="宋体" w:eastAsia="宋体" w:cs="宋体"/>
          <w:color w:val="auto"/>
          <w:highlight w:val="none"/>
          <w:lang w:eastAsia="zh-CN"/>
        </w:rPr>
      </w:pPr>
      <w:r>
        <w:rPr>
          <w:rFonts w:hint="eastAsia" w:ascii="宋体" w:hAnsi="宋体" w:eastAsia="宋体" w:cs="宋体"/>
          <w:color w:val="auto"/>
          <w:highlight w:val="none"/>
        </w:rPr>
        <w:t>法定代表人</w:t>
      </w:r>
      <w:r>
        <w:rPr>
          <w:rFonts w:hint="eastAsia" w:ascii="宋体" w:hAnsi="宋体" w:eastAsia="宋体" w:cs="宋体"/>
          <w:color w:val="auto"/>
          <w:highlight w:val="none"/>
          <w:lang w:eastAsia="zh-CN"/>
        </w:rPr>
        <w:t>或</w:t>
      </w:r>
      <w:r>
        <w:rPr>
          <w:rFonts w:hint="eastAsia" w:ascii="宋体" w:hAnsi="宋体" w:eastAsia="宋体" w:cs="宋体"/>
          <w:color w:val="auto"/>
          <w:highlight w:val="none"/>
        </w:rPr>
        <w:t xml:space="preserve">委托代理人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法定代表人</w:t>
      </w:r>
      <w:r>
        <w:rPr>
          <w:rFonts w:hint="eastAsia" w:ascii="宋体" w:hAnsi="宋体" w:eastAsia="宋体" w:cs="宋体"/>
          <w:color w:val="auto"/>
          <w:highlight w:val="none"/>
          <w:lang w:eastAsia="zh-CN"/>
        </w:rPr>
        <w:t>或</w:t>
      </w:r>
      <w:r>
        <w:rPr>
          <w:rFonts w:hint="eastAsia" w:ascii="宋体" w:hAnsi="宋体" w:eastAsia="宋体" w:cs="宋体"/>
          <w:color w:val="auto"/>
          <w:highlight w:val="none"/>
        </w:rPr>
        <w:t>委托代理人</w:t>
      </w:r>
    </w:p>
    <w:p w14:paraId="03288999">
      <w:pPr>
        <w:pStyle w:val="30"/>
        <w:spacing w:line="320" w:lineRule="exact"/>
        <w:ind w:left="0" w:leftChars="0" w:firstLine="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(签字</w:t>
      </w:r>
      <w:r>
        <w:rPr>
          <w:rFonts w:hint="eastAsia" w:ascii="宋体" w:hAnsi="宋体" w:eastAsia="宋体" w:cs="宋体"/>
          <w:color w:val="auto"/>
          <w:highlight w:val="none"/>
          <w:lang w:eastAsia="zh-CN"/>
        </w:rPr>
        <w:t>或盖章</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(签字</w:t>
      </w:r>
      <w:r>
        <w:rPr>
          <w:rFonts w:hint="eastAsia" w:ascii="宋体" w:hAnsi="宋体" w:eastAsia="宋体" w:cs="宋体"/>
          <w:color w:val="auto"/>
          <w:highlight w:val="none"/>
          <w:lang w:eastAsia="zh-CN"/>
        </w:rPr>
        <w:t>或盖章</w:t>
      </w:r>
      <w:r>
        <w:rPr>
          <w:rFonts w:hint="eastAsia" w:ascii="宋体" w:hAnsi="宋体" w:eastAsia="宋体" w:cs="宋体"/>
          <w:color w:val="auto"/>
          <w:highlight w:val="none"/>
        </w:rPr>
        <w:t>)：</w:t>
      </w:r>
      <w:r>
        <w:rPr>
          <w:rFonts w:hint="eastAsia" w:ascii="宋体" w:hAnsi="宋体" w:eastAsia="宋体" w:cs="宋体"/>
          <w:color w:val="auto"/>
          <w:highlight w:val="none"/>
          <w:u w:val="single"/>
          <w:lang w:val="en-US" w:eastAsia="zh-CN"/>
        </w:rPr>
        <w:t xml:space="preserve">   </w:t>
      </w:r>
    </w:p>
    <w:p w14:paraId="2E7DC98C">
      <w:pPr>
        <w:pStyle w:val="30"/>
        <w:spacing w:line="320" w:lineRule="exact"/>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电  话：</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电  话：</w:t>
      </w:r>
      <w:r>
        <w:rPr>
          <w:rFonts w:hint="eastAsia" w:ascii="宋体" w:hAnsi="宋体" w:eastAsia="宋体" w:cs="宋体"/>
          <w:color w:val="auto"/>
          <w:highlight w:val="none"/>
          <w:u w:val="single"/>
        </w:rPr>
        <w:t></w:t>
      </w:r>
    </w:p>
    <w:p w14:paraId="7ECABFDB">
      <w:pPr>
        <w:widowControl/>
        <w:kinsoku w:val="0"/>
        <w:autoSpaceDE w:val="0"/>
        <w:autoSpaceDN w:val="0"/>
        <w:adjustRightInd w:val="0"/>
        <w:snapToGrid w:val="0"/>
        <w:spacing w:line="263" w:lineRule="auto"/>
        <w:jc w:val="left"/>
        <w:textAlignment w:val="baseline"/>
        <w:rPr>
          <w:rFonts w:hint="eastAsia" w:ascii="宋体" w:hAnsi="宋体" w:eastAsia="宋体" w:cs="宋体"/>
          <w:snapToGrid w:val="0"/>
          <w:color w:val="auto"/>
          <w:kern w:val="0"/>
          <w:szCs w:val="21"/>
          <w:highlight w:val="none"/>
          <w:lang w:eastAsia="zh-CN"/>
        </w:rPr>
      </w:pPr>
      <w:r>
        <w:rPr>
          <w:rFonts w:hint="eastAsia" w:ascii="宋体" w:hAnsi="宋体" w:eastAsia="宋体" w:cs="宋体"/>
          <w:snapToGrid w:val="0"/>
          <w:color w:val="auto"/>
          <w:kern w:val="0"/>
          <w:szCs w:val="21"/>
          <w:highlight w:val="none"/>
          <w:lang w:eastAsia="zh-CN"/>
        </w:rPr>
        <w:br w:type="page"/>
      </w:r>
    </w:p>
    <w:p w14:paraId="5F837170">
      <w:pPr>
        <w:pStyle w:val="2"/>
        <w:wordWrap w:val="0"/>
        <w:spacing w:before="0" w:after="0" w:line="360" w:lineRule="auto"/>
        <w:ind w:left="420" w:leftChars="200" w:firstLine="578" w:firstLineChars="160"/>
        <w:jc w:val="center"/>
        <w:rPr>
          <w:rFonts w:hint="eastAsia" w:ascii="宋体" w:hAnsi="宋体" w:eastAsia="宋体" w:cs="宋体"/>
          <w:color w:val="auto"/>
          <w:sz w:val="36"/>
          <w:szCs w:val="36"/>
          <w:highlight w:val="none"/>
        </w:rPr>
      </w:pPr>
      <w:bookmarkStart w:id="1761" w:name="_Toc16315"/>
      <w:r>
        <w:rPr>
          <w:rFonts w:hint="eastAsia" w:ascii="宋体" w:hAnsi="宋体" w:eastAsia="宋体" w:cs="宋体"/>
          <w:color w:val="auto"/>
          <w:sz w:val="36"/>
          <w:szCs w:val="36"/>
          <w:highlight w:val="none"/>
        </w:rPr>
        <w:t>第六章   响应文件格式</w:t>
      </w:r>
      <w:bookmarkEnd w:id="38"/>
      <w:bookmarkEnd w:id="1761"/>
    </w:p>
    <w:p w14:paraId="642BD9A5">
      <w:pPr>
        <w:pStyle w:val="9"/>
        <w:wordWrap w:val="0"/>
        <w:ind w:left="420" w:leftChars="200" w:firstLine="514" w:firstLineChars="160"/>
        <w:rPr>
          <w:rFonts w:hint="eastAsia" w:ascii="宋体" w:hAnsi="宋体" w:eastAsia="宋体" w:cs="宋体"/>
          <w:b/>
          <w:color w:val="auto"/>
          <w:sz w:val="32"/>
          <w:highlight w:val="none"/>
        </w:rPr>
      </w:pPr>
      <w:bookmarkStart w:id="1762" w:name="_Toc21496"/>
      <w:bookmarkStart w:id="1763" w:name="_Toc18351"/>
      <w:bookmarkStart w:id="1764" w:name="_Toc497927069"/>
      <w:bookmarkStart w:id="1765" w:name="_Toc6973"/>
      <w:bookmarkStart w:id="1766" w:name="_Toc22545"/>
      <w:bookmarkStart w:id="1767" w:name="_Toc12385"/>
      <w:bookmarkStart w:id="1768" w:name="_Toc2237"/>
      <w:bookmarkStart w:id="1769" w:name="_Toc18780"/>
      <w:bookmarkStart w:id="1770" w:name="_Toc1637952"/>
      <w:r>
        <w:rPr>
          <w:rFonts w:hint="eastAsia" w:ascii="宋体" w:hAnsi="宋体" w:eastAsia="宋体" w:cs="宋体"/>
          <w:b/>
          <w:color w:val="auto"/>
          <w:sz w:val="32"/>
          <w:highlight w:val="none"/>
        </w:rPr>
        <w:t>一、响应文件标记</w:t>
      </w:r>
      <w:bookmarkEnd w:id="1762"/>
      <w:bookmarkEnd w:id="1763"/>
      <w:bookmarkEnd w:id="1764"/>
    </w:p>
    <w:p w14:paraId="187DE0AE">
      <w:pPr>
        <w:wordWrap w:val="0"/>
        <w:adjustRightInd w:val="0"/>
        <w:snapToGrid w:val="0"/>
        <w:ind w:left="420" w:leftChars="200" w:firstLine="707" w:firstLineChars="160"/>
        <w:rPr>
          <w:rFonts w:hint="eastAsia" w:ascii="宋体" w:hAnsi="宋体" w:eastAsia="宋体" w:cs="宋体"/>
          <w:b/>
          <w:color w:val="auto"/>
          <w:sz w:val="44"/>
          <w:szCs w:val="44"/>
          <w:highlight w:val="none"/>
        </w:rPr>
      </w:pPr>
    </w:p>
    <w:p w14:paraId="0CD09E9A">
      <w:pPr>
        <w:pStyle w:val="26"/>
        <w:wordWrap w:val="0"/>
        <w:ind w:left="420" w:leftChars="200" w:firstLine="386" w:firstLineChars="160"/>
        <w:rPr>
          <w:rFonts w:hint="eastAsia" w:ascii="宋体" w:hAnsi="宋体" w:eastAsia="宋体" w:cs="宋体"/>
          <w:color w:val="auto"/>
          <w:highlight w:val="none"/>
        </w:rPr>
      </w:pPr>
    </w:p>
    <w:p w14:paraId="7A9B834D">
      <w:pPr>
        <w:wordWrap w:val="0"/>
        <w:snapToGrid w:val="0"/>
        <w:spacing w:before="120" w:beforeLines="50" w:after="50"/>
        <w:ind w:left="420" w:leftChars="200" w:firstLine="578" w:firstLineChars="160"/>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响 应 文 件</w:t>
      </w:r>
    </w:p>
    <w:p w14:paraId="782AEFA5">
      <w:pPr>
        <w:wordWrap w:val="0"/>
        <w:snapToGrid w:val="0"/>
        <w:spacing w:before="120" w:beforeLines="50" w:after="50"/>
        <w:ind w:left="420" w:leftChars="200" w:firstLine="512" w:firstLineChars="160"/>
        <w:rPr>
          <w:rFonts w:hint="eastAsia" w:ascii="宋体" w:hAnsi="宋体" w:eastAsia="宋体" w:cs="宋体"/>
          <w:b/>
          <w:color w:val="auto"/>
          <w:sz w:val="28"/>
          <w:szCs w:val="28"/>
          <w:highlight w:val="none"/>
        </w:rPr>
      </w:pPr>
      <w:r>
        <w:rPr>
          <w:rFonts w:hint="eastAsia" w:ascii="宋体" w:hAnsi="宋体" w:eastAsia="宋体" w:cs="宋体"/>
          <w:color w:val="auto"/>
          <w:sz w:val="32"/>
          <w:szCs w:val="32"/>
          <w:highlight w:val="none"/>
        </w:rPr>
        <w:t xml:space="preserve">                       </w:t>
      </w:r>
    </w:p>
    <w:p w14:paraId="06728328">
      <w:pPr>
        <w:wordWrap w:val="0"/>
        <w:snapToGrid w:val="0"/>
        <w:spacing w:before="120" w:beforeLines="50" w:after="50"/>
        <w:ind w:left="420" w:leftChars="200" w:firstLine="450" w:firstLineChars="160"/>
        <w:rPr>
          <w:rFonts w:hint="eastAsia" w:ascii="宋体" w:hAnsi="宋体" w:eastAsia="宋体" w:cs="宋体"/>
          <w:b/>
          <w:color w:val="auto"/>
          <w:sz w:val="28"/>
          <w:szCs w:val="28"/>
          <w:highlight w:val="none"/>
        </w:rPr>
      </w:pPr>
    </w:p>
    <w:p w14:paraId="3F926B2C">
      <w:pPr>
        <w:wordWrap w:val="0"/>
        <w:snapToGrid w:val="0"/>
        <w:spacing w:before="120" w:beforeLines="50" w:after="50"/>
        <w:ind w:left="420" w:leftChars="200" w:firstLine="450" w:firstLineChars="160"/>
        <w:rPr>
          <w:rFonts w:hint="eastAsia" w:ascii="宋体" w:hAnsi="宋体" w:eastAsia="宋体" w:cs="宋体"/>
          <w:b/>
          <w:color w:val="auto"/>
          <w:sz w:val="28"/>
          <w:szCs w:val="28"/>
          <w:highlight w:val="none"/>
        </w:rPr>
      </w:pPr>
    </w:p>
    <w:p w14:paraId="003C153C">
      <w:pPr>
        <w:wordWrap w:val="0"/>
        <w:snapToGrid w:val="0"/>
        <w:spacing w:before="120" w:beforeLines="50" w:after="50"/>
        <w:ind w:left="420" w:leftChars="200" w:firstLine="450" w:firstLineChars="160"/>
        <w:rPr>
          <w:rFonts w:hint="eastAsia" w:ascii="宋体" w:hAnsi="宋体" w:eastAsia="宋体" w:cs="宋体"/>
          <w:b/>
          <w:color w:val="auto"/>
          <w:sz w:val="28"/>
          <w:szCs w:val="28"/>
          <w:highlight w:val="none"/>
        </w:rPr>
      </w:pPr>
    </w:p>
    <w:p w14:paraId="51F13481">
      <w:pPr>
        <w:wordWrap w:val="0"/>
        <w:snapToGrid w:val="0"/>
        <w:spacing w:before="120" w:beforeLines="50" w:after="50"/>
        <w:ind w:left="420" w:leftChars="200" w:firstLine="450" w:firstLineChars="160"/>
        <w:rPr>
          <w:rFonts w:hint="eastAsia" w:ascii="宋体" w:hAnsi="宋体" w:eastAsia="宋体" w:cs="宋体"/>
          <w:b/>
          <w:color w:val="auto"/>
          <w:sz w:val="28"/>
          <w:szCs w:val="28"/>
          <w:highlight w:val="none"/>
        </w:rPr>
      </w:pPr>
    </w:p>
    <w:p w14:paraId="2682CE79">
      <w:pPr>
        <w:wordWrap w:val="0"/>
        <w:snapToGrid w:val="0"/>
        <w:spacing w:before="120" w:beforeLines="50" w:after="50"/>
        <w:ind w:left="420" w:leftChars="200" w:firstLine="450" w:firstLineChars="160"/>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项目名称：</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color w:val="auto"/>
          <w:sz w:val="18"/>
          <w:szCs w:val="18"/>
          <w:highlight w:val="none"/>
        </w:rPr>
        <w:t xml:space="preserve">  </w:t>
      </w:r>
    </w:p>
    <w:p w14:paraId="046890EC">
      <w:pPr>
        <w:wordWrap w:val="0"/>
        <w:snapToGrid w:val="0"/>
        <w:spacing w:before="120" w:beforeLines="50" w:after="50"/>
        <w:ind w:left="420" w:leftChars="200" w:firstLine="450" w:firstLineChars="16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项目编号：</w:t>
      </w:r>
      <w:r>
        <w:rPr>
          <w:rFonts w:hint="eastAsia" w:ascii="宋体" w:hAnsi="宋体" w:eastAsia="宋体" w:cs="宋体"/>
          <w:b/>
          <w:color w:val="auto"/>
          <w:sz w:val="28"/>
          <w:szCs w:val="28"/>
          <w:highlight w:val="none"/>
          <w:u w:val="single"/>
        </w:rPr>
        <w:t xml:space="preserve">                      </w:t>
      </w:r>
    </w:p>
    <w:p w14:paraId="1F412A38">
      <w:pPr>
        <w:wordWrap w:val="0"/>
        <w:snapToGrid w:val="0"/>
        <w:spacing w:before="120" w:beforeLines="50" w:after="50"/>
        <w:ind w:left="420" w:leftChars="200" w:firstLine="450" w:firstLineChars="160"/>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采购代理机构：</w:t>
      </w:r>
      <w:r>
        <w:rPr>
          <w:rFonts w:hint="eastAsia" w:ascii="宋体" w:hAnsi="宋体" w:eastAsia="宋体" w:cs="宋体"/>
          <w:b/>
          <w:color w:val="auto"/>
          <w:sz w:val="28"/>
          <w:szCs w:val="28"/>
          <w:highlight w:val="none"/>
          <w:u w:val="single"/>
        </w:rPr>
        <w:t xml:space="preserve">                 </w:t>
      </w:r>
    </w:p>
    <w:p w14:paraId="5B9373C8">
      <w:pPr>
        <w:pStyle w:val="4"/>
        <w:wordWrap w:val="0"/>
        <w:ind w:left="420" w:leftChars="200" w:firstLine="450" w:firstLineChars="160"/>
        <w:rPr>
          <w:rFonts w:hint="eastAsia" w:ascii="宋体" w:hAnsi="宋体" w:eastAsia="宋体" w:cs="宋体"/>
          <w:color w:val="auto"/>
          <w:highlight w:val="none"/>
        </w:rPr>
      </w:pPr>
    </w:p>
    <w:p w14:paraId="052E6A92">
      <w:pPr>
        <w:pStyle w:val="8"/>
        <w:wordWrap w:val="0"/>
        <w:spacing w:line="440" w:lineRule="exact"/>
        <w:ind w:left="420" w:leftChars="200" w:firstLine="371" w:firstLineChars="160"/>
        <w:jc w:val="center"/>
        <w:rPr>
          <w:rFonts w:hint="eastAsia" w:ascii="宋体" w:hAnsi="宋体" w:eastAsia="宋体" w:cs="宋体"/>
          <w:bCs/>
          <w:color w:val="auto"/>
          <w:sz w:val="24"/>
          <w:highlight w:val="none"/>
        </w:rPr>
      </w:pPr>
      <w:bookmarkStart w:id="1771" w:name="_Toc4932_WPSOffice_Level2"/>
      <w:bookmarkStart w:id="1772" w:name="_Toc20319_WPSOffice_Level2"/>
      <w:r>
        <w:rPr>
          <w:rFonts w:hint="eastAsia" w:ascii="宋体" w:hAnsi="宋体" w:eastAsia="宋体" w:cs="宋体"/>
          <w:bCs/>
          <w:color w:val="auto"/>
          <w:sz w:val="24"/>
          <w:highlight w:val="none"/>
        </w:rPr>
        <w:t>磋商供应商[公章(CA签章)、自然人除外]：</w:t>
      </w:r>
      <w:bookmarkEnd w:id="1771"/>
      <w:bookmarkEnd w:id="1772"/>
    </w:p>
    <w:p w14:paraId="19522464">
      <w:pPr>
        <w:pStyle w:val="9"/>
        <w:wordWrap w:val="0"/>
        <w:spacing w:line="440" w:lineRule="exact"/>
        <w:ind w:left="420" w:leftChars="200" w:firstLine="384" w:firstLineChars="160"/>
        <w:jc w:val="center"/>
        <w:rPr>
          <w:rFonts w:hint="eastAsia" w:ascii="宋体" w:hAnsi="宋体" w:eastAsia="宋体" w:cs="宋体"/>
          <w:color w:val="auto"/>
          <w:sz w:val="24"/>
          <w:szCs w:val="24"/>
          <w:highlight w:val="none"/>
        </w:rPr>
      </w:pPr>
      <w:bookmarkStart w:id="1773" w:name="_Toc9622_WPSOffice_Level2"/>
      <w:bookmarkStart w:id="1774" w:name="_Toc32056_WPSOffice_Level2"/>
      <w:r>
        <w:rPr>
          <w:rFonts w:hint="eastAsia" w:ascii="宋体" w:hAnsi="宋体" w:eastAsia="宋体" w:cs="宋体"/>
          <w:color w:val="auto"/>
          <w:sz w:val="24"/>
          <w:szCs w:val="24"/>
          <w:highlight w:val="none"/>
        </w:rPr>
        <w:t>法定代表人、负责人、自然人或相应的委托代理人签字[或盖章(CA签章)]</w:t>
      </w:r>
    </w:p>
    <w:p w14:paraId="63E45930">
      <w:pPr>
        <w:pStyle w:val="8"/>
        <w:wordWrap w:val="0"/>
        <w:spacing w:line="440" w:lineRule="exact"/>
        <w:ind w:left="420" w:leftChars="200" w:firstLine="371" w:firstLineChars="160"/>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（属自然人的应在签名处加盖大拇指指印或个人CA签章）：</w:t>
      </w:r>
    </w:p>
    <w:p w14:paraId="3F871B83">
      <w:pPr>
        <w:pStyle w:val="8"/>
        <w:wordWrap w:val="0"/>
        <w:spacing w:line="440" w:lineRule="exact"/>
        <w:ind w:left="420" w:leftChars="200" w:firstLine="371" w:firstLineChars="160"/>
        <w:jc w:val="center"/>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联系电话：</w:t>
      </w:r>
      <w:bookmarkEnd w:id="1773"/>
      <w:bookmarkEnd w:id="1774"/>
    </w:p>
    <w:p w14:paraId="226D4A9C">
      <w:pPr>
        <w:pStyle w:val="8"/>
        <w:wordWrap w:val="0"/>
        <w:spacing w:line="440" w:lineRule="exact"/>
        <w:ind w:left="420" w:leftChars="200" w:firstLine="371" w:firstLineChars="160"/>
        <w:jc w:val="center"/>
        <w:rPr>
          <w:rFonts w:hint="eastAsia" w:ascii="宋体" w:hAnsi="宋体" w:eastAsia="宋体" w:cs="宋体"/>
          <w:bCs/>
          <w:color w:val="auto"/>
          <w:sz w:val="24"/>
          <w:highlight w:val="none"/>
        </w:rPr>
      </w:pPr>
      <w:bookmarkStart w:id="1775" w:name="_Toc15933_WPSOffice_Level2"/>
      <w:bookmarkStart w:id="1776" w:name="_Toc26465_WPSOffice_Level2"/>
      <w:r>
        <w:rPr>
          <w:rFonts w:hint="eastAsia" w:ascii="宋体" w:hAnsi="宋体" w:eastAsia="宋体" w:cs="宋体"/>
          <w:bCs/>
          <w:color w:val="auto"/>
          <w:sz w:val="24"/>
          <w:highlight w:val="none"/>
        </w:rPr>
        <w:t>日期：</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年</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月</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日</w:t>
      </w:r>
      <w:bookmarkEnd w:id="1775"/>
      <w:bookmarkEnd w:id="1776"/>
    </w:p>
    <w:p w14:paraId="6D1C9528">
      <w:pPr>
        <w:pStyle w:val="8"/>
        <w:wordWrap w:val="0"/>
        <w:spacing w:line="440" w:lineRule="exact"/>
        <w:ind w:left="420" w:leftChars="200" w:firstLine="371" w:firstLineChars="160"/>
        <w:rPr>
          <w:rFonts w:hint="eastAsia" w:ascii="宋体" w:hAnsi="宋体" w:eastAsia="宋体" w:cs="宋体"/>
          <w:bCs/>
          <w:color w:val="auto"/>
          <w:sz w:val="24"/>
          <w:highlight w:val="none"/>
        </w:rPr>
      </w:pPr>
    </w:p>
    <w:p w14:paraId="2FBE0F06">
      <w:pPr>
        <w:pStyle w:val="8"/>
        <w:wordWrap w:val="0"/>
        <w:spacing w:line="440" w:lineRule="exact"/>
        <w:ind w:left="420" w:leftChars="200" w:firstLine="371" w:firstLineChars="16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br w:type="page"/>
      </w:r>
    </w:p>
    <w:p w14:paraId="510E5DF8">
      <w:pPr>
        <w:numPr>
          <w:ilvl w:val="0"/>
          <w:numId w:val="6"/>
        </w:numPr>
        <w:wordWrap w:val="0"/>
        <w:ind w:left="420" w:leftChars="200" w:firstLine="514" w:firstLineChars="160"/>
        <w:rPr>
          <w:rFonts w:hint="eastAsia" w:ascii="宋体" w:hAnsi="宋体" w:eastAsia="宋体" w:cs="宋体"/>
          <w:b/>
          <w:bCs/>
          <w:color w:val="auto"/>
          <w:sz w:val="32"/>
          <w:szCs w:val="32"/>
          <w:highlight w:val="none"/>
        </w:rPr>
      </w:pPr>
      <w:bookmarkStart w:id="1777" w:name="_Toc497927070"/>
      <w:bookmarkStart w:id="1778" w:name="_Toc21615"/>
      <w:bookmarkStart w:id="1779" w:name="_Toc19430"/>
      <w:r>
        <w:rPr>
          <w:rFonts w:hint="eastAsia" w:ascii="宋体" w:hAnsi="宋体" w:eastAsia="宋体" w:cs="宋体"/>
          <w:b/>
          <w:bCs/>
          <w:color w:val="auto"/>
          <w:sz w:val="32"/>
          <w:szCs w:val="32"/>
          <w:highlight w:val="none"/>
        </w:rPr>
        <w:t>响应文件组成</w:t>
      </w:r>
      <w:bookmarkEnd w:id="1777"/>
      <w:bookmarkEnd w:id="1778"/>
      <w:bookmarkEnd w:id="1779"/>
    </w:p>
    <w:p w14:paraId="6BD422BE">
      <w:pPr>
        <w:pStyle w:val="7"/>
        <w:wordWrap w:val="0"/>
        <w:ind w:left="420" w:leftChars="200" w:firstLine="681" w:firstLineChars="160"/>
        <w:rPr>
          <w:rFonts w:hint="eastAsia" w:ascii="宋体" w:hAnsi="宋体" w:eastAsia="宋体" w:cs="宋体"/>
          <w:color w:val="auto"/>
          <w:highlight w:val="none"/>
        </w:rPr>
      </w:pPr>
    </w:p>
    <w:p w14:paraId="0D2037C7">
      <w:pPr>
        <w:pStyle w:val="7"/>
        <w:wordWrap w:val="0"/>
        <w:ind w:left="420" w:leftChars="200" w:firstLine="681" w:firstLineChars="160"/>
        <w:rPr>
          <w:rFonts w:hint="eastAsia" w:ascii="宋体" w:hAnsi="宋体" w:eastAsia="宋体" w:cs="宋体"/>
          <w:color w:val="auto"/>
          <w:highlight w:val="none"/>
        </w:rPr>
      </w:pPr>
    </w:p>
    <w:p w14:paraId="1FDB4C34">
      <w:pPr>
        <w:wordWrap w:val="0"/>
        <w:spacing w:line="400" w:lineRule="exact"/>
        <w:ind w:left="420" w:leftChars="200" w:firstLine="450" w:firstLineChars="160"/>
        <w:rPr>
          <w:rFonts w:hint="eastAsia" w:ascii="宋体" w:hAnsi="宋体" w:eastAsia="宋体" w:cs="宋体"/>
          <w:b/>
          <w:bCs/>
          <w:color w:val="auto"/>
          <w:sz w:val="28"/>
          <w:szCs w:val="28"/>
          <w:highlight w:val="none"/>
        </w:rPr>
      </w:pPr>
    </w:p>
    <w:p w14:paraId="1C501E90">
      <w:pPr>
        <w:pStyle w:val="7"/>
        <w:wordWrap w:val="0"/>
        <w:ind w:left="420" w:leftChars="200" w:firstLine="424" w:firstLineChars="160"/>
        <w:rPr>
          <w:rFonts w:hint="eastAsia" w:ascii="宋体" w:hAnsi="宋体" w:eastAsia="宋体" w:cs="宋体"/>
          <w:bCs/>
          <w:color w:val="auto"/>
          <w:sz w:val="28"/>
          <w:szCs w:val="28"/>
          <w:highlight w:val="none"/>
        </w:rPr>
      </w:pPr>
    </w:p>
    <w:p w14:paraId="32647FAA">
      <w:pPr>
        <w:numPr>
          <w:ilvl w:val="0"/>
          <w:numId w:val="7"/>
        </w:numPr>
        <w:wordWrap w:val="0"/>
        <w:spacing w:line="400" w:lineRule="exact"/>
        <w:ind w:left="420" w:leftChars="200" w:firstLine="450" w:firstLineChars="16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资格性响应证明材料</w:t>
      </w:r>
    </w:p>
    <w:p w14:paraId="49B1B5F6">
      <w:pPr>
        <w:pStyle w:val="7"/>
        <w:wordWrap w:val="0"/>
        <w:ind w:left="420" w:leftChars="200" w:firstLine="424" w:firstLineChars="160"/>
        <w:rPr>
          <w:rFonts w:hint="eastAsia" w:ascii="宋体" w:hAnsi="宋体" w:eastAsia="宋体" w:cs="宋体"/>
          <w:bCs/>
          <w:color w:val="auto"/>
          <w:sz w:val="28"/>
          <w:szCs w:val="28"/>
          <w:highlight w:val="none"/>
        </w:rPr>
      </w:pPr>
    </w:p>
    <w:p w14:paraId="794919F1">
      <w:pPr>
        <w:pStyle w:val="7"/>
        <w:wordWrap w:val="0"/>
        <w:ind w:left="420" w:leftChars="200" w:firstLine="424" w:firstLineChars="160"/>
        <w:rPr>
          <w:rFonts w:hint="eastAsia" w:ascii="宋体" w:hAnsi="宋体" w:eastAsia="宋体" w:cs="宋体"/>
          <w:bCs/>
          <w:color w:val="auto"/>
          <w:sz w:val="28"/>
          <w:szCs w:val="28"/>
          <w:highlight w:val="none"/>
        </w:rPr>
      </w:pPr>
    </w:p>
    <w:p w14:paraId="6DFA4DA9">
      <w:pPr>
        <w:numPr>
          <w:ilvl w:val="0"/>
          <w:numId w:val="7"/>
        </w:numPr>
        <w:wordWrap w:val="0"/>
        <w:spacing w:line="400" w:lineRule="exact"/>
        <w:ind w:left="420" w:leftChars="200" w:firstLine="450" w:firstLineChars="16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符合性响应证明材料</w:t>
      </w:r>
    </w:p>
    <w:p w14:paraId="2598743C">
      <w:pPr>
        <w:pStyle w:val="7"/>
        <w:wordWrap w:val="0"/>
        <w:ind w:left="420" w:leftChars="200" w:firstLine="424" w:firstLineChars="160"/>
        <w:rPr>
          <w:rFonts w:hint="eastAsia" w:ascii="宋体" w:hAnsi="宋体" w:eastAsia="宋体" w:cs="宋体"/>
          <w:bCs/>
          <w:color w:val="auto"/>
          <w:sz w:val="28"/>
          <w:szCs w:val="28"/>
          <w:highlight w:val="none"/>
        </w:rPr>
      </w:pPr>
    </w:p>
    <w:p w14:paraId="726B45E7">
      <w:pPr>
        <w:pStyle w:val="7"/>
        <w:wordWrap w:val="0"/>
        <w:ind w:left="420" w:leftChars="200" w:firstLine="424" w:firstLineChars="160"/>
        <w:rPr>
          <w:rFonts w:hint="eastAsia" w:ascii="宋体" w:hAnsi="宋体" w:eastAsia="宋体" w:cs="宋体"/>
          <w:bCs/>
          <w:color w:val="auto"/>
          <w:sz w:val="28"/>
          <w:szCs w:val="28"/>
          <w:highlight w:val="none"/>
        </w:rPr>
      </w:pPr>
    </w:p>
    <w:p w14:paraId="25741506">
      <w:pPr>
        <w:numPr>
          <w:ilvl w:val="0"/>
          <w:numId w:val="7"/>
        </w:numPr>
        <w:wordWrap w:val="0"/>
        <w:spacing w:line="400" w:lineRule="exact"/>
        <w:ind w:left="420" w:leftChars="200" w:firstLine="450" w:firstLineChars="16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其他有效证明材料</w:t>
      </w:r>
    </w:p>
    <w:p w14:paraId="3FDBE9FC">
      <w:pPr>
        <w:pStyle w:val="26"/>
        <w:wordWrap w:val="0"/>
        <w:ind w:left="420" w:leftChars="200" w:firstLine="386" w:firstLineChars="160"/>
        <w:rPr>
          <w:rFonts w:hint="eastAsia" w:ascii="宋体" w:hAnsi="宋体" w:eastAsia="宋体" w:cs="宋体"/>
          <w:color w:val="auto"/>
          <w:highlight w:val="none"/>
        </w:rPr>
      </w:pPr>
    </w:p>
    <w:p w14:paraId="177901AA">
      <w:pPr>
        <w:tabs>
          <w:tab w:val="left" w:pos="5040"/>
        </w:tabs>
        <w:wordWrap w:val="0"/>
        <w:spacing w:line="400" w:lineRule="exact"/>
        <w:ind w:left="420" w:leftChars="200" w:firstLine="336" w:firstLineChars="160"/>
        <w:rPr>
          <w:rFonts w:hint="eastAsia" w:ascii="宋体" w:hAnsi="宋体" w:eastAsia="宋体" w:cs="宋体"/>
          <w:color w:val="auto"/>
          <w:szCs w:val="21"/>
          <w:highlight w:val="none"/>
        </w:rPr>
      </w:pPr>
    </w:p>
    <w:p w14:paraId="13F98905">
      <w:pPr>
        <w:pStyle w:val="7"/>
        <w:wordWrap w:val="0"/>
        <w:ind w:left="420" w:leftChars="200" w:firstLine="681" w:firstLineChars="160"/>
        <w:rPr>
          <w:rFonts w:hint="eastAsia" w:ascii="宋体" w:hAnsi="宋体" w:eastAsia="宋体" w:cs="宋体"/>
          <w:color w:val="auto"/>
          <w:szCs w:val="21"/>
          <w:highlight w:val="none"/>
        </w:rPr>
      </w:pPr>
    </w:p>
    <w:p w14:paraId="1A8F89B6">
      <w:pPr>
        <w:pStyle w:val="7"/>
        <w:wordWrap w:val="0"/>
        <w:ind w:left="420" w:leftChars="200" w:firstLine="681" w:firstLineChars="160"/>
        <w:rPr>
          <w:rFonts w:hint="eastAsia" w:ascii="宋体" w:hAnsi="宋体" w:eastAsia="宋体" w:cs="宋体"/>
          <w:color w:val="auto"/>
          <w:szCs w:val="21"/>
          <w:highlight w:val="none"/>
        </w:rPr>
      </w:pPr>
    </w:p>
    <w:p w14:paraId="1EF5D767">
      <w:pPr>
        <w:pStyle w:val="7"/>
        <w:wordWrap w:val="0"/>
        <w:ind w:left="420" w:leftChars="200" w:firstLine="681" w:firstLineChars="160"/>
        <w:rPr>
          <w:rFonts w:hint="eastAsia" w:ascii="宋体" w:hAnsi="宋体" w:eastAsia="宋体" w:cs="宋体"/>
          <w:color w:val="auto"/>
          <w:szCs w:val="21"/>
          <w:highlight w:val="none"/>
        </w:rPr>
      </w:pPr>
    </w:p>
    <w:p w14:paraId="7ABF435B">
      <w:pPr>
        <w:pStyle w:val="7"/>
        <w:wordWrap w:val="0"/>
        <w:ind w:left="420" w:leftChars="200" w:firstLine="681" w:firstLineChars="160"/>
        <w:rPr>
          <w:rFonts w:hint="eastAsia" w:ascii="宋体" w:hAnsi="宋体" w:eastAsia="宋体" w:cs="宋体"/>
          <w:color w:val="auto"/>
          <w:szCs w:val="21"/>
          <w:highlight w:val="none"/>
        </w:rPr>
      </w:pPr>
    </w:p>
    <w:p w14:paraId="5DDC0C07">
      <w:pPr>
        <w:wordWrap w:val="0"/>
        <w:ind w:left="420" w:leftChars="200" w:firstLine="336" w:firstLineChars="160"/>
        <w:rPr>
          <w:rFonts w:hint="eastAsia" w:ascii="宋体" w:hAnsi="宋体" w:eastAsia="宋体" w:cs="宋体"/>
          <w:color w:val="auto"/>
          <w:szCs w:val="21"/>
          <w:highlight w:val="none"/>
        </w:rPr>
      </w:pPr>
    </w:p>
    <w:p w14:paraId="5423F4B5">
      <w:pPr>
        <w:pStyle w:val="26"/>
        <w:wordWrap w:val="0"/>
        <w:ind w:left="420" w:leftChars="200" w:firstLine="386" w:firstLineChars="160"/>
        <w:rPr>
          <w:rFonts w:hint="eastAsia" w:ascii="宋体" w:hAnsi="宋体" w:eastAsia="宋体" w:cs="宋体"/>
          <w:color w:val="auto"/>
          <w:szCs w:val="21"/>
          <w:highlight w:val="none"/>
        </w:rPr>
      </w:pPr>
    </w:p>
    <w:p w14:paraId="7F6A7A19">
      <w:pPr>
        <w:pStyle w:val="26"/>
        <w:wordWrap w:val="0"/>
        <w:ind w:left="420" w:leftChars="200" w:firstLine="386" w:firstLineChars="160"/>
        <w:rPr>
          <w:rFonts w:hint="eastAsia" w:ascii="宋体" w:hAnsi="宋体" w:eastAsia="宋体" w:cs="宋体"/>
          <w:color w:val="auto"/>
          <w:szCs w:val="21"/>
          <w:highlight w:val="none"/>
        </w:rPr>
      </w:pPr>
    </w:p>
    <w:p w14:paraId="58506797">
      <w:pPr>
        <w:pStyle w:val="26"/>
        <w:wordWrap w:val="0"/>
        <w:ind w:left="420" w:leftChars="200" w:firstLine="386" w:firstLineChars="160"/>
        <w:rPr>
          <w:rFonts w:hint="eastAsia" w:ascii="宋体" w:hAnsi="宋体" w:eastAsia="宋体" w:cs="宋体"/>
          <w:color w:val="auto"/>
          <w:szCs w:val="21"/>
          <w:highlight w:val="none"/>
        </w:rPr>
      </w:pPr>
    </w:p>
    <w:p w14:paraId="56971B92">
      <w:pPr>
        <w:pStyle w:val="26"/>
        <w:wordWrap w:val="0"/>
        <w:ind w:left="420" w:leftChars="200" w:firstLine="386" w:firstLineChars="160"/>
        <w:rPr>
          <w:rFonts w:hint="eastAsia" w:ascii="宋体" w:hAnsi="宋体" w:eastAsia="宋体" w:cs="宋体"/>
          <w:color w:val="auto"/>
          <w:szCs w:val="21"/>
          <w:highlight w:val="none"/>
        </w:rPr>
      </w:pPr>
    </w:p>
    <w:p w14:paraId="05D12F75">
      <w:pPr>
        <w:pStyle w:val="26"/>
        <w:wordWrap w:val="0"/>
        <w:ind w:left="420" w:leftChars="200" w:firstLine="386" w:firstLineChars="160"/>
        <w:rPr>
          <w:rFonts w:hint="eastAsia" w:ascii="宋体" w:hAnsi="宋体" w:eastAsia="宋体" w:cs="宋体"/>
          <w:color w:val="auto"/>
          <w:szCs w:val="21"/>
          <w:highlight w:val="none"/>
        </w:rPr>
      </w:pPr>
    </w:p>
    <w:p w14:paraId="0AA66C92">
      <w:pPr>
        <w:pStyle w:val="26"/>
        <w:wordWrap w:val="0"/>
        <w:ind w:left="420" w:leftChars="200" w:firstLine="386" w:firstLineChars="160"/>
        <w:rPr>
          <w:rFonts w:hint="eastAsia" w:ascii="宋体" w:hAnsi="宋体" w:eastAsia="宋体" w:cs="宋体"/>
          <w:color w:val="auto"/>
          <w:szCs w:val="21"/>
          <w:highlight w:val="none"/>
        </w:rPr>
      </w:pPr>
    </w:p>
    <w:p w14:paraId="12DCBB49">
      <w:pPr>
        <w:pStyle w:val="26"/>
        <w:wordWrap w:val="0"/>
        <w:ind w:left="420" w:leftChars="200" w:firstLine="386" w:firstLineChars="160"/>
        <w:rPr>
          <w:rFonts w:hint="eastAsia" w:ascii="宋体" w:hAnsi="宋体" w:eastAsia="宋体" w:cs="宋体"/>
          <w:color w:val="auto"/>
          <w:szCs w:val="21"/>
          <w:highlight w:val="none"/>
        </w:rPr>
      </w:pPr>
    </w:p>
    <w:p w14:paraId="178C6C8E">
      <w:pPr>
        <w:pStyle w:val="26"/>
        <w:wordWrap w:val="0"/>
        <w:ind w:left="420" w:leftChars="200" w:firstLine="386" w:firstLineChars="160"/>
        <w:jc w:val="both"/>
        <w:rPr>
          <w:rFonts w:hint="eastAsia" w:ascii="宋体" w:hAnsi="宋体" w:eastAsia="宋体" w:cs="宋体"/>
          <w:color w:val="auto"/>
          <w:szCs w:val="21"/>
          <w:highlight w:val="none"/>
        </w:rPr>
      </w:pPr>
    </w:p>
    <w:p w14:paraId="4EF31541">
      <w:pPr>
        <w:pStyle w:val="26"/>
        <w:wordWrap w:val="0"/>
        <w:ind w:left="420" w:leftChars="200" w:firstLine="386" w:firstLineChars="160"/>
        <w:rPr>
          <w:rFonts w:hint="eastAsia" w:ascii="宋体" w:hAnsi="宋体" w:eastAsia="宋体" w:cs="宋体"/>
          <w:color w:val="auto"/>
          <w:szCs w:val="21"/>
          <w:highlight w:val="none"/>
        </w:rPr>
      </w:pPr>
    </w:p>
    <w:p w14:paraId="4C8D1431">
      <w:pPr>
        <w:pStyle w:val="4"/>
        <w:wordWrap w:val="0"/>
        <w:ind w:left="420" w:leftChars="200" w:firstLine="514" w:firstLineChars="160"/>
        <w:jc w:val="center"/>
        <w:rPr>
          <w:rFonts w:hint="eastAsia" w:ascii="宋体" w:hAnsi="宋体" w:eastAsia="宋体" w:cs="宋体"/>
          <w:color w:val="auto"/>
          <w:sz w:val="32"/>
          <w:szCs w:val="32"/>
          <w:highlight w:val="none"/>
        </w:rPr>
      </w:pPr>
      <w:bookmarkStart w:id="1780" w:name="_Toc7185"/>
      <w:bookmarkStart w:id="1781" w:name="_Toc11067"/>
      <w:bookmarkStart w:id="1782" w:name="_Toc497927071"/>
      <w:r>
        <w:rPr>
          <w:rFonts w:hint="eastAsia" w:ascii="宋体" w:hAnsi="宋体" w:eastAsia="宋体" w:cs="宋体"/>
          <w:color w:val="auto"/>
          <w:sz w:val="32"/>
          <w:szCs w:val="32"/>
          <w:highlight w:val="none"/>
        </w:rPr>
        <w:t>（一）资格性响应证明材料目录</w:t>
      </w:r>
      <w:bookmarkEnd w:id="1780"/>
      <w:bookmarkEnd w:id="1781"/>
      <w:bookmarkEnd w:id="1782"/>
    </w:p>
    <w:p w14:paraId="27749F65">
      <w:pPr>
        <w:keepNext w:val="0"/>
        <w:keepLines w:val="0"/>
        <w:pageBreakBefore w:val="0"/>
        <w:widowControl w:val="0"/>
        <w:tabs>
          <w:tab w:val="left" w:pos="1305"/>
        </w:tabs>
        <w:kinsoku/>
        <w:wordWrap w:val="0"/>
        <w:overflowPunct/>
        <w:topLinePunct w:val="0"/>
        <w:autoSpaceDE/>
        <w:autoSpaceDN/>
        <w:bidi w:val="0"/>
        <w:adjustRightInd/>
        <w:snapToGrid/>
        <w:spacing w:line="380" w:lineRule="exact"/>
        <w:ind w:left="0" w:leftChars="0" w:firstLine="420" w:firstLineChars="2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（1）供应商相应的法定代表人、负责人、自然人身份证正反两面复印件</w:t>
      </w:r>
      <w:r>
        <w:rPr>
          <w:rFonts w:hint="eastAsia" w:ascii="宋体" w:hAnsi="宋体" w:eastAsia="宋体" w:cs="宋体"/>
          <w:b/>
          <w:color w:val="auto"/>
          <w:kern w:val="0"/>
          <w:szCs w:val="21"/>
          <w:highlight w:val="none"/>
        </w:rPr>
        <w:t>（必须提供）</w:t>
      </w:r>
    </w:p>
    <w:p w14:paraId="6FC28200">
      <w:pPr>
        <w:keepNext w:val="0"/>
        <w:keepLines w:val="0"/>
        <w:pageBreakBefore w:val="0"/>
        <w:widowControl w:val="0"/>
        <w:tabs>
          <w:tab w:val="left" w:pos="1305"/>
        </w:tabs>
        <w:kinsoku/>
        <w:wordWrap w:val="0"/>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供应商的授权委托书原件、委托代理人身份证正反面复印件以及由县级以上（含县级）社会养老保险经办机构出具的供应商为委托代理人缴纳的响应文件递交截止时间前半年内任意连续三个月社保证明复印件</w:t>
      </w:r>
      <w:r>
        <w:rPr>
          <w:rFonts w:hint="eastAsia" w:ascii="宋体" w:hAnsi="宋体" w:eastAsia="宋体" w:cs="宋体"/>
          <w:color w:val="auto"/>
          <w:highlight w:val="none"/>
        </w:rPr>
        <w:t>（属于事业单位编制以及下设机构不用缴纳社保或者统一由上级部门或当地财政部门缴纳社保的，提供上一级缴纳社保证明或者是提供相关文件说明；如为退休返聘人员，提供其退休证及返聘合同原件扫描件</w:t>
      </w:r>
      <w:r>
        <w:rPr>
          <w:rFonts w:hint="eastAsia" w:ascii="宋体" w:hAnsi="宋体" w:eastAsia="宋体" w:cs="宋体"/>
          <w:color w:val="auto"/>
          <w:szCs w:val="21"/>
          <w:highlight w:val="none"/>
        </w:rPr>
        <w:t>；如为近期新聘员工的，以提供劳动合同证明材料为准）</w:t>
      </w:r>
      <w:r>
        <w:rPr>
          <w:rFonts w:hint="eastAsia" w:ascii="宋体" w:hAnsi="宋体" w:eastAsia="宋体" w:cs="宋体"/>
          <w:bCs/>
          <w:color w:val="auto"/>
          <w:kern w:val="0"/>
          <w:szCs w:val="21"/>
          <w:highlight w:val="none"/>
        </w:rPr>
        <w:t>，除供应商为以下二种情形的：</w:t>
      </w:r>
    </w:p>
    <w:p w14:paraId="74D50D91">
      <w:pPr>
        <w:keepNext w:val="0"/>
        <w:keepLines w:val="0"/>
        <w:pageBreakBefore w:val="0"/>
        <w:widowControl w:val="0"/>
        <w:tabs>
          <w:tab w:val="left" w:pos="1305"/>
        </w:tabs>
        <w:kinsoku/>
        <w:wordWrap w:val="0"/>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①如供应商为截标时间前60日以内成立的公司，可以提供供应商与委托代理人签订的劳动合同复印件代替社保证明复印件；</w:t>
      </w:r>
    </w:p>
    <w:p w14:paraId="254FFB21">
      <w:pPr>
        <w:keepNext w:val="0"/>
        <w:keepLines w:val="0"/>
        <w:pageBreakBefore w:val="0"/>
        <w:widowControl w:val="0"/>
        <w:tabs>
          <w:tab w:val="left" w:pos="1305"/>
        </w:tabs>
        <w:kinsoku/>
        <w:wordWrap w:val="0"/>
        <w:overflowPunct/>
        <w:topLinePunct w:val="0"/>
        <w:autoSpaceDE/>
        <w:autoSpaceDN/>
        <w:bidi w:val="0"/>
        <w:adjustRightInd/>
        <w:snapToGrid/>
        <w:spacing w:line="360" w:lineRule="exact"/>
        <w:ind w:left="0" w:leftChars="0" w:firstLine="420" w:firstLineChars="2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②如委托代理人为免缴纳社保人员，提供免缴纳社保的证明材料复印件及供应商与委托代理人签订的劳动合同复印件代替社保证明复印件。</w:t>
      </w:r>
    </w:p>
    <w:p w14:paraId="145FCCB5">
      <w:pPr>
        <w:keepNext w:val="0"/>
        <w:keepLines w:val="0"/>
        <w:pageBreakBefore w:val="0"/>
        <w:widowControl w:val="0"/>
        <w:tabs>
          <w:tab w:val="left" w:pos="1305"/>
        </w:tabs>
        <w:kinsoku/>
        <w:wordWrap w:val="0"/>
        <w:overflowPunct/>
        <w:topLinePunct w:val="0"/>
        <w:autoSpaceDE/>
        <w:autoSpaceDN/>
        <w:bidi w:val="0"/>
        <w:adjustRightInd/>
        <w:snapToGrid/>
        <w:spacing w:line="360" w:lineRule="exact"/>
        <w:ind w:left="0" w:leftChars="0" w:firstLine="422" w:firstLineChars="200"/>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【属自然人的应提供由县级以上（含县级）社会养老保险经办机构出具的自然人本人及委托代理人所缴纳的响应文件递交截止时间前半年内任意连续三个月社保证明复印件】（委托代理时必须提供）</w:t>
      </w:r>
    </w:p>
    <w:p w14:paraId="02128C6A">
      <w:pPr>
        <w:keepNext w:val="0"/>
        <w:keepLines w:val="0"/>
        <w:pageBreakBefore w:val="0"/>
        <w:widowControl w:val="0"/>
        <w:tabs>
          <w:tab w:val="left" w:pos="1305"/>
        </w:tabs>
        <w:kinsoku/>
        <w:wordWrap w:val="0"/>
        <w:overflowPunct/>
        <w:topLinePunct w:val="0"/>
        <w:autoSpaceDE/>
        <w:autoSpaceDN/>
        <w:bidi w:val="0"/>
        <w:adjustRightInd/>
        <w:snapToGrid/>
        <w:spacing w:line="380" w:lineRule="exact"/>
        <w:ind w:left="0" w:leftChars="0" w:firstLine="420" w:firstLineChars="200"/>
        <w:textAlignment w:val="auto"/>
        <w:rPr>
          <w:rFonts w:hint="eastAsia" w:ascii="宋体" w:hAnsi="宋体" w:eastAsia="宋体" w:cs="宋体"/>
          <w:b/>
          <w:color w:val="auto"/>
          <w:kern w:val="0"/>
          <w:szCs w:val="21"/>
          <w:highlight w:val="none"/>
        </w:rPr>
      </w:pPr>
      <w:r>
        <w:rPr>
          <w:rFonts w:hint="eastAsia" w:ascii="宋体" w:hAnsi="宋体" w:eastAsia="宋体" w:cs="宋体"/>
          <w:bCs/>
          <w:color w:val="auto"/>
          <w:kern w:val="0"/>
          <w:szCs w:val="21"/>
          <w:highlight w:val="none"/>
        </w:rPr>
        <w:t>（3）供应商的法人或者其他组织营业执照等证明文件复印件</w:t>
      </w:r>
      <w:r>
        <w:rPr>
          <w:rFonts w:hint="eastAsia" w:ascii="宋体" w:hAnsi="宋体" w:eastAsia="宋体" w:cs="宋体"/>
          <w:b/>
          <w:color w:val="auto"/>
          <w:kern w:val="0"/>
          <w:szCs w:val="21"/>
          <w:highlight w:val="none"/>
        </w:rPr>
        <w:t>（必须提供，自然人除外）</w:t>
      </w:r>
    </w:p>
    <w:p w14:paraId="40B35A85">
      <w:pPr>
        <w:keepNext w:val="0"/>
        <w:keepLines w:val="0"/>
        <w:pageBreakBefore w:val="0"/>
        <w:widowControl w:val="0"/>
        <w:tabs>
          <w:tab w:val="left" w:pos="1305"/>
        </w:tabs>
        <w:kinsoku/>
        <w:wordWrap w:val="0"/>
        <w:overflowPunct/>
        <w:topLinePunct w:val="0"/>
        <w:autoSpaceDE/>
        <w:autoSpaceDN/>
        <w:bidi w:val="0"/>
        <w:adjustRightInd/>
        <w:snapToGrid/>
        <w:spacing w:line="380" w:lineRule="exact"/>
        <w:ind w:left="0" w:leftChars="0" w:firstLine="422" w:firstLineChars="200"/>
        <w:textAlignment w:val="auto"/>
        <w:rPr>
          <w:rFonts w:hint="eastAsia" w:ascii="宋体" w:hAnsi="宋体" w:eastAsia="宋体" w:cs="宋体"/>
          <w:bCs/>
          <w:color w:val="auto"/>
          <w:kern w:val="0"/>
          <w:szCs w:val="21"/>
          <w:highlight w:val="none"/>
          <w:lang w:eastAsia="zh-CN"/>
        </w:rPr>
      </w:pPr>
      <w:r>
        <w:rPr>
          <w:rFonts w:hint="eastAsia" w:ascii="宋体" w:hAnsi="宋体" w:eastAsia="宋体" w:cs="宋体"/>
          <w:b/>
          <w:color w:val="auto"/>
          <w:kern w:val="0"/>
          <w:szCs w:val="21"/>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r>
        <w:rPr>
          <w:rFonts w:hint="eastAsia" w:ascii="宋体" w:hAnsi="宋体" w:cs="宋体"/>
          <w:b/>
          <w:color w:val="auto"/>
          <w:kern w:val="0"/>
          <w:szCs w:val="21"/>
          <w:highlight w:val="none"/>
          <w:lang w:eastAsia="zh-CN"/>
        </w:rPr>
        <w:t>。</w:t>
      </w:r>
    </w:p>
    <w:p w14:paraId="7056E05B">
      <w:pPr>
        <w:keepNext w:val="0"/>
        <w:keepLines w:val="0"/>
        <w:pageBreakBefore w:val="0"/>
        <w:widowControl w:val="0"/>
        <w:tabs>
          <w:tab w:val="left" w:pos="1305"/>
        </w:tabs>
        <w:kinsoku/>
        <w:wordWrap w:val="0"/>
        <w:overflowPunct/>
        <w:topLinePunct w:val="0"/>
        <w:autoSpaceDE/>
        <w:autoSpaceDN/>
        <w:bidi w:val="0"/>
        <w:adjustRightInd/>
        <w:snapToGrid/>
        <w:spacing w:line="380" w:lineRule="exact"/>
        <w:ind w:left="0" w:leftChars="0" w:firstLine="420" w:firstLineChars="200"/>
        <w:textAlignment w:val="auto"/>
        <w:rPr>
          <w:rFonts w:hint="eastAsia" w:ascii="宋体" w:hAnsi="宋体" w:eastAsia="宋体" w:cs="宋体"/>
          <w:b/>
          <w:color w:val="auto"/>
          <w:kern w:val="0"/>
          <w:szCs w:val="21"/>
          <w:highlight w:val="none"/>
        </w:rPr>
      </w:pPr>
      <w:r>
        <w:rPr>
          <w:rFonts w:hint="eastAsia" w:ascii="宋体" w:hAnsi="宋体" w:eastAsia="宋体" w:cs="宋体"/>
          <w:bCs/>
          <w:color w:val="auto"/>
          <w:kern w:val="0"/>
          <w:szCs w:val="21"/>
          <w:highlight w:val="none"/>
        </w:rPr>
        <w:t>（4）供应商有效的资质证书、安全生产许可证复印件</w:t>
      </w:r>
      <w:r>
        <w:rPr>
          <w:rFonts w:hint="eastAsia" w:ascii="宋体" w:hAnsi="宋体" w:eastAsia="宋体" w:cs="宋体"/>
          <w:b/>
          <w:color w:val="auto"/>
          <w:kern w:val="0"/>
          <w:szCs w:val="21"/>
          <w:highlight w:val="none"/>
        </w:rPr>
        <w:t>（必须提供）</w:t>
      </w:r>
    </w:p>
    <w:p w14:paraId="492BE2CF">
      <w:pPr>
        <w:keepNext w:val="0"/>
        <w:keepLines w:val="0"/>
        <w:pageBreakBefore w:val="0"/>
        <w:widowControl w:val="0"/>
        <w:tabs>
          <w:tab w:val="left" w:pos="1305"/>
        </w:tabs>
        <w:kinsoku/>
        <w:wordWrap w:val="0"/>
        <w:overflowPunct/>
        <w:topLinePunct w:val="0"/>
        <w:autoSpaceDE/>
        <w:autoSpaceDN/>
        <w:bidi w:val="0"/>
        <w:adjustRightInd/>
        <w:snapToGrid/>
        <w:spacing w:line="380" w:lineRule="exact"/>
        <w:ind w:left="0" w:leftChars="0" w:firstLine="420" w:firstLineChars="2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（5）拟投入本项目项目经理简历表</w:t>
      </w:r>
      <w:r>
        <w:rPr>
          <w:rFonts w:hint="eastAsia" w:ascii="宋体" w:hAnsi="宋体" w:eastAsia="宋体" w:cs="宋体"/>
          <w:b/>
          <w:color w:val="auto"/>
          <w:kern w:val="0"/>
          <w:szCs w:val="21"/>
          <w:highlight w:val="none"/>
        </w:rPr>
        <w:t>（必须提供）</w:t>
      </w:r>
    </w:p>
    <w:p w14:paraId="18777411">
      <w:pPr>
        <w:keepNext w:val="0"/>
        <w:keepLines w:val="0"/>
        <w:pageBreakBefore w:val="0"/>
        <w:widowControl w:val="0"/>
        <w:tabs>
          <w:tab w:val="left" w:pos="1305"/>
        </w:tabs>
        <w:kinsoku/>
        <w:wordWrap w:val="0"/>
        <w:overflowPunct/>
        <w:topLinePunct w:val="0"/>
        <w:autoSpaceDE/>
        <w:autoSpaceDN/>
        <w:bidi w:val="0"/>
        <w:adjustRightInd/>
        <w:snapToGrid/>
        <w:spacing w:line="380" w:lineRule="exact"/>
        <w:ind w:left="0" w:leftChars="0" w:firstLine="420" w:firstLineChars="2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（6）供应商近半年内任意一个月或任一季度依法缴纳税收的证明材料[增值税缴纳发票(税收完税证明)或企业所得税完税证明或税务部门出具的无欠税证明或免税证明]复印件</w:t>
      </w:r>
      <w:r>
        <w:rPr>
          <w:rFonts w:hint="eastAsia" w:ascii="宋体" w:hAnsi="宋体" w:eastAsia="宋体" w:cs="宋体"/>
          <w:b/>
          <w:color w:val="auto"/>
          <w:kern w:val="0"/>
          <w:szCs w:val="21"/>
          <w:highlight w:val="none"/>
        </w:rPr>
        <w:t>（必须提供）</w:t>
      </w:r>
      <w:r>
        <w:rPr>
          <w:rFonts w:hint="eastAsia" w:ascii="宋体" w:hAnsi="宋体" w:eastAsia="宋体" w:cs="宋体"/>
          <w:bCs/>
          <w:color w:val="auto"/>
          <w:kern w:val="0"/>
          <w:szCs w:val="21"/>
          <w:highlight w:val="none"/>
        </w:rPr>
        <w:t xml:space="preserve">；  </w:t>
      </w:r>
    </w:p>
    <w:p w14:paraId="5A322891">
      <w:pPr>
        <w:keepNext w:val="0"/>
        <w:keepLines w:val="0"/>
        <w:pageBreakBefore w:val="0"/>
        <w:widowControl w:val="0"/>
        <w:tabs>
          <w:tab w:val="left" w:pos="1305"/>
        </w:tabs>
        <w:kinsoku/>
        <w:wordWrap w:val="0"/>
        <w:overflowPunct/>
        <w:topLinePunct w:val="0"/>
        <w:autoSpaceDE/>
        <w:autoSpaceDN/>
        <w:bidi w:val="0"/>
        <w:adjustRightInd/>
        <w:snapToGrid/>
        <w:spacing w:line="380" w:lineRule="exact"/>
        <w:ind w:left="0" w:leftChars="0" w:firstLine="420" w:firstLineChars="2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（7）供应商参加政府采购活动前3年内在经营活动中没有重大违法记录及有关信用信息的书面声明</w:t>
      </w:r>
      <w:r>
        <w:rPr>
          <w:rFonts w:hint="eastAsia" w:ascii="宋体" w:hAnsi="宋体" w:eastAsia="宋体" w:cs="宋体"/>
          <w:b/>
          <w:color w:val="auto"/>
          <w:kern w:val="0"/>
          <w:szCs w:val="21"/>
          <w:highlight w:val="none"/>
        </w:rPr>
        <w:t>（必须提供）</w:t>
      </w:r>
    </w:p>
    <w:p w14:paraId="5757DC31">
      <w:pPr>
        <w:keepNext w:val="0"/>
        <w:keepLines w:val="0"/>
        <w:pageBreakBefore w:val="0"/>
        <w:widowControl w:val="0"/>
        <w:tabs>
          <w:tab w:val="left" w:pos="1305"/>
        </w:tabs>
        <w:kinsoku/>
        <w:wordWrap w:val="0"/>
        <w:overflowPunct/>
        <w:topLinePunct w:val="0"/>
        <w:autoSpaceDE/>
        <w:autoSpaceDN/>
        <w:bidi w:val="0"/>
        <w:adjustRightInd/>
        <w:snapToGrid/>
        <w:spacing w:line="380" w:lineRule="exact"/>
        <w:ind w:left="0" w:leftChars="0" w:firstLine="420" w:firstLineChars="200"/>
        <w:textAlignment w:val="auto"/>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rPr>
        <w:t>（8）供应商参加本项目无围标串标行为的承诺函</w:t>
      </w:r>
      <w:r>
        <w:rPr>
          <w:rFonts w:hint="eastAsia" w:ascii="宋体" w:hAnsi="宋体" w:eastAsia="宋体" w:cs="宋体"/>
          <w:b/>
          <w:bCs w:val="0"/>
          <w:color w:val="auto"/>
          <w:kern w:val="0"/>
          <w:szCs w:val="21"/>
          <w:highlight w:val="none"/>
        </w:rPr>
        <w:t>（必须提供）</w:t>
      </w:r>
    </w:p>
    <w:p w14:paraId="624CDE32">
      <w:pPr>
        <w:keepNext w:val="0"/>
        <w:keepLines w:val="0"/>
        <w:pageBreakBefore w:val="0"/>
        <w:widowControl w:val="0"/>
        <w:tabs>
          <w:tab w:val="left" w:pos="1305"/>
        </w:tabs>
        <w:kinsoku/>
        <w:wordWrap w:val="0"/>
        <w:overflowPunct/>
        <w:topLinePunct w:val="0"/>
        <w:autoSpaceDE/>
        <w:autoSpaceDN/>
        <w:bidi w:val="0"/>
        <w:adjustRightInd/>
        <w:snapToGrid/>
        <w:spacing w:line="380" w:lineRule="exact"/>
        <w:ind w:left="0" w:leftChars="0" w:firstLine="420" w:firstLineChars="200"/>
        <w:textAlignment w:val="auto"/>
        <w:rPr>
          <w:rFonts w:hint="eastAsia" w:ascii="宋体" w:hAnsi="宋体" w:eastAsia="宋体" w:cs="宋体"/>
          <w:bCs/>
          <w:color w:val="auto"/>
          <w:kern w:val="0"/>
          <w:szCs w:val="21"/>
          <w:highlight w:val="none"/>
          <w:lang w:eastAsia="zh-CN"/>
        </w:rPr>
      </w:pPr>
      <w:r>
        <w:rPr>
          <w:rFonts w:hint="eastAsia" w:ascii="宋体" w:hAnsi="宋体" w:eastAsia="宋体" w:cs="宋体"/>
          <w:bCs/>
          <w:color w:val="auto"/>
          <w:kern w:val="0"/>
          <w:szCs w:val="21"/>
          <w:highlight w:val="none"/>
          <w:lang w:val="en-US" w:eastAsia="zh-CN"/>
        </w:rPr>
        <w:t>（9）供应商如为符合政策要求的中小企业且承接本项目全部工程的，提供《中小企业声明函》；供应商如属于监狱企业且承接本项目全部工程的，提供由省级以上监狱管理局、戒毒管理局(含新疆生产建设兵团)出具的属于监狱企业的证明文件；供应商如属于符合条件的残疾人福利性单位且承接本项目全部工程的，提供《残疾人福利性单位声明函》</w:t>
      </w:r>
      <w:r>
        <w:rPr>
          <w:rFonts w:hint="eastAsia" w:ascii="宋体" w:hAnsi="宋体" w:eastAsia="宋体" w:cs="宋体"/>
          <w:b/>
          <w:bCs w:val="0"/>
          <w:color w:val="auto"/>
          <w:kern w:val="0"/>
          <w:szCs w:val="21"/>
          <w:highlight w:val="none"/>
          <w:lang w:val="en-US" w:eastAsia="zh-CN"/>
        </w:rPr>
        <w:t>（必须提供）</w:t>
      </w:r>
    </w:p>
    <w:p w14:paraId="748D275C">
      <w:pPr>
        <w:wordWrap w:val="0"/>
        <w:spacing w:line="440" w:lineRule="atLeas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r>
        <w:rPr>
          <w:rFonts w:hint="eastAsia" w:ascii="宋体" w:hAnsi="宋体" w:eastAsia="宋体" w:cs="宋体"/>
          <w:b/>
          <w:color w:val="auto"/>
          <w:sz w:val="28"/>
          <w:szCs w:val="28"/>
          <w:highlight w:val="none"/>
        </w:rPr>
        <w:t>1、供应商相应的法定代表人、负责人、自然人身份证正反两面复印件（必须提供）</w:t>
      </w:r>
    </w:p>
    <w:p w14:paraId="6E74AA8D">
      <w:pPr>
        <w:pStyle w:val="3"/>
        <w:wordWrap w:val="0"/>
        <w:ind w:left="420" w:leftChars="200" w:firstLine="514" w:firstLineChars="160"/>
        <w:rPr>
          <w:rFonts w:hint="eastAsia" w:ascii="宋体" w:hAnsi="宋体" w:eastAsia="宋体" w:cs="宋体"/>
          <w:color w:val="auto"/>
          <w:highlight w:val="none"/>
        </w:rPr>
      </w:pPr>
    </w:p>
    <w:p w14:paraId="55F06359">
      <w:pPr>
        <w:wordWrap w:val="0"/>
        <w:ind w:left="420" w:leftChars="200" w:firstLine="336" w:firstLineChars="160"/>
        <w:rPr>
          <w:rFonts w:hint="eastAsia" w:ascii="宋体" w:hAnsi="宋体" w:eastAsia="宋体" w:cs="宋体"/>
          <w:color w:val="auto"/>
          <w:highlight w:val="none"/>
        </w:rPr>
      </w:pPr>
    </w:p>
    <w:p w14:paraId="0E0910A3">
      <w:pPr>
        <w:wordWrap w:val="0"/>
        <w:spacing w:line="440" w:lineRule="atLeast"/>
        <w:ind w:left="420" w:leftChars="200" w:firstLine="450" w:firstLineChars="160"/>
        <w:rPr>
          <w:rFonts w:hint="eastAsia" w:ascii="宋体" w:hAnsi="宋体" w:eastAsia="宋体" w:cs="宋体"/>
          <w:b/>
          <w:color w:val="auto"/>
          <w:sz w:val="28"/>
          <w:szCs w:val="28"/>
          <w:highlight w:val="none"/>
        </w:rPr>
      </w:pPr>
    </w:p>
    <w:p w14:paraId="16B71EF7">
      <w:pPr>
        <w:pStyle w:val="2"/>
        <w:wordWrap w:val="0"/>
        <w:ind w:left="420" w:leftChars="200" w:firstLine="450" w:firstLineChars="160"/>
        <w:rPr>
          <w:rFonts w:hint="eastAsia" w:ascii="宋体" w:hAnsi="宋体" w:eastAsia="宋体" w:cs="宋体"/>
          <w:color w:val="auto"/>
          <w:sz w:val="28"/>
          <w:szCs w:val="28"/>
          <w:highlight w:val="none"/>
        </w:rPr>
      </w:pPr>
    </w:p>
    <w:p w14:paraId="32AF42EC">
      <w:pPr>
        <w:wordWrap w:val="0"/>
        <w:ind w:left="420" w:leftChars="200" w:firstLine="450" w:firstLineChars="160"/>
        <w:rPr>
          <w:rFonts w:hint="eastAsia" w:ascii="宋体" w:hAnsi="宋体" w:eastAsia="宋体" w:cs="宋体"/>
          <w:b/>
          <w:color w:val="auto"/>
          <w:sz w:val="28"/>
          <w:szCs w:val="28"/>
          <w:highlight w:val="none"/>
        </w:rPr>
      </w:pPr>
    </w:p>
    <w:p w14:paraId="7033975F">
      <w:pPr>
        <w:wordWrap w:val="0"/>
        <w:spacing w:line="440" w:lineRule="atLeas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2、供应商的授权委托书原件、委托代理人身份证正反面复印件以及由县级以上（含县级）社会养老保险经办机构出具的供应商为委托代理人缴纳的响应文件递交截止时间前半年内任意连续三个月社保证明复印件（属于事业单位编制以及下设机构不用缴纳社保或者统一由上级部门或当地财政部门缴纳社保的，提供上一级缴纳社保证明或者是提供相关文件说明；如为退休返聘人员，提供其退休证及返聘合同原件扫描件；如为近期新聘员工的，以提供劳动合同证明材料为准），除供应商为以下二种情形的：</w:t>
      </w:r>
    </w:p>
    <w:p w14:paraId="4E850274">
      <w:pPr>
        <w:tabs>
          <w:tab w:val="left" w:pos="1305"/>
        </w:tabs>
        <w:wordWrap w:val="0"/>
        <w:spacing w:line="380" w:lineRule="exac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①如供应商为截标时间前60日以内成立的公司，可以提供供应商与委托代理人签订的劳动合同复印件代替社保证明复印件；</w:t>
      </w:r>
    </w:p>
    <w:p w14:paraId="3B8600FC">
      <w:pPr>
        <w:tabs>
          <w:tab w:val="left" w:pos="1305"/>
        </w:tabs>
        <w:wordWrap w:val="0"/>
        <w:spacing w:line="380" w:lineRule="exac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②如委托代理人为免缴纳社保人员，提供免缴纳社保的证明材料复印件及供应商与委托代理人签订的劳动合同复印件代替社保证明复印件。</w:t>
      </w:r>
    </w:p>
    <w:p w14:paraId="4D3ECABF">
      <w:pPr>
        <w:tabs>
          <w:tab w:val="left" w:pos="1305"/>
        </w:tabs>
        <w:wordWrap w:val="0"/>
        <w:spacing w:line="380" w:lineRule="exac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【属自然人的应提供由县级以上（含县级）社会养老保险经办机构出具的自然人本人及委托代理人所缴纳的响应文件递交截止时间前半年内任意连续三个月社保证明复印件】（委托代理时必须提供）</w:t>
      </w:r>
    </w:p>
    <w:p w14:paraId="54CF0B9C">
      <w:pPr>
        <w:wordWrap w:val="0"/>
        <w:spacing w:line="440" w:lineRule="atLeast"/>
        <w:ind w:left="420" w:leftChars="200" w:firstLine="386" w:firstLineChars="160"/>
        <w:rPr>
          <w:rFonts w:hint="eastAsia" w:ascii="宋体" w:hAnsi="宋体" w:eastAsia="宋体" w:cs="宋体"/>
          <w:b/>
          <w:color w:val="auto"/>
          <w:sz w:val="24"/>
          <w:highlight w:val="none"/>
        </w:rPr>
      </w:pPr>
    </w:p>
    <w:p w14:paraId="77B25D08">
      <w:pPr>
        <w:pStyle w:val="6"/>
        <w:wordWrap w:val="0"/>
        <w:ind w:left="0"/>
        <w:rPr>
          <w:rFonts w:hint="eastAsia" w:ascii="宋体" w:hAnsi="宋体" w:eastAsia="宋体" w:cs="宋体"/>
          <w:b/>
          <w:color w:val="auto"/>
          <w:sz w:val="32"/>
          <w:highlight w:val="none"/>
        </w:rPr>
      </w:pPr>
    </w:p>
    <w:p w14:paraId="120F8E53">
      <w:pPr>
        <w:pStyle w:val="9"/>
        <w:wordWrap w:val="0"/>
        <w:rPr>
          <w:rFonts w:hint="eastAsia" w:ascii="宋体" w:hAnsi="宋体" w:eastAsia="宋体" w:cs="宋体"/>
          <w:b/>
          <w:color w:val="auto"/>
          <w:sz w:val="32"/>
          <w:highlight w:val="none"/>
        </w:rPr>
      </w:pPr>
      <w:r>
        <w:rPr>
          <w:rFonts w:hint="eastAsia" w:ascii="宋体" w:hAnsi="宋体" w:eastAsia="宋体" w:cs="宋体"/>
          <w:b/>
          <w:color w:val="auto"/>
          <w:sz w:val="32"/>
          <w:highlight w:val="none"/>
        </w:rPr>
        <w:br w:type="page"/>
      </w:r>
      <w:r>
        <w:rPr>
          <w:rFonts w:hint="eastAsia" w:ascii="宋体" w:hAnsi="宋体" w:eastAsia="宋体" w:cs="宋体"/>
          <w:b/>
          <w:color w:val="auto"/>
          <w:sz w:val="32"/>
          <w:highlight w:val="none"/>
        </w:rPr>
        <w:t xml:space="preserve">附件：            </w:t>
      </w:r>
    </w:p>
    <w:p w14:paraId="1BFADA2E">
      <w:pPr>
        <w:pStyle w:val="9"/>
        <w:wordWrap w:val="0"/>
        <w:ind w:left="420" w:leftChars="200" w:firstLine="514" w:firstLineChars="160"/>
        <w:jc w:val="center"/>
        <w:rPr>
          <w:rFonts w:hint="eastAsia" w:ascii="宋体" w:hAnsi="宋体" w:eastAsia="宋体" w:cs="宋体"/>
          <w:b/>
          <w:color w:val="auto"/>
          <w:sz w:val="32"/>
          <w:highlight w:val="none"/>
        </w:rPr>
      </w:pPr>
      <w:bookmarkStart w:id="1783" w:name="_Toc5420_WPSOffice_Level1"/>
      <w:bookmarkStart w:id="1784" w:name="_Toc964_WPSOffice_Level1"/>
      <w:r>
        <w:rPr>
          <w:rFonts w:hint="eastAsia" w:ascii="宋体" w:hAnsi="宋体" w:eastAsia="宋体" w:cs="宋体"/>
          <w:b/>
          <w:color w:val="auto"/>
          <w:sz w:val="32"/>
          <w:highlight w:val="none"/>
        </w:rPr>
        <w:t>授权委托书（格式一）</w:t>
      </w:r>
      <w:bookmarkEnd w:id="1783"/>
      <w:bookmarkEnd w:id="1784"/>
    </w:p>
    <w:p w14:paraId="1183F174">
      <w:pPr>
        <w:pStyle w:val="9"/>
        <w:wordWrap w:val="0"/>
        <w:ind w:left="420" w:leftChars="200" w:firstLine="336" w:firstLineChars="160"/>
        <w:rPr>
          <w:rFonts w:hint="eastAsia" w:ascii="宋体" w:hAnsi="宋体" w:eastAsia="宋体" w:cs="宋体"/>
          <w:color w:val="auto"/>
          <w:highlight w:val="none"/>
        </w:rPr>
      </w:pPr>
    </w:p>
    <w:p w14:paraId="58D6F058">
      <w:pPr>
        <w:wordWrap w:val="0"/>
        <w:spacing w:line="400" w:lineRule="exact"/>
        <w:ind w:left="420" w:leftChars="200" w:firstLine="336" w:firstLineChars="160"/>
        <w:rPr>
          <w:rFonts w:hint="eastAsia" w:ascii="宋体" w:hAnsi="宋体" w:eastAsia="宋体" w:cs="宋体"/>
          <w:color w:val="auto"/>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广西华诚达建设项目管理有限公司</w:t>
      </w:r>
    </w:p>
    <w:p w14:paraId="60C6F7D0">
      <w:pPr>
        <w:wordWrap w:val="0"/>
        <w:spacing w:line="400" w:lineRule="exact"/>
        <w:ind w:left="420" w:leftChars="200" w:firstLine="336" w:firstLineChars="160"/>
        <w:rPr>
          <w:rFonts w:hint="eastAsia" w:ascii="宋体" w:hAnsi="宋体" w:eastAsia="宋体" w:cs="宋体"/>
          <w:color w:val="auto"/>
          <w:szCs w:val="21"/>
          <w:highlight w:val="none"/>
        </w:rPr>
      </w:pPr>
    </w:p>
    <w:p w14:paraId="5217F3C9">
      <w:pPr>
        <w:pStyle w:val="9"/>
        <w:wordWrap w:val="0"/>
        <w:spacing w:line="400" w:lineRule="exact"/>
        <w:ind w:left="420" w:leftChars="200" w:firstLine="336" w:firstLineChars="16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（供应商名称）的法定代表人（负责人），现授权委托本单位在职职工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 名）以我公司名义参加</w:t>
      </w:r>
      <w:r>
        <w:rPr>
          <w:rFonts w:hint="eastAsia" w:ascii="宋体" w:hAnsi="宋体" w:eastAsia="宋体" w:cs="宋体"/>
          <w:color w:val="auto"/>
          <w:szCs w:val="21"/>
          <w:highlight w:val="none"/>
          <w:u w:val="single"/>
        </w:rPr>
        <w:t xml:space="preserve">      （项目名称及项目编号）        </w:t>
      </w:r>
      <w:r>
        <w:rPr>
          <w:rFonts w:hint="eastAsia" w:ascii="宋体" w:hAnsi="宋体" w:eastAsia="宋体" w:cs="宋体"/>
          <w:color w:val="auto"/>
          <w:szCs w:val="21"/>
          <w:highlight w:val="none"/>
        </w:rPr>
        <w:t>项目的磋商活动，并代表我方全权办理针对上述项目的磋商、签约等具体事务和签署相关文件。</w:t>
      </w:r>
    </w:p>
    <w:p w14:paraId="003E7FC7">
      <w:pPr>
        <w:pStyle w:val="9"/>
        <w:wordWrap w:val="0"/>
        <w:spacing w:line="400" w:lineRule="exact"/>
        <w:ind w:left="420" w:leftChars="200" w:firstLine="336" w:firstLineChars="16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我方对被授权人的签字事项负全部责任。</w:t>
      </w:r>
    </w:p>
    <w:p w14:paraId="7F1D5A33">
      <w:pPr>
        <w:pStyle w:val="9"/>
        <w:wordWrap w:val="0"/>
        <w:spacing w:line="400" w:lineRule="exact"/>
        <w:ind w:left="420" w:leftChars="200" w:firstLine="336" w:firstLineChars="16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授权委托代理期限：自即日起至该项目政府采购活动结束。</w:t>
      </w:r>
    </w:p>
    <w:p w14:paraId="05E0687A">
      <w:pPr>
        <w:pStyle w:val="9"/>
        <w:wordWrap w:val="0"/>
        <w:spacing w:line="400" w:lineRule="exact"/>
        <w:ind w:left="420" w:leftChars="200" w:firstLine="336" w:firstLineChars="160"/>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w:t>
      </w:r>
    </w:p>
    <w:p w14:paraId="5E2776C8">
      <w:pPr>
        <w:wordWrap w:val="0"/>
        <w:spacing w:line="400" w:lineRule="exact"/>
        <w:ind w:left="420" w:leftChars="200" w:firstLine="336" w:firstLineChars="160"/>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代理人无转委托权,特此委托。 </w:t>
      </w:r>
    </w:p>
    <w:p w14:paraId="766A4481">
      <w:pPr>
        <w:wordWrap w:val="0"/>
        <w:spacing w:line="400" w:lineRule="exact"/>
        <w:ind w:left="420" w:leftChars="200" w:firstLine="336" w:firstLineChars="160"/>
        <w:rPr>
          <w:rFonts w:hint="eastAsia" w:ascii="宋体" w:hAnsi="宋体" w:eastAsia="宋体" w:cs="宋体"/>
          <w:color w:val="auto"/>
          <w:kern w:val="0"/>
          <w:highlight w:val="none"/>
        </w:rPr>
      </w:pPr>
    </w:p>
    <w:p w14:paraId="4835B9D1">
      <w:pPr>
        <w:wordWrap w:val="0"/>
        <w:spacing w:line="400" w:lineRule="exact"/>
        <w:ind w:left="420" w:leftChars="200" w:firstLine="336" w:firstLineChars="16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我已在下面签字，以资证明。</w:t>
      </w:r>
    </w:p>
    <w:p w14:paraId="3DA1F6FA">
      <w:pPr>
        <w:wordWrap w:val="0"/>
        <w:spacing w:line="400" w:lineRule="exact"/>
        <w:ind w:left="420" w:leftChars="200" w:firstLine="336" w:firstLineChars="160"/>
        <w:rPr>
          <w:rFonts w:hint="eastAsia" w:ascii="宋体" w:hAnsi="宋体" w:eastAsia="宋体" w:cs="宋体"/>
          <w:color w:val="auto"/>
          <w:szCs w:val="21"/>
          <w:highlight w:val="none"/>
        </w:rPr>
      </w:pPr>
    </w:p>
    <w:p w14:paraId="3442BC85">
      <w:pPr>
        <w:wordWrap w:val="0"/>
        <w:spacing w:line="400" w:lineRule="exact"/>
        <w:ind w:left="420" w:leftChars="200" w:firstLine="336" w:firstLineChars="160"/>
        <w:rPr>
          <w:rFonts w:hint="eastAsia" w:ascii="宋体" w:hAnsi="宋体" w:eastAsia="宋体" w:cs="宋体"/>
          <w:color w:val="auto"/>
          <w:szCs w:val="21"/>
          <w:highlight w:val="none"/>
        </w:rPr>
      </w:pPr>
    </w:p>
    <w:p w14:paraId="5A1D5E74">
      <w:pPr>
        <w:wordWrap w:val="0"/>
        <w:snapToGrid w:val="0"/>
        <w:spacing w:line="400" w:lineRule="exact"/>
        <w:ind w:left="420" w:leftChars="200" w:firstLine="336" w:firstLineChars="16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磋商供应商[公章（CA签章）]：</w:t>
      </w:r>
      <w:r>
        <w:rPr>
          <w:rFonts w:hint="eastAsia" w:ascii="宋体" w:hAnsi="宋体" w:eastAsia="宋体" w:cs="宋体"/>
          <w:color w:val="auto"/>
          <w:szCs w:val="21"/>
          <w:highlight w:val="none"/>
          <w:u w:val="single"/>
        </w:rPr>
        <w:t xml:space="preserve">                                   </w:t>
      </w:r>
    </w:p>
    <w:p w14:paraId="3A5B6B8F">
      <w:pPr>
        <w:wordWrap w:val="0"/>
        <w:snapToGrid w:val="0"/>
        <w:spacing w:line="400" w:lineRule="exact"/>
        <w:ind w:left="420" w:leftChars="200" w:firstLine="336" w:firstLineChars="160"/>
        <w:rPr>
          <w:rFonts w:hint="eastAsia" w:ascii="宋体" w:hAnsi="宋体" w:eastAsia="宋体" w:cs="宋体"/>
          <w:color w:val="auto"/>
          <w:szCs w:val="21"/>
          <w:highlight w:val="none"/>
        </w:rPr>
      </w:pPr>
    </w:p>
    <w:p w14:paraId="6EC20E83">
      <w:pPr>
        <w:wordWrap w:val="0"/>
        <w:snapToGrid w:val="0"/>
        <w:spacing w:line="400" w:lineRule="exact"/>
        <w:ind w:left="420" w:leftChars="200" w:firstLine="336" w:firstLineChars="16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法定代表人（负责人）签字（或个人CA签章）：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56099D58">
      <w:pPr>
        <w:wordWrap w:val="0"/>
        <w:snapToGrid w:val="0"/>
        <w:spacing w:line="400" w:lineRule="exact"/>
        <w:ind w:left="420" w:leftChars="200" w:firstLine="336" w:firstLineChars="16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6A86031E">
      <w:pPr>
        <w:wordWrap w:val="0"/>
        <w:snapToGrid w:val="0"/>
        <w:spacing w:line="400" w:lineRule="exact"/>
        <w:ind w:left="420" w:leftChars="200" w:firstLine="336" w:firstLineChars="160"/>
        <w:rPr>
          <w:rFonts w:hint="eastAsia" w:ascii="宋体" w:hAnsi="宋体" w:eastAsia="宋体" w:cs="宋体"/>
          <w:color w:val="auto"/>
          <w:szCs w:val="21"/>
          <w:highlight w:val="none"/>
        </w:rPr>
      </w:pPr>
    </w:p>
    <w:p w14:paraId="782D2CB3">
      <w:pPr>
        <w:pStyle w:val="7"/>
        <w:wordWrap w:val="0"/>
        <w:ind w:left="420" w:leftChars="200" w:firstLine="681" w:firstLineChars="160"/>
        <w:rPr>
          <w:rFonts w:hint="eastAsia" w:ascii="宋体" w:hAnsi="宋体" w:eastAsia="宋体" w:cs="宋体"/>
          <w:color w:val="auto"/>
          <w:highlight w:val="none"/>
        </w:rPr>
      </w:pPr>
    </w:p>
    <w:p w14:paraId="16670080">
      <w:pPr>
        <w:wordWrap w:val="0"/>
        <w:spacing w:line="440" w:lineRule="atLeast"/>
        <w:ind w:left="420" w:leftChars="200" w:firstLine="337" w:firstLineChars="16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附：供应商的授权委托书原件、委托代理人身份证正反面复印件以及由县级以上（含县级）社会养老保险经办机构出具的供应商为委托代理人缴纳的响应文件递交截止时间前半年内任意连续三个月社保证明复印件（属于事业单位编制以及下设机构不用缴纳社保或者统一由上级部门或当地财政部门缴纳社保的，提供上一级缴纳社保证明或者是提供相关文件说明；如为退休返聘人员，提供其退休证及返聘合同原件扫描件；如为近期新聘员工的，以提供劳动合同证明材料为准）。</w:t>
      </w:r>
    </w:p>
    <w:p w14:paraId="6B6D22F6">
      <w:pPr>
        <w:pStyle w:val="9"/>
        <w:wordWrap w:val="0"/>
        <w:spacing w:line="340" w:lineRule="exact"/>
        <w:ind w:left="420" w:leftChars="200" w:firstLine="336" w:firstLineChars="160"/>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1785" w:name="_Toc21370_WPSOffice_Level1"/>
      <w:bookmarkStart w:id="1786" w:name="_Toc6975_WPSOffice_Level1"/>
      <w:r>
        <w:rPr>
          <w:rFonts w:hint="eastAsia" w:ascii="宋体" w:hAnsi="宋体" w:eastAsia="宋体" w:cs="宋体"/>
          <w:color w:val="auto"/>
          <w:highlight w:val="none"/>
        </w:rPr>
        <w:t xml:space="preserve">                       </w:t>
      </w:r>
      <w:r>
        <w:rPr>
          <w:rFonts w:hint="eastAsia" w:ascii="宋体" w:hAnsi="宋体" w:eastAsia="宋体" w:cs="宋体"/>
          <w:b/>
          <w:color w:val="auto"/>
          <w:sz w:val="32"/>
          <w:highlight w:val="none"/>
        </w:rPr>
        <w:t>授权委托书（格式二）</w:t>
      </w:r>
      <w:bookmarkEnd w:id="1785"/>
      <w:bookmarkEnd w:id="1786"/>
    </w:p>
    <w:p w14:paraId="5CE66C20">
      <w:pPr>
        <w:pStyle w:val="9"/>
        <w:wordWrap w:val="0"/>
        <w:ind w:left="420" w:leftChars="200" w:firstLine="514" w:firstLineChars="160"/>
        <w:rPr>
          <w:rFonts w:hint="eastAsia" w:ascii="宋体" w:hAnsi="宋体" w:eastAsia="宋体" w:cs="宋体"/>
          <w:b/>
          <w:color w:val="auto"/>
          <w:sz w:val="32"/>
          <w:highlight w:val="none"/>
        </w:rPr>
      </w:pPr>
    </w:p>
    <w:p w14:paraId="63074D7D">
      <w:pPr>
        <w:pStyle w:val="9"/>
        <w:wordWrap w:val="0"/>
        <w:ind w:left="420" w:leftChars="200" w:firstLine="337" w:firstLineChars="160"/>
        <w:rPr>
          <w:rFonts w:hint="eastAsia" w:ascii="宋体" w:hAnsi="宋体" w:eastAsia="宋体" w:cs="宋体"/>
          <w:color w:val="auto"/>
          <w:szCs w:val="21"/>
          <w:highlight w:val="none"/>
          <w:u w:val="single"/>
          <w:lang w:eastAsia="zh-CN"/>
        </w:rPr>
      </w:pPr>
      <w:r>
        <w:rPr>
          <w:rFonts w:hint="eastAsia" w:ascii="宋体" w:hAnsi="宋体" w:eastAsia="宋体" w:cs="宋体"/>
          <w:b/>
          <w:color w:val="auto"/>
          <w:szCs w:val="21"/>
          <w:highlight w:val="none"/>
        </w:rPr>
        <w:t>致</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广西华诚达建设项目管理有限公司</w:t>
      </w:r>
    </w:p>
    <w:p w14:paraId="47BAD687">
      <w:pPr>
        <w:wordWrap w:val="0"/>
        <w:ind w:left="420" w:leftChars="200" w:firstLine="336" w:firstLineChars="160"/>
        <w:rPr>
          <w:rFonts w:hint="eastAsia" w:ascii="宋体" w:hAnsi="宋体" w:eastAsia="宋体" w:cs="宋体"/>
          <w:color w:val="auto"/>
          <w:szCs w:val="21"/>
          <w:highlight w:val="none"/>
        </w:rPr>
      </w:pPr>
    </w:p>
    <w:p w14:paraId="18A717BE">
      <w:pPr>
        <w:pStyle w:val="9"/>
        <w:wordWrap w:val="0"/>
        <w:spacing w:line="340" w:lineRule="exact"/>
        <w:ind w:left="420" w:leftChars="200" w:firstLine="336" w:firstLineChars="16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（姓名）系自然人，现授权委托</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（姓 名）以本人名义参加</w:t>
      </w:r>
      <w:r>
        <w:rPr>
          <w:rFonts w:hint="eastAsia" w:ascii="宋体" w:hAnsi="宋体" w:eastAsia="宋体" w:cs="宋体"/>
          <w:color w:val="auto"/>
          <w:szCs w:val="21"/>
          <w:highlight w:val="none"/>
          <w:u w:val="single"/>
        </w:rPr>
        <w:t xml:space="preserve">      （项目名称及项目编号）        </w:t>
      </w:r>
      <w:r>
        <w:rPr>
          <w:rFonts w:hint="eastAsia" w:ascii="宋体" w:hAnsi="宋体" w:eastAsia="宋体" w:cs="宋体"/>
          <w:color w:val="auto"/>
          <w:szCs w:val="21"/>
          <w:highlight w:val="none"/>
        </w:rPr>
        <w:t>项目的磋商活动，并代表本人全权办理针对上述项目的磋商、签约等具体事务和签署相关文件。</w:t>
      </w:r>
    </w:p>
    <w:p w14:paraId="29D5E22D">
      <w:pPr>
        <w:pStyle w:val="9"/>
        <w:wordWrap w:val="0"/>
        <w:spacing w:line="340" w:lineRule="exact"/>
        <w:ind w:left="420" w:leftChars="200" w:firstLine="336" w:firstLineChars="16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本人对被授权人的签字事项负全部责任。</w:t>
      </w:r>
    </w:p>
    <w:p w14:paraId="60C3DCAD">
      <w:pPr>
        <w:pStyle w:val="9"/>
        <w:wordWrap w:val="0"/>
        <w:spacing w:line="340" w:lineRule="exact"/>
        <w:ind w:left="420" w:leftChars="200" w:firstLine="336" w:firstLineChars="16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授权委托代理期限：自即日起至该项目政府采购活动结束。</w:t>
      </w:r>
    </w:p>
    <w:p w14:paraId="7BA26B0D">
      <w:pPr>
        <w:pStyle w:val="9"/>
        <w:wordWrap w:val="0"/>
        <w:spacing w:line="340" w:lineRule="exact"/>
        <w:ind w:left="420" w:leftChars="200" w:firstLine="336" w:firstLineChars="16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w:t>
      </w:r>
    </w:p>
    <w:p w14:paraId="4DD451EC">
      <w:pPr>
        <w:wordWrap w:val="0"/>
        <w:spacing w:line="340" w:lineRule="exact"/>
        <w:ind w:left="420" w:leftChars="200" w:firstLine="336" w:firstLineChars="16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代理人无转委托权,特此委托。 </w:t>
      </w:r>
    </w:p>
    <w:p w14:paraId="272CA1B7">
      <w:pPr>
        <w:wordWrap w:val="0"/>
        <w:spacing w:line="340" w:lineRule="exact"/>
        <w:ind w:left="420" w:leftChars="200" w:firstLine="336" w:firstLineChars="160"/>
        <w:rPr>
          <w:rFonts w:hint="eastAsia" w:ascii="宋体" w:hAnsi="宋体" w:eastAsia="宋体" w:cs="宋体"/>
          <w:color w:val="auto"/>
          <w:kern w:val="0"/>
          <w:szCs w:val="21"/>
          <w:highlight w:val="none"/>
        </w:rPr>
      </w:pPr>
    </w:p>
    <w:p w14:paraId="25A32FFD">
      <w:pPr>
        <w:wordWrap w:val="0"/>
        <w:spacing w:line="340" w:lineRule="exact"/>
        <w:ind w:left="420" w:leftChars="200" w:firstLine="336" w:firstLineChars="16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我已在下面签字，以资证明。</w:t>
      </w:r>
    </w:p>
    <w:p w14:paraId="78E0C1A1">
      <w:pPr>
        <w:wordWrap w:val="0"/>
        <w:spacing w:line="340" w:lineRule="exact"/>
        <w:ind w:left="420" w:leftChars="200" w:firstLine="336" w:firstLineChars="160"/>
        <w:rPr>
          <w:rFonts w:hint="eastAsia" w:ascii="宋体" w:hAnsi="宋体" w:eastAsia="宋体" w:cs="宋体"/>
          <w:color w:val="auto"/>
          <w:szCs w:val="21"/>
          <w:highlight w:val="none"/>
        </w:rPr>
      </w:pPr>
    </w:p>
    <w:p w14:paraId="0D0E20D9">
      <w:pPr>
        <w:wordWrap w:val="0"/>
        <w:snapToGrid w:val="0"/>
        <w:spacing w:line="340" w:lineRule="exact"/>
        <w:ind w:left="420" w:leftChars="200" w:firstLine="336" w:firstLineChars="160"/>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自然人签字并在签名处加盖大拇指指印或个人CA签章：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0555F3A0">
      <w:pPr>
        <w:wordWrap w:val="0"/>
        <w:snapToGrid w:val="0"/>
        <w:spacing w:line="340" w:lineRule="exact"/>
        <w:ind w:firstLine="840" w:firstLineChars="4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1D3787E2">
      <w:pPr>
        <w:pStyle w:val="9"/>
        <w:wordWrap w:val="0"/>
        <w:spacing w:line="400" w:lineRule="exact"/>
        <w:ind w:left="420" w:leftChars="200" w:firstLine="336" w:firstLineChars="160"/>
        <w:rPr>
          <w:rFonts w:hint="eastAsia" w:ascii="宋体" w:hAnsi="宋体" w:eastAsia="宋体" w:cs="宋体"/>
          <w:color w:val="auto"/>
          <w:szCs w:val="21"/>
          <w:highlight w:val="none"/>
        </w:rPr>
      </w:pPr>
    </w:p>
    <w:p w14:paraId="0C5BB682">
      <w:pPr>
        <w:pStyle w:val="9"/>
        <w:wordWrap w:val="0"/>
        <w:spacing w:line="400" w:lineRule="exact"/>
        <w:ind w:left="420" w:leftChars="200" w:firstLine="337" w:firstLineChars="16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附：委托代理人身份证正反面复印件</w:t>
      </w:r>
    </w:p>
    <w:p w14:paraId="07963581">
      <w:pPr>
        <w:pStyle w:val="7"/>
        <w:wordWrap w:val="0"/>
        <w:rPr>
          <w:rFonts w:hint="eastAsia" w:ascii="宋体" w:hAnsi="宋体" w:eastAsia="宋体" w:cs="宋体"/>
          <w:color w:val="auto"/>
          <w:szCs w:val="21"/>
          <w:highlight w:val="none"/>
        </w:rPr>
      </w:pPr>
    </w:p>
    <w:p w14:paraId="76671EFC">
      <w:pPr>
        <w:pStyle w:val="7"/>
        <w:wordWrap w:val="0"/>
        <w:rPr>
          <w:rFonts w:hint="eastAsia" w:ascii="宋体" w:hAnsi="宋体" w:eastAsia="宋体" w:cs="宋体"/>
          <w:color w:val="auto"/>
          <w:szCs w:val="21"/>
          <w:highlight w:val="none"/>
        </w:rPr>
      </w:pPr>
    </w:p>
    <w:p w14:paraId="0FC92206">
      <w:pPr>
        <w:pStyle w:val="7"/>
        <w:wordWrap w:val="0"/>
        <w:ind w:left="420" w:leftChars="200" w:firstLine="681" w:firstLineChars="160"/>
        <w:rPr>
          <w:rFonts w:hint="eastAsia" w:ascii="宋体" w:hAnsi="宋体" w:eastAsia="宋体" w:cs="宋体"/>
          <w:color w:val="auto"/>
          <w:szCs w:val="21"/>
          <w:highlight w:val="none"/>
        </w:rPr>
      </w:pPr>
    </w:p>
    <w:p w14:paraId="15F47AE3">
      <w:pPr>
        <w:pStyle w:val="9"/>
        <w:wordWrap w:val="0"/>
        <w:spacing w:line="340" w:lineRule="exact"/>
        <w:rPr>
          <w:rFonts w:hint="eastAsia" w:ascii="宋体" w:hAnsi="宋体" w:eastAsia="宋体" w:cs="宋体"/>
          <w:b/>
          <w:color w:val="auto"/>
          <w:szCs w:val="21"/>
          <w:highlight w:val="none"/>
        </w:rPr>
      </w:pPr>
      <w:r>
        <w:rPr>
          <w:rFonts w:hint="eastAsia" w:ascii="宋体" w:hAnsi="宋体" w:eastAsia="宋体" w:cs="宋体"/>
          <w:b/>
          <w:color w:val="auto"/>
          <w:sz w:val="28"/>
          <w:szCs w:val="28"/>
          <w:highlight w:val="none"/>
        </w:rPr>
        <w:br w:type="page"/>
      </w:r>
      <w:r>
        <w:rPr>
          <w:rFonts w:hint="eastAsia" w:ascii="宋体" w:hAnsi="宋体" w:eastAsia="宋体" w:cs="宋体"/>
          <w:b/>
          <w:color w:val="auto"/>
          <w:sz w:val="28"/>
          <w:szCs w:val="28"/>
          <w:highlight w:val="none"/>
        </w:rPr>
        <w:t>3、供应商的法人或者其他组织营业执照等证明文件复印件（必须提供，自然人除外）</w:t>
      </w:r>
    </w:p>
    <w:p w14:paraId="30B1981B">
      <w:pPr>
        <w:tabs>
          <w:tab w:val="left" w:pos="1305"/>
        </w:tabs>
        <w:wordWrap w:val="0"/>
        <w:spacing w:line="40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①法人包括企业法人、机关法人、事业单位法人和社会团体法人；其他组织主要包括合伙企业、非企业专业服务机构、个体工商户、农村承包经营户。②如供应商为企业（包括合伙企业），应提供工商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1AD37E03">
      <w:pPr>
        <w:wordWrap w:val="0"/>
        <w:ind w:left="420" w:leftChars="200" w:firstLine="450" w:firstLineChars="160"/>
        <w:rPr>
          <w:rFonts w:hint="eastAsia" w:ascii="宋体" w:hAnsi="宋体" w:eastAsia="宋体" w:cs="宋体"/>
          <w:b/>
          <w:bCs/>
          <w:color w:val="auto"/>
          <w:sz w:val="28"/>
          <w:szCs w:val="28"/>
          <w:highlight w:val="none"/>
        </w:rPr>
      </w:pPr>
    </w:p>
    <w:p w14:paraId="3C8BD261">
      <w:pPr>
        <w:pStyle w:val="2"/>
        <w:wordWrap w:val="0"/>
        <w:ind w:left="420" w:leftChars="200" w:firstLine="450" w:firstLineChars="160"/>
        <w:rPr>
          <w:rFonts w:hint="eastAsia" w:ascii="宋体" w:hAnsi="宋体" w:eastAsia="宋体" w:cs="宋体"/>
          <w:color w:val="auto"/>
          <w:sz w:val="28"/>
          <w:szCs w:val="28"/>
          <w:highlight w:val="none"/>
        </w:rPr>
      </w:pPr>
    </w:p>
    <w:p w14:paraId="042F8DE2">
      <w:pPr>
        <w:rPr>
          <w:rFonts w:hint="eastAsia" w:ascii="宋体" w:hAnsi="宋体" w:eastAsia="宋体" w:cs="宋体"/>
        </w:rPr>
      </w:pPr>
    </w:p>
    <w:p w14:paraId="01C7BA27">
      <w:pPr>
        <w:rPr>
          <w:rFonts w:hint="eastAsia" w:ascii="宋体" w:hAnsi="宋体" w:eastAsia="宋体" w:cs="宋体"/>
        </w:rPr>
      </w:pPr>
    </w:p>
    <w:p w14:paraId="41F23B3C">
      <w:pPr>
        <w:wordWrap w:val="0"/>
        <w:ind w:left="420" w:leftChars="200" w:firstLine="336" w:firstLineChars="160"/>
        <w:rPr>
          <w:rFonts w:hint="eastAsia" w:ascii="宋体" w:hAnsi="宋体" w:eastAsia="宋体" w:cs="宋体"/>
          <w:color w:val="auto"/>
          <w:highlight w:val="none"/>
        </w:rPr>
      </w:pPr>
    </w:p>
    <w:p w14:paraId="593C9E3A">
      <w:pPr>
        <w:pStyle w:val="9"/>
        <w:wordWrap w:val="0"/>
        <w:spacing w:line="34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4、供应商有效的资质证书、安全生产许可证复印件（必须提供）</w:t>
      </w:r>
      <w:r>
        <w:rPr>
          <w:rFonts w:hint="eastAsia" w:ascii="宋体" w:hAnsi="宋体" w:eastAsia="宋体" w:cs="宋体"/>
          <w:b/>
          <w:color w:val="auto"/>
          <w:sz w:val="28"/>
          <w:szCs w:val="28"/>
          <w:highlight w:val="none"/>
        </w:rPr>
        <w:br w:type="page"/>
      </w:r>
      <w:r>
        <w:rPr>
          <w:rFonts w:hint="eastAsia" w:ascii="宋体" w:hAnsi="宋体" w:eastAsia="宋体" w:cs="宋体"/>
          <w:b/>
          <w:color w:val="auto"/>
          <w:sz w:val="28"/>
          <w:szCs w:val="28"/>
          <w:highlight w:val="none"/>
        </w:rPr>
        <w:t>5、拟投入本项目项目经理简历表（必须提供）</w:t>
      </w:r>
    </w:p>
    <w:p w14:paraId="3A1CD325">
      <w:pPr>
        <w:pStyle w:val="6"/>
        <w:wordWrap w:val="0"/>
        <w:ind w:left="420" w:leftChars="200" w:firstLine="336" w:firstLineChars="160"/>
        <w:rPr>
          <w:rFonts w:hint="eastAsia" w:ascii="宋体" w:hAnsi="宋体" w:eastAsia="宋体" w:cs="宋体"/>
          <w:color w:val="auto"/>
          <w:highlight w:val="none"/>
        </w:rPr>
      </w:pPr>
    </w:p>
    <w:p w14:paraId="4521C061">
      <w:pPr>
        <w:pStyle w:val="9"/>
        <w:wordWrap w:val="0"/>
        <w:spacing w:line="340" w:lineRule="exact"/>
        <w:ind w:left="420" w:leftChars="200" w:firstLine="450" w:firstLineChars="160"/>
        <w:rPr>
          <w:rFonts w:hint="eastAsia" w:ascii="宋体" w:hAnsi="宋体" w:eastAsia="宋体" w:cs="宋体"/>
          <w:b/>
          <w:color w:val="auto"/>
          <w:sz w:val="28"/>
          <w:szCs w:val="28"/>
          <w:highlight w:val="none"/>
        </w:rPr>
      </w:pPr>
    </w:p>
    <w:p w14:paraId="413EE1A9">
      <w:pPr>
        <w:wordWrap w:val="0"/>
        <w:ind w:left="420" w:leftChars="200" w:firstLine="386" w:firstLineChars="16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拟投入本项目项目经理简历表</w:t>
      </w:r>
    </w:p>
    <w:p w14:paraId="0C50E1B9">
      <w:pPr>
        <w:wordWrap w:val="0"/>
        <w:ind w:left="420" w:leftChars="200" w:firstLine="514" w:firstLineChars="160"/>
        <w:jc w:val="center"/>
        <w:rPr>
          <w:rFonts w:hint="eastAsia" w:ascii="宋体" w:hAnsi="宋体" w:eastAsia="宋体" w:cs="宋体"/>
          <w:b/>
          <w:color w:val="auto"/>
          <w:sz w:val="32"/>
          <w:highlight w:val="none"/>
        </w:rPr>
      </w:pPr>
    </w:p>
    <w:tbl>
      <w:tblPr>
        <w:tblStyle w:val="16"/>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1608"/>
        <w:gridCol w:w="1072"/>
        <w:gridCol w:w="536"/>
        <w:gridCol w:w="536"/>
        <w:gridCol w:w="1072"/>
        <w:gridCol w:w="268"/>
        <w:gridCol w:w="938"/>
        <w:gridCol w:w="1206"/>
      </w:tblGrid>
      <w:tr w14:paraId="55E0F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top w:val="single" w:color="auto" w:sz="8" w:space="0"/>
              <w:left w:val="single" w:color="auto" w:sz="8" w:space="0"/>
            </w:tcBorders>
            <w:noWrap w:val="0"/>
            <w:vAlign w:val="top"/>
          </w:tcPr>
          <w:p w14:paraId="73D1C9BA">
            <w:pPr>
              <w:wordWrap w:val="0"/>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姓  名</w:t>
            </w:r>
          </w:p>
        </w:tc>
        <w:tc>
          <w:tcPr>
            <w:tcW w:w="1608" w:type="dxa"/>
            <w:tcBorders>
              <w:top w:val="single" w:color="auto" w:sz="8" w:space="0"/>
            </w:tcBorders>
            <w:noWrap w:val="0"/>
            <w:vAlign w:val="top"/>
          </w:tcPr>
          <w:p w14:paraId="62452542">
            <w:pPr>
              <w:wordWrap w:val="0"/>
              <w:spacing w:line="440" w:lineRule="exact"/>
              <w:jc w:val="center"/>
              <w:rPr>
                <w:rFonts w:hint="eastAsia" w:ascii="宋体" w:hAnsi="宋体" w:eastAsia="宋体" w:cs="宋体"/>
                <w:color w:val="auto"/>
                <w:highlight w:val="none"/>
              </w:rPr>
            </w:pPr>
          </w:p>
        </w:tc>
        <w:tc>
          <w:tcPr>
            <w:tcW w:w="1072" w:type="dxa"/>
            <w:tcBorders>
              <w:top w:val="single" w:color="auto" w:sz="8" w:space="0"/>
            </w:tcBorders>
            <w:noWrap w:val="0"/>
            <w:vAlign w:val="top"/>
          </w:tcPr>
          <w:p w14:paraId="5C2056A4">
            <w:pPr>
              <w:wordWrap w:val="0"/>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性  别</w:t>
            </w:r>
          </w:p>
        </w:tc>
        <w:tc>
          <w:tcPr>
            <w:tcW w:w="1072" w:type="dxa"/>
            <w:gridSpan w:val="2"/>
            <w:tcBorders>
              <w:top w:val="single" w:color="auto" w:sz="8" w:space="0"/>
            </w:tcBorders>
            <w:noWrap w:val="0"/>
            <w:vAlign w:val="top"/>
          </w:tcPr>
          <w:p w14:paraId="47A7D7A2">
            <w:pPr>
              <w:wordWrap w:val="0"/>
              <w:spacing w:line="440" w:lineRule="exact"/>
              <w:jc w:val="center"/>
              <w:rPr>
                <w:rFonts w:hint="eastAsia" w:ascii="宋体" w:hAnsi="宋体" w:eastAsia="宋体" w:cs="宋体"/>
                <w:color w:val="auto"/>
                <w:highlight w:val="none"/>
              </w:rPr>
            </w:pPr>
          </w:p>
        </w:tc>
        <w:tc>
          <w:tcPr>
            <w:tcW w:w="1340" w:type="dxa"/>
            <w:gridSpan w:val="2"/>
            <w:tcBorders>
              <w:top w:val="single" w:color="auto" w:sz="8" w:space="0"/>
            </w:tcBorders>
            <w:noWrap w:val="0"/>
            <w:vAlign w:val="top"/>
          </w:tcPr>
          <w:p w14:paraId="05AC68D2">
            <w:pPr>
              <w:wordWrap w:val="0"/>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年  龄</w:t>
            </w:r>
          </w:p>
        </w:tc>
        <w:tc>
          <w:tcPr>
            <w:tcW w:w="2144" w:type="dxa"/>
            <w:gridSpan w:val="2"/>
            <w:tcBorders>
              <w:top w:val="single" w:color="auto" w:sz="8" w:space="0"/>
              <w:right w:val="single" w:color="auto" w:sz="8" w:space="0"/>
            </w:tcBorders>
            <w:noWrap w:val="0"/>
            <w:vAlign w:val="top"/>
          </w:tcPr>
          <w:p w14:paraId="3495B31F">
            <w:pPr>
              <w:wordWrap w:val="0"/>
              <w:spacing w:line="440" w:lineRule="exact"/>
              <w:jc w:val="center"/>
              <w:rPr>
                <w:rFonts w:hint="eastAsia" w:ascii="宋体" w:hAnsi="宋体" w:eastAsia="宋体" w:cs="宋体"/>
                <w:color w:val="auto"/>
                <w:highlight w:val="none"/>
              </w:rPr>
            </w:pPr>
          </w:p>
        </w:tc>
      </w:tr>
      <w:tr w14:paraId="592B1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left w:val="single" w:color="auto" w:sz="8" w:space="0"/>
            </w:tcBorders>
            <w:noWrap w:val="0"/>
            <w:vAlign w:val="top"/>
          </w:tcPr>
          <w:p w14:paraId="0D1832A7">
            <w:pPr>
              <w:wordWrap w:val="0"/>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职  务</w:t>
            </w:r>
          </w:p>
        </w:tc>
        <w:tc>
          <w:tcPr>
            <w:tcW w:w="1608" w:type="dxa"/>
            <w:noWrap w:val="0"/>
            <w:vAlign w:val="top"/>
          </w:tcPr>
          <w:p w14:paraId="31EEEF8B">
            <w:pPr>
              <w:wordWrap w:val="0"/>
              <w:spacing w:line="440" w:lineRule="exact"/>
              <w:jc w:val="center"/>
              <w:rPr>
                <w:rFonts w:hint="eastAsia" w:ascii="宋体" w:hAnsi="宋体" w:eastAsia="宋体" w:cs="宋体"/>
                <w:color w:val="auto"/>
                <w:highlight w:val="none"/>
              </w:rPr>
            </w:pPr>
          </w:p>
        </w:tc>
        <w:tc>
          <w:tcPr>
            <w:tcW w:w="1072" w:type="dxa"/>
            <w:noWrap w:val="0"/>
            <w:vAlign w:val="top"/>
          </w:tcPr>
          <w:p w14:paraId="3EC481AF">
            <w:pPr>
              <w:wordWrap w:val="0"/>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职  称</w:t>
            </w:r>
          </w:p>
        </w:tc>
        <w:tc>
          <w:tcPr>
            <w:tcW w:w="1072" w:type="dxa"/>
            <w:gridSpan w:val="2"/>
            <w:noWrap w:val="0"/>
            <w:vAlign w:val="top"/>
          </w:tcPr>
          <w:p w14:paraId="4A1383CE">
            <w:pPr>
              <w:wordWrap w:val="0"/>
              <w:spacing w:line="440" w:lineRule="exact"/>
              <w:jc w:val="center"/>
              <w:rPr>
                <w:rFonts w:hint="eastAsia" w:ascii="宋体" w:hAnsi="宋体" w:eastAsia="宋体" w:cs="宋体"/>
                <w:color w:val="auto"/>
                <w:highlight w:val="none"/>
              </w:rPr>
            </w:pPr>
          </w:p>
        </w:tc>
        <w:tc>
          <w:tcPr>
            <w:tcW w:w="1340" w:type="dxa"/>
            <w:gridSpan w:val="2"/>
            <w:noWrap w:val="0"/>
            <w:vAlign w:val="top"/>
          </w:tcPr>
          <w:p w14:paraId="0CA1E95C">
            <w:pPr>
              <w:wordWrap w:val="0"/>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学  历</w:t>
            </w:r>
          </w:p>
        </w:tc>
        <w:tc>
          <w:tcPr>
            <w:tcW w:w="2144" w:type="dxa"/>
            <w:gridSpan w:val="2"/>
            <w:tcBorders>
              <w:right w:val="single" w:color="auto" w:sz="8" w:space="0"/>
            </w:tcBorders>
            <w:noWrap w:val="0"/>
            <w:vAlign w:val="top"/>
          </w:tcPr>
          <w:p w14:paraId="4BCA5832">
            <w:pPr>
              <w:wordWrap w:val="0"/>
              <w:spacing w:line="440" w:lineRule="exact"/>
              <w:jc w:val="center"/>
              <w:rPr>
                <w:rFonts w:hint="eastAsia" w:ascii="宋体" w:hAnsi="宋体" w:eastAsia="宋体" w:cs="宋体"/>
                <w:color w:val="auto"/>
                <w:highlight w:val="none"/>
              </w:rPr>
            </w:pPr>
          </w:p>
        </w:tc>
      </w:tr>
      <w:tr w14:paraId="30ACE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80" w:type="dxa"/>
            <w:tcBorders>
              <w:left w:val="single" w:color="auto" w:sz="8" w:space="0"/>
            </w:tcBorders>
            <w:noWrap w:val="0"/>
            <w:vAlign w:val="top"/>
          </w:tcPr>
          <w:p w14:paraId="1B6273BE">
            <w:pPr>
              <w:wordWrap w:val="0"/>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专  业</w:t>
            </w:r>
          </w:p>
        </w:tc>
        <w:tc>
          <w:tcPr>
            <w:tcW w:w="2680" w:type="dxa"/>
            <w:gridSpan w:val="2"/>
            <w:noWrap w:val="0"/>
            <w:vAlign w:val="top"/>
          </w:tcPr>
          <w:p w14:paraId="7FBBE96A">
            <w:pPr>
              <w:wordWrap w:val="0"/>
              <w:spacing w:line="440" w:lineRule="exact"/>
              <w:rPr>
                <w:rFonts w:hint="eastAsia" w:ascii="宋体" w:hAnsi="宋体" w:eastAsia="宋体" w:cs="宋体"/>
                <w:color w:val="auto"/>
                <w:highlight w:val="none"/>
              </w:rPr>
            </w:pPr>
          </w:p>
        </w:tc>
        <w:tc>
          <w:tcPr>
            <w:tcW w:w="2412" w:type="dxa"/>
            <w:gridSpan w:val="4"/>
            <w:noWrap w:val="0"/>
            <w:vAlign w:val="top"/>
          </w:tcPr>
          <w:p w14:paraId="45A28849">
            <w:pPr>
              <w:wordWrap w:val="0"/>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担任项目经理年限</w:t>
            </w:r>
          </w:p>
        </w:tc>
        <w:tc>
          <w:tcPr>
            <w:tcW w:w="2144" w:type="dxa"/>
            <w:gridSpan w:val="2"/>
            <w:tcBorders>
              <w:right w:val="single" w:color="auto" w:sz="8" w:space="0"/>
            </w:tcBorders>
            <w:noWrap w:val="0"/>
            <w:vAlign w:val="top"/>
          </w:tcPr>
          <w:p w14:paraId="334B04DD">
            <w:pPr>
              <w:wordWrap w:val="0"/>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 xml:space="preserve">         (年)</w:t>
            </w:r>
          </w:p>
        </w:tc>
      </w:tr>
      <w:tr w14:paraId="1FDC0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416" w:type="dxa"/>
            <w:gridSpan w:val="9"/>
            <w:tcBorders>
              <w:left w:val="single" w:color="auto" w:sz="8" w:space="0"/>
              <w:right w:val="single" w:color="auto" w:sz="8" w:space="0"/>
            </w:tcBorders>
            <w:noWrap w:val="0"/>
            <w:vAlign w:val="top"/>
          </w:tcPr>
          <w:p w14:paraId="683EFADF">
            <w:pPr>
              <w:wordWrap w:val="0"/>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已完工程项目情况</w:t>
            </w:r>
          </w:p>
        </w:tc>
      </w:tr>
      <w:tr w14:paraId="2E783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left w:val="single" w:color="auto" w:sz="8" w:space="0"/>
            </w:tcBorders>
            <w:noWrap w:val="0"/>
            <w:vAlign w:val="top"/>
          </w:tcPr>
          <w:p w14:paraId="6E54C4F8">
            <w:pPr>
              <w:wordWrap w:val="0"/>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建设单位</w:t>
            </w:r>
          </w:p>
        </w:tc>
        <w:tc>
          <w:tcPr>
            <w:tcW w:w="1608" w:type="dxa"/>
            <w:noWrap w:val="0"/>
            <w:vAlign w:val="top"/>
          </w:tcPr>
          <w:p w14:paraId="188FCA95">
            <w:pPr>
              <w:wordWrap w:val="0"/>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1608" w:type="dxa"/>
            <w:gridSpan w:val="2"/>
            <w:noWrap w:val="0"/>
            <w:vAlign w:val="top"/>
          </w:tcPr>
          <w:p w14:paraId="1D3170DE">
            <w:pPr>
              <w:wordWrap w:val="0"/>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建设规模</w:t>
            </w:r>
          </w:p>
        </w:tc>
        <w:tc>
          <w:tcPr>
            <w:tcW w:w="1608" w:type="dxa"/>
            <w:gridSpan w:val="2"/>
            <w:noWrap w:val="0"/>
            <w:vAlign w:val="top"/>
          </w:tcPr>
          <w:p w14:paraId="689CDB2C">
            <w:pPr>
              <w:wordWrap w:val="0"/>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开、竣工日期</w:t>
            </w:r>
          </w:p>
        </w:tc>
        <w:tc>
          <w:tcPr>
            <w:tcW w:w="1206" w:type="dxa"/>
            <w:gridSpan w:val="2"/>
            <w:noWrap w:val="0"/>
            <w:vAlign w:val="top"/>
          </w:tcPr>
          <w:p w14:paraId="28977B80">
            <w:pPr>
              <w:wordWrap w:val="0"/>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工程质量</w:t>
            </w:r>
          </w:p>
        </w:tc>
        <w:tc>
          <w:tcPr>
            <w:tcW w:w="1206" w:type="dxa"/>
            <w:tcBorders>
              <w:right w:val="single" w:color="auto" w:sz="8" w:space="0"/>
            </w:tcBorders>
            <w:noWrap w:val="0"/>
            <w:vAlign w:val="top"/>
          </w:tcPr>
          <w:p w14:paraId="78F776D2">
            <w:pPr>
              <w:wordWrap w:val="0"/>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受奖情况</w:t>
            </w:r>
          </w:p>
        </w:tc>
      </w:tr>
      <w:tr w14:paraId="4F45E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left w:val="single" w:color="auto" w:sz="8" w:space="0"/>
            </w:tcBorders>
            <w:noWrap w:val="0"/>
            <w:vAlign w:val="top"/>
          </w:tcPr>
          <w:p w14:paraId="5A699873">
            <w:pPr>
              <w:wordWrap w:val="0"/>
              <w:spacing w:line="440" w:lineRule="exact"/>
              <w:jc w:val="center"/>
              <w:rPr>
                <w:rFonts w:hint="eastAsia" w:ascii="宋体" w:hAnsi="宋体" w:eastAsia="宋体" w:cs="宋体"/>
                <w:color w:val="auto"/>
                <w:highlight w:val="none"/>
              </w:rPr>
            </w:pPr>
          </w:p>
        </w:tc>
        <w:tc>
          <w:tcPr>
            <w:tcW w:w="1608" w:type="dxa"/>
            <w:noWrap w:val="0"/>
            <w:vAlign w:val="top"/>
          </w:tcPr>
          <w:p w14:paraId="74FE6498">
            <w:pPr>
              <w:wordWrap w:val="0"/>
              <w:spacing w:line="440" w:lineRule="exact"/>
              <w:jc w:val="center"/>
              <w:rPr>
                <w:rFonts w:hint="eastAsia" w:ascii="宋体" w:hAnsi="宋体" w:eastAsia="宋体" w:cs="宋体"/>
                <w:color w:val="auto"/>
                <w:highlight w:val="none"/>
              </w:rPr>
            </w:pPr>
          </w:p>
        </w:tc>
        <w:tc>
          <w:tcPr>
            <w:tcW w:w="1608" w:type="dxa"/>
            <w:gridSpan w:val="2"/>
            <w:noWrap w:val="0"/>
            <w:vAlign w:val="top"/>
          </w:tcPr>
          <w:p w14:paraId="54C99F9F">
            <w:pPr>
              <w:wordWrap w:val="0"/>
              <w:spacing w:line="440" w:lineRule="exact"/>
              <w:jc w:val="center"/>
              <w:rPr>
                <w:rFonts w:hint="eastAsia" w:ascii="宋体" w:hAnsi="宋体" w:eastAsia="宋体" w:cs="宋体"/>
                <w:color w:val="auto"/>
                <w:highlight w:val="none"/>
              </w:rPr>
            </w:pPr>
          </w:p>
        </w:tc>
        <w:tc>
          <w:tcPr>
            <w:tcW w:w="1608" w:type="dxa"/>
            <w:gridSpan w:val="2"/>
            <w:noWrap w:val="0"/>
            <w:vAlign w:val="top"/>
          </w:tcPr>
          <w:p w14:paraId="7BE51602">
            <w:pPr>
              <w:wordWrap w:val="0"/>
              <w:spacing w:line="440" w:lineRule="exact"/>
              <w:jc w:val="center"/>
              <w:rPr>
                <w:rFonts w:hint="eastAsia" w:ascii="宋体" w:hAnsi="宋体" w:eastAsia="宋体" w:cs="宋体"/>
                <w:color w:val="auto"/>
                <w:highlight w:val="none"/>
              </w:rPr>
            </w:pPr>
          </w:p>
        </w:tc>
        <w:tc>
          <w:tcPr>
            <w:tcW w:w="1206" w:type="dxa"/>
            <w:gridSpan w:val="2"/>
            <w:noWrap w:val="0"/>
            <w:vAlign w:val="top"/>
          </w:tcPr>
          <w:p w14:paraId="7BD40BD8">
            <w:pPr>
              <w:wordWrap w:val="0"/>
              <w:spacing w:line="440" w:lineRule="exact"/>
              <w:jc w:val="center"/>
              <w:rPr>
                <w:rFonts w:hint="eastAsia" w:ascii="宋体" w:hAnsi="宋体" w:eastAsia="宋体" w:cs="宋体"/>
                <w:color w:val="auto"/>
                <w:highlight w:val="none"/>
              </w:rPr>
            </w:pPr>
          </w:p>
        </w:tc>
        <w:tc>
          <w:tcPr>
            <w:tcW w:w="1206" w:type="dxa"/>
            <w:tcBorders>
              <w:right w:val="single" w:color="auto" w:sz="8" w:space="0"/>
            </w:tcBorders>
            <w:noWrap w:val="0"/>
            <w:vAlign w:val="top"/>
          </w:tcPr>
          <w:p w14:paraId="05FA884E">
            <w:pPr>
              <w:wordWrap w:val="0"/>
              <w:spacing w:line="440" w:lineRule="exact"/>
              <w:jc w:val="center"/>
              <w:rPr>
                <w:rFonts w:hint="eastAsia" w:ascii="宋体" w:hAnsi="宋体" w:eastAsia="宋体" w:cs="宋体"/>
                <w:color w:val="auto"/>
                <w:highlight w:val="none"/>
              </w:rPr>
            </w:pPr>
          </w:p>
        </w:tc>
      </w:tr>
      <w:tr w14:paraId="79308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left w:val="single" w:color="auto" w:sz="8" w:space="0"/>
            </w:tcBorders>
            <w:noWrap w:val="0"/>
            <w:vAlign w:val="top"/>
          </w:tcPr>
          <w:p w14:paraId="769552ED">
            <w:pPr>
              <w:wordWrap w:val="0"/>
              <w:spacing w:line="440" w:lineRule="exact"/>
              <w:jc w:val="center"/>
              <w:rPr>
                <w:rFonts w:hint="eastAsia" w:ascii="宋体" w:hAnsi="宋体" w:eastAsia="宋体" w:cs="宋体"/>
                <w:color w:val="auto"/>
                <w:highlight w:val="none"/>
              </w:rPr>
            </w:pPr>
          </w:p>
        </w:tc>
        <w:tc>
          <w:tcPr>
            <w:tcW w:w="1608" w:type="dxa"/>
            <w:noWrap w:val="0"/>
            <w:vAlign w:val="top"/>
          </w:tcPr>
          <w:p w14:paraId="5752A138">
            <w:pPr>
              <w:wordWrap w:val="0"/>
              <w:spacing w:line="440" w:lineRule="exact"/>
              <w:jc w:val="center"/>
              <w:rPr>
                <w:rFonts w:hint="eastAsia" w:ascii="宋体" w:hAnsi="宋体" w:eastAsia="宋体" w:cs="宋体"/>
                <w:color w:val="auto"/>
                <w:highlight w:val="none"/>
              </w:rPr>
            </w:pPr>
          </w:p>
        </w:tc>
        <w:tc>
          <w:tcPr>
            <w:tcW w:w="1608" w:type="dxa"/>
            <w:gridSpan w:val="2"/>
            <w:noWrap w:val="0"/>
            <w:vAlign w:val="top"/>
          </w:tcPr>
          <w:p w14:paraId="3ABD5AE3">
            <w:pPr>
              <w:wordWrap w:val="0"/>
              <w:spacing w:line="440" w:lineRule="exact"/>
              <w:jc w:val="center"/>
              <w:rPr>
                <w:rFonts w:hint="eastAsia" w:ascii="宋体" w:hAnsi="宋体" w:eastAsia="宋体" w:cs="宋体"/>
                <w:color w:val="auto"/>
                <w:highlight w:val="none"/>
              </w:rPr>
            </w:pPr>
          </w:p>
        </w:tc>
        <w:tc>
          <w:tcPr>
            <w:tcW w:w="1608" w:type="dxa"/>
            <w:gridSpan w:val="2"/>
            <w:noWrap w:val="0"/>
            <w:vAlign w:val="top"/>
          </w:tcPr>
          <w:p w14:paraId="3B2B76E4">
            <w:pPr>
              <w:wordWrap w:val="0"/>
              <w:spacing w:line="440" w:lineRule="exact"/>
              <w:jc w:val="center"/>
              <w:rPr>
                <w:rFonts w:hint="eastAsia" w:ascii="宋体" w:hAnsi="宋体" w:eastAsia="宋体" w:cs="宋体"/>
                <w:color w:val="auto"/>
                <w:highlight w:val="none"/>
              </w:rPr>
            </w:pPr>
          </w:p>
        </w:tc>
        <w:tc>
          <w:tcPr>
            <w:tcW w:w="1206" w:type="dxa"/>
            <w:gridSpan w:val="2"/>
            <w:noWrap w:val="0"/>
            <w:vAlign w:val="top"/>
          </w:tcPr>
          <w:p w14:paraId="6AD0F64D">
            <w:pPr>
              <w:wordWrap w:val="0"/>
              <w:spacing w:line="440" w:lineRule="exact"/>
              <w:jc w:val="center"/>
              <w:rPr>
                <w:rFonts w:hint="eastAsia" w:ascii="宋体" w:hAnsi="宋体" w:eastAsia="宋体" w:cs="宋体"/>
                <w:color w:val="auto"/>
                <w:highlight w:val="none"/>
              </w:rPr>
            </w:pPr>
          </w:p>
        </w:tc>
        <w:tc>
          <w:tcPr>
            <w:tcW w:w="1206" w:type="dxa"/>
            <w:tcBorders>
              <w:right w:val="single" w:color="auto" w:sz="8" w:space="0"/>
            </w:tcBorders>
            <w:noWrap w:val="0"/>
            <w:vAlign w:val="top"/>
          </w:tcPr>
          <w:p w14:paraId="10236E78">
            <w:pPr>
              <w:wordWrap w:val="0"/>
              <w:spacing w:line="440" w:lineRule="exact"/>
              <w:jc w:val="center"/>
              <w:rPr>
                <w:rFonts w:hint="eastAsia" w:ascii="宋体" w:hAnsi="宋体" w:eastAsia="宋体" w:cs="宋体"/>
                <w:color w:val="auto"/>
                <w:highlight w:val="none"/>
              </w:rPr>
            </w:pPr>
          </w:p>
        </w:tc>
      </w:tr>
      <w:tr w14:paraId="6F1FC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left w:val="single" w:color="auto" w:sz="8" w:space="0"/>
            </w:tcBorders>
            <w:noWrap w:val="0"/>
            <w:vAlign w:val="top"/>
          </w:tcPr>
          <w:p w14:paraId="48B87C1A">
            <w:pPr>
              <w:wordWrap w:val="0"/>
              <w:spacing w:line="440" w:lineRule="exact"/>
              <w:jc w:val="center"/>
              <w:rPr>
                <w:rFonts w:hint="eastAsia" w:ascii="宋体" w:hAnsi="宋体" w:eastAsia="宋体" w:cs="宋体"/>
                <w:color w:val="auto"/>
                <w:highlight w:val="none"/>
              </w:rPr>
            </w:pPr>
          </w:p>
        </w:tc>
        <w:tc>
          <w:tcPr>
            <w:tcW w:w="1608" w:type="dxa"/>
            <w:noWrap w:val="0"/>
            <w:vAlign w:val="top"/>
          </w:tcPr>
          <w:p w14:paraId="3BC2363C">
            <w:pPr>
              <w:wordWrap w:val="0"/>
              <w:spacing w:line="440" w:lineRule="exact"/>
              <w:jc w:val="center"/>
              <w:rPr>
                <w:rFonts w:hint="eastAsia" w:ascii="宋体" w:hAnsi="宋体" w:eastAsia="宋体" w:cs="宋体"/>
                <w:color w:val="auto"/>
                <w:highlight w:val="none"/>
              </w:rPr>
            </w:pPr>
          </w:p>
        </w:tc>
        <w:tc>
          <w:tcPr>
            <w:tcW w:w="1608" w:type="dxa"/>
            <w:gridSpan w:val="2"/>
            <w:noWrap w:val="0"/>
            <w:vAlign w:val="top"/>
          </w:tcPr>
          <w:p w14:paraId="1C5028FC">
            <w:pPr>
              <w:wordWrap w:val="0"/>
              <w:spacing w:line="440" w:lineRule="exact"/>
              <w:jc w:val="center"/>
              <w:rPr>
                <w:rFonts w:hint="eastAsia" w:ascii="宋体" w:hAnsi="宋体" w:eastAsia="宋体" w:cs="宋体"/>
                <w:color w:val="auto"/>
                <w:highlight w:val="none"/>
              </w:rPr>
            </w:pPr>
          </w:p>
        </w:tc>
        <w:tc>
          <w:tcPr>
            <w:tcW w:w="1608" w:type="dxa"/>
            <w:gridSpan w:val="2"/>
            <w:noWrap w:val="0"/>
            <w:vAlign w:val="top"/>
          </w:tcPr>
          <w:p w14:paraId="2C18A227">
            <w:pPr>
              <w:wordWrap w:val="0"/>
              <w:spacing w:line="440" w:lineRule="exact"/>
              <w:jc w:val="center"/>
              <w:rPr>
                <w:rFonts w:hint="eastAsia" w:ascii="宋体" w:hAnsi="宋体" w:eastAsia="宋体" w:cs="宋体"/>
                <w:color w:val="auto"/>
                <w:highlight w:val="none"/>
              </w:rPr>
            </w:pPr>
          </w:p>
        </w:tc>
        <w:tc>
          <w:tcPr>
            <w:tcW w:w="1206" w:type="dxa"/>
            <w:gridSpan w:val="2"/>
            <w:noWrap w:val="0"/>
            <w:vAlign w:val="top"/>
          </w:tcPr>
          <w:p w14:paraId="2A8427CD">
            <w:pPr>
              <w:wordWrap w:val="0"/>
              <w:spacing w:line="440" w:lineRule="exact"/>
              <w:jc w:val="center"/>
              <w:rPr>
                <w:rFonts w:hint="eastAsia" w:ascii="宋体" w:hAnsi="宋体" w:eastAsia="宋体" w:cs="宋体"/>
                <w:color w:val="auto"/>
                <w:highlight w:val="none"/>
              </w:rPr>
            </w:pPr>
          </w:p>
        </w:tc>
        <w:tc>
          <w:tcPr>
            <w:tcW w:w="1206" w:type="dxa"/>
            <w:tcBorders>
              <w:right w:val="single" w:color="auto" w:sz="8" w:space="0"/>
            </w:tcBorders>
            <w:noWrap w:val="0"/>
            <w:vAlign w:val="top"/>
          </w:tcPr>
          <w:p w14:paraId="3B17E33E">
            <w:pPr>
              <w:wordWrap w:val="0"/>
              <w:spacing w:line="440" w:lineRule="exact"/>
              <w:jc w:val="center"/>
              <w:rPr>
                <w:rFonts w:hint="eastAsia" w:ascii="宋体" w:hAnsi="宋体" w:eastAsia="宋体" w:cs="宋体"/>
                <w:color w:val="auto"/>
                <w:highlight w:val="none"/>
              </w:rPr>
            </w:pPr>
          </w:p>
        </w:tc>
      </w:tr>
      <w:tr w14:paraId="7D00B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left w:val="single" w:color="auto" w:sz="8" w:space="0"/>
            </w:tcBorders>
            <w:noWrap w:val="0"/>
            <w:vAlign w:val="top"/>
          </w:tcPr>
          <w:p w14:paraId="22A1FEE5">
            <w:pPr>
              <w:wordWrap w:val="0"/>
              <w:spacing w:line="440" w:lineRule="exact"/>
              <w:jc w:val="center"/>
              <w:rPr>
                <w:rFonts w:hint="eastAsia" w:ascii="宋体" w:hAnsi="宋体" w:eastAsia="宋体" w:cs="宋体"/>
                <w:color w:val="auto"/>
                <w:highlight w:val="none"/>
              </w:rPr>
            </w:pPr>
          </w:p>
        </w:tc>
        <w:tc>
          <w:tcPr>
            <w:tcW w:w="1608" w:type="dxa"/>
            <w:noWrap w:val="0"/>
            <w:vAlign w:val="top"/>
          </w:tcPr>
          <w:p w14:paraId="5AB11424">
            <w:pPr>
              <w:wordWrap w:val="0"/>
              <w:spacing w:line="440" w:lineRule="exact"/>
              <w:jc w:val="center"/>
              <w:rPr>
                <w:rFonts w:hint="eastAsia" w:ascii="宋体" w:hAnsi="宋体" w:eastAsia="宋体" w:cs="宋体"/>
                <w:color w:val="auto"/>
                <w:highlight w:val="none"/>
              </w:rPr>
            </w:pPr>
          </w:p>
        </w:tc>
        <w:tc>
          <w:tcPr>
            <w:tcW w:w="1608" w:type="dxa"/>
            <w:gridSpan w:val="2"/>
            <w:noWrap w:val="0"/>
            <w:vAlign w:val="top"/>
          </w:tcPr>
          <w:p w14:paraId="02E8F602">
            <w:pPr>
              <w:wordWrap w:val="0"/>
              <w:spacing w:line="440" w:lineRule="exact"/>
              <w:jc w:val="center"/>
              <w:rPr>
                <w:rFonts w:hint="eastAsia" w:ascii="宋体" w:hAnsi="宋体" w:eastAsia="宋体" w:cs="宋体"/>
                <w:color w:val="auto"/>
                <w:highlight w:val="none"/>
              </w:rPr>
            </w:pPr>
          </w:p>
        </w:tc>
        <w:tc>
          <w:tcPr>
            <w:tcW w:w="1608" w:type="dxa"/>
            <w:gridSpan w:val="2"/>
            <w:noWrap w:val="0"/>
            <w:vAlign w:val="top"/>
          </w:tcPr>
          <w:p w14:paraId="1AC357C3">
            <w:pPr>
              <w:wordWrap w:val="0"/>
              <w:spacing w:line="440" w:lineRule="exact"/>
              <w:jc w:val="center"/>
              <w:rPr>
                <w:rFonts w:hint="eastAsia" w:ascii="宋体" w:hAnsi="宋体" w:eastAsia="宋体" w:cs="宋体"/>
                <w:color w:val="auto"/>
                <w:highlight w:val="none"/>
              </w:rPr>
            </w:pPr>
          </w:p>
        </w:tc>
        <w:tc>
          <w:tcPr>
            <w:tcW w:w="1206" w:type="dxa"/>
            <w:gridSpan w:val="2"/>
            <w:noWrap w:val="0"/>
            <w:vAlign w:val="top"/>
          </w:tcPr>
          <w:p w14:paraId="5F7DACB9">
            <w:pPr>
              <w:wordWrap w:val="0"/>
              <w:spacing w:line="440" w:lineRule="exact"/>
              <w:jc w:val="center"/>
              <w:rPr>
                <w:rFonts w:hint="eastAsia" w:ascii="宋体" w:hAnsi="宋体" w:eastAsia="宋体" w:cs="宋体"/>
                <w:color w:val="auto"/>
                <w:highlight w:val="none"/>
              </w:rPr>
            </w:pPr>
          </w:p>
        </w:tc>
        <w:tc>
          <w:tcPr>
            <w:tcW w:w="1206" w:type="dxa"/>
            <w:tcBorders>
              <w:right w:val="single" w:color="auto" w:sz="8" w:space="0"/>
            </w:tcBorders>
            <w:noWrap w:val="0"/>
            <w:vAlign w:val="top"/>
          </w:tcPr>
          <w:p w14:paraId="0D50198A">
            <w:pPr>
              <w:wordWrap w:val="0"/>
              <w:spacing w:line="440" w:lineRule="exact"/>
              <w:jc w:val="center"/>
              <w:rPr>
                <w:rFonts w:hint="eastAsia" w:ascii="宋体" w:hAnsi="宋体" w:eastAsia="宋体" w:cs="宋体"/>
                <w:color w:val="auto"/>
                <w:highlight w:val="none"/>
              </w:rPr>
            </w:pPr>
          </w:p>
        </w:tc>
      </w:tr>
      <w:tr w14:paraId="53589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left w:val="single" w:color="auto" w:sz="8" w:space="0"/>
            </w:tcBorders>
            <w:noWrap w:val="0"/>
            <w:vAlign w:val="top"/>
          </w:tcPr>
          <w:p w14:paraId="7B425B2F">
            <w:pPr>
              <w:wordWrap w:val="0"/>
              <w:spacing w:line="440" w:lineRule="exact"/>
              <w:jc w:val="center"/>
              <w:rPr>
                <w:rFonts w:hint="eastAsia" w:ascii="宋体" w:hAnsi="宋体" w:eastAsia="宋体" w:cs="宋体"/>
                <w:color w:val="auto"/>
                <w:highlight w:val="none"/>
              </w:rPr>
            </w:pPr>
          </w:p>
        </w:tc>
        <w:tc>
          <w:tcPr>
            <w:tcW w:w="1608" w:type="dxa"/>
            <w:noWrap w:val="0"/>
            <w:vAlign w:val="top"/>
          </w:tcPr>
          <w:p w14:paraId="5ACEA36D">
            <w:pPr>
              <w:wordWrap w:val="0"/>
              <w:spacing w:line="440" w:lineRule="exact"/>
              <w:jc w:val="center"/>
              <w:rPr>
                <w:rFonts w:hint="eastAsia" w:ascii="宋体" w:hAnsi="宋体" w:eastAsia="宋体" w:cs="宋体"/>
                <w:color w:val="auto"/>
                <w:highlight w:val="none"/>
              </w:rPr>
            </w:pPr>
          </w:p>
        </w:tc>
        <w:tc>
          <w:tcPr>
            <w:tcW w:w="1608" w:type="dxa"/>
            <w:gridSpan w:val="2"/>
            <w:noWrap w:val="0"/>
            <w:vAlign w:val="top"/>
          </w:tcPr>
          <w:p w14:paraId="066373C8">
            <w:pPr>
              <w:wordWrap w:val="0"/>
              <w:spacing w:line="440" w:lineRule="exact"/>
              <w:jc w:val="center"/>
              <w:rPr>
                <w:rFonts w:hint="eastAsia" w:ascii="宋体" w:hAnsi="宋体" w:eastAsia="宋体" w:cs="宋体"/>
                <w:color w:val="auto"/>
                <w:highlight w:val="none"/>
              </w:rPr>
            </w:pPr>
          </w:p>
        </w:tc>
        <w:tc>
          <w:tcPr>
            <w:tcW w:w="1608" w:type="dxa"/>
            <w:gridSpan w:val="2"/>
            <w:noWrap w:val="0"/>
            <w:vAlign w:val="top"/>
          </w:tcPr>
          <w:p w14:paraId="7790D6DC">
            <w:pPr>
              <w:wordWrap w:val="0"/>
              <w:spacing w:line="440" w:lineRule="exact"/>
              <w:jc w:val="center"/>
              <w:rPr>
                <w:rFonts w:hint="eastAsia" w:ascii="宋体" w:hAnsi="宋体" w:eastAsia="宋体" w:cs="宋体"/>
                <w:color w:val="auto"/>
                <w:highlight w:val="none"/>
              </w:rPr>
            </w:pPr>
          </w:p>
        </w:tc>
        <w:tc>
          <w:tcPr>
            <w:tcW w:w="1206" w:type="dxa"/>
            <w:gridSpan w:val="2"/>
            <w:noWrap w:val="0"/>
            <w:vAlign w:val="top"/>
          </w:tcPr>
          <w:p w14:paraId="31A7ED18">
            <w:pPr>
              <w:wordWrap w:val="0"/>
              <w:spacing w:line="440" w:lineRule="exact"/>
              <w:jc w:val="center"/>
              <w:rPr>
                <w:rFonts w:hint="eastAsia" w:ascii="宋体" w:hAnsi="宋体" w:eastAsia="宋体" w:cs="宋体"/>
                <w:color w:val="auto"/>
                <w:highlight w:val="none"/>
              </w:rPr>
            </w:pPr>
          </w:p>
        </w:tc>
        <w:tc>
          <w:tcPr>
            <w:tcW w:w="1206" w:type="dxa"/>
            <w:tcBorders>
              <w:right w:val="single" w:color="auto" w:sz="8" w:space="0"/>
            </w:tcBorders>
            <w:noWrap w:val="0"/>
            <w:vAlign w:val="top"/>
          </w:tcPr>
          <w:p w14:paraId="6B429E1B">
            <w:pPr>
              <w:wordWrap w:val="0"/>
              <w:spacing w:line="440" w:lineRule="exact"/>
              <w:jc w:val="center"/>
              <w:rPr>
                <w:rFonts w:hint="eastAsia" w:ascii="宋体" w:hAnsi="宋体" w:eastAsia="宋体" w:cs="宋体"/>
                <w:color w:val="auto"/>
                <w:highlight w:val="none"/>
              </w:rPr>
            </w:pPr>
          </w:p>
        </w:tc>
      </w:tr>
      <w:tr w14:paraId="00467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left w:val="single" w:color="auto" w:sz="8" w:space="0"/>
            </w:tcBorders>
            <w:noWrap w:val="0"/>
            <w:vAlign w:val="top"/>
          </w:tcPr>
          <w:p w14:paraId="0A9A8EEF">
            <w:pPr>
              <w:wordWrap w:val="0"/>
              <w:spacing w:line="440" w:lineRule="exact"/>
              <w:jc w:val="center"/>
              <w:rPr>
                <w:rFonts w:hint="eastAsia" w:ascii="宋体" w:hAnsi="宋体" w:eastAsia="宋体" w:cs="宋体"/>
                <w:color w:val="auto"/>
                <w:highlight w:val="none"/>
              </w:rPr>
            </w:pPr>
          </w:p>
        </w:tc>
        <w:tc>
          <w:tcPr>
            <w:tcW w:w="1608" w:type="dxa"/>
            <w:noWrap w:val="0"/>
            <w:vAlign w:val="top"/>
          </w:tcPr>
          <w:p w14:paraId="1DB7C2E5">
            <w:pPr>
              <w:wordWrap w:val="0"/>
              <w:spacing w:line="440" w:lineRule="exact"/>
              <w:jc w:val="center"/>
              <w:rPr>
                <w:rFonts w:hint="eastAsia" w:ascii="宋体" w:hAnsi="宋体" w:eastAsia="宋体" w:cs="宋体"/>
                <w:color w:val="auto"/>
                <w:highlight w:val="none"/>
              </w:rPr>
            </w:pPr>
          </w:p>
        </w:tc>
        <w:tc>
          <w:tcPr>
            <w:tcW w:w="1608" w:type="dxa"/>
            <w:gridSpan w:val="2"/>
            <w:noWrap w:val="0"/>
            <w:vAlign w:val="top"/>
          </w:tcPr>
          <w:p w14:paraId="2534679F">
            <w:pPr>
              <w:wordWrap w:val="0"/>
              <w:spacing w:line="440" w:lineRule="exact"/>
              <w:jc w:val="center"/>
              <w:rPr>
                <w:rFonts w:hint="eastAsia" w:ascii="宋体" w:hAnsi="宋体" w:eastAsia="宋体" w:cs="宋体"/>
                <w:color w:val="auto"/>
                <w:highlight w:val="none"/>
              </w:rPr>
            </w:pPr>
          </w:p>
        </w:tc>
        <w:tc>
          <w:tcPr>
            <w:tcW w:w="1608" w:type="dxa"/>
            <w:gridSpan w:val="2"/>
            <w:noWrap w:val="0"/>
            <w:vAlign w:val="top"/>
          </w:tcPr>
          <w:p w14:paraId="025D25E4">
            <w:pPr>
              <w:wordWrap w:val="0"/>
              <w:spacing w:line="440" w:lineRule="exact"/>
              <w:jc w:val="center"/>
              <w:rPr>
                <w:rFonts w:hint="eastAsia" w:ascii="宋体" w:hAnsi="宋体" w:eastAsia="宋体" w:cs="宋体"/>
                <w:color w:val="auto"/>
                <w:highlight w:val="none"/>
              </w:rPr>
            </w:pPr>
          </w:p>
        </w:tc>
        <w:tc>
          <w:tcPr>
            <w:tcW w:w="1206" w:type="dxa"/>
            <w:gridSpan w:val="2"/>
            <w:noWrap w:val="0"/>
            <w:vAlign w:val="top"/>
          </w:tcPr>
          <w:p w14:paraId="72B58DCB">
            <w:pPr>
              <w:wordWrap w:val="0"/>
              <w:spacing w:line="440" w:lineRule="exact"/>
              <w:jc w:val="center"/>
              <w:rPr>
                <w:rFonts w:hint="eastAsia" w:ascii="宋体" w:hAnsi="宋体" w:eastAsia="宋体" w:cs="宋体"/>
                <w:color w:val="auto"/>
                <w:highlight w:val="none"/>
              </w:rPr>
            </w:pPr>
          </w:p>
        </w:tc>
        <w:tc>
          <w:tcPr>
            <w:tcW w:w="1206" w:type="dxa"/>
            <w:tcBorders>
              <w:right w:val="single" w:color="auto" w:sz="8" w:space="0"/>
            </w:tcBorders>
            <w:noWrap w:val="0"/>
            <w:vAlign w:val="top"/>
          </w:tcPr>
          <w:p w14:paraId="730DBCD9">
            <w:pPr>
              <w:wordWrap w:val="0"/>
              <w:spacing w:line="440" w:lineRule="exact"/>
              <w:jc w:val="center"/>
              <w:rPr>
                <w:rFonts w:hint="eastAsia" w:ascii="宋体" w:hAnsi="宋体" w:eastAsia="宋体" w:cs="宋体"/>
                <w:color w:val="auto"/>
                <w:highlight w:val="none"/>
              </w:rPr>
            </w:pPr>
          </w:p>
        </w:tc>
      </w:tr>
      <w:tr w14:paraId="4DCBD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left w:val="single" w:color="auto" w:sz="8" w:space="0"/>
            </w:tcBorders>
            <w:noWrap w:val="0"/>
            <w:vAlign w:val="top"/>
          </w:tcPr>
          <w:p w14:paraId="456EDFE9">
            <w:pPr>
              <w:wordWrap w:val="0"/>
              <w:spacing w:line="440" w:lineRule="exact"/>
              <w:jc w:val="center"/>
              <w:rPr>
                <w:rFonts w:hint="eastAsia" w:ascii="宋体" w:hAnsi="宋体" w:eastAsia="宋体" w:cs="宋体"/>
                <w:color w:val="auto"/>
                <w:highlight w:val="none"/>
              </w:rPr>
            </w:pPr>
          </w:p>
        </w:tc>
        <w:tc>
          <w:tcPr>
            <w:tcW w:w="1608" w:type="dxa"/>
            <w:noWrap w:val="0"/>
            <w:vAlign w:val="top"/>
          </w:tcPr>
          <w:p w14:paraId="6F565A67">
            <w:pPr>
              <w:wordWrap w:val="0"/>
              <w:spacing w:line="440" w:lineRule="exact"/>
              <w:jc w:val="center"/>
              <w:rPr>
                <w:rFonts w:hint="eastAsia" w:ascii="宋体" w:hAnsi="宋体" w:eastAsia="宋体" w:cs="宋体"/>
                <w:color w:val="auto"/>
                <w:highlight w:val="none"/>
              </w:rPr>
            </w:pPr>
          </w:p>
        </w:tc>
        <w:tc>
          <w:tcPr>
            <w:tcW w:w="1608" w:type="dxa"/>
            <w:gridSpan w:val="2"/>
            <w:noWrap w:val="0"/>
            <w:vAlign w:val="top"/>
          </w:tcPr>
          <w:p w14:paraId="21494913">
            <w:pPr>
              <w:wordWrap w:val="0"/>
              <w:spacing w:line="440" w:lineRule="exact"/>
              <w:jc w:val="center"/>
              <w:rPr>
                <w:rFonts w:hint="eastAsia" w:ascii="宋体" w:hAnsi="宋体" w:eastAsia="宋体" w:cs="宋体"/>
                <w:color w:val="auto"/>
                <w:highlight w:val="none"/>
              </w:rPr>
            </w:pPr>
          </w:p>
        </w:tc>
        <w:tc>
          <w:tcPr>
            <w:tcW w:w="1608" w:type="dxa"/>
            <w:gridSpan w:val="2"/>
            <w:noWrap w:val="0"/>
            <w:vAlign w:val="top"/>
          </w:tcPr>
          <w:p w14:paraId="622CD249">
            <w:pPr>
              <w:wordWrap w:val="0"/>
              <w:spacing w:line="440" w:lineRule="exact"/>
              <w:jc w:val="center"/>
              <w:rPr>
                <w:rFonts w:hint="eastAsia" w:ascii="宋体" w:hAnsi="宋体" w:eastAsia="宋体" w:cs="宋体"/>
                <w:color w:val="auto"/>
                <w:highlight w:val="none"/>
              </w:rPr>
            </w:pPr>
          </w:p>
        </w:tc>
        <w:tc>
          <w:tcPr>
            <w:tcW w:w="1206" w:type="dxa"/>
            <w:gridSpan w:val="2"/>
            <w:noWrap w:val="0"/>
            <w:vAlign w:val="top"/>
          </w:tcPr>
          <w:p w14:paraId="724B0191">
            <w:pPr>
              <w:wordWrap w:val="0"/>
              <w:spacing w:line="440" w:lineRule="exact"/>
              <w:jc w:val="center"/>
              <w:rPr>
                <w:rFonts w:hint="eastAsia" w:ascii="宋体" w:hAnsi="宋体" w:eastAsia="宋体" w:cs="宋体"/>
                <w:color w:val="auto"/>
                <w:highlight w:val="none"/>
              </w:rPr>
            </w:pPr>
          </w:p>
        </w:tc>
        <w:tc>
          <w:tcPr>
            <w:tcW w:w="1206" w:type="dxa"/>
            <w:tcBorders>
              <w:right w:val="single" w:color="auto" w:sz="8" w:space="0"/>
            </w:tcBorders>
            <w:noWrap w:val="0"/>
            <w:vAlign w:val="top"/>
          </w:tcPr>
          <w:p w14:paraId="2D10D7AF">
            <w:pPr>
              <w:wordWrap w:val="0"/>
              <w:spacing w:line="440" w:lineRule="exact"/>
              <w:jc w:val="center"/>
              <w:rPr>
                <w:rFonts w:hint="eastAsia" w:ascii="宋体" w:hAnsi="宋体" w:eastAsia="宋体" w:cs="宋体"/>
                <w:color w:val="auto"/>
                <w:highlight w:val="none"/>
              </w:rPr>
            </w:pPr>
          </w:p>
        </w:tc>
      </w:tr>
      <w:tr w14:paraId="4AD08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tcBorders>
              <w:left w:val="single" w:color="auto" w:sz="8" w:space="0"/>
              <w:bottom w:val="single" w:color="auto" w:sz="8" w:space="0"/>
            </w:tcBorders>
            <w:noWrap w:val="0"/>
            <w:vAlign w:val="top"/>
          </w:tcPr>
          <w:p w14:paraId="7A7DED34">
            <w:pPr>
              <w:wordWrap w:val="0"/>
              <w:spacing w:line="440" w:lineRule="exact"/>
              <w:jc w:val="center"/>
              <w:rPr>
                <w:rFonts w:hint="eastAsia" w:ascii="宋体" w:hAnsi="宋体" w:eastAsia="宋体" w:cs="宋体"/>
                <w:color w:val="auto"/>
                <w:highlight w:val="none"/>
              </w:rPr>
            </w:pPr>
          </w:p>
        </w:tc>
        <w:tc>
          <w:tcPr>
            <w:tcW w:w="1608" w:type="dxa"/>
            <w:tcBorders>
              <w:bottom w:val="single" w:color="auto" w:sz="8" w:space="0"/>
            </w:tcBorders>
            <w:noWrap w:val="0"/>
            <w:vAlign w:val="top"/>
          </w:tcPr>
          <w:p w14:paraId="23D70B42">
            <w:pPr>
              <w:wordWrap w:val="0"/>
              <w:spacing w:line="440" w:lineRule="exact"/>
              <w:jc w:val="center"/>
              <w:rPr>
                <w:rFonts w:hint="eastAsia" w:ascii="宋体" w:hAnsi="宋体" w:eastAsia="宋体" w:cs="宋体"/>
                <w:color w:val="auto"/>
                <w:highlight w:val="none"/>
              </w:rPr>
            </w:pPr>
          </w:p>
        </w:tc>
        <w:tc>
          <w:tcPr>
            <w:tcW w:w="1608" w:type="dxa"/>
            <w:gridSpan w:val="2"/>
            <w:tcBorders>
              <w:bottom w:val="single" w:color="auto" w:sz="8" w:space="0"/>
            </w:tcBorders>
            <w:noWrap w:val="0"/>
            <w:vAlign w:val="top"/>
          </w:tcPr>
          <w:p w14:paraId="0739903D">
            <w:pPr>
              <w:wordWrap w:val="0"/>
              <w:spacing w:line="440" w:lineRule="exact"/>
              <w:jc w:val="center"/>
              <w:rPr>
                <w:rFonts w:hint="eastAsia" w:ascii="宋体" w:hAnsi="宋体" w:eastAsia="宋体" w:cs="宋体"/>
                <w:color w:val="auto"/>
                <w:highlight w:val="none"/>
              </w:rPr>
            </w:pPr>
          </w:p>
        </w:tc>
        <w:tc>
          <w:tcPr>
            <w:tcW w:w="1608" w:type="dxa"/>
            <w:gridSpan w:val="2"/>
            <w:tcBorders>
              <w:bottom w:val="single" w:color="auto" w:sz="8" w:space="0"/>
            </w:tcBorders>
            <w:noWrap w:val="0"/>
            <w:vAlign w:val="top"/>
          </w:tcPr>
          <w:p w14:paraId="049ECC15">
            <w:pPr>
              <w:wordWrap w:val="0"/>
              <w:spacing w:line="440" w:lineRule="exact"/>
              <w:jc w:val="center"/>
              <w:rPr>
                <w:rFonts w:hint="eastAsia" w:ascii="宋体" w:hAnsi="宋体" w:eastAsia="宋体" w:cs="宋体"/>
                <w:color w:val="auto"/>
                <w:highlight w:val="none"/>
              </w:rPr>
            </w:pPr>
          </w:p>
        </w:tc>
        <w:tc>
          <w:tcPr>
            <w:tcW w:w="1206" w:type="dxa"/>
            <w:gridSpan w:val="2"/>
            <w:tcBorders>
              <w:bottom w:val="single" w:color="auto" w:sz="8" w:space="0"/>
            </w:tcBorders>
            <w:noWrap w:val="0"/>
            <w:vAlign w:val="top"/>
          </w:tcPr>
          <w:p w14:paraId="1944FA3B">
            <w:pPr>
              <w:wordWrap w:val="0"/>
              <w:spacing w:line="440" w:lineRule="exact"/>
              <w:jc w:val="center"/>
              <w:rPr>
                <w:rFonts w:hint="eastAsia" w:ascii="宋体" w:hAnsi="宋体" w:eastAsia="宋体" w:cs="宋体"/>
                <w:color w:val="auto"/>
                <w:highlight w:val="none"/>
              </w:rPr>
            </w:pPr>
          </w:p>
        </w:tc>
        <w:tc>
          <w:tcPr>
            <w:tcW w:w="1206" w:type="dxa"/>
            <w:tcBorders>
              <w:bottom w:val="single" w:color="auto" w:sz="8" w:space="0"/>
              <w:right w:val="single" w:color="auto" w:sz="8" w:space="0"/>
            </w:tcBorders>
            <w:noWrap w:val="0"/>
            <w:vAlign w:val="top"/>
          </w:tcPr>
          <w:p w14:paraId="0AB0F041">
            <w:pPr>
              <w:wordWrap w:val="0"/>
              <w:spacing w:line="440" w:lineRule="exact"/>
              <w:jc w:val="center"/>
              <w:rPr>
                <w:rFonts w:hint="eastAsia" w:ascii="宋体" w:hAnsi="宋体" w:eastAsia="宋体" w:cs="宋体"/>
                <w:color w:val="auto"/>
                <w:highlight w:val="none"/>
              </w:rPr>
            </w:pPr>
          </w:p>
        </w:tc>
      </w:tr>
    </w:tbl>
    <w:p w14:paraId="14BE575A">
      <w:pPr>
        <w:wordWrap w:val="0"/>
        <w:snapToGrid w:val="0"/>
        <w:spacing w:line="400" w:lineRule="exact"/>
        <w:ind w:left="420" w:leftChars="200" w:firstLine="337" w:firstLineChars="160"/>
        <w:outlineLvl w:val="4"/>
        <w:rPr>
          <w:rFonts w:hint="eastAsia" w:ascii="宋体" w:hAnsi="宋体" w:eastAsia="宋体" w:cs="宋体"/>
          <w:b/>
          <w:color w:val="auto"/>
          <w:szCs w:val="21"/>
          <w:highlight w:val="none"/>
        </w:rPr>
      </w:pPr>
    </w:p>
    <w:p w14:paraId="048ADF31">
      <w:pPr>
        <w:keepNext w:val="0"/>
        <w:keepLines w:val="0"/>
        <w:pageBreakBefore w:val="0"/>
        <w:widowControl/>
        <w:kinsoku/>
        <w:wordWrap w:val="0"/>
        <w:overflowPunct/>
        <w:topLinePunct w:val="0"/>
        <w:autoSpaceDE/>
        <w:autoSpaceDN/>
        <w:bidi w:val="0"/>
        <w:adjustRightInd/>
        <w:snapToGrid/>
        <w:spacing w:line="320" w:lineRule="exact"/>
        <w:ind w:firstLine="482" w:firstLineChars="200"/>
        <w:jc w:val="lef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w:t>
      </w:r>
      <w:r>
        <w:rPr>
          <w:rFonts w:hint="eastAsia" w:ascii="宋体" w:hAnsi="宋体" w:cs="宋体"/>
          <w:b/>
          <w:color w:val="auto"/>
          <w:sz w:val="24"/>
          <w:highlight w:val="none"/>
          <w:lang w:val="en-US" w:eastAsia="zh-CN"/>
        </w:rPr>
        <w:t>1.</w:t>
      </w:r>
      <w:r>
        <w:rPr>
          <w:rFonts w:hint="eastAsia" w:ascii="宋体" w:hAnsi="宋体" w:eastAsia="宋体" w:cs="宋体"/>
          <w:b/>
          <w:color w:val="auto"/>
          <w:sz w:val="24"/>
          <w:highlight w:val="none"/>
        </w:rPr>
        <w:t>项目经理应附身份证、中国古迹遗址保护协会颁发的文物保护工程责任工程师证书、职称证书（如有）的扫描件以及响应文件递交截止时间前</w:t>
      </w:r>
      <w:r>
        <w:rPr>
          <w:rFonts w:hint="eastAsia" w:ascii="宋体" w:hAnsi="宋体" w:eastAsia="宋体" w:cs="宋体"/>
          <w:b/>
          <w:bCs/>
          <w:color w:val="auto"/>
          <w:sz w:val="24"/>
          <w:highlight w:val="none"/>
        </w:rPr>
        <w:t>半年内任意连续三个月本公司为其缴纳的社会保险缴费证明扫描件</w:t>
      </w:r>
      <w:r>
        <w:rPr>
          <w:rFonts w:hint="eastAsia" w:ascii="宋体" w:hAnsi="宋体" w:eastAsia="宋体" w:cs="宋体"/>
          <w:b/>
          <w:color w:val="auto"/>
          <w:sz w:val="24"/>
          <w:highlight w:val="none"/>
        </w:rPr>
        <w:t>（属于事业单位编制以及下设机构不用缴纳社保或者统一由上级部门或当地财政部门缴纳社保的，提供上一级缴纳社保证明或者是提供相关文件说明；如为退休返聘人员，提供其退休证及返聘合同原件扫描件；如为近期新聘员工的，以提供劳动合同证明材料为准）及供应商认为需要提供的其他材料。</w:t>
      </w:r>
    </w:p>
    <w:p w14:paraId="052E30E3">
      <w:pPr>
        <w:keepNext w:val="0"/>
        <w:keepLines w:val="0"/>
        <w:pageBreakBefore w:val="0"/>
        <w:widowControl/>
        <w:kinsoku/>
        <w:wordWrap w:val="0"/>
        <w:overflowPunct/>
        <w:topLinePunct w:val="0"/>
        <w:autoSpaceDE/>
        <w:autoSpaceDN/>
        <w:bidi w:val="0"/>
        <w:adjustRightInd/>
        <w:snapToGrid/>
        <w:spacing w:line="320" w:lineRule="exact"/>
        <w:ind w:firstLine="482" w:firstLineChars="200"/>
        <w:jc w:val="lef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2.以上所提供的材料均须加盖公章。</w:t>
      </w:r>
    </w:p>
    <w:p w14:paraId="00F97F2E">
      <w:pPr>
        <w:widowControl/>
        <w:wordWrap w:val="0"/>
        <w:ind w:left="420" w:leftChars="200" w:firstLine="336" w:firstLineChars="160"/>
        <w:jc w:val="left"/>
        <w:rPr>
          <w:rFonts w:hint="eastAsia" w:ascii="宋体" w:hAnsi="宋体" w:eastAsia="宋体" w:cs="宋体"/>
          <w:color w:val="auto"/>
          <w:szCs w:val="21"/>
          <w:highlight w:val="none"/>
        </w:rPr>
      </w:pPr>
    </w:p>
    <w:p w14:paraId="38A7A3DC">
      <w:pPr>
        <w:widowControl/>
        <w:wordWrap w:val="0"/>
        <w:ind w:left="420" w:leftChars="200" w:firstLine="336" w:firstLineChars="160"/>
        <w:jc w:val="left"/>
        <w:rPr>
          <w:rFonts w:hint="eastAsia" w:ascii="宋体" w:hAnsi="宋体" w:eastAsia="宋体" w:cs="宋体"/>
          <w:color w:val="auto"/>
          <w:szCs w:val="21"/>
          <w:highlight w:val="none"/>
        </w:rPr>
      </w:pPr>
    </w:p>
    <w:p w14:paraId="7D6E6767">
      <w:pPr>
        <w:snapToGrid w:val="0"/>
        <w:spacing w:line="400" w:lineRule="exact"/>
        <w:ind w:firstLine="0" w:firstLineChars="0"/>
        <w:rPr>
          <w:rFonts w:ascii="宋体" w:hAnsi="宋体" w:cs="宋体"/>
          <w:color w:val="000000" w:themeColor="text1"/>
          <w:sz w:val="21"/>
          <w:szCs w:val="21"/>
          <w:u w:val="single"/>
          <w14:textFill>
            <w14:solidFill>
              <w14:schemeClr w14:val="tx1"/>
            </w14:solidFill>
          </w14:textFill>
        </w:rPr>
      </w:pPr>
      <w:r>
        <w:rPr>
          <w:rFonts w:hint="eastAsia" w:ascii="宋体" w:hAnsi="宋体" w:eastAsia="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w:t>
      </w:r>
      <w:r>
        <w:rPr>
          <w:rFonts w:hint="eastAsia" w:ascii="宋体" w:hAnsi="宋体" w:cs="宋体"/>
          <w:color w:val="000000" w:themeColor="text1"/>
          <w:sz w:val="21"/>
          <w:szCs w:val="21"/>
          <w14:textFill>
            <w14:solidFill>
              <w14:schemeClr w14:val="tx1"/>
            </w14:solidFill>
          </w14:textFill>
        </w:rPr>
        <w:t>供应商（电子签章）：</w:t>
      </w:r>
    </w:p>
    <w:p w14:paraId="3CBEAD02">
      <w:pPr>
        <w:spacing w:line="340" w:lineRule="exact"/>
        <w:ind w:firstLine="0" w:firstLineChars="0"/>
        <w:rPr>
          <w:rFonts w:ascii="宋体" w:hAnsi="宋体" w:cs="宋体"/>
          <w:color w:val="000000" w:themeColor="text1"/>
          <w:sz w:val="21"/>
          <w:szCs w:val="24"/>
          <w14:textFill>
            <w14:solidFill>
              <w14:schemeClr w14:val="tx1"/>
            </w14:solidFill>
          </w14:textFill>
        </w:rPr>
      </w:pPr>
      <w:r>
        <w:rPr>
          <w:rFonts w:hint="eastAsia" w:ascii="宋体" w:hAnsi="宋体" w:cs="宋体"/>
          <w:color w:val="000000" w:themeColor="text1"/>
          <w:sz w:val="21"/>
          <w:szCs w:val="24"/>
          <w14:textFill>
            <w14:solidFill>
              <w14:schemeClr w14:val="tx1"/>
            </w14:solidFill>
          </w14:textFill>
        </w:rPr>
        <w:t xml:space="preserve"> </w:t>
      </w:r>
      <w:r>
        <w:rPr>
          <w:rFonts w:hint="eastAsia" w:ascii="宋体" w:hAnsi="宋体" w:cs="宋体"/>
          <w:color w:val="000000" w:themeColor="text1"/>
          <w:sz w:val="21"/>
          <w:szCs w:val="24"/>
          <w:lang w:val="en-US" w:eastAsia="zh-CN"/>
          <w14:textFill>
            <w14:solidFill>
              <w14:schemeClr w14:val="tx1"/>
            </w14:solidFill>
          </w14:textFill>
        </w:rPr>
        <w:t xml:space="preserve"> </w:t>
      </w:r>
      <w:r>
        <w:rPr>
          <w:rFonts w:hint="eastAsia" w:ascii="宋体" w:hAnsi="宋体" w:cs="宋体"/>
          <w:color w:val="000000" w:themeColor="text1"/>
          <w:sz w:val="21"/>
          <w:szCs w:val="24"/>
          <w14:textFill>
            <w14:solidFill>
              <w14:schemeClr w14:val="tx1"/>
            </w14:solidFill>
          </w14:textFill>
        </w:rPr>
        <w:t xml:space="preserve"> 法定代表人或委托代理人签字</w:t>
      </w:r>
      <w:r>
        <w:rPr>
          <w:rFonts w:hint="eastAsia" w:ascii="宋体" w:hAnsi="宋体" w:cs="宋体"/>
          <w:color w:val="000000" w:themeColor="text1"/>
          <w:sz w:val="21"/>
          <w:szCs w:val="21"/>
          <w14:textFill>
            <w14:solidFill>
              <w14:schemeClr w14:val="tx1"/>
            </w14:solidFill>
          </w14:textFill>
        </w:rPr>
        <w:t>（或电子签名）</w:t>
      </w:r>
      <w:r>
        <w:rPr>
          <w:rFonts w:hint="eastAsia" w:ascii="宋体" w:hAnsi="宋体" w:cs="宋体"/>
          <w:color w:val="000000" w:themeColor="text1"/>
          <w:sz w:val="21"/>
          <w:szCs w:val="24"/>
          <w14:textFill>
            <w14:solidFill>
              <w14:schemeClr w14:val="tx1"/>
            </w14:solidFill>
          </w14:textFill>
        </w:rPr>
        <w:t>：</w:t>
      </w:r>
    </w:p>
    <w:p w14:paraId="318F5C7F">
      <w:pPr>
        <w:spacing w:line="400" w:lineRule="exact"/>
        <w:ind w:firstLine="0" w:firstLineChars="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0"/>
          <w14:textFill>
            <w14:solidFill>
              <w14:schemeClr w14:val="tx1"/>
            </w14:solidFill>
          </w14:textFill>
        </w:rPr>
        <w:t xml:space="preserve">  </w:t>
      </w:r>
      <w:r>
        <w:rPr>
          <w:rFonts w:hint="eastAsia" w:ascii="宋体" w:hAnsi="宋体" w:cs="宋体"/>
          <w:color w:val="000000" w:themeColor="text1"/>
          <w:sz w:val="21"/>
          <w:szCs w:val="20"/>
          <w:lang w:val="en-US" w:eastAsia="zh-CN"/>
          <w14:textFill>
            <w14:solidFill>
              <w14:schemeClr w14:val="tx1"/>
            </w14:solidFill>
          </w14:textFill>
        </w:rPr>
        <w:t xml:space="preserve">                          </w:t>
      </w:r>
      <w:r>
        <w:rPr>
          <w:rFonts w:hint="eastAsia" w:ascii="宋体" w:hAnsi="宋体" w:cs="宋体"/>
          <w:color w:val="000000" w:themeColor="text1"/>
          <w:sz w:val="21"/>
          <w:szCs w:val="20"/>
          <w14:textFill>
            <w14:solidFill>
              <w14:schemeClr w14:val="tx1"/>
            </w14:solidFill>
          </w14:textFill>
        </w:rPr>
        <w:t>日          期：</w:t>
      </w:r>
    </w:p>
    <w:p w14:paraId="01010A63">
      <w:pPr>
        <w:pStyle w:val="9"/>
        <w:wordWrap w:val="0"/>
        <w:spacing w:line="300" w:lineRule="exact"/>
        <w:ind w:left="420" w:leftChars="200" w:firstLine="2847" w:firstLineChars="1356"/>
        <w:rPr>
          <w:rFonts w:hint="eastAsia" w:ascii="宋体" w:hAnsi="宋体" w:eastAsia="宋体" w:cs="宋体"/>
          <w:color w:val="auto"/>
          <w:szCs w:val="21"/>
          <w:highlight w:val="none"/>
          <w:u w:val="single"/>
        </w:rPr>
      </w:pPr>
    </w:p>
    <w:p w14:paraId="7BCF6343">
      <w:pPr>
        <w:wordWrap w:val="0"/>
        <w:snapToGrid w:val="0"/>
        <w:spacing w:line="300" w:lineRule="exact"/>
        <w:ind w:left="420" w:leftChars="200" w:firstLine="336" w:firstLineChars="160"/>
        <w:jc w:val="right"/>
        <w:rPr>
          <w:rFonts w:hint="eastAsia" w:ascii="宋体" w:hAnsi="宋体" w:eastAsia="宋体" w:cs="宋体"/>
          <w:color w:val="auto"/>
          <w:highlight w:val="none"/>
          <w:u w:val="single"/>
        </w:rPr>
      </w:pPr>
    </w:p>
    <w:p w14:paraId="35DD5A7B">
      <w:pPr>
        <w:pStyle w:val="9"/>
        <w:wordWrap w:val="0"/>
        <w:spacing w:line="340" w:lineRule="exact"/>
        <w:ind w:left="420" w:leftChars="200" w:firstLine="450" w:firstLineChars="160"/>
        <w:rPr>
          <w:rFonts w:hint="eastAsia" w:ascii="宋体" w:hAnsi="宋体" w:eastAsia="宋体" w:cs="宋体"/>
          <w:b/>
          <w:color w:val="auto"/>
          <w:sz w:val="28"/>
          <w:szCs w:val="28"/>
          <w:highlight w:val="none"/>
        </w:rPr>
      </w:pPr>
    </w:p>
    <w:p w14:paraId="14DFC946">
      <w:pPr>
        <w:wordWrap w:val="0"/>
        <w:ind w:left="420" w:leftChars="200" w:firstLine="450" w:firstLineChars="160"/>
        <w:rPr>
          <w:rFonts w:hint="eastAsia" w:ascii="宋体" w:hAnsi="宋体" w:eastAsia="宋体" w:cs="宋体"/>
          <w:b/>
          <w:color w:val="auto"/>
          <w:sz w:val="28"/>
          <w:szCs w:val="28"/>
          <w:highlight w:val="none"/>
        </w:rPr>
      </w:pPr>
    </w:p>
    <w:p w14:paraId="70C5C1F9">
      <w:pPr>
        <w:pStyle w:val="6"/>
        <w:wordWrap w:val="0"/>
        <w:ind w:left="0"/>
        <w:rPr>
          <w:rFonts w:hint="eastAsia" w:ascii="宋体" w:hAnsi="宋体" w:eastAsia="宋体" w:cs="宋体"/>
          <w:b/>
          <w:color w:val="auto"/>
          <w:sz w:val="28"/>
          <w:szCs w:val="28"/>
          <w:highlight w:val="none"/>
        </w:rPr>
      </w:pPr>
    </w:p>
    <w:p w14:paraId="6A0E1512">
      <w:pPr>
        <w:pStyle w:val="6"/>
        <w:wordWrap w:val="0"/>
        <w:spacing w:line="400" w:lineRule="exact"/>
        <w:ind w:left="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r>
        <w:rPr>
          <w:rFonts w:hint="eastAsia" w:ascii="宋体" w:hAnsi="宋体" w:eastAsia="宋体" w:cs="宋体"/>
          <w:b/>
          <w:color w:val="auto"/>
          <w:sz w:val="28"/>
          <w:szCs w:val="28"/>
          <w:highlight w:val="none"/>
        </w:rPr>
        <w:t>6、供应商近半年内任意一个月或任一季度依法缴纳税收的证明材料[增值税缴纳发票(税收完税证明)或企业所得税完税证明或税务部门出具的无欠税证明或免税证明]复印件（必须提供）</w:t>
      </w:r>
    </w:p>
    <w:p w14:paraId="49009F4B">
      <w:pPr>
        <w:wordWrap w:val="0"/>
        <w:spacing w:line="440" w:lineRule="atLeast"/>
        <w:rPr>
          <w:rFonts w:hint="eastAsia" w:ascii="宋体" w:hAnsi="宋体" w:eastAsia="宋体" w:cs="宋体"/>
          <w:b/>
          <w:color w:val="auto"/>
          <w:sz w:val="28"/>
          <w:szCs w:val="28"/>
          <w:highlight w:val="none"/>
        </w:rPr>
      </w:pPr>
    </w:p>
    <w:p w14:paraId="22CC0307">
      <w:pPr>
        <w:wordWrap w:val="0"/>
        <w:spacing w:line="440" w:lineRule="atLeast"/>
        <w:rPr>
          <w:rFonts w:hint="eastAsia" w:ascii="宋体" w:hAnsi="宋体" w:eastAsia="宋体" w:cs="宋体"/>
          <w:b/>
          <w:color w:val="auto"/>
          <w:sz w:val="28"/>
          <w:szCs w:val="28"/>
          <w:highlight w:val="none"/>
        </w:rPr>
      </w:pPr>
    </w:p>
    <w:p w14:paraId="5826BA0C">
      <w:pPr>
        <w:wordWrap w:val="0"/>
        <w:spacing w:line="440" w:lineRule="atLeast"/>
        <w:rPr>
          <w:rFonts w:hint="eastAsia" w:ascii="宋体" w:hAnsi="宋体" w:eastAsia="宋体" w:cs="宋体"/>
          <w:b/>
          <w:color w:val="auto"/>
          <w:sz w:val="28"/>
          <w:szCs w:val="28"/>
          <w:highlight w:val="none"/>
        </w:rPr>
      </w:pPr>
    </w:p>
    <w:p w14:paraId="252F8750">
      <w:pPr>
        <w:wordWrap w:val="0"/>
        <w:spacing w:line="440" w:lineRule="atLeast"/>
        <w:rPr>
          <w:rFonts w:hint="eastAsia" w:ascii="宋体" w:hAnsi="宋体" w:eastAsia="宋体" w:cs="宋体"/>
          <w:b/>
          <w:color w:val="auto"/>
          <w:sz w:val="28"/>
          <w:szCs w:val="28"/>
          <w:highlight w:val="none"/>
        </w:rPr>
      </w:pPr>
    </w:p>
    <w:p w14:paraId="6F7C64C0">
      <w:pPr>
        <w:wordWrap w:val="0"/>
        <w:spacing w:line="440" w:lineRule="atLeast"/>
        <w:rPr>
          <w:rFonts w:hint="eastAsia" w:ascii="宋体" w:hAnsi="宋体" w:eastAsia="宋体" w:cs="宋体"/>
          <w:b/>
          <w:color w:val="auto"/>
          <w:sz w:val="28"/>
          <w:szCs w:val="28"/>
          <w:highlight w:val="none"/>
        </w:rPr>
      </w:pPr>
    </w:p>
    <w:p w14:paraId="00D07ED4">
      <w:pPr>
        <w:wordWrap w:val="0"/>
        <w:spacing w:line="440" w:lineRule="atLeast"/>
        <w:rPr>
          <w:rFonts w:hint="eastAsia" w:ascii="宋体" w:hAnsi="宋体" w:eastAsia="宋体" w:cs="宋体"/>
          <w:b/>
          <w:color w:val="auto"/>
          <w:sz w:val="28"/>
          <w:szCs w:val="28"/>
          <w:highlight w:val="none"/>
        </w:rPr>
      </w:pPr>
    </w:p>
    <w:p w14:paraId="7E66CD81">
      <w:pPr>
        <w:wordWrap w:val="0"/>
        <w:spacing w:line="440" w:lineRule="atLeas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7、供应商参加政府采购活动前3年内在经营活动中没有重大违法记录及有关信用信息的书面声明（必须提供）</w:t>
      </w:r>
    </w:p>
    <w:p w14:paraId="2599510A">
      <w:pPr>
        <w:pStyle w:val="9"/>
        <w:wordWrap w:val="0"/>
        <w:spacing w:line="400" w:lineRule="exact"/>
        <w:ind w:left="420" w:leftChars="200" w:firstLine="514" w:firstLineChars="16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                       </w:t>
      </w:r>
    </w:p>
    <w:p w14:paraId="1546C653">
      <w:pPr>
        <w:pStyle w:val="9"/>
        <w:wordWrap w:val="0"/>
        <w:spacing w:line="400" w:lineRule="exac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附件：</w:t>
      </w:r>
    </w:p>
    <w:p w14:paraId="0D500354">
      <w:pPr>
        <w:pStyle w:val="9"/>
        <w:wordWrap w:val="0"/>
        <w:spacing w:line="400" w:lineRule="exact"/>
        <w:ind w:left="420" w:leftChars="200" w:firstLine="514" w:firstLineChars="160"/>
        <w:jc w:val="center"/>
        <w:rPr>
          <w:rFonts w:hint="eastAsia" w:ascii="宋体" w:hAnsi="宋体" w:eastAsia="宋体" w:cs="宋体"/>
          <w:b/>
          <w:color w:val="auto"/>
          <w:sz w:val="32"/>
          <w:szCs w:val="32"/>
          <w:highlight w:val="none"/>
        </w:rPr>
      </w:pPr>
      <w:bookmarkStart w:id="1787" w:name="_Toc30890_WPSOffice_Level1"/>
      <w:bookmarkStart w:id="1788" w:name="_Toc30304_WPSOffice_Level1"/>
      <w:r>
        <w:rPr>
          <w:rFonts w:hint="eastAsia" w:ascii="宋体" w:hAnsi="宋体" w:eastAsia="宋体" w:cs="宋体"/>
          <w:b/>
          <w:color w:val="auto"/>
          <w:sz w:val="32"/>
          <w:szCs w:val="32"/>
          <w:highlight w:val="none"/>
        </w:rPr>
        <w:t>声   明</w:t>
      </w:r>
      <w:bookmarkEnd w:id="1787"/>
      <w:bookmarkEnd w:id="1788"/>
    </w:p>
    <w:p w14:paraId="2F7DD375">
      <w:pPr>
        <w:pStyle w:val="9"/>
        <w:wordWrap w:val="0"/>
        <w:spacing w:line="400" w:lineRule="exact"/>
        <w:ind w:left="420" w:leftChars="200" w:firstLine="514" w:firstLineChars="160"/>
        <w:rPr>
          <w:rFonts w:hint="eastAsia" w:ascii="宋体" w:hAnsi="宋体" w:eastAsia="宋体" w:cs="宋体"/>
          <w:b/>
          <w:color w:val="auto"/>
          <w:sz w:val="32"/>
          <w:szCs w:val="32"/>
          <w:highlight w:val="none"/>
        </w:rPr>
      </w:pPr>
    </w:p>
    <w:p w14:paraId="01145519">
      <w:pPr>
        <w:pStyle w:val="9"/>
        <w:wordWrap w:val="0"/>
        <w:spacing w:line="400" w:lineRule="exact"/>
        <w:rPr>
          <w:rFonts w:hint="eastAsia" w:ascii="宋体" w:hAnsi="宋体" w:eastAsia="宋体" w:cs="宋体"/>
          <w:color w:val="auto"/>
          <w:szCs w:val="21"/>
          <w:highlight w:val="none"/>
          <w:u w:val="single"/>
          <w:lang w:eastAsia="zh-CN"/>
        </w:rPr>
      </w:pPr>
      <w:r>
        <w:rPr>
          <w:rFonts w:hint="eastAsia" w:ascii="宋体" w:hAnsi="宋体" w:eastAsia="宋体" w:cs="宋体"/>
          <w:b/>
          <w:color w:val="auto"/>
          <w:szCs w:val="21"/>
          <w:highlight w:val="none"/>
        </w:rPr>
        <w:t>致</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广西华诚达建设项目管理有限公司</w:t>
      </w:r>
    </w:p>
    <w:p w14:paraId="271A2050">
      <w:pPr>
        <w:wordWrap w:val="0"/>
        <w:ind w:left="420" w:leftChars="200" w:firstLine="336" w:firstLineChars="160"/>
        <w:rPr>
          <w:rFonts w:hint="eastAsia" w:ascii="宋体" w:hAnsi="宋体" w:eastAsia="宋体" w:cs="宋体"/>
          <w:color w:val="auto"/>
          <w:szCs w:val="21"/>
          <w:highlight w:val="none"/>
          <w:u w:val="single"/>
        </w:rPr>
      </w:pPr>
    </w:p>
    <w:p w14:paraId="68D83B45">
      <w:pPr>
        <w:pStyle w:val="7"/>
        <w:wordWrap w:val="0"/>
        <w:ind w:left="420" w:leftChars="200" w:firstLine="312" w:firstLineChars="160"/>
        <w:rPr>
          <w:rFonts w:hint="eastAsia" w:ascii="宋体" w:hAnsi="宋体" w:eastAsia="宋体" w:cs="宋体"/>
          <w:color w:val="auto"/>
          <w:sz w:val="21"/>
          <w:szCs w:val="21"/>
          <w:highlight w:val="none"/>
        </w:rPr>
      </w:pPr>
    </w:p>
    <w:p w14:paraId="4CAADD5E">
      <w:pPr>
        <w:pStyle w:val="9"/>
        <w:wordWrap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2B71841D">
      <w:pPr>
        <w:wordWrap w:val="0"/>
        <w:ind w:left="420" w:leftChars="200" w:firstLine="336" w:firstLineChars="160"/>
        <w:rPr>
          <w:rFonts w:hint="eastAsia" w:ascii="宋体" w:hAnsi="宋体" w:eastAsia="宋体" w:cs="宋体"/>
          <w:color w:val="auto"/>
          <w:highlight w:val="none"/>
        </w:rPr>
      </w:pPr>
    </w:p>
    <w:p w14:paraId="53034C81">
      <w:pPr>
        <w:snapToGrid w:val="0"/>
        <w:spacing w:line="400" w:lineRule="exact"/>
        <w:ind w:firstLine="0" w:firstLineChars="0"/>
        <w:rPr>
          <w:rFonts w:ascii="宋体" w:hAnsi="宋体" w:cs="宋体"/>
          <w:color w:val="000000" w:themeColor="text1"/>
          <w:sz w:val="21"/>
          <w:szCs w:val="21"/>
          <w:u w:val="single"/>
          <w14:textFill>
            <w14:solidFill>
              <w14:schemeClr w14:val="tx1"/>
            </w14:solidFill>
          </w14:textFill>
        </w:rPr>
      </w:pPr>
      <w:r>
        <w:rPr>
          <w:rFonts w:hint="eastAsia" w:ascii="宋体" w:hAnsi="宋体" w:eastAsia="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w:t>
      </w:r>
      <w:r>
        <w:rPr>
          <w:rFonts w:hint="eastAsia" w:ascii="宋体" w:hAnsi="宋体" w:cs="宋体"/>
          <w:color w:val="000000" w:themeColor="text1"/>
          <w:sz w:val="21"/>
          <w:szCs w:val="21"/>
          <w14:textFill>
            <w14:solidFill>
              <w14:schemeClr w14:val="tx1"/>
            </w14:solidFill>
          </w14:textFill>
        </w:rPr>
        <w:t>供应商（电子签章）：</w:t>
      </w:r>
    </w:p>
    <w:p w14:paraId="7FEED24C">
      <w:pPr>
        <w:spacing w:line="340" w:lineRule="exact"/>
        <w:ind w:firstLine="0" w:firstLineChars="0"/>
        <w:rPr>
          <w:rFonts w:ascii="宋体" w:hAnsi="宋体" w:cs="宋体"/>
          <w:color w:val="000000" w:themeColor="text1"/>
          <w:sz w:val="21"/>
          <w:szCs w:val="24"/>
          <w14:textFill>
            <w14:solidFill>
              <w14:schemeClr w14:val="tx1"/>
            </w14:solidFill>
          </w14:textFill>
        </w:rPr>
      </w:pPr>
      <w:r>
        <w:rPr>
          <w:rFonts w:hint="eastAsia" w:ascii="宋体" w:hAnsi="宋体" w:cs="宋体"/>
          <w:color w:val="000000" w:themeColor="text1"/>
          <w:sz w:val="21"/>
          <w:szCs w:val="24"/>
          <w14:textFill>
            <w14:solidFill>
              <w14:schemeClr w14:val="tx1"/>
            </w14:solidFill>
          </w14:textFill>
        </w:rPr>
        <w:t xml:space="preserve"> </w:t>
      </w:r>
      <w:r>
        <w:rPr>
          <w:rFonts w:hint="eastAsia" w:ascii="宋体" w:hAnsi="宋体" w:cs="宋体"/>
          <w:color w:val="000000" w:themeColor="text1"/>
          <w:sz w:val="21"/>
          <w:szCs w:val="24"/>
          <w:lang w:val="en-US" w:eastAsia="zh-CN"/>
          <w14:textFill>
            <w14:solidFill>
              <w14:schemeClr w14:val="tx1"/>
            </w14:solidFill>
          </w14:textFill>
        </w:rPr>
        <w:t xml:space="preserve"> </w:t>
      </w:r>
      <w:r>
        <w:rPr>
          <w:rFonts w:hint="eastAsia" w:ascii="宋体" w:hAnsi="宋体" w:cs="宋体"/>
          <w:color w:val="000000" w:themeColor="text1"/>
          <w:sz w:val="21"/>
          <w:szCs w:val="24"/>
          <w14:textFill>
            <w14:solidFill>
              <w14:schemeClr w14:val="tx1"/>
            </w14:solidFill>
          </w14:textFill>
        </w:rPr>
        <w:t xml:space="preserve"> 法定代表人或委托代理人签字</w:t>
      </w:r>
      <w:r>
        <w:rPr>
          <w:rFonts w:hint="eastAsia" w:ascii="宋体" w:hAnsi="宋体" w:cs="宋体"/>
          <w:color w:val="000000" w:themeColor="text1"/>
          <w:sz w:val="21"/>
          <w:szCs w:val="21"/>
          <w14:textFill>
            <w14:solidFill>
              <w14:schemeClr w14:val="tx1"/>
            </w14:solidFill>
          </w14:textFill>
        </w:rPr>
        <w:t>（或电子签名）</w:t>
      </w:r>
      <w:r>
        <w:rPr>
          <w:rFonts w:hint="eastAsia" w:ascii="宋体" w:hAnsi="宋体" w:cs="宋体"/>
          <w:color w:val="000000" w:themeColor="text1"/>
          <w:sz w:val="21"/>
          <w:szCs w:val="24"/>
          <w14:textFill>
            <w14:solidFill>
              <w14:schemeClr w14:val="tx1"/>
            </w14:solidFill>
          </w14:textFill>
        </w:rPr>
        <w:t>：</w:t>
      </w:r>
    </w:p>
    <w:p w14:paraId="711EE99F">
      <w:pPr>
        <w:spacing w:line="400" w:lineRule="exact"/>
        <w:ind w:firstLine="0" w:firstLineChars="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0"/>
          <w14:textFill>
            <w14:solidFill>
              <w14:schemeClr w14:val="tx1"/>
            </w14:solidFill>
          </w14:textFill>
        </w:rPr>
        <w:t xml:space="preserve">  </w:t>
      </w:r>
      <w:r>
        <w:rPr>
          <w:rFonts w:hint="eastAsia" w:ascii="宋体" w:hAnsi="宋体" w:cs="宋体"/>
          <w:color w:val="000000" w:themeColor="text1"/>
          <w:sz w:val="21"/>
          <w:szCs w:val="20"/>
          <w:lang w:val="en-US" w:eastAsia="zh-CN"/>
          <w14:textFill>
            <w14:solidFill>
              <w14:schemeClr w14:val="tx1"/>
            </w14:solidFill>
          </w14:textFill>
        </w:rPr>
        <w:t xml:space="preserve">                          </w:t>
      </w:r>
      <w:r>
        <w:rPr>
          <w:rFonts w:hint="eastAsia" w:ascii="宋体" w:hAnsi="宋体" w:cs="宋体"/>
          <w:color w:val="000000" w:themeColor="text1"/>
          <w:sz w:val="21"/>
          <w:szCs w:val="20"/>
          <w14:textFill>
            <w14:solidFill>
              <w14:schemeClr w14:val="tx1"/>
            </w14:solidFill>
          </w14:textFill>
        </w:rPr>
        <w:t>日          期：</w:t>
      </w:r>
    </w:p>
    <w:p w14:paraId="33F2D935">
      <w:pPr>
        <w:pStyle w:val="9"/>
        <w:wordWrap w:val="0"/>
        <w:ind w:left="420" w:leftChars="200" w:firstLine="4103" w:firstLineChars="1954"/>
        <w:rPr>
          <w:rFonts w:hint="eastAsia" w:ascii="宋体" w:hAnsi="宋体" w:eastAsia="宋体" w:cs="宋体"/>
          <w:color w:val="auto"/>
          <w:highlight w:val="none"/>
          <w:u w:val="single"/>
        </w:rPr>
      </w:pPr>
    </w:p>
    <w:p w14:paraId="6221CC98">
      <w:pPr>
        <w:pStyle w:val="9"/>
        <w:wordWrap w:val="0"/>
        <w:spacing w:line="340" w:lineRule="exact"/>
        <w:ind w:left="420" w:leftChars="200" w:firstLine="450" w:firstLineChars="160"/>
        <w:rPr>
          <w:rFonts w:hint="eastAsia" w:ascii="宋体" w:hAnsi="宋体" w:eastAsia="宋体" w:cs="宋体"/>
          <w:b/>
          <w:color w:val="auto"/>
          <w:sz w:val="28"/>
          <w:szCs w:val="28"/>
          <w:highlight w:val="none"/>
        </w:rPr>
      </w:pPr>
    </w:p>
    <w:p w14:paraId="0D06A88C">
      <w:pPr>
        <w:pStyle w:val="6"/>
        <w:wordWrap w:val="0"/>
        <w:ind w:left="420" w:leftChars="200" w:firstLine="450" w:firstLineChars="160"/>
        <w:rPr>
          <w:rFonts w:hint="eastAsia" w:ascii="宋体" w:hAnsi="宋体" w:eastAsia="宋体" w:cs="宋体"/>
          <w:b/>
          <w:color w:val="auto"/>
          <w:sz w:val="28"/>
          <w:szCs w:val="28"/>
          <w:highlight w:val="none"/>
        </w:rPr>
      </w:pPr>
    </w:p>
    <w:p w14:paraId="183E5106">
      <w:pPr>
        <w:pStyle w:val="6"/>
        <w:wordWrap w:val="0"/>
        <w:ind w:left="420" w:leftChars="200" w:firstLine="450" w:firstLineChars="160"/>
        <w:rPr>
          <w:rFonts w:hint="eastAsia" w:ascii="宋体" w:hAnsi="宋体" w:eastAsia="宋体" w:cs="宋体"/>
          <w:b/>
          <w:color w:val="auto"/>
          <w:sz w:val="28"/>
          <w:szCs w:val="28"/>
          <w:highlight w:val="none"/>
        </w:rPr>
      </w:pPr>
    </w:p>
    <w:p w14:paraId="62DDB394">
      <w:pPr>
        <w:wordWrap w:val="0"/>
        <w:spacing w:line="440" w:lineRule="atLeas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8、供应商参加本项目无围标串标行为的承诺函（必须提供）</w:t>
      </w:r>
    </w:p>
    <w:p w14:paraId="08C088F4">
      <w:pPr>
        <w:wordWrap w:val="0"/>
        <w:rPr>
          <w:rFonts w:hint="eastAsia" w:ascii="宋体" w:hAnsi="宋体" w:eastAsia="宋体" w:cs="宋体"/>
          <w:b/>
          <w:bCs/>
          <w:iCs/>
          <w:color w:val="auto"/>
          <w:sz w:val="28"/>
          <w:szCs w:val="28"/>
          <w:highlight w:val="none"/>
        </w:rPr>
      </w:pPr>
      <w:r>
        <w:rPr>
          <w:rFonts w:hint="eastAsia" w:ascii="宋体" w:hAnsi="宋体" w:eastAsia="宋体" w:cs="宋体"/>
          <w:b/>
          <w:color w:val="auto"/>
          <w:sz w:val="28"/>
          <w:szCs w:val="28"/>
          <w:highlight w:val="none"/>
        </w:rPr>
        <w:br w:type="page"/>
      </w:r>
      <w:r>
        <w:rPr>
          <w:rFonts w:hint="eastAsia" w:ascii="宋体" w:hAnsi="宋体" w:eastAsia="宋体" w:cs="宋体"/>
          <w:b/>
          <w:bCs/>
          <w:iCs/>
          <w:color w:val="auto"/>
          <w:sz w:val="28"/>
          <w:szCs w:val="28"/>
          <w:highlight w:val="none"/>
          <w:lang w:val="en-US" w:eastAsia="zh-CN"/>
        </w:rPr>
        <w:t>9</w:t>
      </w:r>
      <w:r>
        <w:rPr>
          <w:rFonts w:hint="eastAsia" w:ascii="宋体" w:hAnsi="宋体" w:eastAsia="宋体" w:cs="宋体"/>
          <w:b/>
          <w:bCs/>
          <w:iCs/>
          <w:color w:val="auto"/>
          <w:sz w:val="28"/>
          <w:szCs w:val="28"/>
          <w:highlight w:val="none"/>
        </w:rPr>
        <w:t>、供应商如为符合政策要求的中小企业且承接本项目</w:t>
      </w:r>
      <w:r>
        <w:rPr>
          <w:rFonts w:hint="eastAsia" w:ascii="宋体" w:hAnsi="宋体" w:cs="宋体"/>
          <w:b/>
          <w:bCs/>
          <w:iCs/>
          <w:color w:val="auto"/>
          <w:sz w:val="28"/>
          <w:szCs w:val="28"/>
          <w:highlight w:val="none"/>
          <w:lang w:eastAsia="zh-CN"/>
        </w:rPr>
        <w:t>全部工程</w:t>
      </w:r>
      <w:r>
        <w:rPr>
          <w:rFonts w:hint="eastAsia" w:ascii="宋体" w:hAnsi="宋体" w:eastAsia="宋体" w:cs="宋体"/>
          <w:b/>
          <w:bCs/>
          <w:iCs/>
          <w:color w:val="auto"/>
          <w:sz w:val="28"/>
          <w:szCs w:val="28"/>
          <w:highlight w:val="none"/>
        </w:rPr>
        <w:t>的，提供《中小企业声明函》；供应商如属于监狱企业且承接本项目</w:t>
      </w:r>
      <w:r>
        <w:rPr>
          <w:rFonts w:hint="eastAsia" w:ascii="宋体" w:hAnsi="宋体" w:cs="宋体"/>
          <w:b/>
          <w:bCs/>
          <w:iCs/>
          <w:color w:val="auto"/>
          <w:sz w:val="28"/>
          <w:szCs w:val="28"/>
          <w:highlight w:val="none"/>
          <w:lang w:eastAsia="zh-CN"/>
        </w:rPr>
        <w:t>全部工程</w:t>
      </w:r>
      <w:r>
        <w:rPr>
          <w:rFonts w:hint="eastAsia" w:ascii="宋体" w:hAnsi="宋体" w:eastAsia="宋体" w:cs="宋体"/>
          <w:b/>
          <w:bCs/>
          <w:iCs/>
          <w:color w:val="auto"/>
          <w:sz w:val="28"/>
          <w:szCs w:val="28"/>
          <w:highlight w:val="none"/>
        </w:rPr>
        <w:t>的，提供由省级以上监狱管理局、戒毒管理局(含新疆生产建设兵团)出具的属于监狱企业的证明文件；供应商如属于符合条件的残疾人福利性单位且承接本项目</w:t>
      </w:r>
      <w:r>
        <w:rPr>
          <w:rFonts w:hint="eastAsia" w:ascii="宋体" w:hAnsi="宋体" w:cs="宋体"/>
          <w:b/>
          <w:bCs/>
          <w:iCs/>
          <w:color w:val="auto"/>
          <w:sz w:val="28"/>
          <w:szCs w:val="28"/>
          <w:highlight w:val="none"/>
          <w:lang w:eastAsia="zh-CN"/>
        </w:rPr>
        <w:t>全部工程</w:t>
      </w:r>
      <w:r>
        <w:rPr>
          <w:rFonts w:hint="eastAsia" w:ascii="宋体" w:hAnsi="宋体" w:eastAsia="宋体" w:cs="宋体"/>
          <w:b/>
          <w:bCs/>
          <w:iCs/>
          <w:color w:val="auto"/>
          <w:sz w:val="28"/>
          <w:szCs w:val="28"/>
          <w:highlight w:val="none"/>
        </w:rPr>
        <w:t>的，提供《残疾人福利性单位声明函》（</w:t>
      </w:r>
      <w:r>
        <w:rPr>
          <w:rFonts w:hint="eastAsia" w:ascii="宋体" w:hAnsi="宋体" w:cs="宋体"/>
          <w:b/>
          <w:bCs/>
          <w:iCs/>
          <w:color w:val="auto"/>
          <w:sz w:val="28"/>
          <w:szCs w:val="28"/>
          <w:highlight w:val="none"/>
          <w:lang w:val="en-US" w:eastAsia="zh-CN"/>
        </w:rPr>
        <w:t>必须提供</w:t>
      </w:r>
      <w:r>
        <w:rPr>
          <w:rFonts w:hint="eastAsia" w:ascii="宋体" w:hAnsi="宋体" w:eastAsia="宋体" w:cs="宋体"/>
          <w:b/>
          <w:bCs/>
          <w:iCs/>
          <w:color w:val="auto"/>
          <w:sz w:val="28"/>
          <w:szCs w:val="28"/>
          <w:highlight w:val="none"/>
        </w:rPr>
        <w:t>）</w:t>
      </w:r>
    </w:p>
    <w:p w14:paraId="64841D44">
      <w:pPr>
        <w:pStyle w:val="9"/>
        <w:wordWrap w:val="0"/>
        <w:spacing w:line="440" w:lineRule="exact"/>
        <w:rPr>
          <w:rFonts w:hint="eastAsia" w:ascii="宋体" w:hAnsi="宋体" w:eastAsia="宋体" w:cs="宋体"/>
          <w:b/>
          <w:bCs/>
          <w:color w:val="auto"/>
          <w:sz w:val="28"/>
          <w:szCs w:val="28"/>
          <w:highlight w:val="none"/>
        </w:rPr>
      </w:pPr>
    </w:p>
    <w:p w14:paraId="1CE9822B">
      <w:pPr>
        <w:pStyle w:val="9"/>
        <w:wordWrap w:val="0"/>
        <w:spacing w:line="440" w:lineRule="exact"/>
        <w:ind w:left="420" w:leftChars="200" w:firstLine="450" w:firstLineChars="16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中小企业声明函（工程、服务）</w:t>
      </w:r>
    </w:p>
    <w:p w14:paraId="4E30734D">
      <w:pPr>
        <w:pStyle w:val="6"/>
        <w:wordWrap w:val="0"/>
        <w:ind w:left="420" w:leftChars="200" w:firstLine="336" w:firstLineChars="160"/>
        <w:rPr>
          <w:rFonts w:hint="eastAsia" w:ascii="宋体" w:hAnsi="宋体" w:eastAsia="宋体" w:cs="宋体"/>
          <w:color w:val="auto"/>
          <w:highlight w:val="none"/>
        </w:rPr>
      </w:pPr>
    </w:p>
    <w:p w14:paraId="5451194B">
      <w:pPr>
        <w:pStyle w:val="9"/>
        <w:wordWrap w:val="0"/>
        <w:spacing w:line="440" w:lineRule="exact"/>
        <w:ind w:left="420" w:leftChars="200" w:firstLine="403" w:firstLineChars="16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本公司郑重声明，根据《政府采购促进中小企业发展管理办法》（财库﹝2020﹞46 号）的规定，本公司参加</w:t>
      </w:r>
      <w:r>
        <w:rPr>
          <w:rFonts w:hint="eastAsia" w:ascii="宋体" w:hAnsi="宋体" w:eastAsia="宋体" w:cs="宋体"/>
          <w:color w:val="auto"/>
          <w:spacing w:val="6"/>
          <w:sz w:val="24"/>
          <w:szCs w:val="24"/>
          <w:highlight w:val="none"/>
          <w:u w:val="single"/>
        </w:rPr>
        <w:t>（单位名称）</w:t>
      </w:r>
      <w:r>
        <w:rPr>
          <w:rFonts w:hint="eastAsia" w:ascii="宋体" w:hAnsi="宋体" w:eastAsia="宋体" w:cs="宋体"/>
          <w:color w:val="auto"/>
          <w:spacing w:val="6"/>
          <w:sz w:val="24"/>
          <w:szCs w:val="24"/>
          <w:highlight w:val="none"/>
        </w:rPr>
        <w:t>的</w:t>
      </w:r>
      <w:r>
        <w:rPr>
          <w:rFonts w:hint="eastAsia" w:ascii="宋体" w:hAnsi="宋体" w:eastAsia="宋体" w:cs="宋体"/>
          <w:color w:val="auto"/>
          <w:spacing w:val="6"/>
          <w:sz w:val="24"/>
          <w:szCs w:val="24"/>
          <w:highlight w:val="none"/>
          <w:u w:val="single"/>
        </w:rPr>
        <w:t>（项目名称）</w:t>
      </w:r>
      <w:r>
        <w:rPr>
          <w:rFonts w:hint="eastAsia" w:ascii="宋体" w:hAnsi="宋体" w:eastAsia="宋体" w:cs="宋体"/>
          <w:color w:val="auto"/>
          <w:spacing w:val="6"/>
          <w:sz w:val="24"/>
          <w:szCs w:val="24"/>
          <w:highlight w:val="none"/>
        </w:rPr>
        <w:t>采购活动，工程的施工单位全部为符合政策要求的中小企业（或着：</w:t>
      </w:r>
      <w:r>
        <w:rPr>
          <w:rFonts w:hint="eastAsia" w:hAnsi="宋体" w:cs="宋体"/>
          <w:color w:val="auto"/>
          <w:spacing w:val="6"/>
          <w:sz w:val="24"/>
          <w:szCs w:val="24"/>
          <w:highlight w:val="none"/>
          <w:lang w:val="en-US" w:eastAsia="zh-CN"/>
        </w:rPr>
        <w:t>工程</w:t>
      </w:r>
      <w:r>
        <w:rPr>
          <w:rFonts w:hint="eastAsia" w:ascii="宋体" w:hAnsi="宋体" w:eastAsia="宋体" w:cs="宋体"/>
          <w:color w:val="auto"/>
          <w:spacing w:val="6"/>
          <w:sz w:val="24"/>
          <w:szCs w:val="24"/>
          <w:highlight w:val="none"/>
        </w:rPr>
        <w:t>全部由符合政策要求的中小企业承接）。相关企业（含联合体中的中小企业、签订分包意向协议的中小企业）的具体情况如下：</w:t>
      </w:r>
    </w:p>
    <w:p w14:paraId="4FABA2C6">
      <w:pPr>
        <w:pStyle w:val="9"/>
        <w:wordWrap w:val="0"/>
        <w:spacing w:line="440" w:lineRule="exact"/>
        <w:ind w:left="420" w:leftChars="200" w:firstLine="403" w:firstLineChars="160"/>
        <w:rPr>
          <w:rFonts w:hint="eastAsia" w:ascii="宋体" w:hAnsi="宋体" w:eastAsia="宋体" w:cs="宋体"/>
          <w:color w:val="auto"/>
          <w:spacing w:val="6"/>
          <w:sz w:val="24"/>
          <w:szCs w:val="24"/>
          <w:highlight w:val="none"/>
          <w:u w:val="single"/>
        </w:rPr>
      </w:pPr>
      <w:r>
        <w:rPr>
          <w:rFonts w:hint="eastAsia" w:ascii="宋体" w:hAnsi="宋体" w:eastAsia="宋体" w:cs="宋体"/>
          <w:color w:val="auto"/>
          <w:spacing w:val="6"/>
          <w:sz w:val="24"/>
          <w:szCs w:val="24"/>
          <w:highlight w:val="none"/>
        </w:rPr>
        <w:t>1.</w:t>
      </w:r>
      <w:r>
        <w:rPr>
          <w:rFonts w:hint="eastAsia" w:ascii="宋体" w:hAnsi="宋体" w:eastAsia="宋体" w:cs="宋体"/>
          <w:color w:val="auto"/>
          <w:spacing w:val="6"/>
          <w:sz w:val="24"/>
          <w:szCs w:val="24"/>
          <w:highlight w:val="none"/>
          <w:u w:val="single"/>
        </w:rPr>
        <w:t>（标的名称）</w:t>
      </w:r>
      <w:r>
        <w:rPr>
          <w:rFonts w:hint="eastAsia" w:ascii="宋体" w:hAnsi="宋体" w:eastAsia="宋体" w:cs="宋体"/>
          <w:color w:val="auto"/>
          <w:spacing w:val="6"/>
          <w:sz w:val="24"/>
          <w:szCs w:val="24"/>
          <w:highlight w:val="none"/>
        </w:rPr>
        <w:t>，属于</w:t>
      </w:r>
      <w:r>
        <w:rPr>
          <w:rFonts w:hint="eastAsia" w:ascii="宋体" w:hAnsi="宋体" w:eastAsia="宋体" w:cs="宋体"/>
          <w:color w:val="auto"/>
          <w:spacing w:val="6"/>
          <w:sz w:val="24"/>
          <w:szCs w:val="24"/>
          <w:highlight w:val="none"/>
          <w:u w:val="single"/>
        </w:rPr>
        <w:t>（采购文件中明确的所属行业）</w:t>
      </w:r>
      <w:r>
        <w:rPr>
          <w:rFonts w:hint="eastAsia" w:ascii="宋体" w:hAnsi="宋体" w:eastAsia="宋体" w:cs="宋体"/>
          <w:color w:val="auto"/>
          <w:spacing w:val="6"/>
          <w:sz w:val="24"/>
          <w:szCs w:val="24"/>
          <w:highlight w:val="none"/>
        </w:rPr>
        <w:t>行业；承建（承接）企业为</w:t>
      </w:r>
      <w:r>
        <w:rPr>
          <w:rFonts w:hint="eastAsia" w:ascii="宋体" w:hAnsi="宋体" w:eastAsia="宋体" w:cs="宋体"/>
          <w:color w:val="auto"/>
          <w:spacing w:val="6"/>
          <w:sz w:val="24"/>
          <w:szCs w:val="24"/>
          <w:highlight w:val="none"/>
          <w:u w:val="single"/>
        </w:rPr>
        <w:t>（企业名称）</w:t>
      </w:r>
      <w:r>
        <w:rPr>
          <w:rFonts w:hint="eastAsia" w:ascii="宋体" w:hAnsi="宋体" w:eastAsia="宋体" w:cs="宋体"/>
          <w:color w:val="auto"/>
          <w:spacing w:val="6"/>
          <w:sz w:val="24"/>
          <w:szCs w:val="24"/>
          <w:highlight w:val="none"/>
        </w:rPr>
        <w:t>，从业人员</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人，营业收入为</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万元，资产总额为</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万元，属于（</w:t>
      </w:r>
      <w:r>
        <w:rPr>
          <w:rFonts w:hint="eastAsia" w:ascii="宋体" w:hAnsi="宋体" w:eastAsia="宋体" w:cs="宋体"/>
          <w:color w:val="auto"/>
          <w:spacing w:val="6"/>
          <w:sz w:val="24"/>
          <w:szCs w:val="24"/>
          <w:highlight w:val="none"/>
          <w:u w:val="single"/>
        </w:rPr>
        <w:t>中型企业、 小型企业、微型企业）；</w:t>
      </w:r>
    </w:p>
    <w:p w14:paraId="16F5F0A7">
      <w:pPr>
        <w:pStyle w:val="9"/>
        <w:wordWrap w:val="0"/>
        <w:spacing w:line="440" w:lineRule="exact"/>
        <w:ind w:left="420" w:leftChars="200" w:firstLine="403" w:firstLineChars="16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2.</w:t>
      </w:r>
      <w:r>
        <w:rPr>
          <w:rFonts w:hint="eastAsia" w:ascii="宋体" w:hAnsi="宋体" w:eastAsia="宋体" w:cs="宋体"/>
          <w:color w:val="auto"/>
          <w:spacing w:val="6"/>
          <w:sz w:val="24"/>
          <w:szCs w:val="24"/>
          <w:highlight w:val="none"/>
          <w:u w:val="single"/>
        </w:rPr>
        <w:t>（标的名称）</w:t>
      </w:r>
      <w:r>
        <w:rPr>
          <w:rFonts w:hint="eastAsia" w:ascii="宋体" w:hAnsi="宋体" w:eastAsia="宋体" w:cs="宋体"/>
          <w:color w:val="auto"/>
          <w:spacing w:val="6"/>
          <w:sz w:val="24"/>
          <w:szCs w:val="24"/>
          <w:highlight w:val="none"/>
        </w:rPr>
        <w:t>，属于</w:t>
      </w:r>
      <w:r>
        <w:rPr>
          <w:rFonts w:hint="eastAsia" w:ascii="宋体" w:hAnsi="宋体" w:eastAsia="宋体" w:cs="宋体"/>
          <w:color w:val="auto"/>
          <w:spacing w:val="6"/>
          <w:sz w:val="24"/>
          <w:szCs w:val="24"/>
          <w:highlight w:val="none"/>
          <w:u w:val="single"/>
        </w:rPr>
        <w:t>（采购文件中明确的所属行业）</w:t>
      </w:r>
      <w:r>
        <w:rPr>
          <w:rFonts w:hint="eastAsia" w:ascii="宋体" w:hAnsi="宋体" w:eastAsia="宋体" w:cs="宋体"/>
          <w:color w:val="auto"/>
          <w:spacing w:val="6"/>
          <w:sz w:val="24"/>
          <w:szCs w:val="24"/>
          <w:highlight w:val="none"/>
        </w:rPr>
        <w:t>；承建（承接）企业为</w:t>
      </w:r>
      <w:r>
        <w:rPr>
          <w:rFonts w:hint="eastAsia" w:ascii="宋体" w:hAnsi="宋体" w:eastAsia="宋体" w:cs="宋体"/>
          <w:color w:val="auto"/>
          <w:spacing w:val="6"/>
          <w:sz w:val="24"/>
          <w:szCs w:val="24"/>
          <w:highlight w:val="none"/>
          <w:u w:val="single"/>
        </w:rPr>
        <w:t>（企业名称）</w:t>
      </w:r>
      <w:r>
        <w:rPr>
          <w:rFonts w:hint="eastAsia" w:ascii="宋体" w:hAnsi="宋体" w:eastAsia="宋体" w:cs="宋体"/>
          <w:color w:val="auto"/>
          <w:spacing w:val="6"/>
          <w:sz w:val="24"/>
          <w:szCs w:val="24"/>
          <w:highlight w:val="none"/>
        </w:rPr>
        <w:t>，从业人员</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人，营业收入为</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万元，资产总额为</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rPr>
        <w:t>万元，属于</w:t>
      </w:r>
      <w:r>
        <w:rPr>
          <w:rFonts w:hint="eastAsia" w:ascii="宋体" w:hAnsi="宋体" w:eastAsia="宋体" w:cs="宋体"/>
          <w:color w:val="auto"/>
          <w:spacing w:val="6"/>
          <w:sz w:val="24"/>
          <w:szCs w:val="24"/>
          <w:highlight w:val="none"/>
          <w:u w:val="single"/>
        </w:rPr>
        <w:t>（中型企业、小型企业、微型企业）</w:t>
      </w:r>
    </w:p>
    <w:p w14:paraId="10B625A5">
      <w:pPr>
        <w:pStyle w:val="9"/>
        <w:wordWrap w:val="0"/>
        <w:spacing w:line="440" w:lineRule="exact"/>
        <w:ind w:left="420" w:leftChars="200" w:firstLine="403" w:firstLineChars="16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w:t>
      </w:r>
    </w:p>
    <w:p w14:paraId="357E3552">
      <w:pPr>
        <w:pStyle w:val="9"/>
        <w:wordWrap w:val="0"/>
        <w:spacing w:line="440" w:lineRule="exact"/>
        <w:ind w:left="420" w:leftChars="200" w:firstLine="403" w:firstLineChars="16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以上企业，不属于大企业的分支机构，不存在控股股东为大企业的情形，也不存在与大企业的负责人为同一人的情形。</w:t>
      </w:r>
    </w:p>
    <w:p w14:paraId="310A4F66">
      <w:pPr>
        <w:pStyle w:val="9"/>
        <w:wordWrap w:val="0"/>
        <w:spacing w:line="440" w:lineRule="exact"/>
        <w:ind w:left="420" w:leftChars="200" w:firstLine="403" w:firstLineChars="16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本企业对上述声明内容的真实性负责。如有虚假，将依法承担相应责任。 </w:t>
      </w:r>
    </w:p>
    <w:p w14:paraId="1CB60155">
      <w:pPr>
        <w:pStyle w:val="9"/>
        <w:wordWrap w:val="0"/>
        <w:spacing w:line="440" w:lineRule="exact"/>
        <w:ind w:left="420" w:leftChars="200" w:firstLine="403" w:firstLineChars="160"/>
        <w:rPr>
          <w:rFonts w:hint="eastAsia" w:ascii="宋体" w:hAnsi="宋体" w:eastAsia="宋体" w:cs="宋体"/>
          <w:color w:val="auto"/>
          <w:spacing w:val="6"/>
          <w:sz w:val="24"/>
          <w:szCs w:val="24"/>
          <w:highlight w:val="none"/>
        </w:rPr>
      </w:pPr>
    </w:p>
    <w:p w14:paraId="6E094118">
      <w:pPr>
        <w:widowControl/>
        <w:wordWrap w:val="0"/>
        <w:ind w:left="420" w:leftChars="200" w:firstLine="403" w:firstLineChars="160"/>
        <w:jc w:val="left"/>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 xml:space="preserve">企业名称[盖公章（CA签章）]： </w:t>
      </w:r>
    </w:p>
    <w:p w14:paraId="77F36D42">
      <w:pPr>
        <w:widowControl/>
        <w:wordWrap w:val="0"/>
        <w:ind w:left="420" w:leftChars="200" w:firstLine="403" w:firstLineChars="160"/>
        <w:jc w:val="left"/>
        <w:rPr>
          <w:rFonts w:hint="eastAsia" w:ascii="宋体" w:hAnsi="宋体" w:eastAsia="宋体" w:cs="宋体"/>
          <w:b/>
          <w:bCs/>
          <w:color w:val="auto"/>
          <w:sz w:val="32"/>
          <w:szCs w:val="32"/>
          <w:highlight w:val="none"/>
        </w:rPr>
      </w:pPr>
      <w:r>
        <w:rPr>
          <w:rFonts w:hint="eastAsia" w:ascii="宋体" w:hAnsi="宋体" w:eastAsia="宋体" w:cs="宋体"/>
          <w:color w:val="auto"/>
          <w:spacing w:val="6"/>
          <w:sz w:val="24"/>
          <w:highlight w:val="none"/>
        </w:rPr>
        <w:t>日 期：</w:t>
      </w:r>
    </w:p>
    <w:p w14:paraId="26343C73">
      <w:pPr>
        <w:wordWrap w:val="0"/>
        <w:ind w:left="420" w:leftChars="200" w:firstLine="514" w:firstLineChars="160"/>
        <w:rPr>
          <w:rFonts w:hint="eastAsia" w:ascii="宋体" w:hAnsi="宋体" w:eastAsia="宋体" w:cs="宋体"/>
          <w:b/>
          <w:bCs/>
          <w:color w:val="auto"/>
          <w:sz w:val="32"/>
          <w:szCs w:val="32"/>
          <w:highlight w:val="none"/>
        </w:rPr>
      </w:pPr>
    </w:p>
    <w:p w14:paraId="15936B8A">
      <w:pPr>
        <w:widowControl/>
        <w:wordWrap w:val="0"/>
        <w:spacing w:after="240" w:line="360" w:lineRule="atLeast"/>
        <w:ind w:left="420" w:leftChars="200" w:firstLine="386" w:firstLineChars="160"/>
        <w:jc w:val="left"/>
        <w:rPr>
          <w:rFonts w:hint="eastAsia" w:ascii="宋体" w:hAnsi="宋体" w:eastAsia="宋体" w:cs="宋体"/>
          <w:b/>
          <w:color w:val="auto"/>
          <w:spacing w:val="6"/>
          <w:sz w:val="28"/>
          <w:szCs w:val="28"/>
          <w:highlight w:val="none"/>
        </w:rPr>
      </w:pPr>
      <w:r>
        <w:rPr>
          <w:rFonts w:hint="eastAsia" w:ascii="宋体" w:hAnsi="宋体" w:eastAsia="宋体" w:cs="宋体"/>
          <w:b/>
          <w:color w:val="auto"/>
          <w:kern w:val="0"/>
          <w:sz w:val="24"/>
          <w:highlight w:val="none"/>
        </w:rPr>
        <w:t>注：从业人员、营业收入、资产总额填报上一年度数据，无上一年度数据的新成立企业可不填报。</w:t>
      </w:r>
    </w:p>
    <w:p w14:paraId="14E238C1">
      <w:pPr>
        <w:wordWrap w:val="0"/>
        <w:spacing w:line="588" w:lineRule="exact"/>
        <w:ind w:left="420" w:leftChars="200" w:firstLine="469" w:firstLineChars="160"/>
        <w:jc w:val="center"/>
        <w:rPr>
          <w:rFonts w:hint="eastAsia" w:ascii="宋体" w:hAnsi="宋体" w:eastAsia="宋体" w:cs="宋体"/>
          <w:b/>
          <w:bCs/>
          <w:color w:val="auto"/>
          <w:sz w:val="28"/>
          <w:szCs w:val="28"/>
          <w:highlight w:val="none"/>
        </w:rPr>
      </w:pPr>
      <w:r>
        <w:rPr>
          <w:rFonts w:hint="eastAsia" w:ascii="宋体" w:hAnsi="宋体" w:eastAsia="宋体" w:cs="宋体"/>
          <w:b/>
          <w:color w:val="auto"/>
          <w:spacing w:val="6"/>
          <w:sz w:val="28"/>
          <w:szCs w:val="28"/>
          <w:highlight w:val="none"/>
        </w:rPr>
        <w:br w:type="page"/>
      </w:r>
      <w:r>
        <w:rPr>
          <w:rFonts w:hint="eastAsia" w:ascii="宋体" w:hAnsi="宋体" w:eastAsia="宋体" w:cs="宋体"/>
          <w:b/>
          <w:color w:val="auto"/>
          <w:spacing w:val="6"/>
          <w:sz w:val="28"/>
          <w:szCs w:val="28"/>
          <w:highlight w:val="none"/>
        </w:rPr>
        <w:t>残疾人福利性单位声明函</w:t>
      </w:r>
      <w:r>
        <w:rPr>
          <w:rFonts w:hint="eastAsia" w:ascii="宋体" w:hAnsi="宋体" w:eastAsia="宋体" w:cs="宋体"/>
          <w:b/>
          <w:bCs/>
          <w:color w:val="auto"/>
          <w:sz w:val="28"/>
          <w:szCs w:val="28"/>
          <w:highlight w:val="none"/>
        </w:rPr>
        <w:t>（格式）</w:t>
      </w:r>
    </w:p>
    <w:p w14:paraId="6C13F12F">
      <w:pPr>
        <w:wordWrap w:val="0"/>
        <w:spacing w:line="588" w:lineRule="exact"/>
        <w:ind w:left="420" w:leftChars="200" w:firstLine="533" w:firstLineChars="160"/>
        <w:jc w:val="center"/>
        <w:rPr>
          <w:rFonts w:hint="eastAsia" w:ascii="宋体" w:hAnsi="宋体" w:eastAsia="宋体" w:cs="宋体"/>
          <w:b/>
          <w:color w:val="auto"/>
          <w:spacing w:val="6"/>
          <w:sz w:val="32"/>
          <w:szCs w:val="32"/>
          <w:highlight w:val="none"/>
        </w:rPr>
      </w:pPr>
    </w:p>
    <w:p w14:paraId="346CDCB2">
      <w:pPr>
        <w:wordWrap w:val="0"/>
        <w:spacing w:line="400" w:lineRule="exact"/>
        <w:ind w:left="420" w:leftChars="200" w:firstLine="384" w:firstLineChars="160"/>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44C6A11">
      <w:pPr>
        <w:wordWrap w:val="0"/>
        <w:spacing w:line="400" w:lineRule="exact"/>
        <w:ind w:left="420" w:leftChars="200" w:firstLine="384" w:firstLineChars="160"/>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7ECADB13">
      <w:pPr>
        <w:wordWrap w:val="0"/>
        <w:spacing w:line="400" w:lineRule="exact"/>
        <w:ind w:left="420" w:leftChars="200" w:firstLine="384" w:firstLineChars="160"/>
        <w:rPr>
          <w:rFonts w:hint="eastAsia" w:ascii="宋体" w:hAnsi="宋体" w:eastAsia="宋体" w:cs="宋体"/>
          <w:color w:val="auto"/>
          <w:sz w:val="24"/>
          <w:highlight w:val="none"/>
        </w:rPr>
      </w:pPr>
    </w:p>
    <w:p w14:paraId="1B1382F2">
      <w:pPr>
        <w:tabs>
          <w:tab w:val="left" w:pos="4860"/>
        </w:tabs>
        <w:wordWrap w:val="0"/>
        <w:spacing w:line="400" w:lineRule="exact"/>
        <w:ind w:left="420" w:leftChars="200" w:right="1560" w:firstLine="384" w:firstLineChars="16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单位名称（CA签章）：</w:t>
      </w:r>
    </w:p>
    <w:p w14:paraId="2D8B17D4">
      <w:pPr>
        <w:tabs>
          <w:tab w:val="left" w:pos="4860"/>
        </w:tabs>
        <w:wordWrap w:val="0"/>
        <w:spacing w:line="400" w:lineRule="exact"/>
        <w:ind w:left="420" w:leftChars="200" w:right="1560" w:firstLine="384" w:firstLineChars="16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      期：</w:t>
      </w:r>
    </w:p>
    <w:p w14:paraId="3CE24538">
      <w:pPr>
        <w:wordWrap w:val="0"/>
        <w:spacing w:line="440" w:lineRule="atLeast"/>
        <w:rPr>
          <w:rFonts w:hint="eastAsia" w:ascii="宋体" w:hAnsi="宋体" w:eastAsia="宋体" w:cs="宋体"/>
          <w:b/>
          <w:color w:val="auto"/>
          <w:sz w:val="28"/>
          <w:szCs w:val="28"/>
          <w:highlight w:val="none"/>
        </w:rPr>
      </w:pPr>
    </w:p>
    <w:p w14:paraId="04F156AA">
      <w:pPr>
        <w:tabs>
          <w:tab w:val="left" w:pos="4860"/>
        </w:tabs>
        <w:wordWrap w:val="0"/>
        <w:spacing w:line="400" w:lineRule="exact"/>
        <w:ind w:right="1560"/>
        <w:rPr>
          <w:rFonts w:hint="eastAsia" w:ascii="宋体" w:hAnsi="宋体" w:eastAsia="宋体" w:cs="宋体"/>
          <w:color w:val="auto"/>
          <w:sz w:val="24"/>
          <w:highlight w:val="none"/>
        </w:rPr>
      </w:pPr>
    </w:p>
    <w:p w14:paraId="17E7BDCF">
      <w:pPr>
        <w:pStyle w:val="37"/>
        <w:wordWrap w:val="0"/>
        <w:ind w:left="420" w:leftChars="200" w:firstLine="450" w:firstLineChars="160"/>
        <w:rPr>
          <w:rFonts w:hint="eastAsia" w:ascii="宋体" w:hAnsi="宋体" w:eastAsia="宋体" w:cs="宋体"/>
          <w:color w:val="auto"/>
          <w:highlight w:val="none"/>
        </w:rPr>
      </w:pPr>
      <w:r>
        <w:rPr>
          <w:rFonts w:hint="eastAsia" w:ascii="宋体" w:hAnsi="宋体" w:eastAsia="宋体" w:cs="宋体"/>
          <w:b/>
          <w:color w:val="auto"/>
          <w:sz w:val="28"/>
          <w:szCs w:val="28"/>
          <w:highlight w:val="none"/>
        </w:rPr>
        <w:br w:type="page"/>
      </w:r>
    </w:p>
    <w:p w14:paraId="0BB9DC82">
      <w:pPr>
        <w:wordWrap w:val="0"/>
        <w:ind w:left="420" w:leftChars="200" w:firstLine="514" w:firstLineChars="16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（二）符合性响应证明材料目录</w:t>
      </w:r>
    </w:p>
    <w:p w14:paraId="1519FA4F">
      <w:pPr>
        <w:wordWrap w:val="0"/>
        <w:spacing w:line="360" w:lineRule="auto"/>
        <w:ind w:left="420" w:leftChars="200" w:firstLine="384" w:firstLineChars="160"/>
        <w:rPr>
          <w:rFonts w:hint="eastAsia" w:ascii="宋体" w:hAnsi="宋体" w:eastAsia="宋体" w:cs="宋体"/>
          <w:color w:val="auto"/>
          <w:sz w:val="24"/>
          <w:highlight w:val="none"/>
        </w:rPr>
      </w:pPr>
    </w:p>
    <w:p w14:paraId="713EC1FF">
      <w:pPr>
        <w:tabs>
          <w:tab w:val="left" w:pos="1305"/>
        </w:tabs>
        <w:wordWrap w:val="0"/>
        <w:spacing w:line="380" w:lineRule="exact"/>
        <w:ind w:left="420" w:leftChars="200" w:firstLine="384" w:firstLineChars="160"/>
        <w:rPr>
          <w:rFonts w:hint="eastAsia" w:ascii="宋体" w:hAnsi="宋体" w:eastAsia="宋体" w:cs="宋体"/>
          <w:b/>
          <w:color w:val="auto"/>
          <w:kern w:val="0"/>
          <w:sz w:val="24"/>
          <w:highlight w:val="none"/>
        </w:rPr>
      </w:pPr>
      <w:r>
        <w:rPr>
          <w:rFonts w:hint="eastAsia" w:ascii="宋体" w:hAnsi="宋体" w:eastAsia="宋体" w:cs="宋体"/>
          <w:bCs/>
          <w:color w:val="auto"/>
          <w:kern w:val="0"/>
          <w:sz w:val="24"/>
          <w:highlight w:val="none"/>
        </w:rPr>
        <w:t>（1）响应函及</w:t>
      </w:r>
      <w:r>
        <w:rPr>
          <w:rFonts w:hint="eastAsia" w:ascii="宋体" w:hAnsi="宋体" w:eastAsia="宋体" w:cs="宋体"/>
          <w:bCs/>
          <w:color w:val="auto"/>
          <w:kern w:val="0"/>
          <w:sz w:val="24"/>
          <w:highlight w:val="none"/>
          <w:lang w:eastAsia="zh-CN"/>
        </w:rPr>
        <w:t>磋商报价汇总表</w:t>
      </w:r>
      <w:r>
        <w:rPr>
          <w:rFonts w:hint="eastAsia" w:ascii="宋体" w:hAnsi="宋体" w:eastAsia="宋体" w:cs="宋体"/>
          <w:bCs/>
          <w:color w:val="auto"/>
          <w:kern w:val="0"/>
          <w:sz w:val="24"/>
          <w:highlight w:val="none"/>
        </w:rPr>
        <w:t>（格式见附件）</w:t>
      </w:r>
      <w:r>
        <w:rPr>
          <w:rFonts w:hint="eastAsia" w:ascii="宋体" w:hAnsi="宋体" w:eastAsia="宋体" w:cs="宋体"/>
          <w:b/>
          <w:bCs w:val="0"/>
          <w:color w:val="auto"/>
          <w:kern w:val="0"/>
          <w:sz w:val="24"/>
          <w:highlight w:val="none"/>
        </w:rPr>
        <w:t>（必须提供）</w:t>
      </w:r>
    </w:p>
    <w:p w14:paraId="4A4F1A5B">
      <w:pPr>
        <w:tabs>
          <w:tab w:val="left" w:pos="1305"/>
        </w:tabs>
        <w:wordWrap w:val="0"/>
        <w:spacing w:line="380" w:lineRule="exact"/>
        <w:ind w:left="420" w:leftChars="200" w:firstLine="384" w:firstLineChars="160"/>
        <w:rPr>
          <w:rFonts w:hint="eastAsia" w:ascii="宋体" w:hAnsi="宋体" w:eastAsia="宋体" w:cs="宋体"/>
          <w:b/>
          <w:color w:val="auto"/>
          <w:kern w:val="0"/>
          <w:sz w:val="24"/>
          <w:highlight w:val="none"/>
        </w:rPr>
      </w:pPr>
      <w:r>
        <w:rPr>
          <w:rFonts w:hint="eastAsia" w:ascii="宋体" w:hAnsi="宋体" w:eastAsia="宋体" w:cs="宋体"/>
          <w:bCs/>
          <w:color w:val="auto"/>
          <w:kern w:val="0"/>
          <w:sz w:val="24"/>
          <w:highlight w:val="none"/>
        </w:rPr>
        <w:t>（2）已标价工程量清单</w:t>
      </w:r>
      <w:r>
        <w:rPr>
          <w:rFonts w:hint="eastAsia" w:ascii="宋体" w:hAnsi="宋体" w:eastAsia="宋体" w:cs="宋体"/>
          <w:b/>
          <w:color w:val="auto"/>
          <w:kern w:val="0"/>
          <w:sz w:val="24"/>
          <w:highlight w:val="none"/>
        </w:rPr>
        <w:t>（必须提供）</w:t>
      </w:r>
    </w:p>
    <w:p w14:paraId="0CBD33B3">
      <w:pPr>
        <w:tabs>
          <w:tab w:val="left" w:pos="1305"/>
        </w:tabs>
        <w:wordWrap w:val="0"/>
        <w:spacing w:line="380" w:lineRule="exact"/>
        <w:ind w:left="420" w:leftChars="200" w:firstLine="384" w:firstLineChars="160"/>
        <w:rPr>
          <w:rFonts w:hint="eastAsia" w:ascii="宋体" w:hAnsi="宋体" w:eastAsia="宋体" w:cs="宋体"/>
          <w:b/>
          <w:color w:val="auto"/>
          <w:kern w:val="0"/>
          <w:sz w:val="24"/>
          <w:highlight w:val="none"/>
        </w:rPr>
      </w:pPr>
      <w:r>
        <w:rPr>
          <w:rFonts w:hint="eastAsia" w:ascii="宋体" w:hAnsi="宋体" w:eastAsia="宋体" w:cs="宋体"/>
          <w:bCs/>
          <w:color w:val="auto"/>
          <w:kern w:val="0"/>
          <w:sz w:val="24"/>
          <w:highlight w:val="none"/>
        </w:rPr>
        <w:t>（3）拟投入本工程主要施工管理人员表</w:t>
      </w:r>
      <w:r>
        <w:rPr>
          <w:rFonts w:hint="eastAsia" w:ascii="宋体" w:hAnsi="宋体" w:eastAsia="宋体" w:cs="宋体"/>
          <w:b/>
          <w:color w:val="auto"/>
          <w:kern w:val="0"/>
          <w:sz w:val="24"/>
          <w:highlight w:val="none"/>
        </w:rPr>
        <w:t>（必须提供）</w:t>
      </w:r>
    </w:p>
    <w:p w14:paraId="18C0CD84">
      <w:pPr>
        <w:tabs>
          <w:tab w:val="left" w:pos="1305"/>
        </w:tabs>
        <w:wordWrap w:val="0"/>
        <w:spacing w:line="380" w:lineRule="exact"/>
        <w:ind w:left="420" w:leftChars="200" w:firstLine="384" w:firstLineChars="16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（4）</w:t>
      </w:r>
      <w:r>
        <w:rPr>
          <w:rFonts w:hint="eastAsia" w:ascii="宋体" w:hAnsi="宋体" w:eastAsia="宋体" w:cs="宋体"/>
          <w:bCs/>
          <w:color w:val="auto"/>
          <w:kern w:val="0"/>
          <w:sz w:val="24"/>
          <w:highlight w:val="none"/>
          <w:lang w:eastAsia="zh-CN"/>
        </w:rPr>
        <w:t>施工实施</w:t>
      </w:r>
      <w:r>
        <w:rPr>
          <w:rFonts w:hint="eastAsia" w:ascii="宋体" w:hAnsi="宋体" w:eastAsia="宋体" w:cs="宋体"/>
          <w:bCs/>
          <w:color w:val="auto"/>
          <w:kern w:val="0"/>
          <w:sz w:val="24"/>
          <w:highlight w:val="none"/>
        </w:rPr>
        <w:t>方案</w:t>
      </w:r>
      <w:r>
        <w:rPr>
          <w:rFonts w:hint="eastAsia" w:ascii="宋体" w:hAnsi="宋体" w:eastAsia="宋体" w:cs="宋体"/>
          <w:b/>
          <w:color w:val="auto"/>
          <w:kern w:val="0"/>
          <w:sz w:val="24"/>
          <w:highlight w:val="none"/>
        </w:rPr>
        <w:t>（必须提供）</w:t>
      </w:r>
    </w:p>
    <w:p w14:paraId="30521A61">
      <w:pPr>
        <w:tabs>
          <w:tab w:val="left" w:pos="1305"/>
        </w:tabs>
        <w:wordWrap w:val="0"/>
        <w:spacing w:line="380" w:lineRule="exact"/>
        <w:ind w:left="420" w:leftChars="200" w:firstLine="384" w:firstLineChars="16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（5）工程完工服务承诺书</w:t>
      </w:r>
      <w:r>
        <w:rPr>
          <w:rFonts w:hint="eastAsia" w:ascii="宋体" w:hAnsi="宋体" w:eastAsia="宋体" w:cs="宋体"/>
          <w:b/>
          <w:color w:val="auto"/>
          <w:kern w:val="0"/>
          <w:sz w:val="24"/>
          <w:highlight w:val="none"/>
        </w:rPr>
        <w:t>（必须提供）</w:t>
      </w:r>
    </w:p>
    <w:p w14:paraId="1FD28358">
      <w:pPr>
        <w:tabs>
          <w:tab w:val="left" w:pos="1305"/>
        </w:tabs>
        <w:wordWrap w:val="0"/>
        <w:spacing w:line="380" w:lineRule="exact"/>
        <w:ind w:left="420" w:leftChars="200" w:firstLine="384" w:firstLineChars="160"/>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（6）工程渣土清运承诺书</w:t>
      </w:r>
      <w:r>
        <w:rPr>
          <w:rFonts w:hint="eastAsia" w:ascii="宋体" w:hAnsi="宋体" w:eastAsia="宋体" w:cs="宋体"/>
          <w:b/>
          <w:color w:val="auto"/>
          <w:kern w:val="0"/>
          <w:sz w:val="24"/>
          <w:highlight w:val="none"/>
        </w:rPr>
        <w:t>（必须提供）</w:t>
      </w:r>
    </w:p>
    <w:p w14:paraId="00B2ED90">
      <w:pPr>
        <w:tabs>
          <w:tab w:val="left" w:pos="1305"/>
        </w:tabs>
        <w:wordWrap w:val="0"/>
        <w:spacing w:line="380" w:lineRule="exact"/>
        <w:ind w:left="420" w:leftChars="200" w:firstLine="384" w:firstLineChars="160"/>
        <w:rPr>
          <w:rFonts w:hint="eastAsia" w:ascii="宋体" w:hAnsi="宋体" w:eastAsia="宋体" w:cs="宋体"/>
          <w:b/>
          <w:color w:val="auto"/>
          <w:kern w:val="0"/>
          <w:sz w:val="24"/>
          <w:highlight w:val="none"/>
        </w:rPr>
      </w:pPr>
      <w:r>
        <w:rPr>
          <w:rFonts w:hint="eastAsia" w:ascii="宋体" w:hAnsi="宋体" w:eastAsia="宋体" w:cs="宋体"/>
          <w:bCs/>
          <w:color w:val="auto"/>
          <w:kern w:val="0"/>
          <w:sz w:val="24"/>
          <w:highlight w:val="none"/>
        </w:rPr>
        <w:t>（7）农民工工资保障金交纳与使用承诺书</w:t>
      </w:r>
      <w:r>
        <w:rPr>
          <w:rFonts w:hint="eastAsia" w:ascii="宋体" w:hAnsi="宋体" w:eastAsia="宋体" w:cs="宋体"/>
          <w:b/>
          <w:color w:val="auto"/>
          <w:kern w:val="0"/>
          <w:sz w:val="24"/>
          <w:highlight w:val="none"/>
        </w:rPr>
        <w:t>（必须提供）</w:t>
      </w:r>
    </w:p>
    <w:p w14:paraId="22ED9D3C">
      <w:pPr>
        <w:pStyle w:val="26"/>
        <w:wordWrap w:val="0"/>
        <w:ind w:left="420" w:leftChars="200" w:firstLine="386" w:firstLineChars="160"/>
        <w:rPr>
          <w:rFonts w:hint="eastAsia" w:ascii="宋体" w:hAnsi="宋体" w:eastAsia="宋体" w:cs="宋体"/>
          <w:color w:val="auto"/>
          <w:highlight w:val="none"/>
        </w:rPr>
      </w:pPr>
    </w:p>
    <w:p w14:paraId="2E7E3B9D">
      <w:pPr>
        <w:pStyle w:val="26"/>
        <w:wordWrap w:val="0"/>
        <w:ind w:left="420" w:leftChars="200" w:firstLine="386" w:firstLineChars="160"/>
        <w:rPr>
          <w:rFonts w:hint="eastAsia" w:ascii="宋体" w:hAnsi="宋体" w:eastAsia="宋体" w:cs="宋体"/>
          <w:color w:val="auto"/>
          <w:highlight w:val="none"/>
        </w:rPr>
      </w:pPr>
    </w:p>
    <w:p w14:paraId="2B93F2EA">
      <w:pPr>
        <w:pStyle w:val="26"/>
        <w:wordWrap w:val="0"/>
        <w:ind w:left="420" w:leftChars="200" w:firstLine="386" w:firstLineChars="160"/>
        <w:rPr>
          <w:rFonts w:hint="eastAsia" w:ascii="宋体" w:hAnsi="宋体" w:eastAsia="宋体" w:cs="宋体"/>
          <w:color w:val="auto"/>
          <w:highlight w:val="none"/>
        </w:rPr>
      </w:pPr>
    </w:p>
    <w:p w14:paraId="2AA95477">
      <w:pPr>
        <w:pStyle w:val="26"/>
        <w:wordWrap w:val="0"/>
        <w:ind w:left="420" w:leftChars="200" w:firstLine="386" w:firstLineChars="160"/>
        <w:rPr>
          <w:rFonts w:hint="eastAsia" w:ascii="宋体" w:hAnsi="宋体" w:eastAsia="宋体" w:cs="宋体"/>
          <w:color w:val="auto"/>
          <w:highlight w:val="none"/>
        </w:rPr>
      </w:pPr>
    </w:p>
    <w:p w14:paraId="02A52C44">
      <w:pPr>
        <w:pStyle w:val="7"/>
        <w:wordWrap w:val="0"/>
        <w:ind w:left="420" w:leftChars="200" w:firstLine="681" w:firstLineChars="160"/>
        <w:rPr>
          <w:rFonts w:hint="eastAsia" w:ascii="宋体" w:hAnsi="宋体" w:eastAsia="宋体" w:cs="宋体"/>
          <w:color w:val="auto"/>
          <w:highlight w:val="none"/>
        </w:rPr>
      </w:pPr>
    </w:p>
    <w:p w14:paraId="39FDA8E3">
      <w:pPr>
        <w:pStyle w:val="13"/>
        <w:wordWrap w:val="0"/>
        <w:ind w:left="420" w:leftChars="200" w:firstLine="336" w:firstLineChars="160"/>
        <w:rPr>
          <w:rFonts w:hint="eastAsia" w:ascii="宋体" w:hAnsi="宋体" w:eastAsia="宋体" w:cs="宋体"/>
          <w:color w:val="auto"/>
          <w:highlight w:val="none"/>
        </w:rPr>
      </w:pPr>
    </w:p>
    <w:p w14:paraId="7776E51D">
      <w:pPr>
        <w:pStyle w:val="13"/>
        <w:wordWrap w:val="0"/>
        <w:ind w:left="420" w:leftChars="200" w:firstLine="336" w:firstLineChars="160"/>
        <w:rPr>
          <w:rFonts w:hint="eastAsia" w:ascii="宋体" w:hAnsi="宋体" w:eastAsia="宋体" w:cs="宋体"/>
          <w:color w:val="auto"/>
          <w:highlight w:val="none"/>
        </w:rPr>
      </w:pPr>
    </w:p>
    <w:p w14:paraId="533CEC4B">
      <w:pPr>
        <w:pStyle w:val="13"/>
        <w:wordWrap w:val="0"/>
        <w:ind w:left="420" w:leftChars="200" w:firstLine="336" w:firstLineChars="160"/>
        <w:rPr>
          <w:rFonts w:hint="eastAsia" w:ascii="宋体" w:hAnsi="宋体" w:eastAsia="宋体" w:cs="宋体"/>
          <w:color w:val="auto"/>
          <w:highlight w:val="none"/>
        </w:rPr>
      </w:pPr>
    </w:p>
    <w:p w14:paraId="63EC0E62">
      <w:pPr>
        <w:pStyle w:val="13"/>
        <w:wordWrap w:val="0"/>
        <w:ind w:left="420" w:leftChars="200" w:firstLine="336" w:firstLineChars="160"/>
        <w:rPr>
          <w:rFonts w:hint="eastAsia" w:ascii="宋体" w:hAnsi="宋体" w:eastAsia="宋体" w:cs="宋体"/>
          <w:color w:val="auto"/>
          <w:highlight w:val="none"/>
        </w:rPr>
      </w:pPr>
    </w:p>
    <w:p w14:paraId="140FADFB">
      <w:pPr>
        <w:pStyle w:val="13"/>
        <w:wordWrap w:val="0"/>
        <w:ind w:left="420" w:leftChars="200" w:firstLine="336" w:firstLineChars="160"/>
        <w:rPr>
          <w:rFonts w:hint="eastAsia" w:ascii="宋体" w:hAnsi="宋体" w:eastAsia="宋体" w:cs="宋体"/>
          <w:color w:val="auto"/>
          <w:highlight w:val="none"/>
        </w:rPr>
      </w:pPr>
    </w:p>
    <w:p w14:paraId="43D5D76A">
      <w:pPr>
        <w:pStyle w:val="13"/>
        <w:wordWrap w:val="0"/>
        <w:ind w:left="420" w:leftChars="200" w:firstLine="336" w:firstLineChars="160"/>
        <w:rPr>
          <w:rFonts w:hint="eastAsia" w:ascii="宋体" w:hAnsi="宋体" w:eastAsia="宋体" w:cs="宋体"/>
          <w:color w:val="auto"/>
          <w:highlight w:val="none"/>
        </w:rPr>
      </w:pPr>
    </w:p>
    <w:p w14:paraId="713B4174">
      <w:pPr>
        <w:pStyle w:val="13"/>
        <w:wordWrap w:val="0"/>
        <w:ind w:left="420" w:leftChars="200" w:firstLine="336" w:firstLineChars="160"/>
        <w:rPr>
          <w:rFonts w:hint="eastAsia" w:ascii="宋体" w:hAnsi="宋体" w:eastAsia="宋体" w:cs="宋体"/>
          <w:color w:val="auto"/>
          <w:highlight w:val="none"/>
        </w:rPr>
      </w:pPr>
    </w:p>
    <w:p w14:paraId="43F68BD8">
      <w:pPr>
        <w:pStyle w:val="13"/>
        <w:wordWrap w:val="0"/>
        <w:ind w:left="420" w:leftChars="200" w:firstLine="336" w:firstLineChars="160"/>
        <w:rPr>
          <w:rFonts w:hint="eastAsia" w:ascii="宋体" w:hAnsi="宋体" w:eastAsia="宋体" w:cs="宋体"/>
          <w:color w:val="auto"/>
          <w:highlight w:val="none"/>
        </w:rPr>
      </w:pPr>
    </w:p>
    <w:p w14:paraId="1017A6D8">
      <w:pPr>
        <w:pStyle w:val="13"/>
        <w:wordWrap w:val="0"/>
        <w:ind w:left="420" w:leftChars="200" w:firstLine="336" w:firstLineChars="160"/>
        <w:rPr>
          <w:rFonts w:hint="eastAsia" w:ascii="宋体" w:hAnsi="宋体" w:eastAsia="宋体" w:cs="宋体"/>
          <w:color w:val="auto"/>
          <w:highlight w:val="none"/>
        </w:rPr>
      </w:pPr>
    </w:p>
    <w:p w14:paraId="286E3FBC">
      <w:pPr>
        <w:pStyle w:val="13"/>
        <w:wordWrap w:val="0"/>
        <w:ind w:left="420" w:leftChars="200" w:firstLine="336" w:firstLineChars="160"/>
        <w:rPr>
          <w:rFonts w:hint="eastAsia" w:ascii="宋体" w:hAnsi="宋体" w:eastAsia="宋体" w:cs="宋体"/>
          <w:color w:val="auto"/>
          <w:highlight w:val="none"/>
        </w:rPr>
      </w:pPr>
    </w:p>
    <w:p w14:paraId="416BAF5F">
      <w:pPr>
        <w:wordWrap w:val="0"/>
        <w:spacing w:line="400" w:lineRule="exact"/>
        <w:rPr>
          <w:rFonts w:hint="eastAsia" w:ascii="宋体" w:hAnsi="宋体" w:eastAsia="宋体" w:cs="宋体"/>
          <w:b/>
          <w:bCs/>
          <w:color w:val="auto"/>
          <w:sz w:val="28"/>
          <w:szCs w:val="28"/>
          <w:highlight w:val="none"/>
        </w:rPr>
      </w:pPr>
      <w:bookmarkStart w:id="1789" w:name="_Toc12920"/>
      <w:bookmarkStart w:id="1790" w:name="_Toc17617"/>
      <w:bookmarkStart w:id="1791" w:name="_Toc497927072"/>
      <w:r>
        <w:rPr>
          <w:rFonts w:hint="eastAsia" w:ascii="宋体" w:hAnsi="宋体" w:eastAsia="宋体" w:cs="宋体"/>
          <w:b/>
          <w:bCs/>
          <w:color w:val="auto"/>
          <w:sz w:val="28"/>
          <w:szCs w:val="28"/>
          <w:highlight w:val="none"/>
        </w:rPr>
        <w:br w:type="page"/>
      </w:r>
      <w:r>
        <w:rPr>
          <w:rFonts w:hint="eastAsia" w:ascii="宋体" w:hAnsi="宋体" w:eastAsia="宋体" w:cs="宋体"/>
          <w:b/>
          <w:bCs/>
          <w:color w:val="auto"/>
          <w:sz w:val="28"/>
          <w:szCs w:val="28"/>
          <w:highlight w:val="none"/>
        </w:rPr>
        <w:t>1、响应函及</w:t>
      </w:r>
      <w:r>
        <w:rPr>
          <w:rFonts w:hint="eastAsia" w:ascii="宋体" w:hAnsi="宋体" w:eastAsia="宋体" w:cs="宋体"/>
          <w:b/>
          <w:bCs/>
          <w:color w:val="auto"/>
          <w:sz w:val="28"/>
          <w:szCs w:val="28"/>
          <w:highlight w:val="none"/>
          <w:lang w:eastAsia="zh-CN"/>
        </w:rPr>
        <w:t>磋商报价汇总表</w:t>
      </w:r>
      <w:r>
        <w:rPr>
          <w:rFonts w:hint="eastAsia" w:ascii="宋体" w:hAnsi="宋体" w:eastAsia="宋体" w:cs="宋体"/>
          <w:b/>
          <w:bCs/>
          <w:color w:val="auto"/>
          <w:sz w:val="28"/>
          <w:szCs w:val="28"/>
          <w:highlight w:val="none"/>
        </w:rPr>
        <w:t>（格式见附件）（必须提供）</w:t>
      </w:r>
      <w:bookmarkEnd w:id="1789"/>
      <w:bookmarkEnd w:id="1790"/>
      <w:bookmarkEnd w:id="1791"/>
    </w:p>
    <w:p w14:paraId="19D8C7F4">
      <w:pPr>
        <w:pStyle w:val="9"/>
        <w:wordWrap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w:t>
      </w:r>
    </w:p>
    <w:p w14:paraId="41891D63">
      <w:pPr>
        <w:pStyle w:val="9"/>
        <w:wordWrap w:val="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w:t>
      </w:r>
    </w:p>
    <w:p w14:paraId="26B21DC9">
      <w:pPr>
        <w:pStyle w:val="9"/>
        <w:wordWrap w:val="0"/>
        <w:ind w:firstLine="803" w:firstLineChars="250"/>
        <w:jc w:val="center"/>
        <w:rPr>
          <w:rFonts w:hint="eastAsia" w:ascii="宋体" w:hAnsi="宋体" w:eastAsia="宋体" w:cs="宋体"/>
          <w:b/>
          <w:color w:val="auto"/>
          <w:sz w:val="32"/>
          <w:highlight w:val="none"/>
        </w:rPr>
      </w:pPr>
      <w:bookmarkStart w:id="1792" w:name="_Toc7273_WPSOffice_Level1"/>
      <w:bookmarkStart w:id="1793" w:name="_Toc17832_WPSOffice_Level1"/>
      <w:r>
        <w:rPr>
          <w:rFonts w:hint="eastAsia" w:ascii="宋体" w:hAnsi="宋体" w:eastAsia="宋体" w:cs="宋体"/>
          <w:b/>
          <w:color w:val="auto"/>
          <w:sz w:val="32"/>
          <w:highlight w:val="none"/>
          <w:lang w:eastAsia="zh-CN"/>
        </w:rPr>
        <w:t>（</w:t>
      </w:r>
      <w:r>
        <w:rPr>
          <w:rFonts w:hint="eastAsia" w:ascii="宋体" w:hAnsi="宋体" w:eastAsia="宋体" w:cs="宋体"/>
          <w:b/>
          <w:color w:val="auto"/>
          <w:sz w:val="32"/>
          <w:highlight w:val="none"/>
          <w:lang w:val="en-US" w:eastAsia="zh-CN"/>
        </w:rPr>
        <w:t>一</w:t>
      </w:r>
      <w:r>
        <w:rPr>
          <w:rFonts w:hint="eastAsia" w:ascii="宋体" w:hAnsi="宋体" w:eastAsia="宋体" w:cs="宋体"/>
          <w:b/>
          <w:color w:val="auto"/>
          <w:sz w:val="32"/>
          <w:highlight w:val="none"/>
          <w:lang w:eastAsia="zh-CN"/>
        </w:rPr>
        <w:t>）</w:t>
      </w:r>
      <w:r>
        <w:rPr>
          <w:rFonts w:hint="eastAsia" w:ascii="宋体" w:hAnsi="宋体" w:eastAsia="宋体" w:cs="宋体"/>
          <w:b/>
          <w:color w:val="auto"/>
          <w:sz w:val="32"/>
          <w:highlight w:val="none"/>
        </w:rPr>
        <w:t>响 应 函 （格 式）</w:t>
      </w:r>
      <w:bookmarkEnd w:id="1792"/>
      <w:bookmarkEnd w:id="1793"/>
    </w:p>
    <w:p w14:paraId="273A52DA">
      <w:pPr>
        <w:wordWrap w:val="0"/>
        <w:spacing w:line="240" w:lineRule="exact"/>
        <w:jc w:val="center"/>
        <w:rPr>
          <w:rFonts w:hint="eastAsia" w:ascii="宋体" w:hAnsi="宋体" w:eastAsia="宋体" w:cs="宋体"/>
          <w:color w:val="auto"/>
          <w:sz w:val="32"/>
          <w:highlight w:val="none"/>
        </w:rPr>
      </w:pPr>
    </w:p>
    <w:p w14:paraId="6DEB47CB">
      <w:pPr>
        <w:wordWrap w:val="0"/>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：广西华诚达建设项目管理有限公司</w:t>
      </w:r>
    </w:p>
    <w:p w14:paraId="1B7FD09E">
      <w:pPr>
        <w:wordWrap w:val="0"/>
        <w:spacing w:line="400" w:lineRule="exact"/>
        <w:rPr>
          <w:rFonts w:hint="eastAsia" w:ascii="宋体" w:hAnsi="宋体" w:eastAsia="宋体" w:cs="宋体"/>
          <w:color w:val="auto"/>
          <w:szCs w:val="21"/>
          <w:highlight w:val="none"/>
        </w:rPr>
      </w:pPr>
    </w:p>
    <w:p w14:paraId="378243F9">
      <w:pPr>
        <w:pStyle w:val="9"/>
        <w:wordWrap w:val="0"/>
        <w:spacing w:line="36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根据贵方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项目竞争性磋商文件，项目编号：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，签字代表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（姓名）经正式授权并代表供应商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供应商单位名称），提交电子响应文件。</w:t>
      </w:r>
    </w:p>
    <w:p w14:paraId="5A210A20">
      <w:pPr>
        <w:pStyle w:val="9"/>
        <w:wordWrap w:val="0"/>
        <w:spacing w:line="36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据此函，签字代表宣布同意如下：</w:t>
      </w:r>
    </w:p>
    <w:p w14:paraId="4430B251">
      <w:pPr>
        <w:pStyle w:val="9"/>
        <w:wordWrap w:val="0"/>
        <w:spacing w:line="36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按磋商文件采购需求和磋商报价表：</w:t>
      </w:r>
    </w:p>
    <w:p w14:paraId="7E122BB4">
      <w:pPr>
        <w:pStyle w:val="9"/>
        <w:wordWrap w:val="0"/>
        <w:spacing w:line="36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按采购项目内容和报价表，工程总造价人民币(大写)</w:t>
      </w:r>
      <w:r>
        <w:rPr>
          <w:rFonts w:hint="eastAsia" w:ascii="宋体" w:hAnsi="宋体" w:eastAsia="宋体" w:cs="宋体"/>
          <w:color w:val="auto"/>
          <w:szCs w:val="21"/>
          <w:highlight w:val="none"/>
          <w:u w:val="single"/>
        </w:rPr>
        <w:t xml:space="preserve">    </w:t>
      </w:r>
      <w:r>
        <w:rPr>
          <w:rFonts w:hint="eastAsia"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r>
        <w:rPr>
          <w:rFonts w:hint="eastAsia" w:hAnsi="宋体" w:cs="宋体"/>
          <w:color w:val="auto"/>
          <w:sz w:val="21"/>
          <w:szCs w:val="21"/>
          <w:highlight w:val="none"/>
        </w:rPr>
        <w:t>(¥</w:t>
      </w:r>
      <w:r>
        <w:rPr>
          <w:rFonts w:hint="eastAsia" w:hAnsi="宋体" w:cs="宋体"/>
          <w:color w:val="auto"/>
          <w:sz w:val="21"/>
          <w:szCs w:val="21"/>
          <w:highlight w:val="none"/>
          <w:u w:val="single"/>
        </w:rPr>
        <w:t xml:space="preserve">   </w:t>
      </w:r>
      <w:r>
        <w:rPr>
          <w:rFonts w:hint="eastAsia" w:hAnsi="宋体" w:cs="宋体"/>
          <w:color w:val="auto"/>
          <w:sz w:val="21"/>
          <w:szCs w:val="21"/>
          <w:highlight w:val="none"/>
          <w:u w:val="single"/>
          <w:lang w:val="en-US" w:eastAsia="zh-CN"/>
        </w:rPr>
        <w:t xml:space="preserve"> </w:t>
      </w:r>
      <w:r>
        <w:rPr>
          <w:rFonts w:hint="eastAsia" w:hAnsi="宋体" w:cs="宋体"/>
          <w:color w:val="auto"/>
          <w:sz w:val="21"/>
          <w:szCs w:val="21"/>
          <w:highlight w:val="none"/>
          <w:u w:val="single"/>
        </w:rPr>
        <w:t xml:space="preserve">   </w:t>
      </w:r>
      <w:r>
        <w:rPr>
          <w:rFonts w:hint="eastAsia" w:hAnsi="宋体" w:cs="宋体"/>
          <w:color w:val="auto"/>
          <w:sz w:val="21"/>
          <w:szCs w:val="21"/>
          <w:highlight w:val="none"/>
          <w:u w:val="single"/>
          <w:lang w:val="en-US" w:eastAsia="zh-CN"/>
        </w:rPr>
        <w:t xml:space="preserve">  </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)；磋商报价为（大写）：</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元(¥</w:t>
      </w:r>
      <w:r>
        <w:rPr>
          <w:rFonts w:hint="eastAsia" w:hAnsi="宋体" w:cs="宋体"/>
          <w:color w:val="auto"/>
          <w:sz w:val="21"/>
          <w:szCs w:val="21"/>
          <w:highlight w:val="none"/>
          <w:u w:val="single"/>
        </w:rPr>
        <w:t xml:space="preserve">         </w:t>
      </w:r>
      <w:r>
        <w:rPr>
          <w:rFonts w:hint="eastAsia" w:hAnsi="宋体" w:cs="宋体"/>
          <w:color w:val="auto"/>
          <w:sz w:val="21"/>
          <w:szCs w:val="21"/>
          <w:highlight w:val="none"/>
          <w:u w:val="single"/>
          <w:lang w:eastAsia="zh-CN"/>
        </w:rPr>
        <w:t xml:space="preserve">    </w:t>
      </w:r>
      <w:r>
        <w:rPr>
          <w:rFonts w:hint="eastAsia" w:hAnsi="宋体" w:cs="宋体"/>
          <w:color w:val="auto"/>
          <w:sz w:val="21"/>
          <w:szCs w:val="21"/>
          <w:highlight w:val="none"/>
        </w:rPr>
        <w:t>)（不含安全文明施工费</w:t>
      </w:r>
      <w:r>
        <w:rPr>
          <w:rFonts w:hint="eastAsia" w:hAnsi="宋体" w:cs="宋体"/>
          <w:color w:val="auto"/>
          <w:sz w:val="21"/>
          <w:szCs w:val="21"/>
          <w:highlight w:val="none"/>
          <w:u w:val="single"/>
        </w:rPr>
        <w:t xml:space="preserve">     </w:t>
      </w:r>
      <w:r>
        <w:rPr>
          <w:rFonts w:hint="eastAsia" w:hAnsi="宋体" w:cs="宋体"/>
          <w:color w:val="auto"/>
          <w:sz w:val="21"/>
          <w:szCs w:val="21"/>
          <w:highlight w:val="none"/>
          <w:u w:val="single"/>
          <w:lang w:val="en-US" w:eastAsia="zh-CN"/>
        </w:rPr>
        <w:t xml:space="preserve">  </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元</w:t>
      </w:r>
      <w:r>
        <w:rPr>
          <w:rFonts w:hint="eastAsia" w:hAnsi="宋体" w:cs="宋体"/>
          <w:color w:val="auto"/>
          <w:sz w:val="21"/>
          <w:szCs w:val="21"/>
          <w:highlight w:val="none"/>
          <w:lang w:eastAsia="zh-CN"/>
        </w:rPr>
        <w:t>，</w:t>
      </w:r>
      <w:r>
        <w:rPr>
          <w:rFonts w:hint="eastAsia" w:hAnsi="宋体" w:cs="宋体"/>
          <w:color w:val="auto"/>
          <w:sz w:val="21"/>
          <w:szCs w:val="21"/>
          <w:highlight w:val="none"/>
        </w:rPr>
        <w:t>规费</w:t>
      </w:r>
      <w:r>
        <w:rPr>
          <w:rFonts w:hint="eastAsia" w:hAnsi="宋体" w:cs="宋体"/>
          <w:color w:val="auto"/>
          <w:sz w:val="21"/>
          <w:szCs w:val="21"/>
          <w:highlight w:val="none"/>
          <w:u w:val="single"/>
        </w:rPr>
        <w:t xml:space="preserve">  </w:t>
      </w:r>
      <w:r>
        <w:rPr>
          <w:rFonts w:hint="eastAsia" w:hAnsi="宋体" w:cs="宋体"/>
          <w:color w:val="auto"/>
          <w:sz w:val="21"/>
          <w:szCs w:val="21"/>
          <w:highlight w:val="none"/>
          <w:u w:val="single"/>
          <w:lang w:val="en-US" w:eastAsia="zh-CN"/>
        </w:rPr>
        <w:t xml:space="preserve">   </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元</w:t>
      </w:r>
      <w:r>
        <w:rPr>
          <w:rFonts w:hint="eastAsia" w:hAnsi="宋体" w:cs="宋体"/>
          <w:color w:val="auto"/>
          <w:sz w:val="21"/>
          <w:szCs w:val="21"/>
          <w:highlight w:val="none"/>
          <w:lang w:eastAsia="zh-CN"/>
        </w:rPr>
        <w:t>，</w:t>
      </w:r>
      <w:r>
        <w:rPr>
          <w:rFonts w:hint="eastAsia" w:hAnsi="宋体" w:cs="宋体"/>
          <w:color w:val="auto"/>
          <w:sz w:val="21"/>
          <w:szCs w:val="21"/>
          <w:highlight w:val="none"/>
        </w:rPr>
        <w:t>增值税</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元，</w:t>
      </w:r>
      <w:r>
        <w:rPr>
          <w:rFonts w:hint="eastAsia" w:ascii="宋体" w:hAnsi="宋体" w:cs="宋体"/>
          <w:color w:val="auto"/>
          <w:kern w:val="0"/>
          <w:sz w:val="21"/>
          <w:szCs w:val="21"/>
          <w:highlight w:val="none"/>
        </w:rPr>
        <w:t>安全生产责任保险费暂估价</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元</w:t>
      </w:r>
      <w:r>
        <w:rPr>
          <w:rFonts w:hint="eastAsia" w:ascii="宋体" w:hAnsi="宋体" w:cs="宋体"/>
          <w:color w:val="auto"/>
          <w:kern w:val="0"/>
          <w:sz w:val="21"/>
          <w:szCs w:val="21"/>
          <w:highlight w:val="none"/>
          <w:lang w:eastAsia="zh-CN"/>
        </w:rPr>
        <w:t>，</w:t>
      </w:r>
      <w:r>
        <w:rPr>
          <w:rFonts w:hint="eastAsia" w:hAnsi="宋体" w:cs="宋体"/>
          <w:color w:val="auto"/>
          <w:sz w:val="21"/>
          <w:szCs w:val="21"/>
          <w:highlight w:val="none"/>
        </w:rPr>
        <w:t>暂列金</w:t>
      </w:r>
      <w:r>
        <w:rPr>
          <w:rFonts w:hint="eastAsia" w:hAnsi="宋体" w:cs="宋体"/>
          <w:color w:val="auto"/>
          <w:sz w:val="21"/>
          <w:szCs w:val="21"/>
          <w:highlight w:val="none"/>
          <w:u w:val="single"/>
        </w:rPr>
        <w:t xml:space="preserve">          </w:t>
      </w:r>
      <w:r>
        <w:rPr>
          <w:rFonts w:hint="eastAsia" w:hAnsi="宋体" w:cs="宋体"/>
          <w:color w:val="auto"/>
          <w:sz w:val="21"/>
          <w:szCs w:val="21"/>
          <w:highlight w:val="none"/>
          <w:u w:val="single"/>
          <w:lang w:val="en-US" w:eastAsia="zh-CN"/>
        </w:rPr>
        <w:t xml:space="preserve"> </w:t>
      </w:r>
      <w:r>
        <w:rPr>
          <w:rFonts w:hint="eastAsia" w:hAnsi="宋体" w:cs="宋体"/>
          <w:color w:val="auto"/>
          <w:sz w:val="21"/>
          <w:szCs w:val="21"/>
          <w:highlight w:val="none"/>
        </w:rPr>
        <w:t>元）；</w:t>
      </w:r>
      <w:r>
        <w:rPr>
          <w:rFonts w:hint="eastAsia" w:ascii="宋体" w:hAnsi="宋体" w:eastAsia="宋体" w:cs="宋体"/>
          <w:color w:val="auto"/>
          <w:szCs w:val="21"/>
          <w:highlight w:val="none"/>
        </w:rPr>
        <w:t>工程完工期：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；质量等级: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5DFFA9B7">
      <w:pPr>
        <w:pStyle w:val="9"/>
        <w:wordWrap w:val="0"/>
        <w:spacing w:line="36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2.我方承诺已具备磋商文件规定的供应商资格条件。</w:t>
      </w:r>
    </w:p>
    <w:p w14:paraId="2C35229D">
      <w:pPr>
        <w:pStyle w:val="9"/>
        <w:wordWrap w:val="0"/>
        <w:spacing w:line="36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3.我方已详细审核磋商文件，包括修改文件（如有的话）和有关附件，将自行承担因对全部磋商文件理解不正确或误解而产生的相应后果。</w:t>
      </w:r>
    </w:p>
    <w:p w14:paraId="2BE33129">
      <w:pPr>
        <w:pStyle w:val="9"/>
        <w:wordWrap w:val="0"/>
        <w:spacing w:line="36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4. 响应文件有效期为响应文件递交截止时间之日起90天。</w:t>
      </w:r>
    </w:p>
    <w:p w14:paraId="7A36D695">
      <w:pPr>
        <w:pStyle w:val="9"/>
        <w:wordWrap w:val="0"/>
        <w:spacing w:line="36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5. 如我方成交：</w:t>
      </w:r>
    </w:p>
    <w:p w14:paraId="575D980A">
      <w:pPr>
        <w:pStyle w:val="9"/>
        <w:wordWrap w:val="0"/>
        <w:spacing w:line="36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（1）我方承诺在收到成交通知书后，在成交通知书规定的期限内与采购人签订合同。</w:t>
      </w:r>
    </w:p>
    <w:p w14:paraId="704ADE72">
      <w:pPr>
        <w:pStyle w:val="9"/>
        <w:wordWrap w:val="0"/>
        <w:spacing w:line="36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（2）我方承诺本响应文件至本项目合同履行完毕止均保持有效，按磋商文件及政府采购法律、法规的规定履行合同责任和义务。</w:t>
      </w:r>
    </w:p>
    <w:p w14:paraId="7B1CBC2B">
      <w:pPr>
        <w:pStyle w:val="9"/>
        <w:wordWrap w:val="0"/>
        <w:spacing w:line="36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与本项目有关的正式通讯地址为：</w:t>
      </w:r>
    </w:p>
    <w:p w14:paraId="41EDAB4C">
      <w:pPr>
        <w:wordWrap w:val="0"/>
        <w:rPr>
          <w:rFonts w:hint="eastAsia" w:ascii="宋体" w:hAnsi="宋体" w:eastAsia="宋体" w:cs="宋体"/>
          <w:color w:val="auto"/>
          <w:szCs w:val="21"/>
          <w:highlight w:val="none"/>
        </w:rPr>
      </w:pPr>
    </w:p>
    <w:p w14:paraId="59693C06">
      <w:pPr>
        <w:pStyle w:val="9"/>
        <w:wordWrap w:val="0"/>
        <w:spacing w:line="320" w:lineRule="exact"/>
        <w:ind w:firstLine="42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邮编：</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电话、传真：</w:t>
      </w:r>
      <w:r>
        <w:rPr>
          <w:rFonts w:hint="eastAsia" w:ascii="宋体" w:hAnsi="宋体" w:eastAsia="宋体" w:cs="宋体"/>
          <w:color w:val="auto"/>
          <w:szCs w:val="21"/>
          <w:highlight w:val="none"/>
          <w:u w:val="single"/>
        </w:rPr>
        <w:t xml:space="preserve">          </w:t>
      </w:r>
    </w:p>
    <w:p w14:paraId="4FF5FC05">
      <w:pPr>
        <w:pStyle w:val="9"/>
        <w:wordWrap w:val="0"/>
        <w:spacing w:line="32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开户名称：</w:t>
      </w:r>
      <w:r>
        <w:rPr>
          <w:rFonts w:hint="eastAsia" w:ascii="宋体" w:hAnsi="宋体" w:eastAsia="宋体" w:cs="宋体"/>
          <w:color w:val="auto"/>
          <w:szCs w:val="21"/>
          <w:highlight w:val="none"/>
          <w:u w:val="single"/>
        </w:rPr>
        <w:t xml:space="preserve">                               　        </w:t>
      </w:r>
    </w:p>
    <w:p w14:paraId="2933BAD2">
      <w:pPr>
        <w:pStyle w:val="9"/>
        <w:wordWrap w:val="0"/>
        <w:spacing w:line="32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hint="eastAsia"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168412F4">
      <w:pPr>
        <w:pStyle w:val="9"/>
        <w:wordWrap w:val="0"/>
        <w:spacing w:line="32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6E597D2E">
      <w:pPr>
        <w:pStyle w:val="9"/>
        <w:wordWrap w:val="0"/>
        <w:spacing w:line="320" w:lineRule="exact"/>
        <w:ind w:firstLine="42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rPr>
        <w:t>供应商[公章(CA签章)、自然人除外]：</w:t>
      </w:r>
      <w:r>
        <w:rPr>
          <w:rFonts w:hint="eastAsia" w:ascii="宋体" w:hAnsi="宋体" w:eastAsia="宋体" w:cs="宋体"/>
          <w:bCs/>
          <w:color w:val="auto"/>
          <w:szCs w:val="21"/>
          <w:highlight w:val="none"/>
          <w:u w:val="single"/>
        </w:rPr>
        <w:t xml:space="preserve">                              </w:t>
      </w:r>
    </w:p>
    <w:p w14:paraId="7D6114D5">
      <w:pPr>
        <w:pStyle w:val="9"/>
        <w:wordWrap w:val="0"/>
        <w:spacing w:line="320" w:lineRule="exact"/>
        <w:ind w:firstLine="42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法定代表人、负责人、自然人或相应的委托代理人签字[或盖章(CA签章)]（属自然人的应在签名处加盖大拇指指印或个人CA签章）：</w:t>
      </w:r>
      <w:r>
        <w:rPr>
          <w:rFonts w:hint="eastAsia" w:ascii="宋体" w:hAnsi="宋体" w:eastAsia="宋体" w:cs="宋体"/>
          <w:color w:val="auto"/>
          <w:szCs w:val="21"/>
          <w:highlight w:val="none"/>
          <w:u w:val="single"/>
        </w:rPr>
        <w:t xml:space="preserve">        </w:t>
      </w:r>
      <w:r>
        <w:rPr>
          <w:rFonts w:hint="eastAsia"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3A56D7C6">
      <w:pPr>
        <w:pStyle w:val="9"/>
        <w:wordWrap w:val="0"/>
        <w:spacing w:line="320" w:lineRule="exact"/>
        <w:ind w:firstLine="42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p>
    <w:p w14:paraId="1F106B4F">
      <w:pPr>
        <w:pStyle w:val="6"/>
        <w:wordWrap w:val="0"/>
        <w:rPr>
          <w:rFonts w:hint="eastAsia" w:ascii="宋体" w:hAnsi="宋体" w:eastAsia="宋体" w:cs="宋体"/>
          <w:color w:val="auto"/>
          <w:szCs w:val="21"/>
          <w:highlight w:val="none"/>
          <w:u w:val="single"/>
        </w:rPr>
      </w:pPr>
    </w:p>
    <w:p w14:paraId="63F1AB33">
      <w:pPr>
        <w:wordWrap w:val="0"/>
        <w:rPr>
          <w:rFonts w:hint="eastAsia" w:ascii="宋体" w:hAnsi="宋体" w:eastAsia="宋体" w:cs="宋体"/>
          <w:color w:val="auto"/>
          <w:szCs w:val="21"/>
          <w:highlight w:val="none"/>
          <w:u w:val="single"/>
        </w:rPr>
      </w:pPr>
    </w:p>
    <w:p w14:paraId="4BE3BBC5">
      <w:pPr>
        <w:pStyle w:val="6"/>
        <w:wordWrap w:val="0"/>
        <w:rPr>
          <w:rFonts w:hint="eastAsia" w:ascii="宋体" w:hAnsi="宋体" w:eastAsia="宋体" w:cs="宋体"/>
          <w:color w:val="auto"/>
          <w:highlight w:val="none"/>
        </w:rPr>
      </w:pPr>
    </w:p>
    <w:p w14:paraId="32737598">
      <w:pPr>
        <w:wordWrap w:val="0"/>
        <w:spacing w:line="400" w:lineRule="exact"/>
        <w:rPr>
          <w:rFonts w:hint="eastAsia" w:ascii="宋体" w:hAnsi="宋体" w:eastAsia="宋体" w:cs="宋体"/>
          <w:color w:val="auto"/>
          <w:szCs w:val="21"/>
          <w:highlight w:val="none"/>
          <w:u w:val="single"/>
        </w:rPr>
      </w:pPr>
    </w:p>
    <w:p w14:paraId="4D9CE78E">
      <w:pPr>
        <w:tabs>
          <w:tab w:val="left" w:pos="1305"/>
        </w:tabs>
        <w:wordWrap w:val="0"/>
        <w:spacing w:line="340" w:lineRule="exact"/>
        <w:ind w:left="420" w:leftChars="200" w:firstLine="336" w:firstLineChars="160"/>
        <w:rPr>
          <w:rFonts w:hint="eastAsia" w:ascii="宋体" w:hAnsi="宋体" w:eastAsia="宋体" w:cs="宋体"/>
          <w:bCs/>
          <w:color w:val="auto"/>
          <w:szCs w:val="21"/>
          <w:highlight w:val="none"/>
        </w:rPr>
      </w:pPr>
    </w:p>
    <w:p w14:paraId="4030ECEB">
      <w:pPr>
        <w:pStyle w:val="9"/>
        <w:wordWrap w:val="0"/>
        <w:spacing w:line="340" w:lineRule="exact"/>
        <w:ind w:left="420" w:leftChars="200" w:firstLine="450" w:firstLineChars="160"/>
        <w:rPr>
          <w:rFonts w:hint="eastAsia" w:ascii="宋体" w:hAnsi="宋体" w:eastAsia="宋体" w:cs="宋体"/>
          <w:b/>
          <w:color w:val="auto"/>
          <w:sz w:val="28"/>
          <w:szCs w:val="28"/>
          <w:highlight w:val="none"/>
        </w:rPr>
      </w:pPr>
    </w:p>
    <w:p w14:paraId="139A2C12">
      <w:pPr>
        <w:pStyle w:val="9"/>
        <w:wordWrap w:val="0"/>
        <w:spacing w:line="340" w:lineRule="exact"/>
        <w:rPr>
          <w:rFonts w:hint="eastAsia" w:ascii="宋体" w:hAnsi="宋体" w:eastAsia="宋体" w:cs="宋体"/>
          <w:b/>
          <w:color w:val="auto"/>
          <w:sz w:val="28"/>
          <w:szCs w:val="28"/>
          <w:highlight w:val="none"/>
        </w:rPr>
      </w:pPr>
    </w:p>
    <w:p w14:paraId="19EC810D">
      <w:pPr>
        <w:autoSpaceDE w:val="0"/>
        <w:autoSpaceDN w:val="0"/>
        <w:spacing w:before="212"/>
        <w:ind w:right="176"/>
        <w:jc w:val="center"/>
        <w:rPr>
          <w:rFonts w:hint="eastAsia" w:ascii="宋体" w:hAnsi="宋体" w:eastAsia="宋体" w:cs="宋体"/>
          <w:b/>
          <w:color w:val="auto"/>
          <w:kern w:val="0"/>
          <w:sz w:val="30"/>
          <w:szCs w:val="22"/>
          <w:highlight w:val="none"/>
          <w:lang w:val="zh-CN" w:bidi="zh-CN"/>
        </w:rPr>
      </w:pPr>
      <w:r>
        <w:rPr>
          <w:rFonts w:hint="eastAsia" w:ascii="宋体" w:hAnsi="宋体" w:eastAsia="宋体" w:cs="宋体"/>
          <w:b/>
          <w:color w:val="auto"/>
          <w:sz w:val="28"/>
          <w:szCs w:val="28"/>
          <w:highlight w:val="none"/>
        </w:rPr>
        <w:br w:type="page"/>
      </w:r>
      <w:r>
        <w:rPr>
          <w:rFonts w:hint="eastAsia" w:ascii="宋体" w:hAnsi="宋体" w:eastAsia="宋体" w:cs="宋体"/>
          <w:b/>
          <w:color w:val="auto"/>
          <w:kern w:val="0"/>
          <w:sz w:val="30"/>
          <w:szCs w:val="22"/>
          <w:highlight w:val="none"/>
          <w:lang w:val="zh-CN" w:bidi="zh-CN"/>
        </w:rPr>
        <w:t>（二）磋商报价汇总表</w:t>
      </w:r>
    </w:p>
    <w:p w14:paraId="400D4EEA">
      <w:pPr>
        <w:autoSpaceDE w:val="0"/>
        <w:autoSpaceDN w:val="0"/>
        <w:spacing w:before="212"/>
        <w:ind w:right="176"/>
        <w:jc w:val="center"/>
        <w:rPr>
          <w:rFonts w:hint="eastAsia" w:ascii="宋体" w:hAnsi="宋体" w:eastAsia="宋体" w:cs="宋体"/>
          <w:b/>
          <w:color w:val="auto"/>
          <w:kern w:val="0"/>
          <w:sz w:val="30"/>
          <w:szCs w:val="22"/>
          <w:highlight w:val="none"/>
          <w:lang w:val="zh-CN" w:bidi="zh-CN"/>
        </w:rPr>
      </w:pPr>
    </w:p>
    <w:p w14:paraId="22DC75E9">
      <w:pPr>
        <w:widowControl/>
        <w:jc w:val="center"/>
        <w:rPr>
          <w:rFonts w:hint="eastAsia" w:ascii="宋体" w:hAnsi="宋体" w:eastAsia="宋体" w:cs="宋体"/>
          <w:b/>
          <w:color w:val="auto"/>
          <w:kern w:val="0"/>
          <w:sz w:val="24"/>
          <w:szCs w:val="24"/>
          <w:highlight w:val="none"/>
          <w:lang w:eastAsia="zh-CN"/>
        </w:rPr>
      </w:pPr>
      <w:r>
        <w:rPr>
          <w:rFonts w:hint="eastAsia" w:ascii="宋体" w:hAnsi="宋体" w:eastAsia="宋体" w:cs="宋体"/>
          <w:b/>
          <w:color w:val="auto"/>
          <w:kern w:val="0"/>
          <w:sz w:val="24"/>
          <w:szCs w:val="24"/>
          <w:highlight w:val="none"/>
          <w:lang w:val="en-US" w:eastAsia="zh-CN"/>
        </w:rPr>
        <w:t>磋商</w:t>
      </w:r>
      <w:r>
        <w:rPr>
          <w:rFonts w:hint="eastAsia" w:ascii="宋体" w:hAnsi="宋体" w:eastAsia="宋体" w:cs="宋体"/>
          <w:b/>
          <w:color w:val="auto"/>
          <w:kern w:val="0"/>
          <w:sz w:val="24"/>
          <w:szCs w:val="24"/>
          <w:highlight w:val="none"/>
        </w:rPr>
        <w:t>报价汇总表</w:t>
      </w:r>
      <w:r>
        <w:rPr>
          <w:rFonts w:hint="eastAsia" w:ascii="宋体" w:hAnsi="宋体" w:eastAsia="宋体" w:cs="宋体"/>
          <w:b/>
          <w:color w:val="auto"/>
          <w:kern w:val="0"/>
          <w:sz w:val="24"/>
          <w:szCs w:val="24"/>
          <w:highlight w:val="none"/>
          <w:lang w:eastAsia="zh-CN"/>
        </w:rPr>
        <w:t>（</w:t>
      </w:r>
      <w:r>
        <w:rPr>
          <w:rFonts w:hint="eastAsia" w:ascii="宋体" w:hAnsi="宋体" w:eastAsia="宋体" w:cs="宋体"/>
          <w:b/>
          <w:color w:val="auto"/>
          <w:kern w:val="0"/>
          <w:sz w:val="24"/>
          <w:szCs w:val="24"/>
          <w:highlight w:val="none"/>
          <w:lang w:val="en-US" w:eastAsia="zh-CN"/>
        </w:rPr>
        <w:t>格式</w:t>
      </w:r>
      <w:r>
        <w:rPr>
          <w:rFonts w:hint="eastAsia" w:ascii="宋体" w:hAnsi="宋体" w:eastAsia="宋体" w:cs="宋体"/>
          <w:b/>
          <w:color w:val="auto"/>
          <w:kern w:val="0"/>
          <w:sz w:val="24"/>
          <w:szCs w:val="24"/>
          <w:highlight w:val="none"/>
          <w:lang w:eastAsia="zh-CN"/>
        </w:rPr>
        <w:t>）</w:t>
      </w:r>
    </w:p>
    <w:p w14:paraId="1448A08E">
      <w:pPr>
        <w:widowControl/>
        <w:jc w:val="both"/>
        <w:rPr>
          <w:rFonts w:hint="eastAsia" w:ascii="宋体" w:hAnsi="宋体" w:eastAsia="宋体" w:cs="宋体"/>
          <w:color w:val="auto"/>
          <w:kern w:val="0"/>
          <w:sz w:val="24"/>
          <w:highlight w:val="none"/>
        </w:rPr>
      </w:pPr>
    </w:p>
    <w:p w14:paraId="79A6218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工程名称: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1"/>
          <w:szCs w:val="21"/>
          <w:highlight w:val="none"/>
        </w:rPr>
        <w:t>币种：人民币</w:t>
      </w:r>
    </w:p>
    <w:tbl>
      <w:tblPr>
        <w:tblStyle w:val="16"/>
        <w:tblW w:w="0" w:type="auto"/>
        <w:tblInd w:w="108" w:type="dxa"/>
        <w:tblLayout w:type="fixed"/>
        <w:tblCellMar>
          <w:top w:w="0" w:type="dxa"/>
          <w:left w:w="108" w:type="dxa"/>
          <w:bottom w:w="0" w:type="dxa"/>
          <w:right w:w="108" w:type="dxa"/>
        </w:tblCellMar>
      </w:tblPr>
      <w:tblGrid>
        <w:gridCol w:w="720"/>
        <w:gridCol w:w="5944"/>
        <w:gridCol w:w="2520"/>
      </w:tblGrid>
      <w:tr w14:paraId="7856A24E">
        <w:tblPrEx>
          <w:tblCellMar>
            <w:top w:w="0" w:type="dxa"/>
            <w:left w:w="108" w:type="dxa"/>
            <w:bottom w:w="0" w:type="dxa"/>
            <w:right w:w="108" w:type="dxa"/>
          </w:tblCellMar>
        </w:tblPrEx>
        <w:trPr>
          <w:trHeight w:val="454" w:hRule="atLeast"/>
        </w:trPr>
        <w:tc>
          <w:tcPr>
            <w:tcW w:w="720" w:type="dxa"/>
            <w:tcBorders>
              <w:top w:val="single" w:color="auto" w:sz="4" w:space="0"/>
              <w:left w:val="single" w:color="auto" w:sz="8" w:space="0"/>
              <w:bottom w:val="single" w:color="auto" w:sz="4" w:space="0"/>
              <w:right w:val="single" w:color="auto" w:sz="4" w:space="0"/>
            </w:tcBorders>
            <w:noWrap w:val="0"/>
            <w:vAlign w:val="center"/>
          </w:tcPr>
          <w:p w14:paraId="62BE8A42">
            <w:pPr>
              <w:widowControl/>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一</w:t>
            </w:r>
          </w:p>
        </w:tc>
        <w:tc>
          <w:tcPr>
            <w:tcW w:w="5944" w:type="dxa"/>
            <w:tcBorders>
              <w:top w:val="single" w:color="auto" w:sz="8" w:space="0"/>
              <w:left w:val="nil"/>
              <w:bottom w:val="single" w:color="auto" w:sz="4" w:space="0"/>
              <w:right w:val="single" w:color="000000" w:sz="4" w:space="0"/>
            </w:tcBorders>
            <w:noWrap w:val="0"/>
            <w:vAlign w:val="center"/>
          </w:tcPr>
          <w:p w14:paraId="62F62BFF">
            <w:pPr>
              <w:widowControl/>
              <w:spacing w:line="360" w:lineRule="exact"/>
              <w:rPr>
                <w:rFonts w:ascii="宋体" w:hAnsi="宋体" w:cs="宋体"/>
                <w:color w:val="auto"/>
                <w:kern w:val="0"/>
                <w:szCs w:val="21"/>
                <w:highlight w:val="none"/>
              </w:rPr>
            </w:pPr>
            <w:r>
              <w:rPr>
                <w:rFonts w:hint="eastAsia" w:ascii="宋体" w:hAnsi="宋体" w:cs="宋体"/>
                <w:color w:val="auto"/>
                <w:kern w:val="0"/>
                <w:szCs w:val="21"/>
                <w:highlight w:val="none"/>
              </w:rPr>
              <w:t>总造价：二＋三＋四＋五＋六＋七</w:t>
            </w:r>
          </w:p>
        </w:tc>
        <w:tc>
          <w:tcPr>
            <w:tcW w:w="2520" w:type="dxa"/>
            <w:tcBorders>
              <w:top w:val="single" w:color="auto" w:sz="8" w:space="0"/>
              <w:left w:val="nil"/>
              <w:bottom w:val="single" w:color="auto" w:sz="4" w:space="0"/>
              <w:right w:val="single" w:color="auto" w:sz="8" w:space="0"/>
            </w:tcBorders>
            <w:noWrap w:val="0"/>
            <w:vAlign w:val="center"/>
          </w:tcPr>
          <w:p w14:paraId="28EDA96A">
            <w:pPr>
              <w:widowControl/>
              <w:spacing w:line="360" w:lineRule="exact"/>
              <w:jc w:val="righ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（元）</w:t>
            </w:r>
          </w:p>
        </w:tc>
      </w:tr>
      <w:tr w14:paraId="7D5B2BCC">
        <w:tblPrEx>
          <w:tblCellMar>
            <w:top w:w="0" w:type="dxa"/>
            <w:left w:w="108" w:type="dxa"/>
            <w:bottom w:w="0" w:type="dxa"/>
            <w:right w:w="108" w:type="dxa"/>
          </w:tblCellMar>
        </w:tblPrEx>
        <w:trPr>
          <w:trHeight w:val="454" w:hRule="atLeast"/>
        </w:trPr>
        <w:tc>
          <w:tcPr>
            <w:tcW w:w="720" w:type="dxa"/>
            <w:tcBorders>
              <w:top w:val="nil"/>
              <w:left w:val="single" w:color="auto" w:sz="8" w:space="0"/>
              <w:bottom w:val="single" w:color="auto" w:sz="4" w:space="0"/>
              <w:right w:val="single" w:color="auto" w:sz="4" w:space="0"/>
            </w:tcBorders>
            <w:noWrap w:val="0"/>
            <w:vAlign w:val="center"/>
          </w:tcPr>
          <w:p w14:paraId="66D1354C">
            <w:pPr>
              <w:widowControl/>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二</w:t>
            </w:r>
          </w:p>
        </w:tc>
        <w:tc>
          <w:tcPr>
            <w:tcW w:w="5944" w:type="dxa"/>
            <w:tcBorders>
              <w:top w:val="single" w:color="auto" w:sz="4" w:space="0"/>
              <w:left w:val="nil"/>
              <w:bottom w:val="single" w:color="auto" w:sz="4" w:space="0"/>
              <w:right w:val="single" w:color="auto" w:sz="4" w:space="0"/>
            </w:tcBorders>
            <w:noWrap w:val="0"/>
            <w:vAlign w:val="center"/>
          </w:tcPr>
          <w:p w14:paraId="267B58D6">
            <w:pPr>
              <w:widowControl/>
              <w:spacing w:line="36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磋商报价：（不含安全文明施工费、规费、增值税、</w:t>
            </w:r>
            <w:r>
              <w:rPr>
                <w:rFonts w:hint="eastAsia" w:ascii="宋体" w:hAnsi="宋体" w:cs="宋体"/>
                <w:color w:val="auto"/>
                <w:kern w:val="0"/>
                <w:sz w:val="21"/>
                <w:szCs w:val="21"/>
                <w:highlight w:val="none"/>
              </w:rPr>
              <w:t>安全生产责任保险费</w:t>
            </w:r>
            <w:r>
              <w:rPr>
                <w:rFonts w:hint="eastAsia" w:ascii="宋体" w:hAnsi="宋体" w:cs="宋体"/>
                <w:color w:val="auto"/>
                <w:kern w:val="0"/>
                <w:szCs w:val="21"/>
                <w:highlight w:val="none"/>
              </w:rPr>
              <w:t>暂估价</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暂列金）</w:t>
            </w:r>
          </w:p>
        </w:tc>
        <w:tc>
          <w:tcPr>
            <w:tcW w:w="2520" w:type="dxa"/>
            <w:tcBorders>
              <w:top w:val="nil"/>
              <w:left w:val="nil"/>
              <w:bottom w:val="single" w:color="auto" w:sz="4" w:space="0"/>
              <w:right w:val="single" w:color="auto" w:sz="8" w:space="0"/>
            </w:tcBorders>
            <w:noWrap w:val="0"/>
            <w:vAlign w:val="center"/>
          </w:tcPr>
          <w:p w14:paraId="40F16D9A">
            <w:pPr>
              <w:widowControl/>
              <w:spacing w:line="360" w:lineRule="exact"/>
              <w:jc w:val="righ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（元）</w:t>
            </w:r>
          </w:p>
        </w:tc>
      </w:tr>
      <w:tr w14:paraId="1162A00F">
        <w:tblPrEx>
          <w:tblCellMar>
            <w:top w:w="0" w:type="dxa"/>
            <w:left w:w="108" w:type="dxa"/>
            <w:bottom w:w="0" w:type="dxa"/>
            <w:right w:w="108" w:type="dxa"/>
          </w:tblCellMar>
        </w:tblPrEx>
        <w:trPr>
          <w:trHeight w:val="454" w:hRule="atLeast"/>
        </w:trPr>
        <w:tc>
          <w:tcPr>
            <w:tcW w:w="720" w:type="dxa"/>
            <w:tcBorders>
              <w:top w:val="single" w:color="auto" w:sz="4" w:space="0"/>
              <w:left w:val="single" w:color="auto" w:sz="8" w:space="0"/>
              <w:bottom w:val="single" w:color="auto" w:sz="4" w:space="0"/>
              <w:right w:val="single" w:color="auto" w:sz="4" w:space="0"/>
            </w:tcBorders>
            <w:noWrap w:val="0"/>
            <w:vAlign w:val="center"/>
          </w:tcPr>
          <w:p w14:paraId="1BBBE3C6">
            <w:pPr>
              <w:widowControl/>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三</w:t>
            </w:r>
          </w:p>
        </w:tc>
        <w:tc>
          <w:tcPr>
            <w:tcW w:w="5944" w:type="dxa"/>
            <w:tcBorders>
              <w:top w:val="single" w:color="auto" w:sz="4" w:space="0"/>
              <w:left w:val="nil"/>
              <w:bottom w:val="single" w:color="auto" w:sz="4" w:space="0"/>
              <w:right w:val="single" w:color="auto" w:sz="4" w:space="0"/>
            </w:tcBorders>
            <w:noWrap w:val="0"/>
            <w:vAlign w:val="center"/>
          </w:tcPr>
          <w:p w14:paraId="0F4A78DA">
            <w:pPr>
              <w:widowControl/>
              <w:spacing w:line="36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安全文明施工费</w:t>
            </w:r>
          </w:p>
        </w:tc>
        <w:tc>
          <w:tcPr>
            <w:tcW w:w="2520" w:type="dxa"/>
            <w:tcBorders>
              <w:top w:val="nil"/>
              <w:left w:val="nil"/>
              <w:bottom w:val="single" w:color="auto" w:sz="4" w:space="0"/>
              <w:right w:val="single" w:color="auto" w:sz="8" w:space="0"/>
            </w:tcBorders>
            <w:noWrap w:val="0"/>
            <w:vAlign w:val="center"/>
          </w:tcPr>
          <w:p w14:paraId="33A768D8">
            <w:pPr>
              <w:widowControl/>
              <w:spacing w:line="360" w:lineRule="exact"/>
              <w:jc w:val="righ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（元）</w:t>
            </w:r>
          </w:p>
        </w:tc>
      </w:tr>
      <w:tr w14:paraId="51FE818B">
        <w:tblPrEx>
          <w:tblCellMar>
            <w:top w:w="0" w:type="dxa"/>
            <w:left w:w="108" w:type="dxa"/>
            <w:bottom w:w="0" w:type="dxa"/>
            <w:right w:w="108" w:type="dxa"/>
          </w:tblCellMar>
        </w:tblPrEx>
        <w:trPr>
          <w:trHeight w:val="454" w:hRule="atLeast"/>
        </w:trPr>
        <w:tc>
          <w:tcPr>
            <w:tcW w:w="720" w:type="dxa"/>
            <w:tcBorders>
              <w:top w:val="nil"/>
              <w:left w:val="single" w:color="auto" w:sz="8" w:space="0"/>
              <w:bottom w:val="single" w:color="auto" w:sz="4" w:space="0"/>
              <w:right w:val="single" w:color="auto" w:sz="4" w:space="0"/>
            </w:tcBorders>
            <w:noWrap w:val="0"/>
            <w:vAlign w:val="center"/>
          </w:tcPr>
          <w:p w14:paraId="14E1B348">
            <w:pPr>
              <w:widowControl/>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四</w:t>
            </w:r>
          </w:p>
        </w:tc>
        <w:tc>
          <w:tcPr>
            <w:tcW w:w="5944" w:type="dxa"/>
            <w:tcBorders>
              <w:top w:val="single" w:color="auto" w:sz="4" w:space="0"/>
              <w:left w:val="nil"/>
              <w:bottom w:val="single" w:color="auto" w:sz="4" w:space="0"/>
              <w:right w:val="single" w:color="auto" w:sz="4" w:space="0"/>
            </w:tcBorders>
            <w:noWrap w:val="0"/>
            <w:vAlign w:val="center"/>
          </w:tcPr>
          <w:p w14:paraId="48523782">
            <w:pPr>
              <w:widowControl/>
              <w:spacing w:line="36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规费：</w:t>
            </w:r>
          </w:p>
        </w:tc>
        <w:tc>
          <w:tcPr>
            <w:tcW w:w="2520" w:type="dxa"/>
            <w:tcBorders>
              <w:top w:val="nil"/>
              <w:left w:val="nil"/>
              <w:bottom w:val="single" w:color="auto" w:sz="4" w:space="0"/>
              <w:right w:val="single" w:color="auto" w:sz="8" w:space="0"/>
            </w:tcBorders>
            <w:noWrap w:val="0"/>
            <w:vAlign w:val="center"/>
          </w:tcPr>
          <w:p w14:paraId="217506BD">
            <w:pPr>
              <w:widowControl/>
              <w:spacing w:line="360" w:lineRule="exact"/>
              <w:jc w:val="righ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（元）</w:t>
            </w:r>
          </w:p>
        </w:tc>
      </w:tr>
      <w:tr w14:paraId="3288319A">
        <w:tblPrEx>
          <w:tblCellMar>
            <w:top w:w="0" w:type="dxa"/>
            <w:left w:w="108" w:type="dxa"/>
            <w:bottom w:w="0" w:type="dxa"/>
            <w:right w:w="108" w:type="dxa"/>
          </w:tblCellMar>
        </w:tblPrEx>
        <w:trPr>
          <w:trHeight w:val="454" w:hRule="atLeast"/>
        </w:trPr>
        <w:tc>
          <w:tcPr>
            <w:tcW w:w="720" w:type="dxa"/>
            <w:tcBorders>
              <w:top w:val="single" w:color="auto" w:sz="4" w:space="0"/>
              <w:left w:val="single" w:color="auto" w:sz="8" w:space="0"/>
              <w:bottom w:val="single" w:color="auto" w:sz="4" w:space="0"/>
              <w:right w:val="single" w:color="auto" w:sz="4" w:space="0"/>
            </w:tcBorders>
            <w:noWrap w:val="0"/>
            <w:vAlign w:val="center"/>
          </w:tcPr>
          <w:p w14:paraId="39613542">
            <w:pPr>
              <w:widowControl/>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五</w:t>
            </w:r>
          </w:p>
        </w:tc>
        <w:tc>
          <w:tcPr>
            <w:tcW w:w="5944" w:type="dxa"/>
            <w:tcBorders>
              <w:top w:val="single" w:color="auto" w:sz="4" w:space="0"/>
              <w:left w:val="nil"/>
              <w:bottom w:val="single" w:color="auto" w:sz="4" w:space="0"/>
              <w:right w:val="single" w:color="auto" w:sz="4" w:space="0"/>
            </w:tcBorders>
            <w:noWrap w:val="0"/>
            <w:vAlign w:val="center"/>
          </w:tcPr>
          <w:p w14:paraId="69D13CC9">
            <w:pPr>
              <w:widowControl/>
              <w:spacing w:line="36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增值税</w:t>
            </w:r>
          </w:p>
        </w:tc>
        <w:tc>
          <w:tcPr>
            <w:tcW w:w="2520" w:type="dxa"/>
            <w:tcBorders>
              <w:top w:val="nil"/>
              <w:left w:val="nil"/>
              <w:bottom w:val="single" w:color="auto" w:sz="4" w:space="0"/>
              <w:right w:val="single" w:color="auto" w:sz="8" w:space="0"/>
            </w:tcBorders>
            <w:noWrap w:val="0"/>
            <w:vAlign w:val="center"/>
          </w:tcPr>
          <w:p w14:paraId="19D4C3E7">
            <w:pPr>
              <w:widowControl/>
              <w:spacing w:line="360" w:lineRule="exact"/>
              <w:jc w:val="righ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（元）</w:t>
            </w:r>
          </w:p>
        </w:tc>
      </w:tr>
      <w:tr w14:paraId="0A0DCCA5">
        <w:tblPrEx>
          <w:tblCellMar>
            <w:top w:w="0" w:type="dxa"/>
            <w:left w:w="108" w:type="dxa"/>
            <w:bottom w:w="0" w:type="dxa"/>
            <w:right w:w="108" w:type="dxa"/>
          </w:tblCellMar>
        </w:tblPrEx>
        <w:trPr>
          <w:trHeight w:val="454" w:hRule="atLeast"/>
        </w:trPr>
        <w:tc>
          <w:tcPr>
            <w:tcW w:w="720" w:type="dxa"/>
            <w:tcBorders>
              <w:top w:val="single" w:color="auto" w:sz="4" w:space="0"/>
              <w:left w:val="single" w:color="auto" w:sz="8" w:space="0"/>
              <w:bottom w:val="single" w:color="auto" w:sz="4" w:space="0"/>
              <w:right w:val="single" w:color="auto" w:sz="4" w:space="0"/>
            </w:tcBorders>
            <w:noWrap w:val="0"/>
            <w:vAlign w:val="center"/>
          </w:tcPr>
          <w:p w14:paraId="50A94F7F">
            <w:pPr>
              <w:widowControl/>
              <w:spacing w:line="360" w:lineRule="exac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eastAsia="zh-CN"/>
              </w:rPr>
              <w:t>六</w:t>
            </w:r>
          </w:p>
        </w:tc>
        <w:tc>
          <w:tcPr>
            <w:tcW w:w="5944" w:type="dxa"/>
            <w:tcBorders>
              <w:top w:val="single" w:color="auto" w:sz="4" w:space="0"/>
              <w:left w:val="nil"/>
              <w:bottom w:val="single" w:color="auto" w:sz="4" w:space="0"/>
              <w:right w:val="single" w:color="auto" w:sz="4" w:space="0"/>
            </w:tcBorders>
            <w:noWrap w:val="0"/>
            <w:vAlign w:val="center"/>
          </w:tcPr>
          <w:p w14:paraId="30945446">
            <w:pPr>
              <w:widowControl/>
              <w:spacing w:line="360" w:lineRule="exact"/>
              <w:rPr>
                <w:rFonts w:hint="eastAsia" w:ascii="宋体" w:hAnsi="宋体" w:cs="宋体"/>
                <w:color w:val="auto"/>
                <w:kern w:val="0"/>
                <w:szCs w:val="21"/>
                <w:highlight w:val="none"/>
              </w:rPr>
            </w:pPr>
            <w:r>
              <w:rPr>
                <w:rFonts w:hint="eastAsia" w:ascii="宋体" w:hAnsi="宋体" w:cs="宋体"/>
                <w:color w:val="auto"/>
                <w:kern w:val="0"/>
                <w:sz w:val="21"/>
                <w:szCs w:val="21"/>
                <w:highlight w:val="none"/>
              </w:rPr>
              <w:t>安全生产责任保险费</w:t>
            </w:r>
            <w:r>
              <w:rPr>
                <w:rFonts w:hint="eastAsia" w:ascii="宋体" w:hAnsi="宋体" w:cs="宋体"/>
                <w:color w:val="auto"/>
                <w:kern w:val="0"/>
                <w:szCs w:val="21"/>
                <w:highlight w:val="none"/>
              </w:rPr>
              <w:t>暂估价</w:t>
            </w:r>
          </w:p>
        </w:tc>
        <w:tc>
          <w:tcPr>
            <w:tcW w:w="2520" w:type="dxa"/>
            <w:tcBorders>
              <w:top w:val="nil"/>
              <w:left w:val="nil"/>
              <w:bottom w:val="single" w:color="auto" w:sz="4" w:space="0"/>
              <w:right w:val="single" w:color="auto" w:sz="8" w:space="0"/>
            </w:tcBorders>
            <w:noWrap w:val="0"/>
            <w:vAlign w:val="center"/>
          </w:tcPr>
          <w:p w14:paraId="03DE4EFD">
            <w:pPr>
              <w:widowControl/>
              <w:spacing w:line="360" w:lineRule="exact"/>
              <w:jc w:val="righ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（元）</w:t>
            </w:r>
          </w:p>
        </w:tc>
      </w:tr>
      <w:tr w14:paraId="38E3B0F7">
        <w:tblPrEx>
          <w:tblCellMar>
            <w:top w:w="0" w:type="dxa"/>
            <w:left w:w="108" w:type="dxa"/>
            <w:bottom w:w="0" w:type="dxa"/>
            <w:right w:w="108" w:type="dxa"/>
          </w:tblCellMar>
        </w:tblPrEx>
        <w:trPr>
          <w:trHeight w:val="454" w:hRule="atLeast"/>
        </w:trPr>
        <w:tc>
          <w:tcPr>
            <w:tcW w:w="720" w:type="dxa"/>
            <w:tcBorders>
              <w:top w:val="single" w:color="auto" w:sz="4" w:space="0"/>
              <w:left w:val="single" w:color="auto" w:sz="8" w:space="0"/>
              <w:bottom w:val="single" w:color="auto" w:sz="4" w:space="0"/>
              <w:right w:val="single" w:color="auto" w:sz="4" w:space="0"/>
            </w:tcBorders>
            <w:noWrap w:val="0"/>
            <w:vAlign w:val="center"/>
          </w:tcPr>
          <w:p w14:paraId="79ABD947">
            <w:pPr>
              <w:widowControl/>
              <w:spacing w:line="360" w:lineRule="exac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eastAsia="zh-CN"/>
              </w:rPr>
              <w:t>七</w:t>
            </w:r>
          </w:p>
        </w:tc>
        <w:tc>
          <w:tcPr>
            <w:tcW w:w="5944" w:type="dxa"/>
            <w:tcBorders>
              <w:top w:val="single" w:color="auto" w:sz="4" w:space="0"/>
              <w:left w:val="nil"/>
              <w:bottom w:val="single" w:color="auto" w:sz="4" w:space="0"/>
              <w:right w:val="single" w:color="auto" w:sz="4" w:space="0"/>
            </w:tcBorders>
            <w:noWrap w:val="0"/>
            <w:vAlign w:val="center"/>
          </w:tcPr>
          <w:p w14:paraId="734A75E5">
            <w:pPr>
              <w:widowControl/>
              <w:spacing w:line="36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暂列金</w:t>
            </w:r>
          </w:p>
        </w:tc>
        <w:tc>
          <w:tcPr>
            <w:tcW w:w="2520" w:type="dxa"/>
            <w:tcBorders>
              <w:top w:val="nil"/>
              <w:left w:val="nil"/>
              <w:bottom w:val="single" w:color="auto" w:sz="4" w:space="0"/>
              <w:right w:val="single" w:color="auto" w:sz="8" w:space="0"/>
            </w:tcBorders>
            <w:noWrap w:val="0"/>
            <w:vAlign w:val="center"/>
          </w:tcPr>
          <w:p w14:paraId="5DE78FE6">
            <w:pPr>
              <w:widowControl/>
              <w:spacing w:line="360" w:lineRule="exact"/>
              <w:jc w:val="righ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（元）</w:t>
            </w:r>
          </w:p>
        </w:tc>
      </w:tr>
      <w:tr w14:paraId="60E28821">
        <w:tblPrEx>
          <w:tblCellMar>
            <w:top w:w="0" w:type="dxa"/>
            <w:left w:w="108" w:type="dxa"/>
            <w:bottom w:w="0" w:type="dxa"/>
            <w:right w:w="108" w:type="dxa"/>
          </w:tblCellMar>
        </w:tblPrEx>
        <w:trPr>
          <w:trHeight w:val="454" w:hRule="atLeast"/>
        </w:trPr>
        <w:tc>
          <w:tcPr>
            <w:tcW w:w="6664" w:type="dxa"/>
            <w:gridSpan w:val="2"/>
            <w:tcBorders>
              <w:top w:val="single" w:color="auto" w:sz="4" w:space="0"/>
              <w:left w:val="single" w:color="auto" w:sz="8" w:space="0"/>
              <w:bottom w:val="single" w:color="auto" w:sz="4" w:space="0"/>
              <w:right w:val="single" w:color="auto" w:sz="4" w:space="0"/>
            </w:tcBorders>
            <w:noWrap w:val="0"/>
            <w:vAlign w:val="center"/>
          </w:tcPr>
          <w:p w14:paraId="0371F83C">
            <w:pPr>
              <w:widowControl/>
              <w:spacing w:line="36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承诺工期</w:t>
            </w:r>
          </w:p>
        </w:tc>
        <w:tc>
          <w:tcPr>
            <w:tcW w:w="2520" w:type="dxa"/>
            <w:tcBorders>
              <w:top w:val="nil"/>
              <w:left w:val="nil"/>
              <w:bottom w:val="single" w:color="auto" w:sz="4" w:space="0"/>
              <w:right w:val="single" w:color="auto" w:sz="8" w:space="0"/>
            </w:tcBorders>
            <w:noWrap w:val="0"/>
            <w:vAlign w:val="center"/>
          </w:tcPr>
          <w:p w14:paraId="0EA33F93">
            <w:pPr>
              <w:widowControl/>
              <w:spacing w:line="360" w:lineRule="exact"/>
              <w:jc w:val="right"/>
              <w:rPr>
                <w:rFonts w:hint="eastAsia" w:ascii="宋体" w:hAnsi="宋体" w:cs="宋体"/>
                <w:color w:val="auto"/>
                <w:kern w:val="0"/>
                <w:szCs w:val="21"/>
                <w:highlight w:val="none"/>
              </w:rPr>
            </w:pPr>
            <w:r>
              <w:rPr>
                <w:rFonts w:hint="eastAsia" w:ascii="宋体" w:hAnsi="宋体" w:cs="宋体"/>
                <w:color w:val="auto"/>
                <w:kern w:val="0"/>
                <w:szCs w:val="21"/>
                <w:highlight w:val="none"/>
              </w:rPr>
              <w:t>天（日历日）</w:t>
            </w:r>
          </w:p>
        </w:tc>
      </w:tr>
      <w:tr w14:paraId="5B69C396">
        <w:tblPrEx>
          <w:tblCellMar>
            <w:top w:w="0" w:type="dxa"/>
            <w:left w:w="108" w:type="dxa"/>
            <w:bottom w:w="0" w:type="dxa"/>
            <w:right w:w="108" w:type="dxa"/>
          </w:tblCellMar>
        </w:tblPrEx>
        <w:trPr>
          <w:trHeight w:val="454" w:hRule="atLeast"/>
        </w:trPr>
        <w:tc>
          <w:tcPr>
            <w:tcW w:w="6664" w:type="dxa"/>
            <w:gridSpan w:val="2"/>
            <w:tcBorders>
              <w:top w:val="single" w:color="auto" w:sz="4" w:space="0"/>
              <w:left w:val="single" w:color="auto" w:sz="8" w:space="0"/>
              <w:bottom w:val="single" w:color="auto" w:sz="4" w:space="0"/>
              <w:right w:val="single" w:color="auto" w:sz="4" w:space="0"/>
            </w:tcBorders>
            <w:noWrap w:val="0"/>
            <w:vAlign w:val="center"/>
          </w:tcPr>
          <w:p w14:paraId="697BE31E">
            <w:pPr>
              <w:widowControl/>
              <w:spacing w:line="36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承诺质量等级</w:t>
            </w:r>
          </w:p>
        </w:tc>
        <w:tc>
          <w:tcPr>
            <w:tcW w:w="2520" w:type="dxa"/>
            <w:tcBorders>
              <w:top w:val="nil"/>
              <w:left w:val="nil"/>
              <w:bottom w:val="single" w:color="auto" w:sz="4" w:space="0"/>
              <w:right w:val="single" w:color="auto" w:sz="8" w:space="0"/>
            </w:tcBorders>
            <w:noWrap w:val="0"/>
            <w:vAlign w:val="center"/>
          </w:tcPr>
          <w:p w14:paraId="1D528FB2">
            <w:pPr>
              <w:widowControl/>
              <w:spacing w:line="360" w:lineRule="exact"/>
              <w:jc w:val="right"/>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r>
      <w:tr w14:paraId="465CE44A">
        <w:tblPrEx>
          <w:tblCellMar>
            <w:top w:w="0" w:type="dxa"/>
            <w:left w:w="108" w:type="dxa"/>
            <w:bottom w:w="0" w:type="dxa"/>
            <w:right w:w="108" w:type="dxa"/>
          </w:tblCellMar>
        </w:tblPrEx>
        <w:trPr>
          <w:trHeight w:val="1104" w:hRule="atLeast"/>
        </w:trPr>
        <w:tc>
          <w:tcPr>
            <w:tcW w:w="9184" w:type="dxa"/>
            <w:gridSpan w:val="3"/>
            <w:tcBorders>
              <w:top w:val="single" w:color="auto" w:sz="4" w:space="0"/>
              <w:left w:val="single" w:color="auto" w:sz="4" w:space="0"/>
              <w:bottom w:val="single" w:color="auto" w:sz="4" w:space="0"/>
              <w:right w:val="single" w:color="000000" w:sz="4" w:space="0"/>
            </w:tcBorders>
            <w:noWrap w:val="0"/>
            <w:vAlign w:val="center"/>
          </w:tcPr>
          <w:p w14:paraId="6640C029">
            <w:pPr>
              <w:widowControl/>
              <w:spacing w:line="36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注：</w:t>
            </w:r>
            <w:r>
              <w:rPr>
                <w:rFonts w:hint="eastAsia" w:ascii="宋体" w:hAnsi="宋体" w:eastAsia="宋体" w:cs="宋体"/>
                <w:color w:val="auto"/>
                <w:kern w:val="0"/>
                <w:sz w:val="21"/>
                <w:szCs w:val="21"/>
                <w:highlight w:val="none"/>
              </w:rPr>
              <w:t>安全文明施工费按市建规[2007]131号文和市建规[2008]224号文执行。均作为不可竞争费用单列。</w:t>
            </w:r>
          </w:p>
        </w:tc>
      </w:tr>
    </w:tbl>
    <w:p w14:paraId="412FFB31">
      <w:pPr>
        <w:spacing w:line="340" w:lineRule="exact"/>
        <w:rPr>
          <w:rFonts w:hint="eastAsia" w:ascii="宋体" w:hAnsi="宋体" w:eastAsia="宋体" w:cs="宋体"/>
          <w:color w:val="auto"/>
          <w:szCs w:val="21"/>
          <w:highlight w:val="none"/>
        </w:rPr>
      </w:pPr>
    </w:p>
    <w:p w14:paraId="68A2C241">
      <w:pPr>
        <w:spacing w:line="340" w:lineRule="exact"/>
        <w:rPr>
          <w:rFonts w:hint="eastAsia" w:ascii="宋体" w:hAnsi="宋体" w:eastAsia="宋体" w:cs="宋体"/>
          <w:color w:val="auto"/>
          <w:szCs w:val="21"/>
          <w:highlight w:val="none"/>
        </w:rPr>
      </w:pPr>
    </w:p>
    <w:p w14:paraId="1F0033F9">
      <w:pPr>
        <w:snapToGrid w:val="0"/>
        <w:spacing w:line="400" w:lineRule="exact"/>
        <w:ind w:firstLine="0" w:firstLineChars="0"/>
        <w:rPr>
          <w:rFonts w:ascii="宋体" w:hAnsi="宋体" w:cs="宋体"/>
          <w:color w:val="000000" w:themeColor="text1"/>
          <w:sz w:val="21"/>
          <w:szCs w:val="21"/>
          <w:u w:val="single"/>
          <w14:textFill>
            <w14:solidFill>
              <w14:schemeClr w14:val="tx1"/>
            </w14:solidFill>
          </w14:textFill>
        </w:rPr>
      </w:pPr>
      <w:r>
        <w:rPr>
          <w:rFonts w:hint="eastAsia" w:ascii="宋体" w:hAnsi="宋体" w:eastAsia="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w:t>
      </w:r>
      <w:r>
        <w:rPr>
          <w:rFonts w:hint="eastAsia" w:ascii="宋体" w:hAnsi="宋体" w:cs="宋体"/>
          <w:color w:val="000000" w:themeColor="text1"/>
          <w:sz w:val="21"/>
          <w:szCs w:val="21"/>
          <w14:textFill>
            <w14:solidFill>
              <w14:schemeClr w14:val="tx1"/>
            </w14:solidFill>
          </w14:textFill>
        </w:rPr>
        <w:t>供应商（电子签章）：</w:t>
      </w:r>
    </w:p>
    <w:p w14:paraId="60490A03">
      <w:pPr>
        <w:spacing w:line="340" w:lineRule="exact"/>
        <w:ind w:firstLine="0" w:firstLineChars="0"/>
        <w:rPr>
          <w:rFonts w:ascii="宋体" w:hAnsi="宋体" w:cs="宋体"/>
          <w:color w:val="000000" w:themeColor="text1"/>
          <w:sz w:val="21"/>
          <w:szCs w:val="24"/>
          <w14:textFill>
            <w14:solidFill>
              <w14:schemeClr w14:val="tx1"/>
            </w14:solidFill>
          </w14:textFill>
        </w:rPr>
      </w:pPr>
      <w:r>
        <w:rPr>
          <w:rFonts w:hint="eastAsia" w:ascii="宋体" w:hAnsi="宋体" w:cs="宋体"/>
          <w:color w:val="000000" w:themeColor="text1"/>
          <w:sz w:val="21"/>
          <w:szCs w:val="24"/>
          <w14:textFill>
            <w14:solidFill>
              <w14:schemeClr w14:val="tx1"/>
            </w14:solidFill>
          </w14:textFill>
        </w:rPr>
        <w:t xml:space="preserve"> </w:t>
      </w:r>
      <w:r>
        <w:rPr>
          <w:rFonts w:hint="eastAsia" w:ascii="宋体" w:hAnsi="宋体" w:cs="宋体"/>
          <w:color w:val="000000" w:themeColor="text1"/>
          <w:sz w:val="21"/>
          <w:szCs w:val="24"/>
          <w:lang w:val="en-US" w:eastAsia="zh-CN"/>
          <w14:textFill>
            <w14:solidFill>
              <w14:schemeClr w14:val="tx1"/>
            </w14:solidFill>
          </w14:textFill>
        </w:rPr>
        <w:t xml:space="preserve"> </w:t>
      </w:r>
      <w:r>
        <w:rPr>
          <w:rFonts w:hint="eastAsia" w:ascii="宋体" w:hAnsi="宋体" w:cs="宋体"/>
          <w:color w:val="000000" w:themeColor="text1"/>
          <w:sz w:val="21"/>
          <w:szCs w:val="24"/>
          <w14:textFill>
            <w14:solidFill>
              <w14:schemeClr w14:val="tx1"/>
            </w14:solidFill>
          </w14:textFill>
        </w:rPr>
        <w:t xml:space="preserve"> 法定代表人或委托代理人签字</w:t>
      </w:r>
      <w:r>
        <w:rPr>
          <w:rFonts w:hint="eastAsia" w:ascii="宋体" w:hAnsi="宋体" w:cs="宋体"/>
          <w:color w:val="000000" w:themeColor="text1"/>
          <w:sz w:val="21"/>
          <w:szCs w:val="21"/>
          <w14:textFill>
            <w14:solidFill>
              <w14:schemeClr w14:val="tx1"/>
            </w14:solidFill>
          </w14:textFill>
        </w:rPr>
        <w:t>（或电子签名）</w:t>
      </w:r>
      <w:r>
        <w:rPr>
          <w:rFonts w:hint="eastAsia" w:ascii="宋体" w:hAnsi="宋体" w:cs="宋体"/>
          <w:color w:val="000000" w:themeColor="text1"/>
          <w:sz w:val="21"/>
          <w:szCs w:val="24"/>
          <w14:textFill>
            <w14:solidFill>
              <w14:schemeClr w14:val="tx1"/>
            </w14:solidFill>
          </w14:textFill>
        </w:rPr>
        <w:t>：</w:t>
      </w:r>
    </w:p>
    <w:p w14:paraId="60DDB8B4">
      <w:pPr>
        <w:spacing w:line="400" w:lineRule="exact"/>
        <w:ind w:firstLine="0" w:firstLineChars="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0"/>
          <w14:textFill>
            <w14:solidFill>
              <w14:schemeClr w14:val="tx1"/>
            </w14:solidFill>
          </w14:textFill>
        </w:rPr>
        <w:t xml:space="preserve">  </w:t>
      </w:r>
      <w:r>
        <w:rPr>
          <w:rFonts w:hint="eastAsia" w:ascii="宋体" w:hAnsi="宋体" w:cs="宋体"/>
          <w:color w:val="000000" w:themeColor="text1"/>
          <w:sz w:val="21"/>
          <w:szCs w:val="20"/>
          <w:lang w:val="en-US" w:eastAsia="zh-CN"/>
          <w14:textFill>
            <w14:solidFill>
              <w14:schemeClr w14:val="tx1"/>
            </w14:solidFill>
          </w14:textFill>
        </w:rPr>
        <w:t xml:space="preserve">                          </w:t>
      </w:r>
      <w:r>
        <w:rPr>
          <w:rFonts w:hint="eastAsia" w:ascii="宋体" w:hAnsi="宋体" w:cs="宋体"/>
          <w:color w:val="000000" w:themeColor="text1"/>
          <w:sz w:val="21"/>
          <w:szCs w:val="20"/>
          <w14:textFill>
            <w14:solidFill>
              <w14:schemeClr w14:val="tx1"/>
            </w14:solidFill>
          </w14:textFill>
        </w:rPr>
        <w:t>日          期：</w:t>
      </w:r>
    </w:p>
    <w:p w14:paraId="3F644FAC">
      <w:pPr>
        <w:spacing w:line="340" w:lineRule="exact"/>
        <w:ind w:firstLine="480" w:firstLineChars="200"/>
        <w:rPr>
          <w:rFonts w:hint="eastAsia" w:ascii="宋体" w:hAnsi="宋体" w:eastAsia="宋体" w:cs="宋体"/>
          <w:bCs/>
          <w:color w:val="auto"/>
          <w:sz w:val="24"/>
          <w:highlight w:val="none"/>
        </w:rPr>
      </w:pPr>
    </w:p>
    <w:p w14:paraId="713551BB">
      <w:pPr>
        <w:pStyle w:val="9"/>
        <w:wordWrap w:val="0"/>
        <w:spacing w:line="34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r>
        <w:rPr>
          <w:rFonts w:hint="eastAsia" w:ascii="宋体" w:hAnsi="宋体" w:eastAsia="宋体" w:cs="宋体"/>
          <w:b/>
          <w:color w:val="auto"/>
          <w:sz w:val="28"/>
          <w:szCs w:val="28"/>
          <w:highlight w:val="none"/>
        </w:rPr>
        <w:t>2、已标价工程量清单（必须提供）</w:t>
      </w:r>
    </w:p>
    <w:p w14:paraId="4F24FCC3">
      <w:pPr>
        <w:wordWrap w:val="0"/>
        <w:snapToGrid w:val="0"/>
        <w:ind w:firstLine="420"/>
        <w:jc w:val="right"/>
        <w:rPr>
          <w:rFonts w:hint="eastAsia" w:ascii="宋体" w:hAnsi="宋体" w:eastAsia="宋体" w:cs="宋体"/>
          <w:color w:val="auto"/>
          <w:highlight w:val="none"/>
        </w:rPr>
      </w:pPr>
    </w:p>
    <w:p w14:paraId="62C990BA">
      <w:pPr>
        <w:pStyle w:val="4"/>
        <w:wordWrap w:val="0"/>
        <w:spacing w:line="240" w:lineRule="auto"/>
        <w:jc w:val="center"/>
        <w:rPr>
          <w:rFonts w:hint="eastAsia" w:ascii="宋体" w:hAnsi="宋体" w:eastAsia="宋体" w:cs="宋体"/>
          <w:color w:val="auto"/>
          <w:sz w:val="24"/>
          <w:szCs w:val="24"/>
          <w:highlight w:val="none"/>
        </w:rPr>
      </w:pPr>
      <w:bookmarkStart w:id="1794" w:name="_Toc446943082"/>
      <w:bookmarkStart w:id="1795" w:name="_Toc271557289"/>
      <w:bookmarkStart w:id="1796" w:name="_Toc394929435"/>
      <w:bookmarkStart w:id="1797" w:name="_Toc234659851"/>
      <w:r>
        <w:rPr>
          <w:rFonts w:hint="eastAsia" w:ascii="宋体" w:hAnsi="宋体" w:eastAsia="宋体" w:cs="宋体"/>
          <w:color w:val="auto"/>
          <w:sz w:val="24"/>
          <w:szCs w:val="24"/>
          <w:highlight w:val="none"/>
        </w:rPr>
        <w:t>已标价工程量清单</w:t>
      </w:r>
      <w:bookmarkEnd w:id="1794"/>
      <w:bookmarkEnd w:id="1795"/>
      <w:bookmarkEnd w:id="1796"/>
      <w:bookmarkEnd w:id="1797"/>
    </w:p>
    <w:p w14:paraId="67073659">
      <w:pPr>
        <w:wordWrap w:val="0"/>
        <w:ind w:firstLine="420"/>
        <w:jc w:val="center"/>
        <w:rPr>
          <w:rFonts w:hint="eastAsia" w:ascii="宋体" w:hAnsi="宋体" w:eastAsia="宋体" w:cs="宋体"/>
          <w:color w:val="auto"/>
          <w:highlight w:val="none"/>
        </w:rPr>
      </w:pPr>
    </w:p>
    <w:p w14:paraId="6F4D5D70">
      <w:pPr>
        <w:wordWrap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供应商应按照第三章“工程量清单”的要求逐项填报工程量清单，包括工程量清单说明、磋商报价说明及工程量清单各项表格（</w:t>
      </w:r>
      <w:r>
        <w:rPr>
          <w:rFonts w:hint="eastAsia" w:ascii="宋体" w:hAnsi="宋体" w:eastAsia="宋体" w:cs="宋体"/>
          <w:b/>
          <w:bCs/>
          <w:color w:val="auto"/>
          <w:szCs w:val="21"/>
          <w:highlight w:val="none"/>
        </w:rPr>
        <w:t>采购人</w:t>
      </w:r>
      <w:r>
        <w:rPr>
          <w:rFonts w:hint="eastAsia" w:ascii="宋体" w:hAnsi="宋体" w:eastAsia="宋体" w:cs="宋体"/>
          <w:b/>
          <w:bCs/>
          <w:color w:val="auto"/>
          <w:highlight w:val="none"/>
        </w:rPr>
        <w:t>提供的工程量清单</w:t>
      </w:r>
      <w:r>
        <w:rPr>
          <w:rFonts w:hint="eastAsia" w:ascii="宋体" w:hAnsi="宋体" w:eastAsia="宋体" w:cs="宋体"/>
          <w:color w:val="auto"/>
          <w:szCs w:val="21"/>
          <w:highlight w:val="none"/>
        </w:rPr>
        <w:t>）。</w:t>
      </w:r>
    </w:p>
    <w:p w14:paraId="65C67AFC">
      <w:pPr>
        <w:wordWrap w:val="0"/>
        <w:spacing w:line="340" w:lineRule="exact"/>
        <w:rPr>
          <w:rFonts w:hint="eastAsia" w:ascii="宋体" w:hAnsi="宋体" w:eastAsia="宋体" w:cs="宋体"/>
          <w:color w:val="auto"/>
          <w:szCs w:val="21"/>
          <w:highlight w:val="none"/>
        </w:rPr>
      </w:pPr>
    </w:p>
    <w:p w14:paraId="57148708">
      <w:pPr>
        <w:wordWrap w:val="0"/>
        <w:spacing w:line="400" w:lineRule="exact"/>
        <w:rPr>
          <w:rFonts w:hint="eastAsia" w:ascii="宋体" w:hAnsi="宋体" w:eastAsia="宋体" w:cs="宋体"/>
          <w:b/>
          <w:bCs/>
          <w:color w:val="auto"/>
          <w:sz w:val="28"/>
          <w:szCs w:val="28"/>
          <w:highlight w:val="none"/>
        </w:rPr>
      </w:pPr>
      <w:r>
        <w:rPr>
          <w:rFonts w:hint="eastAsia" w:ascii="宋体" w:hAnsi="宋体" w:eastAsia="宋体" w:cs="宋体"/>
          <w:b/>
          <w:color w:val="auto"/>
          <w:sz w:val="24"/>
          <w:highlight w:val="none"/>
        </w:rPr>
        <w:t>注：当本清单由多页构成时，需逐页加盖磋商供应商公章（CA签章）（属自然人的须逐页签字或个人CA签章）。</w:t>
      </w:r>
    </w:p>
    <w:p w14:paraId="39DA5119">
      <w:pPr>
        <w:wordWrap w:val="0"/>
        <w:rPr>
          <w:rFonts w:hint="eastAsia" w:ascii="宋体" w:hAnsi="宋体" w:eastAsia="宋体" w:cs="宋体"/>
          <w:color w:val="auto"/>
          <w:highlight w:val="none"/>
        </w:rPr>
      </w:pPr>
    </w:p>
    <w:p w14:paraId="44A4C76B">
      <w:pPr>
        <w:pStyle w:val="13"/>
        <w:wordWrap w:val="0"/>
        <w:ind w:firstLine="400"/>
        <w:rPr>
          <w:rFonts w:hint="eastAsia" w:ascii="宋体" w:hAnsi="宋体" w:eastAsia="宋体" w:cs="宋体"/>
          <w:color w:val="auto"/>
          <w:highlight w:val="none"/>
        </w:rPr>
      </w:pPr>
    </w:p>
    <w:p w14:paraId="1C25AD4B">
      <w:pPr>
        <w:pStyle w:val="9"/>
        <w:wordWrap w:val="0"/>
        <w:spacing w:line="34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3、拟投入本工程主要施工管理人员表（必须提供）</w:t>
      </w:r>
    </w:p>
    <w:p w14:paraId="3D6C8A36">
      <w:pPr>
        <w:wordWrap w:val="0"/>
        <w:spacing w:line="500" w:lineRule="exact"/>
        <w:jc w:val="center"/>
        <w:rPr>
          <w:rFonts w:hint="eastAsia" w:ascii="宋体" w:hAnsi="宋体" w:eastAsia="宋体" w:cs="宋体"/>
          <w:b/>
          <w:color w:val="auto"/>
          <w:sz w:val="24"/>
          <w:highlight w:val="none"/>
        </w:rPr>
      </w:pPr>
    </w:p>
    <w:p w14:paraId="5262A30D">
      <w:pPr>
        <w:wordWrap w:val="0"/>
        <w:spacing w:line="5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主要施工管理人员表</w:t>
      </w:r>
    </w:p>
    <w:p w14:paraId="4C56EF33">
      <w:pPr>
        <w:wordWrap w:val="0"/>
        <w:spacing w:line="360" w:lineRule="exac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工程名称：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tbl>
      <w:tblPr>
        <w:tblStyle w:val="16"/>
        <w:tblW w:w="9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36"/>
        <w:gridCol w:w="1861"/>
        <w:gridCol w:w="1861"/>
        <w:gridCol w:w="649"/>
        <w:gridCol w:w="649"/>
      </w:tblGrid>
      <w:tr w14:paraId="78A47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4936" w:type="dxa"/>
            <w:tcBorders>
              <w:top w:val="single" w:color="auto" w:sz="4" w:space="0"/>
              <w:left w:val="single" w:color="auto" w:sz="4" w:space="0"/>
              <w:bottom w:val="single" w:color="auto" w:sz="4" w:space="0"/>
              <w:right w:val="single" w:color="auto" w:sz="4" w:space="0"/>
            </w:tcBorders>
            <w:noWrap w:val="0"/>
            <w:vAlign w:val="center"/>
          </w:tcPr>
          <w:p w14:paraId="2F827987">
            <w:pPr>
              <w:wordWrap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   称</w:t>
            </w:r>
          </w:p>
        </w:tc>
        <w:tc>
          <w:tcPr>
            <w:tcW w:w="1861" w:type="dxa"/>
            <w:tcBorders>
              <w:top w:val="single" w:color="auto" w:sz="4" w:space="0"/>
              <w:left w:val="single" w:color="auto" w:sz="4" w:space="0"/>
              <w:bottom w:val="single" w:color="auto" w:sz="4" w:space="0"/>
              <w:right w:val="single" w:color="auto" w:sz="4" w:space="0"/>
            </w:tcBorders>
            <w:noWrap w:val="0"/>
            <w:vAlign w:val="center"/>
          </w:tcPr>
          <w:p w14:paraId="7E0C2388">
            <w:pPr>
              <w:wordWrap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1861" w:type="dxa"/>
            <w:tcBorders>
              <w:top w:val="single" w:color="auto" w:sz="4" w:space="0"/>
              <w:left w:val="single" w:color="auto" w:sz="4" w:space="0"/>
              <w:bottom w:val="single" w:color="auto" w:sz="4" w:space="0"/>
              <w:right w:val="single" w:color="auto" w:sz="4" w:space="0"/>
            </w:tcBorders>
            <w:noWrap w:val="0"/>
            <w:vAlign w:val="center"/>
          </w:tcPr>
          <w:p w14:paraId="4CAA5EA0">
            <w:pPr>
              <w:wordWrap w:val="0"/>
              <w:snapToGrid w:val="0"/>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649" w:type="dxa"/>
            <w:tcBorders>
              <w:top w:val="single" w:color="auto" w:sz="4" w:space="0"/>
              <w:left w:val="single" w:color="auto" w:sz="4" w:space="0"/>
              <w:bottom w:val="single" w:color="auto" w:sz="4" w:space="0"/>
              <w:right w:val="single" w:color="auto" w:sz="4" w:space="0"/>
            </w:tcBorders>
            <w:noWrap w:val="0"/>
            <w:vAlign w:val="center"/>
          </w:tcPr>
          <w:p w14:paraId="5C7009B6">
            <w:pPr>
              <w:wordWrap w:val="0"/>
              <w:snapToGrid w:val="0"/>
              <w:spacing w:line="360" w:lineRule="exact"/>
              <w:jc w:val="center"/>
              <w:rPr>
                <w:rFonts w:hint="eastAsia" w:ascii="宋体" w:hAnsi="宋体" w:eastAsia="宋体" w:cs="宋体"/>
                <w:color w:val="auto"/>
                <w:szCs w:val="21"/>
                <w:highlight w:val="none"/>
              </w:rPr>
            </w:pPr>
          </w:p>
        </w:tc>
        <w:tc>
          <w:tcPr>
            <w:tcW w:w="649" w:type="dxa"/>
            <w:tcBorders>
              <w:top w:val="single" w:color="auto" w:sz="4" w:space="0"/>
              <w:left w:val="single" w:color="auto" w:sz="4" w:space="0"/>
              <w:bottom w:val="single" w:color="auto" w:sz="4" w:space="0"/>
              <w:right w:val="single" w:color="auto" w:sz="4" w:space="0"/>
            </w:tcBorders>
            <w:noWrap w:val="0"/>
            <w:vAlign w:val="center"/>
          </w:tcPr>
          <w:p w14:paraId="10503C7A">
            <w:pPr>
              <w:wordWrap w:val="0"/>
              <w:snapToGrid w:val="0"/>
              <w:spacing w:line="360" w:lineRule="exact"/>
              <w:jc w:val="center"/>
              <w:rPr>
                <w:rFonts w:hint="eastAsia" w:ascii="宋体" w:hAnsi="宋体" w:eastAsia="宋体" w:cs="宋体"/>
                <w:color w:val="auto"/>
                <w:szCs w:val="21"/>
                <w:highlight w:val="none"/>
              </w:rPr>
            </w:pPr>
          </w:p>
        </w:tc>
      </w:tr>
      <w:tr w14:paraId="798F0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36" w:type="dxa"/>
            <w:tcBorders>
              <w:top w:val="single" w:color="auto" w:sz="4" w:space="0"/>
              <w:left w:val="single" w:color="auto" w:sz="4" w:space="0"/>
              <w:bottom w:val="single" w:color="auto" w:sz="4" w:space="0"/>
              <w:right w:val="single" w:color="auto" w:sz="4" w:space="0"/>
            </w:tcBorders>
            <w:noWrap w:val="0"/>
            <w:vAlign w:val="center"/>
          </w:tcPr>
          <w:p w14:paraId="5DF2E0CF">
            <w:pPr>
              <w:wordWrap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1.项目经理</w:t>
            </w:r>
          </w:p>
        </w:tc>
        <w:tc>
          <w:tcPr>
            <w:tcW w:w="1861" w:type="dxa"/>
            <w:tcBorders>
              <w:top w:val="single" w:color="auto" w:sz="4" w:space="0"/>
              <w:left w:val="single" w:color="auto" w:sz="4" w:space="0"/>
              <w:bottom w:val="single" w:color="auto" w:sz="4" w:space="0"/>
              <w:right w:val="single" w:color="auto" w:sz="4" w:space="0"/>
            </w:tcBorders>
            <w:noWrap w:val="0"/>
            <w:vAlign w:val="center"/>
          </w:tcPr>
          <w:p w14:paraId="77713D8D">
            <w:pPr>
              <w:wordWrap w:val="0"/>
              <w:snapToGrid w:val="0"/>
              <w:spacing w:line="360" w:lineRule="exact"/>
              <w:rPr>
                <w:rFonts w:hint="eastAsia" w:ascii="宋体" w:hAnsi="宋体" w:eastAsia="宋体" w:cs="宋体"/>
                <w:color w:val="auto"/>
                <w:szCs w:val="21"/>
                <w:highlight w:val="none"/>
              </w:rPr>
            </w:pPr>
          </w:p>
        </w:tc>
        <w:tc>
          <w:tcPr>
            <w:tcW w:w="1861" w:type="dxa"/>
            <w:tcBorders>
              <w:top w:val="single" w:color="auto" w:sz="4" w:space="0"/>
              <w:left w:val="single" w:color="auto" w:sz="4" w:space="0"/>
              <w:bottom w:val="single" w:color="auto" w:sz="4" w:space="0"/>
              <w:right w:val="single" w:color="auto" w:sz="4" w:space="0"/>
            </w:tcBorders>
            <w:noWrap w:val="0"/>
            <w:vAlign w:val="center"/>
          </w:tcPr>
          <w:p w14:paraId="41E09D61">
            <w:pPr>
              <w:wordWrap w:val="0"/>
              <w:snapToGrid w:val="0"/>
              <w:spacing w:line="360" w:lineRule="exact"/>
              <w:rPr>
                <w:rFonts w:hint="eastAsia" w:ascii="宋体" w:hAnsi="宋体" w:eastAsia="宋体" w:cs="宋体"/>
                <w:color w:val="auto"/>
                <w:szCs w:val="21"/>
                <w:highlight w:val="none"/>
              </w:rPr>
            </w:pPr>
          </w:p>
        </w:tc>
        <w:tc>
          <w:tcPr>
            <w:tcW w:w="649" w:type="dxa"/>
            <w:tcBorders>
              <w:top w:val="single" w:color="auto" w:sz="4" w:space="0"/>
              <w:left w:val="single" w:color="auto" w:sz="4" w:space="0"/>
              <w:bottom w:val="single" w:color="auto" w:sz="4" w:space="0"/>
              <w:right w:val="single" w:color="auto" w:sz="4" w:space="0"/>
            </w:tcBorders>
            <w:noWrap w:val="0"/>
            <w:vAlign w:val="center"/>
          </w:tcPr>
          <w:p w14:paraId="0B1C242D">
            <w:pPr>
              <w:wordWrap w:val="0"/>
              <w:snapToGrid w:val="0"/>
              <w:spacing w:line="360" w:lineRule="exact"/>
              <w:rPr>
                <w:rFonts w:hint="eastAsia" w:ascii="宋体" w:hAnsi="宋体" w:eastAsia="宋体" w:cs="宋体"/>
                <w:color w:val="auto"/>
                <w:szCs w:val="21"/>
                <w:highlight w:val="none"/>
              </w:rPr>
            </w:pPr>
          </w:p>
        </w:tc>
        <w:tc>
          <w:tcPr>
            <w:tcW w:w="649" w:type="dxa"/>
            <w:tcBorders>
              <w:top w:val="single" w:color="auto" w:sz="4" w:space="0"/>
              <w:left w:val="single" w:color="auto" w:sz="4" w:space="0"/>
              <w:bottom w:val="single" w:color="auto" w:sz="4" w:space="0"/>
              <w:right w:val="single" w:color="auto" w:sz="4" w:space="0"/>
            </w:tcBorders>
            <w:noWrap w:val="0"/>
            <w:vAlign w:val="center"/>
          </w:tcPr>
          <w:p w14:paraId="5AAB2B8B">
            <w:pPr>
              <w:wordWrap w:val="0"/>
              <w:snapToGrid w:val="0"/>
              <w:spacing w:line="360" w:lineRule="exact"/>
              <w:rPr>
                <w:rFonts w:hint="eastAsia" w:ascii="宋体" w:hAnsi="宋体" w:eastAsia="宋体" w:cs="宋体"/>
                <w:color w:val="auto"/>
                <w:szCs w:val="21"/>
                <w:highlight w:val="none"/>
              </w:rPr>
            </w:pPr>
          </w:p>
        </w:tc>
      </w:tr>
      <w:tr w14:paraId="472C2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36" w:type="dxa"/>
            <w:tcBorders>
              <w:top w:val="single" w:color="auto" w:sz="4" w:space="0"/>
              <w:left w:val="single" w:color="auto" w:sz="4" w:space="0"/>
              <w:bottom w:val="single" w:color="auto" w:sz="4" w:space="0"/>
              <w:right w:val="single" w:color="auto" w:sz="4" w:space="0"/>
            </w:tcBorders>
            <w:noWrap w:val="0"/>
            <w:vAlign w:val="center"/>
          </w:tcPr>
          <w:p w14:paraId="237ED17B">
            <w:pPr>
              <w:wordWrap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2.其他人员</w:t>
            </w:r>
          </w:p>
        </w:tc>
        <w:tc>
          <w:tcPr>
            <w:tcW w:w="1861" w:type="dxa"/>
            <w:tcBorders>
              <w:top w:val="single" w:color="auto" w:sz="4" w:space="0"/>
              <w:left w:val="single" w:color="auto" w:sz="4" w:space="0"/>
              <w:bottom w:val="single" w:color="auto" w:sz="4" w:space="0"/>
              <w:right w:val="single" w:color="auto" w:sz="4" w:space="0"/>
            </w:tcBorders>
            <w:noWrap w:val="0"/>
            <w:vAlign w:val="center"/>
          </w:tcPr>
          <w:p w14:paraId="45D54ADD">
            <w:pPr>
              <w:wordWrap w:val="0"/>
              <w:snapToGrid w:val="0"/>
              <w:spacing w:line="360" w:lineRule="exact"/>
              <w:rPr>
                <w:rFonts w:hint="eastAsia" w:ascii="宋体" w:hAnsi="宋体" w:eastAsia="宋体" w:cs="宋体"/>
                <w:color w:val="auto"/>
                <w:szCs w:val="21"/>
                <w:highlight w:val="none"/>
              </w:rPr>
            </w:pPr>
          </w:p>
        </w:tc>
        <w:tc>
          <w:tcPr>
            <w:tcW w:w="1861" w:type="dxa"/>
            <w:tcBorders>
              <w:top w:val="single" w:color="auto" w:sz="4" w:space="0"/>
              <w:left w:val="single" w:color="auto" w:sz="4" w:space="0"/>
              <w:bottom w:val="single" w:color="auto" w:sz="4" w:space="0"/>
              <w:right w:val="single" w:color="auto" w:sz="4" w:space="0"/>
            </w:tcBorders>
            <w:noWrap w:val="0"/>
            <w:vAlign w:val="center"/>
          </w:tcPr>
          <w:p w14:paraId="657FFE19">
            <w:pPr>
              <w:wordWrap w:val="0"/>
              <w:snapToGrid w:val="0"/>
              <w:spacing w:line="360" w:lineRule="exact"/>
              <w:rPr>
                <w:rFonts w:hint="eastAsia" w:ascii="宋体" w:hAnsi="宋体" w:eastAsia="宋体" w:cs="宋体"/>
                <w:color w:val="auto"/>
                <w:szCs w:val="21"/>
                <w:highlight w:val="none"/>
              </w:rPr>
            </w:pPr>
          </w:p>
        </w:tc>
        <w:tc>
          <w:tcPr>
            <w:tcW w:w="649" w:type="dxa"/>
            <w:tcBorders>
              <w:top w:val="single" w:color="auto" w:sz="4" w:space="0"/>
              <w:left w:val="single" w:color="auto" w:sz="4" w:space="0"/>
              <w:bottom w:val="single" w:color="auto" w:sz="4" w:space="0"/>
              <w:right w:val="single" w:color="auto" w:sz="4" w:space="0"/>
            </w:tcBorders>
            <w:noWrap w:val="0"/>
            <w:vAlign w:val="center"/>
          </w:tcPr>
          <w:p w14:paraId="15D71ABC">
            <w:pPr>
              <w:wordWrap w:val="0"/>
              <w:snapToGrid w:val="0"/>
              <w:spacing w:line="360" w:lineRule="exact"/>
              <w:rPr>
                <w:rFonts w:hint="eastAsia" w:ascii="宋体" w:hAnsi="宋体" w:eastAsia="宋体" w:cs="宋体"/>
                <w:color w:val="auto"/>
                <w:szCs w:val="21"/>
                <w:highlight w:val="none"/>
              </w:rPr>
            </w:pPr>
          </w:p>
        </w:tc>
        <w:tc>
          <w:tcPr>
            <w:tcW w:w="649" w:type="dxa"/>
            <w:tcBorders>
              <w:top w:val="single" w:color="auto" w:sz="4" w:space="0"/>
              <w:left w:val="single" w:color="auto" w:sz="4" w:space="0"/>
              <w:bottom w:val="single" w:color="auto" w:sz="4" w:space="0"/>
              <w:right w:val="single" w:color="auto" w:sz="4" w:space="0"/>
            </w:tcBorders>
            <w:noWrap w:val="0"/>
            <w:vAlign w:val="center"/>
          </w:tcPr>
          <w:p w14:paraId="6AB9ACC7">
            <w:pPr>
              <w:wordWrap w:val="0"/>
              <w:snapToGrid w:val="0"/>
              <w:spacing w:line="360" w:lineRule="exact"/>
              <w:rPr>
                <w:rFonts w:hint="eastAsia" w:ascii="宋体" w:hAnsi="宋体" w:eastAsia="宋体" w:cs="宋体"/>
                <w:color w:val="auto"/>
                <w:szCs w:val="21"/>
                <w:highlight w:val="none"/>
              </w:rPr>
            </w:pPr>
          </w:p>
        </w:tc>
      </w:tr>
      <w:tr w14:paraId="3D229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36" w:type="dxa"/>
            <w:tcBorders>
              <w:top w:val="single" w:color="auto" w:sz="4" w:space="0"/>
              <w:left w:val="single" w:color="auto" w:sz="4" w:space="0"/>
              <w:bottom w:val="single" w:color="auto" w:sz="4" w:space="0"/>
              <w:right w:val="single" w:color="auto" w:sz="4" w:space="0"/>
            </w:tcBorders>
            <w:noWrap w:val="0"/>
            <w:vAlign w:val="center"/>
          </w:tcPr>
          <w:p w14:paraId="6643C46F">
            <w:pPr>
              <w:wordWrap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861" w:type="dxa"/>
            <w:tcBorders>
              <w:top w:val="single" w:color="auto" w:sz="4" w:space="0"/>
              <w:left w:val="single" w:color="auto" w:sz="4" w:space="0"/>
              <w:bottom w:val="single" w:color="auto" w:sz="4" w:space="0"/>
              <w:right w:val="single" w:color="auto" w:sz="4" w:space="0"/>
            </w:tcBorders>
            <w:noWrap w:val="0"/>
            <w:vAlign w:val="center"/>
          </w:tcPr>
          <w:p w14:paraId="6705ADE6">
            <w:pPr>
              <w:wordWrap w:val="0"/>
              <w:snapToGrid w:val="0"/>
              <w:spacing w:line="360" w:lineRule="exact"/>
              <w:rPr>
                <w:rFonts w:hint="eastAsia" w:ascii="宋体" w:hAnsi="宋体" w:eastAsia="宋体" w:cs="宋体"/>
                <w:color w:val="auto"/>
                <w:szCs w:val="21"/>
                <w:highlight w:val="none"/>
              </w:rPr>
            </w:pPr>
          </w:p>
        </w:tc>
        <w:tc>
          <w:tcPr>
            <w:tcW w:w="1861" w:type="dxa"/>
            <w:tcBorders>
              <w:top w:val="single" w:color="auto" w:sz="4" w:space="0"/>
              <w:left w:val="single" w:color="auto" w:sz="4" w:space="0"/>
              <w:bottom w:val="single" w:color="auto" w:sz="4" w:space="0"/>
              <w:right w:val="single" w:color="auto" w:sz="4" w:space="0"/>
            </w:tcBorders>
            <w:noWrap w:val="0"/>
            <w:vAlign w:val="center"/>
          </w:tcPr>
          <w:p w14:paraId="40344657">
            <w:pPr>
              <w:wordWrap w:val="0"/>
              <w:snapToGrid w:val="0"/>
              <w:spacing w:line="360" w:lineRule="exact"/>
              <w:rPr>
                <w:rFonts w:hint="eastAsia" w:ascii="宋体" w:hAnsi="宋体" w:eastAsia="宋体" w:cs="宋体"/>
                <w:color w:val="auto"/>
                <w:szCs w:val="21"/>
                <w:highlight w:val="none"/>
              </w:rPr>
            </w:pPr>
          </w:p>
        </w:tc>
        <w:tc>
          <w:tcPr>
            <w:tcW w:w="649" w:type="dxa"/>
            <w:tcBorders>
              <w:top w:val="single" w:color="auto" w:sz="4" w:space="0"/>
              <w:left w:val="single" w:color="auto" w:sz="4" w:space="0"/>
              <w:bottom w:val="single" w:color="auto" w:sz="4" w:space="0"/>
              <w:right w:val="single" w:color="auto" w:sz="4" w:space="0"/>
            </w:tcBorders>
            <w:noWrap w:val="0"/>
            <w:vAlign w:val="center"/>
          </w:tcPr>
          <w:p w14:paraId="42105E41">
            <w:pPr>
              <w:wordWrap w:val="0"/>
              <w:snapToGrid w:val="0"/>
              <w:spacing w:line="360" w:lineRule="exact"/>
              <w:rPr>
                <w:rFonts w:hint="eastAsia" w:ascii="宋体" w:hAnsi="宋体" w:eastAsia="宋体" w:cs="宋体"/>
                <w:color w:val="auto"/>
                <w:szCs w:val="21"/>
                <w:highlight w:val="none"/>
              </w:rPr>
            </w:pPr>
          </w:p>
        </w:tc>
        <w:tc>
          <w:tcPr>
            <w:tcW w:w="649" w:type="dxa"/>
            <w:tcBorders>
              <w:top w:val="single" w:color="auto" w:sz="4" w:space="0"/>
              <w:left w:val="single" w:color="auto" w:sz="4" w:space="0"/>
              <w:bottom w:val="single" w:color="auto" w:sz="4" w:space="0"/>
              <w:right w:val="single" w:color="auto" w:sz="4" w:space="0"/>
            </w:tcBorders>
            <w:noWrap w:val="0"/>
            <w:vAlign w:val="center"/>
          </w:tcPr>
          <w:p w14:paraId="6161B55A">
            <w:pPr>
              <w:wordWrap w:val="0"/>
              <w:snapToGrid w:val="0"/>
              <w:spacing w:line="360" w:lineRule="exact"/>
              <w:rPr>
                <w:rFonts w:hint="eastAsia" w:ascii="宋体" w:hAnsi="宋体" w:eastAsia="宋体" w:cs="宋体"/>
                <w:color w:val="auto"/>
                <w:szCs w:val="21"/>
                <w:highlight w:val="none"/>
              </w:rPr>
            </w:pPr>
          </w:p>
        </w:tc>
      </w:tr>
      <w:tr w14:paraId="01844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36" w:type="dxa"/>
            <w:tcBorders>
              <w:top w:val="single" w:color="auto" w:sz="4" w:space="0"/>
              <w:left w:val="single" w:color="auto" w:sz="4" w:space="0"/>
              <w:bottom w:val="single" w:color="auto" w:sz="4" w:space="0"/>
              <w:right w:val="single" w:color="auto" w:sz="4" w:space="0"/>
            </w:tcBorders>
            <w:noWrap w:val="0"/>
            <w:vAlign w:val="center"/>
          </w:tcPr>
          <w:p w14:paraId="50C061F1">
            <w:pPr>
              <w:wordWrap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861" w:type="dxa"/>
            <w:tcBorders>
              <w:top w:val="single" w:color="auto" w:sz="4" w:space="0"/>
              <w:left w:val="single" w:color="auto" w:sz="4" w:space="0"/>
              <w:bottom w:val="single" w:color="auto" w:sz="4" w:space="0"/>
              <w:right w:val="single" w:color="auto" w:sz="4" w:space="0"/>
            </w:tcBorders>
            <w:noWrap w:val="0"/>
            <w:vAlign w:val="center"/>
          </w:tcPr>
          <w:p w14:paraId="2BFCA5AB">
            <w:pPr>
              <w:wordWrap w:val="0"/>
              <w:snapToGrid w:val="0"/>
              <w:spacing w:line="360" w:lineRule="exact"/>
              <w:rPr>
                <w:rFonts w:hint="eastAsia" w:ascii="宋体" w:hAnsi="宋体" w:eastAsia="宋体" w:cs="宋体"/>
                <w:color w:val="auto"/>
                <w:szCs w:val="21"/>
                <w:highlight w:val="none"/>
              </w:rPr>
            </w:pPr>
          </w:p>
        </w:tc>
        <w:tc>
          <w:tcPr>
            <w:tcW w:w="1861" w:type="dxa"/>
            <w:tcBorders>
              <w:top w:val="single" w:color="auto" w:sz="4" w:space="0"/>
              <w:left w:val="single" w:color="auto" w:sz="4" w:space="0"/>
              <w:bottom w:val="single" w:color="auto" w:sz="4" w:space="0"/>
              <w:right w:val="single" w:color="auto" w:sz="4" w:space="0"/>
            </w:tcBorders>
            <w:noWrap w:val="0"/>
            <w:vAlign w:val="center"/>
          </w:tcPr>
          <w:p w14:paraId="6958E4D1">
            <w:pPr>
              <w:wordWrap w:val="0"/>
              <w:snapToGrid w:val="0"/>
              <w:spacing w:line="360" w:lineRule="exact"/>
              <w:rPr>
                <w:rFonts w:hint="eastAsia" w:ascii="宋体" w:hAnsi="宋体" w:eastAsia="宋体" w:cs="宋体"/>
                <w:color w:val="auto"/>
                <w:szCs w:val="21"/>
                <w:highlight w:val="none"/>
              </w:rPr>
            </w:pPr>
          </w:p>
        </w:tc>
        <w:tc>
          <w:tcPr>
            <w:tcW w:w="649" w:type="dxa"/>
            <w:tcBorders>
              <w:top w:val="single" w:color="auto" w:sz="4" w:space="0"/>
              <w:left w:val="single" w:color="auto" w:sz="4" w:space="0"/>
              <w:bottom w:val="single" w:color="auto" w:sz="4" w:space="0"/>
              <w:right w:val="single" w:color="auto" w:sz="4" w:space="0"/>
            </w:tcBorders>
            <w:noWrap w:val="0"/>
            <w:vAlign w:val="center"/>
          </w:tcPr>
          <w:p w14:paraId="0F85A347">
            <w:pPr>
              <w:wordWrap w:val="0"/>
              <w:snapToGrid w:val="0"/>
              <w:spacing w:line="360" w:lineRule="exact"/>
              <w:rPr>
                <w:rFonts w:hint="eastAsia" w:ascii="宋体" w:hAnsi="宋体" w:eastAsia="宋体" w:cs="宋体"/>
                <w:color w:val="auto"/>
                <w:szCs w:val="21"/>
                <w:highlight w:val="none"/>
              </w:rPr>
            </w:pPr>
          </w:p>
        </w:tc>
        <w:tc>
          <w:tcPr>
            <w:tcW w:w="649" w:type="dxa"/>
            <w:tcBorders>
              <w:top w:val="single" w:color="auto" w:sz="4" w:space="0"/>
              <w:left w:val="single" w:color="auto" w:sz="4" w:space="0"/>
              <w:bottom w:val="single" w:color="auto" w:sz="4" w:space="0"/>
              <w:right w:val="single" w:color="auto" w:sz="4" w:space="0"/>
            </w:tcBorders>
            <w:noWrap w:val="0"/>
            <w:vAlign w:val="center"/>
          </w:tcPr>
          <w:p w14:paraId="559AEDE0">
            <w:pPr>
              <w:wordWrap w:val="0"/>
              <w:snapToGrid w:val="0"/>
              <w:spacing w:line="360" w:lineRule="exact"/>
              <w:rPr>
                <w:rFonts w:hint="eastAsia" w:ascii="宋体" w:hAnsi="宋体" w:eastAsia="宋体" w:cs="宋体"/>
                <w:color w:val="auto"/>
                <w:szCs w:val="21"/>
                <w:highlight w:val="none"/>
              </w:rPr>
            </w:pPr>
          </w:p>
        </w:tc>
      </w:tr>
      <w:tr w14:paraId="1560C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36" w:type="dxa"/>
            <w:tcBorders>
              <w:top w:val="single" w:color="auto" w:sz="4" w:space="0"/>
              <w:left w:val="single" w:color="auto" w:sz="4" w:space="0"/>
              <w:bottom w:val="single" w:color="auto" w:sz="4" w:space="0"/>
              <w:right w:val="single" w:color="auto" w:sz="4" w:space="0"/>
            </w:tcBorders>
            <w:noWrap w:val="0"/>
            <w:vAlign w:val="center"/>
          </w:tcPr>
          <w:p w14:paraId="238D8893">
            <w:pPr>
              <w:wordWrap w:val="0"/>
              <w:snapToGrid w:val="0"/>
              <w:spacing w:line="360" w:lineRule="exact"/>
              <w:rPr>
                <w:rFonts w:hint="eastAsia" w:ascii="宋体" w:hAnsi="宋体" w:eastAsia="宋体" w:cs="宋体"/>
                <w:color w:val="auto"/>
                <w:szCs w:val="21"/>
                <w:highlight w:val="none"/>
              </w:rPr>
            </w:pPr>
          </w:p>
        </w:tc>
        <w:tc>
          <w:tcPr>
            <w:tcW w:w="1861" w:type="dxa"/>
            <w:tcBorders>
              <w:top w:val="single" w:color="auto" w:sz="4" w:space="0"/>
              <w:left w:val="single" w:color="auto" w:sz="4" w:space="0"/>
              <w:bottom w:val="single" w:color="auto" w:sz="4" w:space="0"/>
              <w:right w:val="single" w:color="auto" w:sz="4" w:space="0"/>
            </w:tcBorders>
            <w:noWrap w:val="0"/>
            <w:vAlign w:val="center"/>
          </w:tcPr>
          <w:p w14:paraId="51EE611D">
            <w:pPr>
              <w:wordWrap w:val="0"/>
              <w:snapToGrid w:val="0"/>
              <w:spacing w:line="360" w:lineRule="exact"/>
              <w:rPr>
                <w:rFonts w:hint="eastAsia" w:ascii="宋体" w:hAnsi="宋体" w:eastAsia="宋体" w:cs="宋体"/>
                <w:color w:val="auto"/>
                <w:szCs w:val="21"/>
                <w:highlight w:val="none"/>
              </w:rPr>
            </w:pPr>
          </w:p>
        </w:tc>
        <w:tc>
          <w:tcPr>
            <w:tcW w:w="1861" w:type="dxa"/>
            <w:tcBorders>
              <w:top w:val="single" w:color="auto" w:sz="4" w:space="0"/>
              <w:left w:val="single" w:color="auto" w:sz="4" w:space="0"/>
              <w:bottom w:val="single" w:color="auto" w:sz="4" w:space="0"/>
              <w:right w:val="single" w:color="auto" w:sz="4" w:space="0"/>
            </w:tcBorders>
            <w:noWrap w:val="0"/>
            <w:vAlign w:val="center"/>
          </w:tcPr>
          <w:p w14:paraId="32E3D407">
            <w:pPr>
              <w:wordWrap w:val="0"/>
              <w:snapToGrid w:val="0"/>
              <w:spacing w:line="360" w:lineRule="exact"/>
              <w:rPr>
                <w:rFonts w:hint="eastAsia" w:ascii="宋体" w:hAnsi="宋体" w:eastAsia="宋体" w:cs="宋体"/>
                <w:color w:val="auto"/>
                <w:szCs w:val="21"/>
                <w:highlight w:val="none"/>
              </w:rPr>
            </w:pPr>
          </w:p>
        </w:tc>
        <w:tc>
          <w:tcPr>
            <w:tcW w:w="649" w:type="dxa"/>
            <w:tcBorders>
              <w:top w:val="single" w:color="auto" w:sz="4" w:space="0"/>
              <w:left w:val="single" w:color="auto" w:sz="4" w:space="0"/>
              <w:bottom w:val="single" w:color="auto" w:sz="4" w:space="0"/>
              <w:right w:val="single" w:color="auto" w:sz="4" w:space="0"/>
            </w:tcBorders>
            <w:noWrap w:val="0"/>
            <w:vAlign w:val="center"/>
          </w:tcPr>
          <w:p w14:paraId="4FD37625">
            <w:pPr>
              <w:wordWrap w:val="0"/>
              <w:snapToGrid w:val="0"/>
              <w:spacing w:line="360" w:lineRule="exact"/>
              <w:rPr>
                <w:rFonts w:hint="eastAsia" w:ascii="宋体" w:hAnsi="宋体" w:eastAsia="宋体" w:cs="宋体"/>
                <w:color w:val="auto"/>
                <w:szCs w:val="21"/>
                <w:highlight w:val="none"/>
              </w:rPr>
            </w:pPr>
          </w:p>
        </w:tc>
        <w:tc>
          <w:tcPr>
            <w:tcW w:w="649" w:type="dxa"/>
            <w:tcBorders>
              <w:top w:val="single" w:color="auto" w:sz="4" w:space="0"/>
              <w:left w:val="single" w:color="auto" w:sz="4" w:space="0"/>
              <w:bottom w:val="single" w:color="auto" w:sz="4" w:space="0"/>
              <w:right w:val="single" w:color="auto" w:sz="4" w:space="0"/>
            </w:tcBorders>
            <w:noWrap w:val="0"/>
            <w:vAlign w:val="center"/>
          </w:tcPr>
          <w:p w14:paraId="3CF6D040">
            <w:pPr>
              <w:wordWrap w:val="0"/>
              <w:snapToGrid w:val="0"/>
              <w:spacing w:line="360" w:lineRule="exact"/>
              <w:rPr>
                <w:rFonts w:hint="eastAsia" w:ascii="宋体" w:hAnsi="宋体" w:eastAsia="宋体" w:cs="宋体"/>
                <w:color w:val="auto"/>
                <w:szCs w:val="21"/>
                <w:highlight w:val="none"/>
              </w:rPr>
            </w:pPr>
          </w:p>
        </w:tc>
      </w:tr>
      <w:tr w14:paraId="2D2EB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36" w:type="dxa"/>
            <w:tcBorders>
              <w:top w:val="single" w:color="auto" w:sz="4" w:space="0"/>
              <w:left w:val="single" w:color="auto" w:sz="4" w:space="0"/>
              <w:bottom w:val="single" w:color="auto" w:sz="4" w:space="0"/>
              <w:right w:val="single" w:color="auto" w:sz="4" w:space="0"/>
            </w:tcBorders>
            <w:noWrap w:val="0"/>
            <w:vAlign w:val="center"/>
          </w:tcPr>
          <w:p w14:paraId="47F0835B">
            <w:pPr>
              <w:wordWrap w:val="0"/>
              <w:snapToGrid w:val="0"/>
              <w:spacing w:line="360" w:lineRule="exact"/>
              <w:rPr>
                <w:rFonts w:hint="eastAsia" w:ascii="宋体" w:hAnsi="宋体" w:eastAsia="宋体" w:cs="宋体"/>
                <w:color w:val="auto"/>
                <w:szCs w:val="21"/>
                <w:highlight w:val="none"/>
              </w:rPr>
            </w:pPr>
          </w:p>
        </w:tc>
        <w:tc>
          <w:tcPr>
            <w:tcW w:w="1861" w:type="dxa"/>
            <w:tcBorders>
              <w:top w:val="single" w:color="auto" w:sz="4" w:space="0"/>
              <w:left w:val="single" w:color="auto" w:sz="4" w:space="0"/>
              <w:bottom w:val="single" w:color="auto" w:sz="4" w:space="0"/>
              <w:right w:val="single" w:color="auto" w:sz="4" w:space="0"/>
            </w:tcBorders>
            <w:noWrap w:val="0"/>
            <w:vAlign w:val="center"/>
          </w:tcPr>
          <w:p w14:paraId="3DDC39AE">
            <w:pPr>
              <w:wordWrap w:val="0"/>
              <w:snapToGrid w:val="0"/>
              <w:spacing w:line="360" w:lineRule="exact"/>
              <w:rPr>
                <w:rFonts w:hint="eastAsia" w:ascii="宋体" w:hAnsi="宋体" w:eastAsia="宋体" w:cs="宋体"/>
                <w:color w:val="auto"/>
                <w:szCs w:val="21"/>
                <w:highlight w:val="none"/>
              </w:rPr>
            </w:pPr>
          </w:p>
        </w:tc>
        <w:tc>
          <w:tcPr>
            <w:tcW w:w="1861" w:type="dxa"/>
            <w:tcBorders>
              <w:top w:val="single" w:color="auto" w:sz="4" w:space="0"/>
              <w:left w:val="single" w:color="auto" w:sz="4" w:space="0"/>
              <w:bottom w:val="single" w:color="auto" w:sz="4" w:space="0"/>
              <w:right w:val="single" w:color="auto" w:sz="4" w:space="0"/>
            </w:tcBorders>
            <w:noWrap w:val="0"/>
            <w:vAlign w:val="center"/>
          </w:tcPr>
          <w:p w14:paraId="181D1081">
            <w:pPr>
              <w:wordWrap w:val="0"/>
              <w:snapToGrid w:val="0"/>
              <w:spacing w:line="360" w:lineRule="exact"/>
              <w:rPr>
                <w:rFonts w:hint="eastAsia" w:ascii="宋体" w:hAnsi="宋体" w:eastAsia="宋体" w:cs="宋体"/>
                <w:color w:val="auto"/>
                <w:szCs w:val="21"/>
                <w:highlight w:val="none"/>
              </w:rPr>
            </w:pPr>
          </w:p>
        </w:tc>
        <w:tc>
          <w:tcPr>
            <w:tcW w:w="649" w:type="dxa"/>
            <w:tcBorders>
              <w:top w:val="single" w:color="auto" w:sz="4" w:space="0"/>
              <w:left w:val="single" w:color="auto" w:sz="4" w:space="0"/>
              <w:bottom w:val="single" w:color="auto" w:sz="4" w:space="0"/>
              <w:right w:val="single" w:color="auto" w:sz="4" w:space="0"/>
            </w:tcBorders>
            <w:noWrap w:val="0"/>
            <w:vAlign w:val="center"/>
          </w:tcPr>
          <w:p w14:paraId="6284ED6E">
            <w:pPr>
              <w:wordWrap w:val="0"/>
              <w:snapToGrid w:val="0"/>
              <w:spacing w:line="360" w:lineRule="exact"/>
              <w:rPr>
                <w:rFonts w:hint="eastAsia" w:ascii="宋体" w:hAnsi="宋体" w:eastAsia="宋体" w:cs="宋体"/>
                <w:color w:val="auto"/>
                <w:szCs w:val="21"/>
                <w:highlight w:val="none"/>
              </w:rPr>
            </w:pPr>
          </w:p>
        </w:tc>
        <w:tc>
          <w:tcPr>
            <w:tcW w:w="649" w:type="dxa"/>
            <w:tcBorders>
              <w:top w:val="single" w:color="auto" w:sz="4" w:space="0"/>
              <w:left w:val="single" w:color="auto" w:sz="4" w:space="0"/>
              <w:bottom w:val="single" w:color="auto" w:sz="4" w:space="0"/>
              <w:right w:val="single" w:color="auto" w:sz="4" w:space="0"/>
            </w:tcBorders>
            <w:noWrap w:val="0"/>
            <w:vAlign w:val="center"/>
          </w:tcPr>
          <w:p w14:paraId="23F5D5A9">
            <w:pPr>
              <w:wordWrap w:val="0"/>
              <w:snapToGrid w:val="0"/>
              <w:spacing w:line="360" w:lineRule="exact"/>
              <w:rPr>
                <w:rFonts w:hint="eastAsia" w:ascii="宋体" w:hAnsi="宋体" w:eastAsia="宋体" w:cs="宋体"/>
                <w:color w:val="auto"/>
                <w:szCs w:val="21"/>
                <w:highlight w:val="none"/>
              </w:rPr>
            </w:pPr>
          </w:p>
        </w:tc>
      </w:tr>
      <w:tr w14:paraId="4092C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936" w:type="dxa"/>
            <w:tcBorders>
              <w:top w:val="single" w:color="auto" w:sz="4" w:space="0"/>
              <w:left w:val="single" w:color="auto" w:sz="4" w:space="0"/>
              <w:bottom w:val="single" w:color="auto" w:sz="4" w:space="0"/>
              <w:right w:val="single" w:color="auto" w:sz="4" w:space="0"/>
            </w:tcBorders>
            <w:noWrap w:val="0"/>
            <w:vAlign w:val="center"/>
          </w:tcPr>
          <w:p w14:paraId="357020EB">
            <w:pPr>
              <w:wordWrap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861" w:type="dxa"/>
            <w:tcBorders>
              <w:top w:val="single" w:color="auto" w:sz="4" w:space="0"/>
              <w:left w:val="single" w:color="auto" w:sz="4" w:space="0"/>
              <w:bottom w:val="single" w:color="auto" w:sz="4" w:space="0"/>
              <w:right w:val="single" w:color="auto" w:sz="4" w:space="0"/>
            </w:tcBorders>
            <w:noWrap w:val="0"/>
            <w:vAlign w:val="center"/>
          </w:tcPr>
          <w:p w14:paraId="45BCA845">
            <w:pPr>
              <w:wordWrap w:val="0"/>
              <w:snapToGrid w:val="0"/>
              <w:spacing w:line="360" w:lineRule="exact"/>
              <w:rPr>
                <w:rFonts w:hint="eastAsia" w:ascii="宋体" w:hAnsi="宋体" w:eastAsia="宋体" w:cs="宋体"/>
                <w:color w:val="auto"/>
                <w:szCs w:val="21"/>
                <w:highlight w:val="none"/>
              </w:rPr>
            </w:pPr>
          </w:p>
        </w:tc>
        <w:tc>
          <w:tcPr>
            <w:tcW w:w="1861" w:type="dxa"/>
            <w:tcBorders>
              <w:top w:val="single" w:color="auto" w:sz="4" w:space="0"/>
              <w:left w:val="single" w:color="auto" w:sz="4" w:space="0"/>
              <w:bottom w:val="single" w:color="auto" w:sz="4" w:space="0"/>
              <w:right w:val="single" w:color="auto" w:sz="4" w:space="0"/>
            </w:tcBorders>
            <w:noWrap w:val="0"/>
            <w:vAlign w:val="center"/>
          </w:tcPr>
          <w:p w14:paraId="38CBEA46">
            <w:pPr>
              <w:wordWrap w:val="0"/>
              <w:snapToGrid w:val="0"/>
              <w:spacing w:line="360" w:lineRule="exact"/>
              <w:rPr>
                <w:rFonts w:hint="eastAsia" w:ascii="宋体" w:hAnsi="宋体" w:eastAsia="宋体" w:cs="宋体"/>
                <w:color w:val="auto"/>
                <w:szCs w:val="21"/>
                <w:highlight w:val="none"/>
              </w:rPr>
            </w:pPr>
          </w:p>
        </w:tc>
        <w:tc>
          <w:tcPr>
            <w:tcW w:w="649" w:type="dxa"/>
            <w:tcBorders>
              <w:top w:val="single" w:color="auto" w:sz="4" w:space="0"/>
              <w:left w:val="single" w:color="auto" w:sz="4" w:space="0"/>
              <w:bottom w:val="single" w:color="auto" w:sz="4" w:space="0"/>
              <w:right w:val="single" w:color="auto" w:sz="4" w:space="0"/>
            </w:tcBorders>
            <w:noWrap w:val="0"/>
            <w:vAlign w:val="center"/>
          </w:tcPr>
          <w:p w14:paraId="67F7B092">
            <w:pPr>
              <w:wordWrap w:val="0"/>
              <w:snapToGrid w:val="0"/>
              <w:spacing w:line="360" w:lineRule="exact"/>
              <w:rPr>
                <w:rFonts w:hint="eastAsia" w:ascii="宋体" w:hAnsi="宋体" w:eastAsia="宋体" w:cs="宋体"/>
                <w:color w:val="auto"/>
                <w:szCs w:val="21"/>
                <w:highlight w:val="none"/>
              </w:rPr>
            </w:pPr>
          </w:p>
        </w:tc>
        <w:tc>
          <w:tcPr>
            <w:tcW w:w="649" w:type="dxa"/>
            <w:tcBorders>
              <w:top w:val="single" w:color="auto" w:sz="4" w:space="0"/>
              <w:left w:val="single" w:color="auto" w:sz="4" w:space="0"/>
              <w:bottom w:val="single" w:color="auto" w:sz="4" w:space="0"/>
              <w:right w:val="single" w:color="auto" w:sz="4" w:space="0"/>
            </w:tcBorders>
            <w:noWrap w:val="0"/>
            <w:vAlign w:val="center"/>
          </w:tcPr>
          <w:p w14:paraId="5CB219EB">
            <w:pPr>
              <w:wordWrap w:val="0"/>
              <w:snapToGrid w:val="0"/>
              <w:spacing w:line="360" w:lineRule="exact"/>
              <w:rPr>
                <w:rFonts w:hint="eastAsia" w:ascii="宋体" w:hAnsi="宋体" w:eastAsia="宋体" w:cs="宋体"/>
                <w:color w:val="auto"/>
                <w:szCs w:val="21"/>
                <w:highlight w:val="none"/>
              </w:rPr>
            </w:pPr>
          </w:p>
        </w:tc>
      </w:tr>
    </w:tbl>
    <w:p w14:paraId="266A36E3">
      <w:pPr>
        <w:keepNext w:val="0"/>
        <w:keepLines w:val="0"/>
        <w:pageBreakBefore w:val="0"/>
        <w:widowControl w:val="0"/>
        <w:kinsoku/>
        <w:wordWrap w:val="0"/>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highlight w:val="none"/>
        </w:rPr>
        <w:t>注：项目经理应附身份证、文物保护工程责任工程师资格证书、职称证书（如 有）的扫描件；项目技术负责人应附身份证扫描件、职称证书扫描件；专职安全生产管理人员应附身份证、专职安全员安全生产考核合格证书（C 类）、职称证书（如有）扫描件；其他主要人员应附执业证或上岗证书、职称证书（如有）扫描件；以及</w:t>
      </w:r>
      <w:r>
        <w:rPr>
          <w:rFonts w:hint="eastAsia" w:ascii="宋体" w:hAnsi="宋体" w:eastAsia="宋体" w:cs="宋体"/>
          <w:b/>
          <w:color w:val="auto"/>
          <w:szCs w:val="21"/>
          <w:highlight w:val="none"/>
        </w:rPr>
        <w:t>响应文件递交截止时间前半年内任意连续三个月的本</w:t>
      </w:r>
      <w:r>
        <w:rPr>
          <w:rFonts w:hint="eastAsia" w:ascii="宋体" w:hAnsi="宋体" w:eastAsia="宋体" w:cs="宋体"/>
          <w:b/>
          <w:bCs/>
          <w:color w:val="auto"/>
          <w:szCs w:val="21"/>
          <w:highlight w:val="none"/>
        </w:rPr>
        <w:t>公司为其缴纳的社会保险缴费证明扫描件（属于事业单位编制以及下设机构不用缴纳社保或者统一由上级部门或当地财政部门缴纳社保的，提供上一级缴纳社保证明或者是提供相关文件说明；如为退休返聘人员，提供其退休证及返聘合同原件扫描件；如为近期新聘员工的，以提供劳动合同证明材料为准）及供应商认为需要提供的其他材料。2.以上所提供的材料均须加盖公章。</w:t>
      </w:r>
    </w:p>
    <w:p w14:paraId="7393EF2B">
      <w:pPr>
        <w:wordWrap w:val="0"/>
        <w:spacing w:line="400" w:lineRule="exact"/>
        <w:rPr>
          <w:rFonts w:hint="eastAsia" w:ascii="宋体" w:hAnsi="宋体" w:eastAsia="宋体" w:cs="宋体"/>
          <w:color w:val="auto"/>
          <w:szCs w:val="21"/>
          <w:highlight w:val="none"/>
        </w:rPr>
      </w:pPr>
    </w:p>
    <w:p w14:paraId="2A59A249">
      <w:pPr>
        <w:pStyle w:val="15"/>
        <w:wordWrap w:val="0"/>
        <w:ind w:firstLine="344"/>
        <w:rPr>
          <w:rFonts w:hint="eastAsia" w:ascii="宋体" w:hAnsi="宋体" w:eastAsia="宋体" w:cs="宋体"/>
          <w:color w:val="auto"/>
          <w:highlight w:val="none"/>
        </w:rPr>
      </w:pPr>
    </w:p>
    <w:p w14:paraId="40D5EA3C">
      <w:pPr>
        <w:snapToGrid w:val="0"/>
        <w:spacing w:line="400" w:lineRule="exact"/>
        <w:ind w:firstLine="0" w:firstLineChars="0"/>
        <w:rPr>
          <w:rFonts w:ascii="宋体" w:hAnsi="宋体" w:cs="宋体"/>
          <w:color w:val="000000" w:themeColor="text1"/>
          <w:sz w:val="21"/>
          <w:szCs w:val="21"/>
          <w:u w:val="single"/>
          <w14:textFill>
            <w14:solidFill>
              <w14:schemeClr w14:val="tx1"/>
            </w14:solidFill>
          </w14:textFill>
        </w:rPr>
      </w:pPr>
      <w:r>
        <w:rPr>
          <w:rFonts w:hint="eastAsia" w:ascii="宋体" w:hAnsi="宋体" w:eastAsia="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w:t>
      </w:r>
      <w:r>
        <w:rPr>
          <w:rFonts w:hint="eastAsia" w:ascii="宋体" w:hAnsi="宋体" w:cs="宋体"/>
          <w:color w:val="000000" w:themeColor="text1"/>
          <w:sz w:val="21"/>
          <w:szCs w:val="21"/>
          <w14:textFill>
            <w14:solidFill>
              <w14:schemeClr w14:val="tx1"/>
            </w14:solidFill>
          </w14:textFill>
        </w:rPr>
        <w:t>供应商（电子签章）：</w:t>
      </w:r>
    </w:p>
    <w:p w14:paraId="107D5D8A">
      <w:pPr>
        <w:spacing w:line="340" w:lineRule="exact"/>
        <w:ind w:firstLine="0" w:firstLineChars="0"/>
        <w:rPr>
          <w:rFonts w:ascii="宋体" w:hAnsi="宋体" w:cs="宋体"/>
          <w:color w:val="000000" w:themeColor="text1"/>
          <w:sz w:val="21"/>
          <w:szCs w:val="24"/>
          <w14:textFill>
            <w14:solidFill>
              <w14:schemeClr w14:val="tx1"/>
            </w14:solidFill>
          </w14:textFill>
        </w:rPr>
      </w:pPr>
      <w:r>
        <w:rPr>
          <w:rFonts w:hint="eastAsia" w:ascii="宋体" w:hAnsi="宋体" w:cs="宋体"/>
          <w:color w:val="000000" w:themeColor="text1"/>
          <w:sz w:val="21"/>
          <w:szCs w:val="24"/>
          <w14:textFill>
            <w14:solidFill>
              <w14:schemeClr w14:val="tx1"/>
            </w14:solidFill>
          </w14:textFill>
        </w:rPr>
        <w:t xml:space="preserve"> </w:t>
      </w:r>
      <w:r>
        <w:rPr>
          <w:rFonts w:hint="eastAsia" w:ascii="宋体" w:hAnsi="宋体" w:cs="宋体"/>
          <w:color w:val="000000" w:themeColor="text1"/>
          <w:sz w:val="21"/>
          <w:szCs w:val="24"/>
          <w:lang w:val="en-US" w:eastAsia="zh-CN"/>
          <w14:textFill>
            <w14:solidFill>
              <w14:schemeClr w14:val="tx1"/>
            </w14:solidFill>
          </w14:textFill>
        </w:rPr>
        <w:t xml:space="preserve"> </w:t>
      </w:r>
      <w:r>
        <w:rPr>
          <w:rFonts w:hint="eastAsia" w:ascii="宋体" w:hAnsi="宋体" w:cs="宋体"/>
          <w:color w:val="000000" w:themeColor="text1"/>
          <w:sz w:val="21"/>
          <w:szCs w:val="24"/>
          <w14:textFill>
            <w14:solidFill>
              <w14:schemeClr w14:val="tx1"/>
            </w14:solidFill>
          </w14:textFill>
        </w:rPr>
        <w:t xml:space="preserve"> 法定代表人或委托代理人签字</w:t>
      </w:r>
      <w:r>
        <w:rPr>
          <w:rFonts w:hint="eastAsia" w:ascii="宋体" w:hAnsi="宋体" w:cs="宋体"/>
          <w:color w:val="000000" w:themeColor="text1"/>
          <w:sz w:val="21"/>
          <w:szCs w:val="21"/>
          <w14:textFill>
            <w14:solidFill>
              <w14:schemeClr w14:val="tx1"/>
            </w14:solidFill>
          </w14:textFill>
        </w:rPr>
        <w:t>（或电子签名）</w:t>
      </w:r>
      <w:r>
        <w:rPr>
          <w:rFonts w:hint="eastAsia" w:ascii="宋体" w:hAnsi="宋体" w:cs="宋体"/>
          <w:color w:val="000000" w:themeColor="text1"/>
          <w:sz w:val="21"/>
          <w:szCs w:val="24"/>
          <w14:textFill>
            <w14:solidFill>
              <w14:schemeClr w14:val="tx1"/>
            </w14:solidFill>
          </w14:textFill>
        </w:rPr>
        <w:t>：</w:t>
      </w:r>
    </w:p>
    <w:p w14:paraId="4724DE37">
      <w:pPr>
        <w:spacing w:line="400" w:lineRule="exact"/>
        <w:ind w:firstLine="0" w:firstLineChars="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0"/>
          <w14:textFill>
            <w14:solidFill>
              <w14:schemeClr w14:val="tx1"/>
            </w14:solidFill>
          </w14:textFill>
        </w:rPr>
        <w:t xml:space="preserve">  </w:t>
      </w:r>
      <w:r>
        <w:rPr>
          <w:rFonts w:hint="eastAsia" w:ascii="宋体" w:hAnsi="宋体" w:cs="宋体"/>
          <w:color w:val="000000" w:themeColor="text1"/>
          <w:sz w:val="21"/>
          <w:szCs w:val="20"/>
          <w:lang w:val="en-US" w:eastAsia="zh-CN"/>
          <w14:textFill>
            <w14:solidFill>
              <w14:schemeClr w14:val="tx1"/>
            </w14:solidFill>
          </w14:textFill>
        </w:rPr>
        <w:t xml:space="preserve">                          </w:t>
      </w:r>
      <w:r>
        <w:rPr>
          <w:rFonts w:hint="eastAsia" w:ascii="宋体" w:hAnsi="宋体" w:cs="宋体"/>
          <w:color w:val="000000" w:themeColor="text1"/>
          <w:sz w:val="21"/>
          <w:szCs w:val="20"/>
          <w14:textFill>
            <w14:solidFill>
              <w14:schemeClr w14:val="tx1"/>
            </w14:solidFill>
          </w14:textFill>
        </w:rPr>
        <w:t>日          期：</w:t>
      </w:r>
    </w:p>
    <w:p w14:paraId="4D69F5BB">
      <w:pPr>
        <w:pStyle w:val="9"/>
        <w:wordWrap w:val="0"/>
        <w:spacing w:line="34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4、</w:t>
      </w:r>
      <w:r>
        <w:rPr>
          <w:rFonts w:hint="eastAsia" w:ascii="宋体" w:hAnsi="宋体" w:eastAsia="宋体" w:cs="宋体"/>
          <w:b/>
          <w:color w:val="auto"/>
          <w:sz w:val="28"/>
          <w:szCs w:val="28"/>
          <w:highlight w:val="none"/>
          <w:lang w:eastAsia="zh-CN"/>
        </w:rPr>
        <w:t>施工实施</w:t>
      </w:r>
      <w:r>
        <w:rPr>
          <w:rFonts w:hint="eastAsia" w:ascii="宋体" w:hAnsi="宋体" w:eastAsia="宋体" w:cs="宋体"/>
          <w:b/>
          <w:color w:val="auto"/>
          <w:sz w:val="28"/>
          <w:szCs w:val="28"/>
          <w:highlight w:val="none"/>
        </w:rPr>
        <w:t>方案（必须提供）</w:t>
      </w:r>
    </w:p>
    <w:p w14:paraId="3430749A">
      <w:pPr>
        <w:wordWrap w:val="0"/>
        <w:snapToGrid w:val="0"/>
        <w:spacing w:line="400" w:lineRule="exact"/>
        <w:ind w:left="420" w:leftChars="200" w:firstLine="386" w:firstLineChars="160"/>
        <w:jc w:val="center"/>
        <w:outlineLvl w:val="4"/>
        <w:rPr>
          <w:rFonts w:hint="eastAsia" w:ascii="宋体" w:hAnsi="宋体" w:eastAsia="宋体" w:cs="宋体"/>
          <w:b/>
          <w:color w:val="auto"/>
          <w:sz w:val="24"/>
          <w:highlight w:val="none"/>
        </w:rPr>
      </w:pPr>
    </w:p>
    <w:p w14:paraId="50D94937">
      <w:pPr>
        <w:wordWrap w:val="0"/>
        <w:snapToGrid w:val="0"/>
        <w:spacing w:line="400" w:lineRule="exact"/>
        <w:ind w:left="420" w:leftChars="200" w:firstLine="386" w:firstLineChars="160"/>
        <w:jc w:val="center"/>
        <w:outlineLvl w:val="4"/>
        <w:rPr>
          <w:rFonts w:hint="eastAsia" w:ascii="宋体" w:hAnsi="宋体" w:eastAsia="宋体" w:cs="宋体"/>
          <w:b/>
          <w:color w:val="auto"/>
          <w:sz w:val="28"/>
          <w:szCs w:val="28"/>
          <w:highlight w:val="none"/>
        </w:rPr>
      </w:pPr>
      <w:r>
        <w:rPr>
          <w:rFonts w:hint="eastAsia" w:ascii="宋体" w:hAnsi="宋体" w:eastAsia="宋体" w:cs="宋体"/>
          <w:b/>
          <w:color w:val="auto"/>
          <w:sz w:val="24"/>
          <w:highlight w:val="none"/>
          <w:lang w:eastAsia="zh-CN"/>
        </w:rPr>
        <w:t>施工实施</w:t>
      </w:r>
      <w:r>
        <w:rPr>
          <w:rFonts w:hint="eastAsia" w:ascii="宋体" w:hAnsi="宋体" w:eastAsia="宋体" w:cs="宋体"/>
          <w:b/>
          <w:color w:val="auto"/>
          <w:sz w:val="24"/>
          <w:highlight w:val="none"/>
        </w:rPr>
        <w:t>方案（格式）</w:t>
      </w:r>
    </w:p>
    <w:p w14:paraId="5FE55D55">
      <w:pPr>
        <w:pStyle w:val="15"/>
        <w:wordWrap w:val="0"/>
        <w:ind w:left="420" w:leftChars="200" w:firstLine="275" w:firstLineChars="160"/>
        <w:rPr>
          <w:rFonts w:hint="eastAsia" w:ascii="宋体" w:hAnsi="宋体" w:eastAsia="宋体" w:cs="宋体"/>
          <w:color w:val="auto"/>
          <w:highlight w:val="none"/>
        </w:rPr>
      </w:pPr>
    </w:p>
    <w:p w14:paraId="32814106">
      <w:pPr>
        <w:pStyle w:val="38"/>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供应商编制</w:t>
      </w:r>
      <w:r>
        <w:rPr>
          <w:rFonts w:hint="eastAsia" w:ascii="宋体" w:hAnsi="宋体" w:eastAsia="宋体" w:cs="宋体"/>
          <w:color w:val="auto"/>
          <w:highlight w:val="none"/>
          <w:lang w:eastAsia="zh-CN"/>
        </w:rPr>
        <w:t>施工实施方案</w:t>
      </w:r>
      <w:r>
        <w:rPr>
          <w:rFonts w:hint="eastAsia" w:ascii="宋体" w:hAnsi="宋体" w:eastAsia="宋体" w:cs="宋体"/>
          <w:color w:val="auto"/>
          <w:highlight w:val="none"/>
        </w:rPr>
        <w:t>的要求：</w:t>
      </w:r>
    </w:p>
    <w:p w14:paraId="08778450">
      <w:pPr>
        <w:pStyle w:val="38"/>
        <w:wordWrap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编制时应按以下章顺序采用文字并结合图表形式进行说明：</w:t>
      </w:r>
    </w:p>
    <w:p w14:paraId="7F653AAF">
      <w:pPr>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  （1）总体施工组织布置及规划；</w:t>
      </w:r>
    </w:p>
    <w:p w14:paraId="0D5BA631">
      <w:pPr>
        <w:wordWrap w:val="0"/>
        <w:spacing w:line="360" w:lineRule="auto"/>
        <w:rPr>
          <w:rFonts w:hint="eastAsia" w:ascii="宋体" w:hAnsi="宋体" w:eastAsia="宋体" w:cs="宋体"/>
          <w:b w:val="0"/>
          <w:bCs w:val="0"/>
          <w:color w:val="auto"/>
          <w:highlight w:val="none"/>
        </w:rPr>
      </w:pPr>
      <w:r>
        <w:rPr>
          <w:rFonts w:hint="eastAsia" w:ascii="宋体" w:hAnsi="宋体" w:eastAsia="宋体" w:cs="宋体"/>
          <w:color w:val="auto"/>
          <w:highlight w:val="none"/>
        </w:rPr>
        <w:t xml:space="preserve">  </w:t>
      </w:r>
      <w:r>
        <w:rPr>
          <w:rFonts w:hint="eastAsia" w:ascii="宋体" w:hAnsi="宋体" w:eastAsia="宋体" w:cs="宋体"/>
          <w:b w:val="0"/>
          <w:bCs w:val="0"/>
          <w:color w:val="auto"/>
          <w:highlight w:val="none"/>
        </w:rPr>
        <w:t>（2）</w:t>
      </w:r>
      <w:r>
        <w:rPr>
          <w:rFonts w:hint="eastAsia" w:ascii="宋体" w:hAnsi="宋体" w:eastAsia="宋体" w:cs="宋体"/>
          <w:b w:val="0"/>
          <w:bCs w:val="0"/>
          <w:color w:val="auto"/>
          <w:szCs w:val="21"/>
          <w:highlight w:val="none"/>
        </w:rPr>
        <w:t>施工进度及其保障措施</w:t>
      </w:r>
      <w:r>
        <w:rPr>
          <w:rFonts w:hint="eastAsia" w:ascii="宋体" w:hAnsi="宋体" w:eastAsia="宋体" w:cs="宋体"/>
          <w:b w:val="0"/>
          <w:bCs w:val="0"/>
          <w:color w:val="auto"/>
          <w:highlight w:val="none"/>
        </w:rPr>
        <w:t>；</w:t>
      </w:r>
    </w:p>
    <w:p w14:paraId="5DF255DA">
      <w:pPr>
        <w:wordWrap w:val="0"/>
        <w:spacing w:line="360" w:lineRule="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xml:space="preserve">  （3）</w:t>
      </w:r>
      <w:r>
        <w:rPr>
          <w:rFonts w:hint="eastAsia" w:ascii="宋体" w:hAnsi="宋体" w:eastAsia="宋体" w:cs="宋体"/>
          <w:b w:val="0"/>
          <w:bCs w:val="0"/>
          <w:color w:val="auto"/>
          <w:szCs w:val="21"/>
          <w:highlight w:val="none"/>
        </w:rPr>
        <w:t>修缮措施</w:t>
      </w:r>
      <w:r>
        <w:rPr>
          <w:rFonts w:hint="eastAsia" w:ascii="宋体" w:hAnsi="宋体" w:eastAsia="宋体" w:cs="宋体"/>
          <w:b w:val="0"/>
          <w:bCs w:val="0"/>
          <w:color w:val="auto"/>
          <w:highlight w:val="none"/>
        </w:rPr>
        <w:t>；</w:t>
      </w:r>
    </w:p>
    <w:p w14:paraId="5B4CAE85">
      <w:pPr>
        <w:wordWrap w:val="0"/>
        <w:spacing w:line="360" w:lineRule="auto"/>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xml:space="preserve">  （4）</w:t>
      </w:r>
      <w:r>
        <w:rPr>
          <w:rFonts w:hint="eastAsia" w:ascii="宋体" w:hAnsi="宋体" w:eastAsia="宋体" w:cs="宋体"/>
          <w:b w:val="0"/>
          <w:bCs w:val="0"/>
          <w:color w:val="auto"/>
          <w:szCs w:val="21"/>
          <w:highlight w:val="none"/>
        </w:rPr>
        <w:t>修缮质量检测以及重点、难点解决方案</w:t>
      </w:r>
      <w:r>
        <w:rPr>
          <w:rFonts w:hint="eastAsia" w:ascii="宋体" w:hAnsi="宋体" w:eastAsia="宋体" w:cs="宋体"/>
          <w:b w:val="0"/>
          <w:bCs w:val="0"/>
          <w:color w:val="auto"/>
          <w:highlight w:val="none"/>
        </w:rPr>
        <w:t>；</w:t>
      </w:r>
    </w:p>
    <w:p w14:paraId="5AA6DF32">
      <w:pPr>
        <w:wordWrap w:val="0"/>
        <w:spacing w:line="360" w:lineRule="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 xml:space="preserve">  （5）安全生产管理体系及保证措施、应急预案；</w:t>
      </w:r>
    </w:p>
    <w:p w14:paraId="4AF0D1FC">
      <w:pPr>
        <w:wordWrap w:val="0"/>
        <w:spacing w:line="360" w:lineRule="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 xml:space="preserve">  （6）</w:t>
      </w:r>
      <w:r>
        <w:rPr>
          <w:rFonts w:hint="eastAsia" w:ascii="宋体" w:hAnsi="宋体" w:eastAsia="宋体" w:cs="宋体"/>
          <w:b w:val="0"/>
          <w:bCs w:val="0"/>
          <w:color w:val="auto"/>
          <w:kern w:val="0"/>
          <w:szCs w:val="21"/>
          <w:highlight w:val="none"/>
        </w:rPr>
        <w:t>质量保证与承诺</w:t>
      </w:r>
      <w:r>
        <w:rPr>
          <w:rFonts w:hint="eastAsia" w:ascii="宋体" w:hAnsi="宋体" w:eastAsia="宋体" w:cs="宋体"/>
          <w:b w:val="0"/>
          <w:bCs w:val="0"/>
          <w:color w:val="auto"/>
          <w:szCs w:val="21"/>
          <w:highlight w:val="none"/>
        </w:rPr>
        <w:t>；</w:t>
      </w:r>
    </w:p>
    <w:p w14:paraId="006E3A0B">
      <w:pPr>
        <w:snapToGrid w:val="0"/>
        <w:spacing w:line="400" w:lineRule="exact"/>
        <w:ind w:firstLine="0" w:firstLineChars="0"/>
        <w:rPr>
          <w:rFonts w:ascii="宋体" w:hAnsi="宋体" w:cs="宋体"/>
          <w:color w:val="000000" w:themeColor="text1"/>
          <w:sz w:val="21"/>
          <w:szCs w:val="21"/>
          <w:u w:val="single"/>
          <w14:textFill>
            <w14:solidFill>
              <w14:schemeClr w14:val="tx1"/>
            </w14:solidFill>
          </w14:textFill>
        </w:rPr>
      </w:pPr>
      <w:r>
        <w:rPr>
          <w:rFonts w:hint="eastAsia" w:ascii="宋体" w:hAnsi="宋体" w:eastAsia="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w:t>
      </w:r>
      <w:r>
        <w:rPr>
          <w:rFonts w:hint="eastAsia" w:ascii="宋体" w:hAnsi="宋体" w:cs="宋体"/>
          <w:color w:val="000000" w:themeColor="text1"/>
          <w:sz w:val="21"/>
          <w:szCs w:val="21"/>
          <w14:textFill>
            <w14:solidFill>
              <w14:schemeClr w14:val="tx1"/>
            </w14:solidFill>
          </w14:textFill>
        </w:rPr>
        <w:t>供应商（电子签章）：</w:t>
      </w:r>
    </w:p>
    <w:p w14:paraId="65284050">
      <w:pPr>
        <w:spacing w:line="340" w:lineRule="exact"/>
        <w:ind w:firstLine="0" w:firstLineChars="0"/>
        <w:rPr>
          <w:rFonts w:ascii="宋体" w:hAnsi="宋体" w:cs="宋体"/>
          <w:color w:val="000000" w:themeColor="text1"/>
          <w:sz w:val="21"/>
          <w:szCs w:val="24"/>
          <w14:textFill>
            <w14:solidFill>
              <w14:schemeClr w14:val="tx1"/>
            </w14:solidFill>
          </w14:textFill>
        </w:rPr>
      </w:pPr>
      <w:r>
        <w:rPr>
          <w:rFonts w:hint="eastAsia" w:ascii="宋体" w:hAnsi="宋体" w:cs="宋体"/>
          <w:color w:val="000000" w:themeColor="text1"/>
          <w:sz w:val="21"/>
          <w:szCs w:val="24"/>
          <w14:textFill>
            <w14:solidFill>
              <w14:schemeClr w14:val="tx1"/>
            </w14:solidFill>
          </w14:textFill>
        </w:rPr>
        <w:t xml:space="preserve"> </w:t>
      </w:r>
      <w:r>
        <w:rPr>
          <w:rFonts w:hint="eastAsia" w:ascii="宋体" w:hAnsi="宋体" w:cs="宋体"/>
          <w:color w:val="000000" w:themeColor="text1"/>
          <w:sz w:val="21"/>
          <w:szCs w:val="24"/>
          <w:lang w:val="en-US" w:eastAsia="zh-CN"/>
          <w14:textFill>
            <w14:solidFill>
              <w14:schemeClr w14:val="tx1"/>
            </w14:solidFill>
          </w14:textFill>
        </w:rPr>
        <w:t xml:space="preserve"> </w:t>
      </w:r>
      <w:r>
        <w:rPr>
          <w:rFonts w:hint="eastAsia" w:ascii="宋体" w:hAnsi="宋体" w:cs="宋体"/>
          <w:color w:val="000000" w:themeColor="text1"/>
          <w:sz w:val="21"/>
          <w:szCs w:val="24"/>
          <w14:textFill>
            <w14:solidFill>
              <w14:schemeClr w14:val="tx1"/>
            </w14:solidFill>
          </w14:textFill>
        </w:rPr>
        <w:t xml:space="preserve"> 法定代表人或委托代理人签字</w:t>
      </w:r>
      <w:r>
        <w:rPr>
          <w:rFonts w:hint="eastAsia" w:ascii="宋体" w:hAnsi="宋体" w:cs="宋体"/>
          <w:color w:val="000000" w:themeColor="text1"/>
          <w:sz w:val="21"/>
          <w:szCs w:val="21"/>
          <w14:textFill>
            <w14:solidFill>
              <w14:schemeClr w14:val="tx1"/>
            </w14:solidFill>
          </w14:textFill>
        </w:rPr>
        <w:t>（或电子签名）</w:t>
      </w:r>
      <w:r>
        <w:rPr>
          <w:rFonts w:hint="eastAsia" w:ascii="宋体" w:hAnsi="宋体" w:cs="宋体"/>
          <w:color w:val="000000" w:themeColor="text1"/>
          <w:sz w:val="21"/>
          <w:szCs w:val="24"/>
          <w14:textFill>
            <w14:solidFill>
              <w14:schemeClr w14:val="tx1"/>
            </w14:solidFill>
          </w14:textFill>
        </w:rPr>
        <w:t>：</w:t>
      </w:r>
    </w:p>
    <w:p w14:paraId="72A981DC">
      <w:pPr>
        <w:spacing w:line="400" w:lineRule="exact"/>
        <w:ind w:firstLine="0" w:firstLineChars="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0"/>
          <w14:textFill>
            <w14:solidFill>
              <w14:schemeClr w14:val="tx1"/>
            </w14:solidFill>
          </w14:textFill>
        </w:rPr>
        <w:t xml:space="preserve">  </w:t>
      </w:r>
      <w:r>
        <w:rPr>
          <w:rFonts w:hint="eastAsia" w:ascii="宋体" w:hAnsi="宋体" w:cs="宋体"/>
          <w:color w:val="000000" w:themeColor="text1"/>
          <w:sz w:val="21"/>
          <w:szCs w:val="20"/>
          <w:lang w:val="en-US" w:eastAsia="zh-CN"/>
          <w14:textFill>
            <w14:solidFill>
              <w14:schemeClr w14:val="tx1"/>
            </w14:solidFill>
          </w14:textFill>
        </w:rPr>
        <w:t xml:space="preserve">                          </w:t>
      </w:r>
      <w:r>
        <w:rPr>
          <w:rFonts w:hint="eastAsia" w:ascii="宋体" w:hAnsi="宋体" w:cs="宋体"/>
          <w:color w:val="000000" w:themeColor="text1"/>
          <w:sz w:val="21"/>
          <w:szCs w:val="20"/>
          <w14:textFill>
            <w14:solidFill>
              <w14:schemeClr w14:val="tx1"/>
            </w14:solidFill>
          </w14:textFill>
        </w:rPr>
        <w:t>日          期：</w:t>
      </w:r>
    </w:p>
    <w:p w14:paraId="14B97B65">
      <w:pPr>
        <w:pStyle w:val="15"/>
        <w:wordWrap w:val="0"/>
        <w:spacing w:line="360" w:lineRule="auto"/>
        <w:ind w:firstLine="0" w:firstLineChars="0"/>
        <w:jc w:val="right"/>
        <w:rPr>
          <w:rFonts w:hint="eastAsia" w:ascii="宋体" w:hAnsi="宋体" w:eastAsia="宋体" w:cs="宋体"/>
          <w:color w:val="auto"/>
          <w:sz w:val="21"/>
          <w:szCs w:val="21"/>
          <w:highlight w:val="none"/>
          <w:lang w:val="en-US" w:eastAsia="zh-CN"/>
        </w:rPr>
      </w:pPr>
    </w:p>
    <w:p w14:paraId="759A7B29">
      <w:pPr>
        <w:pStyle w:val="37"/>
        <w:wordWrap w:val="0"/>
        <w:spacing w:line="360" w:lineRule="auto"/>
        <w:ind w:left="420" w:leftChars="200" w:firstLine="384" w:firstLineChars="160"/>
        <w:rPr>
          <w:rFonts w:hint="eastAsia" w:ascii="宋体" w:hAnsi="宋体" w:eastAsia="宋体" w:cs="宋体"/>
          <w:color w:val="auto"/>
          <w:highlight w:val="none"/>
        </w:rPr>
      </w:pPr>
    </w:p>
    <w:p w14:paraId="1D5FE93E">
      <w:pPr>
        <w:pStyle w:val="9"/>
        <w:wordWrap w:val="0"/>
        <w:spacing w:line="340" w:lineRule="exact"/>
        <w:ind w:left="420" w:leftChars="200" w:firstLine="450" w:firstLineChars="160"/>
        <w:rPr>
          <w:rFonts w:hint="eastAsia" w:ascii="宋体" w:hAnsi="宋体" w:eastAsia="宋体" w:cs="宋体"/>
          <w:b/>
          <w:color w:val="auto"/>
          <w:sz w:val="28"/>
          <w:szCs w:val="28"/>
          <w:highlight w:val="none"/>
        </w:rPr>
      </w:pPr>
    </w:p>
    <w:p w14:paraId="0E698787">
      <w:pPr>
        <w:pStyle w:val="9"/>
        <w:wordWrap w:val="0"/>
        <w:spacing w:line="340" w:lineRule="exact"/>
        <w:ind w:left="420" w:leftChars="200" w:firstLine="450" w:firstLineChars="160"/>
        <w:rPr>
          <w:rFonts w:hint="eastAsia" w:ascii="宋体" w:hAnsi="宋体" w:eastAsia="宋体" w:cs="宋体"/>
          <w:b/>
          <w:color w:val="auto"/>
          <w:sz w:val="28"/>
          <w:szCs w:val="28"/>
          <w:highlight w:val="none"/>
        </w:rPr>
      </w:pPr>
    </w:p>
    <w:p w14:paraId="0922842E">
      <w:pPr>
        <w:pStyle w:val="9"/>
        <w:wordWrap w:val="0"/>
        <w:spacing w:line="34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5、工程完工服务承诺书（必须提供）</w:t>
      </w:r>
    </w:p>
    <w:p w14:paraId="37855F27">
      <w:pPr>
        <w:wordWrap w:val="0"/>
        <w:spacing w:line="360" w:lineRule="auto"/>
        <w:ind w:left="420" w:leftChars="200" w:firstLine="386" w:firstLineChars="160"/>
        <w:jc w:val="center"/>
        <w:rPr>
          <w:rFonts w:hint="eastAsia" w:ascii="宋体" w:hAnsi="宋体" w:eastAsia="宋体" w:cs="宋体"/>
          <w:b/>
          <w:color w:val="auto"/>
          <w:sz w:val="24"/>
          <w:highlight w:val="none"/>
        </w:rPr>
      </w:pPr>
    </w:p>
    <w:p w14:paraId="1E62AF18">
      <w:pPr>
        <w:wordWrap w:val="0"/>
        <w:spacing w:line="360" w:lineRule="auto"/>
        <w:ind w:left="420" w:leftChars="200" w:firstLine="386" w:firstLineChars="16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工程完工服务承诺书（格式）</w:t>
      </w:r>
    </w:p>
    <w:p w14:paraId="3D662FA8">
      <w:pPr>
        <w:pStyle w:val="9"/>
        <w:wordWrap w:val="0"/>
        <w:ind w:left="420" w:leftChars="200" w:firstLine="336" w:firstLineChars="16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（由供应商按《工程量清单》中工程完工服务及要求自行分别填写）</w:t>
      </w:r>
    </w:p>
    <w:p w14:paraId="6AABE8E3">
      <w:pPr>
        <w:pStyle w:val="9"/>
        <w:wordWrap w:val="0"/>
        <w:ind w:left="420" w:leftChars="200" w:firstLine="336" w:firstLineChars="160"/>
        <w:rPr>
          <w:rFonts w:hint="eastAsia" w:ascii="宋体" w:hAnsi="宋体" w:eastAsia="宋体" w:cs="宋体"/>
          <w:color w:val="auto"/>
          <w:highlight w:val="none"/>
        </w:rPr>
      </w:pPr>
    </w:p>
    <w:p w14:paraId="40112A79">
      <w:pPr>
        <w:widowControl/>
        <w:wordWrap w:val="0"/>
        <w:ind w:left="420" w:leftChars="200" w:firstLine="336" w:firstLineChars="160"/>
        <w:jc w:val="left"/>
        <w:rPr>
          <w:rFonts w:hint="eastAsia" w:ascii="宋体" w:hAnsi="宋体" w:eastAsia="宋体" w:cs="宋体"/>
          <w:color w:val="auto"/>
          <w:szCs w:val="21"/>
          <w:highlight w:val="none"/>
        </w:rPr>
      </w:pPr>
    </w:p>
    <w:p w14:paraId="71202541">
      <w:pPr>
        <w:snapToGrid w:val="0"/>
        <w:spacing w:line="400" w:lineRule="exact"/>
        <w:ind w:firstLine="0" w:firstLineChars="0"/>
        <w:rPr>
          <w:rFonts w:ascii="宋体" w:hAnsi="宋体" w:cs="宋体"/>
          <w:color w:val="000000" w:themeColor="text1"/>
          <w:sz w:val="21"/>
          <w:szCs w:val="21"/>
          <w:u w:val="single"/>
          <w14:textFill>
            <w14:solidFill>
              <w14:schemeClr w14:val="tx1"/>
            </w14:solidFill>
          </w14:textFill>
        </w:rPr>
      </w:pPr>
      <w:r>
        <w:rPr>
          <w:rFonts w:hint="eastAsia" w:ascii="宋体" w:hAnsi="宋体" w:eastAsia="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w:t>
      </w:r>
      <w:r>
        <w:rPr>
          <w:rFonts w:hint="eastAsia" w:ascii="宋体" w:hAnsi="宋体" w:cs="宋体"/>
          <w:color w:val="000000" w:themeColor="text1"/>
          <w:sz w:val="21"/>
          <w:szCs w:val="21"/>
          <w14:textFill>
            <w14:solidFill>
              <w14:schemeClr w14:val="tx1"/>
            </w14:solidFill>
          </w14:textFill>
        </w:rPr>
        <w:t>供应商（电子签章）：</w:t>
      </w:r>
    </w:p>
    <w:p w14:paraId="2526381A">
      <w:pPr>
        <w:spacing w:line="340" w:lineRule="exact"/>
        <w:ind w:firstLine="0" w:firstLineChars="0"/>
        <w:rPr>
          <w:rFonts w:ascii="宋体" w:hAnsi="宋体" w:cs="宋体"/>
          <w:color w:val="000000" w:themeColor="text1"/>
          <w:sz w:val="21"/>
          <w:szCs w:val="24"/>
          <w14:textFill>
            <w14:solidFill>
              <w14:schemeClr w14:val="tx1"/>
            </w14:solidFill>
          </w14:textFill>
        </w:rPr>
      </w:pPr>
      <w:r>
        <w:rPr>
          <w:rFonts w:hint="eastAsia" w:ascii="宋体" w:hAnsi="宋体" w:cs="宋体"/>
          <w:color w:val="000000" w:themeColor="text1"/>
          <w:sz w:val="21"/>
          <w:szCs w:val="24"/>
          <w14:textFill>
            <w14:solidFill>
              <w14:schemeClr w14:val="tx1"/>
            </w14:solidFill>
          </w14:textFill>
        </w:rPr>
        <w:t xml:space="preserve"> </w:t>
      </w:r>
      <w:r>
        <w:rPr>
          <w:rFonts w:hint="eastAsia" w:ascii="宋体" w:hAnsi="宋体" w:cs="宋体"/>
          <w:color w:val="000000" w:themeColor="text1"/>
          <w:sz w:val="21"/>
          <w:szCs w:val="24"/>
          <w:lang w:val="en-US" w:eastAsia="zh-CN"/>
          <w14:textFill>
            <w14:solidFill>
              <w14:schemeClr w14:val="tx1"/>
            </w14:solidFill>
          </w14:textFill>
        </w:rPr>
        <w:t xml:space="preserve"> </w:t>
      </w:r>
      <w:r>
        <w:rPr>
          <w:rFonts w:hint="eastAsia" w:ascii="宋体" w:hAnsi="宋体" w:cs="宋体"/>
          <w:color w:val="000000" w:themeColor="text1"/>
          <w:sz w:val="21"/>
          <w:szCs w:val="24"/>
          <w14:textFill>
            <w14:solidFill>
              <w14:schemeClr w14:val="tx1"/>
            </w14:solidFill>
          </w14:textFill>
        </w:rPr>
        <w:t xml:space="preserve"> 法定代表人或委托代理人签字</w:t>
      </w:r>
      <w:r>
        <w:rPr>
          <w:rFonts w:hint="eastAsia" w:ascii="宋体" w:hAnsi="宋体" w:cs="宋体"/>
          <w:color w:val="000000" w:themeColor="text1"/>
          <w:sz w:val="21"/>
          <w:szCs w:val="21"/>
          <w14:textFill>
            <w14:solidFill>
              <w14:schemeClr w14:val="tx1"/>
            </w14:solidFill>
          </w14:textFill>
        </w:rPr>
        <w:t>（或电子签名）</w:t>
      </w:r>
      <w:r>
        <w:rPr>
          <w:rFonts w:hint="eastAsia" w:ascii="宋体" w:hAnsi="宋体" w:cs="宋体"/>
          <w:color w:val="000000" w:themeColor="text1"/>
          <w:sz w:val="21"/>
          <w:szCs w:val="24"/>
          <w14:textFill>
            <w14:solidFill>
              <w14:schemeClr w14:val="tx1"/>
            </w14:solidFill>
          </w14:textFill>
        </w:rPr>
        <w:t>：</w:t>
      </w:r>
    </w:p>
    <w:p w14:paraId="500225CA">
      <w:pPr>
        <w:spacing w:line="400" w:lineRule="exact"/>
        <w:ind w:firstLine="0" w:firstLineChars="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0"/>
          <w14:textFill>
            <w14:solidFill>
              <w14:schemeClr w14:val="tx1"/>
            </w14:solidFill>
          </w14:textFill>
        </w:rPr>
        <w:t xml:space="preserve">  </w:t>
      </w:r>
      <w:r>
        <w:rPr>
          <w:rFonts w:hint="eastAsia" w:ascii="宋体" w:hAnsi="宋体" w:cs="宋体"/>
          <w:color w:val="000000" w:themeColor="text1"/>
          <w:sz w:val="21"/>
          <w:szCs w:val="20"/>
          <w:lang w:val="en-US" w:eastAsia="zh-CN"/>
          <w14:textFill>
            <w14:solidFill>
              <w14:schemeClr w14:val="tx1"/>
            </w14:solidFill>
          </w14:textFill>
        </w:rPr>
        <w:t xml:space="preserve">                          </w:t>
      </w:r>
      <w:r>
        <w:rPr>
          <w:rFonts w:hint="eastAsia" w:ascii="宋体" w:hAnsi="宋体" w:cs="宋体"/>
          <w:color w:val="000000" w:themeColor="text1"/>
          <w:sz w:val="21"/>
          <w:szCs w:val="20"/>
          <w14:textFill>
            <w14:solidFill>
              <w14:schemeClr w14:val="tx1"/>
            </w14:solidFill>
          </w14:textFill>
        </w:rPr>
        <w:t>日          期：</w:t>
      </w:r>
    </w:p>
    <w:p w14:paraId="78D57258">
      <w:pPr>
        <w:pStyle w:val="3"/>
        <w:wordWrap w:val="0"/>
        <w:ind w:left="420" w:leftChars="200" w:firstLine="450" w:firstLineChars="160"/>
        <w:rPr>
          <w:rFonts w:hint="eastAsia" w:ascii="宋体" w:hAnsi="宋体" w:eastAsia="宋体" w:cs="宋体"/>
          <w:color w:val="auto"/>
          <w:sz w:val="28"/>
          <w:szCs w:val="28"/>
          <w:highlight w:val="none"/>
        </w:rPr>
      </w:pPr>
    </w:p>
    <w:p w14:paraId="791FDC2E">
      <w:pPr>
        <w:pStyle w:val="3"/>
        <w:numPr>
          <w:ilvl w:val="0"/>
          <w:numId w:val="8"/>
        </w:numPr>
        <w:wordWrap w:val="0"/>
        <w:spacing w:line="400" w:lineRule="exact"/>
        <w:rPr>
          <w:rFonts w:hint="eastAsia" w:ascii="宋体" w:hAnsi="宋体" w:eastAsia="宋体" w:cs="宋体"/>
          <w:color w:val="auto"/>
          <w:sz w:val="28"/>
          <w:szCs w:val="28"/>
          <w:highlight w:val="none"/>
        </w:rPr>
      </w:pPr>
      <w:bookmarkStart w:id="1798" w:name="_Toc32582"/>
      <w:bookmarkStart w:id="1799" w:name="_Toc24798"/>
      <w:r>
        <w:rPr>
          <w:rFonts w:hint="eastAsia" w:ascii="宋体" w:hAnsi="宋体" w:eastAsia="宋体" w:cs="宋体"/>
          <w:color w:val="auto"/>
          <w:sz w:val="28"/>
          <w:szCs w:val="28"/>
          <w:highlight w:val="none"/>
        </w:rPr>
        <w:br w:type="page"/>
      </w:r>
      <w:bookmarkStart w:id="1800" w:name="_Toc6222"/>
      <w:bookmarkStart w:id="1801" w:name="_Toc16731"/>
      <w:r>
        <w:rPr>
          <w:rFonts w:hint="eastAsia" w:ascii="宋体" w:hAnsi="宋体" w:eastAsia="宋体" w:cs="宋体"/>
          <w:color w:val="auto"/>
          <w:sz w:val="28"/>
          <w:szCs w:val="28"/>
          <w:highlight w:val="none"/>
        </w:rPr>
        <w:t>工程渣土清运承诺书（必须提供）</w:t>
      </w:r>
      <w:bookmarkEnd w:id="1800"/>
      <w:bookmarkEnd w:id="1801"/>
    </w:p>
    <w:p w14:paraId="65A71B01">
      <w:pPr>
        <w:widowControl/>
        <w:wordWrap w:val="0"/>
        <w:spacing w:line="400" w:lineRule="exact"/>
        <w:jc w:val="left"/>
        <w:rPr>
          <w:rFonts w:hint="eastAsia" w:ascii="宋体" w:hAnsi="宋体" w:eastAsia="宋体" w:cs="宋体"/>
          <w:color w:val="auto"/>
          <w:highlight w:val="none"/>
        </w:rPr>
      </w:pPr>
      <w:r>
        <w:rPr>
          <w:rFonts w:hint="eastAsia" w:ascii="宋体" w:hAnsi="宋体" w:eastAsia="宋体" w:cs="宋体"/>
          <w:b/>
          <w:bCs/>
          <w:color w:val="auto"/>
          <w:kern w:val="0"/>
          <w:sz w:val="28"/>
          <w:szCs w:val="28"/>
          <w:highlight w:val="none"/>
          <w:lang w:bidi="ar"/>
        </w:rPr>
        <w:t>（按照桂林市建设工程招标站市建招字[2011]02 号的规定承诺，格式自拟。）</w:t>
      </w:r>
    </w:p>
    <w:p w14:paraId="7A64D4E0">
      <w:pPr>
        <w:pStyle w:val="3"/>
        <w:wordWrap w:val="0"/>
        <w:rPr>
          <w:rFonts w:hint="eastAsia" w:ascii="宋体" w:hAnsi="宋体" w:eastAsia="宋体" w:cs="宋体"/>
          <w:color w:val="auto"/>
          <w:sz w:val="28"/>
          <w:szCs w:val="28"/>
          <w:highlight w:val="none"/>
        </w:rPr>
      </w:pPr>
    </w:p>
    <w:p w14:paraId="52BDC487">
      <w:pPr>
        <w:wordWrap w:val="0"/>
        <w:spacing w:line="340" w:lineRule="exact"/>
        <w:ind w:left="420"/>
        <w:jc w:val="center"/>
        <w:rPr>
          <w:rFonts w:hint="eastAsia" w:ascii="宋体" w:hAnsi="宋体" w:eastAsia="宋体" w:cs="宋体"/>
          <w:b/>
          <w:bCs/>
          <w:color w:val="auto"/>
          <w:sz w:val="32"/>
          <w:szCs w:val="32"/>
          <w:highlight w:val="none"/>
        </w:rPr>
      </w:pPr>
    </w:p>
    <w:p w14:paraId="538B242F">
      <w:pPr>
        <w:snapToGrid w:val="0"/>
        <w:spacing w:line="400" w:lineRule="exact"/>
        <w:ind w:firstLine="0" w:firstLineChars="0"/>
        <w:rPr>
          <w:rFonts w:ascii="宋体" w:hAnsi="宋体" w:cs="宋体"/>
          <w:color w:val="000000" w:themeColor="text1"/>
          <w:sz w:val="21"/>
          <w:szCs w:val="21"/>
          <w:u w:val="single"/>
          <w14:textFill>
            <w14:solidFill>
              <w14:schemeClr w14:val="tx1"/>
            </w14:solidFill>
          </w14:textFill>
        </w:rPr>
      </w:pPr>
      <w:r>
        <w:rPr>
          <w:rFonts w:hint="eastAsia" w:ascii="宋体" w:hAnsi="宋体" w:eastAsia="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w:t>
      </w:r>
      <w:r>
        <w:rPr>
          <w:rFonts w:hint="eastAsia" w:ascii="宋体" w:hAnsi="宋体" w:cs="宋体"/>
          <w:color w:val="000000" w:themeColor="text1"/>
          <w:sz w:val="21"/>
          <w:szCs w:val="21"/>
          <w14:textFill>
            <w14:solidFill>
              <w14:schemeClr w14:val="tx1"/>
            </w14:solidFill>
          </w14:textFill>
        </w:rPr>
        <w:t>供应商（电子签章）：</w:t>
      </w:r>
    </w:p>
    <w:p w14:paraId="55EC1D83">
      <w:pPr>
        <w:spacing w:line="340" w:lineRule="exact"/>
        <w:ind w:firstLine="0" w:firstLineChars="0"/>
        <w:rPr>
          <w:rFonts w:ascii="宋体" w:hAnsi="宋体" w:cs="宋体"/>
          <w:color w:val="000000" w:themeColor="text1"/>
          <w:sz w:val="21"/>
          <w:szCs w:val="24"/>
          <w14:textFill>
            <w14:solidFill>
              <w14:schemeClr w14:val="tx1"/>
            </w14:solidFill>
          </w14:textFill>
        </w:rPr>
      </w:pPr>
      <w:r>
        <w:rPr>
          <w:rFonts w:hint="eastAsia" w:ascii="宋体" w:hAnsi="宋体" w:cs="宋体"/>
          <w:color w:val="000000" w:themeColor="text1"/>
          <w:sz w:val="21"/>
          <w:szCs w:val="24"/>
          <w14:textFill>
            <w14:solidFill>
              <w14:schemeClr w14:val="tx1"/>
            </w14:solidFill>
          </w14:textFill>
        </w:rPr>
        <w:t xml:space="preserve"> </w:t>
      </w:r>
      <w:r>
        <w:rPr>
          <w:rFonts w:hint="eastAsia" w:ascii="宋体" w:hAnsi="宋体" w:cs="宋体"/>
          <w:color w:val="000000" w:themeColor="text1"/>
          <w:sz w:val="21"/>
          <w:szCs w:val="24"/>
          <w:lang w:val="en-US" w:eastAsia="zh-CN"/>
          <w14:textFill>
            <w14:solidFill>
              <w14:schemeClr w14:val="tx1"/>
            </w14:solidFill>
          </w14:textFill>
        </w:rPr>
        <w:t xml:space="preserve"> </w:t>
      </w:r>
      <w:r>
        <w:rPr>
          <w:rFonts w:hint="eastAsia" w:ascii="宋体" w:hAnsi="宋体" w:cs="宋体"/>
          <w:color w:val="000000" w:themeColor="text1"/>
          <w:sz w:val="21"/>
          <w:szCs w:val="24"/>
          <w14:textFill>
            <w14:solidFill>
              <w14:schemeClr w14:val="tx1"/>
            </w14:solidFill>
          </w14:textFill>
        </w:rPr>
        <w:t xml:space="preserve"> 法定代表人或委托代理人签字</w:t>
      </w:r>
      <w:r>
        <w:rPr>
          <w:rFonts w:hint="eastAsia" w:ascii="宋体" w:hAnsi="宋体" w:cs="宋体"/>
          <w:color w:val="000000" w:themeColor="text1"/>
          <w:sz w:val="21"/>
          <w:szCs w:val="21"/>
          <w14:textFill>
            <w14:solidFill>
              <w14:schemeClr w14:val="tx1"/>
            </w14:solidFill>
          </w14:textFill>
        </w:rPr>
        <w:t>（或电子签名）</w:t>
      </w:r>
      <w:r>
        <w:rPr>
          <w:rFonts w:hint="eastAsia" w:ascii="宋体" w:hAnsi="宋体" w:cs="宋体"/>
          <w:color w:val="000000" w:themeColor="text1"/>
          <w:sz w:val="21"/>
          <w:szCs w:val="24"/>
          <w14:textFill>
            <w14:solidFill>
              <w14:schemeClr w14:val="tx1"/>
            </w14:solidFill>
          </w14:textFill>
        </w:rPr>
        <w:t>：</w:t>
      </w:r>
    </w:p>
    <w:p w14:paraId="3B1A7103">
      <w:pPr>
        <w:spacing w:line="400" w:lineRule="exact"/>
        <w:ind w:firstLine="0" w:firstLineChars="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0"/>
          <w14:textFill>
            <w14:solidFill>
              <w14:schemeClr w14:val="tx1"/>
            </w14:solidFill>
          </w14:textFill>
        </w:rPr>
        <w:t xml:space="preserve">  </w:t>
      </w:r>
      <w:r>
        <w:rPr>
          <w:rFonts w:hint="eastAsia" w:ascii="宋体" w:hAnsi="宋体" w:cs="宋体"/>
          <w:color w:val="000000" w:themeColor="text1"/>
          <w:sz w:val="21"/>
          <w:szCs w:val="20"/>
          <w:lang w:val="en-US" w:eastAsia="zh-CN"/>
          <w14:textFill>
            <w14:solidFill>
              <w14:schemeClr w14:val="tx1"/>
            </w14:solidFill>
          </w14:textFill>
        </w:rPr>
        <w:t xml:space="preserve">                          </w:t>
      </w:r>
      <w:r>
        <w:rPr>
          <w:rFonts w:hint="eastAsia" w:ascii="宋体" w:hAnsi="宋体" w:cs="宋体"/>
          <w:color w:val="000000" w:themeColor="text1"/>
          <w:sz w:val="21"/>
          <w:szCs w:val="20"/>
          <w14:textFill>
            <w14:solidFill>
              <w14:schemeClr w14:val="tx1"/>
            </w14:solidFill>
          </w14:textFill>
        </w:rPr>
        <w:t>日          期：</w:t>
      </w:r>
    </w:p>
    <w:p w14:paraId="2097D7D0">
      <w:pPr>
        <w:pStyle w:val="3"/>
        <w:wordWrap w:val="0"/>
        <w:jc w:val="center"/>
        <w:rPr>
          <w:rFonts w:hint="eastAsia" w:ascii="宋体" w:hAnsi="宋体" w:eastAsia="宋体" w:cs="宋体"/>
          <w:color w:val="auto"/>
          <w:sz w:val="28"/>
          <w:szCs w:val="28"/>
          <w:highlight w:val="none"/>
          <w:u w:val="single"/>
        </w:rPr>
      </w:pPr>
    </w:p>
    <w:p w14:paraId="6C7CA77C">
      <w:pPr>
        <w:wordWrap w:val="0"/>
        <w:rPr>
          <w:rFonts w:hint="eastAsia" w:ascii="宋体" w:hAnsi="宋体" w:eastAsia="宋体" w:cs="宋体"/>
          <w:color w:val="auto"/>
          <w:sz w:val="28"/>
          <w:szCs w:val="28"/>
          <w:highlight w:val="none"/>
        </w:rPr>
      </w:pPr>
    </w:p>
    <w:p w14:paraId="0D773D9B">
      <w:pPr>
        <w:pStyle w:val="15"/>
        <w:wordWrap w:val="0"/>
        <w:ind w:firstLine="544"/>
        <w:rPr>
          <w:rFonts w:hint="eastAsia" w:ascii="宋体" w:hAnsi="宋体" w:eastAsia="宋体" w:cs="宋体"/>
          <w:color w:val="auto"/>
          <w:sz w:val="28"/>
          <w:szCs w:val="28"/>
          <w:highlight w:val="none"/>
        </w:rPr>
      </w:pPr>
    </w:p>
    <w:p w14:paraId="171A5AEB">
      <w:pPr>
        <w:pStyle w:val="15"/>
        <w:wordWrap w:val="0"/>
        <w:ind w:firstLine="544"/>
        <w:rPr>
          <w:rFonts w:hint="eastAsia" w:ascii="宋体" w:hAnsi="宋体" w:eastAsia="宋体" w:cs="宋体"/>
          <w:color w:val="auto"/>
          <w:sz w:val="28"/>
          <w:szCs w:val="28"/>
          <w:highlight w:val="none"/>
        </w:rPr>
      </w:pPr>
    </w:p>
    <w:p w14:paraId="50E0F1DF">
      <w:pPr>
        <w:pStyle w:val="3"/>
        <w:numPr>
          <w:ilvl w:val="0"/>
          <w:numId w:val="8"/>
        </w:numPr>
        <w:wordWrap w:val="0"/>
        <w:rPr>
          <w:rFonts w:hint="eastAsia" w:ascii="宋体" w:hAnsi="宋体" w:eastAsia="宋体" w:cs="宋体"/>
          <w:color w:val="auto"/>
          <w:sz w:val="28"/>
          <w:szCs w:val="28"/>
          <w:highlight w:val="none"/>
        </w:rPr>
      </w:pPr>
      <w:bookmarkStart w:id="1802" w:name="_Toc32020"/>
      <w:bookmarkStart w:id="1803" w:name="_Toc14268"/>
      <w:r>
        <w:rPr>
          <w:rFonts w:hint="eastAsia" w:ascii="宋体" w:hAnsi="宋体" w:eastAsia="宋体" w:cs="宋体"/>
          <w:color w:val="auto"/>
          <w:sz w:val="28"/>
          <w:szCs w:val="28"/>
          <w:highlight w:val="none"/>
        </w:rPr>
        <w:t>农民工工资保障金交纳与使用承诺书（必须提供）</w:t>
      </w:r>
      <w:bookmarkEnd w:id="1798"/>
      <w:bookmarkEnd w:id="1799"/>
      <w:bookmarkEnd w:id="1802"/>
      <w:bookmarkEnd w:id="1803"/>
    </w:p>
    <w:p w14:paraId="5129F1CB">
      <w:pPr>
        <w:wordWrap w:val="0"/>
        <w:spacing w:line="420" w:lineRule="exact"/>
        <w:ind w:left="420" w:leftChars="200" w:firstLine="450" w:firstLineChars="16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农民工工资保障金交纳与使用承诺书（格式）</w:t>
      </w:r>
    </w:p>
    <w:p w14:paraId="4F385793">
      <w:pPr>
        <w:wordWrap w:val="0"/>
        <w:spacing w:line="420" w:lineRule="exact"/>
        <w:ind w:left="420" w:leftChars="200" w:firstLine="336" w:firstLineChars="160"/>
        <w:rPr>
          <w:rFonts w:hint="eastAsia" w:ascii="宋体" w:hAnsi="宋体" w:eastAsia="宋体" w:cs="宋体"/>
          <w:color w:val="auto"/>
          <w:kern w:val="0"/>
          <w:szCs w:val="21"/>
          <w:highlight w:val="none"/>
        </w:rPr>
      </w:pPr>
    </w:p>
    <w:p w14:paraId="67A90924">
      <w:pPr>
        <w:wordWrap w:val="0"/>
        <w:spacing w:line="420" w:lineRule="exact"/>
        <w:rPr>
          <w:rFonts w:hint="eastAsia" w:ascii="宋体" w:hAnsi="宋体" w:eastAsia="宋体" w:cs="宋体"/>
          <w:b/>
          <w:color w:val="auto"/>
          <w:kern w:val="0"/>
          <w:szCs w:val="21"/>
          <w:highlight w:val="none"/>
          <w:u w:val="single"/>
        </w:rPr>
      </w:pPr>
      <w:bookmarkStart w:id="1804" w:name="_Toc497927084"/>
      <w:bookmarkStart w:id="1805" w:name="_Toc9339"/>
      <w:bookmarkStart w:id="1806" w:name="_Toc28672"/>
      <w:r>
        <w:rPr>
          <w:rFonts w:hint="eastAsia" w:ascii="宋体" w:hAnsi="宋体" w:eastAsia="宋体" w:cs="宋体"/>
          <w:color w:val="auto"/>
          <w:kern w:val="0"/>
          <w:szCs w:val="21"/>
          <w:highlight w:val="none"/>
        </w:rPr>
        <w:t>致：</w:t>
      </w:r>
      <w:r>
        <w:rPr>
          <w:rFonts w:hint="eastAsia" w:ascii="宋体" w:hAnsi="宋体" w:eastAsia="宋体" w:cs="宋体"/>
          <w:color w:val="auto"/>
          <w:highlight w:val="none"/>
          <w:u w:val="single"/>
        </w:rPr>
        <w:t>广西华诚达建设项目管理有限公司</w:t>
      </w:r>
    </w:p>
    <w:p w14:paraId="343A901B">
      <w:pPr>
        <w:wordWrap w:val="0"/>
        <w:spacing w:line="42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我方在此承诺：</w:t>
      </w:r>
    </w:p>
    <w:p w14:paraId="29EB6EFA">
      <w:pPr>
        <w:wordWrap w:val="0"/>
        <w:spacing w:line="420" w:lineRule="exact"/>
        <w:ind w:firstLine="525" w:firstLineChars="2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1.我方在本项目</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（项目名称及编号）响应文件递交截止之日前所承建工程中，无拖欠或克扣农民工工资的行为。</w:t>
      </w:r>
    </w:p>
    <w:p w14:paraId="06097499">
      <w:pPr>
        <w:wordWrap w:val="0"/>
        <w:spacing w:line="420" w:lineRule="exact"/>
        <w:ind w:firstLine="495"/>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 我方参与磋商的</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项目，一旦成交，我方保证在签订施工合同后，及时并足额将农民工工资保证金足额存入指定的账户，作为本项目农民工工资保证金。</w:t>
      </w:r>
    </w:p>
    <w:p w14:paraId="63C67223">
      <w:pPr>
        <w:wordWrap w:val="0"/>
        <w:spacing w:line="420" w:lineRule="exact"/>
        <w:ind w:firstLine="495"/>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 如我方在承包的</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项目中出现拖欠农民工和工人工资情况的，由相关部门从其农民工工资保证金中先予划支。</w:t>
      </w:r>
    </w:p>
    <w:p w14:paraId="48373194">
      <w:pPr>
        <w:wordWrap w:val="0"/>
        <w:ind w:left="420" w:leftChars="200"/>
        <w:rPr>
          <w:rFonts w:hint="eastAsia" w:ascii="宋体" w:hAnsi="宋体" w:eastAsia="宋体" w:cs="宋体"/>
          <w:color w:val="auto"/>
          <w:highlight w:val="none"/>
        </w:rPr>
      </w:pPr>
      <w:r>
        <w:rPr>
          <w:rFonts w:hint="eastAsia" w:ascii="宋体" w:hAnsi="宋体" w:eastAsia="宋体" w:cs="宋体"/>
          <w:color w:val="auto"/>
          <w:kern w:val="0"/>
          <w:szCs w:val="21"/>
          <w:highlight w:val="none"/>
        </w:rPr>
        <w:t>4. 如我方不按时、足额存入农民工工资保证金，采购人有权取消我方承包资格。</w:t>
      </w:r>
    </w:p>
    <w:p w14:paraId="356EDFBF">
      <w:pPr>
        <w:pStyle w:val="9"/>
        <w:wordWrap w:val="0"/>
        <w:spacing w:line="340" w:lineRule="exact"/>
        <w:rPr>
          <w:rFonts w:hint="eastAsia" w:ascii="宋体" w:hAnsi="宋体" w:eastAsia="宋体" w:cs="宋体"/>
          <w:b/>
          <w:color w:val="auto"/>
          <w:sz w:val="28"/>
          <w:szCs w:val="28"/>
          <w:highlight w:val="none"/>
        </w:rPr>
      </w:pPr>
    </w:p>
    <w:p w14:paraId="0347F3C1">
      <w:pPr>
        <w:wordWrap w:val="0"/>
        <w:spacing w:line="340" w:lineRule="exact"/>
        <w:ind w:left="420"/>
        <w:jc w:val="center"/>
        <w:rPr>
          <w:rFonts w:hint="eastAsia" w:ascii="宋体" w:hAnsi="宋体" w:eastAsia="宋体" w:cs="宋体"/>
          <w:b/>
          <w:bCs/>
          <w:color w:val="auto"/>
          <w:sz w:val="32"/>
          <w:szCs w:val="32"/>
          <w:highlight w:val="none"/>
        </w:rPr>
      </w:pPr>
    </w:p>
    <w:p w14:paraId="57A7BFB5">
      <w:pPr>
        <w:snapToGrid w:val="0"/>
        <w:spacing w:line="400" w:lineRule="exact"/>
        <w:ind w:firstLine="0" w:firstLineChars="0"/>
        <w:rPr>
          <w:rFonts w:ascii="宋体" w:hAnsi="宋体" w:cs="宋体"/>
          <w:color w:val="000000" w:themeColor="text1"/>
          <w:sz w:val="21"/>
          <w:szCs w:val="21"/>
          <w:u w:val="single"/>
          <w14:textFill>
            <w14:solidFill>
              <w14:schemeClr w14:val="tx1"/>
            </w14:solidFill>
          </w14:textFill>
        </w:rPr>
      </w:pPr>
      <w:r>
        <w:rPr>
          <w:rFonts w:hint="eastAsia" w:ascii="宋体" w:hAnsi="宋体" w:eastAsia="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w:t>
      </w:r>
      <w:r>
        <w:rPr>
          <w:rFonts w:hint="eastAsia" w:ascii="宋体" w:hAnsi="宋体" w:cs="宋体"/>
          <w:color w:val="000000" w:themeColor="text1"/>
          <w:sz w:val="21"/>
          <w:szCs w:val="21"/>
          <w14:textFill>
            <w14:solidFill>
              <w14:schemeClr w14:val="tx1"/>
            </w14:solidFill>
          </w14:textFill>
        </w:rPr>
        <w:t>供应商（电子签章）：</w:t>
      </w:r>
    </w:p>
    <w:p w14:paraId="751926DD">
      <w:pPr>
        <w:spacing w:line="340" w:lineRule="exact"/>
        <w:ind w:firstLine="0" w:firstLineChars="0"/>
        <w:rPr>
          <w:rFonts w:ascii="宋体" w:hAnsi="宋体" w:cs="宋体"/>
          <w:color w:val="000000" w:themeColor="text1"/>
          <w:sz w:val="21"/>
          <w:szCs w:val="24"/>
          <w14:textFill>
            <w14:solidFill>
              <w14:schemeClr w14:val="tx1"/>
            </w14:solidFill>
          </w14:textFill>
        </w:rPr>
      </w:pPr>
      <w:r>
        <w:rPr>
          <w:rFonts w:hint="eastAsia" w:ascii="宋体" w:hAnsi="宋体" w:cs="宋体"/>
          <w:color w:val="000000" w:themeColor="text1"/>
          <w:sz w:val="21"/>
          <w:szCs w:val="24"/>
          <w14:textFill>
            <w14:solidFill>
              <w14:schemeClr w14:val="tx1"/>
            </w14:solidFill>
          </w14:textFill>
        </w:rPr>
        <w:t xml:space="preserve"> </w:t>
      </w:r>
      <w:r>
        <w:rPr>
          <w:rFonts w:hint="eastAsia" w:ascii="宋体" w:hAnsi="宋体" w:cs="宋体"/>
          <w:color w:val="000000" w:themeColor="text1"/>
          <w:sz w:val="21"/>
          <w:szCs w:val="24"/>
          <w:lang w:val="en-US" w:eastAsia="zh-CN"/>
          <w14:textFill>
            <w14:solidFill>
              <w14:schemeClr w14:val="tx1"/>
            </w14:solidFill>
          </w14:textFill>
        </w:rPr>
        <w:t xml:space="preserve"> </w:t>
      </w:r>
      <w:r>
        <w:rPr>
          <w:rFonts w:hint="eastAsia" w:ascii="宋体" w:hAnsi="宋体" w:cs="宋体"/>
          <w:color w:val="000000" w:themeColor="text1"/>
          <w:sz w:val="21"/>
          <w:szCs w:val="24"/>
          <w14:textFill>
            <w14:solidFill>
              <w14:schemeClr w14:val="tx1"/>
            </w14:solidFill>
          </w14:textFill>
        </w:rPr>
        <w:t xml:space="preserve"> 法定代表人或委托代理人签字</w:t>
      </w:r>
      <w:r>
        <w:rPr>
          <w:rFonts w:hint="eastAsia" w:ascii="宋体" w:hAnsi="宋体" w:cs="宋体"/>
          <w:color w:val="000000" w:themeColor="text1"/>
          <w:sz w:val="21"/>
          <w:szCs w:val="21"/>
          <w14:textFill>
            <w14:solidFill>
              <w14:schemeClr w14:val="tx1"/>
            </w14:solidFill>
          </w14:textFill>
        </w:rPr>
        <w:t>（或电子签名）</w:t>
      </w:r>
      <w:r>
        <w:rPr>
          <w:rFonts w:hint="eastAsia" w:ascii="宋体" w:hAnsi="宋体" w:cs="宋体"/>
          <w:color w:val="000000" w:themeColor="text1"/>
          <w:sz w:val="21"/>
          <w:szCs w:val="24"/>
          <w14:textFill>
            <w14:solidFill>
              <w14:schemeClr w14:val="tx1"/>
            </w14:solidFill>
          </w14:textFill>
        </w:rPr>
        <w:t>：</w:t>
      </w:r>
    </w:p>
    <w:p w14:paraId="0FA1489E">
      <w:pPr>
        <w:spacing w:line="400" w:lineRule="exact"/>
        <w:ind w:firstLine="0" w:firstLineChars="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0"/>
          <w14:textFill>
            <w14:solidFill>
              <w14:schemeClr w14:val="tx1"/>
            </w14:solidFill>
          </w14:textFill>
        </w:rPr>
        <w:t xml:space="preserve">  </w:t>
      </w:r>
      <w:r>
        <w:rPr>
          <w:rFonts w:hint="eastAsia" w:ascii="宋体" w:hAnsi="宋体" w:cs="宋体"/>
          <w:color w:val="000000" w:themeColor="text1"/>
          <w:sz w:val="21"/>
          <w:szCs w:val="20"/>
          <w:lang w:val="en-US" w:eastAsia="zh-CN"/>
          <w14:textFill>
            <w14:solidFill>
              <w14:schemeClr w14:val="tx1"/>
            </w14:solidFill>
          </w14:textFill>
        </w:rPr>
        <w:t xml:space="preserve">                          </w:t>
      </w:r>
      <w:r>
        <w:rPr>
          <w:rFonts w:hint="eastAsia" w:ascii="宋体" w:hAnsi="宋体" w:cs="宋体"/>
          <w:color w:val="000000" w:themeColor="text1"/>
          <w:sz w:val="21"/>
          <w:szCs w:val="20"/>
          <w14:textFill>
            <w14:solidFill>
              <w14:schemeClr w14:val="tx1"/>
            </w14:solidFill>
          </w14:textFill>
        </w:rPr>
        <w:t>日          期：</w:t>
      </w:r>
    </w:p>
    <w:p w14:paraId="448446B9">
      <w:pPr>
        <w:pStyle w:val="15"/>
        <w:wordWrap w:val="0"/>
        <w:ind w:firstLine="344"/>
        <w:rPr>
          <w:rFonts w:hint="eastAsia" w:ascii="宋体" w:hAnsi="宋体" w:eastAsia="宋体" w:cs="宋体"/>
          <w:color w:val="auto"/>
          <w:highlight w:val="none"/>
        </w:rPr>
      </w:pPr>
    </w:p>
    <w:p w14:paraId="03E99129">
      <w:pPr>
        <w:wordWrap w:val="0"/>
        <w:rPr>
          <w:rFonts w:hint="eastAsia" w:ascii="宋体" w:hAnsi="宋体" w:eastAsia="宋体" w:cs="宋体"/>
          <w:color w:val="auto"/>
          <w:highlight w:val="none"/>
        </w:rPr>
      </w:pPr>
    </w:p>
    <w:p w14:paraId="14000C9C">
      <w:pPr>
        <w:wordWrap w:val="0"/>
        <w:spacing w:line="340" w:lineRule="exact"/>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                  </w:t>
      </w:r>
    </w:p>
    <w:p w14:paraId="3A96DC30">
      <w:pPr>
        <w:wordWrap w:val="0"/>
        <w:spacing w:line="340" w:lineRule="exact"/>
        <w:jc w:val="center"/>
        <w:rPr>
          <w:rFonts w:hint="eastAsia" w:ascii="宋体" w:hAnsi="宋体" w:eastAsia="宋体" w:cs="宋体"/>
          <w:color w:val="auto"/>
          <w:szCs w:val="21"/>
          <w:highlight w:val="none"/>
        </w:rPr>
      </w:pPr>
      <w:r>
        <w:rPr>
          <w:rFonts w:hint="eastAsia" w:ascii="宋体" w:hAnsi="宋体" w:eastAsia="宋体" w:cs="宋体"/>
          <w:b/>
          <w:bCs/>
          <w:color w:val="auto"/>
          <w:sz w:val="32"/>
          <w:szCs w:val="32"/>
          <w:highlight w:val="none"/>
        </w:rPr>
        <w:t>（三）其他有效证明材料目录</w:t>
      </w:r>
      <w:bookmarkEnd w:id="1804"/>
      <w:bookmarkEnd w:id="1805"/>
      <w:bookmarkEnd w:id="1806"/>
    </w:p>
    <w:p w14:paraId="11140BAE">
      <w:pPr>
        <w:wordWrap w:val="0"/>
        <w:spacing w:line="360" w:lineRule="auto"/>
        <w:ind w:left="420" w:leftChars="200" w:firstLine="336" w:firstLineChars="160"/>
        <w:rPr>
          <w:rFonts w:hint="eastAsia" w:ascii="宋体" w:hAnsi="宋体" w:eastAsia="宋体" w:cs="宋体"/>
          <w:color w:val="auto"/>
          <w:szCs w:val="21"/>
          <w:highlight w:val="none"/>
        </w:rPr>
      </w:pPr>
    </w:p>
    <w:p w14:paraId="49935B85">
      <w:pPr>
        <w:tabs>
          <w:tab w:val="left" w:pos="1305"/>
        </w:tabs>
        <w:wordWrap w:val="0"/>
        <w:spacing w:line="380" w:lineRule="exact"/>
        <w:ind w:left="420" w:leftChars="200" w:firstLine="336" w:firstLineChars="16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（1）供应商</w:t>
      </w:r>
      <w:r>
        <w:rPr>
          <w:rFonts w:hint="eastAsia" w:ascii="宋体" w:hAnsi="宋体" w:eastAsia="宋体" w:cs="宋体"/>
          <w:bCs/>
          <w:color w:val="auto"/>
          <w:kern w:val="0"/>
          <w:szCs w:val="21"/>
          <w:highlight w:val="none"/>
          <w:lang w:eastAsia="zh-CN"/>
        </w:rPr>
        <w:t>20</w:t>
      </w:r>
      <w:r>
        <w:rPr>
          <w:rFonts w:hint="eastAsia" w:ascii="宋体" w:hAnsi="宋体" w:eastAsia="宋体" w:cs="宋体"/>
          <w:bCs/>
          <w:color w:val="auto"/>
          <w:kern w:val="0"/>
          <w:szCs w:val="21"/>
          <w:highlight w:val="none"/>
          <w:lang w:val="en-US" w:eastAsia="zh-CN"/>
        </w:rPr>
        <w:t>20</w:t>
      </w:r>
      <w:r>
        <w:rPr>
          <w:rFonts w:hint="eastAsia" w:ascii="宋体" w:hAnsi="宋体" w:eastAsia="宋体" w:cs="宋体"/>
          <w:bCs/>
          <w:color w:val="auto"/>
          <w:kern w:val="0"/>
          <w:szCs w:val="21"/>
          <w:highlight w:val="none"/>
          <w:lang w:eastAsia="zh-CN"/>
        </w:rPr>
        <w:t>年至今</w:t>
      </w:r>
      <w:r>
        <w:rPr>
          <w:rFonts w:hint="eastAsia" w:ascii="宋体" w:hAnsi="宋体" w:eastAsia="宋体" w:cs="宋体"/>
          <w:bCs/>
          <w:color w:val="auto"/>
          <w:kern w:val="0"/>
          <w:szCs w:val="21"/>
          <w:highlight w:val="none"/>
        </w:rPr>
        <w:t>，完成的与本工程的工程类别相同的施工项目</w:t>
      </w:r>
      <w:r>
        <w:rPr>
          <w:rFonts w:hint="eastAsia" w:ascii="宋体" w:hAnsi="宋体" w:eastAsia="宋体" w:cs="宋体"/>
          <w:b/>
          <w:color w:val="auto"/>
          <w:kern w:val="0"/>
          <w:szCs w:val="21"/>
          <w:highlight w:val="none"/>
        </w:rPr>
        <w:t>（如有，请提供）</w:t>
      </w:r>
    </w:p>
    <w:p w14:paraId="16B9D576">
      <w:pPr>
        <w:tabs>
          <w:tab w:val="left" w:pos="1305"/>
        </w:tabs>
        <w:wordWrap w:val="0"/>
        <w:spacing w:line="380" w:lineRule="exact"/>
        <w:ind w:left="420" w:leftChars="200" w:firstLine="336" w:firstLineChars="16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（2）供应商相关获奖证书、认证证书等复印件</w:t>
      </w:r>
      <w:r>
        <w:rPr>
          <w:rFonts w:hint="eastAsia" w:ascii="宋体" w:hAnsi="宋体" w:eastAsia="宋体" w:cs="宋体"/>
          <w:b/>
          <w:color w:val="auto"/>
          <w:kern w:val="0"/>
          <w:szCs w:val="21"/>
          <w:highlight w:val="none"/>
        </w:rPr>
        <w:t>（如有，请提供）</w:t>
      </w:r>
    </w:p>
    <w:p w14:paraId="36B0A19B">
      <w:pPr>
        <w:tabs>
          <w:tab w:val="left" w:pos="1305"/>
        </w:tabs>
        <w:wordWrap w:val="0"/>
        <w:spacing w:line="380" w:lineRule="exact"/>
        <w:ind w:left="420" w:leftChars="200" w:firstLine="336" w:firstLineChars="16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（3）供应商可结合本项目的评审办法视自身情况自行提交其它相关证明材料</w:t>
      </w:r>
      <w:r>
        <w:rPr>
          <w:rFonts w:hint="eastAsia" w:ascii="宋体" w:hAnsi="宋体" w:eastAsia="宋体" w:cs="宋体"/>
          <w:b/>
          <w:color w:val="auto"/>
          <w:szCs w:val="21"/>
          <w:highlight w:val="none"/>
        </w:rPr>
        <w:t>（如有，请提供）</w:t>
      </w:r>
    </w:p>
    <w:p w14:paraId="3811942D">
      <w:pPr>
        <w:pStyle w:val="26"/>
        <w:wordWrap w:val="0"/>
        <w:ind w:left="420" w:leftChars="200" w:firstLine="384" w:firstLineChars="160"/>
        <w:rPr>
          <w:rFonts w:hint="eastAsia" w:ascii="宋体" w:hAnsi="宋体" w:eastAsia="宋体" w:cs="宋体"/>
          <w:b w:val="0"/>
          <w:bCs w:val="0"/>
          <w:color w:val="auto"/>
          <w:highlight w:val="none"/>
        </w:rPr>
      </w:pPr>
    </w:p>
    <w:p w14:paraId="72156708">
      <w:pPr>
        <w:pStyle w:val="26"/>
        <w:wordWrap w:val="0"/>
        <w:ind w:left="420" w:leftChars="200" w:firstLine="384" w:firstLineChars="160"/>
        <w:rPr>
          <w:rFonts w:hint="eastAsia" w:ascii="宋体" w:hAnsi="宋体" w:eastAsia="宋体" w:cs="宋体"/>
          <w:b w:val="0"/>
          <w:bCs w:val="0"/>
          <w:color w:val="auto"/>
          <w:highlight w:val="none"/>
        </w:rPr>
      </w:pPr>
    </w:p>
    <w:p w14:paraId="1C7F585E">
      <w:pPr>
        <w:pStyle w:val="26"/>
        <w:wordWrap w:val="0"/>
        <w:ind w:left="420" w:leftChars="200" w:firstLine="384" w:firstLineChars="160"/>
        <w:rPr>
          <w:rFonts w:hint="eastAsia" w:ascii="宋体" w:hAnsi="宋体" w:eastAsia="宋体" w:cs="宋体"/>
          <w:b w:val="0"/>
          <w:bCs w:val="0"/>
          <w:color w:val="auto"/>
          <w:highlight w:val="none"/>
        </w:rPr>
      </w:pPr>
    </w:p>
    <w:p w14:paraId="4328D2AA">
      <w:pPr>
        <w:pStyle w:val="26"/>
        <w:wordWrap w:val="0"/>
        <w:ind w:left="420" w:leftChars="200" w:firstLine="384" w:firstLineChars="160"/>
        <w:rPr>
          <w:rFonts w:hint="eastAsia" w:ascii="宋体" w:hAnsi="宋体" w:eastAsia="宋体" w:cs="宋体"/>
          <w:b w:val="0"/>
          <w:bCs w:val="0"/>
          <w:color w:val="auto"/>
          <w:highlight w:val="none"/>
        </w:rPr>
      </w:pPr>
    </w:p>
    <w:p w14:paraId="2CBDF0B6">
      <w:pPr>
        <w:pStyle w:val="26"/>
        <w:wordWrap w:val="0"/>
        <w:ind w:left="420" w:leftChars="200" w:firstLine="384" w:firstLineChars="160"/>
        <w:rPr>
          <w:rFonts w:hint="eastAsia" w:ascii="宋体" w:hAnsi="宋体" w:eastAsia="宋体" w:cs="宋体"/>
          <w:b w:val="0"/>
          <w:bCs w:val="0"/>
          <w:color w:val="auto"/>
          <w:highlight w:val="none"/>
        </w:rPr>
      </w:pPr>
    </w:p>
    <w:p w14:paraId="53200FC0">
      <w:pPr>
        <w:pStyle w:val="26"/>
        <w:wordWrap w:val="0"/>
        <w:ind w:left="420" w:leftChars="200" w:firstLine="384" w:firstLineChars="160"/>
        <w:rPr>
          <w:rFonts w:hint="eastAsia" w:ascii="宋体" w:hAnsi="宋体" w:eastAsia="宋体" w:cs="宋体"/>
          <w:b w:val="0"/>
          <w:bCs w:val="0"/>
          <w:color w:val="auto"/>
          <w:highlight w:val="none"/>
        </w:rPr>
      </w:pPr>
    </w:p>
    <w:p w14:paraId="5290817A">
      <w:pPr>
        <w:pStyle w:val="26"/>
        <w:wordWrap w:val="0"/>
        <w:ind w:left="420" w:leftChars="200" w:firstLine="384" w:firstLineChars="160"/>
        <w:rPr>
          <w:rFonts w:hint="eastAsia" w:ascii="宋体" w:hAnsi="宋体" w:eastAsia="宋体" w:cs="宋体"/>
          <w:b w:val="0"/>
          <w:bCs w:val="0"/>
          <w:color w:val="auto"/>
          <w:highlight w:val="none"/>
        </w:rPr>
      </w:pPr>
    </w:p>
    <w:p w14:paraId="1E984B9C">
      <w:pPr>
        <w:pStyle w:val="26"/>
        <w:wordWrap w:val="0"/>
        <w:ind w:left="420" w:leftChars="200" w:firstLine="384" w:firstLineChars="160"/>
        <w:rPr>
          <w:rFonts w:hint="eastAsia" w:ascii="宋体" w:hAnsi="宋体" w:eastAsia="宋体" w:cs="宋体"/>
          <w:b w:val="0"/>
          <w:bCs w:val="0"/>
          <w:color w:val="auto"/>
          <w:highlight w:val="none"/>
        </w:rPr>
      </w:pPr>
    </w:p>
    <w:p w14:paraId="4AC79E7D">
      <w:pPr>
        <w:pStyle w:val="26"/>
        <w:wordWrap w:val="0"/>
        <w:ind w:left="420" w:leftChars="200" w:firstLine="384" w:firstLineChars="160"/>
        <w:rPr>
          <w:rFonts w:hint="eastAsia" w:ascii="宋体" w:hAnsi="宋体" w:eastAsia="宋体" w:cs="宋体"/>
          <w:b w:val="0"/>
          <w:bCs w:val="0"/>
          <w:color w:val="auto"/>
          <w:highlight w:val="none"/>
        </w:rPr>
      </w:pPr>
    </w:p>
    <w:p w14:paraId="4E359FA9">
      <w:pPr>
        <w:pStyle w:val="26"/>
        <w:wordWrap w:val="0"/>
        <w:ind w:left="420" w:leftChars="200" w:firstLine="384" w:firstLineChars="160"/>
        <w:rPr>
          <w:rFonts w:hint="eastAsia" w:ascii="宋体" w:hAnsi="宋体" w:eastAsia="宋体" w:cs="宋体"/>
          <w:b w:val="0"/>
          <w:bCs w:val="0"/>
          <w:color w:val="auto"/>
          <w:highlight w:val="none"/>
        </w:rPr>
      </w:pPr>
    </w:p>
    <w:p w14:paraId="7FDC2047">
      <w:pPr>
        <w:pStyle w:val="26"/>
        <w:wordWrap w:val="0"/>
        <w:ind w:left="420" w:leftChars="200" w:firstLine="384" w:firstLineChars="160"/>
        <w:rPr>
          <w:rFonts w:hint="eastAsia" w:ascii="宋体" w:hAnsi="宋体" w:eastAsia="宋体" w:cs="宋体"/>
          <w:b w:val="0"/>
          <w:bCs w:val="0"/>
          <w:color w:val="auto"/>
          <w:highlight w:val="none"/>
        </w:rPr>
      </w:pPr>
    </w:p>
    <w:p w14:paraId="3919894F">
      <w:pPr>
        <w:pStyle w:val="26"/>
        <w:wordWrap w:val="0"/>
        <w:ind w:left="420" w:leftChars="200" w:firstLine="384" w:firstLineChars="160"/>
        <w:rPr>
          <w:rFonts w:hint="eastAsia" w:ascii="宋体" w:hAnsi="宋体" w:eastAsia="宋体" w:cs="宋体"/>
          <w:b w:val="0"/>
          <w:bCs w:val="0"/>
          <w:color w:val="auto"/>
          <w:highlight w:val="none"/>
        </w:rPr>
      </w:pPr>
    </w:p>
    <w:p w14:paraId="52B3B366">
      <w:pPr>
        <w:pStyle w:val="26"/>
        <w:wordWrap w:val="0"/>
        <w:ind w:left="420" w:leftChars="200" w:firstLine="384" w:firstLineChars="160"/>
        <w:rPr>
          <w:rFonts w:hint="eastAsia" w:ascii="宋体" w:hAnsi="宋体" w:eastAsia="宋体" w:cs="宋体"/>
          <w:b w:val="0"/>
          <w:bCs w:val="0"/>
          <w:color w:val="auto"/>
          <w:highlight w:val="none"/>
        </w:rPr>
      </w:pPr>
    </w:p>
    <w:p w14:paraId="3977F2AD">
      <w:pPr>
        <w:pStyle w:val="26"/>
        <w:wordWrap w:val="0"/>
        <w:ind w:left="420" w:leftChars="200" w:firstLine="384" w:firstLineChars="160"/>
        <w:rPr>
          <w:rFonts w:hint="eastAsia" w:ascii="宋体" w:hAnsi="宋体" w:eastAsia="宋体" w:cs="宋体"/>
          <w:b w:val="0"/>
          <w:bCs w:val="0"/>
          <w:color w:val="auto"/>
          <w:highlight w:val="none"/>
        </w:rPr>
      </w:pPr>
    </w:p>
    <w:p w14:paraId="7864906C">
      <w:pPr>
        <w:pStyle w:val="26"/>
        <w:wordWrap w:val="0"/>
        <w:ind w:left="420" w:leftChars="200" w:firstLine="384" w:firstLineChars="160"/>
        <w:rPr>
          <w:rFonts w:hint="eastAsia" w:ascii="宋体" w:hAnsi="宋体" w:eastAsia="宋体" w:cs="宋体"/>
          <w:b w:val="0"/>
          <w:bCs w:val="0"/>
          <w:color w:val="auto"/>
          <w:highlight w:val="none"/>
        </w:rPr>
      </w:pPr>
    </w:p>
    <w:p w14:paraId="06795533">
      <w:pPr>
        <w:pStyle w:val="26"/>
        <w:wordWrap w:val="0"/>
        <w:ind w:left="420" w:leftChars="200" w:firstLine="384" w:firstLineChars="160"/>
        <w:rPr>
          <w:rFonts w:hint="eastAsia" w:ascii="宋体" w:hAnsi="宋体" w:eastAsia="宋体" w:cs="宋体"/>
          <w:b w:val="0"/>
          <w:bCs w:val="0"/>
          <w:color w:val="auto"/>
          <w:highlight w:val="none"/>
        </w:rPr>
      </w:pPr>
    </w:p>
    <w:p w14:paraId="6DE9B8E1">
      <w:pPr>
        <w:pStyle w:val="26"/>
        <w:wordWrap w:val="0"/>
        <w:ind w:left="420" w:leftChars="200" w:firstLine="384" w:firstLineChars="160"/>
        <w:rPr>
          <w:rFonts w:hint="eastAsia" w:ascii="宋体" w:hAnsi="宋体" w:eastAsia="宋体" w:cs="宋体"/>
          <w:b w:val="0"/>
          <w:bCs w:val="0"/>
          <w:color w:val="auto"/>
          <w:highlight w:val="none"/>
        </w:rPr>
      </w:pPr>
    </w:p>
    <w:p w14:paraId="378BDBA6">
      <w:pPr>
        <w:wordWrap w:val="0"/>
        <w:ind w:left="420" w:leftChars="200" w:firstLine="450" w:firstLineChars="160"/>
        <w:rPr>
          <w:rFonts w:hint="eastAsia" w:ascii="宋体" w:hAnsi="宋体" w:eastAsia="宋体" w:cs="宋体"/>
          <w:b/>
          <w:bCs/>
          <w:iCs/>
          <w:color w:val="auto"/>
          <w:sz w:val="28"/>
          <w:szCs w:val="28"/>
          <w:highlight w:val="none"/>
        </w:rPr>
      </w:pPr>
    </w:p>
    <w:p w14:paraId="4E4A8A45">
      <w:pPr>
        <w:wordWrap w:val="0"/>
        <w:rPr>
          <w:rFonts w:hint="eastAsia" w:ascii="宋体" w:hAnsi="宋体" w:eastAsia="宋体" w:cs="宋体"/>
          <w:b/>
          <w:bCs/>
          <w:iCs/>
          <w:color w:val="auto"/>
          <w:sz w:val="28"/>
          <w:szCs w:val="28"/>
          <w:highlight w:val="none"/>
        </w:rPr>
      </w:pPr>
      <w:r>
        <w:rPr>
          <w:rFonts w:hint="eastAsia" w:ascii="宋体" w:hAnsi="宋体" w:eastAsia="宋体" w:cs="宋体"/>
          <w:b/>
          <w:bCs/>
          <w:iCs/>
          <w:color w:val="auto"/>
          <w:sz w:val="28"/>
          <w:szCs w:val="28"/>
          <w:highlight w:val="none"/>
        </w:rPr>
        <w:br w:type="page"/>
      </w:r>
      <w:r>
        <w:rPr>
          <w:rFonts w:hint="eastAsia" w:ascii="宋体" w:hAnsi="宋体" w:eastAsia="宋体" w:cs="宋体"/>
          <w:b/>
          <w:bCs/>
          <w:iCs/>
          <w:color w:val="auto"/>
          <w:sz w:val="28"/>
          <w:szCs w:val="28"/>
          <w:highlight w:val="none"/>
        </w:rPr>
        <w:t>1、</w:t>
      </w:r>
      <w:r>
        <w:rPr>
          <w:rFonts w:hint="eastAsia" w:ascii="宋体" w:hAnsi="宋体" w:cs="宋体"/>
          <w:b/>
          <w:bCs/>
          <w:iCs/>
          <w:color w:val="auto"/>
          <w:sz w:val="28"/>
          <w:szCs w:val="28"/>
          <w:highlight w:val="none"/>
          <w:lang w:eastAsia="zh-CN"/>
        </w:rPr>
        <w:t>供应商2020年至今，完成的与本工程的工程类别相同的施工项目</w:t>
      </w:r>
      <w:r>
        <w:rPr>
          <w:rFonts w:hint="eastAsia" w:ascii="宋体" w:hAnsi="宋体" w:eastAsia="宋体" w:cs="宋体"/>
          <w:b/>
          <w:bCs/>
          <w:iCs/>
          <w:color w:val="auto"/>
          <w:sz w:val="28"/>
          <w:szCs w:val="28"/>
          <w:highlight w:val="none"/>
        </w:rPr>
        <w:t>（如有，请提供）</w:t>
      </w:r>
    </w:p>
    <w:p w14:paraId="4EAD50FA">
      <w:pPr>
        <w:wordWrap w:val="0"/>
        <w:spacing w:line="460" w:lineRule="exact"/>
        <w:rPr>
          <w:rFonts w:hint="eastAsia" w:ascii="宋体" w:hAnsi="宋体" w:eastAsia="宋体" w:cs="宋体"/>
          <w:b/>
          <w:color w:val="auto"/>
          <w:kern w:val="0"/>
          <w:sz w:val="28"/>
          <w:szCs w:val="28"/>
          <w:highlight w:val="none"/>
        </w:rPr>
      </w:pPr>
    </w:p>
    <w:p w14:paraId="3AAB6F5D">
      <w:pPr>
        <w:pStyle w:val="26"/>
        <w:rPr>
          <w:rFonts w:hint="eastAsia" w:ascii="宋体" w:hAnsi="宋体" w:eastAsia="宋体" w:cs="宋体"/>
          <w:b/>
          <w:color w:val="auto"/>
          <w:kern w:val="0"/>
          <w:sz w:val="28"/>
          <w:szCs w:val="28"/>
          <w:highlight w:val="none"/>
        </w:rPr>
      </w:pPr>
    </w:p>
    <w:p w14:paraId="1120911B">
      <w:pPr>
        <w:pStyle w:val="26"/>
        <w:rPr>
          <w:rFonts w:hint="eastAsia" w:ascii="宋体" w:hAnsi="宋体" w:eastAsia="宋体" w:cs="宋体"/>
          <w:b/>
          <w:color w:val="auto"/>
          <w:kern w:val="0"/>
          <w:sz w:val="28"/>
          <w:szCs w:val="28"/>
          <w:highlight w:val="none"/>
        </w:rPr>
      </w:pPr>
    </w:p>
    <w:p w14:paraId="360A7443">
      <w:pPr>
        <w:pStyle w:val="26"/>
        <w:rPr>
          <w:rFonts w:hint="eastAsia" w:ascii="宋体" w:hAnsi="宋体" w:eastAsia="宋体" w:cs="宋体"/>
          <w:b/>
          <w:color w:val="auto"/>
          <w:kern w:val="0"/>
          <w:sz w:val="28"/>
          <w:szCs w:val="28"/>
          <w:highlight w:val="none"/>
        </w:rPr>
      </w:pPr>
    </w:p>
    <w:p w14:paraId="249A49E5">
      <w:pPr>
        <w:pStyle w:val="26"/>
        <w:rPr>
          <w:rFonts w:hint="eastAsia" w:ascii="宋体" w:hAnsi="宋体" w:eastAsia="宋体" w:cs="宋体"/>
          <w:b/>
          <w:color w:val="auto"/>
          <w:kern w:val="0"/>
          <w:sz w:val="28"/>
          <w:szCs w:val="28"/>
          <w:highlight w:val="none"/>
        </w:rPr>
      </w:pPr>
    </w:p>
    <w:p w14:paraId="6E95E6CE">
      <w:pPr>
        <w:pStyle w:val="26"/>
        <w:rPr>
          <w:rFonts w:hint="eastAsia" w:ascii="宋体" w:hAnsi="宋体" w:eastAsia="宋体" w:cs="宋体"/>
          <w:b/>
          <w:color w:val="auto"/>
          <w:kern w:val="0"/>
          <w:sz w:val="28"/>
          <w:szCs w:val="28"/>
          <w:highlight w:val="none"/>
        </w:rPr>
      </w:pPr>
    </w:p>
    <w:p w14:paraId="6651BA5B">
      <w:pPr>
        <w:pStyle w:val="26"/>
        <w:rPr>
          <w:rFonts w:hint="eastAsia" w:ascii="宋体" w:hAnsi="宋体" w:eastAsia="宋体" w:cs="宋体"/>
          <w:b/>
          <w:color w:val="auto"/>
          <w:kern w:val="0"/>
          <w:sz w:val="28"/>
          <w:szCs w:val="28"/>
          <w:highlight w:val="none"/>
        </w:rPr>
      </w:pPr>
    </w:p>
    <w:p w14:paraId="13DD45A5">
      <w:pPr>
        <w:wordWrap w:val="0"/>
        <w:rPr>
          <w:rFonts w:hint="eastAsia" w:ascii="宋体" w:hAnsi="宋体" w:eastAsia="宋体" w:cs="宋体"/>
          <w:b/>
          <w:bCs/>
          <w:iCs/>
          <w:color w:val="auto"/>
          <w:sz w:val="28"/>
          <w:szCs w:val="28"/>
          <w:highlight w:val="none"/>
        </w:rPr>
      </w:pPr>
      <w:r>
        <w:rPr>
          <w:rFonts w:hint="eastAsia" w:ascii="宋体" w:hAnsi="宋体" w:eastAsia="宋体" w:cs="宋体"/>
          <w:b/>
          <w:bCs/>
          <w:iCs/>
          <w:color w:val="auto"/>
          <w:sz w:val="28"/>
          <w:szCs w:val="28"/>
          <w:highlight w:val="none"/>
        </w:rPr>
        <w:t>2、供应商相关获奖证书、认证证书等复印件（如有，请提供）</w:t>
      </w:r>
    </w:p>
    <w:p w14:paraId="65A9B600">
      <w:pPr>
        <w:wordWrap w:val="0"/>
        <w:rPr>
          <w:rFonts w:hint="eastAsia" w:ascii="宋体" w:hAnsi="宋体" w:eastAsia="宋体" w:cs="宋体"/>
          <w:b/>
          <w:bCs/>
          <w:iCs/>
          <w:color w:val="auto"/>
          <w:sz w:val="28"/>
          <w:szCs w:val="28"/>
          <w:highlight w:val="none"/>
        </w:rPr>
      </w:pPr>
    </w:p>
    <w:p w14:paraId="2853D580">
      <w:pPr>
        <w:pStyle w:val="15"/>
        <w:ind w:firstLine="344"/>
        <w:rPr>
          <w:rFonts w:hint="eastAsia" w:ascii="宋体" w:hAnsi="宋体" w:eastAsia="宋体" w:cs="宋体"/>
          <w:color w:val="auto"/>
          <w:highlight w:val="none"/>
        </w:rPr>
      </w:pPr>
    </w:p>
    <w:p w14:paraId="67938064">
      <w:pPr>
        <w:wordWrap w:val="0"/>
        <w:rPr>
          <w:rFonts w:hint="eastAsia" w:ascii="宋体" w:hAnsi="宋体" w:eastAsia="宋体" w:cs="宋体"/>
          <w:b/>
          <w:bCs/>
          <w:iCs/>
          <w:color w:val="auto"/>
          <w:sz w:val="28"/>
          <w:szCs w:val="28"/>
          <w:highlight w:val="none"/>
        </w:rPr>
      </w:pPr>
    </w:p>
    <w:p w14:paraId="04BDC21A">
      <w:pPr>
        <w:wordWrap w:val="0"/>
        <w:rPr>
          <w:rFonts w:hint="eastAsia" w:ascii="宋体" w:hAnsi="宋体" w:eastAsia="宋体" w:cs="宋体"/>
          <w:b/>
          <w:bCs/>
          <w:iCs/>
          <w:color w:val="auto"/>
          <w:sz w:val="28"/>
          <w:szCs w:val="28"/>
          <w:highlight w:val="none"/>
        </w:rPr>
      </w:pPr>
    </w:p>
    <w:p w14:paraId="3D7814E1">
      <w:pPr>
        <w:pStyle w:val="26"/>
        <w:rPr>
          <w:rFonts w:hint="eastAsia" w:ascii="宋体" w:hAnsi="宋体" w:eastAsia="宋体" w:cs="宋体"/>
          <w:b/>
          <w:bCs/>
          <w:iCs/>
          <w:color w:val="auto"/>
          <w:sz w:val="28"/>
          <w:szCs w:val="28"/>
          <w:highlight w:val="none"/>
        </w:rPr>
      </w:pPr>
    </w:p>
    <w:p w14:paraId="592CE38A">
      <w:pPr>
        <w:pStyle w:val="26"/>
        <w:rPr>
          <w:rFonts w:hint="eastAsia" w:ascii="宋体" w:hAnsi="宋体" w:eastAsia="宋体" w:cs="宋体"/>
          <w:b/>
          <w:bCs/>
          <w:iCs/>
          <w:color w:val="auto"/>
          <w:sz w:val="28"/>
          <w:szCs w:val="28"/>
          <w:highlight w:val="none"/>
        </w:rPr>
      </w:pPr>
    </w:p>
    <w:p w14:paraId="295C00B2">
      <w:pPr>
        <w:wordWrap w:val="0"/>
        <w:rPr>
          <w:rFonts w:hint="eastAsia" w:ascii="宋体" w:hAnsi="宋体" w:eastAsia="宋体" w:cs="宋体"/>
          <w:b/>
          <w:bCs/>
          <w:iCs/>
          <w:color w:val="auto"/>
          <w:sz w:val="28"/>
          <w:szCs w:val="28"/>
          <w:highlight w:val="none"/>
        </w:rPr>
      </w:pPr>
    </w:p>
    <w:p w14:paraId="0868F1A5">
      <w:pPr>
        <w:wordWrap w:val="0"/>
        <w:rPr>
          <w:rFonts w:hint="eastAsia" w:ascii="宋体" w:hAnsi="宋体" w:eastAsia="宋体" w:cs="宋体"/>
          <w:b/>
          <w:bCs/>
          <w:iCs/>
          <w:color w:val="auto"/>
          <w:sz w:val="28"/>
          <w:szCs w:val="28"/>
          <w:highlight w:val="none"/>
        </w:rPr>
      </w:pPr>
    </w:p>
    <w:p w14:paraId="2A9A11A2">
      <w:pPr>
        <w:wordWrap w:val="0"/>
        <w:rPr>
          <w:rFonts w:hint="eastAsia" w:ascii="宋体" w:hAnsi="宋体" w:eastAsia="宋体" w:cs="宋体"/>
          <w:b/>
          <w:bCs/>
          <w:iCs/>
          <w:color w:val="auto"/>
          <w:sz w:val="28"/>
          <w:szCs w:val="28"/>
          <w:highlight w:val="none"/>
        </w:rPr>
      </w:pPr>
    </w:p>
    <w:p w14:paraId="1651FEFC">
      <w:pPr>
        <w:wordWrap w:val="0"/>
        <w:rPr>
          <w:rFonts w:hint="eastAsia" w:ascii="宋体" w:hAnsi="宋体" w:eastAsia="宋体" w:cs="宋体"/>
          <w:b/>
          <w:bCs/>
          <w:iCs/>
          <w:color w:val="auto"/>
          <w:sz w:val="28"/>
          <w:szCs w:val="28"/>
          <w:highlight w:val="none"/>
        </w:rPr>
      </w:pPr>
      <w:r>
        <w:rPr>
          <w:rFonts w:hint="eastAsia" w:ascii="宋体" w:hAnsi="宋体" w:eastAsia="宋体" w:cs="宋体"/>
          <w:b/>
          <w:bCs/>
          <w:iCs/>
          <w:color w:val="auto"/>
          <w:sz w:val="28"/>
          <w:szCs w:val="28"/>
          <w:highlight w:val="none"/>
          <w:lang w:val="en-US" w:eastAsia="zh-CN"/>
        </w:rPr>
        <w:t>3</w:t>
      </w:r>
      <w:r>
        <w:rPr>
          <w:rFonts w:hint="eastAsia" w:ascii="宋体" w:hAnsi="宋体" w:eastAsia="宋体" w:cs="宋体"/>
          <w:b/>
          <w:bCs/>
          <w:iCs/>
          <w:color w:val="auto"/>
          <w:sz w:val="28"/>
          <w:szCs w:val="28"/>
          <w:highlight w:val="none"/>
        </w:rPr>
        <w:t>、供应商可结合本项目的评审办法视自身情况自行提交其它相关证明材料（如有，请提供）</w:t>
      </w:r>
    </w:p>
    <w:p w14:paraId="7756176C">
      <w:pPr>
        <w:pStyle w:val="2"/>
        <w:wordWrap w:val="0"/>
        <w:spacing w:line="24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1807" w:name="_Toc10158"/>
      <w:r>
        <w:rPr>
          <w:rFonts w:hint="eastAsia" w:ascii="宋体" w:hAnsi="宋体" w:eastAsia="宋体" w:cs="宋体"/>
          <w:color w:val="auto"/>
          <w:sz w:val="36"/>
          <w:szCs w:val="36"/>
          <w:highlight w:val="none"/>
        </w:rPr>
        <w:t>第七章 图纸</w:t>
      </w:r>
      <w:bookmarkEnd w:id="1765"/>
      <w:bookmarkEnd w:id="1766"/>
      <w:bookmarkEnd w:id="1767"/>
      <w:bookmarkEnd w:id="1768"/>
      <w:bookmarkEnd w:id="1769"/>
      <w:bookmarkEnd w:id="1807"/>
    </w:p>
    <w:bookmarkEnd w:id="1770"/>
    <w:p w14:paraId="1002D9E2">
      <w:pPr>
        <w:wordWrap w:val="0"/>
        <w:jc w:val="center"/>
        <w:rPr>
          <w:rFonts w:hint="eastAsia" w:ascii="宋体" w:hAnsi="宋体" w:eastAsia="宋体" w:cs="宋体"/>
          <w:color w:val="auto"/>
          <w:sz w:val="32"/>
          <w:szCs w:val="40"/>
          <w:highlight w:val="none"/>
        </w:rPr>
      </w:pPr>
      <w:r>
        <w:rPr>
          <w:rFonts w:hint="eastAsia" w:ascii="宋体" w:hAnsi="宋体" w:cs="宋体"/>
          <w:b/>
          <w:color w:val="auto"/>
          <w:sz w:val="32"/>
          <w:szCs w:val="32"/>
          <w:highlight w:val="none"/>
          <w:lang w:val="en-US" w:eastAsia="zh-CN"/>
        </w:rPr>
        <w:t>图纸（</w:t>
      </w:r>
      <w:r>
        <w:rPr>
          <w:rFonts w:hint="eastAsia" w:ascii="宋体" w:hAnsi="宋体" w:eastAsia="宋体" w:cs="宋体"/>
          <w:b/>
          <w:color w:val="auto"/>
          <w:sz w:val="32"/>
          <w:szCs w:val="32"/>
          <w:highlight w:val="none"/>
        </w:rPr>
        <w:t>另附</w:t>
      </w:r>
      <w:r>
        <w:rPr>
          <w:rFonts w:hint="eastAsia" w:ascii="宋体" w:hAnsi="宋体" w:cs="宋体"/>
          <w:b/>
          <w:color w:val="auto"/>
          <w:sz w:val="32"/>
          <w:szCs w:val="32"/>
          <w:highlight w:val="none"/>
          <w:lang w:val="en-US" w:eastAsia="zh-CN"/>
        </w:rPr>
        <w:t>,</w:t>
      </w:r>
      <w:r>
        <w:rPr>
          <w:rFonts w:hint="eastAsia" w:ascii="宋体" w:hAnsi="宋体" w:eastAsia="宋体" w:cs="宋体"/>
          <w:b/>
          <w:color w:val="auto"/>
          <w:sz w:val="32"/>
          <w:szCs w:val="32"/>
          <w:highlight w:val="none"/>
        </w:rPr>
        <w:t>自行下载</w:t>
      </w:r>
      <w:r>
        <w:rPr>
          <w:rFonts w:hint="eastAsia" w:ascii="宋体" w:hAnsi="宋体" w:cs="宋体"/>
          <w:b/>
          <w:color w:val="auto"/>
          <w:sz w:val="32"/>
          <w:szCs w:val="32"/>
          <w:highlight w:val="none"/>
          <w:lang w:val="en-US" w:eastAsia="zh-CN"/>
        </w:rPr>
        <w:t>）</w:t>
      </w:r>
    </w:p>
    <w:p w14:paraId="14BB7B5F">
      <w:pPr>
        <w:wordWrap w:val="0"/>
        <w:ind w:left="420" w:leftChars="200" w:firstLine="336" w:firstLineChars="160"/>
        <w:rPr>
          <w:rFonts w:hint="eastAsia" w:ascii="宋体" w:hAnsi="宋体" w:eastAsia="宋体" w:cs="宋体"/>
          <w:bCs/>
          <w:color w:val="auto"/>
          <w:highlight w:val="none"/>
        </w:rPr>
      </w:pPr>
    </w:p>
    <w:p w14:paraId="390F94B9">
      <w:pPr>
        <w:wordWrap w:val="0"/>
        <w:ind w:left="420" w:leftChars="200" w:firstLine="336" w:firstLineChars="160"/>
        <w:rPr>
          <w:rFonts w:hint="eastAsia" w:ascii="宋体" w:hAnsi="宋体" w:eastAsia="宋体" w:cs="宋体"/>
          <w:color w:val="auto"/>
          <w:highlight w:val="none"/>
        </w:rPr>
      </w:pPr>
    </w:p>
    <w:p w14:paraId="2CB714E5">
      <w:pPr>
        <w:wordWrap w:val="0"/>
        <w:snapToGrid w:val="0"/>
        <w:spacing w:line="380" w:lineRule="exact"/>
        <w:ind w:left="420" w:leftChars="200" w:firstLine="514" w:firstLineChars="160"/>
        <w:outlineLvl w:val="4"/>
        <w:rPr>
          <w:rFonts w:hint="eastAsia" w:ascii="宋体" w:hAnsi="宋体" w:eastAsia="宋体" w:cs="宋体"/>
          <w:b/>
          <w:color w:val="auto"/>
          <w:sz w:val="32"/>
          <w:szCs w:val="32"/>
          <w:highlight w:val="none"/>
        </w:rPr>
      </w:pPr>
    </w:p>
    <w:p w14:paraId="4F342F92"/>
    <w:sectPr>
      <w:headerReference r:id="rId11" w:type="default"/>
      <w:footerReference r:id="rId12" w:type="default"/>
      <w:pgSz w:w="11906" w:h="16838"/>
      <w:pgMar w:top="1440" w:right="1080" w:bottom="1440" w:left="1080"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AFF" w:usb1="C0007841" w:usb2="00000009" w:usb3="00000000" w:csb0="400001FF" w:csb1="FFFF0000"/>
  </w:font>
  <w:font w:name="宋体">
    <w:panose1 w:val="02010600030101010101"/>
    <w:charset w:val="7F"/>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金山简黑体">
    <w:altName w:val="宋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MS PGothic">
    <w:panose1 w:val="020B0600070205080204"/>
    <w:charset w:val="80"/>
    <w:family w:val="auto"/>
    <w:pitch w:val="default"/>
    <w:sig w:usb0="E00002FF" w:usb1="6AC7FDFB" w:usb2="00000012" w:usb3="00000000" w:csb0="4002009F" w:csb1="DFD70000"/>
  </w:font>
  <w:font w:name="汉仪仿宋简">
    <w:panose1 w:val="02010600000101010101"/>
    <w:charset w:val="80"/>
    <w:family w:val="auto"/>
    <w:pitch w:val="default"/>
    <w:sig w:usb0="800002BF" w:usb1="184F6CF8" w:usb2="00000012" w:usb3="00000000" w:csb0="00020001" w:csb1="00000000"/>
  </w:font>
  <w:font w:name="汉仪中宋简">
    <w:panose1 w:val="02010600000101010101"/>
    <w:charset w:val="80"/>
    <w:family w:val="auto"/>
    <w:pitch w:val="default"/>
    <w:sig w:usb0="800002BF" w:usb1="184F6CF8" w:usb2="00000012" w:usb3="00000000" w:csb0="00020001" w:csb1="00000000"/>
  </w:font>
  <w:font w:name="Microsoft YaHei UI">
    <w:altName w:val="宋体"/>
    <w:panose1 w:val="020B0503020204020204"/>
    <w:charset w:val="86"/>
    <w:family w:val="swiss"/>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E6C40">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1A7C43">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E1A7C43">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2336E">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DF2B89">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4DF2B89">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30B83">
    <w:pPr>
      <w:pStyle w:val="10"/>
      <w:ind w:right="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4D3081">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D4D3081">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E3FF9">
    <w:pPr>
      <w:pStyle w:val="10"/>
      <w:framePr w:wrap="around" w:vAnchor="text" w:hAnchor="margin" w:xAlign="center" w:y="1"/>
      <w:rPr>
        <w:rStyle w:val="19"/>
      </w:rPr>
    </w:pPr>
    <w:r>
      <w:fldChar w:fldCharType="begin"/>
    </w:r>
    <w:r>
      <w:rPr>
        <w:rStyle w:val="19"/>
      </w:rPr>
      <w:instrText xml:space="preserve">PAGE  </w:instrText>
    </w:r>
    <w:r>
      <w:fldChar w:fldCharType="separate"/>
    </w:r>
    <w:r>
      <w:rPr>
        <w:rStyle w:val="19"/>
      </w:rPr>
      <w:t>1</w:t>
    </w:r>
    <w:r>
      <w:fldChar w:fldCharType="end"/>
    </w:r>
  </w:p>
  <w:p w14:paraId="5631030B">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DE304">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C046E5">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EC046E5">
                    <w:pPr>
                      <w:pStyle w:val="1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07CD2">
    <w:pPr>
      <w:pStyle w:val="10"/>
      <w:spacing w:before="120" w:after="12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DECFCD">
                          <w:pPr>
                            <w:pStyle w:val="10"/>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EDECFCD">
                    <w:pPr>
                      <w:pStyle w:val="10"/>
                    </w:pPr>
                    <w:r>
                      <w:fldChar w:fldCharType="begin"/>
                    </w:r>
                    <w:r>
                      <w:instrText xml:space="preserve"> PAGE  \* MERGEFORMAT </w:instrText>
                    </w:r>
                    <w:r>
                      <w:fldChar w:fldCharType="separate"/>
                    </w:r>
                    <w:r>
                      <w:t>31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FEF1E">
    <w:pPr>
      <w:pStyle w:val="11"/>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008F8">
    <w:pPr>
      <w:pStyle w:val="11"/>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C618D">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04AA4">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69A57D"/>
    <w:multiLevelType w:val="singleLevel"/>
    <w:tmpl w:val="8669A57D"/>
    <w:lvl w:ilvl="0" w:tentative="0">
      <w:start w:val="6"/>
      <w:numFmt w:val="decimal"/>
      <w:suff w:val="nothing"/>
      <w:lvlText w:val="%1、"/>
      <w:lvlJc w:val="left"/>
    </w:lvl>
  </w:abstractNum>
  <w:abstractNum w:abstractNumId="1">
    <w:nsid w:val="8C9D5501"/>
    <w:multiLevelType w:val="singleLevel"/>
    <w:tmpl w:val="8C9D5501"/>
    <w:lvl w:ilvl="0" w:tentative="0">
      <w:start w:val="2"/>
      <w:numFmt w:val="chineseCounting"/>
      <w:suff w:val="nothing"/>
      <w:lvlText w:val="%1、"/>
      <w:lvlJc w:val="left"/>
      <w:rPr>
        <w:rFonts w:hint="eastAsia"/>
      </w:rPr>
    </w:lvl>
  </w:abstractNum>
  <w:abstractNum w:abstractNumId="2">
    <w:nsid w:val="00000003"/>
    <w:multiLevelType w:val="singleLevel"/>
    <w:tmpl w:val="00000003"/>
    <w:lvl w:ilvl="0" w:tentative="0">
      <w:start w:val="4"/>
      <w:numFmt w:val="decimal"/>
      <w:suff w:val="nothing"/>
      <w:lvlText w:val="（%1）"/>
      <w:lvlJc w:val="left"/>
    </w:lvl>
  </w:abstractNum>
  <w:abstractNum w:abstractNumId="3">
    <w:nsid w:val="00000004"/>
    <w:multiLevelType w:val="singleLevel"/>
    <w:tmpl w:val="00000004"/>
    <w:lvl w:ilvl="0" w:tentative="0">
      <w:start w:val="2"/>
      <w:numFmt w:val="decimal"/>
      <w:suff w:val="nothing"/>
      <w:lvlText w:val="（%1）"/>
      <w:lvlJc w:val="left"/>
    </w:lvl>
  </w:abstractNum>
  <w:abstractNum w:abstractNumId="4">
    <w:nsid w:val="00000005"/>
    <w:multiLevelType w:val="singleLevel"/>
    <w:tmpl w:val="00000005"/>
    <w:lvl w:ilvl="0" w:tentative="0">
      <w:start w:val="8"/>
      <w:numFmt w:val="decimal"/>
      <w:suff w:val="space"/>
      <w:lvlText w:val="%1."/>
      <w:lvlJc w:val="left"/>
    </w:lvl>
  </w:abstractNum>
  <w:abstractNum w:abstractNumId="5">
    <w:nsid w:val="00000006"/>
    <w:multiLevelType w:val="singleLevel"/>
    <w:tmpl w:val="00000006"/>
    <w:lvl w:ilvl="0" w:tentative="0">
      <w:start w:val="6"/>
      <w:numFmt w:val="chineseCounting"/>
      <w:suff w:val="nothing"/>
      <w:lvlText w:val="%1、"/>
      <w:lvlJc w:val="left"/>
      <w:rPr>
        <w:rFonts w:hint="eastAsia"/>
      </w:rPr>
    </w:lvl>
  </w:abstractNum>
  <w:abstractNum w:abstractNumId="6">
    <w:nsid w:val="00000007"/>
    <w:multiLevelType w:val="singleLevel"/>
    <w:tmpl w:val="00000007"/>
    <w:lvl w:ilvl="0" w:tentative="0">
      <w:start w:val="2"/>
      <w:numFmt w:val="decimal"/>
      <w:lvlText w:val="%1."/>
      <w:lvlJc w:val="left"/>
      <w:pPr>
        <w:tabs>
          <w:tab w:val="left" w:pos="312"/>
        </w:tabs>
      </w:pPr>
    </w:lvl>
  </w:abstractNum>
  <w:abstractNum w:abstractNumId="7">
    <w:nsid w:val="1FD97BE0"/>
    <w:multiLevelType w:val="singleLevel"/>
    <w:tmpl w:val="1FD97BE0"/>
    <w:lvl w:ilvl="0" w:tentative="0">
      <w:start w:val="1"/>
      <w:numFmt w:val="chineseCounting"/>
      <w:suff w:val="nothing"/>
      <w:lvlText w:val="（%1）"/>
      <w:lvlJc w:val="left"/>
      <w:rPr>
        <w:rFonts w:hint="eastAsia"/>
      </w:rPr>
    </w:lvl>
  </w:abstractNum>
  <w:num w:numId="1">
    <w:abstractNumId w:val="2"/>
  </w:num>
  <w:num w:numId="2">
    <w:abstractNumId w:val="3"/>
  </w:num>
  <w:num w:numId="3">
    <w:abstractNumId w:val="4"/>
  </w:num>
  <w:num w:numId="4">
    <w:abstractNumId w:val="5"/>
  </w:num>
  <w:num w:numId="5">
    <w:abstractNumId w:val="6"/>
  </w:num>
  <w:num w:numId="6">
    <w:abstractNumId w:val="1"/>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EF5778"/>
    <w:rsid w:val="00F92DC2"/>
    <w:rsid w:val="024E06A7"/>
    <w:rsid w:val="0ED50D95"/>
    <w:rsid w:val="101E557F"/>
    <w:rsid w:val="124106CD"/>
    <w:rsid w:val="16EF5778"/>
    <w:rsid w:val="177C0994"/>
    <w:rsid w:val="1AC508A3"/>
    <w:rsid w:val="237C18C4"/>
    <w:rsid w:val="28E33CA5"/>
    <w:rsid w:val="2A0E67EA"/>
    <w:rsid w:val="2A447531"/>
    <w:rsid w:val="2D320A41"/>
    <w:rsid w:val="31F532C8"/>
    <w:rsid w:val="332735FA"/>
    <w:rsid w:val="33325338"/>
    <w:rsid w:val="339C103A"/>
    <w:rsid w:val="36BC0EA5"/>
    <w:rsid w:val="36C52B6C"/>
    <w:rsid w:val="3A8F17A3"/>
    <w:rsid w:val="3D850B54"/>
    <w:rsid w:val="3E332998"/>
    <w:rsid w:val="3E8C212D"/>
    <w:rsid w:val="3F866BF1"/>
    <w:rsid w:val="40711049"/>
    <w:rsid w:val="40952AB4"/>
    <w:rsid w:val="411124CB"/>
    <w:rsid w:val="412929F5"/>
    <w:rsid w:val="44044A8E"/>
    <w:rsid w:val="47C34DC8"/>
    <w:rsid w:val="4D484E3F"/>
    <w:rsid w:val="4DD9250F"/>
    <w:rsid w:val="5A7C4C14"/>
    <w:rsid w:val="5B2C3C8B"/>
    <w:rsid w:val="5C0063F9"/>
    <w:rsid w:val="5DA80EB7"/>
    <w:rsid w:val="5E4A2C3E"/>
    <w:rsid w:val="5E4E1644"/>
    <w:rsid w:val="5F332BBC"/>
    <w:rsid w:val="6010799F"/>
    <w:rsid w:val="608C0C1C"/>
    <w:rsid w:val="65164890"/>
    <w:rsid w:val="68A94442"/>
    <w:rsid w:val="6C041C46"/>
    <w:rsid w:val="6C0F7FD7"/>
    <w:rsid w:val="6D32798C"/>
    <w:rsid w:val="708E41F7"/>
    <w:rsid w:val="715352FB"/>
    <w:rsid w:val="72762349"/>
    <w:rsid w:val="76AC04E9"/>
    <w:rsid w:val="78AD4288"/>
    <w:rsid w:val="79D62A71"/>
    <w:rsid w:val="7C332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5">
    <w:name w:val="heading 6"/>
    <w:basedOn w:val="1"/>
    <w:next w:val="1"/>
    <w:link w:val="24"/>
    <w:qFormat/>
    <w:uiPriority w:val="0"/>
    <w:pPr>
      <w:keepNext/>
      <w:keepLines/>
      <w:spacing w:before="240" w:after="64" w:line="320" w:lineRule="auto"/>
      <w:outlineLvl w:val="5"/>
    </w:pPr>
    <w:rPr>
      <w:rFonts w:ascii="Arial" w:hAnsi="Arial" w:eastAsia="黑体"/>
      <w:b/>
      <w:bCs/>
      <w:sz w:val="24"/>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6">
    <w:name w:val="index 8"/>
    <w:basedOn w:val="1"/>
    <w:next w:val="1"/>
    <w:unhideWhenUsed/>
    <w:qFormat/>
    <w:uiPriority w:val="0"/>
    <w:pPr>
      <w:ind w:left="2940"/>
    </w:pPr>
  </w:style>
  <w:style w:type="paragraph" w:styleId="7">
    <w:name w:val="Body Text"/>
    <w:basedOn w:val="1"/>
    <w:next w:val="1"/>
    <w:qFormat/>
    <w:uiPriority w:val="0"/>
    <w:rPr>
      <w:rFonts w:ascii="金山简黑体" w:hAnsi="Courier New" w:eastAsia="金山简黑体"/>
      <w:b/>
      <w:spacing w:val="-8"/>
      <w:sz w:val="44"/>
      <w:szCs w:val="20"/>
    </w:rPr>
  </w:style>
  <w:style w:type="paragraph" w:styleId="8">
    <w:name w:val="Body Text Indent"/>
    <w:basedOn w:val="1"/>
    <w:qFormat/>
    <w:uiPriority w:val="0"/>
    <w:pPr>
      <w:spacing w:line="200" w:lineRule="exact"/>
      <w:ind w:firstLine="301"/>
    </w:pPr>
    <w:rPr>
      <w:rFonts w:ascii="宋体" w:hAnsi="Courier New"/>
      <w:spacing w:val="-4"/>
      <w:sz w:val="18"/>
      <w:szCs w:val="20"/>
    </w:rPr>
  </w:style>
  <w:style w:type="paragraph" w:styleId="9">
    <w:name w:val="Plain Text"/>
    <w:basedOn w:val="1"/>
    <w:qFormat/>
    <w:uiPriority w:val="0"/>
    <w:rPr>
      <w:rFonts w:ascii="宋体" w:hAnsi="Courier New"/>
      <w:szCs w:val="20"/>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style>
  <w:style w:type="paragraph" w:styleId="13">
    <w:name w:val="Body Text 2"/>
    <w:basedOn w:val="1"/>
    <w:qFormat/>
    <w:uiPriority w:val="0"/>
    <w:pPr>
      <w:jc w:val="center"/>
    </w:pPr>
    <w:rPr>
      <w:rFonts w:ascii="宋体" w:hAnsi="宋体"/>
      <w:color w:val="0000FF"/>
      <w:szCs w:val="18"/>
    </w:rPr>
  </w:style>
  <w:style w:type="paragraph" w:styleId="14">
    <w:name w:val="Title"/>
    <w:basedOn w:val="1"/>
    <w:next w:val="1"/>
    <w:qFormat/>
    <w:uiPriority w:val="0"/>
    <w:pPr>
      <w:spacing w:before="240" w:after="60"/>
      <w:jc w:val="center"/>
      <w:outlineLvl w:val="0"/>
    </w:pPr>
    <w:rPr>
      <w:rFonts w:ascii="Cambria" w:hAnsi="Cambria"/>
      <w:b/>
      <w:bCs/>
      <w:sz w:val="32"/>
      <w:szCs w:val="32"/>
    </w:rPr>
  </w:style>
  <w:style w:type="paragraph" w:styleId="15">
    <w:name w:val="Body Text First Indent 2"/>
    <w:basedOn w:val="8"/>
    <w:unhideWhenUsed/>
    <w:qFormat/>
    <w:uiPriority w:val="99"/>
    <w:pPr>
      <w:ind w:firstLine="420" w:firstLineChars="200"/>
    </w:pPr>
  </w:style>
  <w:style w:type="character" w:styleId="18">
    <w:name w:val="Strong"/>
    <w:basedOn w:val="17"/>
    <w:qFormat/>
    <w:uiPriority w:val="0"/>
    <w:rPr>
      <w:b/>
      <w:bCs/>
    </w:rPr>
  </w:style>
  <w:style w:type="character" w:styleId="19">
    <w:name w:val="page number"/>
    <w:qFormat/>
    <w:uiPriority w:val="99"/>
  </w:style>
  <w:style w:type="character" w:customStyle="1" w:styleId="20">
    <w:name w:val="标题 1 Char"/>
    <w:link w:val="2"/>
    <w:qFormat/>
    <w:uiPriority w:val="0"/>
    <w:rPr>
      <w:b/>
      <w:bCs/>
      <w:kern w:val="44"/>
      <w:sz w:val="44"/>
      <w:szCs w:val="44"/>
    </w:rPr>
  </w:style>
  <w:style w:type="paragraph" w:customStyle="1" w:styleId="21">
    <w:name w:val="_Style 2"/>
    <w:qFormat/>
    <w:uiPriority w:val="1"/>
    <w:rPr>
      <w:rFonts w:ascii="Times New Roman" w:hAnsi="Times New Roman" w:eastAsia="宋体" w:cs="Times New Roman"/>
      <w:sz w:val="22"/>
      <w:szCs w:val="22"/>
      <w:lang w:val="en-US" w:eastAsia="zh-CN" w:bidi="ar-SA"/>
    </w:rPr>
  </w:style>
  <w:style w:type="paragraph" w:customStyle="1" w:styleId="22">
    <w:name w:val="TOC 标题1"/>
    <w:basedOn w:val="2"/>
    <w:next w:val="1"/>
    <w:unhideWhenUsed/>
    <w:qFormat/>
    <w:uiPriority w:val="0"/>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23">
    <w:name w:val="列出段落1"/>
    <w:basedOn w:val="1"/>
    <w:qFormat/>
    <w:uiPriority w:val="0"/>
    <w:pPr>
      <w:ind w:firstLine="420" w:firstLineChars="200"/>
    </w:pPr>
  </w:style>
  <w:style w:type="character" w:customStyle="1" w:styleId="24">
    <w:name w:val="标题 6 Char"/>
    <w:link w:val="5"/>
    <w:qFormat/>
    <w:uiPriority w:val="0"/>
    <w:rPr>
      <w:rFonts w:ascii="Arial" w:hAnsi="Arial" w:eastAsia="黑体"/>
      <w:b/>
      <w:bCs/>
      <w:sz w:val="24"/>
    </w:rPr>
  </w:style>
  <w:style w:type="character" w:customStyle="1" w:styleId="25">
    <w:name w:val="font41"/>
    <w:qFormat/>
    <w:uiPriority w:val="0"/>
    <w:rPr>
      <w:rFonts w:hint="eastAsia" w:ascii="宋体" w:hAnsi="宋体" w:eastAsia="宋体" w:cs="宋体"/>
      <w:color w:val="FF0000"/>
      <w:sz w:val="18"/>
      <w:szCs w:val="18"/>
      <w:u w:val="none"/>
    </w:rPr>
  </w:style>
  <w:style w:type="paragraph" w:customStyle="1" w:styleId="26">
    <w:name w:val="Default"/>
    <w:basedOn w:val="14"/>
    <w:qFormat/>
    <w:uiPriority w:val="0"/>
    <w:pPr>
      <w:autoSpaceDE w:val="0"/>
      <w:autoSpaceDN w:val="0"/>
      <w:adjustRightInd w:val="0"/>
    </w:pPr>
    <w:rPr>
      <w:rFonts w:ascii="Arial" w:hAnsi="Arial" w:cs="Arial"/>
      <w:color w:val="000000"/>
      <w:sz w:val="24"/>
      <w:szCs w:val="24"/>
      <w:lang w:val="en-US" w:eastAsia="zh-CN" w:bidi="ar-SA"/>
    </w:rPr>
  </w:style>
  <w:style w:type="paragraph" w:customStyle="1" w:styleId="27">
    <w:name w:val="BodyText"/>
    <w:basedOn w:val="1"/>
    <w:qFormat/>
    <w:locked/>
    <w:uiPriority w:val="0"/>
    <w:pPr>
      <w:spacing w:after="60" w:line="360" w:lineRule="atLeast"/>
      <w:ind w:left="72" w:leftChars="30" w:right="30" w:rightChars="30"/>
      <w:jc w:val="center"/>
    </w:pPr>
    <w:rPr>
      <w:kern w:val="0"/>
      <w:sz w:val="20"/>
      <w:szCs w:val="20"/>
    </w:rPr>
  </w:style>
  <w:style w:type="paragraph" w:customStyle="1" w:styleId="28">
    <w:name w:val="正文文本_0"/>
    <w:basedOn w:val="29"/>
    <w:unhideWhenUsed/>
    <w:qFormat/>
    <w:uiPriority w:val="99"/>
    <w:pPr>
      <w:adjustRightInd w:val="0"/>
      <w:spacing w:after="60" w:line="360" w:lineRule="atLeast"/>
      <w:ind w:left="72" w:leftChars="30" w:right="30" w:rightChars="30"/>
      <w:jc w:val="center"/>
    </w:pPr>
    <w:rPr>
      <w:rFonts w:ascii="Calibri" w:hAnsi="Calibri"/>
      <w:kern w:val="0"/>
      <w:sz w:val="20"/>
      <w:szCs w:val="20"/>
      <w:lang w:val="zh-CN" w:eastAsia="zh-CN"/>
    </w:rPr>
  </w:style>
  <w:style w:type="paragraph" w:customStyle="1" w:styleId="29">
    <w:name w:val="正文_0"/>
    <w:next w:val="2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正文呀2_1"/>
    <w:basedOn w:val="31"/>
    <w:qFormat/>
    <w:uiPriority w:val="0"/>
    <w:rPr>
      <w:rFonts w:ascii="Times New Roman" w:hAnsi="Times New Roman" w:eastAsia="宋体" w:cs="Times New Roman"/>
      <w:kern w:val="2"/>
      <w:sz w:val="21"/>
      <w:lang w:val="en-US" w:eastAsia="zh-CN"/>
    </w:rPr>
  </w:style>
  <w:style w:type="paragraph" w:customStyle="1" w:styleId="31">
    <w:name w:val="正文呀_1"/>
    <w:basedOn w:val="29"/>
    <w:qFormat/>
    <w:uiPriority w:val="0"/>
    <w:pPr>
      <w:spacing w:line="420" w:lineRule="exact"/>
      <w:ind w:firstLine="420" w:firstLineChars="200"/>
    </w:pPr>
    <w:rPr>
      <w:rFonts w:ascii="宋体" w:hAnsi="宋体"/>
      <w:kern w:val="0"/>
      <w:sz w:val="20"/>
      <w:szCs w:val="21"/>
      <w:lang w:val="zh-CN" w:eastAsia="zh-CN"/>
    </w:rPr>
  </w:style>
  <w:style w:type="paragraph" w:customStyle="1" w:styleId="32">
    <w:name w:val="纯文本_0"/>
    <w:basedOn w:val="29"/>
    <w:unhideWhenUsed/>
    <w:qFormat/>
    <w:uiPriority w:val="0"/>
    <w:rPr>
      <w:rFonts w:ascii="宋体" w:hAnsi="Courier New"/>
      <w:szCs w:val="24"/>
    </w:rPr>
  </w:style>
  <w:style w:type="paragraph" w:customStyle="1" w:styleId="33">
    <w:name w:val="正文呀2"/>
    <w:basedOn w:val="34"/>
    <w:qFormat/>
    <w:uiPriority w:val="0"/>
    <w:rPr>
      <w:rFonts w:ascii="Times New Roman" w:hAnsi="Times New Roman"/>
    </w:rPr>
  </w:style>
  <w:style w:type="paragraph" w:customStyle="1" w:styleId="34">
    <w:name w:val="正文呀"/>
    <w:basedOn w:val="1"/>
    <w:qFormat/>
    <w:uiPriority w:val="0"/>
    <w:pPr>
      <w:spacing w:line="420" w:lineRule="exact"/>
      <w:ind w:firstLine="420" w:firstLineChars="200"/>
    </w:pPr>
    <w:rPr>
      <w:rFonts w:ascii="宋体" w:hAnsi="宋体"/>
      <w:szCs w:val="21"/>
    </w:rPr>
  </w:style>
  <w:style w:type="paragraph" w:customStyle="1" w:styleId="35">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无间隔_0"/>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正文"/>
    <w:basedOn w:val="1"/>
    <w:qFormat/>
    <w:uiPriority w:val="0"/>
    <w:pPr>
      <w:ind w:firstLine="482"/>
    </w:pPr>
    <w:rPr>
      <w:rFonts w:ascii="宋体" w:hAnsi="宋体"/>
      <w:sz w:val="24"/>
    </w:rPr>
  </w:style>
  <w:style w:type="paragraph" w:customStyle="1" w:styleId="38">
    <w:name w:val="p0"/>
    <w:basedOn w:val="1"/>
    <w:qFormat/>
    <w:uiPriority w:val="0"/>
    <w:pPr>
      <w:widowControl/>
    </w:pPr>
    <w:rPr>
      <w:rFonts w:hint="eastAsia"/>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80</Pages>
  <Words>6037</Words>
  <Characters>6864</Characters>
  <Lines>0</Lines>
  <Paragraphs>0</Paragraphs>
  <TotalTime>8</TotalTime>
  <ScaleCrop>false</ScaleCrop>
  <LinksUpToDate>false</LinksUpToDate>
  <CharactersWithSpaces>6947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2025-12-05T10:34:00Z</dcterms:created>
  <dc:creator>O_O优雅君！</dc:creator>
  <cp:lastModifiedBy>O_O优雅君！</cp:lastModifiedBy>
  <dcterms:modified xsi:type="dcterms:W3CDTF">2025-12-11T09:28:15Z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6101766DB7AF40A489822838C7348B22_13</vt:lpwstr>
  </property>
  <property fmtid="{D5CDD505-2E9C-101B-9397-08002B2CF9AE}" pid="4" name="KSOTemplateDocerSaveRecord">
    <vt:lpwstr>eyJoZGlkIjoiMTZhNmJhMDc2NWU2NGZkYzMyNjAzMzVhODAwZmMxOTIiLCJ1c2VySWQiOiIxOTIyMDk4MzIifQ==</vt:lpwstr>
  </property>
</Properties>
</file>