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F3FA4A">
      <w:pPr>
        <w:spacing w:before="312" w:beforeLines="100" w:after="156" w:afterLines="50"/>
        <w:jc w:val="center"/>
        <w:rPr>
          <w:rFonts w:hint="eastAsia" w:ascii="宋体" w:hAnsi="宋体" w:eastAsia="宋体" w:cs="宋体"/>
          <w:color w:val="auto"/>
          <w:sz w:val="52"/>
          <w:szCs w:val="52"/>
          <w:highlight w:val="none"/>
        </w:rPr>
      </w:pPr>
      <w:r>
        <w:rPr>
          <w:rFonts w:hint="eastAsia" w:ascii="宋体" w:hAnsi="宋体" w:eastAsia="宋体" w:cs="宋体"/>
          <w:color w:val="auto"/>
          <w:highlight w:val="none"/>
        </w:rPr>
        <w:drawing>
          <wp:inline distT="0" distB="0" distL="114300" distR="114300">
            <wp:extent cx="2042160" cy="1254125"/>
            <wp:effectExtent l="0" t="0" r="15240" b="3175"/>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3"/>
                    <a:stretch>
                      <a:fillRect/>
                    </a:stretch>
                  </pic:blipFill>
                  <pic:spPr>
                    <a:xfrm>
                      <a:off x="0" y="0"/>
                      <a:ext cx="2042160" cy="1254125"/>
                    </a:xfrm>
                    <a:prstGeom prst="rect">
                      <a:avLst/>
                    </a:prstGeom>
                    <a:noFill/>
                    <a:ln>
                      <a:noFill/>
                    </a:ln>
                  </pic:spPr>
                </pic:pic>
              </a:graphicData>
            </a:graphic>
          </wp:inline>
        </w:drawing>
      </w:r>
    </w:p>
    <w:p w14:paraId="635C560F">
      <w:pPr>
        <w:spacing w:before="312" w:beforeLines="100" w:after="156" w:afterLines="50"/>
        <w:jc w:val="center"/>
        <w:rPr>
          <w:rFonts w:hint="eastAsia" w:ascii="宋体" w:hAnsi="宋体" w:eastAsia="宋体" w:cs="宋体"/>
          <w:color w:val="auto"/>
          <w:sz w:val="52"/>
          <w:szCs w:val="52"/>
          <w:highlight w:val="none"/>
          <w:u w:val="single"/>
        </w:rPr>
      </w:pPr>
      <w:r>
        <w:rPr>
          <w:rFonts w:hint="eastAsia" w:ascii="宋体" w:hAnsi="宋体" w:eastAsia="宋体" w:cs="宋体"/>
          <w:color w:val="auto"/>
          <w:spacing w:val="30"/>
          <w:kern w:val="52"/>
          <w:sz w:val="64"/>
          <w:szCs w:val="64"/>
          <w:highlight w:val="none"/>
          <w:u w:val="single"/>
        </w:rPr>
        <w:t>广西卓联工程管理有限公司</w:t>
      </w:r>
      <w:r>
        <w:rPr>
          <w:rFonts w:hint="eastAsia" w:ascii="宋体" w:hAnsi="宋体" w:eastAsia="宋体" w:cs="宋体"/>
          <w:color w:val="auto"/>
          <w:sz w:val="52"/>
          <w:szCs w:val="52"/>
          <w:highlight w:val="none"/>
          <w:u w:val="single"/>
        </w:rPr>
        <mc:AlternateContent>
          <mc:Choice Requires="wps">
            <w:drawing>
              <wp:anchor distT="0" distB="0" distL="114300" distR="114300" simplePos="0" relativeHeight="251663360" behindDoc="0" locked="0" layoutInCell="1" allowOverlap="1">
                <wp:simplePos x="0" y="0"/>
                <wp:positionH relativeFrom="column">
                  <wp:posOffset>390525</wp:posOffset>
                </wp:positionH>
                <wp:positionV relativeFrom="paragraph">
                  <wp:posOffset>594360</wp:posOffset>
                </wp:positionV>
                <wp:extent cx="4547235" cy="10160"/>
                <wp:effectExtent l="0" t="0" r="0" b="0"/>
                <wp:wrapNone/>
                <wp:docPr id="7" name="直接连接符 7"/>
                <wp:cNvGraphicFramePr/>
                <a:graphic xmlns:a="http://schemas.openxmlformats.org/drawingml/2006/main">
                  <a:graphicData uri="http://schemas.microsoft.com/office/word/2010/wordprocessingShape">
                    <wps:wsp>
                      <wps:cNvCnPr/>
                      <wps:spPr>
                        <a:xfrm>
                          <a:off x="0" y="0"/>
                          <a:ext cx="5372100" cy="0"/>
                        </a:xfrm>
                        <a:prstGeom prst="line">
                          <a:avLst/>
                        </a:prstGeom>
                        <a:ln w="12700"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30.75pt;margin-top:46.8pt;height:0.8pt;width:358.05pt;z-index:251663360;mso-width-relative:page;mso-height-relative:page;" filled="f" stroked="t" coordsize="21600,21600" o:gfxdata="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FygHDDYAAAACAEAAA8AAAAAAAAAAQAgAAAAIgAAAGRycy9kb3ducmV2LnhtbFBLAQIUABQA&#10;AAAIAIdO4kB52t4O8AEAAOcDAAAOAAAAAAAAAAEAIAAAACcBAABkcnMvZTJvRG9jLnhtbFBLBQYA&#10;AAAABgAGAFkBAACJBQAAAAA=&#10;">
                <v:fill on="f" focussize="0,0"/>
                <v:stroke weight="1pt" color="#000000" joinstyle="round"/>
                <v:imagedata o:title=""/>
                <o:lock v:ext="edit" aspectratio="f"/>
              </v:line>
            </w:pict>
          </mc:Fallback>
        </mc:AlternateContent>
      </w:r>
    </w:p>
    <w:p w14:paraId="07150342">
      <w:pPr>
        <w:pStyle w:val="16"/>
        <w:tabs>
          <w:tab w:val="center" w:pos="4536"/>
          <w:tab w:val="right" w:pos="9072"/>
        </w:tabs>
        <w:jc w:val="left"/>
        <w:rPr>
          <w:rFonts w:hint="eastAsia" w:ascii="宋体" w:hAnsi="宋体" w:eastAsia="宋体" w:cs="宋体"/>
          <w:b/>
          <w:color w:val="auto"/>
          <w:sz w:val="44"/>
          <w:szCs w:val="44"/>
          <w:highlight w:val="none"/>
        </w:rPr>
      </w:pPr>
    </w:p>
    <w:p w14:paraId="7ECF436A">
      <w:pPr>
        <w:snapToGrid w:val="0"/>
        <w:spacing w:before="156" w:beforeLines="50" w:line="360" w:lineRule="auto"/>
        <w:jc w:val="center"/>
        <w:rPr>
          <w:rFonts w:hint="eastAsia" w:ascii="宋体" w:hAnsi="宋体" w:eastAsia="宋体" w:cs="宋体"/>
          <w:color w:val="auto"/>
          <w:sz w:val="120"/>
          <w:szCs w:val="120"/>
          <w:highlight w:val="none"/>
        </w:rPr>
      </w:pPr>
      <w:r>
        <w:rPr>
          <w:rFonts w:hint="eastAsia" w:ascii="宋体" w:hAnsi="宋体" w:eastAsia="宋体" w:cs="宋体"/>
          <w:color w:val="auto"/>
          <w:sz w:val="96"/>
          <w:szCs w:val="96"/>
          <w:highlight w:val="none"/>
        </w:rPr>
        <w:t>竞争性磋商文件</w:t>
      </w:r>
    </w:p>
    <w:p w14:paraId="1FCBC71B">
      <w:pPr>
        <w:snapToGrid w:val="0"/>
        <w:spacing w:before="156" w:beforeLines="50" w:line="360" w:lineRule="auto"/>
        <w:jc w:val="center"/>
        <w:rPr>
          <w:rFonts w:hint="eastAsia" w:ascii="宋体" w:hAnsi="宋体" w:eastAsia="宋体" w:cs="宋体"/>
          <w:b/>
          <w:color w:val="auto"/>
          <w:sz w:val="48"/>
          <w:szCs w:val="48"/>
          <w:highlight w:val="none"/>
        </w:rPr>
      </w:pPr>
      <w:r>
        <w:rPr>
          <w:rFonts w:hint="eastAsia" w:ascii="宋体" w:hAnsi="宋体" w:eastAsia="宋体" w:cs="宋体"/>
          <w:color w:val="auto"/>
          <w:sz w:val="20"/>
          <w:szCs w:val="20"/>
          <w:highlight w:val="none"/>
        </w:rPr>
        <w:t>（全流程电子化采购）</w:t>
      </w:r>
    </w:p>
    <w:p w14:paraId="6834DAE5">
      <w:pPr>
        <w:pStyle w:val="16"/>
        <w:snapToGrid w:val="0"/>
        <w:spacing w:line="360" w:lineRule="auto"/>
        <w:jc w:val="center"/>
        <w:rPr>
          <w:rFonts w:hint="eastAsia" w:ascii="宋体" w:hAnsi="宋体" w:eastAsia="宋体" w:cs="宋体"/>
          <w:b/>
          <w:bCs/>
          <w:color w:val="auto"/>
          <w:sz w:val="30"/>
          <w:szCs w:val="30"/>
          <w:highlight w:val="none"/>
        </w:rPr>
      </w:pPr>
    </w:p>
    <w:p w14:paraId="4B7508F4">
      <w:pPr>
        <w:pStyle w:val="16"/>
        <w:keepNext w:val="0"/>
        <w:keepLines w:val="0"/>
        <w:pageBreakBefore w:val="0"/>
        <w:widowControl w:val="0"/>
        <w:kinsoku/>
        <w:wordWrap/>
        <w:overflowPunct/>
        <w:topLinePunct w:val="0"/>
        <w:autoSpaceDE/>
        <w:autoSpaceDN/>
        <w:bidi w:val="0"/>
        <w:adjustRightInd/>
        <w:snapToGrid w:val="0"/>
        <w:spacing w:before="120" w:after="120" w:line="360" w:lineRule="auto"/>
        <w:ind w:left="2455" w:leftChars="500" w:hanging="1405" w:hangingChars="500"/>
        <w:jc w:val="left"/>
        <w:textAlignment w:val="auto"/>
        <w:rPr>
          <w:rFonts w:hint="eastAsia" w:ascii="宋体" w:hAnsi="宋体" w:eastAsia="宋体" w:cs="宋体"/>
          <w:b/>
          <w:bCs/>
          <w:color w:val="auto"/>
          <w:kern w:val="44"/>
          <w:sz w:val="32"/>
          <w:szCs w:val="32"/>
          <w:highlight w:val="none"/>
        </w:rPr>
      </w:pPr>
      <w:r>
        <w:rPr>
          <w:rFonts w:hint="eastAsia" w:ascii="宋体" w:hAnsi="宋体" w:eastAsia="宋体" w:cs="宋体"/>
          <w:b/>
          <w:color w:val="auto"/>
          <w:kern w:val="2"/>
          <w:sz w:val="28"/>
          <w:szCs w:val="28"/>
          <w:highlight w:val="none"/>
          <w:lang w:val="en-US" w:eastAsia="zh-CN" w:bidi="ar-SA"/>
        </w:rPr>
        <w:t>项目名称：G241线石和镇梨木冲村至博白公路改建工程前期工作采购</w:t>
      </w:r>
    </w:p>
    <w:p w14:paraId="131E917F">
      <w:pPr>
        <w:pStyle w:val="16"/>
        <w:keepNext w:val="0"/>
        <w:keepLines w:val="0"/>
        <w:pageBreakBefore w:val="0"/>
        <w:widowControl w:val="0"/>
        <w:kinsoku/>
        <w:wordWrap/>
        <w:overflowPunct/>
        <w:topLinePunct w:val="0"/>
        <w:autoSpaceDE/>
        <w:autoSpaceDN/>
        <w:bidi w:val="0"/>
        <w:adjustRightInd/>
        <w:snapToGrid w:val="0"/>
        <w:spacing w:before="120" w:after="120" w:line="360" w:lineRule="auto"/>
        <w:ind w:leftChars="500"/>
        <w:jc w:val="left"/>
        <w:textAlignment w:val="auto"/>
        <w:rPr>
          <w:rFonts w:hint="eastAsia" w:ascii="宋体" w:hAnsi="宋体" w:eastAsia="宋体" w:cs="宋体"/>
          <w:b/>
          <w:color w:val="auto"/>
          <w:kern w:val="2"/>
          <w:sz w:val="28"/>
          <w:szCs w:val="28"/>
          <w:highlight w:val="none"/>
          <w:lang w:val="en-US" w:eastAsia="zh-CN" w:bidi="ar-SA"/>
        </w:rPr>
      </w:pPr>
      <w:r>
        <w:rPr>
          <w:rFonts w:hint="eastAsia" w:ascii="宋体" w:hAnsi="宋体" w:eastAsia="宋体" w:cs="宋体"/>
          <w:b/>
          <w:color w:val="auto"/>
          <w:kern w:val="2"/>
          <w:sz w:val="28"/>
          <w:szCs w:val="28"/>
          <w:highlight w:val="none"/>
          <w:lang w:val="en-US" w:eastAsia="zh-CN" w:bidi="ar-SA"/>
        </w:rPr>
        <w:t>项目编号：</w:t>
      </w:r>
      <w:r>
        <w:rPr>
          <w:rFonts w:hint="eastAsia" w:hAnsi="宋体" w:cs="宋体"/>
          <w:b/>
          <w:color w:val="auto"/>
          <w:kern w:val="2"/>
          <w:sz w:val="28"/>
          <w:szCs w:val="28"/>
          <w:highlight w:val="none"/>
          <w:lang w:val="en-US" w:eastAsia="zh-CN" w:bidi="ar-SA"/>
        </w:rPr>
        <w:t>GXZC2025-C3-003391-ZLGC</w:t>
      </w:r>
    </w:p>
    <w:p w14:paraId="6D3FF280">
      <w:pPr>
        <w:snapToGrid w:val="0"/>
        <w:spacing w:line="360" w:lineRule="auto"/>
        <w:rPr>
          <w:rFonts w:hint="eastAsia" w:ascii="宋体" w:hAnsi="宋体" w:eastAsia="宋体" w:cs="宋体"/>
          <w:b/>
          <w:bCs/>
          <w:color w:val="auto"/>
          <w:w w:val="95"/>
          <w:sz w:val="30"/>
          <w:szCs w:val="30"/>
          <w:highlight w:val="none"/>
        </w:rPr>
      </w:pPr>
    </w:p>
    <w:p w14:paraId="4C24F5E2">
      <w:pPr>
        <w:snapToGrid w:val="0"/>
        <w:spacing w:line="360" w:lineRule="auto"/>
        <w:rPr>
          <w:rFonts w:hint="eastAsia" w:ascii="宋体" w:hAnsi="宋体" w:eastAsia="宋体" w:cs="宋体"/>
          <w:b/>
          <w:bCs/>
          <w:color w:val="auto"/>
          <w:w w:val="95"/>
          <w:sz w:val="30"/>
          <w:szCs w:val="30"/>
          <w:highlight w:val="none"/>
        </w:rPr>
      </w:pPr>
    </w:p>
    <w:p w14:paraId="7C90C7BD">
      <w:pPr>
        <w:snapToGrid w:val="0"/>
        <w:spacing w:before="156" w:beforeLines="50" w:line="360" w:lineRule="auto"/>
        <w:ind w:leftChars="500"/>
        <w:jc w:val="left"/>
        <w:rPr>
          <w:rFonts w:hint="eastAsia" w:ascii="宋体" w:hAnsi="宋体" w:eastAsia="宋体" w:cs="宋体"/>
          <w:b/>
          <w:color w:val="auto"/>
          <w:kern w:val="2"/>
          <w:sz w:val="28"/>
          <w:szCs w:val="28"/>
          <w:highlight w:val="none"/>
          <w:lang w:val="en-US" w:eastAsia="zh-CN" w:bidi="ar-SA"/>
        </w:rPr>
      </w:pPr>
      <w:r>
        <w:rPr>
          <w:rFonts w:hint="eastAsia" w:ascii="宋体" w:hAnsi="宋体" w:eastAsia="宋体" w:cs="宋体"/>
          <w:b/>
          <w:color w:val="auto"/>
          <w:kern w:val="2"/>
          <w:sz w:val="28"/>
          <w:szCs w:val="28"/>
          <w:highlight w:val="none"/>
          <w:lang w:val="en-US" w:eastAsia="zh-CN" w:bidi="ar-SA"/>
        </w:rPr>
        <w:t xml:space="preserve">采  购  人：广西壮族自治区玉林公路发展中心 </w:t>
      </w:r>
    </w:p>
    <w:p w14:paraId="5748E4FC">
      <w:pPr>
        <w:snapToGrid w:val="0"/>
        <w:spacing w:before="156" w:beforeLines="50" w:line="360" w:lineRule="auto"/>
        <w:ind w:leftChars="500"/>
        <w:jc w:val="left"/>
        <w:rPr>
          <w:rFonts w:hint="eastAsia" w:ascii="宋体" w:hAnsi="宋体" w:eastAsia="宋体" w:cs="宋体"/>
          <w:b/>
          <w:color w:val="auto"/>
          <w:kern w:val="2"/>
          <w:sz w:val="28"/>
          <w:szCs w:val="28"/>
          <w:highlight w:val="none"/>
          <w:lang w:val="en-US" w:eastAsia="zh-CN" w:bidi="ar-SA"/>
        </w:rPr>
      </w:pPr>
      <w:r>
        <w:rPr>
          <w:rFonts w:hint="eastAsia" w:ascii="宋体" w:hAnsi="宋体" w:eastAsia="宋体" w:cs="宋体"/>
          <w:b/>
          <w:color w:val="auto"/>
          <w:kern w:val="2"/>
          <w:sz w:val="28"/>
          <w:szCs w:val="28"/>
          <w:highlight w:val="none"/>
          <w:lang w:val="en-US" w:eastAsia="zh-CN" w:bidi="ar-SA"/>
        </w:rPr>
        <w:t>采购代理机构：广西卓联工程管理有限公司</w:t>
      </w:r>
    </w:p>
    <w:p w14:paraId="000D8FE9">
      <w:pPr>
        <w:pStyle w:val="16"/>
        <w:snapToGrid w:val="0"/>
        <w:spacing w:line="360" w:lineRule="auto"/>
        <w:jc w:val="center"/>
        <w:rPr>
          <w:rFonts w:hint="eastAsia" w:ascii="宋体" w:hAnsi="宋体" w:eastAsia="宋体" w:cs="宋体"/>
          <w:b/>
          <w:color w:val="auto"/>
          <w:sz w:val="30"/>
          <w:szCs w:val="30"/>
          <w:highlight w:val="none"/>
        </w:rPr>
      </w:pPr>
    </w:p>
    <w:p w14:paraId="41F4C004">
      <w:pPr>
        <w:pStyle w:val="16"/>
        <w:snapToGrid w:val="0"/>
        <w:spacing w:line="360" w:lineRule="auto"/>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2025年</w:t>
      </w:r>
      <w:r>
        <w:rPr>
          <w:rFonts w:hint="eastAsia" w:ascii="宋体" w:hAnsi="宋体" w:eastAsia="宋体" w:cs="宋体"/>
          <w:b/>
          <w:color w:val="auto"/>
          <w:sz w:val="30"/>
          <w:szCs w:val="30"/>
          <w:highlight w:val="none"/>
          <w:lang w:val="en-US" w:eastAsia="zh-CN"/>
        </w:rPr>
        <w:t>11</w:t>
      </w:r>
      <w:r>
        <w:rPr>
          <w:rFonts w:hint="eastAsia" w:ascii="宋体" w:hAnsi="宋体" w:eastAsia="宋体" w:cs="宋体"/>
          <w:b/>
          <w:color w:val="auto"/>
          <w:sz w:val="30"/>
          <w:szCs w:val="30"/>
          <w:highlight w:val="none"/>
        </w:rPr>
        <w:t>月</w:t>
      </w:r>
    </w:p>
    <w:p w14:paraId="54012EA8">
      <w:pP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br w:type="page"/>
      </w:r>
    </w:p>
    <w:p w14:paraId="12FE11E4">
      <w:pPr>
        <w:widowControl/>
        <w:jc w:val="left"/>
        <w:rPr>
          <w:rFonts w:hint="eastAsia" w:ascii="宋体" w:hAnsi="宋体" w:eastAsia="宋体" w:cs="宋体"/>
          <w:b/>
          <w:color w:val="auto"/>
          <w:sz w:val="44"/>
          <w:szCs w:val="44"/>
          <w:highlight w:val="none"/>
        </w:rPr>
      </w:pPr>
    </w:p>
    <w:p w14:paraId="21A87007">
      <w:pPr>
        <w:spacing w:line="360" w:lineRule="auto"/>
        <w:jc w:val="center"/>
        <w:rPr>
          <w:rFonts w:hint="eastAsia" w:ascii="宋体" w:hAnsi="宋体" w:eastAsia="宋体" w:cs="宋体"/>
          <w:b/>
          <w:color w:val="auto"/>
          <w:sz w:val="44"/>
          <w:szCs w:val="44"/>
          <w:highlight w:val="none"/>
        </w:rPr>
      </w:pPr>
    </w:p>
    <w:p w14:paraId="7E884A0A">
      <w:pPr>
        <w:spacing w:line="36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目  录</w:t>
      </w:r>
    </w:p>
    <w:p w14:paraId="2B80B402">
      <w:pPr>
        <w:spacing w:line="400" w:lineRule="exact"/>
        <w:jc w:val="center"/>
        <w:rPr>
          <w:rFonts w:hint="eastAsia" w:ascii="宋体" w:hAnsi="宋体" w:eastAsia="宋体" w:cs="宋体"/>
          <w:b/>
          <w:color w:val="auto"/>
          <w:sz w:val="44"/>
          <w:szCs w:val="44"/>
          <w:highlight w:val="none"/>
        </w:rPr>
      </w:pPr>
    </w:p>
    <w:p w14:paraId="2263A9F9">
      <w:pPr>
        <w:pStyle w:val="22"/>
        <w:tabs>
          <w:tab w:val="right" w:leader="dot" w:pos="9072"/>
        </w:tabs>
        <w:rPr>
          <w:rFonts w:hint="eastAsia" w:ascii="宋体" w:hAnsi="宋体" w:eastAsia="宋体" w:cs="宋体"/>
          <w:b/>
          <w:bCs/>
          <w:color w:val="auto"/>
          <w:sz w:val="28"/>
          <w:szCs w:val="36"/>
          <w:highlight w:val="none"/>
        </w:rPr>
      </w:pPr>
      <w:r>
        <w:rPr>
          <w:rFonts w:hint="eastAsia" w:ascii="宋体" w:hAnsi="宋体" w:eastAsia="宋体" w:cs="宋体"/>
          <w:b/>
          <w:bCs/>
          <w:caps/>
          <w:color w:val="auto"/>
          <w:sz w:val="36"/>
          <w:szCs w:val="36"/>
          <w:highlight w:val="none"/>
        </w:rPr>
        <w:fldChar w:fldCharType="begin"/>
      </w:r>
      <w:r>
        <w:rPr>
          <w:rFonts w:hint="eastAsia" w:ascii="宋体" w:hAnsi="宋体" w:eastAsia="宋体" w:cs="宋体"/>
          <w:b/>
          <w:bCs/>
          <w:caps/>
          <w:color w:val="auto"/>
          <w:sz w:val="36"/>
          <w:szCs w:val="36"/>
          <w:highlight w:val="none"/>
        </w:rPr>
        <w:instrText xml:space="preserve"> TOC \o "1-3" \h \z \u </w:instrText>
      </w:r>
      <w:r>
        <w:rPr>
          <w:rFonts w:hint="eastAsia" w:ascii="宋体" w:hAnsi="宋体" w:eastAsia="宋体" w:cs="宋体"/>
          <w:b/>
          <w:bCs/>
          <w:caps/>
          <w:color w:val="auto"/>
          <w:sz w:val="36"/>
          <w:szCs w:val="36"/>
          <w:highlight w:val="none"/>
        </w:rPr>
        <w:fldChar w:fldCharType="separate"/>
      </w:r>
      <w:r>
        <w:rPr>
          <w:rFonts w:hint="eastAsia" w:ascii="宋体" w:hAnsi="宋体" w:eastAsia="宋体" w:cs="宋体"/>
          <w:b/>
          <w:bCs/>
          <w:caps/>
          <w:color w:val="auto"/>
          <w:sz w:val="28"/>
          <w:szCs w:val="36"/>
          <w:highlight w:val="none"/>
        </w:rPr>
        <w:fldChar w:fldCharType="begin"/>
      </w:r>
      <w:r>
        <w:rPr>
          <w:rFonts w:hint="eastAsia" w:ascii="宋体" w:hAnsi="宋体" w:eastAsia="宋体" w:cs="宋体"/>
          <w:b/>
          <w:bCs/>
          <w:caps/>
          <w:color w:val="auto"/>
          <w:sz w:val="28"/>
          <w:szCs w:val="36"/>
          <w:highlight w:val="none"/>
        </w:rPr>
        <w:instrText xml:space="preserve"> HYPERLINK \l _Toc22301 </w:instrText>
      </w:r>
      <w:r>
        <w:rPr>
          <w:rFonts w:hint="eastAsia" w:ascii="宋体" w:hAnsi="宋体" w:eastAsia="宋体" w:cs="宋体"/>
          <w:b/>
          <w:bCs/>
          <w:caps/>
          <w:color w:val="auto"/>
          <w:sz w:val="28"/>
          <w:szCs w:val="36"/>
          <w:highlight w:val="none"/>
        </w:rPr>
        <w:fldChar w:fldCharType="separate"/>
      </w:r>
      <w:r>
        <w:rPr>
          <w:rFonts w:hint="eastAsia" w:ascii="宋体" w:hAnsi="宋体" w:eastAsia="宋体" w:cs="宋体"/>
          <w:b/>
          <w:bCs/>
          <w:color w:val="auto"/>
          <w:sz w:val="28"/>
          <w:szCs w:val="36"/>
          <w:highlight w:val="none"/>
        </w:rPr>
        <w:t>第一章 竞争性磋商公告</w:t>
      </w:r>
      <w:r>
        <w:rPr>
          <w:rFonts w:hint="eastAsia" w:ascii="宋体" w:hAnsi="宋体" w:eastAsia="宋体" w:cs="宋体"/>
          <w:b/>
          <w:bCs/>
          <w:color w:val="auto"/>
          <w:sz w:val="28"/>
          <w:szCs w:val="36"/>
          <w:highlight w:val="none"/>
        </w:rPr>
        <w:tab/>
      </w:r>
      <w:r>
        <w:rPr>
          <w:rFonts w:hint="eastAsia" w:ascii="宋体" w:hAnsi="宋体" w:eastAsia="宋体" w:cs="宋体"/>
          <w:b/>
          <w:bCs/>
          <w:color w:val="auto"/>
          <w:sz w:val="28"/>
          <w:szCs w:val="36"/>
          <w:highlight w:val="none"/>
        </w:rPr>
        <w:fldChar w:fldCharType="begin"/>
      </w:r>
      <w:r>
        <w:rPr>
          <w:rFonts w:hint="eastAsia" w:ascii="宋体" w:hAnsi="宋体" w:eastAsia="宋体" w:cs="宋体"/>
          <w:b/>
          <w:bCs/>
          <w:color w:val="auto"/>
          <w:sz w:val="28"/>
          <w:szCs w:val="36"/>
          <w:highlight w:val="none"/>
        </w:rPr>
        <w:instrText xml:space="preserve"> PAGEREF _Toc22301 \h </w:instrText>
      </w:r>
      <w:r>
        <w:rPr>
          <w:rFonts w:hint="eastAsia" w:ascii="宋体" w:hAnsi="宋体" w:eastAsia="宋体" w:cs="宋体"/>
          <w:b/>
          <w:bCs/>
          <w:color w:val="auto"/>
          <w:sz w:val="28"/>
          <w:szCs w:val="36"/>
          <w:highlight w:val="none"/>
        </w:rPr>
        <w:fldChar w:fldCharType="separate"/>
      </w:r>
      <w:r>
        <w:rPr>
          <w:rFonts w:hint="eastAsia" w:ascii="宋体" w:hAnsi="宋体" w:eastAsia="宋体" w:cs="宋体"/>
          <w:b/>
          <w:bCs/>
          <w:color w:val="auto"/>
          <w:sz w:val="28"/>
          <w:szCs w:val="36"/>
          <w:highlight w:val="none"/>
        </w:rPr>
        <w:t>1</w:t>
      </w:r>
      <w:r>
        <w:rPr>
          <w:rFonts w:hint="eastAsia" w:ascii="宋体" w:hAnsi="宋体" w:eastAsia="宋体" w:cs="宋体"/>
          <w:b/>
          <w:bCs/>
          <w:color w:val="auto"/>
          <w:sz w:val="28"/>
          <w:szCs w:val="36"/>
          <w:highlight w:val="none"/>
        </w:rPr>
        <w:fldChar w:fldCharType="end"/>
      </w:r>
      <w:r>
        <w:rPr>
          <w:rFonts w:hint="eastAsia" w:ascii="宋体" w:hAnsi="宋体" w:eastAsia="宋体" w:cs="宋体"/>
          <w:b/>
          <w:bCs/>
          <w:caps/>
          <w:color w:val="auto"/>
          <w:sz w:val="28"/>
          <w:szCs w:val="36"/>
          <w:highlight w:val="none"/>
        </w:rPr>
        <w:fldChar w:fldCharType="end"/>
      </w:r>
    </w:p>
    <w:p w14:paraId="716CA40A">
      <w:pPr>
        <w:pStyle w:val="22"/>
        <w:tabs>
          <w:tab w:val="right" w:leader="dot" w:pos="9072"/>
        </w:tabs>
        <w:rPr>
          <w:rFonts w:hint="eastAsia" w:ascii="宋体" w:hAnsi="宋体" w:eastAsia="宋体" w:cs="宋体"/>
          <w:b/>
          <w:bCs/>
          <w:color w:val="auto"/>
          <w:sz w:val="28"/>
          <w:szCs w:val="36"/>
          <w:highlight w:val="none"/>
        </w:rPr>
      </w:pPr>
      <w:r>
        <w:rPr>
          <w:rFonts w:hint="eastAsia" w:ascii="宋体" w:hAnsi="宋体" w:eastAsia="宋体" w:cs="宋体"/>
          <w:b/>
          <w:bCs/>
          <w:caps/>
          <w:color w:val="auto"/>
          <w:sz w:val="28"/>
          <w:szCs w:val="36"/>
          <w:highlight w:val="none"/>
        </w:rPr>
        <w:fldChar w:fldCharType="begin"/>
      </w:r>
      <w:r>
        <w:rPr>
          <w:rFonts w:hint="eastAsia" w:ascii="宋体" w:hAnsi="宋体" w:eastAsia="宋体" w:cs="宋体"/>
          <w:b/>
          <w:bCs/>
          <w:caps/>
          <w:color w:val="auto"/>
          <w:sz w:val="28"/>
          <w:szCs w:val="36"/>
          <w:highlight w:val="none"/>
        </w:rPr>
        <w:instrText xml:space="preserve"> HYPERLINK \l _Toc23371 </w:instrText>
      </w:r>
      <w:r>
        <w:rPr>
          <w:rFonts w:hint="eastAsia" w:ascii="宋体" w:hAnsi="宋体" w:eastAsia="宋体" w:cs="宋体"/>
          <w:b/>
          <w:bCs/>
          <w:caps/>
          <w:color w:val="auto"/>
          <w:sz w:val="28"/>
          <w:szCs w:val="36"/>
          <w:highlight w:val="none"/>
        </w:rPr>
        <w:fldChar w:fldCharType="separate"/>
      </w:r>
      <w:r>
        <w:rPr>
          <w:rFonts w:hint="eastAsia" w:ascii="宋体" w:hAnsi="宋体" w:eastAsia="宋体" w:cs="宋体"/>
          <w:b/>
          <w:bCs/>
          <w:color w:val="auto"/>
          <w:sz w:val="28"/>
          <w:szCs w:val="36"/>
          <w:highlight w:val="none"/>
        </w:rPr>
        <w:t>第二章 供应商须知</w:t>
      </w:r>
      <w:r>
        <w:rPr>
          <w:rFonts w:hint="eastAsia" w:ascii="宋体" w:hAnsi="宋体" w:eastAsia="宋体" w:cs="宋体"/>
          <w:b/>
          <w:bCs/>
          <w:color w:val="auto"/>
          <w:sz w:val="28"/>
          <w:szCs w:val="36"/>
          <w:highlight w:val="none"/>
        </w:rPr>
        <w:tab/>
      </w:r>
      <w:r>
        <w:rPr>
          <w:rFonts w:hint="eastAsia" w:ascii="宋体" w:hAnsi="宋体" w:eastAsia="宋体" w:cs="宋体"/>
          <w:b/>
          <w:bCs/>
          <w:color w:val="auto"/>
          <w:sz w:val="28"/>
          <w:szCs w:val="36"/>
          <w:highlight w:val="none"/>
        </w:rPr>
        <w:fldChar w:fldCharType="begin"/>
      </w:r>
      <w:r>
        <w:rPr>
          <w:rFonts w:hint="eastAsia" w:ascii="宋体" w:hAnsi="宋体" w:eastAsia="宋体" w:cs="宋体"/>
          <w:b/>
          <w:bCs/>
          <w:color w:val="auto"/>
          <w:sz w:val="28"/>
          <w:szCs w:val="36"/>
          <w:highlight w:val="none"/>
        </w:rPr>
        <w:instrText xml:space="preserve"> PAGEREF _Toc23371 \h </w:instrText>
      </w:r>
      <w:r>
        <w:rPr>
          <w:rFonts w:hint="eastAsia" w:ascii="宋体" w:hAnsi="宋体" w:eastAsia="宋体" w:cs="宋体"/>
          <w:b/>
          <w:bCs/>
          <w:color w:val="auto"/>
          <w:sz w:val="28"/>
          <w:szCs w:val="36"/>
          <w:highlight w:val="none"/>
        </w:rPr>
        <w:fldChar w:fldCharType="separate"/>
      </w:r>
      <w:r>
        <w:rPr>
          <w:rFonts w:hint="eastAsia" w:ascii="宋体" w:hAnsi="宋体" w:eastAsia="宋体" w:cs="宋体"/>
          <w:b/>
          <w:bCs/>
          <w:color w:val="auto"/>
          <w:sz w:val="28"/>
          <w:szCs w:val="36"/>
          <w:highlight w:val="none"/>
        </w:rPr>
        <w:t>6</w:t>
      </w:r>
      <w:r>
        <w:rPr>
          <w:rFonts w:hint="eastAsia" w:ascii="宋体" w:hAnsi="宋体" w:eastAsia="宋体" w:cs="宋体"/>
          <w:b/>
          <w:bCs/>
          <w:color w:val="auto"/>
          <w:sz w:val="28"/>
          <w:szCs w:val="36"/>
          <w:highlight w:val="none"/>
        </w:rPr>
        <w:fldChar w:fldCharType="end"/>
      </w:r>
      <w:r>
        <w:rPr>
          <w:rFonts w:hint="eastAsia" w:ascii="宋体" w:hAnsi="宋体" w:eastAsia="宋体" w:cs="宋体"/>
          <w:b/>
          <w:bCs/>
          <w:caps/>
          <w:color w:val="auto"/>
          <w:sz w:val="28"/>
          <w:szCs w:val="36"/>
          <w:highlight w:val="none"/>
        </w:rPr>
        <w:fldChar w:fldCharType="end"/>
      </w:r>
    </w:p>
    <w:p w14:paraId="020BA447">
      <w:pPr>
        <w:pStyle w:val="22"/>
        <w:tabs>
          <w:tab w:val="right" w:leader="dot" w:pos="9072"/>
        </w:tabs>
        <w:rPr>
          <w:rFonts w:hint="eastAsia" w:ascii="宋体" w:hAnsi="宋体" w:eastAsia="宋体" w:cs="宋体"/>
          <w:b/>
          <w:bCs/>
          <w:color w:val="auto"/>
          <w:sz w:val="28"/>
          <w:szCs w:val="36"/>
          <w:highlight w:val="none"/>
        </w:rPr>
      </w:pPr>
      <w:r>
        <w:rPr>
          <w:rFonts w:hint="eastAsia" w:ascii="宋体" w:hAnsi="宋体" w:eastAsia="宋体" w:cs="宋体"/>
          <w:b/>
          <w:bCs/>
          <w:caps/>
          <w:color w:val="auto"/>
          <w:sz w:val="28"/>
          <w:szCs w:val="36"/>
          <w:highlight w:val="none"/>
        </w:rPr>
        <w:fldChar w:fldCharType="begin"/>
      </w:r>
      <w:r>
        <w:rPr>
          <w:rFonts w:hint="eastAsia" w:ascii="宋体" w:hAnsi="宋体" w:eastAsia="宋体" w:cs="宋体"/>
          <w:b/>
          <w:bCs/>
          <w:caps/>
          <w:color w:val="auto"/>
          <w:sz w:val="28"/>
          <w:szCs w:val="36"/>
          <w:highlight w:val="none"/>
        </w:rPr>
        <w:instrText xml:space="preserve"> HYPERLINK \l _Toc29422 </w:instrText>
      </w:r>
      <w:r>
        <w:rPr>
          <w:rFonts w:hint="eastAsia" w:ascii="宋体" w:hAnsi="宋体" w:eastAsia="宋体" w:cs="宋体"/>
          <w:b/>
          <w:bCs/>
          <w:caps/>
          <w:color w:val="auto"/>
          <w:sz w:val="28"/>
          <w:szCs w:val="36"/>
          <w:highlight w:val="none"/>
        </w:rPr>
        <w:fldChar w:fldCharType="separate"/>
      </w:r>
      <w:r>
        <w:rPr>
          <w:rFonts w:hint="eastAsia" w:ascii="宋体" w:hAnsi="宋体" w:eastAsia="宋体" w:cs="宋体"/>
          <w:b/>
          <w:bCs/>
          <w:color w:val="auto"/>
          <w:sz w:val="28"/>
          <w:szCs w:val="56"/>
          <w:highlight w:val="none"/>
        </w:rPr>
        <w:t>第三章 采购需求</w:t>
      </w:r>
      <w:r>
        <w:rPr>
          <w:rFonts w:hint="eastAsia" w:ascii="宋体" w:hAnsi="宋体" w:eastAsia="宋体" w:cs="宋体"/>
          <w:b/>
          <w:bCs/>
          <w:color w:val="auto"/>
          <w:sz w:val="28"/>
          <w:szCs w:val="36"/>
          <w:highlight w:val="none"/>
        </w:rPr>
        <w:tab/>
      </w:r>
      <w:r>
        <w:rPr>
          <w:rFonts w:hint="eastAsia" w:ascii="宋体" w:hAnsi="宋体" w:eastAsia="宋体" w:cs="宋体"/>
          <w:b/>
          <w:bCs/>
          <w:color w:val="auto"/>
          <w:sz w:val="28"/>
          <w:szCs w:val="36"/>
          <w:highlight w:val="none"/>
        </w:rPr>
        <w:fldChar w:fldCharType="begin"/>
      </w:r>
      <w:r>
        <w:rPr>
          <w:rFonts w:hint="eastAsia" w:ascii="宋体" w:hAnsi="宋体" w:eastAsia="宋体" w:cs="宋体"/>
          <w:b/>
          <w:bCs/>
          <w:color w:val="auto"/>
          <w:sz w:val="28"/>
          <w:szCs w:val="36"/>
          <w:highlight w:val="none"/>
        </w:rPr>
        <w:instrText xml:space="preserve"> PAGEREF _Toc29422 \h </w:instrText>
      </w:r>
      <w:r>
        <w:rPr>
          <w:rFonts w:hint="eastAsia" w:ascii="宋体" w:hAnsi="宋体" w:eastAsia="宋体" w:cs="宋体"/>
          <w:b/>
          <w:bCs/>
          <w:color w:val="auto"/>
          <w:sz w:val="28"/>
          <w:szCs w:val="36"/>
          <w:highlight w:val="none"/>
        </w:rPr>
        <w:fldChar w:fldCharType="separate"/>
      </w:r>
      <w:r>
        <w:rPr>
          <w:rFonts w:hint="eastAsia" w:ascii="宋体" w:hAnsi="宋体" w:eastAsia="宋体" w:cs="宋体"/>
          <w:b/>
          <w:bCs/>
          <w:color w:val="auto"/>
          <w:sz w:val="28"/>
          <w:szCs w:val="36"/>
          <w:highlight w:val="none"/>
        </w:rPr>
        <w:t>25</w:t>
      </w:r>
      <w:r>
        <w:rPr>
          <w:rFonts w:hint="eastAsia" w:ascii="宋体" w:hAnsi="宋体" w:eastAsia="宋体" w:cs="宋体"/>
          <w:b/>
          <w:bCs/>
          <w:color w:val="auto"/>
          <w:sz w:val="28"/>
          <w:szCs w:val="36"/>
          <w:highlight w:val="none"/>
        </w:rPr>
        <w:fldChar w:fldCharType="end"/>
      </w:r>
      <w:r>
        <w:rPr>
          <w:rFonts w:hint="eastAsia" w:ascii="宋体" w:hAnsi="宋体" w:eastAsia="宋体" w:cs="宋体"/>
          <w:b/>
          <w:bCs/>
          <w:caps/>
          <w:color w:val="auto"/>
          <w:sz w:val="28"/>
          <w:szCs w:val="36"/>
          <w:highlight w:val="none"/>
        </w:rPr>
        <w:fldChar w:fldCharType="end"/>
      </w:r>
    </w:p>
    <w:p w14:paraId="05135697">
      <w:pPr>
        <w:pStyle w:val="22"/>
        <w:tabs>
          <w:tab w:val="right" w:leader="dot" w:pos="9072"/>
        </w:tabs>
        <w:rPr>
          <w:rFonts w:hint="eastAsia" w:ascii="宋体" w:hAnsi="宋体" w:eastAsia="宋体" w:cs="宋体"/>
          <w:b/>
          <w:bCs/>
          <w:color w:val="auto"/>
          <w:sz w:val="28"/>
          <w:szCs w:val="36"/>
          <w:highlight w:val="none"/>
        </w:rPr>
      </w:pPr>
      <w:r>
        <w:rPr>
          <w:rFonts w:hint="eastAsia" w:ascii="宋体" w:hAnsi="宋体" w:eastAsia="宋体" w:cs="宋体"/>
          <w:b/>
          <w:bCs/>
          <w:caps/>
          <w:color w:val="auto"/>
          <w:sz w:val="28"/>
          <w:szCs w:val="36"/>
          <w:highlight w:val="none"/>
        </w:rPr>
        <w:fldChar w:fldCharType="begin"/>
      </w:r>
      <w:r>
        <w:rPr>
          <w:rFonts w:hint="eastAsia" w:ascii="宋体" w:hAnsi="宋体" w:eastAsia="宋体" w:cs="宋体"/>
          <w:b/>
          <w:bCs/>
          <w:caps/>
          <w:color w:val="auto"/>
          <w:sz w:val="28"/>
          <w:szCs w:val="36"/>
          <w:highlight w:val="none"/>
        </w:rPr>
        <w:instrText xml:space="preserve"> HYPERLINK \l _Toc19183 </w:instrText>
      </w:r>
      <w:r>
        <w:rPr>
          <w:rFonts w:hint="eastAsia" w:ascii="宋体" w:hAnsi="宋体" w:eastAsia="宋体" w:cs="宋体"/>
          <w:b/>
          <w:bCs/>
          <w:caps/>
          <w:color w:val="auto"/>
          <w:sz w:val="28"/>
          <w:szCs w:val="36"/>
          <w:highlight w:val="none"/>
        </w:rPr>
        <w:fldChar w:fldCharType="separate"/>
      </w:r>
      <w:r>
        <w:rPr>
          <w:rFonts w:hint="eastAsia" w:ascii="宋体" w:hAnsi="宋体" w:eastAsia="宋体" w:cs="宋体"/>
          <w:b/>
          <w:bCs/>
          <w:color w:val="auto"/>
          <w:sz w:val="28"/>
          <w:szCs w:val="36"/>
          <w:highlight w:val="none"/>
        </w:rPr>
        <w:t>第四章 评审程序、评审方法和评审标准</w:t>
      </w:r>
      <w:r>
        <w:rPr>
          <w:rFonts w:hint="eastAsia" w:ascii="宋体" w:hAnsi="宋体" w:eastAsia="宋体" w:cs="宋体"/>
          <w:b/>
          <w:bCs/>
          <w:color w:val="auto"/>
          <w:sz w:val="28"/>
          <w:szCs w:val="36"/>
          <w:highlight w:val="none"/>
        </w:rPr>
        <w:tab/>
      </w:r>
      <w:r>
        <w:rPr>
          <w:rFonts w:hint="eastAsia" w:ascii="宋体" w:hAnsi="宋体" w:eastAsia="宋体" w:cs="宋体"/>
          <w:b/>
          <w:bCs/>
          <w:color w:val="auto"/>
          <w:sz w:val="28"/>
          <w:szCs w:val="36"/>
          <w:highlight w:val="none"/>
        </w:rPr>
        <w:fldChar w:fldCharType="begin"/>
      </w:r>
      <w:r>
        <w:rPr>
          <w:rFonts w:hint="eastAsia" w:ascii="宋体" w:hAnsi="宋体" w:eastAsia="宋体" w:cs="宋体"/>
          <w:b/>
          <w:bCs/>
          <w:color w:val="auto"/>
          <w:sz w:val="28"/>
          <w:szCs w:val="36"/>
          <w:highlight w:val="none"/>
        </w:rPr>
        <w:instrText xml:space="preserve"> PAGEREF _Toc19183 \h </w:instrText>
      </w:r>
      <w:r>
        <w:rPr>
          <w:rFonts w:hint="eastAsia" w:ascii="宋体" w:hAnsi="宋体" w:eastAsia="宋体" w:cs="宋体"/>
          <w:b/>
          <w:bCs/>
          <w:color w:val="auto"/>
          <w:sz w:val="28"/>
          <w:szCs w:val="36"/>
          <w:highlight w:val="none"/>
        </w:rPr>
        <w:fldChar w:fldCharType="separate"/>
      </w:r>
      <w:r>
        <w:rPr>
          <w:rFonts w:hint="eastAsia" w:ascii="宋体" w:hAnsi="宋体" w:eastAsia="宋体" w:cs="宋体"/>
          <w:b/>
          <w:bCs/>
          <w:color w:val="auto"/>
          <w:sz w:val="28"/>
          <w:szCs w:val="36"/>
          <w:highlight w:val="none"/>
        </w:rPr>
        <w:t>39</w:t>
      </w:r>
      <w:r>
        <w:rPr>
          <w:rFonts w:hint="eastAsia" w:ascii="宋体" w:hAnsi="宋体" w:eastAsia="宋体" w:cs="宋体"/>
          <w:b/>
          <w:bCs/>
          <w:color w:val="auto"/>
          <w:sz w:val="28"/>
          <w:szCs w:val="36"/>
          <w:highlight w:val="none"/>
        </w:rPr>
        <w:fldChar w:fldCharType="end"/>
      </w:r>
      <w:r>
        <w:rPr>
          <w:rFonts w:hint="eastAsia" w:ascii="宋体" w:hAnsi="宋体" w:eastAsia="宋体" w:cs="宋体"/>
          <w:b/>
          <w:bCs/>
          <w:caps/>
          <w:color w:val="auto"/>
          <w:sz w:val="28"/>
          <w:szCs w:val="36"/>
          <w:highlight w:val="none"/>
        </w:rPr>
        <w:fldChar w:fldCharType="end"/>
      </w:r>
    </w:p>
    <w:p w14:paraId="2E3D8FEB">
      <w:pPr>
        <w:pStyle w:val="22"/>
        <w:tabs>
          <w:tab w:val="right" w:leader="dot" w:pos="9072"/>
        </w:tabs>
        <w:rPr>
          <w:rFonts w:hint="eastAsia" w:ascii="宋体" w:hAnsi="宋体" w:eastAsia="宋体" w:cs="宋体"/>
          <w:b/>
          <w:bCs/>
          <w:color w:val="auto"/>
          <w:sz w:val="28"/>
          <w:szCs w:val="36"/>
          <w:highlight w:val="none"/>
        </w:rPr>
      </w:pPr>
      <w:r>
        <w:rPr>
          <w:rFonts w:hint="eastAsia" w:ascii="宋体" w:hAnsi="宋体" w:eastAsia="宋体" w:cs="宋体"/>
          <w:b/>
          <w:bCs/>
          <w:caps/>
          <w:color w:val="auto"/>
          <w:sz w:val="28"/>
          <w:szCs w:val="36"/>
          <w:highlight w:val="none"/>
        </w:rPr>
        <w:fldChar w:fldCharType="begin"/>
      </w:r>
      <w:r>
        <w:rPr>
          <w:rFonts w:hint="eastAsia" w:ascii="宋体" w:hAnsi="宋体" w:eastAsia="宋体" w:cs="宋体"/>
          <w:b/>
          <w:bCs/>
          <w:caps/>
          <w:color w:val="auto"/>
          <w:sz w:val="28"/>
          <w:szCs w:val="36"/>
          <w:highlight w:val="none"/>
        </w:rPr>
        <w:instrText xml:space="preserve"> HYPERLINK \l _Toc985 </w:instrText>
      </w:r>
      <w:r>
        <w:rPr>
          <w:rFonts w:hint="eastAsia" w:ascii="宋体" w:hAnsi="宋体" w:eastAsia="宋体" w:cs="宋体"/>
          <w:b/>
          <w:bCs/>
          <w:caps/>
          <w:color w:val="auto"/>
          <w:sz w:val="28"/>
          <w:szCs w:val="36"/>
          <w:highlight w:val="none"/>
        </w:rPr>
        <w:fldChar w:fldCharType="separate"/>
      </w:r>
      <w:r>
        <w:rPr>
          <w:rFonts w:hint="eastAsia" w:ascii="宋体" w:hAnsi="宋体" w:eastAsia="宋体" w:cs="宋体"/>
          <w:b/>
          <w:bCs/>
          <w:color w:val="auto"/>
          <w:sz w:val="28"/>
          <w:szCs w:val="36"/>
          <w:highlight w:val="none"/>
        </w:rPr>
        <w:t>第五章 响应文件格式</w:t>
      </w:r>
      <w:r>
        <w:rPr>
          <w:rFonts w:hint="eastAsia" w:ascii="宋体" w:hAnsi="宋体" w:eastAsia="宋体" w:cs="宋体"/>
          <w:b/>
          <w:bCs/>
          <w:color w:val="auto"/>
          <w:sz w:val="28"/>
          <w:szCs w:val="36"/>
          <w:highlight w:val="none"/>
        </w:rPr>
        <w:tab/>
      </w:r>
      <w:r>
        <w:rPr>
          <w:rFonts w:hint="eastAsia" w:ascii="宋体" w:hAnsi="宋体" w:eastAsia="宋体" w:cs="宋体"/>
          <w:b/>
          <w:bCs/>
          <w:color w:val="auto"/>
          <w:sz w:val="28"/>
          <w:szCs w:val="36"/>
          <w:highlight w:val="none"/>
        </w:rPr>
        <w:fldChar w:fldCharType="begin"/>
      </w:r>
      <w:r>
        <w:rPr>
          <w:rFonts w:hint="eastAsia" w:ascii="宋体" w:hAnsi="宋体" w:eastAsia="宋体" w:cs="宋体"/>
          <w:b/>
          <w:bCs/>
          <w:color w:val="auto"/>
          <w:sz w:val="28"/>
          <w:szCs w:val="36"/>
          <w:highlight w:val="none"/>
        </w:rPr>
        <w:instrText xml:space="preserve"> PAGEREF _Toc985 \h </w:instrText>
      </w:r>
      <w:r>
        <w:rPr>
          <w:rFonts w:hint="eastAsia" w:ascii="宋体" w:hAnsi="宋体" w:eastAsia="宋体" w:cs="宋体"/>
          <w:b/>
          <w:bCs/>
          <w:color w:val="auto"/>
          <w:sz w:val="28"/>
          <w:szCs w:val="36"/>
          <w:highlight w:val="none"/>
        </w:rPr>
        <w:fldChar w:fldCharType="separate"/>
      </w:r>
      <w:r>
        <w:rPr>
          <w:rFonts w:hint="eastAsia" w:ascii="宋体" w:hAnsi="宋体" w:eastAsia="宋体" w:cs="宋体"/>
          <w:b/>
          <w:bCs/>
          <w:color w:val="auto"/>
          <w:sz w:val="28"/>
          <w:szCs w:val="36"/>
          <w:highlight w:val="none"/>
        </w:rPr>
        <w:t>58</w:t>
      </w:r>
      <w:r>
        <w:rPr>
          <w:rFonts w:hint="eastAsia" w:ascii="宋体" w:hAnsi="宋体" w:eastAsia="宋体" w:cs="宋体"/>
          <w:b/>
          <w:bCs/>
          <w:color w:val="auto"/>
          <w:sz w:val="28"/>
          <w:szCs w:val="36"/>
          <w:highlight w:val="none"/>
        </w:rPr>
        <w:fldChar w:fldCharType="end"/>
      </w:r>
      <w:r>
        <w:rPr>
          <w:rFonts w:hint="eastAsia" w:ascii="宋体" w:hAnsi="宋体" w:eastAsia="宋体" w:cs="宋体"/>
          <w:b/>
          <w:bCs/>
          <w:caps/>
          <w:color w:val="auto"/>
          <w:sz w:val="28"/>
          <w:szCs w:val="36"/>
          <w:highlight w:val="none"/>
        </w:rPr>
        <w:fldChar w:fldCharType="end"/>
      </w:r>
    </w:p>
    <w:p w14:paraId="67AB3C7E">
      <w:pPr>
        <w:pStyle w:val="22"/>
        <w:tabs>
          <w:tab w:val="right" w:leader="dot" w:pos="9072"/>
        </w:tabs>
        <w:rPr>
          <w:rFonts w:hint="eastAsia" w:ascii="宋体" w:hAnsi="宋体" w:eastAsia="宋体" w:cs="宋体"/>
          <w:b/>
          <w:bCs/>
          <w:color w:val="auto"/>
          <w:sz w:val="28"/>
          <w:szCs w:val="36"/>
          <w:highlight w:val="none"/>
        </w:rPr>
      </w:pPr>
      <w:r>
        <w:rPr>
          <w:rFonts w:hint="eastAsia" w:ascii="宋体" w:hAnsi="宋体" w:eastAsia="宋体" w:cs="宋体"/>
          <w:b/>
          <w:bCs/>
          <w:caps/>
          <w:color w:val="auto"/>
          <w:sz w:val="28"/>
          <w:szCs w:val="36"/>
          <w:highlight w:val="none"/>
        </w:rPr>
        <w:fldChar w:fldCharType="begin"/>
      </w:r>
      <w:r>
        <w:rPr>
          <w:rFonts w:hint="eastAsia" w:ascii="宋体" w:hAnsi="宋体" w:eastAsia="宋体" w:cs="宋体"/>
          <w:b/>
          <w:bCs/>
          <w:caps/>
          <w:color w:val="auto"/>
          <w:sz w:val="28"/>
          <w:szCs w:val="36"/>
          <w:highlight w:val="none"/>
        </w:rPr>
        <w:instrText xml:space="preserve"> HYPERLINK \l _Toc32068 </w:instrText>
      </w:r>
      <w:r>
        <w:rPr>
          <w:rFonts w:hint="eastAsia" w:ascii="宋体" w:hAnsi="宋体" w:eastAsia="宋体" w:cs="宋体"/>
          <w:b/>
          <w:bCs/>
          <w:caps/>
          <w:color w:val="auto"/>
          <w:sz w:val="28"/>
          <w:szCs w:val="36"/>
          <w:highlight w:val="none"/>
        </w:rPr>
        <w:fldChar w:fldCharType="separate"/>
      </w:r>
      <w:r>
        <w:rPr>
          <w:rFonts w:hint="eastAsia" w:ascii="宋体" w:hAnsi="宋体" w:eastAsia="宋体" w:cs="宋体"/>
          <w:b/>
          <w:bCs/>
          <w:color w:val="auto"/>
          <w:sz w:val="28"/>
          <w:szCs w:val="36"/>
          <w:highlight w:val="none"/>
        </w:rPr>
        <w:t>第六章 拟签订的合同文本</w:t>
      </w:r>
      <w:r>
        <w:rPr>
          <w:rFonts w:hint="eastAsia" w:ascii="宋体" w:hAnsi="宋体" w:eastAsia="宋体" w:cs="宋体"/>
          <w:b/>
          <w:bCs/>
          <w:color w:val="auto"/>
          <w:sz w:val="28"/>
          <w:szCs w:val="36"/>
          <w:highlight w:val="none"/>
        </w:rPr>
        <w:tab/>
      </w:r>
      <w:r>
        <w:rPr>
          <w:rFonts w:hint="eastAsia" w:ascii="宋体" w:hAnsi="宋体" w:eastAsia="宋体" w:cs="宋体"/>
          <w:b/>
          <w:bCs/>
          <w:color w:val="auto"/>
          <w:sz w:val="28"/>
          <w:szCs w:val="36"/>
          <w:highlight w:val="none"/>
        </w:rPr>
        <w:fldChar w:fldCharType="begin"/>
      </w:r>
      <w:r>
        <w:rPr>
          <w:rFonts w:hint="eastAsia" w:ascii="宋体" w:hAnsi="宋体" w:eastAsia="宋体" w:cs="宋体"/>
          <w:b/>
          <w:bCs/>
          <w:color w:val="auto"/>
          <w:sz w:val="28"/>
          <w:szCs w:val="36"/>
          <w:highlight w:val="none"/>
        </w:rPr>
        <w:instrText xml:space="preserve"> PAGEREF _Toc32068 \h </w:instrText>
      </w:r>
      <w:r>
        <w:rPr>
          <w:rFonts w:hint="eastAsia" w:ascii="宋体" w:hAnsi="宋体" w:eastAsia="宋体" w:cs="宋体"/>
          <w:b/>
          <w:bCs/>
          <w:color w:val="auto"/>
          <w:sz w:val="28"/>
          <w:szCs w:val="36"/>
          <w:highlight w:val="none"/>
        </w:rPr>
        <w:fldChar w:fldCharType="separate"/>
      </w:r>
      <w:r>
        <w:rPr>
          <w:rFonts w:hint="eastAsia" w:ascii="宋体" w:hAnsi="宋体" w:eastAsia="宋体" w:cs="宋体"/>
          <w:b/>
          <w:bCs/>
          <w:color w:val="auto"/>
          <w:sz w:val="28"/>
          <w:szCs w:val="36"/>
          <w:highlight w:val="none"/>
        </w:rPr>
        <w:t>81</w:t>
      </w:r>
      <w:r>
        <w:rPr>
          <w:rFonts w:hint="eastAsia" w:ascii="宋体" w:hAnsi="宋体" w:eastAsia="宋体" w:cs="宋体"/>
          <w:b/>
          <w:bCs/>
          <w:color w:val="auto"/>
          <w:sz w:val="28"/>
          <w:szCs w:val="36"/>
          <w:highlight w:val="none"/>
        </w:rPr>
        <w:fldChar w:fldCharType="end"/>
      </w:r>
      <w:r>
        <w:rPr>
          <w:rFonts w:hint="eastAsia" w:ascii="宋体" w:hAnsi="宋体" w:eastAsia="宋体" w:cs="宋体"/>
          <w:b/>
          <w:bCs/>
          <w:caps/>
          <w:color w:val="auto"/>
          <w:sz w:val="28"/>
          <w:szCs w:val="36"/>
          <w:highlight w:val="none"/>
        </w:rPr>
        <w:fldChar w:fldCharType="end"/>
      </w:r>
    </w:p>
    <w:p w14:paraId="7DEAC267">
      <w:pPr>
        <w:pStyle w:val="22"/>
        <w:tabs>
          <w:tab w:val="right" w:leader="dot" w:pos="8730"/>
        </w:tabs>
        <w:spacing w:before="120" w:after="120"/>
        <w:ind w:firstLine="281" w:firstLineChars="100"/>
        <w:jc w:val="left"/>
        <w:rPr>
          <w:rFonts w:hint="eastAsia" w:ascii="宋体" w:hAnsi="宋体" w:eastAsia="宋体" w:cs="宋体"/>
          <w:b/>
          <w:bCs/>
          <w:color w:val="auto"/>
          <w:sz w:val="36"/>
          <w:szCs w:val="36"/>
          <w:highlight w:val="none"/>
        </w:rPr>
      </w:pPr>
      <w:r>
        <w:rPr>
          <w:rFonts w:hint="eastAsia" w:ascii="宋体" w:hAnsi="宋体" w:eastAsia="宋体" w:cs="宋体"/>
          <w:b/>
          <w:bCs/>
          <w:caps/>
          <w:color w:val="auto"/>
          <w:sz w:val="28"/>
          <w:szCs w:val="36"/>
          <w:highlight w:val="none"/>
        </w:rPr>
        <w:fldChar w:fldCharType="end"/>
      </w:r>
    </w:p>
    <w:p w14:paraId="218F1A9B">
      <w:pPr>
        <w:spacing w:line="400" w:lineRule="exact"/>
        <w:jc w:val="left"/>
        <w:rPr>
          <w:rFonts w:hint="eastAsia" w:ascii="宋体" w:hAnsi="宋体" w:eastAsia="宋体" w:cs="宋体"/>
          <w:b/>
          <w:color w:val="auto"/>
          <w:sz w:val="32"/>
          <w:szCs w:val="32"/>
          <w:highlight w:val="none"/>
        </w:rPr>
      </w:pPr>
    </w:p>
    <w:p w14:paraId="0472638B">
      <w:pPr>
        <w:spacing w:line="400" w:lineRule="exact"/>
        <w:jc w:val="center"/>
        <w:rPr>
          <w:rFonts w:hint="eastAsia" w:ascii="宋体" w:hAnsi="宋体" w:eastAsia="宋体" w:cs="宋体"/>
          <w:b/>
          <w:color w:val="auto"/>
          <w:sz w:val="32"/>
          <w:szCs w:val="32"/>
          <w:highlight w:val="none"/>
        </w:rPr>
      </w:pPr>
    </w:p>
    <w:p w14:paraId="2B004AF3">
      <w:pPr>
        <w:spacing w:line="400" w:lineRule="exact"/>
        <w:jc w:val="center"/>
        <w:rPr>
          <w:rFonts w:hint="eastAsia" w:ascii="宋体" w:hAnsi="宋体" w:eastAsia="宋体" w:cs="宋体"/>
          <w:b/>
          <w:color w:val="auto"/>
          <w:sz w:val="32"/>
          <w:szCs w:val="32"/>
          <w:highlight w:val="none"/>
        </w:rPr>
      </w:pPr>
    </w:p>
    <w:p w14:paraId="3DFA87FF">
      <w:pPr>
        <w:spacing w:line="400" w:lineRule="exact"/>
        <w:jc w:val="center"/>
        <w:rPr>
          <w:rFonts w:hint="eastAsia" w:ascii="宋体" w:hAnsi="宋体" w:eastAsia="宋体" w:cs="宋体"/>
          <w:b/>
          <w:color w:val="auto"/>
          <w:sz w:val="32"/>
          <w:szCs w:val="32"/>
          <w:highlight w:val="none"/>
        </w:rPr>
      </w:pPr>
    </w:p>
    <w:p w14:paraId="26606A82">
      <w:pPr>
        <w:pStyle w:val="24"/>
        <w:tabs>
          <w:tab w:val="right" w:leader="dot" w:pos="8931"/>
          <w:tab w:val="clear" w:pos="8296"/>
        </w:tabs>
        <w:snapToGrid w:val="0"/>
        <w:spacing w:line="500" w:lineRule="atLeast"/>
        <w:ind w:left="0" w:leftChars="0"/>
        <w:rPr>
          <w:rFonts w:hint="eastAsia" w:ascii="宋体" w:hAnsi="宋体" w:eastAsia="宋体" w:cs="宋体"/>
          <w:b/>
          <w:color w:val="auto"/>
          <w:sz w:val="24"/>
          <w:highlight w:val="none"/>
        </w:rPr>
      </w:pPr>
    </w:p>
    <w:p w14:paraId="227B7D57">
      <w:pPr>
        <w:spacing w:line="400" w:lineRule="exact"/>
        <w:jc w:val="left"/>
        <w:rPr>
          <w:rFonts w:hint="eastAsia" w:ascii="宋体" w:hAnsi="宋体" w:eastAsia="宋体" w:cs="宋体"/>
          <w:b/>
          <w:color w:val="auto"/>
          <w:sz w:val="32"/>
          <w:szCs w:val="32"/>
          <w:highlight w:val="none"/>
        </w:rPr>
      </w:pPr>
    </w:p>
    <w:p w14:paraId="6D698D5D">
      <w:pPr>
        <w:spacing w:line="400" w:lineRule="exact"/>
        <w:jc w:val="center"/>
        <w:rPr>
          <w:rFonts w:hint="eastAsia" w:ascii="宋体" w:hAnsi="宋体" w:eastAsia="宋体" w:cs="宋体"/>
          <w:b/>
          <w:color w:val="auto"/>
          <w:sz w:val="32"/>
          <w:szCs w:val="32"/>
          <w:highlight w:val="none"/>
        </w:rPr>
      </w:pPr>
    </w:p>
    <w:p w14:paraId="156C0A66">
      <w:pPr>
        <w:spacing w:line="400" w:lineRule="exact"/>
        <w:jc w:val="center"/>
        <w:rPr>
          <w:rFonts w:hint="eastAsia" w:ascii="宋体" w:hAnsi="宋体" w:eastAsia="宋体" w:cs="宋体"/>
          <w:b/>
          <w:color w:val="auto"/>
          <w:sz w:val="32"/>
          <w:szCs w:val="32"/>
          <w:highlight w:val="none"/>
        </w:rPr>
      </w:pPr>
    </w:p>
    <w:p w14:paraId="45F6D870">
      <w:pPr>
        <w:spacing w:line="400" w:lineRule="exact"/>
        <w:jc w:val="center"/>
        <w:rPr>
          <w:rFonts w:hint="eastAsia" w:ascii="宋体" w:hAnsi="宋体" w:eastAsia="宋体" w:cs="宋体"/>
          <w:b/>
          <w:color w:val="auto"/>
          <w:sz w:val="32"/>
          <w:szCs w:val="32"/>
          <w:highlight w:val="none"/>
        </w:rPr>
      </w:pPr>
    </w:p>
    <w:p w14:paraId="45CE254C">
      <w:pPr>
        <w:spacing w:line="400" w:lineRule="exact"/>
        <w:jc w:val="center"/>
        <w:rPr>
          <w:rFonts w:hint="eastAsia" w:ascii="宋体" w:hAnsi="宋体" w:eastAsia="宋体" w:cs="宋体"/>
          <w:b/>
          <w:color w:val="auto"/>
          <w:sz w:val="32"/>
          <w:szCs w:val="32"/>
          <w:highlight w:val="none"/>
        </w:rPr>
      </w:pPr>
    </w:p>
    <w:p w14:paraId="4108FE8C">
      <w:pPr>
        <w:spacing w:line="400" w:lineRule="exact"/>
        <w:rPr>
          <w:rFonts w:hint="eastAsia" w:ascii="宋体" w:hAnsi="宋体" w:eastAsia="宋体" w:cs="宋体"/>
          <w:b/>
          <w:color w:val="auto"/>
          <w:sz w:val="32"/>
          <w:szCs w:val="32"/>
          <w:highlight w:val="none"/>
        </w:rPr>
        <w:sectPr>
          <w:headerReference r:id="rId4" w:type="first"/>
          <w:footerReference r:id="rId6" w:type="first"/>
          <w:headerReference r:id="rId3" w:type="default"/>
          <w:footerReference r:id="rId5" w:type="default"/>
          <w:pgSz w:w="11906" w:h="16838"/>
          <w:pgMar w:top="1417" w:right="1417" w:bottom="1417" w:left="1417" w:header="851" w:footer="567" w:gutter="0"/>
          <w:pgNumType w:fmt="decimal" w:start="0"/>
          <w:cols w:space="720" w:num="1"/>
          <w:titlePg/>
          <w:docGrid w:type="lines" w:linePitch="312" w:charSpace="0"/>
        </w:sectPr>
      </w:pPr>
    </w:p>
    <w:p w14:paraId="53F9DBC2">
      <w:pPr>
        <w:pStyle w:val="2"/>
        <w:spacing w:line="360" w:lineRule="auto"/>
        <w:jc w:val="center"/>
        <w:rPr>
          <w:rFonts w:hint="eastAsia" w:ascii="宋体" w:hAnsi="宋体" w:eastAsia="宋体" w:cs="宋体"/>
          <w:b/>
          <w:bCs/>
          <w:color w:val="auto"/>
          <w:kern w:val="44"/>
          <w:sz w:val="36"/>
          <w:szCs w:val="36"/>
          <w:highlight w:val="none"/>
          <w:lang w:eastAsia="zh-CN"/>
        </w:rPr>
      </w:pPr>
      <w:bookmarkStart w:id="0" w:name="_Toc22301"/>
      <w:r>
        <w:rPr>
          <w:rFonts w:hint="eastAsia" w:ascii="宋体" w:hAnsi="宋体" w:eastAsia="宋体" w:cs="宋体"/>
          <w:color w:val="auto"/>
          <w:highlight w:val="none"/>
        </w:rPr>
        <w:t>第一章 竞争性磋商公告</w:t>
      </w:r>
      <w:bookmarkEnd w:id="0"/>
    </w:p>
    <w:p w14:paraId="7D9842A1">
      <w:pPr>
        <w:spacing w:line="360" w:lineRule="auto"/>
        <w:jc w:val="center"/>
        <w:rPr>
          <w:rFonts w:hint="eastAsia" w:ascii="宋体" w:hAnsi="宋体" w:eastAsia="宋体" w:cs="宋体"/>
          <w:b/>
          <w:bCs/>
          <w:color w:val="auto"/>
          <w:kern w:val="44"/>
          <w:sz w:val="36"/>
          <w:szCs w:val="36"/>
          <w:highlight w:val="none"/>
        </w:rPr>
      </w:pPr>
      <w:r>
        <w:rPr>
          <w:rFonts w:hint="eastAsia" w:ascii="宋体" w:hAnsi="宋体" w:eastAsia="宋体" w:cs="宋体"/>
          <w:b/>
          <w:bCs/>
          <w:color w:val="auto"/>
          <w:kern w:val="44"/>
          <w:sz w:val="36"/>
          <w:szCs w:val="36"/>
          <w:highlight w:val="none"/>
          <w:lang w:eastAsia="zh-CN"/>
        </w:rPr>
        <w:t>G241线石和镇梨木冲村至博白公路改建工程前期工作采购</w:t>
      </w:r>
      <w:r>
        <w:rPr>
          <w:rFonts w:hint="eastAsia" w:ascii="宋体" w:hAnsi="宋体" w:eastAsia="宋体" w:cs="宋体"/>
          <w:b/>
          <w:bCs/>
          <w:color w:val="auto"/>
          <w:kern w:val="44"/>
          <w:sz w:val="36"/>
          <w:szCs w:val="36"/>
          <w:highlight w:val="none"/>
        </w:rPr>
        <w:t>（</w:t>
      </w:r>
      <w:r>
        <w:rPr>
          <w:rFonts w:hint="eastAsia" w:ascii="宋体" w:hAnsi="宋体" w:cs="宋体"/>
          <w:b/>
          <w:bCs/>
          <w:color w:val="auto"/>
          <w:kern w:val="44"/>
          <w:sz w:val="36"/>
          <w:szCs w:val="36"/>
          <w:highlight w:val="none"/>
          <w:lang w:eastAsia="zh-CN"/>
        </w:rPr>
        <w:t>GXZC2025-C3-003391-ZLGC</w:t>
      </w:r>
      <w:r>
        <w:rPr>
          <w:rFonts w:hint="eastAsia" w:ascii="宋体" w:hAnsi="宋体" w:eastAsia="宋体" w:cs="宋体"/>
          <w:b/>
          <w:bCs/>
          <w:color w:val="auto"/>
          <w:kern w:val="44"/>
          <w:sz w:val="36"/>
          <w:szCs w:val="36"/>
          <w:highlight w:val="none"/>
        </w:rPr>
        <w:t>）竞争性磋商公告</w:t>
      </w:r>
    </w:p>
    <w:p w14:paraId="457854C9">
      <w:pPr>
        <w:spacing w:line="360" w:lineRule="auto"/>
        <w:jc w:val="center"/>
        <w:rPr>
          <w:rFonts w:hint="eastAsia" w:ascii="宋体" w:hAnsi="宋体" w:eastAsia="宋体" w:cs="宋体"/>
          <w:color w:val="auto"/>
          <w:sz w:val="24"/>
          <w:highlight w:val="none"/>
        </w:rPr>
      </w:pPr>
    </w:p>
    <w:p w14:paraId="5C44E4F8">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eastAsia="宋体" w:cs="宋体"/>
          <w:color w:val="auto"/>
          <w:sz w:val="24"/>
          <w:highlight w:val="none"/>
        </w:rPr>
      </w:pPr>
      <w:bookmarkStart w:id="1" w:name="_Hlk37430271"/>
      <w:r>
        <w:rPr>
          <w:rFonts w:hint="eastAsia" w:ascii="宋体" w:hAnsi="宋体" w:eastAsia="宋体" w:cs="宋体"/>
          <w:color w:val="auto"/>
          <w:sz w:val="24"/>
          <w:highlight w:val="none"/>
        </w:rPr>
        <w:t>项目概况</w:t>
      </w:r>
    </w:p>
    <w:p w14:paraId="5743B895">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eastAsia="宋体" w:cs="宋体"/>
          <w:b/>
          <w:color w:val="auto"/>
          <w:sz w:val="24"/>
          <w:highlight w:val="none"/>
        </w:rPr>
      </w:pPr>
      <w:r>
        <w:rPr>
          <w:rFonts w:hint="eastAsia" w:ascii="宋体" w:hAnsi="宋体" w:eastAsia="宋体" w:cs="宋体"/>
          <w:color w:val="auto"/>
          <w:sz w:val="24"/>
          <w:highlight w:val="none"/>
          <w:u w:val="single"/>
          <w:lang w:eastAsia="zh-CN"/>
        </w:rPr>
        <w:t>G241线石和镇梨木冲村至博白公路改建工程前期工作采购</w:t>
      </w:r>
      <w:r>
        <w:rPr>
          <w:rFonts w:hint="eastAsia" w:ascii="宋体" w:hAnsi="宋体" w:eastAsia="宋体" w:cs="宋体"/>
          <w:color w:val="auto"/>
          <w:sz w:val="24"/>
          <w:highlight w:val="none"/>
        </w:rPr>
        <w:t>项目的潜在供应商应在广西政府采购云平台（https：//www.gcy.zfcg.gxzf.gov.cn/）获取（下载）竞争性磋商文件，并于</w:t>
      </w:r>
      <w:r>
        <w:rPr>
          <w:rFonts w:hint="eastAsia" w:ascii="宋体" w:hAnsi="宋体" w:eastAsia="宋体" w:cs="宋体"/>
          <w:color w:val="auto"/>
          <w:sz w:val="24"/>
          <w:highlight w:val="none"/>
          <w:lang w:eastAsia="zh-CN"/>
        </w:rPr>
        <w:t>2025年11月21日9时00分</w:t>
      </w:r>
      <w:r>
        <w:rPr>
          <w:rFonts w:hint="eastAsia" w:ascii="宋体" w:hAnsi="宋体" w:eastAsia="宋体" w:cs="宋体"/>
          <w:bCs/>
          <w:color w:val="auto"/>
          <w:sz w:val="24"/>
          <w:highlight w:val="none"/>
        </w:rPr>
        <w:t>（北京时间）前提交响应文件</w:t>
      </w:r>
      <w:r>
        <w:rPr>
          <w:rFonts w:hint="eastAsia" w:ascii="宋体" w:hAnsi="宋体" w:eastAsia="宋体" w:cs="宋体"/>
          <w:color w:val="auto"/>
          <w:sz w:val="24"/>
          <w:highlight w:val="none"/>
        </w:rPr>
        <w:t>。</w:t>
      </w:r>
      <w:bookmarkStart w:id="2" w:name="_Hlk37429674"/>
      <w:bookmarkStart w:id="3" w:name="_Toc28359018"/>
      <w:bookmarkStart w:id="4" w:name="_Toc35393805"/>
      <w:bookmarkStart w:id="5" w:name="_Toc28359095"/>
      <w:bookmarkStart w:id="6" w:name="_Toc44229885"/>
      <w:bookmarkStart w:id="7" w:name="_Toc35393636"/>
    </w:p>
    <w:p w14:paraId="39D52AD8">
      <w:pPr>
        <w:widowControl/>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一、项目基本情况</w:t>
      </w:r>
    </w:p>
    <w:p w14:paraId="586D0654">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lang w:eastAsia="zh-CN"/>
        </w:rPr>
        <w:t>G241线石和镇梨木冲村至博白公路改建工程前期工作采购</w:t>
      </w:r>
    </w:p>
    <w:p w14:paraId="165392DD">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项目编号：</w:t>
      </w:r>
      <w:r>
        <w:rPr>
          <w:rFonts w:hint="eastAsia" w:ascii="宋体" w:hAnsi="宋体" w:cs="宋体"/>
          <w:color w:val="auto"/>
          <w:sz w:val="24"/>
          <w:highlight w:val="none"/>
          <w:lang w:eastAsia="zh-CN"/>
        </w:rPr>
        <w:t>GXZC2025-C3-003391-ZLGC</w:t>
      </w:r>
    </w:p>
    <w:p w14:paraId="676F774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建设规模：</w:t>
      </w:r>
      <w:r>
        <w:rPr>
          <w:rFonts w:hint="eastAsia" w:ascii="宋体" w:hAnsi="宋体" w:eastAsia="宋体" w:cs="宋体"/>
          <w:color w:val="auto"/>
          <w:sz w:val="24"/>
          <w:highlight w:val="none"/>
        </w:rPr>
        <w:t>（1）G241玉林分界至博白公路改建工程，项目起点位于玉林市福绵区和博白县交接处，起点桩号K3348+440，路线沿旧路G241由北向南布线，终点位于博白县蒋田村附近，终点桩号K3354+300。按照二级公路标准建设，设计速度60km/h。</w:t>
      </w:r>
    </w:p>
    <w:p w14:paraId="3C80466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（2）G241线石和镇梨木冲村至沙田南流村公路改建工程，项目起点位于玉林市福绵区石和镇梨木冲村附近，起点桩号K3334+687，路线沿旧路G241由北向南布线，终点位于玉林市福绵区和博白县交接处，终</w:t>
      </w:r>
      <w:r>
        <w:rPr>
          <w:rFonts w:hint="eastAsia" w:ascii="宋体" w:hAnsi="宋体" w:cs="宋体"/>
          <w:color w:val="auto"/>
          <w:sz w:val="24"/>
          <w:highlight w:val="none"/>
          <w:lang w:eastAsia="zh-CN"/>
        </w:rPr>
        <w:t>点</w:t>
      </w:r>
      <w:r>
        <w:rPr>
          <w:rFonts w:hint="eastAsia" w:ascii="宋体" w:hAnsi="宋体" w:eastAsia="宋体" w:cs="宋体"/>
          <w:color w:val="auto"/>
          <w:sz w:val="24"/>
          <w:highlight w:val="none"/>
        </w:rPr>
        <w:t>桩号K3348+440。按照二级公路标准建设，设计速度60km/h。</w:t>
      </w:r>
    </w:p>
    <w:p w14:paraId="46ACE0CC">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预算金额（人民币）：</w:t>
      </w:r>
      <w:r>
        <w:rPr>
          <w:rFonts w:hint="eastAsia" w:ascii="宋体" w:hAnsi="宋体" w:eastAsia="宋体" w:cs="宋体"/>
          <w:color w:val="auto"/>
          <w:sz w:val="24"/>
          <w:highlight w:val="none"/>
          <w:lang w:val="en-US" w:eastAsia="zh-CN"/>
        </w:rPr>
        <w:t>贰佰壹拾肆万壹仟陆佰元整</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2141600.00</w:t>
      </w:r>
      <w:r>
        <w:rPr>
          <w:rFonts w:hint="eastAsia" w:ascii="宋体" w:hAnsi="宋体" w:eastAsia="宋体" w:cs="宋体"/>
          <w:color w:val="auto"/>
          <w:sz w:val="24"/>
          <w:highlight w:val="none"/>
        </w:rPr>
        <w:t>），其中：1分标</w:t>
      </w:r>
      <w:r>
        <w:rPr>
          <w:rFonts w:hint="eastAsia" w:ascii="宋体" w:hAnsi="宋体" w:eastAsia="宋体" w:cs="宋体"/>
          <w:color w:val="auto"/>
          <w:sz w:val="24"/>
          <w:highlight w:val="none"/>
          <w:lang w:val="en-US" w:eastAsia="zh-CN"/>
        </w:rPr>
        <w:t>伍拾陆万壹仟元整</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561</w:t>
      </w:r>
      <w:r>
        <w:rPr>
          <w:rFonts w:hint="eastAsia" w:ascii="宋体" w:hAnsi="宋体" w:eastAsia="宋体" w:cs="宋体"/>
          <w:color w:val="auto"/>
          <w:sz w:val="24"/>
          <w:highlight w:val="none"/>
        </w:rPr>
        <w:t>000.00）；2分标</w:t>
      </w:r>
      <w:r>
        <w:rPr>
          <w:rFonts w:hint="eastAsia" w:ascii="宋体" w:hAnsi="宋体" w:eastAsia="宋体" w:cs="宋体"/>
          <w:color w:val="auto"/>
          <w:sz w:val="24"/>
          <w:highlight w:val="none"/>
          <w:lang w:val="en-US" w:eastAsia="zh-CN"/>
        </w:rPr>
        <w:t>壹拾壹万伍仟元整</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115</w:t>
      </w:r>
      <w:r>
        <w:rPr>
          <w:rFonts w:hint="eastAsia" w:ascii="宋体" w:hAnsi="宋体" w:eastAsia="宋体" w:cs="宋体"/>
          <w:color w:val="auto"/>
          <w:sz w:val="24"/>
          <w:highlight w:val="none"/>
        </w:rPr>
        <w:t>000.00）；3分标</w:t>
      </w:r>
      <w:r>
        <w:rPr>
          <w:rFonts w:hint="eastAsia" w:ascii="宋体" w:hAnsi="宋体" w:eastAsia="宋体" w:cs="宋体"/>
          <w:color w:val="auto"/>
          <w:sz w:val="24"/>
          <w:highlight w:val="none"/>
          <w:lang w:val="en-US" w:eastAsia="zh-CN"/>
        </w:rPr>
        <w:t>捌拾贰万陆仟元整</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826</w:t>
      </w:r>
      <w:r>
        <w:rPr>
          <w:rFonts w:hint="eastAsia" w:ascii="宋体" w:hAnsi="宋体" w:eastAsia="宋体" w:cs="宋体"/>
          <w:color w:val="auto"/>
          <w:sz w:val="24"/>
          <w:highlight w:val="none"/>
        </w:rPr>
        <w:t>000.00）；4分标</w:t>
      </w:r>
      <w:r>
        <w:rPr>
          <w:rFonts w:hint="eastAsia" w:ascii="宋体" w:hAnsi="宋体" w:eastAsia="宋体" w:cs="宋体"/>
          <w:color w:val="auto"/>
          <w:sz w:val="24"/>
          <w:highlight w:val="none"/>
          <w:lang w:val="en-US" w:eastAsia="zh-CN"/>
        </w:rPr>
        <w:t>陆拾叁万玖仟陆佰元整</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6396</w:t>
      </w:r>
      <w:r>
        <w:rPr>
          <w:rFonts w:hint="eastAsia" w:ascii="宋体" w:hAnsi="宋体" w:eastAsia="宋体" w:cs="宋体"/>
          <w:color w:val="auto"/>
          <w:sz w:val="24"/>
          <w:highlight w:val="none"/>
        </w:rPr>
        <w:t>00.00）</w:t>
      </w:r>
      <w:r>
        <w:rPr>
          <w:rFonts w:hint="eastAsia" w:ascii="宋体" w:hAnsi="宋体" w:eastAsia="宋体" w:cs="宋体"/>
          <w:color w:val="auto"/>
          <w:sz w:val="24"/>
          <w:highlight w:val="none"/>
          <w:lang w:eastAsia="zh-CN"/>
        </w:rPr>
        <w:t>。</w:t>
      </w:r>
    </w:p>
    <w:p w14:paraId="01EF607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最高限价（如有/人民币）：</w:t>
      </w:r>
      <w:r>
        <w:rPr>
          <w:rFonts w:hint="eastAsia" w:ascii="宋体" w:hAnsi="宋体" w:eastAsia="宋体" w:cs="宋体"/>
          <w:color w:val="auto"/>
          <w:sz w:val="24"/>
          <w:highlight w:val="none"/>
          <w:lang w:val="en-US" w:eastAsia="zh-CN"/>
        </w:rPr>
        <w:t>贰佰壹拾肆万壹仟陆佰元整</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2141600.00</w:t>
      </w:r>
      <w:r>
        <w:rPr>
          <w:rFonts w:hint="eastAsia" w:ascii="宋体" w:hAnsi="宋体" w:eastAsia="宋体" w:cs="宋体"/>
          <w:color w:val="auto"/>
          <w:sz w:val="24"/>
          <w:highlight w:val="none"/>
        </w:rPr>
        <w:t>），其中：1分标</w:t>
      </w:r>
      <w:r>
        <w:rPr>
          <w:rFonts w:hint="eastAsia" w:ascii="宋体" w:hAnsi="宋体" w:eastAsia="宋体" w:cs="宋体"/>
          <w:color w:val="auto"/>
          <w:sz w:val="24"/>
          <w:highlight w:val="none"/>
          <w:lang w:val="en-US" w:eastAsia="zh-CN"/>
        </w:rPr>
        <w:t>伍拾陆万壹仟元整</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561</w:t>
      </w:r>
      <w:r>
        <w:rPr>
          <w:rFonts w:hint="eastAsia" w:ascii="宋体" w:hAnsi="宋体" w:eastAsia="宋体" w:cs="宋体"/>
          <w:color w:val="auto"/>
          <w:sz w:val="24"/>
          <w:highlight w:val="none"/>
        </w:rPr>
        <w:t>000.00）；2分标</w:t>
      </w:r>
      <w:r>
        <w:rPr>
          <w:rFonts w:hint="eastAsia" w:ascii="宋体" w:hAnsi="宋体" w:eastAsia="宋体" w:cs="宋体"/>
          <w:color w:val="auto"/>
          <w:sz w:val="24"/>
          <w:highlight w:val="none"/>
          <w:lang w:val="en-US" w:eastAsia="zh-CN"/>
        </w:rPr>
        <w:t>壹拾壹万伍仟元整</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115</w:t>
      </w:r>
      <w:r>
        <w:rPr>
          <w:rFonts w:hint="eastAsia" w:ascii="宋体" w:hAnsi="宋体" w:eastAsia="宋体" w:cs="宋体"/>
          <w:color w:val="auto"/>
          <w:sz w:val="24"/>
          <w:highlight w:val="none"/>
        </w:rPr>
        <w:t>000.00）；3分标</w:t>
      </w:r>
      <w:r>
        <w:rPr>
          <w:rFonts w:hint="eastAsia" w:ascii="宋体" w:hAnsi="宋体" w:eastAsia="宋体" w:cs="宋体"/>
          <w:color w:val="auto"/>
          <w:sz w:val="24"/>
          <w:highlight w:val="none"/>
          <w:lang w:val="en-US" w:eastAsia="zh-CN"/>
        </w:rPr>
        <w:t>捌拾贰万陆仟元整</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826</w:t>
      </w:r>
      <w:r>
        <w:rPr>
          <w:rFonts w:hint="eastAsia" w:ascii="宋体" w:hAnsi="宋体" w:eastAsia="宋体" w:cs="宋体"/>
          <w:color w:val="auto"/>
          <w:sz w:val="24"/>
          <w:highlight w:val="none"/>
        </w:rPr>
        <w:t>000.00）；4分标</w:t>
      </w:r>
      <w:r>
        <w:rPr>
          <w:rFonts w:hint="eastAsia" w:ascii="宋体" w:hAnsi="宋体" w:eastAsia="宋体" w:cs="宋体"/>
          <w:color w:val="auto"/>
          <w:sz w:val="24"/>
          <w:highlight w:val="none"/>
          <w:lang w:val="en-US" w:eastAsia="zh-CN"/>
        </w:rPr>
        <w:t>陆拾叁万玖仟陆佰元整</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6396</w:t>
      </w:r>
      <w:r>
        <w:rPr>
          <w:rFonts w:hint="eastAsia" w:ascii="宋体" w:hAnsi="宋体" w:eastAsia="宋体" w:cs="宋体"/>
          <w:color w:val="auto"/>
          <w:sz w:val="24"/>
          <w:highlight w:val="none"/>
        </w:rPr>
        <w:t>00.00）</w:t>
      </w:r>
      <w:r>
        <w:rPr>
          <w:rFonts w:hint="eastAsia" w:ascii="宋体" w:hAnsi="宋体" w:eastAsia="宋体" w:cs="宋体"/>
          <w:color w:val="auto"/>
          <w:sz w:val="24"/>
          <w:highlight w:val="none"/>
          <w:lang w:eastAsia="zh-CN"/>
        </w:rPr>
        <w:t>。</w:t>
      </w:r>
    </w:p>
    <w:p w14:paraId="3D612DE8">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采购需求：</w:t>
      </w:r>
    </w:p>
    <w:tbl>
      <w:tblPr>
        <w:tblStyle w:val="29"/>
        <w:tblW w:w="94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
        <w:gridCol w:w="2498"/>
        <w:gridCol w:w="558"/>
        <w:gridCol w:w="478"/>
        <w:gridCol w:w="2665"/>
        <w:gridCol w:w="1417"/>
        <w:gridCol w:w="1417"/>
      </w:tblGrid>
      <w:tr w14:paraId="43AE1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3" w:type="dxa"/>
            <w:shd w:val="clear" w:color="auto" w:fill="auto"/>
            <w:vAlign w:val="center"/>
          </w:tcPr>
          <w:p w14:paraId="0E321784">
            <w:pPr>
              <w:pStyle w:val="77"/>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分标</w:t>
            </w:r>
          </w:p>
        </w:tc>
        <w:tc>
          <w:tcPr>
            <w:tcW w:w="2498" w:type="dxa"/>
            <w:shd w:val="clear" w:color="auto" w:fill="auto"/>
            <w:vAlign w:val="center"/>
          </w:tcPr>
          <w:p w14:paraId="1CE114A9">
            <w:pPr>
              <w:pStyle w:val="77"/>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标的名称</w:t>
            </w:r>
          </w:p>
        </w:tc>
        <w:tc>
          <w:tcPr>
            <w:tcW w:w="558" w:type="dxa"/>
            <w:shd w:val="clear" w:color="auto" w:fill="auto"/>
            <w:vAlign w:val="center"/>
          </w:tcPr>
          <w:p w14:paraId="4E3620D6">
            <w:pPr>
              <w:pStyle w:val="77"/>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478" w:type="dxa"/>
            <w:shd w:val="clear" w:color="auto" w:fill="auto"/>
            <w:vAlign w:val="center"/>
          </w:tcPr>
          <w:p w14:paraId="73E96C06">
            <w:pPr>
              <w:pStyle w:val="77"/>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w:t>
            </w:r>
          </w:p>
        </w:tc>
        <w:tc>
          <w:tcPr>
            <w:tcW w:w="2665" w:type="dxa"/>
            <w:shd w:val="clear" w:color="auto" w:fill="auto"/>
            <w:vAlign w:val="center"/>
          </w:tcPr>
          <w:p w14:paraId="07928624">
            <w:pPr>
              <w:pStyle w:val="77"/>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简要服务要求</w:t>
            </w:r>
          </w:p>
        </w:tc>
        <w:tc>
          <w:tcPr>
            <w:tcW w:w="1417" w:type="dxa"/>
            <w:shd w:val="clear" w:color="auto" w:fill="auto"/>
            <w:vAlign w:val="center"/>
          </w:tcPr>
          <w:p w14:paraId="57AF49EB">
            <w:pPr>
              <w:pStyle w:val="77"/>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预算单价</w:t>
            </w:r>
          </w:p>
          <w:p w14:paraId="037770B3">
            <w:pPr>
              <w:pStyle w:val="77"/>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（万元/人民币）</w:t>
            </w:r>
          </w:p>
        </w:tc>
        <w:tc>
          <w:tcPr>
            <w:tcW w:w="1417" w:type="dxa"/>
            <w:shd w:val="clear" w:color="auto" w:fill="auto"/>
            <w:vAlign w:val="center"/>
          </w:tcPr>
          <w:p w14:paraId="4B20434C">
            <w:pPr>
              <w:pStyle w:val="77"/>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单项预算合计（万元/人民币）</w:t>
            </w:r>
          </w:p>
        </w:tc>
      </w:tr>
      <w:tr w14:paraId="1537C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453" w:type="dxa"/>
            <w:shd w:val="clear" w:color="auto" w:fill="auto"/>
            <w:vAlign w:val="center"/>
          </w:tcPr>
          <w:p w14:paraId="2C6BD0B2">
            <w:pPr>
              <w:pStyle w:val="77"/>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498" w:type="dxa"/>
            <w:shd w:val="clear" w:color="auto" w:fill="auto"/>
            <w:vAlign w:val="center"/>
          </w:tcPr>
          <w:p w14:paraId="1F709176">
            <w:pPr>
              <w:bidi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G241玉林分界至博白公路改建工程工可、专题报告</w:t>
            </w:r>
          </w:p>
        </w:tc>
        <w:tc>
          <w:tcPr>
            <w:tcW w:w="558" w:type="dxa"/>
            <w:shd w:val="clear" w:color="auto" w:fill="auto"/>
            <w:vAlign w:val="center"/>
          </w:tcPr>
          <w:p w14:paraId="17BE944A">
            <w:pPr>
              <w:bidi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478" w:type="dxa"/>
            <w:shd w:val="clear" w:color="auto" w:fill="auto"/>
            <w:vAlign w:val="center"/>
          </w:tcPr>
          <w:p w14:paraId="1AFE475D">
            <w:pPr>
              <w:bidi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w:t>
            </w:r>
          </w:p>
        </w:tc>
        <w:tc>
          <w:tcPr>
            <w:tcW w:w="2665" w:type="dxa"/>
            <w:shd w:val="clear" w:color="auto" w:fill="auto"/>
          </w:tcPr>
          <w:p w14:paraId="12838788">
            <w:pPr>
              <w:bidi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1.前期专题报告：改建工程专项检测服务、社会稳定风险分析、环境影响评价报告、安全预评价报告、安全条件论证报告；2.工程可行性研究报告编制服务。</w:t>
            </w:r>
          </w:p>
        </w:tc>
        <w:tc>
          <w:tcPr>
            <w:tcW w:w="1417" w:type="dxa"/>
            <w:shd w:val="clear" w:color="auto" w:fill="auto"/>
            <w:vAlign w:val="center"/>
          </w:tcPr>
          <w:p w14:paraId="5A6AA105">
            <w:pPr>
              <w:bidi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56.1</w:t>
            </w:r>
          </w:p>
        </w:tc>
        <w:tc>
          <w:tcPr>
            <w:tcW w:w="1417" w:type="dxa"/>
            <w:shd w:val="clear" w:color="auto" w:fill="auto"/>
            <w:vAlign w:val="center"/>
          </w:tcPr>
          <w:p w14:paraId="4D16D4BE">
            <w:pPr>
              <w:bidi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56.1</w:t>
            </w:r>
          </w:p>
        </w:tc>
      </w:tr>
      <w:tr w14:paraId="28BC2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453" w:type="dxa"/>
            <w:shd w:val="clear" w:color="auto" w:fill="auto"/>
            <w:vAlign w:val="center"/>
          </w:tcPr>
          <w:p w14:paraId="1F73B3BD">
            <w:pPr>
              <w:pStyle w:val="77"/>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498" w:type="dxa"/>
            <w:shd w:val="clear" w:color="auto" w:fill="auto"/>
            <w:vAlign w:val="center"/>
          </w:tcPr>
          <w:p w14:paraId="35088D50">
            <w:pPr>
              <w:bidi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G241玉林分界至博白公路改建工程施工图安全评价及设计审查</w:t>
            </w:r>
          </w:p>
        </w:tc>
        <w:tc>
          <w:tcPr>
            <w:tcW w:w="558" w:type="dxa"/>
            <w:shd w:val="clear" w:color="auto" w:fill="auto"/>
            <w:vAlign w:val="center"/>
          </w:tcPr>
          <w:p w14:paraId="31DFB5B3">
            <w:pPr>
              <w:bidi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478" w:type="dxa"/>
            <w:shd w:val="clear" w:color="auto" w:fill="auto"/>
            <w:vAlign w:val="center"/>
          </w:tcPr>
          <w:p w14:paraId="0A996C40">
            <w:pPr>
              <w:bidi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w:t>
            </w:r>
          </w:p>
        </w:tc>
        <w:tc>
          <w:tcPr>
            <w:tcW w:w="2665" w:type="dxa"/>
            <w:shd w:val="clear" w:color="auto" w:fill="auto"/>
            <w:vAlign w:val="center"/>
          </w:tcPr>
          <w:p w14:paraId="4D110102">
            <w:pPr>
              <w:bidi w:val="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1.施工图设计安全性评价；2.编制施工图设计咨询审查报告。</w:t>
            </w:r>
          </w:p>
        </w:tc>
        <w:tc>
          <w:tcPr>
            <w:tcW w:w="1417" w:type="dxa"/>
            <w:shd w:val="clear" w:color="auto" w:fill="auto"/>
            <w:vAlign w:val="center"/>
          </w:tcPr>
          <w:p w14:paraId="64FEA04A">
            <w:pPr>
              <w:bidi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11.5 </w:t>
            </w:r>
          </w:p>
        </w:tc>
        <w:tc>
          <w:tcPr>
            <w:tcW w:w="1417" w:type="dxa"/>
            <w:shd w:val="clear" w:color="auto" w:fill="auto"/>
            <w:vAlign w:val="center"/>
          </w:tcPr>
          <w:p w14:paraId="12FDBB2F">
            <w:pPr>
              <w:bidi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11.5 </w:t>
            </w:r>
          </w:p>
        </w:tc>
      </w:tr>
      <w:tr w14:paraId="547E8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453" w:type="dxa"/>
            <w:shd w:val="clear" w:color="auto" w:fill="auto"/>
            <w:vAlign w:val="center"/>
          </w:tcPr>
          <w:p w14:paraId="38BC1694">
            <w:pPr>
              <w:pStyle w:val="77"/>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2498" w:type="dxa"/>
            <w:shd w:val="clear" w:color="auto" w:fill="auto"/>
            <w:vAlign w:val="center"/>
          </w:tcPr>
          <w:p w14:paraId="685954EC">
            <w:pPr>
              <w:bidi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G241玉林分界至博白公路改建工程勘察设计</w:t>
            </w:r>
          </w:p>
        </w:tc>
        <w:tc>
          <w:tcPr>
            <w:tcW w:w="558" w:type="dxa"/>
            <w:shd w:val="clear" w:color="auto" w:fill="auto"/>
            <w:vAlign w:val="center"/>
          </w:tcPr>
          <w:p w14:paraId="0887E813">
            <w:pPr>
              <w:bidi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478" w:type="dxa"/>
            <w:shd w:val="clear" w:color="auto" w:fill="auto"/>
            <w:vAlign w:val="center"/>
          </w:tcPr>
          <w:p w14:paraId="28762A6B">
            <w:pPr>
              <w:bidi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w:t>
            </w:r>
          </w:p>
        </w:tc>
        <w:tc>
          <w:tcPr>
            <w:tcW w:w="2665" w:type="dxa"/>
            <w:shd w:val="clear" w:color="auto" w:fill="auto"/>
            <w:vAlign w:val="center"/>
          </w:tcPr>
          <w:p w14:paraId="1DD19880">
            <w:pPr>
              <w:bidi w:val="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工程勘察及工程设计相关服务。</w:t>
            </w:r>
          </w:p>
        </w:tc>
        <w:tc>
          <w:tcPr>
            <w:tcW w:w="1417" w:type="dxa"/>
            <w:shd w:val="clear" w:color="auto" w:fill="auto"/>
            <w:vAlign w:val="center"/>
          </w:tcPr>
          <w:p w14:paraId="65698C05">
            <w:pPr>
              <w:bidi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82.6 </w:t>
            </w:r>
          </w:p>
        </w:tc>
        <w:tc>
          <w:tcPr>
            <w:tcW w:w="1417" w:type="dxa"/>
            <w:shd w:val="clear" w:color="auto" w:fill="auto"/>
            <w:vAlign w:val="center"/>
          </w:tcPr>
          <w:p w14:paraId="1B9D5F10">
            <w:pPr>
              <w:bidi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82.6 </w:t>
            </w:r>
          </w:p>
        </w:tc>
      </w:tr>
      <w:tr w14:paraId="54C6D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453" w:type="dxa"/>
            <w:shd w:val="clear" w:color="auto" w:fill="auto"/>
            <w:vAlign w:val="center"/>
          </w:tcPr>
          <w:p w14:paraId="481AAAFA">
            <w:pPr>
              <w:pStyle w:val="77"/>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2498" w:type="dxa"/>
            <w:shd w:val="clear" w:color="auto" w:fill="auto"/>
            <w:vAlign w:val="center"/>
          </w:tcPr>
          <w:p w14:paraId="52515C2D">
            <w:pPr>
              <w:bidi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G241线石和镇梨木冲村至沙田南流村公路改建工程工可、专题报告</w:t>
            </w:r>
          </w:p>
        </w:tc>
        <w:tc>
          <w:tcPr>
            <w:tcW w:w="558" w:type="dxa"/>
            <w:shd w:val="clear" w:color="auto" w:fill="auto"/>
            <w:vAlign w:val="center"/>
          </w:tcPr>
          <w:p w14:paraId="7C5AA33B">
            <w:pPr>
              <w:bidi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478" w:type="dxa"/>
            <w:shd w:val="clear" w:color="auto" w:fill="auto"/>
            <w:vAlign w:val="center"/>
          </w:tcPr>
          <w:p w14:paraId="3D1A8B42">
            <w:pPr>
              <w:bidi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w:t>
            </w:r>
          </w:p>
        </w:tc>
        <w:tc>
          <w:tcPr>
            <w:tcW w:w="2665" w:type="dxa"/>
            <w:shd w:val="clear" w:color="auto" w:fill="auto"/>
          </w:tcPr>
          <w:p w14:paraId="434A36B6">
            <w:pPr>
              <w:bidi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1.前期专题报告：改建工程专项检测服务、社会稳定风险分析、环境影响评价报告、安全条件论证报告；2.工程可行性研究报告编制服务。</w:t>
            </w:r>
          </w:p>
        </w:tc>
        <w:tc>
          <w:tcPr>
            <w:tcW w:w="1417" w:type="dxa"/>
            <w:shd w:val="clear" w:color="auto" w:fill="auto"/>
            <w:vAlign w:val="center"/>
          </w:tcPr>
          <w:p w14:paraId="52572035">
            <w:pPr>
              <w:bidi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63.96 </w:t>
            </w:r>
          </w:p>
        </w:tc>
        <w:tc>
          <w:tcPr>
            <w:tcW w:w="1417" w:type="dxa"/>
            <w:shd w:val="clear" w:color="auto" w:fill="auto"/>
            <w:vAlign w:val="center"/>
          </w:tcPr>
          <w:p w14:paraId="4EBBA523">
            <w:pPr>
              <w:bidi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63.96 </w:t>
            </w:r>
          </w:p>
        </w:tc>
      </w:tr>
      <w:tr w14:paraId="74BE7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9486" w:type="dxa"/>
            <w:gridSpan w:val="7"/>
            <w:shd w:val="clear" w:color="auto" w:fill="auto"/>
            <w:vAlign w:val="center"/>
          </w:tcPr>
          <w:p w14:paraId="503BAAB3">
            <w:pPr>
              <w:pStyle w:val="77"/>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预算合计金额（人民币大写）</w:t>
            </w:r>
            <w:r>
              <w:rPr>
                <w:rFonts w:hint="eastAsia" w:ascii="宋体" w:hAnsi="宋体" w:eastAsia="宋体" w:cs="宋体"/>
                <w:color w:val="auto"/>
                <w:sz w:val="24"/>
                <w:szCs w:val="24"/>
                <w:highlight w:val="none"/>
                <w:u w:val="single"/>
                <w:lang w:val="en-US" w:eastAsia="zh-CN"/>
              </w:rPr>
              <w:t>贰佰壹拾肆万壹仟陆佰元整</w:t>
            </w:r>
            <w:r>
              <w:rPr>
                <w:rFonts w:hint="eastAsia" w:ascii="宋体" w:hAnsi="宋体" w:eastAsia="宋体" w:cs="宋体"/>
                <w:color w:val="auto"/>
                <w:sz w:val="24"/>
                <w:szCs w:val="24"/>
                <w:highlight w:val="none"/>
                <w:u w:val="single"/>
              </w:rPr>
              <w:t>（小写）¥</w:t>
            </w:r>
            <w:r>
              <w:rPr>
                <w:rFonts w:hint="eastAsia" w:ascii="宋体" w:hAnsi="宋体" w:eastAsia="宋体" w:cs="宋体"/>
                <w:color w:val="auto"/>
                <w:sz w:val="24"/>
                <w:szCs w:val="24"/>
                <w:highlight w:val="none"/>
                <w:u w:val="single"/>
                <w:lang w:val="en-US" w:eastAsia="zh-CN"/>
              </w:rPr>
              <w:t>2141600.00</w:t>
            </w:r>
          </w:p>
        </w:tc>
      </w:tr>
    </w:tbl>
    <w:p w14:paraId="5DD1408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详见第三章采购需求表。</w:t>
      </w:r>
    </w:p>
    <w:p w14:paraId="52E1937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合同履行期限：</w:t>
      </w:r>
      <w:r>
        <w:rPr>
          <w:rFonts w:hint="eastAsia" w:ascii="宋体" w:hAnsi="宋体" w:eastAsia="宋体" w:cs="宋体"/>
          <w:color w:val="auto"/>
          <w:sz w:val="24"/>
          <w:highlight w:val="none"/>
          <w:lang w:eastAsia="zh-CN"/>
        </w:rPr>
        <w:t>自签订合同之日起60日历天内提交合格有效的成果资料</w:t>
      </w:r>
      <w:r>
        <w:rPr>
          <w:rFonts w:hint="eastAsia" w:ascii="宋体" w:hAnsi="宋体" w:eastAsia="宋体" w:cs="宋体"/>
          <w:color w:val="auto"/>
          <w:sz w:val="24"/>
          <w:highlight w:val="none"/>
        </w:rPr>
        <w:t>。</w:t>
      </w:r>
    </w:p>
    <w:p w14:paraId="3699C18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w:t>
      </w:r>
      <w:r>
        <w:rPr>
          <w:rFonts w:hint="eastAsia" w:ascii="宋体" w:hAnsi="宋体" w:eastAsia="宋体" w:cs="宋体"/>
          <w:b/>
          <w:color w:val="auto"/>
          <w:sz w:val="24"/>
          <w:highlight w:val="none"/>
        </w:rPr>
        <w:t>是否</w:t>
      </w:r>
      <w:r>
        <w:rPr>
          <w:rFonts w:hint="eastAsia" w:ascii="宋体" w:hAnsi="宋体" w:eastAsia="宋体" w:cs="宋体"/>
          <w:color w:val="auto"/>
          <w:sz w:val="24"/>
          <w:highlight w:val="none"/>
        </w:rPr>
        <w:t>接受联合体（勾选）：</w:t>
      </w:r>
      <w:r>
        <w:rPr>
          <w:rFonts w:hint="eastAsia" w:ascii="宋体" w:hAnsi="宋体" w:eastAsia="宋体" w:cs="宋体"/>
          <w:color w:val="auto"/>
          <w:sz w:val="24"/>
          <w:highlight w:val="none"/>
        </w:rPr>
        <w:sym w:font="Wingdings" w:char="00A8"/>
      </w:r>
      <w:r>
        <w:rPr>
          <w:rFonts w:hint="eastAsia" w:ascii="宋体" w:hAnsi="宋体" w:eastAsia="宋体" w:cs="宋体"/>
          <w:color w:val="auto"/>
          <w:sz w:val="24"/>
          <w:highlight w:val="none"/>
        </w:rPr>
        <w:t xml:space="preserve"> 是 ；</w:t>
      </w:r>
      <w:r>
        <w:rPr>
          <w:rFonts w:hint="eastAsia" w:ascii="宋体" w:hAnsi="宋体" w:eastAsia="宋体" w:cs="宋体"/>
          <w:color w:val="auto"/>
          <w:sz w:val="24"/>
          <w:highlight w:val="none"/>
        </w:rPr>
        <w:sym w:font="Wingdings" w:char="00FE"/>
      </w:r>
      <w:r>
        <w:rPr>
          <w:rFonts w:hint="eastAsia" w:ascii="宋体" w:hAnsi="宋体" w:eastAsia="宋体" w:cs="宋体"/>
          <w:color w:val="auto"/>
          <w:sz w:val="24"/>
          <w:highlight w:val="none"/>
        </w:rPr>
        <w:t>否。</w:t>
      </w:r>
    </w:p>
    <w:p w14:paraId="030C812F">
      <w:pPr>
        <w:widowControl/>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二、申请人的资格条件：</w:t>
      </w:r>
    </w:p>
    <w:p w14:paraId="330A63C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bidi="ar"/>
        </w:rPr>
        <w:t>.</w:t>
      </w:r>
      <w:r>
        <w:rPr>
          <w:rFonts w:hint="eastAsia" w:ascii="宋体" w:hAnsi="宋体" w:eastAsia="宋体" w:cs="宋体"/>
          <w:color w:val="auto"/>
          <w:sz w:val="24"/>
          <w:highlight w:val="none"/>
        </w:rPr>
        <w:t>满足《中华人民共和国政府采购法》第二十二条规定；</w:t>
      </w:r>
    </w:p>
    <w:p w14:paraId="1BD5B3D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bidi="ar"/>
        </w:rPr>
        <w:t>.</w:t>
      </w:r>
      <w:r>
        <w:rPr>
          <w:rFonts w:hint="eastAsia" w:ascii="宋体" w:hAnsi="宋体" w:eastAsia="宋体" w:cs="宋体"/>
          <w:color w:val="auto"/>
          <w:sz w:val="24"/>
          <w:highlight w:val="none"/>
        </w:rPr>
        <w:t>落实政府采购政策需满足的资格要求：是否专门面向中小企业采购（</w:t>
      </w:r>
      <w:r>
        <w:rPr>
          <w:rFonts w:hint="eastAsia" w:ascii="宋体" w:hAnsi="宋体" w:eastAsia="宋体" w:cs="宋体"/>
          <w:color w:val="auto"/>
          <w:sz w:val="24"/>
          <w:highlight w:val="none"/>
        </w:rPr>
        <w:sym w:font="Wingdings" w:char="00A8"/>
      </w:r>
      <w:r>
        <w:rPr>
          <w:rFonts w:hint="eastAsia" w:ascii="宋体" w:hAnsi="宋体" w:eastAsia="宋体" w:cs="宋体"/>
          <w:color w:val="auto"/>
          <w:sz w:val="24"/>
          <w:highlight w:val="none"/>
        </w:rPr>
        <w:t>是</w:t>
      </w:r>
      <w:r>
        <w:rPr>
          <w:rFonts w:hint="eastAsia" w:ascii="宋体" w:hAnsi="宋体" w:eastAsia="宋体" w:cs="宋体"/>
          <w:color w:val="auto"/>
          <w:sz w:val="24"/>
          <w:highlight w:val="none"/>
        </w:rPr>
        <w:sym w:font="Wingdings" w:char="00FE"/>
      </w:r>
      <w:r>
        <w:rPr>
          <w:rFonts w:hint="eastAsia" w:ascii="宋体" w:hAnsi="宋体" w:eastAsia="宋体" w:cs="宋体"/>
          <w:color w:val="auto"/>
          <w:sz w:val="24"/>
          <w:highlight w:val="none"/>
        </w:rPr>
        <w:t>否）；</w:t>
      </w:r>
    </w:p>
    <w:p w14:paraId="6EBAD29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bidi="ar"/>
        </w:rPr>
        <w:t>.</w:t>
      </w:r>
      <w:r>
        <w:rPr>
          <w:rFonts w:hint="eastAsia" w:ascii="宋体" w:hAnsi="宋体" w:eastAsia="宋体" w:cs="宋体"/>
          <w:color w:val="auto"/>
          <w:sz w:val="24"/>
          <w:highlight w:val="none"/>
        </w:rPr>
        <w:t>本项目的特定资格要求：</w:t>
      </w:r>
    </w:p>
    <w:p w14:paraId="29B326EA">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1分标</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供应商</w:t>
      </w:r>
      <w:r>
        <w:rPr>
          <w:rFonts w:hint="eastAsia" w:ascii="宋体" w:hAnsi="宋体" w:eastAsia="宋体" w:cs="宋体"/>
          <w:color w:val="auto"/>
          <w:sz w:val="24"/>
          <w:highlight w:val="none"/>
          <w:lang w:eastAsia="zh-CN"/>
        </w:rPr>
        <w:t>通过全国投资项目在线审批监管平台备案（公路专业）并具备有效的公路工程试验检测机构等级证书（公路工程综合乙级及以上）和省级（含）以上市场监督主管部门颁发的检验检测机构资质认定证书（CMA）；</w:t>
      </w:r>
    </w:p>
    <w:p w14:paraId="6B680BB1">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2分标：供应商具有工程设计公路行业（公路）专业乙级及以上资质或工程设计公路行业甲级资质或工程设计综合甲级资质</w:t>
      </w:r>
      <w:r>
        <w:rPr>
          <w:rFonts w:hint="eastAsia" w:ascii="宋体" w:hAnsi="宋体" w:eastAsia="宋体" w:cs="宋体"/>
          <w:color w:val="auto"/>
          <w:sz w:val="24"/>
          <w:highlight w:val="none"/>
          <w:lang w:eastAsia="zh-CN"/>
        </w:rPr>
        <w:t>；</w:t>
      </w:r>
    </w:p>
    <w:p w14:paraId="76676282">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3分标：供应商具有①工程勘察专业类（岩土工程或工程测量）专业乙级及以上资质或工程勘察综合甲级资质；②工程设计公路行业（公路）专业乙级及以上资质或工程设计公路行业甲级资质或工程设计综合甲级资质；</w:t>
      </w:r>
    </w:p>
    <w:p w14:paraId="4C54567D">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（4）4分标：供应商</w:t>
      </w:r>
      <w:r>
        <w:rPr>
          <w:rFonts w:hint="eastAsia" w:ascii="宋体" w:hAnsi="宋体" w:eastAsia="宋体" w:cs="宋体"/>
          <w:color w:val="auto"/>
          <w:sz w:val="24"/>
          <w:highlight w:val="none"/>
          <w:lang w:eastAsia="zh-CN"/>
        </w:rPr>
        <w:t>通过全国投资项目在线审批监管平台备案（公路专业）并具备有效的公路工程试验检测机构等级证书（公路工程综合乙级及以上）和省级（含）以上市场监督主管部门颁发的检验检测机构资质认定证书（CMA）。</w:t>
      </w:r>
    </w:p>
    <w:p w14:paraId="1D8C1C79">
      <w:pPr>
        <w:widowControl/>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三、获取竞争性磋商文件</w:t>
      </w:r>
    </w:p>
    <w:p w14:paraId="73D9DA14">
      <w:pPr>
        <w:spacing w:line="360" w:lineRule="auto"/>
        <w:ind w:firstLine="480" w:firstLineChars="200"/>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时间：</w:t>
      </w:r>
      <w:r>
        <w:rPr>
          <w:rFonts w:hint="eastAsia" w:ascii="宋体" w:hAnsi="宋体" w:eastAsia="宋体" w:cs="宋体"/>
          <w:color w:val="auto"/>
          <w:sz w:val="24"/>
          <w:highlight w:val="none"/>
        </w:rPr>
        <w:t>2025年</w:t>
      </w:r>
      <w:r>
        <w:rPr>
          <w:rFonts w:hint="eastAsia" w:ascii="宋体" w:hAnsi="宋体" w:eastAsia="宋体" w:cs="宋体"/>
          <w:color w:val="auto"/>
          <w:sz w:val="24"/>
          <w:highlight w:val="none"/>
          <w:lang w:val="en-US" w:eastAsia="zh-CN"/>
        </w:rPr>
        <w:t>11</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10</w:t>
      </w:r>
      <w:r>
        <w:rPr>
          <w:rFonts w:hint="eastAsia" w:ascii="宋体" w:hAnsi="宋体" w:eastAsia="宋体" w:cs="宋体"/>
          <w:color w:val="auto"/>
          <w:sz w:val="24"/>
          <w:highlight w:val="none"/>
        </w:rPr>
        <w:t>日至2025年</w:t>
      </w:r>
      <w:r>
        <w:rPr>
          <w:rFonts w:hint="eastAsia" w:ascii="宋体" w:hAnsi="宋体" w:eastAsia="宋体" w:cs="宋体"/>
          <w:color w:val="auto"/>
          <w:sz w:val="24"/>
          <w:highlight w:val="none"/>
          <w:lang w:val="en-US" w:eastAsia="zh-CN"/>
        </w:rPr>
        <w:t>11</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日，每天上午00：00-12：00，下午12：00-23：59（北京时间，法定节假日除外）</w:t>
      </w:r>
      <w:r>
        <w:rPr>
          <w:rFonts w:hint="eastAsia" w:ascii="宋体" w:hAnsi="宋体" w:eastAsia="宋体" w:cs="宋体"/>
          <w:bCs/>
          <w:color w:val="auto"/>
          <w:kern w:val="0"/>
          <w:sz w:val="24"/>
          <w:highlight w:val="none"/>
        </w:rPr>
        <w:t>。</w:t>
      </w:r>
    </w:p>
    <w:p w14:paraId="6CE057A9">
      <w:pPr>
        <w:spacing w:line="360" w:lineRule="auto"/>
        <w:ind w:firstLine="480" w:firstLineChars="200"/>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地点：广西政府采购云平台（https：//www.gcy.zfcg.gxzf.gov.cn/）</w:t>
      </w:r>
    </w:p>
    <w:p w14:paraId="71BF67DD">
      <w:pPr>
        <w:spacing w:line="360" w:lineRule="auto"/>
        <w:ind w:firstLine="480" w:firstLineChars="200"/>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方式：网上下载。本项目不发放纸质文件，供应商应自行在</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fldChar w:fldCharType="end"/>
      </w:r>
      <w:r>
        <w:rPr>
          <w:rFonts w:hint="eastAsia" w:ascii="宋体" w:hAnsi="宋体" w:eastAsia="宋体" w:cs="宋体"/>
          <w:bCs/>
          <w:color w:val="auto"/>
          <w:kern w:val="0"/>
          <w:sz w:val="24"/>
          <w:highlight w:val="none"/>
        </w:rPr>
        <w:t>广西政府采购云平台（https：//www.gcy.zfcg.gxzf.gov.cn/）下载竞争性磋商文件（操作路径：登录广西政府采购云平台-项目采购-获取采购文件-找到本项目-点击“申请获取采购文件”），电子响应文件制作需要基于广西政府采购云平台获取的竞争性磋商文件编制，通过其他方式获取竞争性磋商文件的，将有可能导致供应商无法在广西政府采购云平台编制及上传响应文件。</w:t>
      </w:r>
    </w:p>
    <w:p w14:paraId="7E4E9CD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bCs/>
          <w:color w:val="auto"/>
          <w:kern w:val="0"/>
          <w:sz w:val="24"/>
          <w:highlight w:val="none"/>
        </w:rPr>
        <w:t>售价：0元人民币。</w:t>
      </w:r>
    </w:p>
    <w:p w14:paraId="42020E3A">
      <w:pPr>
        <w:widowControl/>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四、响应文件提交</w:t>
      </w:r>
    </w:p>
    <w:p w14:paraId="58988C2B">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bidi="ar"/>
        </w:rPr>
        <w:t>.</w:t>
      </w:r>
      <w:r>
        <w:rPr>
          <w:rFonts w:hint="eastAsia" w:ascii="宋体" w:hAnsi="宋体" w:eastAsia="宋体" w:cs="宋体"/>
          <w:color w:val="auto"/>
          <w:sz w:val="24"/>
          <w:highlight w:val="none"/>
        </w:rPr>
        <w:t>首次响应文件提交截止时间：</w:t>
      </w:r>
      <w:r>
        <w:rPr>
          <w:rFonts w:hint="eastAsia" w:ascii="宋体" w:hAnsi="宋体" w:eastAsia="宋体" w:cs="宋体"/>
          <w:bCs/>
          <w:color w:val="auto"/>
          <w:kern w:val="0"/>
          <w:sz w:val="24"/>
          <w:highlight w:val="none"/>
          <w:lang w:eastAsia="zh-CN"/>
        </w:rPr>
        <w:t>2025年11月21日9时00分</w:t>
      </w:r>
      <w:r>
        <w:rPr>
          <w:rFonts w:hint="eastAsia" w:ascii="宋体" w:hAnsi="宋体" w:eastAsia="宋体" w:cs="宋体"/>
          <w:bCs/>
          <w:color w:val="auto"/>
          <w:kern w:val="0"/>
          <w:sz w:val="24"/>
          <w:highlight w:val="none"/>
        </w:rPr>
        <w:t>（北京时间）</w:t>
      </w:r>
    </w:p>
    <w:p w14:paraId="32D737C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bidi="ar"/>
        </w:rPr>
        <w:t>.</w:t>
      </w:r>
      <w:r>
        <w:rPr>
          <w:rFonts w:hint="eastAsia" w:ascii="宋体" w:hAnsi="宋体" w:eastAsia="宋体" w:cs="宋体"/>
          <w:color w:val="auto"/>
          <w:sz w:val="24"/>
          <w:highlight w:val="none"/>
        </w:rPr>
        <w:t>地点：</w:t>
      </w:r>
      <w:r>
        <w:rPr>
          <w:rFonts w:hint="eastAsia" w:ascii="宋体" w:hAnsi="宋体" w:eastAsia="宋体" w:cs="宋体"/>
          <w:color w:val="auto"/>
          <w:sz w:val="24"/>
          <w:highlight w:val="none"/>
          <w:lang w:bidi="ar"/>
        </w:rPr>
        <w:t>通过广西政府采购云平台在线提交。</w:t>
      </w:r>
    </w:p>
    <w:p w14:paraId="01128C36">
      <w:pPr>
        <w:widowControl/>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五、开启</w:t>
      </w:r>
    </w:p>
    <w:p w14:paraId="06000512">
      <w:pPr>
        <w:spacing w:line="360" w:lineRule="auto"/>
        <w:ind w:firstLine="480" w:firstLineChars="200"/>
        <w:rPr>
          <w:rFonts w:hint="eastAsia" w:ascii="宋体" w:hAnsi="宋体" w:eastAsia="宋体" w:cs="宋体"/>
          <w:bCs/>
          <w:color w:val="auto"/>
          <w:sz w:val="24"/>
          <w:highlight w:val="none"/>
          <w:u w:val="singl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bidi="ar"/>
        </w:rPr>
        <w:t>.</w:t>
      </w:r>
      <w:r>
        <w:rPr>
          <w:rFonts w:hint="eastAsia" w:ascii="宋体" w:hAnsi="宋体" w:eastAsia="宋体" w:cs="宋体"/>
          <w:color w:val="auto"/>
          <w:sz w:val="24"/>
          <w:highlight w:val="none"/>
        </w:rPr>
        <w:t>首次响应文件开启时间：</w:t>
      </w:r>
      <w:r>
        <w:rPr>
          <w:rFonts w:hint="eastAsia" w:ascii="宋体" w:hAnsi="宋体" w:eastAsia="宋体" w:cs="宋体"/>
          <w:bCs/>
          <w:color w:val="auto"/>
          <w:kern w:val="0"/>
          <w:sz w:val="24"/>
          <w:highlight w:val="none"/>
          <w:lang w:eastAsia="zh-CN"/>
        </w:rPr>
        <w:t>2025年11月21日9时00分</w:t>
      </w:r>
      <w:r>
        <w:rPr>
          <w:rFonts w:hint="eastAsia" w:ascii="宋体" w:hAnsi="宋体" w:eastAsia="宋体" w:cs="宋体"/>
          <w:bCs/>
          <w:color w:val="auto"/>
          <w:kern w:val="0"/>
          <w:sz w:val="24"/>
          <w:highlight w:val="none"/>
        </w:rPr>
        <w:t>（北京时间）</w:t>
      </w:r>
    </w:p>
    <w:p w14:paraId="489804B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bidi="ar"/>
        </w:rPr>
        <w:t>.</w:t>
      </w:r>
      <w:r>
        <w:rPr>
          <w:rFonts w:hint="eastAsia" w:ascii="宋体" w:hAnsi="宋体" w:eastAsia="宋体" w:cs="宋体"/>
          <w:color w:val="auto"/>
          <w:sz w:val="24"/>
          <w:highlight w:val="none"/>
        </w:rPr>
        <w:t>地点：</w:t>
      </w:r>
      <w:r>
        <w:rPr>
          <w:rFonts w:hint="eastAsia" w:ascii="宋体" w:hAnsi="宋体" w:eastAsia="宋体" w:cs="宋体"/>
          <w:color w:val="auto"/>
          <w:sz w:val="24"/>
          <w:highlight w:val="none"/>
          <w:lang w:bidi="ar"/>
        </w:rPr>
        <w:t>本项目将在广西政府采购云平台电子开标大厅解密、开启。</w:t>
      </w:r>
    </w:p>
    <w:p w14:paraId="414C31BA">
      <w:pPr>
        <w:widowControl/>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六、公告期限</w:t>
      </w:r>
    </w:p>
    <w:p w14:paraId="46B9E0FD">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自本公告发布之日起5个工作日。</w:t>
      </w:r>
    </w:p>
    <w:p w14:paraId="6174CA1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七、</w:t>
      </w:r>
      <w:r>
        <w:rPr>
          <w:rFonts w:hint="eastAsia" w:ascii="宋体" w:hAnsi="宋体" w:eastAsia="宋体" w:cs="宋体"/>
          <w:b/>
          <w:color w:val="auto"/>
          <w:sz w:val="24"/>
          <w:highlight w:val="none"/>
        </w:rPr>
        <w:t>其他补充事宜</w:t>
      </w:r>
      <w:r>
        <w:rPr>
          <w:rFonts w:hint="eastAsia" w:ascii="宋体" w:hAnsi="宋体" w:eastAsia="宋体" w:cs="宋体"/>
          <w:color w:val="auto"/>
          <w:sz w:val="24"/>
          <w:highlight w:val="none"/>
          <w:lang w:bidi="ar"/>
        </w:rPr>
        <w:t>：</w:t>
      </w:r>
    </w:p>
    <w:p w14:paraId="15DEC4BF">
      <w:pPr>
        <w:widowControl/>
        <w:spacing w:line="360" w:lineRule="auto"/>
        <w:ind w:firstLine="480" w:firstLineChars="200"/>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3E3356B8">
      <w:pPr>
        <w:widowControl/>
        <w:spacing w:line="360" w:lineRule="auto"/>
        <w:ind w:firstLine="480" w:firstLineChars="200"/>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2.根据财政部《关于在政府采购活动中查询及使用信用记录有关问题的通知》（财库〔2016〕125号）的规定，对在“信用中国”网站(www.creditchina.gov.cn) 、中国政府采购网(www.ccgp.gov.cn)被列入失信被执行人、</w:t>
      </w:r>
      <w:r>
        <w:rPr>
          <w:rFonts w:hint="eastAsia" w:ascii="宋体" w:hAnsi="宋体" w:eastAsia="宋体" w:cs="宋体"/>
          <w:color w:val="auto"/>
          <w:sz w:val="24"/>
          <w:highlight w:val="none"/>
        </w:rPr>
        <w:t>重大税收违法失信主体</w:t>
      </w:r>
      <w:r>
        <w:rPr>
          <w:rFonts w:hint="eastAsia" w:ascii="宋体" w:hAnsi="宋体" w:eastAsia="宋体" w:cs="宋体"/>
          <w:color w:val="auto"/>
          <w:sz w:val="24"/>
          <w:highlight w:val="none"/>
          <w:lang w:bidi="ar"/>
        </w:rPr>
        <w:t>、政府采购严重违法失信行为记录名单及其他不符合《中华人民共和国政府采购法》第二十二条规定条件的供应商，不得参与政府采购活动。</w:t>
      </w:r>
    </w:p>
    <w:p w14:paraId="053E006D">
      <w:pPr>
        <w:widowControl/>
        <w:spacing w:line="360" w:lineRule="auto"/>
        <w:ind w:firstLine="480" w:firstLineChars="200"/>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3.网上查询地址：中国政府采购网（www.ccgp.gov.cn）、广西政府采购网（zfcg.gxzf.gov.cn）。</w:t>
      </w:r>
    </w:p>
    <w:p w14:paraId="7F510442">
      <w:pPr>
        <w:widowControl/>
        <w:spacing w:line="360" w:lineRule="auto"/>
        <w:ind w:firstLine="480" w:firstLineChars="200"/>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4.本项目需要落实的政府采购政策：</w:t>
      </w:r>
    </w:p>
    <w:p w14:paraId="0E52452A">
      <w:pPr>
        <w:widowControl/>
        <w:spacing w:line="360" w:lineRule="auto"/>
        <w:ind w:firstLine="480" w:firstLineChars="200"/>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（1）政府采购促进中小企业发展。</w:t>
      </w:r>
    </w:p>
    <w:p w14:paraId="4AFC343A">
      <w:pPr>
        <w:widowControl/>
        <w:spacing w:line="360" w:lineRule="auto"/>
        <w:ind w:firstLine="480" w:firstLineChars="200"/>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（2）政府采购支持采用本国产品的政策。</w:t>
      </w:r>
    </w:p>
    <w:p w14:paraId="6648C7EF">
      <w:pPr>
        <w:widowControl/>
        <w:spacing w:line="360" w:lineRule="auto"/>
        <w:ind w:firstLine="480" w:firstLineChars="200"/>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（3）强制采购节能产品；优先采购节能产品、环境标志产品。</w:t>
      </w:r>
    </w:p>
    <w:p w14:paraId="50ADDC06">
      <w:pPr>
        <w:widowControl/>
        <w:spacing w:line="360" w:lineRule="auto"/>
        <w:ind w:firstLine="480" w:firstLineChars="200"/>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（4）政府采购促进残疾人就业政策。</w:t>
      </w:r>
    </w:p>
    <w:p w14:paraId="02FF01FC">
      <w:pPr>
        <w:widowControl/>
        <w:spacing w:line="360" w:lineRule="auto"/>
        <w:ind w:firstLine="480" w:firstLineChars="200"/>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（5）政府采购支持监狱企业发展。</w:t>
      </w:r>
    </w:p>
    <w:p w14:paraId="73F13724">
      <w:pPr>
        <w:widowControl/>
        <w:spacing w:line="360" w:lineRule="auto"/>
        <w:ind w:firstLine="480" w:firstLineChars="200"/>
        <w:rPr>
          <w:rFonts w:hint="eastAsia" w:ascii="宋体" w:hAnsi="宋体" w:eastAsia="宋体" w:cs="宋体"/>
          <w:color w:val="auto"/>
          <w:sz w:val="24"/>
          <w:highlight w:val="none"/>
          <w:lang w:val="en-US" w:eastAsia="zh-CN" w:bidi="ar"/>
        </w:rPr>
      </w:pPr>
      <w:r>
        <w:rPr>
          <w:rFonts w:hint="eastAsia" w:ascii="宋体" w:hAnsi="宋体" w:eastAsia="宋体" w:cs="宋体"/>
          <w:color w:val="auto"/>
          <w:sz w:val="24"/>
          <w:highlight w:val="none"/>
          <w:lang w:bidi="ar"/>
        </w:rPr>
        <w:t>（6）扶持不发达地区和少数民族地区政策</w:t>
      </w:r>
      <w:r>
        <w:rPr>
          <w:rFonts w:hint="eastAsia" w:ascii="宋体" w:hAnsi="宋体" w:cs="宋体"/>
          <w:color w:val="auto"/>
          <w:sz w:val="24"/>
          <w:highlight w:val="none"/>
          <w:lang w:eastAsia="zh-CN" w:bidi="ar"/>
        </w:rPr>
        <w:t>。</w:t>
      </w:r>
    </w:p>
    <w:p w14:paraId="5DB58BEC">
      <w:pPr>
        <w:widowControl/>
        <w:spacing w:line="360" w:lineRule="auto"/>
        <w:ind w:firstLine="480" w:firstLineChars="200"/>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5.磋商注意事项：</w:t>
      </w:r>
    </w:p>
    <w:p w14:paraId="066D3543">
      <w:pPr>
        <w:widowControl/>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color w:val="auto"/>
          <w:sz w:val="24"/>
          <w:highlight w:val="none"/>
          <w:lang w:bidi="ar"/>
        </w:rPr>
        <w:t>（1）</w:t>
      </w:r>
      <w:r>
        <w:rPr>
          <w:rFonts w:hint="eastAsia" w:ascii="宋体" w:hAnsi="宋体" w:eastAsia="宋体" w:cs="宋体"/>
          <w:color w:val="auto"/>
          <w:sz w:val="24"/>
          <w:highlight w:val="none"/>
        </w:rPr>
        <w:t>响应文件</w:t>
      </w:r>
      <w:r>
        <w:rPr>
          <w:rFonts w:hint="eastAsia" w:ascii="宋体" w:hAnsi="宋体" w:eastAsia="宋体" w:cs="宋体"/>
          <w:color w:val="auto"/>
          <w:sz w:val="24"/>
          <w:highlight w:val="none"/>
          <w:lang w:bidi="ar"/>
        </w:rPr>
        <w:t>提交方式：本项目为全流程电子化政府采购项目，通过广西政府采购云平台（https：//www.gcy.zfcg.gxzf.gov.cn/）实行在线电子磋商采购，供应商应先安装“广西政府采购云平台电子交易客户端”（请自行前往广西政府采购云平台进行下载），并按照本项目竞争性磋商文件和广西政府采购云平台的要求编制、加密后在</w:t>
      </w:r>
      <w:r>
        <w:rPr>
          <w:rFonts w:hint="eastAsia" w:ascii="宋体" w:hAnsi="宋体" w:eastAsia="宋体" w:cs="宋体"/>
          <w:color w:val="auto"/>
          <w:sz w:val="24"/>
          <w:highlight w:val="none"/>
        </w:rPr>
        <w:t>首次响应文件提交截止时间</w:t>
      </w:r>
      <w:r>
        <w:rPr>
          <w:rFonts w:hint="eastAsia" w:ascii="宋体" w:hAnsi="宋体" w:eastAsia="宋体" w:cs="宋体"/>
          <w:color w:val="auto"/>
          <w:sz w:val="24"/>
          <w:highlight w:val="none"/>
          <w:lang w:bidi="ar"/>
        </w:rPr>
        <w:t>前通过网络上传至广西政府采购云平台，</w:t>
      </w:r>
      <w:r>
        <w:rPr>
          <w:rFonts w:hint="eastAsia" w:ascii="宋体" w:hAnsi="宋体" w:eastAsia="宋体" w:cs="宋体"/>
          <w:b/>
          <w:color w:val="auto"/>
          <w:sz w:val="24"/>
          <w:highlight w:val="none"/>
          <w:lang w:bidi="ar"/>
        </w:rPr>
        <w:t>供应商在广西政府采购云平台提交电子版响应文件时，请填写参加远程开标活动经办人联系方式。</w:t>
      </w:r>
    </w:p>
    <w:p w14:paraId="56CDC63F">
      <w:pPr>
        <w:widowControl/>
        <w:spacing w:line="360" w:lineRule="auto"/>
        <w:ind w:firstLine="480" w:firstLineChars="200"/>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2）供应商应及时熟悉掌握电子标系统操作指南（见广西政府采购云平台电子卖场首页右上角—服务中心—帮助文档—项目采购）：https：//helpcenter.zcygov.cn/document/#/document/dashboard?siteCode=gx；及时完成CA申领和绑定（见广西壮族自治区政府采购网—办事服务—下载专区-广西政府采购云平台CA证书办理操作指南）。</w:t>
      </w:r>
    </w:p>
    <w:p w14:paraId="01325E4E">
      <w:pPr>
        <w:widowControl/>
        <w:spacing w:line="360" w:lineRule="auto"/>
        <w:ind w:firstLine="480" w:firstLineChars="200"/>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（3）未进行网上注册并办理数字证书（CA认证）的供应商将无法参与本项目政府采购活动，潜在供应商应当在</w:t>
      </w:r>
      <w:r>
        <w:rPr>
          <w:rFonts w:hint="eastAsia" w:ascii="宋体" w:hAnsi="宋体" w:eastAsia="宋体" w:cs="宋体"/>
          <w:color w:val="auto"/>
          <w:sz w:val="24"/>
          <w:highlight w:val="none"/>
        </w:rPr>
        <w:t>首次响应文件提交截止时间</w:t>
      </w:r>
      <w:r>
        <w:rPr>
          <w:rFonts w:hint="eastAsia" w:ascii="宋体" w:hAnsi="宋体" w:eastAsia="宋体" w:cs="宋体"/>
          <w:color w:val="auto"/>
          <w:sz w:val="24"/>
          <w:highlight w:val="none"/>
          <w:lang w:bidi="ar"/>
        </w:rPr>
        <w:t>前，完成电子交易平台上的CA数字证书办理及响应文件的提交。完成CA数字证书办理预计7日左右，供应商只需办理其中一家CA数字证书及签章，建议各供应商抓紧时间办理。</w:t>
      </w:r>
    </w:p>
    <w:p w14:paraId="26D3D90A">
      <w:pPr>
        <w:widowControl/>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（4）为确保网上操作合法、有效和安全，请供应商确保在电子竞争性磋商过程中能够对相关数据电文进行加密和使用电子签章，妥善保管CA数字证书并使用有效的CA数字证书参与整个采购活动。</w:t>
      </w:r>
      <w:bookmarkStart w:id="76" w:name="_GoBack"/>
      <w:bookmarkEnd w:id="76"/>
    </w:p>
    <w:p w14:paraId="3E0C08AF">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bidi="ar"/>
        </w:rPr>
        <w:t>注：供应商应当在首次响应文件提交截止时间前完成电子响应文件的上传、提交，</w:t>
      </w:r>
      <w:r>
        <w:rPr>
          <w:rFonts w:hint="eastAsia" w:ascii="宋体" w:hAnsi="宋体" w:eastAsia="宋体" w:cs="宋体"/>
          <w:b/>
          <w:color w:val="auto"/>
          <w:sz w:val="24"/>
          <w:highlight w:val="none"/>
        </w:rPr>
        <w:t>首次响应文件提交截止时间</w:t>
      </w:r>
      <w:r>
        <w:rPr>
          <w:rFonts w:hint="eastAsia" w:ascii="宋体" w:hAnsi="宋体" w:eastAsia="宋体" w:cs="宋体"/>
          <w:b/>
          <w:bCs/>
          <w:color w:val="auto"/>
          <w:sz w:val="24"/>
          <w:highlight w:val="none"/>
          <w:lang w:bidi="ar"/>
        </w:rPr>
        <w:t>前可以补充、修改或者撤回响应文件。补充或者修改响应文件的，应当先行撤回原文件，补充、修改后重新上传、提交。</w:t>
      </w:r>
      <w:r>
        <w:rPr>
          <w:rFonts w:hint="eastAsia" w:ascii="宋体" w:hAnsi="宋体" w:eastAsia="宋体" w:cs="宋体"/>
          <w:b/>
          <w:color w:val="auto"/>
          <w:sz w:val="24"/>
          <w:highlight w:val="none"/>
        </w:rPr>
        <w:t>首次响应文件提交截止时间</w:t>
      </w:r>
      <w:r>
        <w:rPr>
          <w:rFonts w:hint="eastAsia" w:ascii="宋体" w:hAnsi="宋体" w:eastAsia="宋体" w:cs="宋体"/>
          <w:b/>
          <w:bCs/>
          <w:color w:val="auto"/>
          <w:sz w:val="24"/>
          <w:highlight w:val="none"/>
          <w:lang w:bidi="ar"/>
        </w:rPr>
        <w:t>前未完成上传、提交的，视为撤回响应文件。</w:t>
      </w:r>
      <w:r>
        <w:rPr>
          <w:rFonts w:hint="eastAsia" w:ascii="宋体" w:hAnsi="宋体" w:eastAsia="宋体" w:cs="宋体"/>
          <w:b/>
          <w:color w:val="auto"/>
          <w:sz w:val="24"/>
          <w:highlight w:val="none"/>
        </w:rPr>
        <w:t>首次响应文件提交截止时间</w:t>
      </w:r>
      <w:r>
        <w:rPr>
          <w:rFonts w:hint="eastAsia" w:ascii="宋体" w:hAnsi="宋体" w:eastAsia="宋体" w:cs="宋体"/>
          <w:b/>
          <w:bCs/>
          <w:color w:val="auto"/>
          <w:sz w:val="24"/>
          <w:highlight w:val="none"/>
          <w:lang w:bidi="ar"/>
        </w:rPr>
        <w:t>以后上传递交的响应文件，广西政府采购云平台将予以拒收。</w:t>
      </w:r>
    </w:p>
    <w:p w14:paraId="3C1B74E2">
      <w:pPr>
        <w:widowControl/>
        <w:spacing w:line="360" w:lineRule="auto"/>
        <w:ind w:firstLine="480" w:firstLineChars="20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bidi="ar"/>
        </w:rPr>
        <w:t>6.</w:t>
      </w:r>
      <w:r>
        <w:rPr>
          <w:rFonts w:hint="eastAsia" w:ascii="宋体" w:hAnsi="宋体" w:eastAsia="宋体" w:cs="宋体"/>
          <w:color w:val="auto"/>
          <w:sz w:val="24"/>
          <w:highlight w:val="none"/>
          <w:lang w:bidi="ar"/>
        </w:rPr>
        <w:t>CA证书在线解密：首次响应文件开启时，须要供应商携带制作响应文件时用来加密的有效数字证书（CA认证）登录广西政府采购云平台电子开标大厅现场按规定时间对加密的响应文件进行解密，否则后果自负。</w:t>
      </w:r>
    </w:p>
    <w:p w14:paraId="10F434BD">
      <w:pPr>
        <w:widowControl/>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sz w:val="24"/>
          <w:highlight w:val="none"/>
          <w:lang w:bidi="ar"/>
        </w:rPr>
        <w:t>7.供应商需要在具备有摄像头及语音功能且互联网网络状况良好的电脑登录广西政府采购云平台远程开标大厅参与本次磋商，否则后果自负。</w:t>
      </w:r>
    </w:p>
    <w:p w14:paraId="12566B0D">
      <w:pPr>
        <w:widowControl/>
        <w:spacing w:line="360" w:lineRule="auto"/>
        <w:ind w:firstLine="480" w:firstLineChars="200"/>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8.若对项目采购电子交易系统操作有疑问，可登录广西政府采购云平台（https：//www.gcy.zfcg.gxzf.gov.cn/），点击右侧咨询小采，获取采小蜜智能服务管家帮助，或拨打广西政府采购云平台服务热线95763获取热线服务帮助。</w:t>
      </w:r>
    </w:p>
    <w:p w14:paraId="55EAA97A">
      <w:pPr>
        <w:widowControl/>
        <w:spacing w:line="360" w:lineRule="auto"/>
        <w:ind w:firstLine="480" w:firstLineChars="200"/>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9.每个供应商可同时参与多个分标的磋商，评标将以1→2→3→4分标的顺序依次推荐各分标的成交候选供应商。</w:t>
      </w:r>
    </w:p>
    <w:bookmarkEnd w:id="2"/>
    <w:p w14:paraId="060A6298">
      <w:pPr>
        <w:widowControl/>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八、凡对本次采购提出询问，请按以下方式联系。</w:t>
      </w:r>
      <w:bookmarkEnd w:id="3"/>
      <w:bookmarkEnd w:id="4"/>
      <w:bookmarkEnd w:id="5"/>
      <w:bookmarkEnd w:id="6"/>
      <w:bookmarkEnd w:id="7"/>
    </w:p>
    <w:p w14:paraId="38BEABAF">
      <w:pPr>
        <w:spacing w:line="360" w:lineRule="auto"/>
        <w:ind w:firstLine="648" w:firstLineChars="270"/>
        <w:jc w:val="left"/>
        <w:rPr>
          <w:rFonts w:hint="eastAsia" w:ascii="宋体" w:hAnsi="宋体" w:eastAsia="宋体" w:cs="宋体"/>
          <w:color w:val="auto"/>
          <w:sz w:val="24"/>
          <w:highlight w:val="none"/>
        </w:rPr>
      </w:pPr>
      <w:bookmarkStart w:id="8" w:name="_Toc28359019"/>
      <w:bookmarkStart w:id="9" w:name="_Toc35393637"/>
      <w:bookmarkStart w:id="10" w:name="_Toc28359096"/>
      <w:bookmarkStart w:id="11" w:name="_Toc35393806"/>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bidi="ar"/>
        </w:rPr>
        <w:t>.</w:t>
      </w:r>
      <w:r>
        <w:rPr>
          <w:rFonts w:hint="eastAsia" w:ascii="宋体" w:hAnsi="宋体" w:eastAsia="宋体" w:cs="宋体"/>
          <w:color w:val="auto"/>
          <w:sz w:val="24"/>
          <w:highlight w:val="none"/>
        </w:rPr>
        <w:t>采购人信息</w:t>
      </w:r>
    </w:p>
    <w:p w14:paraId="3555A068">
      <w:pPr>
        <w:spacing w:line="360" w:lineRule="auto"/>
        <w:ind w:firstLine="648" w:firstLineChars="27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名 称：</w:t>
      </w:r>
      <w:r>
        <w:rPr>
          <w:rFonts w:hint="eastAsia" w:ascii="宋体" w:hAnsi="宋体" w:eastAsia="宋体" w:cs="宋体"/>
          <w:color w:val="auto"/>
          <w:sz w:val="24"/>
          <w:highlight w:val="none"/>
          <w:lang w:eastAsia="zh-CN"/>
        </w:rPr>
        <w:t>广西壮族自治区玉林公路发展中心</w:t>
      </w:r>
    </w:p>
    <w:p w14:paraId="07518922">
      <w:pPr>
        <w:spacing w:line="360" w:lineRule="auto"/>
        <w:ind w:firstLine="648" w:firstLineChars="270"/>
        <w:jc w:val="left"/>
        <w:rPr>
          <w:rFonts w:hint="eastAsia" w:ascii="宋体" w:hAnsi="宋体" w:eastAsia="宋体" w:cs="宋体"/>
          <w:color w:val="auto"/>
          <w:sz w:val="24"/>
          <w:highlight w:val="none"/>
          <w:lang w:eastAsia="zh-CN"/>
        </w:rPr>
      </w:pPr>
      <w:bookmarkStart w:id="12" w:name="_Toc28359009"/>
      <w:bookmarkStart w:id="13" w:name="_Toc28359086"/>
      <w:r>
        <w:rPr>
          <w:rFonts w:hint="eastAsia" w:ascii="宋体" w:hAnsi="宋体" w:eastAsia="宋体" w:cs="宋体"/>
          <w:color w:val="auto"/>
          <w:sz w:val="24"/>
          <w:highlight w:val="none"/>
        </w:rPr>
        <w:t>地址：</w:t>
      </w:r>
      <w:r>
        <w:rPr>
          <w:rFonts w:hint="eastAsia" w:ascii="宋体" w:hAnsi="宋体" w:eastAsia="宋体" w:cs="宋体"/>
          <w:color w:val="auto"/>
          <w:sz w:val="24"/>
          <w:highlight w:val="none"/>
          <w:lang w:eastAsia="zh-CN"/>
        </w:rPr>
        <w:t>广西玉林市玉州区人民东路东202号</w:t>
      </w:r>
    </w:p>
    <w:bookmarkEnd w:id="1"/>
    <w:bookmarkEnd w:id="8"/>
    <w:bookmarkEnd w:id="9"/>
    <w:bookmarkEnd w:id="10"/>
    <w:bookmarkEnd w:id="11"/>
    <w:bookmarkEnd w:id="12"/>
    <w:bookmarkEnd w:id="13"/>
    <w:p w14:paraId="1A12047E">
      <w:pPr>
        <w:spacing w:line="360" w:lineRule="auto"/>
        <w:ind w:firstLine="648" w:firstLineChars="27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联系人：</w:t>
      </w:r>
      <w:r>
        <w:rPr>
          <w:rFonts w:hint="eastAsia" w:ascii="宋体" w:hAnsi="宋体" w:eastAsia="宋体" w:cs="宋体"/>
          <w:color w:val="auto"/>
          <w:sz w:val="24"/>
          <w:highlight w:val="none"/>
          <w:lang w:eastAsia="zh-CN"/>
        </w:rPr>
        <w:t>黄工</w:t>
      </w:r>
      <w:r>
        <w:rPr>
          <w:rFonts w:hint="eastAsia" w:ascii="宋体" w:hAnsi="宋体" w:eastAsia="宋体" w:cs="宋体"/>
          <w:color w:val="auto"/>
          <w:sz w:val="24"/>
          <w:highlight w:val="none"/>
        </w:rPr>
        <w:t xml:space="preserve">          联系电话：</w:t>
      </w:r>
      <w:r>
        <w:rPr>
          <w:rFonts w:hint="eastAsia" w:ascii="宋体" w:hAnsi="宋体" w:eastAsia="宋体" w:cs="宋体"/>
          <w:color w:val="auto"/>
          <w:sz w:val="24"/>
          <w:highlight w:val="none"/>
          <w:lang w:eastAsia="zh-CN"/>
        </w:rPr>
        <w:t>0775-2822107</w:t>
      </w:r>
    </w:p>
    <w:p w14:paraId="674271E0">
      <w:pPr>
        <w:spacing w:line="360" w:lineRule="auto"/>
        <w:ind w:firstLine="648" w:firstLineChars="27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2.采购代理机构信息</w:t>
      </w:r>
    </w:p>
    <w:p w14:paraId="59E73AD0">
      <w:pPr>
        <w:spacing w:line="360" w:lineRule="auto"/>
        <w:ind w:firstLine="648" w:firstLineChars="270"/>
        <w:rPr>
          <w:rFonts w:hint="eastAsia" w:ascii="宋体" w:hAnsi="宋体" w:eastAsia="宋体" w:cs="宋体"/>
          <w:color w:val="auto"/>
          <w:sz w:val="24"/>
          <w:highlight w:val="none"/>
        </w:rPr>
      </w:pPr>
      <w:r>
        <w:rPr>
          <w:rFonts w:hint="eastAsia" w:ascii="宋体" w:hAnsi="宋体" w:eastAsia="宋体" w:cs="宋体"/>
          <w:color w:val="auto"/>
          <w:sz w:val="24"/>
          <w:highlight w:val="none"/>
        </w:rPr>
        <w:t>名 称：</w:t>
      </w:r>
      <w:r>
        <w:rPr>
          <w:rFonts w:hint="eastAsia" w:ascii="宋体" w:hAnsi="宋体" w:eastAsia="宋体" w:cs="宋体"/>
          <w:color w:val="auto"/>
          <w:sz w:val="24"/>
          <w:highlight w:val="none"/>
          <w:lang w:eastAsia="zh-CN"/>
        </w:rPr>
        <w:t>广西卓联工程管理有限公司</w:t>
      </w:r>
      <w:r>
        <w:rPr>
          <w:rFonts w:hint="eastAsia" w:ascii="宋体" w:hAnsi="宋体" w:eastAsia="宋体" w:cs="宋体"/>
          <w:color w:val="auto"/>
          <w:sz w:val="24"/>
          <w:highlight w:val="none"/>
        </w:rPr>
        <w:t xml:space="preserve">  </w:t>
      </w:r>
    </w:p>
    <w:p w14:paraId="728DBAD0">
      <w:pPr>
        <w:spacing w:line="360" w:lineRule="auto"/>
        <w:ind w:firstLine="648" w:firstLineChars="27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lang w:eastAsia="zh-CN"/>
        </w:rPr>
        <w:t>南宁市青秀区民主路3号维也纳酒店5楼502室</w:t>
      </w:r>
    </w:p>
    <w:p w14:paraId="1B04B903">
      <w:pPr>
        <w:spacing w:line="360" w:lineRule="auto"/>
        <w:ind w:firstLine="648" w:firstLineChars="270"/>
        <w:rPr>
          <w:rFonts w:hint="eastAsia" w:ascii="宋体" w:hAnsi="宋体" w:eastAsia="宋体" w:cs="宋体"/>
          <w:color w:val="auto"/>
          <w:sz w:val="24"/>
          <w:highlight w:val="none"/>
        </w:rPr>
      </w:pPr>
      <w:bookmarkStart w:id="14" w:name="_Toc28359010"/>
      <w:bookmarkStart w:id="15" w:name="_Toc28359087"/>
      <w:r>
        <w:rPr>
          <w:rFonts w:hint="eastAsia" w:ascii="宋体" w:hAnsi="宋体" w:eastAsia="宋体" w:cs="宋体"/>
          <w:color w:val="auto"/>
          <w:sz w:val="24"/>
          <w:highlight w:val="none"/>
        </w:rPr>
        <w:t>联系方式：</w:t>
      </w:r>
      <w:r>
        <w:rPr>
          <w:rFonts w:hint="eastAsia" w:ascii="宋体" w:hAnsi="宋体" w:eastAsia="宋体" w:cs="宋体"/>
          <w:color w:val="auto"/>
          <w:kern w:val="0"/>
          <w:sz w:val="24"/>
          <w:highlight w:val="none"/>
          <w:lang w:eastAsia="zh-CN"/>
        </w:rPr>
        <w:t>何工</w:t>
      </w:r>
      <w:r>
        <w:rPr>
          <w:rFonts w:hint="eastAsia" w:ascii="宋体" w:hAnsi="宋体" w:eastAsia="宋体" w:cs="宋体"/>
          <w:color w:val="auto"/>
          <w:kern w:val="0"/>
          <w:sz w:val="24"/>
          <w:highlight w:val="none"/>
        </w:rPr>
        <w:t xml:space="preserve">      </w:t>
      </w: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lang w:eastAsia="zh-CN"/>
        </w:rPr>
        <w:t>0771-5665536</w:t>
      </w:r>
    </w:p>
    <w:p w14:paraId="1EAB0BF1">
      <w:pPr>
        <w:spacing w:line="360" w:lineRule="auto"/>
        <w:ind w:firstLine="648" w:firstLineChars="270"/>
        <w:rPr>
          <w:rFonts w:hint="eastAsia" w:ascii="宋体" w:hAnsi="宋体" w:eastAsia="宋体" w:cs="宋体"/>
          <w:color w:val="auto"/>
          <w:sz w:val="24"/>
          <w:highlight w:val="none"/>
        </w:rPr>
      </w:pPr>
      <w:r>
        <w:rPr>
          <w:rFonts w:hint="eastAsia" w:ascii="宋体" w:hAnsi="宋体" w:eastAsia="宋体" w:cs="宋体"/>
          <w:color w:val="auto"/>
          <w:sz w:val="24"/>
          <w:highlight w:val="none"/>
        </w:rPr>
        <w:t>3.项目联系方式</w:t>
      </w:r>
      <w:bookmarkEnd w:id="14"/>
      <w:bookmarkEnd w:id="15"/>
    </w:p>
    <w:p w14:paraId="51A3D91B">
      <w:pPr>
        <w:spacing w:line="360" w:lineRule="auto"/>
        <w:ind w:firstLine="648" w:firstLineChars="27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项目联系人：</w:t>
      </w:r>
      <w:r>
        <w:rPr>
          <w:rFonts w:hint="eastAsia" w:ascii="宋体" w:hAnsi="宋体" w:eastAsia="宋体" w:cs="宋体"/>
          <w:color w:val="auto"/>
          <w:sz w:val="24"/>
          <w:highlight w:val="none"/>
          <w:lang w:eastAsia="zh-CN"/>
        </w:rPr>
        <w:t>何工</w:t>
      </w:r>
      <w:r>
        <w:rPr>
          <w:rFonts w:hint="eastAsia" w:ascii="宋体" w:hAnsi="宋体" w:eastAsia="宋体" w:cs="宋体"/>
          <w:color w:val="auto"/>
          <w:sz w:val="24"/>
          <w:highlight w:val="none"/>
        </w:rPr>
        <w:t xml:space="preserve">    联系电话：</w:t>
      </w:r>
      <w:r>
        <w:rPr>
          <w:rFonts w:hint="eastAsia" w:ascii="宋体" w:hAnsi="宋体" w:eastAsia="宋体" w:cs="宋体"/>
          <w:color w:val="auto"/>
          <w:sz w:val="24"/>
          <w:highlight w:val="none"/>
          <w:lang w:eastAsia="zh-CN"/>
        </w:rPr>
        <w:t>0771-5665536</w:t>
      </w:r>
    </w:p>
    <w:p w14:paraId="71E9A5E7">
      <w:pPr>
        <w:spacing w:line="360" w:lineRule="auto"/>
        <w:ind w:firstLine="648" w:firstLineChars="27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3166C7D0">
      <w:pPr>
        <w:spacing w:line="360" w:lineRule="auto"/>
        <w:ind w:firstLine="482"/>
        <w:jc w:val="righ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广西卓联工程管理有限公司</w:t>
      </w:r>
    </w:p>
    <w:p w14:paraId="1A5867C4">
      <w:pPr>
        <w:spacing w:line="360" w:lineRule="auto"/>
        <w:ind w:firstLine="648" w:firstLineChars="27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2025年</w:t>
      </w:r>
      <w:r>
        <w:rPr>
          <w:rFonts w:hint="eastAsia" w:ascii="宋体" w:hAnsi="宋体" w:eastAsia="宋体" w:cs="宋体"/>
          <w:color w:val="auto"/>
          <w:sz w:val="24"/>
          <w:highlight w:val="none"/>
          <w:lang w:val="en-US" w:eastAsia="zh-CN"/>
        </w:rPr>
        <w:t>11</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10</w:t>
      </w:r>
      <w:r>
        <w:rPr>
          <w:rFonts w:hint="eastAsia" w:ascii="宋体" w:hAnsi="宋体" w:eastAsia="宋体" w:cs="宋体"/>
          <w:color w:val="auto"/>
          <w:sz w:val="24"/>
          <w:highlight w:val="none"/>
        </w:rPr>
        <w:t>日</w:t>
      </w:r>
    </w:p>
    <w:p w14:paraId="6DFD11FE">
      <w:pPr>
        <w:pStyle w:val="2"/>
        <w:jc w:val="center"/>
        <w:rPr>
          <w:rFonts w:hint="eastAsia" w:ascii="宋体" w:hAnsi="宋体" w:eastAsia="宋体" w:cs="宋体"/>
          <w:color w:val="auto"/>
          <w:highlight w:val="none"/>
        </w:rPr>
      </w:pPr>
      <w:r>
        <w:rPr>
          <w:rFonts w:hint="eastAsia" w:ascii="宋体" w:hAnsi="宋体" w:eastAsia="宋体" w:cs="宋体"/>
          <w:color w:val="auto"/>
          <w:sz w:val="24"/>
          <w:highlight w:val="none"/>
        </w:rPr>
        <w:br w:type="page"/>
      </w:r>
      <w:bookmarkStart w:id="16" w:name="_Toc23371"/>
      <w:r>
        <w:rPr>
          <w:rFonts w:hint="eastAsia" w:ascii="宋体" w:hAnsi="宋体" w:eastAsia="宋体" w:cs="宋体"/>
          <w:color w:val="auto"/>
          <w:highlight w:val="none"/>
        </w:rPr>
        <w:t>第二章 供应商须知</w:t>
      </w:r>
      <w:bookmarkEnd w:id="16"/>
    </w:p>
    <w:p w14:paraId="43DA85A5">
      <w:pPr>
        <w:spacing w:line="400" w:lineRule="exact"/>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供应商须知前附表</w:t>
      </w:r>
    </w:p>
    <w:p w14:paraId="6D9D9841">
      <w:pPr>
        <w:spacing w:line="400" w:lineRule="exact"/>
        <w:jc w:val="center"/>
        <w:rPr>
          <w:rFonts w:hint="eastAsia" w:ascii="宋体" w:hAnsi="宋体" w:eastAsia="宋体" w:cs="宋体"/>
          <w:b/>
          <w:color w:val="auto"/>
          <w:sz w:val="32"/>
          <w:szCs w:val="32"/>
          <w:highlight w:val="none"/>
        </w:rPr>
      </w:pPr>
    </w:p>
    <w:tbl>
      <w:tblPr>
        <w:tblStyle w:val="29"/>
        <w:tblW w:w="961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8627"/>
      </w:tblGrid>
      <w:tr w14:paraId="2B7CFC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Pr>
          <w:p w14:paraId="33641462">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条款号</w:t>
            </w:r>
          </w:p>
        </w:tc>
        <w:tc>
          <w:tcPr>
            <w:tcW w:w="8627" w:type="dxa"/>
          </w:tcPr>
          <w:p w14:paraId="606311BF">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内    容</w:t>
            </w:r>
          </w:p>
        </w:tc>
      </w:tr>
      <w:tr w14:paraId="737A53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98C382D">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8627" w:type="dxa"/>
            <w:vAlign w:val="center"/>
          </w:tcPr>
          <w:p w14:paraId="2350059D">
            <w:pPr>
              <w:spacing w:line="360" w:lineRule="auto"/>
              <w:rPr>
                <w:rFonts w:hint="eastAsia" w:ascii="宋体" w:hAnsi="宋体" w:eastAsia="宋体" w:cs="宋体"/>
                <w:color w:val="auto"/>
                <w:sz w:val="24"/>
                <w:highlight w:val="none"/>
              </w:rPr>
            </w:pPr>
            <w:r>
              <w:rPr>
                <w:rFonts w:hint="eastAsia" w:ascii="宋体" w:hAnsi="宋体" w:eastAsia="宋体" w:cs="宋体"/>
                <w:bCs/>
                <w:color w:val="auto"/>
                <w:sz w:val="24"/>
                <w:highlight w:val="none"/>
              </w:rPr>
              <w:t>供应商的资格条件</w:t>
            </w:r>
            <w:r>
              <w:rPr>
                <w:rFonts w:hint="eastAsia" w:ascii="宋体" w:hAnsi="宋体" w:eastAsia="宋体" w:cs="宋体"/>
                <w:color w:val="auto"/>
                <w:sz w:val="24"/>
                <w:highlight w:val="none"/>
              </w:rPr>
              <w:t>：详见竞争性磋商公告</w:t>
            </w:r>
          </w:p>
        </w:tc>
      </w:tr>
      <w:tr w14:paraId="029DC7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5791DB7">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5.1</w:t>
            </w:r>
          </w:p>
        </w:tc>
        <w:tc>
          <w:tcPr>
            <w:tcW w:w="8627" w:type="dxa"/>
            <w:vAlign w:val="center"/>
          </w:tcPr>
          <w:p w14:paraId="7BE28B04">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是否接受联合体参加竞争性磋商：否。</w:t>
            </w:r>
          </w:p>
        </w:tc>
      </w:tr>
      <w:tr w14:paraId="6C85B4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E9254F9">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5.2</w:t>
            </w:r>
          </w:p>
        </w:tc>
        <w:tc>
          <w:tcPr>
            <w:tcW w:w="8627" w:type="dxa"/>
            <w:vAlign w:val="center"/>
          </w:tcPr>
          <w:p w14:paraId="61F5E26A">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如接受联合体参加竞争性磋商，要求如下：</w:t>
            </w:r>
          </w:p>
          <w:p w14:paraId="7A0D5405">
            <w:pPr>
              <w:autoSpaceDE w:val="0"/>
              <w:autoSpaceDN w:val="0"/>
              <w:snapToGrid w:val="0"/>
              <w:spacing w:line="360" w:lineRule="auto"/>
              <w:textAlignment w:val="bottom"/>
              <w:rPr>
                <w:rFonts w:hint="eastAsia" w:ascii="宋体" w:hAnsi="宋体" w:eastAsia="宋体" w:cs="宋体"/>
                <w:color w:val="auto"/>
                <w:sz w:val="24"/>
                <w:highlight w:val="none"/>
              </w:rPr>
            </w:pPr>
            <w:r>
              <w:rPr>
                <w:rFonts w:hint="eastAsia" w:ascii="宋体" w:hAnsi="宋体" w:eastAsia="宋体" w:cs="宋体"/>
                <w:color w:val="auto"/>
                <w:sz w:val="24"/>
                <w:highlight w:val="none"/>
              </w:rPr>
              <w:t>1.两个以上供应商可以组成一个竞争性磋商联合体，以一个供应商的身份共同参加竞争性磋商，联合体供应商的名称应统一按“XXX 公司与 XXX 公司的联合体”的规则填写。</w:t>
            </w:r>
            <w:r>
              <w:rPr>
                <w:rFonts w:hint="eastAsia" w:ascii="宋体" w:hAnsi="宋体" w:eastAsia="宋体" w:cs="宋体"/>
                <w:color w:val="auto"/>
                <w:sz w:val="24"/>
                <w:highlight w:val="none"/>
              </w:rPr>
              <w:tab/>
            </w:r>
          </w:p>
          <w:p w14:paraId="0C59D113">
            <w:pPr>
              <w:autoSpaceDE w:val="0"/>
              <w:autoSpaceDN w:val="0"/>
              <w:snapToGrid w:val="0"/>
              <w:spacing w:line="360" w:lineRule="auto"/>
              <w:textAlignment w:val="bottom"/>
              <w:rPr>
                <w:rFonts w:hint="eastAsia" w:ascii="宋体" w:hAnsi="宋体" w:eastAsia="宋体" w:cs="宋体"/>
                <w:color w:val="auto"/>
                <w:sz w:val="24"/>
                <w:highlight w:val="none"/>
              </w:rPr>
            </w:pPr>
            <w:r>
              <w:rPr>
                <w:rFonts w:hint="eastAsia" w:ascii="宋体" w:hAnsi="宋体" w:eastAsia="宋体" w:cs="宋体"/>
                <w:color w:val="auto"/>
                <w:sz w:val="24"/>
                <w:highlight w:val="none"/>
              </w:rPr>
              <w:t>2.以联合体形式参加竞争性磋商的，联合体各方均必须具备《中华人民共和国政府采购法》第二十二条第一款规定的基本条件（涉及行政许可范围的内容，联合体各方均应具备相应资质）。本项目有特殊要求规定供应商特定条件的，联合体各方中至少有一方必须符合本项目竞争性磋商公告“申请人的资格条件”第3点 “3、本项目的特定资格要求”的要求。</w:t>
            </w:r>
          </w:p>
          <w:p w14:paraId="74CDD38D">
            <w:pPr>
              <w:autoSpaceDE w:val="0"/>
              <w:autoSpaceDN w:val="0"/>
              <w:snapToGrid w:val="0"/>
              <w:spacing w:line="360" w:lineRule="auto"/>
              <w:textAlignment w:val="bottom"/>
              <w:rPr>
                <w:rFonts w:hint="eastAsia" w:ascii="宋体" w:hAnsi="宋体" w:eastAsia="宋体" w:cs="宋体"/>
                <w:color w:val="auto"/>
                <w:sz w:val="24"/>
                <w:highlight w:val="none"/>
              </w:rPr>
            </w:pPr>
            <w:r>
              <w:rPr>
                <w:rFonts w:hint="eastAsia" w:ascii="宋体" w:hAnsi="宋体" w:eastAsia="宋体" w:cs="宋体"/>
                <w:color w:val="auto"/>
                <w:sz w:val="24"/>
                <w:highlight w:val="none"/>
              </w:rPr>
              <w:t>3.联合体参加竞争性磋商的，须提供《联合体参加竞争性磋商协议书》（格式后附），协议书必须明确主体方（或者牵头方）并明确约定联合体各方承担的工作和相应的责任（各方承担责任与义务的分工必须符合采购需求，否则，联合体响应无效），并将联合参加竞争性磋商协议放入响应文件。联合体各方必须共同与采购人签订采购合同，就采购合同约定的事项对采购人承担连带责任。</w:t>
            </w:r>
            <w:r>
              <w:rPr>
                <w:rFonts w:hint="eastAsia" w:ascii="宋体" w:hAnsi="宋体" w:eastAsia="宋体" w:cs="宋体"/>
                <w:color w:val="auto"/>
                <w:sz w:val="24"/>
                <w:highlight w:val="none"/>
              </w:rPr>
              <w:tab/>
            </w:r>
          </w:p>
          <w:p w14:paraId="58A3F157">
            <w:pPr>
              <w:autoSpaceDE w:val="0"/>
              <w:autoSpaceDN w:val="0"/>
              <w:snapToGrid w:val="0"/>
              <w:spacing w:line="360" w:lineRule="auto"/>
              <w:textAlignment w:val="bottom"/>
              <w:rPr>
                <w:rFonts w:hint="eastAsia" w:ascii="宋体" w:hAnsi="宋体" w:eastAsia="宋体" w:cs="宋体"/>
                <w:color w:val="auto"/>
                <w:sz w:val="24"/>
                <w:highlight w:val="none"/>
              </w:rPr>
            </w:pPr>
            <w:r>
              <w:rPr>
                <w:rFonts w:hint="eastAsia" w:ascii="宋体" w:hAnsi="宋体" w:eastAsia="宋体" w:cs="宋体"/>
                <w:color w:val="auto"/>
                <w:sz w:val="24"/>
                <w:highlight w:val="none"/>
              </w:rPr>
              <w:t>4.以联合体形式参加政府采购活动的，联合体各方不得再单独参加或者与其他供应商另外组成联合体参加同一合同项下的政府采购活动，否则与之相关的响应文件作废。</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p>
          <w:p w14:paraId="266F02A9">
            <w:pPr>
              <w:autoSpaceDE w:val="0"/>
              <w:autoSpaceDN w:val="0"/>
              <w:snapToGrid w:val="0"/>
              <w:spacing w:line="360" w:lineRule="auto"/>
              <w:textAlignment w:val="bottom"/>
              <w:rPr>
                <w:rFonts w:hint="eastAsia" w:ascii="宋体" w:hAnsi="宋体" w:eastAsia="宋体" w:cs="宋体"/>
                <w:color w:val="auto"/>
                <w:sz w:val="24"/>
                <w:highlight w:val="none"/>
              </w:rPr>
            </w:pPr>
            <w:r>
              <w:rPr>
                <w:rFonts w:hint="eastAsia" w:ascii="宋体" w:hAnsi="宋体" w:eastAsia="宋体" w:cs="宋体"/>
                <w:color w:val="auto"/>
                <w:sz w:val="24"/>
                <w:highlight w:val="none"/>
              </w:rPr>
              <w:t>5.联合体中有同类资质的供应商按照联合体分工承担相同工作的，应当按照资质等级较低的供应商确定资质等级。</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p>
          <w:p w14:paraId="59DAF4B2">
            <w:pPr>
              <w:autoSpaceDE w:val="0"/>
              <w:autoSpaceDN w:val="0"/>
              <w:snapToGrid w:val="0"/>
              <w:spacing w:line="360" w:lineRule="auto"/>
              <w:textAlignment w:val="bottom"/>
              <w:rPr>
                <w:rFonts w:hint="eastAsia" w:ascii="宋体" w:hAnsi="宋体" w:eastAsia="宋体" w:cs="宋体"/>
                <w:color w:val="auto"/>
                <w:sz w:val="24"/>
                <w:highlight w:val="none"/>
              </w:rPr>
            </w:pPr>
            <w:r>
              <w:rPr>
                <w:rFonts w:hint="eastAsia" w:ascii="宋体" w:hAnsi="宋体" w:eastAsia="宋体" w:cs="宋体"/>
                <w:color w:val="auto"/>
                <w:sz w:val="24"/>
                <w:highlight w:val="none"/>
              </w:rPr>
              <w:t>6.联合体参加竞争性磋商的业绩、履约能力按照联合体各方其中较高的一方认定并计算（竞争性磋商文件另有规定的除外）。</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p>
          <w:p w14:paraId="6E155A7E">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7.联合体各方均应按照竞争性磋商文件的规定提交资格证明文件。</w:t>
            </w:r>
          </w:p>
        </w:tc>
      </w:tr>
      <w:tr w14:paraId="0A2E39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4657CF6">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6.2</w:t>
            </w:r>
          </w:p>
        </w:tc>
        <w:tc>
          <w:tcPr>
            <w:tcW w:w="8627" w:type="dxa"/>
            <w:vAlign w:val="center"/>
          </w:tcPr>
          <w:p w14:paraId="119EC06F">
            <w:pPr>
              <w:pStyle w:val="11"/>
              <w:spacing w:line="360" w:lineRule="auto"/>
              <w:rPr>
                <w:rFonts w:hint="eastAsia" w:ascii="宋体" w:hAnsi="宋体" w:eastAsia="宋体" w:cs="宋体"/>
                <w:color w:val="auto"/>
                <w:sz w:val="24"/>
                <w:highlight w:val="none"/>
              </w:rPr>
            </w:pPr>
            <w:r>
              <w:rPr>
                <w:rFonts w:hint="eastAsia" w:ascii="宋体" w:hAnsi="宋体" w:eastAsia="宋体" w:cs="宋体"/>
                <w:b/>
                <w:color w:val="auto"/>
                <w:sz w:val="24"/>
                <w:highlight w:val="none"/>
              </w:rPr>
              <w:sym w:font="Wingdings" w:char="00FE"/>
            </w:r>
            <w:r>
              <w:rPr>
                <w:rFonts w:hint="eastAsia" w:ascii="宋体" w:hAnsi="宋体" w:eastAsia="宋体" w:cs="宋体"/>
                <w:b/>
                <w:color w:val="auto"/>
                <w:sz w:val="24"/>
                <w:highlight w:val="none"/>
              </w:rPr>
              <w:t>本项目不允许分包。</w:t>
            </w:r>
          </w:p>
        </w:tc>
      </w:tr>
      <w:tr w14:paraId="3F97EB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13D2FC6">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12.1.1</w:t>
            </w:r>
          </w:p>
        </w:tc>
        <w:tc>
          <w:tcPr>
            <w:tcW w:w="8627" w:type="dxa"/>
            <w:vAlign w:val="center"/>
          </w:tcPr>
          <w:p w14:paraId="411C43D0">
            <w:pPr>
              <w:snapToGrid w:val="0"/>
              <w:spacing w:line="360" w:lineRule="auto"/>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资格证明文件</w:t>
            </w:r>
          </w:p>
          <w:p w14:paraId="0B8A85C2">
            <w:pPr>
              <w:pStyle w:val="11"/>
              <w:spacing w:line="360" w:lineRule="auto"/>
              <w:rPr>
                <w:rFonts w:hint="eastAsia" w:ascii="宋体" w:hAnsi="宋体" w:eastAsia="宋体" w:cs="宋体"/>
                <w:color w:val="auto"/>
                <w:sz w:val="24"/>
                <w:highlight w:val="none"/>
                <w:u w:val="none"/>
              </w:rPr>
            </w:pPr>
            <w:r>
              <w:rPr>
                <w:rFonts w:hint="eastAsia" w:ascii="宋体" w:hAnsi="宋体" w:eastAsia="宋体" w:cs="宋体"/>
                <w:color w:val="auto"/>
                <w:sz w:val="24"/>
                <w:highlight w:val="none"/>
              </w:rPr>
              <w:t>1.供应商为法人或者其他组织的，证明文件为其营业执照复印件（如营业执照或者事业单位法人证书或者执业许可</w:t>
            </w:r>
            <w:r>
              <w:rPr>
                <w:rFonts w:hint="eastAsia" w:ascii="宋体" w:hAnsi="宋体" w:eastAsia="宋体" w:cs="宋体"/>
                <w:color w:val="auto"/>
                <w:sz w:val="24"/>
                <w:highlight w:val="none"/>
                <w:u w:val="none"/>
              </w:rPr>
              <w:t>证等）；供应商为自然人的，证明文件为其身份证复印件；（</w:t>
            </w:r>
            <w:r>
              <w:rPr>
                <w:rFonts w:hint="eastAsia" w:ascii="宋体" w:hAnsi="宋体" w:eastAsia="宋体" w:cs="宋体"/>
                <w:b/>
                <w:color w:val="auto"/>
                <w:sz w:val="24"/>
                <w:highlight w:val="none"/>
                <w:u w:val="none"/>
              </w:rPr>
              <w:t>必须提供，否则响应文件按无效响应处理</w:t>
            </w:r>
            <w:r>
              <w:rPr>
                <w:rFonts w:hint="eastAsia" w:ascii="宋体" w:hAnsi="宋体" w:eastAsia="宋体" w:cs="宋体"/>
                <w:color w:val="auto"/>
                <w:sz w:val="24"/>
                <w:highlight w:val="none"/>
                <w:u w:val="none"/>
              </w:rPr>
              <w:t>）</w:t>
            </w:r>
          </w:p>
          <w:p w14:paraId="34C84D2D">
            <w:pPr>
              <w:spacing w:line="360" w:lineRule="auto"/>
              <w:contextualSpacing/>
              <w:jc w:val="left"/>
              <w:rPr>
                <w:rFonts w:hint="eastAsia" w:ascii="宋体" w:hAnsi="宋体" w:eastAsia="宋体" w:cs="宋体"/>
                <w:color w:val="auto"/>
                <w:sz w:val="24"/>
                <w:highlight w:val="none"/>
                <w:u w:val="none"/>
              </w:rPr>
            </w:pPr>
            <w:r>
              <w:rPr>
                <w:rFonts w:hint="eastAsia" w:ascii="宋体" w:hAnsi="宋体" w:eastAsia="宋体" w:cs="宋体"/>
                <w:color w:val="auto"/>
                <w:sz w:val="24"/>
                <w:highlight w:val="none"/>
                <w:u w:val="none"/>
              </w:rPr>
              <w:t>2.供应商依法缴纳税收的相关材料（</w:t>
            </w:r>
            <w:r>
              <w:rPr>
                <w:rFonts w:hint="eastAsia" w:ascii="宋体" w:hAnsi="宋体" w:eastAsia="宋体" w:cs="宋体"/>
                <w:color w:val="auto"/>
                <w:sz w:val="24"/>
                <w:highlight w:val="none"/>
                <w:u w:val="none"/>
                <w:lang w:eastAsia="zh-CN"/>
              </w:rPr>
              <w:t>2025年</w:t>
            </w:r>
            <w:r>
              <w:rPr>
                <w:rFonts w:hint="eastAsia" w:ascii="宋体" w:hAnsi="宋体" w:eastAsia="宋体" w:cs="宋体"/>
                <w:color w:val="auto"/>
                <w:sz w:val="24"/>
                <w:highlight w:val="none"/>
                <w:u w:val="none"/>
                <w:lang w:val="en-US" w:eastAsia="zh-CN"/>
              </w:rPr>
              <w:t>3</w:t>
            </w:r>
            <w:r>
              <w:rPr>
                <w:rFonts w:hint="eastAsia" w:ascii="宋体" w:hAnsi="宋体" w:eastAsia="宋体" w:cs="宋体"/>
                <w:color w:val="auto"/>
                <w:sz w:val="24"/>
                <w:highlight w:val="none"/>
                <w:u w:val="none"/>
                <w:lang w:eastAsia="zh-CN"/>
              </w:rPr>
              <w:t>月</w:t>
            </w:r>
            <w:r>
              <w:rPr>
                <w:rFonts w:hint="eastAsia" w:ascii="宋体" w:hAnsi="宋体" w:eastAsia="宋体" w:cs="宋体"/>
                <w:color w:val="auto"/>
                <w:sz w:val="24"/>
                <w:highlight w:val="none"/>
                <w:u w:val="none"/>
              </w:rPr>
              <w:t>以来连续3个月的依法缴纳税收的凭据复印件；依法免税的，必须提供相应文件证明。从成立之日起到首次响应文件提交截止之日不足要求月数的，只需提供从成立之日起的依法缴纳税收相应证明文件）；（</w:t>
            </w:r>
            <w:r>
              <w:rPr>
                <w:rFonts w:hint="eastAsia" w:ascii="宋体" w:hAnsi="宋体" w:eastAsia="宋体" w:cs="宋体"/>
                <w:b/>
                <w:color w:val="auto"/>
                <w:sz w:val="24"/>
                <w:highlight w:val="none"/>
                <w:u w:val="none"/>
              </w:rPr>
              <w:t>必须提供，否则响应文件按无效响应处理</w:t>
            </w:r>
            <w:r>
              <w:rPr>
                <w:rFonts w:hint="eastAsia" w:ascii="宋体" w:hAnsi="宋体" w:eastAsia="宋体" w:cs="宋体"/>
                <w:color w:val="auto"/>
                <w:sz w:val="24"/>
                <w:highlight w:val="none"/>
                <w:u w:val="none"/>
              </w:rPr>
              <w:t>）</w:t>
            </w:r>
          </w:p>
          <w:p w14:paraId="44E8A464">
            <w:pPr>
              <w:spacing w:line="360" w:lineRule="auto"/>
              <w:contextualSpacing/>
              <w:jc w:val="left"/>
              <w:rPr>
                <w:rFonts w:hint="eastAsia" w:ascii="宋体" w:hAnsi="宋体" w:eastAsia="宋体" w:cs="宋体"/>
                <w:color w:val="auto"/>
                <w:sz w:val="24"/>
                <w:highlight w:val="none"/>
                <w:u w:val="none"/>
              </w:rPr>
            </w:pPr>
            <w:r>
              <w:rPr>
                <w:rFonts w:hint="eastAsia" w:ascii="宋体" w:hAnsi="宋体" w:eastAsia="宋体" w:cs="宋体"/>
                <w:color w:val="auto"/>
                <w:sz w:val="24"/>
                <w:highlight w:val="none"/>
                <w:u w:val="none"/>
              </w:rPr>
              <w:t>3.供应商依法缴纳社会保障资金的相关材料[</w:t>
            </w:r>
            <w:r>
              <w:rPr>
                <w:rFonts w:hint="eastAsia" w:ascii="宋体" w:hAnsi="宋体" w:eastAsia="宋体" w:cs="宋体"/>
                <w:color w:val="auto"/>
                <w:sz w:val="24"/>
                <w:highlight w:val="none"/>
                <w:u w:val="none"/>
                <w:lang w:eastAsia="zh-CN"/>
              </w:rPr>
              <w:t>2025年</w:t>
            </w:r>
            <w:r>
              <w:rPr>
                <w:rFonts w:hint="eastAsia" w:ascii="宋体" w:hAnsi="宋体" w:eastAsia="宋体" w:cs="宋体"/>
                <w:color w:val="auto"/>
                <w:sz w:val="24"/>
                <w:highlight w:val="none"/>
                <w:u w:val="none"/>
                <w:lang w:val="en-US" w:eastAsia="zh-CN"/>
              </w:rPr>
              <w:t>3</w:t>
            </w:r>
            <w:r>
              <w:rPr>
                <w:rFonts w:hint="eastAsia" w:ascii="宋体" w:hAnsi="宋体" w:eastAsia="宋体" w:cs="宋体"/>
                <w:color w:val="auto"/>
                <w:sz w:val="24"/>
                <w:highlight w:val="none"/>
                <w:u w:val="none"/>
                <w:lang w:eastAsia="zh-CN"/>
              </w:rPr>
              <w:t>月</w:t>
            </w:r>
            <w:r>
              <w:rPr>
                <w:rFonts w:hint="eastAsia" w:ascii="宋体" w:hAnsi="宋体" w:eastAsia="宋体" w:cs="宋体"/>
                <w:color w:val="auto"/>
                <w:sz w:val="24"/>
                <w:highlight w:val="none"/>
                <w:u w:val="none"/>
              </w:rPr>
              <w:t>以来连续3个月的依法缴纳社会保障资金的缴费凭证（专用收据或者社会保险缴纳清单）复印件；依法不需要缴纳社会保障资金的，必须提供相应文件证明。从成立之日起到首次响应文件提交截止之日不足要求月数的只需提供从成立之日起一个月的依法缴纳社会保障资金的相应证明文件]；（</w:t>
            </w:r>
            <w:r>
              <w:rPr>
                <w:rFonts w:hint="eastAsia" w:ascii="宋体" w:hAnsi="宋体" w:eastAsia="宋体" w:cs="宋体"/>
                <w:b/>
                <w:color w:val="auto"/>
                <w:sz w:val="24"/>
                <w:highlight w:val="none"/>
                <w:u w:val="none"/>
              </w:rPr>
              <w:t>必须提供，否则响应文件按无效响应处理</w:t>
            </w:r>
            <w:r>
              <w:rPr>
                <w:rFonts w:hint="eastAsia" w:ascii="宋体" w:hAnsi="宋体" w:eastAsia="宋体" w:cs="宋体"/>
                <w:color w:val="auto"/>
                <w:sz w:val="24"/>
                <w:highlight w:val="none"/>
                <w:u w:val="none"/>
              </w:rPr>
              <w:t>）</w:t>
            </w:r>
          </w:p>
          <w:p w14:paraId="60C1DF5C">
            <w:pPr>
              <w:spacing w:line="360" w:lineRule="auto"/>
              <w:contextualSpacing/>
              <w:jc w:val="left"/>
              <w:rPr>
                <w:rFonts w:hint="eastAsia" w:ascii="宋体" w:hAnsi="宋体" w:eastAsia="宋体" w:cs="宋体"/>
                <w:b/>
                <w:color w:val="auto"/>
                <w:sz w:val="24"/>
                <w:highlight w:val="none"/>
              </w:rPr>
            </w:pPr>
            <w:r>
              <w:rPr>
                <w:rFonts w:hint="eastAsia" w:ascii="宋体" w:hAnsi="宋体" w:eastAsia="宋体" w:cs="宋体"/>
                <w:color w:val="auto"/>
                <w:sz w:val="24"/>
                <w:highlight w:val="none"/>
                <w:u w:val="none"/>
              </w:rPr>
              <w:t>4.供应商财务状况报告（提供2024年财务状况报告复印件，或者银行出具的资信证明（资信证明应在有效期内，未注明有效期的，银行出具时间至首次响应文件提交截止之日不超过一年）；供应商成立不满一年的</w:t>
            </w:r>
            <w:r>
              <w:rPr>
                <w:rFonts w:hint="eastAsia" w:ascii="宋体" w:hAnsi="宋体" w:eastAsia="宋体" w:cs="宋体"/>
                <w:color w:val="auto"/>
                <w:sz w:val="24"/>
                <w:highlight w:val="none"/>
              </w:rPr>
              <w:t>应按首次响应文件提交截止之日上一个月的财务状况报告复印件）；</w:t>
            </w:r>
            <w:r>
              <w:rPr>
                <w:rFonts w:hint="eastAsia" w:ascii="宋体" w:hAnsi="宋体" w:eastAsia="宋体" w:cs="宋体"/>
                <w:bCs/>
                <w:color w:val="auto"/>
                <w:sz w:val="24"/>
                <w:highlight w:val="none"/>
              </w:rPr>
              <w:t>（</w:t>
            </w:r>
            <w:r>
              <w:rPr>
                <w:rFonts w:hint="eastAsia" w:ascii="宋体" w:hAnsi="宋体" w:eastAsia="宋体" w:cs="宋体"/>
                <w:b/>
                <w:color w:val="auto"/>
                <w:sz w:val="24"/>
                <w:highlight w:val="none"/>
              </w:rPr>
              <w:t>除自然人外必须提供，否则响应文件按无效响应处理</w:t>
            </w:r>
            <w:r>
              <w:rPr>
                <w:rFonts w:hint="eastAsia" w:ascii="宋体" w:hAnsi="宋体" w:eastAsia="宋体" w:cs="宋体"/>
                <w:bCs/>
                <w:color w:val="auto"/>
                <w:sz w:val="24"/>
                <w:highlight w:val="none"/>
              </w:rPr>
              <w:t>）</w:t>
            </w:r>
          </w:p>
          <w:p w14:paraId="0EAC4F52">
            <w:pPr>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5.供应商直接控股、管理关系信息表（格式后附）；（</w:t>
            </w:r>
            <w:r>
              <w:rPr>
                <w:rFonts w:hint="eastAsia" w:ascii="宋体" w:hAnsi="宋体" w:eastAsia="宋体" w:cs="宋体"/>
                <w:b/>
                <w:color w:val="auto"/>
                <w:sz w:val="24"/>
                <w:highlight w:val="none"/>
              </w:rPr>
              <w:t>必须提供，否则响应文件按无效响应处理</w:t>
            </w:r>
            <w:r>
              <w:rPr>
                <w:rFonts w:hint="eastAsia" w:ascii="宋体" w:hAnsi="宋体" w:eastAsia="宋体" w:cs="宋体"/>
                <w:color w:val="auto"/>
                <w:sz w:val="24"/>
                <w:highlight w:val="none"/>
              </w:rPr>
              <w:t>）</w:t>
            </w:r>
          </w:p>
          <w:p w14:paraId="659C0D3A">
            <w:pPr>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6.参与竞争性磋商声明（格式后附）；（</w:t>
            </w:r>
            <w:r>
              <w:rPr>
                <w:rFonts w:hint="eastAsia" w:ascii="宋体" w:hAnsi="宋体" w:eastAsia="宋体" w:cs="宋体"/>
                <w:b/>
                <w:color w:val="auto"/>
                <w:sz w:val="24"/>
                <w:highlight w:val="none"/>
              </w:rPr>
              <w:t>必须提供，否则响应文件按无效响应处理</w:t>
            </w:r>
            <w:r>
              <w:rPr>
                <w:rFonts w:hint="eastAsia" w:ascii="宋体" w:hAnsi="宋体" w:eastAsia="宋体" w:cs="宋体"/>
                <w:color w:val="auto"/>
                <w:sz w:val="24"/>
                <w:highlight w:val="none"/>
              </w:rPr>
              <w:t>）</w:t>
            </w:r>
          </w:p>
          <w:p w14:paraId="763904C5">
            <w:pPr>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7.联合体参与竞争性磋商协议书（格式后附）；（</w:t>
            </w:r>
            <w:r>
              <w:rPr>
                <w:rFonts w:hint="eastAsia" w:ascii="宋体" w:hAnsi="宋体" w:eastAsia="宋体" w:cs="宋体"/>
                <w:b/>
                <w:color w:val="auto"/>
                <w:sz w:val="24"/>
                <w:highlight w:val="none"/>
              </w:rPr>
              <w:t>联合体</w:t>
            </w:r>
            <w:r>
              <w:rPr>
                <w:rFonts w:hint="eastAsia" w:ascii="宋体" w:hAnsi="宋体" w:eastAsia="宋体" w:cs="宋体"/>
                <w:color w:val="auto"/>
                <w:sz w:val="24"/>
                <w:highlight w:val="none"/>
              </w:rPr>
              <w:t>参与竞争性磋商</w:t>
            </w:r>
            <w:r>
              <w:rPr>
                <w:rFonts w:hint="eastAsia" w:ascii="宋体" w:hAnsi="宋体" w:eastAsia="宋体" w:cs="宋体"/>
                <w:b/>
                <w:color w:val="auto"/>
                <w:sz w:val="24"/>
                <w:highlight w:val="none"/>
              </w:rPr>
              <w:t>时必须提供，否则响应文件按无效响应处理</w:t>
            </w:r>
            <w:r>
              <w:rPr>
                <w:rFonts w:hint="eastAsia" w:ascii="宋体" w:hAnsi="宋体" w:eastAsia="宋体" w:cs="宋体"/>
                <w:color w:val="auto"/>
                <w:sz w:val="24"/>
                <w:highlight w:val="none"/>
              </w:rPr>
              <w:t>）</w:t>
            </w:r>
          </w:p>
          <w:p w14:paraId="5FDB0ABC">
            <w:pPr>
              <w:spacing w:line="360"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8.竞争性磋商公告对应的特定资格要求的资格证明材料</w:t>
            </w:r>
            <w:r>
              <w:rPr>
                <w:rFonts w:hint="eastAsia" w:ascii="宋体" w:hAnsi="宋体" w:eastAsia="宋体" w:cs="宋体"/>
                <w:color w:val="auto"/>
                <w:sz w:val="24"/>
                <w:highlight w:val="none"/>
                <w:lang w:eastAsia="zh-CN"/>
              </w:rPr>
              <w:t>：</w:t>
            </w:r>
          </w:p>
          <w:p w14:paraId="0B8EBC55">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1分标</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供应商</w:t>
            </w:r>
            <w:r>
              <w:rPr>
                <w:rFonts w:hint="eastAsia" w:ascii="宋体" w:hAnsi="宋体" w:eastAsia="宋体" w:cs="宋体"/>
                <w:color w:val="auto"/>
                <w:sz w:val="24"/>
                <w:highlight w:val="none"/>
                <w:lang w:eastAsia="zh-CN"/>
              </w:rPr>
              <w:t>通过全国投资项目在线审批监管平台备案（公路专业）并具备有效的公路工程试验检测机构等级证书（公路工程综合乙级及以上）和省级（含）以上市场监督主管部门颁发的检验检测机构资质认定证书（CMA）；</w:t>
            </w:r>
          </w:p>
          <w:p w14:paraId="020A90D7">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2分标：供应商具有工程设计公路行业（公路）专业乙级及以上资质或工程设计公路行业甲级资质或工程设计综合甲级资质</w:t>
            </w:r>
            <w:r>
              <w:rPr>
                <w:rFonts w:hint="eastAsia" w:ascii="宋体" w:hAnsi="宋体" w:eastAsia="宋体" w:cs="宋体"/>
                <w:color w:val="auto"/>
                <w:sz w:val="24"/>
                <w:highlight w:val="none"/>
                <w:lang w:eastAsia="zh-CN"/>
              </w:rPr>
              <w:t>；</w:t>
            </w:r>
          </w:p>
          <w:p w14:paraId="3FCDC391">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3分标：供应商具有①工程勘察专业类（岩土工程或工程测量）专业乙级及以上资质或工程勘察综合甲级资质；②工程设计公路行业（公路）专业乙级及以上资质或工程设计公路行业甲级资质或工程设计综合甲级资质；</w:t>
            </w:r>
          </w:p>
          <w:p w14:paraId="1531D0B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（4）4分标：供应商</w:t>
            </w:r>
            <w:r>
              <w:rPr>
                <w:rFonts w:hint="eastAsia" w:ascii="宋体" w:hAnsi="宋体" w:eastAsia="宋体" w:cs="宋体"/>
                <w:color w:val="auto"/>
                <w:sz w:val="24"/>
                <w:highlight w:val="none"/>
                <w:lang w:eastAsia="zh-CN"/>
              </w:rPr>
              <w:t>通过全国投资项目在线审批监管平台备案（公路专业）并具备有效的公路工程试验检测机构等级证书（公路工程综合乙级及以上）和省级（含）以上市场监督主管部门颁发的检验检测机构资质认定证书（CMA）。</w:t>
            </w:r>
            <w:r>
              <w:rPr>
                <w:rFonts w:hint="eastAsia" w:ascii="宋体" w:hAnsi="宋体" w:eastAsia="宋体" w:cs="宋体"/>
                <w:color w:val="auto"/>
                <w:sz w:val="24"/>
                <w:highlight w:val="none"/>
                <w:lang w:val="en-US" w:eastAsia="zh-CN"/>
              </w:rPr>
              <w:t>注：供应商须提供资质证书复印件</w:t>
            </w:r>
            <w:r>
              <w:rPr>
                <w:rFonts w:hint="eastAsia" w:ascii="宋体" w:hAnsi="宋体" w:eastAsia="宋体" w:cs="宋体"/>
                <w:b/>
                <w:bCs/>
                <w:color w:val="auto"/>
                <w:sz w:val="24"/>
                <w:highlight w:val="none"/>
              </w:rPr>
              <w:t>（必须提供</w:t>
            </w:r>
            <w:r>
              <w:rPr>
                <w:rFonts w:hint="eastAsia" w:ascii="宋体" w:hAnsi="宋体" w:eastAsia="宋体" w:cs="宋体"/>
                <w:b/>
                <w:color w:val="auto"/>
                <w:sz w:val="24"/>
                <w:highlight w:val="none"/>
              </w:rPr>
              <w:t>，否则响应文件按无效响应处理</w:t>
            </w:r>
            <w:r>
              <w:rPr>
                <w:rFonts w:hint="eastAsia" w:ascii="宋体" w:hAnsi="宋体" w:eastAsia="宋体" w:cs="宋体"/>
                <w:color w:val="auto"/>
                <w:sz w:val="24"/>
                <w:highlight w:val="none"/>
              </w:rPr>
              <w:t>）</w:t>
            </w:r>
          </w:p>
          <w:p w14:paraId="736D9E72">
            <w:pPr>
              <w:snapToGrid w:val="0"/>
              <w:spacing w:line="360" w:lineRule="auto"/>
              <w:jc w:val="left"/>
              <w:rPr>
                <w:rFonts w:hint="eastAsia" w:ascii="宋体" w:hAnsi="宋体" w:eastAsia="宋体" w:cs="宋体"/>
                <w:b/>
                <w:color w:val="auto"/>
                <w:sz w:val="24"/>
                <w:highlight w:val="none"/>
              </w:rPr>
            </w:pPr>
            <w:r>
              <w:rPr>
                <w:rFonts w:hint="eastAsia" w:ascii="宋体" w:hAnsi="宋体" w:eastAsia="宋体" w:cs="宋体"/>
                <w:color w:val="auto"/>
                <w:sz w:val="24"/>
                <w:highlight w:val="none"/>
              </w:rPr>
              <w:t>9.除磋商文件规定必须提供以外，供应商认为需要提供的其他证明材料；</w:t>
            </w:r>
          </w:p>
          <w:p w14:paraId="2770FC7C">
            <w:pPr>
              <w:snapToGrid w:val="0"/>
              <w:spacing w:line="360" w:lineRule="auto"/>
              <w:jc w:val="left"/>
              <w:rPr>
                <w:rFonts w:hint="eastAsia" w:ascii="宋体" w:hAnsi="宋体" w:eastAsia="宋体" w:cs="宋体"/>
                <w:b/>
                <w:color w:val="auto"/>
                <w:sz w:val="24"/>
                <w:highlight w:val="none"/>
              </w:rPr>
            </w:pPr>
            <w:r>
              <w:rPr>
                <w:rFonts w:hint="eastAsia" w:ascii="宋体" w:hAnsi="宋体" w:eastAsia="宋体" w:cs="宋体"/>
                <w:b/>
                <w:bCs/>
                <w:color w:val="auto"/>
                <w:sz w:val="24"/>
                <w:highlight w:val="none"/>
              </w:rPr>
              <w:t>【注】</w:t>
            </w:r>
            <w:r>
              <w:rPr>
                <w:rFonts w:hint="eastAsia" w:ascii="宋体" w:hAnsi="宋体" w:eastAsia="宋体" w:cs="宋体"/>
                <w:b/>
                <w:color w:val="auto"/>
                <w:sz w:val="24"/>
                <w:highlight w:val="none"/>
              </w:rPr>
              <w:t>1.以上标明“必须提供”的材料属于复印件的，必须加盖供应商公章，否则响应文件按无效响应处理。</w:t>
            </w:r>
          </w:p>
          <w:p w14:paraId="2EA741CD">
            <w:pPr>
              <w:snapToGrid w:val="0"/>
              <w:spacing w:line="360" w:lineRule="auto"/>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2.参与竞争性磋商声明必须由法定代表人在规定签章处签字并加盖供应商公章，否则响应文件按无效响应处理。</w:t>
            </w:r>
          </w:p>
          <w:p w14:paraId="609BF330">
            <w:pPr>
              <w:snapToGrid w:val="0"/>
              <w:spacing w:line="360" w:lineRule="auto"/>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3.供应商直接控股、管理关系信息表必须由法定代表人或者委托代理人在规定签章处签字并加盖供应商公章，否则响应文件按无效响应处理。</w:t>
            </w:r>
          </w:p>
          <w:p w14:paraId="4028F4DE">
            <w:pPr>
              <w:pStyle w:val="11"/>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4.联合体参加竞争性磋商时，第1-5项资格证明文件联合体各方均必须分别提供，联合体各方分别盖章，否则响应文件按无效响应处理。</w:t>
            </w:r>
          </w:p>
          <w:p w14:paraId="088339E2">
            <w:pPr>
              <w:pStyle w:val="11"/>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5.分公司参加竞争性磋商</w:t>
            </w:r>
            <w:r>
              <w:rPr>
                <w:rFonts w:hint="eastAsia" w:ascii="宋体" w:hAnsi="宋体" w:eastAsia="宋体" w:cs="宋体"/>
                <w:b/>
                <w:bCs/>
                <w:color w:val="auto"/>
                <w:sz w:val="24"/>
                <w:highlight w:val="none"/>
              </w:rPr>
              <w:t>的，应当取得总公司授权</w:t>
            </w:r>
            <w:r>
              <w:rPr>
                <w:rFonts w:hint="eastAsia" w:ascii="宋体" w:hAnsi="宋体" w:eastAsia="宋体" w:cs="宋体"/>
                <w:b/>
                <w:color w:val="auto"/>
                <w:sz w:val="24"/>
                <w:highlight w:val="none"/>
              </w:rPr>
              <w:t>，否则响应文件按无效响应处理。</w:t>
            </w:r>
          </w:p>
        </w:tc>
      </w:tr>
      <w:tr w14:paraId="3133EE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restart"/>
            <w:vAlign w:val="center"/>
          </w:tcPr>
          <w:p w14:paraId="4D42F135">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12.1.2</w:t>
            </w:r>
          </w:p>
          <w:p w14:paraId="4FEF2A7A">
            <w:pPr>
              <w:spacing w:line="360" w:lineRule="auto"/>
              <w:jc w:val="center"/>
              <w:rPr>
                <w:rFonts w:hint="eastAsia" w:ascii="宋体" w:hAnsi="宋体" w:eastAsia="宋体" w:cs="宋体"/>
                <w:color w:val="auto"/>
                <w:sz w:val="24"/>
                <w:highlight w:val="none"/>
              </w:rPr>
            </w:pPr>
          </w:p>
        </w:tc>
        <w:tc>
          <w:tcPr>
            <w:tcW w:w="8627" w:type="dxa"/>
            <w:vAlign w:val="center"/>
          </w:tcPr>
          <w:p w14:paraId="77948F59">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报价文件</w:t>
            </w:r>
          </w:p>
          <w:p w14:paraId="7D9BB550">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1.无串通参与竞争性磋商行为的承诺函（格式后附）；（</w:t>
            </w:r>
            <w:r>
              <w:rPr>
                <w:rFonts w:hint="eastAsia" w:ascii="宋体" w:hAnsi="宋体" w:eastAsia="宋体" w:cs="宋体"/>
                <w:b/>
                <w:color w:val="auto"/>
                <w:sz w:val="24"/>
                <w:highlight w:val="none"/>
              </w:rPr>
              <w:t>必须提供，否则响应文件按无效响应处理</w:t>
            </w:r>
            <w:r>
              <w:rPr>
                <w:rFonts w:hint="eastAsia" w:ascii="宋体" w:hAnsi="宋体" w:eastAsia="宋体" w:cs="宋体"/>
                <w:color w:val="auto"/>
                <w:sz w:val="24"/>
                <w:highlight w:val="none"/>
              </w:rPr>
              <w:t>）</w:t>
            </w:r>
          </w:p>
          <w:p w14:paraId="2D68DE33">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2.竞争性磋商报价表（格式后附）；（</w:t>
            </w:r>
            <w:r>
              <w:rPr>
                <w:rFonts w:hint="eastAsia" w:ascii="宋体" w:hAnsi="宋体" w:eastAsia="宋体" w:cs="宋体"/>
                <w:b/>
                <w:color w:val="auto"/>
                <w:sz w:val="24"/>
                <w:highlight w:val="none"/>
              </w:rPr>
              <w:t>必须提供，否则响应文件按无效响应处理</w:t>
            </w:r>
            <w:r>
              <w:rPr>
                <w:rFonts w:hint="eastAsia" w:ascii="宋体" w:hAnsi="宋体" w:eastAsia="宋体" w:cs="宋体"/>
                <w:color w:val="auto"/>
                <w:sz w:val="24"/>
                <w:highlight w:val="none"/>
              </w:rPr>
              <w:t>）</w:t>
            </w:r>
          </w:p>
          <w:p w14:paraId="1CE8EAE5">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3.中小企业声明函（或残疾人福利性单位声明函或监狱企业声明函，残疾人福利性单位或监狱企业视同小微企业）（格式后附）；</w:t>
            </w:r>
          </w:p>
          <w:p w14:paraId="47A7454F">
            <w:pPr>
              <w:spacing w:line="360" w:lineRule="auto"/>
              <w:rPr>
                <w:rFonts w:hint="eastAsia" w:ascii="宋体" w:hAnsi="宋体" w:eastAsia="宋体" w:cs="宋体"/>
                <w:b/>
                <w:bCs/>
                <w:color w:val="auto"/>
                <w:sz w:val="24"/>
                <w:highlight w:val="none"/>
              </w:rPr>
            </w:pPr>
            <w:r>
              <w:rPr>
                <w:rFonts w:hint="eastAsia" w:ascii="宋体" w:hAnsi="宋体" w:eastAsia="宋体" w:cs="宋体"/>
                <w:b/>
                <w:color w:val="auto"/>
                <w:sz w:val="24"/>
                <w:highlight w:val="none"/>
              </w:rPr>
              <w:t>注：以上标明“必须提供”的材料属于复印件的，必须加盖供应商公章，否则响应文件按无效响应处理。</w:t>
            </w:r>
          </w:p>
        </w:tc>
      </w:tr>
      <w:tr w14:paraId="10D2B6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continue"/>
            <w:vAlign w:val="center"/>
          </w:tcPr>
          <w:p w14:paraId="16AB09FA">
            <w:pPr>
              <w:spacing w:line="360" w:lineRule="auto"/>
              <w:jc w:val="center"/>
              <w:rPr>
                <w:rFonts w:hint="eastAsia" w:ascii="宋体" w:hAnsi="宋体" w:eastAsia="宋体" w:cs="宋体"/>
                <w:color w:val="auto"/>
                <w:sz w:val="24"/>
                <w:highlight w:val="none"/>
              </w:rPr>
            </w:pPr>
          </w:p>
        </w:tc>
        <w:tc>
          <w:tcPr>
            <w:tcW w:w="8627" w:type="dxa"/>
            <w:vAlign w:val="center"/>
          </w:tcPr>
          <w:p w14:paraId="6C42DCFE">
            <w:pPr>
              <w:spacing w:line="360" w:lineRule="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商务、服务文件</w:t>
            </w:r>
          </w:p>
          <w:p w14:paraId="77A9F452">
            <w:pPr>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1.法定代表人身份证明及法定代表人有效身份证正反面复印件（格式后附）；（</w:t>
            </w:r>
            <w:r>
              <w:rPr>
                <w:rFonts w:hint="eastAsia" w:ascii="宋体" w:hAnsi="宋体" w:eastAsia="宋体" w:cs="宋体"/>
                <w:b/>
                <w:bCs/>
                <w:color w:val="auto"/>
                <w:sz w:val="24"/>
                <w:highlight w:val="none"/>
              </w:rPr>
              <w:t>除自然</w:t>
            </w:r>
            <w:r>
              <w:rPr>
                <w:rFonts w:hint="eastAsia" w:ascii="宋体" w:hAnsi="宋体" w:eastAsia="宋体" w:cs="宋体"/>
                <w:b/>
                <w:color w:val="auto"/>
                <w:sz w:val="24"/>
                <w:highlight w:val="none"/>
              </w:rPr>
              <w:t>人参加竞争性磋商外必须提供，否则响应文件按无效响应处理</w:t>
            </w:r>
            <w:r>
              <w:rPr>
                <w:rFonts w:hint="eastAsia" w:ascii="宋体" w:hAnsi="宋体" w:eastAsia="宋体" w:cs="宋体"/>
                <w:color w:val="auto"/>
                <w:sz w:val="24"/>
                <w:highlight w:val="none"/>
              </w:rPr>
              <w:t>）</w:t>
            </w:r>
          </w:p>
          <w:p w14:paraId="17FD896B">
            <w:pPr>
              <w:spacing w:line="360" w:lineRule="auto"/>
              <w:rPr>
                <w:rFonts w:hint="eastAsia" w:ascii="宋体" w:hAnsi="宋体" w:eastAsia="宋体" w:cs="宋体"/>
                <w:b/>
                <w:color w:val="auto"/>
                <w:sz w:val="24"/>
                <w:highlight w:val="none"/>
              </w:rPr>
            </w:pPr>
            <w:r>
              <w:rPr>
                <w:rFonts w:hint="eastAsia" w:ascii="宋体" w:hAnsi="宋体" w:eastAsia="宋体" w:cs="宋体"/>
                <w:color w:val="auto"/>
                <w:sz w:val="24"/>
                <w:highlight w:val="none"/>
              </w:rPr>
              <w:t>2.授权委托书及委托代理人有效身份证正反面复印件（格式后附）；（</w:t>
            </w:r>
            <w:r>
              <w:rPr>
                <w:rFonts w:hint="eastAsia" w:ascii="宋体" w:hAnsi="宋体" w:eastAsia="宋体" w:cs="宋体"/>
                <w:b/>
                <w:color w:val="auto"/>
                <w:sz w:val="24"/>
                <w:highlight w:val="none"/>
              </w:rPr>
              <w:t>委托时必须提供，否则响应文件按无效响应处理</w:t>
            </w:r>
            <w:r>
              <w:rPr>
                <w:rFonts w:hint="eastAsia" w:ascii="宋体" w:hAnsi="宋体" w:eastAsia="宋体" w:cs="宋体"/>
                <w:color w:val="auto"/>
                <w:sz w:val="24"/>
                <w:highlight w:val="none"/>
              </w:rPr>
              <w:t>）</w:t>
            </w:r>
          </w:p>
          <w:p w14:paraId="46EA5BEF">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.商务要求偏离表（格式后附）；（</w:t>
            </w:r>
            <w:r>
              <w:rPr>
                <w:rFonts w:hint="eastAsia" w:ascii="宋体" w:hAnsi="宋体" w:eastAsia="宋体" w:cs="宋体"/>
                <w:b/>
                <w:color w:val="auto"/>
                <w:sz w:val="24"/>
                <w:highlight w:val="none"/>
              </w:rPr>
              <w:t>必须提供，否则响应文件按无效响应处理</w:t>
            </w:r>
            <w:r>
              <w:rPr>
                <w:rFonts w:hint="eastAsia" w:ascii="宋体" w:hAnsi="宋体" w:eastAsia="宋体" w:cs="宋体"/>
                <w:color w:val="auto"/>
                <w:sz w:val="24"/>
                <w:highlight w:val="none"/>
              </w:rPr>
              <w:t>）</w:t>
            </w:r>
          </w:p>
          <w:p w14:paraId="6777B3E5">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.技术质量响应及偏离情况说明表（格式后附）；（</w:t>
            </w:r>
            <w:r>
              <w:rPr>
                <w:rFonts w:hint="eastAsia" w:ascii="宋体" w:hAnsi="宋体" w:eastAsia="宋体" w:cs="宋体"/>
                <w:b/>
                <w:color w:val="auto"/>
                <w:sz w:val="24"/>
                <w:highlight w:val="none"/>
              </w:rPr>
              <w:t>必须提供，否则响应文件按无效响应处理</w:t>
            </w:r>
            <w:r>
              <w:rPr>
                <w:rFonts w:hint="eastAsia" w:ascii="宋体" w:hAnsi="宋体" w:eastAsia="宋体" w:cs="宋体"/>
                <w:color w:val="auto"/>
                <w:sz w:val="24"/>
                <w:highlight w:val="none"/>
              </w:rPr>
              <w:t>）</w:t>
            </w:r>
          </w:p>
          <w:p w14:paraId="1582E0AD">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.供应商针对本项目的</w:t>
            </w:r>
            <w:r>
              <w:rPr>
                <w:rFonts w:hint="eastAsia" w:ascii="宋体" w:hAnsi="宋体" w:eastAsia="宋体" w:cs="宋体"/>
                <w:color w:val="auto"/>
                <w:sz w:val="24"/>
                <w:highlight w:val="none"/>
                <w:lang w:eastAsia="zh-CN"/>
              </w:rPr>
              <w:t>专题</w:t>
            </w:r>
            <w:r>
              <w:rPr>
                <w:rFonts w:hint="eastAsia" w:ascii="宋体" w:hAnsi="宋体" w:eastAsia="宋体" w:cs="宋体"/>
                <w:color w:val="auto"/>
                <w:sz w:val="24"/>
                <w:highlight w:val="none"/>
                <w:lang w:val="en-US" w:eastAsia="zh-CN"/>
              </w:rPr>
              <w:t>方案及</w:t>
            </w:r>
            <w:r>
              <w:rPr>
                <w:rFonts w:hint="eastAsia" w:ascii="宋体" w:hAnsi="宋体" w:eastAsia="宋体" w:cs="宋体"/>
                <w:color w:val="auto"/>
                <w:sz w:val="24"/>
                <w:highlight w:val="none"/>
              </w:rPr>
              <w:t>服务承诺方案（</w:t>
            </w:r>
            <w:r>
              <w:rPr>
                <w:rFonts w:hint="eastAsia" w:ascii="宋体" w:hAnsi="宋体" w:eastAsia="宋体" w:cs="宋体"/>
                <w:color w:val="auto"/>
                <w:sz w:val="24"/>
                <w:highlight w:val="none"/>
                <w:lang w:val="en-US" w:eastAsia="zh-CN"/>
              </w:rPr>
              <w:t>格式自拟，</w:t>
            </w:r>
            <w:r>
              <w:rPr>
                <w:rFonts w:hint="eastAsia" w:ascii="宋体" w:hAnsi="宋体" w:eastAsia="宋体" w:cs="宋体"/>
                <w:color w:val="auto"/>
                <w:sz w:val="24"/>
                <w:highlight w:val="none"/>
              </w:rPr>
              <w:t>由供应商根据自身情况和项目要求自行编写）；（</w:t>
            </w:r>
            <w:r>
              <w:rPr>
                <w:rFonts w:hint="eastAsia" w:ascii="宋体" w:hAnsi="宋体" w:eastAsia="宋体" w:cs="宋体"/>
                <w:b/>
                <w:color w:val="auto"/>
                <w:sz w:val="24"/>
                <w:highlight w:val="none"/>
              </w:rPr>
              <w:t>必须提供，否则响应文件按无效响应处理</w:t>
            </w:r>
            <w:r>
              <w:rPr>
                <w:rFonts w:hint="eastAsia" w:ascii="宋体" w:hAnsi="宋体" w:eastAsia="宋体" w:cs="宋体"/>
                <w:color w:val="auto"/>
                <w:sz w:val="24"/>
                <w:highlight w:val="none"/>
              </w:rPr>
              <w:t>）</w:t>
            </w:r>
          </w:p>
          <w:p w14:paraId="3C8A8BCE">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.项目实施人员一览表（格式自拟）；</w:t>
            </w:r>
            <w:r>
              <w:rPr>
                <w:rFonts w:hint="eastAsia" w:ascii="宋体" w:hAnsi="宋体" w:eastAsia="宋体" w:cs="宋体"/>
                <w:b/>
                <w:bCs/>
                <w:color w:val="auto"/>
                <w:sz w:val="24"/>
                <w:highlight w:val="none"/>
              </w:rPr>
              <w:t xml:space="preserve">（必须提供，否则响应文件按无效响应处理） </w:t>
            </w:r>
          </w:p>
          <w:p w14:paraId="37E7A240">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.对应采购需求的技术要求、商务要求提供的其他文件资料（格式自拟）；</w:t>
            </w:r>
          </w:p>
          <w:p w14:paraId="39319E61">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.供应商认为需要提供的其他有关资料。</w:t>
            </w:r>
          </w:p>
          <w:p w14:paraId="508EC1F0">
            <w:pPr>
              <w:snapToGrid w:val="0"/>
              <w:spacing w:line="360" w:lineRule="auto"/>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注：以上标明“必须提供”的材料属于复印件的，必须加盖供应商公章，否则响应文件按无效响应处理。</w:t>
            </w:r>
          </w:p>
        </w:tc>
      </w:tr>
      <w:tr w14:paraId="20DB42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D3BF26C">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15.2</w:t>
            </w:r>
          </w:p>
        </w:tc>
        <w:tc>
          <w:tcPr>
            <w:tcW w:w="8627" w:type="dxa"/>
            <w:vAlign w:val="center"/>
          </w:tcPr>
          <w:p w14:paraId="7037B62E">
            <w:pPr>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竞争性磋商报价是完成项目所有服务所需的费用，包括但不限于劳务费、软硬件设备、机具材料费、交通费等、数据处理、成果文件编制印刷、质量检查、培训等各种费用和售后服务、税金及其它所有成本费用的总和。合同履行过程中，采购人不再支付合同以外的其他费用。（采购需求另有约定的，从其约定）</w:t>
            </w:r>
          </w:p>
        </w:tc>
      </w:tr>
      <w:tr w14:paraId="7A43C8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B596342">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16.2</w:t>
            </w:r>
          </w:p>
        </w:tc>
        <w:tc>
          <w:tcPr>
            <w:tcW w:w="8627" w:type="dxa"/>
            <w:vAlign w:val="center"/>
          </w:tcPr>
          <w:p w14:paraId="002F8172">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竞争性磋商有效期：首次响应文件提交截止之日起60天内。</w:t>
            </w:r>
          </w:p>
        </w:tc>
      </w:tr>
      <w:tr w14:paraId="185DD9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3CD3C93">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17.1</w:t>
            </w:r>
          </w:p>
        </w:tc>
        <w:tc>
          <w:tcPr>
            <w:tcW w:w="8627" w:type="dxa"/>
            <w:vAlign w:val="center"/>
          </w:tcPr>
          <w:p w14:paraId="01598BEC">
            <w:pPr>
              <w:autoSpaceDE w:val="0"/>
              <w:autoSpaceDN w:val="0"/>
              <w:snapToGrid w:val="0"/>
              <w:spacing w:line="360" w:lineRule="auto"/>
              <w:textAlignment w:val="bottom"/>
              <w:rPr>
                <w:rFonts w:hint="eastAsia" w:ascii="宋体" w:hAnsi="宋体" w:eastAsia="宋体" w:cs="宋体"/>
                <w:color w:val="auto"/>
                <w:sz w:val="24"/>
                <w:highlight w:val="none"/>
              </w:rPr>
            </w:pPr>
            <w:r>
              <w:rPr>
                <w:rFonts w:hint="eastAsia" w:ascii="宋体" w:hAnsi="宋体" w:eastAsia="宋体" w:cs="宋体"/>
                <w:color w:val="auto"/>
                <w:sz w:val="24"/>
                <w:highlight w:val="none"/>
              </w:rPr>
              <w:sym w:font="Wingdings" w:char="00FE"/>
            </w:r>
            <w:r>
              <w:rPr>
                <w:rFonts w:hint="eastAsia" w:ascii="宋体" w:hAnsi="宋体" w:eastAsia="宋体" w:cs="宋体"/>
                <w:color w:val="auto"/>
                <w:sz w:val="24"/>
                <w:highlight w:val="none"/>
              </w:rPr>
              <w:t>本项目不收取磋商保证金。</w:t>
            </w:r>
          </w:p>
        </w:tc>
      </w:tr>
      <w:tr w14:paraId="6C4ACC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 w:hRule="atLeast"/>
          <w:jc w:val="center"/>
        </w:trPr>
        <w:tc>
          <w:tcPr>
            <w:tcW w:w="992" w:type="dxa"/>
            <w:vAlign w:val="center"/>
          </w:tcPr>
          <w:p w14:paraId="33BF64A9">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18.2</w:t>
            </w:r>
          </w:p>
        </w:tc>
        <w:tc>
          <w:tcPr>
            <w:tcW w:w="8627" w:type="dxa"/>
            <w:vAlign w:val="center"/>
          </w:tcPr>
          <w:p w14:paraId="6ABE1139">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响应文件应按资格证明文件、报价文件、商务技术文件分别编制，</w:t>
            </w:r>
            <w:r>
              <w:rPr>
                <w:rFonts w:hint="eastAsia" w:ascii="宋体" w:hAnsi="宋体" w:eastAsia="宋体" w:cs="宋体"/>
                <w:color w:val="auto"/>
                <w:sz w:val="24"/>
                <w:highlight w:val="none"/>
                <w:lang w:bidi="ar"/>
              </w:rPr>
              <w:t>并按广西政府采购云平台的要求编制、加密、上传。</w:t>
            </w:r>
          </w:p>
        </w:tc>
      </w:tr>
      <w:tr w14:paraId="27AC97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 w:hRule="atLeast"/>
          <w:jc w:val="center"/>
        </w:trPr>
        <w:tc>
          <w:tcPr>
            <w:tcW w:w="992" w:type="dxa"/>
            <w:vAlign w:val="center"/>
          </w:tcPr>
          <w:p w14:paraId="2C3799CD">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19.2</w:t>
            </w:r>
          </w:p>
        </w:tc>
        <w:tc>
          <w:tcPr>
            <w:tcW w:w="8627" w:type="dxa"/>
            <w:vAlign w:val="center"/>
          </w:tcPr>
          <w:p w14:paraId="7F9E484F">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本项目不接受电子备份响应文件</w:t>
            </w:r>
          </w:p>
        </w:tc>
      </w:tr>
      <w:tr w14:paraId="58A700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E4D4790">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20.1</w:t>
            </w:r>
          </w:p>
        </w:tc>
        <w:tc>
          <w:tcPr>
            <w:tcW w:w="8627" w:type="dxa"/>
            <w:vAlign w:val="center"/>
          </w:tcPr>
          <w:p w14:paraId="0694576B">
            <w:pPr>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首次响应文件提交截止时间：详见竞争性磋商公告。</w:t>
            </w:r>
          </w:p>
          <w:p w14:paraId="3F555161">
            <w:pPr>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首次响应文件提交地点：详见竞争性磋商公告。</w:t>
            </w:r>
          </w:p>
        </w:tc>
      </w:tr>
      <w:tr w14:paraId="1FA5CF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2ECED45">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24.1</w:t>
            </w:r>
          </w:p>
        </w:tc>
        <w:tc>
          <w:tcPr>
            <w:tcW w:w="8627" w:type="dxa"/>
            <w:vAlign w:val="center"/>
          </w:tcPr>
          <w:p w14:paraId="0C170B0A">
            <w:pPr>
              <w:snapToGrid w:val="0"/>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磋商小组的人数：3人或以上单数。</w:t>
            </w:r>
          </w:p>
        </w:tc>
      </w:tr>
      <w:tr w14:paraId="03D605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6CA5B20">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25.2</w:t>
            </w:r>
          </w:p>
        </w:tc>
        <w:tc>
          <w:tcPr>
            <w:tcW w:w="8627" w:type="dxa"/>
            <w:vAlign w:val="center"/>
          </w:tcPr>
          <w:p w14:paraId="1151841A">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采购代理机构将依托电子交易平台发起开始解密指令，</w:t>
            </w:r>
            <w:r>
              <w:rPr>
                <w:rFonts w:hint="eastAsia" w:ascii="宋体" w:hAnsi="宋体" w:eastAsia="宋体" w:cs="宋体"/>
                <w:b/>
                <w:color w:val="auto"/>
                <w:sz w:val="24"/>
                <w:highlight w:val="none"/>
              </w:rPr>
              <w:t>供应商的法定代表人或其委托代理人须携带加密时所用的CA锁按平台提示和采购文件的规定登录到广西政府采购云平台电子开标大厅签到并在发起解密指令之时起30分钟内完成对电子响应文件在线解密。</w:t>
            </w:r>
            <w:r>
              <w:rPr>
                <w:rFonts w:hint="eastAsia" w:ascii="宋体" w:hAnsi="宋体" w:eastAsia="宋体" w:cs="宋体"/>
                <w:b/>
                <w:bCs/>
                <w:color w:val="auto"/>
                <w:sz w:val="24"/>
                <w:highlight w:val="none"/>
              </w:rPr>
              <w:t>响应文件未按时解密的，</w:t>
            </w:r>
            <w:r>
              <w:rPr>
                <w:rFonts w:hint="eastAsia" w:ascii="宋体" w:hAnsi="宋体" w:eastAsia="宋体" w:cs="宋体"/>
                <w:b/>
                <w:color w:val="auto"/>
                <w:sz w:val="24"/>
                <w:highlight w:val="none"/>
              </w:rPr>
              <w:t>视为响应</w:t>
            </w:r>
            <w:r>
              <w:rPr>
                <w:rFonts w:hint="eastAsia" w:ascii="宋体" w:hAnsi="宋体" w:eastAsia="宋体" w:cs="宋体"/>
                <w:b/>
                <w:bCs/>
                <w:color w:val="auto"/>
                <w:sz w:val="24"/>
                <w:highlight w:val="none"/>
              </w:rPr>
              <w:t>文件无效。</w:t>
            </w:r>
          </w:p>
        </w:tc>
      </w:tr>
      <w:tr w14:paraId="20D231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restart"/>
            <w:vAlign w:val="center"/>
          </w:tcPr>
          <w:p w14:paraId="432AEE90">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26</w:t>
            </w:r>
          </w:p>
        </w:tc>
        <w:tc>
          <w:tcPr>
            <w:tcW w:w="8627" w:type="dxa"/>
            <w:vAlign w:val="center"/>
          </w:tcPr>
          <w:p w14:paraId="70810ED4">
            <w:pPr>
              <w:pStyle w:val="11"/>
              <w:spacing w:line="360" w:lineRule="auto"/>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磋商的顺序：按“广西政府采购云平台”系统的编号顺序。</w:t>
            </w:r>
          </w:p>
          <w:p w14:paraId="54D47C0C">
            <w:pPr>
              <w:pStyle w:val="11"/>
              <w:spacing w:line="360" w:lineRule="auto"/>
              <w:jc w:val="both"/>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符合磋商资格的供应商必须在接到磋商通知后规定时间内参加磋商，未在规定时间内参加磋商的视同放弃参加磋商权利，其响应文件按无效响应处理。</w:t>
            </w:r>
          </w:p>
          <w:p w14:paraId="15D98632">
            <w:pPr>
              <w:snapToGrid w:val="0"/>
              <w:spacing w:line="360" w:lineRule="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注：参与磋商前，供应商法定代表人或者委托代理人向磋商小组出示本人有效证件原件（有效证件可以是身份证（含临时身份证明）或者护照的其中一项）。</w:t>
            </w:r>
          </w:p>
        </w:tc>
      </w:tr>
      <w:tr w14:paraId="2D36DC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92" w:type="dxa"/>
            <w:vMerge w:val="continue"/>
            <w:vAlign w:val="center"/>
          </w:tcPr>
          <w:p w14:paraId="4D7960EB">
            <w:pPr>
              <w:spacing w:line="360" w:lineRule="auto"/>
              <w:jc w:val="center"/>
              <w:rPr>
                <w:rFonts w:hint="eastAsia" w:ascii="宋体" w:hAnsi="宋体" w:eastAsia="宋体" w:cs="宋体"/>
                <w:color w:val="auto"/>
                <w:sz w:val="24"/>
                <w:highlight w:val="none"/>
              </w:rPr>
            </w:pPr>
          </w:p>
        </w:tc>
        <w:tc>
          <w:tcPr>
            <w:tcW w:w="8627" w:type="dxa"/>
            <w:vAlign w:val="center"/>
          </w:tcPr>
          <w:p w14:paraId="6045D17A">
            <w:pPr>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每个分标商务要求评审中允许负偏离的条款数为：0项</w:t>
            </w:r>
          </w:p>
          <w:p w14:paraId="43260B3F">
            <w:pPr>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每个分标服务要求评审中允许负偏离的条款数为：</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项</w:t>
            </w:r>
          </w:p>
        </w:tc>
      </w:tr>
      <w:tr w14:paraId="1C05CB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8488D81">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28.1</w:t>
            </w:r>
          </w:p>
        </w:tc>
        <w:tc>
          <w:tcPr>
            <w:tcW w:w="8627" w:type="dxa"/>
            <w:vAlign w:val="center"/>
          </w:tcPr>
          <w:p w14:paraId="62ADF583">
            <w:pPr>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sym w:font="Wingdings" w:char="00FE"/>
            </w:r>
            <w:r>
              <w:rPr>
                <w:rFonts w:hint="eastAsia" w:ascii="宋体" w:hAnsi="宋体" w:eastAsia="宋体" w:cs="宋体"/>
                <w:color w:val="auto"/>
                <w:sz w:val="24"/>
                <w:highlight w:val="none"/>
              </w:rPr>
              <w:t>本项目不收取履约保证金。</w:t>
            </w:r>
          </w:p>
        </w:tc>
      </w:tr>
      <w:tr w14:paraId="29BD75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9B7816B">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29.1</w:t>
            </w:r>
          </w:p>
        </w:tc>
        <w:tc>
          <w:tcPr>
            <w:tcW w:w="8627" w:type="dxa"/>
            <w:vAlign w:val="center"/>
          </w:tcPr>
          <w:p w14:paraId="75EE6E5A">
            <w:pPr>
              <w:autoSpaceDE w:val="0"/>
              <w:autoSpaceDN w:val="0"/>
              <w:snapToGrid w:val="0"/>
              <w:spacing w:line="360" w:lineRule="auto"/>
              <w:textAlignment w:val="bottom"/>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签订合同携带的证明材料： </w:t>
            </w:r>
          </w:p>
          <w:p w14:paraId="2097E03C">
            <w:pPr>
              <w:autoSpaceDE w:val="0"/>
              <w:autoSpaceDN w:val="0"/>
              <w:snapToGrid w:val="0"/>
              <w:spacing w:line="360" w:lineRule="auto"/>
              <w:textAlignment w:val="bottom"/>
              <w:rPr>
                <w:rFonts w:hint="eastAsia" w:ascii="宋体" w:hAnsi="宋体" w:eastAsia="宋体" w:cs="宋体"/>
                <w:color w:val="auto"/>
                <w:sz w:val="24"/>
                <w:highlight w:val="none"/>
              </w:rPr>
            </w:pPr>
            <w:r>
              <w:rPr>
                <w:rFonts w:hint="eastAsia" w:ascii="宋体" w:hAnsi="宋体" w:eastAsia="宋体" w:cs="宋体"/>
                <w:color w:val="auto"/>
                <w:sz w:val="24"/>
                <w:highlight w:val="none"/>
              </w:rPr>
              <w:t>1.委托代理人负责签订合同的，须携带授权委托书及委托代理人身份证原件等其他资格证件。</w:t>
            </w:r>
          </w:p>
          <w:p w14:paraId="225FD5C0">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2.法定代表人负责签订合同的，须携带法定代表人身份证明原件及身份证原件等其他证明材料。</w:t>
            </w:r>
          </w:p>
        </w:tc>
      </w:tr>
      <w:tr w14:paraId="15867E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12D66B8">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31.2</w:t>
            </w:r>
          </w:p>
        </w:tc>
        <w:tc>
          <w:tcPr>
            <w:tcW w:w="8627" w:type="dxa"/>
            <w:vAlign w:val="center"/>
          </w:tcPr>
          <w:p w14:paraId="06F8DFA9">
            <w:pPr>
              <w:pStyle w:val="16"/>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接收质疑函方式：以纸质书面形式。</w:t>
            </w:r>
          </w:p>
          <w:p w14:paraId="08971ABD">
            <w:pPr>
              <w:pStyle w:val="16"/>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质疑联系部门及联系方式：</w:t>
            </w:r>
            <w:r>
              <w:rPr>
                <w:rFonts w:hint="eastAsia" w:ascii="宋体" w:hAnsi="宋体" w:eastAsia="宋体" w:cs="宋体"/>
                <w:color w:val="auto"/>
                <w:sz w:val="24"/>
                <w:szCs w:val="24"/>
                <w:highlight w:val="none"/>
                <w:lang w:eastAsia="zh-CN"/>
              </w:rPr>
              <w:t>广西卓联工程管理有限公司</w:t>
            </w:r>
          </w:p>
          <w:p w14:paraId="3EF1BEC8">
            <w:pPr>
              <w:pStyle w:val="16"/>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质疑联系人：</w:t>
            </w:r>
            <w:r>
              <w:rPr>
                <w:rFonts w:hint="eastAsia" w:ascii="宋体" w:hAnsi="宋体" w:eastAsia="宋体" w:cs="宋体"/>
                <w:color w:val="auto"/>
                <w:sz w:val="24"/>
                <w:szCs w:val="24"/>
                <w:highlight w:val="none"/>
                <w:lang w:eastAsia="zh-CN"/>
              </w:rPr>
              <w:t>何工</w:t>
            </w:r>
            <w:r>
              <w:rPr>
                <w:rFonts w:hint="eastAsia" w:ascii="宋体" w:hAnsi="宋体" w:eastAsia="宋体" w:cs="宋体"/>
                <w:color w:val="auto"/>
                <w:sz w:val="24"/>
                <w:szCs w:val="24"/>
                <w:highlight w:val="none"/>
              </w:rPr>
              <w:t xml:space="preserve"> 联系电话：</w:t>
            </w:r>
            <w:r>
              <w:rPr>
                <w:rFonts w:hint="eastAsia" w:ascii="宋体" w:hAnsi="宋体" w:eastAsia="宋体" w:cs="宋体"/>
                <w:color w:val="auto"/>
                <w:sz w:val="24"/>
                <w:szCs w:val="24"/>
                <w:highlight w:val="none"/>
                <w:lang w:eastAsia="zh-CN"/>
              </w:rPr>
              <w:t>0771-5665536</w:t>
            </w:r>
          </w:p>
          <w:p w14:paraId="1545F982">
            <w:pPr>
              <w:pStyle w:val="16"/>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通讯地址：</w:t>
            </w:r>
            <w:r>
              <w:rPr>
                <w:rFonts w:hint="eastAsia" w:ascii="宋体" w:hAnsi="宋体" w:eastAsia="宋体" w:cs="宋体"/>
                <w:color w:val="auto"/>
                <w:sz w:val="24"/>
                <w:szCs w:val="24"/>
                <w:highlight w:val="none"/>
                <w:lang w:eastAsia="zh-CN"/>
              </w:rPr>
              <w:t>南宁市青秀区民主路3号维也纳酒店5楼502室</w:t>
            </w:r>
          </w:p>
          <w:p w14:paraId="0EA7BD05">
            <w:pPr>
              <w:pStyle w:val="16"/>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业务时间：工作日，上午8</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00-12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00；下午15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00-18</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00（北京时间）</w:t>
            </w:r>
          </w:p>
        </w:tc>
      </w:tr>
      <w:tr w14:paraId="48CD68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8" w:hRule="atLeast"/>
          <w:jc w:val="center"/>
        </w:trPr>
        <w:tc>
          <w:tcPr>
            <w:tcW w:w="992" w:type="dxa"/>
            <w:vAlign w:val="center"/>
          </w:tcPr>
          <w:p w14:paraId="63A3DE78">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32</w:t>
            </w:r>
          </w:p>
        </w:tc>
        <w:tc>
          <w:tcPr>
            <w:tcW w:w="8627" w:type="dxa"/>
            <w:vAlign w:val="center"/>
          </w:tcPr>
          <w:p w14:paraId="1CBA364A">
            <w:pPr>
              <w:pStyle w:val="16"/>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highlight w:val="none"/>
                <w:lang w:bidi="ar"/>
              </w:rPr>
              <w:t>.</w:t>
            </w:r>
            <w:r>
              <w:rPr>
                <w:rFonts w:hint="eastAsia" w:ascii="宋体" w:hAnsi="宋体" w:eastAsia="宋体" w:cs="宋体"/>
                <w:color w:val="auto"/>
                <w:sz w:val="24"/>
                <w:szCs w:val="24"/>
                <w:highlight w:val="none"/>
              </w:rPr>
              <w:t>采购代理服务费支付方式：本项目的代理服务费按代理合同约定向采购人收取。</w:t>
            </w:r>
          </w:p>
          <w:p w14:paraId="223549CA">
            <w:pPr>
              <w:pStyle w:val="16"/>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lang w:val="en-US" w:eastAsia="zh-CN" w:bidi="ar"/>
              </w:rPr>
              <w:t>2</w:t>
            </w:r>
            <w:r>
              <w:rPr>
                <w:rFonts w:hint="eastAsia" w:ascii="宋体" w:hAnsi="宋体" w:eastAsia="宋体" w:cs="宋体"/>
                <w:color w:val="auto"/>
                <w:sz w:val="24"/>
                <w:highlight w:val="none"/>
                <w:lang w:bidi="ar"/>
              </w:rPr>
              <w:t>.</w:t>
            </w:r>
            <w:r>
              <w:rPr>
                <w:rFonts w:hint="eastAsia" w:ascii="宋体" w:hAnsi="宋体" w:eastAsia="宋体" w:cs="宋体"/>
                <w:color w:val="auto"/>
                <w:sz w:val="24"/>
                <w:szCs w:val="24"/>
                <w:highlight w:val="none"/>
              </w:rPr>
              <w:t>采购代理服务费收取银行信息：</w:t>
            </w:r>
          </w:p>
          <w:p w14:paraId="612A4B99">
            <w:pPr>
              <w:pStyle w:val="16"/>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账户名称：</w:t>
            </w:r>
            <w:r>
              <w:rPr>
                <w:rFonts w:hint="eastAsia" w:ascii="宋体" w:hAnsi="宋体" w:eastAsia="宋体" w:cs="宋体"/>
                <w:color w:val="auto"/>
                <w:sz w:val="24"/>
                <w:szCs w:val="24"/>
                <w:highlight w:val="none"/>
                <w:lang w:eastAsia="zh-CN"/>
              </w:rPr>
              <w:t>广西卓联工程管理有限公司</w:t>
            </w:r>
          </w:p>
          <w:p w14:paraId="7D017B6F">
            <w:pPr>
              <w:pStyle w:val="16"/>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开户银行：中国建设银行股份有限公司广西自贸试验区南宁片区五象支行</w:t>
            </w:r>
          </w:p>
          <w:p w14:paraId="0C56480F">
            <w:pPr>
              <w:pStyle w:val="16"/>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银行账号：45050160500109666666</w:t>
            </w:r>
          </w:p>
        </w:tc>
      </w:tr>
      <w:tr w14:paraId="65BFF3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9B02207">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33.1</w:t>
            </w:r>
          </w:p>
        </w:tc>
        <w:tc>
          <w:tcPr>
            <w:tcW w:w="8627" w:type="dxa"/>
            <w:vAlign w:val="center"/>
          </w:tcPr>
          <w:p w14:paraId="45F3F1FE">
            <w:pPr>
              <w:pStyle w:val="16"/>
              <w:snapToGrid w:val="0"/>
              <w:spacing w:line="360" w:lineRule="auto"/>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rPr>
              <w:t>解释：构成本磋商文件的各个组成文件应互为解释，互为说明；除磋商文件中有特别规定外，仅适用于竞争性磋商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由采购人或者采购代理机构负责解释。</w:t>
            </w:r>
          </w:p>
        </w:tc>
      </w:tr>
      <w:tr w14:paraId="5F5710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A24D1F3">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33.2</w:t>
            </w:r>
          </w:p>
        </w:tc>
        <w:tc>
          <w:tcPr>
            <w:tcW w:w="8627" w:type="dxa"/>
            <w:vAlign w:val="center"/>
          </w:tcPr>
          <w:p w14:paraId="6FB3E678">
            <w:pPr>
              <w:pStyle w:val="16"/>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1.本磋商文件中描述投标人的“公章”是指根据我国对公章的管理规定，用供应商法定主体名称制作的印章</w:t>
            </w:r>
            <w:r>
              <w:rPr>
                <w:rFonts w:hint="eastAsia" w:ascii="宋体" w:hAnsi="宋体" w:eastAsia="宋体" w:cs="宋体"/>
                <w:color w:val="auto"/>
                <w:sz w:val="24"/>
                <w:szCs w:val="24"/>
                <w:highlight w:val="none"/>
              </w:rPr>
              <w:t>或供应商通过指定电子化政府采购平台办理数字证书（CA认证）获得的以法定主体名称制作的电子印章。</w:t>
            </w:r>
            <w:r>
              <w:rPr>
                <w:rFonts w:hint="eastAsia" w:ascii="宋体" w:hAnsi="宋体" w:eastAsia="宋体" w:cs="宋体"/>
                <w:bCs/>
                <w:color w:val="auto"/>
                <w:sz w:val="24"/>
                <w:szCs w:val="24"/>
                <w:highlight w:val="none"/>
              </w:rPr>
              <w:t>除本磋商文件有特殊规定外，供应商的财务章、部门章、分公司章、工会章、合同章、投标专用章、业务专用章及银行的转账章、现金收讫章、现金付讫章等其他形式印章均不能代替公章。</w:t>
            </w:r>
          </w:p>
          <w:p w14:paraId="7398FA1E">
            <w:pPr>
              <w:pStyle w:val="16"/>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2.供应商为其他组织或者自然人时，本磋商文件规定的法定代表人指负责人或者自然人。本磋商文件所称负责人是指参加</w:t>
            </w:r>
            <w:r>
              <w:rPr>
                <w:rFonts w:hint="eastAsia" w:ascii="宋体" w:hAnsi="宋体" w:eastAsia="宋体" w:cs="宋体"/>
                <w:color w:val="auto"/>
                <w:sz w:val="24"/>
                <w:szCs w:val="24"/>
                <w:highlight w:val="none"/>
              </w:rPr>
              <w:t>竞争性磋商</w:t>
            </w:r>
            <w:r>
              <w:rPr>
                <w:rFonts w:hint="eastAsia" w:ascii="宋体" w:hAnsi="宋体" w:eastAsia="宋体" w:cs="宋体"/>
                <w:bCs/>
                <w:color w:val="auto"/>
                <w:sz w:val="24"/>
                <w:szCs w:val="24"/>
                <w:highlight w:val="none"/>
              </w:rPr>
              <w:t>的其他组织营业执照或者执业许可证等证照上的负责人，本磋商文件所称自然人指参与</w:t>
            </w:r>
            <w:r>
              <w:rPr>
                <w:rFonts w:hint="eastAsia" w:ascii="宋体" w:hAnsi="宋体" w:eastAsia="宋体" w:cs="宋体"/>
                <w:color w:val="auto"/>
                <w:sz w:val="24"/>
                <w:szCs w:val="24"/>
                <w:highlight w:val="none"/>
              </w:rPr>
              <w:t>竞争性磋商</w:t>
            </w:r>
            <w:r>
              <w:rPr>
                <w:rFonts w:hint="eastAsia" w:ascii="宋体" w:hAnsi="宋体" w:eastAsia="宋体" w:cs="宋体"/>
                <w:bCs/>
                <w:color w:val="auto"/>
                <w:sz w:val="24"/>
                <w:szCs w:val="24"/>
                <w:highlight w:val="none"/>
              </w:rPr>
              <w:t>的自然人本人，且应具备独立承担民事责任能力，自然人应当为年满18岁以上成年人（十六周岁以上的未成年人，以自己的劳动收入为主要生活来源的，视为完全民事行为能力人）。</w:t>
            </w:r>
          </w:p>
          <w:p w14:paraId="424EAA92">
            <w:pPr>
              <w:pStyle w:val="16"/>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3.本磋商文件中描述投标人的“签字”是指供应商的法定代表人或者委托代理人</w:t>
            </w:r>
            <w:r>
              <w:rPr>
                <w:rFonts w:hint="eastAsia" w:ascii="宋体" w:hAnsi="宋体" w:eastAsia="宋体" w:cs="宋体"/>
                <w:color w:val="auto"/>
                <w:sz w:val="24"/>
                <w:szCs w:val="24"/>
                <w:highlight w:val="none"/>
              </w:rPr>
              <w:t>在文件规定签署处签名或者指供应商通过指定电子化政府采购平台办理数字证书（CA认证）获得的以供应商法定代表人或者委托代理人姓名制作的电子印章签名的行为，私章、印鉴等其他形式均不能代替签字</w:t>
            </w:r>
            <w:r>
              <w:rPr>
                <w:rFonts w:hint="eastAsia" w:ascii="宋体" w:hAnsi="宋体" w:eastAsia="宋体" w:cs="宋体"/>
                <w:bCs/>
                <w:color w:val="auto"/>
                <w:sz w:val="24"/>
                <w:szCs w:val="24"/>
                <w:highlight w:val="none"/>
              </w:rPr>
              <w:t>。</w:t>
            </w:r>
          </w:p>
          <w:p w14:paraId="5E476F10">
            <w:pPr>
              <w:pStyle w:val="16"/>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本磋商文件所称的“电子签章”“电子签名”，是指经广西政府采购云平台认可的CA认证的电子签名数据为表现形式的印章，可用于签署电子响应文件，电子印章与实物印章具有同等法律效力，不因其采用电子化表现形式而否定其法律效力。</w:t>
            </w:r>
          </w:p>
          <w:p w14:paraId="061FCEF4">
            <w:pPr>
              <w:pStyle w:val="16"/>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5.自然人参加</w:t>
            </w:r>
            <w:r>
              <w:rPr>
                <w:rFonts w:hint="eastAsia" w:ascii="宋体" w:hAnsi="宋体" w:eastAsia="宋体" w:cs="宋体"/>
                <w:color w:val="auto"/>
                <w:sz w:val="24"/>
                <w:szCs w:val="24"/>
                <w:highlight w:val="none"/>
              </w:rPr>
              <w:t>竞争性磋商</w:t>
            </w:r>
            <w:r>
              <w:rPr>
                <w:rFonts w:hint="eastAsia" w:ascii="宋体" w:hAnsi="宋体" w:eastAsia="宋体" w:cs="宋体"/>
                <w:bCs/>
                <w:color w:val="auto"/>
                <w:sz w:val="24"/>
                <w:szCs w:val="24"/>
                <w:highlight w:val="none"/>
              </w:rPr>
              <w:t>的，磋商文件规定盖公章处由自然人摁手指指印。</w:t>
            </w:r>
          </w:p>
          <w:p w14:paraId="29D6F7EE">
            <w:pPr>
              <w:pStyle w:val="16"/>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bCs/>
                <w:color w:val="auto"/>
                <w:sz w:val="24"/>
                <w:highlight w:val="none"/>
              </w:rPr>
              <w:t>6.本磋商文件所称的“以上”“以下”“以内”“届满”，包括本数；所称的“不满”“超过”“以外”，不包括本数。</w:t>
            </w:r>
          </w:p>
        </w:tc>
      </w:tr>
    </w:tbl>
    <w:p w14:paraId="4D98BF3B">
      <w:pPr>
        <w:spacing w:line="400" w:lineRule="exact"/>
        <w:jc w:val="center"/>
        <w:outlineLvl w:val="9"/>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r>
        <w:rPr>
          <w:rFonts w:hint="eastAsia" w:ascii="宋体" w:hAnsi="宋体" w:eastAsia="宋体" w:cs="宋体"/>
          <w:b/>
          <w:color w:val="auto"/>
          <w:sz w:val="32"/>
          <w:szCs w:val="32"/>
          <w:highlight w:val="none"/>
        </w:rPr>
        <w:t>供应商须知正文</w:t>
      </w:r>
    </w:p>
    <w:p w14:paraId="1E941B7E">
      <w:pPr>
        <w:spacing w:line="400" w:lineRule="exact"/>
        <w:jc w:val="center"/>
        <w:rPr>
          <w:rFonts w:hint="eastAsia" w:ascii="宋体" w:hAnsi="宋体" w:eastAsia="宋体" w:cs="宋体"/>
          <w:b/>
          <w:color w:val="auto"/>
          <w:sz w:val="32"/>
          <w:szCs w:val="32"/>
          <w:highlight w:val="none"/>
        </w:rPr>
      </w:pPr>
    </w:p>
    <w:p w14:paraId="35D6CDC7">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一、总则</w:t>
      </w:r>
    </w:p>
    <w:p w14:paraId="38392B67">
      <w:pPr>
        <w:spacing w:line="400" w:lineRule="exact"/>
        <w:rPr>
          <w:rFonts w:hint="eastAsia" w:ascii="宋体" w:hAnsi="宋体" w:eastAsia="宋体" w:cs="宋体"/>
          <w:color w:val="auto"/>
          <w:szCs w:val="21"/>
          <w:highlight w:val="none"/>
        </w:rPr>
      </w:pPr>
    </w:p>
    <w:p w14:paraId="74E840F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1.适用范围</w:t>
      </w:r>
    </w:p>
    <w:p w14:paraId="7BD4CFE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关于政府采购有关规定的约束和保护。</w:t>
      </w:r>
    </w:p>
    <w:p w14:paraId="01D93F3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w:t>
      </w:r>
      <w:r>
        <w:rPr>
          <w:rFonts w:hint="eastAsia" w:ascii="宋体" w:hAnsi="宋体" w:eastAsia="宋体" w:cs="宋体"/>
          <w:color w:val="auto"/>
          <w:spacing w:val="-6"/>
          <w:sz w:val="24"/>
          <w:highlight w:val="none"/>
        </w:rPr>
        <w:t>本竞争性磋商文件（以下简称磋商文件）适用于本项目的所有采购程序和环节（法律、法规另有规定的，从其规定）。</w:t>
      </w:r>
    </w:p>
    <w:p w14:paraId="2639C313">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2.定义</w:t>
      </w:r>
    </w:p>
    <w:p w14:paraId="1A525D5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2.1“采购人”是指依法进行政府采购的国家机关、事业单位、团体组织。</w:t>
      </w:r>
    </w:p>
    <w:p w14:paraId="2D7534B9">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2.2“采购代理机构”是指政府采购集中采购机构和集中采购机构以外的采购代理机构。</w:t>
      </w:r>
    </w:p>
    <w:p w14:paraId="456D78F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2.3“供应商”是指向采购人提供货物、工程或者服务的法人、其他组织或者自然人。</w:t>
      </w:r>
    </w:p>
    <w:p w14:paraId="64F43E7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2.4“服务”是指除货物和工程以外的其他政府采购对象。</w:t>
      </w:r>
    </w:p>
    <w:p w14:paraId="41CD1C6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2.5“竞争性磋商”是指供应商按照本项目竞争性磋商公告或者邀请函规定的方式获取磋商文件、提交响应文件并希望获得标的的行为。</w:t>
      </w:r>
    </w:p>
    <w:p w14:paraId="2C58F91F">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2.6“书面形式”是指合同书、信件和数据电文（包括电报、电传、传真、电子数据交换和电子邮件）等可以有形地表现所载内容的形式。</w:t>
      </w:r>
    </w:p>
    <w:p w14:paraId="57692035">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2.7“响应文件”</w:t>
      </w:r>
      <w:r>
        <w:rPr>
          <w:rFonts w:hint="eastAsia" w:ascii="宋体" w:hAnsi="宋体" w:eastAsia="宋体" w:cs="宋体"/>
          <w:color w:val="auto"/>
          <w:spacing w:val="-6"/>
          <w:sz w:val="24"/>
          <w:highlight w:val="none"/>
        </w:rPr>
        <w:t>是指：供应商根据本磋商文件要求，编制包含资格证明、报价商务技术等所有内容的文件。</w:t>
      </w:r>
    </w:p>
    <w:p w14:paraId="53D14BEE">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2.8“实质性要求”是指磋商文件中已经指明不满足则响应文件按无效响应处理的条款，或者不能负偏离的条款，或者采购需求中带“▲”的条款。</w:t>
      </w:r>
    </w:p>
    <w:p w14:paraId="6E5C0A3C">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2.9“正偏离”，是指响应文件对磋商文件“采购需求”中有关条款作出的响应优于条款要求并有利于采购人的情形。</w:t>
      </w:r>
    </w:p>
    <w:p w14:paraId="42D3713F">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2.10“负偏离”，是指响应文件对磋商文件“采购需求”中有关条款作出的响应不满足条款要求，导致采购人要求不能得到满足的情形。</w:t>
      </w:r>
    </w:p>
    <w:p w14:paraId="1C4B3565">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2.11“允许负偏离的条款”是指采购需求中的不属于“实质性要求”的条款。</w:t>
      </w:r>
    </w:p>
    <w:p w14:paraId="356BB98B">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2.12“首次报价”是指供应商提交的首次响应文件中的报价。</w:t>
      </w:r>
    </w:p>
    <w:p w14:paraId="632A41CE">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3.供应商的资格条件</w:t>
      </w:r>
    </w:p>
    <w:p w14:paraId="2D6E81A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供应商的资格条件详见“供应商须知前附表”。</w:t>
      </w:r>
    </w:p>
    <w:p w14:paraId="35FEA6DE">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w:t>
      </w:r>
      <w:r>
        <w:rPr>
          <w:rFonts w:hint="eastAsia" w:ascii="宋体" w:hAnsi="宋体" w:eastAsia="宋体" w:cs="宋体"/>
          <w:b/>
          <w:color w:val="auto"/>
          <w:sz w:val="24"/>
          <w:highlight w:val="none"/>
        </w:rPr>
        <w:t>竞争性磋商</w:t>
      </w:r>
      <w:r>
        <w:rPr>
          <w:rFonts w:hint="eastAsia" w:ascii="宋体" w:hAnsi="宋体" w:eastAsia="宋体" w:cs="宋体"/>
          <w:b/>
          <w:bCs/>
          <w:color w:val="auto"/>
          <w:sz w:val="24"/>
          <w:highlight w:val="none"/>
        </w:rPr>
        <w:t>费用</w:t>
      </w:r>
    </w:p>
    <w:p w14:paraId="2D55E50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供应商应承担参与本次采购活动有关的所有费用，包括但不限于获取磋商文件、勘查现场、编制和提交响应文件、参加磋商与应答、签订合同等，不论竞争性磋商结果如何，均应自行承担。</w:t>
      </w:r>
    </w:p>
    <w:p w14:paraId="592EBE78">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5.联合体参加竞争性磋商</w:t>
      </w:r>
    </w:p>
    <w:p w14:paraId="69DCA31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5.1本项目是否接受联合体参加竞争性磋商，详见“供应商须知前附表”。</w:t>
      </w:r>
    </w:p>
    <w:p w14:paraId="252EF7B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5.2如接受联合体参加竞争性磋商，相关要求详见“供应商须知前附表”。</w:t>
      </w:r>
    </w:p>
    <w:p w14:paraId="5105BD3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5.3</w:t>
      </w:r>
      <w:bookmarkStart w:id="17" w:name="_Hlk66782192"/>
      <w:r>
        <w:rPr>
          <w:rFonts w:hint="eastAsia" w:ascii="宋体" w:hAnsi="宋体" w:eastAsia="宋体" w:cs="宋体"/>
          <w:color w:val="auto"/>
          <w:sz w:val="24"/>
          <w:highlight w:val="none"/>
        </w:rPr>
        <w:t>根据《政府采购促进中小企业发展管理办法》（财库〔2020〕46号）及《关于进一步加大政府采购支持中小企业力度的通知》（财库〔2022〕19号 ）调整对小微企业的价格评审优惠幅度。货物服务采购项目给予小微企业的价格扣除优惠20%。大中型企业与小微企业组成联合体或者大中型企业向小微企业分包的，对于联合协议约定小微企业的合同份额占到合同总金额 30%以上的，评审优惠6%，用扣除后的价格参加评审。</w:t>
      </w:r>
      <w:bookmarkEnd w:id="17"/>
    </w:p>
    <w:p w14:paraId="404420B5">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6.转包与分包             </w:t>
      </w:r>
    </w:p>
    <w:p w14:paraId="2EC20366">
      <w:pPr>
        <w:keepNext w:val="0"/>
        <w:keepLines w:val="0"/>
        <w:spacing w:before="0" w:after="0" w:line="360" w:lineRule="auto"/>
        <w:ind w:left="420" w:leftChars="200"/>
        <w:outlineLvl w:val="9"/>
        <w:rPr>
          <w:rFonts w:hint="eastAsia" w:ascii="宋体" w:hAnsi="宋体" w:eastAsia="宋体" w:cs="宋体"/>
          <w:b w:val="0"/>
          <w:color w:val="auto"/>
          <w:sz w:val="24"/>
          <w:szCs w:val="24"/>
          <w:highlight w:val="none"/>
        </w:rPr>
      </w:pPr>
      <w:bookmarkStart w:id="18" w:name="_Toc254970673"/>
      <w:bookmarkStart w:id="19" w:name="_Toc254970532"/>
      <w:r>
        <w:rPr>
          <w:rFonts w:hint="eastAsia" w:ascii="宋体" w:hAnsi="宋体" w:eastAsia="宋体" w:cs="宋体"/>
          <w:b w:val="0"/>
          <w:color w:val="auto"/>
          <w:sz w:val="24"/>
          <w:szCs w:val="24"/>
          <w:highlight w:val="none"/>
        </w:rPr>
        <w:t>6.1本项目不允许转包。</w:t>
      </w:r>
    </w:p>
    <w:p w14:paraId="71707454">
      <w:pPr>
        <w:keepNext w:val="0"/>
        <w:keepLines w:val="0"/>
        <w:spacing w:before="0" w:after="0" w:line="360" w:lineRule="auto"/>
        <w:ind w:firstLine="360" w:firstLineChars="150"/>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 xml:space="preserve"> 6.2本项目是否允许分包详见“供应商须知前附表”，本项目不允许违法分包。允许分包的非主体、非关键性工作，根据法律法规规定承担该工作需要行政许可的，如该工作由供应商自行承担，供应商应具备相应的行政许可，如供应商不具备相应的行政许可必须采用分包的方式，但分包供应商应具备相应行政许可。</w:t>
      </w:r>
    </w:p>
    <w:p w14:paraId="1B579B32">
      <w:pPr>
        <w:keepNext w:val="0"/>
        <w:keepLines w:val="0"/>
        <w:spacing w:before="0" w:after="0" w:line="360" w:lineRule="auto"/>
        <w:ind w:firstLine="360" w:firstLineChars="150"/>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 xml:space="preserve"> 6.3供应商根据磋商文件的规定和采购项目的实际情况，拟在成交后将成交项目的非主体、非关键性工作分包的，应当在响应文件中载明分包承担主体，分包承担主体应当具备相应资质条件且不得再次分包。</w:t>
      </w:r>
    </w:p>
    <w:p w14:paraId="0BE7BB4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7.特别说明</w:t>
      </w:r>
      <w:bookmarkEnd w:id="18"/>
      <w:bookmarkEnd w:id="19"/>
    </w:p>
    <w:p w14:paraId="0FA015F1">
      <w:pPr>
        <w:spacing w:line="360" w:lineRule="auto"/>
        <w:ind w:firstLine="480" w:firstLineChars="200"/>
        <w:rPr>
          <w:rFonts w:hint="eastAsia" w:ascii="宋体" w:hAnsi="宋体" w:eastAsia="宋体" w:cs="宋体"/>
          <w:color w:val="auto"/>
          <w:sz w:val="24"/>
          <w:highlight w:val="none"/>
        </w:rPr>
      </w:pPr>
      <w:bookmarkStart w:id="20" w:name="_8.1提供相同品牌产品且通过资格审查、符合性审查的不同投标人参加同一合"/>
      <w:bookmarkEnd w:id="20"/>
      <w:r>
        <w:rPr>
          <w:rFonts w:hint="eastAsia" w:ascii="宋体" w:hAnsi="宋体" w:eastAsia="宋体" w:cs="宋体"/>
          <w:color w:val="auto"/>
          <w:sz w:val="24"/>
          <w:highlight w:val="none"/>
        </w:rPr>
        <w:t>7.1</w:t>
      </w:r>
      <w:bookmarkStart w:id="21" w:name="_Hlk65832145"/>
      <w:r>
        <w:rPr>
          <w:rFonts w:hint="eastAsia" w:ascii="宋体" w:hAnsi="宋体" w:eastAsia="宋体" w:cs="宋体"/>
          <w:color w:val="auto"/>
          <w:sz w:val="24"/>
          <w:highlight w:val="none"/>
        </w:rPr>
        <w:t>如果本磋商文件要求提供供应商或制造商的资格、信誉、荣誉、业绩与企业认证等材料的，资格、信誉、荣誉、业绩与企业认证等必须为供应商或者制造商所拥有或自身获得 。</w:t>
      </w:r>
    </w:p>
    <w:bookmarkEnd w:id="21"/>
    <w:p w14:paraId="2324DF3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7.2供应商应仔细阅读磋商文件的所有内容，按照磋商文件的要求提交响应文件，并对所提供的全部资料的真实性承担法律责任。</w:t>
      </w:r>
    </w:p>
    <w:p w14:paraId="599319D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7.3供应商在参与竞争性磋商活动中提供任何疑似虚假材料，将报监管部门查处；签订合同后发现的，成交供应商须依法赔偿采购人，且民事赔偿并不免除违法供应商的行政与刑事责任。</w:t>
      </w:r>
    </w:p>
    <w:p w14:paraId="1062D60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7.4在政府采购活动中，采购人员及相关人员与供应商有下列利害关系之一的，应当回避：</w:t>
      </w:r>
    </w:p>
    <w:p w14:paraId="0967A7E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（1）参加采购活动前3年内与供应商存在劳动关系；</w:t>
      </w:r>
    </w:p>
    <w:p w14:paraId="0013684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（2）参加采购活动前3年内担任供应商的董事、监事；</w:t>
      </w:r>
    </w:p>
    <w:p w14:paraId="2A6C7AC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（3）参加采购活动前3年内是供应商的控股股东或者实际控制人；</w:t>
      </w:r>
    </w:p>
    <w:p w14:paraId="0E9F359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（4）与供应商的法定代表人或者负责人有夫妻、直系血亲、三代以内旁系血亲或者近姻亲关系；</w:t>
      </w:r>
    </w:p>
    <w:p w14:paraId="4F2004F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（5）与供应商有其他可能影响政府采购活动公平、公正进行的关系。</w:t>
      </w:r>
    </w:p>
    <w:p w14:paraId="5B0D362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6B1AA35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7.5有下列情形之一的视为供应商相互串通参与竞争性磋商，响应文件将被视为无效：</w:t>
      </w:r>
    </w:p>
    <w:p w14:paraId="442B9D3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（1）不同供应商的响应文件由同一单位或者个人编制； </w:t>
      </w:r>
    </w:p>
    <w:p w14:paraId="40B6975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（2）不同供应商委托同一单位或者个人办理竞争性磋商事宜；</w:t>
      </w:r>
    </w:p>
    <w:p w14:paraId="0618AC3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（3）不同的供应商的响应文件载明的项目管理员为同一个人；</w:t>
      </w:r>
    </w:p>
    <w:p w14:paraId="38AB348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（4）不同供应商的响应文件异常一致或者报价呈规律性差异；</w:t>
      </w:r>
    </w:p>
    <w:p w14:paraId="3DC0058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（5）不同供应商的响应文件相互混装；</w:t>
      </w:r>
    </w:p>
    <w:p w14:paraId="500BB2CB">
      <w:pPr>
        <w:tabs>
          <w:tab w:val="left" w:pos="6931"/>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（6）不同供应商的磋商保证金从同一单位或者个人账户转出。</w:t>
      </w:r>
      <w:r>
        <w:rPr>
          <w:rFonts w:hint="eastAsia" w:ascii="宋体" w:hAnsi="宋体" w:eastAsia="宋体" w:cs="宋体"/>
          <w:color w:val="auto"/>
          <w:sz w:val="24"/>
          <w:highlight w:val="none"/>
        </w:rPr>
        <w:tab/>
      </w:r>
    </w:p>
    <w:p w14:paraId="14490CA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（7）供应商之间协商报价等响应文件的实质性内容；</w:t>
      </w:r>
    </w:p>
    <w:p w14:paraId="6E72826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（8）供应商之间约定成交供应商；</w:t>
      </w:r>
    </w:p>
    <w:p w14:paraId="21B69C9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（9）供应商之间约定部分供应商放弃参与竞争性磋商或者成交；</w:t>
      </w:r>
    </w:p>
    <w:p w14:paraId="3E1EB91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（10）属于同一集团、协会、商会等组织成员的供应商按照该组织要求协同参与竞争性磋商；</w:t>
      </w:r>
    </w:p>
    <w:p w14:paraId="240C3F7F">
      <w:pPr>
        <w:pStyle w:val="13"/>
        <w:ind w:firstLine="480" w:firstLineChars="200"/>
        <w:rPr>
          <w:rFonts w:hint="eastAsia" w:ascii="宋体" w:hAnsi="宋体" w:eastAsia="宋体" w:cs="宋体"/>
          <w:color w:val="auto"/>
          <w:highlight w:val="none"/>
        </w:rPr>
      </w:pPr>
      <w:r>
        <w:rPr>
          <w:rFonts w:hint="eastAsia" w:ascii="宋体" w:hAnsi="宋体" w:eastAsia="宋体" w:cs="宋体"/>
          <w:color w:val="auto"/>
          <w:sz w:val="24"/>
          <w:highlight w:val="none"/>
        </w:rPr>
        <w:t>（11）供应商之间为谋取成交或者排斥特定供应商而采取的其他联合行动。</w:t>
      </w:r>
    </w:p>
    <w:p w14:paraId="1C532D5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7.6供应商有下列情形之一的，属于恶意串通行为，将报同级监督管理部门：</w:t>
      </w:r>
    </w:p>
    <w:p w14:paraId="4A56641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（1）供应商直接或者间接从采购人或者采购代理机构处获得其他供应商的相关信息并修改其响应文件；</w:t>
      </w:r>
    </w:p>
    <w:p w14:paraId="0FE3C59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（2）供应商按照采购人或者采购代理机构的授意撤换、修改响应文件；</w:t>
      </w:r>
    </w:p>
    <w:p w14:paraId="660537D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（3）供应商之间协商报价、技术方案等响应文件或者响应文件的实质性内容；</w:t>
      </w:r>
    </w:p>
    <w:p w14:paraId="5112FF7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（4）属于同一集团、协会、商会等组织成员的供应商按照该组织要求协同参加政府采购活动；</w:t>
      </w:r>
    </w:p>
    <w:p w14:paraId="0686128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（5）供应商之间事先约定一致抬高或者压低报价，或者在政府采购活动中事先约定轮流以高价位或者低价位成交，或者事先约定由某一特定供应商成交，然后再参加竞争性磋商；</w:t>
      </w:r>
    </w:p>
    <w:p w14:paraId="463DBD5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（6）供应商之间商定部分供应商放弃参加政府采购活动或者放弃成交；</w:t>
      </w:r>
    </w:p>
    <w:p w14:paraId="6D107C7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（7）供应商与采购人或者采购代理机构之间、供应商相互之间，为谋求特定供应商成交或者排斥其他供应商的其他串通行为。</w:t>
      </w:r>
    </w:p>
    <w:p w14:paraId="0E6B451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7.7竞争性磋商委托</w:t>
      </w:r>
    </w:p>
    <w:p w14:paraId="4D4165B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供应商代表参加竞争性磋商活动过程中必须携带个人有效身份证件。如供应商代表不是法定代表人，须持有授权委托书（按第五章要求格式填写）。</w:t>
      </w:r>
    </w:p>
    <w:p w14:paraId="487B576C">
      <w:pPr>
        <w:pStyle w:val="13"/>
        <w:ind w:firstLine="420"/>
        <w:rPr>
          <w:rFonts w:hint="eastAsia" w:ascii="宋体" w:hAnsi="宋体" w:eastAsia="宋体" w:cs="宋体"/>
          <w:color w:val="auto"/>
          <w:highlight w:val="none"/>
        </w:rPr>
      </w:pPr>
    </w:p>
    <w:p w14:paraId="25A15166">
      <w:pPr>
        <w:spacing w:line="360" w:lineRule="auto"/>
        <w:ind w:firstLine="480" w:firstLineChars="200"/>
        <w:rPr>
          <w:rFonts w:hint="eastAsia" w:ascii="宋体" w:hAnsi="宋体" w:eastAsia="宋体" w:cs="宋体"/>
          <w:color w:val="auto"/>
          <w:sz w:val="24"/>
          <w:highlight w:val="none"/>
        </w:rPr>
      </w:pPr>
    </w:p>
    <w:p w14:paraId="3BE10FFA">
      <w:pPr>
        <w:spacing w:line="360" w:lineRule="auto"/>
        <w:jc w:val="center"/>
        <w:rPr>
          <w:rFonts w:hint="eastAsia" w:ascii="宋体" w:hAnsi="宋体" w:eastAsia="宋体" w:cs="宋体"/>
          <w:b/>
          <w:bCs/>
          <w:color w:val="auto"/>
          <w:sz w:val="24"/>
          <w:highlight w:val="none"/>
        </w:rPr>
      </w:pPr>
      <w:bookmarkStart w:id="22" w:name="_Toc254970675"/>
      <w:bookmarkStart w:id="23" w:name="_Toc254970534"/>
      <w:r>
        <w:rPr>
          <w:rFonts w:hint="eastAsia" w:ascii="宋体" w:hAnsi="宋体" w:eastAsia="宋体" w:cs="宋体"/>
          <w:b/>
          <w:bCs/>
          <w:color w:val="auto"/>
          <w:sz w:val="24"/>
          <w:highlight w:val="none"/>
        </w:rPr>
        <w:t>二、磋商文件</w:t>
      </w:r>
      <w:bookmarkEnd w:id="22"/>
      <w:bookmarkEnd w:id="23"/>
    </w:p>
    <w:p w14:paraId="49762633">
      <w:pPr>
        <w:spacing w:line="360" w:lineRule="auto"/>
        <w:ind w:firstLine="482" w:firstLineChars="200"/>
        <w:rPr>
          <w:rFonts w:hint="eastAsia" w:ascii="宋体" w:hAnsi="宋体" w:eastAsia="宋体" w:cs="宋体"/>
          <w:b/>
          <w:bCs/>
          <w:color w:val="auto"/>
          <w:sz w:val="24"/>
          <w:highlight w:val="none"/>
        </w:rPr>
      </w:pPr>
    </w:p>
    <w:p w14:paraId="571CED8D">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8.磋商文件的构成</w:t>
      </w:r>
    </w:p>
    <w:p w14:paraId="168928BE">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（1）竞争性磋商公告；</w:t>
      </w:r>
    </w:p>
    <w:p w14:paraId="4E5C300A">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（2）供应商须知； </w:t>
      </w:r>
    </w:p>
    <w:p w14:paraId="2C45537D">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（3）采购需求；</w:t>
      </w:r>
    </w:p>
    <w:p w14:paraId="797C7800">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（4）评审程序、评审方法和评审标准；</w:t>
      </w:r>
    </w:p>
    <w:p w14:paraId="08B50ED3">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（5）响应文件格式；</w:t>
      </w:r>
    </w:p>
    <w:p w14:paraId="7BB4A340">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（6）拟签订的合同文本。</w:t>
      </w:r>
    </w:p>
    <w:p w14:paraId="52912783">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9.供应商的询问</w:t>
      </w:r>
    </w:p>
    <w:p w14:paraId="664667C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应认真阅读磋商文件的采购需求，如供应商对磋商文件有疑问的，如要求采购人做出澄清或者修改的，供应商尽可能在提交首次响应文件截止之日前，以纸质书面形式向采购人、采购代理机构提出，否则，由此产生的后果由供应商自行负责。</w:t>
      </w:r>
    </w:p>
    <w:p w14:paraId="4697F60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10.磋商文件的澄清和修改</w:t>
      </w:r>
    </w:p>
    <w:p w14:paraId="254A5DB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10.1提交首次响应文件截止之日前，采购人或者采购代理机构可以对已发出的磋商文件进行必要的澄清或者修改，澄清或者修改的内容作为磋商文件的组成部分。澄清或者修改将在原公告发布媒体上发布更正公告。澄清或者修改的内容可能影响响应文件编制的，采购人、采购代理机构应当在提交首次响应文件截止之日至少5日前，在原公告发布媒体上发布更正公告；不足5日的，采购人、采购代理机构应当顺延提交首次响应文件截止时间。澄清或者更正公告在竞争性磋商公告发布媒体上发布，一经发布，视作已以书面形式通知所有获取竞争性磋商文件的潜在供应商，不再另行通知，所有潜在供应商应密切关注竞争性磋商公告发布媒体，因未能及时获知，由此产生的后果均应自行承担。</w:t>
      </w:r>
    </w:p>
    <w:p w14:paraId="7F2D75E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10.2采购人和采购代理机构可以视采购具体情况，变更首次响应文件提交截止时间和开启时间，并在原公告发布媒体上发布更正公告。</w:t>
      </w:r>
    </w:p>
    <w:p w14:paraId="5D31CDA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10.3磋商文件澄清、答复、修改、补充的内容为磋商文件的组成部分。</w:t>
      </w:r>
      <w:r>
        <w:rPr>
          <w:rFonts w:hint="eastAsia" w:ascii="宋体" w:hAnsi="宋体" w:eastAsia="宋体" w:cs="宋体"/>
          <w:b/>
          <w:color w:val="auto"/>
          <w:sz w:val="24"/>
          <w:highlight w:val="none"/>
        </w:rPr>
        <w:t>当磋商文件与磋商文件的澄清、答复、修改、补充通知就同一内容的表述不一致时，以最后发出的文件为准。</w:t>
      </w:r>
    </w:p>
    <w:p w14:paraId="3967543F">
      <w:pPr>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10.4响应文件未按磋商文件的澄清、修改后的内容编制的，其响应文件作无效响应处理。</w:t>
      </w:r>
    </w:p>
    <w:p w14:paraId="080F3727">
      <w:pPr>
        <w:spacing w:line="360" w:lineRule="auto"/>
        <w:ind w:firstLine="482" w:firstLineChars="200"/>
        <w:rPr>
          <w:rFonts w:hint="eastAsia" w:ascii="宋体" w:hAnsi="宋体" w:eastAsia="宋体" w:cs="宋体"/>
          <w:b/>
          <w:color w:val="auto"/>
          <w:sz w:val="24"/>
          <w:highlight w:val="none"/>
        </w:rPr>
      </w:pPr>
    </w:p>
    <w:p w14:paraId="1853E08E">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三、响应文件的编制</w:t>
      </w:r>
    </w:p>
    <w:p w14:paraId="537A5D9D">
      <w:pPr>
        <w:spacing w:line="360" w:lineRule="auto"/>
        <w:ind w:firstLine="482" w:firstLineChars="200"/>
        <w:rPr>
          <w:rFonts w:hint="eastAsia" w:ascii="宋体" w:hAnsi="宋体" w:eastAsia="宋体" w:cs="宋体"/>
          <w:b/>
          <w:bCs/>
          <w:color w:val="auto"/>
          <w:sz w:val="24"/>
          <w:highlight w:val="none"/>
        </w:rPr>
      </w:pPr>
    </w:p>
    <w:p w14:paraId="1C8B0649">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11.响应文件的编制原则</w:t>
      </w:r>
    </w:p>
    <w:p w14:paraId="5F103DA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供应商必须按照磋商文件的要求编制响应文件，并对其提交的响应文件的真实性、合法性承担法律责任。响应文件必须对磋商文件做出实质性响应。</w:t>
      </w:r>
    </w:p>
    <w:p w14:paraId="3E4F8FF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12.响应文件的组成</w:t>
      </w:r>
    </w:p>
    <w:p w14:paraId="3910973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12.1响应文件由资格证明文件、报价商务服务文件两部分组成。</w:t>
      </w:r>
    </w:p>
    <w:p w14:paraId="66DC2644">
      <w:pPr>
        <w:spacing w:line="360" w:lineRule="auto"/>
        <w:ind w:left="900" w:leftChars="200" w:hanging="480" w:hanging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12.1.1资格证明文件：详见须知前附表</w:t>
      </w:r>
    </w:p>
    <w:p w14:paraId="355FB66C">
      <w:pPr>
        <w:spacing w:line="360" w:lineRule="auto"/>
        <w:ind w:left="900" w:leftChars="200" w:hanging="480" w:hanging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12.1.2报价商务服务文件：详见须知前附表</w:t>
      </w:r>
    </w:p>
    <w:p w14:paraId="7407AB7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13.计量单位</w:t>
      </w:r>
    </w:p>
    <w:p w14:paraId="19687A1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磋商文件已有明确规定的，使用磋商文件规定的计量单位；磋商文件没有规定的，应采用中华人民共和国法定计量单位，货币种类为人民币，否则视同未响应。</w:t>
      </w:r>
    </w:p>
    <w:p w14:paraId="1D624608">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14.竞争性磋商的风险</w:t>
      </w:r>
    </w:p>
    <w:p w14:paraId="44DDE08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供应商没有按照磋商文件要求提供全部资料，或者供应商没有对磋商文件在各方面做出实质性响应可能导致其响应无效，是供应商应当考虑的风险。</w:t>
      </w:r>
    </w:p>
    <w:p w14:paraId="11A8D1A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15.竞争性磋商报价</w:t>
      </w:r>
    </w:p>
    <w:p w14:paraId="573BF797">
      <w:pPr>
        <w:tabs>
          <w:tab w:val="left" w:pos="2492"/>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15.1竞争性磋商报价应按磋商文件中“竞争性磋商报价表”格式填写。</w:t>
      </w:r>
    </w:p>
    <w:p w14:paraId="58F8C29A">
      <w:pPr>
        <w:tabs>
          <w:tab w:val="left" w:pos="2492"/>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15.2竞争性磋商报价的内容见“供应商须知前附表”。</w:t>
      </w:r>
    </w:p>
    <w:p w14:paraId="02E47677">
      <w:pPr>
        <w:spacing w:line="360" w:lineRule="auto"/>
        <w:ind w:left="426" w:leftChars="203"/>
        <w:rPr>
          <w:rFonts w:hint="eastAsia" w:ascii="宋体" w:hAnsi="宋体" w:eastAsia="宋体" w:cs="宋体"/>
          <w:color w:val="auto"/>
          <w:sz w:val="24"/>
          <w:highlight w:val="none"/>
        </w:rPr>
      </w:pPr>
      <w:r>
        <w:rPr>
          <w:rFonts w:hint="eastAsia" w:ascii="宋体" w:hAnsi="宋体" w:eastAsia="宋体" w:cs="宋体"/>
          <w:color w:val="auto"/>
          <w:sz w:val="24"/>
          <w:highlight w:val="none"/>
        </w:rPr>
        <w:t>15.3竞争性磋商报价要求</w:t>
      </w:r>
    </w:p>
    <w:p w14:paraId="26195E92">
      <w:pPr>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15.3.1供应商的竞争性磋商报价应符合以下要求，否则响应文件按无效响应处理：</w:t>
      </w:r>
    </w:p>
    <w:p w14:paraId="31B791C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（1）供应商必须就“采购需求”中所竞标的每个分标的全部内容分别作完整唯一总价报价，不得存在漏项报价；</w:t>
      </w:r>
    </w:p>
    <w:p w14:paraId="38577E3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（2）供应商必须就所竞标的分标的单项内容作唯一报价。</w:t>
      </w:r>
    </w:p>
    <w:p w14:paraId="2517BDA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15.3.2竞争性磋商报价（包含首次报价、最后报价）超过所开展竞争性磋商分标规定的采购预算金额或者最高限价的，其响应文件将按无效响应处理。</w:t>
      </w:r>
      <w:bookmarkStart w:id="24" w:name="_Hlk42592874"/>
    </w:p>
    <w:p w14:paraId="02D21CA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15.3.3竞争性磋商报价（包含首次报价、最后报价）超过分项采购预算金额或者最高限价的，其响应文件将按无效处理。</w:t>
      </w:r>
    </w:p>
    <w:bookmarkEnd w:id="24"/>
    <w:p w14:paraId="72CD00DE">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16.竞争性磋商有效期</w:t>
      </w:r>
    </w:p>
    <w:p w14:paraId="1B4B86E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16.1竞争性磋商有效期是指为保证采购人有足够的时间在提交响应文件后完成评审、确定成交供应商、合同签订等工作而要求供应商提交的响应文件在一定时间内保持有效的期限。</w:t>
      </w:r>
    </w:p>
    <w:p w14:paraId="2D267A7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16.2 竞争性磋商有效期应由供应商按“供应商须知前附表”规定的期限作出响应。</w:t>
      </w:r>
    </w:p>
    <w:p w14:paraId="122172C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16.3供应商的响应文件在竞争性磋商有效期内均保持有效。</w:t>
      </w:r>
    </w:p>
    <w:p w14:paraId="01ADADBD">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17.磋商保证金</w:t>
      </w:r>
    </w:p>
    <w:p w14:paraId="1276BF49">
      <w:pPr>
        <w:spacing w:line="360" w:lineRule="auto"/>
        <w:ind w:left="420" w:left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17.1供应商须按“供应商须知前附表”的规定提交磋商保证金。</w:t>
      </w:r>
    </w:p>
    <w:p w14:paraId="2C4513E5">
      <w:pPr>
        <w:spacing w:line="360" w:lineRule="auto"/>
        <w:ind w:left="420" w:left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17.2磋商保证金的退还</w:t>
      </w:r>
    </w:p>
    <w:p w14:paraId="1A1A8471">
      <w:pPr>
        <w:spacing w:line="360" w:lineRule="auto"/>
        <w:ind w:firstLine="480" w:firstLineChars="200"/>
        <w:rPr>
          <w:rFonts w:hint="eastAsia" w:ascii="宋体" w:hAnsi="宋体" w:eastAsia="宋体" w:cs="宋体"/>
          <w:color w:val="auto"/>
          <w:sz w:val="24"/>
          <w:highlight w:val="none"/>
        </w:rPr>
      </w:pPr>
      <w:bookmarkStart w:id="25" w:name="_Hlk66782243"/>
      <w:r>
        <w:rPr>
          <w:rFonts w:hint="eastAsia" w:ascii="宋体" w:hAnsi="宋体" w:eastAsia="宋体" w:cs="宋体"/>
          <w:color w:val="auto"/>
          <w:sz w:val="24"/>
          <w:highlight w:val="none"/>
        </w:rPr>
        <w:t>未</w:t>
      </w:r>
      <w:r>
        <w:rPr>
          <w:rFonts w:hint="eastAsia" w:ascii="宋体" w:hAnsi="宋体" w:eastAsia="宋体" w:cs="宋体"/>
          <w:color w:val="auto"/>
          <w:spacing w:val="-6"/>
          <w:sz w:val="24"/>
          <w:highlight w:val="none"/>
        </w:rPr>
        <w:t>成交供应商的磋商保证金自成交通知书发出之日起5个工作日内退还；</w:t>
      </w:r>
      <w:r>
        <w:rPr>
          <w:rFonts w:hint="eastAsia" w:ascii="宋体" w:hAnsi="宋体" w:eastAsia="宋体" w:cs="宋体"/>
          <w:color w:val="auto"/>
          <w:sz w:val="24"/>
          <w:highlight w:val="none"/>
        </w:rPr>
        <w:t>成交供应商的磋商保证金自签订合同之日起5个工作日内退还。</w:t>
      </w:r>
      <w:bookmarkEnd w:id="25"/>
      <w:r>
        <w:rPr>
          <w:rFonts w:hint="eastAsia" w:ascii="宋体" w:hAnsi="宋体" w:eastAsia="宋体" w:cs="宋体"/>
          <w:color w:val="auto"/>
          <w:sz w:val="24"/>
          <w:highlight w:val="none"/>
        </w:rPr>
        <w:t xml:space="preserve"> </w:t>
      </w:r>
    </w:p>
    <w:p w14:paraId="126E9D2A">
      <w:pPr>
        <w:spacing w:line="360" w:lineRule="auto"/>
        <w:ind w:left="420" w:left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17.3磋商保证金不计息。</w:t>
      </w:r>
    </w:p>
    <w:p w14:paraId="0B67A955">
      <w:pPr>
        <w:spacing w:line="360" w:lineRule="auto"/>
        <w:ind w:left="420" w:left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17.4供应商有下列情形之一的，磋商保证金将不予退还： </w:t>
      </w:r>
    </w:p>
    <w:p w14:paraId="0D7B29AC">
      <w:pPr>
        <w:spacing w:line="360" w:lineRule="auto"/>
        <w:ind w:left="420" w:left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（1）供应商在提交首次响应文件截止时间后撤回响应文件的；</w:t>
      </w:r>
    </w:p>
    <w:p w14:paraId="4D44DFDA">
      <w:pPr>
        <w:spacing w:line="360" w:lineRule="auto"/>
        <w:ind w:left="420" w:left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（2）未按规定提交履约保证金的；</w:t>
      </w:r>
    </w:p>
    <w:p w14:paraId="29863974">
      <w:pPr>
        <w:spacing w:line="360" w:lineRule="auto"/>
        <w:ind w:left="420" w:left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（3）供应商在响应文件中提供虚假材料的；</w:t>
      </w:r>
    </w:p>
    <w:p w14:paraId="35B6C0BD">
      <w:pPr>
        <w:spacing w:line="360" w:lineRule="auto"/>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（4）除因不可抗力或者磋商文件认可的情形以外，成交供应商不与采购人签订合同的；</w:t>
      </w:r>
    </w:p>
    <w:p w14:paraId="07D1A88F">
      <w:pPr>
        <w:spacing w:line="360" w:lineRule="auto"/>
        <w:ind w:left="420" w:left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（5）供应商与采购人、其他供应商或者采购代理机构恶意串通的；</w:t>
      </w:r>
    </w:p>
    <w:p w14:paraId="57A316FC">
      <w:pPr>
        <w:spacing w:line="360" w:lineRule="auto"/>
        <w:ind w:left="420" w:left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（6）法律法规规定的其他情形。</w:t>
      </w:r>
    </w:p>
    <w:p w14:paraId="2C057FE3">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18.响应文件编制的要求</w:t>
      </w:r>
    </w:p>
    <w:p w14:paraId="5E340B4D">
      <w:pPr>
        <w:spacing w:line="360" w:lineRule="auto"/>
        <w:ind w:firstLine="480" w:firstLineChars="200"/>
        <w:rPr>
          <w:rFonts w:hint="eastAsia" w:ascii="宋体" w:hAnsi="宋体" w:eastAsia="宋体" w:cs="宋体"/>
          <w:color w:val="auto"/>
          <w:spacing w:val="-6"/>
          <w:sz w:val="24"/>
          <w:highlight w:val="none"/>
        </w:rPr>
      </w:pPr>
      <w:r>
        <w:rPr>
          <w:rFonts w:hint="eastAsia" w:ascii="宋体" w:hAnsi="宋体" w:eastAsia="宋体" w:cs="宋体"/>
          <w:color w:val="auto"/>
          <w:sz w:val="24"/>
          <w:highlight w:val="none"/>
        </w:rPr>
        <w:t>18.1供应商应按本磋商文件规定的格式和顺序编制响应文件并标注页码，响应文件内容</w:t>
      </w:r>
      <w:r>
        <w:rPr>
          <w:rFonts w:hint="eastAsia" w:ascii="宋体" w:hAnsi="宋体" w:eastAsia="宋体" w:cs="宋体"/>
          <w:color w:val="auto"/>
          <w:spacing w:val="-6"/>
          <w:sz w:val="24"/>
          <w:highlight w:val="none"/>
        </w:rPr>
        <w:t>不完整、编排混乱导致响应文件被误读、漏读或者查找不到相关内容的，</w:t>
      </w:r>
      <w:r>
        <w:rPr>
          <w:rFonts w:hint="eastAsia" w:ascii="宋体" w:hAnsi="宋体" w:eastAsia="宋体" w:cs="宋体"/>
          <w:color w:val="auto"/>
          <w:sz w:val="24"/>
          <w:highlight w:val="none"/>
        </w:rPr>
        <w:t>由此引发的</w:t>
      </w:r>
      <w:r>
        <w:rPr>
          <w:rFonts w:hint="eastAsia" w:ascii="宋体" w:hAnsi="宋体" w:eastAsia="宋体" w:cs="宋体"/>
          <w:color w:val="auto"/>
          <w:spacing w:val="-6"/>
          <w:sz w:val="24"/>
          <w:highlight w:val="none"/>
        </w:rPr>
        <w:t>后果由供应商承担。</w:t>
      </w:r>
    </w:p>
    <w:p w14:paraId="3DB8491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18.2响应文件应按资格证明文件、报价商务服务文件分别编制电子文件，</w:t>
      </w:r>
      <w:r>
        <w:rPr>
          <w:rFonts w:hint="eastAsia" w:ascii="宋体" w:hAnsi="宋体" w:eastAsia="宋体" w:cs="宋体"/>
          <w:color w:val="auto"/>
          <w:sz w:val="24"/>
          <w:highlight w:val="none"/>
          <w:lang w:bidi="ar"/>
        </w:rPr>
        <w:t>并按广西政府采购云平台的要求编制、加密、上传。</w:t>
      </w:r>
    </w:p>
    <w:p w14:paraId="05D87D6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18.</w:t>
      </w:r>
      <w:bookmarkStart w:id="26" w:name="_Hlk65832699"/>
      <w:r>
        <w:rPr>
          <w:rFonts w:hint="eastAsia" w:ascii="宋体" w:hAnsi="宋体" w:eastAsia="宋体" w:cs="宋体"/>
          <w:color w:val="auto"/>
          <w:sz w:val="24"/>
          <w:highlight w:val="none"/>
        </w:rPr>
        <w:t>3响应文件须由供应商在规定位置盖公章并签字</w:t>
      </w:r>
      <w:bookmarkStart w:id="27" w:name="_Hlk65832569"/>
      <w:r>
        <w:rPr>
          <w:rFonts w:hint="eastAsia" w:ascii="宋体" w:hAnsi="宋体" w:eastAsia="宋体" w:cs="宋体"/>
          <w:color w:val="auto"/>
          <w:sz w:val="24"/>
          <w:highlight w:val="none"/>
        </w:rPr>
        <w:t>（具体以供应商须知前附表或响应文件格式规定为准）</w:t>
      </w:r>
      <w:bookmarkEnd w:id="26"/>
      <w:bookmarkEnd w:id="27"/>
      <w:r>
        <w:rPr>
          <w:rFonts w:hint="eastAsia" w:ascii="宋体" w:hAnsi="宋体" w:eastAsia="宋体" w:cs="宋体"/>
          <w:color w:val="auto"/>
          <w:sz w:val="24"/>
          <w:highlight w:val="none"/>
        </w:rPr>
        <w:t>，否则其响应文件按无效响应处理。</w:t>
      </w:r>
    </w:p>
    <w:p w14:paraId="3192A16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18.4响应文件中标注的供应商名称应与营业执照（事业单位法人证书、执业许可证、自然人身份证）及公章一致，否则其响应文件按无效响应处理。</w:t>
      </w:r>
    </w:p>
    <w:p w14:paraId="3F6C8B7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18.5响应文件应尽量避免涂改、行间插字或者删除。如果出现上述情况，改动之处应由供应商的法定代表人或者其委托代理人签字或者加盖公章。响应文件因涂改、行间插字或者删除导致字迹潦草或者表达不清所引起的后果由供应商承担。</w:t>
      </w:r>
    </w:p>
    <w:p w14:paraId="1889F0CF">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19.响应文件的加密、解密及电子备份响应文件</w:t>
      </w:r>
    </w:p>
    <w:p w14:paraId="710FDEC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19.1电子响应文件编制完成后，供应商应按广西政府采购云平台的要求进行加密，并在规定时间内解密，否则，由此产生的后果由供应商自行负责。</w:t>
      </w:r>
    </w:p>
    <w:p w14:paraId="0EFB9547">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sz w:val="24"/>
          <w:highlight w:val="none"/>
        </w:rPr>
        <w:t>19.2电子备份响应文件是指通过“广西政府采购云平台电子投标客户端”在线编制生成且后缀名为“bfbs”的文件，是否接受电子备份响应文件详见在“供应商须知前附表”。</w:t>
      </w:r>
    </w:p>
    <w:p w14:paraId="0B920395">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20.响应文件的提交</w:t>
      </w:r>
    </w:p>
    <w:p w14:paraId="09E6EE5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20.1供应商必须在“供应商须知前附表”规定的时间和地点提交响应文件。</w:t>
      </w:r>
    </w:p>
    <w:p w14:paraId="034B3F20">
      <w:pPr>
        <w:widowControl/>
        <w:spacing w:line="360" w:lineRule="auto"/>
        <w:ind w:firstLine="480" w:firstLineChars="200"/>
        <w:rPr>
          <w:rFonts w:hint="eastAsia" w:ascii="宋体" w:hAnsi="宋体" w:eastAsia="宋体" w:cs="宋体"/>
          <w:b/>
          <w:color w:val="auto"/>
          <w:sz w:val="24"/>
          <w:highlight w:val="none"/>
          <w:lang w:bidi="ar"/>
        </w:rPr>
      </w:pPr>
      <w:r>
        <w:rPr>
          <w:rFonts w:hint="eastAsia" w:ascii="宋体" w:hAnsi="宋体" w:eastAsia="宋体" w:cs="宋体"/>
          <w:color w:val="auto"/>
          <w:sz w:val="24"/>
          <w:highlight w:val="none"/>
        </w:rPr>
        <w:t>20.2</w:t>
      </w:r>
      <w:r>
        <w:rPr>
          <w:rFonts w:hint="eastAsia" w:ascii="宋体" w:hAnsi="宋体" w:eastAsia="宋体" w:cs="宋体"/>
          <w:color w:val="auto"/>
          <w:sz w:val="24"/>
          <w:highlight w:val="none"/>
          <w:lang w:bidi="ar"/>
        </w:rPr>
        <w:t>本项目为全流程电子化政府采购项目，通过广西政府采购云平台（https：//www.gcy.zfcg.gxzf.gov.cn/）实行在线电子</w:t>
      </w:r>
      <w:r>
        <w:rPr>
          <w:rFonts w:hint="eastAsia" w:ascii="宋体" w:hAnsi="宋体" w:eastAsia="宋体" w:cs="宋体"/>
          <w:color w:val="auto"/>
          <w:sz w:val="24"/>
          <w:highlight w:val="none"/>
        </w:rPr>
        <w:t>竞争性磋商</w:t>
      </w:r>
      <w:r>
        <w:rPr>
          <w:rFonts w:hint="eastAsia" w:ascii="宋体" w:hAnsi="宋体" w:eastAsia="宋体" w:cs="宋体"/>
          <w:color w:val="auto"/>
          <w:sz w:val="24"/>
          <w:highlight w:val="none"/>
          <w:lang w:bidi="ar"/>
        </w:rPr>
        <w:t>，供应商应先安装“广西政府采购云平台电子交易客户端”（请自行前往广西政府采购云平台进行下载），并按照本项目竞争性磋商文件和广西政府采购云平台的要求编制、加密后在首次响应文件提交截止时间前通过网络上传至广西政府采购云平台，</w:t>
      </w:r>
      <w:r>
        <w:rPr>
          <w:rFonts w:hint="eastAsia" w:ascii="宋体" w:hAnsi="宋体" w:eastAsia="宋体" w:cs="宋体"/>
          <w:b/>
          <w:color w:val="auto"/>
          <w:sz w:val="24"/>
          <w:highlight w:val="none"/>
          <w:lang w:bidi="ar"/>
        </w:rPr>
        <w:t>供应商在广西政府采购云平台提交电子版响应文件时，请填写参加远程开标活动经办人联系方式。</w:t>
      </w:r>
    </w:p>
    <w:p w14:paraId="1818F4C9">
      <w:pPr>
        <w:keepNext w:val="0"/>
        <w:keepLines w:val="0"/>
        <w:spacing w:before="0" w:after="0" w:line="360" w:lineRule="auto"/>
        <w:ind w:firstLine="480" w:firstLineChars="200"/>
        <w:jc w:val="left"/>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20.3未在规定时间内上传或者未按广西政府采购云平台的要求编制、加密的电子响应文件，广西政府采购云平台将拒收。</w:t>
      </w:r>
    </w:p>
    <w:p w14:paraId="40DD8FA4">
      <w:pPr>
        <w:pStyle w:val="6"/>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20.4电子响应文件提交方</w:t>
      </w:r>
      <w:r>
        <w:rPr>
          <w:rFonts w:hint="eastAsia" w:ascii="宋体" w:hAnsi="宋体" w:eastAsia="宋体" w:cs="宋体"/>
          <w:bCs/>
          <w:color w:val="auto"/>
          <w:sz w:val="24"/>
          <w:szCs w:val="24"/>
          <w:highlight w:val="none"/>
        </w:rPr>
        <w:t>式见“竞争性磋商公告”</w:t>
      </w:r>
      <w:r>
        <w:rPr>
          <w:rFonts w:hint="eastAsia" w:ascii="宋体" w:hAnsi="宋体" w:eastAsia="宋体" w:cs="宋体"/>
          <w:color w:val="auto"/>
          <w:sz w:val="24"/>
          <w:szCs w:val="24"/>
          <w:highlight w:val="none"/>
        </w:rPr>
        <w:t>中“四、响应文件提交”。</w:t>
      </w:r>
    </w:p>
    <w:p w14:paraId="51C74175">
      <w:pPr>
        <w:spacing w:line="360" w:lineRule="auto"/>
        <w:ind w:firstLine="482" w:firstLineChars="200"/>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21.首次响应文件的补充、修改与撤回</w:t>
      </w:r>
    </w:p>
    <w:p w14:paraId="5173B207">
      <w:pPr>
        <w:spacing w:line="360" w:lineRule="auto"/>
        <w:ind w:firstLine="480" w:firstLineChars="200"/>
        <w:outlineLvl w:val="9"/>
        <w:rPr>
          <w:rFonts w:hint="eastAsia" w:ascii="宋体" w:hAnsi="宋体" w:eastAsia="宋体" w:cs="宋体"/>
          <w:bCs/>
          <w:color w:val="auto"/>
          <w:sz w:val="24"/>
          <w:highlight w:val="none"/>
          <w:lang w:bidi="ar"/>
        </w:rPr>
      </w:pPr>
      <w:r>
        <w:rPr>
          <w:rFonts w:hint="eastAsia" w:ascii="宋体" w:hAnsi="宋体" w:eastAsia="宋体" w:cs="宋体"/>
          <w:bCs/>
          <w:color w:val="auto"/>
          <w:sz w:val="24"/>
          <w:highlight w:val="none"/>
          <w:lang w:bidi="ar"/>
        </w:rPr>
        <w:t>21.1供应商应当在首次响应文件提交截止时间前完成电子响应文件的上传、提交，首次响应文件提交截止时间前可以补充、修改或者撤回响应文件。补充或者修改响应文件的，应当先行撤回原文件，补充、修改后重新上传、提交。首次响应文件提交截止时间前未完成上传、提交的，视为撤回响应文件。首次响应文件提交截止时间以后上传提交的响应文件，广西政府采购云平台将予以拒收。</w:t>
      </w:r>
    </w:p>
    <w:p w14:paraId="74A2EFA6">
      <w:pPr>
        <w:spacing w:line="360" w:lineRule="auto"/>
        <w:ind w:firstLine="482" w:firstLineChars="200"/>
        <w:rPr>
          <w:rFonts w:hint="eastAsia" w:ascii="宋体" w:hAnsi="宋体" w:eastAsia="宋体" w:cs="宋体"/>
          <w:b/>
          <w:bCs/>
          <w:color w:val="auto"/>
          <w:sz w:val="24"/>
          <w:highlight w:val="none"/>
        </w:rPr>
      </w:pPr>
      <w:bookmarkStart w:id="28" w:name="_Hlk45702405"/>
      <w:r>
        <w:rPr>
          <w:rFonts w:hint="eastAsia" w:ascii="宋体" w:hAnsi="宋体" w:eastAsia="宋体" w:cs="宋体"/>
          <w:b/>
          <w:bCs/>
          <w:color w:val="auto"/>
          <w:sz w:val="24"/>
          <w:highlight w:val="none"/>
        </w:rPr>
        <w:t>22.首次响应文件的退回</w:t>
      </w:r>
    </w:p>
    <w:p w14:paraId="1698F96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22.1在首次响应文件提交截止时间止提交响应文件的供应商不足3家时，采购代理机构将根据广西政府采购云平台的操作将电子版响应文件退回，除此之外采购人和采购代理机构对已提交的电子响应文件概不退回。</w:t>
      </w:r>
    </w:p>
    <w:p w14:paraId="0AFB5841">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23.截止时间后的撤回</w:t>
      </w:r>
    </w:p>
    <w:p w14:paraId="0BE34F0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23.1供应商在首次响应文件提交截止时间后书面通知采购人、采购代理机构书面撤回响应文件的，将根据本磋商文件《供应商须知正文》第17.4条的规定不予退还其磋商保证金。</w:t>
      </w:r>
    </w:p>
    <w:bookmarkEnd w:id="28"/>
    <w:p w14:paraId="446F4C9C">
      <w:pPr>
        <w:spacing w:line="360" w:lineRule="auto"/>
        <w:rPr>
          <w:rFonts w:hint="eastAsia" w:ascii="宋体" w:hAnsi="宋体" w:eastAsia="宋体" w:cs="宋体"/>
          <w:color w:val="auto"/>
          <w:sz w:val="24"/>
          <w:highlight w:val="none"/>
        </w:rPr>
      </w:pPr>
    </w:p>
    <w:p w14:paraId="27D681DF">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四、评审及磋商</w:t>
      </w:r>
    </w:p>
    <w:p w14:paraId="5CAA5F54">
      <w:pPr>
        <w:spacing w:line="360" w:lineRule="auto"/>
        <w:ind w:firstLine="482" w:firstLineChars="200"/>
        <w:rPr>
          <w:rFonts w:hint="eastAsia" w:ascii="宋体" w:hAnsi="宋体" w:eastAsia="宋体" w:cs="宋体"/>
          <w:b/>
          <w:bCs/>
          <w:color w:val="auto"/>
          <w:sz w:val="24"/>
          <w:highlight w:val="none"/>
        </w:rPr>
      </w:pPr>
    </w:p>
    <w:p w14:paraId="5ECB8CD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24.磋商小组成立</w:t>
      </w:r>
    </w:p>
    <w:p w14:paraId="44C9AF9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24.1磋商小组由采购人代表和评审专家共3人以上单数组成，具体人数见“供应商须知前附表”，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612148A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1AC96103">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25.首次响应文件的开启</w:t>
      </w:r>
    </w:p>
    <w:p w14:paraId="4F71D56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25.1首次响应文件由磋商小组或者采购代理机构在“供应商须知前附表”规定的时间开启。</w:t>
      </w:r>
    </w:p>
    <w:p w14:paraId="1862524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25.2 响应文件解密：采购代理机构将在“供应商须知前附表”规定的时间通过电子交易平台组织响应文件开启，采购代理机构将依托电子交易平台发起开始解密指令，</w:t>
      </w:r>
      <w:r>
        <w:rPr>
          <w:rFonts w:hint="eastAsia" w:ascii="宋体" w:hAnsi="宋体" w:eastAsia="宋体" w:cs="宋体"/>
          <w:b/>
          <w:color w:val="auto"/>
          <w:sz w:val="24"/>
          <w:highlight w:val="none"/>
        </w:rPr>
        <w:t>供应商的法定代表人或其委托代理人须携带加密时所用的CA锁按平台提示和采购文件的规定登录到广西政府采购云平台电子开标大厅签到并在发起解密指令之时起30分钟内完成对电子响应文件在线解密。</w:t>
      </w:r>
      <w:r>
        <w:rPr>
          <w:rFonts w:hint="eastAsia" w:ascii="宋体" w:hAnsi="宋体" w:eastAsia="宋体" w:cs="宋体"/>
          <w:b/>
          <w:bCs/>
          <w:color w:val="auto"/>
          <w:sz w:val="24"/>
          <w:highlight w:val="none"/>
        </w:rPr>
        <w:t>响应文件未按时解密的，</w:t>
      </w:r>
      <w:r>
        <w:rPr>
          <w:rFonts w:hint="eastAsia" w:ascii="宋体" w:hAnsi="宋体" w:eastAsia="宋体" w:cs="宋体"/>
          <w:b/>
          <w:color w:val="auto"/>
          <w:sz w:val="24"/>
          <w:highlight w:val="none"/>
        </w:rPr>
        <w:t>视为响应</w:t>
      </w:r>
      <w:r>
        <w:rPr>
          <w:rFonts w:hint="eastAsia" w:ascii="宋体" w:hAnsi="宋体" w:eastAsia="宋体" w:cs="宋体"/>
          <w:b/>
          <w:bCs/>
          <w:color w:val="auto"/>
          <w:sz w:val="24"/>
          <w:highlight w:val="none"/>
        </w:rPr>
        <w:t>文件无效。</w:t>
      </w:r>
      <w:r>
        <w:rPr>
          <w:rFonts w:hint="eastAsia" w:ascii="宋体" w:hAnsi="宋体" w:eastAsia="宋体" w:cs="宋体"/>
          <w:color w:val="auto"/>
          <w:sz w:val="24"/>
          <w:highlight w:val="none"/>
        </w:rPr>
        <w:t>（解密异常情况处理：详见本章26.3电子交易活动的中止。）</w:t>
      </w:r>
    </w:p>
    <w:p w14:paraId="2AF29E0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25.3成功解密响应文件的供应商不足3家的，不得磋商。</w:t>
      </w:r>
    </w:p>
    <w:p w14:paraId="54E57739">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26.评审程序、评审方法和评审标准</w:t>
      </w:r>
    </w:p>
    <w:p w14:paraId="18D5877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26.1磋商小组按照“第四章 评审程序、评审方法和评审标准”规定的方法、评审因素、标准和程序对响应文件进行评审。</w:t>
      </w:r>
    </w:p>
    <w:p w14:paraId="3F24B9BC">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sz w:val="24"/>
          <w:highlight w:val="none"/>
        </w:rPr>
        <w:t>26.2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14:paraId="3BCBB6F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26.3电子交易活动的中止。采购过程中出现以下情形，导致电子交易平台无法正常运行，或者无法保证电子交易的公平、公正和安全时，采购机构可中止电子交易活动：</w:t>
      </w:r>
    </w:p>
    <w:p w14:paraId="6DA6A8F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（1）电子交易平台发生故障而无法登录访问的； </w:t>
      </w:r>
    </w:p>
    <w:p w14:paraId="6FB6537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（2）电子交易平台应用或数据库出现错误，不能进行正常操作的；</w:t>
      </w:r>
    </w:p>
    <w:p w14:paraId="03D3B30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（3）电子交易平台发现严重安全漏洞，有潜在泄密危险的；</w:t>
      </w:r>
    </w:p>
    <w:p w14:paraId="198ADFB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（4）病毒发作导致不能进行正常操作的； </w:t>
      </w:r>
    </w:p>
    <w:p w14:paraId="2F7E035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（5）其他无法保证电子交易的公平、公正和安全的情况。</w:t>
      </w:r>
    </w:p>
    <w:p w14:paraId="449A8AF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26.4出现以上情形，不影响采购公平、公正性的，采购代理机构可以待上述情形消除后继续组织电子交易活动；影响或可能影响采购公平、公正性的，经采购代理机构确认后，应当重新采购。</w:t>
      </w:r>
    </w:p>
    <w:p w14:paraId="25200BD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27.确定成交供应商及结果公告</w:t>
      </w:r>
    </w:p>
    <w:p w14:paraId="408CDB0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27.1</w:t>
      </w:r>
      <w:r>
        <w:rPr>
          <w:rFonts w:hint="eastAsia" w:ascii="宋体" w:hAnsi="宋体" w:eastAsia="宋体" w:cs="宋体"/>
          <w:color w:val="auto"/>
          <w:kern w:val="0"/>
          <w:sz w:val="24"/>
          <w:highlight w:val="none"/>
        </w:rPr>
        <w:t xml:space="preserve"> </w:t>
      </w:r>
      <w:r>
        <w:rPr>
          <w:rFonts w:hint="eastAsia" w:ascii="宋体" w:hAnsi="宋体" w:eastAsia="宋体" w:cs="宋体"/>
          <w:color w:val="auto"/>
          <w:sz w:val="24"/>
          <w:highlight w:val="none"/>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41F5E9A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27.2采购代理机构应当在</w:t>
      </w:r>
      <w:r>
        <w:rPr>
          <w:rFonts w:hint="eastAsia" w:ascii="宋体" w:hAnsi="宋体" w:eastAsia="宋体" w:cs="宋体"/>
          <w:color w:val="auto"/>
          <w:kern w:val="0"/>
          <w:sz w:val="24"/>
          <w:highlight w:val="none"/>
        </w:rPr>
        <w:t>成交</w:t>
      </w:r>
      <w:r>
        <w:rPr>
          <w:rFonts w:hint="eastAsia" w:ascii="宋体" w:hAnsi="宋体" w:eastAsia="宋体" w:cs="宋体"/>
          <w:color w:val="auto"/>
          <w:sz w:val="24"/>
          <w:highlight w:val="none"/>
        </w:rPr>
        <w:t>供应商确定后2个工作日内，在省级以上财政部门指定的媒体上公告成交结果，同时向成交供应商发出成交通知书。</w:t>
      </w:r>
      <w:r>
        <w:rPr>
          <w:rFonts w:hint="eastAsia" w:ascii="宋体" w:hAnsi="宋体" w:eastAsia="宋体" w:cs="宋体"/>
          <w:b/>
          <w:color w:val="auto"/>
          <w:sz w:val="24"/>
          <w:highlight w:val="none"/>
        </w:rPr>
        <w:t>采购人或者采购代理机构发出成交通知书前，应当对成交供应商信用进行查询，对列入失信被执行人、重大税收违法失信主体、政府采购严重违法失信行为记录名单及其他不符合《中华人民共和国政府采购法》第二十二条规定条件的供应商，取消其成交资格，并确定排名第二的成交候选人为成交供应商。</w:t>
      </w:r>
      <w:r>
        <w:rPr>
          <w:rFonts w:hint="eastAsia" w:ascii="宋体" w:hAnsi="宋体" w:eastAsia="宋体" w:cs="宋体"/>
          <w:color w:val="auto"/>
          <w:sz w:val="24"/>
          <w:highlight w:val="none"/>
        </w:rPr>
        <w:t>排名第二的成交候选人因上述规定的同样原因被取消成交资格的，采购人可以确定排名第三的成交候选人为成交供应商，以此类推。以上信息查询记录及相关证据与磋商文件一并保存。</w:t>
      </w:r>
      <w:bookmarkStart w:id="29" w:name="_Hlk66782294"/>
      <w:r>
        <w:rPr>
          <w:rFonts w:hint="eastAsia" w:ascii="宋体" w:hAnsi="宋体" w:eastAsia="宋体" w:cs="宋体"/>
          <w:color w:val="auto"/>
          <w:sz w:val="24"/>
          <w:highlight w:val="none"/>
        </w:rPr>
        <w:t>成交供应商享受《政府采购促进中小企业发展管理办法》（财库〔2020〕46号）及《关于进一步加大政府采购支持中小企业力度的通知》（财库〔2022〕19号）规定的中小企业扶持政策的，采购人、采购代理机构应当随成交结果公开成交供应商的《中小企业声明函》。</w:t>
      </w:r>
      <w:bookmarkEnd w:id="29"/>
    </w:p>
    <w:p w14:paraId="7D8FD3A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27.3成交供应商拒绝签订政府采购合同（包括但不限于放弃成交、因不可抗力不能履行合同而放弃签订合同），采购人可以按照评审报告推荐的成交候选人名单排序，确定下一候选人为成交供应商，也可以重新开展政府采购活动。拒绝签订政府采购合同的成交供应商不得参加对该项目重新开展的采购活动。</w:t>
      </w:r>
    </w:p>
    <w:p w14:paraId="2E8ACA5C">
      <w:pPr>
        <w:pStyle w:val="11"/>
        <w:spacing w:line="360" w:lineRule="auto"/>
        <w:ind w:firstLine="482" w:firstLineChars="200"/>
        <w:rPr>
          <w:rFonts w:hint="eastAsia" w:ascii="宋体" w:hAnsi="宋体" w:eastAsia="宋体" w:cs="宋体"/>
          <w:b/>
          <w:color w:val="auto"/>
          <w:highlight w:val="none"/>
        </w:rPr>
      </w:pPr>
      <w:r>
        <w:rPr>
          <w:rFonts w:hint="eastAsia" w:ascii="宋体" w:hAnsi="宋体" w:eastAsia="宋体" w:cs="宋体"/>
          <w:b/>
          <w:color w:val="auto"/>
          <w:sz w:val="24"/>
          <w:highlight w:val="none"/>
        </w:rPr>
        <w:t>成交供应商拒绝与采购人签订合同的，其投标保证金不予退还，并上缴国库。给采购人造成损失，或（并）因此延误采购人教学科研计划的，须依据《中华人民共和国民法典》第五百条、《政府采购非招标采购方式管理办法（财政部令第74号）》第二十二条、第五十四条规定承担赔偿损失等法律责任，采购人有权将成交供应商的失信行为报财政部门记入诚信档案，以示惩戒。</w:t>
      </w:r>
    </w:p>
    <w:p w14:paraId="0E375F9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27.4出现下列情形之一的，采购人或者采购代理机构应当终止竞争性磋商采购活动，发布项目终止公告并说明原因，重新开展采购活动：</w:t>
      </w:r>
    </w:p>
    <w:p w14:paraId="3F55474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（1）因情况变化，不再符合规定的竞争性磋商采购方式适用情形的；</w:t>
      </w:r>
    </w:p>
    <w:p w14:paraId="19A9874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（2）出现影响采购公正的违法、违规行为的；</w:t>
      </w:r>
    </w:p>
    <w:p w14:paraId="57E51DF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（3）除“第四章 评审程序、评审方法和评审标准”第4.3条规定的情形外，在采购过程中符合要求的供应商或者报价未超过采购预算的供应商不足3家的。</w:t>
      </w:r>
    </w:p>
    <w:p w14:paraId="177A8CC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27.5 在采购活动中因重大变故，采购任务取消的，采购人或者采购代理机构应当终止采购活动，通知所有参加采购活动的供应商，并将项目实施情况和采购任务取消原因报送本级财政部门。</w:t>
      </w:r>
    </w:p>
    <w:p w14:paraId="50665551">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28.履约保证金</w:t>
      </w:r>
    </w:p>
    <w:p w14:paraId="5FD9E2E8">
      <w:pPr>
        <w:spacing w:line="360" w:lineRule="auto"/>
        <w:ind w:firstLine="484" w:firstLineChars="202"/>
        <w:rPr>
          <w:rFonts w:hint="eastAsia" w:ascii="宋体" w:hAnsi="宋体" w:eastAsia="宋体" w:cs="宋体"/>
          <w:color w:val="auto"/>
          <w:sz w:val="24"/>
          <w:highlight w:val="none"/>
        </w:rPr>
      </w:pPr>
      <w:r>
        <w:rPr>
          <w:rFonts w:hint="eastAsia" w:ascii="宋体" w:hAnsi="宋体" w:eastAsia="宋体" w:cs="宋体"/>
          <w:color w:val="auto"/>
          <w:sz w:val="24"/>
          <w:highlight w:val="none"/>
        </w:rPr>
        <w:t>28.1 履约保证金的金额、提交方式、退付的时间和条件详见 “供应商须知前附表”。</w:t>
      </w:r>
    </w:p>
    <w:p w14:paraId="0159AF01">
      <w:pPr>
        <w:spacing w:line="360" w:lineRule="auto"/>
        <w:ind w:firstLine="484" w:firstLineChars="202"/>
        <w:rPr>
          <w:rFonts w:hint="eastAsia" w:ascii="宋体" w:hAnsi="宋体" w:eastAsia="宋体" w:cs="宋体"/>
          <w:color w:val="auto"/>
          <w:sz w:val="24"/>
          <w:highlight w:val="none"/>
        </w:rPr>
      </w:pPr>
      <w:r>
        <w:rPr>
          <w:rFonts w:hint="eastAsia" w:ascii="宋体" w:hAnsi="宋体" w:eastAsia="宋体" w:cs="宋体"/>
          <w:color w:val="auto"/>
          <w:sz w:val="24"/>
          <w:highlight w:val="none"/>
        </w:rPr>
        <w:t>28.2在履约保证金退还日期前，若成交供应商的开户名称、开户银行、帐号有变动的，请以书面形式通知履约保证金收取单位，否则由此产生的后果由成交供应商自行承担。</w:t>
      </w:r>
    </w:p>
    <w:p w14:paraId="0D3863C9">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29.签订合同</w:t>
      </w:r>
    </w:p>
    <w:p w14:paraId="1A29965F">
      <w:pPr>
        <w:spacing w:line="360" w:lineRule="auto"/>
        <w:ind w:firstLine="484" w:firstLineChars="202"/>
        <w:rPr>
          <w:rFonts w:hint="eastAsia" w:ascii="宋体" w:hAnsi="宋体" w:eastAsia="宋体" w:cs="宋体"/>
          <w:color w:val="auto"/>
          <w:sz w:val="24"/>
          <w:highlight w:val="none"/>
        </w:rPr>
      </w:pPr>
      <w:r>
        <w:rPr>
          <w:rFonts w:hint="eastAsia" w:ascii="宋体" w:hAnsi="宋体" w:eastAsia="宋体" w:cs="宋体"/>
          <w:color w:val="auto"/>
          <w:sz w:val="24"/>
          <w:highlight w:val="none"/>
        </w:rPr>
        <w:t>29.1成交供应商在收到成交通知书（书面或电子）后，应当在签订合同时向采购人出示相关证明材料，具体内容详见 “供应商须知前附表”，经采购人核验合格后方可签订合同（书面或电子）。如成交供应商为联合体的，联合体各方应当共同与采购人签订采购合同，就采购合同约定的事项对采购人承担连带责任。</w:t>
      </w:r>
    </w:p>
    <w:p w14:paraId="303A9646">
      <w:pPr>
        <w:spacing w:line="360" w:lineRule="auto"/>
        <w:ind w:firstLine="484" w:firstLineChars="202"/>
        <w:rPr>
          <w:rFonts w:hint="eastAsia" w:ascii="宋体" w:hAnsi="宋体" w:eastAsia="宋体" w:cs="宋体"/>
          <w:color w:val="auto"/>
          <w:sz w:val="24"/>
          <w:highlight w:val="none"/>
        </w:rPr>
      </w:pPr>
      <w:r>
        <w:rPr>
          <w:rFonts w:hint="eastAsia" w:ascii="宋体" w:hAnsi="宋体" w:eastAsia="宋体" w:cs="宋体"/>
          <w:color w:val="auto"/>
          <w:sz w:val="24"/>
          <w:highlight w:val="none"/>
        </w:rPr>
        <w:t>29.2签订合同时间：按成交通知书规定的时间与采购人签订政府采购合同（最长不能超过25日）。</w:t>
      </w:r>
    </w:p>
    <w:p w14:paraId="2BBBF592">
      <w:pPr>
        <w:spacing w:line="360" w:lineRule="auto"/>
        <w:ind w:firstLine="487" w:firstLineChars="20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29.3成交供应商拒绝与采购人签订合同的，按照本磋商文件之《供应商须知正文》第27.3条的规定执行。</w:t>
      </w:r>
    </w:p>
    <w:p w14:paraId="74CC32B9">
      <w:pPr>
        <w:spacing w:line="360" w:lineRule="auto"/>
        <w:ind w:firstLine="484" w:firstLineChars="202"/>
        <w:rPr>
          <w:rFonts w:hint="eastAsia" w:ascii="宋体" w:hAnsi="宋体" w:eastAsia="宋体" w:cs="宋体"/>
          <w:color w:val="auto"/>
          <w:sz w:val="24"/>
          <w:highlight w:val="none"/>
        </w:rPr>
      </w:pPr>
      <w:r>
        <w:rPr>
          <w:rFonts w:hint="eastAsia" w:ascii="宋体" w:hAnsi="宋体" w:eastAsia="宋体" w:cs="宋体"/>
          <w:color w:val="auto"/>
          <w:sz w:val="24"/>
          <w:highlight w:val="none"/>
        </w:rPr>
        <w:t>29.4政府采购合同是政府采购项目验收的依据，成交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3276CF74">
      <w:pPr>
        <w:spacing w:line="360" w:lineRule="auto"/>
        <w:ind w:firstLine="484" w:firstLineChars="202"/>
        <w:rPr>
          <w:rFonts w:hint="eastAsia" w:ascii="宋体" w:hAnsi="宋体" w:eastAsia="宋体" w:cs="宋体"/>
          <w:color w:val="auto"/>
          <w:sz w:val="24"/>
          <w:highlight w:val="none"/>
        </w:rPr>
      </w:pPr>
      <w:r>
        <w:rPr>
          <w:rFonts w:hint="eastAsia" w:ascii="宋体" w:hAnsi="宋体" w:eastAsia="宋体" w:cs="宋体"/>
          <w:color w:val="auto"/>
          <w:sz w:val="24"/>
          <w:highlight w:val="none"/>
        </w:rPr>
        <w:t>29.5采购人或成交供应商不得单方面向合同另一方提出任何磋商文件没有约定的条件或不合理的要求，作为签订合同的条件；也不得协商另行订立背离磋商文件和合同实质性内容的协议。</w:t>
      </w:r>
    </w:p>
    <w:p w14:paraId="5E888950">
      <w:pPr>
        <w:spacing w:line="360" w:lineRule="auto"/>
        <w:ind w:firstLine="484" w:firstLineChars="202"/>
        <w:rPr>
          <w:rFonts w:hint="eastAsia" w:ascii="宋体" w:hAnsi="宋体" w:eastAsia="宋体" w:cs="宋体"/>
          <w:color w:val="auto"/>
          <w:sz w:val="24"/>
          <w:highlight w:val="none"/>
        </w:rPr>
      </w:pPr>
      <w:r>
        <w:rPr>
          <w:rFonts w:hint="eastAsia" w:ascii="宋体" w:hAnsi="宋体" w:eastAsia="宋体" w:cs="宋体"/>
          <w:color w:val="auto"/>
          <w:sz w:val="24"/>
          <w:highlight w:val="none"/>
        </w:rPr>
        <w:t>29.6如签订合同并生效后，供应商无故拒绝或延期，除按照合同条款处理外，将承担相应的法律责任。</w:t>
      </w:r>
    </w:p>
    <w:p w14:paraId="3FD0E617">
      <w:pPr>
        <w:spacing w:line="360" w:lineRule="auto"/>
        <w:ind w:firstLine="484" w:firstLineChars="202"/>
        <w:rPr>
          <w:rFonts w:hint="eastAsia" w:ascii="宋体" w:hAnsi="宋体" w:eastAsia="宋体" w:cs="宋体"/>
          <w:color w:val="auto"/>
          <w:sz w:val="24"/>
          <w:highlight w:val="none"/>
        </w:rPr>
      </w:pPr>
      <w:r>
        <w:rPr>
          <w:rFonts w:hint="eastAsia" w:ascii="宋体" w:hAnsi="宋体" w:eastAsia="宋体" w:cs="宋体"/>
          <w:color w:val="auto"/>
          <w:sz w:val="24"/>
          <w:highlight w:val="none"/>
        </w:rPr>
        <w:t>29.7政府采购合同履行中，采购人需追加与合同标的相同的货物、工程或者服务的，在不改变合同其他条款的前提下，可以与供应商协商签订补充合同，但所有补充合同的采购金额不得超过原合同采购金额的10%。</w:t>
      </w:r>
    </w:p>
    <w:p w14:paraId="7B82BD73">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30.政府采购合同公告</w:t>
      </w:r>
    </w:p>
    <w:p w14:paraId="60154EF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7F31BA64">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31.询问、质疑和投诉</w:t>
      </w:r>
    </w:p>
    <w:p w14:paraId="3F0A9F8F">
      <w:pPr>
        <w:pStyle w:val="6"/>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31.1供应商对政府采购活动事项有疑问的，可以向采购人、采购代理机构提出询问，采购人或者采购代理机构应当在3个工作日内对供应商依法提出的询问做出答复，但答复的内容不得涉及商业秘密。</w:t>
      </w:r>
    </w:p>
    <w:p w14:paraId="4AA1373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31.2供应商认为磋商文件、采购过程或者成交结果使自己的合法权益受到损害的，应当在知道或者应知其权益受到损害之日起7个工作日内，以纸质书面形式向采购人、采购代理机构提出质疑，接收质疑函的方式、联系部门、联系电话和通讯地址等信息详见“供应商须知前附表”。具体质疑起算时间如下：</w:t>
      </w:r>
    </w:p>
    <w:p w14:paraId="7AA9164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（1）对可以质疑的磋商文件提出质疑的，为收到磋商文件之日或者竞争性磋商公告期限届满之日；</w:t>
      </w:r>
    </w:p>
    <w:p w14:paraId="0CD6C2B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（2）对采购过程提出质疑的，为各采购程序环节结束之日；</w:t>
      </w:r>
    </w:p>
    <w:p w14:paraId="19FA155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（3）对成交结果提出质疑的，为成交结果公告期限届满之日。</w:t>
      </w:r>
    </w:p>
    <w:p w14:paraId="7406964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55E2E66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31.4供应商提出质疑应当提交质疑函和必要的证明材料，针对同一采购程序环节的质疑必须在法定质疑期内一次性提出。质疑函应当包括下列内容</w:t>
      </w:r>
      <w:r>
        <w:rPr>
          <w:rFonts w:hint="eastAsia" w:ascii="宋体" w:hAnsi="宋体" w:eastAsia="宋体" w:cs="宋体"/>
          <w:bCs/>
          <w:color w:val="auto"/>
          <w:sz w:val="24"/>
          <w:highlight w:val="none"/>
        </w:rPr>
        <w:t>（质疑函格式后附）</w:t>
      </w:r>
      <w:r>
        <w:rPr>
          <w:rFonts w:hint="eastAsia" w:ascii="宋体" w:hAnsi="宋体" w:eastAsia="宋体" w:cs="宋体"/>
          <w:color w:val="auto"/>
          <w:sz w:val="24"/>
          <w:highlight w:val="none"/>
        </w:rPr>
        <w:t>：</w:t>
      </w:r>
    </w:p>
    <w:p w14:paraId="0819183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（1）供应商的姓名或者名称、地址、邮编、联系人及联系电话；</w:t>
      </w:r>
    </w:p>
    <w:p w14:paraId="3679B3D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（2）质疑项目的名称、编号；</w:t>
      </w:r>
    </w:p>
    <w:p w14:paraId="5C267D1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（3）具体、明确的质疑事项和与质疑事项相关的请求；</w:t>
      </w:r>
    </w:p>
    <w:p w14:paraId="6973DDC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（4）事实依据；</w:t>
      </w:r>
    </w:p>
    <w:p w14:paraId="49C592C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（5）必要的法律依据；</w:t>
      </w:r>
    </w:p>
    <w:p w14:paraId="4CAB2EA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（6）提出质疑的日期。</w:t>
      </w:r>
    </w:p>
    <w:p w14:paraId="668983C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供应商为自然人的，应当由本人签字；供应商为法人或者其他组织的，应当由法定代表人、主要负责人，或者其委托代理人签字或者盖章，并加盖公章。</w:t>
      </w:r>
    </w:p>
    <w:p w14:paraId="5AA9F5D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31.5采购人、采购代理机构认为供应商质疑不成立，或者成立但未对成交结果构成影响的，继续开展采购活动；认为供应商质疑成立且影响或者可能影响成交结果的，按照下列情况处理：</w:t>
      </w:r>
    </w:p>
    <w:p w14:paraId="13EAE56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（1）对采购文件提出的质疑，依法通过澄清或者修改可以继续开展采购活动的，澄清或者修改采购文件后继续开展采购活动；否则应当修改采购文件后重新开展采购活动。</w:t>
      </w:r>
    </w:p>
    <w:p w14:paraId="243C4A8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（2）对采购过程或者成交结果提出的质疑，合格供应商符合法定数量时，可以从合格的成交候选人中另行确定成交供应商的，应当依法另行确定成交供应商；否则应当重新开展采购活动。</w:t>
      </w:r>
    </w:p>
    <w:p w14:paraId="3E48BB8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质疑答复导致成交结果改变的，采购人或者采购代理机构应当将有关情况书面报告本级财政部门。</w:t>
      </w:r>
    </w:p>
    <w:p w14:paraId="5BD1D84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31.6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7D57802F">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32.其他内容</w:t>
      </w:r>
    </w:p>
    <w:p w14:paraId="61C4DF1C">
      <w:pPr>
        <w:tabs>
          <w:tab w:val="left" w:pos="2835"/>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32.1代理服务费：代理服务收取标准及缴费账户详见“供应商须知前附表”。</w:t>
      </w:r>
    </w:p>
    <w:p w14:paraId="2585AB55">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33.需要补充的其他内容</w:t>
      </w:r>
    </w:p>
    <w:p w14:paraId="516EC1EA">
      <w:pPr>
        <w:pStyle w:val="16"/>
        <w:spacing w:line="360" w:lineRule="auto"/>
        <w:ind w:firstLine="480" w:firstLineChars="200"/>
        <w:textAlignment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33.1本磋商文件解释规则详见“供应商须知前附表”。</w:t>
      </w:r>
    </w:p>
    <w:p w14:paraId="0542B5F4">
      <w:pPr>
        <w:pStyle w:val="16"/>
        <w:spacing w:line="360" w:lineRule="auto"/>
        <w:ind w:firstLine="480" w:firstLineChars="200"/>
        <w:textAlignment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33.2 其他事项详见“供应商须知前附表”。</w:t>
      </w:r>
    </w:p>
    <w:p w14:paraId="7BCF4FAE">
      <w:pPr>
        <w:pStyle w:val="16"/>
        <w:spacing w:line="360" w:lineRule="auto"/>
        <w:ind w:firstLine="480" w:firstLineChars="200"/>
        <w:textAlignment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33.3本磋商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磋商文件规定的中小企业扶持政策：</w:t>
      </w:r>
    </w:p>
    <w:p w14:paraId="3C61DB40">
      <w:pPr>
        <w:pStyle w:val="16"/>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（1）在货物采购项目中，货物由中小企业制造，即货物由中小企业生产且使用该中小企业商号或者注册商标，不对其中涉及的工程承建商和服务的承接商作出要求；</w:t>
      </w:r>
    </w:p>
    <w:p w14:paraId="3F37EC71">
      <w:pPr>
        <w:pStyle w:val="16"/>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（2）在工程采购项目中，工程由中小企业承建，即工程施工单位为中小企业，不对其中涉及的货物的制造商和服务的承接商作出要求；</w:t>
      </w:r>
    </w:p>
    <w:p w14:paraId="453B7131">
      <w:pPr>
        <w:pStyle w:val="16"/>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6EFE65FE">
      <w:pPr>
        <w:pStyle w:val="16"/>
        <w:spacing w:line="360" w:lineRule="auto"/>
        <w:ind w:firstLine="480" w:firstLineChars="200"/>
        <w:textAlignment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在货物采购项目中，供应商提供的货物既有中小企业制造货物，也有大型企业制造货物的，不享受本磋商文件规定的中小企业扶持政策。以联合体形式参加政府采购活动，联合体各方均为中小企业的，联合体视同中小企业。其中，联合体各方均为小微企业的，联合体视同小微企业。</w:t>
      </w:r>
    </w:p>
    <w:p w14:paraId="08E1C860">
      <w:pPr>
        <w:pStyle w:val="16"/>
        <w:spacing w:line="360" w:lineRule="auto"/>
        <w:ind w:firstLine="480" w:firstLineChars="200"/>
        <w:textAlignment w:val="center"/>
        <w:rPr>
          <w:rFonts w:hint="eastAsia" w:ascii="宋体" w:hAnsi="宋体" w:eastAsia="宋体" w:cs="宋体"/>
          <w:b/>
          <w:color w:val="auto"/>
          <w:sz w:val="32"/>
          <w:szCs w:val="32"/>
          <w:highlight w:val="none"/>
        </w:rPr>
      </w:pPr>
      <w:r>
        <w:rPr>
          <w:rFonts w:hint="eastAsia" w:ascii="宋体" w:hAnsi="宋体" w:eastAsia="宋体" w:cs="宋体"/>
          <w:color w:val="auto"/>
          <w:kern w:val="2"/>
          <w:sz w:val="24"/>
          <w:szCs w:val="24"/>
          <w:highlight w:val="none"/>
        </w:rPr>
        <w:t>依据本磋商文件规定享受扶持政策获得政府采购合同的，小微企业不得将合同分包给大中型企业，中型企业不得将合同分包给大型企业。</w:t>
      </w:r>
    </w:p>
    <w:p w14:paraId="256E5D7F">
      <w:pPr>
        <w:snapToGrid w:val="0"/>
        <w:spacing w:before="120" w:after="120" w:line="360" w:lineRule="auto"/>
        <w:jc w:val="center"/>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br w:type="page"/>
      </w:r>
    </w:p>
    <w:p w14:paraId="10FD930B">
      <w:pPr>
        <w:pStyle w:val="16"/>
        <w:snapToGrid w:val="0"/>
        <w:spacing w:before="120" w:after="120" w:line="360" w:lineRule="auto"/>
        <w:jc w:val="center"/>
        <w:outlineLvl w:val="0"/>
        <w:rPr>
          <w:rFonts w:hint="eastAsia" w:ascii="宋体" w:hAnsi="宋体" w:eastAsia="宋体" w:cs="宋体"/>
          <w:b/>
          <w:bCs/>
          <w:color w:val="auto"/>
          <w:sz w:val="44"/>
          <w:szCs w:val="44"/>
          <w:highlight w:val="none"/>
        </w:rPr>
      </w:pPr>
      <w:bookmarkStart w:id="30" w:name="_Toc29422"/>
      <w:r>
        <w:rPr>
          <w:rFonts w:hint="eastAsia" w:ascii="宋体" w:hAnsi="宋体" w:eastAsia="宋体" w:cs="宋体"/>
          <w:b/>
          <w:bCs/>
          <w:color w:val="auto"/>
          <w:sz w:val="44"/>
          <w:szCs w:val="44"/>
          <w:highlight w:val="none"/>
        </w:rPr>
        <w:t>第三章 采购需求</w:t>
      </w:r>
      <w:bookmarkEnd w:id="30"/>
    </w:p>
    <w:p w14:paraId="56F4B721">
      <w:pPr>
        <w:spacing w:line="440" w:lineRule="exact"/>
        <w:jc w:val="center"/>
        <w:rPr>
          <w:rFonts w:hint="eastAsia" w:ascii="宋体" w:hAnsi="宋体" w:eastAsia="宋体" w:cs="宋体"/>
          <w:b/>
          <w:color w:val="auto"/>
          <w:sz w:val="32"/>
          <w:szCs w:val="32"/>
          <w:highlight w:val="none"/>
        </w:rPr>
      </w:pPr>
    </w:p>
    <w:p w14:paraId="4E9BE2D8">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说明：</w:t>
      </w:r>
    </w:p>
    <w:p w14:paraId="0CEAA1C6">
      <w:pPr>
        <w:spacing w:line="360" w:lineRule="auto"/>
        <w:ind w:firstLine="480" w:firstLineChars="200"/>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1.为落实政府采购政策需满足的要求</w:t>
      </w:r>
      <w:r>
        <w:rPr>
          <w:rFonts w:hint="eastAsia" w:ascii="宋体" w:hAnsi="宋体" w:eastAsia="宋体" w:cs="宋体"/>
          <w:color w:val="auto"/>
          <w:sz w:val="24"/>
          <w:highlight w:val="none"/>
          <w:lang w:eastAsia="zh-CN"/>
        </w:rPr>
        <w:t>：</w:t>
      </w:r>
    </w:p>
    <w:p w14:paraId="5867A00B">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本竞争性磋商采购文件所称中小企业必须符合《政府采购促进中小企业发展管理办法》（财库〔2020〕46号）的规定。</w:t>
      </w:r>
    </w:p>
    <w:p w14:paraId="02BDB05E">
      <w:pPr>
        <w:spacing w:line="360" w:lineRule="auto"/>
        <w:ind w:firstLine="484" w:firstLineChars="202"/>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.供应商必须自行为其参加竞争性磋商的产品侵犯他人的知识产权或者专利成果的行为承担相应法律责任。</w:t>
      </w:r>
    </w:p>
    <w:p w14:paraId="4BC9B70A">
      <w:pPr>
        <w:spacing w:line="360" w:lineRule="auto"/>
        <w:ind w:firstLine="484" w:firstLineChars="202"/>
        <w:jc w:val="left"/>
        <w:rPr>
          <w:rFonts w:hint="eastAsia" w:ascii="宋体" w:hAnsi="宋体" w:eastAsia="宋体" w:cs="宋体"/>
          <w:b/>
          <w:bCs/>
          <w:color w:val="auto"/>
          <w:sz w:val="24"/>
          <w:highlight w:val="none"/>
        </w:rPr>
      </w:pPr>
      <w:r>
        <w:rPr>
          <w:rFonts w:hint="eastAsia" w:ascii="宋体" w:hAnsi="宋体" w:eastAsia="宋体" w:cs="宋体"/>
          <w:bCs/>
          <w:color w:val="auto"/>
          <w:sz w:val="24"/>
          <w:highlight w:val="none"/>
          <w:lang w:val="en-US" w:eastAsia="zh-CN"/>
        </w:rPr>
        <w:t>3.</w:t>
      </w:r>
      <w:r>
        <w:rPr>
          <w:rFonts w:hint="eastAsia" w:ascii="宋体" w:hAnsi="宋体" w:eastAsia="宋体" w:cs="宋体"/>
          <w:bCs/>
          <w:color w:val="auto"/>
          <w:sz w:val="24"/>
          <w:highlight w:val="none"/>
        </w:rPr>
        <w:t>“实质性要求”是指采购文件中已经指明不满足则</w:t>
      </w:r>
      <w:r>
        <w:rPr>
          <w:rFonts w:hint="eastAsia" w:ascii="宋体" w:hAnsi="宋体" w:eastAsia="宋体" w:cs="宋体"/>
          <w:color w:val="auto"/>
          <w:sz w:val="24"/>
          <w:highlight w:val="none"/>
        </w:rPr>
        <w:t>竞争性磋商</w:t>
      </w:r>
      <w:r>
        <w:rPr>
          <w:rFonts w:hint="eastAsia" w:ascii="宋体" w:hAnsi="宋体" w:eastAsia="宋体" w:cs="宋体"/>
          <w:bCs/>
          <w:color w:val="auto"/>
          <w:sz w:val="24"/>
          <w:highlight w:val="none"/>
        </w:rPr>
        <w:t>无效的条款，或者不能负偏离的条款，或者采购需求中带“▲”的条款</w:t>
      </w:r>
      <w:r>
        <w:rPr>
          <w:rFonts w:hint="eastAsia" w:ascii="宋体" w:hAnsi="宋体" w:eastAsia="宋体" w:cs="宋体"/>
          <w:b/>
          <w:color w:val="auto"/>
          <w:sz w:val="24"/>
          <w:highlight w:val="none"/>
        </w:rPr>
        <w:t>。未标注“▲”号的非实质性条款要求每个分标可允许</w:t>
      </w:r>
      <w:r>
        <w:rPr>
          <w:rFonts w:hint="eastAsia" w:ascii="宋体" w:hAnsi="宋体" w:eastAsia="宋体" w:cs="宋体"/>
          <w:b/>
          <w:color w:val="auto"/>
          <w:sz w:val="24"/>
          <w:highlight w:val="none"/>
          <w:lang w:val="en-US" w:eastAsia="zh-CN"/>
        </w:rPr>
        <w:t>3</w:t>
      </w:r>
      <w:r>
        <w:rPr>
          <w:rFonts w:hint="eastAsia" w:ascii="宋体" w:hAnsi="宋体" w:eastAsia="宋体" w:cs="宋体"/>
          <w:b/>
          <w:color w:val="auto"/>
          <w:sz w:val="24"/>
          <w:highlight w:val="none"/>
        </w:rPr>
        <w:t>项负偏离。</w:t>
      </w:r>
    </w:p>
    <w:p w14:paraId="6475F414">
      <w:pPr>
        <w:spacing w:line="360" w:lineRule="auto"/>
        <w:ind w:left="-10" w:leftChars="-5" w:right="2" w:rightChars="1" w:firstLine="480" w:firstLineChars="200"/>
        <w:rPr>
          <w:rFonts w:hint="eastAsia" w:ascii="宋体" w:hAnsi="宋体" w:eastAsia="宋体" w:cs="宋体"/>
          <w:color w:val="auto"/>
          <w:sz w:val="24"/>
          <w:highlight w:val="none"/>
        </w:rPr>
      </w:pPr>
      <w:r>
        <w:rPr>
          <w:rFonts w:hint="eastAsia" w:ascii="宋体" w:hAnsi="宋体" w:eastAsia="宋体" w:cs="宋体"/>
          <w:b w:val="0"/>
          <w:bCs w:val="0"/>
          <w:color w:val="auto"/>
          <w:sz w:val="24"/>
          <w:highlight w:val="none"/>
          <w:lang w:val="en-US" w:eastAsia="zh-CN"/>
        </w:rPr>
        <w:t>4</w:t>
      </w:r>
      <w:r>
        <w:rPr>
          <w:rFonts w:hint="eastAsia" w:ascii="宋体" w:hAnsi="宋体" w:eastAsia="宋体" w:cs="宋体"/>
          <w:b w:val="0"/>
          <w:bCs w:val="0"/>
          <w:color w:val="auto"/>
          <w:sz w:val="24"/>
          <w:highlight w:val="none"/>
        </w:rPr>
        <w:t>.</w:t>
      </w:r>
      <w:r>
        <w:rPr>
          <w:rFonts w:hint="eastAsia" w:ascii="宋体" w:hAnsi="宋体" w:eastAsia="宋体" w:cs="宋体"/>
          <w:b w:val="0"/>
          <w:bCs w:val="0"/>
          <w:color w:val="auto"/>
          <w:sz w:val="24"/>
          <w:highlight w:val="none"/>
          <w:lang w:bidi="ar"/>
        </w:rPr>
        <w:t>每</w:t>
      </w:r>
      <w:r>
        <w:rPr>
          <w:rFonts w:hint="eastAsia" w:ascii="宋体" w:hAnsi="宋体" w:eastAsia="宋体" w:cs="宋体"/>
          <w:color w:val="auto"/>
          <w:sz w:val="24"/>
          <w:highlight w:val="none"/>
          <w:lang w:bidi="ar"/>
        </w:rPr>
        <w:t>个供应商可同时参与多个分标的磋商，评标将以1→2→3→4分标的顺序依次推荐各分标的成交候选供应商。</w:t>
      </w:r>
    </w:p>
    <w:p w14:paraId="2CAD014F">
      <w:pPr>
        <w:spacing w:line="360" w:lineRule="auto"/>
        <w:ind w:left="-10" w:leftChars="-5" w:right="2" w:rightChars="1" w:firstLine="480" w:firstLineChars="200"/>
        <w:rPr>
          <w:rFonts w:hint="eastAsia" w:ascii="宋体" w:hAnsi="宋体" w:eastAsia="宋体" w:cs="宋体"/>
          <w:bCs/>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w:t>
      </w:r>
      <w:r>
        <w:rPr>
          <w:rFonts w:hint="eastAsia" w:ascii="宋体" w:hAnsi="宋体" w:eastAsia="宋体" w:cs="宋体"/>
          <w:bCs/>
          <w:color w:val="auto"/>
          <w:sz w:val="24"/>
          <w:highlight w:val="none"/>
        </w:rPr>
        <w:t>其他</w:t>
      </w:r>
    </w:p>
    <w:p w14:paraId="28761954">
      <w:pPr>
        <w:spacing w:line="360" w:lineRule="auto"/>
        <w:ind w:left="-10" w:leftChars="-5" w:right="2" w:rightChars="1"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采购预算：详见采购公告</w:t>
      </w:r>
    </w:p>
    <w:p w14:paraId="25194E4F">
      <w:pPr>
        <w:spacing w:line="360" w:lineRule="auto"/>
        <w:ind w:left="-10" w:leftChars="-5" w:right="2" w:rightChars="1"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项目所属行业：租赁和商务服务业</w:t>
      </w:r>
    </w:p>
    <w:p w14:paraId="5EFCD3E8">
      <w:pP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br w:type="page"/>
      </w:r>
    </w:p>
    <w:p w14:paraId="4920DFF3">
      <w:pPr>
        <w:jc w:val="center"/>
        <w:outlineLvl w:val="1"/>
        <w:rPr>
          <w:rFonts w:hint="eastAsia" w:ascii="宋体" w:hAnsi="宋体" w:eastAsia="宋体" w:cs="宋体"/>
          <w:bCs/>
          <w:color w:val="auto"/>
          <w:sz w:val="24"/>
          <w:highlight w:val="none"/>
        </w:rPr>
      </w:pPr>
      <w:r>
        <w:rPr>
          <w:rFonts w:hint="eastAsia" w:ascii="宋体" w:hAnsi="宋体" w:eastAsia="宋体" w:cs="宋体"/>
          <w:b/>
          <w:bCs/>
          <w:color w:val="auto"/>
          <w:sz w:val="24"/>
          <w:highlight w:val="none"/>
        </w:rPr>
        <w:t>1分标</w:t>
      </w:r>
    </w:p>
    <w:tbl>
      <w:tblPr>
        <w:tblStyle w:val="29"/>
        <w:tblW w:w="977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93"/>
        <w:gridCol w:w="1289"/>
        <w:gridCol w:w="1115"/>
        <w:gridCol w:w="6781"/>
      </w:tblGrid>
      <w:tr w14:paraId="1FD22A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4" w:hRule="atLeast"/>
          <w:jc w:val="center"/>
        </w:trPr>
        <w:tc>
          <w:tcPr>
            <w:tcW w:w="9778" w:type="dxa"/>
            <w:gridSpan w:val="4"/>
            <w:tcBorders>
              <w:top w:val="single" w:color="000000" w:sz="4" w:space="0"/>
              <w:left w:val="single" w:color="000000" w:sz="4" w:space="0"/>
              <w:bottom w:val="single" w:color="000000" w:sz="4" w:space="0"/>
              <w:right w:val="single" w:color="000000" w:sz="4" w:space="0"/>
            </w:tcBorders>
            <w:vAlign w:val="center"/>
          </w:tcPr>
          <w:p w14:paraId="095CCA08">
            <w:pPr>
              <w:tabs>
                <w:tab w:val="left" w:pos="180"/>
                <w:tab w:val="left" w:pos="1620"/>
              </w:tabs>
              <w:spacing w:line="460" w:lineRule="exact"/>
              <w:jc w:val="left"/>
              <w:rPr>
                <w:rFonts w:hint="eastAsia" w:ascii="宋体" w:hAnsi="宋体" w:eastAsia="宋体" w:cs="宋体"/>
                <w:b/>
                <w:bCs/>
                <w:color w:val="auto"/>
                <w:sz w:val="24"/>
                <w:highlight w:val="none"/>
              </w:rPr>
            </w:pPr>
            <w:bookmarkStart w:id="31" w:name="_Toc22743"/>
            <w:r>
              <w:rPr>
                <w:rFonts w:hint="eastAsia" w:ascii="宋体" w:hAnsi="宋体" w:eastAsia="宋体" w:cs="宋体"/>
                <w:b/>
                <w:bCs/>
                <w:color w:val="auto"/>
                <w:sz w:val="24"/>
                <w:highlight w:val="none"/>
              </w:rPr>
              <w:t>一、项目要求及技术需求</w:t>
            </w:r>
            <w:bookmarkEnd w:id="31"/>
          </w:p>
        </w:tc>
      </w:tr>
      <w:tr w14:paraId="1A0677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4" w:hRule="atLeast"/>
          <w:jc w:val="center"/>
        </w:trPr>
        <w:tc>
          <w:tcPr>
            <w:tcW w:w="593" w:type="dxa"/>
            <w:tcBorders>
              <w:top w:val="single" w:color="000000" w:sz="4" w:space="0"/>
              <w:left w:val="single" w:color="000000" w:sz="4" w:space="0"/>
              <w:bottom w:val="single" w:color="000000" w:sz="4" w:space="0"/>
              <w:right w:val="single" w:color="000000" w:sz="4" w:space="0"/>
            </w:tcBorders>
            <w:vAlign w:val="center"/>
          </w:tcPr>
          <w:p w14:paraId="7AB56910">
            <w:pPr>
              <w:tabs>
                <w:tab w:val="left" w:pos="180"/>
                <w:tab w:val="left" w:pos="1620"/>
              </w:tabs>
              <w:spacing w:line="460" w:lineRule="exact"/>
              <w:jc w:val="center"/>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rPr>
              <w:t>序号</w:t>
            </w:r>
          </w:p>
        </w:tc>
        <w:tc>
          <w:tcPr>
            <w:tcW w:w="1289" w:type="dxa"/>
            <w:tcBorders>
              <w:top w:val="single" w:color="000000" w:sz="4" w:space="0"/>
              <w:left w:val="single" w:color="000000" w:sz="4" w:space="0"/>
              <w:bottom w:val="single" w:color="000000" w:sz="4" w:space="0"/>
              <w:right w:val="single" w:color="000000" w:sz="4" w:space="0"/>
            </w:tcBorders>
            <w:vAlign w:val="center"/>
          </w:tcPr>
          <w:p w14:paraId="1FAAE234">
            <w:pPr>
              <w:tabs>
                <w:tab w:val="left" w:pos="180"/>
                <w:tab w:val="left" w:pos="1620"/>
              </w:tabs>
              <w:spacing w:line="460" w:lineRule="exact"/>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服务名称</w:t>
            </w:r>
          </w:p>
        </w:tc>
        <w:tc>
          <w:tcPr>
            <w:tcW w:w="1115" w:type="dxa"/>
            <w:tcBorders>
              <w:top w:val="single" w:color="000000" w:sz="4" w:space="0"/>
              <w:left w:val="single" w:color="000000" w:sz="4" w:space="0"/>
              <w:bottom w:val="single" w:color="000000" w:sz="4" w:space="0"/>
              <w:right w:val="single" w:color="000000" w:sz="4" w:space="0"/>
            </w:tcBorders>
            <w:vAlign w:val="center"/>
          </w:tcPr>
          <w:p w14:paraId="7D34852B">
            <w:pPr>
              <w:tabs>
                <w:tab w:val="left" w:pos="180"/>
                <w:tab w:val="left" w:pos="1620"/>
              </w:tabs>
              <w:spacing w:line="460" w:lineRule="exact"/>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数量及</w:t>
            </w:r>
          </w:p>
          <w:p w14:paraId="47427B81">
            <w:pPr>
              <w:tabs>
                <w:tab w:val="left" w:pos="180"/>
                <w:tab w:val="left" w:pos="1620"/>
              </w:tabs>
              <w:spacing w:line="460" w:lineRule="exact"/>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单位</w:t>
            </w:r>
          </w:p>
        </w:tc>
        <w:tc>
          <w:tcPr>
            <w:tcW w:w="6781" w:type="dxa"/>
            <w:tcBorders>
              <w:top w:val="single" w:color="000000" w:sz="4" w:space="0"/>
              <w:left w:val="single" w:color="000000" w:sz="4" w:space="0"/>
              <w:bottom w:val="single" w:color="000000" w:sz="4" w:space="0"/>
              <w:right w:val="single" w:color="000000" w:sz="4" w:space="0"/>
            </w:tcBorders>
            <w:vAlign w:val="center"/>
          </w:tcPr>
          <w:p w14:paraId="7DC1313D">
            <w:pPr>
              <w:tabs>
                <w:tab w:val="left" w:pos="180"/>
                <w:tab w:val="left" w:pos="1620"/>
              </w:tabs>
              <w:spacing w:line="460" w:lineRule="exact"/>
              <w:jc w:val="center"/>
              <w:rPr>
                <w:rFonts w:hint="eastAsia" w:ascii="宋体" w:hAnsi="宋体" w:eastAsia="宋体" w:cs="宋体"/>
                <w:b/>
                <w:bCs/>
                <w:color w:val="auto"/>
                <w:kern w:val="0"/>
                <w:sz w:val="24"/>
                <w:highlight w:val="none"/>
              </w:rPr>
            </w:pPr>
            <w:bookmarkStart w:id="32" w:name="_Toc22415"/>
            <w:r>
              <w:rPr>
                <w:rFonts w:hint="eastAsia" w:ascii="宋体" w:hAnsi="宋体" w:eastAsia="宋体" w:cs="宋体"/>
                <w:b/>
                <w:bCs/>
                <w:color w:val="auto"/>
                <w:kern w:val="0"/>
                <w:sz w:val="24"/>
                <w:highlight w:val="none"/>
              </w:rPr>
              <w:t>技术（服务）要求</w:t>
            </w:r>
            <w:bookmarkEnd w:id="32"/>
          </w:p>
        </w:tc>
      </w:tr>
      <w:tr w14:paraId="7D6476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18" w:hRule="atLeast"/>
          <w:jc w:val="center"/>
        </w:trPr>
        <w:tc>
          <w:tcPr>
            <w:tcW w:w="593" w:type="dxa"/>
            <w:tcBorders>
              <w:top w:val="single" w:color="000000" w:sz="4" w:space="0"/>
              <w:left w:val="single" w:color="000000" w:sz="4" w:space="0"/>
              <w:bottom w:val="single" w:color="000000" w:sz="4" w:space="0"/>
              <w:right w:val="single" w:color="000000" w:sz="4" w:space="0"/>
            </w:tcBorders>
            <w:vAlign w:val="center"/>
          </w:tcPr>
          <w:p w14:paraId="0E5A18B9">
            <w:pPr>
              <w:tabs>
                <w:tab w:val="left" w:pos="180"/>
                <w:tab w:val="left" w:pos="1620"/>
              </w:tabs>
              <w:spacing w:line="460" w:lineRule="exact"/>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1</w:t>
            </w:r>
          </w:p>
        </w:tc>
        <w:tc>
          <w:tcPr>
            <w:tcW w:w="1289" w:type="dxa"/>
            <w:tcBorders>
              <w:top w:val="single" w:color="000000" w:sz="4" w:space="0"/>
              <w:left w:val="single" w:color="000000" w:sz="4" w:space="0"/>
              <w:bottom w:val="single" w:color="000000" w:sz="4" w:space="0"/>
              <w:right w:val="single" w:color="000000" w:sz="4" w:space="0"/>
            </w:tcBorders>
            <w:vAlign w:val="center"/>
          </w:tcPr>
          <w:p w14:paraId="00B5096C">
            <w:pPr>
              <w:tabs>
                <w:tab w:val="left" w:pos="180"/>
                <w:tab w:val="left" w:pos="1620"/>
              </w:tabs>
              <w:spacing w:line="460" w:lineRule="exact"/>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lang w:val="en-US" w:eastAsia="zh-CN"/>
              </w:rPr>
              <w:t>G241玉林分界至博白公路改建工程工可、专题报告</w:t>
            </w:r>
          </w:p>
        </w:tc>
        <w:tc>
          <w:tcPr>
            <w:tcW w:w="1115" w:type="dxa"/>
            <w:tcBorders>
              <w:top w:val="single" w:color="000000" w:sz="4" w:space="0"/>
              <w:left w:val="single" w:color="000000" w:sz="4" w:space="0"/>
              <w:bottom w:val="single" w:color="000000" w:sz="4" w:space="0"/>
              <w:right w:val="single" w:color="000000" w:sz="4" w:space="0"/>
            </w:tcBorders>
            <w:vAlign w:val="center"/>
          </w:tcPr>
          <w:p w14:paraId="2494B2D2">
            <w:pPr>
              <w:tabs>
                <w:tab w:val="left" w:pos="180"/>
                <w:tab w:val="left" w:pos="1620"/>
              </w:tabs>
              <w:spacing w:line="460" w:lineRule="exact"/>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1项</w:t>
            </w:r>
          </w:p>
        </w:tc>
        <w:tc>
          <w:tcPr>
            <w:tcW w:w="6781" w:type="dxa"/>
            <w:tcBorders>
              <w:top w:val="single" w:color="000000" w:sz="4" w:space="0"/>
              <w:left w:val="single" w:color="000000" w:sz="4" w:space="0"/>
              <w:bottom w:val="single" w:color="000000" w:sz="4" w:space="0"/>
              <w:right w:val="single" w:color="000000" w:sz="4" w:space="0"/>
            </w:tcBorders>
            <w:vAlign w:val="center"/>
          </w:tcPr>
          <w:p w14:paraId="27FAA57A">
            <w:pPr>
              <w:spacing w:line="460" w:lineRule="exact"/>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一、</w:t>
            </w:r>
            <w:r>
              <w:rPr>
                <w:rFonts w:hint="eastAsia" w:ascii="宋体" w:hAnsi="宋体" w:eastAsia="宋体" w:cs="宋体"/>
                <w:color w:val="auto"/>
                <w:sz w:val="24"/>
                <w:highlight w:val="none"/>
              </w:rPr>
              <w:t>▲服务内容：</w:t>
            </w:r>
            <w:r>
              <w:rPr>
                <w:rFonts w:hint="eastAsia" w:ascii="宋体" w:hAnsi="宋体" w:eastAsia="宋体" w:cs="宋体"/>
                <w:color w:val="auto"/>
                <w:sz w:val="24"/>
                <w:highlight w:val="none"/>
                <w:lang w:val="en-US" w:eastAsia="zh-CN"/>
              </w:rPr>
              <w:t>对G241玉林分界至博白公路改建工程工可、专题报告</w:t>
            </w:r>
            <w:r>
              <w:rPr>
                <w:rFonts w:hint="eastAsia" w:ascii="宋体" w:hAnsi="宋体" w:eastAsia="宋体" w:cs="宋体"/>
                <w:color w:val="auto"/>
                <w:sz w:val="24"/>
                <w:highlight w:val="none"/>
                <w:lang w:eastAsia="zh-CN"/>
              </w:rPr>
              <w:t>进行采购。</w:t>
            </w:r>
          </w:p>
          <w:p w14:paraId="49DA7397">
            <w:pPr>
              <w:spacing w:line="460" w:lineRule="exact"/>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二、</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采购范围：</w:t>
            </w:r>
          </w:p>
          <w:p w14:paraId="58488EDC">
            <w:pPr>
              <w:spacing w:line="460" w:lineRule="exact"/>
              <w:ind w:firstLine="480" w:firstLineChars="200"/>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G241玉林分界至博白公路改建工程工可、专题报告，包含改建工程专项检测服务、社会稳定风险分析、环境影响评价报告、安全预评价报告、安全条件论证报告及工程可行性研究报告编制服务。</w:t>
            </w:r>
          </w:p>
          <w:p w14:paraId="7A93B46F">
            <w:pPr>
              <w:spacing w:line="46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三、</w:t>
            </w:r>
            <w:r>
              <w:rPr>
                <w:rFonts w:hint="eastAsia" w:ascii="宋体" w:hAnsi="宋体" w:eastAsia="宋体" w:cs="宋体"/>
                <w:color w:val="auto"/>
                <w:sz w:val="24"/>
                <w:highlight w:val="none"/>
              </w:rPr>
              <w:t>▲质量标准：</w:t>
            </w:r>
          </w:p>
          <w:p w14:paraId="54303EA0">
            <w:pPr>
              <w:spacing w:line="46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本项目须执行的国家相关标准、行业标准、地方标准或者其他标准、规范。</w:t>
            </w:r>
          </w:p>
          <w:p w14:paraId="04FD7DE7">
            <w:pPr>
              <w:spacing w:line="46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本项目如有国家相关标准、行业标准、地方标准或者其他标准、规范的，应执行相应的标准、规范。如具体采购需求与标准、规范不一致的，高于标准、规范的按具体采购需求执行，低于标准、规范的按标准、规范执行。</w:t>
            </w:r>
          </w:p>
          <w:p w14:paraId="59687CB7">
            <w:pPr>
              <w:spacing w:line="46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四、</w:t>
            </w:r>
            <w:r>
              <w:rPr>
                <w:rFonts w:hint="eastAsia" w:ascii="宋体" w:hAnsi="宋体" w:eastAsia="宋体" w:cs="宋体"/>
                <w:color w:val="auto"/>
                <w:sz w:val="24"/>
                <w:highlight w:val="none"/>
              </w:rPr>
              <w:t>▲成果</w:t>
            </w:r>
            <w:r>
              <w:rPr>
                <w:rFonts w:hint="eastAsia" w:ascii="宋体" w:hAnsi="宋体" w:eastAsia="宋体" w:cs="宋体"/>
                <w:color w:val="auto"/>
                <w:sz w:val="24"/>
                <w:highlight w:val="none"/>
                <w:lang w:eastAsia="zh-CN"/>
              </w:rPr>
              <w:t>文件</w:t>
            </w:r>
            <w:r>
              <w:rPr>
                <w:rFonts w:hint="eastAsia" w:ascii="宋体" w:hAnsi="宋体" w:eastAsia="宋体" w:cs="宋体"/>
                <w:color w:val="auto"/>
                <w:sz w:val="24"/>
                <w:highlight w:val="none"/>
              </w:rPr>
              <w:t>：</w:t>
            </w:r>
          </w:p>
          <w:p w14:paraId="761D58EA">
            <w:pPr>
              <w:spacing w:line="460" w:lineRule="exact"/>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1、成交供应商需独立编制并提交1套成果资料。</w:t>
            </w:r>
          </w:p>
          <w:p w14:paraId="7DA5499D">
            <w:pPr>
              <w:spacing w:line="460" w:lineRule="exact"/>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2、成果资料包含：纸质文本两套及电子文件两套（存储于U盘）。</w:t>
            </w:r>
          </w:p>
          <w:p w14:paraId="5D1E9DA4">
            <w:pPr>
              <w:spacing w:line="460" w:lineRule="exact"/>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3、电子文件需根据采购人需要，提供专题报告相关的CAD、PDF、EXCEL、WORD等格式文件。</w:t>
            </w:r>
          </w:p>
          <w:p w14:paraId="55C280C3">
            <w:pPr>
              <w:spacing w:line="46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五、</w:t>
            </w:r>
            <w:r>
              <w:rPr>
                <w:rFonts w:hint="eastAsia" w:ascii="宋体" w:hAnsi="宋体" w:eastAsia="宋体" w:cs="宋体"/>
                <w:color w:val="auto"/>
                <w:sz w:val="24"/>
                <w:highlight w:val="none"/>
              </w:rPr>
              <w:t>▲人员配置情况要求：拟投入的主要专业技术人员至少包含路基、路面专业，须在响应文件中提供相关人员的证明材料复印件并加盖单位公章。</w:t>
            </w:r>
          </w:p>
          <w:p w14:paraId="1EE04887">
            <w:pPr>
              <w:spacing w:line="46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六、</w:t>
            </w:r>
            <w:r>
              <w:rPr>
                <w:rFonts w:hint="eastAsia" w:ascii="宋体" w:hAnsi="宋体" w:eastAsia="宋体" w:cs="宋体"/>
                <w:color w:val="auto"/>
                <w:sz w:val="24"/>
                <w:highlight w:val="none"/>
              </w:rPr>
              <w:t>▲成果要求：专题报告内容符合国家法律、法规、技术标准及规范要求的深度、广度，获得相关主管部门批复或认可。</w:t>
            </w:r>
            <w:r>
              <w:rPr>
                <w:rFonts w:hint="eastAsia" w:ascii="宋体" w:hAnsi="宋体" w:eastAsia="宋体" w:cs="宋体"/>
                <w:color w:val="auto"/>
                <w:sz w:val="24"/>
                <w:highlight w:val="none"/>
                <w:lang w:eastAsia="zh-CN"/>
              </w:rPr>
              <w:t>改建工程专项检测</w:t>
            </w:r>
            <w:r>
              <w:rPr>
                <w:rFonts w:hint="eastAsia" w:ascii="宋体" w:hAnsi="宋体" w:eastAsia="宋体" w:cs="宋体"/>
                <w:color w:val="auto"/>
                <w:sz w:val="24"/>
                <w:highlight w:val="none"/>
                <w:lang w:val="en-US" w:eastAsia="zh-CN"/>
              </w:rPr>
              <w:t>须按</w:t>
            </w:r>
            <w:r>
              <w:rPr>
                <w:rFonts w:hint="eastAsia" w:ascii="宋体" w:hAnsi="宋体" w:eastAsia="宋体" w:cs="宋体"/>
                <w:color w:val="auto"/>
                <w:sz w:val="24"/>
                <w:highlight w:val="none"/>
              </w:rPr>
              <w:t>国家、省、市现行规范、标准和</w:t>
            </w:r>
            <w:r>
              <w:rPr>
                <w:rFonts w:hint="eastAsia" w:ascii="宋体" w:hAnsi="宋体" w:eastAsia="宋体" w:cs="宋体"/>
                <w:color w:val="auto"/>
                <w:sz w:val="24"/>
                <w:highlight w:val="none"/>
                <w:lang w:val="en-US" w:eastAsia="zh-CN"/>
              </w:rPr>
              <w:t>采购</w:t>
            </w:r>
            <w:r>
              <w:rPr>
                <w:rFonts w:hint="eastAsia" w:ascii="宋体" w:hAnsi="宋体" w:eastAsia="宋体" w:cs="宋体"/>
                <w:color w:val="auto"/>
                <w:sz w:val="24"/>
                <w:highlight w:val="none"/>
              </w:rPr>
              <w:t>单位要求的检测内容、完成时间进行检测</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检测报告检测数据完整、准确、真实、清楚，成交人须对检测结果的真实、可靠、保密负责，不得向第三方泄露检测结果。</w:t>
            </w:r>
          </w:p>
          <w:p w14:paraId="5A0AD230">
            <w:pPr>
              <w:spacing w:line="460" w:lineRule="exact"/>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七、</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采购内容各项费用：</w:t>
            </w:r>
          </w:p>
          <w:tbl>
            <w:tblPr>
              <w:tblStyle w:val="30"/>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19"/>
              <w:gridCol w:w="2935"/>
            </w:tblGrid>
            <w:tr w14:paraId="0B8E3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2761" w:type="pct"/>
                  <w:noWrap w:val="0"/>
                  <w:vAlign w:val="center"/>
                </w:tcPr>
                <w:p w14:paraId="48318D46">
                  <w:pPr>
                    <w:spacing w:line="460" w:lineRule="exact"/>
                    <w:ind w:firstLine="480" w:firstLineChars="200"/>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采购内容</w:t>
                  </w:r>
                </w:p>
              </w:tc>
              <w:tc>
                <w:tcPr>
                  <w:tcW w:w="2238" w:type="pct"/>
                  <w:noWrap w:val="0"/>
                  <w:vAlign w:val="center"/>
                </w:tcPr>
                <w:p w14:paraId="27AA9924">
                  <w:pPr>
                    <w:spacing w:line="460" w:lineRule="exact"/>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采购预算金额（万元）</w:t>
                  </w:r>
                </w:p>
              </w:tc>
            </w:tr>
            <w:tr w14:paraId="14A5A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5000" w:type="pct"/>
                  <w:gridSpan w:val="2"/>
                  <w:noWrap w:val="0"/>
                  <w:vAlign w:val="center"/>
                </w:tcPr>
                <w:p w14:paraId="39866F4C">
                  <w:pPr>
                    <w:bidi w:val="0"/>
                    <w:rPr>
                      <w:rFonts w:hint="eastAsia" w:ascii="宋体" w:hAnsi="宋体" w:eastAsia="宋体" w:cs="宋体"/>
                      <w:color w:val="auto"/>
                      <w:highlight w:val="none"/>
                      <w:lang w:eastAsia="zh-CN"/>
                    </w:rPr>
                  </w:pPr>
                  <w:r>
                    <w:rPr>
                      <w:rFonts w:hint="eastAsia" w:ascii="宋体" w:hAnsi="宋体" w:eastAsia="宋体" w:cs="宋体"/>
                      <w:color w:val="auto"/>
                      <w:sz w:val="24"/>
                      <w:szCs w:val="32"/>
                      <w:highlight w:val="none"/>
                      <w:lang w:eastAsia="zh-CN"/>
                    </w:rPr>
                    <w:t>一、前期专题报告</w:t>
                  </w:r>
                </w:p>
              </w:tc>
            </w:tr>
            <w:tr w14:paraId="502EE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2761" w:type="pct"/>
                  <w:noWrap w:val="0"/>
                  <w:vAlign w:val="center"/>
                </w:tcPr>
                <w:p w14:paraId="3D778350">
                  <w:pPr>
                    <w:spacing w:line="460" w:lineRule="exact"/>
                    <w:ind w:firstLine="480" w:firstLineChars="200"/>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改建工程专项检测费</w:t>
                  </w:r>
                </w:p>
              </w:tc>
              <w:tc>
                <w:tcPr>
                  <w:tcW w:w="2238" w:type="pct"/>
                  <w:noWrap w:val="0"/>
                  <w:vAlign w:val="center"/>
                </w:tcPr>
                <w:p w14:paraId="4D7C9433">
                  <w:pPr>
                    <w:spacing w:line="460" w:lineRule="exact"/>
                    <w:ind w:firstLine="480" w:firstLineChars="20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7.2</w:t>
                  </w:r>
                </w:p>
              </w:tc>
            </w:tr>
            <w:tr w14:paraId="39D73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2761" w:type="pct"/>
                  <w:noWrap w:val="0"/>
                  <w:vAlign w:val="center"/>
                </w:tcPr>
                <w:p w14:paraId="39E30963">
                  <w:pPr>
                    <w:spacing w:line="460" w:lineRule="exact"/>
                    <w:ind w:firstLine="480" w:firstLineChars="200"/>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社会稳定风险分析</w:t>
                  </w:r>
                </w:p>
              </w:tc>
              <w:tc>
                <w:tcPr>
                  <w:tcW w:w="2238" w:type="pct"/>
                  <w:noWrap w:val="0"/>
                  <w:vAlign w:val="center"/>
                </w:tcPr>
                <w:p w14:paraId="418DF094">
                  <w:pPr>
                    <w:spacing w:line="460" w:lineRule="exact"/>
                    <w:ind w:firstLine="480" w:firstLineChars="20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8.2</w:t>
                  </w:r>
                </w:p>
              </w:tc>
            </w:tr>
            <w:tr w14:paraId="30065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2761" w:type="pct"/>
                  <w:noWrap w:val="0"/>
                  <w:vAlign w:val="center"/>
                </w:tcPr>
                <w:p w14:paraId="6D4A3755">
                  <w:pPr>
                    <w:spacing w:line="460" w:lineRule="exact"/>
                    <w:ind w:firstLine="480" w:firstLineChars="200"/>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环境影响评价报告</w:t>
                  </w:r>
                </w:p>
              </w:tc>
              <w:tc>
                <w:tcPr>
                  <w:tcW w:w="2238" w:type="pct"/>
                  <w:noWrap w:val="0"/>
                  <w:vAlign w:val="center"/>
                </w:tcPr>
                <w:p w14:paraId="00B40198">
                  <w:pPr>
                    <w:spacing w:line="460" w:lineRule="exact"/>
                    <w:ind w:firstLine="480" w:firstLineChars="20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6.1</w:t>
                  </w:r>
                </w:p>
              </w:tc>
            </w:tr>
            <w:tr w14:paraId="42DD8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761" w:type="pct"/>
                  <w:noWrap w:val="0"/>
                  <w:vAlign w:val="center"/>
                </w:tcPr>
                <w:p w14:paraId="4F0390A6">
                  <w:pPr>
                    <w:spacing w:line="460" w:lineRule="exact"/>
                    <w:ind w:firstLine="480" w:firstLineChars="200"/>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安全预评价报告</w:t>
                  </w:r>
                </w:p>
              </w:tc>
              <w:tc>
                <w:tcPr>
                  <w:tcW w:w="2238" w:type="pct"/>
                  <w:noWrap w:val="0"/>
                  <w:vAlign w:val="center"/>
                </w:tcPr>
                <w:p w14:paraId="5184CCD7">
                  <w:pPr>
                    <w:spacing w:line="460" w:lineRule="exact"/>
                    <w:ind w:firstLine="480" w:firstLineChars="20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8.9</w:t>
                  </w:r>
                </w:p>
              </w:tc>
            </w:tr>
            <w:tr w14:paraId="0BD54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2761" w:type="pct"/>
                  <w:noWrap w:val="0"/>
                  <w:vAlign w:val="center"/>
                </w:tcPr>
                <w:p w14:paraId="6E09AAB3">
                  <w:pPr>
                    <w:spacing w:line="460" w:lineRule="exact"/>
                    <w:ind w:firstLine="480" w:firstLineChars="200"/>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安全条件论证报告</w:t>
                  </w:r>
                </w:p>
              </w:tc>
              <w:tc>
                <w:tcPr>
                  <w:tcW w:w="2238" w:type="pct"/>
                  <w:noWrap w:val="0"/>
                  <w:vAlign w:val="center"/>
                </w:tcPr>
                <w:p w14:paraId="651C272B">
                  <w:pPr>
                    <w:spacing w:line="460" w:lineRule="exact"/>
                    <w:ind w:firstLine="480" w:firstLineChars="20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5.7</w:t>
                  </w:r>
                </w:p>
              </w:tc>
            </w:tr>
            <w:tr w14:paraId="782C7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2761" w:type="pct"/>
                  <w:noWrap w:val="0"/>
                  <w:vAlign w:val="center"/>
                </w:tcPr>
                <w:p w14:paraId="63C08EE7">
                  <w:pPr>
                    <w:bidi w:val="0"/>
                    <w:rPr>
                      <w:rFonts w:hint="eastAsia" w:ascii="宋体" w:hAnsi="宋体" w:eastAsia="宋体" w:cs="宋体"/>
                      <w:color w:val="auto"/>
                      <w:highlight w:val="none"/>
                      <w:lang w:eastAsia="zh-CN"/>
                    </w:rPr>
                  </w:pPr>
                  <w:r>
                    <w:rPr>
                      <w:rFonts w:hint="eastAsia" w:ascii="宋体" w:hAnsi="宋体" w:eastAsia="宋体" w:cs="宋体"/>
                      <w:color w:val="auto"/>
                      <w:sz w:val="24"/>
                      <w:szCs w:val="32"/>
                      <w:highlight w:val="none"/>
                      <w:lang w:eastAsia="zh-CN"/>
                    </w:rPr>
                    <w:t>二、工程可行性研究报告</w:t>
                  </w:r>
                </w:p>
              </w:tc>
              <w:tc>
                <w:tcPr>
                  <w:tcW w:w="2238" w:type="pct"/>
                  <w:noWrap w:val="0"/>
                  <w:vAlign w:val="center"/>
                </w:tcPr>
                <w:p w14:paraId="5CE429E0">
                  <w:pPr>
                    <w:spacing w:line="460" w:lineRule="exact"/>
                    <w:ind w:firstLine="480" w:firstLineChars="20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20</w:t>
                  </w:r>
                </w:p>
              </w:tc>
            </w:tr>
            <w:tr w14:paraId="42E07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2761" w:type="pct"/>
                  <w:noWrap w:val="0"/>
                  <w:vAlign w:val="center"/>
                </w:tcPr>
                <w:p w14:paraId="2CAB528A">
                  <w:pPr>
                    <w:spacing w:line="460" w:lineRule="exact"/>
                    <w:ind w:firstLine="480" w:firstLineChars="200"/>
                    <w:jc w:val="left"/>
                    <w:rPr>
                      <w:rFonts w:hint="eastAsia" w:ascii="宋体" w:hAnsi="宋体" w:eastAsia="宋体" w:cs="宋体"/>
                      <w:b w:val="0"/>
                      <w:bCs w:val="0"/>
                      <w:color w:val="auto"/>
                      <w:sz w:val="24"/>
                      <w:highlight w:val="none"/>
                      <w:lang w:eastAsia="zh-CN"/>
                    </w:rPr>
                  </w:pPr>
                  <w:r>
                    <w:rPr>
                      <w:rFonts w:hint="eastAsia" w:ascii="宋体" w:hAnsi="宋体" w:eastAsia="宋体" w:cs="宋体"/>
                      <w:b w:val="0"/>
                      <w:bCs w:val="0"/>
                      <w:color w:val="auto"/>
                      <w:sz w:val="24"/>
                      <w:highlight w:val="none"/>
                      <w:lang w:eastAsia="zh-CN"/>
                    </w:rPr>
                    <w:t>合计</w:t>
                  </w:r>
                </w:p>
              </w:tc>
              <w:tc>
                <w:tcPr>
                  <w:tcW w:w="2238" w:type="pct"/>
                  <w:noWrap w:val="0"/>
                  <w:vAlign w:val="center"/>
                </w:tcPr>
                <w:p w14:paraId="491DBBA4">
                  <w:pPr>
                    <w:spacing w:line="460" w:lineRule="exact"/>
                    <w:ind w:firstLine="480" w:firstLineChars="200"/>
                    <w:jc w:val="center"/>
                    <w:rPr>
                      <w:rFonts w:hint="eastAsia" w:ascii="宋体" w:hAnsi="宋体" w:eastAsia="宋体" w:cs="宋体"/>
                      <w:b w:val="0"/>
                      <w:bCs w:val="0"/>
                      <w:color w:val="auto"/>
                      <w:sz w:val="24"/>
                      <w:highlight w:val="none"/>
                      <w:lang w:eastAsia="zh-CN"/>
                    </w:rPr>
                  </w:pPr>
                  <w:r>
                    <w:rPr>
                      <w:rFonts w:hint="eastAsia" w:ascii="宋体" w:hAnsi="宋体" w:eastAsia="宋体" w:cs="宋体"/>
                      <w:b w:val="0"/>
                      <w:bCs w:val="0"/>
                      <w:color w:val="auto"/>
                      <w:sz w:val="24"/>
                      <w:highlight w:val="none"/>
                      <w:lang w:val="en-US" w:eastAsia="zh-CN"/>
                    </w:rPr>
                    <w:t>56.1</w:t>
                  </w:r>
                </w:p>
              </w:tc>
            </w:tr>
          </w:tbl>
          <w:p w14:paraId="0194DBD9">
            <w:pPr>
              <w:spacing w:line="46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注：磋商报价均不能超出</w:t>
            </w:r>
            <w:r>
              <w:rPr>
                <w:rFonts w:hint="eastAsia" w:ascii="宋体" w:hAnsi="宋体" w:eastAsia="宋体" w:cs="宋体"/>
                <w:color w:val="auto"/>
                <w:sz w:val="24"/>
                <w:highlight w:val="none"/>
                <w:lang w:eastAsia="zh-CN"/>
              </w:rPr>
              <w:t>各项</w:t>
            </w:r>
            <w:r>
              <w:rPr>
                <w:rFonts w:hint="eastAsia" w:ascii="宋体" w:hAnsi="宋体" w:eastAsia="宋体" w:cs="宋体"/>
                <w:color w:val="auto"/>
                <w:sz w:val="24"/>
                <w:highlight w:val="none"/>
                <w:lang w:val="en-US" w:eastAsia="zh-CN"/>
              </w:rPr>
              <w:t>采购预算金额。</w:t>
            </w:r>
          </w:p>
        </w:tc>
      </w:tr>
      <w:tr w14:paraId="76147C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778" w:type="dxa"/>
            <w:gridSpan w:val="4"/>
            <w:tcBorders>
              <w:top w:val="single" w:color="auto" w:sz="4" w:space="0"/>
              <w:left w:val="single" w:color="auto" w:sz="4" w:space="0"/>
              <w:bottom w:val="single" w:color="auto" w:sz="4" w:space="0"/>
              <w:right w:val="single" w:color="auto" w:sz="4" w:space="0"/>
            </w:tcBorders>
          </w:tcPr>
          <w:p w14:paraId="467A1FE9">
            <w:pPr>
              <w:spacing w:line="460" w:lineRule="exact"/>
              <w:rPr>
                <w:rFonts w:hint="eastAsia" w:ascii="宋体" w:hAnsi="宋体" w:eastAsia="宋体" w:cs="宋体"/>
                <w:b/>
                <w:color w:val="auto"/>
                <w:sz w:val="24"/>
                <w:highlight w:val="none"/>
              </w:rPr>
            </w:pPr>
            <w:r>
              <w:rPr>
                <w:rFonts w:hint="eastAsia" w:ascii="宋体" w:hAnsi="宋体" w:eastAsia="宋体" w:cs="宋体"/>
                <w:color w:val="auto"/>
                <w:sz w:val="24"/>
                <w:highlight w:val="none"/>
                <w:lang w:val="en-US" w:eastAsia="zh-CN"/>
              </w:rPr>
              <w:t>二、</w:t>
            </w:r>
            <w:r>
              <w:rPr>
                <w:rFonts w:hint="eastAsia" w:ascii="宋体" w:hAnsi="宋体" w:eastAsia="宋体" w:cs="宋体"/>
                <w:b/>
                <w:color w:val="auto"/>
                <w:sz w:val="24"/>
                <w:highlight w:val="none"/>
              </w:rPr>
              <w:t>商务要求</w:t>
            </w:r>
          </w:p>
        </w:tc>
      </w:tr>
      <w:tr w14:paraId="545C8C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997" w:type="dxa"/>
            <w:gridSpan w:val="3"/>
            <w:tcBorders>
              <w:top w:val="single" w:color="auto" w:sz="4" w:space="0"/>
              <w:left w:val="single" w:color="auto" w:sz="4" w:space="0"/>
              <w:bottom w:val="single" w:color="auto" w:sz="4" w:space="0"/>
              <w:right w:val="single" w:color="auto" w:sz="4" w:space="0"/>
            </w:tcBorders>
            <w:vAlign w:val="center"/>
          </w:tcPr>
          <w:p w14:paraId="6325E4B5">
            <w:pPr>
              <w:spacing w:line="46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合同签订期</w:t>
            </w:r>
          </w:p>
        </w:tc>
        <w:tc>
          <w:tcPr>
            <w:tcW w:w="6781" w:type="dxa"/>
            <w:tcBorders>
              <w:top w:val="single" w:color="auto" w:sz="4" w:space="0"/>
              <w:left w:val="single" w:color="auto" w:sz="4" w:space="0"/>
              <w:bottom w:val="single" w:color="auto" w:sz="4" w:space="0"/>
              <w:right w:val="single" w:color="auto" w:sz="4" w:space="0"/>
            </w:tcBorders>
            <w:vAlign w:val="center"/>
          </w:tcPr>
          <w:p w14:paraId="5E9C9728">
            <w:pPr>
              <w:spacing w:line="46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自成交通知书发出之日起25日内。</w:t>
            </w:r>
          </w:p>
        </w:tc>
      </w:tr>
      <w:tr w14:paraId="07FC20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6" w:hRule="atLeast"/>
          <w:jc w:val="center"/>
        </w:trPr>
        <w:tc>
          <w:tcPr>
            <w:tcW w:w="2997" w:type="dxa"/>
            <w:gridSpan w:val="3"/>
            <w:tcBorders>
              <w:top w:val="single" w:color="auto" w:sz="4" w:space="0"/>
              <w:left w:val="single" w:color="auto" w:sz="4" w:space="0"/>
              <w:bottom w:val="single" w:color="auto" w:sz="4" w:space="0"/>
              <w:right w:val="single" w:color="auto" w:sz="4" w:space="0"/>
            </w:tcBorders>
            <w:vAlign w:val="center"/>
          </w:tcPr>
          <w:p w14:paraId="00F3FBC3">
            <w:pPr>
              <w:spacing w:line="46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▲提交服务成果时间</w:t>
            </w:r>
            <w:r>
              <w:rPr>
                <w:rFonts w:hint="eastAsia" w:ascii="宋体" w:hAnsi="宋体" w:eastAsia="宋体" w:cs="宋体"/>
                <w:color w:val="auto"/>
                <w:sz w:val="24"/>
                <w:highlight w:val="none"/>
                <w:lang w:val="en-US" w:eastAsia="zh-CN"/>
              </w:rPr>
              <w:t>及地点</w:t>
            </w:r>
          </w:p>
        </w:tc>
        <w:tc>
          <w:tcPr>
            <w:tcW w:w="6781" w:type="dxa"/>
            <w:tcBorders>
              <w:top w:val="single" w:color="auto" w:sz="4" w:space="0"/>
              <w:left w:val="single" w:color="auto" w:sz="4" w:space="0"/>
              <w:bottom w:val="single" w:color="auto" w:sz="4" w:space="0"/>
              <w:right w:val="single" w:color="auto" w:sz="4" w:space="0"/>
            </w:tcBorders>
            <w:vAlign w:val="center"/>
          </w:tcPr>
          <w:p w14:paraId="0AA5C107">
            <w:pPr>
              <w:spacing w:line="46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时间：</w:t>
            </w:r>
            <w:r>
              <w:rPr>
                <w:rFonts w:hint="eastAsia" w:ascii="宋体" w:hAnsi="宋体" w:eastAsia="宋体" w:cs="宋体"/>
                <w:color w:val="auto"/>
                <w:sz w:val="24"/>
                <w:highlight w:val="none"/>
              </w:rPr>
              <w:t>自签订合同之日起</w:t>
            </w:r>
            <w:r>
              <w:rPr>
                <w:rFonts w:hint="eastAsia" w:ascii="宋体" w:hAnsi="宋体" w:eastAsia="宋体" w:cs="宋体"/>
                <w:color w:val="auto"/>
                <w:sz w:val="24"/>
                <w:highlight w:val="none"/>
                <w:lang w:val="en-US" w:eastAsia="zh-CN"/>
              </w:rPr>
              <w:t>60</w:t>
            </w:r>
            <w:r>
              <w:rPr>
                <w:rFonts w:hint="eastAsia" w:ascii="宋体" w:hAnsi="宋体" w:eastAsia="宋体" w:cs="宋体"/>
                <w:color w:val="auto"/>
                <w:sz w:val="24"/>
                <w:highlight w:val="none"/>
              </w:rPr>
              <w:t>日历天内提交合格有效的成果资料。</w:t>
            </w:r>
          </w:p>
          <w:p w14:paraId="66B60E04">
            <w:pPr>
              <w:spacing w:line="46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地点：广西玉林市内</w:t>
            </w:r>
            <w:r>
              <w:rPr>
                <w:rFonts w:hint="eastAsia" w:ascii="宋体" w:hAnsi="宋体" w:eastAsia="宋体" w:cs="宋体"/>
                <w:color w:val="auto"/>
                <w:sz w:val="24"/>
                <w:highlight w:val="none"/>
              </w:rPr>
              <w:t>采购人指定地点。</w:t>
            </w:r>
          </w:p>
        </w:tc>
      </w:tr>
      <w:tr w14:paraId="6AD75C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1" w:hRule="atLeast"/>
          <w:jc w:val="center"/>
        </w:trPr>
        <w:tc>
          <w:tcPr>
            <w:tcW w:w="2997" w:type="dxa"/>
            <w:gridSpan w:val="3"/>
            <w:tcBorders>
              <w:top w:val="single" w:color="auto" w:sz="4" w:space="0"/>
              <w:left w:val="single" w:color="auto" w:sz="4" w:space="0"/>
              <w:bottom w:val="single" w:color="auto" w:sz="4" w:space="0"/>
              <w:right w:val="single" w:color="auto" w:sz="4" w:space="0"/>
            </w:tcBorders>
            <w:vAlign w:val="center"/>
          </w:tcPr>
          <w:p w14:paraId="2C67FCD5">
            <w:pPr>
              <w:spacing w:line="46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▲后续服务</w:t>
            </w:r>
          </w:p>
        </w:tc>
        <w:tc>
          <w:tcPr>
            <w:tcW w:w="6781" w:type="dxa"/>
            <w:tcBorders>
              <w:top w:val="single" w:color="auto" w:sz="4" w:space="0"/>
              <w:left w:val="single" w:color="auto" w:sz="4" w:space="0"/>
              <w:bottom w:val="single" w:color="auto" w:sz="4" w:space="0"/>
              <w:right w:val="single" w:color="auto" w:sz="4" w:space="0"/>
            </w:tcBorders>
            <w:vAlign w:val="center"/>
          </w:tcPr>
          <w:p w14:paraId="5FBC65DA">
            <w:pPr>
              <w:spacing w:line="46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后续服务处理问题响应时间：在后续服务期内应对采购人提供免费技术咨询服务，在此期间接到采购人处理问题通知后4小时内到达采购人指定现场，并在8小时内处理好常规性问题</w:t>
            </w:r>
            <w:r>
              <w:rPr>
                <w:rFonts w:hint="eastAsia" w:ascii="宋体" w:hAnsi="宋体" w:eastAsia="宋体" w:cs="宋体"/>
                <w:color w:val="auto"/>
                <w:sz w:val="24"/>
                <w:highlight w:val="none"/>
                <w:lang w:eastAsia="zh-CN"/>
              </w:rPr>
              <w:t>。</w:t>
            </w:r>
          </w:p>
        </w:tc>
      </w:tr>
      <w:tr w14:paraId="4232E3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1" w:hRule="atLeast"/>
          <w:jc w:val="center"/>
        </w:trPr>
        <w:tc>
          <w:tcPr>
            <w:tcW w:w="2997" w:type="dxa"/>
            <w:gridSpan w:val="3"/>
            <w:tcBorders>
              <w:top w:val="single" w:color="auto" w:sz="4" w:space="0"/>
              <w:left w:val="single" w:color="auto" w:sz="4" w:space="0"/>
              <w:bottom w:val="single" w:color="auto" w:sz="4" w:space="0"/>
              <w:right w:val="single" w:color="auto" w:sz="4" w:space="0"/>
            </w:tcBorders>
            <w:vAlign w:val="center"/>
          </w:tcPr>
          <w:p w14:paraId="451D070D">
            <w:pPr>
              <w:spacing w:line="46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▲付款方式</w:t>
            </w:r>
          </w:p>
        </w:tc>
        <w:tc>
          <w:tcPr>
            <w:tcW w:w="6781" w:type="dxa"/>
            <w:tcBorders>
              <w:top w:val="single" w:color="auto" w:sz="4" w:space="0"/>
              <w:left w:val="single" w:color="auto" w:sz="4" w:space="0"/>
              <w:bottom w:val="single" w:color="auto" w:sz="4" w:space="0"/>
              <w:right w:val="single" w:color="auto" w:sz="4" w:space="0"/>
            </w:tcBorders>
            <w:vAlign w:val="center"/>
          </w:tcPr>
          <w:p w14:paraId="6A9451C7">
            <w:pPr>
              <w:spacing w:line="46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签订合同后，</w:t>
            </w:r>
            <w:r>
              <w:rPr>
                <w:rFonts w:hint="eastAsia" w:ascii="宋体" w:hAnsi="宋体" w:eastAsia="宋体" w:cs="宋体"/>
                <w:color w:val="auto"/>
                <w:sz w:val="24"/>
                <w:highlight w:val="none"/>
                <w:lang w:val="en-US" w:eastAsia="zh-CN"/>
              </w:rPr>
              <w:t>采购人在10个工作日内</w:t>
            </w:r>
            <w:r>
              <w:rPr>
                <w:rFonts w:hint="eastAsia" w:ascii="宋体" w:hAnsi="宋体" w:eastAsia="宋体" w:cs="宋体"/>
                <w:color w:val="auto"/>
                <w:sz w:val="24"/>
                <w:highlight w:val="none"/>
              </w:rPr>
              <w:t>支付</w:t>
            </w:r>
            <w:r>
              <w:rPr>
                <w:rFonts w:hint="eastAsia" w:ascii="宋体" w:hAnsi="宋体" w:eastAsia="宋体" w:cs="宋体"/>
                <w:color w:val="auto"/>
                <w:sz w:val="24"/>
                <w:highlight w:val="none"/>
                <w:lang w:val="en-US" w:eastAsia="zh-CN"/>
              </w:rPr>
              <w:t>合同金额的</w:t>
            </w:r>
            <w:r>
              <w:rPr>
                <w:rFonts w:hint="eastAsia" w:ascii="宋体" w:hAnsi="宋体" w:eastAsia="宋体" w:cs="宋体"/>
                <w:color w:val="auto"/>
                <w:sz w:val="24"/>
                <w:highlight w:val="none"/>
              </w:rPr>
              <w:t>30%</w:t>
            </w:r>
            <w:r>
              <w:rPr>
                <w:rFonts w:hint="eastAsia" w:ascii="宋体" w:hAnsi="宋体" w:eastAsia="宋体" w:cs="宋体"/>
                <w:color w:val="auto"/>
                <w:sz w:val="24"/>
                <w:highlight w:val="none"/>
                <w:lang w:val="en-US" w:eastAsia="zh-CN"/>
              </w:rPr>
              <w:t>给成交供应商</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项目</w:t>
            </w:r>
            <w:r>
              <w:rPr>
                <w:rFonts w:hint="eastAsia" w:ascii="宋体" w:hAnsi="宋体" w:eastAsia="宋体" w:cs="宋体"/>
                <w:color w:val="auto"/>
                <w:sz w:val="24"/>
                <w:highlight w:val="none"/>
              </w:rPr>
              <w:t>完成并提交成果文件最终版后，</w:t>
            </w:r>
            <w:r>
              <w:rPr>
                <w:rFonts w:hint="eastAsia" w:ascii="宋体" w:hAnsi="宋体" w:eastAsia="宋体" w:cs="宋体"/>
                <w:color w:val="auto"/>
                <w:sz w:val="24"/>
                <w:highlight w:val="none"/>
                <w:lang w:val="en-US" w:eastAsia="zh-CN"/>
              </w:rPr>
              <w:t>采购人</w:t>
            </w:r>
            <w:r>
              <w:rPr>
                <w:rFonts w:hint="eastAsia" w:ascii="宋体" w:hAnsi="宋体" w:eastAsia="宋体" w:cs="宋体"/>
                <w:color w:val="auto"/>
                <w:sz w:val="24"/>
                <w:highlight w:val="none"/>
              </w:rPr>
              <w:t>支付剩余</w:t>
            </w:r>
            <w:r>
              <w:rPr>
                <w:rFonts w:hint="eastAsia" w:ascii="宋体" w:hAnsi="宋体" w:eastAsia="宋体" w:cs="宋体"/>
                <w:color w:val="auto"/>
                <w:sz w:val="24"/>
                <w:highlight w:val="none"/>
                <w:lang w:val="en-US" w:eastAsia="zh-CN"/>
              </w:rPr>
              <w:t>合同金额的</w:t>
            </w:r>
            <w:r>
              <w:rPr>
                <w:rFonts w:hint="eastAsia" w:ascii="宋体" w:hAnsi="宋体" w:eastAsia="宋体" w:cs="宋体"/>
                <w:color w:val="auto"/>
                <w:sz w:val="24"/>
                <w:highlight w:val="none"/>
              </w:rPr>
              <w:t>70%</w:t>
            </w:r>
            <w:r>
              <w:rPr>
                <w:rFonts w:hint="eastAsia" w:ascii="宋体" w:hAnsi="宋体" w:eastAsia="宋体" w:cs="宋体"/>
                <w:color w:val="auto"/>
                <w:sz w:val="24"/>
                <w:highlight w:val="none"/>
                <w:lang w:val="en-US" w:eastAsia="zh-CN"/>
              </w:rPr>
              <w:t>给成交供应商</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成交供应商</w:t>
            </w:r>
            <w:r>
              <w:rPr>
                <w:rFonts w:hint="eastAsia" w:ascii="宋体" w:hAnsi="宋体" w:eastAsia="宋体" w:cs="宋体"/>
                <w:color w:val="auto"/>
                <w:sz w:val="24"/>
                <w:highlight w:val="none"/>
              </w:rPr>
              <w:t>收到付款于3个工作日内开具等额的财务发票给</w:t>
            </w:r>
            <w:r>
              <w:rPr>
                <w:rFonts w:hint="eastAsia" w:ascii="宋体" w:hAnsi="宋体" w:eastAsia="宋体" w:cs="宋体"/>
                <w:color w:val="auto"/>
                <w:sz w:val="24"/>
                <w:highlight w:val="none"/>
                <w:lang w:val="en-US" w:eastAsia="zh-CN"/>
              </w:rPr>
              <w:t>采购人</w:t>
            </w:r>
            <w:r>
              <w:rPr>
                <w:rFonts w:hint="eastAsia" w:ascii="宋体" w:hAnsi="宋体" w:eastAsia="宋体" w:cs="宋体"/>
                <w:color w:val="auto"/>
                <w:sz w:val="24"/>
                <w:highlight w:val="none"/>
                <w:lang w:eastAsia="zh-CN"/>
              </w:rPr>
              <w:t>。</w:t>
            </w:r>
          </w:p>
        </w:tc>
      </w:tr>
      <w:tr w14:paraId="0F27B3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6" w:hRule="atLeast"/>
          <w:jc w:val="center"/>
        </w:trPr>
        <w:tc>
          <w:tcPr>
            <w:tcW w:w="2997" w:type="dxa"/>
            <w:gridSpan w:val="3"/>
            <w:tcBorders>
              <w:top w:val="single" w:color="auto" w:sz="4" w:space="0"/>
              <w:left w:val="single" w:color="auto" w:sz="4" w:space="0"/>
              <w:bottom w:val="single" w:color="auto" w:sz="4" w:space="0"/>
              <w:right w:val="single" w:color="auto" w:sz="4" w:space="0"/>
            </w:tcBorders>
            <w:vAlign w:val="center"/>
          </w:tcPr>
          <w:p w14:paraId="316A22A1">
            <w:pPr>
              <w:spacing w:line="46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▲磋商报价要求</w:t>
            </w:r>
          </w:p>
        </w:tc>
        <w:tc>
          <w:tcPr>
            <w:tcW w:w="6781" w:type="dxa"/>
            <w:tcBorders>
              <w:top w:val="single" w:color="auto" w:sz="4" w:space="0"/>
              <w:left w:val="single" w:color="auto" w:sz="4" w:space="0"/>
              <w:bottom w:val="single" w:color="auto" w:sz="4" w:space="0"/>
              <w:right w:val="single" w:color="auto" w:sz="4" w:space="0"/>
            </w:tcBorders>
            <w:vAlign w:val="center"/>
          </w:tcPr>
          <w:p w14:paraId="4992DBC2">
            <w:pPr>
              <w:spacing w:line="46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1、报价必须包含以下部分：</w:t>
            </w:r>
          </w:p>
          <w:p w14:paraId="53187380">
            <w:pPr>
              <w:spacing w:line="46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（1）服务的价格；</w:t>
            </w:r>
          </w:p>
          <w:p w14:paraId="11FE906D">
            <w:pPr>
              <w:spacing w:line="46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竞标人的竞标报价应包括完成本次采购范围内全部工作的所有费用【包含但不限于报价费用包括编制费、成果印刷费及税费等所有与报告编制相关工作的费用等】。竞标人所填报的价格在合同实施期间不因市场价格变化等因素而变动，竞标人在报价时应考虑各种风险因素和承受能力。</w:t>
            </w:r>
          </w:p>
          <w:p w14:paraId="2A54BD57">
            <w:pPr>
              <w:spacing w:line="46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（3）该项目全程服务过程中所发生的一切费用由服务方自行负责，如所涉及的一切费用由服务方自行承担，服务方需满足采购人对本项目服务提出的有关需求所需的一切费用。</w:t>
            </w:r>
          </w:p>
          <w:p w14:paraId="5FEFDC2A">
            <w:pPr>
              <w:spacing w:line="46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2、报价方式：总价包干。</w:t>
            </w:r>
          </w:p>
        </w:tc>
      </w:tr>
      <w:tr w14:paraId="417C69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5" w:hRule="atLeast"/>
          <w:jc w:val="center"/>
        </w:trPr>
        <w:tc>
          <w:tcPr>
            <w:tcW w:w="2997" w:type="dxa"/>
            <w:gridSpan w:val="3"/>
            <w:tcBorders>
              <w:top w:val="single" w:color="auto" w:sz="4" w:space="0"/>
              <w:left w:val="single" w:color="auto" w:sz="4" w:space="0"/>
              <w:bottom w:val="single" w:color="auto" w:sz="4" w:space="0"/>
              <w:right w:val="single" w:color="auto" w:sz="4" w:space="0"/>
            </w:tcBorders>
            <w:vAlign w:val="center"/>
          </w:tcPr>
          <w:p w14:paraId="1D9E6485">
            <w:pPr>
              <w:spacing w:line="46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其他要求</w:t>
            </w:r>
          </w:p>
        </w:tc>
        <w:tc>
          <w:tcPr>
            <w:tcW w:w="6781" w:type="dxa"/>
            <w:tcBorders>
              <w:top w:val="single" w:color="auto" w:sz="4" w:space="0"/>
              <w:left w:val="single" w:color="auto" w:sz="4" w:space="0"/>
              <w:bottom w:val="single" w:color="auto" w:sz="4" w:space="0"/>
              <w:right w:val="single" w:color="auto" w:sz="4" w:space="0"/>
            </w:tcBorders>
            <w:vAlign w:val="center"/>
          </w:tcPr>
          <w:p w14:paraId="34EEF12B">
            <w:pPr>
              <w:spacing w:line="460" w:lineRule="exact"/>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成交供应商在实施项目过程中的交通费、差旅费、住宿费、伙食费、通讯费等自理，所有费用均包含在磋商报价中，不再另做结算。成交供应商实施项目服务工作期间如出现工作人员人身、财产安全事故、损失等由成交供应商全部负责，采购人不负任何责任</w:t>
            </w:r>
            <w:r>
              <w:rPr>
                <w:rFonts w:hint="eastAsia" w:ascii="宋体" w:hAnsi="宋体" w:eastAsia="宋体" w:cs="宋体"/>
                <w:color w:val="auto"/>
                <w:sz w:val="24"/>
                <w:highlight w:val="none"/>
                <w:lang w:eastAsia="zh-CN"/>
              </w:rPr>
              <w:t>。</w:t>
            </w:r>
          </w:p>
          <w:p w14:paraId="2033E31F">
            <w:pPr>
              <w:spacing w:line="46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成交供应商应遵守“诚信、公正、精业、进取”的原则，做好各类资料的整理、归集工作，技术材料装订成册，在项目验收时移交给采购人。</w:t>
            </w:r>
          </w:p>
        </w:tc>
      </w:tr>
    </w:tbl>
    <w:p w14:paraId="7326DE99">
      <w:pPr>
        <w:rPr>
          <w:rFonts w:hint="eastAsia" w:ascii="宋体" w:hAnsi="宋体" w:eastAsia="宋体" w:cs="宋体"/>
          <w:bCs/>
          <w:color w:val="auto"/>
          <w:sz w:val="24"/>
          <w:highlight w:val="none"/>
        </w:rPr>
      </w:pPr>
    </w:p>
    <w:p w14:paraId="2DD4F5E4">
      <w:pP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br w:type="page"/>
      </w:r>
    </w:p>
    <w:p w14:paraId="13354096">
      <w:pPr>
        <w:spacing w:line="360" w:lineRule="auto"/>
        <w:ind w:right="2" w:rightChars="1"/>
        <w:jc w:val="center"/>
        <w:outlineLvl w:val="1"/>
        <w:rPr>
          <w:rFonts w:hint="eastAsia" w:ascii="宋体" w:hAnsi="宋体" w:eastAsia="宋体" w:cs="宋体"/>
          <w:bCs/>
          <w:color w:val="auto"/>
          <w:sz w:val="24"/>
          <w:highlight w:val="none"/>
        </w:rPr>
      </w:pPr>
      <w:r>
        <w:rPr>
          <w:rFonts w:hint="eastAsia" w:ascii="宋体" w:hAnsi="宋体" w:eastAsia="宋体" w:cs="宋体"/>
          <w:b/>
          <w:bCs/>
          <w:color w:val="auto"/>
          <w:sz w:val="24"/>
          <w:highlight w:val="none"/>
          <w:lang w:val="en-US" w:eastAsia="zh-CN"/>
        </w:rPr>
        <w:t>2</w:t>
      </w:r>
      <w:r>
        <w:rPr>
          <w:rFonts w:hint="eastAsia" w:ascii="宋体" w:hAnsi="宋体" w:eastAsia="宋体" w:cs="宋体"/>
          <w:b/>
          <w:bCs/>
          <w:color w:val="auto"/>
          <w:sz w:val="24"/>
          <w:highlight w:val="none"/>
        </w:rPr>
        <w:t>分标</w:t>
      </w:r>
    </w:p>
    <w:tbl>
      <w:tblPr>
        <w:tblStyle w:val="29"/>
        <w:tblW w:w="977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93"/>
        <w:gridCol w:w="1675"/>
        <w:gridCol w:w="970"/>
        <w:gridCol w:w="6540"/>
      </w:tblGrid>
      <w:tr w14:paraId="4205C3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4" w:hRule="atLeast"/>
          <w:jc w:val="center"/>
        </w:trPr>
        <w:tc>
          <w:tcPr>
            <w:tcW w:w="9778" w:type="dxa"/>
            <w:gridSpan w:val="4"/>
            <w:tcBorders>
              <w:top w:val="single" w:color="000000" w:sz="4" w:space="0"/>
              <w:left w:val="single" w:color="000000" w:sz="4" w:space="0"/>
              <w:bottom w:val="single" w:color="000000" w:sz="4" w:space="0"/>
              <w:right w:val="single" w:color="000000" w:sz="4" w:space="0"/>
            </w:tcBorders>
            <w:vAlign w:val="center"/>
          </w:tcPr>
          <w:p w14:paraId="05F890BA">
            <w:pPr>
              <w:tabs>
                <w:tab w:val="left" w:pos="180"/>
                <w:tab w:val="left" w:pos="1620"/>
              </w:tabs>
              <w:spacing w:line="460" w:lineRule="exact"/>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一、项目要求及技术需求</w:t>
            </w:r>
          </w:p>
        </w:tc>
      </w:tr>
      <w:tr w14:paraId="29955F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4" w:hRule="atLeast"/>
          <w:jc w:val="center"/>
        </w:trPr>
        <w:tc>
          <w:tcPr>
            <w:tcW w:w="593" w:type="dxa"/>
            <w:tcBorders>
              <w:top w:val="single" w:color="000000" w:sz="4" w:space="0"/>
              <w:left w:val="single" w:color="000000" w:sz="4" w:space="0"/>
              <w:bottom w:val="single" w:color="000000" w:sz="4" w:space="0"/>
              <w:right w:val="single" w:color="000000" w:sz="4" w:space="0"/>
            </w:tcBorders>
            <w:vAlign w:val="center"/>
          </w:tcPr>
          <w:p w14:paraId="59B29A60">
            <w:pPr>
              <w:tabs>
                <w:tab w:val="left" w:pos="180"/>
                <w:tab w:val="left" w:pos="1620"/>
              </w:tabs>
              <w:spacing w:line="460" w:lineRule="exact"/>
              <w:jc w:val="center"/>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rPr>
              <w:t>序号</w:t>
            </w:r>
          </w:p>
        </w:tc>
        <w:tc>
          <w:tcPr>
            <w:tcW w:w="1675" w:type="dxa"/>
            <w:tcBorders>
              <w:top w:val="single" w:color="000000" w:sz="4" w:space="0"/>
              <w:left w:val="single" w:color="000000" w:sz="4" w:space="0"/>
              <w:bottom w:val="single" w:color="000000" w:sz="4" w:space="0"/>
              <w:right w:val="single" w:color="000000" w:sz="4" w:space="0"/>
            </w:tcBorders>
            <w:vAlign w:val="center"/>
          </w:tcPr>
          <w:p w14:paraId="06671488">
            <w:pPr>
              <w:tabs>
                <w:tab w:val="left" w:pos="180"/>
                <w:tab w:val="left" w:pos="1620"/>
              </w:tabs>
              <w:spacing w:line="460" w:lineRule="exact"/>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服务名称</w:t>
            </w:r>
          </w:p>
        </w:tc>
        <w:tc>
          <w:tcPr>
            <w:tcW w:w="970" w:type="dxa"/>
            <w:tcBorders>
              <w:top w:val="single" w:color="000000" w:sz="4" w:space="0"/>
              <w:left w:val="single" w:color="000000" w:sz="4" w:space="0"/>
              <w:bottom w:val="single" w:color="000000" w:sz="4" w:space="0"/>
              <w:right w:val="single" w:color="000000" w:sz="4" w:space="0"/>
            </w:tcBorders>
            <w:vAlign w:val="center"/>
          </w:tcPr>
          <w:p w14:paraId="4357E773">
            <w:pPr>
              <w:tabs>
                <w:tab w:val="left" w:pos="180"/>
                <w:tab w:val="left" w:pos="1620"/>
              </w:tabs>
              <w:spacing w:line="460" w:lineRule="exact"/>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数量及</w:t>
            </w:r>
          </w:p>
          <w:p w14:paraId="7409B2ED">
            <w:pPr>
              <w:tabs>
                <w:tab w:val="left" w:pos="180"/>
                <w:tab w:val="left" w:pos="1620"/>
              </w:tabs>
              <w:spacing w:line="460" w:lineRule="exact"/>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单位</w:t>
            </w:r>
          </w:p>
        </w:tc>
        <w:tc>
          <w:tcPr>
            <w:tcW w:w="6540" w:type="dxa"/>
            <w:tcBorders>
              <w:top w:val="single" w:color="000000" w:sz="4" w:space="0"/>
              <w:left w:val="single" w:color="000000" w:sz="4" w:space="0"/>
              <w:bottom w:val="single" w:color="000000" w:sz="4" w:space="0"/>
              <w:right w:val="single" w:color="000000" w:sz="4" w:space="0"/>
            </w:tcBorders>
            <w:vAlign w:val="center"/>
          </w:tcPr>
          <w:p w14:paraId="45F0E0AB">
            <w:pPr>
              <w:tabs>
                <w:tab w:val="left" w:pos="180"/>
                <w:tab w:val="left" w:pos="1620"/>
              </w:tabs>
              <w:spacing w:line="460" w:lineRule="exact"/>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技术（服务）要求</w:t>
            </w:r>
          </w:p>
        </w:tc>
      </w:tr>
      <w:tr w14:paraId="28F47E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18" w:hRule="atLeast"/>
          <w:jc w:val="center"/>
        </w:trPr>
        <w:tc>
          <w:tcPr>
            <w:tcW w:w="593" w:type="dxa"/>
            <w:tcBorders>
              <w:top w:val="single" w:color="000000" w:sz="4" w:space="0"/>
              <w:left w:val="single" w:color="000000" w:sz="4" w:space="0"/>
              <w:bottom w:val="single" w:color="000000" w:sz="4" w:space="0"/>
              <w:right w:val="single" w:color="000000" w:sz="4" w:space="0"/>
            </w:tcBorders>
            <w:vAlign w:val="center"/>
          </w:tcPr>
          <w:p w14:paraId="487B208B">
            <w:pPr>
              <w:tabs>
                <w:tab w:val="left" w:pos="180"/>
                <w:tab w:val="left" w:pos="1620"/>
              </w:tabs>
              <w:spacing w:line="460" w:lineRule="exact"/>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1</w:t>
            </w:r>
          </w:p>
        </w:tc>
        <w:tc>
          <w:tcPr>
            <w:tcW w:w="1675" w:type="dxa"/>
            <w:tcBorders>
              <w:top w:val="single" w:color="000000" w:sz="4" w:space="0"/>
              <w:left w:val="single" w:color="000000" w:sz="4" w:space="0"/>
              <w:bottom w:val="single" w:color="000000" w:sz="4" w:space="0"/>
              <w:right w:val="single" w:color="000000" w:sz="4" w:space="0"/>
            </w:tcBorders>
            <w:vAlign w:val="center"/>
          </w:tcPr>
          <w:p w14:paraId="1FFD6048">
            <w:pPr>
              <w:tabs>
                <w:tab w:val="left" w:pos="180"/>
                <w:tab w:val="left" w:pos="1620"/>
              </w:tabs>
              <w:spacing w:line="460" w:lineRule="exact"/>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lang w:val="en-US" w:eastAsia="zh-CN"/>
              </w:rPr>
              <w:t>G241玉林分界至博白公路改建工程施工图安全评价及设计审查</w:t>
            </w:r>
          </w:p>
        </w:tc>
        <w:tc>
          <w:tcPr>
            <w:tcW w:w="970" w:type="dxa"/>
            <w:tcBorders>
              <w:top w:val="single" w:color="000000" w:sz="4" w:space="0"/>
              <w:left w:val="single" w:color="000000" w:sz="4" w:space="0"/>
              <w:bottom w:val="single" w:color="000000" w:sz="4" w:space="0"/>
              <w:right w:val="single" w:color="000000" w:sz="4" w:space="0"/>
            </w:tcBorders>
            <w:vAlign w:val="center"/>
          </w:tcPr>
          <w:p w14:paraId="3C5AA06F">
            <w:pPr>
              <w:tabs>
                <w:tab w:val="left" w:pos="180"/>
                <w:tab w:val="left" w:pos="1620"/>
              </w:tabs>
              <w:spacing w:line="460" w:lineRule="exact"/>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1项</w:t>
            </w:r>
          </w:p>
        </w:tc>
        <w:tc>
          <w:tcPr>
            <w:tcW w:w="6540" w:type="dxa"/>
            <w:tcBorders>
              <w:top w:val="single" w:color="000000" w:sz="4" w:space="0"/>
              <w:left w:val="single" w:color="000000" w:sz="4" w:space="0"/>
              <w:bottom w:val="single" w:color="000000" w:sz="4" w:space="0"/>
              <w:right w:val="single" w:color="000000" w:sz="4" w:space="0"/>
            </w:tcBorders>
            <w:vAlign w:val="center"/>
          </w:tcPr>
          <w:p w14:paraId="45937198">
            <w:pPr>
              <w:spacing w:line="460" w:lineRule="exact"/>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一、</w:t>
            </w:r>
            <w:r>
              <w:rPr>
                <w:rFonts w:hint="eastAsia" w:ascii="宋体" w:hAnsi="宋体" w:eastAsia="宋体" w:cs="宋体"/>
                <w:color w:val="auto"/>
                <w:sz w:val="24"/>
                <w:highlight w:val="none"/>
              </w:rPr>
              <w:t>▲服务内容：</w:t>
            </w:r>
            <w:r>
              <w:rPr>
                <w:rFonts w:hint="eastAsia" w:ascii="宋体" w:hAnsi="宋体" w:eastAsia="宋体" w:cs="宋体"/>
                <w:color w:val="auto"/>
                <w:sz w:val="24"/>
                <w:highlight w:val="none"/>
                <w:lang w:val="en-US" w:eastAsia="zh-CN"/>
              </w:rPr>
              <w:t>对G241玉林分界至博白公路改建工程施工图安全评价及设计审查</w:t>
            </w:r>
            <w:r>
              <w:rPr>
                <w:rFonts w:hint="eastAsia" w:ascii="宋体" w:hAnsi="宋体" w:eastAsia="宋体" w:cs="宋体"/>
                <w:color w:val="auto"/>
                <w:sz w:val="24"/>
                <w:highlight w:val="none"/>
                <w:lang w:eastAsia="zh-CN"/>
              </w:rPr>
              <w:t>进行采购。</w:t>
            </w:r>
          </w:p>
          <w:p w14:paraId="40E312D5">
            <w:pPr>
              <w:spacing w:line="460" w:lineRule="exact"/>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二、</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采购范围：</w:t>
            </w:r>
          </w:p>
          <w:p w14:paraId="5E17C5DB">
            <w:pPr>
              <w:spacing w:line="460" w:lineRule="exact"/>
              <w:ind w:firstLine="480" w:firstLineChars="200"/>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G241玉林分界至博白公路改建工程施工图安全评价及设计审查，包含施工图设计安全性评价、施工图设计咨询审查报告编制服务。</w:t>
            </w:r>
          </w:p>
          <w:p w14:paraId="61F45357">
            <w:pPr>
              <w:spacing w:line="46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三、</w:t>
            </w:r>
            <w:r>
              <w:rPr>
                <w:rFonts w:hint="eastAsia" w:ascii="宋体" w:hAnsi="宋体" w:eastAsia="宋体" w:cs="宋体"/>
                <w:color w:val="auto"/>
                <w:sz w:val="24"/>
                <w:highlight w:val="none"/>
              </w:rPr>
              <w:t>▲质量标准：</w:t>
            </w:r>
          </w:p>
          <w:p w14:paraId="18DDEAEF">
            <w:pPr>
              <w:spacing w:line="46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本项目须执行的国家相关标准、行业标准、地方标准或者其他标准、规范。</w:t>
            </w:r>
          </w:p>
          <w:p w14:paraId="53D53BAD">
            <w:pPr>
              <w:spacing w:line="46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本项目如有国家相关标准、行业标准、地方标准或者其他标准、规范的，应执行相应的标准、规范。如具体采购需求与标准、规范不一致的，高于标准、规范的按具体采购需求执行，低于标准、规范的按标准、规范执行。</w:t>
            </w:r>
          </w:p>
          <w:p w14:paraId="3C3F2A01">
            <w:pPr>
              <w:spacing w:line="46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四、</w:t>
            </w:r>
            <w:r>
              <w:rPr>
                <w:rFonts w:hint="eastAsia" w:ascii="宋体" w:hAnsi="宋体" w:eastAsia="宋体" w:cs="宋体"/>
                <w:color w:val="auto"/>
                <w:sz w:val="24"/>
                <w:highlight w:val="none"/>
              </w:rPr>
              <w:t>▲成果</w:t>
            </w:r>
            <w:r>
              <w:rPr>
                <w:rFonts w:hint="eastAsia" w:ascii="宋体" w:hAnsi="宋体" w:eastAsia="宋体" w:cs="宋体"/>
                <w:color w:val="auto"/>
                <w:sz w:val="24"/>
                <w:highlight w:val="none"/>
                <w:lang w:eastAsia="zh-CN"/>
              </w:rPr>
              <w:t>文件</w:t>
            </w:r>
            <w:r>
              <w:rPr>
                <w:rFonts w:hint="eastAsia" w:ascii="宋体" w:hAnsi="宋体" w:eastAsia="宋体" w:cs="宋体"/>
                <w:color w:val="auto"/>
                <w:sz w:val="24"/>
                <w:highlight w:val="none"/>
              </w:rPr>
              <w:t>：</w:t>
            </w:r>
          </w:p>
          <w:p w14:paraId="0CBA5BD1">
            <w:pPr>
              <w:spacing w:line="460" w:lineRule="exact"/>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1、成交供应商需独立编制并提交1套成果资料。</w:t>
            </w:r>
          </w:p>
          <w:p w14:paraId="25558E2D">
            <w:pPr>
              <w:spacing w:line="460" w:lineRule="exact"/>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2成果资料包含：纸质文本两套及电子文件两套（存储于U盘）。</w:t>
            </w:r>
          </w:p>
          <w:p w14:paraId="6CCFDCDE">
            <w:pPr>
              <w:spacing w:line="460" w:lineRule="exact"/>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3、电子文件需根据采购人需要，提供专题报告相关的CAD、PDF、EXCEL、WORD等格式文件。</w:t>
            </w:r>
          </w:p>
          <w:p w14:paraId="7F92CAA1">
            <w:pPr>
              <w:spacing w:line="46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五、</w:t>
            </w:r>
            <w:r>
              <w:rPr>
                <w:rFonts w:hint="eastAsia" w:ascii="宋体" w:hAnsi="宋体" w:eastAsia="宋体" w:cs="宋体"/>
                <w:color w:val="auto"/>
                <w:sz w:val="24"/>
                <w:highlight w:val="none"/>
              </w:rPr>
              <w:t>▲人员配置情况要求：拟投入的主要专业技术人员至少包含路基、路面专业，须在响应文件中提供相关人员的证明材料复印件并加盖单位公章。</w:t>
            </w:r>
          </w:p>
          <w:p w14:paraId="728B3E5B">
            <w:pPr>
              <w:spacing w:line="46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六、</w:t>
            </w:r>
            <w:r>
              <w:rPr>
                <w:rFonts w:hint="eastAsia" w:ascii="宋体" w:hAnsi="宋体" w:eastAsia="宋体" w:cs="宋体"/>
                <w:color w:val="auto"/>
                <w:sz w:val="24"/>
                <w:highlight w:val="none"/>
              </w:rPr>
              <w:t>▲成果要求：安全性评价报告、施工图设计咨询审查报告内容需符合国家法律、法规、技术标准及规范要求的深度、广度，确保获得相关主管部门批复或认可。成交人须按国家、省、市现行规范、标准及采购单位要求的编制及审查内容、完成时间开展工作，报告内容及相关数据完整、准确、真实、清晰。成交人须对报告成果及相关信息的真实、可靠、保密负责，未经采购单位书面同意，不得向第三方泄露报告相关内容及涉及的各类信息。</w:t>
            </w:r>
          </w:p>
          <w:p w14:paraId="2797D180">
            <w:pPr>
              <w:spacing w:line="460" w:lineRule="exact"/>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七、</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采购内容各项费用：</w:t>
            </w:r>
          </w:p>
          <w:tbl>
            <w:tblPr>
              <w:tblStyle w:val="30"/>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85"/>
              <w:gridCol w:w="2828"/>
            </w:tblGrid>
            <w:tr w14:paraId="036DE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9" w:hRule="atLeast"/>
              </w:trPr>
              <w:tc>
                <w:tcPr>
                  <w:tcW w:w="2760" w:type="pct"/>
                  <w:noWrap w:val="0"/>
                  <w:vAlign w:val="center"/>
                </w:tcPr>
                <w:p w14:paraId="6E80092D">
                  <w:pPr>
                    <w:spacing w:line="460" w:lineRule="exact"/>
                    <w:ind w:firstLine="480" w:firstLineChars="200"/>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采购内容</w:t>
                  </w:r>
                </w:p>
              </w:tc>
              <w:tc>
                <w:tcPr>
                  <w:tcW w:w="2239" w:type="pct"/>
                  <w:noWrap w:val="0"/>
                  <w:vAlign w:val="center"/>
                </w:tcPr>
                <w:p w14:paraId="6EB9410E">
                  <w:pPr>
                    <w:spacing w:line="460" w:lineRule="exact"/>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采购预算金额（万元）</w:t>
                  </w:r>
                </w:p>
              </w:tc>
            </w:tr>
            <w:tr w14:paraId="6F8DB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2760" w:type="pct"/>
                  <w:noWrap w:val="0"/>
                  <w:vAlign w:val="center"/>
                </w:tcPr>
                <w:p w14:paraId="056686E7">
                  <w:pPr>
                    <w:spacing w:line="460" w:lineRule="exact"/>
                    <w:ind w:firstLine="480" w:firstLineChars="200"/>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施工图设计安全性评价</w:t>
                  </w:r>
                </w:p>
              </w:tc>
              <w:tc>
                <w:tcPr>
                  <w:tcW w:w="2239" w:type="pct"/>
                  <w:noWrap w:val="0"/>
                  <w:vAlign w:val="center"/>
                </w:tcPr>
                <w:p w14:paraId="1BCFD8E6">
                  <w:pPr>
                    <w:spacing w:line="460" w:lineRule="exact"/>
                    <w:ind w:firstLine="480" w:firstLineChars="20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8</w:t>
                  </w:r>
                </w:p>
              </w:tc>
            </w:tr>
            <w:tr w14:paraId="17A7C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5" w:hRule="atLeast"/>
              </w:trPr>
              <w:tc>
                <w:tcPr>
                  <w:tcW w:w="2760" w:type="pct"/>
                  <w:noWrap w:val="0"/>
                  <w:vAlign w:val="center"/>
                </w:tcPr>
                <w:p w14:paraId="06A2D64F">
                  <w:pPr>
                    <w:spacing w:line="460" w:lineRule="exact"/>
                    <w:ind w:firstLine="480" w:firstLineChars="200"/>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施工图设计咨询审查报告</w:t>
                  </w:r>
                </w:p>
              </w:tc>
              <w:tc>
                <w:tcPr>
                  <w:tcW w:w="2239" w:type="pct"/>
                  <w:noWrap w:val="0"/>
                  <w:vAlign w:val="center"/>
                </w:tcPr>
                <w:p w14:paraId="0CB9227A">
                  <w:pPr>
                    <w:spacing w:line="460" w:lineRule="exact"/>
                    <w:ind w:firstLine="480" w:firstLineChars="20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3.5</w:t>
                  </w:r>
                </w:p>
              </w:tc>
            </w:tr>
            <w:tr w14:paraId="181E9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2760" w:type="pct"/>
                  <w:noWrap w:val="0"/>
                  <w:vAlign w:val="center"/>
                </w:tcPr>
                <w:p w14:paraId="4155539C">
                  <w:pPr>
                    <w:spacing w:line="460" w:lineRule="exact"/>
                    <w:ind w:firstLine="480" w:firstLineChars="200"/>
                    <w:jc w:val="left"/>
                    <w:rPr>
                      <w:rFonts w:hint="eastAsia" w:ascii="宋体" w:hAnsi="宋体" w:eastAsia="宋体" w:cs="宋体"/>
                      <w:b w:val="0"/>
                      <w:bCs w:val="0"/>
                      <w:color w:val="auto"/>
                      <w:sz w:val="24"/>
                      <w:highlight w:val="none"/>
                      <w:lang w:eastAsia="zh-CN"/>
                    </w:rPr>
                  </w:pPr>
                  <w:r>
                    <w:rPr>
                      <w:rFonts w:hint="eastAsia" w:ascii="宋体" w:hAnsi="宋体" w:eastAsia="宋体" w:cs="宋体"/>
                      <w:b w:val="0"/>
                      <w:bCs w:val="0"/>
                      <w:color w:val="auto"/>
                      <w:sz w:val="24"/>
                      <w:highlight w:val="none"/>
                      <w:lang w:eastAsia="zh-CN"/>
                    </w:rPr>
                    <w:t>合计</w:t>
                  </w:r>
                </w:p>
              </w:tc>
              <w:tc>
                <w:tcPr>
                  <w:tcW w:w="2239" w:type="pct"/>
                  <w:noWrap w:val="0"/>
                  <w:vAlign w:val="center"/>
                </w:tcPr>
                <w:p w14:paraId="23702B0E">
                  <w:pPr>
                    <w:spacing w:line="460" w:lineRule="exact"/>
                    <w:ind w:firstLine="480" w:firstLineChars="200"/>
                    <w:jc w:val="center"/>
                    <w:rPr>
                      <w:rFonts w:hint="eastAsia" w:ascii="宋体" w:hAnsi="宋体" w:eastAsia="宋体" w:cs="宋体"/>
                      <w:b w:val="0"/>
                      <w:bCs w:val="0"/>
                      <w:color w:val="auto"/>
                      <w:sz w:val="24"/>
                      <w:highlight w:val="none"/>
                      <w:lang w:eastAsia="zh-CN"/>
                    </w:rPr>
                  </w:pPr>
                  <w:r>
                    <w:rPr>
                      <w:rFonts w:hint="eastAsia" w:ascii="宋体" w:hAnsi="宋体" w:eastAsia="宋体" w:cs="宋体"/>
                      <w:b w:val="0"/>
                      <w:bCs w:val="0"/>
                      <w:color w:val="auto"/>
                      <w:sz w:val="24"/>
                      <w:highlight w:val="none"/>
                      <w:lang w:val="en-US" w:eastAsia="zh-CN"/>
                    </w:rPr>
                    <w:t>11.5</w:t>
                  </w:r>
                </w:p>
              </w:tc>
            </w:tr>
          </w:tbl>
          <w:p w14:paraId="073434CB">
            <w:pPr>
              <w:spacing w:line="46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注：磋商报价均不能超出</w:t>
            </w:r>
            <w:r>
              <w:rPr>
                <w:rFonts w:hint="eastAsia" w:ascii="宋体" w:hAnsi="宋体" w:eastAsia="宋体" w:cs="宋体"/>
                <w:color w:val="auto"/>
                <w:sz w:val="24"/>
                <w:highlight w:val="none"/>
                <w:lang w:eastAsia="zh-CN"/>
              </w:rPr>
              <w:t>各项</w:t>
            </w:r>
            <w:r>
              <w:rPr>
                <w:rFonts w:hint="eastAsia" w:ascii="宋体" w:hAnsi="宋体" w:eastAsia="宋体" w:cs="宋体"/>
                <w:color w:val="auto"/>
                <w:sz w:val="24"/>
                <w:highlight w:val="none"/>
                <w:lang w:val="en-US" w:eastAsia="zh-CN"/>
              </w:rPr>
              <w:t>采购预算金额。</w:t>
            </w:r>
          </w:p>
        </w:tc>
      </w:tr>
      <w:tr w14:paraId="5FF409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778" w:type="dxa"/>
            <w:gridSpan w:val="4"/>
            <w:tcBorders>
              <w:top w:val="single" w:color="auto" w:sz="4" w:space="0"/>
              <w:left w:val="single" w:color="auto" w:sz="4" w:space="0"/>
              <w:bottom w:val="single" w:color="auto" w:sz="4" w:space="0"/>
              <w:right w:val="single" w:color="auto" w:sz="4" w:space="0"/>
            </w:tcBorders>
          </w:tcPr>
          <w:p w14:paraId="73C51EA0">
            <w:pPr>
              <w:spacing w:line="460" w:lineRule="exact"/>
              <w:rPr>
                <w:rFonts w:hint="eastAsia" w:ascii="宋体" w:hAnsi="宋体" w:eastAsia="宋体" w:cs="宋体"/>
                <w:b/>
                <w:color w:val="auto"/>
                <w:sz w:val="24"/>
                <w:highlight w:val="none"/>
              </w:rPr>
            </w:pPr>
            <w:r>
              <w:rPr>
                <w:rFonts w:hint="eastAsia" w:ascii="宋体" w:hAnsi="宋体" w:eastAsia="宋体" w:cs="宋体"/>
                <w:color w:val="auto"/>
                <w:sz w:val="24"/>
                <w:highlight w:val="none"/>
                <w:lang w:val="en-US" w:eastAsia="zh-CN"/>
              </w:rPr>
              <w:t>二、</w:t>
            </w:r>
            <w:r>
              <w:rPr>
                <w:rFonts w:hint="eastAsia" w:ascii="宋体" w:hAnsi="宋体" w:eastAsia="宋体" w:cs="宋体"/>
                <w:b/>
                <w:color w:val="auto"/>
                <w:sz w:val="24"/>
                <w:highlight w:val="none"/>
              </w:rPr>
              <w:t>商务要求</w:t>
            </w:r>
          </w:p>
        </w:tc>
      </w:tr>
      <w:tr w14:paraId="7049E7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238" w:type="dxa"/>
            <w:gridSpan w:val="3"/>
            <w:tcBorders>
              <w:top w:val="single" w:color="auto" w:sz="4" w:space="0"/>
              <w:left w:val="single" w:color="auto" w:sz="4" w:space="0"/>
              <w:bottom w:val="single" w:color="auto" w:sz="4" w:space="0"/>
              <w:right w:val="single" w:color="auto" w:sz="4" w:space="0"/>
            </w:tcBorders>
            <w:vAlign w:val="center"/>
          </w:tcPr>
          <w:p w14:paraId="7F59504F">
            <w:pPr>
              <w:spacing w:line="46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合同签订期</w:t>
            </w:r>
          </w:p>
        </w:tc>
        <w:tc>
          <w:tcPr>
            <w:tcW w:w="6540" w:type="dxa"/>
            <w:tcBorders>
              <w:top w:val="single" w:color="auto" w:sz="4" w:space="0"/>
              <w:left w:val="single" w:color="auto" w:sz="4" w:space="0"/>
              <w:bottom w:val="single" w:color="auto" w:sz="4" w:space="0"/>
              <w:right w:val="single" w:color="auto" w:sz="4" w:space="0"/>
            </w:tcBorders>
            <w:vAlign w:val="center"/>
          </w:tcPr>
          <w:p w14:paraId="47715545">
            <w:pPr>
              <w:spacing w:line="46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自成交通知书发出之日起25日内。</w:t>
            </w:r>
          </w:p>
        </w:tc>
      </w:tr>
      <w:tr w14:paraId="147EE4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6" w:hRule="atLeast"/>
          <w:jc w:val="center"/>
        </w:trPr>
        <w:tc>
          <w:tcPr>
            <w:tcW w:w="3238" w:type="dxa"/>
            <w:gridSpan w:val="3"/>
            <w:tcBorders>
              <w:top w:val="single" w:color="auto" w:sz="4" w:space="0"/>
              <w:left w:val="single" w:color="auto" w:sz="4" w:space="0"/>
              <w:bottom w:val="single" w:color="auto" w:sz="4" w:space="0"/>
              <w:right w:val="single" w:color="auto" w:sz="4" w:space="0"/>
            </w:tcBorders>
            <w:vAlign w:val="center"/>
          </w:tcPr>
          <w:p w14:paraId="28BD7B40">
            <w:pPr>
              <w:spacing w:line="46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▲提交服务成果时间</w:t>
            </w:r>
            <w:r>
              <w:rPr>
                <w:rFonts w:hint="eastAsia" w:ascii="宋体" w:hAnsi="宋体" w:eastAsia="宋体" w:cs="宋体"/>
                <w:color w:val="auto"/>
                <w:sz w:val="24"/>
                <w:highlight w:val="none"/>
                <w:lang w:val="en-US" w:eastAsia="zh-CN"/>
              </w:rPr>
              <w:t>及地点</w:t>
            </w:r>
          </w:p>
        </w:tc>
        <w:tc>
          <w:tcPr>
            <w:tcW w:w="6540" w:type="dxa"/>
            <w:tcBorders>
              <w:top w:val="single" w:color="auto" w:sz="4" w:space="0"/>
              <w:left w:val="single" w:color="auto" w:sz="4" w:space="0"/>
              <w:bottom w:val="single" w:color="auto" w:sz="4" w:space="0"/>
              <w:right w:val="single" w:color="auto" w:sz="4" w:space="0"/>
            </w:tcBorders>
            <w:vAlign w:val="center"/>
          </w:tcPr>
          <w:p w14:paraId="624D776F">
            <w:pPr>
              <w:spacing w:line="46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时间：</w:t>
            </w:r>
            <w:r>
              <w:rPr>
                <w:rFonts w:hint="eastAsia" w:ascii="宋体" w:hAnsi="宋体" w:eastAsia="宋体" w:cs="宋体"/>
                <w:color w:val="auto"/>
                <w:sz w:val="24"/>
                <w:highlight w:val="none"/>
              </w:rPr>
              <w:t>自签订合同之日起</w:t>
            </w:r>
            <w:r>
              <w:rPr>
                <w:rFonts w:hint="eastAsia" w:ascii="宋体" w:hAnsi="宋体" w:eastAsia="宋体" w:cs="宋体"/>
                <w:color w:val="auto"/>
                <w:sz w:val="24"/>
                <w:highlight w:val="none"/>
                <w:lang w:val="en-US" w:eastAsia="zh-CN"/>
              </w:rPr>
              <w:t>60</w:t>
            </w:r>
            <w:r>
              <w:rPr>
                <w:rFonts w:hint="eastAsia" w:ascii="宋体" w:hAnsi="宋体" w:eastAsia="宋体" w:cs="宋体"/>
                <w:color w:val="auto"/>
                <w:sz w:val="24"/>
                <w:highlight w:val="none"/>
              </w:rPr>
              <w:t>日历天内提交合格有效的成果资料。</w:t>
            </w:r>
          </w:p>
          <w:p w14:paraId="65ECC44C">
            <w:pPr>
              <w:spacing w:line="46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地点：广西玉林市内</w:t>
            </w:r>
            <w:r>
              <w:rPr>
                <w:rFonts w:hint="eastAsia" w:ascii="宋体" w:hAnsi="宋体" w:eastAsia="宋体" w:cs="宋体"/>
                <w:color w:val="auto"/>
                <w:sz w:val="24"/>
                <w:highlight w:val="none"/>
              </w:rPr>
              <w:t>采购人指定地点。</w:t>
            </w:r>
          </w:p>
        </w:tc>
      </w:tr>
      <w:tr w14:paraId="4DAF06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1" w:hRule="atLeast"/>
          <w:jc w:val="center"/>
        </w:trPr>
        <w:tc>
          <w:tcPr>
            <w:tcW w:w="3238" w:type="dxa"/>
            <w:gridSpan w:val="3"/>
            <w:tcBorders>
              <w:top w:val="single" w:color="auto" w:sz="4" w:space="0"/>
              <w:left w:val="single" w:color="auto" w:sz="4" w:space="0"/>
              <w:bottom w:val="single" w:color="auto" w:sz="4" w:space="0"/>
              <w:right w:val="single" w:color="auto" w:sz="4" w:space="0"/>
            </w:tcBorders>
            <w:vAlign w:val="center"/>
          </w:tcPr>
          <w:p w14:paraId="1EA5BBAE">
            <w:pPr>
              <w:spacing w:line="46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▲后续服务</w:t>
            </w:r>
          </w:p>
        </w:tc>
        <w:tc>
          <w:tcPr>
            <w:tcW w:w="6540" w:type="dxa"/>
            <w:tcBorders>
              <w:top w:val="single" w:color="auto" w:sz="4" w:space="0"/>
              <w:left w:val="single" w:color="auto" w:sz="4" w:space="0"/>
              <w:bottom w:val="single" w:color="auto" w:sz="4" w:space="0"/>
              <w:right w:val="single" w:color="auto" w:sz="4" w:space="0"/>
            </w:tcBorders>
            <w:vAlign w:val="center"/>
          </w:tcPr>
          <w:p w14:paraId="3E920A66">
            <w:pPr>
              <w:spacing w:line="46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后续服务处理问题响应时间：在后续服务期内应对采购人提供免费技术咨询服务，在此期间接到采购人处理问题通知后4小时内到达采购人指定现场，并在8小时内处理好常规性问题</w:t>
            </w:r>
            <w:r>
              <w:rPr>
                <w:rFonts w:hint="eastAsia" w:ascii="宋体" w:hAnsi="宋体" w:eastAsia="宋体" w:cs="宋体"/>
                <w:color w:val="auto"/>
                <w:sz w:val="24"/>
                <w:highlight w:val="none"/>
                <w:lang w:eastAsia="zh-CN"/>
              </w:rPr>
              <w:t>。</w:t>
            </w:r>
          </w:p>
        </w:tc>
      </w:tr>
      <w:tr w14:paraId="408774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1" w:hRule="atLeast"/>
          <w:jc w:val="center"/>
        </w:trPr>
        <w:tc>
          <w:tcPr>
            <w:tcW w:w="3238" w:type="dxa"/>
            <w:gridSpan w:val="3"/>
            <w:tcBorders>
              <w:top w:val="single" w:color="auto" w:sz="4" w:space="0"/>
              <w:left w:val="single" w:color="auto" w:sz="4" w:space="0"/>
              <w:bottom w:val="single" w:color="auto" w:sz="4" w:space="0"/>
              <w:right w:val="single" w:color="auto" w:sz="4" w:space="0"/>
            </w:tcBorders>
            <w:vAlign w:val="center"/>
          </w:tcPr>
          <w:p w14:paraId="491E3D17">
            <w:pPr>
              <w:spacing w:line="46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▲付款方式</w:t>
            </w:r>
          </w:p>
        </w:tc>
        <w:tc>
          <w:tcPr>
            <w:tcW w:w="6540" w:type="dxa"/>
            <w:tcBorders>
              <w:top w:val="single" w:color="auto" w:sz="4" w:space="0"/>
              <w:left w:val="single" w:color="auto" w:sz="4" w:space="0"/>
              <w:bottom w:val="single" w:color="auto" w:sz="4" w:space="0"/>
              <w:right w:val="single" w:color="auto" w:sz="4" w:space="0"/>
            </w:tcBorders>
            <w:vAlign w:val="center"/>
          </w:tcPr>
          <w:p w14:paraId="0DAC1DDA">
            <w:pPr>
              <w:spacing w:line="46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签订合同后，</w:t>
            </w:r>
            <w:r>
              <w:rPr>
                <w:rFonts w:hint="eastAsia" w:ascii="宋体" w:hAnsi="宋体" w:eastAsia="宋体" w:cs="宋体"/>
                <w:color w:val="auto"/>
                <w:sz w:val="24"/>
                <w:highlight w:val="none"/>
                <w:lang w:val="en-US" w:eastAsia="zh-CN"/>
              </w:rPr>
              <w:t>采购人在10个工作日内</w:t>
            </w:r>
            <w:r>
              <w:rPr>
                <w:rFonts w:hint="eastAsia" w:ascii="宋体" w:hAnsi="宋体" w:eastAsia="宋体" w:cs="宋体"/>
                <w:color w:val="auto"/>
                <w:sz w:val="24"/>
                <w:highlight w:val="none"/>
              </w:rPr>
              <w:t>支付</w:t>
            </w:r>
            <w:r>
              <w:rPr>
                <w:rFonts w:hint="eastAsia" w:ascii="宋体" w:hAnsi="宋体" w:eastAsia="宋体" w:cs="宋体"/>
                <w:color w:val="auto"/>
                <w:sz w:val="24"/>
                <w:highlight w:val="none"/>
                <w:lang w:val="en-US" w:eastAsia="zh-CN"/>
              </w:rPr>
              <w:t>合同金额的</w:t>
            </w:r>
            <w:r>
              <w:rPr>
                <w:rFonts w:hint="eastAsia" w:ascii="宋体" w:hAnsi="宋体" w:eastAsia="宋体" w:cs="宋体"/>
                <w:color w:val="auto"/>
                <w:sz w:val="24"/>
                <w:highlight w:val="none"/>
              </w:rPr>
              <w:t>30%</w:t>
            </w:r>
            <w:r>
              <w:rPr>
                <w:rFonts w:hint="eastAsia" w:ascii="宋体" w:hAnsi="宋体" w:eastAsia="宋体" w:cs="宋体"/>
                <w:color w:val="auto"/>
                <w:sz w:val="24"/>
                <w:highlight w:val="none"/>
                <w:lang w:val="en-US" w:eastAsia="zh-CN"/>
              </w:rPr>
              <w:t>给成交供应商</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项目</w:t>
            </w:r>
            <w:r>
              <w:rPr>
                <w:rFonts w:hint="eastAsia" w:ascii="宋体" w:hAnsi="宋体" w:eastAsia="宋体" w:cs="宋体"/>
                <w:color w:val="auto"/>
                <w:sz w:val="24"/>
                <w:highlight w:val="none"/>
              </w:rPr>
              <w:t>完成并提交成果文件最终版后，</w:t>
            </w:r>
            <w:r>
              <w:rPr>
                <w:rFonts w:hint="eastAsia" w:ascii="宋体" w:hAnsi="宋体" w:eastAsia="宋体" w:cs="宋体"/>
                <w:color w:val="auto"/>
                <w:sz w:val="24"/>
                <w:highlight w:val="none"/>
                <w:lang w:val="en-US" w:eastAsia="zh-CN"/>
              </w:rPr>
              <w:t>采购人</w:t>
            </w:r>
            <w:r>
              <w:rPr>
                <w:rFonts w:hint="eastAsia" w:ascii="宋体" w:hAnsi="宋体" w:eastAsia="宋体" w:cs="宋体"/>
                <w:color w:val="auto"/>
                <w:sz w:val="24"/>
                <w:highlight w:val="none"/>
              </w:rPr>
              <w:t>支付剩余</w:t>
            </w:r>
            <w:r>
              <w:rPr>
                <w:rFonts w:hint="eastAsia" w:ascii="宋体" w:hAnsi="宋体" w:eastAsia="宋体" w:cs="宋体"/>
                <w:color w:val="auto"/>
                <w:sz w:val="24"/>
                <w:highlight w:val="none"/>
                <w:lang w:val="en-US" w:eastAsia="zh-CN"/>
              </w:rPr>
              <w:t>合同金额的</w:t>
            </w:r>
            <w:r>
              <w:rPr>
                <w:rFonts w:hint="eastAsia" w:ascii="宋体" w:hAnsi="宋体" w:eastAsia="宋体" w:cs="宋体"/>
                <w:color w:val="auto"/>
                <w:sz w:val="24"/>
                <w:highlight w:val="none"/>
              </w:rPr>
              <w:t>70%</w:t>
            </w:r>
            <w:r>
              <w:rPr>
                <w:rFonts w:hint="eastAsia" w:ascii="宋体" w:hAnsi="宋体" w:eastAsia="宋体" w:cs="宋体"/>
                <w:color w:val="auto"/>
                <w:sz w:val="24"/>
                <w:highlight w:val="none"/>
                <w:lang w:val="en-US" w:eastAsia="zh-CN"/>
              </w:rPr>
              <w:t>给成交供应商</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成交供应商</w:t>
            </w:r>
            <w:r>
              <w:rPr>
                <w:rFonts w:hint="eastAsia" w:ascii="宋体" w:hAnsi="宋体" w:eastAsia="宋体" w:cs="宋体"/>
                <w:color w:val="auto"/>
                <w:sz w:val="24"/>
                <w:highlight w:val="none"/>
              </w:rPr>
              <w:t>收到付款于3个工作日内开具等额的财务发票给</w:t>
            </w:r>
            <w:r>
              <w:rPr>
                <w:rFonts w:hint="eastAsia" w:ascii="宋体" w:hAnsi="宋体" w:eastAsia="宋体" w:cs="宋体"/>
                <w:color w:val="auto"/>
                <w:sz w:val="24"/>
                <w:highlight w:val="none"/>
                <w:lang w:val="en-US" w:eastAsia="zh-CN"/>
              </w:rPr>
              <w:t>采购人</w:t>
            </w:r>
            <w:r>
              <w:rPr>
                <w:rFonts w:hint="eastAsia" w:ascii="宋体" w:hAnsi="宋体" w:eastAsia="宋体" w:cs="宋体"/>
                <w:color w:val="auto"/>
                <w:sz w:val="24"/>
                <w:highlight w:val="none"/>
                <w:lang w:eastAsia="zh-CN"/>
              </w:rPr>
              <w:t>。</w:t>
            </w:r>
          </w:p>
        </w:tc>
      </w:tr>
      <w:tr w14:paraId="424893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6" w:hRule="atLeast"/>
          <w:jc w:val="center"/>
        </w:trPr>
        <w:tc>
          <w:tcPr>
            <w:tcW w:w="3238" w:type="dxa"/>
            <w:gridSpan w:val="3"/>
            <w:tcBorders>
              <w:top w:val="single" w:color="auto" w:sz="4" w:space="0"/>
              <w:left w:val="single" w:color="auto" w:sz="4" w:space="0"/>
              <w:bottom w:val="single" w:color="auto" w:sz="4" w:space="0"/>
              <w:right w:val="single" w:color="auto" w:sz="4" w:space="0"/>
            </w:tcBorders>
            <w:vAlign w:val="center"/>
          </w:tcPr>
          <w:p w14:paraId="33E55A2B">
            <w:pPr>
              <w:spacing w:line="46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▲磋商报价要求</w:t>
            </w:r>
          </w:p>
        </w:tc>
        <w:tc>
          <w:tcPr>
            <w:tcW w:w="6540" w:type="dxa"/>
            <w:tcBorders>
              <w:top w:val="single" w:color="auto" w:sz="4" w:space="0"/>
              <w:left w:val="single" w:color="auto" w:sz="4" w:space="0"/>
              <w:bottom w:val="single" w:color="auto" w:sz="4" w:space="0"/>
              <w:right w:val="single" w:color="auto" w:sz="4" w:space="0"/>
            </w:tcBorders>
            <w:vAlign w:val="center"/>
          </w:tcPr>
          <w:p w14:paraId="7E31ADE7">
            <w:pPr>
              <w:spacing w:line="46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1、报价必须包含以下部分：</w:t>
            </w:r>
          </w:p>
          <w:p w14:paraId="41AEB4AB">
            <w:pPr>
              <w:spacing w:line="46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（1）服务的价格；</w:t>
            </w:r>
          </w:p>
          <w:p w14:paraId="5C15A46D">
            <w:pPr>
              <w:spacing w:line="46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竞标人的竞标报价应包括完成本次采购范围内全部工作的所有费用【包含但不限于报价费用包括编制费、成果印刷费及税费等所有与报告编制相关工作的费用等】。竞标人所填报的价格在合同实施期间不因市场价格变化等因素而变动，竞标人在报价时应考虑各种风险因素和承受能力。</w:t>
            </w:r>
          </w:p>
          <w:p w14:paraId="2BD6E040">
            <w:pPr>
              <w:spacing w:line="46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（3）该项目全程服务过程中所发生的一切费用由服务方自行负责，如所涉及的一切费用由服务方自行承担，服务方需满足采购人对本项目服务提出的有关需求所需的一切费用。</w:t>
            </w:r>
          </w:p>
          <w:p w14:paraId="0D143C72">
            <w:pPr>
              <w:spacing w:line="46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2、报价方式：总价包干。</w:t>
            </w:r>
          </w:p>
        </w:tc>
      </w:tr>
      <w:tr w14:paraId="66BD8F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5" w:hRule="atLeast"/>
          <w:jc w:val="center"/>
        </w:trPr>
        <w:tc>
          <w:tcPr>
            <w:tcW w:w="3238" w:type="dxa"/>
            <w:gridSpan w:val="3"/>
            <w:tcBorders>
              <w:top w:val="single" w:color="auto" w:sz="4" w:space="0"/>
              <w:left w:val="single" w:color="auto" w:sz="4" w:space="0"/>
              <w:bottom w:val="single" w:color="auto" w:sz="4" w:space="0"/>
              <w:right w:val="single" w:color="auto" w:sz="4" w:space="0"/>
            </w:tcBorders>
            <w:vAlign w:val="center"/>
          </w:tcPr>
          <w:p w14:paraId="2BA6A33D">
            <w:pPr>
              <w:spacing w:line="46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其他要求</w:t>
            </w:r>
          </w:p>
        </w:tc>
        <w:tc>
          <w:tcPr>
            <w:tcW w:w="6540" w:type="dxa"/>
            <w:tcBorders>
              <w:top w:val="single" w:color="auto" w:sz="4" w:space="0"/>
              <w:left w:val="single" w:color="auto" w:sz="4" w:space="0"/>
              <w:bottom w:val="single" w:color="auto" w:sz="4" w:space="0"/>
              <w:right w:val="single" w:color="auto" w:sz="4" w:space="0"/>
            </w:tcBorders>
            <w:vAlign w:val="center"/>
          </w:tcPr>
          <w:p w14:paraId="1F0C053F">
            <w:pPr>
              <w:spacing w:line="460" w:lineRule="exact"/>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成交供应商在实施项目过程中的交通费、差旅费、住宿费、伙食费、通讯费等自理，所有费用均包含在磋商报价中，不再另做结算。成交供应商实施项目服务工作期间如出现工作人员人身、财产安全事故、损失等由成交供应商全部负责，采购人不负任何责任</w:t>
            </w:r>
            <w:r>
              <w:rPr>
                <w:rFonts w:hint="eastAsia" w:ascii="宋体" w:hAnsi="宋体" w:eastAsia="宋体" w:cs="宋体"/>
                <w:color w:val="auto"/>
                <w:sz w:val="24"/>
                <w:highlight w:val="none"/>
                <w:lang w:eastAsia="zh-CN"/>
              </w:rPr>
              <w:t>。</w:t>
            </w:r>
          </w:p>
          <w:p w14:paraId="18AE1DF9">
            <w:pPr>
              <w:spacing w:line="46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成交供应商应遵守“诚信、公正、精业、进取”的原则，做好各类资料的整理、归集工作，技术材料装订成册，在项目验收时移交给采购人。</w:t>
            </w:r>
          </w:p>
        </w:tc>
      </w:tr>
    </w:tbl>
    <w:p w14:paraId="32B74EAA">
      <w:pP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br w:type="page"/>
      </w:r>
    </w:p>
    <w:p w14:paraId="47BCF1B2">
      <w:pPr>
        <w:jc w:val="center"/>
        <w:outlineLvl w:val="1"/>
        <w:rPr>
          <w:rFonts w:hint="eastAsia" w:ascii="宋体" w:hAnsi="宋体" w:eastAsia="宋体" w:cs="宋体"/>
          <w:bCs/>
          <w:color w:val="auto"/>
          <w:sz w:val="24"/>
          <w:highlight w:val="none"/>
        </w:rPr>
      </w:pPr>
      <w:r>
        <w:rPr>
          <w:rFonts w:hint="eastAsia" w:ascii="宋体" w:hAnsi="宋体" w:eastAsia="宋体" w:cs="宋体"/>
          <w:b/>
          <w:bCs/>
          <w:color w:val="auto"/>
          <w:sz w:val="24"/>
          <w:highlight w:val="none"/>
          <w:lang w:val="en-US" w:eastAsia="zh-CN"/>
        </w:rPr>
        <w:t>3</w:t>
      </w:r>
      <w:r>
        <w:rPr>
          <w:rFonts w:hint="eastAsia" w:ascii="宋体" w:hAnsi="宋体" w:eastAsia="宋体" w:cs="宋体"/>
          <w:b/>
          <w:bCs/>
          <w:color w:val="auto"/>
          <w:sz w:val="24"/>
          <w:highlight w:val="none"/>
        </w:rPr>
        <w:t>分标</w:t>
      </w:r>
    </w:p>
    <w:tbl>
      <w:tblPr>
        <w:tblStyle w:val="29"/>
        <w:tblW w:w="927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62"/>
        <w:gridCol w:w="1413"/>
        <w:gridCol w:w="1096"/>
        <w:gridCol w:w="6207"/>
      </w:tblGrid>
      <w:tr w14:paraId="18C7DD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0" w:hRule="atLeast"/>
          <w:jc w:val="center"/>
        </w:trPr>
        <w:tc>
          <w:tcPr>
            <w:tcW w:w="9278" w:type="dxa"/>
            <w:gridSpan w:val="4"/>
            <w:vAlign w:val="center"/>
          </w:tcPr>
          <w:p w14:paraId="2A55F81E">
            <w:pPr>
              <w:tabs>
                <w:tab w:val="left" w:pos="180"/>
                <w:tab w:val="left" w:pos="1620"/>
              </w:tabs>
              <w:spacing w:line="460" w:lineRule="exact"/>
              <w:jc w:val="left"/>
              <w:rPr>
                <w:rFonts w:hint="eastAsia" w:ascii="宋体" w:hAnsi="宋体" w:eastAsia="宋体" w:cs="宋体"/>
                <w:b/>
                <w:bCs/>
                <w:color w:val="auto"/>
                <w:kern w:val="0"/>
                <w:sz w:val="24"/>
                <w:highlight w:val="none"/>
              </w:rPr>
            </w:pPr>
            <w:r>
              <w:rPr>
                <w:rFonts w:hint="eastAsia" w:ascii="宋体" w:hAnsi="宋体" w:eastAsia="宋体" w:cs="宋体"/>
                <w:b/>
                <w:bCs/>
                <w:color w:val="auto"/>
                <w:sz w:val="24"/>
                <w:highlight w:val="none"/>
              </w:rPr>
              <w:t>一、项目要求及技术需求</w:t>
            </w:r>
          </w:p>
        </w:tc>
      </w:tr>
      <w:tr w14:paraId="73E7EA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07" w:hRule="atLeast"/>
          <w:jc w:val="center"/>
        </w:trPr>
        <w:tc>
          <w:tcPr>
            <w:tcW w:w="562" w:type="dxa"/>
            <w:vAlign w:val="center"/>
          </w:tcPr>
          <w:p w14:paraId="72362CAF">
            <w:pPr>
              <w:tabs>
                <w:tab w:val="left" w:pos="180"/>
                <w:tab w:val="left" w:pos="1620"/>
              </w:tabs>
              <w:spacing w:line="460" w:lineRule="exact"/>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1413" w:type="dxa"/>
            <w:vAlign w:val="center"/>
          </w:tcPr>
          <w:p w14:paraId="3B02E5C1">
            <w:pPr>
              <w:tabs>
                <w:tab w:val="left" w:pos="180"/>
                <w:tab w:val="left" w:pos="1620"/>
              </w:tabs>
              <w:spacing w:line="460" w:lineRule="exact"/>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服务名称</w:t>
            </w:r>
          </w:p>
        </w:tc>
        <w:tc>
          <w:tcPr>
            <w:tcW w:w="1096" w:type="dxa"/>
            <w:vAlign w:val="center"/>
          </w:tcPr>
          <w:p w14:paraId="11CE4EF0">
            <w:pPr>
              <w:tabs>
                <w:tab w:val="left" w:pos="180"/>
                <w:tab w:val="left" w:pos="1620"/>
              </w:tabs>
              <w:spacing w:line="460" w:lineRule="exact"/>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数量及</w:t>
            </w:r>
          </w:p>
          <w:p w14:paraId="15740491">
            <w:pPr>
              <w:tabs>
                <w:tab w:val="left" w:pos="180"/>
                <w:tab w:val="left" w:pos="1620"/>
              </w:tabs>
              <w:spacing w:line="460" w:lineRule="exact"/>
              <w:jc w:val="center"/>
              <w:rPr>
                <w:rFonts w:hint="eastAsia" w:ascii="宋体" w:hAnsi="宋体" w:eastAsia="宋体" w:cs="宋体"/>
                <w:color w:val="auto"/>
                <w:sz w:val="24"/>
                <w:highlight w:val="none"/>
              </w:rPr>
            </w:pPr>
            <w:r>
              <w:rPr>
                <w:rFonts w:hint="eastAsia" w:ascii="宋体" w:hAnsi="宋体" w:eastAsia="宋体" w:cs="宋体"/>
                <w:b/>
                <w:bCs/>
                <w:color w:val="auto"/>
                <w:kern w:val="0"/>
                <w:sz w:val="24"/>
                <w:highlight w:val="none"/>
              </w:rPr>
              <w:t>单位</w:t>
            </w:r>
          </w:p>
        </w:tc>
        <w:tc>
          <w:tcPr>
            <w:tcW w:w="6207" w:type="dxa"/>
            <w:vAlign w:val="center"/>
          </w:tcPr>
          <w:p w14:paraId="229723EC">
            <w:pPr>
              <w:tabs>
                <w:tab w:val="left" w:pos="180"/>
                <w:tab w:val="left" w:pos="1620"/>
              </w:tabs>
              <w:spacing w:line="460" w:lineRule="exact"/>
              <w:jc w:val="center"/>
              <w:rPr>
                <w:rFonts w:hint="eastAsia" w:ascii="宋体" w:hAnsi="宋体" w:eastAsia="宋体" w:cs="宋体"/>
                <w:color w:val="auto"/>
                <w:highlight w:val="none"/>
              </w:rPr>
            </w:pPr>
            <w:r>
              <w:rPr>
                <w:rFonts w:hint="eastAsia" w:ascii="宋体" w:hAnsi="宋体" w:eastAsia="宋体" w:cs="宋体"/>
                <w:b/>
                <w:bCs/>
                <w:color w:val="auto"/>
                <w:kern w:val="0"/>
                <w:sz w:val="24"/>
                <w:highlight w:val="none"/>
              </w:rPr>
              <w:t>技术（服务）要求</w:t>
            </w:r>
          </w:p>
        </w:tc>
      </w:tr>
      <w:tr w14:paraId="2E07B2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14:paraId="57B2677B">
            <w:pPr>
              <w:tabs>
                <w:tab w:val="left" w:pos="180"/>
                <w:tab w:val="left" w:pos="1620"/>
              </w:tabs>
              <w:spacing w:line="460" w:lineRule="exact"/>
              <w:jc w:val="center"/>
              <w:rPr>
                <w:rFonts w:hint="eastAsia" w:ascii="宋体" w:hAnsi="宋体" w:eastAsia="宋体" w:cs="宋体"/>
                <w:b/>
                <w:color w:val="auto"/>
                <w:sz w:val="24"/>
                <w:highlight w:val="none"/>
              </w:rPr>
            </w:pPr>
            <w:r>
              <w:rPr>
                <w:rFonts w:hint="eastAsia" w:ascii="宋体" w:hAnsi="宋体" w:eastAsia="宋体" w:cs="宋体"/>
                <w:b/>
                <w:bCs/>
                <w:color w:val="auto"/>
                <w:kern w:val="0"/>
                <w:sz w:val="24"/>
                <w:highlight w:val="none"/>
              </w:rPr>
              <w:t>1</w:t>
            </w:r>
          </w:p>
        </w:tc>
        <w:tc>
          <w:tcPr>
            <w:tcW w:w="1413" w:type="dxa"/>
            <w:tcBorders>
              <w:top w:val="single" w:color="auto" w:sz="4" w:space="0"/>
              <w:left w:val="single" w:color="auto" w:sz="4" w:space="0"/>
              <w:bottom w:val="single" w:color="auto" w:sz="4" w:space="0"/>
              <w:right w:val="single" w:color="auto" w:sz="4" w:space="0"/>
            </w:tcBorders>
            <w:vAlign w:val="center"/>
          </w:tcPr>
          <w:p w14:paraId="2195B1C5">
            <w:pPr>
              <w:tabs>
                <w:tab w:val="left" w:pos="180"/>
                <w:tab w:val="left" w:pos="1620"/>
              </w:tabs>
              <w:spacing w:line="460" w:lineRule="exact"/>
              <w:jc w:val="center"/>
              <w:rPr>
                <w:rFonts w:hint="eastAsia" w:ascii="宋体" w:hAnsi="宋体" w:eastAsia="宋体" w:cs="宋体"/>
                <w:color w:val="auto"/>
                <w:highlight w:val="none"/>
              </w:rPr>
            </w:pPr>
            <w:r>
              <w:rPr>
                <w:rFonts w:hint="eastAsia" w:ascii="宋体" w:hAnsi="宋体" w:eastAsia="宋体" w:cs="宋体"/>
                <w:b/>
                <w:bCs/>
                <w:color w:val="auto"/>
                <w:kern w:val="0"/>
                <w:sz w:val="24"/>
                <w:highlight w:val="none"/>
                <w:lang w:val="en-US" w:eastAsia="zh-CN"/>
              </w:rPr>
              <w:t>G241玉林分界至博白公路改建工程勘察设计</w:t>
            </w:r>
          </w:p>
        </w:tc>
        <w:tc>
          <w:tcPr>
            <w:tcW w:w="1096" w:type="dxa"/>
            <w:tcBorders>
              <w:top w:val="single" w:color="auto" w:sz="4" w:space="0"/>
              <w:left w:val="single" w:color="auto" w:sz="4" w:space="0"/>
              <w:bottom w:val="single" w:color="auto" w:sz="4" w:space="0"/>
              <w:right w:val="single" w:color="auto" w:sz="4" w:space="0"/>
            </w:tcBorders>
            <w:vAlign w:val="center"/>
          </w:tcPr>
          <w:p w14:paraId="34EE40E6">
            <w:pPr>
              <w:tabs>
                <w:tab w:val="left" w:pos="180"/>
                <w:tab w:val="left" w:pos="1620"/>
              </w:tabs>
              <w:spacing w:line="460" w:lineRule="exact"/>
              <w:jc w:val="center"/>
              <w:rPr>
                <w:rFonts w:hint="eastAsia" w:ascii="宋体" w:hAnsi="宋体" w:eastAsia="宋体" w:cs="宋体"/>
                <w:color w:val="auto"/>
                <w:highlight w:val="none"/>
              </w:rPr>
            </w:pPr>
            <w:r>
              <w:rPr>
                <w:rFonts w:hint="eastAsia" w:ascii="宋体" w:hAnsi="宋体" w:eastAsia="宋体" w:cs="宋体"/>
                <w:b/>
                <w:bCs/>
                <w:color w:val="auto"/>
                <w:kern w:val="0"/>
                <w:sz w:val="24"/>
                <w:highlight w:val="none"/>
              </w:rPr>
              <w:t>1项</w:t>
            </w:r>
          </w:p>
        </w:tc>
        <w:tc>
          <w:tcPr>
            <w:tcW w:w="6207" w:type="dxa"/>
            <w:tcBorders>
              <w:top w:val="single" w:color="auto" w:sz="4" w:space="0"/>
              <w:left w:val="single" w:color="auto" w:sz="4" w:space="0"/>
              <w:bottom w:val="single" w:color="auto" w:sz="4" w:space="0"/>
              <w:right w:val="single" w:color="auto" w:sz="4" w:space="0"/>
            </w:tcBorders>
            <w:vAlign w:val="center"/>
          </w:tcPr>
          <w:p w14:paraId="5D997035">
            <w:pPr>
              <w:spacing w:line="460" w:lineRule="exact"/>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一、</w:t>
            </w:r>
            <w:r>
              <w:rPr>
                <w:rFonts w:hint="eastAsia" w:ascii="宋体" w:hAnsi="宋体" w:eastAsia="宋体" w:cs="宋体"/>
                <w:color w:val="auto"/>
                <w:sz w:val="24"/>
                <w:highlight w:val="none"/>
              </w:rPr>
              <w:t>▲服务内容：</w:t>
            </w:r>
            <w:r>
              <w:rPr>
                <w:rFonts w:hint="eastAsia" w:ascii="宋体" w:hAnsi="宋体" w:eastAsia="宋体" w:cs="宋体"/>
                <w:color w:val="auto"/>
                <w:sz w:val="24"/>
                <w:highlight w:val="none"/>
                <w:lang w:val="en-US" w:eastAsia="zh-CN"/>
              </w:rPr>
              <w:t>对G241玉林分界至博白公路改建工程勘察设计</w:t>
            </w:r>
            <w:r>
              <w:rPr>
                <w:rFonts w:hint="eastAsia" w:ascii="宋体" w:hAnsi="宋体" w:eastAsia="宋体" w:cs="宋体"/>
                <w:color w:val="auto"/>
                <w:sz w:val="24"/>
                <w:highlight w:val="none"/>
                <w:lang w:eastAsia="zh-CN"/>
              </w:rPr>
              <w:t>进行采购。</w:t>
            </w:r>
          </w:p>
          <w:p w14:paraId="170FBF5A">
            <w:pPr>
              <w:spacing w:line="460" w:lineRule="exact"/>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二、</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采购范围：</w:t>
            </w:r>
          </w:p>
          <w:p w14:paraId="0B273902">
            <w:pPr>
              <w:spacing w:line="460" w:lineRule="exact"/>
              <w:ind w:firstLine="480" w:firstLineChars="200"/>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G241玉林分界至博白公路改建工程勘察设计，包含工程勘察及工程设计相关服务。</w:t>
            </w:r>
          </w:p>
          <w:p w14:paraId="02D65C95">
            <w:pPr>
              <w:spacing w:line="46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三、</w:t>
            </w:r>
            <w:r>
              <w:rPr>
                <w:rFonts w:hint="eastAsia" w:ascii="宋体" w:hAnsi="宋体" w:eastAsia="宋体" w:cs="宋体"/>
                <w:color w:val="auto"/>
                <w:sz w:val="24"/>
                <w:highlight w:val="none"/>
              </w:rPr>
              <w:t>▲质量标准：</w:t>
            </w:r>
          </w:p>
          <w:p w14:paraId="24F7C5EB">
            <w:pPr>
              <w:spacing w:line="46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本项目须执行的国家相关标准、行业标准、地方标准或者其他标准、规范。</w:t>
            </w:r>
          </w:p>
          <w:p w14:paraId="44D0AF01">
            <w:pPr>
              <w:spacing w:line="46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本项目如有国家相关标准、行业标准、地方标准或者其他标准、规范的，应执行相应的标准、规范。如具体采购需求与标准、规范不一致的，高于标准、规范的按具体采购需求执行，低于标准、规范的按标准、规范执行。</w:t>
            </w:r>
          </w:p>
          <w:p w14:paraId="7D8BE6D2">
            <w:pPr>
              <w:spacing w:line="46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四、</w:t>
            </w:r>
            <w:r>
              <w:rPr>
                <w:rFonts w:hint="eastAsia" w:ascii="宋体" w:hAnsi="宋体" w:eastAsia="宋体" w:cs="宋体"/>
                <w:color w:val="auto"/>
                <w:sz w:val="24"/>
                <w:highlight w:val="none"/>
              </w:rPr>
              <w:t>▲成果</w:t>
            </w:r>
            <w:r>
              <w:rPr>
                <w:rFonts w:hint="eastAsia" w:ascii="宋体" w:hAnsi="宋体" w:eastAsia="宋体" w:cs="宋体"/>
                <w:color w:val="auto"/>
                <w:sz w:val="24"/>
                <w:highlight w:val="none"/>
                <w:lang w:eastAsia="zh-CN"/>
              </w:rPr>
              <w:t>文件</w:t>
            </w:r>
            <w:r>
              <w:rPr>
                <w:rFonts w:hint="eastAsia" w:ascii="宋体" w:hAnsi="宋体" w:eastAsia="宋体" w:cs="宋体"/>
                <w:color w:val="auto"/>
                <w:sz w:val="24"/>
                <w:highlight w:val="none"/>
              </w:rPr>
              <w:t>：</w:t>
            </w:r>
          </w:p>
          <w:p w14:paraId="0C9E8501">
            <w:pPr>
              <w:spacing w:line="460" w:lineRule="exact"/>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1、成交供应商需独立编制并提交1套成果资料。</w:t>
            </w:r>
          </w:p>
          <w:p w14:paraId="654353F7">
            <w:pPr>
              <w:spacing w:line="460" w:lineRule="exact"/>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2成果资料包含：纸质文本两套及电子文件两套（存储于U盘）。</w:t>
            </w:r>
          </w:p>
          <w:p w14:paraId="3ED80032">
            <w:pPr>
              <w:spacing w:line="460" w:lineRule="exact"/>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3、电子文件需根据采购人需要，提供专题报告相关的CAD、PDF、EXCEL、WORD等格式文件。</w:t>
            </w:r>
          </w:p>
          <w:p w14:paraId="212FB260">
            <w:pPr>
              <w:spacing w:line="46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五、</w:t>
            </w:r>
            <w:r>
              <w:rPr>
                <w:rFonts w:hint="eastAsia" w:ascii="宋体" w:hAnsi="宋体" w:eastAsia="宋体" w:cs="宋体"/>
                <w:color w:val="auto"/>
                <w:sz w:val="24"/>
                <w:highlight w:val="none"/>
              </w:rPr>
              <w:t>▲人员配置情况要求：拟投入的主要专业技术人员至少包含路基、路面专业，须在响应文件中提供相关人员的证明材料复印件并加盖单位公章。</w:t>
            </w:r>
          </w:p>
          <w:p w14:paraId="0331034E">
            <w:pPr>
              <w:spacing w:line="460" w:lineRule="exact"/>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六、</w:t>
            </w:r>
            <w:r>
              <w:rPr>
                <w:rFonts w:hint="eastAsia" w:ascii="宋体" w:hAnsi="宋体" w:eastAsia="宋体" w:cs="宋体"/>
                <w:color w:val="auto"/>
                <w:sz w:val="24"/>
                <w:highlight w:val="none"/>
              </w:rPr>
              <w:t>▲成果要求：勘察成果、设计成果内容需符合国家法律、法规、技术标准及规范要求的深度、广度，确保获得相关主管部门批复或认可。成交人须按国家、省、市现行规范、标准及采购单位要求的勘察、设计内容和完成时间开展工作，成果文件及相关数据完整、准确、真实、清晰。成交人须对勘察、设计成果及相关信息的真实、可靠、保密负责，未经采购单位书面同意，不得向第三方泄露成果相关内容及涉及的各类信息</w:t>
            </w:r>
            <w:r>
              <w:rPr>
                <w:rFonts w:hint="eastAsia" w:ascii="宋体" w:hAnsi="宋体" w:eastAsia="宋体" w:cs="宋体"/>
                <w:color w:val="auto"/>
                <w:sz w:val="24"/>
                <w:highlight w:val="none"/>
                <w:lang w:eastAsia="zh-CN"/>
              </w:rPr>
              <w:t>。</w:t>
            </w:r>
          </w:p>
          <w:p w14:paraId="03FCFAC5">
            <w:pPr>
              <w:spacing w:line="460" w:lineRule="exact"/>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七、</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采购内容各项费用：</w:t>
            </w:r>
          </w:p>
          <w:tbl>
            <w:tblPr>
              <w:tblStyle w:val="30"/>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02"/>
              <w:gridCol w:w="2678"/>
            </w:tblGrid>
            <w:tr w14:paraId="07C49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2760" w:type="pct"/>
                  <w:noWrap w:val="0"/>
                  <w:vAlign w:val="center"/>
                </w:tcPr>
                <w:p w14:paraId="540D1852">
                  <w:pPr>
                    <w:spacing w:line="460" w:lineRule="exact"/>
                    <w:ind w:firstLine="480" w:firstLineChars="200"/>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采购内容</w:t>
                  </w:r>
                </w:p>
              </w:tc>
              <w:tc>
                <w:tcPr>
                  <w:tcW w:w="2239" w:type="pct"/>
                  <w:noWrap w:val="0"/>
                  <w:vAlign w:val="center"/>
                </w:tcPr>
                <w:p w14:paraId="52915F04">
                  <w:pPr>
                    <w:spacing w:line="460" w:lineRule="exact"/>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采购预算金额（万元）</w:t>
                  </w:r>
                </w:p>
              </w:tc>
            </w:tr>
            <w:tr w14:paraId="30EC5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2760" w:type="pct"/>
                  <w:noWrap w:val="0"/>
                  <w:vAlign w:val="center"/>
                </w:tcPr>
                <w:p w14:paraId="1CEBBB81">
                  <w:pPr>
                    <w:spacing w:line="460" w:lineRule="exact"/>
                    <w:ind w:firstLine="480" w:firstLineChars="200"/>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勘察费</w:t>
                  </w:r>
                </w:p>
              </w:tc>
              <w:tc>
                <w:tcPr>
                  <w:tcW w:w="2239" w:type="pct"/>
                  <w:noWrap w:val="0"/>
                  <w:vAlign w:val="center"/>
                </w:tcPr>
                <w:p w14:paraId="1CBEEEE3">
                  <w:pPr>
                    <w:spacing w:line="460" w:lineRule="exact"/>
                    <w:ind w:firstLine="480" w:firstLineChars="20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17.6</w:t>
                  </w:r>
                </w:p>
              </w:tc>
            </w:tr>
            <w:tr w14:paraId="7DE68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2760" w:type="pct"/>
                  <w:noWrap w:val="0"/>
                  <w:vAlign w:val="center"/>
                </w:tcPr>
                <w:p w14:paraId="55D21BF4">
                  <w:pPr>
                    <w:spacing w:line="460" w:lineRule="exact"/>
                    <w:ind w:firstLine="480" w:firstLineChars="200"/>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设计费</w:t>
                  </w:r>
                </w:p>
              </w:tc>
              <w:tc>
                <w:tcPr>
                  <w:tcW w:w="2239" w:type="pct"/>
                  <w:noWrap w:val="0"/>
                  <w:vAlign w:val="center"/>
                </w:tcPr>
                <w:p w14:paraId="57E7C26F">
                  <w:pPr>
                    <w:spacing w:line="460" w:lineRule="exact"/>
                    <w:ind w:firstLine="480" w:firstLineChars="20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65</w:t>
                  </w:r>
                </w:p>
              </w:tc>
            </w:tr>
            <w:tr w14:paraId="42FF2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2760" w:type="pct"/>
                  <w:noWrap w:val="0"/>
                  <w:vAlign w:val="center"/>
                </w:tcPr>
                <w:p w14:paraId="33AB11F3">
                  <w:pPr>
                    <w:spacing w:line="460" w:lineRule="exact"/>
                    <w:ind w:firstLine="480" w:firstLineChars="200"/>
                    <w:jc w:val="left"/>
                    <w:rPr>
                      <w:rFonts w:hint="eastAsia" w:ascii="宋体" w:hAnsi="宋体" w:eastAsia="宋体" w:cs="宋体"/>
                      <w:b w:val="0"/>
                      <w:bCs w:val="0"/>
                      <w:color w:val="auto"/>
                      <w:sz w:val="24"/>
                      <w:highlight w:val="none"/>
                      <w:lang w:eastAsia="zh-CN"/>
                    </w:rPr>
                  </w:pPr>
                  <w:r>
                    <w:rPr>
                      <w:rFonts w:hint="eastAsia" w:ascii="宋体" w:hAnsi="宋体" w:eastAsia="宋体" w:cs="宋体"/>
                      <w:b w:val="0"/>
                      <w:bCs w:val="0"/>
                      <w:color w:val="auto"/>
                      <w:sz w:val="24"/>
                      <w:highlight w:val="none"/>
                      <w:lang w:eastAsia="zh-CN"/>
                    </w:rPr>
                    <w:t>合计</w:t>
                  </w:r>
                </w:p>
              </w:tc>
              <w:tc>
                <w:tcPr>
                  <w:tcW w:w="2239" w:type="pct"/>
                  <w:noWrap w:val="0"/>
                  <w:vAlign w:val="center"/>
                </w:tcPr>
                <w:p w14:paraId="17FA20A1">
                  <w:pPr>
                    <w:spacing w:line="460" w:lineRule="exact"/>
                    <w:ind w:firstLine="480" w:firstLineChars="200"/>
                    <w:jc w:val="center"/>
                    <w:rPr>
                      <w:rFonts w:hint="eastAsia" w:ascii="宋体" w:hAnsi="宋体" w:eastAsia="宋体" w:cs="宋体"/>
                      <w:b w:val="0"/>
                      <w:bCs w:val="0"/>
                      <w:color w:val="auto"/>
                      <w:sz w:val="24"/>
                      <w:highlight w:val="none"/>
                      <w:lang w:eastAsia="zh-CN"/>
                    </w:rPr>
                  </w:pPr>
                  <w:r>
                    <w:rPr>
                      <w:rFonts w:hint="eastAsia" w:ascii="宋体" w:hAnsi="宋体" w:eastAsia="宋体" w:cs="宋体"/>
                      <w:b w:val="0"/>
                      <w:bCs w:val="0"/>
                      <w:color w:val="auto"/>
                      <w:sz w:val="24"/>
                      <w:highlight w:val="none"/>
                      <w:lang w:val="en-US" w:eastAsia="zh-CN"/>
                    </w:rPr>
                    <w:t>82.6</w:t>
                  </w:r>
                </w:p>
              </w:tc>
            </w:tr>
          </w:tbl>
          <w:p w14:paraId="34F5B278">
            <w:pPr>
              <w:spacing w:line="460" w:lineRule="exact"/>
              <w:ind w:firstLine="480" w:firstLineChars="200"/>
              <w:jc w:val="left"/>
              <w:rPr>
                <w:rFonts w:hint="eastAsia" w:ascii="宋体" w:hAnsi="宋体" w:eastAsia="宋体" w:cs="宋体"/>
                <w:color w:val="auto"/>
                <w:highlight w:val="none"/>
              </w:rPr>
            </w:pPr>
            <w:r>
              <w:rPr>
                <w:rFonts w:hint="eastAsia" w:ascii="宋体" w:hAnsi="宋体" w:eastAsia="宋体" w:cs="宋体"/>
                <w:color w:val="auto"/>
                <w:sz w:val="24"/>
                <w:highlight w:val="none"/>
                <w:lang w:val="en-US" w:eastAsia="zh-CN"/>
              </w:rPr>
              <w:t>注：磋商报价均不能超出</w:t>
            </w:r>
            <w:r>
              <w:rPr>
                <w:rFonts w:hint="eastAsia" w:ascii="宋体" w:hAnsi="宋体" w:eastAsia="宋体" w:cs="宋体"/>
                <w:color w:val="auto"/>
                <w:sz w:val="24"/>
                <w:highlight w:val="none"/>
                <w:lang w:eastAsia="zh-CN"/>
              </w:rPr>
              <w:t>各项</w:t>
            </w:r>
            <w:r>
              <w:rPr>
                <w:rFonts w:hint="eastAsia" w:ascii="宋体" w:hAnsi="宋体" w:eastAsia="宋体" w:cs="宋体"/>
                <w:color w:val="auto"/>
                <w:sz w:val="24"/>
                <w:highlight w:val="none"/>
                <w:lang w:val="en-US" w:eastAsia="zh-CN"/>
              </w:rPr>
              <w:t>采购预算金额。</w:t>
            </w:r>
          </w:p>
        </w:tc>
      </w:tr>
      <w:tr w14:paraId="76D4CD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278" w:type="dxa"/>
            <w:gridSpan w:val="4"/>
            <w:tcBorders>
              <w:top w:val="single" w:color="auto" w:sz="4" w:space="0"/>
              <w:left w:val="single" w:color="auto" w:sz="4" w:space="0"/>
              <w:bottom w:val="single" w:color="auto" w:sz="4" w:space="0"/>
              <w:right w:val="single" w:color="auto" w:sz="4" w:space="0"/>
            </w:tcBorders>
            <w:vAlign w:val="top"/>
          </w:tcPr>
          <w:p w14:paraId="61CF6CC7">
            <w:pPr>
              <w:spacing w:line="460" w:lineRule="exact"/>
              <w:rPr>
                <w:rFonts w:hint="eastAsia" w:ascii="宋体" w:hAnsi="宋体" w:eastAsia="宋体" w:cs="宋体"/>
                <w:color w:val="auto"/>
                <w:sz w:val="24"/>
                <w:highlight w:val="none"/>
              </w:rPr>
            </w:pPr>
            <w:r>
              <w:rPr>
                <w:rFonts w:hint="eastAsia" w:ascii="宋体" w:hAnsi="宋体" w:eastAsia="宋体" w:cs="宋体"/>
                <w:b/>
                <w:color w:val="auto"/>
                <w:sz w:val="24"/>
                <w:highlight w:val="none"/>
                <w:lang w:val="en-US" w:eastAsia="zh-CN"/>
              </w:rPr>
              <w:t>二、</w:t>
            </w:r>
            <w:r>
              <w:rPr>
                <w:rFonts w:hint="eastAsia" w:ascii="宋体" w:hAnsi="宋体" w:eastAsia="宋体" w:cs="宋体"/>
                <w:b/>
                <w:color w:val="auto"/>
                <w:sz w:val="24"/>
                <w:highlight w:val="none"/>
              </w:rPr>
              <w:t>商务要求</w:t>
            </w:r>
          </w:p>
        </w:tc>
      </w:tr>
      <w:tr w14:paraId="455D2E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1" w:hRule="atLeast"/>
          <w:jc w:val="center"/>
        </w:trPr>
        <w:tc>
          <w:tcPr>
            <w:tcW w:w="3071" w:type="dxa"/>
            <w:gridSpan w:val="3"/>
            <w:tcBorders>
              <w:top w:val="single" w:color="auto" w:sz="4" w:space="0"/>
              <w:left w:val="single" w:color="auto" w:sz="4" w:space="0"/>
              <w:bottom w:val="single" w:color="auto" w:sz="4" w:space="0"/>
              <w:right w:val="single" w:color="auto" w:sz="4" w:space="0"/>
            </w:tcBorders>
            <w:vAlign w:val="center"/>
          </w:tcPr>
          <w:p w14:paraId="72E7B5F8">
            <w:pPr>
              <w:spacing w:line="46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合同签订期</w:t>
            </w:r>
          </w:p>
        </w:tc>
        <w:tc>
          <w:tcPr>
            <w:tcW w:w="6207" w:type="dxa"/>
            <w:tcBorders>
              <w:top w:val="single" w:color="auto" w:sz="4" w:space="0"/>
              <w:left w:val="single" w:color="auto" w:sz="4" w:space="0"/>
              <w:bottom w:val="single" w:color="auto" w:sz="4" w:space="0"/>
              <w:right w:val="single" w:color="auto" w:sz="4" w:space="0"/>
            </w:tcBorders>
            <w:vAlign w:val="center"/>
          </w:tcPr>
          <w:p w14:paraId="3B9621C4">
            <w:pPr>
              <w:spacing w:line="46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自成交通知书发出之日起25日内。</w:t>
            </w:r>
          </w:p>
        </w:tc>
      </w:tr>
      <w:tr w14:paraId="11B0BA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9" w:hRule="atLeast"/>
          <w:jc w:val="center"/>
        </w:trPr>
        <w:tc>
          <w:tcPr>
            <w:tcW w:w="3071" w:type="dxa"/>
            <w:gridSpan w:val="3"/>
            <w:tcBorders>
              <w:top w:val="single" w:color="auto" w:sz="4" w:space="0"/>
              <w:left w:val="single" w:color="auto" w:sz="4" w:space="0"/>
              <w:bottom w:val="single" w:color="auto" w:sz="4" w:space="0"/>
              <w:right w:val="single" w:color="auto" w:sz="4" w:space="0"/>
            </w:tcBorders>
            <w:vAlign w:val="center"/>
          </w:tcPr>
          <w:p w14:paraId="36E4845D">
            <w:pPr>
              <w:spacing w:line="46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▲提交服务成果时间</w:t>
            </w:r>
            <w:r>
              <w:rPr>
                <w:rFonts w:hint="eastAsia" w:ascii="宋体" w:hAnsi="宋体" w:eastAsia="宋体" w:cs="宋体"/>
                <w:color w:val="auto"/>
                <w:sz w:val="24"/>
                <w:highlight w:val="none"/>
                <w:lang w:val="en-US" w:eastAsia="zh-CN"/>
              </w:rPr>
              <w:t>及地点</w:t>
            </w:r>
          </w:p>
        </w:tc>
        <w:tc>
          <w:tcPr>
            <w:tcW w:w="6207" w:type="dxa"/>
            <w:tcBorders>
              <w:top w:val="single" w:color="auto" w:sz="4" w:space="0"/>
              <w:left w:val="single" w:color="auto" w:sz="4" w:space="0"/>
              <w:bottom w:val="single" w:color="auto" w:sz="4" w:space="0"/>
              <w:right w:val="single" w:color="auto" w:sz="4" w:space="0"/>
            </w:tcBorders>
            <w:vAlign w:val="center"/>
          </w:tcPr>
          <w:p w14:paraId="14538E2A">
            <w:pPr>
              <w:spacing w:line="46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时间：</w:t>
            </w:r>
            <w:r>
              <w:rPr>
                <w:rFonts w:hint="eastAsia" w:ascii="宋体" w:hAnsi="宋体" w:eastAsia="宋体" w:cs="宋体"/>
                <w:color w:val="auto"/>
                <w:sz w:val="24"/>
                <w:highlight w:val="none"/>
              </w:rPr>
              <w:t>自签订合同之日起</w:t>
            </w:r>
            <w:r>
              <w:rPr>
                <w:rFonts w:hint="eastAsia" w:ascii="宋体" w:hAnsi="宋体" w:eastAsia="宋体" w:cs="宋体"/>
                <w:color w:val="auto"/>
                <w:sz w:val="24"/>
                <w:highlight w:val="none"/>
                <w:lang w:val="en-US" w:eastAsia="zh-CN"/>
              </w:rPr>
              <w:t>60</w:t>
            </w:r>
            <w:r>
              <w:rPr>
                <w:rFonts w:hint="eastAsia" w:ascii="宋体" w:hAnsi="宋体" w:eastAsia="宋体" w:cs="宋体"/>
                <w:color w:val="auto"/>
                <w:sz w:val="24"/>
                <w:highlight w:val="none"/>
              </w:rPr>
              <w:t>日历天内提交合格有效的成果资料。</w:t>
            </w:r>
          </w:p>
          <w:p w14:paraId="07A84EAF">
            <w:pPr>
              <w:spacing w:line="46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地点：广西玉林市内</w:t>
            </w:r>
            <w:r>
              <w:rPr>
                <w:rFonts w:hint="eastAsia" w:ascii="宋体" w:hAnsi="宋体" w:eastAsia="宋体" w:cs="宋体"/>
                <w:color w:val="auto"/>
                <w:sz w:val="24"/>
                <w:highlight w:val="none"/>
              </w:rPr>
              <w:t>采购人指定地点。</w:t>
            </w:r>
          </w:p>
        </w:tc>
      </w:tr>
      <w:tr w14:paraId="6588F4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3071" w:type="dxa"/>
            <w:gridSpan w:val="3"/>
            <w:tcBorders>
              <w:top w:val="single" w:color="auto" w:sz="4" w:space="0"/>
              <w:left w:val="single" w:color="auto" w:sz="4" w:space="0"/>
              <w:bottom w:val="single" w:color="auto" w:sz="4" w:space="0"/>
              <w:right w:val="single" w:color="auto" w:sz="4" w:space="0"/>
            </w:tcBorders>
            <w:vAlign w:val="center"/>
          </w:tcPr>
          <w:p w14:paraId="7FF8E3B3">
            <w:pPr>
              <w:spacing w:line="46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▲后续服务</w:t>
            </w:r>
          </w:p>
        </w:tc>
        <w:tc>
          <w:tcPr>
            <w:tcW w:w="6207" w:type="dxa"/>
            <w:tcBorders>
              <w:top w:val="single" w:color="auto" w:sz="4" w:space="0"/>
              <w:left w:val="single" w:color="auto" w:sz="4" w:space="0"/>
              <w:bottom w:val="single" w:color="auto" w:sz="4" w:space="0"/>
              <w:right w:val="single" w:color="auto" w:sz="4" w:space="0"/>
            </w:tcBorders>
            <w:vAlign w:val="center"/>
          </w:tcPr>
          <w:p w14:paraId="46D51311">
            <w:pPr>
              <w:spacing w:line="46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后续服务处理问题响应时间：在后续服务期内应对采购人提供免费技术咨询服务，在此期间接到采购人处理问题通知后4小时内到达采购人指定现场，并在8小时内处理好常规性问题</w:t>
            </w:r>
            <w:r>
              <w:rPr>
                <w:rFonts w:hint="eastAsia" w:ascii="宋体" w:hAnsi="宋体" w:eastAsia="宋体" w:cs="宋体"/>
                <w:color w:val="auto"/>
                <w:sz w:val="24"/>
                <w:highlight w:val="none"/>
                <w:lang w:eastAsia="zh-CN"/>
              </w:rPr>
              <w:t>。</w:t>
            </w:r>
          </w:p>
        </w:tc>
      </w:tr>
      <w:tr w14:paraId="22FAC8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3071" w:type="dxa"/>
            <w:gridSpan w:val="3"/>
            <w:tcBorders>
              <w:top w:val="single" w:color="auto" w:sz="4" w:space="0"/>
              <w:left w:val="single" w:color="auto" w:sz="4" w:space="0"/>
              <w:bottom w:val="single" w:color="auto" w:sz="4" w:space="0"/>
              <w:right w:val="single" w:color="auto" w:sz="4" w:space="0"/>
            </w:tcBorders>
            <w:vAlign w:val="center"/>
          </w:tcPr>
          <w:p w14:paraId="299ECB2E">
            <w:pPr>
              <w:spacing w:line="46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▲付款方式</w:t>
            </w:r>
          </w:p>
        </w:tc>
        <w:tc>
          <w:tcPr>
            <w:tcW w:w="6207" w:type="dxa"/>
            <w:tcBorders>
              <w:top w:val="single" w:color="auto" w:sz="4" w:space="0"/>
              <w:left w:val="single" w:color="auto" w:sz="4" w:space="0"/>
              <w:bottom w:val="single" w:color="auto" w:sz="4" w:space="0"/>
              <w:right w:val="single" w:color="auto" w:sz="4" w:space="0"/>
            </w:tcBorders>
            <w:vAlign w:val="center"/>
          </w:tcPr>
          <w:p w14:paraId="4DAB3F10">
            <w:pPr>
              <w:spacing w:line="46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签订合同后，</w:t>
            </w:r>
            <w:r>
              <w:rPr>
                <w:rFonts w:hint="eastAsia" w:ascii="宋体" w:hAnsi="宋体" w:eastAsia="宋体" w:cs="宋体"/>
                <w:color w:val="auto"/>
                <w:sz w:val="24"/>
                <w:highlight w:val="none"/>
                <w:lang w:val="en-US" w:eastAsia="zh-CN"/>
              </w:rPr>
              <w:t>采购人在10个工作日内</w:t>
            </w:r>
            <w:r>
              <w:rPr>
                <w:rFonts w:hint="eastAsia" w:ascii="宋体" w:hAnsi="宋体" w:eastAsia="宋体" w:cs="宋体"/>
                <w:color w:val="auto"/>
                <w:sz w:val="24"/>
                <w:highlight w:val="none"/>
              </w:rPr>
              <w:t>支付</w:t>
            </w:r>
            <w:r>
              <w:rPr>
                <w:rFonts w:hint="eastAsia" w:ascii="宋体" w:hAnsi="宋体" w:eastAsia="宋体" w:cs="宋体"/>
                <w:color w:val="auto"/>
                <w:sz w:val="24"/>
                <w:highlight w:val="none"/>
                <w:lang w:val="en-US" w:eastAsia="zh-CN"/>
              </w:rPr>
              <w:t>合同金额的</w:t>
            </w:r>
            <w:r>
              <w:rPr>
                <w:rFonts w:hint="eastAsia" w:ascii="宋体" w:hAnsi="宋体" w:eastAsia="宋体" w:cs="宋体"/>
                <w:color w:val="auto"/>
                <w:sz w:val="24"/>
                <w:highlight w:val="none"/>
              </w:rPr>
              <w:t>30%</w:t>
            </w:r>
            <w:r>
              <w:rPr>
                <w:rFonts w:hint="eastAsia" w:ascii="宋体" w:hAnsi="宋体" w:eastAsia="宋体" w:cs="宋体"/>
                <w:color w:val="auto"/>
                <w:sz w:val="24"/>
                <w:highlight w:val="none"/>
                <w:lang w:val="en-US" w:eastAsia="zh-CN"/>
              </w:rPr>
              <w:t>给成交供应商</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项目</w:t>
            </w:r>
            <w:r>
              <w:rPr>
                <w:rFonts w:hint="eastAsia" w:ascii="宋体" w:hAnsi="宋体" w:eastAsia="宋体" w:cs="宋体"/>
                <w:color w:val="auto"/>
                <w:sz w:val="24"/>
                <w:highlight w:val="none"/>
              </w:rPr>
              <w:t>完成并提交成果文件最终版后，</w:t>
            </w:r>
            <w:r>
              <w:rPr>
                <w:rFonts w:hint="eastAsia" w:ascii="宋体" w:hAnsi="宋体" w:eastAsia="宋体" w:cs="宋体"/>
                <w:color w:val="auto"/>
                <w:sz w:val="24"/>
                <w:highlight w:val="none"/>
                <w:lang w:val="en-US" w:eastAsia="zh-CN"/>
              </w:rPr>
              <w:t>采购人</w:t>
            </w:r>
            <w:r>
              <w:rPr>
                <w:rFonts w:hint="eastAsia" w:ascii="宋体" w:hAnsi="宋体" w:eastAsia="宋体" w:cs="宋体"/>
                <w:color w:val="auto"/>
                <w:sz w:val="24"/>
                <w:highlight w:val="none"/>
              </w:rPr>
              <w:t>支付剩余</w:t>
            </w:r>
            <w:r>
              <w:rPr>
                <w:rFonts w:hint="eastAsia" w:ascii="宋体" w:hAnsi="宋体" w:eastAsia="宋体" w:cs="宋体"/>
                <w:color w:val="auto"/>
                <w:sz w:val="24"/>
                <w:highlight w:val="none"/>
                <w:lang w:val="en-US" w:eastAsia="zh-CN"/>
              </w:rPr>
              <w:t>合同金额的</w:t>
            </w:r>
            <w:r>
              <w:rPr>
                <w:rFonts w:hint="eastAsia" w:ascii="宋体" w:hAnsi="宋体" w:eastAsia="宋体" w:cs="宋体"/>
                <w:color w:val="auto"/>
                <w:sz w:val="24"/>
                <w:highlight w:val="none"/>
              </w:rPr>
              <w:t>70%</w:t>
            </w:r>
            <w:r>
              <w:rPr>
                <w:rFonts w:hint="eastAsia" w:ascii="宋体" w:hAnsi="宋体" w:eastAsia="宋体" w:cs="宋体"/>
                <w:color w:val="auto"/>
                <w:sz w:val="24"/>
                <w:highlight w:val="none"/>
                <w:lang w:val="en-US" w:eastAsia="zh-CN"/>
              </w:rPr>
              <w:t>给成交供应商</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成交供应商</w:t>
            </w:r>
            <w:r>
              <w:rPr>
                <w:rFonts w:hint="eastAsia" w:ascii="宋体" w:hAnsi="宋体" w:eastAsia="宋体" w:cs="宋体"/>
                <w:color w:val="auto"/>
                <w:sz w:val="24"/>
                <w:highlight w:val="none"/>
              </w:rPr>
              <w:t>收到付款于3个工作日内开具等额的财务发票给</w:t>
            </w:r>
            <w:r>
              <w:rPr>
                <w:rFonts w:hint="eastAsia" w:ascii="宋体" w:hAnsi="宋体" w:eastAsia="宋体" w:cs="宋体"/>
                <w:color w:val="auto"/>
                <w:sz w:val="24"/>
                <w:highlight w:val="none"/>
                <w:lang w:val="en-US" w:eastAsia="zh-CN"/>
              </w:rPr>
              <w:t>采购人</w:t>
            </w:r>
            <w:r>
              <w:rPr>
                <w:rFonts w:hint="eastAsia" w:ascii="宋体" w:hAnsi="宋体" w:eastAsia="宋体" w:cs="宋体"/>
                <w:color w:val="auto"/>
                <w:sz w:val="24"/>
                <w:highlight w:val="none"/>
                <w:lang w:eastAsia="zh-CN"/>
              </w:rPr>
              <w:t>。</w:t>
            </w:r>
          </w:p>
        </w:tc>
      </w:tr>
      <w:tr w14:paraId="0A3D8B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72" w:hRule="atLeast"/>
          <w:jc w:val="center"/>
        </w:trPr>
        <w:tc>
          <w:tcPr>
            <w:tcW w:w="3071" w:type="dxa"/>
            <w:gridSpan w:val="3"/>
            <w:tcBorders>
              <w:top w:val="single" w:color="auto" w:sz="4" w:space="0"/>
              <w:left w:val="single" w:color="auto" w:sz="4" w:space="0"/>
              <w:bottom w:val="single" w:color="auto" w:sz="4" w:space="0"/>
              <w:right w:val="single" w:color="auto" w:sz="4" w:space="0"/>
            </w:tcBorders>
            <w:vAlign w:val="center"/>
          </w:tcPr>
          <w:p w14:paraId="058D3CE5">
            <w:pPr>
              <w:spacing w:line="46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▲磋商报价要求</w:t>
            </w:r>
          </w:p>
        </w:tc>
        <w:tc>
          <w:tcPr>
            <w:tcW w:w="6207" w:type="dxa"/>
            <w:tcBorders>
              <w:top w:val="single" w:color="auto" w:sz="4" w:space="0"/>
              <w:left w:val="single" w:color="auto" w:sz="4" w:space="0"/>
              <w:bottom w:val="single" w:color="auto" w:sz="4" w:space="0"/>
              <w:right w:val="single" w:color="auto" w:sz="4" w:space="0"/>
            </w:tcBorders>
            <w:vAlign w:val="center"/>
          </w:tcPr>
          <w:p w14:paraId="0ED36847">
            <w:pPr>
              <w:spacing w:line="46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1、报价必须包含以下部分：</w:t>
            </w:r>
          </w:p>
          <w:p w14:paraId="2A301F7A">
            <w:pPr>
              <w:spacing w:line="46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（1）服务的价格；</w:t>
            </w:r>
          </w:p>
          <w:p w14:paraId="655666F8">
            <w:pPr>
              <w:spacing w:line="46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竞标人的竞标报价应包括完成本次采购范围内全部工作的所有费用【包含但不限于报价费用包括编制费、成果印刷费及税费等所有与报告编制相关工作的费用等】。竞标人所填报的价格在合同实施期间不因市场价格变化等因素而变动，竞标人在报价时应考虑各种风险因素和承受能力。</w:t>
            </w:r>
          </w:p>
          <w:p w14:paraId="44C22567">
            <w:pPr>
              <w:spacing w:line="46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（3）该项目全程服务过程中所发生的一切费用由服务方自行负责，如所涉及的一切费用由服务方自行承担，服务方需满足采购人对本项目服务提出的有关需求所需的一切费用。</w:t>
            </w:r>
          </w:p>
          <w:p w14:paraId="020F202D">
            <w:pPr>
              <w:spacing w:line="460" w:lineRule="exact"/>
              <w:jc w:val="left"/>
              <w:rPr>
                <w:rFonts w:hint="eastAsia" w:ascii="宋体" w:hAnsi="宋体" w:eastAsia="宋体" w:cs="宋体"/>
                <w:b/>
                <w:color w:val="auto"/>
                <w:sz w:val="24"/>
                <w:highlight w:val="none"/>
              </w:rPr>
            </w:pPr>
            <w:r>
              <w:rPr>
                <w:rFonts w:hint="eastAsia" w:ascii="宋体" w:hAnsi="宋体" w:eastAsia="宋体" w:cs="宋体"/>
                <w:color w:val="auto"/>
                <w:sz w:val="24"/>
                <w:highlight w:val="none"/>
              </w:rPr>
              <w:t>2、报价方式：总价包干。</w:t>
            </w:r>
          </w:p>
        </w:tc>
      </w:tr>
      <w:tr w14:paraId="0A9B46D3">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950" w:hRule="atLeast"/>
          <w:jc w:val="center"/>
        </w:trPr>
        <w:tc>
          <w:tcPr>
            <w:tcW w:w="3071" w:type="dxa"/>
            <w:gridSpan w:val="3"/>
            <w:tcBorders>
              <w:top w:val="single" w:color="auto" w:sz="4" w:space="0"/>
              <w:left w:val="single" w:color="auto" w:sz="4" w:space="0"/>
              <w:bottom w:val="single" w:color="auto" w:sz="4" w:space="0"/>
              <w:right w:val="single" w:color="auto" w:sz="4" w:space="0"/>
            </w:tcBorders>
            <w:vAlign w:val="center"/>
          </w:tcPr>
          <w:p w14:paraId="27543AD3">
            <w:pPr>
              <w:spacing w:line="46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其他要求</w:t>
            </w:r>
          </w:p>
        </w:tc>
        <w:tc>
          <w:tcPr>
            <w:tcW w:w="6207" w:type="dxa"/>
            <w:tcBorders>
              <w:top w:val="single" w:color="auto" w:sz="4" w:space="0"/>
              <w:left w:val="single" w:color="auto" w:sz="4" w:space="0"/>
              <w:bottom w:val="single" w:color="auto" w:sz="4" w:space="0"/>
              <w:right w:val="single" w:color="auto" w:sz="4" w:space="0"/>
            </w:tcBorders>
            <w:vAlign w:val="center"/>
          </w:tcPr>
          <w:p w14:paraId="4D35D5F8">
            <w:pPr>
              <w:spacing w:line="460" w:lineRule="exact"/>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成交供应商在实施项目过程中的交通费、差旅费、住宿费、伙食费、通讯费等自理，所有费用均包含在磋商报价中，不再另做结算。成交供应商实施项目服务工作期间如出现工作人员人身、财产安全事故、损失等由成交供应商全部负责，采购人不负任何责任</w:t>
            </w:r>
            <w:r>
              <w:rPr>
                <w:rFonts w:hint="eastAsia" w:ascii="宋体" w:hAnsi="宋体" w:eastAsia="宋体" w:cs="宋体"/>
                <w:color w:val="auto"/>
                <w:sz w:val="24"/>
                <w:highlight w:val="none"/>
                <w:lang w:eastAsia="zh-CN"/>
              </w:rPr>
              <w:t>。</w:t>
            </w:r>
          </w:p>
          <w:p w14:paraId="39709AE9">
            <w:pPr>
              <w:spacing w:line="46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成交供应商应遵守“诚信、公正、精业、进取”的原则，做好各类资料的整理、归集工作，技术材料装订成册，在项目验收时移交给采购人。</w:t>
            </w:r>
          </w:p>
        </w:tc>
      </w:tr>
    </w:tbl>
    <w:p w14:paraId="739F50A2">
      <w:pP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br w:type="page"/>
      </w:r>
    </w:p>
    <w:p w14:paraId="4CF0BAB5">
      <w:pPr>
        <w:jc w:val="center"/>
        <w:outlineLvl w:val="1"/>
        <w:rPr>
          <w:rFonts w:hint="eastAsia" w:ascii="宋体" w:hAnsi="宋体" w:eastAsia="宋体" w:cs="宋体"/>
          <w:bCs/>
          <w:color w:val="auto"/>
          <w:sz w:val="24"/>
          <w:highlight w:val="none"/>
        </w:rPr>
      </w:pPr>
      <w:r>
        <w:rPr>
          <w:rFonts w:hint="eastAsia" w:ascii="宋体" w:hAnsi="宋体" w:eastAsia="宋体" w:cs="宋体"/>
          <w:b/>
          <w:bCs/>
          <w:color w:val="auto"/>
          <w:sz w:val="24"/>
          <w:highlight w:val="none"/>
          <w:lang w:val="en-US" w:eastAsia="zh-CN"/>
        </w:rPr>
        <w:t>4</w:t>
      </w:r>
      <w:r>
        <w:rPr>
          <w:rFonts w:hint="eastAsia" w:ascii="宋体" w:hAnsi="宋体" w:eastAsia="宋体" w:cs="宋体"/>
          <w:b/>
          <w:bCs/>
          <w:color w:val="auto"/>
          <w:sz w:val="24"/>
          <w:highlight w:val="none"/>
        </w:rPr>
        <w:t>分标</w:t>
      </w:r>
    </w:p>
    <w:tbl>
      <w:tblPr>
        <w:tblStyle w:val="29"/>
        <w:tblW w:w="927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62"/>
        <w:gridCol w:w="1589"/>
        <w:gridCol w:w="920"/>
        <w:gridCol w:w="6207"/>
      </w:tblGrid>
      <w:tr w14:paraId="42CC17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0" w:hRule="atLeast"/>
          <w:jc w:val="center"/>
        </w:trPr>
        <w:tc>
          <w:tcPr>
            <w:tcW w:w="9278" w:type="dxa"/>
            <w:gridSpan w:val="4"/>
            <w:vAlign w:val="center"/>
          </w:tcPr>
          <w:p w14:paraId="2AEC6D54">
            <w:pPr>
              <w:tabs>
                <w:tab w:val="left" w:pos="180"/>
                <w:tab w:val="left" w:pos="1620"/>
              </w:tabs>
              <w:spacing w:line="460" w:lineRule="exact"/>
              <w:jc w:val="left"/>
              <w:rPr>
                <w:rFonts w:hint="eastAsia" w:ascii="宋体" w:hAnsi="宋体" w:eastAsia="宋体" w:cs="宋体"/>
                <w:b/>
                <w:bCs/>
                <w:color w:val="auto"/>
                <w:kern w:val="0"/>
                <w:sz w:val="24"/>
                <w:highlight w:val="none"/>
              </w:rPr>
            </w:pPr>
            <w:r>
              <w:rPr>
                <w:rFonts w:hint="eastAsia" w:ascii="宋体" w:hAnsi="宋体" w:eastAsia="宋体" w:cs="宋体"/>
                <w:b/>
                <w:bCs/>
                <w:color w:val="auto"/>
                <w:sz w:val="24"/>
                <w:highlight w:val="none"/>
              </w:rPr>
              <w:t>一、项目要求及技术需求</w:t>
            </w:r>
          </w:p>
        </w:tc>
      </w:tr>
      <w:tr w14:paraId="5E5F7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07" w:hRule="atLeast"/>
          <w:jc w:val="center"/>
        </w:trPr>
        <w:tc>
          <w:tcPr>
            <w:tcW w:w="562" w:type="dxa"/>
            <w:vAlign w:val="center"/>
          </w:tcPr>
          <w:p w14:paraId="7EE7E9C2">
            <w:pPr>
              <w:tabs>
                <w:tab w:val="left" w:pos="180"/>
                <w:tab w:val="left" w:pos="1620"/>
              </w:tabs>
              <w:spacing w:line="460" w:lineRule="exact"/>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1589" w:type="dxa"/>
            <w:vAlign w:val="center"/>
          </w:tcPr>
          <w:p w14:paraId="7306504E">
            <w:pPr>
              <w:tabs>
                <w:tab w:val="left" w:pos="180"/>
                <w:tab w:val="left" w:pos="1620"/>
              </w:tabs>
              <w:spacing w:line="460" w:lineRule="exact"/>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服务名称</w:t>
            </w:r>
          </w:p>
        </w:tc>
        <w:tc>
          <w:tcPr>
            <w:tcW w:w="920" w:type="dxa"/>
            <w:vAlign w:val="center"/>
          </w:tcPr>
          <w:p w14:paraId="1B2DC76E">
            <w:pPr>
              <w:tabs>
                <w:tab w:val="left" w:pos="180"/>
                <w:tab w:val="left" w:pos="1620"/>
              </w:tabs>
              <w:spacing w:line="460" w:lineRule="exact"/>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数量及</w:t>
            </w:r>
          </w:p>
          <w:p w14:paraId="22ED1C55">
            <w:pPr>
              <w:tabs>
                <w:tab w:val="left" w:pos="180"/>
                <w:tab w:val="left" w:pos="1620"/>
              </w:tabs>
              <w:spacing w:line="460" w:lineRule="exact"/>
              <w:jc w:val="center"/>
              <w:rPr>
                <w:rFonts w:hint="eastAsia" w:ascii="宋体" w:hAnsi="宋体" w:eastAsia="宋体" w:cs="宋体"/>
                <w:color w:val="auto"/>
                <w:sz w:val="24"/>
                <w:highlight w:val="none"/>
              </w:rPr>
            </w:pPr>
            <w:r>
              <w:rPr>
                <w:rFonts w:hint="eastAsia" w:ascii="宋体" w:hAnsi="宋体" w:eastAsia="宋体" w:cs="宋体"/>
                <w:b/>
                <w:bCs/>
                <w:color w:val="auto"/>
                <w:kern w:val="0"/>
                <w:sz w:val="24"/>
                <w:highlight w:val="none"/>
              </w:rPr>
              <w:t>单位</w:t>
            </w:r>
          </w:p>
        </w:tc>
        <w:tc>
          <w:tcPr>
            <w:tcW w:w="6207" w:type="dxa"/>
            <w:vAlign w:val="center"/>
          </w:tcPr>
          <w:p w14:paraId="3713D700">
            <w:pPr>
              <w:tabs>
                <w:tab w:val="left" w:pos="180"/>
                <w:tab w:val="left" w:pos="1620"/>
              </w:tabs>
              <w:spacing w:line="460" w:lineRule="exact"/>
              <w:jc w:val="center"/>
              <w:rPr>
                <w:rFonts w:hint="eastAsia" w:ascii="宋体" w:hAnsi="宋体" w:eastAsia="宋体" w:cs="宋体"/>
                <w:color w:val="auto"/>
                <w:highlight w:val="none"/>
              </w:rPr>
            </w:pPr>
            <w:r>
              <w:rPr>
                <w:rFonts w:hint="eastAsia" w:ascii="宋体" w:hAnsi="宋体" w:eastAsia="宋体" w:cs="宋体"/>
                <w:b/>
                <w:bCs/>
                <w:color w:val="auto"/>
                <w:kern w:val="0"/>
                <w:sz w:val="24"/>
                <w:highlight w:val="none"/>
              </w:rPr>
              <w:t>技术（服务）要求</w:t>
            </w:r>
          </w:p>
        </w:tc>
      </w:tr>
      <w:tr w14:paraId="31FADF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14:paraId="37EF604D">
            <w:pPr>
              <w:tabs>
                <w:tab w:val="left" w:pos="180"/>
                <w:tab w:val="left" w:pos="1620"/>
              </w:tabs>
              <w:spacing w:line="460" w:lineRule="exact"/>
              <w:jc w:val="center"/>
              <w:rPr>
                <w:rFonts w:hint="eastAsia" w:ascii="宋体" w:hAnsi="宋体" w:eastAsia="宋体" w:cs="宋体"/>
                <w:b/>
                <w:color w:val="auto"/>
                <w:sz w:val="24"/>
                <w:highlight w:val="none"/>
              </w:rPr>
            </w:pPr>
            <w:r>
              <w:rPr>
                <w:rFonts w:hint="eastAsia" w:ascii="宋体" w:hAnsi="宋体" w:eastAsia="宋体" w:cs="宋体"/>
                <w:b/>
                <w:bCs/>
                <w:color w:val="auto"/>
                <w:kern w:val="0"/>
                <w:sz w:val="24"/>
                <w:highlight w:val="none"/>
              </w:rPr>
              <w:t>1</w:t>
            </w:r>
          </w:p>
        </w:tc>
        <w:tc>
          <w:tcPr>
            <w:tcW w:w="1589" w:type="dxa"/>
            <w:tcBorders>
              <w:top w:val="single" w:color="auto" w:sz="4" w:space="0"/>
              <w:left w:val="single" w:color="auto" w:sz="4" w:space="0"/>
              <w:bottom w:val="single" w:color="auto" w:sz="4" w:space="0"/>
              <w:right w:val="single" w:color="auto" w:sz="4" w:space="0"/>
            </w:tcBorders>
            <w:vAlign w:val="center"/>
          </w:tcPr>
          <w:p w14:paraId="12D9B3D2">
            <w:pPr>
              <w:tabs>
                <w:tab w:val="left" w:pos="180"/>
                <w:tab w:val="left" w:pos="1620"/>
              </w:tabs>
              <w:spacing w:line="460" w:lineRule="exact"/>
              <w:jc w:val="center"/>
              <w:rPr>
                <w:rFonts w:hint="eastAsia" w:ascii="宋体" w:hAnsi="宋体" w:eastAsia="宋体" w:cs="宋体"/>
                <w:color w:val="auto"/>
                <w:highlight w:val="none"/>
              </w:rPr>
            </w:pPr>
            <w:r>
              <w:rPr>
                <w:rFonts w:hint="eastAsia" w:ascii="宋体" w:hAnsi="宋体" w:eastAsia="宋体" w:cs="宋体"/>
                <w:b/>
                <w:bCs/>
                <w:color w:val="auto"/>
                <w:kern w:val="0"/>
                <w:sz w:val="24"/>
                <w:highlight w:val="none"/>
                <w:lang w:val="en-US" w:eastAsia="zh-CN"/>
              </w:rPr>
              <w:t>G241线石和镇梨木冲村至沙田南流村公路改建工程工可、专题报告</w:t>
            </w:r>
          </w:p>
        </w:tc>
        <w:tc>
          <w:tcPr>
            <w:tcW w:w="920" w:type="dxa"/>
            <w:tcBorders>
              <w:top w:val="single" w:color="auto" w:sz="4" w:space="0"/>
              <w:left w:val="single" w:color="auto" w:sz="4" w:space="0"/>
              <w:bottom w:val="single" w:color="auto" w:sz="4" w:space="0"/>
              <w:right w:val="single" w:color="auto" w:sz="4" w:space="0"/>
            </w:tcBorders>
            <w:vAlign w:val="center"/>
          </w:tcPr>
          <w:p w14:paraId="2540E61F">
            <w:pPr>
              <w:tabs>
                <w:tab w:val="left" w:pos="180"/>
                <w:tab w:val="left" w:pos="1620"/>
              </w:tabs>
              <w:spacing w:line="460" w:lineRule="exact"/>
              <w:jc w:val="center"/>
              <w:rPr>
                <w:rFonts w:hint="eastAsia" w:ascii="宋体" w:hAnsi="宋体" w:eastAsia="宋体" w:cs="宋体"/>
                <w:color w:val="auto"/>
                <w:highlight w:val="none"/>
              </w:rPr>
            </w:pPr>
            <w:r>
              <w:rPr>
                <w:rFonts w:hint="eastAsia" w:ascii="宋体" w:hAnsi="宋体" w:eastAsia="宋体" w:cs="宋体"/>
                <w:b/>
                <w:bCs/>
                <w:color w:val="auto"/>
                <w:kern w:val="0"/>
                <w:sz w:val="24"/>
                <w:highlight w:val="none"/>
              </w:rPr>
              <w:t>1项</w:t>
            </w:r>
          </w:p>
        </w:tc>
        <w:tc>
          <w:tcPr>
            <w:tcW w:w="6207" w:type="dxa"/>
            <w:tcBorders>
              <w:top w:val="single" w:color="auto" w:sz="4" w:space="0"/>
              <w:left w:val="single" w:color="auto" w:sz="4" w:space="0"/>
              <w:bottom w:val="single" w:color="auto" w:sz="4" w:space="0"/>
              <w:right w:val="single" w:color="auto" w:sz="4" w:space="0"/>
            </w:tcBorders>
            <w:vAlign w:val="center"/>
          </w:tcPr>
          <w:p w14:paraId="3F376278">
            <w:pPr>
              <w:spacing w:line="460" w:lineRule="exact"/>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一、</w:t>
            </w:r>
            <w:r>
              <w:rPr>
                <w:rFonts w:hint="eastAsia" w:ascii="宋体" w:hAnsi="宋体" w:eastAsia="宋体" w:cs="宋体"/>
                <w:color w:val="auto"/>
                <w:sz w:val="24"/>
                <w:highlight w:val="none"/>
              </w:rPr>
              <w:t>▲服务内容：</w:t>
            </w:r>
            <w:r>
              <w:rPr>
                <w:rFonts w:hint="eastAsia" w:ascii="宋体" w:hAnsi="宋体" w:eastAsia="宋体" w:cs="宋体"/>
                <w:color w:val="auto"/>
                <w:sz w:val="24"/>
                <w:highlight w:val="none"/>
                <w:lang w:val="en-US" w:eastAsia="zh-CN"/>
              </w:rPr>
              <w:t>对G241线石和镇梨木冲村至沙田南流村公路改建工程工可、专题报告</w:t>
            </w:r>
            <w:r>
              <w:rPr>
                <w:rFonts w:hint="eastAsia" w:ascii="宋体" w:hAnsi="宋体" w:eastAsia="宋体" w:cs="宋体"/>
                <w:color w:val="auto"/>
                <w:sz w:val="24"/>
                <w:highlight w:val="none"/>
                <w:lang w:eastAsia="zh-CN"/>
              </w:rPr>
              <w:t>进行采购。</w:t>
            </w:r>
          </w:p>
          <w:p w14:paraId="2510BFA1">
            <w:pPr>
              <w:spacing w:line="460" w:lineRule="exact"/>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二、</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采购范围：</w:t>
            </w:r>
          </w:p>
          <w:p w14:paraId="62B2DB2A">
            <w:pPr>
              <w:spacing w:line="460" w:lineRule="exact"/>
              <w:ind w:firstLine="480" w:firstLineChars="200"/>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G241线石和镇梨木冲村至沙田南流村公路改建工程工可、专题报告，包含改建工程专项检测服务、社会稳定风险分析、环境影响评价报告、安全条件论证报告及工程可行性研究报告编制服务。</w:t>
            </w:r>
          </w:p>
          <w:p w14:paraId="0C6815D2">
            <w:pPr>
              <w:spacing w:line="46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三、</w:t>
            </w:r>
            <w:r>
              <w:rPr>
                <w:rFonts w:hint="eastAsia" w:ascii="宋体" w:hAnsi="宋体" w:eastAsia="宋体" w:cs="宋体"/>
                <w:color w:val="auto"/>
                <w:sz w:val="24"/>
                <w:highlight w:val="none"/>
              </w:rPr>
              <w:t>▲质量标准：</w:t>
            </w:r>
          </w:p>
          <w:p w14:paraId="42FFD22B">
            <w:pPr>
              <w:spacing w:line="46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本项目须执行的国家相关标准、行业标准、地方标准或者其他标准、规范。</w:t>
            </w:r>
          </w:p>
          <w:p w14:paraId="310E48A7">
            <w:pPr>
              <w:spacing w:line="46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本项目如有国家相关标准、行业标准、地方标准或者其他标准、规范的，应执行相应的标准、规范。如具体采购需求与标准、规范不一致的，高于标准、规范的按具体采购需求执行，低于标准、规范的按标准、规范执行。</w:t>
            </w:r>
          </w:p>
          <w:p w14:paraId="17936C0E">
            <w:pPr>
              <w:spacing w:line="46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四、</w:t>
            </w:r>
            <w:r>
              <w:rPr>
                <w:rFonts w:hint="eastAsia" w:ascii="宋体" w:hAnsi="宋体" w:eastAsia="宋体" w:cs="宋体"/>
                <w:color w:val="auto"/>
                <w:sz w:val="24"/>
                <w:highlight w:val="none"/>
              </w:rPr>
              <w:t>▲成果</w:t>
            </w:r>
            <w:r>
              <w:rPr>
                <w:rFonts w:hint="eastAsia" w:ascii="宋体" w:hAnsi="宋体" w:eastAsia="宋体" w:cs="宋体"/>
                <w:color w:val="auto"/>
                <w:sz w:val="24"/>
                <w:highlight w:val="none"/>
                <w:lang w:eastAsia="zh-CN"/>
              </w:rPr>
              <w:t>文件</w:t>
            </w:r>
            <w:r>
              <w:rPr>
                <w:rFonts w:hint="eastAsia" w:ascii="宋体" w:hAnsi="宋体" w:eastAsia="宋体" w:cs="宋体"/>
                <w:color w:val="auto"/>
                <w:sz w:val="24"/>
                <w:highlight w:val="none"/>
              </w:rPr>
              <w:t>：</w:t>
            </w:r>
          </w:p>
          <w:p w14:paraId="51B16E62">
            <w:pPr>
              <w:spacing w:line="460" w:lineRule="exact"/>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1、成交供应商需独立编制并提交1套成果资料。</w:t>
            </w:r>
          </w:p>
          <w:p w14:paraId="732BE690">
            <w:pPr>
              <w:spacing w:line="460" w:lineRule="exact"/>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2成果资料包含：纸质文本两套及电子文件两套（存储于U盘）。</w:t>
            </w:r>
          </w:p>
          <w:p w14:paraId="5378007B">
            <w:pPr>
              <w:spacing w:line="460" w:lineRule="exact"/>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3、电子文件需根据采购人需要，提供专题报告相关的CAD、PDF、EXCEL、WORD等格式文件。</w:t>
            </w:r>
          </w:p>
          <w:p w14:paraId="345806DF">
            <w:pPr>
              <w:spacing w:line="46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五、</w:t>
            </w:r>
            <w:r>
              <w:rPr>
                <w:rFonts w:hint="eastAsia" w:ascii="宋体" w:hAnsi="宋体" w:eastAsia="宋体" w:cs="宋体"/>
                <w:color w:val="auto"/>
                <w:sz w:val="24"/>
                <w:highlight w:val="none"/>
              </w:rPr>
              <w:t>▲人员配置情况要求：拟投入的主要专业技术人员至少包含路基、路面专业，须在响应文件中提供相关人员的证明材料复印件并加盖单位公章。</w:t>
            </w:r>
          </w:p>
          <w:p w14:paraId="0EC628E2">
            <w:pPr>
              <w:spacing w:line="46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六、</w:t>
            </w:r>
            <w:r>
              <w:rPr>
                <w:rFonts w:hint="eastAsia" w:ascii="宋体" w:hAnsi="宋体" w:eastAsia="宋体" w:cs="宋体"/>
                <w:color w:val="auto"/>
                <w:sz w:val="24"/>
                <w:highlight w:val="none"/>
              </w:rPr>
              <w:t>▲成果要求：专题报告内容符合国家法律、法规、技术标准及规范要求的深度、广度，获得相关主管部门批复或认可。</w:t>
            </w:r>
            <w:r>
              <w:rPr>
                <w:rFonts w:hint="eastAsia" w:ascii="宋体" w:hAnsi="宋体" w:eastAsia="宋体" w:cs="宋体"/>
                <w:color w:val="auto"/>
                <w:sz w:val="24"/>
                <w:highlight w:val="none"/>
                <w:lang w:eastAsia="zh-CN"/>
              </w:rPr>
              <w:t>改建工程专项检测</w:t>
            </w:r>
            <w:r>
              <w:rPr>
                <w:rFonts w:hint="eastAsia" w:ascii="宋体" w:hAnsi="宋体" w:eastAsia="宋体" w:cs="宋体"/>
                <w:color w:val="auto"/>
                <w:sz w:val="24"/>
                <w:highlight w:val="none"/>
                <w:lang w:val="en-US" w:eastAsia="zh-CN"/>
              </w:rPr>
              <w:t>须按</w:t>
            </w:r>
            <w:r>
              <w:rPr>
                <w:rFonts w:hint="eastAsia" w:ascii="宋体" w:hAnsi="宋体" w:eastAsia="宋体" w:cs="宋体"/>
                <w:color w:val="auto"/>
                <w:sz w:val="24"/>
                <w:highlight w:val="none"/>
              </w:rPr>
              <w:t>国家、省、市现行规范、标准和</w:t>
            </w:r>
            <w:r>
              <w:rPr>
                <w:rFonts w:hint="eastAsia" w:ascii="宋体" w:hAnsi="宋体" w:eastAsia="宋体" w:cs="宋体"/>
                <w:color w:val="auto"/>
                <w:sz w:val="24"/>
                <w:highlight w:val="none"/>
                <w:lang w:val="en-US" w:eastAsia="zh-CN"/>
              </w:rPr>
              <w:t>采购</w:t>
            </w:r>
            <w:r>
              <w:rPr>
                <w:rFonts w:hint="eastAsia" w:ascii="宋体" w:hAnsi="宋体" w:eastAsia="宋体" w:cs="宋体"/>
                <w:color w:val="auto"/>
                <w:sz w:val="24"/>
                <w:highlight w:val="none"/>
              </w:rPr>
              <w:t>单位要求的检测内容、完成时间进行检测</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检测报告检测数据完整、准确、真实、清楚，成交人须对检测结果的真实、可靠、保密负责，不得向第三方泄露检测结果。</w:t>
            </w:r>
          </w:p>
          <w:p w14:paraId="1AB86A5B">
            <w:pPr>
              <w:spacing w:line="460" w:lineRule="exact"/>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七、</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采购内容各项费用：</w:t>
            </w:r>
          </w:p>
          <w:tbl>
            <w:tblPr>
              <w:tblStyle w:val="30"/>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02"/>
              <w:gridCol w:w="2678"/>
            </w:tblGrid>
            <w:tr w14:paraId="634E6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2760" w:type="pct"/>
                  <w:noWrap w:val="0"/>
                  <w:vAlign w:val="center"/>
                </w:tcPr>
                <w:p w14:paraId="236BF2DC">
                  <w:pPr>
                    <w:spacing w:line="460" w:lineRule="exact"/>
                    <w:ind w:firstLine="480" w:firstLineChars="200"/>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采购内容</w:t>
                  </w:r>
                </w:p>
              </w:tc>
              <w:tc>
                <w:tcPr>
                  <w:tcW w:w="2239" w:type="pct"/>
                  <w:noWrap w:val="0"/>
                  <w:vAlign w:val="center"/>
                </w:tcPr>
                <w:p w14:paraId="123CF5BB">
                  <w:pPr>
                    <w:spacing w:line="460" w:lineRule="exact"/>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采购预算金额（万元）</w:t>
                  </w:r>
                </w:p>
              </w:tc>
            </w:tr>
            <w:tr w14:paraId="179CA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5000" w:type="pct"/>
                  <w:gridSpan w:val="2"/>
                  <w:noWrap w:val="0"/>
                  <w:vAlign w:val="center"/>
                </w:tcPr>
                <w:p w14:paraId="6CEC16AC">
                  <w:pPr>
                    <w:bidi w:val="0"/>
                    <w:rPr>
                      <w:rFonts w:hint="eastAsia" w:ascii="宋体" w:hAnsi="宋体" w:eastAsia="宋体" w:cs="宋体"/>
                      <w:color w:val="auto"/>
                      <w:highlight w:val="none"/>
                      <w:lang w:eastAsia="zh-CN"/>
                    </w:rPr>
                  </w:pPr>
                  <w:r>
                    <w:rPr>
                      <w:rFonts w:hint="eastAsia" w:ascii="宋体" w:hAnsi="宋体" w:eastAsia="宋体" w:cs="宋体"/>
                      <w:color w:val="auto"/>
                      <w:sz w:val="24"/>
                      <w:szCs w:val="32"/>
                      <w:highlight w:val="none"/>
                      <w:lang w:eastAsia="zh-CN"/>
                    </w:rPr>
                    <w:t>一、前期专题报告</w:t>
                  </w:r>
                </w:p>
              </w:tc>
            </w:tr>
            <w:tr w14:paraId="4266A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2760" w:type="pct"/>
                  <w:noWrap w:val="0"/>
                  <w:vAlign w:val="center"/>
                </w:tcPr>
                <w:p w14:paraId="578F8B75">
                  <w:pPr>
                    <w:spacing w:line="460" w:lineRule="exact"/>
                    <w:ind w:firstLine="480" w:firstLineChars="200"/>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改建工程专项检测费</w:t>
                  </w:r>
                </w:p>
              </w:tc>
              <w:tc>
                <w:tcPr>
                  <w:tcW w:w="2239" w:type="pct"/>
                  <w:noWrap w:val="0"/>
                  <w:vAlign w:val="center"/>
                </w:tcPr>
                <w:p w14:paraId="3B8668EC">
                  <w:pPr>
                    <w:spacing w:line="460" w:lineRule="exact"/>
                    <w:ind w:firstLine="480" w:firstLineChars="20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6.76</w:t>
                  </w:r>
                </w:p>
              </w:tc>
            </w:tr>
            <w:tr w14:paraId="170BE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2760" w:type="pct"/>
                  <w:noWrap w:val="0"/>
                  <w:vAlign w:val="center"/>
                </w:tcPr>
                <w:p w14:paraId="3D38D650">
                  <w:pPr>
                    <w:spacing w:line="460" w:lineRule="exact"/>
                    <w:ind w:firstLine="480" w:firstLineChars="200"/>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社会稳定风险分析</w:t>
                  </w:r>
                </w:p>
              </w:tc>
              <w:tc>
                <w:tcPr>
                  <w:tcW w:w="2239" w:type="pct"/>
                  <w:noWrap w:val="0"/>
                  <w:vAlign w:val="center"/>
                </w:tcPr>
                <w:p w14:paraId="2B261160">
                  <w:pPr>
                    <w:spacing w:line="460" w:lineRule="exact"/>
                    <w:ind w:firstLine="480" w:firstLineChars="20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8.9</w:t>
                  </w:r>
                </w:p>
              </w:tc>
            </w:tr>
            <w:tr w14:paraId="6A7F5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2760" w:type="pct"/>
                  <w:noWrap w:val="0"/>
                  <w:vAlign w:val="center"/>
                </w:tcPr>
                <w:p w14:paraId="3D6E56D9">
                  <w:pPr>
                    <w:spacing w:line="460" w:lineRule="exact"/>
                    <w:ind w:firstLine="480" w:firstLineChars="200"/>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环境影响评价报告</w:t>
                  </w:r>
                </w:p>
              </w:tc>
              <w:tc>
                <w:tcPr>
                  <w:tcW w:w="2239" w:type="pct"/>
                  <w:noWrap w:val="0"/>
                  <w:vAlign w:val="center"/>
                </w:tcPr>
                <w:p w14:paraId="41F673BA">
                  <w:pPr>
                    <w:spacing w:line="460" w:lineRule="exact"/>
                    <w:ind w:firstLine="480" w:firstLineChars="20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8.9</w:t>
                  </w:r>
                </w:p>
              </w:tc>
            </w:tr>
            <w:tr w14:paraId="62508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2760" w:type="pct"/>
                  <w:noWrap w:val="0"/>
                  <w:vAlign w:val="center"/>
                </w:tcPr>
                <w:p w14:paraId="0451AD6E">
                  <w:pPr>
                    <w:spacing w:line="460" w:lineRule="exact"/>
                    <w:ind w:firstLine="480" w:firstLineChars="200"/>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安全条件论证报告</w:t>
                  </w:r>
                </w:p>
              </w:tc>
              <w:tc>
                <w:tcPr>
                  <w:tcW w:w="2239" w:type="pct"/>
                  <w:noWrap w:val="0"/>
                  <w:vAlign w:val="center"/>
                </w:tcPr>
                <w:p w14:paraId="6F3B00DA">
                  <w:pPr>
                    <w:spacing w:line="460" w:lineRule="exact"/>
                    <w:ind w:firstLine="480" w:firstLineChars="20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9</w:t>
                  </w:r>
                </w:p>
              </w:tc>
            </w:tr>
            <w:tr w14:paraId="2F300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2760" w:type="pct"/>
                  <w:noWrap w:val="0"/>
                  <w:vAlign w:val="center"/>
                </w:tcPr>
                <w:p w14:paraId="44D719EB">
                  <w:pPr>
                    <w:bidi w:val="0"/>
                    <w:rPr>
                      <w:rFonts w:hint="eastAsia" w:ascii="宋体" w:hAnsi="宋体" w:eastAsia="宋体" w:cs="宋体"/>
                      <w:color w:val="auto"/>
                      <w:highlight w:val="none"/>
                      <w:lang w:eastAsia="zh-CN"/>
                    </w:rPr>
                  </w:pPr>
                  <w:r>
                    <w:rPr>
                      <w:rFonts w:hint="eastAsia" w:ascii="宋体" w:hAnsi="宋体" w:eastAsia="宋体" w:cs="宋体"/>
                      <w:color w:val="auto"/>
                      <w:sz w:val="24"/>
                      <w:szCs w:val="32"/>
                      <w:highlight w:val="none"/>
                      <w:lang w:eastAsia="zh-CN"/>
                    </w:rPr>
                    <w:t>二、工程可行性研究报告</w:t>
                  </w:r>
                </w:p>
              </w:tc>
              <w:tc>
                <w:tcPr>
                  <w:tcW w:w="2239" w:type="pct"/>
                  <w:noWrap w:val="0"/>
                  <w:vAlign w:val="center"/>
                </w:tcPr>
                <w:p w14:paraId="4C817361">
                  <w:pPr>
                    <w:spacing w:line="460" w:lineRule="exact"/>
                    <w:ind w:firstLine="480" w:firstLineChars="20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30.4</w:t>
                  </w:r>
                </w:p>
              </w:tc>
            </w:tr>
            <w:tr w14:paraId="3795B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2760" w:type="pct"/>
                  <w:noWrap w:val="0"/>
                  <w:vAlign w:val="center"/>
                </w:tcPr>
                <w:p w14:paraId="79FD7A73">
                  <w:pPr>
                    <w:spacing w:line="460" w:lineRule="exact"/>
                    <w:ind w:firstLine="480" w:firstLineChars="200"/>
                    <w:jc w:val="left"/>
                    <w:rPr>
                      <w:rFonts w:hint="eastAsia" w:ascii="宋体" w:hAnsi="宋体" w:eastAsia="宋体" w:cs="宋体"/>
                      <w:b w:val="0"/>
                      <w:bCs w:val="0"/>
                      <w:color w:val="auto"/>
                      <w:sz w:val="24"/>
                      <w:highlight w:val="none"/>
                      <w:lang w:eastAsia="zh-CN"/>
                    </w:rPr>
                  </w:pPr>
                  <w:r>
                    <w:rPr>
                      <w:rFonts w:hint="eastAsia" w:ascii="宋体" w:hAnsi="宋体" w:eastAsia="宋体" w:cs="宋体"/>
                      <w:b w:val="0"/>
                      <w:bCs w:val="0"/>
                      <w:color w:val="auto"/>
                      <w:sz w:val="24"/>
                      <w:highlight w:val="none"/>
                      <w:lang w:eastAsia="zh-CN"/>
                    </w:rPr>
                    <w:t>合计</w:t>
                  </w:r>
                </w:p>
              </w:tc>
              <w:tc>
                <w:tcPr>
                  <w:tcW w:w="2239" w:type="pct"/>
                  <w:noWrap w:val="0"/>
                  <w:vAlign w:val="center"/>
                </w:tcPr>
                <w:p w14:paraId="20E4A724">
                  <w:pPr>
                    <w:spacing w:line="460" w:lineRule="exact"/>
                    <w:ind w:firstLine="480" w:firstLineChars="200"/>
                    <w:jc w:val="center"/>
                    <w:rPr>
                      <w:rFonts w:hint="eastAsia" w:ascii="宋体" w:hAnsi="宋体" w:eastAsia="宋体" w:cs="宋体"/>
                      <w:b w:val="0"/>
                      <w:bCs w:val="0"/>
                      <w:color w:val="auto"/>
                      <w:sz w:val="24"/>
                      <w:highlight w:val="none"/>
                      <w:lang w:eastAsia="zh-CN"/>
                    </w:rPr>
                  </w:pPr>
                  <w:r>
                    <w:rPr>
                      <w:rFonts w:hint="eastAsia" w:ascii="宋体" w:hAnsi="宋体" w:eastAsia="宋体" w:cs="宋体"/>
                      <w:b w:val="0"/>
                      <w:bCs w:val="0"/>
                      <w:color w:val="auto"/>
                      <w:sz w:val="24"/>
                      <w:highlight w:val="none"/>
                      <w:lang w:val="en-US" w:eastAsia="zh-CN"/>
                    </w:rPr>
                    <w:t>63.96</w:t>
                  </w:r>
                </w:p>
              </w:tc>
            </w:tr>
          </w:tbl>
          <w:p w14:paraId="0A368C96">
            <w:pPr>
              <w:spacing w:line="460" w:lineRule="exact"/>
              <w:ind w:firstLine="480" w:firstLineChars="200"/>
              <w:jc w:val="left"/>
              <w:rPr>
                <w:rFonts w:hint="eastAsia" w:ascii="宋体" w:hAnsi="宋体" w:eastAsia="宋体" w:cs="宋体"/>
                <w:color w:val="auto"/>
                <w:highlight w:val="none"/>
              </w:rPr>
            </w:pPr>
            <w:r>
              <w:rPr>
                <w:rFonts w:hint="eastAsia" w:ascii="宋体" w:hAnsi="宋体" w:eastAsia="宋体" w:cs="宋体"/>
                <w:color w:val="auto"/>
                <w:sz w:val="24"/>
                <w:highlight w:val="none"/>
                <w:lang w:val="en-US" w:eastAsia="zh-CN"/>
              </w:rPr>
              <w:t>注：磋商报价均不能超出</w:t>
            </w:r>
            <w:r>
              <w:rPr>
                <w:rFonts w:hint="eastAsia" w:ascii="宋体" w:hAnsi="宋体" w:eastAsia="宋体" w:cs="宋体"/>
                <w:color w:val="auto"/>
                <w:sz w:val="24"/>
                <w:highlight w:val="none"/>
                <w:lang w:eastAsia="zh-CN"/>
              </w:rPr>
              <w:t>各项</w:t>
            </w:r>
            <w:r>
              <w:rPr>
                <w:rFonts w:hint="eastAsia" w:ascii="宋体" w:hAnsi="宋体" w:eastAsia="宋体" w:cs="宋体"/>
                <w:color w:val="auto"/>
                <w:sz w:val="24"/>
                <w:highlight w:val="none"/>
                <w:lang w:val="en-US" w:eastAsia="zh-CN"/>
              </w:rPr>
              <w:t>采购预算金额。</w:t>
            </w:r>
          </w:p>
        </w:tc>
      </w:tr>
      <w:tr w14:paraId="0DCC77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278" w:type="dxa"/>
            <w:gridSpan w:val="4"/>
            <w:tcBorders>
              <w:top w:val="single" w:color="auto" w:sz="4" w:space="0"/>
              <w:left w:val="single" w:color="auto" w:sz="4" w:space="0"/>
              <w:bottom w:val="single" w:color="auto" w:sz="4" w:space="0"/>
              <w:right w:val="single" w:color="auto" w:sz="4" w:space="0"/>
            </w:tcBorders>
            <w:vAlign w:val="top"/>
          </w:tcPr>
          <w:p w14:paraId="14FC428A">
            <w:pPr>
              <w:spacing w:line="460" w:lineRule="exact"/>
              <w:rPr>
                <w:rFonts w:hint="eastAsia" w:ascii="宋体" w:hAnsi="宋体" w:eastAsia="宋体" w:cs="宋体"/>
                <w:color w:val="auto"/>
                <w:sz w:val="24"/>
                <w:highlight w:val="none"/>
              </w:rPr>
            </w:pPr>
            <w:r>
              <w:rPr>
                <w:rFonts w:hint="eastAsia" w:ascii="宋体" w:hAnsi="宋体" w:eastAsia="宋体" w:cs="宋体"/>
                <w:b/>
                <w:color w:val="auto"/>
                <w:sz w:val="24"/>
                <w:highlight w:val="none"/>
                <w:lang w:val="en-US" w:eastAsia="zh-CN"/>
              </w:rPr>
              <w:t>二、</w:t>
            </w:r>
            <w:r>
              <w:rPr>
                <w:rFonts w:hint="eastAsia" w:ascii="宋体" w:hAnsi="宋体" w:eastAsia="宋体" w:cs="宋体"/>
                <w:b/>
                <w:color w:val="auto"/>
                <w:sz w:val="24"/>
                <w:highlight w:val="none"/>
              </w:rPr>
              <w:t>商务要求</w:t>
            </w:r>
          </w:p>
        </w:tc>
      </w:tr>
      <w:tr w14:paraId="19AE01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1" w:hRule="atLeast"/>
          <w:jc w:val="center"/>
        </w:trPr>
        <w:tc>
          <w:tcPr>
            <w:tcW w:w="3071" w:type="dxa"/>
            <w:gridSpan w:val="3"/>
            <w:tcBorders>
              <w:top w:val="single" w:color="auto" w:sz="4" w:space="0"/>
              <w:left w:val="single" w:color="auto" w:sz="4" w:space="0"/>
              <w:bottom w:val="single" w:color="auto" w:sz="4" w:space="0"/>
              <w:right w:val="single" w:color="auto" w:sz="4" w:space="0"/>
            </w:tcBorders>
            <w:vAlign w:val="center"/>
          </w:tcPr>
          <w:p w14:paraId="7766C5FC">
            <w:pPr>
              <w:spacing w:line="46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合同签订期</w:t>
            </w:r>
          </w:p>
        </w:tc>
        <w:tc>
          <w:tcPr>
            <w:tcW w:w="6207" w:type="dxa"/>
            <w:tcBorders>
              <w:top w:val="single" w:color="auto" w:sz="4" w:space="0"/>
              <w:left w:val="single" w:color="auto" w:sz="4" w:space="0"/>
              <w:bottom w:val="single" w:color="auto" w:sz="4" w:space="0"/>
              <w:right w:val="single" w:color="auto" w:sz="4" w:space="0"/>
            </w:tcBorders>
            <w:vAlign w:val="center"/>
          </w:tcPr>
          <w:p w14:paraId="496EA00B">
            <w:pPr>
              <w:spacing w:line="46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自成交通知书发出之日起25日内。</w:t>
            </w:r>
          </w:p>
        </w:tc>
      </w:tr>
      <w:tr w14:paraId="1AD6D6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9" w:hRule="atLeast"/>
          <w:jc w:val="center"/>
        </w:trPr>
        <w:tc>
          <w:tcPr>
            <w:tcW w:w="3071" w:type="dxa"/>
            <w:gridSpan w:val="3"/>
            <w:tcBorders>
              <w:top w:val="single" w:color="auto" w:sz="4" w:space="0"/>
              <w:left w:val="single" w:color="auto" w:sz="4" w:space="0"/>
              <w:bottom w:val="single" w:color="auto" w:sz="4" w:space="0"/>
              <w:right w:val="single" w:color="auto" w:sz="4" w:space="0"/>
            </w:tcBorders>
            <w:vAlign w:val="center"/>
          </w:tcPr>
          <w:p w14:paraId="19503715">
            <w:pPr>
              <w:spacing w:line="46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▲提交服务成果时间</w:t>
            </w:r>
            <w:r>
              <w:rPr>
                <w:rFonts w:hint="eastAsia" w:ascii="宋体" w:hAnsi="宋体" w:eastAsia="宋体" w:cs="宋体"/>
                <w:color w:val="auto"/>
                <w:sz w:val="24"/>
                <w:highlight w:val="none"/>
                <w:lang w:val="en-US" w:eastAsia="zh-CN"/>
              </w:rPr>
              <w:t>及地点</w:t>
            </w:r>
          </w:p>
        </w:tc>
        <w:tc>
          <w:tcPr>
            <w:tcW w:w="6207" w:type="dxa"/>
            <w:tcBorders>
              <w:top w:val="single" w:color="auto" w:sz="4" w:space="0"/>
              <w:left w:val="single" w:color="auto" w:sz="4" w:space="0"/>
              <w:bottom w:val="single" w:color="auto" w:sz="4" w:space="0"/>
              <w:right w:val="single" w:color="auto" w:sz="4" w:space="0"/>
            </w:tcBorders>
            <w:vAlign w:val="center"/>
          </w:tcPr>
          <w:p w14:paraId="455772F8">
            <w:pPr>
              <w:spacing w:line="46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时间：</w:t>
            </w:r>
            <w:r>
              <w:rPr>
                <w:rFonts w:hint="eastAsia" w:ascii="宋体" w:hAnsi="宋体" w:eastAsia="宋体" w:cs="宋体"/>
                <w:color w:val="auto"/>
                <w:sz w:val="24"/>
                <w:highlight w:val="none"/>
              </w:rPr>
              <w:t>自签订合同之日起</w:t>
            </w:r>
            <w:r>
              <w:rPr>
                <w:rFonts w:hint="eastAsia" w:ascii="宋体" w:hAnsi="宋体" w:eastAsia="宋体" w:cs="宋体"/>
                <w:color w:val="auto"/>
                <w:sz w:val="24"/>
                <w:highlight w:val="none"/>
                <w:lang w:val="en-US" w:eastAsia="zh-CN"/>
              </w:rPr>
              <w:t>60</w:t>
            </w:r>
            <w:r>
              <w:rPr>
                <w:rFonts w:hint="eastAsia" w:ascii="宋体" w:hAnsi="宋体" w:eastAsia="宋体" w:cs="宋体"/>
                <w:color w:val="auto"/>
                <w:sz w:val="24"/>
                <w:highlight w:val="none"/>
              </w:rPr>
              <w:t>日历天内提交合格有效的成果资料。</w:t>
            </w:r>
          </w:p>
          <w:p w14:paraId="5EAA0DFD">
            <w:pPr>
              <w:spacing w:line="46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地点：广西玉林市内</w:t>
            </w:r>
            <w:r>
              <w:rPr>
                <w:rFonts w:hint="eastAsia" w:ascii="宋体" w:hAnsi="宋体" w:eastAsia="宋体" w:cs="宋体"/>
                <w:color w:val="auto"/>
                <w:sz w:val="24"/>
                <w:highlight w:val="none"/>
              </w:rPr>
              <w:t>采购人指定地点。</w:t>
            </w:r>
          </w:p>
        </w:tc>
      </w:tr>
      <w:tr w14:paraId="08DE60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3071" w:type="dxa"/>
            <w:gridSpan w:val="3"/>
            <w:tcBorders>
              <w:top w:val="single" w:color="auto" w:sz="4" w:space="0"/>
              <w:left w:val="single" w:color="auto" w:sz="4" w:space="0"/>
              <w:bottom w:val="single" w:color="auto" w:sz="4" w:space="0"/>
              <w:right w:val="single" w:color="auto" w:sz="4" w:space="0"/>
            </w:tcBorders>
            <w:vAlign w:val="center"/>
          </w:tcPr>
          <w:p w14:paraId="379D702F">
            <w:pPr>
              <w:spacing w:line="46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▲后续服务</w:t>
            </w:r>
          </w:p>
        </w:tc>
        <w:tc>
          <w:tcPr>
            <w:tcW w:w="6207" w:type="dxa"/>
            <w:tcBorders>
              <w:top w:val="single" w:color="auto" w:sz="4" w:space="0"/>
              <w:left w:val="single" w:color="auto" w:sz="4" w:space="0"/>
              <w:bottom w:val="single" w:color="auto" w:sz="4" w:space="0"/>
              <w:right w:val="single" w:color="auto" w:sz="4" w:space="0"/>
            </w:tcBorders>
            <w:vAlign w:val="center"/>
          </w:tcPr>
          <w:p w14:paraId="2BD1F70B">
            <w:pPr>
              <w:spacing w:line="46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后续服务处理问题响应时间：在后续服务期内应对采购人提供免费技术咨询服务，在此期间接到采购人处理问题通知后4小时内到达采购人指定现场，并在8小时内处理好常规性问题</w:t>
            </w:r>
            <w:r>
              <w:rPr>
                <w:rFonts w:hint="eastAsia" w:ascii="宋体" w:hAnsi="宋体" w:eastAsia="宋体" w:cs="宋体"/>
                <w:color w:val="auto"/>
                <w:sz w:val="24"/>
                <w:highlight w:val="none"/>
                <w:lang w:eastAsia="zh-CN"/>
              </w:rPr>
              <w:t>。</w:t>
            </w:r>
          </w:p>
        </w:tc>
      </w:tr>
      <w:tr w14:paraId="02B43C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3071" w:type="dxa"/>
            <w:gridSpan w:val="3"/>
            <w:tcBorders>
              <w:top w:val="single" w:color="auto" w:sz="4" w:space="0"/>
              <w:left w:val="single" w:color="auto" w:sz="4" w:space="0"/>
              <w:bottom w:val="single" w:color="auto" w:sz="4" w:space="0"/>
              <w:right w:val="single" w:color="auto" w:sz="4" w:space="0"/>
            </w:tcBorders>
            <w:vAlign w:val="center"/>
          </w:tcPr>
          <w:p w14:paraId="29731A96">
            <w:pPr>
              <w:spacing w:line="46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▲付款方式</w:t>
            </w:r>
          </w:p>
        </w:tc>
        <w:tc>
          <w:tcPr>
            <w:tcW w:w="6207" w:type="dxa"/>
            <w:tcBorders>
              <w:top w:val="single" w:color="auto" w:sz="4" w:space="0"/>
              <w:left w:val="single" w:color="auto" w:sz="4" w:space="0"/>
              <w:bottom w:val="single" w:color="auto" w:sz="4" w:space="0"/>
              <w:right w:val="single" w:color="auto" w:sz="4" w:space="0"/>
            </w:tcBorders>
            <w:vAlign w:val="center"/>
          </w:tcPr>
          <w:p w14:paraId="42B6644E">
            <w:pPr>
              <w:spacing w:line="46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签订合同后，</w:t>
            </w:r>
            <w:r>
              <w:rPr>
                <w:rFonts w:hint="eastAsia" w:ascii="宋体" w:hAnsi="宋体" w:eastAsia="宋体" w:cs="宋体"/>
                <w:color w:val="auto"/>
                <w:sz w:val="24"/>
                <w:highlight w:val="none"/>
                <w:lang w:val="en-US" w:eastAsia="zh-CN"/>
              </w:rPr>
              <w:t>采购人在10个工作日内</w:t>
            </w:r>
            <w:r>
              <w:rPr>
                <w:rFonts w:hint="eastAsia" w:ascii="宋体" w:hAnsi="宋体" w:eastAsia="宋体" w:cs="宋体"/>
                <w:color w:val="auto"/>
                <w:sz w:val="24"/>
                <w:highlight w:val="none"/>
              </w:rPr>
              <w:t>支付</w:t>
            </w:r>
            <w:r>
              <w:rPr>
                <w:rFonts w:hint="eastAsia" w:ascii="宋体" w:hAnsi="宋体" w:eastAsia="宋体" w:cs="宋体"/>
                <w:color w:val="auto"/>
                <w:sz w:val="24"/>
                <w:highlight w:val="none"/>
                <w:lang w:val="en-US" w:eastAsia="zh-CN"/>
              </w:rPr>
              <w:t>合同金额的</w:t>
            </w:r>
            <w:r>
              <w:rPr>
                <w:rFonts w:hint="eastAsia" w:ascii="宋体" w:hAnsi="宋体" w:eastAsia="宋体" w:cs="宋体"/>
                <w:color w:val="auto"/>
                <w:sz w:val="24"/>
                <w:highlight w:val="none"/>
              </w:rPr>
              <w:t>30%</w:t>
            </w:r>
            <w:r>
              <w:rPr>
                <w:rFonts w:hint="eastAsia" w:ascii="宋体" w:hAnsi="宋体" w:eastAsia="宋体" w:cs="宋体"/>
                <w:color w:val="auto"/>
                <w:sz w:val="24"/>
                <w:highlight w:val="none"/>
                <w:lang w:val="en-US" w:eastAsia="zh-CN"/>
              </w:rPr>
              <w:t>给成交供应商</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项目</w:t>
            </w:r>
            <w:r>
              <w:rPr>
                <w:rFonts w:hint="eastAsia" w:ascii="宋体" w:hAnsi="宋体" w:eastAsia="宋体" w:cs="宋体"/>
                <w:color w:val="auto"/>
                <w:sz w:val="24"/>
                <w:highlight w:val="none"/>
              </w:rPr>
              <w:t>完成并提交成果文件最终版后，</w:t>
            </w:r>
            <w:r>
              <w:rPr>
                <w:rFonts w:hint="eastAsia" w:ascii="宋体" w:hAnsi="宋体" w:eastAsia="宋体" w:cs="宋体"/>
                <w:color w:val="auto"/>
                <w:sz w:val="24"/>
                <w:highlight w:val="none"/>
                <w:lang w:val="en-US" w:eastAsia="zh-CN"/>
              </w:rPr>
              <w:t>采购人</w:t>
            </w:r>
            <w:r>
              <w:rPr>
                <w:rFonts w:hint="eastAsia" w:ascii="宋体" w:hAnsi="宋体" w:eastAsia="宋体" w:cs="宋体"/>
                <w:color w:val="auto"/>
                <w:sz w:val="24"/>
                <w:highlight w:val="none"/>
              </w:rPr>
              <w:t>支付剩余</w:t>
            </w:r>
            <w:r>
              <w:rPr>
                <w:rFonts w:hint="eastAsia" w:ascii="宋体" w:hAnsi="宋体" w:eastAsia="宋体" w:cs="宋体"/>
                <w:color w:val="auto"/>
                <w:sz w:val="24"/>
                <w:highlight w:val="none"/>
                <w:lang w:val="en-US" w:eastAsia="zh-CN"/>
              </w:rPr>
              <w:t>合同金额的</w:t>
            </w:r>
            <w:r>
              <w:rPr>
                <w:rFonts w:hint="eastAsia" w:ascii="宋体" w:hAnsi="宋体" w:eastAsia="宋体" w:cs="宋体"/>
                <w:color w:val="auto"/>
                <w:sz w:val="24"/>
                <w:highlight w:val="none"/>
              </w:rPr>
              <w:t>70%</w:t>
            </w:r>
            <w:r>
              <w:rPr>
                <w:rFonts w:hint="eastAsia" w:ascii="宋体" w:hAnsi="宋体" w:eastAsia="宋体" w:cs="宋体"/>
                <w:color w:val="auto"/>
                <w:sz w:val="24"/>
                <w:highlight w:val="none"/>
                <w:lang w:val="en-US" w:eastAsia="zh-CN"/>
              </w:rPr>
              <w:t>给成交供应商</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成交供应商</w:t>
            </w:r>
            <w:r>
              <w:rPr>
                <w:rFonts w:hint="eastAsia" w:ascii="宋体" w:hAnsi="宋体" w:eastAsia="宋体" w:cs="宋体"/>
                <w:color w:val="auto"/>
                <w:sz w:val="24"/>
                <w:highlight w:val="none"/>
              </w:rPr>
              <w:t>收到付款于3个工作日内开具等额的财务发票给</w:t>
            </w:r>
            <w:r>
              <w:rPr>
                <w:rFonts w:hint="eastAsia" w:ascii="宋体" w:hAnsi="宋体" w:eastAsia="宋体" w:cs="宋体"/>
                <w:color w:val="auto"/>
                <w:sz w:val="24"/>
                <w:highlight w:val="none"/>
                <w:lang w:val="en-US" w:eastAsia="zh-CN"/>
              </w:rPr>
              <w:t>采购人</w:t>
            </w:r>
            <w:r>
              <w:rPr>
                <w:rFonts w:hint="eastAsia" w:ascii="宋体" w:hAnsi="宋体" w:eastAsia="宋体" w:cs="宋体"/>
                <w:color w:val="auto"/>
                <w:sz w:val="24"/>
                <w:highlight w:val="none"/>
                <w:lang w:eastAsia="zh-CN"/>
              </w:rPr>
              <w:t>。</w:t>
            </w:r>
          </w:p>
        </w:tc>
      </w:tr>
      <w:tr w14:paraId="2B0279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72" w:hRule="atLeast"/>
          <w:jc w:val="center"/>
        </w:trPr>
        <w:tc>
          <w:tcPr>
            <w:tcW w:w="3071" w:type="dxa"/>
            <w:gridSpan w:val="3"/>
            <w:tcBorders>
              <w:top w:val="single" w:color="auto" w:sz="4" w:space="0"/>
              <w:left w:val="single" w:color="auto" w:sz="4" w:space="0"/>
              <w:bottom w:val="single" w:color="auto" w:sz="4" w:space="0"/>
              <w:right w:val="single" w:color="auto" w:sz="4" w:space="0"/>
            </w:tcBorders>
            <w:vAlign w:val="center"/>
          </w:tcPr>
          <w:p w14:paraId="2B2258AB">
            <w:pPr>
              <w:spacing w:line="46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▲磋商报价要求</w:t>
            </w:r>
          </w:p>
        </w:tc>
        <w:tc>
          <w:tcPr>
            <w:tcW w:w="6207" w:type="dxa"/>
            <w:tcBorders>
              <w:top w:val="single" w:color="auto" w:sz="4" w:space="0"/>
              <w:left w:val="single" w:color="auto" w:sz="4" w:space="0"/>
              <w:bottom w:val="single" w:color="auto" w:sz="4" w:space="0"/>
              <w:right w:val="single" w:color="auto" w:sz="4" w:space="0"/>
            </w:tcBorders>
            <w:vAlign w:val="center"/>
          </w:tcPr>
          <w:p w14:paraId="10644BC2">
            <w:pPr>
              <w:spacing w:line="46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1、报价必须包含以下部分：</w:t>
            </w:r>
          </w:p>
          <w:p w14:paraId="67CED6B5">
            <w:pPr>
              <w:spacing w:line="46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（1）服务的价格；</w:t>
            </w:r>
          </w:p>
          <w:p w14:paraId="10BD9C19">
            <w:pPr>
              <w:spacing w:line="46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竞标人的竞标报价应包括完成本次采购范围内全部工作的所有费用【包含但不限于报价费用包括编制费、成果印刷费及税费等所有与报告编制相关工作的费用等】。竞标人所填报的价格在合同实施期间不因市场价格变化等因素而变动，竞标人在报价时应考虑各种风险因素和承受能力。</w:t>
            </w:r>
          </w:p>
          <w:p w14:paraId="0728C02F">
            <w:pPr>
              <w:spacing w:line="46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（3）该项目全程服务过程中所发生的一切费用由服务方自行负责，如所涉及的一切费用由服务方自行承担，服务方需满足采购人对本项目服务提出的有关需求所需的一切费用。</w:t>
            </w:r>
          </w:p>
          <w:p w14:paraId="3D8379C1">
            <w:pPr>
              <w:spacing w:line="460" w:lineRule="exact"/>
              <w:jc w:val="left"/>
              <w:rPr>
                <w:rFonts w:hint="eastAsia" w:ascii="宋体" w:hAnsi="宋体" w:eastAsia="宋体" w:cs="宋体"/>
                <w:b/>
                <w:color w:val="auto"/>
                <w:sz w:val="24"/>
                <w:highlight w:val="none"/>
              </w:rPr>
            </w:pPr>
            <w:r>
              <w:rPr>
                <w:rFonts w:hint="eastAsia" w:ascii="宋体" w:hAnsi="宋体" w:eastAsia="宋体" w:cs="宋体"/>
                <w:color w:val="auto"/>
                <w:sz w:val="24"/>
                <w:highlight w:val="none"/>
              </w:rPr>
              <w:t>2、报价方式：总价包干。</w:t>
            </w:r>
          </w:p>
        </w:tc>
      </w:tr>
      <w:tr w14:paraId="490E8D7B">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950" w:hRule="atLeast"/>
          <w:jc w:val="center"/>
        </w:trPr>
        <w:tc>
          <w:tcPr>
            <w:tcW w:w="3071" w:type="dxa"/>
            <w:gridSpan w:val="3"/>
            <w:tcBorders>
              <w:top w:val="single" w:color="auto" w:sz="4" w:space="0"/>
              <w:left w:val="single" w:color="auto" w:sz="4" w:space="0"/>
              <w:bottom w:val="single" w:color="auto" w:sz="4" w:space="0"/>
              <w:right w:val="single" w:color="auto" w:sz="4" w:space="0"/>
            </w:tcBorders>
            <w:vAlign w:val="center"/>
          </w:tcPr>
          <w:p w14:paraId="7202F91D">
            <w:pPr>
              <w:spacing w:line="46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其他要求</w:t>
            </w:r>
          </w:p>
        </w:tc>
        <w:tc>
          <w:tcPr>
            <w:tcW w:w="6207" w:type="dxa"/>
            <w:tcBorders>
              <w:top w:val="single" w:color="auto" w:sz="4" w:space="0"/>
              <w:left w:val="single" w:color="auto" w:sz="4" w:space="0"/>
              <w:bottom w:val="single" w:color="auto" w:sz="4" w:space="0"/>
              <w:right w:val="single" w:color="auto" w:sz="4" w:space="0"/>
            </w:tcBorders>
            <w:vAlign w:val="center"/>
          </w:tcPr>
          <w:p w14:paraId="704119C5">
            <w:pPr>
              <w:spacing w:line="460" w:lineRule="exact"/>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成交供应商在实施项目过程中的交通费、差旅费、住宿费、伙食费、通讯费等自理，所有费用均包含在磋商报价中，不再另做结算。成交供应商实施项目服务工作期间如出现工作人员人身、财产安全事故、损失等由成交供应商全部负责，采购人不负任何责任</w:t>
            </w:r>
            <w:r>
              <w:rPr>
                <w:rFonts w:hint="eastAsia" w:ascii="宋体" w:hAnsi="宋体" w:eastAsia="宋体" w:cs="宋体"/>
                <w:color w:val="auto"/>
                <w:sz w:val="24"/>
                <w:highlight w:val="none"/>
                <w:lang w:eastAsia="zh-CN"/>
              </w:rPr>
              <w:t>。</w:t>
            </w:r>
          </w:p>
          <w:p w14:paraId="7BD68B8C">
            <w:pPr>
              <w:spacing w:line="46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成交供应商应遵守“诚信、公正、精业、进取”的原则，做好各类资料的整理、归集工作，技术材料装订成册，在项目验收时移交给采购人。</w:t>
            </w:r>
          </w:p>
        </w:tc>
      </w:tr>
    </w:tbl>
    <w:p w14:paraId="44C16816">
      <w:pP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p>
    <w:p w14:paraId="4D4AB90E">
      <w:pPr>
        <w:pStyle w:val="16"/>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附：</w:t>
      </w:r>
    </w:p>
    <w:p w14:paraId="3B1B7C98">
      <w:pPr>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中小微企业划型标准</w:t>
      </w:r>
    </w:p>
    <w:p w14:paraId="35B4324B">
      <w:pPr>
        <w:ind w:left="1871"/>
        <w:rPr>
          <w:rFonts w:hint="eastAsia" w:ascii="宋体" w:hAnsi="宋体" w:eastAsia="宋体" w:cs="宋体"/>
          <w:color w:val="auto"/>
          <w:szCs w:val="21"/>
          <w:highlight w:val="none"/>
        </w:rPr>
      </w:pPr>
    </w:p>
    <w:tbl>
      <w:tblPr>
        <w:tblStyle w:val="29"/>
        <w:tblW w:w="0" w:type="auto"/>
        <w:jc w:val="center"/>
        <w:tblLayout w:type="fixed"/>
        <w:tblCellMar>
          <w:top w:w="0" w:type="dxa"/>
          <w:left w:w="108" w:type="dxa"/>
          <w:bottom w:w="0" w:type="dxa"/>
          <w:right w:w="108" w:type="dxa"/>
        </w:tblCellMar>
      </w:tblPr>
      <w:tblGrid>
        <w:gridCol w:w="1701"/>
        <w:gridCol w:w="1384"/>
        <w:gridCol w:w="913"/>
        <w:gridCol w:w="1620"/>
        <w:gridCol w:w="1440"/>
        <w:gridCol w:w="925"/>
      </w:tblGrid>
      <w:tr w14:paraId="2D0AE055">
        <w:tblPrEx>
          <w:tblCellMar>
            <w:top w:w="0" w:type="dxa"/>
            <w:left w:w="108" w:type="dxa"/>
            <w:bottom w:w="0" w:type="dxa"/>
            <w:right w:w="108" w:type="dxa"/>
          </w:tblCellMar>
        </w:tblPrEx>
        <w:trPr>
          <w:trHeight w:val="285" w:hRule="atLeast"/>
          <w:jc w:val="center"/>
        </w:trPr>
        <w:tc>
          <w:tcPr>
            <w:tcW w:w="1701" w:type="dxa"/>
            <w:tcBorders>
              <w:top w:val="single" w:color="auto" w:sz="4" w:space="0"/>
              <w:left w:val="single" w:color="auto" w:sz="4" w:space="0"/>
              <w:bottom w:val="single" w:color="auto" w:sz="4" w:space="0"/>
              <w:right w:val="single" w:color="auto" w:sz="4" w:space="0"/>
            </w:tcBorders>
            <w:vAlign w:val="center"/>
          </w:tcPr>
          <w:p w14:paraId="5E0375E6">
            <w:pPr>
              <w:widowControl/>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行业名称</w:t>
            </w:r>
          </w:p>
        </w:tc>
        <w:tc>
          <w:tcPr>
            <w:tcW w:w="1384" w:type="dxa"/>
            <w:tcBorders>
              <w:top w:val="single" w:color="auto" w:sz="4" w:space="0"/>
              <w:left w:val="nil"/>
              <w:bottom w:val="single" w:color="auto" w:sz="4" w:space="0"/>
              <w:right w:val="single" w:color="auto" w:sz="4" w:space="0"/>
            </w:tcBorders>
            <w:vAlign w:val="center"/>
          </w:tcPr>
          <w:p w14:paraId="31500E3E">
            <w:pPr>
              <w:widowControl/>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指标名称</w:t>
            </w:r>
          </w:p>
        </w:tc>
        <w:tc>
          <w:tcPr>
            <w:tcW w:w="913" w:type="dxa"/>
            <w:tcBorders>
              <w:top w:val="single" w:color="auto" w:sz="4" w:space="0"/>
              <w:left w:val="nil"/>
              <w:bottom w:val="single" w:color="auto" w:sz="4" w:space="0"/>
              <w:right w:val="single" w:color="auto" w:sz="4" w:space="0"/>
            </w:tcBorders>
            <w:vAlign w:val="center"/>
          </w:tcPr>
          <w:p w14:paraId="173B9E18">
            <w:pPr>
              <w:widowControl/>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计量单位</w:t>
            </w:r>
          </w:p>
        </w:tc>
        <w:tc>
          <w:tcPr>
            <w:tcW w:w="1620" w:type="dxa"/>
            <w:tcBorders>
              <w:top w:val="single" w:color="auto" w:sz="4" w:space="0"/>
              <w:left w:val="nil"/>
              <w:bottom w:val="single" w:color="auto" w:sz="4" w:space="0"/>
              <w:right w:val="single" w:color="auto" w:sz="4" w:space="0"/>
            </w:tcBorders>
            <w:vAlign w:val="center"/>
          </w:tcPr>
          <w:p w14:paraId="3C66E90D">
            <w:pPr>
              <w:widowControl/>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中型</w:t>
            </w:r>
          </w:p>
        </w:tc>
        <w:tc>
          <w:tcPr>
            <w:tcW w:w="1440" w:type="dxa"/>
            <w:tcBorders>
              <w:top w:val="single" w:color="auto" w:sz="4" w:space="0"/>
              <w:left w:val="nil"/>
              <w:bottom w:val="single" w:color="auto" w:sz="4" w:space="0"/>
              <w:right w:val="single" w:color="auto" w:sz="4" w:space="0"/>
            </w:tcBorders>
            <w:vAlign w:val="center"/>
          </w:tcPr>
          <w:p w14:paraId="658D1090">
            <w:pPr>
              <w:widowControl/>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小型</w:t>
            </w:r>
          </w:p>
        </w:tc>
        <w:tc>
          <w:tcPr>
            <w:tcW w:w="925" w:type="dxa"/>
            <w:tcBorders>
              <w:top w:val="single" w:color="auto" w:sz="4" w:space="0"/>
              <w:left w:val="nil"/>
              <w:bottom w:val="single" w:color="auto" w:sz="4" w:space="0"/>
              <w:right w:val="single" w:color="auto" w:sz="4" w:space="0"/>
            </w:tcBorders>
            <w:vAlign w:val="center"/>
          </w:tcPr>
          <w:p w14:paraId="670E8A6D">
            <w:pPr>
              <w:widowControl/>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微型</w:t>
            </w:r>
          </w:p>
        </w:tc>
      </w:tr>
      <w:tr w14:paraId="52F56C36">
        <w:tblPrEx>
          <w:tblCellMar>
            <w:top w:w="0" w:type="dxa"/>
            <w:left w:w="108" w:type="dxa"/>
            <w:bottom w:w="0" w:type="dxa"/>
            <w:right w:w="108" w:type="dxa"/>
          </w:tblCellMar>
        </w:tblPrEx>
        <w:trPr>
          <w:trHeight w:val="225" w:hRule="atLeast"/>
          <w:jc w:val="center"/>
        </w:trPr>
        <w:tc>
          <w:tcPr>
            <w:tcW w:w="1701" w:type="dxa"/>
            <w:tcBorders>
              <w:top w:val="nil"/>
              <w:left w:val="single" w:color="auto" w:sz="4" w:space="0"/>
              <w:bottom w:val="single" w:color="auto" w:sz="4" w:space="0"/>
              <w:right w:val="single" w:color="auto" w:sz="4" w:space="0"/>
            </w:tcBorders>
            <w:vAlign w:val="bottom"/>
          </w:tcPr>
          <w:p w14:paraId="53BB0AAE">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农、林、牧、渔</w:t>
            </w:r>
          </w:p>
        </w:tc>
        <w:tc>
          <w:tcPr>
            <w:tcW w:w="1384" w:type="dxa"/>
            <w:tcBorders>
              <w:top w:val="nil"/>
              <w:left w:val="nil"/>
              <w:bottom w:val="single" w:color="auto" w:sz="4" w:space="0"/>
              <w:right w:val="single" w:color="auto" w:sz="4" w:space="0"/>
            </w:tcBorders>
            <w:vAlign w:val="center"/>
          </w:tcPr>
          <w:p w14:paraId="002CCD1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21D8000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4BDBC1A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500≤Y＜20000</w:t>
            </w:r>
          </w:p>
        </w:tc>
        <w:tc>
          <w:tcPr>
            <w:tcW w:w="1440" w:type="dxa"/>
            <w:tcBorders>
              <w:top w:val="nil"/>
              <w:left w:val="nil"/>
              <w:bottom w:val="single" w:color="auto" w:sz="4" w:space="0"/>
              <w:right w:val="single" w:color="auto" w:sz="4" w:space="0"/>
            </w:tcBorders>
            <w:vAlign w:val="center"/>
          </w:tcPr>
          <w:p w14:paraId="1CA6A5B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50≤Y＜500</w:t>
            </w:r>
          </w:p>
        </w:tc>
        <w:tc>
          <w:tcPr>
            <w:tcW w:w="925" w:type="dxa"/>
            <w:tcBorders>
              <w:top w:val="nil"/>
              <w:left w:val="nil"/>
              <w:bottom w:val="single" w:color="auto" w:sz="4" w:space="0"/>
              <w:right w:val="single" w:color="auto" w:sz="4" w:space="0"/>
            </w:tcBorders>
            <w:vAlign w:val="center"/>
          </w:tcPr>
          <w:p w14:paraId="00C0080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w:t>
            </w:r>
          </w:p>
        </w:tc>
      </w:tr>
      <w:tr w14:paraId="0260DDC8">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1F26F2BA">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工业</w:t>
            </w:r>
          </w:p>
        </w:tc>
        <w:tc>
          <w:tcPr>
            <w:tcW w:w="1384" w:type="dxa"/>
            <w:tcBorders>
              <w:top w:val="nil"/>
              <w:left w:val="nil"/>
              <w:bottom w:val="single" w:color="auto" w:sz="4" w:space="0"/>
              <w:right w:val="single" w:color="auto" w:sz="4" w:space="0"/>
            </w:tcBorders>
            <w:vAlign w:val="center"/>
          </w:tcPr>
          <w:p w14:paraId="3998DB4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77E63FE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420AC8A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440" w:type="dxa"/>
            <w:tcBorders>
              <w:top w:val="nil"/>
              <w:left w:val="nil"/>
              <w:bottom w:val="single" w:color="auto" w:sz="4" w:space="0"/>
              <w:right w:val="single" w:color="auto" w:sz="4" w:space="0"/>
            </w:tcBorders>
            <w:vAlign w:val="center"/>
          </w:tcPr>
          <w:p w14:paraId="2F67D89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925" w:type="dxa"/>
            <w:tcBorders>
              <w:top w:val="nil"/>
              <w:left w:val="nil"/>
              <w:bottom w:val="single" w:color="auto" w:sz="4" w:space="0"/>
              <w:right w:val="single" w:color="auto" w:sz="4" w:space="0"/>
            </w:tcBorders>
            <w:vAlign w:val="center"/>
          </w:tcPr>
          <w:p w14:paraId="0F35C02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1BDA23F3">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1659EB62">
            <w:pPr>
              <w:widowControl/>
              <w:jc w:val="left"/>
              <w:rPr>
                <w:rFonts w:hint="eastAsia" w:ascii="宋体" w:hAnsi="宋体" w:eastAsia="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3AA49A2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6F8A327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1085AF6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2000≤Y＜40000</w:t>
            </w:r>
          </w:p>
        </w:tc>
        <w:tc>
          <w:tcPr>
            <w:tcW w:w="1440" w:type="dxa"/>
            <w:tcBorders>
              <w:top w:val="nil"/>
              <w:left w:val="nil"/>
              <w:bottom w:val="single" w:color="auto" w:sz="4" w:space="0"/>
              <w:right w:val="single" w:color="auto" w:sz="4" w:space="0"/>
            </w:tcBorders>
            <w:vAlign w:val="center"/>
          </w:tcPr>
          <w:p w14:paraId="4A31A7F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300≤Y＜2000</w:t>
            </w:r>
          </w:p>
        </w:tc>
        <w:tc>
          <w:tcPr>
            <w:tcW w:w="925" w:type="dxa"/>
            <w:tcBorders>
              <w:top w:val="nil"/>
              <w:left w:val="nil"/>
              <w:bottom w:val="single" w:color="auto" w:sz="4" w:space="0"/>
              <w:right w:val="single" w:color="auto" w:sz="4" w:space="0"/>
            </w:tcBorders>
            <w:vAlign w:val="center"/>
          </w:tcPr>
          <w:p w14:paraId="15B30CA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w:t>
            </w:r>
          </w:p>
        </w:tc>
      </w:tr>
      <w:tr w14:paraId="73E70716">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09632A8A">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建筑业</w:t>
            </w:r>
          </w:p>
        </w:tc>
        <w:tc>
          <w:tcPr>
            <w:tcW w:w="1384" w:type="dxa"/>
            <w:tcBorders>
              <w:top w:val="nil"/>
              <w:left w:val="nil"/>
              <w:bottom w:val="single" w:color="auto" w:sz="4" w:space="0"/>
              <w:right w:val="single" w:color="auto" w:sz="4" w:space="0"/>
            </w:tcBorders>
            <w:vAlign w:val="center"/>
          </w:tcPr>
          <w:p w14:paraId="66CD859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64EDF57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35BDD69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6000≤Y＜80000</w:t>
            </w:r>
          </w:p>
        </w:tc>
        <w:tc>
          <w:tcPr>
            <w:tcW w:w="1440" w:type="dxa"/>
            <w:tcBorders>
              <w:top w:val="nil"/>
              <w:left w:val="nil"/>
              <w:bottom w:val="single" w:color="auto" w:sz="4" w:space="0"/>
              <w:right w:val="single" w:color="auto" w:sz="4" w:space="0"/>
            </w:tcBorders>
            <w:vAlign w:val="center"/>
          </w:tcPr>
          <w:p w14:paraId="03D81B6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300≤Y＜6000</w:t>
            </w:r>
          </w:p>
        </w:tc>
        <w:tc>
          <w:tcPr>
            <w:tcW w:w="925" w:type="dxa"/>
            <w:tcBorders>
              <w:top w:val="nil"/>
              <w:left w:val="nil"/>
              <w:bottom w:val="single" w:color="auto" w:sz="4" w:space="0"/>
              <w:right w:val="single" w:color="auto" w:sz="4" w:space="0"/>
            </w:tcBorders>
            <w:vAlign w:val="center"/>
          </w:tcPr>
          <w:p w14:paraId="551AC51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w:t>
            </w:r>
          </w:p>
        </w:tc>
      </w:tr>
      <w:tr w14:paraId="550F04A1">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014DCF2A">
            <w:pPr>
              <w:widowControl/>
              <w:jc w:val="left"/>
              <w:rPr>
                <w:rFonts w:hint="eastAsia" w:ascii="宋体" w:hAnsi="宋体" w:eastAsia="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37483D5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913" w:type="dxa"/>
            <w:tcBorders>
              <w:top w:val="nil"/>
              <w:left w:val="nil"/>
              <w:bottom w:val="single" w:color="auto" w:sz="4" w:space="0"/>
              <w:right w:val="single" w:color="auto" w:sz="4" w:space="0"/>
            </w:tcBorders>
            <w:vAlign w:val="center"/>
          </w:tcPr>
          <w:p w14:paraId="33FFE9F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0DAE58D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5000≤Z＜80000</w:t>
            </w:r>
          </w:p>
        </w:tc>
        <w:tc>
          <w:tcPr>
            <w:tcW w:w="1440" w:type="dxa"/>
            <w:tcBorders>
              <w:top w:val="nil"/>
              <w:left w:val="nil"/>
              <w:bottom w:val="single" w:color="auto" w:sz="4" w:space="0"/>
              <w:right w:val="single" w:color="auto" w:sz="4" w:space="0"/>
            </w:tcBorders>
            <w:vAlign w:val="center"/>
          </w:tcPr>
          <w:p w14:paraId="57705E1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300≤Z＜5000</w:t>
            </w:r>
          </w:p>
        </w:tc>
        <w:tc>
          <w:tcPr>
            <w:tcW w:w="925" w:type="dxa"/>
            <w:tcBorders>
              <w:top w:val="nil"/>
              <w:left w:val="nil"/>
              <w:bottom w:val="single" w:color="auto" w:sz="4" w:space="0"/>
              <w:right w:val="single" w:color="auto" w:sz="4" w:space="0"/>
            </w:tcBorders>
            <w:vAlign w:val="center"/>
          </w:tcPr>
          <w:p w14:paraId="301F697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Z＜300</w:t>
            </w:r>
          </w:p>
        </w:tc>
      </w:tr>
      <w:tr w14:paraId="0F7144DD">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7C823799">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批发业</w:t>
            </w:r>
          </w:p>
        </w:tc>
        <w:tc>
          <w:tcPr>
            <w:tcW w:w="1384" w:type="dxa"/>
            <w:tcBorders>
              <w:top w:val="nil"/>
              <w:left w:val="nil"/>
              <w:bottom w:val="single" w:color="auto" w:sz="4" w:space="0"/>
              <w:right w:val="single" w:color="auto" w:sz="4" w:space="0"/>
            </w:tcBorders>
            <w:vAlign w:val="center"/>
          </w:tcPr>
          <w:p w14:paraId="7A4F1A4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0A8BA16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29F00A0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20≤X＜200</w:t>
            </w:r>
          </w:p>
        </w:tc>
        <w:tc>
          <w:tcPr>
            <w:tcW w:w="1440" w:type="dxa"/>
            <w:tcBorders>
              <w:top w:val="nil"/>
              <w:left w:val="nil"/>
              <w:bottom w:val="single" w:color="auto" w:sz="4" w:space="0"/>
              <w:right w:val="single" w:color="auto" w:sz="4" w:space="0"/>
            </w:tcBorders>
            <w:vAlign w:val="center"/>
          </w:tcPr>
          <w:p w14:paraId="0ABF495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5≤X＜20</w:t>
            </w:r>
          </w:p>
        </w:tc>
        <w:tc>
          <w:tcPr>
            <w:tcW w:w="925" w:type="dxa"/>
            <w:tcBorders>
              <w:top w:val="nil"/>
              <w:left w:val="nil"/>
              <w:bottom w:val="single" w:color="auto" w:sz="4" w:space="0"/>
              <w:right w:val="single" w:color="auto" w:sz="4" w:space="0"/>
            </w:tcBorders>
            <w:vAlign w:val="center"/>
          </w:tcPr>
          <w:p w14:paraId="4B09704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X＜5</w:t>
            </w:r>
          </w:p>
        </w:tc>
      </w:tr>
      <w:tr w14:paraId="67538181">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13228FFF">
            <w:pPr>
              <w:widowControl/>
              <w:jc w:val="left"/>
              <w:rPr>
                <w:rFonts w:hint="eastAsia" w:ascii="宋体" w:hAnsi="宋体" w:eastAsia="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478DBB3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2EDAD1A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2472C49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5000≤Y＜40000</w:t>
            </w:r>
          </w:p>
        </w:tc>
        <w:tc>
          <w:tcPr>
            <w:tcW w:w="1440" w:type="dxa"/>
            <w:tcBorders>
              <w:top w:val="nil"/>
              <w:left w:val="nil"/>
              <w:bottom w:val="single" w:color="auto" w:sz="4" w:space="0"/>
              <w:right w:val="single" w:color="auto" w:sz="4" w:space="0"/>
            </w:tcBorders>
            <w:vAlign w:val="center"/>
          </w:tcPr>
          <w:p w14:paraId="548843E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1000≤Y＜5000</w:t>
            </w:r>
          </w:p>
        </w:tc>
        <w:tc>
          <w:tcPr>
            <w:tcW w:w="925" w:type="dxa"/>
            <w:tcBorders>
              <w:top w:val="nil"/>
              <w:left w:val="nil"/>
              <w:bottom w:val="single" w:color="auto" w:sz="4" w:space="0"/>
              <w:right w:val="single" w:color="auto" w:sz="4" w:space="0"/>
            </w:tcBorders>
            <w:vAlign w:val="center"/>
          </w:tcPr>
          <w:p w14:paraId="38D2CA0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w:t>
            </w:r>
          </w:p>
        </w:tc>
      </w:tr>
      <w:tr w14:paraId="18A7D5C2">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2A076119">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零售业</w:t>
            </w:r>
          </w:p>
        </w:tc>
        <w:tc>
          <w:tcPr>
            <w:tcW w:w="1384" w:type="dxa"/>
            <w:tcBorders>
              <w:top w:val="nil"/>
              <w:left w:val="nil"/>
              <w:bottom w:val="single" w:color="auto" w:sz="4" w:space="0"/>
              <w:right w:val="single" w:color="auto" w:sz="4" w:space="0"/>
            </w:tcBorders>
            <w:vAlign w:val="center"/>
          </w:tcPr>
          <w:p w14:paraId="2FE9941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675D969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5895755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50≤X＜300</w:t>
            </w:r>
          </w:p>
        </w:tc>
        <w:tc>
          <w:tcPr>
            <w:tcW w:w="1440" w:type="dxa"/>
            <w:tcBorders>
              <w:top w:val="nil"/>
              <w:left w:val="nil"/>
              <w:bottom w:val="single" w:color="auto" w:sz="4" w:space="0"/>
              <w:right w:val="single" w:color="auto" w:sz="4" w:space="0"/>
            </w:tcBorders>
            <w:vAlign w:val="center"/>
          </w:tcPr>
          <w:p w14:paraId="3FCF696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10≤X＜50</w:t>
            </w:r>
          </w:p>
        </w:tc>
        <w:tc>
          <w:tcPr>
            <w:tcW w:w="925" w:type="dxa"/>
            <w:tcBorders>
              <w:top w:val="nil"/>
              <w:left w:val="nil"/>
              <w:bottom w:val="single" w:color="auto" w:sz="4" w:space="0"/>
              <w:right w:val="single" w:color="auto" w:sz="4" w:space="0"/>
            </w:tcBorders>
            <w:vAlign w:val="center"/>
          </w:tcPr>
          <w:p w14:paraId="0337872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67EA3991">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14315A3F">
            <w:pPr>
              <w:widowControl/>
              <w:jc w:val="left"/>
              <w:rPr>
                <w:rFonts w:hint="eastAsia" w:ascii="宋体" w:hAnsi="宋体" w:eastAsia="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0440B10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3F4BED2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27D5CED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500≤Y＜20000</w:t>
            </w:r>
          </w:p>
        </w:tc>
        <w:tc>
          <w:tcPr>
            <w:tcW w:w="1440" w:type="dxa"/>
            <w:tcBorders>
              <w:top w:val="nil"/>
              <w:left w:val="nil"/>
              <w:bottom w:val="single" w:color="auto" w:sz="4" w:space="0"/>
              <w:right w:val="single" w:color="auto" w:sz="4" w:space="0"/>
            </w:tcBorders>
            <w:vAlign w:val="center"/>
          </w:tcPr>
          <w:p w14:paraId="78E4A54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100≤Y＜500</w:t>
            </w:r>
          </w:p>
        </w:tc>
        <w:tc>
          <w:tcPr>
            <w:tcW w:w="925" w:type="dxa"/>
            <w:tcBorders>
              <w:top w:val="nil"/>
              <w:left w:val="nil"/>
              <w:bottom w:val="single" w:color="auto" w:sz="4" w:space="0"/>
              <w:right w:val="single" w:color="auto" w:sz="4" w:space="0"/>
            </w:tcBorders>
            <w:vAlign w:val="center"/>
          </w:tcPr>
          <w:p w14:paraId="1D60812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04939DB4">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111CFA16">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交通运输业</w:t>
            </w:r>
          </w:p>
        </w:tc>
        <w:tc>
          <w:tcPr>
            <w:tcW w:w="1384" w:type="dxa"/>
            <w:tcBorders>
              <w:top w:val="nil"/>
              <w:left w:val="nil"/>
              <w:bottom w:val="single" w:color="auto" w:sz="4" w:space="0"/>
              <w:right w:val="single" w:color="auto" w:sz="4" w:space="0"/>
            </w:tcBorders>
            <w:vAlign w:val="center"/>
          </w:tcPr>
          <w:p w14:paraId="06CB562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0D144FB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5F09952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440" w:type="dxa"/>
            <w:tcBorders>
              <w:top w:val="nil"/>
              <w:left w:val="nil"/>
              <w:bottom w:val="single" w:color="auto" w:sz="4" w:space="0"/>
              <w:right w:val="single" w:color="auto" w:sz="4" w:space="0"/>
            </w:tcBorders>
            <w:vAlign w:val="center"/>
          </w:tcPr>
          <w:p w14:paraId="7B91CEC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925" w:type="dxa"/>
            <w:tcBorders>
              <w:top w:val="nil"/>
              <w:left w:val="nil"/>
              <w:bottom w:val="single" w:color="auto" w:sz="4" w:space="0"/>
              <w:right w:val="single" w:color="auto" w:sz="4" w:space="0"/>
            </w:tcBorders>
            <w:vAlign w:val="center"/>
          </w:tcPr>
          <w:p w14:paraId="56F27F9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1E18D9FE">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3B484687">
            <w:pPr>
              <w:widowControl/>
              <w:jc w:val="left"/>
              <w:rPr>
                <w:rFonts w:hint="eastAsia" w:ascii="宋体" w:hAnsi="宋体" w:eastAsia="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38EE5DE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4514D65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4A1A3E1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3000≤Y＜30000</w:t>
            </w:r>
          </w:p>
        </w:tc>
        <w:tc>
          <w:tcPr>
            <w:tcW w:w="1440" w:type="dxa"/>
            <w:tcBorders>
              <w:top w:val="nil"/>
              <w:left w:val="nil"/>
              <w:bottom w:val="single" w:color="auto" w:sz="4" w:space="0"/>
              <w:right w:val="single" w:color="auto" w:sz="4" w:space="0"/>
            </w:tcBorders>
            <w:vAlign w:val="center"/>
          </w:tcPr>
          <w:p w14:paraId="152D2B2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200≤Y＜3000</w:t>
            </w:r>
          </w:p>
        </w:tc>
        <w:tc>
          <w:tcPr>
            <w:tcW w:w="925" w:type="dxa"/>
            <w:tcBorders>
              <w:top w:val="nil"/>
              <w:left w:val="nil"/>
              <w:bottom w:val="single" w:color="auto" w:sz="4" w:space="0"/>
              <w:right w:val="single" w:color="auto" w:sz="4" w:space="0"/>
            </w:tcBorders>
            <w:vAlign w:val="center"/>
          </w:tcPr>
          <w:p w14:paraId="1EFA1BF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w:t>
            </w:r>
          </w:p>
        </w:tc>
      </w:tr>
      <w:tr w14:paraId="4147BE63">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4FEB3C98">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仓储业</w:t>
            </w:r>
          </w:p>
        </w:tc>
        <w:tc>
          <w:tcPr>
            <w:tcW w:w="1384" w:type="dxa"/>
            <w:tcBorders>
              <w:top w:val="nil"/>
              <w:left w:val="nil"/>
              <w:bottom w:val="single" w:color="auto" w:sz="4" w:space="0"/>
              <w:right w:val="single" w:color="auto" w:sz="4" w:space="0"/>
            </w:tcBorders>
            <w:vAlign w:val="center"/>
          </w:tcPr>
          <w:p w14:paraId="2EA1F83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0EFC922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048D97C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100≤X＜200</w:t>
            </w:r>
          </w:p>
        </w:tc>
        <w:tc>
          <w:tcPr>
            <w:tcW w:w="1440" w:type="dxa"/>
            <w:tcBorders>
              <w:top w:val="nil"/>
              <w:left w:val="nil"/>
              <w:bottom w:val="single" w:color="auto" w:sz="4" w:space="0"/>
              <w:right w:val="single" w:color="auto" w:sz="4" w:space="0"/>
            </w:tcBorders>
            <w:vAlign w:val="center"/>
          </w:tcPr>
          <w:p w14:paraId="5A27512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20≤X＜100</w:t>
            </w:r>
          </w:p>
        </w:tc>
        <w:tc>
          <w:tcPr>
            <w:tcW w:w="925" w:type="dxa"/>
            <w:tcBorders>
              <w:top w:val="nil"/>
              <w:left w:val="nil"/>
              <w:bottom w:val="single" w:color="auto" w:sz="4" w:space="0"/>
              <w:right w:val="single" w:color="auto" w:sz="4" w:space="0"/>
            </w:tcBorders>
            <w:vAlign w:val="center"/>
          </w:tcPr>
          <w:p w14:paraId="3AA8662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1831604F">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722DF306">
            <w:pPr>
              <w:widowControl/>
              <w:jc w:val="left"/>
              <w:rPr>
                <w:rFonts w:hint="eastAsia" w:ascii="宋体" w:hAnsi="宋体" w:eastAsia="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40AE7E9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4C8FA00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332E1A4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1000≤Y＜30000</w:t>
            </w:r>
          </w:p>
        </w:tc>
        <w:tc>
          <w:tcPr>
            <w:tcW w:w="1440" w:type="dxa"/>
            <w:tcBorders>
              <w:top w:val="nil"/>
              <w:left w:val="nil"/>
              <w:bottom w:val="single" w:color="auto" w:sz="4" w:space="0"/>
              <w:right w:val="single" w:color="auto" w:sz="4" w:space="0"/>
            </w:tcBorders>
            <w:vAlign w:val="center"/>
          </w:tcPr>
          <w:p w14:paraId="7F1F2A3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925" w:type="dxa"/>
            <w:tcBorders>
              <w:top w:val="nil"/>
              <w:left w:val="nil"/>
              <w:bottom w:val="single" w:color="auto" w:sz="4" w:space="0"/>
              <w:right w:val="single" w:color="auto" w:sz="4" w:space="0"/>
            </w:tcBorders>
            <w:vAlign w:val="center"/>
          </w:tcPr>
          <w:p w14:paraId="08BA38F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624AB5B3">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33D35245">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邮政业</w:t>
            </w:r>
          </w:p>
        </w:tc>
        <w:tc>
          <w:tcPr>
            <w:tcW w:w="1384" w:type="dxa"/>
            <w:tcBorders>
              <w:top w:val="nil"/>
              <w:left w:val="nil"/>
              <w:bottom w:val="single" w:color="auto" w:sz="4" w:space="0"/>
              <w:right w:val="single" w:color="auto" w:sz="4" w:space="0"/>
            </w:tcBorders>
            <w:vAlign w:val="center"/>
          </w:tcPr>
          <w:p w14:paraId="0D150F8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78C8804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1FBE21E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440" w:type="dxa"/>
            <w:tcBorders>
              <w:top w:val="nil"/>
              <w:left w:val="nil"/>
              <w:bottom w:val="single" w:color="auto" w:sz="4" w:space="0"/>
              <w:right w:val="single" w:color="auto" w:sz="4" w:space="0"/>
            </w:tcBorders>
            <w:vAlign w:val="center"/>
          </w:tcPr>
          <w:p w14:paraId="4A483AE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925" w:type="dxa"/>
            <w:tcBorders>
              <w:top w:val="nil"/>
              <w:left w:val="nil"/>
              <w:bottom w:val="single" w:color="auto" w:sz="4" w:space="0"/>
              <w:right w:val="single" w:color="auto" w:sz="4" w:space="0"/>
            </w:tcBorders>
            <w:vAlign w:val="center"/>
          </w:tcPr>
          <w:p w14:paraId="27AAF72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59C9EB05">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3BEE5E66">
            <w:pPr>
              <w:widowControl/>
              <w:jc w:val="left"/>
              <w:rPr>
                <w:rFonts w:hint="eastAsia" w:ascii="宋体" w:hAnsi="宋体" w:eastAsia="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706A184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4049452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5C74F9C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2000≤Y＜30000</w:t>
            </w:r>
          </w:p>
        </w:tc>
        <w:tc>
          <w:tcPr>
            <w:tcW w:w="1440" w:type="dxa"/>
            <w:tcBorders>
              <w:top w:val="nil"/>
              <w:left w:val="nil"/>
              <w:bottom w:val="single" w:color="auto" w:sz="4" w:space="0"/>
              <w:right w:val="single" w:color="auto" w:sz="4" w:space="0"/>
            </w:tcBorders>
            <w:vAlign w:val="center"/>
          </w:tcPr>
          <w:p w14:paraId="7505491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925" w:type="dxa"/>
            <w:tcBorders>
              <w:top w:val="nil"/>
              <w:left w:val="nil"/>
              <w:bottom w:val="single" w:color="auto" w:sz="4" w:space="0"/>
              <w:right w:val="single" w:color="auto" w:sz="4" w:space="0"/>
            </w:tcBorders>
            <w:vAlign w:val="center"/>
          </w:tcPr>
          <w:p w14:paraId="42B3898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31D1A1D7">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224C7C00">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住宿业</w:t>
            </w:r>
          </w:p>
        </w:tc>
        <w:tc>
          <w:tcPr>
            <w:tcW w:w="1384" w:type="dxa"/>
            <w:tcBorders>
              <w:top w:val="nil"/>
              <w:left w:val="nil"/>
              <w:bottom w:val="single" w:color="auto" w:sz="4" w:space="0"/>
              <w:right w:val="single" w:color="auto" w:sz="4" w:space="0"/>
            </w:tcBorders>
            <w:vAlign w:val="center"/>
          </w:tcPr>
          <w:p w14:paraId="69C1AF2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098723C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460369F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440" w:type="dxa"/>
            <w:tcBorders>
              <w:top w:val="nil"/>
              <w:left w:val="nil"/>
              <w:bottom w:val="single" w:color="auto" w:sz="4" w:space="0"/>
              <w:right w:val="single" w:color="auto" w:sz="4" w:space="0"/>
            </w:tcBorders>
            <w:vAlign w:val="center"/>
          </w:tcPr>
          <w:p w14:paraId="79DB7A4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25" w:type="dxa"/>
            <w:tcBorders>
              <w:top w:val="nil"/>
              <w:left w:val="nil"/>
              <w:bottom w:val="single" w:color="auto" w:sz="4" w:space="0"/>
              <w:right w:val="single" w:color="auto" w:sz="4" w:space="0"/>
            </w:tcBorders>
            <w:vAlign w:val="center"/>
          </w:tcPr>
          <w:p w14:paraId="57CC2DE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7919B428">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2C708D71">
            <w:pPr>
              <w:widowControl/>
              <w:jc w:val="left"/>
              <w:rPr>
                <w:rFonts w:hint="eastAsia" w:ascii="宋体" w:hAnsi="宋体" w:eastAsia="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68D43AA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76708A0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244A392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2000≤Y＜10000</w:t>
            </w:r>
          </w:p>
        </w:tc>
        <w:tc>
          <w:tcPr>
            <w:tcW w:w="1440" w:type="dxa"/>
            <w:tcBorders>
              <w:top w:val="nil"/>
              <w:left w:val="nil"/>
              <w:bottom w:val="single" w:color="auto" w:sz="4" w:space="0"/>
              <w:right w:val="single" w:color="auto" w:sz="4" w:space="0"/>
            </w:tcBorders>
            <w:vAlign w:val="center"/>
          </w:tcPr>
          <w:p w14:paraId="1C98F85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925" w:type="dxa"/>
            <w:tcBorders>
              <w:top w:val="nil"/>
              <w:left w:val="nil"/>
              <w:bottom w:val="single" w:color="auto" w:sz="4" w:space="0"/>
              <w:right w:val="single" w:color="auto" w:sz="4" w:space="0"/>
            </w:tcBorders>
            <w:vAlign w:val="center"/>
          </w:tcPr>
          <w:p w14:paraId="1EC95CA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749CCDC8">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3124A752">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餐饮业</w:t>
            </w:r>
          </w:p>
        </w:tc>
        <w:tc>
          <w:tcPr>
            <w:tcW w:w="1384" w:type="dxa"/>
            <w:tcBorders>
              <w:top w:val="nil"/>
              <w:left w:val="nil"/>
              <w:bottom w:val="single" w:color="auto" w:sz="4" w:space="0"/>
              <w:right w:val="single" w:color="auto" w:sz="4" w:space="0"/>
            </w:tcBorders>
            <w:vAlign w:val="center"/>
          </w:tcPr>
          <w:p w14:paraId="4A6D407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4CAD984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6186151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440" w:type="dxa"/>
            <w:tcBorders>
              <w:top w:val="nil"/>
              <w:left w:val="nil"/>
              <w:bottom w:val="single" w:color="auto" w:sz="4" w:space="0"/>
              <w:right w:val="single" w:color="auto" w:sz="4" w:space="0"/>
            </w:tcBorders>
            <w:vAlign w:val="center"/>
          </w:tcPr>
          <w:p w14:paraId="54172C9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25" w:type="dxa"/>
            <w:tcBorders>
              <w:top w:val="nil"/>
              <w:left w:val="nil"/>
              <w:bottom w:val="single" w:color="auto" w:sz="4" w:space="0"/>
              <w:right w:val="single" w:color="auto" w:sz="4" w:space="0"/>
            </w:tcBorders>
            <w:vAlign w:val="center"/>
          </w:tcPr>
          <w:p w14:paraId="22988FB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3D113556">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2CBF0E28">
            <w:pPr>
              <w:widowControl/>
              <w:jc w:val="left"/>
              <w:rPr>
                <w:rFonts w:hint="eastAsia" w:ascii="宋体" w:hAnsi="宋体" w:eastAsia="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33296D3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68D24B8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7B47308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2000≤Y＜10000</w:t>
            </w:r>
          </w:p>
        </w:tc>
        <w:tc>
          <w:tcPr>
            <w:tcW w:w="1440" w:type="dxa"/>
            <w:tcBorders>
              <w:top w:val="nil"/>
              <w:left w:val="nil"/>
              <w:bottom w:val="single" w:color="auto" w:sz="4" w:space="0"/>
              <w:right w:val="single" w:color="auto" w:sz="4" w:space="0"/>
            </w:tcBorders>
            <w:vAlign w:val="center"/>
          </w:tcPr>
          <w:p w14:paraId="2A01FEB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925" w:type="dxa"/>
            <w:tcBorders>
              <w:top w:val="nil"/>
              <w:left w:val="nil"/>
              <w:bottom w:val="single" w:color="auto" w:sz="4" w:space="0"/>
              <w:right w:val="single" w:color="auto" w:sz="4" w:space="0"/>
            </w:tcBorders>
            <w:vAlign w:val="center"/>
          </w:tcPr>
          <w:p w14:paraId="7CB710C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6A7CFC51">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60B7D54F">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信息传输业</w:t>
            </w:r>
          </w:p>
        </w:tc>
        <w:tc>
          <w:tcPr>
            <w:tcW w:w="1384" w:type="dxa"/>
            <w:tcBorders>
              <w:top w:val="nil"/>
              <w:left w:val="nil"/>
              <w:bottom w:val="single" w:color="auto" w:sz="4" w:space="0"/>
              <w:right w:val="single" w:color="auto" w:sz="4" w:space="0"/>
            </w:tcBorders>
            <w:vAlign w:val="center"/>
          </w:tcPr>
          <w:p w14:paraId="45353E0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728B034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06315AA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100≤X＜2000</w:t>
            </w:r>
          </w:p>
        </w:tc>
        <w:tc>
          <w:tcPr>
            <w:tcW w:w="1440" w:type="dxa"/>
            <w:tcBorders>
              <w:top w:val="nil"/>
              <w:left w:val="nil"/>
              <w:bottom w:val="single" w:color="auto" w:sz="4" w:space="0"/>
              <w:right w:val="single" w:color="auto" w:sz="4" w:space="0"/>
            </w:tcBorders>
            <w:vAlign w:val="center"/>
          </w:tcPr>
          <w:p w14:paraId="678B96D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25" w:type="dxa"/>
            <w:tcBorders>
              <w:top w:val="nil"/>
              <w:left w:val="nil"/>
              <w:bottom w:val="single" w:color="auto" w:sz="4" w:space="0"/>
              <w:right w:val="single" w:color="auto" w:sz="4" w:space="0"/>
            </w:tcBorders>
            <w:vAlign w:val="center"/>
          </w:tcPr>
          <w:p w14:paraId="15CB05E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5AC5306E">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49CA1218">
            <w:pPr>
              <w:widowControl/>
              <w:jc w:val="left"/>
              <w:rPr>
                <w:rFonts w:hint="eastAsia" w:ascii="宋体" w:hAnsi="宋体" w:eastAsia="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110FBA7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7AB3B99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09DFBA5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1000≤Y＜100000</w:t>
            </w:r>
          </w:p>
        </w:tc>
        <w:tc>
          <w:tcPr>
            <w:tcW w:w="1440" w:type="dxa"/>
            <w:tcBorders>
              <w:top w:val="nil"/>
              <w:left w:val="nil"/>
              <w:bottom w:val="single" w:color="auto" w:sz="4" w:space="0"/>
              <w:right w:val="single" w:color="auto" w:sz="4" w:space="0"/>
            </w:tcBorders>
            <w:vAlign w:val="center"/>
          </w:tcPr>
          <w:p w14:paraId="22C786D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925" w:type="dxa"/>
            <w:tcBorders>
              <w:top w:val="nil"/>
              <w:left w:val="nil"/>
              <w:bottom w:val="single" w:color="auto" w:sz="4" w:space="0"/>
              <w:right w:val="single" w:color="auto" w:sz="4" w:space="0"/>
            </w:tcBorders>
            <w:vAlign w:val="center"/>
          </w:tcPr>
          <w:p w14:paraId="1AC89E4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0B372650">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00DCBCF2">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软件和信息技术服务业</w:t>
            </w:r>
          </w:p>
        </w:tc>
        <w:tc>
          <w:tcPr>
            <w:tcW w:w="1384" w:type="dxa"/>
            <w:tcBorders>
              <w:top w:val="nil"/>
              <w:left w:val="nil"/>
              <w:bottom w:val="single" w:color="auto" w:sz="4" w:space="0"/>
              <w:right w:val="single" w:color="auto" w:sz="4" w:space="0"/>
            </w:tcBorders>
            <w:vAlign w:val="center"/>
          </w:tcPr>
          <w:p w14:paraId="4CDA8EF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5C4581C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733E280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440" w:type="dxa"/>
            <w:tcBorders>
              <w:top w:val="nil"/>
              <w:left w:val="nil"/>
              <w:bottom w:val="single" w:color="auto" w:sz="4" w:space="0"/>
              <w:right w:val="single" w:color="auto" w:sz="4" w:space="0"/>
            </w:tcBorders>
            <w:vAlign w:val="center"/>
          </w:tcPr>
          <w:p w14:paraId="2753F0B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25" w:type="dxa"/>
            <w:tcBorders>
              <w:top w:val="nil"/>
              <w:left w:val="nil"/>
              <w:bottom w:val="single" w:color="auto" w:sz="4" w:space="0"/>
              <w:right w:val="single" w:color="auto" w:sz="4" w:space="0"/>
            </w:tcBorders>
            <w:vAlign w:val="center"/>
          </w:tcPr>
          <w:p w14:paraId="7B3AAFE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681A51E2">
        <w:tblPrEx>
          <w:tblCellMar>
            <w:top w:w="0" w:type="dxa"/>
            <w:left w:w="108" w:type="dxa"/>
            <w:bottom w:w="0" w:type="dxa"/>
            <w:right w:w="108" w:type="dxa"/>
          </w:tblCellMar>
        </w:tblPrEx>
        <w:trPr>
          <w:trHeight w:val="323" w:hRule="exact"/>
          <w:jc w:val="center"/>
        </w:trPr>
        <w:tc>
          <w:tcPr>
            <w:tcW w:w="1701" w:type="dxa"/>
            <w:vMerge w:val="continue"/>
            <w:tcBorders>
              <w:top w:val="nil"/>
              <w:left w:val="single" w:color="auto" w:sz="4" w:space="0"/>
              <w:bottom w:val="single" w:color="auto" w:sz="4" w:space="0"/>
              <w:right w:val="single" w:color="auto" w:sz="4" w:space="0"/>
            </w:tcBorders>
            <w:vAlign w:val="center"/>
          </w:tcPr>
          <w:p w14:paraId="5CEC1F54">
            <w:pPr>
              <w:widowControl/>
              <w:jc w:val="left"/>
              <w:rPr>
                <w:rFonts w:hint="eastAsia" w:ascii="宋体" w:hAnsi="宋体" w:eastAsia="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2A1A9AF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6BB44A4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3CDB96C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1000≤Y＜10000</w:t>
            </w:r>
          </w:p>
        </w:tc>
        <w:tc>
          <w:tcPr>
            <w:tcW w:w="1440" w:type="dxa"/>
            <w:tcBorders>
              <w:top w:val="nil"/>
              <w:left w:val="nil"/>
              <w:bottom w:val="single" w:color="auto" w:sz="4" w:space="0"/>
              <w:right w:val="single" w:color="auto" w:sz="4" w:space="0"/>
            </w:tcBorders>
            <w:vAlign w:val="center"/>
          </w:tcPr>
          <w:p w14:paraId="65ABF73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50≤Y＜1000</w:t>
            </w:r>
          </w:p>
        </w:tc>
        <w:tc>
          <w:tcPr>
            <w:tcW w:w="925" w:type="dxa"/>
            <w:tcBorders>
              <w:top w:val="nil"/>
              <w:left w:val="nil"/>
              <w:bottom w:val="single" w:color="auto" w:sz="4" w:space="0"/>
              <w:right w:val="single" w:color="auto" w:sz="4" w:space="0"/>
            </w:tcBorders>
            <w:vAlign w:val="center"/>
          </w:tcPr>
          <w:p w14:paraId="1CAB55B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w:t>
            </w:r>
          </w:p>
        </w:tc>
      </w:tr>
      <w:tr w14:paraId="47CA38E3">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6B584352">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房地产开发经营</w:t>
            </w:r>
          </w:p>
        </w:tc>
        <w:tc>
          <w:tcPr>
            <w:tcW w:w="1384" w:type="dxa"/>
            <w:tcBorders>
              <w:top w:val="nil"/>
              <w:left w:val="nil"/>
              <w:bottom w:val="single" w:color="auto" w:sz="4" w:space="0"/>
              <w:right w:val="single" w:color="auto" w:sz="4" w:space="0"/>
            </w:tcBorders>
            <w:vAlign w:val="center"/>
          </w:tcPr>
          <w:p w14:paraId="5BB7882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0A7E24D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14E7A7C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1000≤Y＜200000</w:t>
            </w:r>
          </w:p>
        </w:tc>
        <w:tc>
          <w:tcPr>
            <w:tcW w:w="1440" w:type="dxa"/>
            <w:tcBorders>
              <w:top w:val="nil"/>
              <w:left w:val="nil"/>
              <w:bottom w:val="single" w:color="auto" w:sz="4" w:space="0"/>
              <w:right w:val="single" w:color="auto" w:sz="4" w:space="0"/>
            </w:tcBorders>
            <w:vAlign w:val="center"/>
          </w:tcPr>
          <w:p w14:paraId="6658287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100≤X＜1000</w:t>
            </w:r>
          </w:p>
        </w:tc>
        <w:tc>
          <w:tcPr>
            <w:tcW w:w="925" w:type="dxa"/>
            <w:tcBorders>
              <w:top w:val="nil"/>
              <w:left w:val="nil"/>
              <w:bottom w:val="single" w:color="auto" w:sz="4" w:space="0"/>
              <w:right w:val="single" w:color="auto" w:sz="4" w:space="0"/>
            </w:tcBorders>
            <w:vAlign w:val="center"/>
          </w:tcPr>
          <w:p w14:paraId="1CD6459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w:t>
            </w:r>
          </w:p>
        </w:tc>
      </w:tr>
      <w:tr w14:paraId="4F1705B3">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3C2ECE5C">
            <w:pPr>
              <w:widowControl/>
              <w:jc w:val="left"/>
              <w:rPr>
                <w:rFonts w:hint="eastAsia" w:ascii="宋体" w:hAnsi="宋体" w:eastAsia="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35AFE27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913" w:type="dxa"/>
            <w:tcBorders>
              <w:top w:val="nil"/>
              <w:left w:val="nil"/>
              <w:bottom w:val="single" w:color="auto" w:sz="4" w:space="0"/>
              <w:right w:val="single" w:color="auto" w:sz="4" w:space="0"/>
            </w:tcBorders>
            <w:vAlign w:val="center"/>
          </w:tcPr>
          <w:p w14:paraId="7435C96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5E84E65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5000≤Z＜10000</w:t>
            </w:r>
          </w:p>
        </w:tc>
        <w:tc>
          <w:tcPr>
            <w:tcW w:w="1440" w:type="dxa"/>
            <w:tcBorders>
              <w:top w:val="nil"/>
              <w:left w:val="nil"/>
              <w:bottom w:val="single" w:color="auto" w:sz="4" w:space="0"/>
              <w:right w:val="single" w:color="auto" w:sz="4" w:space="0"/>
            </w:tcBorders>
            <w:vAlign w:val="center"/>
          </w:tcPr>
          <w:p w14:paraId="4106C69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2000≤Y＜5000</w:t>
            </w:r>
          </w:p>
        </w:tc>
        <w:tc>
          <w:tcPr>
            <w:tcW w:w="925" w:type="dxa"/>
            <w:tcBorders>
              <w:top w:val="nil"/>
              <w:left w:val="nil"/>
              <w:bottom w:val="single" w:color="auto" w:sz="4" w:space="0"/>
              <w:right w:val="single" w:color="auto" w:sz="4" w:space="0"/>
            </w:tcBorders>
            <w:vAlign w:val="center"/>
          </w:tcPr>
          <w:p w14:paraId="68E3CC7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Y＜2000</w:t>
            </w:r>
          </w:p>
        </w:tc>
      </w:tr>
      <w:tr w14:paraId="658B4F91">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2AEC0187">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物业管理</w:t>
            </w:r>
          </w:p>
        </w:tc>
        <w:tc>
          <w:tcPr>
            <w:tcW w:w="1384" w:type="dxa"/>
            <w:tcBorders>
              <w:top w:val="nil"/>
              <w:left w:val="nil"/>
              <w:bottom w:val="single" w:color="auto" w:sz="4" w:space="0"/>
              <w:right w:val="single" w:color="auto" w:sz="4" w:space="0"/>
            </w:tcBorders>
            <w:vAlign w:val="center"/>
          </w:tcPr>
          <w:p w14:paraId="0E5E661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617CFE4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504ACCF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440" w:type="dxa"/>
            <w:tcBorders>
              <w:top w:val="nil"/>
              <w:left w:val="nil"/>
              <w:bottom w:val="single" w:color="auto" w:sz="4" w:space="0"/>
              <w:right w:val="single" w:color="auto" w:sz="4" w:space="0"/>
            </w:tcBorders>
            <w:vAlign w:val="center"/>
          </w:tcPr>
          <w:p w14:paraId="10255FC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925" w:type="dxa"/>
            <w:tcBorders>
              <w:top w:val="nil"/>
              <w:left w:val="nil"/>
              <w:bottom w:val="single" w:color="auto" w:sz="4" w:space="0"/>
              <w:right w:val="single" w:color="auto" w:sz="4" w:space="0"/>
            </w:tcBorders>
            <w:vAlign w:val="center"/>
          </w:tcPr>
          <w:p w14:paraId="1CB7293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w:t>
            </w:r>
          </w:p>
        </w:tc>
      </w:tr>
      <w:tr w14:paraId="3C0E98B5">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78283987">
            <w:pPr>
              <w:widowControl/>
              <w:jc w:val="left"/>
              <w:rPr>
                <w:rFonts w:hint="eastAsia" w:ascii="宋体" w:hAnsi="宋体" w:eastAsia="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35ECF7E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5877B05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6A374A6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1000≤Y＜5000</w:t>
            </w:r>
          </w:p>
        </w:tc>
        <w:tc>
          <w:tcPr>
            <w:tcW w:w="1440" w:type="dxa"/>
            <w:tcBorders>
              <w:top w:val="nil"/>
              <w:left w:val="nil"/>
              <w:bottom w:val="single" w:color="auto" w:sz="4" w:space="0"/>
              <w:right w:val="single" w:color="auto" w:sz="4" w:space="0"/>
            </w:tcBorders>
            <w:vAlign w:val="center"/>
          </w:tcPr>
          <w:p w14:paraId="07CD2F4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500≤Y＜1000</w:t>
            </w:r>
          </w:p>
        </w:tc>
        <w:tc>
          <w:tcPr>
            <w:tcW w:w="925" w:type="dxa"/>
            <w:tcBorders>
              <w:top w:val="nil"/>
              <w:left w:val="nil"/>
              <w:bottom w:val="single" w:color="auto" w:sz="4" w:space="0"/>
              <w:right w:val="single" w:color="auto" w:sz="4" w:space="0"/>
            </w:tcBorders>
            <w:vAlign w:val="center"/>
          </w:tcPr>
          <w:p w14:paraId="4C45519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Y＜500</w:t>
            </w:r>
          </w:p>
        </w:tc>
      </w:tr>
      <w:tr w14:paraId="4D446717">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0765F6EB">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租赁和商务服务业</w:t>
            </w:r>
          </w:p>
        </w:tc>
        <w:tc>
          <w:tcPr>
            <w:tcW w:w="1384" w:type="dxa"/>
            <w:tcBorders>
              <w:top w:val="nil"/>
              <w:left w:val="nil"/>
              <w:bottom w:val="single" w:color="auto" w:sz="4" w:space="0"/>
              <w:right w:val="single" w:color="auto" w:sz="4" w:space="0"/>
            </w:tcBorders>
            <w:vAlign w:val="center"/>
          </w:tcPr>
          <w:p w14:paraId="57CBFC4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0453531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0CC6FC2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440" w:type="dxa"/>
            <w:tcBorders>
              <w:top w:val="nil"/>
              <w:left w:val="nil"/>
              <w:bottom w:val="single" w:color="auto" w:sz="4" w:space="0"/>
              <w:right w:val="single" w:color="auto" w:sz="4" w:space="0"/>
            </w:tcBorders>
            <w:vAlign w:val="center"/>
          </w:tcPr>
          <w:p w14:paraId="34510B0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25" w:type="dxa"/>
            <w:tcBorders>
              <w:top w:val="nil"/>
              <w:left w:val="nil"/>
              <w:bottom w:val="single" w:color="auto" w:sz="4" w:space="0"/>
              <w:right w:val="single" w:color="auto" w:sz="4" w:space="0"/>
            </w:tcBorders>
            <w:vAlign w:val="center"/>
          </w:tcPr>
          <w:p w14:paraId="5B5EE5A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636EC18A">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0BAFF14D">
            <w:pPr>
              <w:widowControl/>
              <w:jc w:val="left"/>
              <w:rPr>
                <w:rFonts w:hint="eastAsia" w:ascii="宋体" w:hAnsi="宋体" w:eastAsia="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600C468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913" w:type="dxa"/>
            <w:tcBorders>
              <w:top w:val="nil"/>
              <w:left w:val="nil"/>
              <w:bottom w:val="single" w:color="auto" w:sz="4" w:space="0"/>
              <w:right w:val="single" w:color="auto" w:sz="4" w:space="0"/>
            </w:tcBorders>
            <w:vAlign w:val="center"/>
          </w:tcPr>
          <w:p w14:paraId="62A98D2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0EC9620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8000≤Z＜120000</w:t>
            </w:r>
          </w:p>
        </w:tc>
        <w:tc>
          <w:tcPr>
            <w:tcW w:w="1440" w:type="dxa"/>
            <w:tcBorders>
              <w:top w:val="nil"/>
              <w:left w:val="nil"/>
              <w:bottom w:val="single" w:color="auto" w:sz="4" w:space="0"/>
              <w:right w:val="single" w:color="auto" w:sz="4" w:space="0"/>
            </w:tcBorders>
            <w:vAlign w:val="center"/>
          </w:tcPr>
          <w:p w14:paraId="6A6D3AF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100≤Z＜8000</w:t>
            </w:r>
          </w:p>
        </w:tc>
        <w:tc>
          <w:tcPr>
            <w:tcW w:w="925" w:type="dxa"/>
            <w:tcBorders>
              <w:top w:val="nil"/>
              <w:left w:val="nil"/>
              <w:bottom w:val="single" w:color="auto" w:sz="4" w:space="0"/>
              <w:right w:val="single" w:color="auto" w:sz="4" w:space="0"/>
            </w:tcBorders>
            <w:vAlign w:val="center"/>
          </w:tcPr>
          <w:p w14:paraId="0B5C361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27D44D13">
        <w:tblPrEx>
          <w:tblCellMar>
            <w:top w:w="0" w:type="dxa"/>
            <w:left w:w="108" w:type="dxa"/>
            <w:bottom w:w="0" w:type="dxa"/>
            <w:right w:w="108" w:type="dxa"/>
          </w:tblCellMar>
        </w:tblPrEx>
        <w:trPr>
          <w:trHeight w:val="225" w:hRule="atLeast"/>
          <w:jc w:val="center"/>
        </w:trPr>
        <w:tc>
          <w:tcPr>
            <w:tcW w:w="1701" w:type="dxa"/>
            <w:tcBorders>
              <w:top w:val="nil"/>
              <w:left w:val="single" w:color="auto" w:sz="4" w:space="0"/>
              <w:bottom w:val="single" w:color="auto" w:sz="4" w:space="0"/>
              <w:right w:val="single" w:color="auto" w:sz="4" w:space="0"/>
            </w:tcBorders>
            <w:vAlign w:val="bottom"/>
          </w:tcPr>
          <w:p w14:paraId="6B086F83">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其他未列明行业</w:t>
            </w:r>
          </w:p>
        </w:tc>
        <w:tc>
          <w:tcPr>
            <w:tcW w:w="1384" w:type="dxa"/>
            <w:tcBorders>
              <w:top w:val="nil"/>
              <w:left w:val="nil"/>
              <w:bottom w:val="single" w:color="auto" w:sz="4" w:space="0"/>
              <w:right w:val="single" w:color="auto" w:sz="4" w:space="0"/>
            </w:tcBorders>
            <w:vAlign w:val="center"/>
          </w:tcPr>
          <w:p w14:paraId="481709F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6378261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6C07891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440" w:type="dxa"/>
            <w:tcBorders>
              <w:top w:val="nil"/>
              <w:left w:val="nil"/>
              <w:bottom w:val="single" w:color="auto" w:sz="4" w:space="0"/>
              <w:right w:val="single" w:color="auto" w:sz="4" w:space="0"/>
            </w:tcBorders>
            <w:vAlign w:val="center"/>
          </w:tcPr>
          <w:p w14:paraId="64AFA7C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25" w:type="dxa"/>
            <w:tcBorders>
              <w:top w:val="nil"/>
              <w:left w:val="nil"/>
              <w:bottom w:val="single" w:color="auto" w:sz="4" w:space="0"/>
              <w:right w:val="single" w:color="auto" w:sz="4" w:space="0"/>
            </w:tcBorders>
            <w:vAlign w:val="center"/>
          </w:tcPr>
          <w:p w14:paraId="75775D4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bl>
    <w:p w14:paraId="02DBE1E0">
      <w:pPr>
        <w:spacing w:line="360" w:lineRule="auto"/>
        <w:ind w:firstLine="525" w:firstLineChars="250"/>
        <w:rPr>
          <w:rFonts w:hint="eastAsia" w:ascii="宋体" w:hAnsi="宋体" w:eastAsia="宋体" w:cs="宋体"/>
          <w:color w:val="auto"/>
          <w:szCs w:val="21"/>
          <w:highlight w:val="none"/>
        </w:rPr>
      </w:pPr>
    </w:p>
    <w:p w14:paraId="4736D279">
      <w:pPr>
        <w:spacing w:line="360" w:lineRule="auto"/>
        <w:ind w:firstLine="527" w:firstLineChars="25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说明：</w:t>
      </w:r>
      <w:r>
        <w:rPr>
          <w:rFonts w:hint="eastAsia" w:ascii="宋体" w:hAnsi="宋体" w:eastAsia="宋体" w:cs="宋体"/>
          <w:color w:val="auto"/>
          <w:szCs w:val="21"/>
          <w:highlight w:val="none"/>
        </w:rPr>
        <w:t>上述标准参照《关于印发中小企业划型标准规定的通知》（工信部联企业[2011]300号），大型、中型和小型企业须同时满足所列指标的下限，否则下划一档；微型企业只须满足所列指标中的一项即可。</w:t>
      </w:r>
    </w:p>
    <w:p w14:paraId="3C9593E3">
      <w:pPr>
        <w:pStyle w:val="2"/>
        <w:jc w:val="center"/>
        <w:rPr>
          <w:rFonts w:hint="eastAsia" w:ascii="宋体" w:hAnsi="宋体" w:eastAsia="宋体" w:cs="宋体"/>
          <w:color w:val="auto"/>
          <w:highlight w:val="none"/>
        </w:rPr>
      </w:pPr>
      <w:r>
        <w:rPr>
          <w:rFonts w:hint="eastAsia" w:ascii="宋体" w:hAnsi="宋体" w:eastAsia="宋体" w:cs="宋体"/>
          <w:color w:val="auto"/>
          <w:highlight w:val="none"/>
        </w:rPr>
        <w:br w:type="page"/>
      </w:r>
      <w:bookmarkStart w:id="33" w:name="_Toc19183"/>
      <w:r>
        <w:rPr>
          <w:rFonts w:hint="eastAsia" w:ascii="宋体" w:hAnsi="宋体" w:eastAsia="宋体" w:cs="宋体"/>
          <w:color w:val="auto"/>
          <w:highlight w:val="none"/>
        </w:rPr>
        <w:t>第四章 评审程序、评审方法和评审标准</w:t>
      </w:r>
      <w:bookmarkEnd w:id="33"/>
    </w:p>
    <w:p w14:paraId="45C7B63F">
      <w:pPr>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一、评审程序和评审方法</w:t>
      </w:r>
    </w:p>
    <w:p w14:paraId="323F43EA">
      <w:pPr>
        <w:spacing w:line="360" w:lineRule="auto"/>
        <w:ind w:firstLine="482" w:firstLineChars="200"/>
        <w:rPr>
          <w:rFonts w:hint="eastAsia" w:ascii="宋体" w:hAnsi="宋体" w:eastAsia="宋体" w:cs="宋体"/>
          <w:b/>
          <w:bCs/>
          <w:color w:val="auto"/>
          <w:sz w:val="24"/>
          <w:highlight w:val="none"/>
        </w:rPr>
      </w:pPr>
    </w:p>
    <w:p w14:paraId="34BBC310">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1.资格审查</w:t>
      </w:r>
    </w:p>
    <w:p w14:paraId="648BB0D6">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1.1响应文件开启后，磋商小组依法对供应商的资格证明文件进行审查。</w:t>
      </w:r>
    </w:p>
    <w:p w14:paraId="17626575">
      <w:pPr>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（1）查询渠道：“信用中国”网站（www.creditchina.gov.cn）、中国政府采购网（</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"http://www.ccgp.gov.cn" </w:instrText>
      </w:r>
      <w:r>
        <w:rPr>
          <w:rFonts w:hint="eastAsia" w:ascii="宋体" w:hAnsi="宋体" w:eastAsia="宋体" w:cs="宋体"/>
          <w:color w:val="auto"/>
          <w:highlight w:val="none"/>
        </w:rPr>
        <w:fldChar w:fldCharType="separate"/>
      </w:r>
      <w:r>
        <w:rPr>
          <w:rFonts w:hint="eastAsia" w:ascii="宋体" w:hAnsi="宋体" w:eastAsia="宋体" w:cs="宋体"/>
          <w:color w:val="auto"/>
          <w:sz w:val="24"/>
          <w:highlight w:val="none"/>
        </w:rPr>
        <w:t>www.ccgp.gov.cn</w:t>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t>）</w:t>
      </w:r>
    </w:p>
    <w:p w14:paraId="3F4243A5">
      <w:pPr>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（2）信用查询截止时点：资格审查结束前</w:t>
      </w:r>
    </w:p>
    <w:p w14:paraId="0382F0C8">
      <w:pPr>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（3）查询记录和证据留存方式：将查询网站中的查询记录截图并作为评审资料保存。</w:t>
      </w:r>
    </w:p>
    <w:p w14:paraId="22487748">
      <w:pPr>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（4）信用信息使用规则：根据财政部《关于在政府采购活动中查询及使用信用记录有关问题的通知》（财库〔2016〕125号）的规定，对在“信用中国”网站(www.creditchina.gov.cn)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520AE08F">
      <w:pPr>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1.2资格审查标准为本磋商文件中载明对供应商资格要求的条件。资格审查采用合格制，凡符合磋商文件规定的供应商资格要求的响应文件均通过资格审查。</w:t>
      </w:r>
    </w:p>
    <w:p w14:paraId="2C29CCF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1.3供应商有下列情形之一的，资格审查不通过，其响应文件按无效响应处理：</w:t>
      </w:r>
    </w:p>
    <w:p w14:paraId="3097207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（1）不具备磋商文件中规定的资格要求的；</w:t>
      </w:r>
    </w:p>
    <w:p w14:paraId="20B6816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（2）响应文件的资格证明文件缺少任一项“供应商须知前附表”资格证明文件规定的“必须提供”的文件资料的；</w:t>
      </w:r>
    </w:p>
    <w:p w14:paraId="5D1D41A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（3）响应文件中的资格证明文件出现任一项不符合“供应商须知前附表”资格证明文件规定的“必须提供”的文件资料要求或者无效的；</w:t>
      </w:r>
    </w:p>
    <w:p w14:paraId="65E44DD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（4）同一合同项下的不同供应商，单位负责人为同一人或者存在直接控股、管理关系的；为本项目提供过整体设计、规范编制或者项目管理、监理、检测等服务的供应商，再参加该采购项目的其他采购活动的。</w:t>
      </w:r>
    </w:p>
    <w:p w14:paraId="3B800F4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1.4通过资格审查的合格供应商不足3家的，不得进入符合性审查环节，采购人或者采购代理机构应当重新开展采购活动。</w:t>
      </w:r>
    </w:p>
    <w:p w14:paraId="702C50B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2.符合性审查</w:t>
      </w:r>
    </w:p>
    <w:p w14:paraId="06D54A98">
      <w:pPr>
        <w:spacing w:line="360" w:lineRule="auto"/>
        <w:ind w:firstLine="480" w:firstLineChars="200"/>
        <w:rPr>
          <w:rFonts w:hint="eastAsia" w:ascii="宋体" w:hAnsi="宋体" w:eastAsia="宋体" w:cs="宋体"/>
          <w:color w:val="auto"/>
          <w:sz w:val="24"/>
          <w:highlight w:val="none"/>
        </w:rPr>
      </w:pPr>
      <w:bookmarkStart w:id="34" w:name="_Hlk42528882"/>
      <w:r>
        <w:rPr>
          <w:rFonts w:hint="eastAsia" w:ascii="宋体" w:hAnsi="宋体" w:eastAsia="宋体" w:cs="宋体"/>
          <w:color w:val="auto"/>
          <w:sz w:val="24"/>
          <w:highlight w:val="none"/>
        </w:rPr>
        <w:t>2.1由磋商小组对资格审查的合格供应商的响应文件的竞争性磋商报价、商务、技术等实质性要求进行符合性审查，以确定其是否满足磋商文件的实质性要求。</w:t>
      </w:r>
    </w:p>
    <w:bookmarkEnd w:id="34"/>
    <w:p w14:paraId="754F50D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9D45F4E">
      <w:pPr>
        <w:spacing w:line="360" w:lineRule="auto"/>
        <w:ind w:firstLine="480" w:firstLineChars="200"/>
        <w:rPr>
          <w:rFonts w:hint="eastAsia" w:ascii="宋体" w:hAnsi="宋体" w:eastAsia="宋体" w:cs="宋体"/>
          <w:color w:val="auto"/>
          <w:spacing w:val="-6"/>
          <w:sz w:val="24"/>
          <w:highlight w:val="none"/>
        </w:rPr>
      </w:pPr>
      <w:r>
        <w:rPr>
          <w:rFonts w:hint="eastAsia" w:ascii="宋体" w:hAnsi="宋体" w:eastAsia="宋体" w:cs="宋体"/>
          <w:color w:val="auto"/>
          <w:sz w:val="24"/>
          <w:highlight w:val="none"/>
        </w:rPr>
        <w:t>2.3磋商小组要求供应商澄清、说明或者更正响应文件应当以电子澄清函形式作出。供应商的澄清、说明或者更正应当以电子回函形式按照磋商小组的要求作出明确的澄清、说明或者更正，未按磋商小组的要求作出明确澄清、说明或者更正的供应商的响应文件将按照有利于采购人的原则由磋商小组进行判定。供应商的澄清、说明或者更正必须由法定代表人或者其授权代表签字或加盖供应商公章</w:t>
      </w:r>
      <w:r>
        <w:rPr>
          <w:rFonts w:hint="eastAsia" w:ascii="宋体" w:hAnsi="宋体" w:eastAsia="宋体" w:cs="宋体"/>
          <w:color w:val="auto"/>
          <w:spacing w:val="-6"/>
          <w:sz w:val="24"/>
          <w:highlight w:val="none"/>
        </w:rPr>
        <w:t>。供应商为自然人的，必须由本人签字并附身份证明。</w:t>
      </w:r>
    </w:p>
    <w:p w14:paraId="4188D38F">
      <w:pPr>
        <w:spacing w:line="360" w:lineRule="auto"/>
        <w:ind w:firstLine="456" w:firstLineChars="200"/>
        <w:rPr>
          <w:rFonts w:hint="eastAsia" w:ascii="宋体" w:hAnsi="宋体" w:eastAsia="宋体" w:cs="宋体"/>
          <w:color w:val="auto"/>
          <w:sz w:val="24"/>
          <w:highlight w:val="none"/>
        </w:rPr>
      </w:pPr>
      <w:r>
        <w:rPr>
          <w:rFonts w:hint="eastAsia" w:ascii="宋体" w:hAnsi="宋体" w:eastAsia="宋体" w:cs="宋体"/>
          <w:color w:val="auto"/>
          <w:spacing w:val="-6"/>
          <w:sz w:val="24"/>
          <w:highlight w:val="none"/>
        </w:rPr>
        <w:t>2.4</w:t>
      </w:r>
      <w:r>
        <w:rPr>
          <w:rFonts w:hint="eastAsia" w:ascii="宋体" w:hAnsi="宋体" w:eastAsia="宋体" w:cs="宋体"/>
          <w:color w:val="auto"/>
          <w:sz w:val="24"/>
          <w:highlight w:val="none"/>
        </w:rPr>
        <w:t xml:space="preserve">首次响应文件报价出现前后不一致的，按照下列规定修正： </w:t>
      </w:r>
    </w:p>
    <w:p w14:paraId="1681220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（1）响应文件中报价表内容与响应文件中相应内容不一致的，以报价表为准；</w:t>
      </w:r>
    </w:p>
    <w:p w14:paraId="03EB879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（2）大写金额和小写金额不一致的，以大写金额为准；</w:t>
      </w:r>
    </w:p>
    <w:p w14:paraId="573F537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（3）单价金额小数点或者百分比有明显错位的，以报价表的总价为准，并修改单价；</w:t>
      </w:r>
    </w:p>
    <w:p w14:paraId="7E96659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（4）总价金额与按单价汇总金额不一致的，以单价金额计算结果为准。</w:t>
      </w:r>
    </w:p>
    <w:p w14:paraId="41A585D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同时出现两种以上不一致的，按照以上（1）-（4）规定的顺序逐条进行修正。修正后的报价经供应商确认后产生约束力，供应商不确认的，其响应文件按无效响应处理。</w:t>
      </w:r>
    </w:p>
    <w:p w14:paraId="20F075F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2.5商务技术报价评审</w:t>
      </w:r>
    </w:p>
    <w:p w14:paraId="2AB60CC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在评审时，如发现下列情形之一的，将被视为响应文件无效：</w:t>
      </w:r>
    </w:p>
    <w:p w14:paraId="5A8FFA5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（1）商务服务评审</w:t>
      </w:r>
    </w:p>
    <w:p w14:paraId="2DE5042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1）响应文件未按磋商文件要求签署、盖章；</w:t>
      </w:r>
    </w:p>
    <w:p w14:paraId="256D496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2）委托代理人未能出具有效身份证或者出具的身份证与授权委托书中的信息不符的； </w:t>
      </w:r>
    </w:p>
    <w:p w14:paraId="4AD4DED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3）提交的磋商保证金无效的或者未按照磋商文件的规定提交磋商保证金；</w:t>
      </w:r>
    </w:p>
    <w:p w14:paraId="79BDC83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4）响应文件中的报价商务服务文件出现任一项不符合“供应商须知前附表”中“必须提供”或者“委托时必须提供”文件资料要求的规定或者提供的报价商务服务文件无效。</w:t>
      </w:r>
    </w:p>
    <w:p w14:paraId="4CBAC92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5）商务条款中标“▲”的条款发生负偏离或者允许负偏离的条款数超过“供应商须知前附表”规定项数的；</w:t>
      </w:r>
    </w:p>
    <w:p w14:paraId="4F4E579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6）未对竞争性磋商有效期作出响应或者响应文件承诺的竞争性磋商有效期不满足磋商文件要求；</w:t>
      </w:r>
    </w:p>
    <w:p w14:paraId="7C1EC68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7）响应文件的实质性内容未使用中文表述、使用计量单位不符合磋商文件要求；</w:t>
      </w:r>
    </w:p>
    <w:p w14:paraId="174043D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8）响应文件中的文件资料因填写不齐全或者内容虚假或者出现其他情形而导致被磋商小组认定无效；</w:t>
      </w:r>
    </w:p>
    <w:p w14:paraId="2FD89EA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9）响应文件含有采购人不能接受的附加条件；</w:t>
      </w:r>
    </w:p>
    <w:p w14:paraId="1D4C8EC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10）属于“供应商须知正文”第7.5条情形；</w:t>
      </w:r>
    </w:p>
    <w:p w14:paraId="22FD39E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11）技术要求中标“▲”的条款发生负偏离或允许负偏离的条款数超过“供应商须知前附表”规定项数的；</w:t>
      </w:r>
    </w:p>
    <w:p w14:paraId="7B64996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12）虚假响应，或者出现其他情形而导致被磋商小组认定无效；</w:t>
      </w:r>
    </w:p>
    <w:p w14:paraId="1F9D181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13）</w:t>
      </w:r>
      <w:bookmarkStart w:id="35" w:name="_Hlk71704147"/>
      <w:r>
        <w:rPr>
          <w:rFonts w:hint="eastAsia" w:ascii="宋体" w:hAnsi="宋体" w:eastAsia="宋体" w:cs="宋体"/>
          <w:color w:val="auto"/>
          <w:sz w:val="24"/>
          <w:highlight w:val="none"/>
        </w:rPr>
        <w:t>磋商文件未载明允许提供备选（替代）响应方案或明确不允许提供备选（替代）响应方案时，供应商提供了备选（替代）响应方案的；</w:t>
      </w:r>
      <w:bookmarkEnd w:id="35"/>
    </w:p>
    <w:p w14:paraId="4B6DB5E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14）响应文件标注的项目名称或者项目编号与磋商文件标注的项目名称或者项目编号不一致的；</w:t>
      </w:r>
    </w:p>
    <w:p w14:paraId="76933D1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15）竞争性磋商文件明确不允许分包，响应文件拟分包的；</w:t>
      </w:r>
    </w:p>
    <w:p w14:paraId="79CC1D9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16）未响应磋商文件实质性要求；</w:t>
      </w:r>
    </w:p>
    <w:p w14:paraId="5F3184D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17）法律、法规和磋商文件规定的其他无效情形。</w:t>
      </w:r>
    </w:p>
    <w:p w14:paraId="57DDCB8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（2）报价评审</w:t>
      </w:r>
    </w:p>
    <w:p w14:paraId="4073D08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1）响应文件未提供“供应商须知前附表” 报价商务服务文件中规定的“竞争性磋商报价表”；</w:t>
      </w:r>
    </w:p>
    <w:p w14:paraId="2D02BF3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2）未采用人民币报价或者未按照磋商文件标明的币种报价；</w:t>
      </w:r>
    </w:p>
    <w:p w14:paraId="4F78A00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供应商未就所参与竞争性磋商分标进行报价或者存在漏项报价；供应商未就所参与竞争性磋商分标的单项内容作唯一报价；供应商未就所参与竞争性磋商分标的全部内容作完整唯一总价报价；供应商响应文件中存在有选择、有条件报价的（磋商文件允许有备选方案或者其他约定的除外）；</w:t>
      </w:r>
    </w:p>
    <w:p w14:paraId="02BBB11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4）竞争性磋商报价（包含首次报价、最后报价）超过所参与竞争性磋商分标规定的采购预算金额或者最高限价的（如本项目公布了最高限价），其响应文件将按无效响应处理；</w:t>
      </w:r>
    </w:p>
    <w:p w14:paraId="1521F645">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sz w:val="24"/>
          <w:highlight w:val="none"/>
        </w:rPr>
        <w:t>5）竞争性磋商报价（包含首次报价、最后报价）超过分项采购预算金额或者最高限价的（如本项目公布了最高限价），其响应文件将按无效处理；</w:t>
      </w:r>
    </w:p>
    <w:p w14:paraId="090D83D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6）修正后的报价，供应商不确认的；或者经供应商确认修正后的最后报价超过所 竞争性磋商分标规定的采购预算金额或者最高限价（如本项目公布了最高限价）；</w:t>
      </w:r>
    </w:p>
    <w:p w14:paraId="002E1CA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7）响应文件响应的标的数量及单位与竞争性磋商采购文件要求实质性不一致的。</w:t>
      </w:r>
    </w:p>
    <w:p w14:paraId="4E37D90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2.6磋商小组对响应文件进行评审，未实质性响应磋商文件的响应文件按无效响应处理，磋商小组应当将资格和符合性不通过的情况告知有关供应商。磋商小组从符合磋商文件规定的相应资格条件的供应商名单中确定不少于3家的供应商参加磋商。</w:t>
      </w:r>
    </w:p>
    <w:p w14:paraId="318ADE4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2.7非政府购买服务项目，通过符合性审查的合格供应商不足3家的，不得进入磋商环节，采购人或者采购代理机构应当重新开展采购活动。</w:t>
      </w:r>
      <w:r>
        <w:rPr>
          <w:rFonts w:hint="eastAsia" w:ascii="宋体" w:hAnsi="宋体" w:eastAsia="宋体" w:cs="宋体"/>
          <w:b/>
          <w:color w:val="auto"/>
          <w:sz w:val="24"/>
          <w:highlight w:val="none"/>
        </w:rPr>
        <w:t>政府购买服务项目，按《财政部关于政府采购竞争性磋商采购方式管理暂行办法有关问题的补充通知》（财库〔2015〕124号）规定，采购过程中通过符合性审查的供应商（社会资本）只有2家的，磋商采购活动可以继续进行。</w:t>
      </w:r>
    </w:p>
    <w:p w14:paraId="510177B0">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3.磋商程序</w:t>
      </w:r>
    </w:p>
    <w:p w14:paraId="779F693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3.1磋商小组按照“供应商须知前附表”</w:t>
      </w:r>
      <w:r>
        <w:rPr>
          <w:rFonts w:hint="eastAsia" w:ascii="宋体" w:hAnsi="宋体" w:eastAsia="宋体" w:cs="宋体"/>
          <w:color w:val="auto"/>
          <w:sz w:val="24"/>
          <w:highlight w:val="none"/>
        </w:rPr>
        <w:t xml:space="preserve"> </w:t>
      </w:r>
      <w:r>
        <w:rPr>
          <w:rFonts w:hint="eastAsia" w:ascii="宋体" w:hAnsi="宋体" w:eastAsia="宋体" w:cs="宋体"/>
          <w:color w:val="auto"/>
          <w:kern w:val="0"/>
          <w:sz w:val="24"/>
          <w:highlight w:val="none"/>
        </w:rPr>
        <w:t>确定的</w:t>
      </w:r>
      <w:r>
        <w:rPr>
          <w:rFonts w:hint="eastAsia" w:ascii="宋体" w:hAnsi="宋体" w:eastAsia="宋体" w:cs="宋体"/>
          <w:color w:val="auto"/>
          <w:sz w:val="24"/>
          <w:highlight w:val="none"/>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2352B14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35E8946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3.3对磋商文件作出的实质性变动是磋商文件的有效组成部分，由磋商小组及时以电子磋商记录形式同时通知所有参加磋商的供应商。</w:t>
      </w:r>
    </w:p>
    <w:p w14:paraId="7059C0B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3.4供应商必须按照磋商文件的变动情况和磋商小组的要求以电子回函的形式重新提交响应文件，并由其法定代表人或者授权代表签字或者加盖供应商公章。供应商为自然人的，必须由本人签字并附身份证明。参加磋商的供应商未在规定时间内以电子回函的形式重新提交响应文件的，视同退出磋商。</w:t>
      </w:r>
    </w:p>
    <w:p w14:paraId="79FE303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3.5磋商中，</w:t>
      </w:r>
      <w:r>
        <w:rPr>
          <w:rFonts w:hint="eastAsia" w:ascii="宋体" w:hAnsi="宋体" w:eastAsia="宋体" w:cs="宋体"/>
          <w:color w:val="auto"/>
          <w:spacing w:val="-6"/>
          <w:sz w:val="24"/>
          <w:highlight w:val="none"/>
        </w:rPr>
        <w:t>磋商的任何一方不得透露与磋商有关的其他供应商的技术资料、价格和其他信息。</w:t>
      </w:r>
    </w:p>
    <w:p w14:paraId="6042D272">
      <w:pPr>
        <w:tabs>
          <w:tab w:val="left" w:pos="2835"/>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3.6对磋商过程提交的响应文件进行有效性、完整性和响应程度审查，通过审查的合格供应商不足3家的，采购人或者采购代理机构应当重新开展采购活动。</w:t>
      </w:r>
    </w:p>
    <w:p w14:paraId="57BD2DE2">
      <w:pPr>
        <w:widowControl/>
        <w:tabs>
          <w:tab w:val="left" w:pos="540"/>
        </w:tabs>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3.7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w:t>
      </w:r>
    </w:p>
    <w:p w14:paraId="531497E3">
      <w:pPr>
        <w:widowControl/>
        <w:tabs>
          <w:tab w:val="left" w:pos="540"/>
        </w:tabs>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采购过程中符合要求的供应商（社会资本）只有1家的，采购人（项目实施机构）或者采购代理机构应当终止竞争性磋商采购活动，发布项目终止公告并说明原因，重新开展采购活动。</w:t>
      </w:r>
    </w:p>
    <w:p w14:paraId="7E7C534F">
      <w:pPr>
        <w:spacing w:line="360" w:lineRule="auto"/>
        <w:ind w:firstLine="482" w:firstLineChars="200"/>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4.最后报价</w:t>
      </w:r>
    </w:p>
    <w:p w14:paraId="7B90B26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4.1磋商文件能够详细列明技术、服务要求的，磋商结束后，由磋商小组要求所有继续参加磋商的供应商在规定时间内以电子文件形式提交最后报价，</w:t>
      </w:r>
      <w:r>
        <w:rPr>
          <w:rFonts w:hint="eastAsia" w:ascii="宋体" w:hAnsi="宋体" w:eastAsia="宋体" w:cs="宋体"/>
          <w:b/>
          <w:color w:val="auto"/>
          <w:sz w:val="24"/>
          <w:highlight w:val="none"/>
        </w:rPr>
        <w:t>除本章第2.7、3.7、4.3条外，提交最后报价的供应商不得少于3家，否则必须重新采购。</w:t>
      </w:r>
    </w:p>
    <w:p w14:paraId="061A104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4.2磋商文件不能详细列明技术、服务要求，需经磋商由供应商提供最后设计方案或者解决方案的，磋商结束后，由磋商小组按照少数服从多数的原则投票推荐3家以上供应商的设计方案或者解决方案，并要求其在规定时间内以电子文件形式提交最后报价。</w:t>
      </w:r>
    </w:p>
    <w:p w14:paraId="0FAF0DD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4.3最后报价是供应商响应文件的有效组成部分。</w:t>
      </w:r>
      <w:r>
        <w:rPr>
          <w:rFonts w:hint="eastAsia" w:ascii="宋体" w:hAnsi="宋体" w:eastAsia="宋体" w:cs="宋体"/>
          <w:b/>
          <w:color w:val="auto"/>
          <w:sz w:val="24"/>
          <w:highlight w:val="none"/>
        </w:rPr>
        <w:t>符合《政府采购竞争性磋商采购方式管理暂行办法》（财库〔2014〕214号）第三条第四项“市场竞争不充分的科研项目，以及需要扶持的科技成果转化项目”和本章第3.7条情形的，提交最后报价的供应商可以为2家。</w:t>
      </w:r>
    </w:p>
    <w:p w14:paraId="07B0D79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4.4已经提交响应文件的供应商，在提交最后报价之前，可以根据磋商情况退出磋商，退出磋商的供应商的响应文件按无效响应处理。采购人、采购代理机构将退还退出磋商的供应商的保证金。</w:t>
      </w:r>
    </w:p>
    <w:p w14:paraId="63FEECF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4.5供应商未在规定时间内提交最后报价的，视同退出磋商。</w:t>
      </w:r>
    </w:p>
    <w:p w14:paraId="5C35EA1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4.6磋商小组收齐某一分标最后报价后或达到规定时间后统一开启，磋商小组对最后报价进行有效性、完整性和响应程度的审查。</w:t>
      </w:r>
    </w:p>
    <w:p w14:paraId="6753533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4.7响应文件最后报价出现前后不一致的，按照本章第2.4条的规定修正。 </w:t>
      </w:r>
    </w:p>
    <w:p w14:paraId="4786098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4.8经供应商确认修正后的最后报价作为评审及签订合同的依据。</w:t>
      </w:r>
    </w:p>
    <w:p w14:paraId="791A98A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4.9供应商出现最后报价按无效响应处理或者响应文件按无效响应处理时，磋商小组应当告知有关供应商。</w:t>
      </w:r>
    </w:p>
    <w:p w14:paraId="41A152E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4.10最后报价结束后，磋商小组不得再与供应商进行任何形式的商谈。</w:t>
      </w:r>
    </w:p>
    <w:p w14:paraId="256E85D9">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5.比较与评价</w:t>
      </w:r>
    </w:p>
    <w:p w14:paraId="545C8FC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5.1评审方法：综合评分法。</w:t>
      </w:r>
    </w:p>
    <w:p w14:paraId="02945FC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5.2经磋商确定最终采购需求和提交最后报价的供应商后，由磋商小组采用综合评分法对提交最后报价的供应商的响应文件和最后报价进行综合评分。</w:t>
      </w:r>
    </w:p>
    <w:p w14:paraId="21F73CC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5.3评审时，磋商小组各成员应当独立对每个有效响应的文件进行评价、打分，然后汇总每个供应商每项评分因素的得分。</w:t>
      </w:r>
    </w:p>
    <w:p w14:paraId="783CB53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（1）磋商小组按照磋商文件中规定的评审标准计算各供应商的报价得分。项目评审过程中，不得去掉最后报价中的最高报价和最低报价。</w:t>
      </w:r>
    </w:p>
    <w:p w14:paraId="6FEF543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（2）各供应商的得分为磋商小组所有成员的有效评分的算术平均数。</w:t>
      </w:r>
    </w:p>
    <w:p w14:paraId="3FB775F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5.4评标价为供应商的最后报价进行政策性扣除后的价格，评标价只是作为评审时使用。最终成交供应商的成交金额等于最后报价（如有修正，以确认修正后的最后报价为准）。</w:t>
      </w:r>
    </w:p>
    <w:p w14:paraId="63187D11">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5.5由磋商小组根据综合评分情况，按照评审得分由高到低顺序推荐3名以上成交候选供应商，并编写评</w:t>
      </w:r>
      <w:r>
        <w:rPr>
          <w:rFonts w:hint="eastAsia" w:ascii="宋体" w:hAnsi="宋体" w:eastAsia="宋体" w:cs="宋体"/>
          <w:color w:val="auto"/>
          <w:kern w:val="0"/>
          <w:sz w:val="24"/>
          <w:highlight w:val="none"/>
        </w:rPr>
        <w:t>审报告。</w:t>
      </w:r>
      <w:r>
        <w:rPr>
          <w:rFonts w:hint="eastAsia" w:ascii="宋体" w:hAnsi="宋体" w:eastAsia="宋体" w:cs="宋体"/>
          <w:b/>
          <w:color w:val="auto"/>
          <w:kern w:val="0"/>
          <w:sz w:val="24"/>
          <w:highlight w:val="none"/>
        </w:rPr>
        <w:t>符合本章第</w:t>
      </w:r>
      <w:r>
        <w:rPr>
          <w:rFonts w:hint="eastAsia" w:ascii="宋体" w:hAnsi="宋体" w:eastAsia="宋体" w:cs="宋体"/>
          <w:b/>
          <w:color w:val="auto"/>
          <w:sz w:val="24"/>
          <w:highlight w:val="none"/>
        </w:rPr>
        <w:t>2.7、3.7、4.3</w:t>
      </w:r>
      <w:r>
        <w:rPr>
          <w:rFonts w:hint="eastAsia" w:ascii="宋体" w:hAnsi="宋体" w:eastAsia="宋体" w:cs="宋体"/>
          <w:b/>
          <w:color w:val="auto"/>
          <w:kern w:val="0"/>
          <w:sz w:val="24"/>
          <w:highlight w:val="none"/>
        </w:rPr>
        <w:t>条情形的，可以推荐2家成交候选供应商。</w:t>
      </w:r>
      <w:r>
        <w:rPr>
          <w:rFonts w:hint="eastAsia" w:ascii="宋体" w:hAnsi="宋体" w:eastAsia="宋体" w:cs="宋体"/>
          <w:color w:val="auto"/>
          <w:kern w:val="0"/>
          <w:sz w:val="24"/>
          <w:highlight w:val="none"/>
        </w:rPr>
        <w:t>评审得分相同的，按照最后报价由低到高的顺序推荐。评审得分且最后报价相同的，</w:t>
      </w:r>
      <w:r>
        <w:rPr>
          <w:rFonts w:hint="eastAsia" w:ascii="宋体" w:hAnsi="宋体" w:eastAsia="宋体" w:cs="宋体"/>
          <w:color w:val="auto"/>
          <w:sz w:val="24"/>
          <w:highlight w:val="none"/>
        </w:rPr>
        <w:t>依次按服务评分高的优先、商务评分高的优先的顺序确定成交候选供应商。</w:t>
      </w:r>
    </w:p>
    <w:p w14:paraId="5E97D70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5.6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19D7B0EF">
      <w:pPr>
        <w:spacing w:line="360" w:lineRule="auto"/>
        <w:jc w:val="center"/>
        <w:outlineLvl w:val="1"/>
        <w:rPr>
          <w:rFonts w:hint="eastAsia" w:ascii="宋体" w:hAnsi="宋体" w:eastAsia="宋体" w:cs="宋体"/>
          <w:b/>
          <w:color w:val="auto"/>
          <w:sz w:val="32"/>
          <w:szCs w:val="32"/>
          <w:highlight w:val="none"/>
        </w:rPr>
      </w:pPr>
      <w:r>
        <w:rPr>
          <w:rFonts w:hint="eastAsia" w:ascii="宋体" w:hAnsi="宋体" w:eastAsia="宋体" w:cs="宋体"/>
          <w:b/>
          <w:color w:val="auto"/>
          <w:sz w:val="24"/>
          <w:highlight w:val="none"/>
        </w:rPr>
        <w:br w:type="page"/>
      </w:r>
      <w:r>
        <w:rPr>
          <w:rFonts w:hint="eastAsia" w:ascii="宋体" w:hAnsi="宋体" w:eastAsia="宋体" w:cs="宋体"/>
          <w:b/>
          <w:color w:val="auto"/>
          <w:sz w:val="32"/>
          <w:szCs w:val="32"/>
          <w:highlight w:val="none"/>
        </w:rPr>
        <w:t>二、评审标准</w:t>
      </w:r>
    </w:p>
    <w:p w14:paraId="18A6D314">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评审依据：磋商小组将以磋商响应文件为评审依据，对供应商的报价、</w:t>
      </w:r>
      <w:r>
        <w:rPr>
          <w:rFonts w:hint="eastAsia" w:ascii="宋体" w:hAnsi="宋体" w:eastAsia="宋体" w:cs="宋体"/>
          <w:bCs/>
          <w:color w:val="auto"/>
          <w:sz w:val="24"/>
          <w:highlight w:val="none"/>
          <w:lang w:val="en-US" w:eastAsia="zh-CN"/>
        </w:rPr>
        <w:t>技术、商务</w:t>
      </w:r>
      <w:r>
        <w:rPr>
          <w:rFonts w:hint="eastAsia" w:ascii="宋体" w:hAnsi="宋体" w:eastAsia="宋体" w:cs="宋体"/>
          <w:bCs/>
          <w:color w:val="auto"/>
          <w:sz w:val="24"/>
          <w:highlight w:val="none"/>
        </w:rPr>
        <w:t>要求等方面内容按百分制打分。（计分方法按四舍五入取至百分位）</w:t>
      </w:r>
    </w:p>
    <w:p w14:paraId="354A8387">
      <w:pPr>
        <w:spacing w:line="360" w:lineRule="auto"/>
        <w:ind w:firstLine="482" w:firstLineChars="200"/>
        <w:jc w:val="center"/>
        <w:outlineLvl w:val="1"/>
        <w:rPr>
          <w:rFonts w:hint="eastAsia" w:ascii="宋体" w:hAnsi="宋体" w:eastAsia="宋体" w:cs="宋体"/>
          <w:b/>
          <w:bCs w:val="0"/>
          <w:color w:val="auto"/>
          <w:sz w:val="24"/>
          <w:highlight w:val="none"/>
          <w:lang w:val="en-US" w:eastAsia="zh-CN"/>
        </w:rPr>
      </w:pPr>
      <w:r>
        <w:rPr>
          <w:rFonts w:hint="eastAsia" w:ascii="宋体" w:hAnsi="宋体" w:eastAsia="宋体" w:cs="宋体"/>
          <w:b/>
          <w:bCs w:val="0"/>
          <w:color w:val="auto"/>
          <w:sz w:val="24"/>
          <w:highlight w:val="none"/>
          <w:lang w:val="en-US" w:eastAsia="zh-CN"/>
        </w:rPr>
        <w:t>1分标</w:t>
      </w:r>
    </w:p>
    <w:tbl>
      <w:tblPr>
        <w:tblStyle w:val="2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8"/>
        <w:gridCol w:w="1520"/>
        <w:gridCol w:w="974"/>
        <w:gridCol w:w="6842"/>
      </w:tblGrid>
      <w:tr w14:paraId="06C5F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6" w:type="pct"/>
            <w:gridSpan w:val="2"/>
            <w:tcBorders>
              <w:top w:val="single" w:color="auto" w:sz="4" w:space="0"/>
              <w:left w:val="single" w:color="auto" w:sz="4" w:space="0"/>
              <w:bottom w:val="single" w:color="auto" w:sz="4" w:space="0"/>
              <w:right w:val="single" w:color="auto" w:sz="4" w:space="0"/>
            </w:tcBorders>
            <w:vAlign w:val="center"/>
          </w:tcPr>
          <w:p w14:paraId="2CB9E9A7">
            <w:pPr>
              <w:adjustRightInd w:val="0"/>
              <w:spacing w:line="360" w:lineRule="auto"/>
              <w:jc w:val="center"/>
              <w:textAlignment w:val="baseline"/>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495" w:type="pct"/>
            <w:tcBorders>
              <w:top w:val="single" w:color="auto" w:sz="4" w:space="0"/>
              <w:left w:val="single" w:color="auto" w:sz="4" w:space="0"/>
              <w:bottom w:val="single" w:color="auto" w:sz="4" w:space="0"/>
              <w:right w:val="single" w:color="auto" w:sz="4" w:space="0"/>
            </w:tcBorders>
            <w:vAlign w:val="center"/>
          </w:tcPr>
          <w:p w14:paraId="626892E2">
            <w:pPr>
              <w:adjustRightInd w:val="0"/>
              <w:spacing w:line="360" w:lineRule="auto"/>
              <w:jc w:val="center"/>
              <w:textAlignment w:val="baseline"/>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评审因素</w:t>
            </w:r>
          </w:p>
        </w:tc>
        <w:tc>
          <w:tcPr>
            <w:tcW w:w="3478" w:type="pct"/>
            <w:tcBorders>
              <w:top w:val="single" w:color="auto" w:sz="4" w:space="0"/>
              <w:left w:val="single" w:color="auto" w:sz="4" w:space="0"/>
              <w:bottom w:val="single" w:color="auto" w:sz="4" w:space="0"/>
              <w:right w:val="single" w:color="auto" w:sz="4" w:space="0"/>
            </w:tcBorders>
            <w:vAlign w:val="center"/>
          </w:tcPr>
          <w:p w14:paraId="541AE15C">
            <w:pPr>
              <w:adjustRightInd w:val="0"/>
              <w:spacing w:line="360" w:lineRule="auto"/>
              <w:jc w:val="center"/>
              <w:textAlignment w:val="baseline"/>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评分标准</w:t>
            </w:r>
          </w:p>
        </w:tc>
      </w:tr>
      <w:tr w14:paraId="3F6FC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3" w:type="pct"/>
            <w:tcBorders>
              <w:top w:val="single" w:color="auto" w:sz="4" w:space="0"/>
              <w:left w:val="single" w:color="auto" w:sz="4" w:space="0"/>
              <w:bottom w:val="single" w:color="auto" w:sz="4" w:space="0"/>
              <w:right w:val="single" w:color="auto" w:sz="4" w:space="0"/>
            </w:tcBorders>
            <w:vAlign w:val="center"/>
          </w:tcPr>
          <w:p w14:paraId="7AD2D1FD">
            <w:pPr>
              <w:adjustRightInd w:val="0"/>
              <w:spacing w:line="360" w:lineRule="auto"/>
              <w:jc w:val="center"/>
              <w:textAlignment w:val="baseline"/>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w:t>
            </w:r>
          </w:p>
        </w:tc>
        <w:tc>
          <w:tcPr>
            <w:tcW w:w="772" w:type="pct"/>
            <w:tcBorders>
              <w:top w:val="single" w:color="auto" w:sz="4" w:space="0"/>
              <w:left w:val="single" w:color="auto" w:sz="4" w:space="0"/>
              <w:bottom w:val="single" w:color="auto" w:sz="4" w:space="0"/>
              <w:right w:val="single" w:color="auto" w:sz="4" w:space="0"/>
            </w:tcBorders>
            <w:vAlign w:val="center"/>
          </w:tcPr>
          <w:p w14:paraId="15CCCA07">
            <w:pPr>
              <w:adjustRightInd w:val="0"/>
              <w:spacing w:line="360" w:lineRule="auto"/>
              <w:jc w:val="center"/>
              <w:textAlignment w:val="baseline"/>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价格分</w:t>
            </w:r>
          </w:p>
          <w:p w14:paraId="2332259F">
            <w:pPr>
              <w:adjustRightInd w:val="0"/>
              <w:spacing w:line="360" w:lineRule="auto"/>
              <w:jc w:val="center"/>
              <w:textAlignment w:val="baseline"/>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（满分</w:t>
            </w:r>
            <w:r>
              <w:rPr>
                <w:rFonts w:hint="eastAsia" w:ascii="宋体" w:hAnsi="宋体" w:cs="宋体"/>
                <w:b/>
                <w:color w:val="auto"/>
                <w:sz w:val="24"/>
                <w:highlight w:val="none"/>
                <w:lang w:val="en-US" w:eastAsia="zh-CN"/>
              </w:rPr>
              <w:t>1</w:t>
            </w:r>
            <w:r>
              <w:rPr>
                <w:rFonts w:hint="eastAsia" w:ascii="宋体" w:hAnsi="宋体" w:eastAsia="宋体" w:cs="宋体"/>
                <w:b/>
                <w:color w:val="auto"/>
                <w:sz w:val="24"/>
                <w:highlight w:val="none"/>
                <w:lang w:val="en-US" w:eastAsia="zh-CN"/>
              </w:rPr>
              <w:t>0</w:t>
            </w:r>
            <w:r>
              <w:rPr>
                <w:rFonts w:hint="eastAsia" w:ascii="宋体" w:hAnsi="宋体" w:eastAsia="宋体" w:cs="宋体"/>
                <w:b/>
                <w:color w:val="auto"/>
                <w:sz w:val="24"/>
                <w:highlight w:val="none"/>
              </w:rPr>
              <w:t>分）</w:t>
            </w:r>
          </w:p>
        </w:tc>
        <w:tc>
          <w:tcPr>
            <w:tcW w:w="495" w:type="pct"/>
            <w:tcBorders>
              <w:top w:val="single" w:color="auto" w:sz="4" w:space="0"/>
              <w:left w:val="single" w:color="auto" w:sz="4" w:space="0"/>
              <w:bottom w:val="single" w:color="auto" w:sz="4" w:space="0"/>
              <w:right w:val="single" w:color="auto" w:sz="4" w:space="0"/>
            </w:tcBorders>
            <w:vAlign w:val="center"/>
          </w:tcPr>
          <w:p w14:paraId="53735122">
            <w:pPr>
              <w:adjustRightInd w:val="0"/>
              <w:spacing w:line="360" w:lineRule="auto"/>
              <w:jc w:val="center"/>
              <w:textAlignment w:val="baseline"/>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磋商报价</w:t>
            </w:r>
          </w:p>
        </w:tc>
        <w:tc>
          <w:tcPr>
            <w:tcW w:w="3478" w:type="pct"/>
            <w:tcBorders>
              <w:top w:val="single" w:color="auto" w:sz="4" w:space="0"/>
              <w:left w:val="single" w:color="auto" w:sz="4" w:space="0"/>
              <w:bottom w:val="single" w:color="auto" w:sz="4" w:space="0"/>
              <w:right w:val="single" w:color="auto" w:sz="4" w:space="0"/>
            </w:tcBorders>
            <w:vAlign w:val="center"/>
          </w:tcPr>
          <w:p w14:paraId="6E2E09A5">
            <w:pPr>
              <w:spacing w:line="360" w:lineRule="auto"/>
              <w:ind w:firstLine="482"/>
              <w:rPr>
                <w:rFonts w:hint="eastAsia" w:ascii="宋体" w:hAnsi="宋体" w:eastAsia="宋体" w:cs="宋体"/>
                <w:b/>
                <w:bCs w:val="0"/>
                <w:color w:val="auto"/>
                <w:sz w:val="24"/>
                <w:highlight w:val="none"/>
              </w:rPr>
            </w:pPr>
            <w:r>
              <w:rPr>
                <w:rFonts w:hint="eastAsia" w:ascii="宋体" w:hAnsi="宋体" w:eastAsia="宋体" w:cs="宋体"/>
                <w:b/>
                <w:bCs w:val="0"/>
                <w:color w:val="auto"/>
                <w:sz w:val="24"/>
                <w:highlight w:val="none"/>
                <w:lang w:eastAsia="zh-CN"/>
              </w:rPr>
              <w:t>□</w:t>
            </w:r>
            <w:r>
              <w:rPr>
                <w:rFonts w:hint="eastAsia" w:ascii="宋体" w:hAnsi="宋体" w:eastAsia="宋体" w:cs="宋体"/>
                <w:b/>
                <w:bCs w:val="0"/>
                <w:color w:val="auto"/>
                <w:sz w:val="24"/>
                <w:highlight w:val="none"/>
              </w:rPr>
              <w:t>本项目为专门面</w:t>
            </w:r>
            <w:r>
              <w:rPr>
                <w:rFonts w:hint="eastAsia" w:ascii="宋体" w:hAnsi="宋体" w:eastAsia="宋体" w:cs="宋体"/>
                <w:b/>
                <w:bCs w:val="0"/>
                <w:color w:val="auto"/>
                <w:sz w:val="24"/>
                <w:highlight w:val="none"/>
                <w:lang w:val="en-US" w:eastAsia="zh-CN"/>
              </w:rPr>
              <w:t>向</w:t>
            </w:r>
            <w:r>
              <w:rPr>
                <w:rFonts w:hint="eastAsia" w:ascii="宋体" w:hAnsi="宋体" w:eastAsia="宋体" w:cs="宋体"/>
                <w:b/>
                <w:bCs w:val="0"/>
                <w:color w:val="auto"/>
                <w:sz w:val="24"/>
                <w:highlight w:val="none"/>
              </w:rPr>
              <w:t>中小企业采购项目，小型企业、微型企业、监狱企业、残疾人福利性单位均不再执行价格评审优惠的扶持政策。</w:t>
            </w:r>
          </w:p>
          <w:p w14:paraId="1ACE7A72">
            <w:pPr>
              <w:spacing w:line="360" w:lineRule="auto"/>
              <w:ind w:firstLine="482"/>
              <w:rPr>
                <w:rFonts w:hint="eastAsia" w:ascii="宋体" w:hAnsi="宋体" w:eastAsia="宋体" w:cs="宋体"/>
                <w:bCs/>
                <w:color w:val="auto"/>
                <w:sz w:val="24"/>
                <w:highlight w:val="none"/>
              </w:rPr>
            </w:pPr>
            <w:r>
              <w:rPr>
                <w:rFonts w:hint="eastAsia" w:ascii="宋体" w:hAnsi="宋体" w:eastAsia="宋体" w:cs="宋体"/>
                <w:b/>
                <w:bCs w:val="0"/>
                <w:color w:val="auto"/>
                <w:sz w:val="24"/>
                <w:highlight w:val="none"/>
                <w:lang w:eastAsia="zh-CN"/>
              </w:rPr>
              <w:t>☑</w:t>
            </w:r>
            <w:r>
              <w:rPr>
                <w:rFonts w:hint="eastAsia" w:ascii="宋体" w:hAnsi="宋体" w:eastAsia="宋体" w:cs="宋体"/>
                <w:b/>
                <w:bCs w:val="0"/>
                <w:color w:val="auto"/>
                <w:sz w:val="24"/>
                <w:highlight w:val="none"/>
              </w:rPr>
              <w:t>本项目为非专门面向中小企业采购项目（政府采购政策性扣除计算方法）</w:t>
            </w:r>
            <w:r>
              <w:rPr>
                <w:rFonts w:hint="eastAsia" w:ascii="宋体" w:hAnsi="宋体" w:eastAsia="宋体" w:cs="宋体"/>
                <w:bCs/>
                <w:color w:val="auto"/>
                <w:sz w:val="24"/>
                <w:highlight w:val="none"/>
              </w:rPr>
              <w:t>：</w:t>
            </w:r>
          </w:p>
          <w:p w14:paraId="2936C4ED">
            <w:pPr>
              <w:spacing w:line="360" w:lineRule="auto"/>
              <w:ind w:firstLine="482"/>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1.评审报价为供应商的最后报价进行政策性扣除后的价格，评审报价只是作为评审时使用。最终成交供应商的成交金额等于最后报价（如有修正，以确认修正后的最后报价为准）。</w:t>
            </w:r>
          </w:p>
          <w:p w14:paraId="1843E51B">
            <w:pPr>
              <w:spacing w:line="360" w:lineRule="auto"/>
              <w:ind w:firstLine="482"/>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2.政府采购政策性扣除计算方法</w:t>
            </w:r>
          </w:p>
          <w:p w14:paraId="54775948">
            <w:pPr>
              <w:spacing w:line="360" w:lineRule="auto"/>
              <w:ind w:firstLine="482"/>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（1）按照《政府采购促进中小企业发展管理办法》（财库〔2020〕46号）的规定，供应商在其响应文件中提供《中小企业声明函》，且其服务为小型和微型企业承接的，对其最后报价给予</w:t>
            </w:r>
            <w:r>
              <w:rPr>
                <w:rFonts w:hint="eastAsia" w:ascii="宋体" w:hAnsi="宋体" w:eastAsia="宋体" w:cs="宋体"/>
                <w:bCs/>
                <w:color w:val="auto"/>
                <w:sz w:val="24"/>
                <w:highlight w:val="none"/>
                <w:lang w:val="en-US" w:eastAsia="zh-CN"/>
              </w:rPr>
              <w:t>1</w:t>
            </w:r>
            <w:r>
              <w:rPr>
                <w:rFonts w:hint="eastAsia" w:ascii="宋体" w:hAnsi="宋体" w:eastAsia="宋体" w:cs="宋体"/>
                <w:bCs/>
                <w:color w:val="auto"/>
                <w:sz w:val="24"/>
                <w:highlight w:val="none"/>
              </w:rPr>
              <w:t>0%的扣除。</w:t>
            </w:r>
          </w:p>
          <w:p w14:paraId="5AA5850D">
            <w:pPr>
              <w:spacing w:line="360" w:lineRule="auto"/>
              <w:ind w:firstLine="482"/>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6207DB79">
            <w:pPr>
              <w:spacing w:line="360" w:lineRule="auto"/>
              <w:ind w:firstLine="482"/>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7D30860D">
            <w:pPr>
              <w:spacing w:line="360" w:lineRule="auto"/>
              <w:ind w:firstLine="482"/>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（4）政策性扣除计算方法。</w:t>
            </w:r>
          </w:p>
          <w:p w14:paraId="7EF630AA">
            <w:pPr>
              <w:spacing w:line="360" w:lineRule="auto"/>
              <w:ind w:firstLine="482"/>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在服务采购项目中，服务由小微企业承接；对符合上述要求的供应商的响应报价给予</w:t>
            </w:r>
            <w:r>
              <w:rPr>
                <w:rFonts w:hint="eastAsia" w:ascii="宋体" w:hAnsi="宋体" w:eastAsia="宋体" w:cs="宋体"/>
                <w:bCs/>
                <w:color w:val="auto"/>
                <w:sz w:val="24"/>
                <w:highlight w:val="none"/>
                <w:lang w:val="en-US" w:eastAsia="zh-CN"/>
              </w:rPr>
              <w:t>1</w:t>
            </w:r>
            <w:r>
              <w:rPr>
                <w:rFonts w:hint="eastAsia" w:ascii="宋体" w:hAnsi="宋体" w:eastAsia="宋体" w:cs="宋体"/>
                <w:bCs/>
                <w:color w:val="auto"/>
                <w:sz w:val="24"/>
                <w:highlight w:val="none"/>
              </w:rPr>
              <w:t>0%的扣除，扣除后的价格为评审报价，即评审报价=响应报价×（1-</w:t>
            </w:r>
            <w:r>
              <w:rPr>
                <w:rFonts w:hint="eastAsia" w:ascii="宋体" w:hAnsi="宋体" w:eastAsia="宋体" w:cs="宋体"/>
                <w:bCs/>
                <w:color w:val="auto"/>
                <w:sz w:val="24"/>
                <w:highlight w:val="none"/>
                <w:lang w:val="en-US" w:eastAsia="zh-CN"/>
              </w:rPr>
              <w:t>1</w:t>
            </w:r>
            <w:r>
              <w:rPr>
                <w:rFonts w:hint="eastAsia" w:ascii="宋体" w:hAnsi="宋体" w:eastAsia="宋体" w:cs="宋体"/>
                <w:bCs/>
                <w:color w:val="auto"/>
                <w:sz w:val="24"/>
                <w:highlight w:val="none"/>
              </w:rPr>
              <w:t>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w:t>
            </w:r>
            <w:r>
              <w:rPr>
                <w:rFonts w:hint="eastAsia" w:ascii="宋体" w:hAnsi="宋体" w:eastAsia="宋体" w:cs="宋体"/>
                <w:bCs/>
                <w:color w:val="auto"/>
                <w:sz w:val="24"/>
                <w:highlight w:val="none"/>
                <w:lang w:val="en-US" w:eastAsia="zh-CN"/>
              </w:rPr>
              <w:t>5</w:t>
            </w:r>
            <w:r>
              <w:rPr>
                <w:rFonts w:hint="eastAsia" w:ascii="宋体" w:hAnsi="宋体" w:eastAsia="宋体" w:cs="宋体"/>
                <w:bCs/>
                <w:color w:val="auto"/>
                <w:sz w:val="24"/>
                <w:highlight w:val="none"/>
              </w:rPr>
              <w:t>%的扣除，用扣除后的价格参加评审，扣除后的价格为评审报价，即评审报价=响应报价×（1-</w:t>
            </w:r>
            <w:r>
              <w:rPr>
                <w:rFonts w:hint="eastAsia" w:ascii="宋体" w:hAnsi="宋体" w:eastAsia="宋体" w:cs="宋体"/>
                <w:bCs/>
                <w:color w:val="auto"/>
                <w:sz w:val="24"/>
                <w:highlight w:val="none"/>
                <w:lang w:val="en-US" w:eastAsia="zh-CN"/>
              </w:rPr>
              <w:t>5</w:t>
            </w:r>
            <w:r>
              <w:rPr>
                <w:rFonts w:hint="eastAsia" w:ascii="宋体" w:hAnsi="宋体" w:eastAsia="宋体" w:cs="宋体"/>
                <w:bCs/>
                <w:color w:val="auto"/>
                <w:sz w:val="24"/>
                <w:highlight w:val="none"/>
              </w:rPr>
              <w:t>%）。除上述情况外，评审报价=响应报价。</w:t>
            </w:r>
          </w:p>
          <w:p w14:paraId="592884CA">
            <w:pPr>
              <w:spacing w:line="360" w:lineRule="auto"/>
              <w:ind w:firstLine="482"/>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（5）以进入比较与评价环节的最低的评审报价为基准价。</w:t>
            </w:r>
          </w:p>
          <w:p w14:paraId="7BC0EBA0">
            <w:pPr>
              <w:spacing w:line="360" w:lineRule="auto"/>
              <w:ind w:firstLine="482"/>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（6）价格分计算公式：</w:t>
            </w:r>
          </w:p>
          <w:p w14:paraId="7E7B310C">
            <w:pPr>
              <w:spacing w:line="360" w:lineRule="auto"/>
              <w:ind w:firstLine="482"/>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报价得分=（基准价/最后报价）×</w:t>
            </w:r>
            <w:r>
              <w:rPr>
                <w:rFonts w:hint="eastAsia" w:ascii="宋体" w:hAnsi="宋体" w:cs="宋体"/>
                <w:bCs/>
                <w:color w:val="auto"/>
                <w:sz w:val="24"/>
                <w:highlight w:val="none"/>
                <w:lang w:val="en-US" w:eastAsia="zh-CN"/>
              </w:rPr>
              <w:t>1</w:t>
            </w:r>
            <w:r>
              <w:rPr>
                <w:rFonts w:hint="eastAsia" w:ascii="宋体" w:hAnsi="宋体" w:eastAsia="宋体" w:cs="宋体"/>
                <w:bCs/>
                <w:color w:val="auto"/>
                <w:sz w:val="24"/>
                <w:highlight w:val="none"/>
                <w:lang w:val="en-US" w:eastAsia="zh-CN"/>
              </w:rPr>
              <w:t>0</w:t>
            </w:r>
            <w:r>
              <w:rPr>
                <w:rFonts w:hint="eastAsia" w:ascii="宋体" w:hAnsi="宋体" w:eastAsia="宋体" w:cs="宋体"/>
                <w:bCs/>
                <w:color w:val="auto"/>
                <w:sz w:val="24"/>
                <w:highlight w:val="none"/>
              </w:rPr>
              <w:t>分</w:t>
            </w:r>
          </w:p>
        </w:tc>
      </w:tr>
      <w:tr w14:paraId="0386D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3" w:type="pct"/>
            <w:tcBorders>
              <w:top w:val="single" w:color="auto" w:sz="4" w:space="0"/>
              <w:left w:val="single" w:color="auto" w:sz="4" w:space="0"/>
              <w:bottom w:val="single" w:color="auto" w:sz="4" w:space="0"/>
              <w:right w:val="single" w:color="auto" w:sz="4" w:space="0"/>
            </w:tcBorders>
            <w:vAlign w:val="center"/>
          </w:tcPr>
          <w:p w14:paraId="20BD3498">
            <w:pPr>
              <w:adjustRightInd w:val="0"/>
              <w:spacing w:line="360" w:lineRule="auto"/>
              <w:jc w:val="center"/>
              <w:textAlignment w:val="baseline"/>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w:t>
            </w:r>
          </w:p>
        </w:tc>
        <w:tc>
          <w:tcPr>
            <w:tcW w:w="772" w:type="pct"/>
            <w:tcBorders>
              <w:top w:val="single" w:color="auto" w:sz="4" w:space="0"/>
              <w:left w:val="single" w:color="auto" w:sz="4" w:space="0"/>
              <w:bottom w:val="single" w:color="auto" w:sz="4" w:space="0"/>
              <w:right w:val="single" w:color="auto" w:sz="4" w:space="0"/>
            </w:tcBorders>
            <w:vAlign w:val="center"/>
          </w:tcPr>
          <w:p w14:paraId="0C5824BE">
            <w:pPr>
              <w:adjustRightInd w:val="0"/>
              <w:spacing w:line="360" w:lineRule="auto"/>
              <w:jc w:val="center"/>
              <w:textAlignment w:val="baseline"/>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技术分</w:t>
            </w:r>
          </w:p>
          <w:p w14:paraId="696BAD65">
            <w:pPr>
              <w:adjustRightInd w:val="0"/>
              <w:spacing w:line="360" w:lineRule="auto"/>
              <w:jc w:val="center"/>
              <w:textAlignment w:val="baseline"/>
              <w:rPr>
                <w:rFonts w:hint="eastAsia" w:ascii="宋体" w:hAnsi="宋体" w:eastAsia="宋体" w:cs="宋体"/>
                <w:b/>
                <w:color w:val="auto"/>
                <w:sz w:val="24"/>
                <w:highlight w:val="none"/>
              </w:rPr>
            </w:pPr>
            <w:r>
              <w:rPr>
                <w:rFonts w:hint="eastAsia" w:ascii="宋体" w:hAnsi="宋体" w:eastAsia="宋体" w:cs="宋体"/>
                <w:b/>
                <w:color w:val="auto"/>
                <w:sz w:val="24"/>
                <w:highlight w:val="none"/>
              </w:rPr>
              <w:t>（</w:t>
            </w:r>
            <w:r>
              <w:rPr>
                <w:rFonts w:hint="eastAsia" w:ascii="宋体" w:hAnsi="宋体" w:cs="宋体"/>
                <w:b/>
                <w:color w:val="auto"/>
                <w:sz w:val="24"/>
                <w:highlight w:val="none"/>
                <w:lang w:val="en-US" w:eastAsia="zh-CN"/>
              </w:rPr>
              <w:t>70</w:t>
            </w:r>
            <w:r>
              <w:rPr>
                <w:rFonts w:hint="eastAsia" w:ascii="宋体" w:hAnsi="宋体" w:eastAsia="宋体" w:cs="宋体"/>
                <w:b/>
                <w:color w:val="auto"/>
                <w:sz w:val="24"/>
                <w:highlight w:val="none"/>
              </w:rPr>
              <w:t>分）</w:t>
            </w:r>
          </w:p>
        </w:tc>
        <w:tc>
          <w:tcPr>
            <w:tcW w:w="3973" w:type="pct"/>
            <w:gridSpan w:val="2"/>
            <w:tcBorders>
              <w:top w:val="single" w:color="auto" w:sz="4" w:space="0"/>
              <w:left w:val="single" w:color="auto" w:sz="4" w:space="0"/>
              <w:bottom w:val="single" w:color="auto" w:sz="4" w:space="0"/>
              <w:right w:val="single" w:color="auto" w:sz="4" w:space="0"/>
            </w:tcBorders>
            <w:vAlign w:val="center"/>
          </w:tcPr>
          <w:p w14:paraId="7DA9D453">
            <w:pPr>
              <w:numPr>
                <w:ilvl w:val="0"/>
                <w:numId w:val="0"/>
              </w:num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kern w:val="2"/>
                <w:sz w:val="24"/>
                <w:szCs w:val="24"/>
                <w:highlight w:val="none"/>
                <w:lang w:val="en-US" w:eastAsia="zh-CN" w:bidi="ar-SA"/>
              </w:rPr>
              <w:t>（1）</w:t>
            </w:r>
            <w:r>
              <w:rPr>
                <w:rFonts w:hint="eastAsia" w:ascii="宋体" w:hAnsi="宋体" w:eastAsia="宋体" w:cs="宋体"/>
                <w:b/>
                <w:bCs/>
                <w:color w:val="auto"/>
                <w:sz w:val="24"/>
                <w:highlight w:val="none"/>
              </w:rPr>
              <w:t>项目实施方案（满分20分）</w:t>
            </w:r>
          </w:p>
          <w:p w14:paraId="4B148BDA">
            <w:pPr>
              <w:numPr>
                <w:ilvl w:val="0"/>
                <w:numId w:val="0"/>
              </w:numPr>
              <w:spacing w:line="360" w:lineRule="auto"/>
              <w:ind w:firstLine="480" w:firstLineChars="200"/>
              <w:rPr>
                <w:rFonts w:hint="eastAsia" w:ascii="宋体" w:hAnsi="宋体" w:eastAsia="宋体" w:cs="宋体"/>
                <w:b/>
                <w:bCs/>
                <w:color w:val="auto"/>
                <w:sz w:val="24"/>
                <w:highlight w:val="none"/>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针对</w:t>
            </w:r>
            <w:r>
              <w:rPr>
                <w:rFonts w:hint="eastAsia" w:ascii="宋体" w:hAnsi="宋体" w:eastAsia="宋体" w:cs="宋体"/>
                <w:i w:val="0"/>
                <w:iCs w:val="0"/>
                <w:caps w:val="0"/>
                <w:color w:val="auto"/>
                <w:spacing w:val="0"/>
                <w:sz w:val="24"/>
                <w:szCs w:val="24"/>
                <w:highlight w:val="none"/>
                <w:shd w:val="clear" w:fill="FFFFFF"/>
              </w:rPr>
              <w:t>本项目沿旧路布线、多专题并行推进的特征，重点考评</w:t>
            </w:r>
            <w:r>
              <w:rPr>
                <w:rFonts w:hint="eastAsia" w:ascii="宋体" w:hAnsi="宋体" w:eastAsia="宋体" w:cs="宋体"/>
                <w:i w:val="0"/>
                <w:iCs w:val="0"/>
                <w:caps w:val="0"/>
                <w:color w:val="auto"/>
                <w:spacing w:val="0"/>
                <w:sz w:val="24"/>
                <w:szCs w:val="24"/>
                <w:highlight w:val="none"/>
                <w:shd w:val="clear" w:fill="FFFFFF"/>
                <w:lang w:val="en-US" w:eastAsia="zh-CN"/>
              </w:rPr>
              <w:t>实施方案的</w:t>
            </w:r>
            <w:r>
              <w:rPr>
                <w:rFonts w:hint="eastAsia" w:ascii="宋体" w:hAnsi="宋体" w:eastAsia="宋体" w:cs="宋体"/>
                <w:i w:val="0"/>
                <w:iCs w:val="0"/>
                <w:caps w:val="0"/>
                <w:color w:val="auto"/>
                <w:spacing w:val="0"/>
                <w:sz w:val="24"/>
                <w:szCs w:val="24"/>
                <w:highlight w:val="none"/>
                <w:shd w:val="clear" w:fill="FFFFFF"/>
              </w:rPr>
              <w:t>针对性及落地可行性</w:t>
            </w:r>
            <w:r>
              <w:rPr>
                <w:rFonts w:hint="eastAsia" w:ascii="宋体" w:hAnsi="宋体" w:eastAsia="宋体" w:cs="宋体"/>
                <w:i w:val="0"/>
                <w:iCs w:val="0"/>
                <w:caps w:val="0"/>
                <w:color w:val="auto"/>
                <w:spacing w:val="0"/>
                <w:sz w:val="24"/>
                <w:szCs w:val="24"/>
                <w:highlight w:val="none"/>
                <w:shd w:val="clear" w:fill="FFFFFF"/>
                <w:lang w:eastAsia="zh-CN"/>
              </w:rPr>
              <w:t>：</w:t>
            </w:r>
          </w:p>
          <w:p w14:paraId="55BA4245">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一档</w:t>
            </w:r>
            <w:r>
              <w:rPr>
                <w:rFonts w:hint="eastAsia" w:ascii="宋体" w:hAnsi="宋体" w:eastAsia="宋体" w:cs="宋体"/>
                <w:color w:val="auto"/>
                <w:sz w:val="24"/>
                <w:highlight w:val="none"/>
              </w:rPr>
              <w:t>（7分）：项目实施方案描述简单，基本满足项目要求；</w:t>
            </w:r>
          </w:p>
          <w:p w14:paraId="69676DD2">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二档</w:t>
            </w:r>
            <w:r>
              <w:rPr>
                <w:rFonts w:hint="eastAsia" w:ascii="宋体" w:hAnsi="宋体" w:eastAsia="宋体" w:cs="宋体"/>
                <w:color w:val="auto"/>
                <w:sz w:val="24"/>
                <w:highlight w:val="none"/>
              </w:rPr>
              <w:t>（14分）：项目实施方案较完整、描述较清晰、准确，具有可操作性，较好的满足项目要求；</w:t>
            </w:r>
          </w:p>
          <w:p w14:paraId="585D9EB4">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三档</w:t>
            </w:r>
            <w:r>
              <w:rPr>
                <w:rFonts w:hint="eastAsia" w:ascii="宋体" w:hAnsi="宋体" w:eastAsia="宋体" w:cs="宋体"/>
                <w:color w:val="auto"/>
                <w:sz w:val="24"/>
                <w:highlight w:val="none"/>
              </w:rPr>
              <w:t>（20分）：项目实施方案完整、描述清晰、准确、合理，可操作性强，能很好的满足项目要求，可行性高。</w:t>
            </w:r>
          </w:p>
          <w:p w14:paraId="79B5DBED">
            <w:pPr>
              <w:numPr>
                <w:ilvl w:val="0"/>
                <w:numId w:val="1"/>
              </w:num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对项目基本情况、工作内容的理解（满分20分）</w:t>
            </w:r>
          </w:p>
          <w:p w14:paraId="10490AB3">
            <w:pPr>
              <w:numPr>
                <w:ilvl w:val="0"/>
                <w:numId w:val="0"/>
              </w:numPr>
              <w:spacing w:line="360" w:lineRule="auto"/>
              <w:ind w:firstLine="480" w:firstLineChars="200"/>
              <w:rPr>
                <w:rFonts w:hint="eastAsia" w:ascii="宋体" w:hAnsi="宋体" w:eastAsia="宋体" w:cs="宋体"/>
                <w:b/>
                <w:bCs/>
                <w:color w:val="auto"/>
                <w:sz w:val="24"/>
                <w:highlight w:val="none"/>
                <w:lang w:eastAsia="zh-CN"/>
              </w:rPr>
            </w:pPr>
            <w:r>
              <w:rPr>
                <w:rFonts w:hint="eastAsia" w:ascii="宋体" w:hAnsi="宋体" w:eastAsia="宋体" w:cs="宋体"/>
                <w:i w:val="0"/>
                <w:iCs w:val="0"/>
                <w:caps w:val="0"/>
                <w:color w:val="auto"/>
                <w:spacing w:val="0"/>
                <w:sz w:val="24"/>
                <w:szCs w:val="24"/>
                <w:highlight w:val="none"/>
                <w:shd w:val="clear" w:fill="FFFFFF"/>
                <w:lang w:val="en-US" w:eastAsia="zh-CN"/>
              </w:rPr>
              <w:t>针对</w:t>
            </w:r>
            <w:r>
              <w:rPr>
                <w:rFonts w:hint="eastAsia" w:ascii="宋体" w:hAnsi="宋体" w:eastAsia="宋体" w:cs="宋体"/>
                <w:i w:val="0"/>
                <w:iCs w:val="0"/>
                <w:caps w:val="0"/>
                <w:color w:val="auto"/>
                <w:spacing w:val="0"/>
                <w:sz w:val="24"/>
                <w:szCs w:val="24"/>
                <w:highlight w:val="none"/>
                <w:shd w:val="clear" w:fill="FFFFFF"/>
              </w:rPr>
              <w:t>本项目</w:t>
            </w:r>
            <w:r>
              <w:rPr>
                <w:rFonts w:hint="eastAsia" w:ascii="宋体" w:hAnsi="宋体" w:eastAsia="宋体" w:cs="宋体"/>
                <w:i w:val="0"/>
                <w:iCs w:val="0"/>
                <w:caps w:val="0"/>
                <w:color w:val="auto"/>
                <w:spacing w:val="0"/>
                <w:sz w:val="24"/>
                <w:szCs w:val="24"/>
                <w:highlight w:val="none"/>
                <w:shd w:val="clear" w:fill="FFFFFF"/>
                <w:lang w:val="en-US" w:eastAsia="zh-CN"/>
              </w:rPr>
              <w:t>工程规模和工作内容</w:t>
            </w:r>
            <w:r>
              <w:rPr>
                <w:rFonts w:hint="eastAsia" w:ascii="宋体" w:hAnsi="宋体" w:eastAsia="宋体" w:cs="宋体"/>
                <w:i w:val="0"/>
                <w:iCs w:val="0"/>
                <w:caps w:val="0"/>
                <w:color w:val="auto"/>
                <w:spacing w:val="0"/>
                <w:sz w:val="24"/>
                <w:szCs w:val="24"/>
                <w:highlight w:val="none"/>
                <w:shd w:val="clear" w:fill="FFFFFF"/>
              </w:rPr>
              <w:t>、</w:t>
            </w:r>
            <w:r>
              <w:rPr>
                <w:rFonts w:hint="eastAsia" w:ascii="宋体" w:hAnsi="宋体" w:eastAsia="宋体" w:cs="宋体"/>
                <w:i w:val="0"/>
                <w:iCs w:val="0"/>
                <w:caps w:val="0"/>
                <w:color w:val="auto"/>
                <w:spacing w:val="0"/>
                <w:sz w:val="24"/>
                <w:szCs w:val="24"/>
                <w:highlight w:val="none"/>
                <w:shd w:val="clear" w:fill="FFFFFF"/>
                <w:lang w:val="en-US" w:eastAsia="zh-CN"/>
              </w:rPr>
              <w:t>根据“</w:t>
            </w:r>
            <w:r>
              <w:rPr>
                <w:rFonts w:hint="eastAsia" w:ascii="宋体" w:hAnsi="宋体" w:eastAsia="宋体" w:cs="宋体"/>
                <w:i w:val="0"/>
                <w:iCs w:val="0"/>
                <w:caps w:val="0"/>
                <w:color w:val="auto"/>
                <w:spacing w:val="0"/>
                <w:sz w:val="24"/>
                <w:szCs w:val="24"/>
                <w:highlight w:val="none"/>
                <w:shd w:val="clear" w:fill="FFFFFF"/>
              </w:rPr>
              <w:t>前期专题+可研编制</w:t>
            </w:r>
            <w:r>
              <w:rPr>
                <w:rFonts w:hint="eastAsia" w:ascii="宋体" w:hAnsi="宋体" w:eastAsia="宋体" w:cs="宋体"/>
                <w:i w:val="0"/>
                <w:iCs w:val="0"/>
                <w:caps w:val="0"/>
                <w:color w:val="auto"/>
                <w:spacing w:val="0"/>
                <w:sz w:val="24"/>
                <w:szCs w:val="24"/>
                <w:highlight w:val="none"/>
                <w:shd w:val="clear" w:fill="FFFFFF"/>
                <w:lang w:eastAsia="zh-CN"/>
              </w:rPr>
              <w:t>”</w:t>
            </w:r>
            <w:r>
              <w:rPr>
                <w:rFonts w:hint="eastAsia" w:ascii="宋体" w:hAnsi="宋体" w:eastAsia="宋体" w:cs="宋体"/>
                <w:i w:val="0"/>
                <w:iCs w:val="0"/>
                <w:caps w:val="0"/>
                <w:color w:val="auto"/>
                <w:spacing w:val="0"/>
                <w:sz w:val="24"/>
                <w:szCs w:val="24"/>
                <w:highlight w:val="none"/>
                <w:shd w:val="clear" w:fill="FFFFFF"/>
              </w:rPr>
              <w:t>核心需求，重点考评对旧路改建合规要点、专题衔接逻辑的把握程度</w:t>
            </w:r>
            <w:r>
              <w:rPr>
                <w:rFonts w:hint="eastAsia" w:ascii="宋体" w:hAnsi="宋体" w:eastAsia="宋体" w:cs="宋体"/>
                <w:i w:val="0"/>
                <w:iCs w:val="0"/>
                <w:caps w:val="0"/>
                <w:color w:val="auto"/>
                <w:spacing w:val="0"/>
                <w:sz w:val="24"/>
                <w:szCs w:val="24"/>
                <w:highlight w:val="none"/>
                <w:shd w:val="clear" w:fill="FFFFFF"/>
                <w:lang w:eastAsia="zh-CN"/>
              </w:rPr>
              <w:t>：</w:t>
            </w:r>
          </w:p>
          <w:p w14:paraId="5DD45E6A">
            <w:pPr>
              <w:spacing w:line="360"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一档</w:t>
            </w:r>
            <w:r>
              <w:rPr>
                <w:rFonts w:hint="eastAsia" w:ascii="宋体" w:hAnsi="宋体" w:eastAsia="宋体" w:cs="宋体"/>
                <w:color w:val="auto"/>
                <w:sz w:val="24"/>
                <w:highlight w:val="none"/>
              </w:rPr>
              <w:t>（7分）：对项目基本情况、工作内容的理解欠缺的或未按要求提供</w:t>
            </w:r>
            <w:r>
              <w:rPr>
                <w:rFonts w:hint="eastAsia" w:ascii="宋体" w:hAnsi="宋体" w:eastAsia="宋体" w:cs="宋体"/>
                <w:color w:val="auto"/>
                <w:sz w:val="24"/>
                <w:highlight w:val="none"/>
                <w:lang w:eastAsia="zh-CN"/>
              </w:rPr>
              <w:t>；</w:t>
            </w:r>
          </w:p>
          <w:p w14:paraId="5A37D4DC">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二档</w:t>
            </w:r>
            <w:r>
              <w:rPr>
                <w:rFonts w:hint="eastAsia" w:ascii="宋体" w:hAnsi="宋体" w:eastAsia="宋体" w:cs="宋体"/>
                <w:color w:val="auto"/>
                <w:sz w:val="24"/>
                <w:highlight w:val="none"/>
              </w:rPr>
              <w:t>（14分)：对项目基本情况、工作内容的理解较准确、符合项目需求；</w:t>
            </w:r>
          </w:p>
          <w:p w14:paraId="584805B1">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三档</w:t>
            </w:r>
            <w:r>
              <w:rPr>
                <w:rFonts w:hint="eastAsia" w:ascii="宋体" w:hAnsi="宋体" w:eastAsia="宋体" w:cs="宋体"/>
                <w:color w:val="auto"/>
                <w:sz w:val="24"/>
                <w:highlight w:val="none"/>
              </w:rPr>
              <w:t>（20分）：对项目基本情况、工作内容的理解透彻深入、准确到位、符合项目需求。</w:t>
            </w:r>
          </w:p>
          <w:p w14:paraId="7851A5B7">
            <w:pPr>
              <w:numPr>
                <w:ilvl w:val="0"/>
                <w:numId w:val="1"/>
              </w:numPr>
              <w:spacing w:line="360" w:lineRule="auto"/>
              <w:ind w:left="0" w:leftChars="0" w:firstLine="0" w:firstLineChars="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服务方案（满分</w:t>
            </w:r>
            <w:r>
              <w:rPr>
                <w:rFonts w:hint="eastAsia" w:ascii="宋体" w:hAnsi="宋体" w:eastAsia="宋体" w:cs="宋体"/>
                <w:b/>
                <w:bCs/>
                <w:color w:val="auto"/>
                <w:sz w:val="24"/>
                <w:highlight w:val="none"/>
                <w:lang w:val="en-US" w:eastAsia="zh-CN"/>
              </w:rPr>
              <w:t>10</w:t>
            </w:r>
            <w:r>
              <w:rPr>
                <w:rFonts w:hint="eastAsia" w:ascii="宋体" w:hAnsi="宋体" w:eastAsia="宋体" w:cs="宋体"/>
                <w:b/>
                <w:bCs/>
                <w:color w:val="auto"/>
                <w:sz w:val="24"/>
                <w:highlight w:val="none"/>
              </w:rPr>
              <w:t>分）</w:t>
            </w:r>
          </w:p>
          <w:p w14:paraId="4666C479">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一档</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分）</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服务方案简单或基本合理、可行，组织实施简单、表述清晰但没有针对性，质量保障能力一般，提出方案完整但是措施保证性不强；</w:t>
            </w:r>
          </w:p>
          <w:p w14:paraId="029D7613">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二档</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分)</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服务方案满足采购文件要求，方案比较细致、合理、可行，保障响应措施到位，有一定的服务经验，整体服务承诺较好、组织实施较详细，质量保障能力较好；</w:t>
            </w:r>
          </w:p>
          <w:p w14:paraId="336B5FC2">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三档</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10</w:t>
            </w:r>
            <w:r>
              <w:rPr>
                <w:rFonts w:hint="eastAsia" w:ascii="宋体" w:hAnsi="宋体" w:eastAsia="宋体" w:cs="宋体"/>
                <w:color w:val="auto"/>
                <w:sz w:val="24"/>
                <w:highlight w:val="none"/>
              </w:rPr>
              <w:t>分）：服务方案优于采购文件要求且细致、合理、可行，保障响应措施较有力，表述清晰、完整，能够针对项目实际情况进行表述，服务经验较丰富，整体服务承诺优秀、组织实施严谨详细，整体服务措施优于项目要求，提出方案完整且能够提出具体措施保证方案顺利实施。</w:t>
            </w:r>
          </w:p>
          <w:p w14:paraId="2C5B1227">
            <w:pPr>
              <w:spacing w:line="360" w:lineRule="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（4）服务团队（满分</w:t>
            </w:r>
            <w:r>
              <w:rPr>
                <w:rFonts w:hint="eastAsia" w:ascii="宋体" w:hAnsi="宋体" w:cs="宋体"/>
                <w:b/>
                <w:bCs/>
                <w:color w:val="auto"/>
                <w:sz w:val="24"/>
                <w:highlight w:val="none"/>
                <w:lang w:val="en-US" w:eastAsia="zh-CN"/>
              </w:rPr>
              <w:t>20</w:t>
            </w:r>
            <w:r>
              <w:rPr>
                <w:rFonts w:hint="eastAsia" w:ascii="宋体" w:hAnsi="宋体" w:eastAsia="宋体" w:cs="宋体"/>
                <w:b/>
                <w:bCs/>
                <w:color w:val="auto"/>
                <w:sz w:val="24"/>
                <w:highlight w:val="none"/>
              </w:rPr>
              <w:t>分）</w:t>
            </w:r>
          </w:p>
          <w:p w14:paraId="643E1A69">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 1 \* GB3 \* MERGEFORMAT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①</w:t>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t>拟派的项目负责人具有工程师职称的得</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分；具有高级工程师</w:t>
            </w:r>
            <w:r>
              <w:rPr>
                <w:rFonts w:hint="eastAsia" w:ascii="宋体" w:hAnsi="宋体" w:eastAsia="宋体" w:cs="宋体"/>
                <w:color w:val="auto"/>
                <w:sz w:val="24"/>
                <w:highlight w:val="none"/>
                <w:lang w:eastAsia="zh-CN"/>
              </w:rPr>
              <w:t>及</w:t>
            </w:r>
            <w:r>
              <w:rPr>
                <w:rFonts w:hint="eastAsia" w:ascii="宋体" w:hAnsi="宋体" w:eastAsia="宋体" w:cs="宋体"/>
                <w:color w:val="auto"/>
                <w:sz w:val="24"/>
                <w:highlight w:val="none"/>
              </w:rPr>
              <w:t>以上职称的得</w:t>
            </w: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rPr>
              <w:t>分，同时具有注册土木工程师（道路工程）和注册咨询工程师（专业须包含公路）</w:t>
            </w:r>
            <w:r>
              <w:rPr>
                <w:rFonts w:hint="eastAsia" w:ascii="宋体" w:hAnsi="宋体" w:cs="宋体"/>
                <w:color w:val="auto"/>
                <w:sz w:val="24"/>
                <w:highlight w:val="none"/>
                <w:lang w:val="en-US" w:eastAsia="zh-CN"/>
              </w:rPr>
              <w:t>资格</w:t>
            </w:r>
            <w:r>
              <w:rPr>
                <w:rFonts w:hint="eastAsia" w:ascii="宋体" w:hAnsi="宋体" w:eastAsia="宋体" w:cs="宋体"/>
                <w:color w:val="auto"/>
                <w:sz w:val="24"/>
                <w:highlight w:val="none"/>
                <w:lang w:val="en-US" w:eastAsia="zh-CN"/>
              </w:rPr>
              <w:t>证书</w:t>
            </w:r>
            <w:r>
              <w:rPr>
                <w:rFonts w:hint="eastAsia" w:ascii="宋体" w:hAnsi="宋体" w:eastAsia="宋体" w:cs="宋体"/>
                <w:color w:val="auto"/>
                <w:sz w:val="24"/>
                <w:highlight w:val="none"/>
              </w:rPr>
              <w:t>的得</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rPr>
              <w:t>分，本项满分为</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分。</w:t>
            </w:r>
          </w:p>
          <w:p w14:paraId="15DA8B3C">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 2 \* GB3 \* MERGEFORMAT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②</w:t>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t>除项目负责人，拟派的技术人员具有高级工程师</w:t>
            </w:r>
            <w:r>
              <w:rPr>
                <w:rFonts w:hint="eastAsia" w:ascii="宋体" w:hAnsi="宋体" w:eastAsia="宋体" w:cs="宋体"/>
                <w:color w:val="auto"/>
                <w:sz w:val="24"/>
                <w:highlight w:val="none"/>
                <w:lang w:eastAsia="zh-CN"/>
              </w:rPr>
              <w:t>及</w:t>
            </w:r>
            <w:r>
              <w:rPr>
                <w:rFonts w:hint="eastAsia" w:ascii="宋体" w:hAnsi="宋体" w:eastAsia="宋体" w:cs="宋体"/>
                <w:color w:val="auto"/>
                <w:sz w:val="24"/>
                <w:highlight w:val="none"/>
              </w:rPr>
              <w:t>以上职称且同时具有注册咨询工程师</w:t>
            </w:r>
            <w:r>
              <w:rPr>
                <w:rFonts w:hint="eastAsia" w:ascii="宋体" w:hAnsi="宋体" w:cs="宋体"/>
                <w:color w:val="auto"/>
                <w:sz w:val="24"/>
                <w:highlight w:val="none"/>
                <w:lang w:val="en-US" w:eastAsia="zh-CN"/>
              </w:rPr>
              <w:t>资格证书</w:t>
            </w:r>
            <w:r>
              <w:rPr>
                <w:rFonts w:hint="eastAsia" w:ascii="宋体" w:hAnsi="宋体" w:eastAsia="宋体" w:cs="宋体"/>
                <w:color w:val="auto"/>
                <w:sz w:val="24"/>
                <w:highlight w:val="none"/>
              </w:rPr>
              <w:t>的每个得</w:t>
            </w:r>
            <w:r>
              <w:rPr>
                <w:rFonts w:hint="eastAsia" w:ascii="宋体" w:hAnsi="宋体" w:cs="宋体"/>
                <w:color w:val="auto"/>
                <w:sz w:val="24"/>
                <w:highlight w:val="none"/>
                <w:lang w:val="en-US" w:eastAsia="zh-CN"/>
              </w:rPr>
              <w:t>1.5</w:t>
            </w:r>
            <w:r>
              <w:rPr>
                <w:rFonts w:hint="eastAsia" w:ascii="宋体" w:hAnsi="宋体" w:eastAsia="宋体" w:cs="宋体"/>
                <w:color w:val="auto"/>
                <w:sz w:val="24"/>
                <w:highlight w:val="none"/>
              </w:rPr>
              <w:t>分，满分</w:t>
            </w:r>
            <w:r>
              <w:rPr>
                <w:rFonts w:hint="eastAsia" w:ascii="宋体" w:hAnsi="宋体" w:cs="宋体"/>
                <w:color w:val="auto"/>
                <w:sz w:val="24"/>
                <w:highlight w:val="none"/>
                <w:lang w:val="en-US" w:eastAsia="zh-CN"/>
              </w:rPr>
              <w:t>7.5</w:t>
            </w:r>
            <w:r>
              <w:rPr>
                <w:rFonts w:hint="eastAsia" w:ascii="宋体" w:hAnsi="宋体" w:eastAsia="宋体" w:cs="宋体"/>
                <w:color w:val="auto"/>
                <w:sz w:val="24"/>
                <w:highlight w:val="none"/>
              </w:rPr>
              <w:t>分。</w:t>
            </w:r>
          </w:p>
          <w:p w14:paraId="3B1EA18D">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 3 \* GB3 \* MERGEFORMAT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③</w:t>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t>除项目负责人，拟派的技术人员具有高级工程师</w:t>
            </w:r>
            <w:r>
              <w:rPr>
                <w:rFonts w:hint="eastAsia" w:ascii="宋体" w:hAnsi="宋体" w:eastAsia="宋体" w:cs="宋体"/>
                <w:color w:val="auto"/>
                <w:sz w:val="24"/>
                <w:highlight w:val="none"/>
                <w:lang w:eastAsia="zh-CN"/>
              </w:rPr>
              <w:t>及</w:t>
            </w:r>
            <w:r>
              <w:rPr>
                <w:rFonts w:hint="eastAsia" w:ascii="宋体" w:hAnsi="宋体" w:eastAsia="宋体" w:cs="宋体"/>
                <w:color w:val="auto"/>
                <w:sz w:val="24"/>
                <w:highlight w:val="none"/>
              </w:rPr>
              <w:t>以上职称且同时具有交通运输部门核发的公路工程试验检测师资格证书或交通运输部颁发的公路水运工程试验检测师资格证书</w:t>
            </w:r>
            <w:r>
              <w:rPr>
                <w:rFonts w:hint="eastAsia" w:ascii="宋体" w:hAnsi="宋体" w:cs="宋体"/>
                <w:color w:val="auto"/>
                <w:sz w:val="24"/>
                <w:highlight w:val="none"/>
                <w:lang w:val="en-US" w:eastAsia="zh-CN"/>
              </w:rPr>
              <w:t>的</w:t>
            </w:r>
            <w:r>
              <w:rPr>
                <w:rFonts w:hint="eastAsia" w:ascii="宋体" w:hAnsi="宋体" w:eastAsia="宋体" w:cs="宋体"/>
                <w:color w:val="auto"/>
                <w:sz w:val="24"/>
                <w:highlight w:val="none"/>
              </w:rPr>
              <w:t>每个得</w:t>
            </w:r>
            <w:r>
              <w:rPr>
                <w:rFonts w:hint="eastAsia" w:ascii="宋体" w:hAnsi="宋体" w:eastAsia="宋体" w:cs="宋体"/>
                <w:color w:val="auto"/>
                <w:sz w:val="24"/>
                <w:highlight w:val="none"/>
                <w:lang w:val="en-US" w:eastAsia="zh-CN"/>
              </w:rPr>
              <w:t>1</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分，满分</w:t>
            </w: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rPr>
              <w:t>分。</w:t>
            </w:r>
          </w:p>
          <w:p w14:paraId="73C2FC7C">
            <w:pPr>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④除项目负责人，拟派的技术人员具有高级工程师</w:t>
            </w:r>
            <w:r>
              <w:rPr>
                <w:rFonts w:hint="eastAsia" w:ascii="宋体" w:hAnsi="宋体" w:eastAsia="宋体" w:cs="宋体"/>
                <w:color w:val="auto"/>
                <w:sz w:val="24"/>
                <w:highlight w:val="none"/>
                <w:lang w:eastAsia="zh-CN"/>
              </w:rPr>
              <w:t>及</w:t>
            </w:r>
            <w:r>
              <w:rPr>
                <w:rFonts w:hint="eastAsia" w:ascii="宋体" w:hAnsi="宋体" w:eastAsia="宋体" w:cs="宋体"/>
                <w:color w:val="auto"/>
                <w:sz w:val="24"/>
                <w:highlight w:val="none"/>
              </w:rPr>
              <w:t>以上职称且同时具有环评工程师资格证书</w:t>
            </w:r>
            <w:r>
              <w:rPr>
                <w:rFonts w:hint="eastAsia" w:ascii="宋体" w:hAnsi="宋体" w:eastAsia="宋体" w:cs="宋体"/>
                <w:color w:val="auto"/>
                <w:sz w:val="24"/>
                <w:highlight w:val="none"/>
                <w:lang w:val="en-US" w:eastAsia="zh-CN"/>
              </w:rPr>
              <w:t>的得1</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lang w:val="en-US" w:eastAsia="zh-CN"/>
              </w:rPr>
              <w:t>分，满分</w:t>
            </w: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lang w:val="en-US" w:eastAsia="zh-CN"/>
              </w:rPr>
              <w:t>分。</w:t>
            </w:r>
          </w:p>
          <w:p w14:paraId="431CB5FC">
            <w:pPr>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⑤</w:t>
            </w:r>
            <w:r>
              <w:rPr>
                <w:rFonts w:hint="eastAsia" w:ascii="宋体" w:hAnsi="宋体" w:eastAsia="宋体" w:cs="宋体"/>
                <w:color w:val="auto"/>
                <w:sz w:val="24"/>
                <w:highlight w:val="none"/>
              </w:rPr>
              <w:t>除项目负责人，拟派的技术人员具有高级工程师</w:t>
            </w:r>
            <w:r>
              <w:rPr>
                <w:rFonts w:hint="eastAsia" w:ascii="宋体" w:hAnsi="宋体" w:eastAsia="宋体" w:cs="宋体"/>
                <w:color w:val="auto"/>
                <w:sz w:val="24"/>
                <w:highlight w:val="none"/>
                <w:lang w:eastAsia="zh-CN"/>
              </w:rPr>
              <w:t>及</w:t>
            </w:r>
            <w:r>
              <w:rPr>
                <w:rFonts w:hint="eastAsia" w:ascii="宋体" w:hAnsi="宋体" w:eastAsia="宋体" w:cs="宋体"/>
                <w:color w:val="auto"/>
                <w:sz w:val="24"/>
                <w:highlight w:val="none"/>
              </w:rPr>
              <w:t>以上职称且同时具有注册安全工程师资格证书</w:t>
            </w:r>
            <w:r>
              <w:rPr>
                <w:rFonts w:hint="eastAsia" w:ascii="宋体" w:hAnsi="宋体" w:eastAsia="宋体" w:cs="宋体"/>
                <w:color w:val="auto"/>
                <w:sz w:val="24"/>
                <w:highlight w:val="none"/>
                <w:lang w:val="en-US" w:eastAsia="zh-CN"/>
              </w:rPr>
              <w:t>的得1</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lang w:val="en-US" w:eastAsia="zh-CN"/>
              </w:rPr>
              <w:t>分，满分1</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lang w:val="en-US" w:eastAsia="zh-CN"/>
              </w:rPr>
              <w:t>分。</w:t>
            </w:r>
          </w:p>
        </w:tc>
      </w:tr>
      <w:tr w14:paraId="1E947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2" w:hRule="atLeast"/>
          <w:jc w:val="center"/>
        </w:trPr>
        <w:tc>
          <w:tcPr>
            <w:tcW w:w="253" w:type="pct"/>
            <w:tcBorders>
              <w:top w:val="single" w:color="auto" w:sz="4" w:space="0"/>
              <w:left w:val="single" w:color="auto" w:sz="4" w:space="0"/>
              <w:bottom w:val="single" w:color="auto" w:sz="4" w:space="0"/>
              <w:right w:val="single" w:color="auto" w:sz="4" w:space="0"/>
            </w:tcBorders>
            <w:vAlign w:val="center"/>
          </w:tcPr>
          <w:p w14:paraId="36C79808">
            <w:pPr>
              <w:adjustRightInd w:val="0"/>
              <w:spacing w:line="360" w:lineRule="auto"/>
              <w:jc w:val="center"/>
              <w:textAlignment w:val="baseline"/>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w:t>
            </w:r>
          </w:p>
        </w:tc>
        <w:tc>
          <w:tcPr>
            <w:tcW w:w="772" w:type="pct"/>
            <w:tcBorders>
              <w:top w:val="single" w:color="auto" w:sz="4" w:space="0"/>
              <w:left w:val="single" w:color="auto" w:sz="4" w:space="0"/>
              <w:bottom w:val="single" w:color="auto" w:sz="4" w:space="0"/>
              <w:right w:val="single" w:color="auto" w:sz="4" w:space="0"/>
            </w:tcBorders>
            <w:vAlign w:val="center"/>
          </w:tcPr>
          <w:p w14:paraId="28675C15">
            <w:pPr>
              <w:adjustRightInd w:val="0"/>
              <w:spacing w:line="360" w:lineRule="auto"/>
              <w:jc w:val="center"/>
              <w:textAlignment w:val="baseline"/>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商务分</w:t>
            </w:r>
          </w:p>
          <w:p w14:paraId="53F56858">
            <w:pPr>
              <w:adjustRightInd w:val="0"/>
              <w:spacing w:line="360" w:lineRule="auto"/>
              <w:jc w:val="center"/>
              <w:textAlignment w:val="baseline"/>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（满分</w:t>
            </w:r>
            <w:r>
              <w:rPr>
                <w:rFonts w:hint="eastAsia" w:ascii="宋体" w:hAnsi="宋体" w:cs="宋体"/>
                <w:b/>
                <w:color w:val="auto"/>
                <w:sz w:val="24"/>
                <w:highlight w:val="none"/>
                <w:lang w:val="en-US" w:eastAsia="zh-CN"/>
              </w:rPr>
              <w:t>20</w:t>
            </w:r>
            <w:r>
              <w:rPr>
                <w:rFonts w:hint="eastAsia" w:ascii="宋体" w:hAnsi="宋体" w:eastAsia="宋体" w:cs="宋体"/>
                <w:b/>
                <w:color w:val="auto"/>
                <w:sz w:val="24"/>
                <w:highlight w:val="none"/>
              </w:rPr>
              <w:t>分）</w:t>
            </w:r>
          </w:p>
          <w:p w14:paraId="60CD867D">
            <w:pPr>
              <w:adjustRightInd w:val="0"/>
              <w:spacing w:line="360" w:lineRule="auto"/>
              <w:jc w:val="center"/>
              <w:textAlignment w:val="baseline"/>
              <w:rPr>
                <w:rFonts w:hint="eastAsia" w:ascii="宋体" w:hAnsi="宋体" w:eastAsia="宋体" w:cs="宋体"/>
                <w:b/>
                <w:color w:val="auto"/>
                <w:sz w:val="24"/>
                <w:highlight w:val="none"/>
              </w:rPr>
            </w:pPr>
          </w:p>
        </w:tc>
        <w:tc>
          <w:tcPr>
            <w:tcW w:w="3973" w:type="pct"/>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629BA5C4">
            <w:pPr>
              <w:spacing w:line="360" w:lineRule="auto"/>
              <w:rPr>
                <w:rFonts w:hint="eastAsia" w:ascii="宋体" w:hAnsi="宋体" w:eastAsia="宋体" w:cs="宋体"/>
                <w:bCs/>
                <w:color w:val="auto"/>
                <w:kern w:val="0"/>
                <w:sz w:val="24"/>
                <w:highlight w:val="none"/>
                <w:lang w:eastAsia="zh-CN"/>
              </w:rPr>
            </w:pPr>
            <w:r>
              <w:rPr>
                <w:rFonts w:hint="eastAsia" w:ascii="宋体" w:hAnsi="宋体" w:eastAsia="宋体" w:cs="宋体"/>
                <w:bCs/>
                <w:color w:val="auto"/>
                <w:kern w:val="0"/>
                <w:sz w:val="24"/>
                <w:highlight w:val="none"/>
                <w:lang w:eastAsia="zh-CN"/>
              </w:rPr>
              <w:t>供应商20</w:t>
            </w:r>
            <w:r>
              <w:rPr>
                <w:rFonts w:hint="eastAsia" w:ascii="宋体" w:hAnsi="宋体" w:eastAsia="宋体" w:cs="宋体"/>
                <w:bCs/>
                <w:color w:val="auto"/>
                <w:kern w:val="0"/>
                <w:sz w:val="24"/>
                <w:highlight w:val="none"/>
                <w:lang w:val="en-US" w:eastAsia="zh-CN"/>
              </w:rPr>
              <w:t>20</w:t>
            </w:r>
            <w:r>
              <w:rPr>
                <w:rFonts w:hint="eastAsia" w:ascii="宋体" w:hAnsi="宋体" w:eastAsia="宋体" w:cs="宋体"/>
                <w:bCs/>
                <w:color w:val="auto"/>
                <w:kern w:val="0"/>
                <w:sz w:val="24"/>
                <w:highlight w:val="none"/>
                <w:lang w:eastAsia="zh-CN"/>
              </w:rPr>
              <w:t>年</w:t>
            </w:r>
            <w:r>
              <w:rPr>
                <w:rFonts w:hint="eastAsia" w:ascii="宋体" w:hAnsi="宋体" w:eastAsia="宋体" w:cs="宋体"/>
                <w:bCs/>
                <w:color w:val="auto"/>
                <w:kern w:val="0"/>
                <w:sz w:val="24"/>
                <w:highlight w:val="none"/>
                <w:lang w:val="en-US" w:eastAsia="zh-CN"/>
              </w:rPr>
              <w:t>11月1日</w:t>
            </w:r>
            <w:r>
              <w:rPr>
                <w:rFonts w:hint="eastAsia" w:ascii="宋体" w:hAnsi="宋体" w:eastAsia="宋体" w:cs="宋体"/>
                <w:bCs/>
                <w:color w:val="auto"/>
                <w:kern w:val="0"/>
                <w:sz w:val="24"/>
                <w:highlight w:val="none"/>
                <w:lang w:eastAsia="zh-CN"/>
              </w:rPr>
              <w:t>至响应文件递交截止之日，具有类似项目业绩的每个得</w:t>
            </w:r>
            <w:r>
              <w:rPr>
                <w:rFonts w:hint="eastAsia" w:ascii="宋体" w:hAnsi="宋体" w:cs="宋体"/>
                <w:bCs/>
                <w:color w:val="auto"/>
                <w:kern w:val="0"/>
                <w:sz w:val="24"/>
                <w:highlight w:val="none"/>
                <w:lang w:val="en-US" w:eastAsia="zh-CN"/>
              </w:rPr>
              <w:t>10</w:t>
            </w:r>
            <w:r>
              <w:rPr>
                <w:rFonts w:hint="eastAsia" w:ascii="宋体" w:hAnsi="宋体" w:eastAsia="宋体" w:cs="宋体"/>
                <w:bCs/>
                <w:color w:val="auto"/>
                <w:kern w:val="0"/>
                <w:sz w:val="24"/>
                <w:highlight w:val="none"/>
                <w:lang w:eastAsia="zh-CN"/>
              </w:rPr>
              <w:t>分，满分</w:t>
            </w:r>
            <w:r>
              <w:rPr>
                <w:rFonts w:hint="eastAsia" w:ascii="宋体" w:hAnsi="宋体" w:cs="宋体"/>
                <w:bCs/>
                <w:color w:val="auto"/>
                <w:kern w:val="0"/>
                <w:sz w:val="24"/>
                <w:highlight w:val="none"/>
                <w:lang w:val="en-US" w:eastAsia="zh-CN"/>
              </w:rPr>
              <w:t>20</w:t>
            </w:r>
            <w:r>
              <w:rPr>
                <w:rFonts w:hint="eastAsia" w:ascii="宋体" w:hAnsi="宋体" w:eastAsia="宋体" w:cs="宋体"/>
                <w:bCs/>
                <w:color w:val="auto"/>
                <w:kern w:val="0"/>
                <w:sz w:val="24"/>
                <w:highlight w:val="none"/>
                <w:lang w:eastAsia="zh-CN"/>
              </w:rPr>
              <w:t>分。（</w:t>
            </w:r>
            <w:r>
              <w:rPr>
                <w:rFonts w:hint="eastAsia" w:ascii="宋体" w:hAnsi="宋体" w:eastAsia="宋体" w:cs="宋体"/>
                <w:bCs/>
                <w:color w:val="auto"/>
                <w:kern w:val="0"/>
                <w:sz w:val="24"/>
                <w:highlight w:val="none"/>
                <w:lang w:val="en-US" w:eastAsia="zh-CN"/>
              </w:rPr>
              <w:t>须</w:t>
            </w:r>
            <w:r>
              <w:rPr>
                <w:rFonts w:hint="eastAsia" w:ascii="宋体" w:hAnsi="宋体" w:eastAsia="宋体" w:cs="宋体"/>
                <w:bCs/>
                <w:color w:val="auto"/>
                <w:kern w:val="0"/>
                <w:sz w:val="24"/>
                <w:highlight w:val="none"/>
                <w:lang w:eastAsia="zh-CN"/>
              </w:rPr>
              <w:t>提供合同或中标（成交）通知书复印件加盖竞标人公章）。</w:t>
            </w:r>
          </w:p>
        </w:tc>
      </w:tr>
      <w:tr w14:paraId="53A5C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4"/>
            <w:tcBorders>
              <w:top w:val="single" w:color="auto" w:sz="4" w:space="0"/>
              <w:left w:val="single" w:color="auto" w:sz="4" w:space="0"/>
              <w:bottom w:val="single" w:color="auto" w:sz="4" w:space="0"/>
              <w:right w:val="single" w:color="auto" w:sz="4" w:space="0"/>
            </w:tcBorders>
            <w:vAlign w:val="center"/>
          </w:tcPr>
          <w:p w14:paraId="223A6C78">
            <w:pPr>
              <w:spacing w:line="360" w:lineRule="auto"/>
              <w:ind w:firstLine="480"/>
              <w:rPr>
                <w:rFonts w:hint="eastAsia" w:ascii="宋体" w:hAnsi="宋体" w:eastAsia="宋体" w:cs="宋体"/>
                <w:bCs/>
                <w:color w:val="auto"/>
                <w:sz w:val="24"/>
                <w:highlight w:val="none"/>
              </w:rPr>
            </w:pPr>
            <w:r>
              <w:rPr>
                <w:rFonts w:hint="eastAsia" w:ascii="宋体" w:hAnsi="宋体" w:eastAsia="宋体" w:cs="宋体"/>
                <w:b/>
                <w:bCs/>
                <w:color w:val="auto"/>
                <w:sz w:val="24"/>
                <w:highlight w:val="none"/>
              </w:rPr>
              <w:t>总得分=1+2+3。</w:t>
            </w:r>
          </w:p>
        </w:tc>
      </w:tr>
    </w:tbl>
    <w:p w14:paraId="60175137">
      <w:pPr>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p>
    <w:p w14:paraId="12E8F370">
      <w:pPr>
        <w:snapToGrid w:val="0"/>
        <w:spacing w:line="360" w:lineRule="auto"/>
        <w:ind w:firstLine="480"/>
        <w:jc w:val="center"/>
        <w:outlineLvl w:val="1"/>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2</w:t>
      </w:r>
      <w:r>
        <w:rPr>
          <w:rFonts w:hint="eastAsia" w:ascii="宋体" w:hAnsi="宋体" w:eastAsia="宋体" w:cs="宋体"/>
          <w:b/>
          <w:color w:val="auto"/>
          <w:sz w:val="24"/>
          <w:highlight w:val="none"/>
        </w:rPr>
        <w:t>分标</w:t>
      </w:r>
    </w:p>
    <w:tbl>
      <w:tblPr>
        <w:tblStyle w:val="29"/>
        <w:tblW w:w="95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4"/>
        <w:gridCol w:w="1479"/>
        <w:gridCol w:w="949"/>
        <w:gridCol w:w="6652"/>
      </w:tblGrid>
      <w:tr w14:paraId="1E375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63" w:type="dxa"/>
            <w:gridSpan w:val="2"/>
            <w:tcBorders>
              <w:top w:val="single" w:color="auto" w:sz="4" w:space="0"/>
              <w:left w:val="single" w:color="auto" w:sz="4" w:space="0"/>
              <w:bottom w:val="single" w:color="auto" w:sz="4" w:space="0"/>
              <w:right w:val="single" w:color="auto" w:sz="4" w:space="0"/>
            </w:tcBorders>
            <w:vAlign w:val="center"/>
          </w:tcPr>
          <w:p w14:paraId="3A2C78C6">
            <w:pPr>
              <w:adjustRightInd w:val="0"/>
              <w:spacing w:line="360" w:lineRule="auto"/>
              <w:jc w:val="center"/>
              <w:textAlignment w:val="baseline"/>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949" w:type="dxa"/>
            <w:tcBorders>
              <w:top w:val="single" w:color="auto" w:sz="4" w:space="0"/>
              <w:left w:val="single" w:color="auto" w:sz="4" w:space="0"/>
              <w:bottom w:val="single" w:color="auto" w:sz="4" w:space="0"/>
              <w:right w:val="single" w:color="auto" w:sz="4" w:space="0"/>
            </w:tcBorders>
            <w:vAlign w:val="center"/>
          </w:tcPr>
          <w:p w14:paraId="5514BC2A">
            <w:pPr>
              <w:adjustRightInd w:val="0"/>
              <w:spacing w:line="360" w:lineRule="auto"/>
              <w:jc w:val="center"/>
              <w:textAlignment w:val="baseline"/>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评审因素</w:t>
            </w:r>
          </w:p>
        </w:tc>
        <w:tc>
          <w:tcPr>
            <w:tcW w:w="6652" w:type="dxa"/>
            <w:tcBorders>
              <w:top w:val="single" w:color="auto" w:sz="4" w:space="0"/>
              <w:left w:val="single" w:color="auto" w:sz="4" w:space="0"/>
              <w:bottom w:val="single" w:color="auto" w:sz="4" w:space="0"/>
              <w:right w:val="single" w:color="auto" w:sz="4" w:space="0"/>
            </w:tcBorders>
            <w:vAlign w:val="center"/>
          </w:tcPr>
          <w:p w14:paraId="46E1A782">
            <w:pPr>
              <w:adjustRightInd w:val="0"/>
              <w:spacing w:line="360" w:lineRule="auto"/>
              <w:jc w:val="center"/>
              <w:textAlignment w:val="baseline"/>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评分标准</w:t>
            </w:r>
          </w:p>
        </w:tc>
      </w:tr>
      <w:tr w14:paraId="6B62C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484" w:type="dxa"/>
            <w:tcBorders>
              <w:top w:val="single" w:color="auto" w:sz="4" w:space="0"/>
              <w:left w:val="single" w:color="auto" w:sz="4" w:space="0"/>
              <w:bottom w:val="single" w:color="auto" w:sz="4" w:space="0"/>
              <w:right w:val="single" w:color="auto" w:sz="4" w:space="0"/>
            </w:tcBorders>
            <w:vAlign w:val="center"/>
          </w:tcPr>
          <w:p w14:paraId="6903A3EA">
            <w:pPr>
              <w:adjustRightInd w:val="0"/>
              <w:spacing w:line="360" w:lineRule="auto"/>
              <w:jc w:val="center"/>
              <w:textAlignment w:val="baseline"/>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w:t>
            </w:r>
          </w:p>
        </w:tc>
        <w:tc>
          <w:tcPr>
            <w:tcW w:w="1479" w:type="dxa"/>
            <w:tcBorders>
              <w:top w:val="single" w:color="auto" w:sz="4" w:space="0"/>
              <w:left w:val="single" w:color="auto" w:sz="4" w:space="0"/>
              <w:bottom w:val="single" w:color="auto" w:sz="4" w:space="0"/>
              <w:right w:val="single" w:color="auto" w:sz="4" w:space="0"/>
            </w:tcBorders>
            <w:vAlign w:val="center"/>
          </w:tcPr>
          <w:p w14:paraId="589109B8">
            <w:pPr>
              <w:adjustRightInd w:val="0"/>
              <w:spacing w:line="360" w:lineRule="auto"/>
              <w:jc w:val="center"/>
              <w:textAlignment w:val="baseline"/>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价格分</w:t>
            </w:r>
          </w:p>
          <w:p w14:paraId="173D4E03">
            <w:pPr>
              <w:adjustRightInd w:val="0"/>
              <w:spacing w:line="360" w:lineRule="auto"/>
              <w:jc w:val="center"/>
              <w:textAlignment w:val="baseline"/>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（满分</w:t>
            </w:r>
            <w:r>
              <w:rPr>
                <w:rFonts w:hint="eastAsia" w:ascii="宋体" w:hAnsi="宋体" w:cs="宋体"/>
                <w:b/>
                <w:color w:val="auto"/>
                <w:sz w:val="24"/>
                <w:highlight w:val="none"/>
                <w:lang w:val="en-US" w:eastAsia="zh-CN"/>
              </w:rPr>
              <w:t>10</w:t>
            </w:r>
            <w:r>
              <w:rPr>
                <w:rFonts w:hint="eastAsia" w:ascii="宋体" w:hAnsi="宋体" w:eastAsia="宋体" w:cs="宋体"/>
                <w:b/>
                <w:color w:val="auto"/>
                <w:sz w:val="24"/>
                <w:highlight w:val="none"/>
              </w:rPr>
              <w:t>分）</w:t>
            </w:r>
          </w:p>
        </w:tc>
        <w:tc>
          <w:tcPr>
            <w:tcW w:w="949" w:type="dxa"/>
            <w:tcBorders>
              <w:top w:val="single" w:color="auto" w:sz="4" w:space="0"/>
              <w:left w:val="single" w:color="auto" w:sz="4" w:space="0"/>
              <w:bottom w:val="single" w:color="auto" w:sz="4" w:space="0"/>
              <w:right w:val="single" w:color="auto" w:sz="4" w:space="0"/>
            </w:tcBorders>
            <w:vAlign w:val="center"/>
          </w:tcPr>
          <w:p w14:paraId="03EA5FFD">
            <w:pPr>
              <w:adjustRightInd w:val="0"/>
              <w:spacing w:line="360" w:lineRule="auto"/>
              <w:jc w:val="center"/>
              <w:textAlignment w:val="baseline"/>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磋商报价</w:t>
            </w:r>
          </w:p>
        </w:tc>
        <w:tc>
          <w:tcPr>
            <w:tcW w:w="6652" w:type="dxa"/>
            <w:tcBorders>
              <w:top w:val="single" w:color="auto" w:sz="4" w:space="0"/>
              <w:left w:val="single" w:color="auto" w:sz="4" w:space="0"/>
              <w:bottom w:val="single" w:color="auto" w:sz="4" w:space="0"/>
              <w:right w:val="single" w:color="auto" w:sz="4" w:space="0"/>
            </w:tcBorders>
            <w:vAlign w:val="center"/>
          </w:tcPr>
          <w:p w14:paraId="21079541">
            <w:pPr>
              <w:spacing w:line="360" w:lineRule="auto"/>
              <w:ind w:firstLine="482"/>
              <w:rPr>
                <w:rFonts w:hint="eastAsia" w:ascii="宋体" w:hAnsi="宋体" w:eastAsia="宋体" w:cs="宋体"/>
                <w:b/>
                <w:bCs w:val="0"/>
                <w:color w:val="auto"/>
                <w:sz w:val="24"/>
                <w:highlight w:val="none"/>
              </w:rPr>
            </w:pPr>
            <w:r>
              <w:rPr>
                <w:rFonts w:hint="eastAsia" w:ascii="宋体" w:hAnsi="宋体" w:eastAsia="宋体" w:cs="宋体"/>
                <w:b/>
                <w:bCs w:val="0"/>
                <w:color w:val="auto"/>
                <w:sz w:val="24"/>
                <w:highlight w:val="none"/>
                <w:lang w:eastAsia="zh-CN"/>
              </w:rPr>
              <w:t>□</w:t>
            </w:r>
            <w:r>
              <w:rPr>
                <w:rFonts w:hint="eastAsia" w:ascii="宋体" w:hAnsi="宋体" w:eastAsia="宋体" w:cs="宋体"/>
                <w:b/>
                <w:bCs w:val="0"/>
                <w:color w:val="auto"/>
                <w:sz w:val="24"/>
                <w:highlight w:val="none"/>
              </w:rPr>
              <w:t>本项目为专门面</w:t>
            </w:r>
            <w:r>
              <w:rPr>
                <w:rFonts w:hint="eastAsia" w:ascii="宋体" w:hAnsi="宋体" w:eastAsia="宋体" w:cs="宋体"/>
                <w:b/>
                <w:bCs w:val="0"/>
                <w:color w:val="auto"/>
                <w:sz w:val="24"/>
                <w:highlight w:val="none"/>
                <w:lang w:val="en-US" w:eastAsia="zh-CN"/>
              </w:rPr>
              <w:t>向</w:t>
            </w:r>
            <w:r>
              <w:rPr>
                <w:rFonts w:hint="eastAsia" w:ascii="宋体" w:hAnsi="宋体" w:eastAsia="宋体" w:cs="宋体"/>
                <w:b/>
                <w:bCs w:val="0"/>
                <w:color w:val="auto"/>
                <w:sz w:val="24"/>
                <w:highlight w:val="none"/>
              </w:rPr>
              <w:t>中小企业采购项目，小型企业、微型企业、监狱企业、残疾人福利性单位均不再执行价格评审优惠的扶持政策。</w:t>
            </w:r>
          </w:p>
          <w:p w14:paraId="669297C8">
            <w:pPr>
              <w:spacing w:line="360" w:lineRule="auto"/>
              <w:ind w:firstLine="482"/>
              <w:rPr>
                <w:rFonts w:hint="eastAsia" w:ascii="宋体" w:hAnsi="宋体" w:eastAsia="宋体" w:cs="宋体"/>
                <w:bCs/>
                <w:color w:val="auto"/>
                <w:sz w:val="24"/>
                <w:highlight w:val="none"/>
              </w:rPr>
            </w:pPr>
            <w:r>
              <w:rPr>
                <w:rFonts w:hint="eastAsia" w:ascii="宋体" w:hAnsi="宋体" w:eastAsia="宋体" w:cs="宋体"/>
                <w:b/>
                <w:bCs w:val="0"/>
                <w:color w:val="auto"/>
                <w:sz w:val="24"/>
                <w:highlight w:val="none"/>
                <w:lang w:eastAsia="zh-CN"/>
              </w:rPr>
              <w:t>☑</w:t>
            </w:r>
            <w:r>
              <w:rPr>
                <w:rFonts w:hint="eastAsia" w:ascii="宋体" w:hAnsi="宋体" w:eastAsia="宋体" w:cs="宋体"/>
                <w:b/>
                <w:bCs w:val="0"/>
                <w:color w:val="auto"/>
                <w:sz w:val="24"/>
                <w:highlight w:val="none"/>
              </w:rPr>
              <w:t>本项目为非专门面向中小企业采购项目（政府采购政策性扣除计算方法）</w:t>
            </w:r>
            <w:r>
              <w:rPr>
                <w:rFonts w:hint="eastAsia" w:ascii="宋体" w:hAnsi="宋体" w:eastAsia="宋体" w:cs="宋体"/>
                <w:bCs/>
                <w:color w:val="auto"/>
                <w:sz w:val="24"/>
                <w:highlight w:val="none"/>
              </w:rPr>
              <w:t>：</w:t>
            </w:r>
          </w:p>
          <w:p w14:paraId="51F9E32F">
            <w:pPr>
              <w:spacing w:line="360" w:lineRule="auto"/>
              <w:ind w:firstLine="482"/>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1.评审报价为供应商的最后报价进行政策性扣除后的价格，评审报价只是作为评审时使用。最终成交供应商的成交金额等于最后报价（如有修正，以确认修正后的最后报价为准）。</w:t>
            </w:r>
          </w:p>
          <w:p w14:paraId="5E6E29E9">
            <w:pPr>
              <w:spacing w:line="360" w:lineRule="auto"/>
              <w:ind w:firstLine="482"/>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2.政府采购政策性扣除计算方法</w:t>
            </w:r>
          </w:p>
          <w:p w14:paraId="22CA675A">
            <w:pPr>
              <w:spacing w:line="360" w:lineRule="auto"/>
              <w:ind w:firstLine="482"/>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（1）按照《政府采购促进中小企业发展管理办法》（财库〔2020〕46号）的规定，供应商在其响应文件中提供《中小企业声明函》，且其服务为小型和微型企业承接的，对其最后报价给予</w:t>
            </w:r>
            <w:r>
              <w:rPr>
                <w:rFonts w:hint="eastAsia" w:ascii="宋体" w:hAnsi="宋体" w:eastAsia="宋体" w:cs="宋体"/>
                <w:bCs/>
                <w:color w:val="auto"/>
                <w:sz w:val="24"/>
                <w:highlight w:val="none"/>
                <w:lang w:val="en-US" w:eastAsia="zh-CN"/>
              </w:rPr>
              <w:t>1</w:t>
            </w:r>
            <w:r>
              <w:rPr>
                <w:rFonts w:hint="eastAsia" w:ascii="宋体" w:hAnsi="宋体" w:eastAsia="宋体" w:cs="宋体"/>
                <w:bCs/>
                <w:color w:val="auto"/>
                <w:sz w:val="24"/>
                <w:highlight w:val="none"/>
              </w:rPr>
              <w:t>0%的扣除。</w:t>
            </w:r>
          </w:p>
          <w:p w14:paraId="1557D5F5">
            <w:pPr>
              <w:spacing w:line="360" w:lineRule="auto"/>
              <w:ind w:firstLine="482"/>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33487B81">
            <w:pPr>
              <w:spacing w:line="360" w:lineRule="auto"/>
              <w:ind w:firstLine="482"/>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22FDA7B0">
            <w:pPr>
              <w:spacing w:line="360" w:lineRule="auto"/>
              <w:ind w:firstLine="482"/>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（4）政策性扣除计算方法。</w:t>
            </w:r>
          </w:p>
          <w:p w14:paraId="4950F18E">
            <w:pPr>
              <w:spacing w:line="360" w:lineRule="auto"/>
              <w:ind w:firstLine="482"/>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在服务采购项目中，服务由小微企业承接；对符合上述要求的供应商的响应报价给予</w:t>
            </w:r>
            <w:r>
              <w:rPr>
                <w:rFonts w:hint="eastAsia" w:ascii="宋体" w:hAnsi="宋体" w:eastAsia="宋体" w:cs="宋体"/>
                <w:bCs/>
                <w:color w:val="auto"/>
                <w:sz w:val="24"/>
                <w:highlight w:val="none"/>
                <w:lang w:val="en-US" w:eastAsia="zh-CN"/>
              </w:rPr>
              <w:t>1</w:t>
            </w:r>
            <w:r>
              <w:rPr>
                <w:rFonts w:hint="eastAsia" w:ascii="宋体" w:hAnsi="宋体" w:eastAsia="宋体" w:cs="宋体"/>
                <w:bCs/>
                <w:color w:val="auto"/>
                <w:sz w:val="24"/>
                <w:highlight w:val="none"/>
              </w:rPr>
              <w:t>0%的扣除，扣除后的价格为评审报价，即评审报价=响应报价×（1-</w:t>
            </w:r>
            <w:r>
              <w:rPr>
                <w:rFonts w:hint="eastAsia" w:ascii="宋体" w:hAnsi="宋体" w:eastAsia="宋体" w:cs="宋体"/>
                <w:bCs/>
                <w:color w:val="auto"/>
                <w:sz w:val="24"/>
                <w:highlight w:val="none"/>
                <w:lang w:val="en-US" w:eastAsia="zh-CN"/>
              </w:rPr>
              <w:t>1</w:t>
            </w:r>
            <w:r>
              <w:rPr>
                <w:rFonts w:hint="eastAsia" w:ascii="宋体" w:hAnsi="宋体" w:eastAsia="宋体" w:cs="宋体"/>
                <w:bCs/>
                <w:color w:val="auto"/>
                <w:sz w:val="24"/>
                <w:highlight w:val="none"/>
              </w:rPr>
              <w:t>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w:t>
            </w:r>
            <w:r>
              <w:rPr>
                <w:rFonts w:hint="eastAsia" w:ascii="宋体" w:hAnsi="宋体" w:eastAsia="宋体" w:cs="宋体"/>
                <w:bCs/>
                <w:color w:val="auto"/>
                <w:sz w:val="24"/>
                <w:highlight w:val="none"/>
                <w:lang w:val="en-US" w:eastAsia="zh-CN"/>
              </w:rPr>
              <w:t>5</w:t>
            </w:r>
            <w:r>
              <w:rPr>
                <w:rFonts w:hint="eastAsia" w:ascii="宋体" w:hAnsi="宋体" w:eastAsia="宋体" w:cs="宋体"/>
                <w:bCs/>
                <w:color w:val="auto"/>
                <w:sz w:val="24"/>
                <w:highlight w:val="none"/>
              </w:rPr>
              <w:t>%的扣除，用扣除后的价格参加评审，扣除后的价格为评审报价，即评审报价=响应报价×（1-</w:t>
            </w:r>
            <w:r>
              <w:rPr>
                <w:rFonts w:hint="eastAsia" w:ascii="宋体" w:hAnsi="宋体" w:eastAsia="宋体" w:cs="宋体"/>
                <w:bCs/>
                <w:color w:val="auto"/>
                <w:sz w:val="24"/>
                <w:highlight w:val="none"/>
                <w:lang w:val="en-US" w:eastAsia="zh-CN"/>
              </w:rPr>
              <w:t>5</w:t>
            </w:r>
            <w:r>
              <w:rPr>
                <w:rFonts w:hint="eastAsia" w:ascii="宋体" w:hAnsi="宋体" w:eastAsia="宋体" w:cs="宋体"/>
                <w:bCs/>
                <w:color w:val="auto"/>
                <w:sz w:val="24"/>
                <w:highlight w:val="none"/>
              </w:rPr>
              <w:t>%）。除上述情况外，评审报价=响应报价。</w:t>
            </w:r>
          </w:p>
          <w:p w14:paraId="0A5982C9">
            <w:pPr>
              <w:spacing w:line="360" w:lineRule="auto"/>
              <w:ind w:firstLine="482"/>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（5）以进入比较与评价环节的最低的评审报价为基准价。</w:t>
            </w:r>
          </w:p>
          <w:p w14:paraId="058C0046">
            <w:pPr>
              <w:spacing w:line="360" w:lineRule="auto"/>
              <w:ind w:firstLine="482"/>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（6）价格分计算公式：</w:t>
            </w:r>
          </w:p>
          <w:p w14:paraId="530A6445">
            <w:pPr>
              <w:spacing w:line="360" w:lineRule="auto"/>
              <w:ind w:firstLine="482" w:firstLineChars="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报价得分=（基准价/最后报价）×</w:t>
            </w:r>
            <w:r>
              <w:rPr>
                <w:rFonts w:hint="eastAsia" w:ascii="宋体" w:hAnsi="宋体" w:cs="宋体"/>
                <w:bCs/>
                <w:color w:val="auto"/>
                <w:sz w:val="24"/>
                <w:highlight w:val="none"/>
                <w:lang w:val="en-US" w:eastAsia="zh-CN"/>
              </w:rPr>
              <w:t>1</w:t>
            </w:r>
            <w:r>
              <w:rPr>
                <w:rFonts w:hint="eastAsia" w:ascii="宋体" w:hAnsi="宋体" w:eastAsia="宋体" w:cs="宋体"/>
                <w:bCs/>
                <w:color w:val="auto"/>
                <w:sz w:val="24"/>
                <w:highlight w:val="none"/>
                <w:lang w:val="en-US" w:eastAsia="zh-CN"/>
              </w:rPr>
              <w:t>0</w:t>
            </w:r>
            <w:r>
              <w:rPr>
                <w:rFonts w:hint="eastAsia" w:ascii="宋体" w:hAnsi="宋体" w:eastAsia="宋体" w:cs="宋体"/>
                <w:bCs/>
                <w:color w:val="auto"/>
                <w:sz w:val="24"/>
                <w:highlight w:val="none"/>
              </w:rPr>
              <w:t>分</w:t>
            </w:r>
          </w:p>
        </w:tc>
      </w:tr>
      <w:tr w14:paraId="3D060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484" w:type="dxa"/>
            <w:tcBorders>
              <w:top w:val="single" w:color="auto" w:sz="4" w:space="0"/>
              <w:left w:val="single" w:color="auto" w:sz="4" w:space="0"/>
              <w:bottom w:val="single" w:color="auto" w:sz="4" w:space="0"/>
              <w:right w:val="single" w:color="auto" w:sz="4" w:space="0"/>
            </w:tcBorders>
            <w:vAlign w:val="center"/>
          </w:tcPr>
          <w:p w14:paraId="7C59FDBD">
            <w:pPr>
              <w:adjustRightInd w:val="0"/>
              <w:spacing w:line="360" w:lineRule="auto"/>
              <w:jc w:val="center"/>
              <w:textAlignment w:val="baseline"/>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w:t>
            </w:r>
          </w:p>
        </w:tc>
        <w:tc>
          <w:tcPr>
            <w:tcW w:w="1479" w:type="dxa"/>
            <w:tcBorders>
              <w:top w:val="single" w:color="auto" w:sz="4" w:space="0"/>
              <w:left w:val="single" w:color="auto" w:sz="4" w:space="0"/>
              <w:bottom w:val="single" w:color="auto" w:sz="4" w:space="0"/>
              <w:right w:val="single" w:color="auto" w:sz="4" w:space="0"/>
            </w:tcBorders>
            <w:vAlign w:val="center"/>
          </w:tcPr>
          <w:p w14:paraId="3DB1A8F3">
            <w:pPr>
              <w:adjustRightInd w:val="0"/>
              <w:spacing w:line="360" w:lineRule="auto"/>
              <w:jc w:val="center"/>
              <w:textAlignment w:val="baseline"/>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技术分</w:t>
            </w:r>
          </w:p>
          <w:p w14:paraId="020ED95E">
            <w:pPr>
              <w:adjustRightInd w:val="0"/>
              <w:spacing w:line="360" w:lineRule="auto"/>
              <w:jc w:val="center"/>
              <w:textAlignment w:val="baseline"/>
              <w:rPr>
                <w:rFonts w:hint="eastAsia" w:ascii="宋体" w:hAnsi="宋体" w:eastAsia="宋体" w:cs="宋体"/>
                <w:b/>
                <w:color w:val="auto"/>
                <w:sz w:val="24"/>
                <w:highlight w:val="none"/>
              </w:rPr>
            </w:pPr>
            <w:r>
              <w:rPr>
                <w:rFonts w:hint="eastAsia" w:ascii="宋体" w:hAnsi="宋体" w:eastAsia="宋体" w:cs="宋体"/>
                <w:b/>
                <w:color w:val="auto"/>
                <w:sz w:val="24"/>
                <w:highlight w:val="none"/>
              </w:rPr>
              <w:t>（</w:t>
            </w:r>
            <w:r>
              <w:rPr>
                <w:rFonts w:hint="eastAsia" w:ascii="宋体" w:hAnsi="宋体" w:cs="宋体"/>
                <w:b/>
                <w:color w:val="auto"/>
                <w:sz w:val="24"/>
                <w:highlight w:val="none"/>
                <w:lang w:val="en-US" w:eastAsia="zh-CN"/>
              </w:rPr>
              <w:t>70</w:t>
            </w:r>
            <w:r>
              <w:rPr>
                <w:rFonts w:hint="eastAsia" w:ascii="宋体" w:hAnsi="宋体" w:eastAsia="宋体" w:cs="宋体"/>
                <w:b/>
                <w:color w:val="auto"/>
                <w:sz w:val="24"/>
                <w:highlight w:val="none"/>
              </w:rPr>
              <w:t>分）</w:t>
            </w:r>
          </w:p>
        </w:tc>
        <w:tc>
          <w:tcPr>
            <w:tcW w:w="7601" w:type="dxa"/>
            <w:gridSpan w:val="2"/>
            <w:tcBorders>
              <w:top w:val="single" w:color="auto" w:sz="4" w:space="0"/>
              <w:left w:val="single" w:color="auto" w:sz="4" w:space="0"/>
              <w:bottom w:val="single" w:color="auto" w:sz="4" w:space="0"/>
              <w:right w:val="single" w:color="auto" w:sz="4" w:space="0"/>
            </w:tcBorders>
            <w:vAlign w:val="center"/>
          </w:tcPr>
          <w:p w14:paraId="2A2D2C90">
            <w:pPr>
              <w:spacing w:line="360" w:lineRule="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（1）</w:t>
            </w:r>
            <w:r>
              <w:rPr>
                <w:rFonts w:hint="eastAsia" w:ascii="宋体" w:hAnsi="宋体" w:eastAsia="宋体" w:cs="宋体"/>
                <w:b/>
                <w:bCs/>
                <w:color w:val="auto"/>
                <w:sz w:val="24"/>
                <w:highlight w:val="none"/>
                <w:lang w:eastAsia="zh-CN"/>
              </w:rPr>
              <w:t>设计方案分</w:t>
            </w:r>
            <w:r>
              <w:rPr>
                <w:rFonts w:hint="eastAsia" w:ascii="宋体" w:hAnsi="宋体" w:eastAsia="宋体" w:cs="宋体"/>
                <w:b/>
                <w:bCs/>
                <w:color w:val="auto"/>
                <w:sz w:val="24"/>
                <w:highlight w:val="none"/>
              </w:rPr>
              <w:t>（满分</w:t>
            </w:r>
            <w:r>
              <w:rPr>
                <w:rFonts w:hint="eastAsia" w:ascii="宋体" w:hAnsi="宋体" w:eastAsia="宋体" w:cs="宋体"/>
                <w:b/>
                <w:bCs/>
                <w:color w:val="auto"/>
                <w:sz w:val="24"/>
                <w:highlight w:val="none"/>
                <w:lang w:val="en-US" w:eastAsia="zh-CN"/>
              </w:rPr>
              <w:t>40</w:t>
            </w:r>
            <w:r>
              <w:rPr>
                <w:rFonts w:hint="eastAsia" w:ascii="宋体" w:hAnsi="宋体" w:eastAsia="宋体" w:cs="宋体"/>
                <w:b/>
                <w:bCs/>
                <w:color w:val="auto"/>
                <w:sz w:val="24"/>
                <w:highlight w:val="none"/>
              </w:rPr>
              <w:t>分）</w:t>
            </w:r>
          </w:p>
          <w:p w14:paraId="137D6CE6">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针对</w:t>
            </w:r>
            <w:r>
              <w:rPr>
                <w:rFonts w:hint="eastAsia" w:ascii="宋体" w:hAnsi="宋体" w:eastAsia="宋体" w:cs="宋体"/>
                <w:i w:val="0"/>
                <w:iCs w:val="0"/>
                <w:caps w:val="0"/>
                <w:color w:val="auto"/>
                <w:spacing w:val="0"/>
                <w:sz w:val="24"/>
                <w:szCs w:val="24"/>
                <w:highlight w:val="none"/>
                <w:shd w:val="clear" w:fill="FFFFFF"/>
              </w:rPr>
              <w:t>本项目沿旧路布线、施工图安全评价与咨询审查协同的特征</w:t>
            </w:r>
            <w:r>
              <w:rPr>
                <w:rFonts w:hint="eastAsia" w:ascii="宋体" w:hAnsi="宋体" w:eastAsia="宋体" w:cs="宋体"/>
                <w:i w:val="0"/>
                <w:iCs w:val="0"/>
                <w:caps w:val="0"/>
                <w:color w:val="auto"/>
                <w:spacing w:val="0"/>
                <w:sz w:val="24"/>
                <w:szCs w:val="24"/>
                <w:highlight w:val="none"/>
                <w:shd w:val="clear" w:fill="FFFFFF"/>
                <w:lang w:eastAsia="zh-CN"/>
              </w:rPr>
              <w:t>，</w:t>
            </w:r>
            <w:r>
              <w:rPr>
                <w:rFonts w:hint="eastAsia" w:ascii="宋体" w:hAnsi="宋体" w:eastAsia="宋体" w:cs="宋体"/>
                <w:color w:val="auto"/>
                <w:sz w:val="24"/>
                <w:highlight w:val="none"/>
                <w:lang w:val="en-US" w:eastAsia="zh-CN"/>
              </w:rPr>
              <w:t>供应商需提供设计工作大纲，内容包括设计重点、难点分析；设计质量目标控制；设计进度目标控制；设计投资目标控制等。</w:t>
            </w:r>
          </w:p>
          <w:p w14:paraId="545529A8">
            <w:pPr>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一档（10分）：提交的设计工作大纲不完整，设计重点、难点分析不到位；控制目标不够明确，控制方法可行性较差。</w:t>
            </w:r>
          </w:p>
          <w:p w14:paraId="737D5518">
            <w:pPr>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二档（25分）：提交的设计工作大纲基本完整，设计重点、难点分析基本到位；控制目标不够明确，控制方法基本合理。</w:t>
            </w:r>
          </w:p>
          <w:p w14:paraId="7FD554CA">
            <w:pPr>
              <w:spacing w:line="360" w:lineRule="auto"/>
              <w:rPr>
                <w:rFonts w:hint="eastAsia" w:ascii="宋体" w:hAnsi="宋体" w:eastAsia="宋体" w:cs="宋体"/>
                <w:b/>
                <w:bCs/>
                <w:color w:val="auto"/>
                <w:sz w:val="24"/>
                <w:highlight w:val="none"/>
                <w:lang w:val="en-US" w:eastAsia="zh-CN"/>
              </w:rPr>
            </w:pPr>
            <w:r>
              <w:rPr>
                <w:rFonts w:hint="eastAsia" w:ascii="宋体" w:hAnsi="宋体" w:eastAsia="宋体" w:cs="宋体"/>
                <w:color w:val="auto"/>
                <w:sz w:val="24"/>
                <w:highlight w:val="none"/>
                <w:lang w:val="en-US" w:eastAsia="zh-CN"/>
              </w:rPr>
              <w:t>三档（40分）：提交的设计工作大纲较完整，设计重点、难点分析全面到位；控制目标明确，控制方法可行性高。</w:t>
            </w:r>
          </w:p>
          <w:p w14:paraId="62102CDE">
            <w:pPr>
              <w:spacing w:line="360" w:lineRule="auto"/>
              <w:rPr>
                <w:rFonts w:hint="eastAsia" w:ascii="宋体" w:hAnsi="宋体" w:eastAsia="宋体" w:cs="宋体"/>
                <w:color w:val="auto"/>
                <w:sz w:val="24"/>
                <w:highlight w:val="none"/>
              </w:rPr>
            </w:pPr>
            <w:r>
              <w:rPr>
                <w:rFonts w:hint="eastAsia" w:ascii="宋体" w:hAnsi="宋体" w:eastAsia="宋体" w:cs="宋体"/>
                <w:b/>
                <w:bCs/>
                <w:color w:val="auto"/>
                <w:sz w:val="24"/>
                <w:highlight w:val="none"/>
                <w:lang w:val="en-US" w:eastAsia="zh-CN"/>
              </w:rPr>
              <w:t>（2）</w:t>
            </w:r>
            <w:r>
              <w:rPr>
                <w:rFonts w:hint="eastAsia" w:ascii="宋体" w:hAnsi="宋体" w:eastAsia="宋体" w:cs="宋体"/>
                <w:b/>
                <w:bCs/>
                <w:color w:val="auto"/>
                <w:sz w:val="24"/>
                <w:highlight w:val="none"/>
              </w:rPr>
              <w:t>服务方案（满分</w:t>
            </w:r>
            <w:r>
              <w:rPr>
                <w:rFonts w:hint="eastAsia" w:ascii="宋体" w:hAnsi="宋体" w:eastAsia="宋体" w:cs="宋体"/>
                <w:b/>
                <w:bCs/>
                <w:color w:val="auto"/>
                <w:sz w:val="24"/>
                <w:highlight w:val="none"/>
                <w:lang w:val="en-US" w:eastAsia="zh-CN"/>
              </w:rPr>
              <w:t>10</w:t>
            </w:r>
            <w:r>
              <w:rPr>
                <w:rFonts w:hint="eastAsia" w:ascii="宋体" w:hAnsi="宋体" w:eastAsia="宋体" w:cs="宋体"/>
                <w:b/>
                <w:bCs/>
                <w:color w:val="auto"/>
                <w:sz w:val="24"/>
                <w:highlight w:val="none"/>
              </w:rPr>
              <w:t>分）</w:t>
            </w:r>
          </w:p>
          <w:p w14:paraId="1D37BD36">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一档</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分）</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服务方案简单或基本合理、可行，组织实施简单、表述清晰但</w:t>
            </w:r>
            <w:r>
              <w:rPr>
                <w:rFonts w:hint="eastAsia" w:ascii="宋体" w:hAnsi="宋体" w:eastAsia="宋体" w:cs="宋体"/>
                <w:color w:val="auto"/>
                <w:sz w:val="24"/>
                <w:highlight w:val="none"/>
                <w:lang w:val="en-US" w:eastAsia="zh-CN"/>
              </w:rPr>
              <w:t>没有针对</w:t>
            </w:r>
            <w:r>
              <w:rPr>
                <w:rFonts w:hint="eastAsia" w:ascii="宋体" w:hAnsi="宋体" w:eastAsia="宋体" w:cs="宋体"/>
                <w:color w:val="auto"/>
                <w:sz w:val="24"/>
                <w:highlight w:val="none"/>
              </w:rPr>
              <w:t>性，质量保障能力一般，提出方案完整但是措施保证性不强；</w:t>
            </w:r>
          </w:p>
          <w:p w14:paraId="15E8F304">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二档</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分)</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服务方案满足采购文件要求，方案比较细致、合理、可行，保障响应措施到位，有一定的服务经验，整体服务承诺较好、组织实施较详细，质量保障能力较好；</w:t>
            </w:r>
          </w:p>
          <w:p w14:paraId="194CA50F">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三档</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10</w:t>
            </w:r>
            <w:r>
              <w:rPr>
                <w:rFonts w:hint="eastAsia" w:ascii="宋体" w:hAnsi="宋体" w:eastAsia="宋体" w:cs="宋体"/>
                <w:color w:val="auto"/>
                <w:sz w:val="24"/>
                <w:highlight w:val="none"/>
              </w:rPr>
              <w:t>分）：服务方案优于采购文件要求且细致、合理、可行，保障响应措施较有力，表述清晰、完整，能够针对项目实际情况进行表述，服务经验较丰富，整体服务承诺优秀、组织实施严谨详细，整体服务措施优于项目要求，提出方案完整且能够提出具体措施保证方案顺利实施。</w:t>
            </w:r>
          </w:p>
          <w:p w14:paraId="01943482">
            <w:pPr>
              <w:spacing w:line="360" w:lineRule="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lang w:val="en-US" w:eastAsia="zh-CN"/>
              </w:rPr>
              <w:t>3</w:t>
            </w:r>
            <w:r>
              <w:rPr>
                <w:rFonts w:hint="eastAsia" w:ascii="宋体" w:hAnsi="宋体" w:eastAsia="宋体" w:cs="宋体"/>
                <w:b/>
                <w:bCs/>
                <w:color w:val="auto"/>
                <w:sz w:val="24"/>
                <w:highlight w:val="none"/>
              </w:rPr>
              <w:t>）服务团队（满分</w:t>
            </w:r>
            <w:r>
              <w:rPr>
                <w:rFonts w:hint="eastAsia" w:ascii="宋体" w:hAnsi="宋体" w:cs="宋体"/>
                <w:b/>
                <w:bCs/>
                <w:color w:val="auto"/>
                <w:sz w:val="24"/>
                <w:highlight w:val="none"/>
                <w:lang w:val="en-US" w:eastAsia="zh-CN"/>
              </w:rPr>
              <w:t>20</w:t>
            </w:r>
            <w:r>
              <w:rPr>
                <w:rFonts w:hint="eastAsia" w:ascii="宋体" w:hAnsi="宋体" w:eastAsia="宋体" w:cs="宋体"/>
                <w:b/>
                <w:bCs/>
                <w:color w:val="auto"/>
                <w:sz w:val="24"/>
                <w:highlight w:val="none"/>
              </w:rPr>
              <w:t>分）</w:t>
            </w:r>
          </w:p>
          <w:p w14:paraId="6541BAEB">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 1 \* GB3 \* MERGEFORMAT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①</w:t>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t>拟派的项目负责人具有工程师职称的得1分；具有高级工程师职称</w:t>
            </w:r>
            <w:r>
              <w:rPr>
                <w:rFonts w:hint="eastAsia" w:ascii="宋体" w:hAnsi="宋体" w:eastAsia="宋体" w:cs="宋体"/>
                <w:color w:val="auto"/>
                <w:sz w:val="24"/>
                <w:highlight w:val="none"/>
                <w:lang w:eastAsia="zh-CN"/>
              </w:rPr>
              <w:t>及</w:t>
            </w:r>
            <w:r>
              <w:rPr>
                <w:rFonts w:hint="eastAsia" w:ascii="宋体" w:hAnsi="宋体" w:eastAsia="宋体" w:cs="宋体"/>
                <w:color w:val="auto"/>
                <w:sz w:val="24"/>
                <w:highlight w:val="none"/>
              </w:rPr>
              <w:t>以上职称的得3分，同时具有注册土木工程师（道路工程）</w:t>
            </w:r>
            <w:r>
              <w:rPr>
                <w:rFonts w:hint="eastAsia" w:ascii="宋体" w:hAnsi="宋体" w:cs="宋体"/>
                <w:color w:val="auto"/>
                <w:sz w:val="24"/>
                <w:highlight w:val="none"/>
                <w:lang w:val="en-US" w:eastAsia="zh-CN"/>
              </w:rPr>
              <w:t>资格</w:t>
            </w:r>
            <w:r>
              <w:rPr>
                <w:rFonts w:hint="eastAsia" w:ascii="宋体" w:hAnsi="宋体" w:eastAsia="宋体" w:cs="宋体"/>
                <w:color w:val="auto"/>
                <w:sz w:val="24"/>
                <w:highlight w:val="none"/>
                <w:lang w:val="en-US" w:eastAsia="zh-CN"/>
              </w:rPr>
              <w:t>证书</w:t>
            </w:r>
            <w:r>
              <w:rPr>
                <w:rFonts w:hint="eastAsia" w:ascii="宋体" w:hAnsi="宋体" w:eastAsia="宋体" w:cs="宋体"/>
                <w:color w:val="auto"/>
                <w:sz w:val="24"/>
                <w:highlight w:val="none"/>
              </w:rPr>
              <w:t>的得</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分，本项满分为5分。</w:t>
            </w:r>
          </w:p>
          <w:p w14:paraId="677B857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rPr>
            </w:pPr>
            <w:r>
              <w:rPr>
                <w:rFonts w:hint="eastAsia" w:ascii="微软雅黑" w:hAnsi="微软雅黑" w:eastAsia="微软雅黑" w:cs="微软雅黑"/>
                <w:color w:val="auto"/>
                <w:sz w:val="24"/>
                <w:highlight w:val="none"/>
              </w:rPr>
              <w:t>②</w:t>
            </w:r>
            <w:r>
              <w:rPr>
                <w:rFonts w:hint="eastAsia" w:ascii="宋体" w:hAnsi="宋体" w:eastAsia="宋体" w:cs="宋体"/>
                <w:color w:val="auto"/>
                <w:sz w:val="24"/>
                <w:highlight w:val="none"/>
              </w:rPr>
              <w:t>除项目负责人，拟派的技术人员具有</w:t>
            </w:r>
            <w:r>
              <w:rPr>
                <w:rFonts w:hint="eastAsia" w:ascii="宋体" w:hAnsi="宋体" w:eastAsia="宋体" w:cs="宋体"/>
                <w:color w:val="auto"/>
                <w:sz w:val="24"/>
                <w:highlight w:val="none"/>
                <w:lang w:eastAsia="zh-CN"/>
              </w:rPr>
              <w:t>工程师职称的每</w:t>
            </w:r>
            <w:r>
              <w:rPr>
                <w:rFonts w:hint="eastAsia" w:ascii="宋体" w:hAnsi="宋体" w:eastAsia="宋体" w:cs="宋体"/>
                <w:color w:val="auto"/>
                <w:sz w:val="24"/>
                <w:highlight w:val="none"/>
                <w:lang w:val="en-US" w:eastAsia="zh-CN"/>
              </w:rPr>
              <w:t>人</w:t>
            </w:r>
            <w:r>
              <w:rPr>
                <w:rFonts w:hint="eastAsia" w:ascii="宋体" w:hAnsi="宋体" w:eastAsia="宋体" w:cs="宋体"/>
                <w:color w:val="auto"/>
                <w:sz w:val="24"/>
                <w:highlight w:val="none"/>
                <w:lang w:eastAsia="zh-CN"/>
              </w:rPr>
              <w:t>得</w:t>
            </w:r>
            <w:r>
              <w:rPr>
                <w:rFonts w:hint="eastAsia" w:ascii="宋体" w:hAnsi="宋体" w:eastAsia="宋体" w:cs="宋体"/>
                <w:color w:val="auto"/>
                <w:sz w:val="24"/>
                <w:highlight w:val="none"/>
                <w:lang w:val="en-US" w:eastAsia="zh-CN"/>
              </w:rPr>
              <w:t>1分，最多得</w:t>
            </w: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lang w:val="en-US" w:eastAsia="zh-CN"/>
              </w:rPr>
              <w:t>分；具有</w:t>
            </w:r>
            <w:r>
              <w:rPr>
                <w:rFonts w:hint="eastAsia" w:ascii="宋体" w:hAnsi="宋体" w:eastAsia="宋体" w:cs="宋体"/>
                <w:color w:val="auto"/>
                <w:sz w:val="24"/>
                <w:highlight w:val="none"/>
              </w:rPr>
              <w:t>高级工程师</w:t>
            </w:r>
            <w:r>
              <w:rPr>
                <w:rFonts w:hint="eastAsia" w:ascii="宋体" w:hAnsi="宋体" w:eastAsia="宋体" w:cs="宋体"/>
                <w:color w:val="auto"/>
                <w:sz w:val="24"/>
                <w:highlight w:val="none"/>
                <w:lang w:val="en-US" w:eastAsia="zh-CN"/>
              </w:rPr>
              <w:t>及</w:t>
            </w:r>
            <w:r>
              <w:rPr>
                <w:rFonts w:hint="eastAsia" w:ascii="宋体" w:hAnsi="宋体" w:eastAsia="宋体" w:cs="宋体"/>
                <w:color w:val="auto"/>
                <w:sz w:val="24"/>
                <w:highlight w:val="none"/>
              </w:rPr>
              <w:t>以上职称的每个得</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分</w:t>
            </w:r>
            <w:r>
              <w:rPr>
                <w:rFonts w:hint="eastAsia" w:ascii="宋体" w:hAnsi="宋体" w:eastAsia="宋体" w:cs="宋体"/>
                <w:color w:val="auto"/>
                <w:sz w:val="24"/>
                <w:highlight w:val="none"/>
                <w:lang w:val="en-US" w:eastAsia="zh-CN"/>
              </w:rPr>
              <w:t>，最多得</w:t>
            </w:r>
            <w:r>
              <w:rPr>
                <w:rFonts w:hint="eastAsia" w:ascii="宋体" w:hAnsi="宋体" w:cs="宋体"/>
                <w:color w:val="auto"/>
                <w:sz w:val="24"/>
                <w:highlight w:val="none"/>
                <w:lang w:val="en-US" w:eastAsia="zh-CN"/>
              </w:rPr>
              <w:t>10</w:t>
            </w:r>
            <w:r>
              <w:rPr>
                <w:rFonts w:hint="eastAsia" w:ascii="宋体" w:hAnsi="宋体" w:eastAsia="宋体" w:cs="宋体"/>
                <w:color w:val="auto"/>
                <w:sz w:val="24"/>
                <w:highlight w:val="none"/>
                <w:lang w:val="en-US" w:eastAsia="zh-CN"/>
              </w:rPr>
              <w:t>分</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同时具有</w:t>
            </w:r>
            <w:r>
              <w:rPr>
                <w:rFonts w:hint="eastAsia" w:ascii="宋体" w:hAnsi="宋体" w:cs="宋体"/>
                <w:color w:val="auto"/>
                <w:sz w:val="24"/>
                <w:highlight w:val="none"/>
                <w:lang w:val="en-US" w:eastAsia="zh-CN"/>
              </w:rPr>
              <w:t>住建部或交通运输部颁发的</w:t>
            </w:r>
            <w:r>
              <w:rPr>
                <w:rFonts w:hint="eastAsia" w:ascii="宋体" w:hAnsi="宋体" w:eastAsia="宋体" w:cs="宋体"/>
                <w:color w:val="auto"/>
                <w:sz w:val="24"/>
                <w:highlight w:val="none"/>
                <w:lang w:eastAsia="zh-CN"/>
              </w:rPr>
              <w:t>注册造价工程师资格</w:t>
            </w:r>
            <w:r>
              <w:rPr>
                <w:rFonts w:hint="eastAsia" w:ascii="宋体" w:hAnsi="宋体" w:eastAsia="宋体" w:cs="宋体"/>
                <w:color w:val="auto"/>
                <w:sz w:val="24"/>
                <w:highlight w:val="none"/>
                <w:lang w:val="en-US" w:eastAsia="zh-CN"/>
              </w:rPr>
              <w:t>证书</w:t>
            </w:r>
            <w:r>
              <w:rPr>
                <w:rFonts w:hint="eastAsia" w:ascii="宋体" w:hAnsi="宋体" w:eastAsia="宋体" w:cs="宋体"/>
                <w:color w:val="auto"/>
                <w:sz w:val="24"/>
                <w:highlight w:val="none"/>
                <w:lang w:eastAsia="zh-CN"/>
              </w:rPr>
              <w:t>的</w:t>
            </w:r>
            <w:r>
              <w:rPr>
                <w:rFonts w:hint="eastAsia" w:ascii="宋体" w:hAnsi="宋体" w:eastAsia="宋体" w:cs="宋体"/>
                <w:color w:val="auto"/>
                <w:sz w:val="24"/>
                <w:highlight w:val="none"/>
                <w:lang w:val="en-US" w:eastAsia="zh-CN"/>
              </w:rPr>
              <w:t>得</w:t>
            </w: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lang w:val="en-US" w:eastAsia="zh-CN"/>
              </w:rPr>
              <w:t>分，本项</w:t>
            </w:r>
            <w:r>
              <w:rPr>
                <w:rFonts w:hint="eastAsia" w:ascii="宋体" w:hAnsi="宋体" w:eastAsia="宋体" w:cs="宋体"/>
                <w:color w:val="auto"/>
                <w:sz w:val="24"/>
                <w:highlight w:val="none"/>
              </w:rPr>
              <w:t>满分</w:t>
            </w:r>
            <w:r>
              <w:rPr>
                <w:rFonts w:hint="eastAsia" w:ascii="宋体" w:hAnsi="宋体" w:eastAsia="宋体" w:cs="宋体"/>
                <w:color w:val="auto"/>
                <w:sz w:val="24"/>
                <w:highlight w:val="none"/>
                <w:lang w:eastAsia="zh-CN"/>
              </w:rPr>
              <w:t>为</w:t>
            </w:r>
            <w:r>
              <w:rPr>
                <w:rFonts w:hint="eastAsia" w:ascii="宋体" w:hAnsi="宋体" w:eastAsia="宋体" w:cs="宋体"/>
                <w:color w:val="auto"/>
                <w:sz w:val="24"/>
                <w:highlight w:val="none"/>
                <w:lang w:val="en-US" w:eastAsia="zh-CN"/>
              </w:rPr>
              <w:t>1</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分。</w:t>
            </w:r>
          </w:p>
        </w:tc>
      </w:tr>
      <w:tr w14:paraId="5F0A8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484" w:type="dxa"/>
            <w:vMerge w:val="restart"/>
            <w:tcBorders>
              <w:top w:val="single" w:color="auto" w:sz="4" w:space="0"/>
              <w:left w:val="single" w:color="auto" w:sz="4" w:space="0"/>
              <w:bottom w:val="single" w:color="auto" w:sz="4" w:space="0"/>
              <w:right w:val="single" w:color="auto" w:sz="4" w:space="0"/>
            </w:tcBorders>
            <w:vAlign w:val="center"/>
          </w:tcPr>
          <w:p w14:paraId="06092BCB">
            <w:pPr>
              <w:adjustRightInd w:val="0"/>
              <w:spacing w:line="360" w:lineRule="auto"/>
              <w:jc w:val="center"/>
              <w:textAlignment w:val="baseline"/>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w:t>
            </w:r>
          </w:p>
        </w:tc>
        <w:tc>
          <w:tcPr>
            <w:tcW w:w="1479" w:type="dxa"/>
            <w:vMerge w:val="restart"/>
            <w:tcBorders>
              <w:top w:val="single" w:color="auto" w:sz="4" w:space="0"/>
              <w:left w:val="single" w:color="auto" w:sz="4" w:space="0"/>
              <w:bottom w:val="single" w:color="auto" w:sz="4" w:space="0"/>
              <w:right w:val="single" w:color="auto" w:sz="4" w:space="0"/>
            </w:tcBorders>
            <w:vAlign w:val="center"/>
          </w:tcPr>
          <w:p w14:paraId="7CAE3FDE">
            <w:pPr>
              <w:adjustRightInd w:val="0"/>
              <w:spacing w:line="360" w:lineRule="auto"/>
              <w:jc w:val="center"/>
              <w:textAlignment w:val="baseline"/>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商务分</w:t>
            </w:r>
          </w:p>
          <w:p w14:paraId="2B20190F">
            <w:pPr>
              <w:adjustRightInd w:val="0"/>
              <w:spacing w:line="360" w:lineRule="auto"/>
              <w:jc w:val="center"/>
              <w:textAlignment w:val="baseline"/>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（满分</w:t>
            </w:r>
            <w:r>
              <w:rPr>
                <w:rFonts w:hint="eastAsia" w:ascii="宋体" w:hAnsi="宋体" w:cs="宋体"/>
                <w:b/>
                <w:color w:val="auto"/>
                <w:sz w:val="24"/>
                <w:highlight w:val="none"/>
                <w:lang w:val="en-US" w:eastAsia="zh-CN"/>
              </w:rPr>
              <w:t>20</w:t>
            </w:r>
            <w:r>
              <w:rPr>
                <w:rFonts w:hint="eastAsia" w:ascii="宋体" w:hAnsi="宋体" w:eastAsia="宋体" w:cs="宋体"/>
                <w:b/>
                <w:color w:val="auto"/>
                <w:sz w:val="24"/>
                <w:highlight w:val="none"/>
              </w:rPr>
              <w:t>分）</w:t>
            </w:r>
          </w:p>
          <w:p w14:paraId="23C60867">
            <w:pPr>
              <w:adjustRightInd w:val="0"/>
              <w:spacing w:line="360" w:lineRule="auto"/>
              <w:jc w:val="center"/>
              <w:textAlignment w:val="baseline"/>
              <w:rPr>
                <w:rFonts w:hint="eastAsia" w:ascii="宋体" w:hAnsi="宋体" w:eastAsia="宋体" w:cs="宋体"/>
                <w:b/>
                <w:color w:val="auto"/>
                <w:sz w:val="24"/>
                <w:highlight w:val="none"/>
              </w:rPr>
            </w:pPr>
          </w:p>
        </w:tc>
        <w:tc>
          <w:tcPr>
            <w:tcW w:w="7601"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5AE18787">
            <w:pPr>
              <w:spacing w:line="360" w:lineRule="auto"/>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lang w:eastAsia="zh-CN"/>
              </w:rPr>
              <w:t>供应商20</w:t>
            </w:r>
            <w:r>
              <w:rPr>
                <w:rFonts w:hint="eastAsia" w:ascii="宋体" w:hAnsi="宋体" w:eastAsia="宋体" w:cs="宋体"/>
                <w:bCs/>
                <w:color w:val="auto"/>
                <w:kern w:val="0"/>
                <w:sz w:val="24"/>
                <w:highlight w:val="none"/>
                <w:lang w:val="en-US" w:eastAsia="zh-CN"/>
              </w:rPr>
              <w:t>20</w:t>
            </w:r>
            <w:r>
              <w:rPr>
                <w:rFonts w:hint="eastAsia" w:ascii="宋体" w:hAnsi="宋体" w:eastAsia="宋体" w:cs="宋体"/>
                <w:bCs/>
                <w:color w:val="auto"/>
                <w:kern w:val="0"/>
                <w:sz w:val="24"/>
                <w:highlight w:val="none"/>
                <w:lang w:eastAsia="zh-CN"/>
              </w:rPr>
              <w:t>年</w:t>
            </w:r>
            <w:r>
              <w:rPr>
                <w:rFonts w:hint="eastAsia" w:ascii="宋体" w:hAnsi="宋体" w:eastAsia="宋体" w:cs="宋体"/>
                <w:bCs/>
                <w:color w:val="auto"/>
                <w:kern w:val="0"/>
                <w:sz w:val="24"/>
                <w:highlight w:val="none"/>
                <w:lang w:val="en-US" w:eastAsia="zh-CN"/>
              </w:rPr>
              <w:t>11月1日</w:t>
            </w:r>
            <w:r>
              <w:rPr>
                <w:rFonts w:hint="eastAsia" w:ascii="宋体" w:hAnsi="宋体" w:eastAsia="宋体" w:cs="宋体"/>
                <w:bCs/>
                <w:color w:val="auto"/>
                <w:kern w:val="0"/>
                <w:sz w:val="24"/>
                <w:highlight w:val="none"/>
                <w:lang w:eastAsia="zh-CN"/>
              </w:rPr>
              <w:t>至响应文件递交截止之日，具有类似项目业绩的每个得</w:t>
            </w:r>
            <w:r>
              <w:rPr>
                <w:rFonts w:hint="eastAsia" w:ascii="宋体" w:hAnsi="宋体" w:cs="宋体"/>
                <w:bCs/>
                <w:color w:val="auto"/>
                <w:kern w:val="0"/>
                <w:sz w:val="24"/>
                <w:highlight w:val="none"/>
                <w:lang w:val="en-US" w:eastAsia="zh-CN"/>
              </w:rPr>
              <w:t>10</w:t>
            </w:r>
            <w:r>
              <w:rPr>
                <w:rFonts w:hint="eastAsia" w:ascii="宋体" w:hAnsi="宋体" w:eastAsia="宋体" w:cs="宋体"/>
                <w:bCs/>
                <w:color w:val="auto"/>
                <w:kern w:val="0"/>
                <w:sz w:val="24"/>
                <w:highlight w:val="none"/>
                <w:lang w:eastAsia="zh-CN"/>
              </w:rPr>
              <w:t>分，满分</w:t>
            </w:r>
            <w:r>
              <w:rPr>
                <w:rFonts w:hint="eastAsia" w:ascii="宋体" w:hAnsi="宋体" w:cs="宋体"/>
                <w:bCs/>
                <w:color w:val="auto"/>
                <w:kern w:val="0"/>
                <w:sz w:val="24"/>
                <w:highlight w:val="none"/>
                <w:lang w:val="en-US" w:eastAsia="zh-CN"/>
              </w:rPr>
              <w:t>20</w:t>
            </w:r>
            <w:r>
              <w:rPr>
                <w:rFonts w:hint="eastAsia" w:ascii="宋体" w:hAnsi="宋体" w:eastAsia="宋体" w:cs="宋体"/>
                <w:bCs/>
                <w:color w:val="auto"/>
                <w:kern w:val="0"/>
                <w:sz w:val="24"/>
                <w:highlight w:val="none"/>
                <w:lang w:eastAsia="zh-CN"/>
              </w:rPr>
              <w:t>分。（</w:t>
            </w:r>
            <w:r>
              <w:rPr>
                <w:rFonts w:hint="eastAsia" w:ascii="宋体" w:hAnsi="宋体" w:eastAsia="宋体" w:cs="宋体"/>
                <w:bCs/>
                <w:color w:val="auto"/>
                <w:kern w:val="0"/>
                <w:sz w:val="24"/>
                <w:highlight w:val="none"/>
                <w:lang w:val="en-US" w:eastAsia="zh-CN"/>
              </w:rPr>
              <w:t>须</w:t>
            </w:r>
            <w:r>
              <w:rPr>
                <w:rFonts w:hint="eastAsia" w:ascii="宋体" w:hAnsi="宋体" w:eastAsia="宋体" w:cs="宋体"/>
                <w:bCs/>
                <w:color w:val="auto"/>
                <w:kern w:val="0"/>
                <w:sz w:val="24"/>
                <w:highlight w:val="none"/>
                <w:lang w:eastAsia="zh-CN"/>
              </w:rPr>
              <w:t>提供合同或中标（成交）通知书复印件加盖竞标人公章）。</w:t>
            </w:r>
          </w:p>
        </w:tc>
      </w:tr>
      <w:tr w14:paraId="585B4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64" w:type="dxa"/>
            <w:gridSpan w:val="4"/>
            <w:tcBorders>
              <w:top w:val="single" w:color="auto" w:sz="4" w:space="0"/>
              <w:left w:val="single" w:color="auto" w:sz="4" w:space="0"/>
              <w:bottom w:val="single" w:color="auto" w:sz="4" w:space="0"/>
              <w:right w:val="single" w:color="auto" w:sz="4" w:space="0"/>
            </w:tcBorders>
            <w:vAlign w:val="center"/>
          </w:tcPr>
          <w:p w14:paraId="2D5AF389">
            <w:pPr>
              <w:spacing w:line="360" w:lineRule="auto"/>
              <w:ind w:firstLine="480" w:firstLineChars="0"/>
              <w:rPr>
                <w:rFonts w:hint="eastAsia" w:ascii="宋体" w:hAnsi="宋体" w:eastAsia="宋体" w:cs="宋体"/>
                <w:bCs/>
                <w:color w:val="auto"/>
                <w:sz w:val="24"/>
                <w:highlight w:val="none"/>
              </w:rPr>
            </w:pPr>
            <w:r>
              <w:rPr>
                <w:rFonts w:hint="eastAsia" w:ascii="宋体" w:hAnsi="宋体" w:eastAsia="宋体" w:cs="宋体"/>
                <w:b/>
                <w:bCs/>
                <w:color w:val="auto"/>
                <w:sz w:val="24"/>
                <w:highlight w:val="none"/>
              </w:rPr>
              <w:t>总得分=1+2+3。</w:t>
            </w:r>
          </w:p>
        </w:tc>
      </w:tr>
    </w:tbl>
    <w:p w14:paraId="285E0A5B">
      <w:pPr>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p>
    <w:p w14:paraId="5B0F496C">
      <w:pPr>
        <w:snapToGrid w:val="0"/>
        <w:spacing w:line="360" w:lineRule="auto"/>
        <w:ind w:firstLine="480"/>
        <w:jc w:val="center"/>
        <w:outlineLvl w:val="1"/>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3分标</w:t>
      </w:r>
    </w:p>
    <w:tbl>
      <w:tblPr>
        <w:tblStyle w:val="29"/>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4"/>
        <w:gridCol w:w="1451"/>
        <w:gridCol w:w="930"/>
        <w:gridCol w:w="6525"/>
      </w:tblGrid>
      <w:tr w14:paraId="7348B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1925" w:type="dxa"/>
            <w:gridSpan w:val="2"/>
            <w:tcBorders>
              <w:top w:val="single" w:color="auto" w:sz="4" w:space="0"/>
              <w:left w:val="single" w:color="auto" w:sz="4" w:space="0"/>
              <w:bottom w:val="single" w:color="auto" w:sz="4" w:space="0"/>
              <w:right w:val="single" w:color="auto" w:sz="4" w:space="0"/>
            </w:tcBorders>
            <w:vAlign w:val="center"/>
          </w:tcPr>
          <w:p w14:paraId="00063447">
            <w:pPr>
              <w:adjustRightInd w:val="0"/>
              <w:spacing w:line="360" w:lineRule="auto"/>
              <w:jc w:val="center"/>
              <w:textAlignment w:val="baseline"/>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930" w:type="dxa"/>
            <w:tcBorders>
              <w:top w:val="single" w:color="auto" w:sz="4" w:space="0"/>
              <w:left w:val="single" w:color="auto" w:sz="4" w:space="0"/>
              <w:bottom w:val="single" w:color="auto" w:sz="4" w:space="0"/>
              <w:right w:val="single" w:color="auto" w:sz="4" w:space="0"/>
            </w:tcBorders>
            <w:vAlign w:val="center"/>
          </w:tcPr>
          <w:p w14:paraId="207785CC">
            <w:pPr>
              <w:adjustRightInd w:val="0"/>
              <w:spacing w:line="360" w:lineRule="auto"/>
              <w:jc w:val="center"/>
              <w:textAlignment w:val="baseline"/>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评审因素</w:t>
            </w:r>
          </w:p>
        </w:tc>
        <w:tc>
          <w:tcPr>
            <w:tcW w:w="6525" w:type="dxa"/>
            <w:tcBorders>
              <w:top w:val="single" w:color="auto" w:sz="4" w:space="0"/>
              <w:left w:val="single" w:color="auto" w:sz="4" w:space="0"/>
              <w:bottom w:val="single" w:color="auto" w:sz="4" w:space="0"/>
              <w:right w:val="single" w:color="auto" w:sz="4" w:space="0"/>
            </w:tcBorders>
            <w:vAlign w:val="center"/>
          </w:tcPr>
          <w:p w14:paraId="0176082C">
            <w:pPr>
              <w:adjustRightInd w:val="0"/>
              <w:spacing w:line="360" w:lineRule="auto"/>
              <w:jc w:val="center"/>
              <w:textAlignment w:val="baseline"/>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评分标准</w:t>
            </w:r>
          </w:p>
        </w:tc>
      </w:tr>
      <w:tr w14:paraId="4AF56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474" w:type="dxa"/>
            <w:tcBorders>
              <w:top w:val="single" w:color="auto" w:sz="4" w:space="0"/>
              <w:left w:val="single" w:color="auto" w:sz="4" w:space="0"/>
              <w:bottom w:val="single" w:color="auto" w:sz="4" w:space="0"/>
              <w:right w:val="single" w:color="auto" w:sz="4" w:space="0"/>
            </w:tcBorders>
            <w:vAlign w:val="center"/>
          </w:tcPr>
          <w:p w14:paraId="596C9EE7">
            <w:pPr>
              <w:adjustRightInd w:val="0"/>
              <w:spacing w:line="360" w:lineRule="auto"/>
              <w:jc w:val="center"/>
              <w:textAlignment w:val="baseline"/>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w:t>
            </w:r>
          </w:p>
        </w:tc>
        <w:tc>
          <w:tcPr>
            <w:tcW w:w="1451" w:type="dxa"/>
            <w:tcBorders>
              <w:top w:val="single" w:color="auto" w:sz="4" w:space="0"/>
              <w:left w:val="single" w:color="auto" w:sz="4" w:space="0"/>
              <w:bottom w:val="single" w:color="auto" w:sz="4" w:space="0"/>
              <w:right w:val="single" w:color="auto" w:sz="4" w:space="0"/>
            </w:tcBorders>
            <w:vAlign w:val="center"/>
          </w:tcPr>
          <w:p w14:paraId="09C7C8C6">
            <w:pPr>
              <w:adjustRightInd w:val="0"/>
              <w:spacing w:line="360" w:lineRule="auto"/>
              <w:jc w:val="center"/>
              <w:textAlignment w:val="baseline"/>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价格分</w:t>
            </w:r>
          </w:p>
          <w:p w14:paraId="180BECEA">
            <w:pPr>
              <w:adjustRightInd w:val="0"/>
              <w:spacing w:line="360" w:lineRule="auto"/>
              <w:jc w:val="center"/>
              <w:textAlignment w:val="baseline"/>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（满分</w:t>
            </w:r>
            <w:r>
              <w:rPr>
                <w:rFonts w:hint="eastAsia" w:ascii="宋体" w:hAnsi="宋体" w:cs="宋体"/>
                <w:b/>
                <w:color w:val="auto"/>
                <w:sz w:val="24"/>
                <w:highlight w:val="none"/>
                <w:lang w:val="en-US" w:eastAsia="zh-CN"/>
              </w:rPr>
              <w:t>1</w:t>
            </w:r>
            <w:r>
              <w:rPr>
                <w:rFonts w:hint="eastAsia" w:ascii="宋体" w:hAnsi="宋体" w:eastAsia="宋体" w:cs="宋体"/>
                <w:b/>
                <w:color w:val="auto"/>
                <w:sz w:val="24"/>
                <w:highlight w:val="none"/>
                <w:lang w:val="en-US" w:eastAsia="zh-CN"/>
              </w:rPr>
              <w:t>0</w:t>
            </w:r>
            <w:r>
              <w:rPr>
                <w:rFonts w:hint="eastAsia" w:ascii="宋体" w:hAnsi="宋体" w:eastAsia="宋体" w:cs="宋体"/>
                <w:b/>
                <w:color w:val="auto"/>
                <w:sz w:val="24"/>
                <w:highlight w:val="none"/>
              </w:rPr>
              <w:t>分）</w:t>
            </w:r>
          </w:p>
        </w:tc>
        <w:tc>
          <w:tcPr>
            <w:tcW w:w="930" w:type="dxa"/>
            <w:tcBorders>
              <w:top w:val="single" w:color="auto" w:sz="4" w:space="0"/>
              <w:left w:val="single" w:color="auto" w:sz="4" w:space="0"/>
              <w:bottom w:val="single" w:color="auto" w:sz="4" w:space="0"/>
              <w:right w:val="single" w:color="auto" w:sz="4" w:space="0"/>
            </w:tcBorders>
            <w:vAlign w:val="center"/>
          </w:tcPr>
          <w:p w14:paraId="3A2A80E6">
            <w:pPr>
              <w:adjustRightInd w:val="0"/>
              <w:spacing w:line="360" w:lineRule="auto"/>
              <w:jc w:val="center"/>
              <w:textAlignment w:val="baseline"/>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磋商报价</w:t>
            </w:r>
          </w:p>
        </w:tc>
        <w:tc>
          <w:tcPr>
            <w:tcW w:w="6525" w:type="dxa"/>
            <w:tcBorders>
              <w:top w:val="single" w:color="auto" w:sz="4" w:space="0"/>
              <w:left w:val="single" w:color="auto" w:sz="4" w:space="0"/>
              <w:bottom w:val="single" w:color="auto" w:sz="4" w:space="0"/>
              <w:right w:val="single" w:color="auto" w:sz="4" w:space="0"/>
            </w:tcBorders>
            <w:vAlign w:val="center"/>
          </w:tcPr>
          <w:p w14:paraId="69B14FA5">
            <w:pPr>
              <w:spacing w:line="360" w:lineRule="auto"/>
              <w:ind w:firstLine="482"/>
              <w:rPr>
                <w:rFonts w:hint="eastAsia" w:ascii="宋体" w:hAnsi="宋体" w:eastAsia="宋体" w:cs="宋体"/>
                <w:b/>
                <w:bCs w:val="0"/>
                <w:color w:val="auto"/>
                <w:sz w:val="24"/>
                <w:highlight w:val="none"/>
              </w:rPr>
            </w:pPr>
            <w:r>
              <w:rPr>
                <w:rFonts w:hint="eastAsia" w:ascii="宋体" w:hAnsi="宋体" w:eastAsia="宋体" w:cs="宋体"/>
                <w:b/>
                <w:bCs w:val="0"/>
                <w:color w:val="auto"/>
                <w:sz w:val="24"/>
                <w:highlight w:val="none"/>
                <w:lang w:eastAsia="zh-CN"/>
              </w:rPr>
              <w:t>□</w:t>
            </w:r>
            <w:r>
              <w:rPr>
                <w:rFonts w:hint="eastAsia" w:ascii="宋体" w:hAnsi="宋体" w:eastAsia="宋体" w:cs="宋体"/>
                <w:b/>
                <w:bCs w:val="0"/>
                <w:color w:val="auto"/>
                <w:sz w:val="24"/>
                <w:highlight w:val="none"/>
              </w:rPr>
              <w:t>本项目为专门面</w:t>
            </w:r>
            <w:r>
              <w:rPr>
                <w:rFonts w:hint="eastAsia" w:ascii="宋体" w:hAnsi="宋体" w:eastAsia="宋体" w:cs="宋体"/>
                <w:b/>
                <w:bCs w:val="0"/>
                <w:color w:val="auto"/>
                <w:sz w:val="24"/>
                <w:highlight w:val="none"/>
                <w:lang w:val="en-US" w:eastAsia="zh-CN"/>
              </w:rPr>
              <w:t>向</w:t>
            </w:r>
            <w:r>
              <w:rPr>
                <w:rFonts w:hint="eastAsia" w:ascii="宋体" w:hAnsi="宋体" w:eastAsia="宋体" w:cs="宋体"/>
                <w:b/>
                <w:bCs w:val="0"/>
                <w:color w:val="auto"/>
                <w:sz w:val="24"/>
                <w:highlight w:val="none"/>
              </w:rPr>
              <w:t>中小企业采购项目，小型企业、微型企业、监狱企业、残疾人福利性单位均不再执行价格评审优惠的扶持政策。</w:t>
            </w:r>
          </w:p>
          <w:p w14:paraId="3722243A">
            <w:pPr>
              <w:spacing w:line="360" w:lineRule="auto"/>
              <w:ind w:firstLine="482"/>
              <w:rPr>
                <w:rFonts w:hint="eastAsia" w:ascii="宋体" w:hAnsi="宋体" w:eastAsia="宋体" w:cs="宋体"/>
                <w:bCs/>
                <w:color w:val="auto"/>
                <w:sz w:val="24"/>
                <w:highlight w:val="none"/>
              </w:rPr>
            </w:pPr>
            <w:r>
              <w:rPr>
                <w:rFonts w:hint="eastAsia" w:ascii="宋体" w:hAnsi="宋体" w:eastAsia="宋体" w:cs="宋体"/>
                <w:b/>
                <w:bCs w:val="0"/>
                <w:color w:val="auto"/>
                <w:sz w:val="24"/>
                <w:highlight w:val="none"/>
                <w:lang w:eastAsia="zh-CN"/>
              </w:rPr>
              <w:t>☑</w:t>
            </w:r>
            <w:r>
              <w:rPr>
                <w:rFonts w:hint="eastAsia" w:ascii="宋体" w:hAnsi="宋体" w:eastAsia="宋体" w:cs="宋体"/>
                <w:b/>
                <w:bCs w:val="0"/>
                <w:color w:val="auto"/>
                <w:sz w:val="24"/>
                <w:highlight w:val="none"/>
              </w:rPr>
              <w:t>本项目为非专门面向中小企业采购项目（政府采购政策性扣除计算方法）</w:t>
            </w:r>
            <w:r>
              <w:rPr>
                <w:rFonts w:hint="eastAsia" w:ascii="宋体" w:hAnsi="宋体" w:eastAsia="宋体" w:cs="宋体"/>
                <w:bCs/>
                <w:color w:val="auto"/>
                <w:sz w:val="24"/>
                <w:highlight w:val="none"/>
              </w:rPr>
              <w:t>：</w:t>
            </w:r>
          </w:p>
          <w:p w14:paraId="043C49BF">
            <w:pPr>
              <w:spacing w:line="360" w:lineRule="auto"/>
              <w:ind w:firstLine="482"/>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1.评审报价为供应商的最后报价进行政策性扣除后的价格，评审报价只是作为评审时使用。最终成交供应商的成交金额等于最后报价（如有修正，以确认修正后的最后报价为准）。</w:t>
            </w:r>
          </w:p>
          <w:p w14:paraId="07A55154">
            <w:pPr>
              <w:spacing w:line="360" w:lineRule="auto"/>
              <w:ind w:firstLine="482"/>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2.政府采购政策性扣除计算方法</w:t>
            </w:r>
          </w:p>
          <w:p w14:paraId="0561F9D6">
            <w:pPr>
              <w:spacing w:line="360" w:lineRule="auto"/>
              <w:ind w:firstLine="482"/>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（1）按照《政府采购促进中小企业发展管理办法》（财库〔2020〕46号）的规定，供应商在其响应文件中提供《中小企业声明函》，且其服务为小型和微型企业承接的，对其最后报价给予</w:t>
            </w:r>
            <w:r>
              <w:rPr>
                <w:rFonts w:hint="eastAsia" w:ascii="宋体" w:hAnsi="宋体" w:eastAsia="宋体" w:cs="宋体"/>
                <w:bCs/>
                <w:color w:val="auto"/>
                <w:sz w:val="24"/>
                <w:highlight w:val="none"/>
                <w:lang w:val="en-US" w:eastAsia="zh-CN"/>
              </w:rPr>
              <w:t>1</w:t>
            </w:r>
            <w:r>
              <w:rPr>
                <w:rFonts w:hint="eastAsia" w:ascii="宋体" w:hAnsi="宋体" w:eastAsia="宋体" w:cs="宋体"/>
                <w:bCs/>
                <w:color w:val="auto"/>
                <w:sz w:val="24"/>
                <w:highlight w:val="none"/>
              </w:rPr>
              <w:t>0%的扣除。</w:t>
            </w:r>
          </w:p>
          <w:p w14:paraId="44339E29">
            <w:pPr>
              <w:spacing w:line="360" w:lineRule="auto"/>
              <w:ind w:firstLine="482"/>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4FF80574">
            <w:pPr>
              <w:spacing w:line="360" w:lineRule="auto"/>
              <w:ind w:firstLine="482"/>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2FF3C612">
            <w:pPr>
              <w:spacing w:line="360" w:lineRule="auto"/>
              <w:ind w:firstLine="482"/>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（4）政策性扣除计算方法。</w:t>
            </w:r>
          </w:p>
          <w:p w14:paraId="7F295518">
            <w:pPr>
              <w:spacing w:line="360" w:lineRule="auto"/>
              <w:ind w:firstLine="482"/>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在服务采购项目中，服务由小微企业承接；对符合上述要求的供应商的响应报价给予</w:t>
            </w:r>
            <w:r>
              <w:rPr>
                <w:rFonts w:hint="eastAsia" w:ascii="宋体" w:hAnsi="宋体" w:eastAsia="宋体" w:cs="宋体"/>
                <w:bCs/>
                <w:color w:val="auto"/>
                <w:sz w:val="24"/>
                <w:highlight w:val="none"/>
                <w:lang w:val="en-US" w:eastAsia="zh-CN"/>
              </w:rPr>
              <w:t>1</w:t>
            </w:r>
            <w:r>
              <w:rPr>
                <w:rFonts w:hint="eastAsia" w:ascii="宋体" w:hAnsi="宋体" w:eastAsia="宋体" w:cs="宋体"/>
                <w:bCs/>
                <w:color w:val="auto"/>
                <w:sz w:val="24"/>
                <w:highlight w:val="none"/>
              </w:rPr>
              <w:t>0%的扣除，扣除后的价格为评审报价，即评审报价=响应报价×（1-</w:t>
            </w:r>
            <w:r>
              <w:rPr>
                <w:rFonts w:hint="eastAsia" w:ascii="宋体" w:hAnsi="宋体" w:eastAsia="宋体" w:cs="宋体"/>
                <w:bCs/>
                <w:color w:val="auto"/>
                <w:sz w:val="24"/>
                <w:highlight w:val="none"/>
                <w:lang w:val="en-US" w:eastAsia="zh-CN"/>
              </w:rPr>
              <w:t>1</w:t>
            </w:r>
            <w:r>
              <w:rPr>
                <w:rFonts w:hint="eastAsia" w:ascii="宋体" w:hAnsi="宋体" w:eastAsia="宋体" w:cs="宋体"/>
                <w:bCs/>
                <w:color w:val="auto"/>
                <w:sz w:val="24"/>
                <w:highlight w:val="none"/>
              </w:rPr>
              <w:t>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w:t>
            </w:r>
            <w:r>
              <w:rPr>
                <w:rFonts w:hint="eastAsia" w:ascii="宋体" w:hAnsi="宋体" w:eastAsia="宋体" w:cs="宋体"/>
                <w:bCs/>
                <w:color w:val="auto"/>
                <w:sz w:val="24"/>
                <w:highlight w:val="none"/>
                <w:lang w:val="en-US" w:eastAsia="zh-CN"/>
              </w:rPr>
              <w:t>5</w:t>
            </w:r>
            <w:r>
              <w:rPr>
                <w:rFonts w:hint="eastAsia" w:ascii="宋体" w:hAnsi="宋体" w:eastAsia="宋体" w:cs="宋体"/>
                <w:bCs/>
                <w:color w:val="auto"/>
                <w:sz w:val="24"/>
                <w:highlight w:val="none"/>
              </w:rPr>
              <w:t>%的扣除，用扣除后的价格参加评审，扣除后的价格为评审报价，即评审报价=响应报价×（1-</w:t>
            </w:r>
            <w:r>
              <w:rPr>
                <w:rFonts w:hint="eastAsia" w:ascii="宋体" w:hAnsi="宋体" w:eastAsia="宋体" w:cs="宋体"/>
                <w:bCs/>
                <w:color w:val="auto"/>
                <w:sz w:val="24"/>
                <w:highlight w:val="none"/>
                <w:lang w:val="en-US" w:eastAsia="zh-CN"/>
              </w:rPr>
              <w:t>5</w:t>
            </w:r>
            <w:r>
              <w:rPr>
                <w:rFonts w:hint="eastAsia" w:ascii="宋体" w:hAnsi="宋体" w:eastAsia="宋体" w:cs="宋体"/>
                <w:bCs/>
                <w:color w:val="auto"/>
                <w:sz w:val="24"/>
                <w:highlight w:val="none"/>
              </w:rPr>
              <w:t>%）。除上述情况外，评审报价=响应报价。</w:t>
            </w:r>
          </w:p>
          <w:p w14:paraId="19292155">
            <w:pPr>
              <w:spacing w:line="360" w:lineRule="auto"/>
              <w:ind w:firstLine="482"/>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（5）以进入比较与评价环节的最低的评审报价为基准价。</w:t>
            </w:r>
          </w:p>
          <w:p w14:paraId="6979DAD0">
            <w:pPr>
              <w:spacing w:line="360" w:lineRule="auto"/>
              <w:ind w:firstLine="482"/>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（6）价格分计算公式：</w:t>
            </w:r>
          </w:p>
          <w:p w14:paraId="2FF79A52">
            <w:pPr>
              <w:spacing w:line="360" w:lineRule="auto"/>
              <w:ind w:firstLine="482" w:firstLineChars="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报价得分=（基准价/最后报价）×</w:t>
            </w:r>
            <w:r>
              <w:rPr>
                <w:rFonts w:hint="eastAsia" w:ascii="宋体" w:hAnsi="宋体" w:cs="宋体"/>
                <w:bCs/>
                <w:color w:val="auto"/>
                <w:sz w:val="24"/>
                <w:highlight w:val="none"/>
                <w:lang w:val="en-US" w:eastAsia="zh-CN"/>
              </w:rPr>
              <w:t>1</w:t>
            </w:r>
            <w:r>
              <w:rPr>
                <w:rFonts w:hint="eastAsia" w:ascii="宋体" w:hAnsi="宋体" w:eastAsia="宋体" w:cs="宋体"/>
                <w:bCs/>
                <w:color w:val="auto"/>
                <w:sz w:val="24"/>
                <w:highlight w:val="none"/>
                <w:lang w:val="en-US" w:eastAsia="zh-CN"/>
              </w:rPr>
              <w:t>0</w:t>
            </w:r>
            <w:r>
              <w:rPr>
                <w:rFonts w:hint="eastAsia" w:ascii="宋体" w:hAnsi="宋体" w:eastAsia="宋体" w:cs="宋体"/>
                <w:bCs/>
                <w:color w:val="auto"/>
                <w:sz w:val="24"/>
                <w:highlight w:val="none"/>
              </w:rPr>
              <w:t>分</w:t>
            </w:r>
          </w:p>
        </w:tc>
      </w:tr>
      <w:tr w14:paraId="78D02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9" w:hRule="atLeast"/>
          <w:jc w:val="center"/>
        </w:trPr>
        <w:tc>
          <w:tcPr>
            <w:tcW w:w="474" w:type="dxa"/>
            <w:tcBorders>
              <w:top w:val="single" w:color="auto" w:sz="4" w:space="0"/>
              <w:left w:val="single" w:color="auto" w:sz="4" w:space="0"/>
              <w:bottom w:val="single" w:color="auto" w:sz="4" w:space="0"/>
              <w:right w:val="single" w:color="auto" w:sz="4" w:space="0"/>
            </w:tcBorders>
            <w:vAlign w:val="center"/>
          </w:tcPr>
          <w:p w14:paraId="650C4552">
            <w:pPr>
              <w:adjustRightInd w:val="0"/>
              <w:spacing w:line="360" w:lineRule="auto"/>
              <w:jc w:val="center"/>
              <w:textAlignment w:val="baseline"/>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w:t>
            </w:r>
          </w:p>
        </w:tc>
        <w:tc>
          <w:tcPr>
            <w:tcW w:w="1451" w:type="dxa"/>
            <w:tcBorders>
              <w:top w:val="single" w:color="auto" w:sz="4" w:space="0"/>
              <w:left w:val="single" w:color="auto" w:sz="4" w:space="0"/>
              <w:bottom w:val="single" w:color="auto" w:sz="4" w:space="0"/>
              <w:right w:val="single" w:color="auto" w:sz="4" w:space="0"/>
            </w:tcBorders>
            <w:vAlign w:val="center"/>
          </w:tcPr>
          <w:p w14:paraId="49F24300">
            <w:pPr>
              <w:adjustRightInd w:val="0"/>
              <w:spacing w:line="360" w:lineRule="auto"/>
              <w:jc w:val="center"/>
              <w:textAlignment w:val="baseline"/>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技术分</w:t>
            </w:r>
          </w:p>
          <w:p w14:paraId="181457EA">
            <w:pPr>
              <w:adjustRightInd w:val="0"/>
              <w:spacing w:line="360" w:lineRule="auto"/>
              <w:jc w:val="center"/>
              <w:textAlignment w:val="baseline"/>
              <w:rPr>
                <w:rFonts w:hint="eastAsia" w:ascii="宋体" w:hAnsi="宋体" w:eastAsia="宋体" w:cs="宋体"/>
                <w:b/>
                <w:color w:val="auto"/>
                <w:sz w:val="24"/>
                <w:highlight w:val="none"/>
              </w:rPr>
            </w:pPr>
            <w:r>
              <w:rPr>
                <w:rFonts w:hint="eastAsia" w:ascii="宋体" w:hAnsi="宋体" w:eastAsia="宋体" w:cs="宋体"/>
                <w:b/>
                <w:color w:val="auto"/>
                <w:sz w:val="24"/>
                <w:highlight w:val="none"/>
              </w:rPr>
              <w:t>（</w:t>
            </w:r>
            <w:r>
              <w:rPr>
                <w:rFonts w:hint="eastAsia" w:ascii="宋体" w:hAnsi="宋体" w:cs="宋体"/>
                <w:b/>
                <w:color w:val="auto"/>
                <w:sz w:val="24"/>
                <w:highlight w:val="none"/>
                <w:lang w:val="en-US" w:eastAsia="zh-CN"/>
              </w:rPr>
              <w:t>70</w:t>
            </w:r>
            <w:r>
              <w:rPr>
                <w:rFonts w:hint="eastAsia" w:ascii="宋体" w:hAnsi="宋体" w:eastAsia="宋体" w:cs="宋体"/>
                <w:b/>
                <w:color w:val="auto"/>
                <w:sz w:val="24"/>
                <w:highlight w:val="none"/>
              </w:rPr>
              <w:t>分）</w:t>
            </w:r>
          </w:p>
        </w:tc>
        <w:tc>
          <w:tcPr>
            <w:tcW w:w="7455" w:type="dxa"/>
            <w:gridSpan w:val="2"/>
            <w:tcBorders>
              <w:top w:val="single" w:color="auto" w:sz="4" w:space="0"/>
              <w:left w:val="single" w:color="auto" w:sz="4" w:space="0"/>
              <w:bottom w:val="single" w:color="auto" w:sz="4" w:space="0"/>
              <w:right w:val="single" w:color="auto" w:sz="4" w:space="0"/>
            </w:tcBorders>
            <w:vAlign w:val="center"/>
          </w:tcPr>
          <w:p w14:paraId="2826FFE3">
            <w:pPr>
              <w:spacing w:line="360" w:lineRule="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（1）</w:t>
            </w:r>
            <w:r>
              <w:rPr>
                <w:rFonts w:hint="eastAsia" w:ascii="宋体" w:hAnsi="宋体" w:eastAsia="宋体" w:cs="宋体"/>
                <w:b/>
                <w:bCs/>
                <w:color w:val="auto"/>
                <w:sz w:val="24"/>
                <w:highlight w:val="none"/>
                <w:lang w:eastAsia="zh-CN"/>
              </w:rPr>
              <w:t>设计方案分</w:t>
            </w:r>
            <w:r>
              <w:rPr>
                <w:rFonts w:hint="eastAsia" w:ascii="宋体" w:hAnsi="宋体" w:eastAsia="宋体" w:cs="宋体"/>
                <w:b/>
                <w:bCs/>
                <w:color w:val="auto"/>
                <w:sz w:val="24"/>
                <w:highlight w:val="none"/>
              </w:rPr>
              <w:t>（满分</w:t>
            </w:r>
            <w:r>
              <w:rPr>
                <w:rFonts w:hint="eastAsia" w:ascii="宋体" w:hAnsi="宋体" w:eastAsia="宋体" w:cs="宋体"/>
                <w:b/>
                <w:bCs/>
                <w:color w:val="auto"/>
                <w:sz w:val="24"/>
                <w:highlight w:val="none"/>
                <w:lang w:val="en-US" w:eastAsia="zh-CN"/>
              </w:rPr>
              <w:t>40</w:t>
            </w:r>
            <w:r>
              <w:rPr>
                <w:rFonts w:hint="eastAsia" w:ascii="宋体" w:hAnsi="宋体" w:eastAsia="宋体" w:cs="宋体"/>
                <w:b/>
                <w:bCs/>
                <w:color w:val="auto"/>
                <w:sz w:val="24"/>
                <w:highlight w:val="none"/>
              </w:rPr>
              <w:t>分）</w:t>
            </w:r>
          </w:p>
          <w:p w14:paraId="32876A74">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针对</w:t>
            </w:r>
            <w:r>
              <w:rPr>
                <w:rFonts w:hint="eastAsia" w:ascii="宋体" w:hAnsi="宋体" w:eastAsia="宋体" w:cs="宋体"/>
                <w:i w:val="0"/>
                <w:iCs w:val="0"/>
                <w:caps w:val="0"/>
                <w:color w:val="auto"/>
                <w:spacing w:val="0"/>
                <w:sz w:val="24"/>
                <w:szCs w:val="24"/>
                <w:highlight w:val="none"/>
                <w:shd w:val="clear" w:fill="FFFFFF"/>
              </w:rPr>
              <w:t>本项目沿旧路布线、勘察需适配既有道路地质条件、设计需衔接原有设施的特征</w:t>
            </w:r>
            <w:r>
              <w:rPr>
                <w:rFonts w:hint="eastAsia" w:ascii="宋体" w:hAnsi="宋体" w:eastAsia="宋体" w:cs="宋体"/>
                <w:i w:val="0"/>
                <w:iCs w:val="0"/>
                <w:caps w:val="0"/>
                <w:color w:val="auto"/>
                <w:spacing w:val="0"/>
                <w:sz w:val="24"/>
                <w:szCs w:val="24"/>
                <w:highlight w:val="none"/>
                <w:shd w:val="clear" w:fill="FFFFFF"/>
                <w:lang w:eastAsia="zh-CN"/>
              </w:rPr>
              <w:t>，</w:t>
            </w:r>
            <w:r>
              <w:rPr>
                <w:rFonts w:hint="eastAsia" w:ascii="宋体" w:hAnsi="宋体" w:eastAsia="宋体" w:cs="宋体"/>
                <w:color w:val="auto"/>
                <w:sz w:val="24"/>
                <w:highlight w:val="none"/>
                <w:lang w:val="en-US" w:eastAsia="zh-CN"/>
              </w:rPr>
              <w:t>供应商需提供设计工作大纲，内容包括设计重点、难点分析；设计质量目标控制；设计进度目标控制；设计投资目标控制等。</w:t>
            </w:r>
          </w:p>
          <w:p w14:paraId="3C3E63DE">
            <w:pPr>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一档（10分）：提交的设计工作大纲不完整，设计重点、难点分析不到位；控制目标不够明确，控制方法可行性较差。</w:t>
            </w:r>
          </w:p>
          <w:p w14:paraId="2A3F0DB5">
            <w:pPr>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二档（25分）：提交的设计工作大纲基本完整，设计重点、难点分析基本到位；控制目标不够明确，控制方法基本合理。</w:t>
            </w:r>
          </w:p>
          <w:p w14:paraId="7A8492B2">
            <w:pPr>
              <w:spacing w:line="360" w:lineRule="auto"/>
              <w:rPr>
                <w:rFonts w:hint="eastAsia" w:ascii="宋体" w:hAnsi="宋体" w:eastAsia="宋体" w:cs="宋体"/>
                <w:b/>
                <w:bCs/>
                <w:color w:val="auto"/>
                <w:sz w:val="24"/>
                <w:highlight w:val="none"/>
                <w:lang w:val="en-US" w:eastAsia="zh-CN"/>
              </w:rPr>
            </w:pPr>
            <w:r>
              <w:rPr>
                <w:rFonts w:hint="eastAsia" w:ascii="宋体" w:hAnsi="宋体" w:eastAsia="宋体" w:cs="宋体"/>
                <w:color w:val="auto"/>
                <w:sz w:val="24"/>
                <w:highlight w:val="none"/>
                <w:lang w:val="en-US" w:eastAsia="zh-CN"/>
              </w:rPr>
              <w:t>三档（40分）：提交的设计工作大纲较完整，设计重点、难点分析全面到位；控制目标明确，控制方法可行性高。</w:t>
            </w:r>
          </w:p>
          <w:p w14:paraId="3D5E605B">
            <w:pPr>
              <w:spacing w:line="360" w:lineRule="auto"/>
              <w:rPr>
                <w:rFonts w:hint="eastAsia" w:ascii="宋体" w:hAnsi="宋体" w:eastAsia="宋体" w:cs="宋体"/>
                <w:color w:val="auto"/>
                <w:sz w:val="24"/>
                <w:highlight w:val="none"/>
              </w:rPr>
            </w:pPr>
            <w:r>
              <w:rPr>
                <w:rFonts w:hint="eastAsia" w:ascii="宋体" w:hAnsi="宋体" w:eastAsia="宋体" w:cs="宋体"/>
                <w:b/>
                <w:bCs/>
                <w:color w:val="auto"/>
                <w:sz w:val="24"/>
                <w:highlight w:val="none"/>
                <w:lang w:val="en-US" w:eastAsia="zh-CN"/>
              </w:rPr>
              <w:t>（2）</w:t>
            </w:r>
            <w:r>
              <w:rPr>
                <w:rFonts w:hint="eastAsia" w:ascii="宋体" w:hAnsi="宋体" w:eastAsia="宋体" w:cs="宋体"/>
                <w:b/>
                <w:bCs/>
                <w:color w:val="auto"/>
                <w:sz w:val="24"/>
                <w:highlight w:val="none"/>
              </w:rPr>
              <w:t>服务方案（满分</w:t>
            </w:r>
            <w:r>
              <w:rPr>
                <w:rFonts w:hint="eastAsia" w:ascii="宋体" w:hAnsi="宋体" w:eastAsia="宋体" w:cs="宋体"/>
                <w:b/>
                <w:bCs/>
                <w:color w:val="auto"/>
                <w:sz w:val="24"/>
                <w:highlight w:val="none"/>
                <w:lang w:val="en-US" w:eastAsia="zh-CN"/>
              </w:rPr>
              <w:t>10</w:t>
            </w:r>
            <w:r>
              <w:rPr>
                <w:rFonts w:hint="eastAsia" w:ascii="宋体" w:hAnsi="宋体" w:eastAsia="宋体" w:cs="宋体"/>
                <w:b/>
                <w:bCs/>
                <w:color w:val="auto"/>
                <w:sz w:val="24"/>
                <w:highlight w:val="none"/>
              </w:rPr>
              <w:t>分）</w:t>
            </w:r>
          </w:p>
          <w:p w14:paraId="08BC5744">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一档</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分）</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服务方案简单或基本合理、可行，组织实施简单、表述清晰但</w:t>
            </w:r>
            <w:r>
              <w:rPr>
                <w:rFonts w:hint="eastAsia" w:ascii="宋体" w:hAnsi="宋体" w:eastAsia="宋体" w:cs="宋体"/>
                <w:color w:val="auto"/>
                <w:sz w:val="24"/>
                <w:highlight w:val="none"/>
                <w:lang w:val="en-US" w:eastAsia="zh-CN"/>
              </w:rPr>
              <w:t>没有针对</w:t>
            </w:r>
            <w:r>
              <w:rPr>
                <w:rFonts w:hint="eastAsia" w:ascii="宋体" w:hAnsi="宋体" w:eastAsia="宋体" w:cs="宋体"/>
                <w:color w:val="auto"/>
                <w:sz w:val="24"/>
                <w:highlight w:val="none"/>
              </w:rPr>
              <w:t>性，质量保障能力一般，提出方案完整但是措施保证性不强；</w:t>
            </w:r>
          </w:p>
          <w:p w14:paraId="0DC82BBF">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二档</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分)</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服务方案满足采购文件要求，方案比较细致、合理、可行，保障响应措施到位，有一定的服务经验，整体服务承诺较好、组织实施较详细，质量保障能力较好；</w:t>
            </w:r>
          </w:p>
          <w:p w14:paraId="7FA77B02">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三档</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10</w:t>
            </w:r>
            <w:r>
              <w:rPr>
                <w:rFonts w:hint="eastAsia" w:ascii="宋体" w:hAnsi="宋体" w:eastAsia="宋体" w:cs="宋体"/>
                <w:color w:val="auto"/>
                <w:sz w:val="24"/>
                <w:highlight w:val="none"/>
              </w:rPr>
              <w:t>分）：服务方案优于采购文件要求且细致、合理、可行，保障响应措施较有力，表述清晰、完整，能够针对项目实际情况进行表述，服务经验较丰富，整体服务承诺优秀、组织实施严谨详细，整体服务措施优于项目要求，提出方案完整且能够提出具体措施保证方案顺利实施。</w:t>
            </w:r>
          </w:p>
          <w:p w14:paraId="240E6C9C">
            <w:pPr>
              <w:spacing w:line="360" w:lineRule="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lang w:val="en-US" w:eastAsia="zh-CN"/>
              </w:rPr>
              <w:t>3</w:t>
            </w:r>
            <w:r>
              <w:rPr>
                <w:rFonts w:hint="eastAsia" w:ascii="宋体" w:hAnsi="宋体" w:eastAsia="宋体" w:cs="宋体"/>
                <w:b/>
                <w:bCs/>
                <w:color w:val="auto"/>
                <w:sz w:val="24"/>
                <w:highlight w:val="none"/>
              </w:rPr>
              <w:t>）服务团队（满分</w:t>
            </w:r>
            <w:r>
              <w:rPr>
                <w:rFonts w:hint="eastAsia" w:ascii="宋体" w:hAnsi="宋体" w:cs="宋体"/>
                <w:b/>
                <w:bCs/>
                <w:color w:val="auto"/>
                <w:sz w:val="24"/>
                <w:highlight w:val="none"/>
                <w:lang w:val="en-US" w:eastAsia="zh-CN"/>
              </w:rPr>
              <w:t>20</w:t>
            </w:r>
            <w:r>
              <w:rPr>
                <w:rFonts w:hint="eastAsia" w:ascii="宋体" w:hAnsi="宋体" w:eastAsia="宋体" w:cs="宋体"/>
                <w:b/>
                <w:bCs/>
                <w:color w:val="auto"/>
                <w:sz w:val="24"/>
                <w:highlight w:val="none"/>
              </w:rPr>
              <w:t>分）</w:t>
            </w:r>
          </w:p>
          <w:p w14:paraId="71FE5514">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 1 \* GB3 \* MERGEFORMAT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①</w:t>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t>拟派的项目负责人具有工程师职称的得</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分；具有高级工程师</w:t>
            </w:r>
            <w:r>
              <w:rPr>
                <w:rFonts w:hint="eastAsia" w:ascii="宋体" w:hAnsi="宋体" w:eastAsia="宋体" w:cs="宋体"/>
                <w:color w:val="auto"/>
                <w:sz w:val="24"/>
                <w:highlight w:val="none"/>
                <w:lang w:val="en-US" w:eastAsia="zh-CN"/>
              </w:rPr>
              <w:t>及以上</w:t>
            </w:r>
            <w:r>
              <w:rPr>
                <w:rFonts w:hint="eastAsia" w:ascii="宋体" w:hAnsi="宋体" w:eastAsia="宋体" w:cs="宋体"/>
                <w:color w:val="auto"/>
                <w:sz w:val="24"/>
                <w:highlight w:val="none"/>
              </w:rPr>
              <w:t>职称的得</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分</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同时具有注册土木工程师（道路工程）</w:t>
            </w:r>
            <w:r>
              <w:rPr>
                <w:rFonts w:hint="eastAsia" w:ascii="宋体" w:hAnsi="宋体" w:cs="宋体"/>
                <w:color w:val="auto"/>
                <w:sz w:val="24"/>
                <w:highlight w:val="none"/>
                <w:lang w:val="en-US" w:eastAsia="zh-CN"/>
              </w:rPr>
              <w:t>资格</w:t>
            </w:r>
            <w:r>
              <w:rPr>
                <w:rFonts w:hint="eastAsia" w:ascii="宋体" w:hAnsi="宋体" w:eastAsia="宋体" w:cs="宋体"/>
                <w:color w:val="auto"/>
                <w:sz w:val="24"/>
                <w:highlight w:val="none"/>
                <w:lang w:val="en-US" w:eastAsia="zh-CN"/>
              </w:rPr>
              <w:t>证书</w:t>
            </w:r>
            <w:r>
              <w:rPr>
                <w:rFonts w:hint="eastAsia" w:ascii="宋体" w:hAnsi="宋体" w:eastAsia="宋体" w:cs="宋体"/>
                <w:color w:val="auto"/>
                <w:sz w:val="24"/>
                <w:highlight w:val="none"/>
              </w:rPr>
              <w:t>的得</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分，本项满分为5分。</w:t>
            </w:r>
          </w:p>
          <w:p w14:paraId="345A51C1">
            <w:pPr>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 2 \* GB3 \* MERGEFORMAT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②</w:t>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t>除项目负责人，拟派的技术人员具有高级工程师</w:t>
            </w:r>
            <w:r>
              <w:rPr>
                <w:rFonts w:hint="eastAsia" w:ascii="宋体" w:hAnsi="宋体" w:eastAsia="宋体" w:cs="宋体"/>
                <w:color w:val="auto"/>
                <w:sz w:val="24"/>
                <w:highlight w:val="none"/>
                <w:lang w:eastAsia="zh-CN"/>
              </w:rPr>
              <w:t>及</w:t>
            </w:r>
            <w:r>
              <w:rPr>
                <w:rFonts w:hint="eastAsia" w:ascii="宋体" w:hAnsi="宋体" w:eastAsia="宋体" w:cs="宋体"/>
                <w:color w:val="auto"/>
                <w:sz w:val="24"/>
                <w:highlight w:val="none"/>
              </w:rPr>
              <w:t>以上职称且同时具有注册土木工程师（道路工程）</w:t>
            </w:r>
            <w:r>
              <w:rPr>
                <w:rFonts w:hint="eastAsia" w:ascii="宋体" w:hAnsi="宋体" w:cs="宋体"/>
                <w:color w:val="auto"/>
                <w:sz w:val="24"/>
                <w:highlight w:val="none"/>
                <w:lang w:val="en-US" w:eastAsia="zh-CN"/>
              </w:rPr>
              <w:t>资格</w:t>
            </w:r>
            <w:r>
              <w:rPr>
                <w:rFonts w:hint="eastAsia" w:ascii="宋体" w:hAnsi="宋体" w:eastAsia="宋体" w:cs="宋体"/>
                <w:color w:val="auto"/>
                <w:sz w:val="24"/>
                <w:highlight w:val="none"/>
                <w:lang w:val="en-US" w:eastAsia="zh-CN"/>
              </w:rPr>
              <w:t>证书的每个得2分，满分</w:t>
            </w: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lang w:val="en-US" w:eastAsia="zh-CN"/>
              </w:rPr>
              <w:t>分。</w:t>
            </w:r>
          </w:p>
          <w:p w14:paraId="7279E562">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 3 \* GB3 \* MERGEFORMAT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③</w:t>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t>除项目负责人，拟派的技术人员具有高级工程师</w:t>
            </w:r>
            <w:r>
              <w:rPr>
                <w:rFonts w:hint="eastAsia" w:ascii="宋体" w:hAnsi="宋体" w:eastAsia="宋体" w:cs="宋体"/>
                <w:color w:val="auto"/>
                <w:sz w:val="24"/>
                <w:highlight w:val="none"/>
                <w:lang w:eastAsia="zh-CN"/>
              </w:rPr>
              <w:t>及</w:t>
            </w:r>
            <w:r>
              <w:rPr>
                <w:rFonts w:hint="eastAsia" w:ascii="宋体" w:hAnsi="宋体" w:eastAsia="宋体" w:cs="宋体"/>
                <w:color w:val="auto"/>
                <w:sz w:val="24"/>
                <w:highlight w:val="none"/>
              </w:rPr>
              <w:t>以上职称且同时具有注册土木工程师（</w:t>
            </w:r>
            <w:r>
              <w:rPr>
                <w:rFonts w:hint="eastAsia" w:ascii="宋体" w:hAnsi="宋体" w:eastAsia="宋体" w:cs="宋体"/>
                <w:color w:val="auto"/>
                <w:sz w:val="24"/>
                <w:highlight w:val="none"/>
                <w:lang w:val="en-US" w:eastAsia="zh-CN"/>
              </w:rPr>
              <w:t>岩土</w:t>
            </w: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资格</w:t>
            </w:r>
            <w:r>
              <w:rPr>
                <w:rFonts w:hint="eastAsia" w:ascii="宋体" w:hAnsi="宋体" w:eastAsia="宋体" w:cs="宋体"/>
                <w:color w:val="auto"/>
                <w:sz w:val="24"/>
                <w:highlight w:val="none"/>
                <w:lang w:val="en-US" w:eastAsia="zh-CN"/>
              </w:rPr>
              <w:t>证书的每个得1.5分，满分</w:t>
            </w:r>
            <w:r>
              <w:rPr>
                <w:rFonts w:hint="eastAsia" w:ascii="宋体" w:hAnsi="宋体" w:cs="宋体"/>
                <w:color w:val="auto"/>
                <w:sz w:val="24"/>
                <w:highlight w:val="none"/>
                <w:lang w:val="en-US" w:eastAsia="zh-CN"/>
              </w:rPr>
              <w:t>4.5</w:t>
            </w:r>
            <w:r>
              <w:rPr>
                <w:rFonts w:hint="eastAsia" w:ascii="宋体" w:hAnsi="宋体" w:eastAsia="宋体" w:cs="宋体"/>
                <w:color w:val="auto"/>
                <w:sz w:val="24"/>
                <w:highlight w:val="none"/>
                <w:lang w:val="en-US" w:eastAsia="zh-CN"/>
              </w:rPr>
              <w:t>分</w:t>
            </w:r>
            <w:r>
              <w:rPr>
                <w:rFonts w:hint="eastAsia" w:ascii="宋体" w:hAnsi="宋体" w:eastAsia="宋体" w:cs="宋体"/>
                <w:color w:val="auto"/>
                <w:sz w:val="24"/>
                <w:highlight w:val="none"/>
              </w:rPr>
              <w:t>。</w:t>
            </w:r>
          </w:p>
          <w:p w14:paraId="1C0CD71A">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④</w:t>
            </w:r>
            <w:r>
              <w:rPr>
                <w:rFonts w:hint="eastAsia" w:ascii="宋体" w:hAnsi="宋体" w:eastAsia="宋体" w:cs="宋体"/>
                <w:color w:val="auto"/>
                <w:sz w:val="24"/>
                <w:highlight w:val="none"/>
              </w:rPr>
              <w:t>除项目负责人，拟派的技术人员具有高级工程师</w:t>
            </w:r>
            <w:r>
              <w:rPr>
                <w:rFonts w:hint="eastAsia" w:ascii="宋体" w:hAnsi="宋体" w:eastAsia="宋体" w:cs="宋体"/>
                <w:color w:val="auto"/>
                <w:sz w:val="24"/>
                <w:highlight w:val="none"/>
                <w:lang w:eastAsia="zh-CN"/>
              </w:rPr>
              <w:t>及</w:t>
            </w:r>
            <w:r>
              <w:rPr>
                <w:rFonts w:hint="eastAsia" w:ascii="宋体" w:hAnsi="宋体" w:eastAsia="宋体" w:cs="宋体"/>
                <w:color w:val="auto"/>
                <w:sz w:val="24"/>
                <w:highlight w:val="none"/>
              </w:rPr>
              <w:t>以上职称且同时具有</w:t>
            </w:r>
            <w:r>
              <w:rPr>
                <w:rFonts w:hint="eastAsia" w:ascii="宋体" w:hAnsi="宋体" w:cs="宋体"/>
                <w:color w:val="auto"/>
                <w:sz w:val="24"/>
                <w:highlight w:val="none"/>
                <w:lang w:val="en-US" w:eastAsia="zh-CN"/>
              </w:rPr>
              <w:t>住建部</w:t>
            </w:r>
            <w:r>
              <w:rPr>
                <w:rFonts w:hint="eastAsia" w:ascii="宋体" w:hAnsi="宋体" w:eastAsia="宋体" w:cs="宋体"/>
                <w:color w:val="auto"/>
                <w:sz w:val="24"/>
                <w:highlight w:val="none"/>
                <w:lang w:val="en-US" w:eastAsia="zh-CN"/>
              </w:rPr>
              <w:t>或</w:t>
            </w:r>
            <w:r>
              <w:rPr>
                <w:rFonts w:hint="eastAsia" w:ascii="宋体" w:hAnsi="宋体" w:eastAsia="宋体" w:cs="宋体"/>
                <w:color w:val="auto"/>
                <w:sz w:val="24"/>
                <w:highlight w:val="none"/>
                <w:lang w:eastAsia="zh-CN"/>
              </w:rPr>
              <w:t>交通运输部颁发的</w:t>
            </w:r>
            <w:r>
              <w:rPr>
                <w:rFonts w:hint="eastAsia" w:ascii="宋体" w:hAnsi="宋体" w:cs="宋体"/>
                <w:color w:val="auto"/>
                <w:sz w:val="24"/>
                <w:highlight w:val="none"/>
                <w:lang w:val="en-US" w:eastAsia="zh-CN"/>
              </w:rPr>
              <w:t>注册造价工程师资格</w:t>
            </w:r>
            <w:r>
              <w:rPr>
                <w:rFonts w:hint="eastAsia" w:ascii="宋体" w:hAnsi="宋体" w:eastAsia="宋体" w:cs="宋体"/>
                <w:color w:val="auto"/>
                <w:sz w:val="24"/>
                <w:highlight w:val="none"/>
                <w:lang w:val="en-US" w:eastAsia="zh-CN"/>
              </w:rPr>
              <w:t>证书的每个得1.5分，满分</w:t>
            </w:r>
            <w:r>
              <w:rPr>
                <w:rFonts w:hint="eastAsia" w:ascii="宋体" w:hAnsi="宋体" w:cs="宋体"/>
                <w:color w:val="auto"/>
                <w:sz w:val="24"/>
                <w:highlight w:val="none"/>
                <w:lang w:val="en-US" w:eastAsia="zh-CN"/>
              </w:rPr>
              <w:t>4.5</w:t>
            </w:r>
            <w:r>
              <w:rPr>
                <w:rFonts w:hint="eastAsia" w:ascii="宋体" w:hAnsi="宋体" w:eastAsia="宋体" w:cs="宋体"/>
                <w:color w:val="auto"/>
                <w:sz w:val="24"/>
                <w:highlight w:val="none"/>
                <w:lang w:val="en-US" w:eastAsia="zh-CN"/>
              </w:rPr>
              <w:t>分。</w:t>
            </w:r>
          </w:p>
        </w:tc>
      </w:tr>
      <w:tr w14:paraId="48C23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474" w:type="dxa"/>
            <w:tcBorders>
              <w:top w:val="single" w:color="auto" w:sz="4" w:space="0"/>
              <w:left w:val="single" w:color="auto" w:sz="4" w:space="0"/>
              <w:bottom w:val="single" w:color="auto" w:sz="4" w:space="0"/>
              <w:right w:val="single" w:color="auto" w:sz="4" w:space="0"/>
            </w:tcBorders>
            <w:vAlign w:val="center"/>
          </w:tcPr>
          <w:p w14:paraId="7983FBEE">
            <w:pPr>
              <w:adjustRightInd w:val="0"/>
              <w:spacing w:line="360" w:lineRule="auto"/>
              <w:jc w:val="center"/>
              <w:textAlignment w:val="baseline"/>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w:t>
            </w:r>
          </w:p>
        </w:tc>
        <w:tc>
          <w:tcPr>
            <w:tcW w:w="1451" w:type="dxa"/>
            <w:tcBorders>
              <w:top w:val="single" w:color="auto" w:sz="4" w:space="0"/>
              <w:left w:val="single" w:color="auto" w:sz="4" w:space="0"/>
              <w:bottom w:val="single" w:color="auto" w:sz="4" w:space="0"/>
              <w:right w:val="single" w:color="auto" w:sz="4" w:space="0"/>
            </w:tcBorders>
            <w:vAlign w:val="center"/>
          </w:tcPr>
          <w:p w14:paraId="74309455">
            <w:pPr>
              <w:adjustRightInd w:val="0"/>
              <w:spacing w:line="360" w:lineRule="auto"/>
              <w:jc w:val="center"/>
              <w:textAlignment w:val="baseline"/>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商务分</w:t>
            </w:r>
          </w:p>
          <w:p w14:paraId="65F62A33">
            <w:pPr>
              <w:adjustRightInd w:val="0"/>
              <w:spacing w:line="360" w:lineRule="auto"/>
              <w:jc w:val="center"/>
              <w:textAlignment w:val="baseline"/>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（满分</w:t>
            </w:r>
            <w:r>
              <w:rPr>
                <w:rFonts w:hint="eastAsia" w:ascii="宋体" w:hAnsi="宋体" w:cs="宋体"/>
                <w:b/>
                <w:color w:val="auto"/>
                <w:sz w:val="24"/>
                <w:highlight w:val="none"/>
                <w:lang w:val="en-US" w:eastAsia="zh-CN"/>
              </w:rPr>
              <w:t>20</w:t>
            </w:r>
            <w:r>
              <w:rPr>
                <w:rFonts w:hint="eastAsia" w:ascii="宋体" w:hAnsi="宋体" w:eastAsia="宋体" w:cs="宋体"/>
                <w:b/>
                <w:color w:val="auto"/>
                <w:sz w:val="24"/>
                <w:highlight w:val="none"/>
              </w:rPr>
              <w:t>分）</w:t>
            </w:r>
          </w:p>
          <w:p w14:paraId="02BDE0F6">
            <w:pPr>
              <w:adjustRightInd w:val="0"/>
              <w:spacing w:line="360" w:lineRule="auto"/>
              <w:jc w:val="center"/>
              <w:textAlignment w:val="baseline"/>
              <w:rPr>
                <w:rFonts w:hint="eastAsia" w:ascii="宋体" w:hAnsi="宋体" w:eastAsia="宋体" w:cs="宋体"/>
                <w:b/>
                <w:color w:val="auto"/>
                <w:sz w:val="24"/>
                <w:highlight w:val="none"/>
              </w:rPr>
            </w:pPr>
          </w:p>
        </w:tc>
        <w:tc>
          <w:tcPr>
            <w:tcW w:w="7455"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6940F3FB">
            <w:pPr>
              <w:spacing w:line="360" w:lineRule="auto"/>
              <w:rPr>
                <w:rFonts w:hint="eastAsia" w:ascii="宋体" w:hAnsi="宋体" w:eastAsia="宋体" w:cs="宋体"/>
                <w:color w:val="auto"/>
                <w:sz w:val="24"/>
                <w:highlight w:val="none"/>
              </w:rPr>
            </w:pPr>
            <w:r>
              <w:rPr>
                <w:rFonts w:hint="eastAsia" w:ascii="宋体" w:hAnsi="宋体" w:eastAsia="宋体" w:cs="宋体"/>
                <w:bCs/>
                <w:color w:val="auto"/>
                <w:kern w:val="0"/>
                <w:sz w:val="24"/>
                <w:highlight w:val="none"/>
                <w:lang w:eastAsia="zh-CN"/>
              </w:rPr>
              <w:t>供应商20</w:t>
            </w:r>
            <w:r>
              <w:rPr>
                <w:rFonts w:hint="eastAsia" w:ascii="宋体" w:hAnsi="宋体" w:eastAsia="宋体" w:cs="宋体"/>
                <w:bCs/>
                <w:color w:val="auto"/>
                <w:kern w:val="0"/>
                <w:sz w:val="24"/>
                <w:highlight w:val="none"/>
                <w:lang w:val="en-US" w:eastAsia="zh-CN"/>
              </w:rPr>
              <w:t>20</w:t>
            </w:r>
            <w:r>
              <w:rPr>
                <w:rFonts w:hint="eastAsia" w:ascii="宋体" w:hAnsi="宋体" w:eastAsia="宋体" w:cs="宋体"/>
                <w:bCs/>
                <w:color w:val="auto"/>
                <w:kern w:val="0"/>
                <w:sz w:val="24"/>
                <w:highlight w:val="none"/>
                <w:lang w:eastAsia="zh-CN"/>
              </w:rPr>
              <w:t>年</w:t>
            </w:r>
            <w:r>
              <w:rPr>
                <w:rFonts w:hint="eastAsia" w:ascii="宋体" w:hAnsi="宋体" w:eastAsia="宋体" w:cs="宋体"/>
                <w:bCs/>
                <w:color w:val="auto"/>
                <w:kern w:val="0"/>
                <w:sz w:val="24"/>
                <w:highlight w:val="none"/>
                <w:lang w:val="en-US" w:eastAsia="zh-CN"/>
              </w:rPr>
              <w:t>11月1日</w:t>
            </w:r>
            <w:r>
              <w:rPr>
                <w:rFonts w:hint="eastAsia" w:ascii="宋体" w:hAnsi="宋体" w:eastAsia="宋体" w:cs="宋体"/>
                <w:bCs/>
                <w:color w:val="auto"/>
                <w:kern w:val="0"/>
                <w:sz w:val="24"/>
                <w:highlight w:val="none"/>
                <w:lang w:eastAsia="zh-CN"/>
              </w:rPr>
              <w:t>至响应文件递交截止之日，具有类似项目业绩的每个得</w:t>
            </w:r>
            <w:r>
              <w:rPr>
                <w:rFonts w:hint="eastAsia" w:ascii="宋体" w:hAnsi="宋体" w:cs="宋体"/>
                <w:bCs/>
                <w:color w:val="auto"/>
                <w:kern w:val="0"/>
                <w:sz w:val="24"/>
                <w:highlight w:val="none"/>
                <w:lang w:val="en-US" w:eastAsia="zh-CN"/>
              </w:rPr>
              <w:t>10</w:t>
            </w:r>
            <w:r>
              <w:rPr>
                <w:rFonts w:hint="eastAsia" w:ascii="宋体" w:hAnsi="宋体" w:eastAsia="宋体" w:cs="宋体"/>
                <w:bCs/>
                <w:color w:val="auto"/>
                <w:kern w:val="0"/>
                <w:sz w:val="24"/>
                <w:highlight w:val="none"/>
                <w:lang w:eastAsia="zh-CN"/>
              </w:rPr>
              <w:t>分，满分</w:t>
            </w:r>
            <w:r>
              <w:rPr>
                <w:rFonts w:hint="eastAsia" w:ascii="宋体" w:hAnsi="宋体" w:cs="宋体"/>
                <w:bCs/>
                <w:color w:val="auto"/>
                <w:kern w:val="0"/>
                <w:sz w:val="24"/>
                <w:highlight w:val="none"/>
                <w:lang w:val="en-US" w:eastAsia="zh-CN"/>
              </w:rPr>
              <w:t>20</w:t>
            </w:r>
            <w:r>
              <w:rPr>
                <w:rFonts w:hint="eastAsia" w:ascii="宋体" w:hAnsi="宋体" w:eastAsia="宋体" w:cs="宋体"/>
                <w:bCs/>
                <w:color w:val="auto"/>
                <w:kern w:val="0"/>
                <w:sz w:val="24"/>
                <w:highlight w:val="none"/>
                <w:lang w:eastAsia="zh-CN"/>
              </w:rPr>
              <w:t>分。（</w:t>
            </w:r>
            <w:r>
              <w:rPr>
                <w:rFonts w:hint="eastAsia" w:ascii="宋体" w:hAnsi="宋体" w:eastAsia="宋体" w:cs="宋体"/>
                <w:bCs/>
                <w:color w:val="auto"/>
                <w:kern w:val="0"/>
                <w:sz w:val="24"/>
                <w:highlight w:val="none"/>
                <w:lang w:val="en-US" w:eastAsia="zh-CN"/>
              </w:rPr>
              <w:t>须</w:t>
            </w:r>
            <w:r>
              <w:rPr>
                <w:rFonts w:hint="eastAsia" w:ascii="宋体" w:hAnsi="宋体" w:eastAsia="宋体" w:cs="宋体"/>
                <w:bCs/>
                <w:color w:val="auto"/>
                <w:kern w:val="0"/>
                <w:sz w:val="24"/>
                <w:highlight w:val="none"/>
                <w:lang w:eastAsia="zh-CN"/>
              </w:rPr>
              <w:t>提供合同或中标（成交）通知书复印件加盖竞标人公章）。</w:t>
            </w:r>
          </w:p>
        </w:tc>
      </w:tr>
      <w:tr w14:paraId="76AB6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380" w:type="dxa"/>
            <w:gridSpan w:val="4"/>
            <w:tcBorders>
              <w:top w:val="single" w:color="auto" w:sz="4" w:space="0"/>
              <w:left w:val="single" w:color="auto" w:sz="4" w:space="0"/>
              <w:bottom w:val="single" w:color="auto" w:sz="4" w:space="0"/>
              <w:right w:val="single" w:color="auto" w:sz="4" w:space="0"/>
            </w:tcBorders>
            <w:vAlign w:val="center"/>
          </w:tcPr>
          <w:p w14:paraId="34152CB4">
            <w:pPr>
              <w:spacing w:line="360" w:lineRule="auto"/>
              <w:ind w:firstLine="480" w:firstLineChars="0"/>
              <w:rPr>
                <w:rFonts w:hint="eastAsia" w:ascii="宋体" w:hAnsi="宋体" w:eastAsia="宋体" w:cs="宋体"/>
                <w:bCs/>
                <w:color w:val="auto"/>
                <w:sz w:val="24"/>
                <w:highlight w:val="none"/>
              </w:rPr>
            </w:pPr>
            <w:r>
              <w:rPr>
                <w:rFonts w:hint="eastAsia" w:ascii="宋体" w:hAnsi="宋体" w:eastAsia="宋体" w:cs="宋体"/>
                <w:b/>
                <w:bCs/>
                <w:color w:val="auto"/>
                <w:sz w:val="24"/>
                <w:highlight w:val="none"/>
              </w:rPr>
              <w:t>总得分=1+2+3。</w:t>
            </w:r>
          </w:p>
        </w:tc>
      </w:tr>
    </w:tbl>
    <w:p w14:paraId="7E3EAAB8">
      <w:pPr>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70201CA1">
      <w:pPr>
        <w:snapToGrid w:val="0"/>
        <w:spacing w:line="360" w:lineRule="auto"/>
        <w:ind w:firstLine="480"/>
        <w:jc w:val="center"/>
        <w:outlineLvl w:val="1"/>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4分标</w:t>
      </w:r>
    </w:p>
    <w:tbl>
      <w:tblPr>
        <w:tblStyle w:val="29"/>
        <w:tblW w:w="95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2"/>
        <w:gridCol w:w="1471"/>
        <w:gridCol w:w="944"/>
        <w:gridCol w:w="6616"/>
      </w:tblGrid>
      <w:tr w14:paraId="2CF61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3" w:type="dxa"/>
            <w:gridSpan w:val="2"/>
            <w:tcBorders>
              <w:top w:val="single" w:color="auto" w:sz="4" w:space="0"/>
              <w:left w:val="single" w:color="auto" w:sz="4" w:space="0"/>
              <w:bottom w:val="single" w:color="auto" w:sz="4" w:space="0"/>
              <w:right w:val="single" w:color="auto" w:sz="4" w:space="0"/>
            </w:tcBorders>
            <w:vAlign w:val="center"/>
          </w:tcPr>
          <w:p w14:paraId="3D98FC37">
            <w:pPr>
              <w:adjustRightInd w:val="0"/>
              <w:spacing w:line="360" w:lineRule="auto"/>
              <w:jc w:val="center"/>
              <w:textAlignment w:val="baseline"/>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944" w:type="dxa"/>
            <w:tcBorders>
              <w:top w:val="single" w:color="auto" w:sz="4" w:space="0"/>
              <w:left w:val="single" w:color="auto" w:sz="4" w:space="0"/>
              <w:bottom w:val="single" w:color="auto" w:sz="4" w:space="0"/>
              <w:right w:val="single" w:color="auto" w:sz="4" w:space="0"/>
            </w:tcBorders>
            <w:vAlign w:val="center"/>
          </w:tcPr>
          <w:p w14:paraId="482ECD36">
            <w:pPr>
              <w:adjustRightInd w:val="0"/>
              <w:spacing w:line="360" w:lineRule="auto"/>
              <w:jc w:val="center"/>
              <w:textAlignment w:val="baseline"/>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评审因素</w:t>
            </w:r>
          </w:p>
        </w:tc>
        <w:tc>
          <w:tcPr>
            <w:tcW w:w="6616" w:type="dxa"/>
            <w:tcBorders>
              <w:top w:val="single" w:color="auto" w:sz="4" w:space="0"/>
              <w:left w:val="single" w:color="auto" w:sz="4" w:space="0"/>
              <w:bottom w:val="single" w:color="auto" w:sz="4" w:space="0"/>
              <w:right w:val="single" w:color="auto" w:sz="4" w:space="0"/>
            </w:tcBorders>
            <w:vAlign w:val="center"/>
          </w:tcPr>
          <w:p w14:paraId="2EC9FC9D">
            <w:pPr>
              <w:adjustRightInd w:val="0"/>
              <w:spacing w:line="360" w:lineRule="auto"/>
              <w:jc w:val="center"/>
              <w:textAlignment w:val="baseline"/>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评分标准</w:t>
            </w:r>
          </w:p>
        </w:tc>
      </w:tr>
      <w:tr w14:paraId="7E787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 w:type="dxa"/>
            <w:tcBorders>
              <w:top w:val="single" w:color="auto" w:sz="4" w:space="0"/>
              <w:left w:val="single" w:color="auto" w:sz="4" w:space="0"/>
              <w:bottom w:val="single" w:color="auto" w:sz="4" w:space="0"/>
              <w:right w:val="single" w:color="auto" w:sz="4" w:space="0"/>
            </w:tcBorders>
            <w:vAlign w:val="center"/>
          </w:tcPr>
          <w:p w14:paraId="2F0E93AB">
            <w:pPr>
              <w:adjustRightInd w:val="0"/>
              <w:spacing w:line="360" w:lineRule="auto"/>
              <w:jc w:val="center"/>
              <w:textAlignment w:val="baseline"/>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w:t>
            </w:r>
          </w:p>
        </w:tc>
        <w:tc>
          <w:tcPr>
            <w:tcW w:w="1471" w:type="dxa"/>
            <w:tcBorders>
              <w:top w:val="single" w:color="auto" w:sz="4" w:space="0"/>
              <w:left w:val="single" w:color="auto" w:sz="4" w:space="0"/>
              <w:bottom w:val="single" w:color="auto" w:sz="4" w:space="0"/>
              <w:right w:val="single" w:color="auto" w:sz="4" w:space="0"/>
            </w:tcBorders>
            <w:vAlign w:val="center"/>
          </w:tcPr>
          <w:p w14:paraId="599DFF74">
            <w:pPr>
              <w:adjustRightInd w:val="0"/>
              <w:spacing w:line="360" w:lineRule="auto"/>
              <w:jc w:val="center"/>
              <w:textAlignment w:val="baseline"/>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价格分</w:t>
            </w:r>
          </w:p>
          <w:p w14:paraId="25CF2A38">
            <w:pPr>
              <w:adjustRightInd w:val="0"/>
              <w:spacing w:line="360" w:lineRule="auto"/>
              <w:jc w:val="center"/>
              <w:textAlignment w:val="baseline"/>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（满分</w:t>
            </w:r>
            <w:r>
              <w:rPr>
                <w:rFonts w:hint="eastAsia" w:ascii="宋体" w:hAnsi="宋体" w:cs="宋体"/>
                <w:b/>
                <w:color w:val="auto"/>
                <w:sz w:val="24"/>
                <w:highlight w:val="none"/>
                <w:lang w:val="en-US" w:eastAsia="zh-CN"/>
              </w:rPr>
              <w:t>1</w:t>
            </w:r>
            <w:r>
              <w:rPr>
                <w:rFonts w:hint="eastAsia" w:ascii="宋体" w:hAnsi="宋体" w:eastAsia="宋体" w:cs="宋体"/>
                <w:b/>
                <w:color w:val="auto"/>
                <w:sz w:val="24"/>
                <w:highlight w:val="none"/>
                <w:lang w:val="en-US" w:eastAsia="zh-CN"/>
              </w:rPr>
              <w:t>0</w:t>
            </w:r>
            <w:r>
              <w:rPr>
                <w:rFonts w:hint="eastAsia" w:ascii="宋体" w:hAnsi="宋体" w:eastAsia="宋体" w:cs="宋体"/>
                <w:b/>
                <w:color w:val="auto"/>
                <w:sz w:val="24"/>
                <w:highlight w:val="none"/>
              </w:rPr>
              <w:t>分）</w:t>
            </w:r>
          </w:p>
        </w:tc>
        <w:tc>
          <w:tcPr>
            <w:tcW w:w="944" w:type="dxa"/>
            <w:tcBorders>
              <w:top w:val="single" w:color="auto" w:sz="4" w:space="0"/>
              <w:left w:val="single" w:color="auto" w:sz="4" w:space="0"/>
              <w:bottom w:val="single" w:color="auto" w:sz="4" w:space="0"/>
              <w:right w:val="single" w:color="auto" w:sz="4" w:space="0"/>
            </w:tcBorders>
            <w:vAlign w:val="center"/>
          </w:tcPr>
          <w:p w14:paraId="2337F080">
            <w:pPr>
              <w:adjustRightInd w:val="0"/>
              <w:spacing w:line="360" w:lineRule="auto"/>
              <w:jc w:val="center"/>
              <w:textAlignment w:val="baseline"/>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磋商报价</w:t>
            </w:r>
          </w:p>
        </w:tc>
        <w:tc>
          <w:tcPr>
            <w:tcW w:w="6616" w:type="dxa"/>
            <w:tcBorders>
              <w:top w:val="single" w:color="auto" w:sz="4" w:space="0"/>
              <w:left w:val="single" w:color="auto" w:sz="4" w:space="0"/>
              <w:bottom w:val="single" w:color="auto" w:sz="4" w:space="0"/>
              <w:right w:val="single" w:color="auto" w:sz="4" w:space="0"/>
            </w:tcBorders>
            <w:vAlign w:val="center"/>
          </w:tcPr>
          <w:p w14:paraId="223EC38B">
            <w:pPr>
              <w:spacing w:line="360" w:lineRule="auto"/>
              <w:ind w:firstLine="482"/>
              <w:rPr>
                <w:rFonts w:hint="eastAsia" w:ascii="宋体" w:hAnsi="宋体" w:eastAsia="宋体" w:cs="宋体"/>
                <w:b/>
                <w:bCs w:val="0"/>
                <w:color w:val="auto"/>
                <w:sz w:val="24"/>
                <w:highlight w:val="none"/>
              </w:rPr>
            </w:pPr>
            <w:r>
              <w:rPr>
                <w:rFonts w:hint="eastAsia" w:ascii="宋体" w:hAnsi="宋体" w:eastAsia="宋体" w:cs="宋体"/>
                <w:b/>
                <w:bCs w:val="0"/>
                <w:color w:val="auto"/>
                <w:sz w:val="24"/>
                <w:highlight w:val="none"/>
                <w:lang w:eastAsia="zh-CN"/>
              </w:rPr>
              <w:t>□</w:t>
            </w:r>
            <w:r>
              <w:rPr>
                <w:rFonts w:hint="eastAsia" w:ascii="宋体" w:hAnsi="宋体" w:eastAsia="宋体" w:cs="宋体"/>
                <w:b/>
                <w:bCs w:val="0"/>
                <w:color w:val="auto"/>
                <w:sz w:val="24"/>
                <w:highlight w:val="none"/>
              </w:rPr>
              <w:t>本项目为专门面</w:t>
            </w:r>
            <w:r>
              <w:rPr>
                <w:rFonts w:hint="eastAsia" w:ascii="宋体" w:hAnsi="宋体" w:eastAsia="宋体" w:cs="宋体"/>
                <w:b/>
                <w:bCs w:val="0"/>
                <w:color w:val="auto"/>
                <w:sz w:val="24"/>
                <w:highlight w:val="none"/>
                <w:lang w:val="en-US" w:eastAsia="zh-CN"/>
              </w:rPr>
              <w:t>向</w:t>
            </w:r>
            <w:r>
              <w:rPr>
                <w:rFonts w:hint="eastAsia" w:ascii="宋体" w:hAnsi="宋体" w:eastAsia="宋体" w:cs="宋体"/>
                <w:b/>
                <w:bCs w:val="0"/>
                <w:color w:val="auto"/>
                <w:sz w:val="24"/>
                <w:highlight w:val="none"/>
              </w:rPr>
              <w:t>中小企业采购项目，小型企业、微型企业、监狱企业、残疾人福利性单位均不再执行价格评审优惠的扶持政策。</w:t>
            </w:r>
          </w:p>
          <w:p w14:paraId="584CB008">
            <w:pPr>
              <w:spacing w:line="360" w:lineRule="auto"/>
              <w:ind w:firstLine="482"/>
              <w:rPr>
                <w:rFonts w:hint="eastAsia" w:ascii="宋体" w:hAnsi="宋体" w:eastAsia="宋体" w:cs="宋体"/>
                <w:bCs/>
                <w:color w:val="auto"/>
                <w:sz w:val="24"/>
                <w:highlight w:val="none"/>
              </w:rPr>
            </w:pPr>
            <w:r>
              <w:rPr>
                <w:rFonts w:hint="eastAsia" w:ascii="宋体" w:hAnsi="宋体" w:eastAsia="宋体" w:cs="宋体"/>
                <w:b/>
                <w:bCs w:val="0"/>
                <w:color w:val="auto"/>
                <w:sz w:val="24"/>
                <w:highlight w:val="none"/>
                <w:lang w:eastAsia="zh-CN"/>
              </w:rPr>
              <w:t>☑</w:t>
            </w:r>
            <w:r>
              <w:rPr>
                <w:rFonts w:hint="eastAsia" w:ascii="宋体" w:hAnsi="宋体" w:eastAsia="宋体" w:cs="宋体"/>
                <w:b/>
                <w:bCs w:val="0"/>
                <w:color w:val="auto"/>
                <w:sz w:val="24"/>
                <w:highlight w:val="none"/>
              </w:rPr>
              <w:t>本项目为非专门面向中小企业采购项目（政府采购政策性扣除计算方法）</w:t>
            </w:r>
            <w:r>
              <w:rPr>
                <w:rFonts w:hint="eastAsia" w:ascii="宋体" w:hAnsi="宋体" w:eastAsia="宋体" w:cs="宋体"/>
                <w:bCs/>
                <w:color w:val="auto"/>
                <w:sz w:val="24"/>
                <w:highlight w:val="none"/>
              </w:rPr>
              <w:t>：</w:t>
            </w:r>
          </w:p>
          <w:p w14:paraId="6212492B">
            <w:pPr>
              <w:spacing w:line="360" w:lineRule="auto"/>
              <w:ind w:firstLine="482"/>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1.评审报价为供应商的最后报价进行政策性扣除后的价格，评审报价只是作为评审时使用。最终成交供应商的成交金额等于最后报价（如有修正，以确认修正后的最后报价为准）。</w:t>
            </w:r>
          </w:p>
          <w:p w14:paraId="0C13D84A">
            <w:pPr>
              <w:spacing w:line="360" w:lineRule="auto"/>
              <w:ind w:firstLine="482"/>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2.政府采购政策性扣除计算方法</w:t>
            </w:r>
          </w:p>
          <w:p w14:paraId="6C19127F">
            <w:pPr>
              <w:spacing w:line="360" w:lineRule="auto"/>
              <w:ind w:firstLine="482"/>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（1）按照《政府采购促进中小企业发展管理办法》（财库〔2020〕46号）的规定，供应商在其响应文件中提供《中小企业声明函》，且其服务为小型和微型企业承接的，对其最后报价给予</w:t>
            </w:r>
            <w:r>
              <w:rPr>
                <w:rFonts w:hint="eastAsia" w:ascii="宋体" w:hAnsi="宋体" w:eastAsia="宋体" w:cs="宋体"/>
                <w:bCs/>
                <w:color w:val="auto"/>
                <w:sz w:val="24"/>
                <w:highlight w:val="none"/>
                <w:lang w:val="en-US" w:eastAsia="zh-CN"/>
              </w:rPr>
              <w:t>1</w:t>
            </w:r>
            <w:r>
              <w:rPr>
                <w:rFonts w:hint="eastAsia" w:ascii="宋体" w:hAnsi="宋体" w:eastAsia="宋体" w:cs="宋体"/>
                <w:bCs/>
                <w:color w:val="auto"/>
                <w:sz w:val="24"/>
                <w:highlight w:val="none"/>
              </w:rPr>
              <w:t>0%的扣除。</w:t>
            </w:r>
          </w:p>
          <w:p w14:paraId="38CE2637">
            <w:pPr>
              <w:spacing w:line="360" w:lineRule="auto"/>
              <w:ind w:firstLine="482"/>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019A2E0B">
            <w:pPr>
              <w:spacing w:line="360" w:lineRule="auto"/>
              <w:ind w:firstLine="482"/>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18C2931C">
            <w:pPr>
              <w:spacing w:line="360" w:lineRule="auto"/>
              <w:ind w:firstLine="482"/>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（4）政策性扣除计算方法。</w:t>
            </w:r>
          </w:p>
          <w:p w14:paraId="04C6330B">
            <w:pPr>
              <w:spacing w:line="360" w:lineRule="auto"/>
              <w:ind w:firstLine="482"/>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在服务采购项目中，服务由小微企业承接；对符合上述要求的供应商的响应报价给予</w:t>
            </w:r>
            <w:r>
              <w:rPr>
                <w:rFonts w:hint="eastAsia" w:ascii="宋体" w:hAnsi="宋体" w:eastAsia="宋体" w:cs="宋体"/>
                <w:bCs/>
                <w:color w:val="auto"/>
                <w:sz w:val="24"/>
                <w:highlight w:val="none"/>
                <w:lang w:val="en-US" w:eastAsia="zh-CN"/>
              </w:rPr>
              <w:t>1</w:t>
            </w:r>
            <w:r>
              <w:rPr>
                <w:rFonts w:hint="eastAsia" w:ascii="宋体" w:hAnsi="宋体" w:eastAsia="宋体" w:cs="宋体"/>
                <w:bCs/>
                <w:color w:val="auto"/>
                <w:sz w:val="24"/>
                <w:highlight w:val="none"/>
              </w:rPr>
              <w:t>0%的扣除，扣除后的价格为评审报价，即评审报价=响应报价×（1-</w:t>
            </w:r>
            <w:r>
              <w:rPr>
                <w:rFonts w:hint="eastAsia" w:ascii="宋体" w:hAnsi="宋体" w:eastAsia="宋体" w:cs="宋体"/>
                <w:bCs/>
                <w:color w:val="auto"/>
                <w:sz w:val="24"/>
                <w:highlight w:val="none"/>
                <w:lang w:val="en-US" w:eastAsia="zh-CN"/>
              </w:rPr>
              <w:t>1</w:t>
            </w:r>
            <w:r>
              <w:rPr>
                <w:rFonts w:hint="eastAsia" w:ascii="宋体" w:hAnsi="宋体" w:eastAsia="宋体" w:cs="宋体"/>
                <w:bCs/>
                <w:color w:val="auto"/>
                <w:sz w:val="24"/>
                <w:highlight w:val="none"/>
              </w:rPr>
              <w:t>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w:t>
            </w:r>
            <w:r>
              <w:rPr>
                <w:rFonts w:hint="eastAsia" w:ascii="宋体" w:hAnsi="宋体" w:eastAsia="宋体" w:cs="宋体"/>
                <w:bCs/>
                <w:color w:val="auto"/>
                <w:sz w:val="24"/>
                <w:highlight w:val="none"/>
                <w:lang w:val="en-US" w:eastAsia="zh-CN"/>
              </w:rPr>
              <w:t>5</w:t>
            </w:r>
            <w:r>
              <w:rPr>
                <w:rFonts w:hint="eastAsia" w:ascii="宋体" w:hAnsi="宋体" w:eastAsia="宋体" w:cs="宋体"/>
                <w:bCs/>
                <w:color w:val="auto"/>
                <w:sz w:val="24"/>
                <w:highlight w:val="none"/>
              </w:rPr>
              <w:t>%的扣除，用扣除后的价格参加评审，扣除后的价格为评审报价，即评审报价=响应报价×（1-</w:t>
            </w:r>
            <w:r>
              <w:rPr>
                <w:rFonts w:hint="eastAsia" w:ascii="宋体" w:hAnsi="宋体" w:eastAsia="宋体" w:cs="宋体"/>
                <w:bCs/>
                <w:color w:val="auto"/>
                <w:sz w:val="24"/>
                <w:highlight w:val="none"/>
                <w:lang w:val="en-US" w:eastAsia="zh-CN"/>
              </w:rPr>
              <w:t>5</w:t>
            </w:r>
            <w:r>
              <w:rPr>
                <w:rFonts w:hint="eastAsia" w:ascii="宋体" w:hAnsi="宋体" w:eastAsia="宋体" w:cs="宋体"/>
                <w:bCs/>
                <w:color w:val="auto"/>
                <w:sz w:val="24"/>
                <w:highlight w:val="none"/>
              </w:rPr>
              <w:t>%）。除上述情况外，评审报价=响应报价。</w:t>
            </w:r>
          </w:p>
          <w:p w14:paraId="7764D15E">
            <w:pPr>
              <w:spacing w:line="360" w:lineRule="auto"/>
              <w:ind w:firstLine="482"/>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（5）以进入比较与评价环节的最低的评审报价为基准价。</w:t>
            </w:r>
          </w:p>
          <w:p w14:paraId="5EED0EF4">
            <w:pPr>
              <w:spacing w:line="360" w:lineRule="auto"/>
              <w:ind w:firstLine="482"/>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（6）价格分计算公式：</w:t>
            </w:r>
          </w:p>
          <w:p w14:paraId="3BB02E66">
            <w:pPr>
              <w:spacing w:line="360" w:lineRule="auto"/>
              <w:ind w:firstLine="482" w:firstLineChars="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报价得分=（基准价/最后报价）×</w:t>
            </w:r>
            <w:r>
              <w:rPr>
                <w:rFonts w:hint="eastAsia" w:ascii="宋体" w:hAnsi="宋体" w:cs="宋体"/>
                <w:bCs/>
                <w:color w:val="auto"/>
                <w:sz w:val="24"/>
                <w:highlight w:val="none"/>
                <w:lang w:val="en-US" w:eastAsia="zh-CN"/>
              </w:rPr>
              <w:t>1</w:t>
            </w:r>
            <w:r>
              <w:rPr>
                <w:rFonts w:hint="eastAsia" w:ascii="宋体" w:hAnsi="宋体" w:eastAsia="宋体" w:cs="宋体"/>
                <w:bCs/>
                <w:color w:val="auto"/>
                <w:sz w:val="24"/>
                <w:highlight w:val="none"/>
                <w:lang w:val="en-US" w:eastAsia="zh-CN"/>
              </w:rPr>
              <w:t>0</w:t>
            </w:r>
            <w:r>
              <w:rPr>
                <w:rFonts w:hint="eastAsia" w:ascii="宋体" w:hAnsi="宋体" w:eastAsia="宋体" w:cs="宋体"/>
                <w:bCs/>
                <w:color w:val="auto"/>
                <w:sz w:val="24"/>
                <w:highlight w:val="none"/>
              </w:rPr>
              <w:t>分</w:t>
            </w:r>
          </w:p>
        </w:tc>
      </w:tr>
      <w:tr w14:paraId="0960C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 w:type="dxa"/>
            <w:tcBorders>
              <w:top w:val="single" w:color="auto" w:sz="4" w:space="0"/>
              <w:left w:val="single" w:color="auto" w:sz="4" w:space="0"/>
              <w:bottom w:val="single" w:color="auto" w:sz="4" w:space="0"/>
              <w:right w:val="single" w:color="auto" w:sz="4" w:space="0"/>
            </w:tcBorders>
            <w:vAlign w:val="center"/>
          </w:tcPr>
          <w:p w14:paraId="263B5E16">
            <w:pPr>
              <w:adjustRightInd w:val="0"/>
              <w:spacing w:line="360" w:lineRule="auto"/>
              <w:jc w:val="center"/>
              <w:textAlignment w:val="baseline"/>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w:t>
            </w:r>
          </w:p>
        </w:tc>
        <w:tc>
          <w:tcPr>
            <w:tcW w:w="1471" w:type="dxa"/>
            <w:tcBorders>
              <w:top w:val="single" w:color="auto" w:sz="4" w:space="0"/>
              <w:left w:val="single" w:color="auto" w:sz="4" w:space="0"/>
              <w:bottom w:val="single" w:color="auto" w:sz="4" w:space="0"/>
              <w:right w:val="single" w:color="auto" w:sz="4" w:space="0"/>
            </w:tcBorders>
            <w:vAlign w:val="center"/>
          </w:tcPr>
          <w:p w14:paraId="4A98DF17">
            <w:pPr>
              <w:adjustRightInd w:val="0"/>
              <w:spacing w:line="360" w:lineRule="auto"/>
              <w:jc w:val="center"/>
              <w:textAlignment w:val="baseline"/>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技术分</w:t>
            </w:r>
          </w:p>
          <w:p w14:paraId="53098B58">
            <w:pPr>
              <w:adjustRightInd w:val="0"/>
              <w:spacing w:line="360" w:lineRule="auto"/>
              <w:jc w:val="center"/>
              <w:textAlignment w:val="baseline"/>
              <w:rPr>
                <w:rFonts w:hint="eastAsia" w:ascii="宋体" w:hAnsi="宋体" w:eastAsia="宋体" w:cs="宋体"/>
                <w:b/>
                <w:color w:val="auto"/>
                <w:sz w:val="24"/>
                <w:highlight w:val="none"/>
              </w:rPr>
            </w:pPr>
            <w:r>
              <w:rPr>
                <w:rFonts w:hint="eastAsia" w:ascii="宋体" w:hAnsi="宋体" w:eastAsia="宋体" w:cs="宋体"/>
                <w:b/>
                <w:color w:val="auto"/>
                <w:sz w:val="24"/>
                <w:highlight w:val="none"/>
              </w:rPr>
              <w:t>（</w:t>
            </w:r>
            <w:r>
              <w:rPr>
                <w:rFonts w:hint="eastAsia" w:ascii="宋体" w:hAnsi="宋体" w:cs="宋体"/>
                <w:b/>
                <w:color w:val="auto"/>
                <w:sz w:val="24"/>
                <w:highlight w:val="none"/>
                <w:lang w:val="en-US" w:eastAsia="zh-CN"/>
              </w:rPr>
              <w:t>70</w:t>
            </w:r>
            <w:r>
              <w:rPr>
                <w:rFonts w:hint="eastAsia" w:ascii="宋体" w:hAnsi="宋体" w:eastAsia="宋体" w:cs="宋体"/>
                <w:b/>
                <w:color w:val="auto"/>
                <w:sz w:val="24"/>
                <w:highlight w:val="none"/>
              </w:rPr>
              <w:t>分）</w:t>
            </w:r>
          </w:p>
        </w:tc>
        <w:tc>
          <w:tcPr>
            <w:tcW w:w="7560" w:type="dxa"/>
            <w:gridSpan w:val="2"/>
            <w:tcBorders>
              <w:top w:val="single" w:color="auto" w:sz="4" w:space="0"/>
              <w:left w:val="single" w:color="auto" w:sz="4" w:space="0"/>
              <w:bottom w:val="single" w:color="auto" w:sz="4" w:space="0"/>
              <w:right w:val="single" w:color="auto" w:sz="4" w:space="0"/>
            </w:tcBorders>
            <w:vAlign w:val="center"/>
          </w:tcPr>
          <w:p w14:paraId="6432B0A0">
            <w:pPr>
              <w:numPr>
                <w:ilvl w:val="0"/>
                <w:numId w:val="2"/>
              </w:num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项目实施方案（满分20分）</w:t>
            </w:r>
          </w:p>
          <w:p w14:paraId="3A02ED25">
            <w:pPr>
              <w:numPr>
                <w:ilvl w:val="0"/>
                <w:numId w:val="0"/>
              </w:numPr>
              <w:spacing w:line="360" w:lineRule="auto"/>
              <w:ind w:firstLine="480" w:firstLineChars="200"/>
              <w:rPr>
                <w:rFonts w:hint="eastAsia" w:ascii="宋体" w:hAnsi="宋体" w:eastAsia="宋体" w:cs="宋体"/>
                <w:b/>
                <w:bCs/>
                <w:color w:val="auto"/>
                <w:sz w:val="24"/>
                <w:highlight w:val="none"/>
                <w:lang w:eastAsia="zh-CN"/>
              </w:rPr>
            </w:pPr>
            <w:r>
              <w:rPr>
                <w:rFonts w:hint="eastAsia" w:ascii="宋体" w:hAnsi="宋体" w:eastAsia="宋体" w:cs="宋体"/>
                <w:i w:val="0"/>
                <w:iCs w:val="0"/>
                <w:caps w:val="0"/>
                <w:color w:val="auto"/>
                <w:spacing w:val="0"/>
                <w:sz w:val="24"/>
                <w:szCs w:val="24"/>
                <w:highlight w:val="none"/>
                <w:shd w:val="clear" w:fill="FFFFFF"/>
                <w:lang w:val="en-US" w:eastAsia="zh-CN"/>
              </w:rPr>
              <w:t>针对</w:t>
            </w:r>
            <w:r>
              <w:rPr>
                <w:rFonts w:hint="eastAsia" w:ascii="宋体" w:hAnsi="宋体" w:eastAsia="宋体" w:cs="宋体"/>
                <w:i w:val="0"/>
                <w:iCs w:val="0"/>
                <w:caps w:val="0"/>
                <w:color w:val="auto"/>
                <w:spacing w:val="0"/>
                <w:sz w:val="24"/>
                <w:szCs w:val="24"/>
                <w:highlight w:val="none"/>
                <w:shd w:val="clear" w:fill="FFFFFF"/>
              </w:rPr>
              <w:t>本项目沿旧路布线、多专题并行推进的特征，重点考评</w:t>
            </w:r>
            <w:r>
              <w:rPr>
                <w:rFonts w:hint="eastAsia" w:ascii="宋体" w:hAnsi="宋体" w:eastAsia="宋体" w:cs="宋体"/>
                <w:i w:val="0"/>
                <w:iCs w:val="0"/>
                <w:caps w:val="0"/>
                <w:color w:val="auto"/>
                <w:spacing w:val="0"/>
                <w:sz w:val="24"/>
                <w:szCs w:val="24"/>
                <w:highlight w:val="none"/>
                <w:shd w:val="clear" w:fill="FFFFFF"/>
                <w:lang w:val="en-US" w:eastAsia="zh-CN"/>
              </w:rPr>
              <w:t>实施方案的</w:t>
            </w:r>
            <w:r>
              <w:rPr>
                <w:rFonts w:hint="eastAsia" w:ascii="宋体" w:hAnsi="宋体" w:eastAsia="宋体" w:cs="宋体"/>
                <w:i w:val="0"/>
                <w:iCs w:val="0"/>
                <w:caps w:val="0"/>
                <w:color w:val="auto"/>
                <w:spacing w:val="0"/>
                <w:sz w:val="24"/>
                <w:szCs w:val="24"/>
                <w:highlight w:val="none"/>
                <w:shd w:val="clear" w:fill="FFFFFF"/>
              </w:rPr>
              <w:t>针对性及落地可行性</w:t>
            </w:r>
            <w:r>
              <w:rPr>
                <w:rFonts w:hint="eastAsia" w:ascii="宋体" w:hAnsi="宋体" w:eastAsia="宋体" w:cs="宋体"/>
                <w:i w:val="0"/>
                <w:iCs w:val="0"/>
                <w:caps w:val="0"/>
                <w:color w:val="auto"/>
                <w:spacing w:val="0"/>
                <w:sz w:val="24"/>
                <w:szCs w:val="24"/>
                <w:highlight w:val="none"/>
                <w:shd w:val="clear" w:fill="FFFFFF"/>
                <w:lang w:eastAsia="zh-CN"/>
              </w:rPr>
              <w:t>：</w:t>
            </w:r>
          </w:p>
          <w:p w14:paraId="550CD097">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一档</w:t>
            </w:r>
            <w:r>
              <w:rPr>
                <w:rFonts w:hint="eastAsia" w:ascii="宋体" w:hAnsi="宋体" w:eastAsia="宋体" w:cs="宋体"/>
                <w:color w:val="auto"/>
                <w:sz w:val="24"/>
                <w:highlight w:val="none"/>
              </w:rPr>
              <w:t>（7分）：项目实施方案描述简单，基本满足项目要求；</w:t>
            </w:r>
          </w:p>
          <w:p w14:paraId="4FE18FA1">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二档</w:t>
            </w:r>
            <w:r>
              <w:rPr>
                <w:rFonts w:hint="eastAsia" w:ascii="宋体" w:hAnsi="宋体" w:eastAsia="宋体" w:cs="宋体"/>
                <w:color w:val="auto"/>
                <w:sz w:val="24"/>
                <w:highlight w:val="none"/>
              </w:rPr>
              <w:t>（14分）：项目实施方案较完整、描述较清晰、准确，具有可操作性，较好的满足项目要求；</w:t>
            </w:r>
          </w:p>
          <w:p w14:paraId="5935D2BA">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三档</w:t>
            </w:r>
            <w:r>
              <w:rPr>
                <w:rFonts w:hint="eastAsia" w:ascii="宋体" w:hAnsi="宋体" w:eastAsia="宋体" w:cs="宋体"/>
                <w:color w:val="auto"/>
                <w:sz w:val="24"/>
                <w:highlight w:val="none"/>
              </w:rPr>
              <w:t>（20分）：项目实施方案完整、描述清晰、准确、合理，可操作性强，能很好的满足项目要求，可行性高。</w:t>
            </w:r>
          </w:p>
          <w:p w14:paraId="2034D3A7">
            <w:pPr>
              <w:numPr>
                <w:ilvl w:val="0"/>
                <w:numId w:val="2"/>
              </w:numPr>
              <w:spacing w:line="360" w:lineRule="auto"/>
              <w:ind w:left="0" w:leftChars="0" w:firstLine="0" w:firstLineChars="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对项目基本情况、工作内容的理解（满分20分）</w:t>
            </w:r>
          </w:p>
          <w:p w14:paraId="326AD883">
            <w:pPr>
              <w:numPr>
                <w:ilvl w:val="0"/>
                <w:numId w:val="0"/>
              </w:numPr>
              <w:spacing w:line="360" w:lineRule="auto"/>
              <w:ind w:leftChars="0" w:firstLine="480" w:firstLineChars="200"/>
              <w:rPr>
                <w:rFonts w:hint="eastAsia" w:ascii="宋体" w:hAnsi="宋体" w:eastAsia="宋体" w:cs="宋体"/>
                <w:b/>
                <w:bCs/>
                <w:color w:val="auto"/>
                <w:sz w:val="24"/>
                <w:highlight w:val="none"/>
                <w:lang w:eastAsia="zh-CN"/>
              </w:rPr>
            </w:pPr>
            <w:r>
              <w:rPr>
                <w:rFonts w:hint="eastAsia" w:ascii="宋体" w:hAnsi="宋体" w:eastAsia="宋体" w:cs="宋体"/>
                <w:b w:val="0"/>
                <w:bCs w:val="0"/>
                <w:color w:val="auto"/>
                <w:sz w:val="24"/>
                <w:highlight w:val="none"/>
                <w:lang w:val="en-US" w:eastAsia="zh-CN"/>
              </w:rPr>
              <w:t>针对</w:t>
            </w:r>
            <w:r>
              <w:rPr>
                <w:rFonts w:hint="eastAsia" w:ascii="宋体" w:hAnsi="宋体" w:eastAsia="宋体" w:cs="宋体"/>
                <w:b w:val="0"/>
                <w:bCs w:val="0"/>
                <w:color w:val="auto"/>
                <w:sz w:val="24"/>
                <w:highlight w:val="none"/>
              </w:rPr>
              <w:t>本项目</w:t>
            </w:r>
            <w:r>
              <w:rPr>
                <w:rFonts w:hint="eastAsia" w:ascii="宋体" w:hAnsi="宋体" w:eastAsia="宋体" w:cs="宋体"/>
                <w:bCs/>
                <w:color w:val="auto"/>
                <w:kern w:val="0"/>
                <w:sz w:val="24"/>
                <w:highlight w:val="none"/>
                <w:lang w:val="en-US" w:eastAsia="zh-CN"/>
              </w:rPr>
              <w:t>工程规模和工作内容</w:t>
            </w:r>
            <w:r>
              <w:rPr>
                <w:rFonts w:hint="eastAsia" w:ascii="宋体" w:hAnsi="宋体" w:eastAsia="宋体" w:cs="宋体"/>
                <w:b w:val="0"/>
                <w:bCs w:val="0"/>
                <w:color w:val="auto"/>
                <w:sz w:val="24"/>
                <w:highlight w:val="none"/>
              </w:rPr>
              <w:t>、</w:t>
            </w:r>
            <w:r>
              <w:rPr>
                <w:rFonts w:hint="eastAsia" w:ascii="宋体" w:hAnsi="宋体" w:eastAsia="宋体" w:cs="宋体"/>
                <w:b w:val="0"/>
                <w:bCs w:val="0"/>
                <w:color w:val="auto"/>
                <w:sz w:val="24"/>
                <w:highlight w:val="none"/>
                <w:lang w:val="en-US" w:eastAsia="zh-CN"/>
              </w:rPr>
              <w:t>根据</w:t>
            </w:r>
            <w:r>
              <w:rPr>
                <w:rFonts w:hint="eastAsia" w:ascii="宋体" w:hAnsi="宋体" w:eastAsia="宋体" w:cs="宋体"/>
                <w:b w:val="0"/>
                <w:bCs w:val="0"/>
                <w:color w:val="auto"/>
                <w:sz w:val="24"/>
                <w:highlight w:val="none"/>
              </w:rPr>
              <w:t>“</w:t>
            </w:r>
            <w:r>
              <w:rPr>
                <w:rFonts w:hint="eastAsia" w:ascii="宋体" w:hAnsi="宋体" w:eastAsia="宋体" w:cs="宋体"/>
                <w:i w:val="0"/>
                <w:iCs w:val="0"/>
                <w:caps w:val="0"/>
                <w:color w:val="auto"/>
                <w:spacing w:val="0"/>
                <w:sz w:val="24"/>
                <w:szCs w:val="24"/>
                <w:highlight w:val="none"/>
                <w:shd w:val="clear" w:fill="FFFFFF"/>
              </w:rPr>
              <w:t>前期专题+可研编制</w:t>
            </w:r>
            <w:r>
              <w:rPr>
                <w:rFonts w:hint="eastAsia" w:ascii="宋体" w:hAnsi="宋体" w:eastAsia="宋体" w:cs="宋体"/>
                <w:b w:val="0"/>
                <w:bCs w:val="0"/>
                <w:color w:val="auto"/>
                <w:sz w:val="24"/>
                <w:highlight w:val="none"/>
              </w:rPr>
              <w:t>”核心需求，重点考评对旧路改建合规要点、专题衔接逻辑的把握程度</w:t>
            </w:r>
            <w:r>
              <w:rPr>
                <w:rFonts w:hint="eastAsia" w:ascii="宋体" w:hAnsi="宋体" w:eastAsia="宋体" w:cs="宋体"/>
                <w:b w:val="0"/>
                <w:bCs w:val="0"/>
                <w:color w:val="auto"/>
                <w:sz w:val="24"/>
                <w:highlight w:val="none"/>
                <w:lang w:eastAsia="zh-CN"/>
              </w:rPr>
              <w:t>：</w:t>
            </w:r>
          </w:p>
          <w:p w14:paraId="40BA30C6">
            <w:pPr>
              <w:spacing w:line="360"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一档</w:t>
            </w:r>
            <w:r>
              <w:rPr>
                <w:rFonts w:hint="eastAsia" w:ascii="宋体" w:hAnsi="宋体" w:eastAsia="宋体" w:cs="宋体"/>
                <w:color w:val="auto"/>
                <w:sz w:val="24"/>
                <w:highlight w:val="none"/>
              </w:rPr>
              <w:t>（7分）：对项目基本情况、工作内容的理解欠缺的或未按要求提供</w:t>
            </w:r>
            <w:r>
              <w:rPr>
                <w:rFonts w:hint="eastAsia" w:ascii="宋体" w:hAnsi="宋体" w:eastAsia="宋体" w:cs="宋体"/>
                <w:color w:val="auto"/>
                <w:sz w:val="24"/>
                <w:highlight w:val="none"/>
                <w:lang w:eastAsia="zh-CN"/>
              </w:rPr>
              <w:t>；</w:t>
            </w:r>
          </w:p>
          <w:p w14:paraId="0F474297">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二档</w:t>
            </w:r>
            <w:r>
              <w:rPr>
                <w:rFonts w:hint="eastAsia" w:ascii="宋体" w:hAnsi="宋体" w:eastAsia="宋体" w:cs="宋体"/>
                <w:color w:val="auto"/>
                <w:sz w:val="24"/>
                <w:highlight w:val="none"/>
              </w:rPr>
              <w:t>（14分)：对项目基本情况、工作内容的理解较准确、符合项目需求；</w:t>
            </w:r>
          </w:p>
          <w:p w14:paraId="67796C54">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三档</w:t>
            </w:r>
            <w:r>
              <w:rPr>
                <w:rFonts w:hint="eastAsia" w:ascii="宋体" w:hAnsi="宋体" w:eastAsia="宋体" w:cs="宋体"/>
                <w:color w:val="auto"/>
                <w:sz w:val="24"/>
                <w:highlight w:val="none"/>
              </w:rPr>
              <w:t>（20分）：对项目基本情况、工作内容的理解透彻深入、准确到位、符合项目需求。</w:t>
            </w:r>
          </w:p>
          <w:p w14:paraId="56DB8268">
            <w:pPr>
              <w:spacing w:line="360" w:lineRule="auto"/>
              <w:rPr>
                <w:rFonts w:hint="eastAsia" w:ascii="宋体" w:hAnsi="宋体" w:eastAsia="宋体" w:cs="宋体"/>
                <w:color w:val="auto"/>
                <w:sz w:val="24"/>
                <w:highlight w:val="none"/>
              </w:rPr>
            </w:pPr>
            <w:r>
              <w:rPr>
                <w:rFonts w:hint="eastAsia" w:ascii="宋体" w:hAnsi="宋体" w:eastAsia="宋体" w:cs="宋体"/>
                <w:b/>
                <w:bCs/>
                <w:color w:val="auto"/>
                <w:sz w:val="24"/>
                <w:highlight w:val="none"/>
                <w:lang w:val="en-US" w:eastAsia="zh-CN"/>
              </w:rPr>
              <w:t>（3）</w:t>
            </w:r>
            <w:r>
              <w:rPr>
                <w:rFonts w:hint="eastAsia" w:ascii="宋体" w:hAnsi="宋体" w:eastAsia="宋体" w:cs="宋体"/>
                <w:b/>
                <w:bCs/>
                <w:color w:val="auto"/>
                <w:sz w:val="24"/>
                <w:highlight w:val="none"/>
              </w:rPr>
              <w:t>服务方案（满分</w:t>
            </w:r>
            <w:r>
              <w:rPr>
                <w:rFonts w:hint="eastAsia" w:ascii="宋体" w:hAnsi="宋体" w:eastAsia="宋体" w:cs="宋体"/>
                <w:b/>
                <w:bCs/>
                <w:color w:val="auto"/>
                <w:sz w:val="24"/>
                <w:highlight w:val="none"/>
                <w:lang w:val="en-US" w:eastAsia="zh-CN"/>
              </w:rPr>
              <w:t>10</w:t>
            </w:r>
            <w:r>
              <w:rPr>
                <w:rFonts w:hint="eastAsia" w:ascii="宋体" w:hAnsi="宋体" w:eastAsia="宋体" w:cs="宋体"/>
                <w:b/>
                <w:bCs/>
                <w:color w:val="auto"/>
                <w:sz w:val="24"/>
                <w:highlight w:val="none"/>
              </w:rPr>
              <w:t>分）</w:t>
            </w:r>
          </w:p>
          <w:p w14:paraId="30C1CC6C">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一档</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分）</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服务方案简单或基本合理、可行，组织实施简单、表述清晰但没有针对性，质量保障能力一般，提出方案完整但是措施保证性不强；</w:t>
            </w:r>
          </w:p>
          <w:p w14:paraId="20D00A2A">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二档</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分)</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服务方案满足采购文件要求，方案比较细致、合理、可行，保障响应措施到位，有一定的服务经验，整体服务承诺较好、组织实施较详细，质量保障能力较好；</w:t>
            </w:r>
          </w:p>
          <w:p w14:paraId="0455ED0A">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三档</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10</w:t>
            </w:r>
            <w:r>
              <w:rPr>
                <w:rFonts w:hint="eastAsia" w:ascii="宋体" w:hAnsi="宋体" w:eastAsia="宋体" w:cs="宋体"/>
                <w:color w:val="auto"/>
                <w:sz w:val="24"/>
                <w:highlight w:val="none"/>
              </w:rPr>
              <w:t>分）：服务方案优于采购文件要求且细致、合理、可行，保障响应措施较有力，表述清晰、完整，能够针对项目实际情况进行表述，服务经验较丰富，整体服务承诺优秀、组织实施严谨详细，整体服务措施优于项目要求，提出方案完整且能够提出具体措施保证方案顺利实施。</w:t>
            </w:r>
          </w:p>
          <w:p w14:paraId="6EAA325B">
            <w:pPr>
              <w:spacing w:line="360" w:lineRule="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（4）服务团队（满分</w:t>
            </w:r>
            <w:r>
              <w:rPr>
                <w:rFonts w:hint="eastAsia" w:ascii="宋体" w:hAnsi="宋体" w:cs="宋体"/>
                <w:b/>
                <w:bCs/>
                <w:color w:val="auto"/>
                <w:sz w:val="24"/>
                <w:highlight w:val="none"/>
                <w:lang w:val="en-US" w:eastAsia="zh-CN"/>
              </w:rPr>
              <w:t>20</w:t>
            </w:r>
            <w:r>
              <w:rPr>
                <w:rFonts w:hint="eastAsia" w:ascii="宋体" w:hAnsi="宋体" w:eastAsia="宋体" w:cs="宋体"/>
                <w:b/>
                <w:bCs/>
                <w:color w:val="auto"/>
                <w:sz w:val="24"/>
                <w:highlight w:val="none"/>
              </w:rPr>
              <w:t>分）</w:t>
            </w:r>
          </w:p>
          <w:p w14:paraId="424AA654">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 1 \* GB3 \* MERGEFORMAT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①</w:t>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t>拟派的项目负责人具有工程师职称的得1分；具有高级工程师</w:t>
            </w:r>
            <w:r>
              <w:rPr>
                <w:rFonts w:hint="eastAsia" w:ascii="宋体" w:hAnsi="宋体" w:eastAsia="宋体" w:cs="宋体"/>
                <w:color w:val="auto"/>
                <w:sz w:val="24"/>
                <w:highlight w:val="none"/>
                <w:lang w:eastAsia="zh-CN"/>
              </w:rPr>
              <w:t>及</w:t>
            </w:r>
            <w:r>
              <w:rPr>
                <w:rFonts w:hint="eastAsia" w:ascii="宋体" w:hAnsi="宋体" w:eastAsia="宋体" w:cs="宋体"/>
                <w:color w:val="auto"/>
                <w:sz w:val="24"/>
                <w:highlight w:val="none"/>
              </w:rPr>
              <w:t>以上职称的得3分，同时具有注册土木工程师（道路工程）和注册咨询工程师（专业须包含公路）</w:t>
            </w:r>
            <w:r>
              <w:rPr>
                <w:rFonts w:hint="eastAsia" w:ascii="宋体" w:hAnsi="宋体" w:cs="宋体"/>
                <w:color w:val="auto"/>
                <w:sz w:val="24"/>
                <w:highlight w:val="none"/>
                <w:lang w:val="en-US" w:eastAsia="zh-CN"/>
              </w:rPr>
              <w:t>资格</w:t>
            </w:r>
            <w:r>
              <w:rPr>
                <w:rFonts w:hint="eastAsia" w:ascii="宋体" w:hAnsi="宋体" w:eastAsia="宋体" w:cs="宋体"/>
                <w:color w:val="auto"/>
                <w:sz w:val="24"/>
                <w:highlight w:val="none"/>
                <w:lang w:val="en-US" w:eastAsia="zh-CN"/>
              </w:rPr>
              <w:t>证书</w:t>
            </w:r>
            <w:r>
              <w:rPr>
                <w:rFonts w:hint="eastAsia" w:ascii="宋体" w:hAnsi="宋体" w:eastAsia="宋体" w:cs="宋体"/>
                <w:color w:val="auto"/>
                <w:sz w:val="24"/>
                <w:highlight w:val="none"/>
              </w:rPr>
              <w:t>的得</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分，本项满分为5分。</w:t>
            </w:r>
          </w:p>
          <w:p w14:paraId="010D9866">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 2 \* GB3 \* MERGEFORMAT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②</w:t>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t>除项目负责人，拟派的技术人员具有高级工程师</w:t>
            </w:r>
            <w:r>
              <w:rPr>
                <w:rFonts w:hint="eastAsia" w:ascii="宋体" w:hAnsi="宋体" w:eastAsia="宋体" w:cs="宋体"/>
                <w:color w:val="auto"/>
                <w:sz w:val="24"/>
                <w:highlight w:val="none"/>
                <w:lang w:eastAsia="zh-CN"/>
              </w:rPr>
              <w:t>及</w:t>
            </w:r>
            <w:r>
              <w:rPr>
                <w:rFonts w:hint="eastAsia" w:ascii="宋体" w:hAnsi="宋体" w:eastAsia="宋体" w:cs="宋体"/>
                <w:color w:val="auto"/>
                <w:sz w:val="24"/>
                <w:highlight w:val="none"/>
              </w:rPr>
              <w:t>以上职称且同时具有注册咨询工程师的每个得</w:t>
            </w:r>
            <w:r>
              <w:rPr>
                <w:rFonts w:hint="eastAsia" w:ascii="宋体" w:hAnsi="宋体" w:eastAsia="宋体" w:cs="宋体"/>
                <w:color w:val="auto"/>
                <w:sz w:val="24"/>
                <w:highlight w:val="none"/>
                <w:lang w:val="en-US" w:eastAsia="zh-CN"/>
              </w:rPr>
              <w:t>1</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分，满分</w:t>
            </w:r>
            <w:r>
              <w:rPr>
                <w:rFonts w:hint="eastAsia" w:ascii="宋体" w:hAnsi="宋体" w:cs="宋体"/>
                <w:color w:val="auto"/>
                <w:sz w:val="24"/>
                <w:highlight w:val="none"/>
                <w:lang w:val="en-US" w:eastAsia="zh-CN"/>
              </w:rPr>
              <w:t>7.</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分。</w:t>
            </w:r>
          </w:p>
          <w:p w14:paraId="410AE891">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 3 \* GB3 \* MERGEFORMAT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③</w:t>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t>除项目负责人，拟派的技术人员具有高级工程师</w:t>
            </w:r>
            <w:r>
              <w:rPr>
                <w:rFonts w:hint="eastAsia" w:ascii="宋体" w:hAnsi="宋体" w:eastAsia="宋体" w:cs="宋体"/>
                <w:color w:val="auto"/>
                <w:sz w:val="24"/>
                <w:highlight w:val="none"/>
                <w:lang w:eastAsia="zh-CN"/>
              </w:rPr>
              <w:t>及</w:t>
            </w:r>
            <w:r>
              <w:rPr>
                <w:rFonts w:hint="eastAsia" w:ascii="宋体" w:hAnsi="宋体" w:eastAsia="宋体" w:cs="宋体"/>
                <w:color w:val="auto"/>
                <w:sz w:val="24"/>
                <w:highlight w:val="none"/>
              </w:rPr>
              <w:t>以上职称且同时具有交通运输部门核发的公路工程试验检测师资格证书或交通运输部颁发的公路水运工程试验检测师资格证书每个得</w:t>
            </w:r>
            <w:r>
              <w:rPr>
                <w:rFonts w:hint="eastAsia" w:ascii="宋体" w:hAnsi="宋体" w:eastAsia="宋体" w:cs="宋体"/>
                <w:color w:val="auto"/>
                <w:sz w:val="24"/>
                <w:highlight w:val="none"/>
                <w:lang w:val="en-US" w:eastAsia="zh-CN"/>
              </w:rPr>
              <w:t>1</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分，满分</w:t>
            </w: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rPr>
              <w:t>分。</w:t>
            </w:r>
          </w:p>
          <w:p w14:paraId="67806370">
            <w:pPr>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④除项目负责人，拟派的技术人员具有高级工程师</w:t>
            </w:r>
            <w:r>
              <w:rPr>
                <w:rFonts w:hint="eastAsia" w:ascii="宋体" w:hAnsi="宋体" w:eastAsia="宋体" w:cs="宋体"/>
                <w:color w:val="auto"/>
                <w:sz w:val="24"/>
                <w:highlight w:val="none"/>
                <w:lang w:eastAsia="zh-CN"/>
              </w:rPr>
              <w:t>及</w:t>
            </w:r>
            <w:r>
              <w:rPr>
                <w:rFonts w:hint="eastAsia" w:ascii="宋体" w:hAnsi="宋体" w:eastAsia="宋体" w:cs="宋体"/>
                <w:color w:val="auto"/>
                <w:sz w:val="24"/>
                <w:highlight w:val="none"/>
              </w:rPr>
              <w:t>以上职称且同时具有环评工程师职业资格证书</w:t>
            </w:r>
            <w:r>
              <w:rPr>
                <w:rFonts w:hint="eastAsia" w:ascii="宋体" w:hAnsi="宋体" w:eastAsia="宋体" w:cs="宋体"/>
                <w:color w:val="auto"/>
                <w:sz w:val="24"/>
                <w:highlight w:val="none"/>
                <w:lang w:val="en-US" w:eastAsia="zh-CN"/>
              </w:rPr>
              <w:t>的得1</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lang w:val="en-US" w:eastAsia="zh-CN"/>
              </w:rPr>
              <w:t>分，满分</w:t>
            </w: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lang w:val="en-US" w:eastAsia="zh-CN"/>
              </w:rPr>
              <w:t>分。</w:t>
            </w:r>
          </w:p>
          <w:p w14:paraId="5AC34928">
            <w:pPr>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⑤</w:t>
            </w:r>
            <w:r>
              <w:rPr>
                <w:rFonts w:hint="eastAsia" w:ascii="宋体" w:hAnsi="宋体" w:eastAsia="宋体" w:cs="宋体"/>
                <w:color w:val="auto"/>
                <w:sz w:val="24"/>
                <w:highlight w:val="none"/>
              </w:rPr>
              <w:t>除项目负责人，拟派的技术人员具有高级工程师</w:t>
            </w:r>
            <w:r>
              <w:rPr>
                <w:rFonts w:hint="eastAsia" w:ascii="宋体" w:hAnsi="宋体" w:eastAsia="宋体" w:cs="宋体"/>
                <w:color w:val="auto"/>
                <w:sz w:val="24"/>
                <w:highlight w:val="none"/>
                <w:lang w:eastAsia="zh-CN"/>
              </w:rPr>
              <w:t>及</w:t>
            </w:r>
            <w:r>
              <w:rPr>
                <w:rFonts w:hint="eastAsia" w:ascii="宋体" w:hAnsi="宋体" w:eastAsia="宋体" w:cs="宋体"/>
                <w:color w:val="auto"/>
                <w:sz w:val="24"/>
                <w:highlight w:val="none"/>
              </w:rPr>
              <w:t>以上职称且同时具有注册安全工程师资格证书</w:t>
            </w:r>
            <w:r>
              <w:rPr>
                <w:rFonts w:hint="eastAsia" w:ascii="宋体" w:hAnsi="宋体" w:eastAsia="宋体" w:cs="宋体"/>
                <w:color w:val="auto"/>
                <w:sz w:val="24"/>
                <w:highlight w:val="none"/>
                <w:lang w:val="en-US" w:eastAsia="zh-CN"/>
              </w:rPr>
              <w:t>的得1</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lang w:val="en-US" w:eastAsia="zh-CN"/>
              </w:rPr>
              <w:t>分，满分1</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lang w:val="en-US" w:eastAsia="zh-CN"/>
              </w:rPr>
              <w:t>分。</w:t>
            </w:r>
          </w:p>
        </w:tc>
      </w:tr>
      <w:tr w14:paraId="5E6B6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82" w:type="dxa"/>
            <w:tcBorders>
              <w:top w:val="single" w:color="auto" w:sz="4" w:space="0"/>
              <w:left w:val="single" w:color="auto" w:sz="4" w:space="0"/>
              <w:bottom w:val="single" w:color="auto" w:sz="4" w:space="0"/>
              <w:right w:val="single" w:color="auto" w:sz="4" w:space="0"/>
            </w:tcBorders>
            <w:vAlign w:val="center"/>
          </w:tcPr>
          <w:p w14:paraId="41F73B44">
            <w:pPr>
              <w:adjustRightInd w:val="0"/>
              <w:spacing w:line="360" w:lineRule="auto"/>
              <w:jc w:val="center"/>
              <w:textAlignment w:val="baseline"/>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w:t>
            </w:r>
          </w:p>
        </w:tc>
        <w:tc>
          <w:tcPr>
            <w:tcW w:w="1471" w:type="dxa"/>
            <w:tcBorders>
              <w:top w:val="single" w:color="auto" w:sz="4" w:space="0"/>
              <w:left w:val="single" w:color="auto" w:sz="4" w:space="0"/>
              <w:bottom w:val="single" w:color="auto" w:sz="4" w:space="0"/>
              <w:right w:val="single" w:color="auto" w:sz="4" w:space="0"/>
            </w:tcBorders>
            <w:vAlign w:val="center"/>
          </w:tcPr>
          <w:p w14:paraId="605ED4F4">
            <w:pPr>
              <w:adjustRightInd w:val="0"/>
              <w:spacing w:line="360" w:lineRule="auto"/>
              <w:jc w:val="center"/>
              <w:textAlignment w:val="baseline"/>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商务分</w:t>
            </w:r>
          </w:p>
          <w:p w14:paraId="4E837382">
            <w:pPr>
              <w:adjustRightInd w:val="0"/>
              <w:spacing w:line="360" w:lineRule="auto"/>
              <w:jc w:val="center"/>
              <w:textAlignment w:val="baseline"/>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（满分</w:t>
            </w:r>
            <w:r>
              <w:rPr>
                <w:rFonts w:hint="eastAsia" w:ascii="宋体" w:hAnsi="宋体" w:cs="宋体"/>
                <w:b/>
                <w:color w:val="auto"/>
                <w:sz w:val="24"/>
                <w:highlight w:val="none"/>
                <w:lang w:val="en-US" w:eastAsia="zh-CN"/>
              </w:rPr>
              <w:t>20</w:t>
            </w:r>
            <w:r>
              <w:rPr>
                <w:rFonts w:hint="eastAsia" w:ascii="宋体" w:hAnsi="宋体" w:eastAsia="宋体" w:cs="宋体"/>
                <w:b/>
                <w:color w:val="auto"/>
                <w:sz w:val="24"/>
                <w:highlight w:val="none"/>
              </w:rPr>
              <w:t>分）</w:t>
            </w:r>
          </w:p>
          <w:p w14:paraId="6D89F646">
            <w:pPr>
              <w:adjustRightInd w:val="0"/>
              <w:spacing w:line="360" w:lineRule="auto"/>
              <w:jc w:val="center"/>
              <w:textAlignment w:val="baseline"/>
              <w:rPr>
                <w:rFonts w:hint="eastAsia" w:ascii="宋体" w:hAnsi="宋体" w:eastAsia="宋体" w:cs="宋体"/>
                <w:b/>
                <w:color w:val="auto"/>
                <w:sz w:val="24"/>
                <w:highlight w:val="none"/>
              </w:rPr>
            </w:pPr>
          </w:p>
        </w:tc>
        <w:tc>
          <w:tcPr>
            <w:tcW w:w="7560"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365B1D5E">
            <w:pPr>
              <w:spacing w:line="360" w:lineRule="auto"/>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lang w:eastAsia="zh-CN"/>
              </w:rPr>
              <w:t>供应商20</w:t>
            </w:r>
            <w:r>
              <w:rPr>
                <w:rFonts w:hint="eastAsia" w:ascii="宋体" w:hAnsi="宋体" w:eastAsia="宋体" w:cs="宋体"/>
                <w:bCs/>
                <w:color w:val="auto"/>
                <w:kern w:val="0"/>
                <w:sz w:val="24"/>
                <w:highlight w:val="none"/>
                <w:lang w:val="en-US" w:eastAsia="zh-CN"/>
              </w:rPr>
              <w:t>20</w:t>
            </w:r>
            <w:r>
              <w:rPr>
                <w:rFonts w:hint="eastAsia" w:ascii="宋体" w:hAnsi="宋体" w:eastAsia="宋体" w:cs="宋体"/>
                <w:bCs/>
                <w:color w:val="auto"/>
                <w:kern w:val="0"/>
                <w:sz w:val="24"/>
                <w:highlight w:val="none"/>
                <w:lang w:eastAsia="zh-CN"/>
              </w:rPr>
              <w:t>年</w:t>
            </w:r>
            <w:r>
              <w:rPr>
                <w:rFonts w:hint="eastAsia" w:ascii="宋体" w:hAnsi="宋体" w:eastAsia="宋体" w:cs="宋体"/>
                <w:bCs/>
                <w:color w:val="auto"/>
                <w:kern w:val="0"/>
                <w:sz w:val="24"/>
                <w:highlight w:val="none"/>
                <w:lang w:val="en-US" w:eastAsia="zh-CN"/>
              </w:rPr>
              <w:t>11月1日</w:t>
            </w:r>
            <w:r>
              <w:rPr>
                <w:rFonts w:hint="eastAsia" w:ascii="宋体" w:hAnsi="宋体" w:eastAsia="宋体" w:cs="宋体"/>
                <w:bCs/>
                <w:color w:val="auto"/>
                <w:kern w:val="0"/>
                <w:sz w:val="24"/>
                <w:highlight w:val="none"/>
                <w:lang w:eastAsia="zh-CN"/>
              </w:rPr>
              <w:t>至响应文件递交截止之日，具有类似项目业绩的每个得</w:t>
            </w:r>
            <w:r>
              <w:rPr>
                <w:rFonts w:hint="eastAsia" w:ascii="宋体" w:hAnsi="宋体" w:cs="宋体"/>
                <w:bCs/>
                <w:color w:val="auto"/>
                <w:kern w:val="0"/>
                <w:sz w:val="24"/>
                <w:highlight w:val="none"/>
                <w:lang w:val="en-US" w:eastAsia="zh-CN"/>
              </w:rPr>
              <w:t>10</w:t>
            </w:r>
            <w:r>
              <w:rPr>
                <w:rFonts w:hint="eastAsia" w:ascii="宋体" w:hAnsi="宋体" w:eastAsia="宋体" w:cs="宋体"/>
                <w:bCs/>
                <w:color w:val="auto"/>
                <w:kern w:val="0"/>
                <w:sz w:val="24"/>
                <w:highlight w:val="none"/>
                <w:lang w:eastAsia="zh-CN"/>
              </w:rPr>
              <w:t>分，满分</w:t>
            </w:r>
            <w:r>
              <w:rPr>
                <w:rFonts w:hint="eastAsia" w:ascii="宋体" w:hAnsi="宋体" w:cs="宋体"/>
                <w:bCs/>
                <w:color w:val="auto"/>
                <w:kern w:val="0"/>
                <w:sz w:val="24"/>
                <w:highlight w:val="none"/>
                <w:lang w:val="en-US" w:eastAsia="zh-CN"/>
              </w:rPr>
              <w:t>20</w:t>
            </w:r>
            <w:r>
              <w:rPr>
                <w:rFonts w:hint="eastAsia" w:ascii="宋体" w:hAnsi="宋体" w:eastAsia="宋体" w:cs="宋体"/>
                <w:bCs/>
                <w:color w:val="auto"/>
                <w:kern w:val="0"/>
                <w:sz w:val="24"/>
                <w:highlight w:val="none"/>
                <w:lang w:eastAsia="zh-CN"/>
              </w:rPr>
              <w:t>分。（</w:t>
            </w:r>
            <w:r>
              <w:rPr>
                <w:rFonts w:hint="eastAsia" w:ascii="宋体" w:hAnsi="宋体" w:eastAsia="宋体" w:cs="宋体"/>
                <w:bCs/>
                <w:color w:val="auto"/>
                <w:kern w:val="0"/>
                <w:sz w:val="24"/>
                <w:highlight w:val="none"/>
                <w:lang w:val="en-US" w:eastAsia="zh-CN"/>
              </w:rPr>
              <w:t>须</w:t>
            </w:r>
            <w:r>
              <w:rPr>
                <w:rFonts w:hint="eastAsia" w:ascii="宋体" w:hAnsi="宋体" w:eastAsia="宋体" w:cs="宋体"/>
                <w:bCs/>
                <w:color w:val="auto"/>
                <w:kern w:val="0"/>
                <w:sz w:val="24"/>
                <w:highlight w:val="none"/>
                <w:lang w:eastAsia="zh-CN"/>
              </w:rPr>
              <w:t>提供合同或中标（成交）通知书复印件加盖竞标人公章）。</w:t>
            </w:r>
          </w:p>
        </w:tc>
      </w:tr>
      <w:tr w14:paraId="0406F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13" w:type="dxa"/>
            <w:gridSpan w:val="4"/>
            <w:tcBorders>
              <w:top w:val="single" w:color="auto" w:sz="4" w:space="0"/>
              <w:left w:val="single" w:color="auto" w:sz="4" w:space="0"/>
              <w:bottom w:val="single" w:color="auto" w:sz="4" w:space="0"/>
              <w:right w:val="single" w:color="auto" w:sz="4" w:space="0"/>
            </w:tcBorders>
            <w:vAlign w:val="center"/>
          </w:tcPr>
          <w:p w14:paraId="66BB8753">
            <w:pPr>
              <w:spacing w:line="360" w:lineRule="auto"/>
              <w:ind w:firstLine="480" w:firstLineChars="0"/>
              <w:rPr>
                <w:rFonts w:hint="eastAsia" w:ascii="宋体" w:hAnsi="宋体" w:eastAsia="宋体" w:cs="宋体"/>
                <w:bCs/>
                <w:color w:val="auto"/>
                <w:sz w:val="24"/>
                <w:highlight w:val="none"/>
              </w:rPr>
            </w:pPr>
            <w:r>
              <w:rPr>
                <w:rFonts w:hint="eastAsia" w:ascii="宋体" w:hAnsi="宋体" w:eastAsia="宋体" w:cs="宋体"/>
                <w:b/>
                <w:bCs/>
                <w:color w:val="auto"/>
                <w:sz w:val="24"/>
                <w:highlight w:val="none"/>
              </w:rPr>
              <w:t>总得分=1+2+3。</w:t>
            </w:r>
          </w:p>
        </w:tc>
      </w:tr>
    </w:tbl>
    <w:p w14:paraId="0D2E304F">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由磋商小组根据综合评分情况，按照评审得分由高到低顺序推荐3名以上成交候选供应商，并编写评审报告。</w:t>
      </w:r>
      <w:r>
        <w:rPr>
          <w:rFonts w:hint="eastAsia" w:ascii="宋体" w:hAnsi="宋体" w:eastAsia="宋体" w:cs="宋体"/>
          <w:b/>
          <w:bCs/>
          <w:color w:val="auto"/>
          <w:sz w:val="24"/>
          <w:highlight w:val="none"/>
        </w:rPr>
        <w:t>符合本章第2.7、3.7、4.3条情形的，可以推荐2家成交候选供应商。</w:t>
      </w:r>
      <w:r>
        <w:rPr>
          <w:rFonts w:hint="eastAsia" w:ascii="宋体" w:hAnsi="宋体" w:eastAsia="宋体" w:cs="宋体"/>
          <w:bCs/>
          <w:color w:val="auto"/>
          <w:sz w:val="24"/>
          <w:highlight w:val="none"/>
        </w:rPr>
        <w:t>评审得分相同的，按照最后报价（不计算价格折扣）由低到高的顺序推荐。评审得分且最后报价（不计算价格折扣）相同的，依次按服务评分高的优先、商务评分高的优先的顺序确定成交候选供应商。</w:t>
      </w:r>
    </w:p>
    <w:p w14:paraId="01F4D764">
      <w:pP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br w:type="page"/>
      </w:r>
    </w:p>
    <w:p w14:paraId="47760026">
      <w:pPr>
        <w:spacing w:line="360" w:lineRule="auto"/>
        <w:ind w:firstLine="480" w:firstLineChars="200"/>
        <w:rPr>
          <w:rFonts w:hint="eastAsia" w:ascii="宋体" w:hAnsi="宋体" w:eastAsia="宋体" w:cs="宋体"/>
          <w:bCs/>
          <w:color w:val="auto"/>
          <w:sz w:val="24"/>
          <w:highlight w:val="none"/>
        </w:rPr>
      </w:pPr>
    </w:p>
    <w:p w14:paraId="0D08524E">
      <w:pPr>
        <w:pStyle w:val="2"/>
        <w:jc w:val="center"/>
        <w:rPr>
          <w:rFonts w:hint="eastAsia" w:ascii="宋体" w:hAnsi="宋体" w:eastAsia="宋体" w:cs="宋体"/>
          <w:color w:val="auto"/>
          <w:highlight w:val="none"/>
        </w:rPr>
      </w:pPr>
      <w:bookmarkStart w:id="36" w:name="_Toc985"/>
      <w:r>
        <w:rPr>
          <w:rFonts w:hint="eastAsia" w:ascii="宋体" w:hAnsi="宋体" w:eastAsia="宋体" w:cs="宋体"/>
          <w:color w:val="auto"/>
          <w:highlight w:val="none"/>
        </w:rPr>
        <w:t>第五章 响应文件格式</w:t>
      </w:r>
      <w:bookmarkEnd w:id="36"/>
    </w:p>
    <w:p w14:paraId="5C032B3D">
      <w:pPr>
        <w:spacing w:line="240" w:lineRule="atLeast"/>
        <w:rPr>
          <w:rFonts w:hint="eastAsia" w:ascii="宋体" w:hAnsi="宋体" w:eastAsia="宋体" w:cs="宋体"/>
          <w:b/>
          <w:color w:val="auto"/>
          <w:sz w:val="32"/>
          <w:szCs w:val="32"/>
          <w:highlight w:val="none"/>
        </w:rPr>
      </w:pPr>
    </w:p>
    <w:p w14:paraId="308C8FB9">
      <w:pPr>
        <w:spacing w:line="240" w:lineRule="atLeast"/>
        <w:rPr>
          <w:rFonts w:hint="eastAsia" w:ascii="宋体" w:hAnsi="宋体" w:eastAsia="宋体" w:cs="宋体"/>
          <w:bCs/>
          <w:color w:val="auto"/>
          <w:sz w:val="32"/>
          <w:szCs w:val="32"/>
          <w:highlight w:val="none"/>
        </w:rPr>
      </w:pPr>
    </w:p>
    <w:p w14:paraId="6A171345">
      <w:pPr>
        <w:jc w:val="center"/>
        <w:rPr>
          <w:rFonts w:hint="eastAsia" w:ascii="宋体" w:hAnsi="宋体" w:eastAsia="宋体" w:cs="宋体"/>
          <w:b/>
          <w:color w:val="auto"/>
          <w:sz w:val="32"/>
          <w:szCs w:val="32"/>
          <w:highlight w:val="none"/>
        </w:rPr>
      </w:pPr>
      <w:bookmarkStart w:id="37" w:name="_Toc71365925"/>
      <w:bookmarkStart w:id="38" w:name="_Toc35611438"/>
      <w:bookmarkStart w:id="39" w:name="_Toc31728084"/>
      <w:bookmarkStart w:id="40" w:name="_Toc35611516"/>
      <w:bookmarkStart w:id="41" w:name="_Toc31723070"/>
      <w:bookmarkStart w:id="42" w:name="_Toc44229899"/>
      <w:r>
        <w:rPr>
          <w:rFonts w:hint="eastAsia" w:ascii="宋体" w:hAnsi="宋体" w:eastAsia="宋体" w:cs="宋体"/>
          <w:b/>
          <w:color w:val="auto"/>
          <w:sz w:val="32"/>
          <w:szCs w:val="32"/>
          <w:highlight w:val="none"/>
        </w:rPr>
        <w:t>一、资格证明文件格式</w:t>
      </w:r>
      <w:bookmarkEnd w:id="37"/>
      <w:bookmarkEnd w:id="38"/>
      <w:bookmarkEnd w:id="39"/>
      <w:bookmarkEnd w:id="40"/>
      <w:bookmarkEnd w:id="41"/>
      <w:bookmarkEnd w:id="42"/>
    </w:p>
    <w:p w14:paraId="06DAC79F">
      <w:pPr>
        <w:snapToGrid w:val="0"/>
        <w:spacing w:before="156" w:beforeLines="50" w:after="50"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32"/>
          <w:szCs w:val="32"/>
          <w:highlight w:val="none"/>
        </w:rPr>
        <w:t>1.资格证明文件封面格式：</w:t>
      </w:r>
    </w:p>
    <w:p w14:paraId="4B64F394">
      <w:pPr>
        <w:snapToGrid w:val="0"/>
        <w:spacing w:before="156"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p>
    <w:p w14:paraId="025D70F6">
      <w:pPr>
        <w:snapToGrid w:val="0"/>
        <w:spacing w:before="156" w:beforeLines="50" w:after="50"/>
        <w:rPr>
          <w:rFonts w:hint="eastAsia" w:ascii="宋体" w:hAnsi="宋体" w:eastAsia="宋体" w:cs="宋体"/>
          <w:color w:val="auto"/>
          <w:sz w:val="24"/>
          <w:szCs w:val="20"/>
          <w:highlight w:val="none"/>
        </w:rPr>
      </w:pPr>
    </w:p>
    <w:p w14:paraId="5154FF13">
      <w:pPr>
        <w:snapToGrid w:val="0"/>
        <w:spacing w:before="156" w:beforeLines="50" w:after="50"/>
        <w:jc w:val="center"/>
        <w:rPr>
          <w:rFonts w:hint="eastAsia" w:ascii="宋体" w:hAnsi="宋体" w:eastAsia="宋体" w:cs="宋体"/>
          <w:bCs/>
          <w:color w:val="auto"/>
          <w:sz w:val="84"/>
          <w:szCs w:val="84"/>
          <w:highlight w:val="none"/>
        </w:rPr>
      </w:pPr>
      <w:r>
        <w:rPr>
          <w:rFonts w:hint="eastAsia" w:ascii="宋体" w:hAnsi="宋体" w:eastAsia="宋体" w:cs="宋体"/>
          <w:bCs/>
          <w:color w:val="auto"/>
          <w:sz w:val="84"/>
          <w:szCs w:val="84"/>
          <w:highlight w:val="none"/>
        </w:rPr>
        <w:t>响  应  文  件</w:t>
      </w:r>
    </w:p>
    <w:p w14:paraId="137773D2">
      <w:pPr>
        <w:snapToGrid w:val="0"/>
        <w:spacing w:before="156" w:beforeLines="50" w:after="50"/>
        <w:jc w:val="center"/>
        <w:rPr>
          <w:rFonts w:hint="eastAsia" w:ascii="宋体" w:hAnsi="宋体" w:eastAsia="宋体" w:cs="宋体"/>
          <w:bCs/>
          <w:color w:val="auto"/>
          <w:sz w:val="44"/>
          <w:szCs w:val="44"/>
          <w:highlight w:val="none"/>
        </w:rPr>
      </w:pPr>
    </w:p>
    <w:p w14:paraId="0A957710">
      <w:pPr>
        <w:snapToGrid w:val="0"/>
        <w:spacing w:before="156" w:beforeLines="50" w:after="50"/>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资  格  证  明  文  件</w:t>
      </w:r>
    </w:p>
    <w:p w14:paraId="505C8B41">
      <w:pPr>
        <w:snapToGrid w:val="0"/>
        <w:spacing w:before="156" w:beforeLines="50" w:after="50"/>
        <w:rPr>
          <w:rFonts w:hint="eastAsia" w:ascii="宋体" w:hAnsi="宋体" w:eastAsia="宋体" w:cs="宋体"/>
          <w:bCs/>
          <w:color w:val="auto"/>
          <w:sz w:val="24"/>
          <w:szCs w:val="20"/>
          <w:highlight w:val="none"/>
        </w:rPr>
      </w:pPr>
    </w:p>
    <w:p w14:paraId="637CCFE1">
      <w:pPr>
        <w:snapToGrid w:val="0"/>
        <w:spacing w:before="156" w:beforeLines="50" w:after="50"/>
        <w:rPr>
          <w:rFonts w:hint="eastAsia" w:ascii="宋体" w:hAnsi="宋体" w:eastAsia="宋体" w:cs="宋体"/>
          <w:bCs/>
          <w:color w:val="auto"/>
          <w:sz w:val="22"/>
          <w:szCs w:val="18"/>
          <w:highlight w:val="none"/>
        </w:rPr>
      </w:pPr>
    </w:p>
    <w:p w14:paraId="78EB5885">
      <w:pPr>
        <w:snapToGrid w:val="0"/>
        <w:spacing w:before="156" w:beforeLines="50" w:after="50"/>
        <w:rPr>
          <w:rFonts w:hint="eastAsia" w:ascii="宋体" w:hAnsi="宋体" w:eastAsia="宋体" w:cs="宋体"/>
          <w:bCs/>
          <w:color w:val="auto"/>
          <w:sz w:val="22"/>
          <w:szCs w:val="18"/>
          <w:highlight w:val="none"/>
        </w:rPr>
      </w:pPr>
    </w:p>
    <w:p w14:paraId="4ABECDCF">
      <w:pPr>
        <w:snapToGrid w:val="0"/>
        <w:spacing w:before="156" w:beforeLines="50" w:after="50"/>
        <w:ind w:firstLine="2396" w:firstLineChars="856"/>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项目名称：</w:t>
      </w:r>
    </w:p>
    <w:p w14:paraId="0FBDA2EA">
      <w:pPr>
        <w:snapToGrid w:val="0"/>
        <w:spacing w:before="156" w:beforeLines="50" w:after="50"/>
        <w:ind w:firstLine="2396" w:firstLineChars="856"/>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项目编号：</w:t>
      </w:r>
    </w:p>
    <w:p w14:paraId="1F5DBA5C">
      <w:pPr>
        <w:snapToGrid w:val="0"/>
        <w:spacing w:before="156" w:beforeLines="50" w:after="50"/>
        <w:ind w:firstLine="2396" w:firstLineChars="856"/>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所竞分标（如有）：</w:t>
      </w:r>
    </w:p>
    <w:p w14:paraId="512F64B7">
      <w:pPr>
        <w:pStyle w:val="6"/>
        <w:snapToGrid w:val="0"/>
        <w:spacing w:before="50" w:after="50"/>
        <w:ind w:firstLine="2396" w:firstLineChars="856"/>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供应商名称：</w:t>
      </w:r>
    </w:p>
    <w:p w14:paraId="06BABDC2">
      <w:pPr>
        <w:pStyle w:val="6"/>
        <w:snapToGrid w:val="0"/>
        <w:spacing w:before="50" w:after="50"/>
        <w:ind w:firstLine="630" w:firstLineChars="225"/>
        <w:rPr>
          <w:rFonts w:hint="eastAsia" w:ascii="宋体" w:hAnsi="宋体" w:eastAsia="宋体" w:cs="宋体"/>
          <w:bCs/>
          <w:color w:val="auto"/>
          <w:sz w:val="28"/>
          <w:szCs w:val="28"/>
          <w:highlight w:val="none"/>
        </w:rPr>
      </w:pPr>
    </w:p>
    <w:p w14:paraId="144BC9D5">
      <w:pPr>
        <w:pStyle w:val="6"/>
        <w:snapToGrid w:val="0"/>
        <w:spacing w:before="50" w:after="50"/>
        <w:ind w:firstLine="630" w:firstLineChars="225"/>
        <w:rPr>
          <w:rFonts w:hint="eastAsia" w:ascii="宋体" w:hAnsi="宋体" w:eastAsia="宋体" w:cs="宋体"/>
          <w:bCs/>
          <w:color w:val="auto"/>
          <w:sz w:val="28"/>
          <w:szCs w:val="28"/>
          <w:highlight w:val="none"/>
        </w:rPr>
      </w:pPr>
    </w:p>
    <w:p w14:paraId="3F29D2B3">
      <w:pPr>
        <w:pStyle w:val="6"/>
        <w:snapToGrid w:val="0"/>
        <w:spacing w:before="50" w:after="50"/>
        <w:ind w:firstLine="1120" w:firstLineChars="400"/>
        <w:rPr>
          <w:rFonts w:hint="eastAsia" w:ascii="宋体" w:hAnsi="宋体" w:eastAsia="宋体" w:cs="宋体"/>
          <w:bCs/>
          <w:color w:val="auto"/>
          <w:sz w:val="28"/>
          <w:szCs w:val="28"/>
          <w:highlight w:val="none"/>
        </w:rPr>
      </w:pPr>
    </w:p>
    <w:p w14:paraId="6242FA13">
      <w:pPr>
        <w:snapToGrid w:val="0"/>
        <w:spacing w:before="156" w:beforeLines="50" w:after="5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年    月    日</w:t>
      </w:r>
    </w:p>
    <w:p w14:paraId="78FB0AFF">
      <w:pPr>
        <w:snapToGrid w:val="0"/>
        <w:spacing w:before="156" w:beforeLines="50" w:after="50"/>
        <w:ind w:left="142"/>
        <w:jc w:val="left"/>
        <w:rPr>
          <w:rFonts w:hint="eastAsia" w:ascii="宋体" w:hAnsi="宋体" w:eastAsia="宋体" w:cs="宋体"/>
          <w:b/>
          <w:bCs/>
          <w:color w:val="auto"/>
          <w:sz w:val="32"/>
          <w:szCs w:val="32"/>
          <w:highlight w:val="none"/>
        </w:rPr>
      </w:pPr>
      <w:r>
        <w:rPr>
          <w:rFonts w:hint="eastAsia" w:ascii="宋体" w:hAnsi="宋体" w:eastAsia="宋体" w:cs="宋体"/>
          <w:color w:val="auto"/>
          <w:sz w:val="22"/>
          <w:szCs w:val="22"/>
          <w:highlight w:val="none"/>
        </w:rPr>
        <w:br w:type="page"/>
      </w:r>
      <w:r>
        <w:rPr>
          <w:rFonts w:hint="eastAsia" w:ascii="宋体" w:hAnsi="宋体" w:eastAsia="宋体" w:cs="宋体"/>
          <w:b/>
          <w:bCs/>
          <w:color w:val="auto"/>
          <w:sz w:val="32"/>
          <w:szCs w:val="32"/>
          <w:highlight w:val="none"/>
        </w:rPr>
        <w:t>2.资格证明文件目录</w:t>
      </w:r>
    </w:p>
    <w:p w14:paraId="2DD6DAC8">
      <w:pPr>
        <w:snapToGrid w:val="0"/>
        <w:spacing w:before="156" w:beforeLines="50" w:after="50" w:line="360" w:lineRule="auto"/>
        <w:ind w:firstLine="645"/>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根据磋商文件规定及供应商提供的材料自行编写目录（部分格式后附）。</w:t>
      </w:r>
    </w:p>
    <w:p w14:paraId="310427FB">
      <w:pPr>
        <w:snapToGrid w:val="0"/>
        <w:spacing w:before="156" w:beforeLines="50" w:after="50"/>
        <w:rPr>
          <w:rFonts w:hint="eastAsia" w:ascii="宋体" w:hAnsi="宋体" w:eastAsia="宋体" w:cs="宋体"/>
          <w:color w:val="auto"/>
          <w:szCs w:val="21"/>
          <w:highlight w:val="none"/>
        </w:rPr>
      </w:pPr>
      <w:r>
        <w:rPr>
          <w:rFonts w:hint="eastAsia" w:ascii="宋体" w:hAnsi="宋体" w:eastAsia="宋体" w:cs="宋体"/>
          <w:color w:val="auto"/>
          <w:sz w:val="22"/>
          <w:szCs w:val="18"/>
          <w:highlight w:val="none"/>
        </w:rPr>
        <w:t xml:space="preserve"> </w:t>
      </w:r>
    </w:p>
    <w:p w14:paraId="4A38795F">
      <w:pPr>
        <w:spacing w:line="300" w:lineRule="auto"/>
        <w:rPr>
          <w:rFonts w:hint="eastAsia" w:ascii="宋体" w:hAnsi="宋体" w:eastAsia="宋体" w:cs="宋体"/>
          <w:color w:val="auto"/>
          <w:szCs w:val="21"/>
          <w:highlight w:val="none"/>
        </w:rPr>
      </w:pPr>
    </w:p>
    <w:p w14:paraId="4C82887E">
      <w:pPr>
        <w:spacing w:line="300" w:lineRule="auto"/>
        <w:rPr>
          <w:rFonts w:hint="eastAsia" w:ascii="宋体" w:hAnsi="宋体" w:eastAsia="宋体" w:cs="宋体"/>
          <w:color w:val="auto"/>
          <w:szCs w:val="21"/>
          <w:highlight w:val="none"/>
        </w:rPr>
      </w:pPr>
    </w:p>
    <w:p w14:paraId="3BEBA379">
      <w:pPr>
        <w:spacing w:line="300" w:lineRule="auto"/>
        <w:rPr>
          <w:rFonts w:hint="eastAsia" w:ascii="宋体" w:hAnsi="宋体" w:eastAsia="宋体" w:cs="宋体"/>
          <w:color w:val="auto"/>
          <w:szCs w:val="21"/>
          <w:highlight w:val="none"/>
        </w:rPr>
      </w:pPr>
    </w:p>
    <w:p w14:paraId="69FDA2C0">
      <w:pPr>
        <w:spacing w:line="300" w:lineRule="auto"/>
        <w:rPr>
          <w:rFonts w:hint="eastAsia" w:ascii="宋体" w:hAnsi="宋体" w:eastAsia="宋体" w:cs="宋体"/>
          <w:color w:val="auto"/>
          <w:szCs w:val="21"/>
          <w:highlight w:val="none"/>
        </w:rPr>
      </w:pPr>
    </w:p>
    <w:p w14:paraId="3BD56295">
      <w:pPr>
        <w:spacing w:line="300" w:lineRule="auto"/>
        <w:rPr>
          <w:rFonts w:hint="eastAsia" w:ascii="宋体" w:hAnsi="宋体" w:eastAsia="宋体" w:cs="宋体"/>
          <w:color w:val="auto"/>
          <w:szCs w:val="21"/>
          <w:highlight w:val="none"/>
        </w:rPr>
      </w:pPr>
    </w:p>
    <w:p w14:paraId="6B3B1D81">
      <w:pPr>
        <w:spacing w:line="300" w:lineRule="auto"/>
        <w:rPr>
          <w:rFonts w:hint="eastAsia" w:ascii="宋体" w:hAnsi="宋体" w:eastAsia="宋体" w:cs="宋体"/>
          <w:color w:val="auto"/>
          <w:szCs w:val="21"/>
          <w:highlight w:val="none"/>
        </w:rPr>
      </w:pPr>
    </w:p>
    <w:p w14:paraId="7105DA0E">
      <w:pPr>
        <w:jc w:val="center"/>
        <w:rPr>
          <w:rFonts w:hint="eastAsia" w:ascii="宋体" w:hAnsi="宋体" w:eastAsia="宋体" w:cs="宋体"/>
          <w:b/>
          <w:color w:val="auto"/>
          <w:sz w:val="32"/>
          <w:szCs w:val="32"/>
          <w:highlight w:val="none"/>
        </w:rPr>
      </w:pPr>
      <w:r>
        <w:rPr>
          <w:rFonts w:hint="eastAsia" w:ascii="宋体" w:hAnsi="宋体" w:eastAsia="宋体" w:cs="宋体"/>
          <w:color w:val="auto"/>
          <w:szCs w:val="21"/>
          <w:highlight w:val="none"/>
        </w:rPr>
        <w:br w:type="page"/>
      </w:r>
    </w:p>
    <w:p w14:paraId="0BC48874">
      <w:pPr>
        <w:jc w:val="center"/>
        <w:outlineLvl w:val="9"/>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供应商直接控股、管理关系信息表</w:t>
      </w:r>
    </w:p>
    <w:p w14:paraId="01258E38">
      <w:pPr>
        <w:jc w:val="center"/>
        <w:outlineLvl w:val="9"/>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（一）供应商</w:t>
      </w:r>
      <w:r>
        <w:rPr>
          <w:rFonts w:hint="eastAsia" w:ascii="宋体" w:hAnsi="宋体" w:eastAsia="宋体" w:cs="宋体"/>
          <w:b/>
          <w:color w:val="auto"/>
          <w:kern w:val="0"/>
          <w:sz w:val="32"/>
          <w:szCs w:val="32"/>
          <w:highlight w:val="none"/>
        </w:rPr>
        <w:t>直接控股股东信息表</w:t>
      </w:r>
    </w:p>
    <w:p w14:paraId="5B6F4FDB">
      <w:pPr>
        <w:snapToGrid w:val="0"/>
        <w:spacing w:before="156" w:beforeLines="50" w:after="50"/>
        <w:jc w:val="center"/>
        <w:outlineLvl w:val="9"/>
        <w:rPr>
          <w:rFonts w:hint="eastAsia" w:ascii="宋体" w:hAnsi="宋体" w:eastAsia="宋体" w:cs="宋体"/>
          <w:b/>
          <w:color w:val="auto"/>
          <w:sz w:val="24"/>
          <w:highlight w:val="none"/>
        </w:rPr>
      </w:pPr>
    </w:p>
    <w:p w14:paraId="37745959">
      <w:pPr>
        <w:spacing w:line="360" w:lineRule="auto"/>
        <w:contextualSpacing/>
        <w:jc w:val="center"/>
        <w:outlineLvl w:val="9"/>
        <w:rPr>
          <w:rFonts w:hint="eastAsia" w:ascii="宋体" w:hAnsi="宋体" w:eastAsia="宋体" w:cs="宋体"/>
          <w:b/>
          <w:color w:val="auto"/>
          <w:sz w:val="24"/>
          <w:highlight w:val="none"/>
        </w:rPr>
      </w:pPr>
    </w:p>
    <w:tbl>
      <w:tblPr>
        <w:tblStyle w:val="29"/>
        <w:tblW w:w="9557" w:type="dxa"/>
        <w:jc w:val="center"/>
        <w:shd w:val="clear" w:color="auto" w:fill="FBFBFB"/>
        <w:tblLayout w:type="fixed"/>
        <w:tblCellMar>
          <w:top w:w="0" w:type="dxa"/>
          <w:left w:w="0" w:type="dxa"/>
          <w:bottom w:w="0" w:type="dxa"/>
          <w:right w:w="0" w:type="dxa"/>
        </w:tblCellMar>
      </w:tblPr>
      <w:tblGrid>
        <w:gridCol w:w="828"/>
        <w:gridCol w:w="2500"/>
        <w:gridCol w:w="1371"/>
        <w:gridCol w:w="4039"/>
        <w:gridCol w:w="819"/>
      </w:tblGrid>
      <w:tr w14:paraId="70D263BC">
        <w:tblPrEx>
          <w:shd w:val="clear" w:color="auto" w:fill="FBFBFB"/>
          <w:tblCellMar>
            <w:top w:w="0" w:type="dxa"/>
            <w:left w:w="0" w:type="dxa"/>
            <w:bottom w:w="0" w:type="dxa"/>
            <w:right w:w="0" w:type="dxa"/>
          </w:tblCellMar>
        </w:tblPrEx>
        <w:trPr>
          <w:trHeight w:val="532" w:hRule="atLeast"/>
          <w:tblHeader/>
          <w:jc w:val="center"/>
        </w:trPr>
        <w:tc>
          <w:tcPr>
            <w:tcW w:w="82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9D64977">
            <w:pPr>
              <w:widowControl/>
              <w:spacing w:line="360" w:lineRule="auto"/>
              <w:contextualSpacing/>
              <w:jc w:val="center"/>
              <w:outlineLvl w:val="9"/>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25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8A85C2E">
            <w:pPr>
              <w:widowControl/>
              <w:spacing w:line="360" w:lineRule="auto"/>
              <w:contextualSpacing/>
              <w:jc w:val="center"/>
              <w:outlineLvl w:val="9"/>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直接控股股东名称</w:t>
            </w:r>
          </w:p>
        </w:tc>
        <w:tc>
          <w:tcPr>
            <w:tcW w:w="1371"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D24804E">
            <w:pPr>
              <w:widowControl/>
              <w:spacing w:line="360" w:lineRule="auto"/>
              <w:contextualSpacing/>
              <w:jc w:val="center"/>
              <w:outlineLvl w:val="9"/>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出资比例</w:t>
            </w:r>
          </w:p>
        </w:tc>
        <w:tc>
          <w:tcPr>
            <w:tcW w:w="403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56F8D48">
            <w:pPr>
              <w:widowControl/>
              <w:spacing w:line="360" w:lineRule="auto"/>
              <w:contextualSpacing/>
              <w:jc w:val="center"/>
              <w:outlineLvl w:val="9"/>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身份证号码或者统一社会信用代码</w:t>
            </w:r>
          </w:p>
        </w:tc>
        <w:tc>
          <w:tcPr>
            <w:tcW w:w="81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7E9F38B">
            <w:pPr>
              <w:widowControl/>
              <w:spacing w:line="360" w:lineRule="auto"/>
              <w:contextualSpacing/>
              <w:jc w:val="center"/>
              <w:outlineLvl w:val="9"/>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14:paraId="043F34FC">
        <w:tblPrEx>
          <w:tblCellMar>
            <w:top w:w="0" w:type="dxa"/>
            <w:left w:w="0" w:type="dxa"/>
            <w:bottom w:w="0" w:type="dxa"/>
            <w:right w:w="0" w:type="dxa"/>
          </w:tblCellMar>
        </w:tblPrEx>
        <w:trPr>
          <w:trHeight w:val="532" w:hRule="atLeast"/>
          <w:jc w:val="center"/>
        </w:trPr>
        <w:tc>
          <w:tcPr>
            <w:tcW w:w="82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5CA62A6">
            <w:pPr>
              <w:widowControl/>
              <w:spacing w:line="360" w:lineRule="auto"/>
              <w:contextualSpacing/>
              <w:jc w:val="center"/>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25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C6BEC2D">
            <w:pPr>
              <w:widowControl/>
              <w:spacing w:line="360" w:lineRule="auto"/>
              <w:contextualSpacing/>
              <w:jc w:val="center"/>
              <w:outlineLvl w:val="9"/>
              <w:rPr>
                <w:rFonts w:hint="eastAsia" w:ascii="宋体" w:hAnsi="宋体" w:eastAsia="宋体" w:cs="宋体"/>
                <w:color w:val="auto"/>
                <w:kern w:val="0"/>
                <w:sz w:val="24"/>
                <w:highlight w:val="none"/>
              </w:rPr>
            </w:pPr>
          </w:p>
        </w:tc>
        <w:tc>
          <w:tcPr>
            <w:tcW w:w="1371"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808CAF5">
            <w:pPr>
              <w:widowControl/>
              <w:spacing w:line="360" w:lineRule="auto"/>
              <w:contextualSpacing/>
              <w:jc w:val="center"/>
              <w:outlineLvl w:val="9"/>
              <w:rPr>
                <w:rFonts w:hint="eastAsia" w:ascii="宋体" w:hAnsi="宋体" w:eastAsia="宋体" w:cs="宋体"/>
                <w:color w:val="auto"/>
                <w:kern w:val="0"/>
                <w:sz w:val="24"/>
                <w:highlight w:val="none"/>
              </w:rPr>
            </w:pPr>
          </w:p>
        </w:tc>
        <w:tc>
          <w:tcPr>
            <w:tcW w:w="403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870D28F">
            <w:pPr>
              <w:widowControl/>
              <w:spacing w:line="360" w:lineRule="auto"/>
              <w:contextualSpacing/>
              <w:jc w:val="center"/>
              <w:outlineLvl w:val="9"/>
              <w:rPr>
                <w:rFonts w:hint="eastAsia" w:ascii="宋体" w:hAnsi="宋体" w:eastAsia="宋体" w:cs="宋体"/>
                <w:color w:val="auto"/>
                <w:kern w:val="0"/>
                <w:sz w:val="24"/>
                <w:highlight w:val="none"/>
              </w:rPr>
            </w:pPr>
          </w:p>
        </w:tc>
        <w:tc>
          <w:tcPr>
            <w:tcW w:w="81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7E90835">
            <w:pPr>
              <w:widowControl/>
              <w:spacing w:line="360" w:lineRule="auto"/>
              <w:contextualSpacing/>
              <w:jc w:val="center"/>
              <w:outlineLvl w:val="9"/>
              <w:rPr>
                <w:rFonts w:hint="eastAsia" w:ascii="宋体" w:hAnsi="宋体" w:eastAsia="宋体" w:cs="宋体"/>
                <w:color w:val="auto"/>
                <w:kern w:val="0"/>
                <w:sz w:val="24"/>
                <w:highlight w:val="none"/>
              </w:rPr>
            </w:pPr>
          </w:p>
        </w:tc>
      </w:tr>
      <w:tr w14:paraId="6306F700">
        <w:tblPrEx>
          <w:tblCellMar>
            <w:top w:w="0" w:type="dxa"/>
            <w:left w:w="0" w:type="dxa"/>
            <w:bottom w:w="0" w:type="dxa"/>
            <w:right w:w="0" w:type="dxa"/>
          </w:tblCellMar>
        </w:tblPrEx>
        <w:trPr>
          <w:trHeight w:val="532" w:hRule="atLeast"/>
          <w:jc w:val="center"/>
        </w:trPr>
        <w:tc>
          <w:tcPr>
            <w:tcW w:w="82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779F45A">
            <w:pPr>
              <w:widowControl/>
              <w:spacing w:line="360" w:lineRule="auto"/>
              <w:contextualSpacing/>
              <w:jc w:val="center"/>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25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4FD8FEA">
            <w:pPr>
              <w:widowControl/>
              <w:spacing w:line="360" w:lineRule="auto"/>
              <w:contextualSpacing/>
              <w:jc w:val="center"/>
              <w:outlineLvl w:val="9"/>
              <w:rPr>
                <w:rFonts w:hint="eastAsia" w:ascii="宋体" w:hAnsi="宋体" w:eastAsia="宋体" w:cs="宋体"/>
                <w:color w:val="auto"/>
                <w:kern w:val="0"/>
                <w:sz w:val="24"/>
                <w:highlight w:val="none"/>
              </w:rPr>
            </w:pPr>
          </w:p>
        </w:tc>
        <w:tc>
          <w:tcPr>
            <w:tcW w:w="1371"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7C5310B">
            <w:pPr>
              <w:widowControl/>
              <w:spacing w:line="360" w:lineRule="auto"/>
              <w:contextualSpacing/>
              <w:jc w:val="center"/>
              <w:outlineLvl w:val="9"/>
              <w:rPr>
                <w:rFonts w:hint="eastAsia" w:ascii="宋体" w:hAnsi="宋体" w:eastAsia="宋体" w:cs="宋体"/>
                <w:color w:val="auto"/>
                <w:kern w:val="0"/>
                <w:sz w:val="24"/>
                <w:highlight w:val="none"/>
              </w:rPr>
            </w:pPr>
          </w:p>
        </w:tc>
        <w:tc>
          <w:tcPr>
            <w:tcW w:w="403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7824663">
            <w:pPr>
              <w:widowControl/>
              <w:spacing w:line="360" w:lineRule="auto"/>
              <w:contextualSpacing/>
              <w:jc w:val="center"/>
              <w:outlineLvl w:val="9"/>
              <w:rPr>
                <w:rFonts w:hint="eastAsia" w:ascii="宋体" w:hAnsi="宋体" w:eastAsia="宋体" w:cs="宋体"/>
                <w:color w:val="auto"/>
                <w:kern w:val="0"/>
                <w:sz w:val="24"/>
                <w:highlight w:val="none"/>
              </w:rPr>
            </w:pPr>
          </w:p>
        </w:tc>
        <w:tc>
          <w:tcPr>
            <w:tcW w:w="81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DED8757">
            <w:pPr>
              <w:widowControl/>
              <w:spacing w:line="360" w:lineRule="auto"/>
              <w:contextualSpacing/>
              <w:jc w:val="center"/>
              <w:outlineLvl w:val="9"/>
              <w:rPr>
                <w:rFonts w:hint="eastAsia" w:ascii="宋体" w:hAnsi="宋体" w:eastAsia="宋体" w:cs="宋体"/>
                <w:color w:val="auto"/>
                <w:kern w:val="0"/>
                <w:sz w:val="24"/>
                <w:highlight w:val="none"/>
              </w:rPr>
            </w:pPr>
          </w:p>
        </w:tc>
      </w:tr>
      <w:tr w14:paraId="678A7C4D">
        <w:tblPrEx>
          <w:tblCellMar>
            <w:top w:w="0" w:type="dxa"/>
            <w:left w:w="0" w:type="dxa"/>
            <w:bottom w:w="0" w:type="dxa"/>
            <w:right w:w="0" w:type="dxa"/>
          </w:tblCellMar>
        </w:tblPrEx>
        <w:trPr>
          <w:trHeight w:val="544" w:hRule="atLeast"/>
          <w:jc w:val="center"/>
        </w:trPr>
        <w:tc>
          <w:tcPr>
            <w:tcW w:w="82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FB4B4A5">
            <w:pPr>
              <w:widowControl/>
              <w:spacing w:line="360" w:lineRule="auto"/>
              <w:contextualSpacing/>
              <w:jc w:val="center"/>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25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BD661B4">
            <w:pPr>
              <w:widowControl/>
              <w:spacing w:line="360" w:lineRule="auto"/>
              <w:contextualSpacing/>
              <w:jc w:val="center"/>
              <w:outlineLvl w:val="9"/>
              <w:rPr>
                <w:rFonts w:hint="eastAsia" w:ascii="宋体" w:hAnsi="宋体" w:eastAsia="宋体" w:cs="宋体"/>
                <w:color w:val="auto"/>
                <w:kern w:val="0"/>
                <w:sz w:val="24"/>
                <w:highlight w:val="none"/>
              </w:rPr>
            </w:pPr>
          </w:p>
        </w:tc>
        <w:tc>
          <w:tcPr>
            <w:tcW w:w="1371"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9F60BFF">
            <w:pPr>
              <w:widowControl/>
              <w:spacing w:line="360" w:lineRule="auto"/>
              <w:contextualSpacing/>
              <w:jc w:val="center"/>
              <w:outlineLvl w:val="9"/>
              <w:rPr>
                <w:rFonts w:hint="eastAsia" w:ascii="宋体" w:hAnsi="宋体" w:eastAsia="宋体" w:cs="宋体"/>
                <w:color w:val="auto"/>
                <w:kern w:val="0"/>
                <w:sz w:val="24"/>
                <w:highlight w:val="none"/>
              </w:rPr>
            </w:pPr>
          </w:p>
        </w:tc>
        <w:tc>
          <w:tcPr>
            <w:tcW w:w="403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53A560F">
            <w:pPr>
              <w:widowControl/>
              <w:spacing w:line="360" w:lineRule="auto"/>
              <w:contextualSpacing/>
              <w:jc w:val="center"/>
              <w:outlineLvl w:val="9"/>
              <w:rPr>
                <w:rFonts w:hint="eastAsia" w:ascii="宋体" w:hAnsi="宋体" w:eastAsia="宋体" w:cs="宋体"/>
                <w:color w:val="auto"/>
                <w:kern w:val="0"/>
                <w:sz w:val="24"/>
                <w:highlight w:val="none"/>
              </w:rPr>
            </w:pPr>
          </w:p>
        </w:tc>
        <w:tc>
          <w:tcPr>
            <w:tcW w:w="81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21CD9DC">
            <w:pPr>
              <w:widowControl/>
              <w:spacing w:line="360" w:lineRule="auto"/>
              <w:contextualSpacing/>
              <w:jc w:val="center"/>
              <w:outlineLvl w:val="9"/>
              <w:rPr>
                <w:rFonts w:hint="eastAsia" w:ascii="宋体" w:hAnsi="宋体" w:eastAsia="宋体" w:cs="宋体"/>
                <w:color w:val="auto"/>
                <w:kern w:val="0"/>
                <w:sz w:val="24"/>
                <w:highlight w:val="none"/>
              </w:rPr>
            </w:pPr>
          </w:p>
        </w:tc>
      </w:tr>
    </w:tbl>
    <w:p w14:paraId="48802D51">
      <w:pPr>
        <w:spacing w:line="360" w:lineRule="auto"/>
        <w:contextualSpacing/>
        <w:jc w:val="left"/>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w:t>
      </w:r>
    </w:p>
    <w:p w14:paraId="6D5A99B5">
      <w:pPr>
        <w:spacing w:line="360" w:lineRule="auto"/>
        <w:ind w:firstLine="480" w:firstLineChars="200"/>
        <w:contextualSpacing/>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61194D5D">
      <w:pPr>
        <w:spacing w:line="360" w:lineRule="auto"/>
        <w:ind w:firstLine="480" w:firstLineChars="200"/>
        <w:contextualSpacing/>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2.本表所指的控股关系仅限于直接控股关系，不包括间接的控股关系。公司实际控制人与公司之间的关系不属于本表所指的直接控股关系。</w:t>
      </w:r>
    </w:p>
    <w:p w14:paraId="524574C0">
      <w:pPr>
        <w:spacing w:line="360" w:lineRule="auto"/>
        <w:ind w:firstLine="480" w:firstLineChars="200"/>
        <w:contextualSpacing/>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3.供应商不存在直接控股股东的，则填“无”。</w:t>
      </w:r>
    </w:p>
    <w:p w14:paraId="68F3391A">
      <w:pPr>
        <w:snapToGrid w:val="0"/>
        <w:spacing w:line="360" w:lineRule="auto"/>
        <w:jc w:val="left"/>
        <w:outlineLvl w:val="9"/>
        <w:rPr>
          <w:rFonts w:hint="eastAsia" w:ascii="宋体" w:hAnsi="宋体" w:eastAsia="宋体" w:cs="宋体"/>
          <w:color w:val="auto"/>
          <w:sz w:val="24"/>
          <w:highlight w:val="none"/>
        </w:rPr>
      </w:pPr>
    </w:p>
    <w:p w14:paraId="02F31590">
      <w:pPr>
        <w:snapToGrid w:val="0"/>
        <w:spacing w:line="360" w:lineRule="auto"/>
        <w:jc w:val="left"/>
        <w:outlineLvl w:val="9"/>
        <w:rPr>
          <w:rFonts w:hint="eastAsia" w:ascii="宋体" w:hAnsi="宋体" w:eastAsia="宋体" w:cs="宋体"/>
          <w:color w:val="auto"/>
          <w:sz w:val="24"/>
          <w:highlight w:val="none"/>
        </w:rPr>
      </w:pPr>
    </w:p>
    <w:p w14:paraId="4DB4FCE2">
      <w:pPr>
        <w:snapToGrid w:val="0"/>
        <w:spacing w:line="360" w:lineRule="auto"/>
        <w:jc w:val="left"/>
        <w:outlineLvl w:val="9"/>
        <w:rPr>
          <w:rFonts w:hint="eastAsia" w:ascii="宋体" w:hAnsi="宋体" w:eastAsia="宋体" w:cs="宋体"/>
          <w:color w:val="auto"/>
          <w:sz w:val="24"/>
          <w:highlight w:val="none"/>
        </w:rPr>
      </w:pPr>
    </w:p>
    <w:p w14:paraId="4F64D240">
      <w:pPr>
        <w:snapToGrid w:val="0"/>
        <w:spacing w:before="156" w:beforeLines="50" w:line="360" w:lineRule="auto"/>
        <w:ind w:right="480" w:firstLine="3480" w:firstLineChars="1450"/>
        <w:outlineLvl w:val="9"/>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法定代表人或者委托代理人（签字）：</w:t>
      </w:r>
      <w:r>
        <w:rPr>
          <w:rFonts w:hint="eastAsia" w:ascii="宋体" w:hAnsi="宋体" w:eastAsia="宋体" w:cs="宋体"/>
          <w:color w:val="auto"/>
          <w:sz w:val="24"/>
          <w:highlight w:val="none"/>
          <w:u w:val="single"/>
        </w:rPr>
        <w:t xml:space="preserve">                </w:t>
      </w:r>
    </w:p>
    <w:p w14:paraId="31E237B3">
      <w:pPr>
        <w:snapToGrid w:val="0"/>
        <w:spacing w:before="156" w:beforeLines="50" w:after="50" w:line="360" w:lineRule="auto"/>
        <w:ind w:right="480" w:firstLine="3480" w:firstLineChars="1450"/>
        <w:outlineLvl w:val="9"/>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供应商（公章）：</w:t>
      </w:r>
      <w:r>
        <w:rPr>
          <w:rFonts w:hint="eastAsia" w:ascii="宋体" w:hAnsi="宋体" w:eastAsia="宋体" w:cs="宋体"/>
          <w:color w:val="auto"/>
          <w:sz w:val="24"/>
          <w:highlight w:val="none"/>
          <w:u w:val="single"/>
        </w:rPr>
        <w:t xml:space="preserve">                           </w:t>
      </w:r>
    </w:p>
    <w:p w14:paraId="5B5A0816">
      <w:pPr>
        <w:snapToGrid w:val="0"/>
        <w:spacing w:before="156" w:beforeLines="50" w:after="50" w:line="360" w:lineRule="auto"/>
        <w:ind w:right="480" w:firstLine="3600" w:firstLineChars="1500"/>
        <w:outlineLvl w:val="9"/>
        <w:rPr>
          <w:rFonts w:hint="eastAsia" w:ascii="宋体" w:hAnsi="宋体" w:eastAsia="宋体" w:cs="宋体"/>
          <w:color w:val="auto"/>
          <w:sz w:val="28"/>
          <w:szCs w:val="28"/>
          <w:highlight w:val="none"/>
        </w:rPr>
      </w:pPr>
      <w:r>
        <w:rPr>
          <w:rFonts w:hint="eastAsia" w:ascii="宋体" w:hAnsi="宋体" w:eastAsia="宋体" w:cs="宋体"/>
          <w:color w:val="auto"/>
          <w:sz w:val="24"/>
          <w:highlight w:val="none"/>
        </w:rPr>
        <w:t>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485CF958">
      <w:pPr>
        <w:snapToGrid w:val="0"/>
        <w:jc w:val="center"/>
        <w:outlineLvl w:val="9"/>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0865A556">
      <w:pPr>
        <w:jc w:val="center"/>
        <w:outlineLvl w:val="9"/>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（二）供应商直接管理关系信息表</w:t>
      </w:r>
    </w:p>
    <w:p w14:paraId="2104F7BB">
      <w:pPr>
        <w:snapToGrid w:val="0"/>
        <w:spacing w:line="360" w:lineRule="auto"/>
        <w:jc w:val="center"/>
        <w:outlineLvl w:val="9"/>
        <w:rPr>
          <w:rFonts w:hint="eastAsia" w:ascii="宋体" w:hAnsi="宋体" w:eastAsia="宋体" w:cs="宋体"/>
          <w:b/>
          <w:color w:val="auto"/>
          <w:sz w:val="24"/>
          <w:highlight w:val="none"/>
        </w:rPr>
      </w:pPr>
    </w:p>
    <w:tbl>
      <w:tblPr>
        <w:tblStyle w:val="29"/>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130DFC26">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5924A98">
            <w:pPr>
              <w:widowControl/>
              <w:spacing w:line="360" w:lineRule="auto"/>
              <w:contextualSpacing/>
              <w:jc w:val="center"/>
              <w:outlineLvl w:val="9"/>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11A1BE2">
            <w:pPr>
              <w:widowControl/>
              <w:spacing w:line="360" w:lineRule="auto"/>
              <w:contextualSpacing/>
              <w:jc w:val="center"/>
              <w:outlineLvl w:val="9"/>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13A0D08">
            <w:pPr>
              <w:widowControl/>
              <w:spacing w:line="360" w:lineRule="auto"/>
              <w:contextualSpacing/>
              <w:jc w:val="center"/>
              <w:outlineLvl w:val="9"/>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934C779">
            <w:pPr>
              <w:widowControl/>
              <w:spacing w:line="360" w:lineRule="auto"/>
              <w:contextualSpacing/>
              <w:jc w:val="center"/>
              <w:outlineLvl w:val="9"/>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14:paraId="183165AA">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F9BC3D2">
            <w:pPr>
              <w:widowControl/>
              <w:spacing w:line="360" w:lineRule="auto"/>
              <w:contextualSpacing/>
              <w:jc w:val="center"/>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B6688F4">
            <w:pPr>
              <w:widowControl/>
              <w:spacing w:line="360" w:lineRule="auto"/>
              <w:contextualSpacing/>
              <w:jc w:val="center"/>
              <w:outlineLvl w:val="9"/>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AED7268">
            <w:pPr>
              <w:widowControl/>
              <w:spacing w:line="360" w:lineRule="auto"/>
              <w:contextualSpacing/>
              <w:jc w:val="center"/>
              <w:outlineLvl w:val="9"/>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7D38B0D">
            <w:pPr>
              <w:widowControl/>
              <w:spacing w:line="360" w:lineRule="auto"/>
              <w:contextualSpacing/>
              <w:jc w:val="center"/>
              <w:outlineLvl w:val="9"/>
              <w:rPr>
                <w:rFonts w:hint="eastAsia" w:ascii="宋体" w:hAnsi="宋体" w:eastAsia="宋体" w:cs="宋体"/>
                <w:color w:val="auto"/>
                <w:kern w:val="0"/>
                <w:sz w:val="24"/>
                <w:highlight w:val="none"/>
              </w:rPr>
            </w:pPr>
          </w:p>
        </w:tc>
      </w:tr>
      <w:tr w14:paraId="4D55443E">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8BB5EEC">
            <w:pPr>
              <w:widowControl/>
              <w:spacing w:line="360" w:lineRule="auto"/>
              <w:contextualSpacing/>
              <w:jc w:val="center"/>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9C6F24F">
            <w:pPr>
              <w:widowControl/>
              <w:spacing w:line="360" w:lineRule="auto"/>
              <w:contextualSpacing/>
              <w:jc w:val="center"/>
              <w:outlineLvl w:val="9"/>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AC64C12">
            <w:pPr>
              <w:widowControl/>
              <w:spacing w:line="360" w:lineRule="auto"/>
              <w:contextualSpacing/>
              <w:jc w:val="center"/>
              <w:outlineLvl w:val="9"/>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50B626A">
            <w:pPr>
              <w:widowControl/>
              <w:spacing w:line="360" w:lineRule="auto"/>
              <w:contextualSpacing/>
              <w:jc w:val="center"/>
              <w:outlineLvl w:val="9"/>
              <w:rPr>
                <w:rFonts w:hint="eastAsia" w:ascii="宋体" w:hAnsi="宋体" w:eastAsia="宋体" w:cs="宋体"/>
                <w:color w:val="auto"/>
                <w:kern w:val="0"/>
                <w:sz w:val="24"/>
                <w:highlight w:val="none"/>
              </w:rPr>
            </w:pPr>
          </w:p>
        </w:tc>
      </w:tr>
      <w:tr w14:paraId="01FA0808">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F8089A6">
            <w:pPr>
              <w:widowControl/>
              <w:spacing w:line="360" w:lineRule="auto"/>
              <w:contextualSpacing/>
              <w:jc w:val="center"/>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41DF158">
            <w:pPr>
              <w:widowControl/>
              <w:spacing w:line="360" w:lineRule="auto"/>
              <w:contextualSpacing/>
              <w:jc w:val="center"/>
              <w:outlineLvl w:val="9"/>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039A0E7">
            <w:pPr>
              <w:widowControl/>
              <w:spacing w:line="360" w:lineRule="auto"/>
              <w:contextualSpacing/>
              <w:jc w:val="center"/>
              <w:outlineLvl w:val="9"/>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912009A">
            <w:pPr>
              <w:widowControl/>
              <w:spacing w:line="360" w:lineRule="auto"/>
              <w:contextualSpacing/>
              <w:jc w:val="center"/>
              <w:outlineLvl w:val="9"/>
              <w:rPr>
                <w:rFonts w:hint="eastAsia" w:ascii="宋体" w:hAnsi="宋体" w:eastAsia="宋体" w:cs="宋体"/>
                <w:color w:val="auto"/>
                <w:kern w:val="0"/>
                <w:sz w:val="24"/>
                <w:highlight w:val="none"/>
              </w:rPr>
            </w:pPr>
          </w:p>
        </w:tc>
      </w:tr>
      <w:tr w14:paraId="7BE6933D">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663A2D4">
            <w:pPr>
              <w:widowControl/>
              <w:spacing w:line="360" w:lineRule="auto"/>
              <w:contextualSpacing/>
              <w:jc w:val="center"/>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7C5B265">
            <w:pPr>
              <w:widowControl/>
              <w:spacing w:line="360" w:lineRule="auto"/>
              <w:contextualSpacing/>
              <w:jc w:val="center"/>
              <w:outlineLvl w:val="9"/>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3110EF5">
            <w:pPr>
              <w:widowControl/>
              <w:spacing w:line="360" w:lineRule="auto"/>
              <w:contextualSpacing/>
              <w:jc w:val="center"/>
              <w:outlineLvl w:val="9"/>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FCA06C4">
            <w:pPr>
              <w:widowControl/>
              <w:spacing w:line="360" w:lineRule="auto"/>
              <w:contextualSpacing/>
              <w:jc w:val="center"/>
              <w:outlineLvl w:val="9"/>
              <w:rPr>
                <w:rFonts w:hint="eastAsia" w:ascii="宋体" w:hAnsi="宋体" w:eastAsia="宋体" w:cs="宋体"/>
                <w:color w:val="auto"/>
                <w:kern w:val="0"/>
                <w:sz w:val="24"/>
                <w:highlight w:val="none"/>
              </w:rPr>
            </w:pPr>
          </w:p>
        </w:tc>
      </w:tr>
    </w:tbl>
    <w:p w14:paraId="6C89D7C8">
      <w:pPr>
        <w:spacing w:line="360" w:lineRule="auto"/>
        <w:contextualSpacing/>
        <w:jc w:val="left"/>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w:t>
      </w:r>
    </w:p>
    <w:p w14:paraId="3FD25DDE">
      <w:pPr>
        <w:spacing w:line="360" w:lineRule="auto"/>
        <w:ind w:firstLine="480" w:firstLineChars="200"/>
        <w:contextualSpacing/>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1.管理关系：是指不具有出资持股关系的其他单位之间存在的管理与被管理关系，如一些上下级关系的事业单位和团体组织。</w:t>
      </w:r>
    </w:p>
    <w:p w14:paraId="13A22211">
      <w:pPr>
        <w:spacing w:line="360" w:lineRule="auto"/>
        <w:ind w:firstLine="480" w:firstLineChars="200"/>
        <w:contextualSpacing/>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pacing w:val="-6"/>
          <w:sz w:val="24"/>
          <w:highlight w:val="none"/>
        </w:rPr>
        <w:t>本表所指的管理关系仅限于直接管理关系，不包括间接的管理关系。</w:t>
      </w:r>
    </w:p>
    <w:p w14:paraId="41B377A8">
      <w:pPr>
        <w:spacing w:line="360" w:lineRule="auto"/>
        <w:ind w:firstLine="480" w:firstLineChars="200"/>
        <w:contextualSpacing/>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3.供应商不存在直接管理关系的，则填“无”。</w:t>
      </w:r>
    </w:p>
    <w:p w14:paraId="6F86E1A8">
      <w:pPr>
        <w:spacing w:line="360" w:lineRule="auto"/>
        <w:contextualSpacing/>
        <w:jc w:val="left"/>
        <w:outlineLvl w:val="9"/>
        <w:rPr>
          <w:rFonts w:hint="eastAsia" w:ascii="宋体" w:hAnsi="宋体" w:eastAsia="宋体" w:cs="宋体"/>
          <w:color w:val="auto"/>
          <w:sz w:val="24"/>
          <w:highlight w:val="none"/>
        </w:rPr>
      </w:pPr>
    </w:p>
    <w:p w14:paraId="69DE2FBF">
      <w:pPr>
        <w:spacing w:line="360" w:lineRule="auto"/>
        <w:contextualSpacing/>
        <w:jc w:val="left"/>
        <w:outlineLvl w:val="9"/>
        <w:rPr>
          <w:rFonts w:hint="eastAsia" w:ascii="宋体" w:hAnsi="宋体" w:eastAsia="宋体" w:cs="宋体"/>
          <w:color w:val="auto"/>
          <w:sz w:val="24"/>
          <w:highlight w:val="none"/>
        </w:rPr>
      </w:pPr>
    </w:p>
    <w:p w14:paraId="3DB86E51">
      <w:pPr>
        <w:spacing w:line="360" w:lineRule="auto"/>
        <w:contextualSpacing/>
        <w:jc w:val="left"/>
        <w:outlineLvl w:val="9"/>
        <w:rPr>
          <w:rFonts w:hint="eastAsia" w:ascii="宋体" w:hAnsi="宋体" w:eastAsia="宋体" w:cs="宋体"/>
          <w:color w:val="auto"/>
          <w:sz w:val="24"/>
          <w:highlight w:val="none"/>
        </w:rPr>
      </w:pPr>
    </w:p>
    <w:p w14:paraId="5AB17043">
      <w:pPr>
        <w:spacing w:line="360" w:lineRule="auto"/>
        <w:contextualSpacing/>
        <w:jc w:val="left"/>
        <w:outlineLvl w:val="9"/>
        <w:rPr>
          <w:rFonts w:hint="eastAsia" w:ascii="宋体" w:hAnsi="宋体" w:eastAsia="宋体" w:cs="宋体"/>
          <w:color w:val="auto"/>
          <w:sz w:val="24"/>
          <w:highlight w:val="none"/>
        </w:rPr>
      </w:pPr>
    </w:p>
    <w:p w14:paraId="3135778F">
      <w:pPr>
        <w:spacing w:line="360" w:lineRule="auto"/>
        <w:contextualSpacing/>
        <w:jc w:val="left"/>
        <w:outlineLvl w:val="9"/>
        <w:rPr>
          <w:rFonts w:hint="eastAsia" w:ascii="宋体" w:hAnsi="宋体" w:eastAsia="宋体" w:cs="宋体"/>
          <w:color w:val="auto"/>
          <w:sz w:val="24"/>
          <w:highlight w:val="none"/>
        </w:rPr>
      </w:pPr>
    </w:p>
    <w:p w14:paraId="14976EC5">
      <w:pPr>
        <w:spacing w:line="360" w:lineRule="auto"/>
        <w:contextualSpacing/>
        <w:jc w:val="left"/>
        <w:outlineLvl w:val="9"/>
        <w:rPr>
          <w:rFonts w:hint="eastAsia" w:ascii="宋体" w:hAnsi="宋体" w:eastAsia="宋体" w:cs="宋体"/>
          <w:color w:val="auto"/>
          <w:sz w:val="24"/>
          <w:highlight w:val="none"/>
        </w:rPr>
      </w:pPr>
    </w:p>
    <w:p w14:paraId="5CF97CD1">
      <w:pPr>
        <w:spacing w:line="360" w:lineRule="auto"/>
        <w:ind w:right="480" w:firstLine="3360" w:firstLineChars="1400"/>
        <w:contextualSpacing/>
        <w:outlineLvl w:val="9"/>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法定代表人或者委托代理人（签字）：</w:t>
      </w:r>
      <w:r>
        <w:rPr>
          <w:rFonts w:hint="eastAsia" w:ascii="宋体" w:hAnsi="宋体" w:eastAsia="宋体" w:cs="宋体"/>
          <w:color w:val="auto"/>
          <w:sz w:val="24"/>
          <w:highlight w:val="none"/>
          <w:u w:val="single"/>
        </w:rPr>
        <w:t xml:space="preserve">               </w:t>
      </w:r>
    </w:p>
    <w:p w14:paraId="63179D36">
      <w:pPr>
        <w:spacing w:line="360" w:lineRule="auto"/>
        <w:ind w:right="480" w:firstLine="3360" w:firstLineChars="1400"/>
        <w:contextualSpacing/>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供应商（公章）：</w:t>
      </w:r>
      <w:r>
        <w:rPr>
          <w:rFonts w:hint="eastAsia" w:ascii="宋体" w:hAnsi="宋体" w:eastAsia="宋体" w:cs="宋体"/>
          <w:color w:val="auto"/>
          <w:sz w:val="24"/>
          <w:highlight w:val="none"/>
          <w:u w:val="single"/>
        </w:rPr>
        <w:t xml:space="preserve">                </w:t>
      </w:r>
    </w:p>
    <w:p w14:paraId="7BF8C799">
      <w:pPr>
        <w:spacing w:line="360" w:lineRule="auto"/>
        <w:ind w:right="480" w:firstLine="240" w:firstLineChars="100"/>
        <w:contextualSpacing/>
        <w:jc w:val="center"/>
        <w:outlineLvl w:val="9"/>
        <w:rPr>
          <w:rFonts w:hint="eastAsia" w:ascii="宋体" w:hAnsi="宋体" w:eastAsia="宋体" w:cs="宋体"/>
          <w:color w:val="auto"/>
          <w:sz w:val="28"/>
          <w:szCs w:val="28"/>
          <w:highlight w:val="none"/>
        </w:rPr>
      </w:pPr>
      <w:r>
        <w:rPr>
          <w:rFonts w:hint="eastAsia" w:ascii="宋体" w:hAnsi="宋体" w:eastAsia="宋体" w:cs="宋体"/>
          <w:color w:val="auto"/>
          <w:sz w:val="24"/>
          <w:highlight w:val="none"/>
        </w:rPr>
        <w:t xml:space="preserve">          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7F79EE8F">
      <w:pPr>
        <w:jc w:val="center"/>
        <w:outlineLvl w:val="9"/>
        <w:rPr>
          <w:rFonts w:hint="eastAsia" w:ascii="宋体" w:hAnsi="宋体" w:eastAsia="宋体" w:cs="宋体"/>
          <w:b/>
          <w:color w:val="auto"/>
          <w:sz w:val="32"/>
          <w:szCs w:val="32"/>
          <w:highlight w:val="none"/>
        </w:rPr>
      </w:pPr>
      <w:r>
        <w:rPr>
          <w:rFonts w:hint="eastAsia" w:ascii="宋体" w:hAnsi="宋体" w:eastAsia="宋体" w:cs="宋体"/>
          <w:color w:val="auto"/>
          <w:sz w:val="28"/>
          <w:szCs w:val="28"/>
          <w:highlight w:val="none"/>
        </w:rPr>
        <w:br w:type="page"/>
      </w:r>
      <w:r>
        <w:rPr>
          <w:rFonts w:hint="eastAsia" w:ascii="宋体" w:hAnsi="宋体" w:eastAsia="宋体" w:cs="宋体"/>
          <w:b/>
          <w:color w:val="auto"/>
          <w:sz w:val="32"/>
          <w:szCs w:val="32"/>
          <w:highlight w:val="none"/>
        </w:rPr>
        <w:t>参与竞争性磋商声明</w:t>
      </w:r>
    </w:p>
    <w:p w14:paraId="1FF11D8F">
      <w:pPr>
        <w:spacing w:line="320" w:lineRule="exact"/>
        <w:jc w:val="center"/>
        <w:outlineLvl w:val="9"/>
        <w:rPr>
          <w:rFonts w:hint="eastAsia" w:ascii="宋体" w:hAnsi="宋体" w:eastAsia="宋体" w:cs="宋体"/>
          <w:color w:val="auto"/>
          <w:sz w:val="24"/>
          <w:szCs w:val="20"/>
          <w:highlight w:val="none"/>
        </w:rPr>
      </w:pPr>
    </w:p>
    <w:p w14:paraId="5D8D9D3B">
      <w:pPr>
        <w:spacing w:line="360" w:lineRule="auto"/>
        <w:contextualSpacing/>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（采购人名称）</w:t>
      </w:r>
      <w:r>
        <w:rPr>
          <w:rFonts w:hint="eastAsia" w:ascii="宋体" w:hAnsi="宋体" w:eastAsia="宋体" w:cs="宋体"/>
          <w:color w:val="auto"/>
          <w:sz w:val="24"/>
          <w:highlight w:val="none"/>
        </w:rPr>
        <w:t>：</w:t>
      </w:r>
    </w:p>
    <w:p w14:paraId="1C086CCD">
      <w:pPr>
        <w:spacing w:line="360" w:lineRule="auto"/>
        <w:ind w:firstLine="480" w:firstLineChars="200"/>
        <w:contextualSpacing/>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（供应商名称）</w:t>
      </w:r>
      <w:r>
        <w:rPr>
          <w:rFonts w:hint="eastAsia" w:ascii="宋体" w:hAnsi="宋体" w:eastAsia="宋体" w:cs="宋体"/>
          <w:color w:val="auto"/>
          <w:sz w:val="24"/>
          <w:highlight w:val="none"/>
        </w:rPr>
        <w:t>系中华人民共和国合法供应商，经营地址</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67134A45">
      <w:pPr>
        <w:spacing w:line="360" w:lineRule="auto"/>
        <w:ind w:firstLine="480" w:firstLineChars="200"/>
        <w:contextualSpacing/>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我方愿意参加贵方组织的</w:t>
      </w:r>
      <w:r>
        <w:rPr>
          <w:rFonts w:hint="eastAsia" w:ascii="宋体" w:hAnsi="宋体" w:eastAsia="宋体" w:cs="宋体"/>
          <w:color w:val="auto"/>
          <w:sz w:val="24"/>
          <w:highlight w:val="none"/>
          <w:u w:val="single"/>
        </w:rPr>
        <w:t>（项目名称）</w:t>
      </w:r>
      <w:r>
        <w:rPr>
          <w:rFonts w:hint="eastAsia" w:ascii="宋体" w:hAnsi="宋体" w:eastAsia="宋体" w:cs="宋体"/>
          <w:color w:val="auto"/>
          <w:sz w:val="24"/>
          <w:highlight w:val="none"/>
        </w:rPr>
        <w:t>项目的竞争性磋商，为便于贵方公正、择优地确定成交供应商及其参与竞争性磋商提供的产品和服务，我方就本次参与竞争性磋商有关事项郑重声明如下：</w:t>
      </w:r>
    </w:p>
    <w:p w14:paraId="60EDF923">
      <w:pPr>
        <w:spacing w:line="360" w:lineRule="auto"/>
        <w:ind w:firstLine="480" w:firstLineChars="200"/>
        <w:contextualSpacing/>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1.我方向贵方提交的所有响应文件、资料都是准确的和真实的。</w:t>
      </w:r>
    </w:p>
    <w:p w14:paraId="7E57C340">
      <w:pPr>
        <w:spacing w:line="360" w:lineRule="auto"/>
        <w:ind w:firstLine="480" w:firstLineChars="200"/>
        <w:contextualSpacing/>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2.我方不是为本次采购项目提供整体设计、规范编制或者项目管理、监理、检测等服务的供应商。</w:t>
      </w:r>
    </w:p>
    <w:p w14:paraId="1F513A84">
      <w:pPr>
        <w:spacing w:line="360" w:lineRule="auto"/>
        <w:ind w:firstLine="480" w:firstLineChars="200"/>
        <w:contextualSpacing/>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3.在此，我方宣布同意如下：</w:t>
      </w:r>
    </w:p>
    <w:p w14:paraId="329996D0">
      <w:pPr>
        <w:spacing w:line="360" w:lineRule="auto"/>
        <w:ind w:firstLine="480" w:firstLineChars="200"/>
        <w:contextualSpacing/>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（1）将按磋商文件的约定履行合同责任和义务；</w:t>
      </w:r>
    </w:p>
    <w:p w14:paraId="55C4257B">
      <w:pPr>
        <w:spacing w:line="360" w:lineRule="auto"/>
        <w:ind w:firstLine="480" w:firstLineChars="200"/>
        <w:contextualSpacing/>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（2）已详细审查全部磋商文件，包括澄清或者更正公告（如有）；</w:t>
      </w:r>
    </w:p>
    <w:p w14:paraId="370F080F">
      <w:pPr>
        <w:spacing w:line="360" w:lineRule="auto"/>
        <w:ind w:firstLine="480" w:firstLineChars="200"/>
        <w:contextualSpacing/>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（3）同意提供按照贵方可能要求的与磋商有关的一切数据或者资料；</w:t>
      </w:r>
    </w:p>
    <w:p w14:paraId="60AD0C76">
      <w:pPr>
        <w:spacing w:line="360" w:lineRule="auto"/>
        <w:ind w:firstLine="480" w:firstLineChars="200"/>
        <w:contextualSpacing/>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（4）响应磋商文件规定的竞争性磋商有效期。</w:t>
      </w:r>
    </w:p>
    <w:p w14:paraId="4E9CB408">
      <w:pPr>
        <w:spacing w:line="360" w:lineRule="auto"/>
        <w:ind w:firstLine="480" w:firstLineChars="200"/>
        <w:contextualSpacing/>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4.我方承诺符合《中华人民共和国政府采购法》第二十二条规定：</w:t>
      </w:r>
    </w:p>
    <w:p w14:paraId="4E9AEB96">
      <w:pPr>
        <w:spacing w:line="360" w:lineRule="auto"/>
        <w:ind w:firstLine="480" w:firstLineChars="200"/>
        <w:contextualSpacing/>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（1）具有独立承担民事责任的能力；</w:t>
      </w:r>
    </w:p>
    <w:p w14:paraId="229C5F77">
      <w:pPr>
        <w:spacing w:line="360" w:lineRule="auto"/>
        <w:ind w:firstLine="480" w:firstLineChars="200"/>
        <w:contextualSpacing/>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（2）具有良好的商业信誉和健全的财务会计制度；</w:t>
      </w:r>
    </w:p>
    <w:p w14:paraId="1C6F8B62">
      <w:pPr>
        <w:spacing w:line="360" w:lineRule="auto"/>
        <w:ind w:firstLine="480" w:firstLineChars="200"/>
        <w:contextualSpacing/>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（3）具有履行合同所必需的设备和专业技术能力；</w:t>
      </w:r>
    </w:p>
    <w:p w14:paraId="2914B695">
      <w:pPr>
        <w:spacing w:line="360" w:lineRule="auto"/>
        <w:ind w:firstLine="480" w:firstLineChars="200"/>
        <w:contextualSpacing/>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（4）有依法缴纳税收和社会保障资金的良好记录；</w:t>
      </w:r>
    </w:p>
    <w:p w14:paraId="13021B5F">
      <w:pPr>
        <w:spacing w:line="360" w:lineRule="auto"/>
        <w:ind w:firstLine="480" w:firstLineChars="200"/>
        <w:contextualSpacing/>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（5）参加政府采购活动前三年内，在经营活动中没有重大违法记录；</w:t>
      </w:r>
    </w:p>
    <w:p w14:paraId="32E069F8">
      <w:pPr>
        <w:spacing w:line="360" w:lineRule="auto"/>
        <w:ind w:firstLine="480" w:firstLineChars="200"/>
        <w:contextualSpacing/>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（6）法律、行政法规规定的其他条件。</w:t>
      </w:r>
    </w:p>
    <w:p w14:paraId="63B11267">
      <w:pPr>
        <w:spacing w:line="360" w:lineRule="auto"/>
        <w:ind w:firstLine="480" w:firstLineChars="200"/>
        <w:contextualSpacing/>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3609A710">
      <w:pPr>
        <w:spacing w:line="360" w:lineRule="auto"/>
        <w:ind w:firstLine="480" w:firstLineChars="200"/>
        <w:contextualSpacing/>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12A62A05">
      <w:pPr>
        <w:spacing w:line="360" w:lineRule="auto"/>
        <w:ind w:firstLine="480" w:firstLineChars="200"/>
        <w:contextualSpacing/>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□我方本次响应文件</w:t>
      </w:r>
      <w:r>
        <w:rPr>
          <w:rFonts w:hint="eastAsia" w:ascii="宋体" w:hAnsi="宋体" w:eastAsia="宋体" w:cs="宋体"/>
          <w:color w:val="auto"/>
          <w:kern w:val="0"/>
          <w:sz w:val="24"/>
          <w:highlight w:val="none"/>
        </w:rPr>
        <w:t>内容中</w:t>
      </w:r>
      <w:r>
        <w:rPr>
          <w:rFonts w:hint="eastAsia" w:ascii="宋体" w:hAnsi="宋体" w:eastAsia="宋体" w:cs="宋体"/>
          <w:color w:val="auto"/>
          <w:sz w:val="24"/>
          <w:highlight w:val="none"/>
        </w:rPr>
        <w:t>未</w:t>
      </w:r>
      <w:r>
        <w:rPr>
          <w:rFonts w:hint="eastAsia" w:ascii="宋体" w:hAnsi="宋体" w:eastAsia="宋体" w:cs="宋体"/>
          <w:color w:val="auto"/>
          <w:kern w:val="0"/>
          <w:sz w:val="24"/>
          <w:highlight w:val="none"/>
        </w:rPr>
        <w:t>涉及商业秘密；</w:t>
      </w:r>
    </w:p>
    <w:p w14:paraId="16A894A3">
      <w:pPr>
        <w:spacing w:line="360" w:lineRule="auto"/>
        <w:ind w:firstLine="480" w:firstLineChars="200"/>
        <w:contextualSpacing/>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□我方本次响应文件</w:t>
      </w:r>
      <w:r>
        <w:rPr>
          <w:rFonts w:hint="eastAsia" w:ascii="宋体" w:hAnsi="宋体" w:eastAsia="宋体" w:cs="宋体"/>
          <w:color w:val="auto"/>
          <w:kern w:val="0"/>
          <w:sz w:val="24"/>
          <w:highlight w:val="none"/>
        </w:rPr>
        <w:t>涉及商业秘密的内容有：</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w:t>
      </w:r>
    </w:p>
    <w:p w14:paraId="3113E3E8">
      <w:pPr>
        <w:pStyle w:val="16"/>
        <w:spacing w:line="360" w:lineRule="auto"/>
        <w:ind w:firstLine="480" w:firstLineChars="200"/>
        <w:contextualSpacing/>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7.与本磋商有关的一切正式往来信函请寄：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邮政编码：</w:t>
      </w:r>
      <w:r>
        <w:rPr>
          <w:rFonts w:hint="eastAsia" w:ascii="宋体" w:hAnsi="宋体" w:eastAsia="宋体" w:cs="宋体"/>
          <w:color w:val="auto"/>
          <w:sz w:val="24"/>
          <w:szCs w:val="24"/>
          <w:highlight w:val="none"/>
          <w:u w:val="single"/>
        </w:rPr>
        <w:t xml:space="preserve">        </w:t>
      </w:r>
    </w:p>
    <w:p w14:paraId="5AE98D67">
      <w:pPr>
        <w:pStyle w:val="16"/>
        <w:spacing w:line="360" w:lineRule="auto"/>
        <w:ind w:firstLine="480" w:firstLineChars="200"/>
        <w:contextualSpacing/>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电话/传真：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电子函件：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6F23B514">
      <w:pPr>
        <w:pStyle w:val="15"/>
        <w:tabs>
          <w:tab w:val="left" w:pos="939"/>
        </w:tabs>
        <w:spacing w:line="360" w:lineRule="auto"/>
        <w:ind w:left="0" w:leftChars="0" w:firstLine="360" w:firstLineChars="15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开户银行：</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帐号：</w:t>
      </w:r>
      <w:r>
        <w:rPr>
          <w:rFonts w:hint="eastAsia" w:ascii="宋体" w:hAnsi="宋体" w:eastAsia="宋体" w:cs="宋体"/>
          <w:color w:val="auto"/>
          <w:sz w:val="24"/>
          <w:highlight w:val="none"/>
          <w:u w:val="single"/>
        </w:rPr>
        <w:t xml:space="preserve">                               </w:t>
      </w:r>
    </w:p>
    <w:p w14:paraId="0C6B672D">
      <w:pPr>
        <w:pStyle w:val="15"/>
        <w:tabs>
          <w:tab w:val="left" w:pos="939"/>
        </w:tabs>
        <w:spacing w:line="360" w:lineRule="auto"/>
        <w:ind w:left="0" w:leftChars="0"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8.以上事项如有虚假或者隐瞒，我方愿意承担一切后果，并不再寻求任何旨在减轻或者免除法律责任的辩解。</w:t>
      </w:r>
    </w:p>
    <w:p w14:paraId="434E21D1">
      <w:pPr>
        <w:pStyle w:val="15"/>
        <w:tabs>
          <w:tab w:val="left" w:pos="939"/>
        </w:tabs>
        <w:spacing w:line="360" w:lineRule="auto"/>
        <w:ind w:left="0" w:leftChars="0"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9.我方若参与竞争性磋商成功，除非发生不可抗力，承诺与采购人及时签订《合同书》。如果放弃，自愿按照本磋商文件之《供应商须知正文》条款第27.3条的要求承担法律责任和失信惩戒。</w:t>
      </w:r>
    </w:p>
    <w:p w14:paraId="7C7CF01B">
      <w:pPr>
        <w:pStyle w:val="15"/>
        <w:tabs>
          <w:tab w:val="left" w:pos="939"/>
        </w:tabs>
        <w:spacing w:line="360" w:lineRule="auto"/>
        <w:ind w:left="0" w:leftChars="0" w:firstLine="360" w:firstLineChars="15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特此承诺。</w:t>
      </w:r>
    </w:p>
    <w:p w14:paraId="1AE53A9A">
      <w:pPr>
        <w:pStyle w:val="15"/>
        <w:tabs>
          <w:tab w:val="left" w:pos="939"/>
        </w:tabs>
        <w:spacing w:line="360" w:lineRule="auto"/>
        <w:ind w:left="0" w:leftChars="0" w:firstLine="482" w:firstLineChars="200"/>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注：如为联合体参与竞争性磋商，盖章处须加盖联合体各方公章并由联合体各方法定代表人签署，否则其响应文件按无效响应处理。</w:t>
      </w:r>
    </w:p>
    <w:p w14:paraId="1AA55E9B">
      <w:pPr>
        <w:pStyle w:val="15"/>
        <w:tabs>
          <w:tab w:val="left" w:pos="939"/>
        </w:tabs>
        <w:spacing w:line="360" w:lineRule="auto"/>
        <w:ind w:left="0" w:leftChars="0" w:firstLine="480" w:firstLineChars="200"/>
        <w:outlineLvl w:val="9"/>
        <w:rPr>
          <w:rFonts w:hint="eastAsia" w:ascii="宋体" w:hAnsi="宋体" w:eastAsia="宋体" w:cs="宋体"/>
          <w:color w:val="auto"/>
          <w:sz w:val="24"/>
          <w:highlight w:val="none"/>
        </w:rPr>
      </w:pPr>
    </w:p>
    <w:p w14:paraId="758BA9DE">
      <w:pPr>
        <w:spacing w:line="360" w:lineRule="auto"/>
        <w:ind w:firstLine="4320" w:firstLineChars="1800"/>
        <w:contextualSpacing/>
        <w:outlineLvl w:val="9"/>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法定代表人（签字）：</w:t>
      </w:r>
      <w:r>
        <w:rPr>
          <w:rFonts w:hint="eastAsia" w:ascii="宋体" w:hAnsi="宋体" w:eastAsia="宋体" w:cs="宋体"/>
          <w:color w:val="auto"/>
          <w:sz w:val="24"/>
          <w:highlight w:val="none"/>
          <w:u w:val="single"/>
        </w:rPr>
        <w:t xml:space="preserve">                </w:t>
      </w:r>
    </w:p>
    <w:p w14:paraId="291B28C5">
      <w:pPr>
        <w:spacing w:line="360" w:lineRule="auto"/>
        <w:ind w:firstLine="240" w:firstLineChars="100"/>
        <w:contextualSpacing/>
        <w:jc w:val="center"/>
        <w:outlineLvl w:val="9"/>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         供应商（公章）：</w:t>
      </w:r>
      <w:r>
        <w:rPr>
          <w:rFonts w:hint="eastAsia" w:ascii="宋体" w:hAnsi="宋体" w:eastAsia="宋体" w:cs="宋体"/>
          <w:color w:val="auto"/>
          <w:sz w:val="24"/>
          <w:highlight w:val="none"/>
          <w:u w:val="single"/>
        </w:rPr>
        <w:t xml:space="preserve">                           </w:t>
      </w:r>
    </w:p>
    <w:p w14:paraId="03FFDA1D">
      <w:pPr>
        <w:spacing w:line="360" w:lineRule="auto"/>
        <w:ind w:firstLine="240" w:firstLineChars="100"/>
        <w:contextualSpacing/>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27013C6F">
      <w:pPr>
        <w:pStyle w:val="6"/>
        <w:overflowPunct w:val="0"/>
        <w:spacing w:line="360" w:lineRule="auto"/>
        <w:ind w:firstLine="0"/>
        <w:jc w:val="center"/>
        <w:outlineLvl w:val="9"/>
        <w:rPr>
          <w:rFonts w:hint="eastAsia" w:ascii="宋体" w:hAnsi="宋体" w:eastAsia="宋体" w:cs="宋体"/>
          <w:color w:val="auto"/>
          <w:sz w:val="44"/>
          <w:szCs w:val="44"/>
          <w:highlight w:val="none"/>
        </w:rPr>
      </w:pPr>
      <w:r>
        <w:rPr>
          <w:rFonts w:hint="eastAsia" w:ascii="宋体" w:hAnsi="宋体" w:eastAsia="宋体" w:cs="宋体"/>
          <w:color w:val="auto"/>
          <w:sz w:val="24"/>
          <w:highlight w:val="none"/>
        </w:rPr>
        <w:br w:type="page"/>
      </w:r>
      <w:r>
        <w:rPr>
          <w:rFonts w:hint="eastAsia" w:ascii="宋体" w:hAnsi="宋体" w:eastAsia="宋体" w:cs="宋体"/>
          <w:color w:val="auto"/>
          <w:sz w:val="44"/>
          <w:szCs w:val="44"/>
          <w:highlight w:val="none"/>
        </w:rPr>
        <w:t>联合体参与竞争性磋商协议书</w:t>
      </w:r>
    </w:p>
    <w:p w14:paraId="0E60942B">
      <w:pPr>
        <w:pStyle w:val="6"/>
        <w:overflowPunct w:val="0"/>
        <w:spacing w:line="360" w:lineRule="auto"/>
        <w:ind w:firstLine="0"/>
        <w:outlineLvl w:val="9"/>
        <w:rPr>
          <w:rFonts w:hint="eastAsia" w:ascii="宋体" w:hAnsi="宋体" w:eastAsia="宋体" w:cs="宋体"/>
          <w:color w:val="auto"/>
          <w:sz w:val="24"/>
          <w:szCs w:val="24"/>
          <w:highlight w:val="none"/>
        </w:rPr>
      </w:pPr>
    </w:p>
    <w:p w14:paraId="1E6A7A2C">
      <w:pPr>
        <w:pStyle w:val="6"/>
        <w:overflowPunct w:val="0"/>
        <w:spacing w:line="360" w:lineRule="auto"/>
        <w:ind w:firstLine="480" w:firstLineChars="200"/>
        <w:contextualSpacing/>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（所有成员单位名称）自愿组成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（联合体名称）联合体，共同参加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（项目名称）采购项目</w:t>
      </w:r>
      <w:r>
        <w:rPr>
          <w:rFonts w:hint="eastAsia" w:ascii="宋体" w:hAnsi="宋体" w:eastAsia="宋体" w:cs="宋体"/>
          <w:color w:val="auto"/>
          <w:sz w:val="24"/>
          <w:highlight w:val="none"/>
        </w:rPr>
        <w:t>竞争性磋商</w:t>
      </w:r>
      <w:r>
        <w:rPr>
          <w:rFonts w:hint="eastAsia" w:ascii="宋体" w:hAnsi="宋体" w:eastAsia="宋体" w:cs="宋体"/>
          <w:color w:val="auto"/>
          <w:sz w:val="24"/>
          <w:szCs w:val="24"/>
          <w:highlight w:val="none"/>
        </w:rPr>
        <w:t>。现就联合体参与</w:t>
      </w:r>
      <w:r>
        <w:rPr>
          <w:rFonts w:hint="eastAsia" w:ascii="宋体" w:hAnsi="宋体" w:eastAsia="宋体" w:cs="宋体"/>
          <w:color w:val="auto"/>
          <w:sz w:val="24"/>
          <w:highlight w:val="none"/>
        </w:rPr>
        <w:t>竞争性磋商</w:t>
      </w:r>
      <w:r>
        <w:rPr>
          <w:rFonts w:hint="eastAsia" w:ascii="宋体" w:hAnsi="宋体" w:eastAsia="宋体" w:cs="宋体"/>
          <w:color w:val="auto"/>
          <w:sz w:val="24"/>
          <w:szCs w:val="24"/>
          <w:highlight w:val="none"/>
        </w:rPr>
        <w:t>事宜订立如下协议。</w:t>
      </w:r>
    </w:p>
    <w:p w14:paraId="43441647">
      <w:pPr>
        <w:pStyle w:val="6"/>
        <w:overflowPunct w:val="0"/>
        <w:spacing w:line="360" w:lineRule="auto"/>
        <w:ind w:firstLine="480" w:firstLineChars="200"/>
        <w:contextualSpacing/>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（某成员单位名称）为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（联合体名称）牵头人。</w:t>
      </w:r>
    </w:p>
    <w:p w14:paraId="7F07455C">
      <w:pPr>
        <w:pStyle w:val="6"/>
        <w:overflowPunct w:val="0"/>
        <w:spacing w:line="360" w:lineRule="auto"/>
        <w:ind w:firstLine="480" w:firstLineChars="200"/>
        <w:contextualSpacing/>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2.联合体各成员授权牵头人代表联合体参加竞标活动，签署文件及对文件的盖章，提交和接收相关的资料、信息及指示，进行合同磋商活动，负责合同实施阶段的组织和协调工作，以及处理与本</w:t>
      </w:r>
      <w:r>
        <w:rPr>
          <w:rFonts w:hint="eastAsia" w:ascii="宋体" w:hAnsi="宋体" w:eastAsia="宋体" w:cs="宋体"/>
          <w:color w:val="auto"/>
          <w:sz w:val="24"/>
          <w:highlight w:val="none"/>
        </w:rPr>
        <w:t>竞争性磋商</w:t>
      </w:r>
      <w:r>
        <w:rPr>
          <w:rFonts w:hint="eastAsia" w:ascii="宋体" w:hAnsi="宋体" w:eastAsia="宋体" w:cs="宋体"/>
          <w:color w:val="auto"/>
          <w:sz w:val="24"/>
          <w:szCs w:val="24"/>
          <w:highlight w:val="none"/>
        </w:rPr>
        <w:t>项目有关的一切事宜。</w:t>
      </w:r>
    </w:p>
    <w:p w14:paraId="7CB06B27">
      <w:pPr>
        <w:pStyle w:val="6"/>
        <w:overflowPunct w:val="0"/>
        <w:spacing w:line="360" w:lineRule="auto"/>
        <w:ind w:firstLine="480" w:firstLineChars="200"/>
        <w:contextualSpacing/>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3.联合体牵头人在本项目中签署和盖章的一切文件和处理的一切事宜，联合体各成员均予以承认。联合体各成员将严格按照磋商文件、响应文件和合同的要求全面履行义务，并向采购人承担连带责任。</w:t>
      </w:r>
    </w:p>
    <w:p w14:paraId="2DBB957C">
      <w:pPr>
        <w:pStyle w:val="6"/>
        <w:overflowPunct w:val="0"/>
        <w:spacing w:line="360" w:lineRule="auto"/>
        <w:ind w:firstLine="480" w:firstLineChars="200"/>
        <w:contextualSpacing/>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4.联合体各成员单位内部的职责分工如下：</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5DC93C88">
      <w:pPr>
        <w:pStyle w:val="6"/>
        <w:overflowPunct w:val="0"/>
        <w:spacing w:line="360" w:lineRule="auto"/>
        <w:ind w:firstLine="480" w:firstLineChars="200"/>
        <w:contextualSpacing/>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5.本</w:t>
      </w:r>
      <w:r>
        <w:rPr>
          <w:rFonts w:hint="eastAsia" w:ascii="宋体" w:hAnsi="宋体" w:eastAsia="宋体" w:cs="宋体"/>
          <w:color w:val="auto"/>
          <w:spacing w:val="-6"/>
          <w:sz w:val="24"/>
          <w:szCs w:val="24"/>
          <w:highlight w:val="none"/>
        </w:rPr>
        <w:t>协议书自所有成员单位法定代表人（单位负责人）或者其委托代理人签字或者盖单位章之日起生效，合同履行完毕后自动失效。</w:t>
      </w:r>
    </w:p>
    <w:p w14:paraId="3D822B94">
      <w:pPr>
        <w:pStyle w:val="6"/>
        <w:overflowPunct w:val="0"/>
        <w:spacing w:line="360" w:lineRule="auto"/>
        <w:ind w:firstLine="480" w:firstLineChars="200"/>
        <w:contextualSpacing/>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6.本协议书一式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份，联合体成员和采购人各执壹份。</w:t>
      </w:r>
    </w:p>
    <w:p w14:paraId="37C915A2">
      <w:pPr>
        <w:pStyle w:val="6"/>
        <w:overflowPunct w:val="0"/>
        <w:spacing w:line="360" w:lineRule="auto"/>
        <w:ind w:firstLine="482" w:firstLineChars="200"/>
        <w:contextualSpacing/>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注：</w:t>
      </w:r>
      <w:r>
        <w:rPr>
          <w:rFonts w:hint="eastAsia" w:ascii="宋体" w:hAnsi="宋体" w:eastAsia="宋体" w:cs="宋体"/>
          <w:color w:val="auto"/>
          <w:sz w:val="24"/>
          <w:szCs w:val="24"/>
          <w:highlight w:val="none"/>
        </w:rPr>
        <w:t>本协议书由法定代表人（单位负责人）签字的，应附法定代表人（单位负责人）身份证明书；由委托代理人签字的，应附联合体协议签订授权委托书（格式自拟）。</w:t>
      </w:r>
    </w:p>
    <w:p w14:paraId="717CE034">
      <w:pPr>
        <w:pStyle w:val="6"/>
        <w:overflowPunct w:val="0"/>
        <w:spacing w:line="360" w:lineRule="auto"/>
        <w:ind w:firstLineChars="175"/>
        <w:contextualSpacing/>
        <w:outlineLvl w:val="9"/>
        <w:rPr>
          <w:rFonts w:hint="eastAsia" w:ascii="宋体" w:hAnsi="宋体" w:eastAsia="宋体" w:cs="宋体"/>
          <w:color w:val="auto"/>
          <w:sz w:val="24"/>
          <w:szCs w:val="24"/>
          <w:highlight w:val="none"/>
        </w:rPr>
      </w:pPr>
    </w:p>
    <w:p w14:paraId="50598EFB">
      <w:pPr>
        <w:pStyle w:val="6"/>
        <w:overflowPunct w:val="0"/>
        <w:spacing w:line="360" w:lineRule="auto"/>
        <w:ind w:firstLineChars="175"/>
        <w:contextualSpacing/>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联合体牵头人名称（盖公章）：</w:t>
      </w:r>
      <w:r>
        <w:rPr>
          <w:rFonts w:hint="eastAsia" w:ascii="宋体" w:hAnsi="宋体" w:eastAsia="宋体" w:cs="宋体"/>
          <w:color w:val="auto"/>
          <w:sz w:val="24"/>
          <w:szCs w:val="24"/>
          <w:highlight w:val="none"/>
          <w:u w:val="single"/>
        </w:rPr>
        <w:t xml:space="preserve">               </w:t>
      </w:r>
    </w:p>
    <w:p w14:paraId="5908F817">
      <w:pPr>
        <w:pStyle w:val="6"/>
        <w:overflowPunct w:val="0"/>
        <w:spacing w:line="360" w:lineRule="auto"/>
        <w:ind w:firstLineChars="175"/>
        <w:contextualSpacing/>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法定代表人（单位负责人）或者其委托代理人（签字）：</w:t>
      </w:r>
      <w:r>
        <w:rPr>
          <w:rFonts w:hint="eastAsia" w:ascii="宋体" w:hAnsi="宋体" w:eastAsia="宋体" w:cs="宋体"/>
          <w:color w:val="auto"/>
          <w:sz w:val="24"/>
          <w:szCs w:val="24"/>
          <w:highlight w:val="none"/>
          <w:u w:val="single"/>
        </w:rPr>
        <w:t xml:space="preserve">               </w:t>
      </w:r>
    </w:p>
    <w:p w14:paraId="4A7B54E2">
      <w:pPr>
        <w:pStyle w:val="6"/>
        <w:overflowPunct w:val="0"/>
        <w:spacing w:line="360" w:lineRule="auto"/>
        <w:ind w:firstLineChars="175"/>
        <w:contextualSpacing/>
        <w:outlineLvl w:val="9"/>
        <w:rPr>
          <w:rFonts w:hint="eastAsia" w:ascii="宋体" w:hAnsi="宋体" w:eastAsia="宋体" w:cs="宋体"/>
          <w:color w:val="auto"/>
          <w:sz w:val="24"/>
          <w:szCs w:val="24"/>
          <w:highlight w:val="none"/>
        </w:rPr>
      </w:pPr>
    </w:p>
    <w:p w14:paraId="657CB8DA">
      <w:pPr>
        <w:pStyle w:val="6"/>
        <w:overflowPunct w:val="0"/>
        <w:spacing w:line="360" w:lineRule="auto"/>
        <w:ind w:firstLineChars="175"/>
        <w:contextualSpacing/>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联合体成员名称（盖公章）：</w:t>
      </w:r>
      <w:r>
        <w:rPr>
          <w:rFonts w:hint="eastAsia" w:ascii="宋体" w:hAnsi="宋体" w:eastAsia="宋体" w:cs="宋体"/>
          <w:color w:val="auto"/>
          <w:sz w:val="24"/>
          <w:szCs w:val="24"/>
          <w:highlight w:val="none"/>
          <w:u w:val="single"/>
        </w:rPr>
        <w:t xml:space="preserve">                </w:t>
      </w:r>
    </w:p>
    <w:p w14:paraId="22EF76A3">
      <w:pPr>
        <w:pStyle w:val="6"/>
        <w:overflowPunct w:val="0"/>
        <w:spacing w:line="360" w:lineRule="auto"/>
        <w:ind w:firstLineChars="175"/>
        <w:contextualSpacing/>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法定代表人（单位负责人）或者其委托代理人（签字）：</w:t>
      </w:r>
      <w:r>
        <w:rPr>
          <w:rFonts w:hint="eastAsia" w:ascii="宋体" w:hAnsi="宋体" w:eastAsia="宋体" w:cs="宋体"/>
          <w:color w:val="auto"/>
          <w:sz w:val="24"/>
          <w:szCs w:val="24"/>
          <w:highlight w:val="none"/>
          <w:u w:val="single"/>
        </w:rPr>
        <w:t xml:space="preserve">            </w:t>
      </w:r>
    </w:p>
    <w:p w14:paraId="611A81EE">
      <w:pPr>
        <w:pStyle w:val="6"/>
        <w:overflowPunct w:val="0"/>
        <w:spacing w:line="360" w:lineRule="auto"/>
        <w:ind w:firstLineChars="175"/>
        <w:contextualSpacing/>
        <w:outlineLvl w:val="9"/>
        <w:rPr>
          <w:rFonts w:hint="eastAsia" w:ascii="宋体" w:hAnsi="宋体" w:eastAsia="宋体" w:cs="宋体"/>
          <w:color w:val="auto"/>
          <w:sz w:val="24"/>
          <w:szCs w:val="24"/>
          <w:highlight w:val="none"/>
        </w:rPr>
      </w:pPr>
    </w:p>
    <w:p w14:paraId="3C77789C">
      <w:pPr>
        <w:pStyle w:val="6"/>
        <w:overflowPunct w:val="0"/>
        <w:spacing w:line="360" w:lineRule="auto"/>
        <w:ind w:firstLineChars="175"/>
        <w:contextualSpacing/>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联合体成员名称（盖公章）：</w:t>
      </w:r>
      <w:r>
        <w:rPr>
          <w:rFonts w:hint="eastAsia" w:ascii="宋体" w:hAnsi="宋体" w:eastAsia="宋体" w:cs="宋体"/>
          <w:color w:val="auto"/>
          <w:sz w:val="24"/>
          <w:szCs w:val="24"/>
          <w:highlight w:val="none"/>
          <w:u w:val="single"/>
        </w:rPr>
        <w:t xml:space="preserve">                </w:t>
      </w:r>
    </w:p>
    <w:p w14:paraId="7B631C1A">
      <w:pPr>
        <w:pStyle w:val="6"/>
        <w:overflowPunct w:val="0"/>
        <w:spacing w:line="360" w:lineRule="auto"/>
        <w:ind w:firstLineChars="175"/>
        <w:contextualSpacing/>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法定代表人（单位负责人）或者其委托代理人（签字）：</w:t>
      </w:r>
      <w:r>
        <w:rPr>
          <w:rFonts w:hint="eastAsia" w:ascii="宋体" w:hAnsi="宋体" w:eastAsia="宋体" w:cs="宋体"/>
          <w:color w:val="auto"/>
          <w:sz w:val="24"/>
          <w:szCs w:val="24"/>
          <w:highlight w:val="none"/>
          <w:u w:val="single"/>
        </w:rPr>
        <w:t xml:space="preserve">                   </w:t>
      </w:r>
    </w:p>
    <w:p w14:paraId="0EC80CD0">
      <w:pPr>
        <w:pStyle w:val="6"/>
        <w:overflowPunct w:val="0"/>
        <w:spacing w:line="360" w:lineRule="auto"/>
        <w:ind w:firstLineChars="175"/>
        <w:contextualSpacing/>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5457DF8D">
      <w:pPr>
        <w:spacing w:line="360" w:lineRule="auto"/>
        <w:ind w:right="480" w:firstLine="240" w:firstLineChars="100"/>
        <w:contextualSpacing/>
        <w:jc w:val="center"/>
        <w:outlineLvl w:val="9"/>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 xml:space="preserve">                                      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rPr>
        <w:t>日</w:t>
      </w:r>
    </w:p>
    <w:p w14:paraId="531C0955">
      <w:pPr>
        <w:snapToGrid w:val="0"/>
        <w:spacing w:before="156" w:beforeLines="50" w:after="50" w:line="360" w:lineRule="auto"/>
        <w:ind w:right="480"/>
        <w:outlineLvl w:val="9"/>
        <w:rPr>
          <w:rFonts w:hint="eastAsia" w:ascii="宋体" w:hAnsi="宋体" w:eastAsia="宋体" w:cs="宋体"/>
          <w:b/>
          <w:color w:val="auto"/>
          <w:sz w:val="32"/>
          <w:szCs w:val="32"/>
          <w:highlight w:val="none"/>
        </w:rPr>
      </w:pPr>
      <w:r>
        <w:rPr>
          <w:rFonts w:hint="eastAsia" w:ascii="宋体" w:hAnsi="宋体" w:eastAsia="宋体" w:cs="宋体"/>
          <w:b/>
          <w:bCs/>
          <w:color w:val="auto"/>
          <w:sz w:val="32"/>
          <w:szCs w:val="32"/>
          <w:highlight w:val="none"/>
        </w:rPr>
        <w:br w:type="page"/>
      </w:r>
      <w:r>
        <w:rPr>
          <w:rFonts w:hint="eastAsia" w:ascii="宋体" w:hAnsi="宋体" w:eastAsia="宋体" w:cs="宋体"/>
          <w:b/>
          <w:bCs/>
          <w:color w:val="auto"/>
          <w:sz w:val="32"/>
          <w:szCs w:val="32"/>
          <w:highlight w:val="none"/>
        </w:rPr>
        <w:t>二、</w:t>
      </w:r>
      <w:r>
        <w:rPr>
          <w:rFonts w:hint="eastAsia" w:ascii="宋体" w:hAnsi="宋体" w:eastAsia="宋体" w:cs="宋体"/>
          <w:b/>
          <w:color w:val="auto"/>
          <w:sz w:val="32"/>
          <w:szCs w:val="32"/>
          <w:highlight w:val="none"/>
        </w:rPr>
        <w:t>报价商务技术文件格式</w:t>
      </w:r>
    </w:p>
    <w:p w14:paraId="4AD2F0F5">
      <w:pPr>
        <w:snapToGrid w:val="0"/>
        <w:spacing w:before="156" w:beforeLines="50" w:after="50" w:line="360" w:lineRule="auto"/>
        <w:jc w:val="left"/>
        <w:outlineLvl w:val="9"/>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1.报价商务技术文件封面格式</w:t>
      </w:r>
    </w:p>
    <w:p w14:paraId="4388305D">
      <w:pPr>
        <w:snapToGrid w:val="0"/>
        <w:spacing w:before="156" w:beforeLines="50" w:after="50"/>
        <w:outlineLvl w:val="9"/>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p>
    <w:p w14:paraId="1AA4E047">
      <w:pPr>
        <w:snapToGrid w:val="0"/>
        <w:spacing w:before="156" w:beforeLines="50" w:after="50"/>
        <w:outlineLvl w:val="9"/>
        <w:rPr>
          <w:rFonts w:hint="eastAsia" w:ascii="宋体" w:hAnsi="宋体" w:eastAsia="宋体" w:cs="宋体"/>
          <w:color w:val="auto"/>
          <w:sz w:val="24"/>
          <w:szCs w:val="20"/>
          <w:highlight w:val="none"/>
        </w:rPr>
      </w:pPr>
    </w:p>
    <w:p w14:paraId="0CD2683D">
      <w:pPr>
        <w:snapToGrid w:val="0"/>
        <w:spacing w:before="156" w:beforeLines="50" w:after="50"/>
        <w:jc w:val="center"/>
        <w:outlineLvl w:val="9"/>
        <w:rPr>
          <w:rFonts w:hint="eastAsia" w:ascii="宋体" w:hAnsi="宋体" w:eastAsia="宋体" w:cs="宋体"/>
          <w:bCs/>
          <w:color w:val="auto"/>
          <w:sz w:val="84"/>
          <w:szCs w:val="84"/>
          <w:highlight w:val="none"/>
        </w:rPr>
      </w:pPr>
      <w:r>
        <w:rPr>
          <w:rFonts w:hint="eastAsia" w:ascii="宋体" w:hAnsi="宋体" w:eastAsia="宋体" w:cs="宋体"/>
          <w:bCs/>
          <w:color w:val="auto"/>
          <w:sz w:val="84"/>
          <w:szCs w:val="84"/>
          <w:highlight w:val="none"/>
        </w:rPr>
        <w:t>响  应  文  件</w:t>
      </w:r>
    </w:p>
    <w:p w14:paraId="60A682E6">
      <w:pPr>
        <w:snapToGrid w:val="0"/>
        <w:spacing w:before="156" w:beforeLines="50" w:after="50"/>
        <w:jc w:val="center"/>
        <w:outlineLvl w:val="9"/>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报  价  商  务  技  术  文  件</w:t>
      </w:r>
    </w:p>
    <w:p w14:paraId="3388BD80">
      <w:pPr>
        <w:snapToGrid w:val="0"/>
        <w:spacing w:before="156" w:beforeLines="50" w:after="50"/>
        <w:outlineLvl w:val="9"/>
        <w:rPr>
          <w:rFonts w:hint="eastAsia" w:ascii="宋体" w:hAnsi="宋体" w:eastAsia="宋体" w:cs="宋体"/>
          <w:bCs/>
          <w:color w:val="auto"/>
          <w:sz w:val="24"/>
          <w:szCs w:val="20"/>
          <w:highlight w:val="none"/>
        </w:rPr>
      </w:pPr>
    </w:p>
    <w:p w14:paraId="628E2E81">
      <w:pPr>
        <w:snapToGrid w:val="0"/>
        <w:spacing w:before="156" w:beforeLines="50" w:after="50"/>
        <w:outlineLvl w:val="9"/>
        <w:rPr>
          <w:rFonts w:hint="eastAsia" w:ascii="宋体" w:hAnsi="宋体" w:eastAsia="宋体" w:cs="宋体"/>
          <w:bCs/>
          <w:color w:val="auto"/>
          <w:sz w:val="24"/>
          <w:szCs w:val="20"/>
          <w:highlight w:val="none"/>
        </w:rPr>
      </w:pPr>
    </w:p>
    <w:p w14:paraId="2462C7DC">
      <w:pPr>
        <w:snapToGrid w:val="0"/>
        <w:spacing w:before="156" w:beforeLines="50" w:after="50"/>
        <w:ind w:firstLine="2100" w:firstLineChars="875"/>
        <w:outlineLvl w:val="9"/>
        <w:rPr>
          <w:rFonts w:hint="eastAsia" w:ascii="宋体" w:hAnsi="宋体" w:eastAsia="宋体" w:cs="宋体"/>
          <w:bCs/>
          <w:color w:val="auto"/>
          <w:sz w:val="24"/>
          <w:szCs w:val="20"/>
          <w:highlight w:val="none"/>
        </w:rPr>
      </w:pPr>
    </w:p>
    <w:p w14:paraId="24613D54">
      <w:pPr>
        <w:snapToGrid w:val="0"/>
        <w:spacing w:before="156" w:beforeLines="50" w:after="50"/>
        <w:ind w:firstLine="2100" w:firstLineChars="875"/>
        <w:outlineLvl w:val="9"/>
        <w:rPr>
          <w:rFonts w:hint="eastAsia" w:ascii="宋体" w:hAnsi="宋体" w:eastAsia="宋体" w:cs="宋体"/>
          <w:bCs/>
          <w:color w:val="auto"/>
          <w:sz w:val="24"/>
          <w:szCs w:val="20"/>
          <w:highlight w:val="none"/>
        </w:rPr>
      </w:pPr>
    </w:p>
    <w:p w14:paraId="31BA56D1">
      <w:pPr>
        <w:snapToGrid w:val="0"/>
        <w:spacing w:before="156" w:beforeLines="50" w:after="50"/>
        <w:ind w:firstLine="2100" w:firstLineChars="875"/>
        <w:outlineLvl w:val="9"/>
        <w:rPr>
          <w:rFonts w:hint="eastAsia" w:ascii="宋体" w:hAnsi="宋体" w:eastAsia="宋体" w:cs="宋体"/>
          <w:bCs/>
          <w:color w:val="auto"/>
          <w:sz w:val="24"/>
          <w:szCs w:val="20"/>
          <w:highlight w:val="none"/>
        </w:rPr>
      </w:pPr>
    </w:p>
    <w:p w14:paraId="7D4C5B97">
      <w:pPr>
        <w:snapToGrid w:val="0"/>
        <w:spacing w:before="156" w:beforeLines="50" w:after="50"/>
        <w:ind w:firstLine="2800" w:firstLineChars="875"/>
        <w:outlineLvl w:val="9"/>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34F61825">
      <w:pPr>
        <w:snapToGrid w:val="0"/>
        <w:spacing w:before="156" w:beforeLines="50" w:after="50"/>
        <w:ind w:firstLine="2800" w:firstLineChars="875"/>
        <w:outlineLvl w:val="9"/>
        <w:rPr>
          <w:rFonts w:hint="eastAsia" w:ascii="宋体" w:hAnsi="宋体" w:eastAsia="宋体" w:cs="宋体"/>
          <w:bCs/>
          <w:color w:val="auto"/>
          <w:sz w:val="32"/>
          <w:szCs w:val="32"/>
          <w:highlight w:val="none"/>
        </w:rPr>
      </w:pPr>
    </w:p>
    <w:p w14:paraId="3D817E84">
      <w:pPr>
        <w:snapToGrid w:val="0"/>
        <w:spacing w:before="156" w:beforeLines="50" w:after="50"/>
        <w:ind w:firstLine="2800" w:firstLineChars="875"/>
        <w:outlineLvl w:val="9"/>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524EC1F5">
      <w:pPr>
        <w:snapToGrid w:val="0"/>
        <w:spacing w:before="156" w:beforeLines="50" w:after="50"/>
        <w:ind w:firstLine="2800" w:firstLineChars="875"/>
        <w:outlineLvl w:val="9"/>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0F22800A">
      <w:pPr>
        <w:snapToGrid w:val="0"/>
        <w:spacing w:before="156" w:beforeLines="50" w:after="50"/>
        <w:ind w:firstLine="2800" w:firstLineChars="875"/>
        <w:outlineLvl w:val="9"/>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w:t>
      </w:r>
    </w:p>
    <w:p w14:paraId="2EE4FBAD">
      <w:pPr>
        <w:snapToGrid w:val="0"/>
        <w:spacing w:before="156" w:beforeLines="50" w:after="50"/>
        <w:ind w:firstLine="2800" w:firstLineChars="875"/>
        <w:outlineLvl w:val="9"/>
        <w:rPr>
          <w:rFonts w:hint="eastAsia" w:ascii="宋体" w:hAnsi="宋体" w:eastAsia="宋体" w:cs="宋体"/>
          <w:bCs/>
          <w:color w:val="auto"/>
          <w:sz w:val="32"/>
          <w:szCs w:val="32"/>
          <w:highlight w:val="none"/>
        </w:rPr>
      </w:pPr>
    </w:p>
    <w:p w14:paraId="00A44D7B">
      <w:pPr>
        <w:pStyle w:val="6"/>
        <w:snapToGrid w:val="0"/>
        <w:spacing w:before="50" w:after="50"/>
        <w:ind w:firstLine="2800" w:firstLineChars="875"/>
        <w:outlineLvl w:val="9"/>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327C2980">
      <w:pPr>
        <w:pStyle w:val="6"/>
        <w:snapToGrid w:val="0"/>
        <w:spacing w:before="50" w:after="50"/>
        <w:ind w:firstLine="2800" w:firstLineChars="875"/>
        <w:outlineLvl w:val="9"/>
        <w:rPr>
          <w:rFonts w:hint="eastAsia" w:ascii="宋体" w:hAnsi="宋体" w:eastAsia="宋体" w:cs="宋体"/>
          <w:bCs/>
          <w:color w:val="auto"/>
          <w:sz w:val="32"/>
          <w:szCs w:val="32"/>
          <w:highlight w:val="none"/>
        </w:rPr>
      </w:pPr>
    </w:p>
    <w:p w14:paraId="56E6350F">
      <w:pPr>
        <w:pStyle w:val="6"/>
        <w:snapToGrid w:val="0"/>
        <w:spacing w:before="50" w:after="50"/>
        <w:ind w:firstLine="720" w:firstLineChars="225"/>
        <w:outlineLvl w:val="9"/>
        <w:rPr>
          <w:rFonts w:hint="eastAsia" w:ascii="宋体" w:hAnsi="宋体" w:eastAsia="宋体" w:cs="宋体"/>
          <w:bCs/>
          <w:color w:val="auto"/>
          <w:sz w:val="32"/>
          <w:szCs w:val="32"/>
          <w:highlight w:val="none"/>
        </w:rPr>
      </w:pPr>
    </w:p>
    <w:p w14:paraId="62A38B04">
      <w:pPr>
        <w:pStyle w:val="6"/>
        <w:snapToGrid w:val="0"/>
        <w:spacing w:before="50" w:after="50"/>
        <w:ind w:firstLine="1280" w:firstLineChars="400"/>
        <w:outlineLvl w:val="9"/>
        <w:rPr>
          <w:rFonts w:hint="eastAsia" w:ascii="宋体" w:hAnsi="宋体" w:eastAsia="宋体" w:cs="宋体"/>
          <w:bCs/>
          <w:color w:val="auto"/>
          <w:sz w:val="32"/>
          <w:szCs w:val="32"/>
          <w:highlight w:val="none"/>
        </w:rPr>
      </w:pPr>
    </w:p>
    <w:p w14:paraId="24A7F9FF">
      <w:pPr>
        <w:snapToGrid w:val="0"/>
        <w:spacing w:before="156" w:beforeLines="50" w:after="50"/>
        <w:jc w:val="center"/>
        <w:outlineLvl w:val="9"/>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3CFB314A">
      <w:pPr>
        <w:snapToGrid w:val="0"/>
        <w:spacing w:before="156" w:beforeLines="50" w:after="50" w:line="360" w:lineRule="auto"/>
        <w:ind w:left="142"/>
        <w:jc w:val="left"/>
        <w:outlineLvl w:val="9"/>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32"/>
          <w:szCs w:val="32"/>
          <w:highlight w:val="none"/>
        </w:rPr>
        <w:t>2.报价商务技术文件目录</w:t>
      </w:r>
    </w:p>
    <w:p w14:paraId="54DE98A8">
      <w:pPr>
        <w:snapToGrid w:val="0"/>
        <w:spacing w:before="156" w:beforeLines="50" w:after="50" w:line="360" w:lineRule="auto"/>
        <w:ind w:firstLine="640" w:firstLineChars="200"/>
        <w:outlineLvl w:val="9"/>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根据磋商文件规定及供应商提供的材料自行编写目录（部分格式后附）。</w:t>
      </w:r>
    </w:p>
    <w:p w14:paraId="2DCB356B">
      <w:pPr>
        <w:spacing w:line="400" w:lineRule="exact"/>
        <w:outlineLvl w:val="9"/>
        <w:rPr>
          <w:rFonts w:hint="eastAsia" w:ascii="宋体" w:hAnsi="宋体" w:eastAsia="宋体" w:cs="宋体"/>
          <w:color w:val="auto"/>
          <w:sz w:val="32"/>
          <w:szCs w:val="32"/>
          <w:highlight w:val="none"/>
        </w:rPr>
      </w:pPr>
    </w:p>
    <w:p w14:paraId="52CEF903">
      <w:pPr>
        <w:jc w:val="center"/>
        <w:outlineLvl w:val="9"/>
        <w:rPr>
          <w:rFonts w:hint="eastAsia" w:ascii="宋体" w:hAnsi="宋体" w:eastAsia="宋体" w:cs="宋体"/>
          <w:b/>
          <w:color w:val="auto"/>
          <w:sz w:val="32"/>
          <w:szCs w:val="32"/>
          <w:highlight w:val="none"/>
        </w:rPr>
      </w:pPr>
      <w:r>
        <w:rPr>
          <w:rFonts w:hint="eastAsia" w:ascii="宋体" w:hAnsi="宋体" w:eastAsia="宋体" w:cs="宋体"/>
          <w:color w:val="auto"/>
          <w:sz w:val="44"/>
          <w:szCs w:val="44"/>
          <w:highlight w:val="none"/>
        </w:rPr>
        <w:br w:type="page"/>
      </w:r>
      <w:r>
        <w:rPr>
          <w:rFonts w:hint="eastAsia" w:ascii="宋体" w:hAnsi="宋体" w:eastAsia="宋体" w:cs="宋体"/>
          <w:b/>
          <w:color w:val="auto"/>
          <w:sz w:val="44"/>
          <w:szCs w:val="44"/>
          <w:highlight w:val="none"/>
        </w:rPr>
        <w:t>无串通参与竞争性磋商行为的承诺函</w:t>
      </w:r>
    </w:p>
    <w:p w14:paraId="5CB6C852">
      <w:pPr>
        <w:spacing w:line="360" w:lineRule="auto"/>
        <w:ind w:firstLine="640" w:firstLineChars="200"/>
        <w:contextualSpacing/>
        <w:outlineLvl w:val="9"/>
        <w:rPr>
          <w:rFonts w:hint="eastAsia" w:ascii="宋体" w:hAnsi="宋体" w:eastAsia="宋体" w:cs="宋体"/>
          <w:color w:val="auto"/>
          <w:sz w:val="32"/>
          <w:szCs w:val="32"/>
          <w:highlight w:val="none"/>
        </w:rPr>
      </w:pPr>
    </w:p>
    <w:p w14:paraId="037D775E">
      <w:pPr>
        <w:spacing w:line="360" w:lineRule="auto"/>
        <w:ind w:firstLine="482" w:firstLineChars="200"/>
        <w:contextualSpacing/>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一、我方承诺无下列相互串通参与</w:t>
      </w:r>
      <w:r>
        <w:rPr>
          <w:rFonts w:hint="eastAsia" w:ascii="宋体" w:hAnsi="宋体" w:eastAsia="宋体" w:cs="宋体"/>
          <w:color w:val="auto"/>
          <w:sz w:val="24"/>
          <w:highlight w:val="none"/>
        </w:rPr>
        <w:t>竞争性磋商</w:t>
      </w:r>
      <w:r>
        <w:rPr>
          <w:rFonts w:hint="eastAsia" w:ascii="宋体" w:hAnsi="宋体" w:eastAsia="宋体" w:cs="宋体"/>
          <w:b/>
          <w:bCs/>
          <w:color w:val="auto"/>
          <w:sz w:val="24"/>
          <w:highlight w:val="none"/>
        </w:rPr>
        <w:t>的情形：</w:t>
      </w:r>
    </w:p>
    <w:p w14:paraId="7F252DCF">
      <w:pPr>
        <w:spacing w:line="360" w:lineRule="auto"/>
        <w:ind w:firstLine="480" w:firstLineChars="200"/>
        <w:contextualSpacing/>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1.不同供应商的响应文件由同一单位或者个人编制； </w:t>
      </w:r>
    </w:p>
    <w:p w14:paraId="39B9EFA7">
      <w:pPr>
        <w:spacing w:line="360" w:lineRule="auto"/>
        <w:ind w:firstLine="480" w:firstLineChars="200"/>
        <w:contextualSpacing/>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2.不同供应商委托同一单位或者个人办理参与竞争性磋商事宜；</w:t>
      </w:r>
    </w:p>
    <w:p w14:paraId="33819F26">
      <w:pPr>
        <w:spacing w:line="360" w:lineRule="auto"/>
        <w:ind w:firstLine="480" w:firstLineChars="200"/>
        <w:contextualSpacing/>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3.不同供应商的响应文件载明的项目管理员为同一个人；</w:t>
      </w:r>
    </w:p>
    <w:p w14:paraId="32E73DC8">
      <w:pPr>
        <w:spacing w:line="360" w:lineRule="auto"/>
        <w:ind w:firstLine="480" w:firstLineChars="200"/>
        <w:contextualSpacing/>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4.不</w:t>
      </w:r>
      <w:r>
        <w:rPr>
          <w:rFonts w:hint="eastAsia" w:ascii="宋体" w:hAnsi="宋体" w:eastAsia="宋体" w:cs="宋体"/>
          <w:color w:val="auto"/>
          <w:spacing w:val="-6"/>
          <w:sz w:val="24"/>
          <w:highlight w:val="none"/>
        </w:rPr>
        <w:t>同供应商的响应文件异常一致或者参与</w:t>
      </w:r>
      <w:r>
        <w:rPr>
          <w:rFonts w:hint="eastAsia" w:ascii="宋体" w:hAnsi="宋体" w:eastAsia="宋体" w:cs="宋体"/>
          <w:color w:val="auto"/>
          <w:sz w:val="24"/>
          <w:highlight w:val="none"/>
        </w:rPr>
        <w:t>竞争性磋商</w:t>
      </w:r>
      <w:r>
        <w:rPr>
          <w:rFonts w:hint="eastAsia" w:ascii="宋体" w:hAnsi="宋体" w:eastAsia="宋体" w:cs="宋体"/>
          <w:color w:val="auto"/>
          <w:spacing w:val="-6"/>
          <w:sz w:val="24"/>
          <w:highlight w:val="none"/>
        </w:rPr>
        <w:t>报价呈规律性差异；</w:t>
      </w:r>
    </w:p>
    <w:p w14:paraId="1F095DDD">
      <w:pPr>
        <w:spacing w:line="360" w:lineRule="auto"/>
        <w:ind w:firstLine="480" w:firstLineChars="200"/>
        <w:contextualSpacing/>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5.不同供应商的响应文件相互混装；</w:t>
      </w:r>
    </w:p>
    <w:p w14:paraId="0E7B385F">
      <w:pPr>
        <w:spacing w:line="360" w:lineRule="auto"/>
        <w:ind w:firstLine="480" w:firstLineChars="200"/>
        <w:contextualSpacing/>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6.不同供应商的磋商保证金从同一单位或者个人账户转出。</w:t>
      </w:r>
    </w:p>
    <w:p w14:paraId="03A9AA20">
      <w:pPr>
        <w:spacing w:line="360" w:lineRule="auto"/>
        <w:ind w:firstLine="482" w:firstLineChars="200"/>
        <w:contextualSpacing/>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二、我方承诺无下列恶意串通的情形：</w:t>
      </w:r>
    </w:p>
    <w:p w14:paraId="116CF404">
      <w:pPr>
        <w:spacing w:line="360" w:lineRule="auto"/>
        <w:ind w:firstLine="480" w:firstLineChars="200"/>
        <w:contextualSpacing/>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1.供应商直接或者间接从采购人或者采购代理机构处获得其他供应商的相关信息并修改其响应文件；</w:t>
      </w:r>
    </w:p>
    <w:p w14:paraId="56469308">
      <w:pPr>
        <w:spacing w:line="360" w:lineRule="auto"/>
        <w:ind w:firstLine="480" w:firstLineChars="200"/>
        <w:contextualSpacing/>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2.供应商按照采购人或者采购代理机构的授意撤换、修改响应文件；</w:t>
      </w:r>
    </w:p>
    <w:p w14:paraId="78D45992">
      <w:pPr>
        <w:spacing w:line="360" w:lineRule="auto"/>
        <w:ind w:firstLine="480" w:firstLineChars="200"/>
        <w:contextualSpacing/>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3.供</w:t>
      </w:r>
      <w:r>
        <w:rPr>
          <w:rFonts w:hint="eastAsia" w:ascii="宋体" w:hAnsi="宋体" w:eastAsia="宋体" w:cs="宋体"/>
          <w:color w:val="auto"/>
          <w:spacing w:val="-6"/>
          <w:sz w:val="24"/>
          <w:highlight w:val="none"/>
        </w:rPr>
        <w:t>应商之间协商报价、技术方案等响应文件的实质性内容；</w:t>
      </w:r>
    </w:p>
    <w:p w14:paraId="3089640A">
      <w:pPr>
        <w:spacing w:line="360" w:lineRule="auto"/>
        <w:ind w:firstLine="480" w:firstLineChars="200"/>
        <w:contextualSpacing/>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4.属于同一集团、协会、商会等组织成员的供应商按照该组织要求协同参加政府采购活动；</w:t>
      </w:r>
    </w:p>
    <w:p w14:paraId="2F56A007">
      <w:pPr>
        <w:spacing w:line="360" w:lineRule="auto"/>
        <w:ind w:firstLine="480" w:firstLineChars="200"/>
        <w:contextualSpacing/>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5.供应商之间事先约定一致抬高或者压低竞争性磋商报价，或者在竞争性磋商项目中事先约定轮流以高价位或者低价位成交，或者事先约定由某一特定供应商成交，然后再参加竞争性磋商；</w:t>
      </w:r>
    </w:p>
    <w:p w14:paraId="26576440">
      <w:pPr>
        <w:spacing w:line="360" w:lineRule="auto"/>
        <w:ind w:firstLine="480" w:firstLineChars="200"/>
        <w:contextualSpacing/>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6.供应商之间商定部分供应商放弃参加政府采购活动或者放弃成交；</w:t>
      </w:r>
    </w:p>
    <w:p w14:paraId="0993B6CB">
      <w:pPr>
        <w:spacing w:line="360" w:lineRule="auto"/>
        <w:ind w:firstLine="480" w:firstLineChars="200"/>
        <w:contextualSpacing/>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7.供应商与采购人或者采购代理机构之间、供应商相互之间，为</w:t>
      </w:r>
      <w:r>
        <w:rPr>
          <w:rFonts w:hint="eastAsia" w:ascii="宋体" w:hAnsi="宋体" w:eastAsia="宋体" w:cs="宋体"/>
          <w:color w:val="auto"/>
          <w:spacing w:val="-6"/>
          <w:sz w:val="24"/>
          <w:highlight w:val="none"/>
        </w:rPr>
        <w:t>谋求特定供应商成交或者排斥其他供应商的其他串通行为。</w:t>
      </w:r>
    </w:p>
    <w:p w14:paraId="0008E70A">
      <w:pPr>
        <w:spacing w:line="360" w:lineRule="auto"/>
        <w:ind w:firstLine="480" w:firstLineChars="200"/>
        <w:contextualSpacing/>
        <w:outlineLvl w:val="9"/>
        <w:rPr>
          <w:rFonts w:hint="eastAsia" w:ascii="宋体" w:hAnsi="宋体" w:eastAsia="宋体" w:cs="宋体"/>
          <w:color w:val="auto"/>
          <w:sz w:val="24"/>
          <w:highlight w:val="none"/>
        </w:rPr>
      </w:pPr>
    </w:p>
    <w:p w14:paraId="62E60F8A">
      <w:pPr>
        <w:spacing w:line="360" w:lineRule="auto"/>
        <w:ind w:firstLine="482" w:firstLineChars="200"/>
        <w:contextualSpacing/>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以上情形一经核查属实，我方愿意承担一切后果，并不再寻求任何旨在减轻或者免除法律责任的辩解。</w:t>
      </w:r>
    </w:p>
    <w:p w14:paraId="423201F0">
      <w:pPr>
        <w:spacing w:line="360" w:lineRule="auto"/>
        <w:contextualSpacing/>
        <w:outlineLvl w:val="9"/>
        <w:rPr>
          <w:rFonts w:hint="eastAsia" w:ascii="宋体" w:hAnsi="宋体" w:eastAsia="宋体" w:cs="宋体"/>
          <w:color w:val="auto"/>
          <w:sz w:val="24"/>
          <w:highlight w:val="none"/>
        </w:rPr>
      </w:pPr>
    </w:p>
    <w:p w14:paraId="0E65D266">
      <w:pPr>
        <w:spacing w:line="360" w:lineRule="auto"/>
        <w:ind w:firstLine="5040" w:firstLineChars="2100"/>
        <w:contextualSpacing/>
        <w:outlineLvl w:val="9"/>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供应商（公章）：</w:t>
      </w:r>
      <w:r>
        <w:rPr>
          <w:rFonts w:hint="eastAsia" w:ascii="宋体" w:hAnsi="宋体" w:eastAsia="宋体" w:cs="宋体"/>
          <w:color w:val="auto"/>
          <w:sz w:val="24"/>
          <w:highlight w:val="none"/>
          <w:u w:val="single"/>
        </w:rPr>
        <w:t xml:space="preserve">               </w:t>
      </w:r>
    </w:p>
    <w:p w14:paraId="45D10FE6">
      <w:pPr>
        <w:spacing w:line="360" w:lineRule="auto"/>
        <w:ind w:firstLine="480" w:firstLineChars="200"/>
        <w:contextualSpacing/>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389E1B4F">
      <w:pPr>
        <w:jc w:val="center"/>
        <w:outlineLvl w:val="9"/>
        <w:rPr>
          <w:rFonts w:hint="eastAsia" w:ascii="宋体" w:hAnsi="宋体" w:eastAsia="宋体" w:cs="宋体"/>
          <w:b/>
          <w:bCs/>
          <w:color w:val="auto"/>
          <w:sz w:val="32"/>
          <w:szCs w:val="32"/>
          <w:highlight w:val="none"/>
        </w:rPr>
      </w:pPr>
      <w:r>
        <w:rPr>
          <w:rFonts w:hint="eastAsia" w:ascii="宋体" w:hAnsi="宋体" w:eastAsia="宋体" w:cs="宋体"/>
          <w:bCs/>
          <w:color w:val="auto"/>
          <w:sz w:val="44"/>
          <w:szCs w:val="44"/>
          <w:highlight w:val="none"/>
        </w:rPr>
        <w:br w:type="page"/>
      </w:r>
      <w:r>
        <w:rPr>
          <w:rFonts w:hint="eastAsia" w:ascii="宋体" w:hAnsi="宋体" w:eastAsia="宋体" w:cs="宋体"/>
          <w:b/>
          <w:bCs/>
          <w:color w:val="auto"/>
          <w:sz w:val="44"/>
          <w:szCs w:val="44"/>
          <w:highlight w:val="none"/>
        </w:rPr>
        <w:t>竞争性磋商报价表</w:t>
      </w:r>
    </w:p>
    <w:p w14:paraId="1F1BCEAE">
      <w:pPr>
        <w:spacing w:line="440" w:lineRule="exact"/>
        <w:jc w:val="center"/>
        <w:outlineLvl w:val="9"/>
        <w:rPr>
          <w:rFonts w:hint="eastAsia" w:ascii="宋体" w:hAnsi="宋体" w:eastAsia="宋体" w:cs="宋体"/>
          <w:bCs/>
          <w:color w:val="auto"/>
          <w:sz w:val="32"/>
          <w:szCs w:val="32"/>
          <w:highlight w:val="none"/>
        </w:rPr>
      </w:pPr>
    </w:p>
    <w:p w14:paraId="7C1AD219">
      <w:pPr>
        <w:spacing w:line="360" w:lineRule="auto"/>
        <w:contextualSpacing/>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项目编号：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2D4DCC48">
      <w:pPr>
        <w:spacing w:line="360" w:lineRule="auto"/>
        <w:contextualSpacing/>
        <w:outlineLvl w:val="9"/>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分标（如有）：</w:t>
      </w:r>
      <w:r>
        <w:rPr>
          <w:rFonts w:hint="eastAsia" w:ascii="宋体" w:hAnsi="宋体" w:eastAsia="宋体" w:cs="宋体"/>
          <w:color w:val="auto"/>
          <w:sz w:val="24"/>
          <w:highlight w:val="none"/>
          <w:u w:val="single"/>
        </w:rPr>
        <w:t xml:space="preserve">                                         </w:t>
      </w:r>
    </w:p>
    <w:p w14:paraId="70307540">
      <w:pPr>
        <w:spacing w:line="360" w:lineRule="auto"/>
        <w:contextualSpacing/>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54A1A031">
      <w:pPr>
        <w:spacing w:line="360" w:lineRule="auto"/>
        <w:contextualSpacing/>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货币单位：人民币元</w:t>
      </w:r>
    </w:p>
    <w:tbl>
      <w:tblPr>
        <w:tblStyle w:val="29"/>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28" w:type="dxa"/>
          <w:left w:w="28" w:type="dxa"/>
          <w:bottom w:w="28" w:type="dxa"/>
          <w:right w:w="28" w:type="dxa"/>
        </w:tblCellMar>
      </w:tblPr>
      <w:tblGrid>
        <w:gridCol w:w="653"/>
        <w:gridCol w:w="2199"/>
        <w:gridCol w:w="864"/>
        <w:gridCol w:w="2881"/>
        <w:gridCol w:w="1754"/>
        <w:gridCol w:w="1317"/>
      </w:tblGrid>
      <w:tr w14:paraId="5451C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835" w:hRule="atLeast"/>
          <w:jc w:val="center"/>
        </w:trPr>
        <w:tc>
          <w:tcPr>
            <w:tcW w:w="338" w:type="pct"/>
            <w:noWrap w:val="0"/>
            <w:vAlign w:val="center"/>
          </w:tcPr>
          <w:p w14:paraId="1AF6DB89">
            <w:pPr>
              <w:pStyle w:val="16"/>
              <w:spacing w:line="360" w:lineRule="auto"/>
              <w:jc w:val="center"/>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项号</w:t>
            </w:r>
          </w:p>
        </w:tc>
        <w:tc>
          <w:tcPr>
            <w:tcW w:w="1137" w:type="pct"/>
            <w:noWrap w:val="0"/>
            <w:vAlign w:val="center"/>
          </w:tcPr>
          <w:p w14:paraId="041230F8">
            <w:pPr>
              <w:jc w:val="center"/>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服务名称</w:t>
            </w:r>
          </w:p>
        </w:tc>
        <w:tc>
          <w:tcPr>
            <w:tcW w:w="447" w:type="pct"/>
            <w:noWrap w:val="0"/>
            <w:vAlign w:val="center"/>
          </w:tcPr>
          <w:p w14:paraId="2E7723C4">
            <w:pPr>
              <w:jc w:val="center"/>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数量</w:t>
            </w:r>
          </w:p>
        </w:tc>
        <w:tc>
          <w:tcPr>
            <w:tcW w:w="1490" w:type="pct"/>
            <w:noWrap w:val="0"/>
            <w:vAlign w:val="center"/>
          </w:tcPr>
          <w:p w14:paraId="6C039C55">
            <w:pPr>
              <w:jc w:val="center"/>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服务内容</w:t>
            </w:r>
          </w:p>
        </w:tc>
        <w:tc>
          <w:tcPr>
            <w:tcW w:w="907" w:type="pct"/>
            <w:noWrap w:val="0"/>
            <w:vAlign w:val="center"/>
          </w:tcPr>
          <w:p w14:paraId="00FF0D37">
            <w:pPr>
              <w:jc w:val="center"/>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磋商报价（元）</w:t>
            </w:r>
          </w:p>
        </w:tc>
        <w:tc>
          <w:tcPr>
            <w:tcW w:w="679" w:type="pct"/>
            <w:noWrap w:val="0"/>
            <w:vAlign w:val="center"/>
          </w:tcPr>
          <w:p w14:paraId="77D152B7">
            <w:pPr>
              <w:jc w:val="center"/>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备注</w:t>
            </w:r>
          </w:p>
        </w:tc>
      </w:tr>
      <w:tr w14:paraId="0A123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494" w:hRule="atLeast"/>
          <w:jc w:val="center"/>
        </w:trPr>
        <w:tc>
          <w:tcPr>
            <w:tcW w:w="338" w:type="pct"/>
            <w:noWrap w:val="0"/>
            <w:vAlign w:val="center"/>
          </w:tcPr>
          <w:p w14:paraId="27EE669B">
            <w:pPr>
              <w:spacing w:line="360" w:lineRule="auto"/>
              <w:contextualSpacing/>
              <w:jc w:val="center"/>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w:t>
            </w:r>
          </w:p>
        </w:tc>
        <w:tc>
          <w:tcPr>
            <w:tcW w:w="1137" w:type="pct"/>
            <w:vMerge w:val="restart"/>
            <w:noWrap w:val="0"/>
            <w:vAlign w:val="center"/>
          </w:tcPr>
          <w:p w14:paraId="0596284F">
            <w:pPr>
              <w:spacing w:line="360" w:lineRule="auto"/>
              <w:contextualSpacing/>
              <w:outlineLvl w:val="9"/>
              <w:rPr>
                <w:rFonts w:hint="eastAsia" w:ascii="宋体" w:hAnsi="宋体" w:eastAsia="宋体" w:cs="宋体"/>
                <w:color w:val="auto"/>
                <w:kern w:val="2"/>
                <w:sz w:val="24"/>
                <w:szCs w:val="24"/>
                <w:highlight w:val="none"/>
                <w:lang w:val="en-US" w:eastAsia="zh-CN" w:bidi="ar-SA"/>
              </w:rPr>
            </w:pPr>
          </w:p>
        </w:tc>
        <w:tc>
          <w:tcPr>
            <w:tcW w:w="447" w:type="pct"/>
            <w:vMerge w:val="restart"/>
            <w:noWrap w:val="0"/>
            <w:vAlign w:val="center"/>
          </w:tcPr>
          <w:p w14:paraId="299A4B77">
            <w:pPr>
              <w:spacing w:line="360" w:lineRule="auto"/>
              <w:contextualSpacing/>
              <w:jc w:val="center"/>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1项</w:t>
            </w:r>
          </w:p>
        </w:tc>
        <w:tc>
          <w:tcPr>
            <w:tcW w:w="1490" w:type="pct"/>
            <w:noWrap w:val="0"/>
            <w:vAlign w:val="center"/>
          </w:tcPr>
          <w:p w14:paraId="745E7218">
            <w:pPr>
              <w:spacing w:line="360" w:lineRule="auto"/>
              <w:contextualSpacing/>
              <w:outlineLvl w:val="9"/>
              <w:rPr>
                <w:rFonts w:hint="eastAsia" w:ascii="宋体" w:hAnsi="宋体" w:eastAsia="宋体" w:cs="宋体"/>
                <w:color w:val="auto"/>
                <w:kern w:val="2"/>
                <w:sz w:val="24"/>
                <w:szCs w:val="24"/>
                <w:highlight w:val="none"/>
                <w:lang w:val="en-US" w:eastAsia="zh-CN" w:bidi="ar-SA"/>
              </w:rPr>
            </w:pPr>
          </w:p>
        </w:tc>
        <w:tc>
          <w:tcPr>
            <w:tcW w:w="907" w:type="pct"/>
            <w:noWrap w:val="0"/>
            <w:vAlign w:val="center"/>
          </w:tcPr>
          <w:p w14:paraId="19B3881C">
            <w:pPr>
              <w:spacing w:line="360" w:lineRule="auto"/>
              <w:contextualSpacing/>
              <w:outlineLvl w:val="9"/>
              <w:rPr>
                <w:rFonts w:hint="eastAsia" w:ascii="宋体" w:hAnsi="宋体" w:eastAsia="宋体" w:cs="宋体"/>
                <w:color w:val="auto"/>
                <w:kern w:val="2"/>
                <w:sz w:val="24"/>
                <w:szCs w:val="24"/>
                <w:highlight w:val="none"/>
                <w:lang w:val="en-US" w:eastAsia="zh-CN" w:bidi="ar-SA"/>
              </w:rPr>
            </w:pPr>
          </w:p>
        </w:tc>
        <w:tc>
          <w:tcPr>
            <w:tcW w:w="679" w:type="pct"/>
            <w:noWrap w:val="0"/>
            <w:vAlign w:val="center"/>
          </w:tcPr>
          <w:p w14:paraId="30A956D7">
            <w:pPr>
              <w:spacing w:line="360" w:lineRule="auto"/>
              <w:contextualSpacing/>
              <w:outlineLvl w:val="9"/>
              <w:rPr>
                <w:rFonts w:hint="eastAsia" w:ascii="宋体" w:hAnsi="宋体" w:eastAsia="宋体" w:cs="宋体"/>
                <w:color w:val="auto"/>
                <w:kern w:val="2"/>
                <w:sz w:val="24"/>
                <w:szCs w:val="24"/>
                <w:highlight w:val="none"/>
                <w:lang w:val="en-US" w:eastAsia="zh-CN" w:bidi="ar-SA"/>
              </w:rPr>
            </w:pPr>
          </w:p>
        </w:tc>
      </w:tr>
      <w:tr w14:paraId="137E9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420" w:hRule="atLeast"/>
          <w:jc w:val="center"/>
        </w:trPr>
        <w:tc>
          <w:tcPr>
            <w:tcW w:w="338" w:type="pct"/>
            <w:noWrap w:val="0"/>
            <w:vAlign w:val="center"/>
          </w:tcPr>
          <w:p w14:paraId="18E10958">
            <w:pPr>
              <w:spacing w:line="360" w:lineRule="auto"/>
              <w:contextualSpacing/>
              <w:jc w:val="center"/>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w:t>
            </w:r>
          </w:p>
        </w:tc>
        <w:tc>
          <w:tcPr>
            <w:tcW w:w="1137" w:type="pct"/>
            <w:vMerge w:val="continue"/>
            <w:noWrap w:val="0"/>
            <w:vAlign w:val="center"/>
          </w:tcPr>
          <w:p w14:paraId="6CCE04DE">
            <w:pPr>
              <w:spacing w:line="360" w:lineRule="auto"/>
              <w:contextualSpacing/>
              <w:outlineLvl w:val="9"/>
              <w:rPr>
                <w:rFonts w:hint="eastAsia" w:ascii="宋体" w:hAnsi="宋体" w:eastAsia="宋体" w:cs="宋体"/>
                <w:color w:val="auto"/>
                <w:kern w:val="2"/>
                <w:sz w:val="24"/>
                <w:szCs w:val="24"/>
                <w:highlight w:val="none"/>
                <w:lang w:val="en-US" w:eastAsia="zh-CN" w:bidi="ar-SA"/>
              </w:rPr>
            </w:pPr>
          </w:p>
        </w:tc>
        <w:tc>
          <w:tcPr>
            <w:tcW w:w="447" w:type="pct"/>
            <w:vMerge w:val="continue"/>
            <w:noWrap w:val="0"/>
            <w:vAlign w:val="center"/>
          </w:tcPr>
          <w:p w14:paraId="3B02FB1B">
            <w:pPr>
              <w:spacing w:line="360" w:lineRule="auto"/>
              <w:contextualSpacing/>
              <w:outlineLvl w:val="9"/>
              <w:rPr>
                <w:rFonts w:hint="eastAsia" w:ascii="宋体" w:hAnsi="宋体" w:eastAsia="宋体" w:cs="宋体"/>
                <w:color w:val="auto"/>
                <w:kern w:val="2"/>
                <w:sz w:val="24"/>
                <w:szCs w:val="24"/>
                <w:highlight w:val="none"/>
                <w:lang w:val="en-US" w:eastAsia="zh-CN" w:bidi="ar-SA"/>
              </w:rPr>
            </w:pPr>
          </w:p>
        </w:tc>
        <w:tc>
          <w:tcPr>
            <w:tcW w:w="1490" w:type="pct"/>
            <w:noWrap w:val="0"/>
            <w:vAlign w:val="center"/>
          </w:tcPr>
          <w:p w14:paraId="04DB757B">
            <w:pPr>
              <w:spacing w:line="360" w:lineRule="auto"/>
              <w:contextualSpacing/>
              <w:outlineLvl w:val="9"/>
              <w:rPr>
                <w:rFonts w:hint="eastAsia" w:ascii="宋体" w:hAnsi="宋体" w:eastAsia="宋体" w:cs="宋体"/>
                <w:color w:val="auto"/>
                <w:kern w:val="2"/>
                <w:sz w:val="24"/>
                <w:szCs w:val="24"/>
                <w:highlight w:val="none"/>
                <w:lang w:val="en-US" w:eastAsia="zh-CN" w:bidi="ar-SA"/>
              </w:rPr>
            </w:pPr>
          </w:p>
        </w:tc>
        <w:tc>
          <w:tcPr>
            <w:tcW w:w="907" w:type="pct"/>
            <w:noWrap w:val="0"/>
            <w:vAlign w:val="center"/>
          </w:tcPr>
          <w:p w14:paraId="4F290FFA">
            <w:pPr>
              <w:spacing w:line="360" w:lineRule="auto"/>
              <w:contextualSpacing/>
              <w:outlineLvl w:val="9"/>
              <w:rPr>
                <w:rFonts w:hint="eastAsia" w:ascii="宋体" w:hAnsi="宋体" w:eastAsia="宋体" w:cs="宋体"/>
                <w:color w:val="auto"/>
                <w:kern w:val="2"/>
                <w:sz w:val="24"/>
                <w:szCs w:val="24"/>
                <w:highlight w:val="none"/>
                <w:lang w:val="en-US" w:eastAsia="zh-CN" w:bidi="ar-SA"/>
              </w:rPr>
            </w:pPr>
          </w:p>
        </w:tc>
        <w:tc>
          <w:tcPr>
            <w:tcW w:w="679" w:type="pct"/>
            <w:noWrap w:val="0"/>
            <w:vAlign w:val="center"/>
          </w:tcPr>
          <w:p w14:paraId="088AF3B6">
            <w:pPr>
              <w:spacing w:line="360" w:lineRule="auto"/>
              <w:contextualSpacing/>
              <w:outlineLvl w:val="9"/>
              <w:rPr>
                <w:rFonts w:hint="eastAsia" w:ascii="宋体" w:hAnsi="宋体" w:eastAsia="宋体" w:cs="宋体"/>
                <w:color w:val="auto"/>
                <w:kern w:val="2"/>
                <w:sz w:val="24"/>
                <w:szCs w:val="24"/>
                <w:highlight w:val="none"/>
                <w:lang w:val="en-US" w:eastAsia="zh-CN" w:bidi="ar-SA"/>
              </w:rPr>
            </w:pPr>
          </w:p>
        </w:tc>
      </w:tr>
      <w:tr w14:paraId="044FF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404" w:hRule="atLeast"/>
          <w:jc w:val="center"/>
        </w:trPr>
        <w:tc>
          <w:tcPr>
            <w:tcW w:w="338" w:type="pct"/>
            <w:noWrap w:val="0"/>
            <w:vAlign w:val="center"/>
          </w:tcPr>
          <w:p w14:paraId="69AC1319">
            <w:pPr>
              <w:spacing w:line="360" w:lineRule="auto"/>
              <w:contextualSpacing/>
              <w:jc w:val="center"/>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w:t>
            </w:r>
          </w:p>
        </w:tc>
        <w:tc>
          <w:tcPr>
            <w:tcW w:w="1137" w:type="pct"/>
            <w:vMerge w:val="continue"/>
            <w:noWrap w:val="0"/>
            <w:vAlign w:val="center"/>
          </w:tcPr>
          <w:p w14:paraId="4337B146">
            <w:pPr>
              <w:spacing w:line="360" w:lineRule="auto"/>
              <w:contextualSpacing/>
              <w:outlineLvl w:val="9"/>
              <w:rPr>
                <w:rFonts w:hint="eastAsia" w:ascii="宋体" w:hAnsi="宋体" w:eastAsia="宋体" w:cs="宋体"/>
                <w:color w:val="auto"/>
                <w:kern w:val="2"/>
                <w:sz w:val="24"/>
                <w:szCs w:val="24"/>
                <w:highlight w:val="none"/>
                <w:lang w:val="en-US" w:eastAsia="zh-CN" w:bidi="ar-SA"/>
              </w:rPr>
            </w:pPr>
          </w:p>
        </w:tc>
        <w:tc>
          <w:tcPr>
            <w:tcW w:w="447" w:type="pct"/>
            <w:vMerge w:val="continue"/>
            <w:noWrap w:val="0"/>
            <w:vAlign w:val="center"/>
          </w:tcPr>
          <w:p w14:paraId="33E4FF24">
            <w:pPr>
              <w:spacing w:line="360" w:lineRule="auto"/>
              <w:contextualSpacing/>
              <w:outlineLvl w:val="9"/>
              <w:rPr>
                <w:rFonts w:hint="eastAsia" w:ascii="宋体" w:hAnsi="宋体" w:eastAsia="宋体" w:cs="宋体"/>
                <w:color w:val="auto"/>
                <w:kern w:val="2"/>
                <w:sz w:val="24"/>
                <w:szCs w:val="24"/>
                <w:highlight w:val="none"/>
                <w:lang w:val="en-US" w:eastAsia="zh-CN" w:bidi="ar-SA"/>
              </w:rPr>
            </w:pPr>
          </w:p>
        </w:tc>
        <w:tc>
          <w:tcPr>
            <w:tcW w:w="1490" w:type="pct"/>
            <w:noWrap w:val="0"/>
            <w:vAlign w:val="center"/>
          </w:tcPr>
          <w:p w14:paraId="644A5A3B">
            <w:pPr>
              <w:spacing w:line="360" w:lineRule="auto"/>
              <w:contextualSpacing/>
              <w:outlineLvl w:val="9"/>
              <w:rPr>
                <w:rFonts w:hint="eastAsia" w:ascii="宋体" w:hAnsi="宋体" w:eastAsia="宋体" w:cs="宋体"/>
                <w:color w:val="auto"/>
                <w:kern w:val="2"/>
                <w:sz w:val="24"/>
                <w:szCs w:val="24"/>
                <w:highlight w:val="none"/>
                <w:lang w:val="en-US" w:eastAsia="zh-CN" w:bidi="ar-SA"/>
              </w:rPr>
            </w:pPr>
          </w:p>
        </w:tc>
        <w:tc>
          <w:tcPr>
            <w:tcW w:w="907" w:type="pct"/>
            <w:noWrap w:val="0"/>
            <w:vAlign w:val="center"/>
          </w:tcPr>
          <w:p w14:paraId="0B8DC7DD">
            <w:pPr>
              <w:spacing w:line="360" w:lineRule="auto"/>
              <w:contextualSpacing/>
              <w:outlineLvl w:val="9"/>
              <w:rPr>
                <w:rFonts w:hint="eastAsia" w:ascii="宋体" w:hAnsi="宋体" w:eastAsia="宋体" w:cs="宋体"/>
                <w:color w:val="auto"/>
                <w:kern w:val="2"/>
                <w:sz w:val="24"/>
                <w:szCs w:val="24"/>
                <w:highlight w:val="none"/>
                <w:lang w:val="en-US" w:eastAsia="zh-CN" w:bidi="ar-SA"/>
              </w:rPr>
            </w:pPr>
          </w:p>
        </w:tc>
        <w:tc>
          <w:tcPr>
            <w:tcW w:w="679" w:type="pct"/>
            <w:noWrap w:val="0"/>
            <w:vAlign w:val="center"/>
          </w:tcPr>
          <w:p w14:paraId="3C1D441C">
            <w:pPr>
              <w:spacing w:line="360" w:lineRule="auto"/>
              <w:contextualSpacing/>
              <w:outlineLvl w:val="9"/>
              <w:rPr>
                <w:rFonts w:hint="eastAsia" w:ascii="宋体" w:hAnsi="宋体" w:eastAsia="宋体" w:cs="宋体"/>
                <w:color w:val="auto"/>
                <w:kern w:val="2"/>
                <w:sz w:val="24"/>
                <w:szCs w:val="24"/>
                <w:highlight w:val="none"/>
                <w:lang w:val="en-US" w:eastAsia="zh-CN" w:bidi="ar-SA"/>
              </w:rPr>
            </w:pPr>
          </w:p>
        </w:tc>
      </w:tr>
      <w:tr w14:paraId="2327B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593" w:hRule="atLeast"/>
          <w:jc w:val="center"/>
        </w:trPr>
        <w:tc>
          <w:tcPr>
            <w:tcW w:w="338" w:type="pct"/>
            <w:noWrap w:val="0"/>
            <w:vAlign w:val="center"/>
          </w:tcPr>
          <w:p w14:paraId="0FB8BB65">
            <w:pPr>
              <w:spacing w:line="360" w:lineRule="auto"/>
              <w:contextualSpacing/>
              <w:jc w:val="center"/>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w:t>
            </w:r>
          </w:p>
        </w:tc>
        <w:tc>
          <w:tcPr>
            <w:tcW w:w="1137" w:type="pct"/>
            <w:vMerge w:val="continue"/>
            <w:noWrap w:val="0"/>
            <w:vAlign w:val="center"/>
          </w:tcPr>
          <w:p w14:paraId="0C9A1322">
            <w:pPr>
              <w:spacing w:line="360" w:lineRule="auto"/>
              <w:contextualSpacing/>
              <w:outlineLvl w:val="9"/>
              <w:rPr>
                <w:rFonts w:hint="eastAsia" w:ascii="宋体" w:hAnsi="宋体" w:eastAsia="宋体" w:cs="宋体"/>
                <w:color w:val="auto"/>
                <w:kern w:val="2"/>
                <w:sz w:val="24"/>
                <w:szCs w:val="24"/>
                <w:highlight w:val="none"/>
                <w:lang w:val="en-US" w:eastAsia="zh-CN" w:bidi="ar-SA"/>
              </w:rPr>
            </w:pPr>
          </w:p>
        </w:tc>
        <w:tc>
          <w:tcPr>
            <w:tcW w:w="447" w:type="pct"/>
            <w:vMerge w:val="continue"/>
            <w:noWrap w:val="0"/>
            <w:vAlign w:val="center"/>
          </w:tcPr>
          <w:p w14:paraId="08A52FB2">
            <w:pPr>
              <w:spacing w:line="360" w:lineRule="auto"/>
              <w:contextualSpacing/>
              <w:outlineLvl w:val="9"/>
              <w:rPr>
                <w:rFonts w:hint="eastAsia" w:ascii="宋体" w:hAnsi="宋体" w:eastAsia="宋体" w:cs="宋体"/>
                <w:color w:val="auto"/>
                <w:kern w:val="2"/>
                <w:sz w:val="24"/>
                <w:szCs w:val="24"/>
                <w:highlight w:val="none"/>
                <w:lang w:val="en-US" w:eastAsia="zh-CN" w:bidi="ar-SA"/>
              </w:rPr>
            </w:pPr>
          </w:p>
        </w:tc>
        <w:tc>
          <w:tcPr>
            <w:tcW w:w="1490" w:type="pct"/>
            <w:noWrap w:val="0"/>
            <w:vAlign w:val="center"/>
          </w:tcPr>
          <w:p w14:paraId="03DDF06C">
            <w:pPr>
              <w:spacing w:line="360" w:lineRule="auto"/>
              <w:contextualSpacing/>
              <w:outlineLvl w:val="9"/>
              <w:rPr>
                <w:rFonts w:hint="eastAsia" w:ascii="宋体" w:hAnsi="宋体" w:eastAsia="宋体" w:cs="宋体"/>
                <w:color w:val="auto"/>
                <w:kern w:val="2"/>
                <w:sz w:val="24"/>
                <w:szCs w:val="24"/>
                <w:highlight w:val="none"/>
                <w:lang w:val="en-US" w:eastAsia="zh-CN" w:bidi="ar-SA"/>
              </w:rPr>
            </w:pPr>
          </w:p>
        </w:tc>
        <w:tc>
          <w:tcPr>
            <w:tcW w:w="907" w:type="pct"/>
            <w:noWrap w:val="0"/>
            <w:vAlign w:val="center"/>
          </w:tcPr>
          <w:p w14:paraId="2A9D559F">
            <w:pPr>
              <w:spacing w:line="360" w:lineRule="auto"/>
              <w:contextualSpacing/>
              <w:outlineLvl w:val="9"/>
              <w:rPr>
                <w:rFonts w:hint="eastAsia" w:ascii="宋体" w:hAnsi="宋体" w:eastAsia="宋体" w:cs="宋体"/>
                <w:color w:val="auto"/>
                <w:kern w:val="2"/>
                <w:sz w:val="24"/>
                <w:szCs w:val="24"/>
                <w:highlight w:val="none"/>
                <w:lang w:val="en-US" w:eastAsia="zh-CN" w:bidi="ar-SA"/>
              </w:rPr>
            </w:pPr>
          </w:p>
        </w:tc>
        <w:tc>
          <w:tcPr>
            <w:tcW w:w="679" w:type="pct"/>
            <w:noWrap w:val="0"/>
            <w:vAlign w:val="center"/>
          </w:tcPr>
          <w:p w14:paraId="0445A872">
            <w:pPr>
              <w:spacing w:line="360" w:lineRule="auto"/>
              <w:contextualSpacing/>
              <w:outlineLvl w:val="9"/>
              <w:rPr>
                <w:rFonts w:hint="eastAsia" w:ascii="宋体" w:hAnsi="宋体" w:eastAsia="宋体" w:cs="宋体"/>
                <w:color w:val="auto"/>
                <w:kern w:val="2"/>
                <w:sz w:val="24"/>
                <w:szCs w:val="24"/>
                <w:highlight w:val="none"/>
                <w:lang w:val="en-US" w:eastAsia="zh-CN" w:bidi="ar-SA"/>
              </w:rPr>
            </w:pPr>
          </w:p>
        </w:tc>
      </w:tr>
      <w:tr w14:paraId="0842A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495" w:hRule="atLeast"/>
          <w:jc w:val="center"/>
        </w:trPr>
        <w:tc>
          <w:tcPr>
            <w:tcW w:w="338" w:type="pct"/>
            <w:noWrap w:val="0"/>
            <w:vAlign w:val="center"/>
          </w:tcPr>
          <w:p w14:paraId="5B1CC79C">
            <w:pPr>
              <w:spacing w:line="360" w:lineRule="auto"/>
              <w:contextualSpacing/>
              <w:jc w:val="center"/>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w:t>
            </w:r>
          </w:p>
        </w:tc>
        <w:tc>
          <w:tcPr>
            <w:tcW w:w="1137" w:type="pct"/>
            <w:vMerge w:val="continue"/>
            <w:noWrap w:val="0"/>
            <w:vAlign w:val="center"/>
          </w:tcPr>
          <w:p w14:paraId="6C734928">
            <w:pPr>
              <w:spacing w:line="360" w:lineRule="auto"/>
              <w:contextualSpacing/>
              <w:outlineLvl w:val="9"/>
              <w:rPr>
                <w:rFonts w:hint="eastAsia" w:ascii="宋体" w:hAnsi="宋体" w:eastAsia="宋体" w:cs="宋体"/>
                <w:color w:val="auto"/>
                <w:kern w:val="2"/>
                <w:sz w:val="24"/>
                <w:szCs w:val="24"/>
                <w:highlight w:val="none"/>
                <w:lang w:val="en-US" w:eastAsia="zh-CN" w:bidi="ar-SA"/>
              </w:rPr>
            </w:pPr>
          </w:p>
        </w:tc>
        <w:tc>
          <w:tcPr>
            <w:tcW w:w="447" w:type="pct"/>
            <w:vMerge w:val="continue"/>
            <w:noWrap w:val="0"/>
            <w:vAlign w:val="center"/>
          </w:tcPr>
          <w:p w14:paraId="2D15145A">
            <w:pPr>
              <w:spacing w:line="360" w:lineRule="auto"/>
              <w:contextualSpacing/>
              <w:outlineLvl w:val="9"/>
              <w:rPr>
                <w:rFonts w:hint="eastAsia" w:ascii="宋体" w:hAnsi="宋体" w:eastAsia="宋体" w:cs="宋体"/>
                <w:color w:val="auto"/>
                <w:kern w:val="2"/>
                <w:sz w:val="24"/>
                <w:szCs w:val="24"/>
                <w:highlight w:val="none"/>
                <w:lang w:val="en-US" w:eastAsia="zh-CN" w:bidi="ar-SA"/>
              </w:rPr>
            </w:pPr>
          </w:p>
        </w:tc>
        <w:tc>
          <w:tcPr>
            <w:tcW w:w="1490" w:type="pct"/>
            <w:noWrap w:val="0"/>
            <w:vAlign w:val="center"/>
          </w:tcPr>
          <w:p w14:paraId="7E13E595">
            <w:pPr>
              <w:spacing w:line="360" w:lineRule="auto"/>
              <w:contextualSpacing/>
              <w:outlineLvl w:val="9"/>
              <w:rPr>
                <w:rFonts w:hint="eastAsia" w:ascii="宋体" w:hAnsi="宋体" w:eastAsia="宋体" w:cs="宋体"/>
                <w:color w:val="auto"/>
                <w:kern w:val="2"/>
                <w:sz w:val="24"/>
                <w:szCs w:val="24"/>
                <w:highlight w:val="none"/>
                <w:lang w:val="en-US" w:eastAsia="zh-CN" w:bidi="ar-SA"/>
              </w:rPr>
            </w:pPr>
          </w:p>
        </w:tc>
        <w:tc>
          <w:tcPr>
            <w:tcW w:w="907" w:type="pct"/>
            <w:noWrap w:val="0"/>
            <w:vAlign w:val="center"/>
          </w:tcPr>
          <w:p w14:paraId="32F1FF25">
            <w:pPr>
              <w:spacing w:line="360" w:lineRule="auto"/>
              <w:contextualSpacing/>
              <w:outlineLvl w:val="9"/>
              <w:rPr>
                <w:rFonts w:hint="eastAsia" w:ascii="宋体" w:hAnsi="宋体" w:eastAsia="宋体" w:cs="宋体"/>
                <w:color w:val="auto"/>
                <w:kern w:val="2"/>
                <w:sz w:val="24"/>
                <w:szCs w:val="24"/>
                <w:highlight w:val="none"/>
                <w:lang w:val="en-US" w:eastAsia="zh-CN" w:bidi="ar-SA"/>
              </w:rPr>
            </w:pPr>
          </w:p>
        </w:tc>
        <w:tc>
          <w:tcPr>
            <w:tcW w:w="679" w:type="pct"/>
            <w:noWrap w:val="0"/>
            <w:vAlign w:val="center"/>
          </w:tcPr>
          <w:p w14:paraId="6D5DB600">
            <w:pPr>
              <w:spacing w:line="360" w:lineRule="auto"/>
              <w:contextualSpacing/>
              <w:outlineLvl w:val="9"/>
              <w:rPr>
                <w:rFonts w:hint="eastAsia" w:ascii="宋体" w:hAnsi="宋体" w:eastAsia="宋体" w:cs="宋体"/>
                <w:color w:val="auto"/>
                <w:kern w:val="2"/>
                <w:sz w:val="24"/>
                <w:szCs w:val="24"/>
                <w:highlight w:val="none"/>
                <w:lang w:val="en-US" w:eastAsia="zh-CN" w:bidi="ar-SA"/>
              </w:rPr>
            </w:pPr>
          </w:p>
        </w:tc>
      </w:tr>
      <w:tr w14:paraId="62E4F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837" w:hRule="atLeast"/>
          <w:jc w:val="center"/>
        </w:trPr>
        <w:tc>
          <w:tcPr>
            <w:tcW w:w="5000" w:type="pct"/>
            <w:gridSpan w:val="6"/>
            <w:noWrap w:val="0"/>
            <w:vAlign w:val="center"/>
          </w:tcPr>
          <w:p w14:paraId="0BC2FD1F">
            <w:pPr>
              <w:pStyle w:val="16"/>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磋商总报价：（大写）：                    （￥                 ）</w:t>
            </w:r>
          </w:p>
        </w:tc>
      </w:tr>
    </w:tbl>
    <w:p w14:paraId="4584E721">
      <w:pPr>
        <w:spacing w:line="360" w:lineRule="auto"/>
        <w:contextualSpacing/>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注： </w:t>
      </w:r>
    </w:p>
    <w:p w14:paraId="7511FD7D">
      <w:pPr>
        <w:spacing w:line="360" w:lineRule="auto"/>
        <w:ind w:firstLine="480" w:firstLineChars="200"/>
        <w:contextualSpacing/>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1.供应商的报价表必须加盖供应商公章并由法定代表人或者委托代理人签字，</w:t>
      </w:r>
      <w:r>
        <w:rPr>
          <w:rFonts w:hint="eastAsia" w:ascii="宋体" w:hAnsi="宋体" w:eastAsia="宋体" w:cs="宋体"/>
          <w:b/>
          <w:color w:val="auto"/>
          <w:sz w:val="24"/>
          <w:highlight w:val="none"/>
        </w:rPr>
        <w:t>否则其响应文件按无效响应处理</w:t>
      </w:r>
      <w:r>
        <w:rPr>
          <w:rFonts w:hint="eastAsia" w:ascii="宋体" w:hAnsi="宋体" w:eastAsia="宋体" w:cs="宋体"/>
          <w:color w:val="auto"/>
          <w:sz w:val="24"/>
          <w:highlight w:val="none"/>
        </w:rPr>
        <w:t>。</w:t>
      </w:r>
    </w:p>
    <w:p w14:paraId="2B7201CD">
      <w:pPr>
        <w:spacing w:line="360" w:lineRule="auto"/>
        <w:ind w:firstLine="480" w:firstLineChars="200"/>
        <w:contextualSpacing/>
        <w:jc w:val="left"/>
        <w:outlineLvl w:val="9"/>
        <w:rPr>
          <w:rFonts w:hint="eastAsia" w:ascii="宋体" w:hAnsi="宋体" w:eastAsia="宋体" w:cs="宋体"/>
          <w:color w:val="auto"/>
          <w:sz w:val="24"/>
          <w:highlight w:val="none"/>
        </w:rPr>
      </w:pPr>
      <w:r>
        <w:rPr>
          <w:rFonts w:hint="eastAsia" w:ascii="宋体" w:hAnsi="宋体" w:eastAsia="宋体" w:cs="宋体"/>
          <w:bCs/>
          <w:color w:val="auto"/>
          <w:sz w:val="24"/>
          <w:highlight w:val="none"/>
        </w:rPr>
        <w:t>2.</w:t>
      </w:r>
      <w:r>
        <w:rPr>
          <w:rFonts w:hint="eastAsia" w:ascii="宋体" w:hAnsi="宋体" w:eastAsia="宋体" w:cs="宋体"/>
          <w:color w:val="auto"/>
          <w:sz w:val="24"/>
          <w:highlight w:val="none"/>
        </w:rPr>
        <w:t>报价一经涂改，应在涂改处加盖供应商公章或者由法定代表人或者委托代理人签字或者盖章</w:t>
      </w:r>
      <w:r>
        <w:rPr>
          <w:rFonts w:hint="eastAsia" w:ascii="宋体" w:hAnsi="宋体" w:eastAsia="宋体" w:cs="宋体"/>
          <w:b/>
          <w:color w:val="auto"/>
          <w:sz w:val="24"/>
          <w:highlight w:val="none"/>
        </w:rPr>
        <w:t>，否则其响应文件按无效响应处理。</w:t>
      </w:r>
    </w:p>
    <w:p w14:paraId="0820C355">
      <w:pPr>
        <w:spacing w:line="360" w:lineRule="auto"/>
        <w:ind w:firstLine="480" w:firstLineChars="200"/>
        <w:contextualSpacing/>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w:t>
      </w:r>
      <w:r>
        <w:rPr>
          <w:rFonts w:hint="eastAsia" w:ascii="宋体" w:hAnsi="宋体" w:eastAsia="宋体" w:cs="宋体"/>
          <w:color w:val="auto"/>
          <w:spacing w:val="-6"/>
          <w:sz w:val="24"/>
          <w:highlight w:val="none"/>
        </w:rPr>
        <w:t>如有多分标，分别列明各分标的报价表，</w:t>
      </w:r>
      <w:r>
        <w:rPr>
          <w:rFonts w:hint="eastAsia" w:ascii="宋体" w:hAnsi="宋体" w:eastAsia="宋体" w:cs="宋体"/>
          <w:b/>
          <w:color w:val="auto"/>
          <w:spacing w:val="-6"/>
          <w:sz w:val="24"/>
          <w:highlight w:val="none"/>
        </w:rPr>
        <w:t>否则其响应文件按无效响应处理。</w:t>
      </w:r>
    </w:p>
    <w:p w14:paraId="02943A4F">
      <w:pPr>
        <w:spacing w:line="360" w:lineRule="auto"/>
        <w:ind w:right="-817" w:rightChars="-389" w:firstLine="2640" w:firstLineChars="1100"/>
        <w:contextualSpacing/>
        <w:outlineLvl w:val="9"/>
        <w:rPr>
          <w:rFonts w:hint="eastAsia" w:ascii="宋体" w:hAnsi="宋体" w:eastAsia="宋体" w:cs="宋体"/>
          <w:color w:val="auto"/>
          <w:sz w:val="24"/>
          <w:highlight w:val="none"/>
        </w:rPr>
      </w:pPr>
    </w:p>
    <w:p w14:paraId="47026AED">
      <w:pPr>
        <w:spacing w:line="360" w:lineRule="auto"/>
        <w:ind w:right="-817" w:rightChars="-389" w:firstLine="2640" w:firstLineChars="1100"/>
        <w:contextualSpacing/>
        <w:outlineLvl w:val="9"/>
        <w:rPr>
          <w:rFonts w:hint="eastAsia" w:ascii="宋体" w:hAnsi="宋体" w:eastAsia="宋体" w:cs="宋体"/>
          <w:color w:val="auto"/>
          <w:sz w:val="24"/>
          <w:highlight w:val="none"/>
        </w:rPr>
      </w:pPr>
    </w:p>
    <w:p w14:paraId="6A4B85A9">
      <w:pPr>
        <w:spacing w:line="360" w:lineRule="auto"/>
        <w:ind w:right="-817" w:rightChars="-389" w:firstLine="2640" w:firstLineChars="1100"/>
        <w:contextualSpacing/>
        <w:outlineLvl w:val="9"/>
        <w:rPr>
          <w:rFonts w:hint="eastAsia" w:ascii="宋体" w:hAnsi="宋体" w:eastAsia="宋体" w:cs="宋体"/>
          <w:color w:val="auto"/>
          <w:sz w:val="24"/>
          <w:highlight w:val="none"/>
        </w:rPr>
      </w:pPr>
    </w:p>
    <w:p w14:paraId="6F8C2F58">
      <w:pPr>
        <w:spacing w:line="360" w:lineRule="auto"/>
        <w:ind w:right="-817" w:rightChars="-389" w:firstLine="2640" w:firstLineChars="1100"/>
        <w:contextualSpacing/>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法定代表人或者委托代理人（签字）：</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2E0EA1B5">
      <w:pPr>
        <w:spacing w:line="360" w:lineRule="auto"/>
        <w:ind w:right="-817" w:rightChars="-389" w:firstLine="2640" w:firstLineChars="1100"/>
        <w:contextualSpacing/>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供应商（公章）：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6F77BCC6">
      <w:pPr>
        <w:spacing w:line="360" w:lineRule="auto"/>
        <w:ind w:right="-817" w:rightChars="-389" w:firstLine="4080" w:firstLineChars="1700"/>
        <w:contextualSpacing/>
        <w:outlineLvl w:val="9"/>
        <w:rPr>
          <w:rFonts w:hint="eastAsia" w:ascii="宋体" w:hAnsi="宋体" w:eastAsia="宋体" w:cs="宋体"/>
          <w:b/>
          <w:color w:val="auto"/>
          <w:sz w:val="24"/>
          <w:highlight w:val="none"/>
        </w:rPr>
      </w:pPr>
      <w:r>
        <w:rPr>
          <w:rFonts w:hint="eastAsia" w:ascii="宋体" w:hAnsi="宋体" w:eastAsia="宋体" w:cs="宋体"/>
          <w:color w:val="auto"/>
          <w:sz w:val="24"/>
          <w:highlight w:val="none"/>
        </w:rPr>
        <w:t>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0AAA8649">
      <w:pPr>
        <w:spacing w:line="520" w:lineRule="exact"/>
        <w:jc w:val="center"/>
        <w:outlineLvl w:val="9"/>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bookmarkStart w:id="43" w:name="_Toc71365926"/>
      <w:r>
        <w:rPr>
          <w:rFonts w:hint="eastAsia" w:ascii="宋体" w:hAnsi="宋体" w:eastAsia="宋体" w:cs="宋体"/>
          <w:b/>
          <w:color w:val="auto"/>
          <w:sz w:val="32"/>
          <w:szCs w:val="32"/>
          <w:highlight w:val="none"/>
        </w:rPr>
        <w:t>中小企业声明函（服务）</w:t>
      </w:r>
      <w:bookmarkEnd w:id="43"/>
    </w:p>
    <w:p w14:paraId="0C42EA2D">
      <w:pPr>
        <w:spacing w:before="2" w:line="500" w:lineRule="exact"/>
        <w:ind w:firstLine="708" w:firstLineChars="294"/>
        <w:outlineLvl w:val="9"/>
        <w:rPr>
          <w:rFonts w:hint="eastAsia" w:ascii="宋体" w:hAnsi="宋体" w:eastAsia="宋体" w:cs="宋体"/>
          <w:b/>
          <w:bCs/>
          <w:color w:val="auto"/>
          <w:sz w:val="24"/>
          <w:highlight w:val="none"/>
        </w:rPr>
      </w:pPr>
    </w:p>
    <w:p w14:paraId="74389B8A">
      <w:pPr>
        <w:pStyle w:val="13"/>
        <w:spacing w:line="500" w:lineRule="exact"/>
        <w:ind w:right="142" w:firstLine="705" w:firstLineChars="294"/>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本公司（联合体）郑重声明，根据《政府采购促进中小企业发展管理办法》（财库﹝2020﹞46号）的规定，本公司（联合体）参加</w:t>
      </w:r>
      <w:r>
        <w:rPr>
          <w:rFonts w:hint="eastAsia" w:ascii="宋体" w:hAnsi="宋体" w:eastAsia="宋体" w:cs="宋体"/>
          <w:color w:val="auto"/>
          <w:sz w:val="24"/>
          <w:highlight w:val="none"/>
          <w:u w:val="single"/>
        </w:rPr>
        <w:t>（单位名称）</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（项目名称）</w:t>
      </w:r>
      <w:r>
        <w:rPr>
          <w:rFonts w:hint="eastAsia" w:ascii="宋体" w:hAnsi="宋体" w:eastAsia="宋体" w:cs="宋体"/>
          <w:color w:val="auto"/>
          <w:sz w:val="24"/>
          <w:highlight w:val="none"/>
        </w:rPr>
        <w:t>采购活动，服务全部由符合政策要求的中小企业承接。相关企业（含联合体中的中小企业、签订分包意向协议的中小企业）的具体情况如下：</w:t>
      </w:r>
    </w:p>
    <w:p w14:paraId="22F65538">
      <w:pPr>
        <w:tabs>
          <w:tab w:val="left" w:pos="1384"/>
          <w:tab w:val="left" w:pos="4562"/>
          <w:tab w:val="left" w:pos="6803"/>
        </w:tabs>
        <w:spacing w:before="13" w:line="500" w:lineRule="exact"/>
        <w:ind w:right="142" w:firstLine="772" w:firstLineChars="322"/>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u w:val="single"/>
        </w:rPr>
        <w:t>（标的名称）</w:t>
      </w:r>
      <w:r>
        <w:rPr>
          <w:rFonts w:hint="eastAsia" w:ascii="宋体" w:hAnsi="宋体" w:eastAsia="宋体" w:cs="宋体"/>
          <w:color w:val="auto"/>
          <w:sz w:val="24"/>
          <w:highlight w:val="none"/>
        </w:rPr>
        <w:t>，属于</w:t>
      </w:r>
      <w:r>
        <w:rPr>
          <w:rFonts w:hint="eastAsia" w:ascii="宋体" w:hAnsi="宋体" w:eastAsia="宋体" w:cs="宋体"/>
          <w:color w:val="auto"/>
          <w:sz w:val="24"/>
          <w:highlight w:val="none"/>
          <w:u w:val="single"/>
        </w:rPr>
        <w:t>（采购文件中明确的所属行业）</w:t>
      </w:r>
      <w:r>
        <w:rPr>
          <w:rFonts w:hint="eastAsia" w:ascii="宋体" w:hAnsi="宋体" w:eastAsia="宋体" w:cs="宋体"/>
          <w:color w:val="auto"/>
          <w:sz w:val="24"/>
          <w:highlight w:val="none"/>
        </w:rPr>
        <w:t>；承接企业为</w:t>
      </w:r>
      <w:r>
        <w:rPr>
          <w:rFonts w:hint="eastAsia" w:ascii="宋体" w:hAnsi="宋体" w:eastAsia="宋体" w:cs="宋体"/>
          <w:color w:val="auto"/>
          <w:sz w:val="24"/>
          <w:highlight w:val="none"/>
          <w:u w:val="single"/>
        </w:rPr>
        <w:t>（企业名称）</w:t>
      </w:r>
      <w:r>
        <w:rPr>
          <w:rFonts w:hint="eastAsia" w:ascii="宋体" w:hAnsi="宋体" w:eastAsia="宋体" w:cs="宋体"/>
          <w:color w:val="auto"/>
          <w:sz w:val="24"/>
          <w:highlight w:val="none"/>
        </w:rPr>
        <w:t>，从业人员</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人，营业收入为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万元，资产总额为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万元，属于</w:t>
      </w:r>
      <w:r>
        <w:rPr>
          <w:rFonts w:hint="eastAsia" w:ascii="宋体" w:hAnsi="宋体" w:eastAsia="宋体" w:cs="宋体"/>
          <w:color w:val="auto"/>
          <w:sz w:val="24"/>
          <w:highlight w:val="none"/>
          <w:u w:val="single"/>
        </w:rPr>
        <w:t>（中型企业、小型企业、微型企业）</w:t>
      </w:r>
      <w:r>
        <w:rPr>
          <w:rFonts w:hint="eastAsia" w:ascii="宋体" w:hAnsi="宋体" w:eastAsia="宋体" w:cs="宋体"/>
          <w:color w:val="auto"/>
          <w:sz w:val="24"/>
          <w:highlight w:val="none"/>
        </w:rPr>
        <w:t>；</w:t>
      </w:r>
    </w:p>
    <w:p w14:paraId="06CAAD01">
      <w:pPr>
        <w:tabs>
          <w:tab w:val="left" w:pos="1065"/>
          <w:tab w:val="left" w:pos="4262"/>
          <w:tab w:val="left" w:pos="6477"/>
        </w:tabs>
        <w:spacing w:before="20" w:line="500" w:lineRule="exact"/>
        <w:ind w:right="84" w:firstLine="772" w:firstLineChars="322"/>
        <w:outlineLvl w:val="9"/>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u w:val="single"/>
        </w:rPr>
        <w:t>（标的名称）</w:t>
      </w:r>
      <w:r>
        <w:rPr>
          <w:rFonts w:hint="eastAsia" w:ascii="宋体" w:hAnsi="宋体" w:eastAsia="宋体" w:cs="宋体"/>
          <w:color w:val="auto"/>
          <w:sz w:val="24"/>
          <w:highlight w:val="none"/>
        </w:rPr>
        <w:t>，属于</w:t>
      </w:r>
      <w:r>
        <w:rPr>
          <w:rFonts w:hint="eastAsia" w:ascii="宋体" w:hAnsi="宋体" w:eastAsia="宋体" w:cs="宋体"/>
          <w:color w:val="auto"/>
          <w:sz w:val="24"/>
          <w:highlight w:val="none"/>
          <w:u w:val="single"/>
        </w:rPr>
        <w:t>（采购文件中明确的所属行业）</w:t>
      </w:r>
      <w:r>
        <w:rPr>
          <w:rFonts w:hint="eastAsia" w:ascii="宋体" w:hAnsi="宋体" w:eastAsia="宋体" w:cs="宋体"/>
          <w:color w:val="auto"/>
          <w:sz w:val="24"/>
          <w:highlight w:val="none"/>
        </w:rPr>
        <w:t>；承接企业为</w:t>
      </w:r>
      <w:r>
        <w:rPr>
          <w:rFonts w:hint="eastAsia" w:ascii="宋体" w:hAnsi="宋体" w:eastAsia="宋体" w:cs="宋体"/>
          <w:color w:val="auto"/>
          <w:sz w:val="24"/>
          <w:highlight w:val="none"/>
          <w:u w:val="single"/>
        </w:rPr>
        <w:t>（企业名称）</w:t>
      </w:r>
      <w:r>
        <w:rPr>
          <w:rFonts w:hint="eastAsia" w:ascii="宋体" w:hAnsi="宋体" w:eastAsia="宋体" w:cs="宋体"/>
          <w:color w:val="auto"/>
          <w:sz w:val="24"/>
          <w:highlight w:val="none"/>
        </w:rPr>
        <w:t>，从业人员</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人，营业收入为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万元，资产总额为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万元，属于</w:t>
      </w:r>
      <w:r>
        <w:rPr>
          <w:rFonts w:hint="eastAsia" w:ascii="宋体" w:hAnsi="宋体" w:eastAsia="宋体" w:cs="宋体"/>
          <w:color w:val="auto"/>
          <w:sz w:val="24"/>
          <w:highlight w:val="none"/>
          <w:u w:val="single"/>
        </w:rPr>
        <w:t>（中型企业、小型企业、微型企业）</w:t>
      </w:r>
      <w:r>
        <w:rPr>
          <w:rFonts w:hint="eastAsia" w:ascii="宋体" w:hAnsi="宋体" w:eastAsia="宋体" w:cs="宋体"/>
          <w:color w:val="auto"/>
          <w:sz w:val="24"/>
          <w:highlight w:val="none"/>
        </w:rPr>
        <w:t>；</w:t>
      </w:r>
    </w:p>
    <w:p w14:paraId="17C1B212">
      <w:pPr>
        <w:pStyle w:val="13"/>
        <w:spacing w:before="34" w:line="500" w:lineRule="exact"/>
        <w:ind w:right="142" w:firstLine="705" w:firstLineChars="294"/>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3E5A26EE">
      <w:pPr>
        <w:pStyle w:val="13"/>
        <w:spacing w:before="34" w:line="500" w:lineRule="exact"/>
        <w:ind w:right="142" w:firstLine="705" w:firstLineChars="294"/>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以上企业，不属于大企业的分支机构，不存在控股股东为大企业的情形，也不存在与大企业的负责人为同一人的情形。</w:t>
      </w:r>
    </w:p>
    <w:p w14:paraId="65829BED">
      <w:pPr>
        <w:pStyle w:val="13"/>
        <w:spacing w:before="25" w:line="500" w:lineRule="exact"/>
        <w:ind w:right="142" w:firstLine="705" w:firstLineChars="294"/>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本企业对上述声明内容的真实性负责。如有虚假，将依法承担相应责任。</w:t>
      </w:r>
    </w:p>
    <w:p w14:paraId="5FA150A6">
      <w:pPr>
        <w:pStyle w:val="13"/>
        <w:spacing w:before="56" w:line="500" w:lineRule="exact"/>
        <w:ind w:right="1808" w:firstLine="705" w:firstLineChars="294"/>
        <w:outlineLvl w:val="9"/>
        <w:rPr>
          <w:rFonts w:hint="eastAsia" w:ascii="宋体" w:hAnsi="宋体" w:eastAsia="宋体" w:cs="宋体"/>
          <w:color w:val="auto"/>
          <w:sz w:val="24"/>
          <w:highlight w:val="none"/>
        </w:rPr>
      </w:pPr>
    </w:p>
    <w:p w14:paraId="64A90C6D">
      <w:pPr>
        <w:pStyle w:val="13"/>
        <w:spacing w:before="56" w:line="500" w:lineRule="exact"/>
        <w:ind w:right="650" w:firstLine="2400" w:firstLineChars="1000"/>
        <w:outlineLvl w:val="9"/>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企业名称（公章）： </w:t>
      </w:r>
      <w:r>
        <w:rPr>
          <w:rFonts w:hint="eastAsia" w:ascii="宋体" w:hAnsi="宋体" w:eastAsia="宋体" w:cs="宋体"/>
          <w:color w:val="auto"/>
          <w:sz w:val="24"/>
          <w:highlight w:val="none"/>
          <w:u w:val="single"/>
        </w:rPr>
        <w:t xml:space="preserve">                    </w:t>
      </w:r>
    </w:p>
    <w:p w14:paraId="29A90D67">
      <w:pPr>
        <w:pStyle w:val="13"/>
        <w:spacing w:before="56" w:line="500" w:lineRule="exact"/>
        <w:ind w:right="1808" w:firstLine="2400" w:firstLineChars="10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7CE997C4">
      <w:pPr>
        <w:spacing w:line="520" w:lineRule="exact"/>
        <w:jc w:val="left"/>
        <w:outlineLvl w:val="9"/>
        <w:rPr>
          <w:rFonts w:hint="eastAsia" w:ascii="宋体" w:hAnsi="宋体" w:eastAsia="宋体" w:cs="宋体"/>
          <w:color w:val="auto"/>
          <w:sz w:val="24"/>
          <w:highlight w:val="none"/>
        </w:rPr>
      </w:pPr>
      <w:r>
        <w:rPr>
          <w:rFonts w:hint="eastAsia" w:ascii="宋体" w:hAnsi="宋体" w:eastAsia="宋体" w:cs="宋体"/>
          <w:b/>
          <w:color w:val="auto"/>
          <w:sz w:val="24"/>
          <w:highlight w:val="none"/>
        </w:rPr>
        <w:t>注：</w:t>
      </w:r>
      <w:r>
        <w:rPr>
          <w:rFonts w:hint="eastAsia" w:ascii="宋体" w:hAnsi="宋体" w:eastAsia="宋体" w:cs="宋体"/>
          <w:color w:val="auto"/>
          <w:sz w:val="24"/>
          <w:highlight w:val="none"/>
        </w:rPr>
        <w:t>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00A7F808">
      <w:pPr>
        <w:spacing w:line="360" w:lineRule="auto"/>
        <w:outlineLvl w:val="9"/>
        <w:rPr>
          <w:rFonts w:hint="eastAsia" w:ascii="宋体" w:hAnsi="宋体" w:eastAsia="宋体" w:cs="宋体"/>
          <w:color w:val="auto"/>
          <w:szCs w:val="21"/>
          <w:highlight w:val="none"/>
        </w:rPr>
      </w:pPr>
    </w:p>
    <w:p w14:paraId="4E32D5A9">
      <w:pPr>
        <w:spacing w:line="520" w:lineRule="exact"/>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sz w:val="32"/>
          <w:szCs w:val="32"/>
          <w:highlight w:val="none"/>
        </w:rPr>
        <w:t>残疾人福利性单位声明函</w:t>
      </w:r>
    </w:p>
    <w:p w14:paraId="19049DCC">
      <w:pPr>
        <w:spacing w:line="360" w:lineRule="auto"/>
        <w:contextualSpacing/>
        <w:outlineLvl w:val="9"/>
        <w:rPr>
          <w:rFonts w:hint="eastAsia" w:ascii="宋体" w:hAnsi="宋体" w:eastAsia="宋体" w:cs="宋体"/>
          <w:color w:val="auto"/>
          <w:sz w:val="32"/>
          <w:szCs w:val="32"/>
          <w:highlight w:val="none"/>
        </w:rPr>
      </w:pPr>
    </w:p>
    <w:p w14:paraId="64545C7A">
      <w:pPr>
        <w:spacing w:line="360" w:lineRule="auto"/>
        <w:ind w:firstLine="480" w:firstLineChars="200"/>
        <w:contextualSpacing/>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本单位郑重声明，根据《财政部民政部中国残疾人联合会关于促进残疾人就业政府采购政策的通知》（财库〔2017〕141号）的规定，本单位为符合条件的残疾人福利性单位，且本单位参加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单位的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项目采购活动提供本单位制造的货物（由本单位承担工程/提供服务），或者提供其他残疾人福利性单位制造的货物（不包括使用非残疾人福利性单位注册商标的货物）。</w:t>
      </w:r>
    </w:p>
    <w:p w14:paraId="55B30C7E">
      <w:pPr>
        <w:spacing w:line="360" w:lineRule="auto"/>
        <w:ind w:firstLine="480" w:firstLineChars="200"/>
        <w:contextualSpacing/>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本单位对上述声明的真实性负责。如有虚假，将依法承担相应责任。</w:t>
      </w:r>
    </w:p>
    <w:p w14:paraId="3EF56FA1">
      <w:pPr>
        <w:spacing w:line="360" w:lineRule="auto"/>
        <w:contextualSpacing/>
        <w:outlineLvl w:val="9"/>
        <w:rPr>
          <w:rFonts w:hint="eastAsia" w:ascii="宋体" w:hAnsi="宋体" w:eastAsia="宋体" w:cs="宋体"/>
          <w:color w:val="auto"/>
          <w:sz w:val="24"/>
          <w:highlight w:val="none"/>
        </w:rPr>
      </w:pPr>
    </w:p>
    <w:p w14:paraId="076EA8A4">
      <w:pPr>
        <w:spacing w:line="360" w:lineRule="auto"/>
        <w:contextualSpacing/>
        <w:outlineLvl w:val="9"/>
        <w:rPr>
          <w:rFonts w:hint="eastAsia" w:ascii="宋体" w:hAnsi="宋体" w:eastAsia="宋体" w:cs="宋体"/>
          <w:color w:val="auto"/>
          <w:sz w:val="24"/>
          <w:highlight w:val="none"/>
        </w:rPr>
      </w:pPr>
    </w:p>
    <w:p w14:paraId="20EBA732">
      <w:pPr>
        <w:spacing w:line="360" w:lineRule="auto"/>
        <w:contextualSpacing/>
        <w:outlineLvl w:val="9"/>
        <w:rPr>
          <w:rFonts w:hint="eastAsia" w:ascii="宋体" w:hAnsi="宋体" w:eastAsia="宋体" w:cs="宋体"/>
          <w:color w:val="auto"/>
          <w:sz w:val="24"/>
          <w:highlight w:val="none"/>
        </w:rPr>
      </w:pPr>
    </w:p>
    <w:p w14:paraId="78B24472">
      <w:pPr>
        <w:spacing w:line="360" w:lineRule="auto"/>
        <w:ind w:firstLine="2400" w:firstLineChars="1000"/>
        <w:contextualSpacing/>
        <w:outlineLvl w:val="9"/>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单位名称（公章）：</w:t>
      </w:r>
      <w:r>
        <w:rPr>
          <w:rFonts w:hint="eastAsia" w:ascii="宋体" w:hAnsi="宋体" w:eastAsia="宋体" w:cs="宋体"/>
          <w:color w:val="auto"/>
          <w:sz w:val="24"/>
          <w:highlight w:val="none"/>
          <w:u w:val="single"/>
        </w:rPr>
        <w:t xml:space="preserve">               </w:t>
      </w:r>
    </w:p>
    <w:p w14:paraId="1B80934A">
      <w:pPr>
        <w:spacing w:line="360" w:lineRule="auto"/>
        <w:ind w:firstLine="3600" w:firstLineChars="1500"/>
        <w:contextualSpacing/>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3C32C756">
      <w:pPr>
        <w:spacing w:line="360" w:lineRule="auto"/>
        <w:contextualSpacing/>
        <w:outlineLvl w:val="9"/>
        <w:rPr>
          <w:rFonts w:hint="eastAsia" w:ascii="宋体" w:hAnsi="宋体" w:eastAsia="宋体" w:cs="宋体"/>
          <w:color w:val="auto"/>
          <w:sz w:val="24"/>
          <w:highlight w:val="none"/>
        </w:rPr>
      </w:pPr>
    </w:p>
    <w:p w14:paraId="16C33041">
      <w:pPr>
        <w:spacing w:line="360" w:lineRule="auto"/>
        <w:contextualSpacing/>
        <w:outlineLvl w:val="9"/>
        <w:rPr>
          <w:rFonts w:hint="eastAsia" w:ascii="宋体" w:hAnsi="宋体" w:eastAsia="宋体" w:cs="宋体"/>
          <w:color w:val="auto"/>
          <w:sz w:val="24"/>
          <w:highlight w:val="none"/>
        </w:rPr>
      </w:pPr>
    </w:p>
    <w:p w14:paraId="6CF45B09">
      <w:pPr>
        <w:spacing w:line="360" w:lineRule="auto"/>
        <w:contextualSpacing/>
        <w:outlineLvl w:val="9"/>
        <w:rPr>
          <w:rFonts w:hint="eastAsia" w:ascii="宋体" w:hAnsi="宋体" w:eastAsia="宋体" w:cs="宋体"/>
          <w:color w:val="auto"/>
          <w:sz w:val="24"/>
          <w:highlight w:val="none"/>
        </w:rPr>
      </w:pPr>
    </w:p>
    <w:p w14:paraId="6FDE3153">
      <w:pPr>
        <w:spacing w:line="360" w:lineRule="auto"/>
        <w:contextualSpacing/>
        <w:outlineLvl w:val="9"/>
        <w:rPr>
          <w:rFonts w:hint="eastAsia" w:ascii="宋体" w:hAnsi="宋体" w:eastAsia="宋体" w:cs="宋体"/>
          <w:color w:val="auto"/>
          <w:sz w:val="24"/>
          <w:highlight w:val="none"/>
        </w:rPr>
      </w:pPr>
      <w:r>
        <w:rPr>
          <w:rFonts w:hint="eastAsia" w:ascii="宋体" w:hAnsi="宋体" w:eastAsia="宋体" w:cs="宋体"/>
          <w:b/>
          <w:color w:val="auto"/>
          <w:sz w:val="24"/>
          <w:highlight w:val="none"/>
        </w:rPr>
        <w:t>注：</w:t>
      </w:r>
      <w:r>
        <w:rPr>
          <w:rFonts w:hint="eastAsia" w:ascii="宋体" w:hAnsi="宋体" w:eastAsia="宋体" w:cs="宋体"/>
          <w:color w:val="auto"/>
          <w:sz w:val="24"/>
          <w:highlight w:val="none"/>
        </w:rPr>
        <w:t>请根据自己的真实情况出具《残疾人福利性单位声明函》。依法享受中小企业优惠政策的，采购人或者采购代理机构在公告中标结果时，同时公告其《残疾人福利性单位声明函》，接受社会监督。</w:t>
      </w:r>
    </w:p>
    <w:p w14:paraId="54BDCBDE">
      <w:pPr>
        <w:spacing w:before="312" w:beforeLines="100" w:after="156" w:afterLines="50"/>
        <w:ind w:left="540"/>
        <w:jc w:val="center"/>
        <w:outlineLvl w:val="9"/>
        <w:rPr>
          <w:rFonts w:hint="eastAsia" w:ascii="宋体" w:hAnsi="宋体" w:eastAsia="宋体" w:cs="宋体"/>
          <w:b/>
          <w:color w:val="auto"/>
          <w:sz w:val="32"/>
          <w:szCs w:val="32"/>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44"/>
          <w:szCs w:val="44"/>
          <w:highlight w:val="none"/>
        </w:rPr>
        <w:t>法定代表人身份证明</w:t>
      </w:r>
    </w:p>
    <w:p w14:paraId="32DEB303">
      <w:pPr>
        <w:spacing w:line="360" w:lineRule="auto"/>
        <w:ind w:left="540"/>
        <w:contextualSpacing/>
        <w:outlineLvl w:val="9"/>
        <w:rPr>
          <w:rFonts w:hint="eastAsia" w:ascii="宋体" w:hAnsi="宋体" w:eastAsia="宋体" w:cs="宋体"/>
          <w:color w:val="auto"/>
          <w:sz w:val="32"/>
          <w:szCs w:val="32"/>
          <w:highlight w:val="none"/>
        </w:rPr>
      </w:pPr>
    </w:p>
    <w:p w14:paraId="562ED2C1">
      <w:pPr>
        <w:spacing w:line="360" w:lineRule="auto"/>
        <w:ind w:left="540"/>
        <w:contextualSpacing/>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p>
    <w:p w14:paraId="155D3920">
      <w:pPr>
        <w:spacing w:line="360" w:lineRule="auto"/>
        <w:ind w:left="540"/>
        <w:contextualSpacing/>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single"/>
        </w:rPr>
        <w:t xml:space="preserve">                                                        </w:t>
      </w:r>
    </w:p>
    <w:p w14:paraId="7B29065E">
      <w:pPr>
        <w:spacing w:line="360" w:lineRule="auto"/>
        <w:ind w:left="540"/>
        <w:contextualSpacing/>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姓    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性     别：</w:t>
      </w:r>
      <w:r>
        <w:rPr>
          <w:rFonts w:hint="eastAsia" w:ascii="宋体" w:hAnsi="宋体" w:eastAsia="宋体" w:cs="宋体"/>
          <w:color w:val="auto"/>
          <w:sz w:val="24"/>
          <w:highlight w:val="none"/>
          <w:u w:val="single"/>
        </w:rPr>
        <w:t xml:space="preserve">                </w:t>
      </w:r>
    </w:p>
    <w:p w14:paraId="0B6BD6EF">
      <w:pPr>
        <w:spacing w:line="360" w:lineRule="auto"/>
        <w:ind w:left="540"/>
        <w:contextualSpacing/>
        <w:outlineLvl w:val="9"/>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年    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职     务：</w:t>
      </w:r>
      <w:r>
        <w:rPr>
          <w:rFonts w:hint="eastAsia" w:ascii="宋体" w:hAnsi="宋体" w:eastAsia="宋体" w:cs="宋体"/>
          <w:color w:val="auto"/>
          <w:sz w:val="24"/>
          <w:highlight w:val="none"/>
          <w:u w:val="single"/>
        </w:rPr>
        <w:t xml:space="preserve">                </w:t>
      </w:r>
    </w:p>
    <w:p w14:paraId="017DB410">
      <w:pPr>
        <w:spacing w:line="360" w:lineRule="auto"/>
        <w:ind w:left="540"/>
        <w:contextualSpacing/>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身份证号码：</w:t>
      </w:r>
      <w:r>
        <w:rPr>
          <w:rFonts w:hint="eastAsia" w:ascii="宋体" w:hAnsi="宋体" w:eastAsia="宋体" w:cs="宋体"/>
          <w:color w:val="auto"/>
          <w:sz w:val="24"/>
          <w:highlight w:val="none"/>
          <w:u w:val="single"/>
        </w:rPr>
        <w:t xml:space="preserve">                                        </w:t>
      </w:r>
    </w:p>
    <w:p w14:paraId="23AE508F">
      <w:pPr>
        <w:spacing w:line="360" w:lineRule="auto"/>
        <w:ind w:firstLine="480" w:firstLineChars="200"/>
        <w:contextualSpacing/>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（供应商名称）</w:t>
      </w:r>
      <w:r>
        <w:rPr>
          <w:rFonts w:hint="eastAsia" w:ascii="宋体" w:hAnsi="宋体" w:eastAsia="宋体" w:cs="宋体"/>
          <w:color w:val="auto"/>
          <w:sz w:val="24"/>
          <w:highlight w:val="none"/>
        </w:rPr>
        <w:t>的法定代表人。</w:t>
      </w:r>
    </w:p>
    <w:p w14:paraId="35363C7A">
      <w:pPr>
        <w:spacing w:line="360" w:lineRule="auto"/>
        <w:ind w:left="540"/>
        <w:contextualSpacing/>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14:paraId="4D48D77D">
      <w:pPr>
        <w:spacing w:line="360" w:lineRule="auto"/>
        <w:ind w:left="540"/>
        <w:contextualSpacing/>
        <w:outlineLvl w:val="9"/>
        <w:rPr>
          <w:rFonts w:hint="eastAsia" w:ascii="宋体" w:hAnsi="宋体" w:eastAsia="宋体" w:cs="宋体"/>
          <w:color w:val="auto"/>
          <w:sz w:val="24"/>
          <w:highlight w:val="none"/>
        </w:rPr>
      </w:pPr>
    </w:p>
    <w:p w14:paraId="399ACDF2">
      <w:pPr>
        <w:spacing w:line="360" w:lineRule="auto"/>
        <w:ind w:left="540"/>
        <w:contextualSpacing/>
        <w:outlineLvl w:val="9"/>
        <w:rPr>
          <w:rFonts w:hint="eastAsia" w:ascii="宋体" w:hAnsi="宋体" w:eastAsia="宋体" w:cs="宋体"/>
          <w:color w:val="auto"/>
          <w:sz w:val="24"/>
          <w:highlight w:val="none"/>
        </w:rPr>
      </w:pPr>
    </w:p>
    <w:p w14:paraId="40AE6C6F">
      <w:pPr>
        <w:spacing w:line="360" w:lineRule="auto"/>
        <w:ind w:left="540"/>
        <w:contextualSpacing/>
        <w:outlineLvl w:val="9"/>
        <w:rPr>
          <w:rFonts w:hint="eastAsia" w:ascii="宋体" w:hAnsi="宋体" w:eastAsia="宋体" w:cs="宋体"/>
          <w:color w:val="auto"/>
          <w:sz w:val="24"/>
          <w:highlight w:val="none"/>
        </w:rPr>
      </w:pPr>
    </w:p>
    <w:p w14:paraId="3EC8C80B">
      <w:pPr>
        <w:spacing w:line="360" w:lineRule="auto"/>
        <w:ind w:left="540"/>
        <w:contextualSpacing/>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附件：法定代表人有效身份证正反面复印件</w:t>
      </w:r>
    </w:p>
    <w:p w14:paraId="03397C1F">
      <w:pPr>
        <w:spacing w:line="360" w:lineRule="auto"/>
        <w:ind w:left="540"/>
        <w:contextualSpacing/>
        <w:outlineLvl w:val="9"/>
        <w:rPr>
          <w:rFonts w:hint="eastAsia" w:ascii="宋体" w:hAnsi="宋体" w:eastAsia="宋体" w:cs="宋体"/>
          <w:color w:val="auto"/>
          <w:sz w:val="24"/>
          <w:highlight w:val="none"/>
        </w:rPr>
      </w:pPr>
    </w:p>
    <w:p w14:paraId="2D4FF0A0">
      <w:pPr>
        <w:spacing w:line="360" w:lineRule="auto"/>
        <w:ind w:right="960" w:firstLine="4080" w:firstLineChars="1700"/>
        <w:contextualSpacing/>
        <w:outlineLvl w:val="9"/>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供应商（公章）：</w:t>
      </w:r>
      <w:r>
        <w:rPr>
          <w:rFonts w:hint="eastAsia" w:ascii="宋体" w:hAnsi="宋体" w:eastAsia="宋体" w:cs="宋体"/>
          <w:color w:val="auto"/>
          <w:sz w:val="24"/>
          <w:highlight w:val="none"/>
          <w:u w:val="single"/>
        </w:rPr>
        <w:t xml:space="preserve">               </w:t>
      </w:r>
    </w:p>
    <w:p w14:paraId="54B512EB">
      <w:pPr>
        <w:pStyle w:val="22"/>
        <w:outlineLvl w:val="9"/>
        <w:rPr>
          <w:rFonts w:hint="eastAsia" w:ascii="宋体" w:hAnsi="宋体" w:eastAsia="宋体" w:cs="宋体"/>
          <w:color w:val="auto"/>
          <w:highlight w:val="none"/>
        </w:rPr>
      </w:pPr>
    </w:p>
    <w:p w14:paraId="0B1CC58E">
      <w:pPr>
        <w:spacing w:line="360" w:lineRule="auto"/>
        <w:ind w:firstLine="4080" w:firstLineChars="1700"/>
        <w:contextualSpacing/>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23E52D3F">
      <w:pPr>
        <w:spacing w:line="360" w:lineRule="auto"/>
        <w:contextualSpacing/>
        <w:jc w:val="center"/>
        <w:outlineLvl w:val="9"/>
        <w:rPr>
          <w:rFonts w:hint="eastAsia" w:ascii="宋体" w:hAnsi="宋体" w:eastAsia="宋体" w:cs="宋体"/>
          <w:b/>
          <w:color w:val="auto"/>
          <w:sz w:val="24"/>
          <w:highlight w:val="none"/>
        </w:rPr>
      </w:pPr>
    </w:p>
    <w:p w14:paraId="498A90CE">
      <w:pPr>
        <w:spacing w:line="360" w:lineRule="auto"/>
        <w:contextualSpacing/>
        <w:jc w:val="left"/>
        <w:outlineLvl w:val="9"/>
        <w:rPr>
          <w:rFonts w:hint="eastAsia" w:ascii="宋体" w:hAnsi="宋体" w:eastAsia="宋体" w:cs="宋体"/>
          <w:color w:val="auto"/>
          <w:sz w:val="24"/>
          <w:highlight w:val="none"/>
        </w:rPr>
      </w:pPr>
    </w:p>
    <w:p w14:paraId="4557DBF8">
      <w:pPr>
        <w:spacing w:line="360" w:lineRule="auto"/>
        <w:contextualSpacing/>
        <w:jc w:val="left"/>
        <w:outlineLvl w:val="9"/>
        <w:rPr>
          <w:rFonts w:hint="eastAsia" w:ascii="宋体" w:hAnsi="宋体" w:eastAsia="宋体" w:cs="宋体"/>
          <w:color w:val="auto"/>
          <w:sz w:val="24"/>
          <w:highlight w:val="none"/>
        </w:rPr>
      </w:pPr>
      <w:r>
        <w:rPr>
          <w:rFonts w:hint="eastAsia" w:ascii="宋体" w:hAnsi="宋体" w:eastAsia="宋体" w:cs="宋体"/>
          <w:b/>
          <w:color w:val="auto"/>
          <w:sz w:val="24"/>
          <w:highlight w:val="none"/>
        </w:rPr>
        <w:t>注：</w:t>
      </w:r>
      <w:r>
        <w:rPr>
          <w:rFonts w:hint="eastAsia" w:ascii="宋体" w:hAnsi="宋体" w:eastAsia="宋体" w:cs="宋体"/>
          <w:color w:val="auto"/>
          <w:sz w:val="24"/>
          <w:highlight w:val="none"/>
        </w:rPr>
        <w:t>自然人参与竞争性磋商的无需提供，联合体参与竞争性磋商的只需牵头人出具。</w:t>
      </w:r>
    </w:p>
    <w:p w14:paraId="7AA482F3">
      <w:pPr>
        <w:adjustRightInd w:val="0"/>
        <w:snapToGrid w:val="0"/>
        <w:spacing w:line="300" w:lineRule="auto"/>
        <w:jc w:val="left"/>
        <w:outlineLvl w:val="9"/>
        <w:rPr>
          <w:rFonts w:hint="eastAsia" w:ascii="宋体" w:hAnsi="宋体" w:eastAsia="宋体" w:cs="宋体"/>
          <w:b/>
          <w:color w:val="auto"/>
          <w:szCs w:val="21"/>
          <w:highlight w:val="none"/>
        </w:rPr>
      </w:pPr>
    </w:p>
    <w:p w14:paraId="57741160">
      <w:pPr>
        <w:spacing w:line="500" w:lineRule="exact"/>
        <w:jc w:val="center"/>
        <w:outlineLvl w:val="9"/>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br w:type="page"/>
      </w:r>
      <w:r>
        <w:rPr>
          <w:rFonts w:hint="eastAsia" w:ascii="宋体" w:hAnsi="宋体" w:eastAsia="宋体" w:cs="宋体"/>
          <w:color w:val="auto"/>
          <w:sz w:val="44"/>
          <w:szCs w:val="44"/>
          <w:highlight w:val="none"/>
        </w:rPr>
        <w:t xml:space="preserve"> </w:t>
      </w:r>
    </w:p>
    <w:p w14:paraId="0E2D3287">
      <w:pPr>
        <w:jc w:val="center"/>
        <w:outlineLvl w:val="9"/>
        <w:rPr>
          <w:rFonts w:hint="eastAsia" w:ascii="宋体" w:hAnsi="宋体" w:eastAsia="宋体" w:cs="宋体"/>
          <w:b/>
          <w:color w:val="auto"/>
          <w:sz w:val="44"/>
          <w:szCs w:val="44"/>
          <w:highlight w:val="none"/>
        </w:rPr>
      </w:pPr>
      <w:bookmarkStart w:id="44" w:name="_Hlk65853643"/>
      <w:r>
        <w:rPr>
          <w:rFonts w:hint="eastAsia" w:ascii="宋体" w:hAnsi="宋体" w:eastAsia="宋体" w:cs="宋体"/>
          <w:b/>
          <w:color w:val="auto"/>
          <w:sz w:val="44"/>
          <w:szCs w:val="44"/>
          <w:highlight w:val="none"/>
        </w:rPr>
        <w:t>授权委托书</w:t>
      </w:r>
    </w:p>
    <w:p w14:paraId="0ECB4B51">
      <w:pPr>
        <w:jc w:val="center"/>
        <w:outlineLvl w:val="9"/>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（非联合体参与竞争性磋商格式）</w:t>
      </w:r>
    </w:p>
    <w:p w14:paraId="371F4E1C">
      <w:pPr>
        <w:jc w:val="center"/>
        <w:outlineLvl w:val="9"/>
        <w:rPr>
          <w:rFonts w:hint="eastAsia" w:ascii="宋体" w:hAnsi="宋体" w:eastAsia="宋体" w:cs="宋体"/>
          <w:color w:val="auto"/>
          <w:sz w:val="44"/>
          <w:szCs w:val="44"/>
          <w:highlight w:val="none"/>
        </w:rPr>
      </w:pPr>
      <w:r>
        <w:rPr>
          <w:rFonts w:hint="eastAsia" w:ascii="宋体" w:hAnsi="宋体" w:eastAsia="宋体" w:cs="宋体"/>
          <w:color w:val="auto"/>
          <w:sz w:val="32"/>
          <w:szCs w:val="32"/>
          <w:highlight w:val="none"/>
        </w:rPr>
        <w:t>（如有委托时）</w:t>
      </w:r>
    </w:p>
    <w:p w14:paraId="62276F7B">
      <w:pPr>
        <w:spacing w:line="520" w:lineRule="exact"/>
        <w:outlineLvl w:val="9"/>
        <w:rPr>
          <w:rFonts w:hint="eastAsia" w:ascii="宋体" w:hAnsi="宋体" w:eastAsia="宋体" w:cs="宋体"/>
          <w:color w:val="auto"/>
          <w:sz w:val="32"/>
          <w:szCs w:val="32"/>
          <w:highlight w:val="none"/>
        </w:rPr>
      </w:pPr>
    </w:p>
    <w:p w14:paraId="7DC7166C">
      <w:pPr>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（采购人名称）</w:t>
      </w:r>
      <w:r>
        <w:rPr>
          <w:rFonts w:hint="eastAsia" w:ascii="宋体" w:hAnsi="宋体" w:eastAsia="宋体" w:cs="宋体"/>
          <w:color w:val="auto"/>
          <w:sz w:val="24"/>
          <w:highlight w:val="none"/>
        </w:rPr>
        <w:t>：</w:t>
      </w:r>
    </w:p>
    <w:p w14:paraId="748D098C">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我</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  （供应商名称）  </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法定代表人/负责人/自然人本人</w:t>
      </w:r>
      <w:r>
        <w:rPr>
          <w:rFonts w:hint="eastAsia" w:ascii="宋体" w:hAnsi="宋体" w:eastAsia="宋体" w:cs="宋体"/>
          <w:color w:val="auto"/>
          <w:sz w:val="24"/>
          <w:highlight w:val="none"/>
        </w:rPr>
        <w:t>），现授权</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以我方的名义参加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项目的竞争性磋商活动，并代表我方全权办理针对上述项目的所有采购程序和环节的具体事务和签署相关文件。</w:t>
      </w:r>
    </w:p>
    <w:p w14:paraId="62AE0893">
      <w:pPr>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我方对委托代理人的签字事项负全部责任。</w:t>
      </w:r>
    </w:p>
    <w:p w14:paraId="704F0C7C">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本授权书自签署之日起生效，在撤销授权的书面通知以前，本授权书一直有效。委托代理人在授权书有效期内签署的所有文件不因授权的撤销而失效。</w:t>
      </w:r>
    </w:p>
    <w:p w14:paraId="10A2420A">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委托代理人无转委托权，特此委托。</w:t>
      </w:r>
    </w:p>
    <w:p w14:paraId="527FF325">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附：委托代理人有效身份证正反面复印件</w:t>
      </w:r>
    </w:p>
    <w:p w14:paraId="63E029EB">
      <w:pPr>
        <w:spacing w:line="360" w:lineRule="auto"/>
        <w:outlineLvl w:val="9"/>
        <w:rPr>
          <w:rFonts w:hint="eastAsia" w:ascii="宋体" w:hAnsi="宋体" w:eastAsia="宋体" w:cs="宋体"/>
          <w:color w:val="auto"/>
          <w:sz w:val="24"/>
          <w:highlight w:val="none"/>
        </w:rPr>
      </w:pPr>
    </w:p>
    <w:p w14:paraId="163B0A77">
      <w:pPr>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委托代理人（签字）：</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法定代表人（签字）：</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55F868A3">
      <w:pPr>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委托代理人身份证号码：</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5F3D2261">
      <w:pPr>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031ACDC2">
      <w:pPr>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供应商（公章）：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6F350066">
      <w:pPr>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77DC61EE">
      <w:pPr>
        <w:spacing w:line="360" w:lineRule="auto"/>
        <w:outlineLvl w:val="9"/>
        <w:rPr>
          <w:rFonts w:hint="eastAsia" w:ascii="宋体" w:hAnsi="宋体" w:eastAsia="宋体" w:cs="宋体"/>
          <w:color w:val="auto"/>
          <w:sz w:val="24"/>
          <w:highlight w:val="none"/>
        </w:rPr>
      </w:pPr>
    </w:p>
    <w:p w14:paraId="42A1F0EE">
      <w:pPr>
        <w:spacing w:line="360" w:lineRule="auto"/>
        <w:outlineLvl w:val="9"/>
        <w:rPr>
          <w:rFonts w:hint="eastAsia" w:ascii="宋体" w:hAnsi="宋体" w:eastAsia="宋体" w:cs="宋体"/>
          <w:color w:val="auto"/>
          <w:sz w:val="24"/>
          <w:highlight w:val="none"/>
        </w:rPr>
      </w:pPr>
      <w:r>
        <w:rPr>
          <w:rFonts w:hint="eastAsia" w:ascii="宋体" w:hAnsi="宋体" w:eastAsia="宋体" w:cs="宋体"/>
          <w:b/>
          <w:color w:val="auto"/>
          <w:sz w:val="24"/>
          <w:highlight w:val="none"/>
        </w:rPr>
        <w:t>注：</w:t>
      </w:r>
      <w:r>
        <w:rPr>
          <w:rFonts w:hint="eastAsia" w:ascii="宋体" w:hAnsi="宋体" w:eastAsia="宋体" w:cs="宋体"/>
          <w:color w:val="auto"/>
          <w:sz w:val="24"/>
          <w:highlight w:val="none"/>
        </w:rPr>
        <w:t>1.法定代表人必须在授权委托书上亲笔签字，委托代理人必须在授权委托书上亲笔签字，</w:t>
      </w:r>
      <w:r>
        <w:rPr>
          <w:rFonts w:hint="eastAsia" w:ascii="宋体" w:hAnsi="宋体" w:eastAsia="宋体" w:cs="宋体"/>
          <w:b/>
          <w:color w:val="auto"/>
          <w:sz w:val="24"/>
          <w:highlight w:val="none"/>
        </w:rPr>
        <w:t>否则其响应文件按无效响应处理。</w:t>
      </w:r>
    </w:p>
    <w:p w14:paraId="5FCA5DF3">
      <w:pPr>
        <w:spacing w:line="360" w:lineRule="auto"/>
        <w:ind w:firstLine="480" w:firstLineChars="200"/>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bookmarkStart w:id="45" w:name="_Hlk65853109"/>
      <w:bookmarkStart w:id="46" w:name="_Hlk65853542"/>
      <w:r>
        <w:rPr>
          <w:rFonts w:hint="eastAsia" w:ascii="宋体" w:hAnsi="宋体" w:eastAsia="宋体" w:cs="宋体"/>
          <w:color w:val="auto"/>
          <w:sz w:val="24"/>
          <w:highlight w:val="none"/>
        </w:rPr>
        <w:t>法人、其他组织参与竞争性磋商时“我方”是指“我单位”，自然人参与竞争性磋商时“我方”是指“本人”。</w:t>
      </w:r>
      <w:bookmarkEnd w:id="45"/>
    </w:p>
    <w:bookmarkEnd w:id="46"/>
    <w:p w14:paraId="5CBF33B7">
      <w:pPr>
        <w:spacing w:line="360" w:lineRule="auto"/>
        <w:ind w:firstLine="420" w:firstLineChars="200"/>
        <w:jc w:val="left"/>
        <w:outlineLvl w:val="9"/>
        <w:rPr>
          <w:rFonts w:hint="eastAsia" w:ascii="宋体" w:hAnsi="宋体" w:eastAsia="宋体" w:cs="宋体"/>
          <w:color w:val="auto"/>
          <w:szCs w:val="21"/>
          <w:highlight w:val="none"/>
        </w:rPr>
      </w:pPr>
    </w:p>
    <w:p w14:paraId="410E3F03">
      <w:pPr>
        <w:jc w:val="center"/>
        <w:outlineLvl w:val="9"/>
        <w:rPr>
          <w:rFonts w:hint="eastAsia" w:ascii="宋体" w:hAnsi="宋体" w:eastAsia="宋体" w:cs="宋体"/>
          <w:b/>
          <w:color w:val="auto"/>
          <w:sz w:val="44"/>
          <w:szCs w:val="44"/>
          <w:highlight w:val="none"/>
        </w:rPr>
      </w:pPr>
      <w:r>
        <w:rPr>
          <w:rFonts w:hint="eastAsia" w:ascii="宋体" w:hAnsi="宋体" w:eastAsia="宋体" w:cs="宋体"/>
          <w:color w:val="auto"/>
          <w:szCs w:val="21"/>
          <w:highlight w:val="none"/>
        </w:rPr>
        <w:br w:type="page"/>
      </w:r>
      <w:r>
        <w:rPr>
          <w:rFonts w:hint="eastAsia" w:ascii="宋体" w:hAnsi="宋体" w:eastAsia="宋体" w:cs="宋体"/>
          <w:b/>
          <w:color w:val="auto"/>
          <w:sz w:val="44"/>
          <w:szCs w:val="44"/>
          <w:highlight w:val="none"/>
        </w:rPr>
        <w:t>授权委托书</w:t>
      </w:r>
    </w:p>
    <w:p w14:paraId="7D35ABD2">
      <w:pPr>
        <w:jc w:val="center"/>
        <w:outlineLvl w:val="9"/>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（联合体参与竞争性磋商格式）</w:t>
      </w:r>
    </w:p>
    <w:p w14:paraId="21454777">
      <w:pPr>
        <w:jc w:val="center"/>
        <w:outlineLvl w:val="9"/>
        <w:rPr>
          <w:rFonts w:hint="eastAsia" w:ascii="宋体" w:hAnsi="宋体" w:eastAsia="宋体" w:cs="宋体"/>
          <w:color w:val="auto"/>
          <w:sz w:val="44"/>
          <w:szCs w:val="44"/>
          <w:highlight w:val="none"/>
        </w:rPr>
      </w:pPr>
      <w:r>
        <w:rPr>
          <w:rFonts w:hint="eastAsia" w:ascii="宋体" w:hAnsi="宋体" w:eastAsia="宋体" w:cs="宋体"/>
          <w:color w:val="auto"/>
          <w:sz w:val="32"/>
          <w:szCs w:val="32"/>
          <w:highlight w:val="none"/>
        </w:rPr>
        <w:t>（如有委托时）</w:t>
      </w:r>
    </w:p>
    <w:p w14:paraId="6F625F2A">
      <w:pPr>
        <w:spacing w:line="500" w:lineRule="exact"/>
        <w:jc w:val="center"/>
        <w:outlineLvl w:val="9"/>
        <w:rPr>
          <w:rFonts w:hint="eastAsia" w:ascii="宋体" w:hAnsi="宋体" w:eastAsia="宋体" w:cs="宋体"/>
          <w:color w:val="auto"/>
          <w:sz w:val="44"/>
          <w:szCs w:val="44"/>
          <w:highlight w:val="none"/>
        </w:rPr>
      </w:pPr>
    </w:p>
    <w:p w14:paraId="53524471">
      <w:pPr>
        <w:spacing w:line="500" w:lineRule="exact"/>
        <w:jc w:val="center"/>
        <w:outlineLvl w:val="9"/>
        <w:rPr>
          <w:rFonts w:hint="eastAsia" w:ascii="宋体" w:hAnsi="宋体" w:eastAsia="宋体" w:cs="宋体"/>
          <w:color w:val="auto"/>
          <w:sz w:val="32"/>
          <w:szCs w:val="32"/>
          <w:highlight w:val="none"/>
        </w:rPr>
      </w:pPr>
    </w:p>
    <w:p w14:paraId="6CE372D8">
      <w:pPr>
        <w:spacing w:line="360" w:lineRule="auto"/>
        <w:ind w:firstLine="480" w:firstLineChars="200"/>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本授权委托书声明：根据</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（牵头人名称）与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（联合体其他成员名称）签订的《联合体参与竞争性磋商协议书》的内容，</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（牵头人名称）的法定代表人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（姓名）现授权</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（姓名）为联合委托代理人，并代表我方全权办理针对上述项目的所有采购程序和环节的具体事务和签署相关文件。</w:t>
      </w:r>
    </w:p>
    <w:p w14:paraId="35F31E7C">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我方对委托代理人的签字事项负全部责任。</w:t>
      </w:r>
    </w:p>
    <w:p w14:paraId="6E4ECA11">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本授权书自签署之日起生效，在撤销授权的书面通知以前，本授权书一直有效。委托代理人在授权书有效期内签署的所有文件不因授权的撤销而失效。</w:t>
      </w:r>
    </w:p>
    <w:p w14:paraId="44F49B33">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委托代理人无转委托权，特此委托。</w:t>
      </w:r>
    </w:p>
    <w:p w14:paraId="1D85AF35">
      <w:pPr>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附：法定代表人身份证明及委托代理人有效身份证正反面复印件</w:t>
      </w:r>
    </w:p>
    <w:p w14:paraId="633EF81C">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牵头人法定代表人（签字或者盖章）：</w:t>
      </w:r>
    </w:p>
    <w:p w14:paraId="28D4D752">
      <w:pPr>
        <w:spacing w:line="360" w:lineRule="auto"/>
        <w:ind w:firstLine="3120" w:firstLineChars="1300"/>
        <w:outlineLvl w:val="9"/>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牵头人（公章）：</w:t>
      </w:r>
      <w:r>
        <w:rPr>
          <w:rFonts w:hint="eastAsia" w:ascii="宋体" w:hAnsi="宋体" w:eastAsia="宋体" w:cs="宋体"/>
          <w:color w:val="auto"/>
          <w:sz w:val="24"/>
          <w:highlight w:val="none"/>
          <w:u w:val="single"/>
        </w:rPr>
        <w:t xml:space="preserve">                </w:t>
      </w:r>
    </w:p>
    <w:p w14:paraId="392A7141">
      <w:pPr>
        <w:spacing w:line="360" w:lineRule="auto"/>
        <w:ind w:firstLine="3840" w:firstLineChars="16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74401B30">
      <w:pPr>
        <w:spacing w:line="360" w:lineRule="auto"/>
        <w:outlineLvl w:val="9"/>
        <w:rPr>
          <w:rFonts w:hint="eastAsia" w:ascii="宋体" w:hAnsi="宋体" w:eastAsia="宋体" w:cs="宋体"/>
          <w:color w:val="auto"/>
          <w:sz w:val="24"/>
          <w:highlight w:val="none"/>
        </w:rPr>
      </w:pPr>
    </w:p>
    <w:p w14:paraId="2DF6206B">
      <w:pPr>
        <w:spacing w:line="360" w:lineRule="auto"/>
        <w:ind w:firstLine="3120" w:firstLineChars="1300"/>
        <w:outlineLvl w:val="9"/>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被授权人（签字）：</w:t>
      </w:r>
      <w:r>
        <w:rPr>
          <w:rFonts w:hint="eastAsia" w:ascii="宋体" w:hAnsi="宋体" w:eastAsia="宋体" w:cs="宋体"/>
          <w:color w:val="auto"/>
          <w:sz w:val="24"/>
          <w:highlight w:val="none"/>
          <w:u w:val="single"/>
        </w:rPr>
        <w:t xml:space="preserve">                   </w:t>
      </w:r>
    </w:p>
    <w:p w14:paraId="60803B91">
      <w:pPr>
        <w:spacing w:line="360" w:lineRule="auto"/>
        <w:ind w:firstLine="3840" w:firstLineChars="16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3631D0BF">
      <w:pPr>
        <w:spacing w:line="360" w:lineRule="auto"/>
        <w:outlineLvl w:val="9"/>
        <w:rPr>
          <w:rFonts w:hint="eastAsia" w:ascii="宋体" w:hAnsi="宋体" w:eastAsia="宋体" w:cs="宋体"/>
          <w:color w:val="auto"/>
          <w:sz w:val="24"/>
          <w:highlight w:val="none"/>
        </w:rPr>
      </w:pPr>
    </w:p>
    <w:p w14:paraId="7D5A9502">
      <w:pPr>
        <w:spacing w:line="360" w:lineRule="auto"/>
        <w:outlineLvl w:val="9"/>
        <w:rPr>
          <w:rFonts w:hint="eastAsia" w:ascii="宋体" w:hAnsi="宋体" w:eastAsia="宋体" w:cs="宋体"/>
          <w:color w:val="auto"/>
          <w:sz w:val="24"/>
          <w:highlight w:val="none"/>
        </w:rPr>
      </w:pPr>
      <w:r>
        <w:rPr>
          <w:rFonts w:hint="eastAsia" w:ascii="宋体" w:hAnsi="宋体" w:eastAsia="宋体" w:cs="宋体"/>
          <w:b/>
          <w:color w:val="auto"/>
          <w:sz w:val="24"/>
          <w:highlight w:val="none"/>
        </w:rPr>
        <w:t>注：</w:t>
      </w:r>
      <w:r>
        <w:rPr>
          <w:rFonts w:hint="eastAsia" w:ascii="宋体" w:hAnsi="宋体" w:eastAsia="宋体" w:cs="宋体"/>
          <w:color w:val="auto"/>
          <w:sz w:val="24"/>
          <w:highlight w:val="none"/>
        </w:rPr>
        <w:t>1.法定代表人必须在授权委托书上亲笔签字，委托代理人必须在授权委托书上亲笔签字，</w:t>
      </w:r>
      <w:r>
        <w:rPr>
          <w:rFonts w:hint="eastAsia" w:ascii="宋体" w:hAnsi="宋体" w:eastAsia="宋体" w:cs="宋体"/>
          <w:b/>
          <w:color w:val="auto"/>
          <w:sz w:val="24"/>
          <w:highlight w:val="none"/>
        </w:rPr>
        <w:t>否则其响应文件按无效响应处理。</w:t>
      </w:r>
    </w:p>
    <w:p w14:paraId="437D07A9">
      <w:pPr>
        <w:spacing w:line="360" w:lineRule="auto"/>
        <w:ind w:firstLine="480" w:firstLineChars="200"/>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2.本授权委托书应由联合体牵头人的法定代表人按上述规定签署。</w:t>
      </w:r>
    </w:p>
    <w:p w14:paraId="1707DD6F">
      <w:pPr>
        <w:spacing w:line="360" w:lineRule="auto"/>
        <w:ind w:firstLine="480" w:firstLineChars="200"/>
        <w:jc w:val="left"/>
        <w:outlineLvl w:val="9"/>
        <w:rPr>
          <w:rFonts w:hint="eastAsia" w:ascii="宋体" w:hAnsi="宋体" w:eastAsia="宋体" w:cs="宋体"/>
          <w:color w:val="auto"/>
          <w:spacing w:val="-11"/>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pacing w:val="-11"/>
          <w:sz w:val="24"/>
          <w:highlight w:val="none"/>
        </w:rPr>
        <w:t>法人、其他组织</w:t>
      </w:r>
      <w:r>
        <w:rPr>
          <w:rFonts w:hint="eastAsia" w:ascii="宋体" w:hAnsi="宋体" w:eastAsia="宋体" w:cs="宋体"/>
          <w:color w:val="auto"/>
          <w:sz w:val="24"/>
          <w:highlight w:val="none"/>
        </w:rPr>
        <w:t>参与竞争性磋商</w:t>
      </w:r>
      <w:r>
        <w:rPr>
          <w:rFonts w:hint="eastAsia" w:ascii="宋体" w:hAnsi="宋体" w:eastAsia="宋体" w:cs="宋体"/>
          <w:color w:val="auto"/>
          <w:spacing w:val="-11"/>
          <w:sz w:val="24"/>
          <w:highlight w:val="none"/>
        </w:rPr>
        <w:t>时“我方”是指“我单位”，自然人</w:t>
      </w:r>
      <w:r>
        <w:rPr>
          <w:rFonts w:hint="eastAsia" w:ascii="宋体" w:hAnsi="宋体" w:eastAsia="宋体" w:cs="宋体"/>
          <w:color w:val="auto"/>
          <w:sz w:val="24"/>
          <w:highlight w:val="none"/>
        </w:rPr>
        <w:t>参与竞争性磋商</w:t>
      </w:r>
      <w:r>
        <w:rPr>
          <w:rFonts w:hint="eastAsia" w:ascii="宋体" w:hAnsi="宋体" w:eastAsia="宋体" w:cs="宋体"/>
          <w:color w:val="auto"/>
          <w:spacing w:val="-11"/>
          <w:sz w:val="24"/>
          <w:highlight w:val="none"/>
        </w:rPr>
        <w:t>时“我方”是指“本人”。</w:t>
      </w:r>
    </w:p>
    <w:bookmarkEnd w:id="44"/>
    <w:p w14:paraId="4DFDA625">
      <w:pPr>
        <w:jc w:val="center"/>
        <w:outlineLvl w:val="9"/>
        <w:rPr>
          <w:rFonts w:hint="eastAsia" w:ascii="宋体" w:hAnsi="宋体" w:eastAsia="宋体" w:cs="宋体"/>
          <w:bCs/>
          <w:color w:val="auto"/>
          <w:sz w:val="44"/>
          <w:szCs w:val="44"/>
          <w:highlight w:val="none"/>
        </w:rPr>
      </w:pPr>
      <w:r>
        <w:rPr>
          <w:rFonts w:hint="eastAsia" w:ascii="宋体" w:hAnsi="宋体" w:eastAsia="宋体" w:cs="宋体"/>
          <w:color w:val="auto"/>
          <w:sz w:val="32"/>
          <w:szCs w:val="32"/>
          <w:highlight w:val="none"/>
        </w:rPr>
        <w:br w:type="page"/>
      </w:r>
      <w:r>
        <w:rPr>
          <w:rFonts w:hint="eastAsia" w:ascii="宋体" w:hAnsi="宋体" w:eastAsia="宋体" w:cs="宋体"/>
          <w:b/>
          <w:bCs/>
          <w:color w:val="auto"/>
          <w:sz w:val="44"/>
          <w:szCs w:val="44"/>
          <w:highlight w:val="none"/>
        </w:rPr>
        <w:t>商务要求偏离表</w:t>
      </w:r>
      <w:r>
        <w:rPr>
          <w:rFonts w:hint="eastAsia" w:ascii="宋体" w:hAnsi="宋体" w:eastAsia="宋体" w:cs="宋体"/>
          <w:bCs/>
          <w:color w:val="auto"/>
          <w:sz w:val="44"/>
          <w:szCs w:val="44"/>
          <w:highlight w:val="none"/>
        </w:rPr>
        <w:t>（格式）</w:t>
      </w:r>
    </w:p>
    <w:p w14:paraId="1E660942">
      <w:pPr>
        <w:jc w:val="center"/>
        <w:outlineLvl w:val="9"/>
        <w:rPr>
          <w:rFonts w:hint="eastAsia" w:ascii="宋体" w:hAnsi="宋体" w:eastAsia="宋体" w:cs="宋体"/>
          <w:bCs/>
          <w:color w:val="auto"/>
          <w:sz w:val="36"/>
          <w:szCs w:val="36"/>
          <w:highlight w:val="none"/>
        </w:rPr>
      </w:pPr>
      <w:r>
        <w:rPr>
          <w:rFonts w:hint="eastAsia" w:ascii="宋体" w:hAnsi="宋体" w:eastAsia="宋体" w:cs="宋体"/>
          <w:bCs/>
          <w:color w:val="auto"/>
          <w:sz w:val="36"/>
          <w:szCs w:val="36"/>
          <w:highlight w:val="none"/>
        </w:rPr>
        <w:t>（注：按采购需求具体条款修改）</w:t>
      </w:r>
    </w:p>
    <w:p w14:paraId="51267324">
      <w:pPr>
        <w:spacing w:line="360" w:lineRule="auto"/>
        <w:contextualSpacing/>
        <w:jc w:val="left"/>
        <w:outlineLvl w:val="9"/>
        <w:rPr>
          <w:rFonts w:hint="eastAsia" w:ascii="宋体" w:hAnsi="宋体" w:eastAsia="宋体" w:cs="宋体"/>
          <w:color w:val="auto"/>
          <w:sz w:val="24"/>
          <w:highlight w:val="none"/>
        </w:rPr>
      </w:pPr>
    </w:p>
    <w:p w14:paraId="46A4D5CD">
      <w:pPr>
        <w:spacing w:line="360" w:lineRule="auto"/>
        <w:contextualSpacing/>
        <w:outlineLvl w:val="9"/>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采购项目编号：</w:t>
      </w:r>
      <w:r>
        <w:rPr>
          <w:rFonts w:hint="eastAsia" w:ascii="宋体" w:hAnsi="宋体" w:eastAsia="宋体" w:cs="宋体"/>
          <w:color w:val="auto"/>
          <w:sz w:val="24"/>
          <w:highlight w:val="none"/>
          <w:u w:val="single"/>
        </w:rPr>
        <w:t xml:space="preserve">                 </w:t>
      </w:r>
    </w:p>
    <w:p w14:paraId="1961C121">
      <w:pPr>
        <w:spacing w:line="360" w:lineRule="auto"/>
        <w:contextualSpacing/>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采购项目名称：</w:t>
      </w:r>
      <w:r>
        <w:rPr>
          <w:rFonts w:hint="eastAsia" w:ascii="宋体" w:hAnsi="宋体" w:eastAsia="宋体" w:cs="宋体"/>
          <w:color w:val="auto"/>
          <w:sz w:val="24"/>
          <w:highlight w:val="none"/>
          <w:u w:val="single"/>
        </w:rPr>
        <w:t xml:space="preserve">                 </w:t>
      </w:r>
    </w:p>
    <w:p w14:paraId="3A632FE1">
      <w:pPr>
        <w:spacing w:line="360" w:lineRule="auto"/>
        <w:contextualSpacing/>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分标号：</w:t>
      </w:r>
      <w:r>
        <w:rPr>
          <w:rFonts w:hint="eastAsia" w:ascii="宋体" w:hAnsi="宋体" w:eastAsia="宋体" w:cs="宋体"/>
          <w:color w:val="auto"/>
          <w:sz w:val="24"/>
          <w:highlight w:val="none"/>
          <w:u w:val="single"/>
        </w:rPr>
        <w:t xml:space="preserve">                       </w:t>
      </w:r>
    </w:p>
    <w:p w14:paraId="727ABFF7">
      <w:pPr>
        <w:spacing w:line="360" w:lineRule="auto"/>
        <w:contextualSpacing/>
        <w:jc w:val="left"/>
        <w:outlineLvl w:val="9"/>
        <w:rPr>
          <w:rFonts w:hint="eastAsia" w:ascii="宋体" w:hAnsi="宋体" w:eastAsia="宋体" w:cs="宋体"/>
          <w:color w:val="auto"/>
          <w:sz w:val="24"/>
          <w:highlight w:val="none"/>
          <w:u w:val="single"/>
        </w:rPr>
      </w:pPr>
    </w:p>
    <w:tbl>
      <w:tblPr>
        <w:tblStyle w:val="29"/>
        <w:tblpPr w:leftFromText="180" w:rightFromText="180" w:vertAnchor="text" w:horzAnchor="margin" w:tblpY="-9"/>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78"/>
        <w:gridCol w:w="2668"/>
        <w:gridCol w:w="2350"/>
        <w:gridCol w:w="2112"/>
      </w:tblGrid>
      <w:tr w14:paraId="73972F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2178" w:type="dxa"/>
            <w:tcBorders>
              <w:top w:val="single" w:color="auto" w:sz="4" w:space="0"/>
              <w:left w:val="single" w:color="auto" w:sz="4" w:space="0"/>
              <w:bottom w:val="single" w:color="auto" w:sz="4" w:space="0"/>
              <w:right w:val="single" w:color="auto" w:sz="4" w:space="0"/>
            </w:tcBorders>
            <w:vAlign w:val="center"/>
          </w:tcPr>
          <w:p w14:paraId="2F2A6032">
            <w:pPr>
              <w:spacing w:line="360" w:lineRule="auto"/>
              <w:contextualSpacing/>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项目</w:t>
            </w:r>
          </w:p>
        </w:tc>
        <w:tc>
          <w:tcPr>
            <w:tcW w:w="2668" w:type="dxa"/>
            <w:tcBorders>
              <w:top w:val="single" w:color="auto" w:sz="4" w:space="0"/>
              <w:left w:val="single" w:color="auto" w:sz="4" w:space="0"/>
              <w:bottom w:val="single" w:color="auto" w:sz="4" w:space="0"/>
              <w:right w:val="single" w:color="auto" w:sz="4" w:space="0"/>
            </w:tcBorders>
            <w:vAlign w:val="center"/>
          </w:tcPr>
          <w:p w14:paraId="3347039D">
            <w:pPr>
              <w:spacing w:line="360" w:lineRule="auto"/>
              <w:contextualSpacing/>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磋商文件商务要求</w:t>
            </w:r>
          </w:p>
        </w:tc>
        <w:tc>
          <w:tcPr>
            <w:tcW w:w="2350" w:type="dxa"/>
            <w:tcBorders>
              <w:top w:val="single" w:color="auto" w:sz="4" w:space="0"/>
              <w:left w:val="single" w:color="auto" w:sz="4" w:space="0"/>
              <w:bottom w:val="single" w:color="auto" w:sz="4" w:space="0"/>
              <w:right w:val="single" w:color="auto" w:sz="4" w:space="0"/>
            </w:tcBorders>
            <w:vAlign w:val="center"/>
          </w:tcPr>
          <w:p w14:paraId="366C29C4">
            <w:pPr>
              <w:spacing w:line="360" w:lineRule="auto"/>
              <w:contextualSpacing/>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供应商的响应</w:t>
            </w:r>
          </w:p>
        </w:tc>
        <w:tc>
          <w:tcPr>
            <w:tcW w:w="2112" w:type="dxa"/>
            <w:tcBorders>
              <w:top w:val="single" w:color="auto" w:sz="4" w:space="0"/>
              <w:left w:val="single" w:color="auto" w:sz="4" w:space="0"/>
              <w:bottom w:val="single" w:color="auto" w:sz="4" w:space="0"/>
              <w:right w:val="single" w:color="auto" w:sz="4" w:space="0"/>
            </w:tcBorders>
            <w:vAlign w:val="center"/>
          </w:tcPr>
          <w:p w14:paraId="13699E02">
            <w:pPr>
              <w:spacing w:line="360" w:lineRule="auto"/>
              <w:contextualSpacing/>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偏离说明</w:t>
            </w:r>
          </w:p>
        </w:tc>
      </w:tr>
      <w:tr w14:paraId="5FAD9F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2178" w:type="dxa"/>
            <w:tcBorders>
              <w:top w:val="single" w:color="auto" w:sz="4" w:space="0"/>
              <w:left w:val="single" w:color="auto" w:sz="4" w:space="0"/>
              <w:bottom w:val="single" w:color="auto" w:sz="4" w:space="0"/>
              <w:right w:val="single" w:color="auto" w:sz="4" w:space="0"/>
            </w:tcBorders>
            <w:vAlign w:val="center"/>
          </w:tcPr>
          <w:p w14:paraId="1882E76D">
            <w:pPr>
              <w:jc w:val="center"/>
              <w:outlineLvl w:val="9"/>
              <w:rPr>
                <w:rFonts w:hint="eastAsia" w:ascii="宋体" w:hAnsi="宋体" w:eastAsia="宋体" w:cs="宋体"/>
                <w:color w:val="auto"/>
                <w:sz w:val="24"/>
                <w:highlight w:val="none"/>
              </w:rPr>
            </w:pPr>
          </w:p>
        </w:tc>
        <w:tc>
          <w:tcPr>
            <w:tcW w:w="2668" w:type="dxa"/>
            <w:tcBorders>
              <w:top w:val="single" w:color="auto" w:sz="4" w:space="0"/>
              <w:left w:val="single" w:color="auto" w:sz="4" w:space="0"/>
              <w:bottom w:val="single" w:color="auto" w:sz="4" w:space="0"/>
              <w:right w:val="single" w:color="auto" w:sz="4" w:space="0"/>
            </w:tcBorders>
            <w:vAlign w:val="center"/>
          </w:tcPr>
          <w:p w14:paraId="16F1543E">
            <w:pPr>
              <w:spacing w:line="360" w:lineRule="auto"/>
              <w:contextualSpacing/>
              <w:jc w:val="center"/>
              <w:outlineLvl w:val="9"/>
              <w:rPr>
                <w:rFonts w:hint="eastAsia" w:ascii="宋体" w:hAnsi="宋体" w:eastAsia="宋体" w:cs="宋体"/>
                <w:color w:val="auto"/>
                <w:sz w:val="24"/>
                <w:highlight w:val="none"/>
              </w:rPr>
            </w:pPr>
          </w:p>
        </w:tc>
        <w:tc>
          <w:tcPr>
            <w:tcW w:w="2350" w:type="dxa"/>
            <w:tcBorders>
              <w:top w:val="single" w:color="auto" w:sz="4" w:space="0"/>
              <w:left w:val="single" w:color="auto" w:sz="4" w:space="0"/>
              <w:bottom w:val="single" w:color="auto" w:sz="4" w:space="0"/>
              <w:right w:val="single" w:color="auto" w:sz="4" w:space="0"/>
            </w:tcBorders>
            <w:vAlign w:val="center"/>
          </w:tcPr>
          <w:p w14:paraId="229184C0">
            <w:pPr>
              <w:spacing w:line="360" w:lineRule="auto"/>
              <w:contextualSpacing/>
              <w:jc w:val="center"/>
              <w:outlineLvl w:val="9"/>
              <w:rPr>
                <w:rFonts w:hint="eastAsia" w:ascii="宋体" w:hAnsi="宋体" w:eastAsia="宋体" w:cs="宋体"/>
                <w:color w:val="auto"/>
                <w:sz w:val="24"/>
                <w:highlight w:val="none"/>
              </w:rPr>
            </w:pPr>
          </w:p>
        </w:tc>
        <w:tc>
          <w:tcPr>
            <w:tcW w:w="2112" w:type="dxa"/>
            <w:tcBorders>
              <w:top w:val="single" w:color="auto" w:sz="4" w:space="0"/>
              <w:left w:val="single" w:color="auto" w:sz="4" w:space="0"/>
              <w:bottom w:val="single" w:color="auto" w:sz="4" w:space="0"/>
              <w:right w:val="single" w:color="auto" w:sz="4" w:space="0"/>
            </w:tcBorders>
            <w:vAlign w:val="center"/>
          </w:tcPr>
          <w:p w14:paraId="68E7F0F2">
            <w:pPr>
              <w:spacing w:line="360" w:lineRule="auto"/>
              <w:contextualSpacing/>
              <w:jc w:val="center"/>
              <w:outlineLvl w:val="9"/>
              <w:rPr>
                <w:rFonts w:hint="eastAsia" w:ascii="宋体" w:hAnsi="宋体" w:eastAsia="宋体" w:cs="宋体"/>
                <w:color w:val="auto"/>
                <w:sz w:val="24"/>
                <w:highlight w:val="none"/>
              </w:rPr>
            </w:pPr>
          </w:p>
        </w:tc>
      </w:tr>
      <w:tr w14:paraId="55E172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178" w:type="dxa"/>
            <w:tcBorders>
              <w:top w:val="single" w:color="auto" w:sz="4" w:space="0"/>
              <w:left w:val="single" w:color="auto" w:sz="4" w:space="0"/>
              <w:bottom w:val="single" w:color="auto" w:sz="4" w:space="0"/>
              <w:right w:val="single" w:color="auto" w:sz="4" w:space="0"/>
            </w:tcBorders>
            <w:vAlign w:val="center"/>
          </w:tcPr>
          <w:p w14:paraId="1C357E81">
            <w:pPr>
              <w:jc w:val="center"/>
              <w:outlineLvl w:val="9"/>
              <w:rPr>
                <w:rFonts w:hint="eastAsia" w:ascii="宋体" w:hAnsi="宋体" w:eastAsia="宋体" w:cs="宋体"/>
                <w:color w:val="auto"/>
                <w:sz w:val="24"/>
                <w:highlight w:val="none"/>
              </w:rPr>
            </w:pPr>
          </w:p>
        </w:tc>
        <w:tc>
          <w:tcPr>
            <w:tcW w:w="2668" w:type="dxa"/>
            <w:tcBorders>
              <w:top w:val="single" w:color="auto" w:sz="4" w:space="0"/>
              <w:left w:val="single" w:color="auto" w:sz="4" w:space="0"/>
              <w:bottom w:val="single" w:color="auto" w:sz="4" w:space="0"/>
              <w:right w:val="single" w:color="auto" w:sz="4" w:space="0"/>
            </w:tcBorders>
            <w:vAlign w:val="center"/>
          </w:tcPr>
          <w:p w14:paraId="209C2592">
            <w:pPr>
              <w:spacing w:line="360" w:lineRule="auto"/>
              <w:contextualSpacing/>
              <w:jc w:val="center"/>
              <w:outlineLvl w:val="9"/>
              <w:rPr>
                <w:rFonts w:hint="eastAsia" w:ascii="宋体" w:hAnsi="宋体" w:eastAsia="宋体" w:cs="宋体"/>
                <w:color w:val="auto"/>
                <w:sz w:val="24"/>
                <w:highlight w:val="none"/>
              </w:rPr>
            </w:pPr>
          </w:p>
        </w:tc>
        <w:tc>
          <w:tcPr>
            <w:tcW w:w="2350" w:type="dxa"/>
            <w:tcBorders>
              <w:top w:val="single" w:color="auto" w:sz="4" w:space="0"/>
              <w:left w:val="single" w:color="auto" w:sz="4" w:space="0"/>
              <w:bottom w:val="single" w:color="auto" w:sz="4" w:space="0"/>
              <w:right w:val="single" w:color="auto" w:sz="4" w:space="0"/>
            </w:tcBorders>
            <w:vAlign w:val="center"/>
          </w:tcPr>
          <w:p w14:paraId="68EE91A9">
            <w:pPr>
              <w:spacing w:line="360" w:lineRule="auto"/>
              <w:ind w:left="43"/>
              <w:contextualSpacing/>
              <w:jc w:val="center"/>
              <w:outlineLvl w:val="9"/>
              <w:rPr>
                <w:rFonts w:hint="eastAsia" w:ascii="宋体" w:hAnsi="宋体" w:eastAsia="宋体" w:cs="宋体"/>
                <w:color w:val="auto"/>
                <w:sz w:val="24"/>
                <w:highlight w:val="none"/>
              </w:rPr>
            </w:pPr>
          </w:p>
        </w:tc>
        <w:tc>
          <w:tcPr>
            <w:tcW w:w="2112" w:type="dxa"/>
            <w:tcBorders>
              <w:top w:val="single" w:color="auto" w:sz="4" w:space="0"/>
              <w:left w:val="single" w:color="auto" w:sz="4" w:space="0"/>
              <w:bottom w:val="single" w:color="auto" w:sz="4" w:space="0"/>
              <w:right w:val="single" w:color="auto" w:sz="4" w:space="0"/>
            </w:tcBorders>
            <w:vAlign w:val="center"/>
          </w:tcPr>
          <w:p w14:paraId="3A110083">
            <w:pPr>
              <w:spacing w:line="360" w:lineRule="auto"/>
              <w:ind w:left="43"/>
              <w:contextualSpacing/>
              <w:jc w:val="center"/>
              <w:outlineLvl w:val="9"/>
              <w:rPr>
                <w:rFonts w:hint="eastAsia" w:ascii="宋体" w:hAnsi="宋体" w:eastAsia="宋体" w:cs="宋体"/>
                <w:color w:val="auto"/>
                <w:sz w:val="24"/>
                <w:highlight w:val="none"/>
              </w:rPr>
            </w:pPr>
          </w:p>
        </w:tc>
      </w:tr>
      <w:tr w14:paraId="33BE10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78" w:type="dxa"/>
            <w:tcBorders>
              <w:top w:val="single" w:color="auto" w:sz="4" w:space="0"/>
              <w:left w:val="single" w:color="auto" w:sz="4" w:space="0"/>
              <w:bottom w:val="single" w:color="auto" w:sz="4" w:space="0"/>
              <w:right w:val="single" w:color="auto" w:sz="4" w:space="0"/>
            </w:tcBorders>
            <w:vAlign w:val="center"/>
          </w:tcPr>
          <w:p w14:paraId="0D4EE471">
            <w:pPr>
              <w:spacing w:line="360" w:lineRule="auto"/>
              <w:contextualSpacing/>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2668" w:type="dxa"/>
            <w:tcBorders>
              <w:top w:val="single" w:color="auto" w:sz="4" w:space="0"/>
              <w:left w:val="single" w:color="auto" w:sz="4" w:space="0"/>
              <w:bottom w:val="single" w:color="auto" w:sz="4" w:space="0"/>
              <w:right w:val="single" w:color="auto" w:sz="4" w:space="0"/>
            </w:tcBorders>
            <w:vAlign w:val="center"/>
          </w:tcPr>
          <w:p w14:paraId="6997EBFC">
            <w:pPr>
              <w:spacing w:line="360" w:lineRule="auto"/>
              <w:contextualSpacing/>
              <w:jc w:val="center"/>
              <w:outlineLvl w:val="9"/>
              <w:rPr>
                <w:rFonts w:hint="eastAsia" w:ascii="宋体" w:hAnsi="宋体" w:eastAsia="宋体" w:cs="宋体"/>
                <w:color w:val="auto"/>
                <w:sz w:val="24"/>
                <w:highlight w:val="none"/>
              </w:rPr>
            </w:pPr>
          </w:p>
        </w:tc>
        <w:tc>
          <w:tcPr>
            <w:tcW w:w="2350" w:type="dxa"/>
            <w:tcBorders>
              <w:top w:val="single" w:color="auto" w:sz="4" w:space="0"/>
              <w:left w:val="single" w:color="auto" w:sz="4" w:space="0"/>
              <w:bottom w:val="single" w:color="auto" w:sz="4" w:space="0"/>
              <w:right w:val="single" w:color="auto" w:sz="4" w:space="0"/>
            </w:tcBorders>
            <w:vAlign w:val="center"/>
          </w:tcPr>
          <w:p w14:paraId="694FFFB1">
            <w:pPr>
              <w:spacing w:line="360" w:lineRule="auto"/>
              <w:contextualSpacing/>
              <w:jc w:val="center"/>
              <w:outlineLvl w:val="9"/>
              <w:rPr>
                <w:rFonts w:hint="eastAsia" w:ascii="宋体" w:hAnsi="宋体" w:eastAsia="宋体" w:cs="宋体"/>
                <w:color w:val="auto"/>
                <w:sz w:val="24"/>
                <w:highlight w:val="none"/>
              </w:rPr>
            </w:pPr>
          </w:p>
        </w:tc>
        <w:tc>
          <w:tcPr>
            <w:tcW w:w="2112" w:type="dxa"/>
            <w:tcBorders>
              <w:top w:val="single" w:color="auto" w:sz="4" w:space="0"/>
              <w:left w:val="single" w:color="auto" w:sz="4" w:space="0"/>
              <w:bottom w:val="single" w:color="auto" w:sz="4" w:space="0"/>
              <w:right w:val="single" w:color="auto" w:sz="4" w:space="0"/>
            </w:tcBorders>
            <w:vAlign w:val="center"/>
          </w:tcPr>
          <w:p w14:paraId="30FBF454">
            <w:pPr>
              <w:spacing w:line="360" w:lineRule="auto"/>
              <w:contextualSpacing/>
              <w:jc w:val="center"/>
              <w:outlineLvl w:val="9"/>
              <w:rPr>
                <w:rFonts w:hint="eastAsia" w:ascii="宋体" w:hAnsi="宋体" w:eastAsia="宋体" w:cs="宋体"/>
                <w:color w:val="auto"/>
                <w:sz w:val="24"/>
                <w:highlight w:val="none"/>
              </w:rPr>
            </w:pPr>
          </w:p>
        </w:tc>
      </w:tr>
    </w:tbl>
    <w:p w14:paraId="0110EF1B">
      <w:pPr>
        <w:pStyle w:val="12"/>
        <w:spacing w:after="0" w:line="360" w:lineRule="auto"/>
        <w:contextualSpacing/>
        <w:outlineLvl w:val="9"/>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注：</w:t>
      </w:r>
    </w:p>
    <w:p w14:paraId="0DB9725A">
      <w:pPr>
        <w:pStyle w:val="12"/>
        <w:spacing w:after="0" w:line="360" w:lineRule="auto"/>
        <w:contextualSpacing/>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1.说明：应对照磋商文件“第三章 采购需求”中的商务要求逐条作出明确响应，并作出偏离说明。</w:t>
      </w:r>
    </w:p>
    <w:p w14:paraId="2DEB928A">
      <w:pPr>
        <w:spacing w:line="360" w:lineRule="auto"/>
        <w:contextualSpacing/>
        <w:jc w:val="left"/>
        <w:outlineLvl w:val="9"/>
        <w:rPr>
          <w:rFonts w:hint="eastAsia" w:ascii="宋体" w:hAnsi="宋体" w:eastAsia="宋体" w:cs="宋体"/>
          <w:color w:val="auto"/>
          <w:sz w:val="24"/>
          <w:highlight w:val="none"/>
          <w:u w:val="single"/>
        </w:rPr>
      </w:pPr>
      <w:r>
        <w:rPr>
          <w:rFonts w:hint="eastAsia" w:ascii="宋体" w:hAnsi="宋体" w:eastAsia="宋体" w:cs="宋体"/>
          <w:color w:val="auto"/>
          <w:kern w:val="0"/>
          <w:sz w:val="24"/>
          <w:highlight w:val="none"/>
        </w:rPr>
        <w:t>2.供应商应根据自身的承诺，对照磋商文件要求在“偏离说明”中注明“正偏离”、“负偏离”或者“无偏离”。既不属于“正偏离”也不属于“负偏离”即为“无偏离”。</w:t>
      </w:r>
    </w:p>
    <w:p w14:paraId="60013A4D">
      <w:pPr>
        <w:spacing w:line="360" w:lineRule="auto"/>
        <w:ind w:right="-817" w:rightChars="-389"/>
        <w:contextualSpacing/>
        <w:outlineLvl w:val="9"/>
        <w:rPr>
          <w:rFonts w:hint="eastAsia" w:ascii="宋体" w:hAnsi="宋体" w:eastAsia="宋体" w:cs="宋体"/>
          <w:color w:val="auto"/>
          <w:sz w:val="24"/>
          <w:highlight w:val="none"/>
        </w:rPr>
      </w:pPr>
    </w:p>
    <w:p w14:paraId="567E28F5">
      <w:pPr>
        <w:spacing w:line="360" w:lineRule="auto"/>
        <w:ind w:right="-817" w:rightChars="-389" w:firstLine="960" w:firstLineChars="400"/>
        <w:contextualSpacing/>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法定代表人或者委托代理人（签字）：</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5F8FED58">
      <w:pPr>
        <w:spacing w:line="360" w:lineRule="auto"/>
        <w:ind w:right="-817" w:rightChars="-389" w:firstLine="2640" w:firstLineChars="1100"/>
        <w:contextualSpacing/>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供应商（公章）：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36A081AB">
      <w:pPr>
        <w:spacing w:line="360" w:lineRule="auto"/>
        <w:ind w:right="-817" w:rightChars="-389" w:firstLine="4080" w:firstLineChars="1700"/>
        <w:contextualSpacing/>
        <w:outlineLvl w:val="9"/>
        <w:rPr>
          <w:rFonts w:hint="eastAsia" w:ascii="宋体" w:hAnsi="宋体" w:eastAsia="宋体" w:cs="宋体"/>
          <w:b/>
          <w:color w:val="auto"/>
          <w:sz w:val="24"/>
          <w:highlight w:val="none"/>
        </w:rPr>
      </w:pPr>
      <w:r>
        <w:rPr>
          <w:rFonts w:hint="eastAsia" w:ascii="宋体" w:hAnsi="宋体" w:eastAsia="宋体" w:cs="宋体"/>
          <w:color w:val="auto"/>
          <w:sz w:val="24"/>
          <w:highlight w:val="none"/>
        </w:rPr>
        <w:t>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1E5D716B">
      <w:pPr>
        <w:adjustRightInd w:val="0"/>
        <w:snapToGrid w:val="0"/>
        <w:spacing w:line="520" w:lineRule="exact"/>
        <w:ind w:firstLine="7040" w:firstLineChars="1600"/>
        <w:jc w:val="center"/>
        <w:outlineLvl w:val="9"/>
        <w:rPr>
          <w:rFonts w:hint="eastAsia" w:ascii="宋体" w:hAnsi="宋体" w:eastAsia="宋体" w:cs="宋体"/>
          <w:bCs/>
          <w:color w:val="auto"/>
          <w:sz w:val="44"/>
          <w:szCs w:val="44"/>
          <w:highlight w:val="none"/>
        </w:rPr>
      </w:pPr>
    </w:p>
    <w:p w14:paraId="647F0929">
      <w:pPr>
        <w:adjustRightInd w:val="0"/>
        <w:snapToGrid w:val="0"/>
        <w:spacing w:line="520" w:lineRule="exact"/>
        <w:ind w:firstLine="7040" w:firstLineChars="1600"/>
        <w:jc w:val="center"/>
        <w:outlineLvl w:val="9"/>
        <w:rPr>
          <w:rFonts w:hint="eastAsia" w:ascii="宋体" w:hAnsi="宋体" w:eastAsia="宋体" w:cs="宋体"/>
          <w:bCs/>
          <w:color w:val="auto"/>
          <w:sz w:val="44"/>
          <w:szCs w:val="44"/>
          <w:highlight w:val="none"/>
        </w:rPr>
      </w:pPr>
    </w:p>
    <w:p w14:paraId="59777BAE">
      <w:pPr>
        <w:adjustRightInd w:val="0"/>
        <w:snapToGrid w:val="0"/>
        <w:spacing w:line="520" w:lineRule="exact"/>
        <w:ind w:firstLine="7040" w:firstLineChars="1600"/>
        <w:jc w:val="center"/>
        <w:outlineLvl w:val="9"/>
        <w:rPr>
          <w:rFonts w:hint="eastAsia" w:ascii="宋体" w:hAnsi="宋体" w:eastAsia="宋体" w:cs="宋体"/>
          <w:bCs/>
          <w:color w:val="auto"/>
          <w:sz w:val="44"/>
          <w:szCs w:val="44"/>
          <w:highlight w:val="none"/>
        </w:rPr>
      </w:pPr>
    </w:p>
    <w:p w14:paraId="66D3EE5C">
      <w:pPr>
        <w:adjustRightInd w:val="0"/>
        <w:snapToGrid w:val="0"/>
        <w:spacing w:line="520" w:lineRule="exact"/>
        <w:ind w:firstLine="7040" w:firstLineChars="1600"/>
        <w:jc w:val="center"/>
        <w:outlineLvl w:val="9"/>
        <w:rPr>
          <w:rFonts w:hint="eastAsia" w:ascii="宋体" w:hAnsi="宋体" w:eastAsia="宋体" w:cs="宋体"/>
          <w:bCs/>
          <w:color w:val="auto"/>
          <w:sz w:val="44"/>
          <w:szCs w:val="44"/>
          <w:highlight w:val="none"/>
        </w:rPr>
      </w:pPr>
    </w:p>
    <w:p w14:paraId="194F34FD">
      <w:pPr>
        <w:adjustRightInd w:val="0"/>
        <w:snapToGrid w:val="0"/>
        <w:spacing w:line="520" w:lineRule="exact"/>
        <w:outlineLvl w:val="9"/>
        <w:rPr>
          <w:rFonts w:hint="eastAsia" w:ascii="宋体" w:hAnsi="宋体" w:eastAsia="宋体" w:cs="宋体"/>
          <w:color w:val="auto"/>
          <w:szCs w:val="21"/>
          <w:highlight w:val="none"/>
          <w:u w:val="single"/>
        </w:rPr>
      </w:pPr>
    </w:p>
    <w:p w14:paraId="718472F7">
      <w:pPr>
        <w:adjustRightInd w:val="0"/>
        <w:snapToGrid w:val="0"/>
        <w:jc w:val="center"/>
        <w:outlineLvl w:val="9"/>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br w:type="page"/>
      </w:r>
      <w:r>
        <w:rPr>
          <w:rFonts w:hint="eastAsia" w:ascii="宋体" w:hAnsi="宋体" w:eastAsia="宋体" w:cs="宋体"/>
          <w:b/>
          <w:bCs w:val="0"/>
          <w:color w:val="auto"/>
          <w:sz w:val="44"/>
          <w:szCs w:val="44"/>
          <w:highlight w:val="none"/>
        </w:rPr>
        <w:t>技术质量响应及偏离情况说明表</w:t>
      </w:r>
      <w:r>
        <w:rPr>
          <w:rFonts w:hint="eastAsia" w:ascii="宋体" w:hAnsi="宋体" w:eastAsia="宋体" w:cs="宋体"/>
          <w:bCs/>
          <w:color w:val="auto"/>
          <w:sz w:val="44"/>
          <w:szCs w:val="44"/>
          <w:highlight w:val="none"/>
        </w:rPr>
        <w:t>（格式）</w:t>
      </w:r>
    </w:p>
    <w:p w14:paraId="5B65C55F">
      <w:pPr>
        <w:jc w:val="center"/>
        <w:outlineLvl w:val="9"/>
        <w:rPr>
          <w:rFonts w:hint="eastAsia" w:ascii="宋体" w:hAnsi="宋体" w:eastAsia="宋体" w:cs="宋体"/>
          <w:bCs/>
          <w:color w:val="auto"/>
          <w:sz w:val="36"/>
          <w:szCs w:val="36"/>
          <w:highlight w:val="none"/>
        </w:rPr>
      </w:pPr>
      <w:r>
        <w:rPr>
          <w:rFonts w:hint="eastAsia" w:ascii="宋体" w:hAnsi="宋体" w:eastAsia="宋体" w:cs="宋体"/>
          <w:bCs/>
          <w:color w:val="auto"/>
          <w:sz w:val="36"/>
          <w:szCs w:val="36"/>
          <w:highlight w:val="none"/>
        </w:rPr>
        <w:t>（注：按采购需求具体条款修改）</w:t>
      </w:r>
    </w:p>
    <w:p w14:paraId="6671FD0E">
      <w:pPr>
        <w:spacing w:line="360" w:lineRule="auto"/>
        <w:contextualSpacing/>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采购项目名称：</w:t>
      </w:r>
      <w:r>
        <w:rPr>
          <w:rFonts w:hint="eastAsia" w:ascii="宋体" w:hAnsi="宋体" w:eastAsia="宋体" w:cs="宋体"/>
          <w:color w:val="auto"/>
          <w:sz w:val="24"/>
          <w:highlight w:val="none"/>
          <w:u w:val="single"/>
        </w:rPr>
        <w:t xml:space="preserve">                 </w:t>
      </w:r>
    </w:p>
    <w:p w14:paraId="378A139A">
      <w:pPr>
        <w:spacing w:line="360" w:lineRule="auto"/>
        <w:contextualSpacing/>
        <w:outlineLvl w:val="9"/>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采购项目编号：</w:t>
      </w:r>
      <w:r>
        <w:rPr>
          <w:rFonts w:hint="eastAsia" w:ascii="宋体" w:hAnsi="宋体" w:eastAsia="宋体" w:cs="宋体"/>
          <w:color w:val="auto"/>
          <w:sz w:val="24"/>
          <w:highlight w:val="none"/>
          <w:u w:val="single"/>
        </w:rPr>
        <w:t xml:space="preserve">                 </w:t>
      </w:r>
    </w:p>
    <w:p w14:paraId="6C842A1C">
      <w:pPr>
        <w:spacing w:line="360" w:lineRule="auto"/>
        <w:contextualSpacing/>
        <w:outlineLvl w:val="9"/>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分标号：</w:t>
      </w:r>
      <w:r>
        <w:rPr>
          <w:rFonts w:hint="eastAsia" w:ascii="宋体" w:hAnsi="宋体" w:eastAsia="宋体" w:cs="宋体"/>
          <w:color w:val="auto"/>
          <w:sz w:val="24"/>
          <w:highlight w:val="none"/>
          <w:u w:val="single"/>
        </w:rPr>
        <w:t xml:space="preserve">                       </w:t>
      </w:r>
    </w:p>
    <w:tbl>
      <w:tblPr>
        <w:tblStyle w:val="29"/>
        <w:tblW w:w="904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24"/>
        <w:gridCol w:w="1864"/>
        <w:gridCol w:w="2155"/>
        <w:gridCol w:w="2066"/>
        <w:gridCol w:w="1225"/>
        <w:gridCol w:w="814"/>
      </w:tblGrid>
      <w:tr w14:paraId="10CDE0B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924" w:type="dxa"/>
            <w:noWrap w:val="0"/>
            <w:vAlign w:val="center"/>
          </w:tcPr>
          <w:p w14:paraId="2BFFFAD3">
            <w:pPr>
              <w:adjustRightInd w:val="0"/>
              <w:snapToGrid w:val="0"/>
              <w:spacing w:line="300" w:lineRule="auto"/>
              <w:jc w:val="center"/>
              <w:outlineLvl w:val="9"/>
              <w:rPr>
                <w:rFonts w:hint="eastAsia" w:ascii="宋体" w:hAnsi="宋体" w:eastAsia="宋体" w:cs="宋体"/>
                <w:color w:val="auto"/>
                <w:szCs w:val="21"/>
                <w:highlight w:val="none"/>
              </w:rPr>
            </w:pPr>
            <w:bookmarkStart w:id="47" w:name="_Toc21372"/>
            <w:bookmarkStart w:id="48" w:name="_Toc373333689"/>
            <w:bookmarkStart w:id="49" w:name="_Toc301781611"/>
            <w:bookmarkStart w:id="50" w:name="_Toc173066401"/>
            <w:bookmarkStart w:id="51" w:name="_Toc383699906"/>
            <w:bookmarkStart w:id="52" w:name="_Toc173211900"/>
            <w:bookmarkStart w:id="53" w:name="_Toc295404981"/>
            <w:bookmarkStart w:id="54" w:name="_Toc254970729"/>
            <w:bookmarkStart w:id="55" w:name="_Toc254970588"/>
            <w:bookmarkStart w:id="56" w:name="_Toc297193185"/>
            <w:r>
              <w:rPr>
                <w:rFonts w:hint="eastAsia" w:ascii="宋体" w:hAnsi="宋体" w:eastAsia="宋体" w:cs="宋体"/>
                <w:color w:val="auto"/>
                <w:szCs w:val="21"/>
                <w:highlight w:val="none"/>
              </w:rPr>
              <w:t>序号</w:t>
            </w:r>
            <w:bookmarkEnd w:id="47"/>
          </w:p>
        </w:tc>
        <w:tc>
          <w:tcPr>
            <w:tcW w:w="1864" w:type="dxa"/>
            <w:noWrap w:val="0"/>
            <w:vAlign w:val="center"/>
          </w:tcPr>
          <w:p w14:paraId="692D1EC4">
            <w:pPr>
              <w:adjustRightInd w:val="0"/>
              <w:snapToGrid w:val="0"/>
              <w:spacing w:line="300" w:lineRule="auto"/>
              <w:jc w:val="center"/>
              <w:outlineLvl w:val="9"/>
              <w:rPr>
                <w:rFonts w:hint="eastAsia" w:ascii="宋体" w:hAnsi="宋体" w:eastAsia="宋体" w:cs="宋体"/>
                <w:color w:val="auto"/>
                <w:szCs w:val="21"/>
                <w:highlight w:val="none"/>
              </w:rPr>
            </w:pPr>
            <w:bookmarkStart w:id="57" w:name="_Toc31912"/>
            <w:r>
              <w:rPr>
                <w:rFonts w:hint="eastAsia" w:ascii="宋体" w:hAnsi="宋体" w:eastAsia="宋体" w:cs="宋体"/>
                <w:color w:val="auto"/>
                <w:szCs w:val="21"/>
                <w:highlight w:val="none"/>
              </w:rPr>
              <w:t>服务名称</w:t>
            </w:r>
            <w:bookmarkEnd w:id="57"/>
          </w:p>
        </w:tc>
        <w:tc>
          <w:tcPr>
            <w:tcW w:w="2155" w:type="dxa"/>
            <w:noWrap w:val="0"/>
            <w:vAlign w:val="center"/>
          </w:tcPr>
          <w:p w14:paraId="0612D5BF">
            <w:pPr>
              <w:adjustRightInd w:val="0"/>
              <w:snapToGrid w:val="0"/>
              <w:spacing w:line="300" w:lineRule="auto"/>
              <w:jc w:val="center"/>
              <w:outlineLvl w:val="9"/>
              <w:rPr>
                <w:rFonts w:hint="eastAsia" w:ascii="宋体" w:hAnsi="宋体" w:eastAsia="宋体" w:cs="宋体"/>
                <w:color w:val="auto"/>
                <w:szCs w:val="21"/>
                <w:highlight w:val="none"/>
              </w:rPr>
            </w:pPr>
            <w:bookmarkStart w:id="58" w:name="_Toc173211901"/>
            <w:bookmarkStart w:id="59" w:name="_Toc254970589"/>
            <w:bookmarkStart w:id="60" w:name="_Toc254970730"/>
            <w:bookmarkStart w:id="61" w:name="_Toc8447"/>
            <w:bookmarkStart w:id="62" w:name="_Toc173066402"/>
            <w:r>
              <w:rPr>
                <w:rFonts w:hint="eastAsia" w:ascii="宋体" w:hAnsi="宋体" w:eastAsia="宋体" w:cs="宋体"/>
                <w:color w:val="auto"/>
                <w:szCs w:val="21"/>
                <w:highlight w:val="none"/>
              </w:rPr>
              <w:t>竞争性磋商文件要求</w:t>
            </w:r>
            <w:bookmarkEnd w:id="58"/>
            <w:bookmarkEnd w:id="59"/>
            <w:bookmarkEnd w:id="60"/>
            <w:bookmarkEnd w:id="61"/>
            <w:bookmarkEnd w:id="62"/>
          </w:p>
        </w:tc>
        <w:tc>
          <w:tcPr>
            <w:tcW w:w="2066" w:type="dxa"/>
            <w:noWrap w:val="0"/>
            <w:vAlign w:val="center"/>
          </w:tcPr>
          <w:p w14:paraId="5B37456A">
            <w:pPr>
              <w:adjustRightInd w:val="0"/>
              <w:snapToGrid w:val="0"/>
              <w:spacing w:line="300" w:lineRule="auto"/>
              <w:jc w:val="center"/>
              <w:outlineLvl w:val="9"/>
              <w:rPr>
                <w:rFonts w:hint="eastAsia" w:ascii="宋体" w:hAnsi="宋体" w:eastAsia="宋体" w:cs="宋体"/>
                <w:color w:val="auto"/>
                <w:szCs w:val="21"/>
                <w:highlight w:val="none"/>
              </w:rPr>
            </w:pPr>
            <w:bookmarkStart w:id="63" w:name="_Toc18840"/>
            <w:r>
              <w:rPr>
                <w:rFonts w:hint="eastAsia" w:ascii="宋体" w:hAnsi="宋体" w:eastAsia="宋体" w:cs="宋体"/>
                <w:color w:val="auto"/>
                <w:szCs w:val="21"/>
                <w:highlight w:val="none"/>
              </w:rPr>
              <w:t>磋商响应文件具体响应</w:t>
            </w:r>
            <w:bookmarkEnd w:id="63"/>
          </w:p>
        </w:tc>
        <w:tc>
          <w:tcPr>
            <w:tcW w:w="1225" w:type="dxa"/>
            <w:noWrap w:val="0"/>
            <w:vAlign w:val="center"/>
          </w:tcPr>
          <w:p w14:paraId="2FD3F473">
            <w:pPr>
              <w:adjustRightInd w:val="0"/>
              <w:snapToGrid w:val="0"/>
              <w:spacing w:line="300" w:lineRule="auto"/>
              <w:jc w:val="center"/>
              <w:outlineLvl w:val="9"/>
              <w:rPr>
                <w:rFonts w:hint="eastAsia" w:ascii="宋体" w:hAnsi="宋体" w:eastAsia="宋体" w:cs="宋体"/>
                <w:color w:val="auto"/>
                <w:szCs w:val="21"/>
                <w:highlight w:val="none"/>
              </w:rPr>
            </w:pPr>
            <w:bookmarkStart w:id="64" w:name="_Toc28516"/>
            <w:r>
              <w:rPr>
                <w:rFonts w:hint="eastAsia" w:ascii="宋体" w:hAnsi="宋体" w:eastAsia="宋体" w:cs="宋体"/>
                <w:color w:val="auto"/>
                <w:szCs w:val="21"/>
                <w:highlight w:val="none"/>
              </w:rPr>
              <w:t>响应/偏离</w:t>
            </w:r>
            <w:bookmarkEnd w:id="64"/>
          </w:p>
        </w:tc>
        <w:tc>
          <w:tcPr>
            <w:tcW w:w="814" w:type="dxa"/>
            <w:noWrap w:val="0"/>
            <w:vAlign w:val="center"/>
          </w:tcPr>
          <w:p w14:paraId="149AE88C">
            <w:pPr>
              <w:adjustRightInd w:val="0"/>
              <w:snapToGrid w:val="0"/>
              <w:spacing w:line="300" w:lineRule="auto"/>
              <w:jc w:val="center"/>
              <w:outlineLvl w:val="9"/>
              <w:rPr>
                <w:rFonts w:hint="eastAsia" w:ascii="宋体" w:hAnsi="宋体" w:eastAsia="宋体" w:cs="宋体"/>
                <w:color w:val="auto"/>
                <w:szCs w:val="21"/>
                <w:highlight w:val="none"/>
              </w:rPr>
            </w:pPr>
            <w:bookmarkStart w:id="65" w:name="_Toc15848"/>
            <w:r>
              <w:rPr>
                <w:rFonts w:hint="eastAsia" w:ascii="宋体" w:hAnsi="宋体" w:eastAsia="宋体" w:cs="宋体"/>
                <w:color w:val="auto"/>
                <w:szCs w:val="21"/>
                <w:highlight w:val="none"/>
              </w:rPr>
              <w:t>说明</w:t>
            </w:r>
            <w:bookmarkEnd w:id="65"/>
          </w:p>
        </w:tc>
      </w:tr>
      <w:tr w14:paraId="266C16D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924" w:type="dxa"/>
            <w:noWrap w:val="0"/>
            <w:vAlign w:val="center"/>
          </w:tcPr>
          <w:p w14:paraId="3410BF02">
            <w:pPr>
              <w:adjustRightInd w:val="0"/>
              <w:snapToGrid w:val="0"/>
              <w:spacing w:line="300" w:lineRule="auto"/>
              <w:jc w:val="center"/>
              <w:outlineLvl w:val="9"/>
              <w:rPr>
                <w:rFonts w:hint="eastAsia" w:ascii="宋体" w:hAnsi="宋体" w:eastAsia="宋体" w:cs="宋体"/>
                <w:color w:val="auto"/>
                <w:szCs w:val="21"/>
                <w:highlight w:val="none"/>
              </w:rPr>
            </w:pPr>
            <w:bookmarkStart w:id="66" w:name="_Toc30355"/>
            <w:r>
              <w:rPr>
                <w:rFonts w:hint="eastAsia" w:ascii="宋体" w:hAnsi="宋体" w:eastAsia="宋体" w:cs="宋体"/>
                <w:color w:val="auto"/>
                <w:szCs w:val="21"/>
                <w:highlight w:val="none"/>
              </w:rPr>
              <w:t>1</w:t>
            </w:r>
            <w:bookmarkEnd w:id="66"/>
          </w:p>
        </w:tc>
        <w:tc>
          <w:tcPr>
            <w:tcW w:w="1864" w:type="dxa"/>
            <w:noWrap w:val="0"/>
            <w:vAlign w:val="center"/>
          </w:tcPr>
          <w:p w14:paraId="098679F6">
            <w:pPr>
              <w:adjustRightInd w:val="0"/>
              <w:snapToGrid w:val="0"/>
              <w:spacing w:line="300" w:lineRule="auto"/>
              <w:jc w:val="center"/>
              <w:outlineLvl w:val="9"/>
              <w:rPr>
                <w:rFonts w:hint="eastAsia" w:ascii="宋体" w:hAnsi="宋体" w:eastAsia="宋体" w:cs="宋体"/>
                <w:color w:val="auto"/>
                <w:szCs w:val="21"/>
                <w:highlight w:val="none"/>
              </w:rPr>
            </w:pPr>
          </w:p>
        </w:tc>
        <w:tc>
          <w:tcPr>
            <w:tcW w:w="2155" w:type="dxa"/>
            <w:noWrap w:val="0"/>
            <w:vAlign w:val="center"/>
          </w:tcPr>
          <w:p w14:paraId="520576E6">
            <w:pPr>
              <w:adjustRightInd w:val="0"/>
              <w:snapToGrid w:val="0"/>
              <w:spacing w:line="300" w:lineRule="auto"/>
              <w:jc w:val="center"/>
              <w:outlineLvl w:val="9"/>
              <w:rPr>
                <w:rFonts w:hint="eastAsia" w:ascii="宋体" w:hAnsi="宋体" w:eastAsia="宋体" w:cs="宋体"/>
                <w:color w:val="auto"/>
                <w:szCs w:val="21"/>
                <w:highlight w:val="none"/>
              </w:rPr>
            </w:pPr>
          </w:p>
        </w:tc>
        <w:tc>
          <w:tcPr>
            <w:tcW w:w="2066" w:type="dxa"/>
            <w:noWrap w:val="0"/>
            <w:vAlign w:val="center"/>
          </w:tcPr>
          <w:p w14:paraId="4A5006D4">
            <w:pPr>
              <w:adjustRightInd w:val="0"/>
              <w:snapToGrid w:val="0"/>
              <w:spacing w:line="300" w:lineRule="auto"/>
              <w:jc w:val="center"/>
              <w:outlineLvl w:val="9"/>
              <w:rPr>
                <w:rFonts w:hint="eastAsia" w:ascii="宋体" w:hAnsi="宋体" w:eastAsia="宋体" w:cs="宋体"/>
                <w:color w:val="auto"/>
                <w:szCs w:val="21"/>
                <w:highlight w:val="none"/>
              </w:rPr>
            </w:pPr>
          </w:p>
        </w:tc>
        <w:tc>
          <w:tcPr>
            <w:tcW w:w="1225" w:type="dxa"/>
            <w:noWrap w:val="0"/>
            <w:vAlign w:val="center"/>
          </w:tcPr>
          <w:p w14:paraId="3D750389">
            <w:pPr>
              <w:adjustRightInd w:val="0"/>
              <w:snapToGrid w:val="0"/>
              <w:spacing w:line="300" w:lineRule="auto"/>
              <w:jc w:val="center"/>
              <w:outlineLvl w:val="9"/>
              <w:rPr>
                <w:rFonts w:hint="eastAsia" w:ascii="宋体" w:hAnsi="宋体" w:eastAsia="宋体" w:cs="宋体"/>
                <w:color w:val="auto"/>
                <w:szCs w:val="21"/>
                <w:highlight w:val="none"/>
              </w:rPr>
            </w:pPr>
          </w:p>
        </w:tc>
        <w:tc>
          <w:tcPr>
            <w:tcW w:w="814" w:type="dxa"/>
            <w:noWrap w:val="0"/>
            <w:vAlign w:val="center"/>
          </w:tcPr>
          <w:p w14:paraId="5A77C785">
            <w:pPr>
              <w:adjustRightInd w:val="0"/>
              <w:snapToGrid w:val="0"/>
              <w:spacing w:line="300" w:lineRule="auto"/>
              <w:jc w:val="center"/>
              <w:outlineLvl w:val="9"/>
              <w:rPr>
                <w:rFonts w:hint="eastAsia" w:ascii="宋体" w:hAnsi="宋体" w:eastAsia="宋体" w:cs="宋体"/>
                <w:color w:val="auto"/>
                <w:szCs w:val="21"/>
                <w:highlight w:val="none"/>
              </w:rPr>
            </w:pPr>
          </w:p>
        </w:tc>
      </w:tr>
      <w:tr w14:paraId="468DF36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924" w:type="dxa"/>
            <w:noWrap w:val="0"/>
            <w:vAlign w:val="center"/>
          </w:tcPr>
          <w:p w14:paraId="38455484">
            <w:pPr>
              <w:adjustRightInd w:val="0"/>
              <w:snapToGrid w:val="0"/>
              <w:spacing w:line="300" w:lineRule="auto"/>
              <w:jc w:val="center"/>
              <w:outlineLvl w:val="9"/>
              <w:rPr>
                <w:rFonts w:hint="eastAsia" w:ascii="宋体" w:hAnsi="宋体" w:eastAsia="宋体" w:cs="宋体"/>
                <w:color w:val="auto"/>
                <w:szCs w:val="21"/>
                <w:highlight w:val="none"/>
              </w:rPr>
            </w:pPr>
            <w:bookmarkStart w:id="67" w:name="_Toc29725"/>
            <w:r>
              <w:rPr>
                <w:rFonts w:hint="eastAsia" w:ascii="宋体" w:hAnsi="宋体" w:eastAsia="宋体" w:cs="宋体"/>
                <w:color w:val="auto"/>
                <w:szCs w:val="21"/>
                <w:highlight w:val="none"/>
              </w:rPr>
              <w:t>2</w:t>
            </w:r>
            <w:bookmarkEnd w:id="67"/>
          </w:p>
        </w:tc>
        <w:tc>
          <w:tcPr>
            <w:tcW w:w="1864" w:type="dxa"/>
            <w:noWrap w:val="0"/>
            <w:vAlign w:val="center"/>
          </w:tcPr>
          <w:p w14:paraId="31C83923">
            <w:pPr>
              <w:adjustRightInd w:val="0"/>
              <w:snapToGrid w:val="0"/>
              <w:spacing w:line="300" w:lineRule="auto"/>
              <w:jc w:val="center"/>
              <w:outlineLvl w:val="9"/>
              <w:rPr>
                <w:rFonts w:hint="eastAsia" w:ascii="宋体" w:hAnsi="宋体" w:eastAsia="宋体" w:cs="宋体"/>
                <w:color w:val="auto"/>
                <w:szCs w:val="21"/>
                <w:highlight w:val="none"/>
              </w:rPr>
            </w:pPr>
          </w:p>
        </w:tc>
        <w:tc>
          <w:tcPr>
            <w:tcW w:w="2155" w:type="dxa"/>
            <w:noWrap w:val="0"/>
            <w:vAlign w:val="center"/>
          </w:tcPr>
          <w:p w14:paraId="44FE0B9A">
            <w:pPr>
              <w:adjustRightInd w:val="0"/>
              <w:snapToGrid w:val="0"/>
              <w:spacing w:line="300" w:lineRule="auto"/>
              <w:jc w:val="center"/>
              <w:outlineLvl w:val="9"/>
              <w:rPr>
                <w:rFonts w:hint="eastAsia" w:ascii="宋体" w:hAnsi="宋体" w:eastAsia="宋体" w:cs="宋体"/>
                <w:color w:val="auto"/>
                <w:szCs w:val="21"/>
                <w:highlight w:val="none"/>
              </w:rPr>
            </w:pPr>
          </w:p>
        </w:tc>
        <w:tc>
          <w:tcPr>
            <w:tcW w:w="2066" w:type="dxa"/>
            <w:noWrap w:val="0"/>
            <w:vAlign w:val="center"/>
          </w:tcPr>
          <w:p w14:paraId="44310D1F">
            <w:pPr>
              <w:adjustRightInd w:val="0"/>
              <w:snapToGrid w:val="0"/>
              <w:spacing w:line="300" w:lineRule="auto"/>
              <w:jc w:val="center"/>
              <w:outlineLvl w:val="9"/>
              <w:rPr>
                <w:rFonts w:hint="eastAsia" w:ascii="宋体" w:hAnsi="宋体" w:eastAsia="宋体" w:cs="宋体"/>
                <w:color w:val="auto"/>
                <w:szCs w:val="21"/>
                <w:highlight w:val="none"/>
              </w:rPr>
            </w:pPr>
          </w:p>
        </w:tc>
        <w:tc>
          <w:tcPr>
            <w:tcW w:w="1225" w:type="dxa"/>
            <w:noWrap w:val="0"/>
            <w:vAlign w:val="center"/>
          </w:tcPr>
          <w:p w14:paraId="1CAD0CB3">
            <w:pPr>
              <w:adjustRightInd w:val="0"/>
              <w:snapToGrid w:val="0"/>
              <w:spacing w:line="300" w:lineRule="auto"/>
              <w:jc w:val="center"/>
              <w:outlineLvl w:val="9"/>
              <w:rPr>
                <w:rFonts w:hint="eastAsia" w:ascii="宋体" w:hAnsi="宋体" w:eastAsia="宋体" w:cs="宋体"/>
                <w:color w:val="auto"/>
                <w:szCs w:val="21"/>
                <w:highlight w:val="none"/>
              </w:rPr>
            </w:pPr>
          </w:p>
        </w:tc>
        <w:tc>
          <w:tcPr>
            <w:tcW w:w="814" w:type="dxa"/>
            <w:noWrap w:val="0"/>
            <w:vAlign w:val="center"/>
          </w:tcPr>
          <w:p w14:paraId="3551351C">
            <w:pPr>
              <w:adjustRightInd w:val="0"/>
              <w:snapToGrid w:val="0"/>
              <w:spacing w:line="300" w:lineRule="auto"/>
              <w:jc w:val="center"/>
              <w:outlineLvl w:val="9"/>
              <w:rPr>
                <w:rFonts w:hint="eastAsia" w:ascii="宋体" w:hAnsi="宋体" w:eastAsia="宋体" w:cs="宋体"/>
                <w:color w:val="auto"/>
                <w:szCs w:val="21"/>
                <w:highlight w:val="none"/>
              </w:rPr>
            </w:pPr>
          </w:p>
        </w:tc>
      </w:tr>
      <w:tr w14:paraId="237533F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924" w:type="dxa"/>
            <w:noWrap w:val="0"/>
            <w:vAlign w:val="center"/>
          </w:tcPr>
          <w:p w14:paraId="0EDDDC03">
            <w:pPr>
              <w:adjustRightInd w:val="0"/>
              <w:snapToGrid w:val="0"/>
              <w:spacing w:line="300" w:lineRule="auto"/>
              <w:jc w:val="center"/>
              <w:outlineLvl w:val="9"/>
              <w:rPr>
                <w:rFonts w:hint="eastAsia" w:ascii="宋体" w:hAnsi="宋体" w:eastAsia="宋体" w:cs="宋体"/>
                <w:color w:val="auto"/>
                <w:szCs w:val="21"/>
                <w:highlight w:val="none"/>
              </w:rPr>
            </w:pPr>
            <w:bookmarkStart w:id="68" w:name="_Toc2129"/>
            <w:r>
              <w:rPr>
                <w:rFonts w:hint="eastAsia" w:ascii="宋体" w:hAnsi="宋体" w:eastAsia="宋体" w:cs="宋体"/>
                <w:color w:val="auto"/>
                <w:szCs w:val="21"/>
                <w:highlight w:val="none"/>
              </w:rPr>
              <w:t>3</w:t>
            </w:r>
            <w:bookmarkEnd w:id="68"/>
          </w:p>
        </w:tc>
        <w:tc>
          <w:tcPr>
            <w:tcW w:w="1864" w:type="dxa"/>
            <w:noWrap w:val="0"/>
            <w:vAlign w:val="center"/>
          </w:tcPr>
          <w:p w14:paraId="02928505">
            <w:pPr>
              <w:adjustRightInd w:val="0"/>
              <w:snapToGrid w:val="0"/>
              <w:spacing w:line="300" w:lineRule="auto"/>
              <w:jc w:val="center"/>
              <w:outlineLvl w:val="9"/>
              <w:rPr>
                <w:rFonts w:hint="eastAsia" w:ascii="宋体" w:hAnsi="宋体" w:eastAsia="宋体" w:cs="宋体"/>
                <w:color w:val="auto"/>
                <w:szCs w:val="21"/>
                <w:highlight w:val="none"/>
              </w:rPr>
            </w:pPr>
          </w:p>
        </w:tc>
        <w:tc>
          <w:tcPr>
            <w:tcW w:w="2155" w:type="dxa"/>
            <w:noWrap w:val="0"/>
            <w:vAlign w:val="center"/>
          </w:tcPr>
          <w:p w14:paraId="21E6D7BC">
            <w:pPr>
              <w:adjustRightInd w:val="0"/>
              <w:snapToGrid w:val="0"/>
              <w:spacing w:line="300" w:lineRule="auto"/>
              <w:jc w:val="center"/>
              <w:outlineLvl w:val="9"/>
              <w:rPr>
                <w:rFonts w:hint="eastAsia" w:ascii="宋体" w:hAnsi="宋体" w:eastAsia="宋体" w:cs="宋体"/>
                <w:color w:val="auto"/>
                <w:szCs w:val="21"/>
                <w:highlight w:val="none"/>
              </w:rPr>
            </w:pPr>
          </w:p>
        </w:tc>
        <w:tc>
          <w:tcPr>
            <w:tcW w:w="2066" w:type="dxa"/>
            <w:noWrap w:val="0"/>
            <w:vAlign w:val="center"/>
          </w:tcPr>
          <w:p w14:paraId="302B8514">
            <w:pPr>
              <w:adjustRightInd w:val="0"/>
              <w:snapToGrid w:val="0"/>
              <w:spacing w:line="300" w:lineRule="auto"/>
              <w:jc w:val="center"/>
              <w:outlineLvl w:val="9"/>
              <w:rPr>
                <w:rFonts w:hint="eastAsia" w:ascii="宋体" w:hAnsi="宋体" w:eastAsia="宋体" w:cs="宋体"/>
                <w:color w:val="auto"/>
                <w:szCs w:val="21"/>
                <w:highlight w:val="none"/>
              </w:rPr>
            </w:pPr>
          </w:p>
        </w:tc>
        <w:tc>
          <w:tcPr>
            <w:tcW w:w="1225" w:type="dxa"/>
            <w:noWrap w:val="0"/>
            <w:vAlign w:val="center"/>
          </w:tcPr>
          <w:p w14:paraId="5EAEAE60">
            <w:pPr>
              <w:adjustRightInd w:val="0"/>
              <w:snapToGrid w:val="0"/>
              <w:spacing w:line="300" w:lineRule="auto"/>
              <w:jc w:val="center"/>
              <w:outlineLvl w:val="9"/>
              <w:rPr>
                <w:rFonts w:hint="eastAsia" w:ascii="宋体" w:hAnsi="宋体" w:eastAsia="宋体" w:cs="宋体"/>
                <w:color w:val="auto"/>
                <w:szCs w:val="21"/>
                <w:highlight w:val="none"/>
              </w:rPr>
            </w:pPr>
          </w:p>
        </w:tc>
        <w:tc>
          <w:tcPr>
            <w:tcW w:w="814" w:type="dxa"/>
            <w:noWrap w:val="0"/>
            <w:vAlign w:val="center"/>
          </w:tcPr>
          <w:p w14:paraId="2FD8E9A6">
            <w:pPr>
              <w:adjustRightInd w:val="0"/>
              <w:snapToGrid w:val="0"/>
              <w:spacing w:line="300" w:lineRule="auto"/>
              <w:jc w:val="center"/>
              <w:outlineLvl w:val="9"/>
              <w:rPr>
                <w:rFonts w:hint="eastAsia" w:ascii="宋体" w:hAnsi="宋体" w:eastAsia="宋体" w:cs="宋体"/>
                <w:color w:val="auto"/>
                <w:szCs w:val="21"/>
                <w:highlight w:val="none"/>
              </w:rPr>
            </w:pPr>
          </w:p>
        </w:tc>
      </w:tr>
      <w:tr w14:paraId="1531AED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924" w:type="dxa"/>
            <w:noWrap w:val="0"/>
            <w:vAlign w:val="center"/>
          </w:tcPr>
          <w:p w14:paraId="44F03F79">
            <w:pPr>
              <w:adjustRightInd w:val="0"/>
              <w:snapToGrid w:val="0"/>
              <w:spacing w:line="300" w:lineRule="auto"/>
              <w:jc w:val="center"/>
              <w:outlineLvl w:val="9"/>
              <w:rPr>
                <w:rFonts w:hint="eastAsia" w:ascii="宋体" w:hAnsi="宋体" w:eastAsia="宋体" w:cs="宋体"/>
                <w:color w:val="auto"/>
                <w:szCs w:val="21"/>
                <w:highlight w:val="none"/>
              </w:rPr>
            </w:pPr>
            <w:bookmarkStart w:id="69" w:name="_Toc23279"/>
            <w:r>
              <w:rPr>
                <w:rFonts w:hint="eastAsia" w:ascii="宋体" w:hAnsi="宋体" w:eastAsia="宋体" w:cs="宋体"/>
                <w:color w:val="auto"/>
                <w:szCs w:val="21"/>
                <w:highlight w:val="none"/>
              </w:rPr>
              <w:t>4</w:t>
            </w:r>
            <w:bookmarkEnd w:id="69"/>
          </w:p>
        </w:tc>
        <w:tc>
          <w:tcPr>
            <w:tcW w:w="1864" w:type="dxa"/>
            <w:noWrap w:val="0"/>
            <w:vAlign w:val="center"/>
          </w:tcPr>
          <w:p w14:paraId="1C5C5397">
            <w:pPr>
              <w:adjustRightInd w:val="0"/>
              <w:snapToGrid w:val="0"/>
              <w:spacing w:line="300" w:lineRule="auto"/>
              <w:jc w:val="center"/>
              <w:outlineLvl w:val="9"/>
              <w:rPr>
                <w:rFonts w:hint="eastAsia" w:ascii="宋体" w:hAnsi="宋体" w:eastAsia="宋体" w:cs="宋体"/>
                <w:color w:val="auto"/>
                <w:szCs w:val="21"/>
                <w:highlight w:val="none"/>
              </w:rPr>
            </w:pPr>
          </w:p>
        </w:tc>
        <w:tc>
          <w:tcPr>
            <w:tcW w:w="2155" w:type="dxa"/>
            <w:noWrap w:val="0"/>
            <w:vAlign w:val="center"/>
          </w:tcPr>
          <w:p w14:paraId="526BA5D1">
            <w:pPr>
              <w:adjustRightInd w:val="0"/>
              <w:snapToGrid w:val="0"/>
              <w:spacing w:line="300" w:lineRule="auto"/>
              <w:jc w:val="center"/>
              <w:outlineLvl w:val="9"/>
              <w:rPr>
                <w:rFonts w:hint="eastAsia" w:ascii="宋体" w:hAnsi="宋体" w:eastAsia="宋体" w:cs="宋体"/>
                <w:color w:val="auto"/>
                <w:szCs w:val="21"/>
                <w:highlight w:val="none"/>
              </w:rPr>
            </w:pPr>
          </w:p>
        </w:tc>
        <w:tc>
          <w:tcPr>
            <w:tcW w:w="2066" w:type="dxa"/>
            <w:noWrap w:val="0"/>
            <w:vAlign w:val="center"/>
          </w:tcPr>
          <w:p w14:paraId="56695902">
            <w:pPr>
              <w:adjustRightInd w:val="0"/>
              <w:snapToGrid w:val="0"/>
              <w:spacing w:line="300" w:lineRule="auto"/>
              <w:jc w:val="center"/>
              <w:outlineLvl w:val="9"/>
              <w:rPr>
                <w:rFonts w:hint="eastAsia" w:ascii="宋体" w:hAnsi="宋体" w:eastAsia="宋体" w:cs="宋体"/>
                <w:color w:val="auto"/>
                <w:szCs w:val="21"/>
                <w:highlight w:val="none"/>
              </w:rPr>
            </w:pPr>
          </w:p>
        </w:tc>
        <w:tc>
          <w:tcPr>
            <w:tcW w:w="1225" w:type="dxa"/>
            <w:noWrap w:val="0"/>
            <w:vAlign w:val="center"/>
          </w:tcPr>
          <w:p w14:paraId="0A18FEDA">
            <w:pPr>
              <w:adjustRightInd w:val="0"/>
              <w:snapToGrid w:val="0"/>
              <w:spacing w:line="300" w:lineRule="auto"/>
              <w:jc w:val="center"/>
              <w:outlineLvl w:val="9"/>
              <w:rPr>
                <w:rFonts w:hint="eastAsia" w:ascii="宋体" w:hAnsi="宋体" w:eastAsia="宋体" w:cs="宋体"/>
                <w:color w:val="auto"/>
                <w:szCs w:val="21"/>
                <w:highlight w:val="none"/>
              </w:rPr>
            </w:pPr>
          </w:p>
        </w:tc>
        <w:tc>
          <w:tcPr>
            <w:tcW w:w="814" w:type="dxa"/>
            <w:noWrap w:val="0"/>
            <w:vAlign w:val="center"/>
          </w:tcPr>
          <w:p w14:paraId="71FF97B3">
            <w:pPr>
              <w:adjustRightInd w:val="0"/>
              <w:snapToGrid w:val="0"/>
              <w:spacing w:line="300" w:lineRule="auto"/>
              <w:jc w:val="center"/>
              <w:outlineLvl w:val="9"/>
              <w:rPr>
                <w:rFonts w:hint="eastAsia" w:ascii="宋体" w:hAnsi="宋体" w:eastAsia="宋体" w:cs="宋体"/>
                <w:color w:val="auto"/>
                <w:szCs w:val="21"/>
                <w:highlight w:val="none"/>
              </w:rPr>
            </w:pPr>
          </w:p>
        </w:tc>
      </w:tr>
      <w:tr w14:paraId="5B982CD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924" w:type="dxa"/>
            <w:noWrap w:val="0"/>
            <w:vAlign w:val="center"/>
          </w:tcPr>
          <w:p w14:paraId="69DBA16E">
            <w:pPr>
              <w:adjustRightInd w:val="0"/>
              <w:snapToGrid w:val="0"/>
              <w:spacing w:line="300" w:lineRule="auto"/>
              <w:jc w:val="center"/>
              <w:outlineLvl w:val="9"/>
              <w:rPr>
                <w:rFonts w:hint="eastAsia" w:ascii="宋体" w:hAnsi="宋体" w:eastAsia="宋体" w:cs="宋体"/>
                <w:color w:val="auto"/>
                <w:szCs w:val="21"/>
                <w:highlight w:val="none"/>
              </w:rPr>
            </w:pPr>
            <w:bookmarkStart w:id="70" w:name="_Toc21587"/>
            <w:r>
              <w:rPr>
                <w:rFonts w:hint="eastAsia" w:ascii="宋体" w:hAnsi="宋体" w:eastAsia="宋体" w:cs="宋体"/>
                <w:color w:val="auto"/>
                <w:szCs w:val="21"/>
                <w:highlight w:val="none"/>
              </w:rPr>
              <w:t>5</w:t>
            </w:r>
            <w:bookmarkEnd w:id="70"/>
          </w:p>
        </w:tc>
        <w:tc>
          <w:tcPr>
            <w:tcW w:w="1864" w:type="dxa"/>
            <w:noWrap w:val="0"/>
            <w:vAlign w:val="center"/>
          </w:tcPr>
          <w:p w14:paraId="2A5EC9CE">
            <w:pPr>
              <w:adjustRightInd w:val="0"/>
              <w:snapToGrid w:val="0"/>
              <w:spacing w:line="300" w:lineRule="auto"/>
              <w:jc w:val="center"/>
              <w:outlineLvl w:val="9"/>
              <w:rPr>
                <w:rFonts w:hint="eastAsia" w:ascii="宋体" w:hAnsi="宋体" w:eastAsia="宋体" w:cs="宋体"/>
                <w:color w:val="auto"/>
                <w:szCs w:val="21"/>
                <w:highlight w:val="none"/>
              </w:rPr>
            </w:pPr>
          </w:p>
        </w:tc>
        <w:tc>
          <w:tcPr>
            <w:tcW w:w="2155" w:type="dxa"/>
            <w:noWrap w:val="0"/>
            <w:vAlign w:val="center"/>
          </w:tcPr>
          <w:p w14:paraId="61CE17EB">
            <w:pPr>
              <w:adjustRightInd w:val="0"/>
              <w:snapToGrid w:val="0"/>
              <w:spacing w:line="300" w:lineRule="auto"/>
              <w:jc w:val="center"/>
              <w:outlineLvl w:val="9"/>
              <w:rPr>
                <w:rFonts w:hint="eastAsia" w:ascii="宋体" w:hAnsi="宋体" w:eastAsia="宋体" w:cs="宋体"/>
                <w:color w:val="auto"/>
                <w:szCs w:val="21"/>
                <w:highlight w:val="none"/>
              </w:rPr>
            </w:pPr>
          </w:p>
        </w:tc>
        <w:tc>
          <w:tcPr>
            <w:tcW w:w="2066" w:type="dxa"/>
            <w:noWrap w:val="0"/>
            <w:vAlign w:val="center"/>
          </w:tcPr>
          <w:p w14:paraId="48CCF57A">
            <w:pPr>
              <w:adjustRightInd w:val="0"/>
              <w:snapToGrid w:val="0"/>
              <w:spacing w:line="300" w:lineRule="auto"/>
              <w:jc w:val="center"/>
              <w:outlineLvl w:val="9"/>
              <w:rPr>
                <w:rFonts w:hint="eastAsia" w:ascii="宋体" w:hAnsi="宋体" w:eastAsia="宋体" w:cs="宋体"/>
                <w:color w:val="auto"/>
                <w:szCs w:val="21"/>
                <w:highlight w:val="none"/>
              </w:rPr>
            </w:pPr>
          </w:p>
        </w:tc>
        <w:tc>
          <w:tcPr>
            <w:tcW w:w="1225" w:type="dxa"/>
            <w:noWrap w:val="0"/>
            <w:vAlign w:val="center"/>
          </w:tcPr>
          <w:p w14:paraId="3A5AF443">
            <w:pPr>
              <w:adjustRightInd w:val="0"/>
              <w:snapToGrid w:val="0"/>
              <w:spacing w:line="300" w:lineRule="auto"/>
              <w:jc w:val="center"/>
              <w:outlineLvl w:val="9"/>
              <w:rPr>
                <w:rFonts w:hint="eastAsia" w:ascii="宋体" w:hAnsi="宋体" w:eastAsia="宋体" w:cs="宋体"/>
                <w:color w:val="auto"/>
                <w:szCs w:val="21"/>
                <w:highlight w:val="none"/>
              </w:rPr>
            </w:pPr>
          </w:p>
        </w:tc>
        <w:tc>
          <w:tcPr>
            <w:tcW w:w="814" w:type="dxa"/>
            <w:noWrap w:val="0"/>
            <w:vAlign w:val="center"/>
          </w:tcPr>
          <w:p w14:paraId="6EEA8F88">
            <w:pPr>
              <w:adjustRightInd w:val="0"/>
              <w:snapToGrid w:val="0"/>
              <w:spacing w:line="300" w:lineRule="auto"/>
              <w:jc w:val="center"/>
              <w:outlineLvl w:val="9"/>
              <w:rPr>
                <w:rFonts w:hint="eastAsia" w:ascii="宋体" w:hAnsi="宋体" w:eastAsia="宋体" w:cs="宋体"/>
                <w:color w:val="auto"/>
                <w:szCs w:val="21"/>
                <w:highlight w:val="none"/>
              </w:rPr>
            </w:pPr>
          </w:p>
        </w:tc>
      </w:tr>
      <w:tr w14:paraId="0166974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924" w:type="dxa"/>
            <w:noWrap w:val="0"/>
            <w:vAlign w:val="center"/>
          </w:tcPr>
          <w:p w14:paraId="400D7258">
            <w:pPr>
              <w:adjustRightInd w:val="0"/>
              <w:snapToGrid w:val="0"/>
              <w:spacing w:line="300" w:lineRule="auto"/>
              <w:jc w:val="center"/>
              <w:outlineLvl w:val="9"/>
              <w:rPr>
                <w:rFonts w:hint="eastAsia" w:ascii="宋体" w:hAnsi="宋体" w:eastAsia="宋体" w:cs="宋体"/>
                <w:color w:val="auto"/>
                <w:szCs w:val="21"/>
                <w:highlight w:val="none"/>
              </w:rPr>
            </w:pPr>
            <w:bookmarkStart w:id="71" w:name="_Toc30618"/>
            <w:r>
              <w:rPr>
                <w:rFonts w:hint="eastAsia" w:ascii="宋体" w:hAnsi="宋体" w:eastAsia="宋体" w:cs="宋体"/>
                <w:color w:val="auto"/>
                <w:szCs w:val="21"/>
                <w:highlight w:val="none"/>
              </w:rPr>
              <w:t>…</w:t>
            </w:r>
            <w:bookmarkEnd w:id="71"/>
          </w:p>
        </w:tc>
        <w:tc>
          <w:tcPr>
            <w:tcW w:w="1864" w:type="dxa"/>
            <w:noWrap w:val="0"/>
            <w:vAlign w:val="center"/>
          </w:tcPr>
          <w:p w14:paraId="154A7949">
            <w:pPr>
              <w:adjustRightInd w:val="0"/>
              <w:snapToGrid w:val="0"/>
              <w:spacing w:line="300" w:lineRule="auto"/>
              <w:jc w:val="center"/>
              <w:outlineLvl w:val="9"/>
              <w:rPr>
                <w:rFonts w:hint="eastAsia" w:ascii="宋体" w:hAnsi="宋体" w:eastAsia="宋体" w:cs="宋体"/>
                <w:color w:val="auto"/>
                <w:szCs w:val="21"/>
                <w:highlight w:val="none"/>
              </w:rPr>
            </w:pPr>
          </w:p>
        </w:tc>
        <w:tc>
          <w:tcPr>
            <w:tcW w:w="2155" w:type="dxa"/>
            <w:noWrap w:val="0"/>
            <w:vAlign w:val="center"/>
          </w:tcPr>
          <w:p w14:paraId="67EC9869">
            <w:pPr>
              <w:adjustRightInd w:val="0"/>
              <w:snapToGrid w:val="0"/>
              <w:spacing w:line="300" w:lineRule="auto"/>
              <w:jc w:val="center"/>
              <w:outlineLvl w:val="9"/>
              <w:rPr>
                <w:rFonts w:hint="eastAsia" w:ascii="宋体" w:hAnsi="宋体" w:eastAsia="宋体" w:cs="宋体"/>
                <w:color w:val="auto"/>
                <w:szCs w:val="21"/>
                <w:highlight w:val="none"/>
              </w:rPr>
            </w:pPr>
          </w:p>
        </w:tc>
        <w:tc>
          <w:tcPr>
            <w:tcW w:w="2066" w:type="dxa"/>
            <w:noWrap w:val="0"/>
            <w:vAlign w:val="center"/>
          </w:tcPr>
          <w:p w14:paraId="5621DF43">
            <w:pPr>
              <w:adjustRightInd w:val="0"/>
              <w:snapToGrid w:val="0"/>
              <w:spacing w:line="300" w:lineRule="auto"/>
              <w:jc w:val="center"/>
              <w:outlineLvl w:val="9"/>
              <w:rPr>
                <w:rFonts w:hint="eastAsia" w:ascii="宋体" w:hAnsi="宋体" w:eastAsia="宋体" w:cs="宋体"/>
                <w:color w:val="auto"/>
                <w:szCs w:val="21"/>
                <w:highlight w:val="none"/>
              </w:rPr>
            </w:pPr>
          </w:p>
        </w:tc>
        <w:tc>
          <w:tcPr>
            <w:tcW w:w="1225" w:type="dxa"/>
            <w:noWrap w:val="0"/>
            <w:vAlign w:val="center"/>
          </w:tcPr>
          <w:p w14:paraId="6F730A12">
            <w:pPr>
              <w:adjustRightInd w:val="0"/>
              <w:snapToGrid w:val="0"/>
              <w:spacing w:line="300" w:lineRule="auto"/>
              <w:jc w:val="center"/>
              <w:outlineLvl w:val="9"/>
              <w:rPr>
                <w:rFonts w:hint="eastAsia" w:ascii="宋体" w:hAnsi="宋体" w:eastAsia="宋体" w:cs="宋体"/>
                <w:color w:val="auto"/>
                <w:szCs w:val="21"/>
                <w:highlight w:val="none"/>
              </w:rPr>
            </w:pPr>
          </w:p>
        </w:tc>
        <w:tc>
          <w:tcPr>
            <w:tcW w:w="814" w:type="dxa"/>
            <w:noWrap w:val="0"/>
            <w:vAlign w:val="center"/>
          </w:tcPr>
          <w:p w14:paraId="75AFF7DD">
            <w:pPr>
              <w:adjustRightInd w:val="0"/>
              <w:snapToGrid w:val="0"/>
              <w:spacing w:line="300" w:lineRule="auto"/>
              <w:jc w:val="center"/>
              <w:outlineLvl w:val="9"/>
              <w:rPr>
                <w:rFonts w:hint="eastAsia" w:ascii="宋体" w:hAnsi="宋体" w:eastAsia="宋体" w:cs="宋体"/>
                <w:color w:val="auto"/>
                <w:szCs w:val="21"/>
                <w:highlight w:val="none"/>
              </w:rPr>
            </w:pPr>
          </w:p>
        </w:tc>
      </w:tr>
      <w:bookmarkEnd w:id="48"/>
      <w:bookmarkEnd w:id="49"/>
      <w:bookmarkEnd w:id="50"/>
      <w:bookmarkEnd w:id="51"/>
      <w:bookmarkEnd w:id="52"/>
      <w:bookmarkEnd w:id="53"/>
      <w:bookmarkEnd w:id="54"/>
      <w:bookmarkEnd w:id="55"/>
      <w:bookmarkEnd w:id="56"/>
    </w:tbl>
    <w:p w14:paraId="4455D4A0">
      <w:pPr>
        <w:adjustRightInd w:val="0"/>
        <w:spacing w:line="360" w:lineRule="auto"/>
        <w:contextualSpacing/>
        <w:outlineLvl w:val="9"/>
        <w:rPr>
          <w:rFonts w:hint="eastAsia" w:ascii="宋体" w:hAnsi="宋体" w:eastAsia="宋体" w:cs="宋体"/>
          <w:color w:val="auto"/>
          <w:sz w:val="24"/>
          <w:highlight w:val="none"/>
        </w:rPr>
      </w:pPr>
    </w:p>
    <w:p w14:paraId="3294B413">
      <w:pPr>
        <w:pStyle w:val="14"/>
        <w:spacing w:line="360" w:lineRule="auto"/>
        <w:ind w:firstLine="0" w:firstLineChars="0"/>
        <w:contextualSpacing/>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注：</w:t>
      </w:r>
    </w:p>
    <w:p w14:paraId="4F14ADBA">
      <w:pPr>
        <w:pStyle w:val="14"/>
        <w:spacing w:line="360" w:lineRule="auto"/>
        <w:ind w:firstLine="0" w:firstLineChars="0"/>
        <w:contextualSpacing/>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1.说明：应对照磋商文件“第三章 采购需求”中的服务要求逐条作出明确响应，并作出偏离说明。</w:t>
      </w:r>
    </w:p>
    <w:p w14:paraId="47295AC7">
      <w:pPr>
        <w:pStyle w:val="14"/>
        <w:spacing w:line="360" w:lineRule="auto"/>
        <w:ind w:firstLine="0" w:firstLineChars="0"/>
        <w:contextualSpacing/>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2.供应商应根据自身的承诺，对照磋商文件要求，在“偏离说明”中注明“正偏离”、“负偏离”或者“无偏离”。既不属于“正偏离”也不属于“负偏离”即为“无偏离”。</w:t>
      </w:r>
    </w:p>
    <w:p w14:paraId="652FFE03">
      <w:pPr>
        <w:spacing w:line="360" w:lineRule="auto"/>
        <w:ind w:right="-817" w:rightChars="-389"/>
        <w:contextualSpacing/>
        <w:outlineLvl w:val="9"/>
        <w:rPr>
          <w:rFonts w:hint="eastAsia" w:ascii="宋体" w:hAnsi="宋体" w:eastAsia="宋体" w:cs="宋体"/>
          <w:color w:val="auto"/>
          <w:sz w:val="24"/>
          <w:highlight w:val="none"/>
        </w:rPr>
      </w:pPr>
    </w:p>
    <w:p w14:paraId="7336D2C2">
      <w:pPr>
        <w:spacing w:line="360" w:lineRule="auto"/>
        <w:ind w:right="-817" w:rightChars="-389" w:firstLine="960" w:firstLineChars="400"/>
        <w:contextualSpacing/>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法定代表人或者委托代理人（签字）：</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4B8CEF6B">
      <w:pPr>
        <w:spacing w:line="360" w:lineRule="auto"/>
        <w:ind w:right="-817" w:rightChars="-389" w:firstLine="2640" w:firstLineChars="1100"/>
        <w:contextualSpacing/>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供应商（公章）：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12BEBC02">
      <w:pPr>
        <w:spacing w:line="360" w:lineRule="auto"/>
        <w:ind w:right="-817" w:rightChars="-389" w:firstLine="4080" w:firstLineChars="1700"/>
        <w:contextualSpacing/>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33ED7B9B">
      <w:pPr>
        <w:snapToGrid w:val="0"/>
        <w:spacing w:before="156" w:beforeLines="50" w:after="50"/>
        <w:ind w:left="142"/>
        <w:jc w:val="left"/>
        <w:outlineLvl w:val="9"/>
        <w:rPr>
          <w:rFonts w:hint="eastAsia" w:ascii="宋体" w:hAnsi="宋体" w:eastAsia="宋体" w:cs="宋体"/>
          <w:b/>
          <w:color w:val="auto"/>
          <w:sz w:val="24"/>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sz w:val="24"/>
          <w:highlight w:val="none"/>
        </w:rPr>
        <w:t>项目实施人员一览表格式</w:t>
      </w:r>
    </w:p>
    <w:p w14:paraId="06A35E9F">
      <w:pPr>
        <w:snapToGrid w:val="0"/>
        <w:spacing w:before="156" w:beforeLines="50" w:after="50"/>
        <w:ind w:left="142"/>
        <w:jc w:val="left"/>
        <w:outlineLvl w:val="9"/>
        <w:rPr>
          <w:rFonts w:hint="eastAsia" w:ascii="宋体" w:hAnsi="宋体" w:eastAsia="宋体" w:cs="宋体"/>
          <w:b/>
          <w:color w:val="auto"/>
          <w:sz w:val="24"/>
          <w:highlight w:val="none"/>
        </w:rPr>
      </w:pPr>
    </w:p>
    <w:p w14:paraId="24605E7D">
      <w:pPr>
        <w:spacing w:line="360" w:lineRule="auto"/>
        <w:ind w:left="142"/>
        <w:contextualSpacing/>
        <w:jc w:val="center"/>
        <w:outlineLvl w:val="9"/>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项目实施人员一览表</w:t>
      </w:r>
    </w:p>
    <w:p w14:paraId="43599269">
      <w:pPr>
        <w:spacing w:line="360" w:lineRule="auto"/>
        <w:contextualSpacing/>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采购项目名称：</w:t>
      </w:r>
      <w:r>
        <w:rPr>
          <w:rFonts w:hint="eastAsia" w:ascii="宋体" w:hAnsi="宋体" w:eastAsia="宋体" w:cs="宋体"/>
          <w:color w:val="auto"/>
          <w:sz w:val="24"/>
          <w:highlight w:val="none"/>
          <w:u w:val="single"/>
        </w:rPr>
        <w:t xml:space="preserve">                 </w:t>
      </w:r>
    </w:p>
    <w:p w14:paraId="5A0C03B3">
      <w:pPr>
        <w:spacing w:line="360" w:lineRule="auto"/>
        <w:contextualSpacing/>
        <w:outlineLvl w:val="9"/>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采购项目编号：</w:t>
      </w:r>
      <w:r>
        <w:rPr>
          <w:rFonts w:hint="eastAsia" w:ascii="宋体" w:hAnsi="宋体" w:eastAsia="宋体" w:cs="宋体"/>
          <w:color w:val="auto"/>
          <w:sz w:val="24"/>
          <w:highlight w:val="none"/>
          <w:u w:val="single"/>
        </w:rPr>
        <w:t xml:space="preserve">                 </w:t>
      </w:r>
    </w:p>
    <w:p w14:paraId="7C9CF322">
      <w:pPr>
        <w:spacing w:line="360" w:lineRule="auto"/>
        <w:contextualSpacing/>
        <w:outlineLvl w:val="9"/>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分标号：</w:t>
      </w:r>
      <w:r>
        <w:rPr>
          <w:rFonts w:hint="eastAsia" w:ascii="宋体" w:hAnsi="宋体" w:eastAsia="宋体" w:cs="宋体"/>
          <w:color w:val="auto"/>
          <w:sz w:val="24"/>
          <w:highlight w:val="none"/>
          <w:u w:val="single"/>
        </w:rPr>
        <w:t xml:space="preserve">                       </w:t>
      </w:r>
    </w:p>
    <w:p w14:paraId="1035C1AB">
      <w:pPr>
        <w:pStyle w:val="16"/>
        <w:spacing w:line="360" w:lineRule="auto"/>
        <w:contextualSpacing/>
        <w:outlineLvl w:val="9"/>
        <w:rPr>
          <w:rFonts w:hint="eastAsia" w:ascii="宋体" w:hAnsi="宋体" w:eastAsia="宋体" w:cs="宋体"/>
          <w:color w:val="auto"/>
          <w:sz w:val="24"/>
          <w:szCs w:val="24"/>
          <w:highlight w:val="none"/>
        </w:rPr>
      </w:pP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5"/>
        <w:gridCol w:w="794"/>
        <w:gridCol w:w="1907"/>
        <w:gridCol w:w="1592"/>
        <w:gridCol w:w="1903"/>
        <w:gridCol w:w="2066"/>
      </w:tblGrid>
      <w:tr w14:paraId="672C5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9" w:hRule="atLeast"/>
        </w:trPr>
        <w:tc>
          <w:tcPr>
            <w:tcW w:w="915" w:type="dxa"/>
            <w:vAlign w:val="center"/>
          </w:tcPr>
          <w:p w14:paraId="0819A7EA">
            <w:pPr>
              <w:contextualSpacing/>
              <w:jc w:val="center"/>
              <w:outlineLvl w:val="9"/>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姓名</w:t>
            </w:r>
          </w:p>
        </w:tc>
        <w:tc>
          <w:tcPr>
            <w:tcW w:w="794" w:type="dxa"/>
            <w:vAlign w:val="center"/>
          </w:tcPr>
          <w:p w14:paraId="5E2E0701">
            <w:pPr>
              <w:contextualSpacing/>
              <w:jc w:val="center"/>
              <w:outlineLvl w:val="9"/>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职务</w:t>
            </w:r>
          </w:p>
        </w:tc>
        <w:tc>
          <w:tcPr>
            <w:tcW w:w="1907" w:type="dxa"/>
            <w:vAlign w:val="center"/>
          </w:tcPr>
          <w:p w14:paraId="5CDB9F82">
            <w:pPr>
              <w:contextualSpacing/>
              <w:jc w:val="center"/>
              <w:outlineLvl w:val="9"/>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专业技术资格（职称）或者职业资格或者执业资格证或者其他证书</w:t>
            </w:r>
          </w:p>
        </w:tc>
        <w:tc>
          <w:tcPr>
            <w:tcW w:w="1592" w:type="dxa"/>
            <w:vAlign w:val="center"/>
          </w:tcPr>
          <w:p w14:paraId="001F552C">
            <w:pPr>
              <w:contextualSpacing/>
              <w:jc w:val="center"/>
              <w:outlineLvl w:val="9"/>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证书编号</w:t>
            </w:r>
          </w:p>
        </w:tc>
        <w:tc>
          <w:tcPr>
            <w:tcW w:w="1903" w:type="dxa"/>
            <w:vAlign w:val="center"/>
          </w:tcPr>
          <w:p w14:paraId="4BBB6229">
            <w:pPr>
              <w:contextualSpacing/>
              <w:jc w:val="center"/>
              <w:outlineLvl w:val="9"/>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参加本单位</w:t>
            </w:r>
          </w:p>
          <w:p w14:paraId="11B5A01F">
            <w:pPr>
              <w:contextualSpacing/>
              <w:jc w:val="center"/>
              <w:outlineLvl w:val="9"/>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工作时间</w:t>
            </w:r>
          </w:p>
        </w:tc>
        <w:tc>
          <w:tcPr>
            <w:tcW w:w="2066" w:type="dxa"/>
            <w:vAlign w:val="center"/>
          </w:tcPr>
          <w:p w14:paraId="0458AF65">
            <w:pPr>
              <w:contextualSpacing/>
              <w:jc w:val="center"/>
              <w:outlineLvl w:val="9"/>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备注</w:t>
            </w:r>
          </w:p>
        </w:tc>
      </w:tr>
      <w:tr w14:paraId="75F05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915" w:type="dxa"/>
            <w:vAlign w:val="center"/>
          </w:tcPr>
          <w:p w14:paraId="3C636860">
            <w:pPr>
              <w:spacing w:line="360" w:lineRule="auto"/>
              <w:contextualSpacing/>
              <w:jc w:val="center"/>
              <w:outlineLvl w:val="9"/>
              <w:rPr>
                <w:rFonts w:hint="eastAsia" w:ascii="宋体" w:hAnsi="宋体" w:eastAsia="宋体" w:cs="宋体"/>
                <w:color w:val="auto"/>
                <w:sz w:val="24"/>
                <w:szCs w:val="20"/>
                <w:highlight w:val="none"/>
              </w:rPr>
            </w:pPr>
          </w:p>
        </w:tc>
        <w:tc>
          <w:tcPr>
            <w:tcW w:w="794" w:type="dxa"/>
            <w:vAlign w:val="center"/>
          </w:tcPr>
          <w:p w14:paraId="315C22F5">
            <w:pPr>
              <w:spacing w:line="360" w:lineRule="auto"/>
              <w:contextualSpacing/>
              <w:jc w:val="center"/>
              <w:outlineLvl w:val="9"/>
              <w:rPr>
                <w:rFonts w:hint="eastAsia" w:ascii="宋体" w:hAnsi="宋体" w:eastAsia="宋体" w:cs="宋体"/>
                <w:color w:val="auto"/>
                <w:sz w:val="24"/>
                <w:szCs w:val="20"/>
                <w:highlight w:val="none"/>
              </w:rPr>
            </w:pPr>
          </w:p>
        </w:tc>
        <w:tc>
          <w:tcPr>
            <w:tcW w:w="1907" w:type="dxa"/>
            <w:vAlign w:val="center"/>
          </w:tcPr>
          <w:p w14:paraId="2D2630A4">
            <w:pPr>
              <w:spacing w:line="360" w:lineRule="auto"/>
              <w:contextualSpacing/>
              <w:jc w:val="center"/>
              <w:outlineLvl w:val="9"/>
              <w:rPr>
                <w:rFonts w:hint="eastAsia" w:ascii="宋体" w:hAnsi="宋体" w:eastAsia="宋体" w:cs="宋体"/>
                <w:color w:val="auto"/>
                <w:sz w:val="24"/>
                <w:szCs w:val="20"/>
                <w:highlight w:val="none"/>
              </w:rPr>
            </w:pPr>
          </w:p>
        </w:tc>
        <w:tc>
          <w:tcPr>
            <w:tcW w:w="1592" w:type="dxa"/>
            <w:vAlign w:val="center"/>
          </w:tcPr>
          <w:p w14:paraId="7A626518">
            <w:pPr>
              <w:spacing w:line="360" w:lineRule="auto"/>
              <w:contextualSpacing/>
              <w:jc w:val="center"/>
              <w:outlineLvl w:val="9"/>
              <w:rPr>
                <w:rFonts w:hint="eastAsia" w:ascii="宋体" w:hAnsi="宋体" w:eastAsia="宋体" w:cs="宋体"/>
                <w:color w:val="auto"/>
                <w:sz w:val="24"/>
                <w:szCs w:val="20"/>
                <w:highlight w:val="none"/>
              </w:rPr>
            </w:pPr>
          </w:p>
        </w:tc>
        <w:tc>
          <w:tcPr>
            <w:tcW w:w="1903" w:type="dxa"/>
            <w:vAlign w:val="center"/>
          </w:tcPr>
          <w:p w14:paraId="77D3585C">
            <w:pPr>
              <w:spacing w:line="360" w:lineRule="auto"/>
              <w:contextualSpacing/>
              <w:jc w:val="center"/>
              <w:outlineLvl w:val="9"/>
              <w:rPr>
                <w:rFonts w:hint="eastAsia" w:ascii="宋体" w:hAnsi="宋体" w:eastAsia="宋体" w:cs="宋体"/>
                <w:color w:val="auto"/>
                <w:sz w:val="24"/>
                <w:szCs w:val="20"/>
                <w:highlight w:val="none"/>
              </w:rPr>
            </w:pPr>
          </w:p>
        </w:tc>
        <w:tc>
          <w:tcPr>
            <w:tcW w:w="2066" w:type="dxa"/>
            <w:vAlign w:val="center"/>
          </w:tcPr>
          <w:p w14:paraId="15321AE6">
            <w:pPr>
              <w:spacing w:line="360" w:lineRule="auto"/>
              <w:contextualSpacing/>
              <w:jc w:val="center"/>
              <w:outlineLvl w:val="9"/>
              <w:rPr>
                <w:rFonts w:hint="eastAsia" w:ascii="宋体" w:hAnsi="宋体" w:eastAsia="宋体" w:cs="宋体"/>
                <w:color w:val="auto"/>
                <w:sz w:val="24"/>
                <w:szCs w:val="20"/>
                <w:highlight w:val="none"/>
              </w:rPr>
            </w:pPr>
          </w:p>
        </w:tc>
      </w:tr>
      <w:tr w14:paraId="75CFC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915" w:type="dxa"/>
            <w:vAlign w:val="center"/>
          </w:tcPr>
          <w:p w14:paraId="3162F489">
            <w:pPr>
              <w:spacing w:line="360" w:lineRule="auto"/>
              <w:contextualSpacing/>
              <w:jc w:val="center"/>
              <w:outlineLvl w:val="9"/>
              <w:rPr>
                <w:rFonts w:hint="eastAsia" w:ascii="宋体" w:hAnsi="宋体" w:eastAsia="宋体" w:cs="宋体"/>
                <w:color w:val="auto"/>
                <w:sz w:val="24"/>
                <w:szCs w:val="20"/>
                <w:highlight w:val="none"/>
              </w:rPr>
            </w:pPr>
          </w:p>
        </w:tc>
        <w:tc>
          <w:tcPr>
            <w:tcW w:w="794" w:type="dxa"/>
            <w:vAlign w:val="center"/>
          </w:tcPr>
          <w:p w14:paraId="28E7D14B">
            <w:pPr>
              <w:spacing w:line="360" w:lineRule="auto"/>
              <w:contextualSpacing/>
              <w:jc w:val="center"/>
              <w:outlineLvl w:val="9"/>
              <w:rPr>
                <w:rFonts w:hint="eastAsia" w:ascii="宋体" w:hAnsi="宋体" w:eastAsia="宋体" w:cs="宋体"/>
                <w:color w:val="auto"/>
                <w:sz w:val="24"/>
                <w:szCs w:val="20"/>
                <w:highlight w:val="none"/>
              </w:rPr>
            </w:pPr>
          </w:p>
        </w:tc>
        <w:tc>
          <w:tcPr>
            <w:tcW w:w="1907" w:type="dxa"/>
            <w:vAlign w:val="center"/>
          </w:tcPr>
          <w:p w14:paraId="01C5F813">
            <w:pPr>
              <w:spacing w:line="360" w:lineRule="auto"/>
              <w:contextualSpacing/>
              <w:jc w:val="center"/>
              <w:outlineLvl w:val="9"/>
              <w:rPr>
                <w:rFonts w:hint="eastAsia" w:ascii="宋体" w:hAnsi="宋体" w:eastAsia="宋体" w:cs="宋体"/>
                <w:color w:val="auto"/>
                <w:sz w:val="24"/>
                <w:szCs w:val="20"/>
                <w:highlight w:val="none"/>
              </w:rPr>
            </w:pPr>
          </w:p>
        </w:tc>
        <w:tc>
          <w:tcPr>
            <w:tcW w:w="1592" w:type="dxa"/>
            <w:vAlign w:val="center"/>
          </w:tcPr>
          <w:p w14:paraId="038164F4">
            <w:pPr>
              <w:spacing w:line="360" w:lineRule="auto"/>
              <w:contextualSpacing/>
              <w:jc w:val="center"/>
              <w:outlineLvl w:val="9"/>
              <w:rPr>
                <w:rFonts w:hint="eastAsia" w:ascii="宋体" w:hAnsi="宋体" w:eastAsia="宋体" w:cs="宋体"/>
                <w:color w:val="auto"/>
                <w:sz w:val="24"/>
                <w:szCs w:val="20"/>
                <w:highlight w:val="none"/>
              </w:rPr>
            </w:pPr>
          </w:p>
        </w:tc>
        <w:tc>
          <w:tcPr>
            <w:tcW w:w="1903" w:type="dxa"/>
            <w:vAlign w:val="center"/>
          </w:tcPr>
          <w:p w14:paraId="7DB665D5">
            <w:pPr>
              <w:spacing w:line="360" w:lineRule="auto"/>
              <w:contextualSpacing/>
              <w:jc w:val="center"/>
              <w:outlineLvl w:val="9"/>
              <w:rPr>
                <w:rFonts w:hint="eastAsia" w:ascii="宋体" w:hAnsi="宋体" w:eastAsia="宋体" w:cs="宋体"/>
                <w:color w:val="auto"/>
                <w:sz w:val="24"/>
                <w:szCs w:val="20"/>
                <w:highlight w:val="none"/>
              </w:rPr>
            </w:pPr>
          </w:p>
        </w:tc>
        <w:tc>
          <w:tcPr>
            <w:tcW w:w="2066" w:type="dxa"/>
            <w:vAlign w:val="center"/>
          </w:tcPr>
          <w:p w14:paraId="5C358B5F">
            <w:pPr>
              <w:spacing w:line="360" w:lineRule="auto"/>
              <w:contextualSpacing/>
              <w:jc w:val="center"/>
              <w:outlineLvl w:val="9"/>
              <w:rPr>
                <w:rFonts w:hint="eastAsia" w:ascii="宋体" w:hAnsi="宋体" w:eastAsia="宋体" w:cs="宋体"/>
                <w:color w:val="auto"/>
                <w:sz w:val="24"/>
                <w:szCs w:val="20"/>
                <w:highlight w:val="none"/>
              </w:rPr>
            </w:pPr>
          </w:p>
        </w:tc>
      </w:tr>
      <w:tr w14:paraId="2E8F3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915" w:type="dxa"/>
            <w:vAlign w:val="center"/>
          </w:tcPr>
          <w:p w14:paraId="0A085E87">
            <w:pPr>
              <w:spacing w:line="360" w:lineRule="auto"/>
              <w:contextualSpacing/>
              <w:jc w:val="center"/>
              <w:outlineLvl w:val="9"/>
              <w:rPr>
                <w:rFonts w:hint="eastAsia" w:ascii="宋体" w:hAnsi="宋体" w:eastAsia="宋体" w:cs="宋体"/>
                <w:color w:val="auto"/>
                <w:sz w:val="24"/>
                <w:szCs w:val="20"/>
                <w:highlight w:val="none"/>
              </w:rPr>
            </w:pPr>
          </w:p>
        </w:tc>
        <w:tc>
          <w:tcPr>
            <w:tcW w:w="794" w:type="dxa"/>
            <w:vAlign w:val="center"/>
          </w:tcPr>
          <w:p w14:paraId="749CA874">
            <w:pPr>
              <w:spacing w:line="360" w:lineRule="auto"/>
              <w:contextualSpacing/>
              <w:jc w:val="center"/>
              <w:outlineLvl w:val="9"/>
              <w:rPr>
                <w:rFonts w:hint="eastAsia" w:ascii="宋体" w:hAnsi="宋体" w:eastAsia="宋体" w:cs="宋体"/>
                <w:color w:val="auto"/>
                <w:sz w:val="24"/>
                <w:szCs w:val="20"/>
                <w:highlight w:val="none"/>
              </w:rPr>
            </w:pPr>
          </w:p>
        </w:tc>
        <w:tc>
          <w:tcPr>
            <w:tcW w:w="1907" w:type="dxa"/>
            <w:vAlign w:val="center"/>
          </w:tcPr>
          <w:p w14:paraId="160EA69E">
            <w:pPr>
              <w:spacing w:line="360" w:lineRule="auto"/>
              <w:contextualSpacing/>
              <w:jc w:val="center"/>
              <w:outlineLvl w:val="9"/>
              <w:rPr>
                <w:rFonts w:hint="eastAsia" w:ascii="宋体" w:hAnsi="宋体" w:eastAsia="宋体" w:cs="宋体"/>
                <w:color w:val="auto"/>
                <w:sz w:val="24"/>
                <w:szCs w:val="20"/>
                <w:highlight w:val="none"/>
              </w:rPr>
            </w:pPr>
          </w:p>
        </w:tc>
        <w:tc>
          <w:tcPr>
            <w:tcW w:w="1592" w:type="dxa"/>
            <w:vAlign w:val="center"/>
          </w:tcPr>
          <w:p w14:paraId="3929A5C2">
            <w:pPr>
              <w:spacing w:line="360" w:lineRule="auto"/>
              <w:contextualSpacing/>
              <w:jc w:val="center"/>
              <w:outlineLvl w:val="9"/>
              <w:rPr>
                <w:rFonts w:hint="eastAsia" w:ascii="宋体" w:hAnsi="宋体" w:eastAsia="宋体" w:cs="宋体"/>
                <w:color w:val="auto"/>
                <w:sz w:val="24"/>
                <w:szCs w:val="20"/>
                <w:highlight w:val="none"/>
              </w:rPr>
            </w:pPr>
          </w:p>
        </w:tc>
        <w:tc>
          <w:tcPr>
            <w:tcW w:w="1903" w:type="dxa"/>
            <w:vAlign w:val="center"/>
          </w:tcPr>
          <w:p w14:paraId="741D70B5">
            <w:pPr>
              <w:spacing w:line="360" w:lineRule="auto"/>
              <w:contextualSpacing/>
              <w:jc w:val="center"/>
              <w:outlineLvl w:val="9"/>
              <w:rPr>
                <w:rFonts w:hint="eastAsia" w:ascii="宋体" w:hAnsi="宋体" w:eastAsia="宋体" w:cs="宋体"/>
                <w:color w:val="auto"/>
                <w:sz w:val="24"/>
                <w:szCs w:val="20"/>
                <w:highlight w:val="none"/>
              </w:rPr>
            </w:pPr>
          </w:p>
        </w:tc>
        <w:tc>
          <w:tcPr>
            <w:tcW w:w="2066" w:type="dxa"/>
            <w:vAlign w:val="center"/>
          </w:tcPr>
          <w:p w14:paraId="545B65C8">
            <w:pPr>
              <w:spacing w:line="360" w:lineRule="auto"/>
              <w:contextualSpacing/>
              <w:jc w:val="center"/>
              <w:outlineLvl w:val="9"/>
              <w:rPr>
                <w:rFonts w:hint="eastAsia" w:ascii="宋体" w:hAnsi="宋体" w:eastAsia="宋体" w:cs="宋体"/>
                <w:color w:val="auto"/>
                <w:sz w:val="24"/>
                <w:szCs w:val="20"/>
                <w:highlight w:val="none"/>
              </w:rPr>
            </w:pPr>
          </w:p>
        </w:tc>
      </w:tr>
      <w:tr w14:paraId="18E90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915" w:type="dxa"/>
            <w:vAlign w:val="center"/>
          </w:tcPr>
          <w:p w14:paraId="1DE31F05">
            <w:pPr>
              <w:spacing w:line="360" w:lineRule="auto"/>
              <w:contextualSpacing/>
              <w:jc w:val="center"/>
              <w:outlineLvl w:val="9"/>
              <w:rPr>
                <w:rFonts w:hint="eastAsia" w:ascii="宋体" w:hAnsi="宋体" w:eastAsia="宋体" w:cs="宋体"/>
                <w:color w:val="auto"/>
                <w:sz w:val="24"/>
                <w:szCs w:val="20"/>
                <w:highlight w:val="none"/>
              </w:rPr>
            </w:pPr>
          </w:p>
        </w:tc>
        <w:tc>
          <w:tcPr>
            <w:tcW w:w="794" w:type="dxa"/>
            <w:vAlign w:val="center"/>
          </w:tcPr>
          <w:p w14:paraId="69FC8DE0">
            <w:pPr>
              <w:spacing w:line="360" w:lineRule="auto"/>
              <w:contextualSpacing/>
              <w:jc w:val="center"/>
              <w:outlineLvl w:val="9"/>
              <w:rPr>
                <w:rFonts w:hint="eastAsia" w:ascii="宋体" w:hAnsi="宋体" w:eastAsia="宋体" w:cs="宋体"/>
                <w:color w:val="auto"/>
                <w:sz w:val="24"/>
                <w:szCs w:val="20"/>
                <w:highlight w:val="none"/>
              </w:rPr>
            </w:pPr>
          </w:p>
        </w:tc>
        <w:tc>
          <w:tcPr>
            <w:tcW w:w="1907" w:type="dxa"/>
            <w:vAlign w:val="center"/>
          </w:tcPr>
          <w:p w14:paraId="0AA4AE9B">
            <w:pPr>
              <w:spacing w:line="360" w:lineRule="auto"/>
              <w:contextualSpacing/>
              <w:jc w:val="center"/>
              <w:outlineLvl w:val="9"/>
              <w:rPr>
                <w:rFonts w:hint="eastAsia" w:ascii="宋体" w:hAnsi="宋体" w:eastAsia="宋体" w:cs="宋体"/>
                <w:color w:val="auto"/>
                <w:sz w:val="24"/>
                <w:szCs w:val="20"/>
                <w:highlight w:val="none"/>
              </w:rPr>
            </w:pPr>
          </w:p>
        </w:tc>
        <w:tc>
          <w:tcPr>
            <w:tcW w:w="1592" w:type="dxa"/>
            <w:vAlign w:val="center"/>
          </w:tcPr>
          <w:p w14:paraId="3E6556A6">
            <w:pPr>
              <w:spacing w:line="360" w:lineRule="auto"/>
              <w:contextualSpacing/>
              <w:jc w:val="center"/>
              <w:outlineLvl w:val="9"/>
              <w:rPr>
                <w:rFonts w:hint="eastAsia" w:ascii="宋体" w:hAnsi="宋体" w:eastAsia="宋体" w:cs="宋体"/>
                <w:color w:val="auto"/>
                <w:sz w:val="24"/>
                <w:szCs w:val="20"/>
                <w:highlight w:val="none"/>
              </w:rPr>
            </w:pPr>
          </w:p>
        </w:tc>
        <w:tc>
          <w:tcPr>
            <w:tcW w:w="1903" w:type="dxa"/>
            <w:vAlign w:val="center"/>
          </w:tcPr>
          <w:p w14:paraId="0E2785CB">
            <w:pPr>
              <w:spacing w:line="360" w:lineRule="auto"/>
              <w:contextualSpacing/>
              <w:jc w:val="center"/>
              <w:outlineLvl w:val="9"/>
              <w:rPr>
                <w:rFonts w:hint="eastAsia" w:ascii="宋体" w:hAnsi="宋体" w:eastAsia="宋体" w:cs="宋体"/>
                <w:color w:val="auto"/>
                <w:sz w:val="24"/>
                <w:szCs w:val="20"/>
                <w:highlight w:val="none"/>
              </w:rPr>
            </w:pPr>
          </w:p>
        </w:tc>
        <w:tc>
          <w:tcPr>
            <w:tcW w:w="2066" w:type="dxa"/>
            <w:vAlign w:val="center"/>
          </w:tcPr>
          <w:p w14:paraId="56A0552C">
            <w:pPr>
              <w:spacing w:line="360" w:lineRule="auto"/>
              <w:contextualSpacing/>
              <w:jc w:val="center"/>
              <w:outlineLvl w:val="9"/>
              <w:rPr>
                <w:rFonts w:hint="eastAsia" w:ascii="宋体" w:hAnsi="宋体" w:eastAsia="宋体" w:cs="宋体"/>
                <w:color w:val="auto"/>
                <w:sz w:val="24"/>
                <w:szCs w:val="20"/>
                <w:highlight w:val="none"/>
              </w:rPr>
            </w:pPr>
          </w:p>
        </w:tc>
      </w:tr>
    </w:tbl>
    <w:p w14:paraId="73A55E6C">
      <w:pPr>
        <w:spacing w:line="360" w:lineRule="auto"/>
        <w:contextualSpacing/>
        <w:jc w:val="left"/>
        <w:outlineLvl w:val="9"/>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注：</w:t>
      </w:r>
    </w:p>
    <w:p w14:paraId="4D3D4AC5">
      <w:pPr>
        <w:spacing w:line="360" w:lineRule="auto"/>
        <w:contextualSpacing/>
        <w:jc w:val="left"/>
        <w:outlineLvl w:val="9"/>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1.在填写时，如本表格不适合供应商的实际情况，可根据本表格式自行制表填写。</w:t>
      </w:r>
    </w:p>
    <w:p w14:paraId="6265ADB4">
      <w:pPr>
        <w:spacing w:line="360" w:lineRule="auto"/>
        <w:contextualSpacing/>
        <w:jc w:val="left"/>
        <w:outlineLvl w:val="9"/>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2.供应商应当附本表所列证书的复印件并加盖供应商公章。</w:t>
      </w:r>
    </w:p>
    <w:p w14:paraId="7D2CD5FE">
      <w:pPr>
        <w:pStyle w:val="13"/>
        <w:outlineLvl w:val="9"/>
        <w:rPr>
          <w:rFonts w:hint="eastAsia" w:ascii="宋体" w:hAnsi="宋体" w:eastAsia="宋体" w:cs="宋体"/>
          <w:color w:val="auto"/>
          <w:highlight w:val="none"/>
        </w:rPr>
      </w:pPr>
    </w:p>
    <w:p w14:paraId="77F082F2">
      <w:pPr>
        <w:spacing w:line="360" w:lineRule="auto"/>
        <w:ind w:firstLine="3120" w:firstLineChars="1300"/>
        <w:contextualSpacing/>
        <w:outlineLvl w:val="9"/>
        <w:rPr>
          <w:rFonts w:hint="eastAsia" w:ascii="宋体" w:hAnsi="宋体" w:eastAsia="宋体" w:cs="宋体"/>
          <w:color w:val="auto"/>
          <w:spacing w:val="20"/>
          <w:sz w:val="24"/>
          <w:szCs w:val="20"/>
          <w:highlight w:val="none"/>
          <w:u w:val="single"/>
        </w:rPr>
      </w:pPr>
      <w:r>
        <w:rPr>
          <w:rFonts w:hint="eastAsia" w:ascii="宋体" w:hAnsi="宋体" w:eastAsia="宋体" w:cs="宋体"/>
          <w:color w:val="auto"/>
          <w:sz w:val="24"/>
          <w:highlight w:val="none"/>
        </w:rPr>
        <w:t>法定代表人或者委托代理人（</w:t>
      </w:r>
      <w:r>
        <w:rPr>
          <w:rFonts w:hint="eastAsia" w:ascii="宋体" w:hAnsi="宋体" w:eastAsia="宋体" w:cs="宋体"/>
          <w:color w:val="auto"/>
          <w:spacing w:val="20"/>
          <w:sz w:val="24"/>
          <w:highlight w:val="none"/>
        </w:rPr>
        <w:t>签字</w:t>
      </w:r>
      <w:r>
        <w:rPr>
          <w:rFonts w:hint="eastAsia" w:ascii="宋体" w:hAnsi="宋体" w:eastAsia="宋体" w:cs="宋体"/>
          <w:color w:val="auto"/>
          <w:sz w:val="24"/>
          <w:highlight w:val="none"/>
        </w:rPr>
        <w:t>）</w:t>
      </w:r>
      <w:r>
        <w:rPr>
          <w:rFonts w:hint="eastAsia" w:ascii="宋体" w:hAnsi="宋体" w:eastAsia="宋体" w:cs="宋体"/>
          <w:color w:val="auto"/>
          <w:spacing w:val="20"/>
          <w:sz w:val="24"/>
          <w:highlight w:val="none"/>
        </w:rPr>
        <w:t>：</w:t>
      </w:r>
      <w:r>
        <w:rPr>
          <w:rFonts w:hint="eastAsia" w:ascii="宋体" w:hAnsi="宋体" w:eastAsia="宋体" w:cs="宋体"/>
          <w:color w:val="auto"/>
          <w:spacing w:val="20"/>
          <w:sz w:val="24"/>
          <w:highlight w:val="none"/>
          <w:u w:val="single"/>
        </w:rPr>
        <w:t xml:space="preserve">        </w:t>
      </w:r>
    </w:p>
    <w:p w14:paraId="5AC00385">
      <w:pPr>
        <w:spacing w:line="360" w:lineRule="auto"/>
        <w:ind w:firstLine="3080" w:firstLineChars="1100"/>
        <w:contextualSpacing/>
        <w:jc w:val="left"/>
        <w:outlineLvl w:val="9"/>
        <w:rPr>
          <w:rFonts w:hint="eastAsia" w:ascii="宋体" w:hAnsi="宋体" w:eastAsia="宋体" w:cs="宋体"/>
          <w:color w:val="auto"/>
          <w:spacing w:val="20"/>
          <w:sz w:val="24"/>
          <w:highlight w:val="none"/>
        </w:rPr>
      </w:pPr>
      <w:r>
        <w:rPr>
          <w:rFonts w:hint="eastAsia" w:ascii="宋体" w:hAnsi="宋体" w:eastAsia="宋体" w:cs="宋体"/>
          <w:color w:val="auto"/>
          <w:spacing w:val="20"/>
          <w:sz w:val="24"/>
          <w:highlight w:val="none"/>
        </w:rPr>
        <w:t>供应商（公章）：</w:t>
      </w:r>
      <w:r>
        <w:rPr>
          <w:rFonts w:hint="eastAsia" w:ascii="宋体" w:hAnsi="宋体" w:eastAsia="宋体" w:cs="宋体"/>
          <w:color w:val="auto"/>
          <w:spacing w:val="20"/>
          <w:sz w:val="24"/>
          <w:highlight w:val="none"/>
          <w:u w:val="single"/>
        </w:rPr>
        <w:t xml:space="preserve">            </w:t>
      </w:r>
      <w:r>
        <w:rPr>
          <w:rFonts w:hint="eastAsia" w:ascii="宋体" w:hAnsi="宋体" w:eastAsia="宋体" w:cs="宋体"/>
          <w:color w:val="auto"/>
          <w:spacing w:val="20"/>
          <w:sz w:val="24"/>
          <w:highlight w:val="none"/>
        </w:rPr>
        <w:t xml:space="preserve">              </w:t>
      </w:r>
    </w:p>
    <w:p w14:paraId="43A84ED6">
      <w:pPr>
        <w:spacing w:line="360" w:lineRule="auto"/>
        <w:ind w:firstLine="3080" w:firstLineChars="1100"/>
        <w:contextualSpacing/>
        <w:jc w:val="left"/>
        <w:outlineLvl w:val="9"/>
        <w:rPr>
          <w:rFonts w:hint="eastAsia" w:ascii="宋体" w:hAnsi="宋体" w:eastAsia="宋体" w:cs="宋体"/>
          <w:color w:val="auto"/>
          <w:sz w:val="24"/>
          <w:szCs w:val="20"/>
          <w:highlight w:val="none"/>
        </w:rPr>
      </w:pPr>
      <w:r>
        <w:rPr>
          <w:rFonts w:hint="eastAsia" w:ascii="宋体" w:hAnsi="宋体" w:eastAsia="宋体" w:cs="宋体"/>
          <w:color w:val="auto"/>
          <w:spacing w:val="20"/>
          <w:sz w:val="24"/>
          <w:highlight w:val="none"/>
        </w:rPr>
        <w:t>日 期：</w:t>
      </w:r>
      <w:r>
        <w:rPr>
          <w:rFonts w:hint="eastAsia" w:ascii="宋体" w:hAnsi="宋体" w:eastAsia="宋体" w:cs="宋体"/>
          <w:color w:val="auto"/>
          <w:spacing w:val="20"/>
          <w:sz w:val="24"/>
          <w:highlight w:val="none"/>
          <w:u w:val="single"/>
        </w:rPr>
        <w:t xml:space="preserve">   </w:t>
      </w:r>
      <w:r>
        <w:rPr>
          <w:rFonts w:hint="eastAsia" w:ascii="宋体" w:hAnsi="宋体" w:eastAsia="宋体" w:cs="宋体"/>
          <w:color w:val="auto"/>
          <w:spacing w:val="20"/>
          <w:sz w:val="24"/>
          <w:highlight w:val="none"/>
        </w:rPr>
        <w:t>年</w:t>
      </w:r>
      <w:r>
        <w:rPr>
          <w:rFonts w:hint="eastAsia" w:ascii="宋体" w:hAnsi="宋体" w:eastAsia="宋体" w:cs="宋体"/>
          <w:color w:val="auto"/>
          <w:spacing w:val="20"/>
          <w:sz w:val="24"/>
          <w:highlight w:val="none"/>
          <w:u w:val="single"/>
        </w:rPr>
        <w:t xml:space="preserve">  </w:t>
      </w:r>
      <w:r>
        <w:rPr>
          <w:rFonts w:hint="eastAsia" w:ascii="宋体" w:hAnsi="宋体" w:eastAsia="宋体" w:cs="宋体"/>
          <w:color w:val="auto"/>
          <w:spacing w:val="20"/>
          <w:sz w:val="24"/>
          <w:highlight w:val="none"/>
        </w:rPr>
        <w:t>月</w:t>
      </w:r>
      <w:r>
        <w:rPr>
          <w:rFonts w:hint="eastAsia" w:ascii="宋体" w:hAnsi="宋体" w:eastAsia="宋体" w:cs="宋体"/>
          <w:color w:val="auto"/>
          <w:spacing w:val="20"/>
          <w:sz w:val="24"/>
          <w:highlight w:val="none"/>
          <w:u w:val="single"/>
        </w:rPr>
        <w:t xml:space="preserve">  </w:t>
      </w:r>
      <w:r>
        <w:rPr>
          <w:rFonts w:hint="eastAsia" w:ascii="宋体" w:hAnsi="宋体" w:eastAsia="宋体" w:cs="宋体"/>
          <w:color w:val="auto"/>
          <w:spacing w:val="20"/>
          <w:sz w:val="24"/>
          <w:highlight w:val="none"/>
        </w:rPr>
        <w:t>日</w:t>
      </w:r>
    </w:p>
    <w:p w14:paraId="5D3AB043">
      <w:pPr>
        <w:snapToGrid w:val="0"/>
        <w:spacing w:before="50" w:after="156" w:afterLines="50"/>
        <w:jc w:val="left"/>
        <w:outlineLvl w:val="9"/>
        <w:rPr>
          <w:rFonts w:hint="eastAsia" w:ascii="宋体" w:hAnsi="宋体" w:eastAsia="宋体" w:cs="宋体"/>
          <w:color w:val="auto"/>
          <w:sz w:val="24"/>
          <w:szCs w:val="20"/>
          <w:highlight w:val="none"/>
        </w:rPr>
      </w:pPr>
    </w:p>
    <w:p w14:paraId="3032FC69">
      <w:pPr>
        <w:snapToGrid w:val="0"/>
        <w:spacing w:before="50" w:after="50" w:line="360" w:lineRule="auto"/>
        <w:ind w:right="-817" w:rightChars="-389" w:firstLine="5461" w:firstLineChars="1700"/>
        <w:outlineLvl w:val="9"/>
        <w:rPr>
          <w:rFonts w:hint="eastAsia" w:ascii="宋体" w:hAnsi="宋体" w:eastAsia="宋体" w:cs="宋体"/>
          <w:b/>
          <w:color w:val="auto"/>
          <w:sz w:val="32"/>
          <w:szCs w:val="32"/>
          <w:highlight w:val="none"/>
        </w:rPr>
      </w:pPr>
    </w:p>
    <w:p w14:paraId="0F724542">
      <w:pPr>
        <w:outlineLvl w:val="9"/>
        <w:rPr>
          <w:rFonts w:hint="eastAsia" w:ascii="宋体" w:hAnsi="宋体" w:eastAsia="宋体" w:cs="宋体"/>
          <w:color w:val="auto"/>
          <w:szCs w:val="21"/>
          <w:highlight w:val="none"/>
        </w:rPr>
      </w:pPr>
      <w:r>
        <w:rPr>
          <w:rFonts w:hint="eastAsia" w:ascii="宋体" w:hAnsi="宋体" w:eastAsia="宋体" w:cs="宋体"/>
          <w:b/>
          <w:bCs/>
          <w:color w:val="auto"/>
          <w:sz w:val="24"/>
          <w:highlight w:val="none"/>
        </w:rPr>
        <w:br w:type="page"/>
      </w:r>
      <w:r>
        <w:rPr>
          <w:rFonts w:hint="eastAsia" w:ascii="宋体" w:hAnsi="宋体" w:eastAsia="宋体" w:cs="宋体"/>
          <w:b/>
          <w:bCs/>
          <w:color w:val="auto"/>
          <w:sz w:val="24"/>
          <w:highlight w:val="none"/>
        </w:rPr>
        <w:t>其他文书、文件格式</w:t>
      </w:r>
    </w:p>
    <w:p w14:paraId="7FD77E1F">
      <w:pPr>
        <w:spacing w:line="360" w:lineRule="auto"/>
        <w:jc w:val="center"/>
        <w:outlineLvl w:val="9"/>
        <w:rPr>
          <w:rFonts w:hint="eastAsia" w:ascii="宋体" w:hAnsi="宋体" w:eastAsia="宋体" w:cs="宋体"/>
          <w:b/>
          <w:bCs/>
          <w:color w:val="auto"/>
          <w:sz w:val="32"/>
          <w:szCs w:val="32"/>
          <w:highlight w:val="none"/>
        </w:rPr>
      </w:pPr>
      <w:r>
        <w:rPr>
          <w:rFonts w:hint="eastAsia" w:ascii="宋体" w:hAnsi="宋体" w:eastAsia="宋体" w:cs="宋体"/>
          <w:b/>
          <w:color w:val="auto"/>
          <w:sz w:val="44"/>
          <w:szCs w:val="44"/>
          <w:highlight w:val="none"/>
        </w:rPr>
        <w:t>质疑函</w:t>
      </w:r>
      <w:r>
        <w:rPr>
          <w:rFonts w:hint="eastAsia" w:ascii="宋体" w:hAnsi="宋体" w:eastAsia="宋体" w:cs="宋体"/>
          <w:color w:val="auto"/>
          <w:sz w:val="28"/>
          <w:szCs w:val="28"/>
          <w:highlight w:val="none"/>
        </w:rPr>
        <w:t>（格式）</w:t>
      </w:r>
    </w:p>
    <w:p w14:paraId="61AD0EEE">
      <w:pPr>
        <w:pStyle w:val="16"/>
        <w:spacing w:line="360" w:lineRule="auto"/>
        <w:ind w:firstLine="482" w:firstLineChars="200"/>
        <w:contextualSpacing/>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一、质疑供应商基本信息：</w:t>
      </w:r>
    </w:p>
    <w:p w14:paraId="7FE1AE0D">
      <w:pPr>
        <w:pStyle w:val="16"/>
        <w:spacing w:line="360" w:lineRule="auto"/>
        <w:ind w:firstLine="480" w:firstLineChars="200"/>
        <w:contextualSpacing/>
        <w:outlineLvl w:val="9"/>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质疑供应商：</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02897A19">
      <w:pPr>
        <w:pStyle w:val="16"/>
        <w:spacing w:line="360" w:lineRule="auto"/>
        <w:ind w:firstLine="480" w:firstLineChars="200"/>
        <w:contextualSpacing/>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1AFAFC42">
      <w:pPr>
        <w:pStyle w:val="16"/>
        <w:spacing w:line="360" w:lineRule="auto"/>
        <w:ind w:firstLine="480" w:firstLineChars="200"/>
        <w:contextualSpacing/>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569E9CB5">
      <w:pPr>
        <w:pStyle w:val="16"/>
        <w:spacing w:line="360" w:lineRule="auto"/>
        <w:ind w:firstLine="480" w:firstLineChars="200"/>
        <w:contextualSpacing/>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授权代表：</w:t>
      </w:r>
      <w:r>
        <w:rPr>
          <w:rFonts w:hint="eastAsia" w:ascii="宋体" w:hAnsi="宋体" w:eastAsia="宋体" w:cs="宋体"/>
          <w:bCs/>
          <w:color w:val="auto"/>
          <w:sz w:val="24"/>
          <w:szCs w:val="24"/>
          <w:highlight w:val="none"/>
          <w:u w:val="single"/>
        </w:rPr>
        <w:t xml:space="preserve">                      </w:t>
      </w:r>
    </w:p>
    <w:p w14:paraId="06098C1B">
      <w:pPr>
        <w:pStyle w:val="16"/>
        <w:spacing w:line="360" w:lineRule="auto"/>
        <w:ind w:firstLine="480" w:firstLineChars="200"/>
        <w:contextualSpacing/>
        <w:outlineLvl w:val="9"/>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659A671D">
      <w:pPr>
        <w:pStyle w:val="16"/>
        <w:spacing w:line="360" w:lineRule="auto"/>
        <w:ind w:firstLine="480" w:firstLineChars="200"/>
        <w:contextualSpacing/>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1418C188">
      <w:pPr>
        <w:pStyle w:val="16"/>
        <w:spacing w:line="360" w:lineRule="auto"/>
        <w:ind w:firstLine="482" w:firstLineChars="200"/>
        <w:contextualSpacing/>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二、质疑项目基本情况：</w:t>
      </w:r>
    </w:p>
    <w:p w14:paraId="33106011">
      <w:pPr>
        <w:pStyle w:val="16"/>
        <w:spacing w:line="360" w:lineRule="auto"/>
        <w:ind w:left="25" w:leftChars="12" w:firstLine="472" w:firstLineChars="197"/>
        <w:contextualSpacing/>
        <w:outlineLvl w:val="9"/>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质疑</w:t>
      </w:r>
      <w:r>
        <w:rPr>
          <w:rFonts w:hint="eastAsia" w:ascii="宋体" w:hAnsi="宋体" w:eastAsia="宋体" w:cs="宋体"/>
          <w:color w:val="auto"/>
          <w:sz w:val="24"/>
          <w:szCs w:val="24"/>
          <w:highlight w:val="none"/>
        </w:rPr>
        <w:t>项目的名称：</w:t>
      </w:r>
      <w:r>
        <w:rPr>
          <w:rFonts w:hint="eastAsia" w:ascii="宋体" w:hAnsi="宋体" w:eastAsia="宋体" w:cs="宋体"/>
          <w:bCs/>
          <w:color w:val="auto"/>
          <w:sz w:val="24"/>
          <w:szCs w:val="24"/>
          <w:highlight w:val="none"/>
          <w:u w:val="single"/>
        </w:rPr>
        <w:t xml:space="preserve">                                     </w:t>
      </w:r>
    </w:p>
    <w:p w14:paraId="01C8E456">
      <w:pPr>
        <w:pStyle w:val="16"/>
        <w:spacing w:line="360" w:lineRule="auto"/>
        <w:ind w:left="25" w:leftChars="12" w:firstLine="472" w:firstLineChars="197"/>
        <w:contextualSpacing/>
        <w:outlineLvl w:val="9"/>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质疑</w:t>
      </w:r>
      <w:r>
        <w:rPr>
          <w:rFonts w:hint="eastAsia" w:ascii="宋体" w:hAnsi="宋体" w:eastAsia="宋体" w:cs="宋体"/>
          <w:color w:val="auto"/>
          <w:sz w:val="24"/>
          <w:szCs w:val="24"/>
          <w:highlight w:val="none"/>
        </w:rPr>
        <w:t>项目的编号：</w:t>
      </w:r>
      <w:r>
        <w:rPr>
          <w:rFonts w:hint="eastAsia" w:ascii="宋体" w:hAnsi="宋体" w:eastAsia="宋体" w:cs="宋体"/>
          <w:bCs/>
          <w:color w:val="auto"/>
          <w:sz w:val="24"/>
          <w:szCs w:val="24"/>
          <w:highlight w:val="none"/>
          <w:u w:val="single"/>
        </w:rPr>
        <w:t xml:space="preserve">                                     </w:t>
      </w:r>
    </w:p>
    <w:p w14:paraId="43A1EA57">
      <w:pPr>
        <w:pStyle w:val="16"/>
        <w:spacing w:line="360" w:lineRule="auto"/>
        <w:ind w:left="25" w:leftChars="12" w:firstLine="472" w:firstLineChars="197"/>
        <w:contextualSpacing/>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采购人名称：</w:t>
      </w:r>
      <w:r>
        <w:rPr>
          <w:rFonts w:hint="eastAsia" w:ascii="宋体" w:hAnsi="宋体" w:eastAsia="宋体" w:cs="宋体"/>
          <w:bCs/>
          <w:color w:val="auto"/>
          <w:sz w:val="24"/>
          <w:szCs w:val="24"/>
          <w:highlight w:val="none"/>
          <w:u w:val="single"/>
        </w:rPr>
        <w:t xml:space="preserve">                                         </w:t>
      </w:r>
    </w:p>
    <w:p w14:paraId="5F5844FD">
      <w:pPr>
        <w:pStyle w:val="16"/>
        <w:spacing w:line="360" w:lineRule="auto"/>
        <w:ind w:left="25" w:leftChars="12" w:firstLine="472" w:firstLineChars="197"/>
        <w:contextualSpacing/>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w:t>
      </w:r>
    </w:p>
    <w:p w14:paraId="4F03E5F6">
      <w:pPr>
        <w:pStyle w:val="16"/>
        <w:spacing w:line="360" w:lineRule="auto"/>
        <w:ind w:left="25" w:leftChars="12" w:firstLine="352" w:firstLineChars="147"/>
        <w:contextualSpacing/>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   采购文件获取日期：</w:t>
      </w:r>
      <w:r>
        <w:rPr>
          <w:rFonts w:hint="eastAsia" w:ascii="宋体" w:hAnsi="宋体" w:eastAsia="宋体" w:cs="宋体"/>
          <w:bCs/>
          <w:color w:val="auto"/>
          <w:sz w:val="24"/>
          <w:szCs w:val="24"/>
          <w:highlight w:val="none"/>
          <w:u w:val="single"/>
        </w:rPr>
        <w:t xml:space="preserve">                                   </w:t>
      </w:r>
    </w:p>
    <w:p w14:paraId="43FD4847">
      <w:pPr>
        <w:pStyle w:val="16"/>
        <w:spacing w:line="360" w:lineRule="auto"/>
        <w:ind w:left="25" w:leftChars="12" w:firstLine="352" w:firstLineChars="147"/>
        <w:contextualSpacing/>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□采购过程   </w:t>
      </w:r>
    </w:p>
    <w:p w14:paraId="739122C6">
      <w:pPr>
        <w:pStyle w:val="16"/>
        <w:spacing w:line="360" w:lineRule="auto"/>
        <w:ind w:left="25" w:leftChars="12" w:firstLine="352" w:firstLineChars="147"/>
        <w:contextualSpacing/>
        <w:outlineLvl w:val="9"/>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 xml:space="preserve">□成交结果   </w:t>
      </w:r>
    </w:p>
    <w:p w14:paraId="6BCF6661">
      <w:pPr>
        <w:pStyle w:val="16"/>
        <w:spacing w:line="360" w:lineRule="auto"/>
        <w:ind w:left="25" w:leftChars="12" w:firstLine="472" w:firstLineChars="196"/>
        <w:contextualSpacing/>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三、质疑事项具体内容</w:t>
      </w:r>
    </w:p>
    <w:p w14:paraId="21869428">
      <w:pPr>
        <w:pStyle w:val="16"/>
        <w:spacing w:line="360" w:lineRule="auto"/>
        <w:ind w:left="25" w:leftChars="12" w:firstLine="472" w:firstLineChars="197"/>
        <w:contextualSpacing/>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质疑事项1：</w:t>
      </w:r>
      <w:r>
        <w:rPr>
          <w:rFonts w:hint="eastAsia" w:ascii="宋体" w:hAnsi="宋体" w:eastAsia="宋体" w:cs="宋体"/>
          <w:bCs/>
          <w:color w:val="auto"/>
          <w:sz w:val="24"/>
          <w:szCs w:val="24"/>
          <w:highlight w:val="none"/>
          <w:u w:val="single"/>
        </w:rPr>
        <w:t xml:space="preserve">                                                                    </w:t>
      </w:r>
    </w:p>
    <w:p w14:paraId="090DC2B8">
      <w:pPr>
        <w:pStyle w:val="16"/>
        <w:spacing w:line="360" w:lineRule="auto"/>
        <w:ind w:left="25" w:leftChars="12" w:firstLine="472" w:firstLineChars="197"/>
        <w:contextualSpacing/>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事实依据：</w:t>
      </w:r>
      <w:r>
        <w:rPr>
          <w:rFonts w:hint="eastAsia" w:ascii="宋体" w:hAnsi="宋体" w:eastAsia="宋体" w:cs="宋体"/>
          <w:bCs/>
          <w:color w:val="auto"/>
          <w:sz w:val="24"/>
          <w:szCs w:val="24"/>
          <w:highlight w:val="none"/>
          <w:u w:val="single"/>
        </w:rPr>
        <w:t xml:space="preserve">                                                                      </w:t>
      </w:r>
    </w:p>
    <w:p w14:paraId="55ADE370">
      <w:pPr>
        <w:pStyle w:val="16"/>
        <w:spacing w:line="360" w:lineRule="auto"/>
        <w:ind w:left="25" w:leftChars="12" w:firstLine="472" w:firstLineChars="197"/>
        <w:contextualSpacing/>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single"/>
        </w:rPr>
        <w:t xml:space="preserve">                                                        </w:t>
      </w:r>
      <w:r>
        <w:rPr>
          <w:rFonts w:hint="eastAsia" w:ascii="宋体" w:hAnsi="宋体" w:eastAsia="宋体" w:cs="宋体"/>
          <w:bCs/>
          <w:color w:val="auto"/>
          <w:sz w:val="24"/>
          <w:szCs w:val="24"/>
          <w:highlight w:val="none"/>
          <w:u w:val="single"/>
        </w:rPr>
        <w:t xml:space="preserve">               </w:t>
      </w:r>
    </w:p>
    <w:p w14:paraId="4F2288FC">
      <w:pPr>
        <w:pStyle w:val="16"/>
        <w:spacing w:line="360" w:lineRule="auto"/>
        <w:ind w:left="25" w:leftChars="12" w:firstLine="472" w:firstLineChars="197"/>
        <w:contextualSpacing/>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质疑事项2</w:t>
      </w:r>
    </w:p>
    <w:p w14:paraId="66D55B94">
      <w:pPr>
        <w:pStyle w:val="16"/>
        <w:spacing w:line="360" w:lineRule="auto"/>
        <w:ind w:left="25" w:leftChars="12" w:firstLine="472" w:firstLineChars="197"/>
        <w:contextualSpacing/>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067F3C61">
      <w:pPr>
        <w:pStyle w:val="16"/>
        <w:spacing w:line="360" w:lineRule="auto"/>
        <w:ind w:left="25" w:leftChars="12" w:firstLine="472" w:firstLineChars="197"/>
        <w:contextualSpacing/>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四、与质疑事项相关的质疑请求：</w:t>
      </w:r>
    </w:p>
    <w:p w14:paraId="0FC520D3">
      <w:pPr>
        <w:pStyle w:val="16"/>
        <w:spacing w:line="360" w:lineRule="auto"/>
        <w:ind w:left="25" w:leftChars="12" w:firstLine="472" w:firstLineChars="197"/>
        <w:contextualSpacing/>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bCs/>
          <w:color w:val="auto"/>
          <w:sz w:val="24"/>
          <w:szCs w:val="24"/>
          <w:highlight w:val="none"/>
          <w:u w:val="single"/>
        </w:rPr>
        <w:t xml:space="preserve">                                                                </w:t>
      </w:r>
    </w:p>
    <w:p w14:paraId="1D631186">
      <w:pPr>
        <w:pStyle w:val="16"/>
        <w:spacing w:line="360" w:lineRule="auto"/>
        <w:ind w:left="25" w:leftChars="12" w:firstLine="352" w:firstLineChars="147"/>
        <w:contextualSpacing/>
        <w:rPr>
          <w:rFonts w:hint="eastAsia" w:ascii="宋体" w:hAnsi="宋体" w:eastAsia="宋体" w:cs="宋体"/>
          <w:color w:val="auto"/>
          <w:sz w:val="24"/>
          <w:szCs w:val="24"/>
          <w:highlight w:val="none"/>
        </w:rPr>
      </w:pPr>
    </w:p>
    <w:p w14:paraId="69365FDD">
      <w:pPr>
        <w:pStyle w:val="16"/>
        <w:spacing w:line="360" w:lineRule="auto"/>
        <w:ind w:left="25" w:leftChars="12" w:firstLine="472" w:firstLineChars="197"/>
        <w:contextualSpacing/>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签字（签章）：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公章：</w:t>
      </w:r>
      <w:r>
        <w:rPr>
          <w:rFonts w:hint="eastAsia" w:ascii="宋体" w:hAnsi="宋体" w:eastAsia="宋体" w:cs="宋体"/>
          <w:color w:val="auto"/>
          <w:sz w:val="24"/>
          <w:szCs w:val="24"/>
          <w:highlight w:val="none"/>
          <w:u w:val="single"/>
        </w:rPr>
        <w:t xml:space="preserve">               </w:t>
      </w:r>
    </w:p>
    <w:p w14:paraId="2FD3576B">
      <w:pPr>
        <w:pStyle w:val="16"/>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58E6B2E7">
      <w:pPr>
        <w:rPr>
          <w:rFonts w:hint="eastAsia" w:ascii="宋体" w:hAnsi="宋体" w:eastAsia="宋体" w:cs="宋体"/>
          <w:color w:val="auto"/>
          <w:highlight w:val="none"/>
        </w:rPr>
      </w:pPr>
    </w:p>
    <w:p w14:paraId="434CF150">
      <w:pPr>
        <w:pStyle w:val="13"/>
        <w:rPr>
          <w:rFonts w:hint="eastAsia" w:ascii="宋体" w:hAnsi="宋体" w:eastAsia="宋体" w:cs="宋体"/>
          <w:color w:val="auto"/>
          <w:highlight w:val="none"/>
        </w:rPr>
      </w:pPr>
    </w:p>
    <w:p w14:paraId="490A73F1">
      <w:pPr>
        <w:pStyle w:val="16"/>
        <w:spacing w:line="360" w:lineRule="auto"/>
        <w:ind w:firstLine="482" w:firstLineChars="200"/>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14:paraId="22BC4ADC">
      <w:pPr>
        <w:pStyle w:val="16"/>
        <w:spacing w:line="360" w:lineRule="auto"/>
        <w:ind w:left="25" w:leftChars="12" w:firstLine="354" w:firstLineChars="147"/>
        <w:contextualSpacing/>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1.供应商提出质疑时，应提交质疑函和必要的证明材料</w:t>
      </w:r>
      <w:r>
        <w:rPr>
          <w:rFonts w:hint="eastAsia" w:ascii="宋体" w:hAnsi="宋体" w:eastAsia="宋体" w:cs="宋体"/>
          <w:b/>
          <w:bCs/>
          <w:color w:val="auto"/>
          <w:sz w:val="24"/>
          <w:szCs w:val="24"/>
          <w:highlight w:val="none"/>
        </w:rPr>
        <w:t>。</w:t>
      </w:r>
    </w:p>
    <w:p w14:paraId="66F2D869">
      <w:pPr>
        <w:pStyle w:val="16"/>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1EFDD014">
      <w:pPr>
        <w:pStyle w:val="16"/>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3.质疑函的质疑事项应具体、明确，并有必要的事实依据和法律依据。</w:t>
      </w:r>
    </w:p>
    <w:p w14:paraId="19B7BC2A">
      <w:pPr>
        <w:pStyle w:val="16"/>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4.质疑函的质疑请求应与质疑事项相关。</w:t>
      </w:r>
    </w:p>
    <w:p w14:paraId="1590C9DA">
      <w:pPr>
        <w:pStyle w:val="16"/>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5.质疑供应商为法人或者其他组织的，质疑函应由法定代表人、主要负责人，或者其授权代表签字或者盖章，并加盖公章。</w:t>
      </w:r>
    </w:p>
    <w:p w14:paraId="4597DB53">
      <w:pPr>
        <w:pStyle w:val="16"/>
        <w:snapToGrid w:val="0"/>
        <w:rPr>
          <w:rFonts w:hint="eastAsia" w:ascii="宋体" w:hAnsi="宋体" w:eastAsia="宋体" w:cs="宋体"/>
          <w:b/>
          <w:color w:val="auto"/>
          <w:sz w:val="24"/>
          <w:szCs w:val="24"/>
          <w:highlight w:val="none"/>
        </w:rPr>
      </w:pPr>
    </w:p>
    <w:p w14:paraId="2C12D11D">
      <w:pPr>
        <w:rPr>
          <w:rFonts w:hint="eastAsia" w:ascii="宋体" w:hAnsi="宋体" w:eastAsia="宋体" w:cs="宋体"/>
          <w:color w:val="auto"/>
          <w:sz w:val="32"/>
          <w:szCs w:val="40"/>
          <w:highlight w:val="none"/>
        </w:rPr>
      </w:pPr>
    </w:p>
    <w:p w14:paraId="0E6D8AF5">
      <w:pPr>
        <w:rPr>
          <w:rFonts w:hint="eastAsia" w:ascii="宋体" w:hAnsi="宋体" w:eastAsia="宋体" w:cs="宋体"/>
          <w:color w:val="auto"/>
          <w:sz w:val="32"/>
          <w:szCs w:val="40"/>
          <w:highlight w:val="none"/>
        </w:rPr>
      </w:pPr>
    </w:p>
    <w:p w14:paraId="73CC1E72">
      <w:pPr>
        <w:rPr>
          <w:rFonts w:hint="eastAsia" w:ascii="宋体" w:hAnsi="宋体" w:eastAsia="宋体" w:cs="宋体"/>
          <w:color w:val="auto"/>
          <w:sz w:val="32"/>
          <w:szCs w:val="40"/>
          <w:highlight w:val="none"/>
        </w:rPr>
      </w:pPr>
    </w:p>
    <w:p w14:paraId="52951A16">
      <w:pPr>
        <w:rPr>
          <w:rFonts w:hint="eastAsia" w:ascii="宋体" w:hAnsi="宋体" w:eastAsia="宋体" w:cs="宋体"/>
          <w:color w:val="auto"/>
          <w:sz w:val="32"/>
          <w:szCs w:val="40"/>
          <w:highlight w:val="none"/>
        </w:rPr>
      </w:pPr>
    </w:p>
    <w:p w14:paraId="4093BBFC">
      <w:pPr>
        <w:rPr>
          <w:rFonts w:hint="eastAsia" w:ascii="宋体" w:hAnsi="宋体" w:eastAsia="宋体" w:cs="宋体"/>
          <w:color w:val="auto"/>
          <w:sz w:val="32"/>
          <w:szCs w:val="40"/>
          <w:highlight w:val="none"/>
        </w:rPr>
      </w:pPr>
    </w:p>
    <w:p w14:paraId="52CC7F4C">
      <w:pPr>
        <w:rPr>
          <w:rFonts w:hint="eastAsia" w:ascii="宋体" w:hAnsi="宋体" w:eastAsia="宋体" w:cs="宋体"/>
          <w:color w:val="auto"/>
          <w:sz w:val="32"/>
          <w:szCs w:val="40"/>
          <w:highlight w:val="none"/>
        </w:rPr>
      </w:pPr>
    </w:p>
    <w:p w14:paraId="7857D0E6">
      <w:pPr>
        <w:rPr>
          <w:rFonts w:hint="eastAsia" w:ascii="宋体" w:hAnsi="宋体" w:eastAsia="宋体" w:cs="宋体"/>
          <w:color w:val="auto"/>
          <w:sz w:val="32"/>
          <w:szCs w:val="40"/>
          <w:highlight w:val="none"/>
        </w:rPr>
      </w:pPr>
    </w:p>
    <w:p w14:paraId="735215F3">
      <w:pPr>
        <w:rPr>
          <w:rFonts w:hint="eastAsia" w:ascii="宋体" w:hAnsi="宋体" w:eastAsia="宋体" w:cs="宋体"/>
          <w:color w:val="auto"/>
          <w:sz w:val="32"/>
          <w:szCs w:val="40"/>
          <w:highlight w:val="none"/>
        </w:rPr>
      </w:pPr>
    </w:p>
    <w:p w14:paraId="3E774BCC">
      <w:pPr>
        <w:rPr>
          <w:rFonts w:hint="eastAsia" w:ascii="宋体" w:hAnsi="宋体" w:eastAsia="宋体" w:cs="宋体"/>
          <w:color w:val="auto"/>
          <w:sz w:val="32"/>
          <w:szCs w:val="40"/>
          <w:highlight w:val="none"/>
        </w:rPr>
      </w:pPr>
    </w:p>
    <w:p w14:paraId="2574550E">
      <w:pPr>
        <w:rPr>
          <w:rFonts w:hint="eastAsia" w:ascii="宋体" w:hAnsi="宋体" w:eastAsia="宋体" w:cs="宋体"/>
          <w:color w:val="auto"/>
          <w:sz w:val="32"/>
          <w:szCs w:val="40"/>
          <w:highlight w:val="none"/>
        </w:rPr>
      </w:pPr>
    </w:p>
    <w:p w14:paraId="68BC3CC4">
      <w:pPr>
        <w:rPr>
          <w:rFonts w:hint="eastAsia" w:ascii="宋体" w:hAnsi="宋体" w:eastAsia="宋体" w:cs="宋体"/>
          <w:color w:val="auto"/>
          <w:sz w:val="32"/>
          <w:szCs w:val="40"/>
          <w:highlight w:val="none"/>
        </w:rPr>
      </w:pPr>
    </w:p>
    <w:p w14:paraId="6F2366C8">
      <w:pPr>
        <w:rPr>
          <w:rFonts w:hint="eastAsia" w:ascii="宋体" w:hAnsi="宋体" w:eastAsia="宋体" w:cs="宋体"/>
          <w:color w:val="auto"/>
          <w:sz w:val="32"/>
          <w:szCs w:val="40"/>
          <w:highlight w:val="none"/>
        </w:rPr>
      </w:pPr>
    </w:p>
    <w:p w14:paraId="1429D138">
      <w:pPr>
        <w:rPr>
          <w:rFonts w:hint="eastAsia" w:ascii="宋体" w:hAnsi="宋体" w:eastAsia="宋体" w:cs="宋体"/>
          <w:color w:val="auto"/>
          <w:sz w:val="32"/>
          <w:szCs w:val="40"/>
          <w:highlight w:val="none"/>
        </w:rPr>
      </w:pPr>
    </w:p>
    <w:p w14:paraId="12CDF782">
      <w:pPr>
        <w:rPr>
          <w:rFonts w:hint="eastAsia" w:ascii="宋体" w:hAnsi="宋体" w:eastAsia="宋体" w:cs="宋体"/>
          <w:color w:val="auto"/>
          <w:sz w:val="32"/>
          <w:szCs w:val="40"/>
          <w:highlight w:val="none"/>
        </w:rPr>
      </w:pPr>
    </w:p>
    <w:p w14:paraId="5A1940AA">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44"/>
          <w:szCs w:val="44"/>
          <w:highlight w:val="none"/>
        </w:rPr>
        <w:br w:type="page"/>
      </w:r>
      <w:r>
        <w:rPr>
          <w:rFonts w:hint="eastAsia" w:ascii="宋体" w:hAnsi="宋体" w:eastAsia="宋体" w:cs="宋体"/>
          <w:color w:val="auto"/>
          <w:sz w:val="44"/>
          <w:szCs w:val="44"/>
          <w:highlight w:val="none"/>
        </w:rPr>
        <w:t>投诉书</w:t>
      </w:r>
      <w:r>
        <w:rPr>
          <w:rFonts w:hint="eastAsia" w:ascii="宋体" w:hAnsi="宋体" w:eastAsia="宋体" w:cs="宋体"/>
          <w:color w:val="auto"/>
          <w:sz w:val="28"/>
          <w:szCs w:val="28"/>
          <w:highlight w:val="none"/>
        </w:rPr>
        <w:t>（格式）</w:t>
      </w:r>
    </w:p>
    <w:p w14:paraId="27BFB81E">
      <w:pPr>
        <w:pStyle w:val="16"/>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一、投诉相关主体基本情况：</w:t>
      </w:r>
    </w:p>
    <w:p w14:paraId="7024C87A">
      <w:pPr>
        <w:pStyle w:val="16"/>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供应商：</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45B04F69">
      <w:pPr>
        <w:pStyle w:val="16"/>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522C43A0">
      <w:pPr>
        <w:pStyle w:val="16"/>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法定代表人/主要负责人：</w:t>
      </w:r>
      <w:r>
        <w:rPr>
          <w:rFonts w:hint="eastAsia" w:ascii="宋体" w:hAnsi="宋体" w:eastAsia="宋体" w:cs="宋体"/>
          <w:bCs/>
          <w:color w:val="auto"/>
          <w:sz w:val="24"/>
          <w:szCs w:val="24"/>
          <w:highlight w:val="none"/>
          <w:u w:val="single"/>
        </w:rPr>
        <w:t xml:space="preserve">                                                         </w:t>
      </w:r>
    </w:p>
    <w:p w14:paraId="2536A7FE">
      <w:pPr>
        <w:pStyle w:val="16"/>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240F7CD0">
      <w:pPr>
        <w:pStyle w:val="16"/>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授权代表：</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22479C00">
      <w:pPr>
        <w:pStyle w:val="16"/>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p>
    <w:p w14:paraId="514814AA">
      <w:pPr>
        <w:pStyle w:val="16"/>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2B319EE4">
      <w:pPr>
        <w:pStyle w:val="16"/>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被投诉人1：</w:t>
      </w:r>
    </w:p>
    <w:p w14:paraId="5366BE1C">
      <w:pPr>
        <w:pStyle w:val="16"/>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p>
    <w:p w14:paraId="301C4500">
      <w:pPr>
        <w:pStyle w:val="16"/>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55068F73">
      <w:pPr>
        <w:pStyle w:val="16"/>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457FC32F">
      <w:pPr>
        <w:pStyle w:val="16"/>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被投诉人2：</w:t>
      </w:r>
    </w:p>
    <w:p w14:paraId="2A1D243D">
      <w:pPr>
        <w:pStyle w:val="16"/>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14:paraId="71FED048">
      <w:pPr>
        <w:pStyle w:val="16"/>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相关供应商：</w:t>
      </w:r>
      <w:r>
        <w:rPr>
          <w:rFonts w:hint="eastAsia" w:ascii="宋体" w:hAnsi="宋体" w:eastAsia="宋体" w:cs="宋体"/>
          <w:bCs/>
          <w:color w:val="auto"/>
          <w:sz w:val="24"/>
          <w:szCs w:val="24"/>
          <w:highlight w:val="none"/>
          <w:u w:val="single"/>
        </w:rPr>
        <w:t xml:space="preserve">                                                                       </w:t>
      </w:r>
    </w:p>
    <w:p w14:paraId="54458A7C">
      <w:pPr>
        <w:pStyle w:val="16"/>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p>
    <w:p w14:paraId="0044C4B5">
      <w:pPr>
        <w:pStyle w:val="16"/>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0D586EF3">
      <w:pPr>
        <w:pStyle w:val="16"/>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二、投诉项目基本情况：</w:t>
      </w:r>
    </w:p>
    <w:p w14:paraId="56FCEEA8">
      <w:pPr>
        <w:pStyle w:val="16"/>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采购</w:t>
      </w:r>
      <w:r>
        <w:rPr>
          <w:rFonts w:hint="eastAsia" w:ascii="宋体" w:hAnsi="宋体" w:eastAsia="宋体" w:cs="宋体"/>
          <w:color w:val="auto"/>
          <w:sz w:val="24"/>
          <w:szCs w:val="24"/>
          <w:highlight w:val="none"/>
        </w:rPr>
        <w:t>项目的名称：</w:t>
      </w:r>
      <w:r>
        <w:rPr>
          <w:rFonts w:hint="eastAsia" w:ascii="宋体" w:hAnsi="宋体" w:eastAsia="宋体" w:cs="宋体"/>
          <w:bCs/>
          <w:color w:val="auto"/>
          <w:sz w:val="24"/>
          <w:szCs w:val="24"/>
          <w:highlight w:val="none"/>
          <w:u w:val="single"/>
        </w:rPr>
        <w:t xml:space="preserve">                                                                   </w:t>
      </w:r>
    </w:p>
    <w:p w14:paraId="29ED3952">
      <w:pPr>
        <w:pStyle w:val="16"/>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采购</w:t>
      </w:r>
      <w:r>
        <w:rPr>
          <w:rFonts w:hint="eastAsia" w:ascii="宋体" w:hAnsi="宋体" w:eastAsia="宋体" w:cs="宋体"/>
          <w:color w:val="auto"/>
          <w:sz w:val="24"/>
          <w:szCs w:val="24"/>
          <w:highlight w:val="none"/>
        </w:rPr>
        <w:t>项目的编号：</w:t>
      </w:r>
      <w:r>
        <w:rPr>
          <w:rFonts w:hint="eastAsia" w:ascii="宋体" w:hAnsi="宋体" w:eastAsia="宋体" w:cs="宋体"/>
          <w:bCs/>
          <w:color w:val="auto"/>
          <w:sz w:val="24"/>
          <w:szCs w:val="24"/>
          <w:highlight w:val="none"/>
          <w:u w:val="single"/>
        </w:rPr>
        <w:t xml:space="preserve">                                          </w:t>
      </w:r>
    </w:p>
    <w:p w14:paraId="4417B746">
      <w:pPr>
        <w:pStyle w:val="16"/>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采购人名称：</w:t>
      </w:r>
      <w:r>
        <w:rPr>
          <w:rFonts w:hint="eastAsia" w:ascii="宋体" w:hAnsi="宋体" w:eastAsia="宋体" w:cs="宋体"/>
          <w:bCs/>
          <w:color w:val="auto"/>
          <w:sz w:val="24"/>
          <w:szCs w:val="24"/>
          <w:highlight w:val="none"/>
          <w:u w:val="single"/>
        </w:rPr>
        <w:t xml:space="preserve">                                                                        </w:t>
      </w:r>
    </w:p>
    <w:p w14:paraId="58F7CAF2">
      <w:pPr>
        <w:pStyle w:val="16"/>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代理机构名称：</w:t>
      </w:r>
      <w:r>
        <w:rPr>
          <w:rFonts w:hint="eastAsia" w:ascii="宋体" w:hAnsi="宋体" w:eastAsia="宋体" w:cs="宋体"/>
          <w:bCs/>
          <w:color w:val="auto"/>
          <w:sz w:val="24"/>
          <w:szCs w:val="24"/>
          <w:highlight w:val="none"/>
          <w:u w:val="single"/>
        </w:rPr>
        <w:t xml:space="preserve">                                                                      </w:t>
      </w:r>
    </w:p>
    <w:p w14:paraId="1500D832">
      <w:pPr>
        <w:pStyle w:val="16"/>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竞争性磋商文件公告：</w:t>
      </w:r>
      <w:r>
        <w:rPr>
          <w:rFonts w:hint="eastAsia" w:ascii="宋体" w:hAnsi="宋体" w:eastAsia="宋体" w:cs="宋体"/>
          <w:bCs/>
          <w:color w:val="auto"/>
          <w:sz w:val="24"/>
          <w:szCs w:val="24"/>
          <w:highlight w:val="none"/>
          <w:u w:val="single"/>
        </w:rPr>
        <w:t>是/否</w:t>
      </w:r>
      <w:r>
        <w:rPr>
          <w:rFonts w:hint="eastAsia" w:ascii="宋体" w:hAnsi="宋体" w:eastAsia="宋体" w:cs="宋体"/>
          <w:bCs/>
          <w:color w:val="auto"/>
          <w:sz w:val="24"/>
          <w:szCs w:val="24"/>
          <w:highlight w:val="none"/>
        </w:rPr>
        <w:t>公告期限：</w:t>
      </w:r>
      <w:r>
        <w:rPr>
          <w:rFonts w:hint="eastAsia" w:ascii="宋体" w:hAnsi="宋体" w:eastAsia="宋体" w:cs="宋体"/>
          <w:bCs/>
          <w:color w:val="auto"/>
          <w:sz w:val="24"/>
          <w:szCs w:val="24"/>
          <w:highlight w:val="none"/>
          <w:u w:val="single"/>
        </w:rPr>
        <w:t xml:space="preserve">                                                       </w:t>
      </w:r>
    </w:p>
    <w:p w14:paraId="6BF52F88">
      <w:pPr>
        <w:pStyle w:val="16"/>
        <w:spacing w:line="360" w:lineRule="auto"/>
        <w:ind w:left="25" w:leftChars="12" w:firstLine="472" w:firstLineChars="197"/>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采购结果公告：</w:t>
      </w:r>
      <w:r>
        <w:rPr>
          <w:rFonts w:hint="eastAsia" w:ascii="宋体" w:hAnsi="宋体" w:eastAsia="宋体" w:cs="宋体"/>
          <w:bCs/>
          <w:color w:val="auto"/>
          <w:sz w:val="24"/>
          <w:szCs w:val="24"/>
          <w:highlight w:val="none"/>
          <w:u w:val="single"/>
        </w:rPr>
        <w:t>是/否</w:t>
      </w:r>
      <w:r>
        <w:rPr>
          <w:rFonts w:hint="eastAsia" w:ascii="宋体" w:hAnsi="宋体" w:eastAsia="宋体" w:cs="宋体"/>
          <w:bCs/>
          <w:color w:val="auto"/>
          <w:sz w:val="24"/>
          <w:szCs w:val="24"/>
          <w:highlight w:val="none"/>
        </w:rPr>
        <w:t>公告期限：</w:t>
      </w:r>
      <w:r>
        <w:rPr>
          <w:rFonts w:hint="eastAsia" w:ascii="宋体" w:hAnsi="宋体" w:eastAsia="宋体" w:cs="宋体"/>
          <w:bCs/>
          <w:color w:val="auto"/>
          <w:sz w:val="24"/>
          <w:szCs w:val="24"/>
          <w:highlight w:val="none"/>
          <w:u w:val="single"/>
        </w:rPr>
        <w:t xml:space="preserve">                                                       </w:t>
      </w:r>
    </w:p>
    <w:p w14:paraId="4553E307">
      <w:pPr>
        <w:pStyle w:val="16"/>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三、质疑基本情况</w:t>
      </w:r>
    </w:p>
    <w:p w14:paraId="7F52B030">
      <w:pPr>
        <w:pStyle w:val="16"/>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投诉人于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提出质疑，质疑事项为：</w:t>
      </w:r>
    </w:p>
    <w:p w14:paraId="1FC19796">
      <w:pPr>
        <w:pStyle w:val="16"/>
        <w:spacing w:line="360" w:lineRule="auto"/>
        <w:ind w:firstLine="241"/>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29CCD063">
      <w:pPr>
        <w:pStyle w:val="16"/>
        <w:spacing w:line="360" w:lineRule="auto"/>
        <w:ind w:firstLine="241"/>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240E8073">
      <w:pPr>
        <w:pStyle w:val="16"/>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u w:val="single"/>
        </w:rPr>
        <w:t>采购人/代理机构</w:t>
      </w:r>
      <w:r>
        <w:rPr>
          <w:rFonts w:hint="eastAsia" w:ascii="宋体" w:hAnsi="宋体" w:eastAsia="宋体" w:cs="宋体"/>
          <w:bCs/>
          <w:color w:val="auto"/>
          <w:sz w:val="24"/>
          <w:szCs w:val="24"/>
          <w:highlight w:val="none"/>
        </w:rPr>
        <w:t>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bCs/>
          <w:color w:val="auto"/>
          <w:sz w:val="24"/>
          <w:szCs w:val="24"/>
          <w:highlight w:val="none"/>
        </w:rPr>
        <w:t xml:space="preserve">就质疑事项作出了答复/没有在法定期限内作出答复。                                                                                             </w:t>
      </w:r>
    </w:p>
    <w:p w14:paraId="60D9E853">
      <w:pPr>
        <w:pStyle w:val="16"/>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四、投诉事项具体内容</w:t>
      </w:r>
    </w:p>
    <w:p w14:paraId="3787B66B">
      <w:pPr>
        <w:pStyle w:val="16"/>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投诉事项1：</w:t>
      </w:r>
      <w:r>
        <w:rPr>
          <w:rFonts w:hint="eastAsia" w:ascii="宋体" w:hAnsi="宋体" w:eastAsia="宋体" w:cs="宋体"/>
          <w:bCs/>
          <w:color w:val="auto"/>
          <w:sz w:val="24"/>
          <w:szCs w:val="24"/>
          <w:highlight w:val="none"/>
          <w:u w:val="single"/>
        </w:rPr>
        <w:t xml:space="preserve">                                                                           </w:t>
      </w:r>
    </w:p>
    <w:p w14:paraId="524A2EE6">
      <w:pPr>
        <w:pStyle w:val="16"/>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事实依据：</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418F7A4D">
      <w:pPr>
        <w:pStyle w:val="16"/>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u w:val="single"/>
        </w:rPr>
        <w:t xml:space="preserve">                                                                                        </w:t>
      </w:r>
    </w:p>
    <w:p w14:paraId="41925A1D">
      <w:pPr>
        <w:pStyle w:val="16"/>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法律依据：</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5EC47F7D">
      <w:pPr>
        <w:pStyle w:val="16"/>
        <w:spacing w:line="360" w:lineRule="auto"/>
        <w:ind w:left="25" w:leftChars="12" w:firstLine="352" w:firstLineChars="147"/>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31CF7BA7">
      <w:pPr>
        <w:pStyle w:val="16"/>
        <w:spacing w:line="360" w:lineRule="auto"/>
        <w:ind w:left="25" w:leftChars="12" w:firstLine="472" w:firstLineChars="197"/>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 xml:space="preserve">投诉事项2  </w:t>
      </w:r>
      <w:r>
        <w:rPr>
          <w:rFonts w:hint="eastAsia" w:ascii="宋体" w:hAnsi="宋体" w:eastAsia="宋体" w:cs="宋体"/>
          <w:bCs/>
          <w:color w:val="auto"/>
          <w:sz w:val="24"/>
          <w:szCs w:val="24"/>
          <w:highlight w:val="none"/>
        </w:rPr>
        <w:t xml:space="preserve">   </w:t>
      </w:r>
    </w:p>
    <w:p w14:paraId="2012E121">
      <w:pPr>
        <w:pStyle w:val="16"/>
        <w:spacing w:line="360" w:lineRule="auto"/>
        <w:ind w:left="25" w:leftChars="12" w:firstLine="472" w:firstLineChars="197"/>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14:paraId="54436C75">
      <w:pPr>
        <w:pStyle w:val="16"/>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五、与投诉事项相关的投诉请求：</w:t>
      </w:r>
    </w:p>
    <w:p w14:paraId="37EAAB74">
      <w:pPr>
        <w:pStyle w:val="16"/>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bCs/>
          <w:color w:val="auto"/>
          <w:sz w:val="24"/>
          <w:szCs w:val="24"/>
          <w:highlight w:val="none"/>
          <w:u w:val="single"/>
        </w:rPr>
        <w:t xml:space="preserve">                                                                                 </w:t>
      </w:r>
    </w:p>
    <w:p w14:paraId="481F3D8D">
      <w:pPr>
        <w:pStyle w:val="16"/>
        <w:spacing w:line="360" w:lineRule="auto"/>
        <w:ind w:left="25" w:leftChars="12" w:firstLine="352" w:firstLineChars="147"/>
        <w:rPr>
          <w:rFonts w:hint="eastAsia" w:ascii="宋体" w:hAnsi="宋体" w:eastAsia="宋体" w:cs="宋体"/>
          <w:color w:val="auto"/>
          <w:sz w:val="24"/>
          <w:szCs w:val="24"/>
          <w:highlight w:val="none"/>
        </w:rPr>
      </w:pPr>
    </w:p>
    <w:p w14:paraId="160541D7">
      <w:pPr>
        <w:pStyle w:val="16"/>
        <w:spacing w:line="360" w:lineRule="auto"/>
        <w:ind w:left="25" w:leftChars="12" w:firstLine="472" w:firstLineChars="197"/>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签字（签章）：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公章：</w:t>
      </w:r>
      <w:r>
        <w:rPr>
          <w:rFonts w:hint="eastAsia" w:ascii="宋体" w:hAnsi="宋体" w:eastAsia="宋体" w:cs="宋体"/>
          <w:color w:val="auto"/>
          <w:sz w:val="24"/>
          <w:szCs w:val="24"/>
          <w:highlight w:val="none"/>
          <w:u w:val="single"/>
        </w:rPr>
        <w:t xml:space="preserve">          </w:t>
      </w:r>
    </w:p>
    <w:p w14:paraId="5E78E7F5">
      <w:pPr>
        <w:pStyle w:val="16"/>
        <w:spacing w:line="360" w:lineRule="auto"/>
        <w:ind w:left="25" w:leftChars="12" w:firstLine="352" w:firstLineChars="147"/>
        <w:rPr>
          <w:rFonts w:hint="eastAsia" w:ascii="宋体" w:hAnsi="宋体" w:eastAsia="宋体" w:cs="宋体"/>
          <w:color w:val="auto"/>
          <w:sz w:val="24"/>
          <w:szCs w:val="24"/>
          <w:highlight w:val="none"/>
        </w:rPr>
      </w:pPr>
    </w:p>
    <w:p w14:paraId="25D596AB">
      <w:pPr>
        <w:pStyle w:val="16"/>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1C9EB779">
      <w:pPr>
        <w:pStyle w:val="16"/>
        <w:spacing w:line="360" w:lineRule="auto"/>
        <w:ind w:left="25" w:leftChars="12" w:firstLine="472" w:firstLineChars="197"/>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 xml:space="preserve">                                                                                 </w:t>
      </w:r>
    </w:p>
    <w:p w14:paraId="1532E7E3">
      <w:pPr>
        <w:pStyle w:val="16"/>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14:paraId="7940EB5D">
      <w:pPr>
        <w:pStyle w:val="16"/>
        <w:spacing w:line="360" w:lineRule="auto"/>
        <w:ind w:left="25" w:leftChars="12" w:firstLine="354" w:firstLineChars="147"/>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1.投诉人提起投诉时，应当提交投诉书和必要的证明材料，并按照被投诉人和与投诉事项有关的供应商数量提供投诉书副本</w:t>
      </w:r>
      <w:r>
        <w:rPr>
          <w:rFonts w:hint="eastAsia" w:ascii="宋体" w:hAnsi="宋体" w:eastAsia="宋体" w:cs="宋体"/>
          <w:b/>
          <w:bCs/>
          <w:color w:val="auto"/>
          <w:sz w:val="24"/>
          <w:szCs w:val="24"/>
          <w:highlight w:val="none"/>
        </w:rPr>
        <w:t>。</w:t>
      </w:r>
    </w:p>
    <w:p w14:paraId="47D79FB7">
      <w:pPr>
        <w:pStyle w:val="16"/>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5C1AF4D3">
      <w:pPr>
        <w:pStyle w:val="16"/>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3.投诉书应简要列明质疑事项，质疑函、质疑答复等作为附件材料提供。</w:t>
      </w:r>
    </w:p>
    <w:p w14:paraId="7016E26E">
      <w:pPr>
        <w:pStyle w:val="16"/>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4.投诉书的投诉事项应具体、明确，并有必要的事实依据和法律依据。</w:t>
      </w:r>
    </w:p>
    <w:p w14:paraId="49F224AB">
      <w:pPr>
        <w:pStyle w:val="16"/>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5.投诉书的投诉请求应与投诉事项相关。</w:t>
      </w:r>
    </w:p>
    <w:p w14:paraId="738D8203">
      <w:pPr>
        <w:pStyle w:val="16"/>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6.投诉人为法人或者其他组织的，投诉书应由法定代表人、主要负责人，或者其授权代表签字或者盖章，并加盖公章。</w:t>
      </w:r>
    </w:p>
    <w:p w14:paraId="529BFC63">
      <w:pPr>
        <w:pStyle w:val="16"/>
        <w:spacing w:line="360" w:lineRule="auto"/>
        <w:ind w:left="25" w:leftChars="12" w:firstLine="352" w:firstLineChars="147"/>
        <w:rPr>
          <w:rFonts w:hint="eastAsia" w:ascii="宋体" w:hAnsi="宋体" w:eastAsia="宋体" w:cs="宋体"/>
          <w:color w:val="auto"/>
          <w:sz w:val="24"/>
          <w:szCs w:val="24"/>
          <w:highlight w:val="none"/>
        </w:rPr>
      </w:pPr>
    </w:p>
    <w:p w14:paraId="17CE1FBD">
      <w:pPr>
        <w:pStyle w:val="2"/>
        <w:spacing w:before="0" w:after="0" w:line="460" w:lineRule="exact"/>
        <w:jc w:val="center"/>
        <w:rPr>
          <w:rFonts w:hint="eastAsia" w:ascii="宋体" w:hAnsi="宋体" w:eastAsia="宋体" w:cs="宋体"/>
          <w:color w:val="auto"/>
          <w:highlight w:val="none"/>
        </w:rPr>
      </w:pPr>
      <w:bookmarkStart w:id="72" w:name="_Toc32068"/>
      <w:r>
        <w:rPr>
          <w:rFonts w:hint="eastAsia" w:ascii="宋体" w:hAnsi="宋体" w:eastAsia="宋体" w:cs="宋体"/>
          <w:color w:val="auto"/>
          <w:highlight w:val="none"/>
        </w:rPr>
        <w:t>第六章 拟签订的合同文本</w:t>
      </w:r>
      <w:bookmarkEnd w:id="72"/>
    </w:p>
    <w:p w14:paraId="310AD20B">
      <w:pPr>
        <w:jc w:val="center"/>
        <w:rPr>
          <w:rFonts w:hint="eastAsia" w:ascii="宋体" w:hAnsi="宋体" w:eastAsia="宋体" w:cs="宋体"/>
          <w:b/>
          <w:bCs/>
          <w:color w:val="auto"/>
          <w:kern w:val="44"/>
          <w:sz w:val="44"/>
          <w:szCs w:val="44"/>
          <w:highlight w:val="none"/>
        </w:rPr>
      </w:pPr>
    </w:p>
    <w:p w14:paraId="36B87B13">
      <w:pPr>
        <w:jc w:val="center"/>
        <w:rPr>
          <w:rFonts w:hint="eastAsia" w:ascii="宋体" w:hAnsi="宋体" w:eastAsia="宋体" w:cs="宋体"/>
          <w:b/>
          <w:bCs/>
          <w:color w:val="auto"/>
          <w:kern w:val="44"/>
          <w:sz w:val="44"/>
          <w:szCs w:val="44"/>
          <w:highlight w:val="none"/>
        </w:rPr>
      </w:pPr>
    </w:p>
    <w:p w14:paraId="202F39D9">
      <w:pPr>
        <w:jc w:val="center"/>
        <w:rPr>
          <w:rFonts w:hint="eastAsia" w:ascii="宋体" w:hAnsi="宋体" w:eastAsia="宋体" w:cs="宋体"/>
          <w:b/>
          <w:bCs/>
          <w:color w:val="auto"/>
          <w:kern w:val="44"/>
          <w:sz w:val="44"/>
          <w:szCs w:val="44"/>
          <w:highlight w:val="none"/>
        </w:rPr>
      </w:pPr>
    </w:p>
    <w:p w14:paraId="71733585">
      <w:pPr>
        <w:spacing w:line="360" w:lineRule="auto"/>
        <w:jc w:val="center"/>
        <w:rPr>
          <w:rFonts w:hint="eastAsia" w:ascii="宋体" w:hAnsi="宋体" w:eastAsia="宋体" w:cs="宋体"/>
          <w:b/>
          <w:bCs/>
          <w:color w:val="auto"/>
          <w:sz w:val="40"/>
          <w:szCs w:val="22"/>
          <w:highlight w:val="none"/>
          <w:lang w:eastAsia="zh-CN"/>
        </w:rPr>
      </w:pPr>
      <w:r>
        <w:rPr>
          <w:rFonts w:hint="eastAsia" w:ascii="宋体" w:hAnsi="宋体" w:eastAsia="宋体" w:cs="宋体"/>
          <w:b/>
          <w:bCs/>
          <w:color w:val="auto"/>
          <w:sz w:val="40"/>
          <w:szCs w:val="22"/>
          <w:highlight w:val="none"/>
          <w:lang w:eastAsia="zh-CN"/>
        </w:rPr>
        <w:t>G241线石和镇梨木冲村至博白公路改建工程前期工作采购合同</w:t>
      </w:r>
    </w:p>
    <w:p w14:paraId="6024C7EE">
      <w:pPr>
        <w:spacing w:line="360" w:lineRule="auto"/>
        <w:ind w:firstLine="420" w:firstLineChars="200"/>
        <w:rPr>
          <w:rFonts w:hint="eastAsia" w:ascii="宋体" w:hAnsi="宋体" w:eastAsia="宋体" w:cs="宋体"/>
          <w:color w:val="auto"/>
          <w:highlight w:val="none"/>
        </w:rPr>
      </w:pPr>
    </w:p>
    <w:p w14:paraId="751FD11A">
      <w:pPr>
        <w:spacing w:line="360" w:lineRule="auto"/>
        <w:ind w:firstLine="3507" w:firstLineChars="794"/>
        <w:rPr>
          <w:rFonts w:hint="eastAsia" w:ascii="宋体" w:hAnsi="宋体" w:eastAsia="宋体" w:cs="宋体"/>
          <w:b/>
          <w:bCs/>
          <w:color w:val="auto"/>
          <w:sz w:val="44"/>
          <w:highlight w:val="none"/>
        </w:rPr>
      </w:pPr>
    </w:p>
    <w:p w14:paraId="4232E696">
      <w:pPr>
        <w:spacing w:line="360" w:lineRule="auto"/>
        <w:ind w:firstLine="3507" w:firstLineChars="794"/>
        <w:rPr>
          <w:rFonts w:hint="eastAsia" w:ascii="宋体" w:hAnsi="宋体" w:eastAsia="宋体" w:cs="宋体"/>
          <w:b/>
          <w:bCs/>
          <w:color w:val="auto"/>
          <w:sz w:val="44"/>
          <w:highlight w:val="none"/>
        </w:rPr>
      </w:pPr>
    </w:p>
    <w:p w14:paraId="399B4022">
      <w:pPr>
        <w:spacing w:line="360" w:lineRule="auto"/>
        <w:jc w:val="center"/>
        <w:rPr>
          <w:rFonts w:hint="eastAsia" w:ascii="宋体" w:hAnsi="宋体" w:eastAsia="宋体" w:cs="宋体"/>
          <w:b/>
          <w:bCs/>
          <w:color w:val="auto"/>
          <w:sz w:val="44"/>
          <w:highlight w:val="none"/>
        </w:rPr>
      </w:pPr>
    </w:p>
    <w:p w14:paraId="118F067C">
      <w:pPr>
        <w:ind w:firstLine="1102" w:firstLineChars="392"/>
        <w:rPr>
          <w:rFonts w:hint="eastAsia" w:ascii="宋体" w:hAnsi="宋体" w:eastAsia="宋体" w:cs="宋体"/>
          <w:b/>
          <w:color w:val="auto"/>
          <w:sz w:val="28"/>
          <w:szCs w:val="28"/>
          <w:highlight w:val="none"/>
          <w:u w:val="single"/>
        </w:rPr>
      </w:pPr>
      <w:r>
        <w:rPr>
          <w:rFonts w:hint="eastAsia" w:ascii="宋体" w:hAnsi="宋体" w:eastAsia="宋体" w:cs="宋体"/>
          <w:b/>
          <w:color w:val="auto"/>
          <w:sz w:val="28"/>
          <w:szCs w:val="28"/>
          <w:highlight w:val="none"/>
          <w:lang w:eastAsia="zh-CN"/>
        </w:rPr>
        <w:t>项目</w:t>
      </w:r>
      <w:r>
        <w:rPr>
          <w:rFonts w:hint="eastAsia" w:ascii="宋体" w:hAnsi="宋体" w:eastAsia="宋体" w:cs="宋体"/>
          <w:b/>
          <w:color w:val="auto"/>
          <w:sz w:val="28"/>
          <w:szCs w:val="28"/>
          <w:highlight w:val="none"/>
        </w:rPr>
        <w:t>编号：</w:t>
      </w:r>
      <w:r>
        <w:rPr>
          <w:rFonts w:hint="eastAsia" w:ascii="宋体" w:hAnsi="宋体" w:eastAsia="宋体" w:cs="宋体"/>
          <w:b/>
          <w:color w:val="auto"/>
          <w:sz w:val="28"/>
          <w:szCs w:val="28"/>
          <w:highlight w:val="none"/>
          <w:u w:val="single"/>
        </w:rPr>
        <w:t xml:space="preserve">                 </w:t>
      </w:r>
    </w:p>
    <w:p w14:paraId="6DC3E1F5">
      <w:pPr>
        <w:ind w:firstLine="1102" w:firstLineChars="392"/>
        <w:rPr>
          <w:rFonts w:hint="eastAsia" w:ascii="宋体" w:hAnsi="宋体" w:eastAsia="宋体" w:cs="宋体"/>
          <w:b/>
          <w:color w:val="auto"/>
          <w:sz w:val="28"/>
          <w:szCs w:val="28"/>
          <w:highlight w:val="none"/>
          <w:u w:val="single"/>
        </w:rPr>
      </w:pPr>
    </w:p>
    <w:p w14:paraId="696F3F3D">
      <w:pPr>
        <w:ind w:firstLine="1102" w:firstLineChars="392"/>
        <w:rPr>
          <w:rFonts w:hint="eastAsia" w:ascii="宋体" w:hAnsi="宋体" w:eastAsia="宋体" w:cs="宋体"/>
          <w:color w:val="auto"/>
          <w:sz w:val="44"/>
          <w:highlight w:val="none"/>
          <w:lang w:val="en-US"/>
        </w:rPr>
      </w:pPr>
      <w:r>
        <w:rPr>
          <w:rFonts w:hint="eastAsia" w:ascii="宋体" w:hAnsi="宋体" w:eastAsia="宋体" w:cs="宋体"/>
          <w:b/>
          <w:color w:val="auto"/>
          <w:sz w:val="28"/>
          <w:szCs w:val="28"/>
          <w:highlight w:val="none"/>
          <w:u w:val="none"/>
          <w:lang w:val="en-US" w:eastAsia="zh-CN"/>
        </w:rPr>
        <w:t>分标号：</w:t>
      </w:r>
      <w:r>
        <w:rPr>
          <w:rFonts w:hint="eastAsia" w:ascii="宋体" w:hAnsi="宋体" w:eastAsia="宋体" w:cs="宋体"/>
          <w:b/>
          <w:color w:val="auto"/>
          <w:sz w:val="28"/>
          <w:szCs w:val="28"/>
          <w:highlight w:val="none"/>
          <w:u w:val="single"/>
          <w:lang w:val="en-US" w:eastAsia="zh-CN"/>
        </w:rPr>
        <w:t xml:space="preserve">                 </w:t>
      </w:r>
    </w:p>
    <w:p w14:paraId="7A61F749">
      <w:pPr>
        <w:spacing w:line="360" w:lineRule="auto"/>
        <w:ind w:firstLine="880" w:firstLineChars="200"/>
        <w:rPr>
          <w:rFonts w:hint="eastAsia" w:ascii="宋体" w:hAnsi="宋体" w:eastAsia="宋体" w:cs="宋体"/>
          <w:color w:val="auto"/>
          <w:sz w:val="44"/>
          <w:highlight w:val="none"/>
        </w:rPr>
      </w:pPr>
    </w:p>
    <w:p w14:paraId="6041D58C">
      <w:pPr>
        <w:tabs>
          <w:tab w:val="left" w:pos="7200"/>
        </w:tabs>
        <w:spacing w:line="360" w:lineRule="auto"/>
        <w:ind w:firstLine="1119" w:firstLineChars="398"/>
        <w:rPr>
          <w:rFonts w:hint="eastAsia" w:ascii="宋体" w:hAnsi="宋体" w:eastAsia="宋体" w:cs="宋体"/>
          <w:b/>
          <w:color w:val="auto"/>
          <w:sz w:val="28"/>
          <w:szCs w:val="28"/>
          <w:highlight w:val="none"/>
          <w:u w:val="single"/>
        </w:rPr>
      </w:pPr>
      <w:r>
        <w:rPr>
          <w:rFonts w:hint="eastAsia" w:ascii="宋体" w:hAnsi="宋体" w:eastAsia="宋体" w:cs="宋体"/>
          <w:b/>
          <w:color w:val="auto"/>
          <w:sz w:val="28"/>
          <w:szCs w:val="28"/>
          <w:highlight w:val="none"/>
        </w:rPr>
        <w:t>采购人（甲方）：</w:t>
      </w:r>
      <w:r>
        <w:rPr>
          <w:rFonts w:hint="eastAsia" w:ascii="宋体" w:hAnsi="宋体" w:eastAsia="宋体" w:cs="宋体"/>
          <w:b/>
          <w:color w:val="auto"/>
          <w:sz w:val="28"/>
          <w:szCs w:val="28"/>
          <w:highlight w:val="none"/>
          <w:u w:val="single"/>
        </w:rPr>
        <w:t>广西壮族自治区玉林公路发展中心</w:t>
      </w:r>
    </w:p>
    <w:p w14:paraId="5AC2FB93">
      <w:pPr>
        <w:tabs>
          <w:tab w:val="left" w:pos="7200"/>
        </w:tabs>
        <w:spacing w:line="360" w:lineRule="auto"/>
        <w:ind w:firstLine="1119" w:firstLineChars="398"/>
        <w:rPr>
          <w:rFonts w:hint="eastAsia" w:ascii="宋体" w:hAnsi="宋体" w:eastAsia="宋体" w:cs="宋体"/>
          <w:b/>
          <w:color w:val="auto"/>
          <w:sz w:val="28"/>
          <w:szCs w:val="28"/>
          <w:highlight w:val="none"/>
          <w:u w:val="single"/>
        </w:rPr>
      </w:pPr>
    </w:p>
    <w:p w14:paraId="2748A9F9">
      <w:pPr>
        <w:tabs>
          <w:tab w:val="left" w:pos="7380"/>
        </w:tabs>
        <w:spacing w:line="360" w:lineRule="auto"/>
        <w:ind w:firstLine="1119" w:firstLineChars="398"/>
        <w:rPr>
          <w:rFonts w:hint="eastAsia" w:ascii="宋体" w:hAnsi="宋体" w:eastAsia="宋体" w:cs="宋体"/>
          <w:b/>
          <w:bCs/>
          <w:color w:val="auto"/>
          <w:sz w:val="36"/>
          <w:szCs w:val="21"/>
          <w:highlight w:val="none"/>
        </w:rPr>
      </w:pPr>
      <w:r>
        <w:rPr>
          <w:rFonts w:hint="eastAsia" w:ascii="宋体" w:hAnsi="宋体" w:eastAsia="宋体" w:cs="宋体"/>
          <w:b/>
          <w:color w:val="auto"/>
          <w:sz w:val="28"/>
          <w:szCs w:val="28"/>
          <w:highlight w:val="none"/>
        </w:rPr>
        <w:t>成交供应商（乙方）：</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bCs/>
          <w:color w:val="auto"/>
          <w:sz w:val="36"/>
          <w:szCs w:val="21"/>
          <w:highlight w:val="none"/>
        </w:rPr>
        <w:t xml:space="preserve"> </w:t>
      </w:r>
    </w:p>
    <w:p w14:paraId="124EDA5C">
      <w:pPr>
        <w:pStyle w:val="13"/>
        <w:spacing w:line="360" w:lineRule="auto"/>
        <w:rPr>
          <w:rFonts w:hint="eastAsia" w:ascii="宋体" w:hAnsi="宋体" w:eastAsia="宋体" w:cs="宋体"/>
          <w:b/>
          <w:bCs/>
          <w:color w:val="auto"/>
          <w:sz w:val="21"/>
          <w:szCs w:val="21"/>
          <w:highlight w:val="none"/>
          <w:u w:val="single"/>
        </w:rPr>
      </w:pPr>
      <w:r>
        <w:rPr>
          <w:rFonts w:hint="eastAsia" w:ascii="宋体" w:hAnsi="宋体" w:eastAsia="宋体" w:cs="宋体"/>
          <w:b/>
          <w:color w:val="auto"/>
          <w:sz w:val="36"/>
          <w:szCs w:val="36"/>
          <w:highlight w:val="none"/>
        </w:rPr>
        <w:br w:type="page"/>
      </w:r>
      <w:r>
        <w:rPr>
          <w:rFonts w:hint="eastAsia" w:ascii="宋体" w:hAnsi="宋体" w:eastAsia="宋体" w:cs="宋体"/>
          <w:b/>
          <w:bCs/>
          <w:color w:val="auto"/>
          <w:sz w:val="21"/>
          <w:szCs w:val="21"/>
          <w:highlight w:val="none"/>
        </w:rPr>
        <w:t>采购方（甲方）：</w:t>
      </w:r>
      <w:r>
        <w:rPr>
          <w:rFonts w:hint="eastAsia" w:ascii="宋体" w:hAnsi="宋体" w:eastAsia="宋体" w:cs="宋体"/>
          <w:b/>
          <w:bCs/>
          <w:color w:val="auto"/>
          <w:sz w:val="21"/>
          <w:szCs w:val="21"/>
          <w:highlight w:val="none"/>
          <w:u w:val="single"/>
        </w:rPr>
        <w:t>广西壮族自治区玉林公路发展中心</w:t>
      </w:r>
    </w:p>
    <w:p w14:paraId="2713A1C7">
      <w:pPr>
        <w:pStyle w:val="13"/>
        <w:spacing w:line="360" w:lineRule="auto"/>
        <w:rPr>
          <w:rFonts w:hint="eastAsia" w:ascii="宋体" w:hAnsi="宋体" w:eastAsia="宋体" w:cs="宋体"/>
          <w:b/>
          <w:bCs/>
          <w:color w:val="auto"/>
          <w:sz w:val="21"/>
          <w:szCs w:val="21"/>
          <w:highlight w:val="none"/>
          <w:u w:val="single"/>
        </w:rPr>
      </w:pPr>
      <w:r>
        <w:rPr>
          <w:rFonts w:hint="eastAsia" w:ascii="宋体" w:hAnsi="宋体" w:eastAsia="宋体" w:cs="宋体"/>
          <w:b/>
          <w:bCs/>
          <w:color w:val="auto"/>
          <w:sz w:val="21"/>
          <w:szCs w:val="21"/>
          <w:highlight w:val="none"/>
        </w:rPr>
        <w:t>供应方（乙方）：</w:t>
      </w:r>
      <w:r>
        <w:rPr>
          <w:rFonts w:hint="eastAsia" w:ascii="宋体" w:hAnsi="宋体" w:eastAsia="宋体" w:cs="宋体"/>
          <w:b/>
          <w:bCs/>
          <w:color w:val="auto"/>
          <w:sz w:val="21"/>
          <w:szCs w:val="21"/>
          <w:highlight w:val="none"/>
          <w:u w:val="single"/>
        </w:rPr>
        <w:t xml:space="preserve">                              </w:t>
      </w:r>
      <w:r>
        <w:rPr>
          <w:rFonts w:hint="eastAsia" w:ascii="宋体" w:hAnsi="宋体" w:eastAsia="宋体" w:cs="宋体"/>
          <w:b/>
          <w:bCs/>
          <w:color w:val="auto"/>
          <w:sz w:val="21"/>
          <w:szCs w:val="21"/>
          <w:highlight w:val="none"/>
        </w:rPr>
        <w:t xml:space="preserve">                              </w:t>
      </w:r>
    </w:p>
    <w:p w14:paraId="0470655E">
      <w:pPr>
        <w:pStyle w:val="13"/>
        <w:spacing w:line="360" w:lineRule="auto"/>
        <w:rPr>
          <w:rFonts w:hint="eastAsia" w:ascii="宋体" w:hAnsi="宋体" w:eastAsia="宋体" w:cs="宋体"/>
          <w:color w:val="auto"/>
          <w:sz w:val="21"/>
          <w:szCs w:val="21"/>
          <w:highlight w:val="none"/>
        </w:rPr>
      </w:pPr>
    </w:p>
    <w:p w14:paraId="695F8B53">
      <w:pPr>
        <w:pStyle w:val="13"/>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根据《中华人民共和国政府采购法》、《中华人民共和国民法典》等法律、法规规定，按照磋商文件及响应文件规定条款和成交供应商承诺，甲乙双方签订本合同。</w:t>
      </w:r>
    </w:p>
    <w:p w14:paraId="7B1FFFBC">
      <w:pPr>
        <w:pStyle w:val="13"/>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第一条   本合同签订依据</w:t>
      </w:r>
    </w:p>
    <w:p w14:paraId="11392EE9">
      <w:pPr>
        <w:pStyle w:val="13"/>
        <w:spacing w:line="360" w:lineRule="auto"/>
        <w:ind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w:t>
      </w:r>
      <w:r>
        <w:rPr>
          <w:rFonts w:hint="eastAsia" w:ascii="宋体" w:hAnsi="宋体" w:eastAsia="宋体" w:cs="宋体"/>
          <w:color w:val="auto"/>
          <w:sz w:val="21"/>
          <w:szCs w:val="21"/>
          <w:highlight w:val="none"/>
        </w:rPr>
        <w:t>1）国家及地方相关法律法规、部门规章以及行业标准。</w:t>
      </w:r>
    </w:p>
    <w:p w14:paraId="165FC63B">
      <w:pPr>
        <w:pStyle w:val="13"/>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（2）成交通知书（见附件）。</w:t>
      </w:r>
    </w:p>
    <w:p w14:paraId="20DD86AC">
      <w:pPr>
        <w:pStyle w:val="13"/>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第二条   编制依据</w:t>
      </w:r>
    </w:p>
    <w:p w14:paraId="314E8407">
      <w:pPr>
        <w:pStyle w:val="13"/>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（1）成交通知书。</w:t>
      </w:r>
      <w:r>
        <w:rPr>
          <w:rFonts w:hint="eastAsia" w:ascii="宋体" w:hAnsi="宋体" w:eastAsia="宋体" w:cs="宋体"/>
          <w:color w:val="auto"/>
          <w:sz w:val="21"/>
          <w:szCs w:val="21"/>
          <w:highlight w:val="none"/>
        </w:rPr>
        <w:tab/>
      </w:r>
    </w:p>
    <w:p w14:paraId="35F30F07">
      <w:pPr>
        <w:pStyle w:val="13"/>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（2）甲方提交的基础资料。</w:t>
      </w:r>
    </w:p>
    <w:p w14:paraId="08167966">
      <w:pPr>
        <w:pStyle w:val="13"/>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（3）乙方采用的主要技术标准是：编制原则</w:t>
      </w:r>
    </w:p>
    <w:p w14:paraId="59DDE562">
      <w:pPr>
        <w:pStyle w:val="13"/>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①贯彻执行国家关于公路工程的政策，符合国家的有关法规、规范及标准；</w:t>
      </w:r>
    </w:p>
    <w:p w14:paraId="6FCF94F9">
      <w:pPr>
        <w:pStyle w:val="13"/>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②满足采购单位根据实际情况提出的有关要求；</w:t>
      </w:r>
    </w:p>
    <w:p w14:paraId="723F7999">
      <w:pPr>
        <w:pStyle w:val="13"/>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③质量标准：相关技术标准并结合工程实际情况对以上路段进行编制。成果文件应符合国家规定的相关质量标准、深度要求和现行技术规范、规程要求。</w:t>
      </w:r>
    </w:p>
    <w:p w14:paraId="3C09499C">
      <w:pPr>
        <w:pStyle w:val="13"/>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第三条   合同文件的优先次序</w:t>
      </w:r>
    </w:p>
    <w:p w14:paraId="332350BC">
      <w:pPr>
        <w:pStyle w:val="13"/>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构成本合同的文件可视为是能互相说明的，如果合同文件存在歧义或不一致，则根据如下优先次序来判断：</w:t>
      </w:r>
    </w:p>
    <w:p w14:paraId="5C3AF843">
      <w:pPr>
        <w:pStyle w:val="13"/>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（1）合同书；</w:t>
      </w:r>
      <w:r>
        <w:rPr>
          <w:rFonts w:hint="eastAsia" w:ascii="宋体" w:hAnsi="宋体" w:eastAsia="宋体" w:cs="宋体"/>
          <w:color w:val="auto"/>
          <w:sz w:val="21"/>
          <w:szCs w:val="21"/>
          <w:highlight w:val="none"/>
        </w:rPr>
        <w:tab/>
      </w:r>
    </w:p>
    <w:p w14:paraId="03E637D9">
      <w:pPr>
        <w:pStyle w:val="13"/>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（2）磋商书；</w:t>
      </w:r>
    </w:p>
    <w:p w14:paraId="663B270A">
      <w:pPr>
        <w:pStyle w:val="13"/>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（3）报价表；</w:t>
      </w:r>
    </w:p>
    <w:p w14:paraId="5DFE0976">
      <w:pPr>
        <w:pStyle w:val="13"/>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（4）服务质量承诺；</w:t>
      </w:r>
    </w:p>
    <w:p w14:paraId="28E4DA5C">
      <w:pPr>
        <w:pStyle w:val="13"/>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（5）拟投入的技术力量、人员配置；</w:t>
      </w:r>
    </w:p>
    <w:p w14:paraId="1CA2BA1D">
      <w:pPr>
        <w:pStyle w:val="13"/>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（6）成交通知书。</w:t>
      </w:r>
    </w:p>
    <w:p w14:paraId="5A4C6E6B">
      <w:pPr>
        <w:pStyle w:val="13"/>
        <w:kinsoku w:val="0"/>
        <w:spacing w:line="360" w:lineRule="auto"/>
        <w:ind w:left="565"/>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第四条   本合同项目的名称、规模、投资、阶段及编制内容</w:t>
      </w:r>
    </w:p>
    <w:p w14:paraId="00C1B7EF">
      <w:pPr>
        <w:pStyle w:val="13"/>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b/>
          <w:bCs/>
          <w:color w:val="auto"/>
          <w:sz w:val="21"/>
          <w:szCs w:val="21"/>
          <w:highlight w:val="none"/>
        </w:rPr>
        <w:t>项目名称：</w:t>
      </w:r>
      <w:r>
        <w:rPr>
          <w:rFonts w:hint="eastAsia" w:ascii="宋体" w:hAnsi="宋体" w:eastAsia="宋体" w:cs="宋体"/>
          <w:color w:val="auto"/>
          <w:sz w:val="21"/>
          <w:szCs w:val="21"/>
          <w:highlight w:val="none"/>
          <w:u w:val="single"/>
          <w:lang w:eastAsia="zh-CN"/>
        </w:rPr>
        <w:t>G241线石和镇梨木冲村至博白公路改建工程前期工作采购</w:t>
      </w:r>
      <w:r>
        <w:rPr>
          <w:rFonts w:hint="eastAsia" w:ascii="宋体" w:hAnsi="宋体" w:eastAsia="宋体" w:cs="宋体"/>
          <w:color w:val="auto"/>
          <w:sz w:val="21"/>
          <w:szCs w:val="21"/>
          <w:highlight w:val="none"/>
          <w:u w:val="single"/>
        </w:rPr>
        <w:t xml:space="preserve"> </w:t>
      </w:r>
    </w:p>
    <w:p w14:paraId="1656276E">
      <w:pPr>
        <w:pStyle w:val="13"/>
        <w:spacing w:line="360" w:lineRule="auto"/>
        <w:ind w:firstLine="420" w:firstLineChars="200"/>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项目编号</w:t>
      </w:r>
      <w:r>
        <w:rPr>
          <w:rFonts w:hint="eastAsia" w:ascii="宋体" w:hAnsi="宋体" w:eastAsia="宋体" w:cs="宋体"/>
          <w:color w:val="auto"/>
          <w:spacing w:val="-3"/>
          <w:sz w:val="21"/>
          <w:szCs w:val="21"/>
          <w:highlight w:val="none"/>
        </w:rPr>
        <w:t>：</w:t>
      </w:r>
      <w:r>
        <w:rPr>
          <w:rFonts w:hint="eastAsia" w:ascii="宋体" w:hAnsi="宋体" w:cs="宋体"/>
          <w:color w:val="auto"/>
          <w:sz w:val="21"/>
          <w:szCs w:val="21"/>
          <w:highlight w:val="none"/>
          <w:u w:val="single"/>
          <w:lang w:eastAsia="zh-CN"/>
        </w:rPr>
        <w:t>GXZC2025-C3-003391-ZLGC</w:t>
      </w:r>
    </w:p>
    <w:p w14:paraId="67F8CF9D">
      <w:pPr>
        <w:pStyle w:val="13"/>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合同标的：</w:t>
      </w:r>
      <w:r>
        <w:rPr>
          <w:rFonts w:hint="eastAsia" w:ascii="宋体" w:hAnsi="宋体" w:eastAsia="宋体" w:cs="宋体"/>
          <w:color w:val="auto"/>
          <w:sz w:val="21"/>
          <w:szCs w:val="21"/>
          <w:highlight w:val="none"/>
          <w:lang w:val="en-US" w:eastAsia="zh-CN"/>
        </w:rPr>
        <w:t>项目一览表</w:t>
      </w:r>
    </w:p>
    <w:p w14:paraId="2799B845">
      <w:pPr>
        <w:pStyle w:val="13"/>
        <w:spacing w:line="360" w:lineRule="auto"/>
        <w:ind w:firstLine="420" w:firstLineChars="200"/>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lang w:val="en-US" w:eastAsia="zh-CN"/>
        </w:rPr>
        <w:t>分标号：</w:t>
      </w:r>
      <w:r>
        <w:rPr>
          <w:rFonts w:hint="eastAsia" w:ascii="宋体" w:hAnsi="宋体" w:eastAsia="宋体" w:cs="宋体"/>
          <w:color w:val="auto"/>
          <w:sz w:val="21"/>
          <w:szCs w:val="21"/>
          <w:highlight w:val="none"/>
          <w:u w:val="single"/>
          <w:lang w:val="en-US" w:eastAsia="zh-CN"/>
        </w:rPr>
        <w:t xml:space="preserve">        </w:t>
      </w:r>
    </w:p>
    <w:tbl>
      <w:tblPr>
        <w:tblStyle w:val="29"/>
        <w:tblW w:w="4953" w:type="pct"/>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2110"/>
        <w:gridCol w:w="1272"/>
        <w:gridCol w:w="2209"/>
        <w:gridCol w:w="3251"/>
      </w:tblGrid>
      <w:tr w14:paraId="27702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462" w:type="pct"/>
            <w:tcBorders>
              <w:top w:val="single" w:color="auto" w:sz="4" w:space="0"/>
              <w:left w:val="single" w:color="auto" w:sz="4" w:space="0"/>
              <w:bottom w:val="single" w:color="auto" w:sz="4" w:space="0"/>
              <w:right w:val="single" w:color="auto" w:sz="4" w:space="0"/>
            </w:tcBorders>
            <w:vAlign w:val="center"/>
          </w:tcPr>
          <w:p w14:paraId="23A96926">
            <w:pPr>
              <w:pStyle w:val="13"/>
              <w:spacing w:line="36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1083" w:type="pct"/>
            <w:tcBorders>
              <w:top w:val="single" w:color="auto" w:sz="4" w:space="0"/>
              <w:left w:val="single" w:color="auto" w:sz="4" w:space="0"/>
              <w:bottom w:val="single" w:color="auto" w:sz="4" w:space="0"/>
              <w:right w:val="single" w:color="auto" w:sz="4" w:space="0"/>
            </w:tcBorders>
            <w:vAlign w:val="center"/>
          </w:tcPr>
          <w:p w14:paraId="5F4545AE">
            <w:pPr>
              <w:pStyle w:val="13"/>
              <w:spacing w:line="36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标的名称</w:t>
            </w:r>
          </w:p>
        </w:tc>
        <w:tc>
          <w:tcPr>
            <w:tcW w:w="653" w:type="pct"/>
            <w:tcBorders>
              <w:top w:val="single" w:color="auto" w:sz="4" w:space="0"/>
              <w:left w:val="single" w:color="auto" w:sz="4" w:space="0"/>
              <w:bottom w:val="single" w:color="auto" w:sz="4" w:space="0"/>
              <w:right w:val="single" w:color="auto" w:sz="4" w:space="0"/>
            </w:tcBorders>
            <w:vAlign w:val="center"/>
          </w:tcPr>
          <w:p w14:paraId="10E97853">
            <w:pPr>
              <w:pStyle w:val="13"/>
              <w:spacing w:line="36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数量及单位</w:t>
            </w:r>
          </w:p>
        </w:tc>
        <w:tc>
          <w:tcPr>
            <w:tcW w:w="1134" w:type="pct"/>
            <w:tcBorders>
              <w:top w:val="single" w:color="auto" w:sz="4" w:space="0"/>
              <w:left w:val="single" w:color="auto" w:sz="4" w:space="0"/>
              <w:bottom w:val="single" w:color="auto" w:sz="4" w:space="0"/>
              <w:right w:val="single" w:color="auto" w:sz="4" w:space="0"/>
            </w:tcBorders>
            <w:vAlign w:val="center"/>
          </w:tcPr>
          <w:p w14:paraId="2BF86A59">
            <w:pPr>
              <w:pStyle w:val="13"/>
              <w:spacing w:line="36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服务内容</w:t>
            </w:r>
          </w:p>
        </w:tc>
        <w:tc>
          <w:tcPr>
            <w:tcW w:w="1665" w:type="pct"/>
            <w:tcBorders>
              <w:top w:val="single" w:color="auto" w:sz="4" w:space="0"/>
              <w:left w:val="single" w:color="auto" w:sz="4" w:space="0"/>
              <w:bottom w:val="single" w:color="auto" w:sz="4" w:space="0"/>
              <w:right w:val="single" w:color="auto" w:sz="4" w:space="0"/>
            </w:tcBorders>
            <w:vAlign w:val="center"/>
          </w:tcPr>
          <w:p w14:paraId="11E21C1D">
            <w:pPr>
              <w:pStyle w:val="13"/>
              <w:spacing w:line="36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提交服务成果时间及地点</w:t>
            </w:r>
          </w:p>
        </w:tc>
      </w:tr>
      <w:tr w14:paraId="75B04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462" w:type="pct"/>
            <w:tcBorders>
              <w:top w:val="single" w:color="auto" w:sz="4" w:space="0"/>
              <w:left w:val="single" w:color="auto" w:sz="4" w:space="0"/>
              <w:bottom w:val="single" w:color="auto" w:sz="4" w:space="0"/>
              <w:right w:val="single" w:color="auto" w:sz="4" w:space="0"/>
            </w:tcBorders>
            <w:vAlign w:val="center"/>
          </w:tcPr>
          <w:p w14:paraId="07252A3C">
            <w:pPr>
              <w:pStyle w:val="13"/>
              <w:spacing w:line="360" w:lineRule="auto"/>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083" w:type="pct"/>
            <w:tcBorders>
              <w:top w:val="single" w:color="auto" w:sz="4" w:space="0"/>
              <w:left w:val="single" w:color="auto" w:sz="4" w:space="0"/>
              <w:bottom w:val="single" w:color="auto" w:sz="4" w:space="0"/>
              <w:right w:val="single" w:color="auto" w:sz="4" w:space="0"/>
            </w:tcBorders>
            <w:vAlign w:val="center"/>
          </w:tcPr>
          <w:p w14:paraId="1DE60466">
            <w:pPr>
              <w:pStyle w:val="13"/>
              <w:spacing w:line="360" w:lineRule="auto"/>
              <w:jc w:val="both"/>
              <w:rPr>
                <w:rFonts w:hint="eastAsia" w:ascii="宋体" w:hAnsi="宋体" w:eastAsia="宋体" w:cs="宋体"/>
                <w:color w:val="auto"/>
                <w:sz w:val="21"/>
                <w:szCs w:val="21"/>
                <w:highlight w:val="none"/>
                <w:lang w:val="en-US" w:eastAsia="zh-CN"/>
              </w:rPr>
            </w:pPr>
          </w:p>
        </w:tc>
        <w:tc>
          <w:tcPr>
            <w:tcW w:w="653" w:type="pct"/>
            <w:tcBorders>
              <w:top w:val="single" w:color="auto" w:sz="4" w:space="0"/>
              <w:left w:val="single" w:color="auto" w:sz="4" w:space="0"/>
              <w:bottom w:val="single" w:color="auto" w:sz="4" w:space="0"/>
              <w:right w:val="single" w:color="auto" w:sz="4" w:space="0"/>
            </w:tcBorders>
            <w:vAlign w:val="center"/>
          </w:tcPr>
          <w:p w14:paraId="4F9B2287">
            <w:pPr>
              <w:pStyle w:val="13"/>
              <w:spacing w:line="36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1项</w:t>
            </w:r>
          </w:p>
        </w:tc>
        <w:tc>
          <w:tcPr>
            <w:tcW w:w="1134" w:type="pct"/>
            <w:tcBorders>
              <w:top w:val="single" w:color="auto" w:sz="4" w:space="0"/>
              <w:left w:val="single" w:color="auto" w:sz="4" w:space="0"/>
              <w:bottom w:val="single" w:color="auto" w:sz="4" w:space="0"/>
              <w:right w:val="single" w:color="auto" w:sz="4" w:space="0"/>
            </w:tcBorders>
            <w:vAlign w:val="center"/>
          </w:tcPr>
          <w:p w14:paraId="443814D8">
            <w:pPr>
              <w:pStyle w:val="13"/>
              <w:spacing w:line="36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详见合同附件（采购需求）</w:t>
            </w:r>
          </w:p>
        </w:tc>
        <w:tc>
          <w:tcPr>
            <w:tcW w:w="1665" w:type="pct"/>
            <w:tcBorders>
              <w:top w:val="single" w:color="auto" w:sz="4" w:space="0"/>
              <w:left w:val="single" w:color="auto" w:sz="4" w:space="0"/>
              <w:bottom w:val="single" w:color="auto" w:sz="4" w:space="0"/>
              <w:right w:val="single" w:color="auto" w:sz="4" w:space="0"/>
            </w:tcBorders>
            <w:vAlign w:val="center"/>
          </w:tcPr>
          <w:p w14:paraId="1EC4DAD1">
            <w:pPr>
              <w:pStyle w:val="13"/>
              <w:spacing w:line="36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自签订合同之日起60日历天内提交合格有效的成果资料</w:t>
            </w:r>
          </w:p>
        </w:tc>
      </w:tr>
      <w:tr w14:paraId="2C99E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5000" w:type="pct"/>
            <w:gridSpan w:val="5"/>
            <w:tcBorders>
              <w:top w:val="single" w:color="auto" w:sz="4" w:space="0"/>
              <w:left w:val="single" w:color="auto" w:sz="4" w:space="0"/>
              <w:bottom w:val="single" w:color="auto" w:sz="4" w:space="0"/>
              <w:right w:val="single" w:color="auto" w:sz="4" w:space="0"/>
            </w:tcBorders>
            <w:vAlign w:val="center"/>
          </w:tcPr>
          <w:p w14:paraId="10E9D02D">
            <w:pPr>
              <w:pStyle w:val="13"/>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合同总金额（人民币大写）                     （小写）¥         </w:t>
            </w:r>
          </w:p>
        </w:tc>
      </w:tr>
    </w:tbl>
    <w:p w14:paraId="622A5589">
      <w:pPr>
        <w:pStyle w:val="13"/>
        <w:spacing w:line="360" w:lineRule="auto"/>
        <w:ind w:firstLine="632" w:firstLineChars="3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第五条   甲方向乙方提交的有关资料、文件及时间</w:t>
      </w:r>
    </w:p>
    <w:p w14:paraId="557850AB">
      <w:pPr>
        <w:pStyle w:val="13"/>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甲方负责及时提供道路施工图设计文件等相关文件。</w:t>
      </w:r>
    </w:p>
    <w:p w14:paraId="61A0855E">
      <w:pPr>
        <w:pStyle w:val="13"/>
        <w:spacing w:line="360" w:lineRule="auto"/>
        <w:ind w:firstLine="632" w:firstLineChars="3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第六条   乙方向甲方交付的成果文件、份数、地点及时间</w:t>
      </w:r>
    </w:p>
    <w:p w14:paraId="5647198D">
      <w:pPr>
        <w:pStyle w:val="13"/>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（1）采购文件第三章</w:t>
      </w:r>
      <w:r>
        <w:rPr>
          <w:rFonts w:hint="eastAsia" w:ascii="宋体" w:hAnsi="宋体" w:eastAsia="宋体" w:cs="宋体"/>
          <w:color w:val="auto"/>
          <w:sz w:val="21"/>
          <w:szCs w:val="21"/>
          <w:highlight w:val="none"/>
          <w:lang w:eastAsia="zh-CN"/>
        </w:rPr>
        <w:t>《采购需求》</w:t>
      </w:r>
      <w:r>
        <w:rPr>
          <w:rFonts w:hint="eastAsia" w:ascii="宋体" w:hAnsi="宋体" w:eastAsia="宋体" w:cs="宋体"/>
          <w:color w:val="auto"/>
          <w:sz w:val="21"/>
          <w:szCs w:val="21"/>
          <w:highlight w:val="none"/>
        </w:rPr>
        <w:t>的约定</w:t>
      </w:r>
      <w:r>
        <w:rPr>
          <w:rFonts w:hint="eastAsia" w:ascii="宋体" w:hAnsi="宋体" w:eastAsia="宋体" w:cs="宋体"/>
          <w:color w:val="auto"/>
          <w:sz w:val="21"/>
          <w:szCs w:val="21"/>
          <w:highlight w:val="none"/>
          <w:lang w:eastAsia="zh-CN"/>
        </w:rPr>
        <w:t>及成交供应商递交的竞争性磋商响应文件承诺事项等</w:t>
      </w:r>
      <w:r>
        <w:rPr>
          <w:rFonts w:hint="eastAsia" w:ascii="宋体" w:hAnsi="宋体" w:eastAsia="宋体" w:cs="宋体"/>
          <w:color w:val="auto"/>
          <w:sz w:val="21"/>
          <w:szCs w:val="21"/>
          <w:highlight w:val="none"/>
        </w:rPr>
        <w:t>：</w:t>
      </w:r>
    </w:p>
    <w:p w14:paraId="667FC2AE">
      <w:pPr>
        <w:pStyle w:val="13"/>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成果文件：</w:t>
      </w:r>
      <w:r>
        <w:rPr>
          <w:rFonts w:hint="eastAsia" w:ascii="宋体" w:hAnsi="宋体" w:eastAsia="宋体" w:cs="宋体"/>
          <w:color w:val="auto"/>
          <w:sz w:val="21"/>
          <w:szCs w:val="21"/>
          <w:highlight w:val="none"/>
          <w:lang w:val="en-US" w:eastAsia="zh-CN"/>
        </w:rPr>
        <w:t>乙方需分别独立编制并提交1套成果资料。每套成果资料包含：纸质文本两套及电子文件两套（存储于U盘）。电子文件需根据甲方需要，提供专题报告相关的CAD、PDF、EXCEL、WORD等格式文件。</w:t>
      </w:r>
    </w:p>
    <w:p w14:paraId="42AC1743">
      <w:pPr>
        <w:pStyle w:val="13"/>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（3）提交时间：自签订合同之日起</w:t>
      </w:r>
      <w:r>
        <w:rPr>
          <w:rFonts w:hint="eastAsia" w:ascii="宋体" w:hAnsi="宋体" w:eastAsia="宋体" w:cs="宋体"/>
          <w:color w:val="auto"/>
          <w:sz w:val="21"/>
          <w:szCs w:val="21"/>
          <w:highlight w:val="none"/>
          <w:lang w:val="en-US" w:eastAsia="zh-CN"/>
        </w:rPr>
        <w:t>60</w:t>
      </w:r>
      <w:r>
        <w:rPr>
          <w:rFonts w:hint="eastAsia" w:ascii="宋体" w:hAnsi="宋体" w:eastAsia="宋体" w:cs="宋体"/>
          <w:color w:val="auto"/>
          <w:sz w:val="21"/>
          <w:szCs w:val="21"/>
          <w:highlight w:val="none"/>
        </w:rPr>
        <w:t>日历天内提交合格有效的成果资料。</w:t>
      </w:r>
    </w:p>
    <w:p w14:paraId="28F85481">
      <w:pPr>
        <w:pStyle w:val="13"/>
        <w:spacing w:line="360" w:lineRule="auto"/>
        <w:ind w:firstLine="481" w:firstLineChars="228"/>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第七条  合同金额及优惠</w:t>
      </w:r>
    </w:p>
    <w:p w14:paraId="6581902D">
      <w:pPr>
        <w:pStyle w:val="13"/>
        <w:spacing w:line="360" w:lineRule="auto"/>
        <w:ind w:firstLine="478" w:firstLineChars="2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（1）本合同总价为</w:t>
      </w:r>
      <w:r>
        <w:rPr>
          <w:rFonts w:hint="eastAsia" w:ascii="宋体" w:hAnsi="宋体" w:eastAsia="宋体" w:cs="宋体"/>
          <w:color w:val="auto"/>
          <w:sz w:val="21"/>
          <w:szCs w:val="21"/>
          <w:highlight w:val="none"/>
          <w:u w:val="single"/>
        </w:rPr>
        <w:t>人民币    元整（￥</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元）</w:t>
      </w:r>
      <w:r>
        <w:rPr>
          <w:rFonts w:hint="eastAsia" w:ascii="宋体" w:hAnsi="宋体" w:eastAsia="宋体" w:cs="宋体"/>
          <w:color w:val="auto"/>
          <w:sz w:val="21"/>
          <w:szCs w:val="21"/>
          <w:highlight w:val="none"/>
        </w:rPr>
        <w:t>，由乙方包干使用。包含（但不限于）编制费、成果印刷费及税费等所有与报告编制相关工作的费用等。在合同实施期间不因市场价格变化等因素而变动。</w:t>
      </w:r>
    </w:p>
    <w:p w14:paraId="0E3335A6">
      <w:pPr>
        <w:pStyle w:val="13"/>
        <w:spacing w:line="360" w:lineRule="auto"/>
        <w:ind w:firstLine="478" w:firstLineChars="2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（2）若项目停建或缓建，甲方均应根据乙方已完成的工作量支付编制费。</w:t>
      </w:r>
    </w:p>
    <w:p w14:paraId="75ECCA12">
      <w:pPr>
        <w:pStyle w:val="13"/>
        <w:kinsoku w:val="0"/>
        <w:overflowPunct w:val="0"/>
        <w:spacing w:line="360" w:lineRule="auto"/>
        <w:ind w:right="105" w:rightChars="50" w:firstLine="481" w:firstLineChars="228"/>
        <w:contextualSpacing/>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第八条  编制费支付方式及支付期限</w:t>
      </w:r>
    </w:p>
    <w:p w14:paraId="28EFD30F">
      <w:pPr>
        <w:pStyle w:val="13"/>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签订合同后甲方</w:t>
      </w:r>
      <w:r>
        <w:rPr>
          <w:rFonts w:hint="eastAsia" w:ascii="宋体" w:hAnsi="宋体" w:eastAsia="宋体" w:cs="宋体"/>
          <w:color w:val="auto"/>
          <w:sz w:val="21"/>
          <w:szCs w:val="21"/>
          <w:highlight w:val="none"/>
          <w:lang w:val="en-US" w:eastAsia="zh-CN"/>
        </w:rPr>
        <w:t>在10个工作日内</w:t>
      </w:r>
      <w:r>
        <w:rPr>
          <w:rFonts w:hint="eastAsia" w:ascii="宋体" w:hAnsi="宋体" w:eastAsia="宋体" w:cs="宋体"/>
          <w:color w:val="auto"/>
          <w:sz w:val="21"/>
          <w:szCs w:val="21"/>
          <w:highlight w:val="none"/>
        </w:rPr>
        <w:t>支付</w:t>
      </w:r>
      <w:r>
        <w:rPr>
          <w:rFonts w:hint="eastAsia" w:ascii="宋体" w:hAnsi="宋体" w:eastAsia="宋体" w:cs="宋体"/>
          <w:color w:val="auto"/>
          <w:sz w:val="21"/>
          <w:szCs w:val="21"/>
          <w:highlight w:val="none"/>
          <w:lang w:val="en-US" w:eastAsia="zh-CN"/>
        </w:rPr>
        <w:t>合同金额的</w:t>
      </w:r>
      <w:r>
        <w:rPr>
          <w:rFonts w:hint="eastAsia" w:ascii="宋体" w:hAnsi="宋体" w:eastAsia="宋体" w:cs="宋体"/>
          <w:color w:val="auto"/>
          <w:sz w:val="21"/>
          <w:szCs w:val="21"/>
          <w:highlight w:val="none"/>
        </w:rPr>
        <w:t>30%</w:t>
      </w:r>
      <w:r>
        <w:rPr>
          <w:rFonts w:hint="eastAsia" w:ascii="宋体" w:hAnsi="宋体" w:eastAsia="宋体" w:cs="宋体"/>
          <w:color w:val="auto"/>
          <w:sz w:val="21"/>
          <w:szCs w:val="21"/>
          <w:highlight w:val="none"/>
          <w:lang w:val="en-US" w:eastAsia="zh-CN"/>
        </w:rPr>
        <w:t>给</w:t>
      </w:r>
      <w:r>
        <w:rPr>
          <w:rFonts w:hint="eastAsia" w:ascii="宋体" w:hAnsi="宋体" w:eastAsia="宋体" w:cs="宋体"/>
          <w:color w:val="auto"/>
          <w:sz w:val="21"/>
          <w:szCs w:val="21"/>
          <w:highlight w:val="none"/>
        </w:rPr>
        <w:t>乙方，</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完成并提交成果文件最终版后，甲方支付剩余</w:t>
      </w:r>
      <w:r>
        <w:rPr>
          <w:rFonts w:hint="eastAsia" w:ascii="宋体" w:hAnsi="宋体" w:eastAsia="宋体" w:cs="宋体"/>
          <w:color w:val="auto"/>
          <w:sz w:val="21"/>
          <w:szCs w:val="21"/>
          <w:highlight w:val="none"/>
          <w:lang w:val="en-US" w:eastAsia="zh-CN"/>
        </w:rPr>
        <w:t>合同金额的</w:t>
      </w:r>
      <w:r>
        <w:rPr>
          <w:rFonts w:hint="eastAsia" w:ascii="宋体" w:hAnsi="宋体" w:eastAsia="宋体" w:cs="宋体"/>
          <w:color w:val="auto"/>
          <w:sz w:val="21"/>
          <w:szCs w:val="21"/>
          <w:highlight w:val="none"/>
        </w:rPr>
        <w:t>70%</w:t>
      </w:r>
      <w:r>
        <w:rPr>
          <w:rFonts w:hint="eastAsia" w:ascii="宋体" w:hAnsi="宋体" w:eastAsia="宋体" w:cs="宋体"/>
          <w:color w:val="auto"/>
          <w:sz w:val="21"/>
          <w:szCs w:val="21"/>
          <w:highlight w:val="none"/>
          <w:lang w:val="en-US" w:eastAsia="zh-CN"/>
        </w:rPr>
        <w:t>给</w:t>
      </w:r>
      <w:r>
        <w:rPr>
          <w:rFonts w:hint="eastAsia" w:ascii="宋体" w:hAnsi="宋体" w:eastAsia="宋体" w:cs="宋体"/>
          <w:color w:val="auto"/>
          <w:sz w:val="21"/>
          <w:szCs w:val="21"/>
          <w:highlight w:val="none"/>
        </w:rPr>
        <w:t>乙方。</w:t>
      </w:r>
      <w:r>
        <w:rPr>
          <w:rFonts w:hint="eastAsia" w:ascii="宋体" w:hAnsi="宋体" w:eastAsia="宋体" w:cs="宋体"/>
          <w:color w:val="auto"/>
          <w:sz w:val="21"/>
          <w:szCs w:val="21"/>
          <w:highlight w:val="none"/>
          <w:lang w:val="en-US" w:eastAsia="zh-CN"/>
        </w:rPr>
        <w:t>成交供应商</w:t>
      </w:r>
      <w:r>
        <w:rPr>
          <w:rFonts w:hint="eastAsia" w:ascii="宋体" w:hAnsi="宋体" w:eastAsia="宋体" w:cs="宋体"/>
          <w:color w:val="auto"/>
          <w:sz w:val="21"/>
          <w:szCs w:val="21"/>
          <w:highlight w:val="none"/>
        </w:rPr>
        <w:t>收到付款于3个工作日内开具等额的财务发票给甲方</w:t>
      </w:r>
      <w:r>
        <w:rPr>
          <w:rFonts w:hint="eastAsia" w:ascii="宋体" w:hAnsi="宋体" w:eastAsia="宋体" w:cs="宋体"/>
          <w:color w:val="auto"/>
          <w:sz w:val="21"/>
          <w:szCs w:val="21"/>
          <w:highlight w:val="none"/>
          <w:lang w:eastAsia="zh-CN"/>
        </w:rPr>
        <w:t>。</w:t>
      </w:r>
    </w:p>
    <w:p w14:paraId="07473A9D">
      <w:pPr>
        <w:pStyle w:val="13"/>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第九条  违约责任</w:t>
      </w:r>
    </w:p>
    <w:p w14:paraId="42612240">
      <w:pPr>
        <w:pStyle w:val="13"/>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pacing w:val="-3"/>
          <w:sz w:val="21"/>
          <w:szCs w:val="21"/>
          <w:highlight w:val="none"/>
        </w:rPr>
        <w:t>甲方违约责任</w:t>
      </w:r>
    </w:p>
    <w:p w14:paraId="3C2CDB91">
      <w:pPr>
        <w:pStyle w:val="13"/>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①合同签订后，甲方应按乙方报送的文件和双方约定的时间要求，向乙方提供现有的、能为乙方所利用的资料。甲方未按约定时间提供基础资料的，乙方交付文件的时间相应延长。</w:t>
      </w:r>
    </w:p>
    <w:p w14:paraId="56E488A2">
      <w:pPr>
        <w:pStyle w:val="13"/>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②甲方无正当理由不按合同约定向乙方支付费用且构成违约的，每逾期一天按应付款的万分之五支付违约金。</w:t>
      </w:r>
    </w:p>
    <w:p w14:paraId="59883D6F">
      <w:pPr>
        <w:pStyle w:val="13"/>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③在合同履行期间，国家有关审批部门不是因乙方编制的文件质量问题而对文件不审批或工程停建而终止合同或甲方要求解除合同时，乙方已开展编制工作的，甲方应按乙方实际完成的工作量结算费用。</w:t>
      </w:r>
    </w:p>
    <w:p w14:paraId="1623CE82">
      <w:pPr>
        <w:pStyle w:val="13"/>
        <w:spacing w:line="360" w:lineRule="auto"/>
        <w:ind w:firstLine="416" w:firstLineChars="200"/>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④</w:t>
      </w:r>
      <w:r>
        <w:rPr>
          <w:rFonts w:hint="eastAsia" w:ascii="宋体" w:hAnsi="宋体" w:eastAsia="宋体" w:cs="宋体"/>
          <w:color w:val="auto"/>
          <w:sz w:val="21"/>
          <w:szCs w:val="21"/>
          <w:highlight w:val="none"/>
        </w:rPr>
        <w:t>合同生效后，甲方擅自要求终止或解除合同的，甲方应按乙方已完成的工作量支付报告编制费，并按照合同金额的10%向乙方支付违约金。</w:t>
      </w:r>
    </w:p>
    <w:p w14:paraId="13AED95F">
      <w:pPr>
        <w:pStyle w:val="13"/>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（2）乙方违约责任</w:t>
      </w:r>
    </w:p>
    <w:p w14:paraId="094D8132">
      <w:pPr>
        <w:pStyle w:val="13"/>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①合同生效后，乙方擅自要求终止或解除合同的，乙方应双倍返还甲方已付的费用。如甲方未付费用的，则乙方</w:t>
      </w:r>
      <w:bookmarkStart w:id="73" w:name="OLE_LINK10"/>
      <w:bookmarkStart w:id="74" w:name="OLE_LINK11"/>
      <w:r>
        <w:rPr>
          <w:rFonts w:hint="eastAsia" w:ascii="宋体" w:hAnsi="宋体" w:eastAsia="宋体" w:cs="宋体"/>
          <w:color w:val="auto"/>
          <w:sz w:val="21"/>
          <w:szCs w:val="21"/>
          <w:highlight w:val="none"/>
        </w:rPr>
        <w:t>应当按照合同金额的10%向甲方支付违约金</w:t>
      </w:r>
      <w:bookmarkEnd w:id="73"/>
      <w:bookmarkEnd w:id="74"/>
      <w:r>
        <w:rPr>
          <w:rFonts w:hint="eastAsia" w:ascii="宋体" w:hAnsi="宋体" w:eastAsia="宋体" w:cs="宋体"/>
          <w:color w:val="auto"/>
          <w:sz w:val="21"/>
          <w:szCs w:val="21"/>
          <w:highlight w:val="none"/>
        </w:rPr>
        <w:t>。</w:t>
      </w:r>
    </w:p>
    <w:p w14:paraId="5123F649">
      <w:pPr>
        <w:pStyle w:val="13"/>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②乙方逾期提交文件的，每逾期一天按合同金额的万分之五支付违约金；逾期超过15天仍未提交的，甲方有权单方解除本合同，乙方应当按照合同金额的10%另行向甲方支付解约违约金。</w:t>
      </w:r>
    </w:p>
    <w:p w14:paraId="7DDFA8DC">
      <w:pPr>
        <w:pStyle w:val="13"/>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乙方对设计资料及文件出现的错漏或错误负责修改或补充。由于乙方错误造成由于资料收集欠缺导致现场踏勘不明发生不应发生的变更，乙方除负责采取补救措施外，还应免收相应部分的编制费。如造成质量事故的，还应当承担全部赔偿责任。乙方因此逾期提交文件的，按照第②项承担逾期提交文件的违约责任。</w:t>
      </w:r>
    </w:p>
    <w:p w14:paraId="5DA96E96">
      <w:pPr>
        <w:pStyle w:val="13"/>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第十条  双方责任</w:t>
      </w:r>
    </w:p>
    <w:p w14:paraId="09F1B200">
      <w:pPr>
        <w:pStyle w:val="13"/>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（1）甲方责任</w:t>
      </w:r>
    </w:p>
    <w:p w14:paraId="5D33AF49">
      <w:pPr>
        <w:pStyle w:val="13"/>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①甲方不得要求乙方违反国家有关标准进行报告编制。</w:t>
      </w:r>
    </w:p>
    <w:p w14:paraId="6F3C13ED">
      <w:pPr>
        <w:pStyle w:val="13"/>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②甲方要求乙方比合同规定时间提前交付文件时，须征得乙方同意，由此产生的费用，由双方另行协商。</w:t>
      </w:r>
    </w:p>
    <w:p w14:paraId="47ED24BD">
      <w:pPr>
        <w:pStyle w:val="13"/>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（2）乙方责任</w:t>
      </w:r>
    </w:p>
    <w:p w14:paraId="22A62D35">
      <w:pPr>
        <w:pStyle w:val="13"/>
        <w:kinsoku w:val="0"/>
        <w:overflowPunct w:val="0"/>
        <w:spacing w:line="360" w:lineRule="auto"/>
        <w:ind w:right="105" w:rightChars="50"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①乙方提供的服务需要具备相应资质的，乙方应具备相应的资质等级，若乙方不具备相应的资质等级导致本合同全部或部分无效的，除返回甲方支付的费用外，乙方应按照合同价款的 30%承担违约责任。</w:t>
      </w:r>
    </w:p>
    <w:p w14:paraId="59E4DEAE">
      <w:pPr>
        <w:pStyle w:val="13"/>
        <w:kinsoku w:val="0"/>
        <w:overflowPunct w:val="0"/>
        <w:spacing w:line="360" w:lineRule="auto"/>
        <w:ind w:right="105" w:rightChars="50"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②乙方所提交的服务成果质量不合格的，应及时进行纠正；因质量问题甲方不同意接收的或特殊情况甲方同意接收的，乙方应向甲方支付违约合同额的 5%违约金并赔偿甲方经济损失。</w:t>
      </w:r>
    </w:p>
    <w:p w14:paraId="550F4C6D">
      <w:pPr>
        <w:pStyle w:val="13"/>
        <w:kinsoku w:val="0"/>
        <w:overflowPunct w:val="0"/>
        <w:spacing w:line="360" w:lineRule="auto"/>
        <w:ind w:right="105" w:rightChars="50"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③乙方提供的服务成果如侵犯了第三方合法权益而引发的任何纠纷或诉讼，均由乙方负责交涉并承担全部责任。</w:t>
      </w:r>
    </w:p>
    <w:p w14:paraId="06029CFD">
      <w:pPr>
        <w:pStyle w:val="13"/>
        <w:kinsoku w:val="0"/>
        <w:overflowPunct w:val="0"/>
        <w:spacing w:line="360" w:lineRule="auto"/>
        <w:ind w:right="105" w:rightChars="50" w:firstLine="416"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④乙方未按本合同和响应文件中的服务承诺提供售后服务的，乙方应按本合同合计金额的 5%向甲方支付违约金。</w:t>
      </w:r>
    </w:p>
    <w:p w14:paraId="0E050F8B">
      <w:pPr>
        <w:pStyle w:val="13"/>
        <w:kinsoku w:val="0"/>
        <w:overflowPunct w:val="0"/>
        <w:spacing w:line="360" w:lineRule="auto"/>
        <w:ind w:right="105" w:rightChars="50" w:firstLine="416"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⑤乙方提供的服务成果，因设计、工艺或材料的缺陷和其它质量原因造成的问题，由乙方负责并赔偿甲方相应经济损失。</w:t>
      </w:r>
    </w:p>
    <w:p w14:paraId="54B15375">
      <w:pPr>
        <w:pStyle w:val="13"/>
        <w:kinsoku w:val="0"/>
        <w:overflowPunct w:val="0"/>
        <w:spacing w:line="360" w:lineRule="auto"/>
        <w:ind w:right="105" w:rightChars="50" w:firstLine="412" w:firstLineChars="200"/>
        <w:contextualSpacing/>
        <w:rPr>
          <w:rFonts w:hint="eastAsia" w:ascii="宋体" w:hAnsi="宋体" w:eastAsia="宋体" w:cs="宋体"/>
          <w:color w:val="auto"/>
          <w:spacing w:val="-1"/>
          <w:sz w:val="21"/>
          <w:szCs w:val="21"/>
          <w:highlight w:val="none"/>
        </w:rPr>
      </w:pPr>
      <w:r>
        <w:rPr>
          <w:rFonts w:hint="eastAsia" w:ascii="宋体" w:hAnsi="宋体" w:eastAsia="宋体" w:cs="宋体"/>
          <w:color w:val="auto"/>
          <w:spacing w:val="-2"/>
          <w:sz w:val="21"/>
          <w:szCs w:val="21"/>
          <w:highlight w:val="none"/>
        </w:rPr>
        <w:t>⑥</w:t>
      </w:r>
      <w:r>
        <w:rPr>
          <w:rFonts w:hint="eastAsia" w:ascii="宋体" w:hAnsi="宋体" w:eastAsia="宋体" w:cs="宋体"/>
          <w:color w:val="auto"/>
          <w:spacing w:val="-1"/>
          <w:sz w:val="21"/>
          <w:szCs w:val="21"/>
          <w:highlight w:val="none"/>
        </w:rPr>
        <w:t>乙方在未经甲方书面同意，不能将本合同约定服务全部或部分转承包或分解后转包任何第三人履行，违反本条约定，甲方可单方面解除本合同，乙方除返还支付费用外，乙方应按照合同价款的 10%承担违约责任。</w:t>
      </w:r>
    </w:p>
    <w:p w14:paraId="296DAE61">
      <w:pPr>
        <w:pStyle w:val="13"/>
        <w:kinsoku w:val="0"/>
        <w:overflowPunct w:val="0"/>
        <w:spacing w:line="360" w:lineRule="auto"/>
        <w:ind w:right="105" w:rightChars="50" w:firstLine="418" w:firstLineChars="200"/>
        <w:contextualSpacing/>
        <w:rPr>
          <w:rFonts w:hint="eastAsia" w:ascii="宋体" w:hAnsi="宋体" w:eastAsia="宋体" w:cs="宋体"/>
          <w:b/>
          <w:bCs/>
          <w:color w:val="auto"/>
          <w:spacing w:val="-1"/>
          <w:sz w:val="21"/>
          <w:szCs w:val="21"/>
          <w:highlight w:val="none"/>
        </w:rPr>
      </w:pPr>
      <w:r>
        <w:rPr>
          <w:rFonts w:hint="eastAsia" w:ascii="宋体" w:hAnsi="宋体" w:eastAsia="宋体" w:cs="宋体"/>
          <w:b/>
          <w:bCs/>
          <w:color w:val="auto"/>
          <w:spacing w:val="-1"/>
          <w:sz w:val="21"/>
          <w:szCs w:val="21"/>
          <w:highlight w:val="none"/>
        </w:rPr>
        <w:t>第十一条  保密</w:t>
      </w:r>
    </w:p>
    <w:p w14:paraId="0527FCBD">
      <w:pPr>
        <w:pStyle w:val="13"/>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双方均应保护对方的知识产权，未经对方同意，任何一方均不得对对方的资料及文件擅自修改、复制向第三人转让或用于本合同项目外的项目。如发生以上情况，泄密方承担一切由此引起的后果并承担赔偿责任。</w:t>
      </w:r>
    </w:p>
    <w:p w14:paraId="408AB65C">
      <w:pPr>
        <w:pStyle w:val="13"/>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第十二条   争议的解决</w:t>
      </w:r>
    </w:p>
    <w:p w14:paraId="38111111">
      <w:pPr>
        <w:pStyle w:val="13"/>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合同如发生争议，甲方与乙方应及时协商解决。如协商不成，直接向项目所在地人民法院起诉。守约方为实现债权而发生的费用（包括但不限于诉讼费、律师代理费、差旅费、鉴定费、公证费、合理的调查费、诉讼财产保全责任保险费等）由违约方承担。</w:t>
      </w:r>
    </w:p>
    <w:p w14:paraId="1374F56F">
      <w:pPr>
        <w:pStyle w:val="13"/>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第十三条   通知与送达</w:t>
      </w:r>
    </w:p>
    <w:p w14:paraId="68F42920">
      <w:pPr>
        <w:pStyle w:val="13"/>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双方约定的以下地址系双方送达各类通知、协议等文件以及发生纠纷时相关文件及法律文书的送达地址，包括非诉阶段和争议进入仲裁、民事诉讼程序后的一审、二审、再审和执行程序，法院可直接通过邮寄或其他方式向双方预留的地址送达法律文书、司法诉讼文书，双方承诺承担签收不能的不利法律后果。</w:t>
      </w:r>
    </w:p>
    <w:p w14:paraId="677959FB">
      <w:pPr>
        <w:pStyle w:val="13"/>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②任何一方的送达地址变更的，应在变更当日书面通知对方。</w:t>
      </w:r>
    </w:p>
    <w:p w14:paraId="206C6892">
      <w:pPr>
        <w:pStyle w:val="13"/>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因一方提供或者确认的送达地址不准确、送达地址变更后未及时依程序告知对方和法院或仲裁机构（若争议已经司法程序解决）、拒收或指定的接收人拒绝签收等原因，导致相关文件或法律文书未能被该方实际接收的，邮寄送达的，以文书退回之日视为送达之日；直接送达的，送达人当场在送达回证上记明情况之日视为送达之日。</w:t>
      </w:r>
    </w:p>
    <w:p w14:paraId="1A8A31B9">
      <w:pPr>
        <w:pStyle w:val="13"/>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④双方一致同意采用传真、电子邮箱、移动通信等能够确认对方收悉的方式送达，产生上述地址送达的同样法律效果。采用传真、电子邮箱、移动通信等方式送达的，发送之日即为送达之日。</w:t>
      </w:r>
    </w:p>
    <w:p w14:paraId="38BE381B">
      <w:pPr>
        <w:pStyle w:val="13"/>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⑤本条约定的送达条款属于本协议中独立存在的有关有效送达地址的确认条款，本合同及本合同其他条款的效力不影响本条的效力，双方均须依合同约定承担有效送达的法律后果。</w:t>
      </w:r>
    </w:p>
    <w:p w14:paraId="072A3CE9">
      <w:pPr>
        <w:pStyle w:val="13"/>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⑥双方确认的有效送达地址如下： </w:t>
      </w:r>
    </w:p>
    <w:tbl>
      <w:tblPr>
        <w:tblStyle w:val="29"/>
        <w:tblW w:w="9052" w:type="dxa"/>
        <w:tblInd w:w="402"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108" w:type="dxa"/>
          <w:bottom w:w="0" w:type="dxa"/>
          <w:right w:w="108" w:type="dxa"/>
        </w:tblCellMar>
      </w:tblPr>
      <w:tblGrid>
        <w:gridCol w:w="1908"/>
        <w:gridCol w:w="3259"/>
        <w:gridCol w:w="3885"/>
      </w:tblGrid>
      <w:tr w14:paraId="255F4A5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8" w:type="dxa"/>
            <w:bottom w:w="0" w:type="dxa"/>
            <w:right w:w="108" w:type="dxa"/>
          </w:tblCellMar>
        </w:tblPrEx>
        <w:tc>
          <w:tcPr>
            <w:tcW w:w="1908" w:type="dxa"/>
            <w:tcBorders>
              <w:top w:val="single" w:color="000000" w:sz="6" w:space="0"/>
              <w:left w:val="single" w:color="000000" w:sz="6" w:space="0"/>
              <w:bottom w:val="single" w:color="000000" w:sz="6" w:space="0"/>
              <w:right w:val="single" w:color="000000" w:sz="6" w:space="0"/>
            </w:tcBorders>
            <w:noWrap/>
            <w:vAlign w:val="top"/>
          </w:tcPr>
          <w:p w14:paraId="643B8C70">
            <w:pPr>
              <w:widowControl/>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联系人信息</w:t>
            </w:r>
          </w:p>
        </w:tc>
        <w:tc>
          <w:tcPr>
            <w:tcW w:w="3259" w:type="dxa"/>
            <w:tcBorders>
              <w:top w:val="single" w:color="000000" w:sz="6" w:space="0"/>
              <w:left w:val="nil"/>
              <w:bottom w:val="single" w:color="000000" w:sz="6" w:space="0"/>
              <w:right w:val="single" w:color="000000" w:sz="6" w:space="0"/>
            </w:tcBorders>
            <w:noWrap/>
            <w:vAlign w:val="top"/>
          </w:tcPr>
          <w:p w14:paraId="04461D72">
            <w:pPr>
              <w:widowControl/>
              <w:snapToGrid w:val="0"/>
              <w:spacing w:line="360" w:lineRule="auto"/>
              <w:ind w:firstLine="420" w:firstLineChars="20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w:t>
            </w:r>
          </w:p>
        </w:tc>
        <w:tc>
          <w:tcPr>
            <w:tcW w:w="3885" w:type="dxa"/>
            <w:tcBorders>
              <w:top w:val="single" w:color="000000" w:sz="6" w:space="0"/>
              <w:left w:val="nil"/>
              <w:bottom w:val="single" w:color="000000" w:sz="6" w:space="0"/>
              <w:right w:val="single" w:color="000000" w:sz="6" w:space="0"/>
            </w:tcBorders>
            <w:noWrap/>
            <w:vAlign w:val="top"/>
          </w:tcPr>
          <w:p w14:paraId="13A5365F">
            <w:pPr>
              <w:widowControl/>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乙方</w:t>
            </w:r>
          </w:p>
        </w:tc>
      </w:tr>
      <w:tr w14:paraId="1253C13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1908" w:type="dxa"/>
            <w:tcBorders>
              <w:top w:val="single" w:color="000000" w:sz="6" w:space="0"/>
              <w:left w:val="single" w:color="000000" w:sz="6" w:space="0"/>
              <w:bottom w:val="single" w:color="000000" w:sz="6" w:space="0"/>
              <w:right w:val="single" w:color="000000" w:sz="6" w:space="0"/>
            </w:tcBorders>
            <w:noWrap/>
            <w:vAlign w:val="top"/>
          </w:tcPr>
          <w:p w14:paraId="1AE08030">
            <w:pPr>
              <w:widowControl/>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联系人姓名</w:t>
            </w:r>
          </w:p>
        </w:tc>
        <w:tc>
          <w:tcPr>
            <w:tcW w:w="3259" w:type="dxa"/>
            <w:tcBorders>
              <w:top w:val="single" w:color="000000" w:sz="6" w:space="0"/>
              <w:left w:val="nil"/>
              <w:bottom w:val="single" w:color="000000" w:sz="6" w:space="0"/>
              <w:right w:val="single" w:color="000000" w:sz="6" w:space="0"/>
            </w:tcBorders>
            <w:noWrap/>
            <w:vAlign w:val="top"/>
          </w:tcPr>
          <w:p w14:paraId="1E7B324A">
            <w:pPr>
              <w:widowControl/>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黄工</w:t>
            </w:r>
          </w:p>
        </w:tc>
        <w:tc>
          <w:tcPr>
            <w:tcW w:w="3885" w:type="dxa"/>
            <w:tcBorders>
              <w:top w:val="single" w:color="000000" w:sz="6" w:space="0"/>
              <w:left w:val="nil"/>
              <w:bottom w:val="single" w:color="000000" w:sz="6" w:space="0"/>
              <w:right w:val="single" w:color="000000" w:sz="6" w:space="0"/>
            </w:tcBorders>
            <w:noWrap/>
            <w:vAlign w:val="top"/>
          </w:tcPr>
          <w:p w14:paraId="7CD3A837">
            <w:pPr>
              <w:widowControl/>
              <w:snapToGrid w:val="0"/>
              <w:spacing w:line="360" w:lineRule="auto"/>
              <w:ind w:firstLine="420" w:firstLineChars="200"/>
              <w:jc w:val="left"/>
              <w:rPr>
                <w:rFonts w:hint="eastAsia" w:ascii="宋体" w:hAnsi="宋体" w:eastAsia="宋体" w:cs="宋体"/>
                <w:color w:val="auto"/>
                <w:sz w:val="21"/>
                <w:szCs w:val="21"/>
                <w:highlight w:val="none"/>
              </w:rPr>
            </w:pPr>
          </w:p>
        </w:tc>
      </w:tr>
      <w:tr w14:paraId="17F9E49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1908" w:type="dxa"/>
            <w:tcBorders>
              <w:top w:val="single" w:color="000000" w:sz="6" w:space="0"/>
              <w:left w:val="single" w:color="000000" w:sz="6" w:space="0"/>
              <w:bottom w:val="single" w:color="000000" w:sz="6" w:space="0"/>
              <w:right w:val="single" w:color="000000" w:sz="6" w:space="0"/>
            </w:tcBorders>
            <w:noWrap/>
            <w:vAlign w:val="top"/>
          </w:tcPr>
          <w:p w14:paraId="68703702">
            <w:pPr>
              <w:widowControl/>
              <w:snapToGrid w:val="0"/>
              <w:spacing w:line="360" w:lineRule="auto"/>
              <w:ind w:firstLine="420" w:firstLineChars="20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p>
        </w:tc>
        <w:tc>
          <w:tcPr>
            <w:tcW w:w="3259" w:type="dxa"/>
            <w:tcBorders>
              <w:top w:val="single" w:color="000000" w:sz="6" w:space="0"/>
              <w:left w:val="nil"/>
              <w:bottom w:val="single" w:color="000000" w:sz="6" w:space="0"/>
              <w:right w:val="single" w:color="000000" w:sz="6" w:space="0"/>
            </w:tcBorders>
            <w:noWrap/>
            <w:vAlign w:val="top"/>
          </w:tcPr>
          <w:p w14:paraId="41C1FBB7">
            <w:pPr>
              <w:widowControl/>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0775-2822107</w:t>
            </w:r>
          </w:p>
        </w:tc>
        <w:tc>
          <w:tcPr>
            <w:tcW w:w="3885" w:type="dxa"/>
            <w:tcBorders>
              <w:top w:val="single" w:color="000000" w:sz="6" w:space="0"/>
              <w:left w:val="nil"/>
              <w:bottom w:val="single" w:color="000000" w:sz="6" w:space="0"/>
              <w:right w:val="single" w:color="000000" w:sz="6" w:space="0"/>
            </w:tcBorders>
            <w:noWrap/>
            <w:vAlign w:val="top"/>
          </w:tcPr>
          <w:p w14:paraId="48B820EF">
            <w:pPr>
              <w:widowControl/>
              <w:snapToGrid w:val="0"/>
              <w:spacing w:line="360" w:lineRule="auto"/>
              <w:ind w:firstLine="420" w:firstLineChars="200"/>
              <w:jc w:val="left"/>
              <w:rPr>
                <w:rFonts w:hint="eastAsia" w:ascii="宋体" w:hAnsi="宋体" w:eastAsia="宋体" w:cs="宋体"/>
                <w:color w:val="auto"/>
                <w:sz w:val="21"/>
                <w:szCs w:val="21"/>
                <w:highlight w:val="none"/>
              </w:rPr>
            </w:pPr>
          </w:p>
        </w:tc>
      </w:tr>
      <w:tr w14:paraId="7F32EFD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1908" w:type="dxa"/>
            <w:tcBorders>
              <w:top w:val="single" w:color="000000" w:sz="6" w:space="0"/>
              <w:left w:val="single" w:color="000000" w:sz="6" w:space="0"/>
              <w:bottom w:val="single" w:color="000000" w:sz="6" w:space="0"/>
              <w:right w:val="single" w:color="000000" w:sz="6" w:space="0"/>
            </w:tcBorders>
            <w:noWrap/>
            <w:vAlign w:val="top"/>
          </w:tcPr>
          <w:p w14:paraId="078B9968">
            <w:pPr>
              <w:widowControl/>
              <w:snapToGrid w:val="0"/>
              <w:spacing w:line="360" w:lineRule="auto"/>
              <w:ind w:firstLine="420" w:firstLineChars="20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送达地址</w:t>
            </w:r>
          </w:p>
        </w:tc>
        <w:tc>
          <w:tcPr>
            <w:tcW w:w="3259" w:type="dxa"/>
            <w:tcBorders>
              <w:top w:val="single" w:color="000000" w:sz="6" w:space="0"/>
              <w:left w:val="nil"/>
              <w:bottom w:val="single" w:color="000000" w:sz="6" w:space="0"/>
              <w:right w:val="single" w:color="000000" w:sz="6" w:space="0"/>
            </w:tcBorders>
            <w:noWrap/>
            <w:vAlign w:val="top"/>
          </w:tcPr>
          <w:p w14:paraId="505DDEBF">
            <w:pPr>
              <w:widowControl/>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广西玉林市玉州区人民东路东202号</w:t>
            </w:r>
          </w:p>
        </w:tc>
        <w:tc>
          <w:tcPr>
            <w:tcW w:w="3885" w:type="dxa"/>
            <w:tcBorders>
              <w:top w:val="single" w:color="000000" w:sz="6" w:space="0"/>
              <w:left w:val="nil"/>
              <w:bottom w:val="single" w:color="000000" w:sz="6" w:space="0"/>
              <w:right w:val="single" w:color="000000" w:sz="6" w:space="0"/>
            </w:tcBorders>
            <w:noWrap/>
            <w:vAlign w:val="top"/>
          </w:tcPr>
          <w:p w14:paraId="73D739A5">
            <w:pPr>
              <w:widowControl/>
              <w:snapToGrid w:val="0"/>
              <w:spacing w:line="360" w:lineRule="auto"/>
              <w:ind w:firstLine="420" w:firstLineChars="200"/>
              <w:jc w:val="left"/>
              <w:rPr>
                <w:rFonts w:hint="eastAsia" w:ascii="宋体" w:hAnsi="宋体" w:eastAsia="宋体" w:cs="宋体"/>
                <w:color w:val="auto"/>
                <w:sz w:val="21"/>
                <w:szCs w:val="21"/>
                <w:highlight w:val="none"/>
              </w:rPr>
            </w:pPr>
          </w:p>
        </w:tc>
      </w:tr>
      <w:tr w14:paraId="45C08F8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8" w:type="dxa"/>
            <w:bottom w:w="0" w:type="dxa"/>
            <w:right w:w="108" w:type="dxa"/>
          </w:tblCellMar>
        </w:tblPrEx>
        <w:trPr>
          <w:trHeight w:val="289" w:hRule="atLeast"/>
        </w:trPr>
        <w:tc>
          <w:tcPr>
            <w:tcW w:w="1908" w:type="dxa"/>
            <w:tcBorders>
              <w:top w:val="single" w:color="000000" w:sz="6" w:space="0"/>
              <w:left w:val="single" w:color="000000" w:sz="6" w:space="0"/>
              <w:bottom w:val="single" w:color="000000" w:sz="6" w:space="0"/>
              <w:right w:val="single" w:color="000000" w:sz="6" w:space="0"/>
            </w:tcBorders>
            <w:noWrap/>
            <w:vAlign w:val="top"/>
          </w:tcPr>
          <w:p w14:paraId="46BAD294">
            <w:pPr>
              <w:widowControl/>
              <w:snapToGrid w:val="0"/>
              <w:spacing w:line="360" w:lineRule="auto"/>
              <w:ind w:firstLine="420" w:firstLineChars="20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电子邮箱</w:t>
            </w:r>
          </w:p>
        </w:tc>
        <w:tc>
          <w:tcPr>
            <w:tcW w:w="3259" w:type="dxa"/>
            <w:tcBorders>
              <w:top w:val="single" w:color="000000" w:sz="6" w:space="0"/>
              <w:left w:val="nil"/>
              <w:bottom w:val="single" w:color="000000" w:sz="6" w:space="0"/>
              <w:right w:val="single" w:color="000000" w:sz="6" w:space="0"/>
            </w:tcBorders>
            <w:noWrap/>
            <w:vAlign w:val="top"/>
          </w:tcPr>
          <w:p w14:paraId="62914592">
            <w:pPr>
              <w:widowControl/>
              <w:snapToGrid w:val="0"/>
              <w:spacing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262639199@qq.com</w:t>
            </w:r>
          </w:p>
        </w:tc>
        <w:tc>
          <w:tcPr>
            <w:tcW w:w="3885" w:type="dxa"/>
            <w:tcBorders>
              <w:top w:val="single" w:color="000000" w:sz="6" w:space="0"/>
              <w:left w:val="nil"/>
              <w:bottom w:val="single" w:color="000000" w:sz="6" w:space="0"/>
              <w:right w:val="single" w:color="000000" w:sz="6" w:space="0"/>
            </w:tcBorders>
            <w:noWrap/>
            <w:vAlign w:val="top"/>
          </w:tcPr>
          <w:p w14:paraId="37C4406B">
            <w:pPr>
              <w:widowControl/>
              <w:snapToGrid w:val="0"/>
              <w:spacing w:line="360" w:lineRule="auto"/>
              <w:ind w:firstLine="420" w:firstLineChars="200"/>
              <w:jc w:val="left"/>
              <w:rPr>
                <w:rFonts w:hint="eastAsia" w:ascii="宋体" w:hAnsi="宋体" w:eastAsia="宋体" w:cs="宋体"/>
                <w:color w:val="auto"/>
                <w:sz w:val="21"/>
                <w:szCs w:val="21"/>
                <w:highlight w:val="none"/>
              </w:rPr>
            </w:pPr>
          </w:p>
        </w:tc>
      </w:tr>
    </w:tbl>
    <w:p w14:paraId="170702D2">
      <w:pPr>
        <w:pStyle w:val="13"/>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第十四条   合同生效</w:t>
      </w:r>
    </w:p>
    <w:p w14:paraId="5F4AED8E">
      <w:pPr>
        <w:pStyle w:val="13"/>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本协议书由双方法定代表人或其委托代理人签署并加盖单位章后生效。乙方完成全部编制工作且编制费用结清后终止。</w:t>
      </w:r>
    </w:p>
    <w:p w14:paraId="49D9606A">
      <w:pPr>
        <w:pStyle w:val="13"/>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本合同书一式</w:t>
      </w:r>
      <w:r>
        <w:rPr>
          <w:rFonts w:hint="eastAsia" w:ascii="宋体" w:hAnsi="宋体" w:eastAsia="宋体" w:cs="宋体"/>
          <w:snapToGrid w:val="0"/>
          <w:color w:val="auto"/>
          <w:spacing w:val="-1"/>
          <w:sz w:val="21"/>
          <w:szCs w:val="21"/>
          <w:highlight w:val="none"/>
        </w:rPr>
        <w:t>陆</w:t>
      </w:r>
      <w:r>
        <w:rPr>
          <w:rFonts w:hint="eastAsia" w:ascii="宋体" w:hAnsi="宋体" w:eastAsia="宋体" w:cs="宋体"/>
          <w:color w:val="auto"/>
          <w:sz w:val="21"/>
          <w:szCs w:val="21"/>
          <w:highlight w:val="none"/>
        </w:rPr>
        <w:t>份，具有同等法律效力，甲方执</w:t>
      </w:r>
      <w:r>
        <w:rPr>
          <w:rFonts w:hint="eastAsia" w:ascii="宋体" w:hAnsi="宋体" w:eastAsia="宋体" w:cs="宋体"/>
          <w:snapToGrid w:val="0"/>
          <w:color w:val="auto"/>
          <w:spacing w:val="18"/>
          <w:sz w:val="21"/>
          <w:szCs w:val="21"/>
          <w:highlight w:val="none"/>
        </w:rPr>
        <w:t>肆</w:t>
      </w:r>
      <w:r>
        <w:rPr>
          <w:rFonts w:hint="eastAsia" w:ascii="宋体" w:hAnsi="宋体" w:eastAsia="宋体" w:cs="宋体"/>
          <w:color w:val="auto"/>
          <w:sz w:val="21"/>
          <w:szCs w:val="21"/>
          <w:highlight w:val="none"/>
        </w:rPr>
        <w:t>份，乙方执</w:t>
      </w:r>
      <w:r>
        <w:rPr>
          <w:rFonts w:hint="eastAsia" w:ascii="宋体" w:hAnsi="宋体" w:eastAsia="宋体" w:cs="宋体"/>
          <w:snapToGrid w:val="0"/>
          <w:color w:val="auto"/>
          <w:spacing w:val="18"/>
          <w:sz w:val="21"/>
          <w:szCs w:val="21"/>
          <w:highlight w:val="none"/>
        </w:rPr>
        <w:t>两</w:t>
      </w:r>
      <w:r>
        <w:rPr>
          <w:rFonts w:hint="eastAsia" w:ascii="宋体" w:hAnsi="宋体" w:eastAsia="宋体" w:cs="宋体"/>
          <w:color w:val="auto"/>
          <w:sz w:val="21"/>
          <w:szCs w:val="21"/>
          <w:highlight w:val="none"/>
        </w:rPr>
        <w:t>份。</w:t>
      </w:r>
    </w:p>
    <w:p w14:paraId="72AB6C49">
      <w:pPr>
        <w:pStyle w:val="13"/>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合同未尽事宜，双方另行签订补充协议。补充协议是合同的组成部分。</w:t>
      </w:r>
    </w:p>
    <w:p w14:paraId="13EE62D4">
      <w:pPr>
        <w:pStyle w:val="13"/>
        <w:spacing w:line="360" w:lineRule="auto"/>
        <w:rPr>
          <w:rFonts w:hint="eastAsia" w:ascii="宋体" w:hAnsi="宋体" w:eastAsia="宋体" w:cs="宋体"/>
          <w:color w:val="auto"/>
          <w:sz w:val="21"/>
          <w:szCs w:val="21"/>
          <w:highlight w:val="none"/>
        </w:rPr>
      </w:pPr>
    </w:p>
    <w:p w14:paraId="4AD05C54">
      <w:pPr>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甲方：</w:t>
      </w:r>
      <w:r>
        <w:rPr>
          <w:rFonts w:hint="eastAsia" w:ascii="宋体" w:hAnsi="宋体" w:eastAsia="宋体" w:cs="宋体"/>
          <w:color w:val="auto"/>
          <w:sz w:val="21"/>
          <w:szCs w:val="21"/>
          <w:highlight w:val="none"/>
          <w:u w:val="single"/>
        </w:rPr>
        <w:t>广西壮族自治区玉林公路发展中心</w:t>
      </w:r>
      <w:r>
        <w:rPr>
          <w:rFonts w:hint="eastAsia" w:ascii="宋体" w:hAnsi="宋体" w:eastAsia="宋体" w:cs="宋体"/>
          <w:color w:val="auto"/>
          <w:sz w:val="21"/>
          <w:szCs w:val="21"/>
          <w:highlight w:val="none"/>
        </w:rPr>
        <w:t xml:space="preserve">  乙方：</w:t>
      </w:r>
      <w:r>
        <w:rPr>
          <w:rFonts w:hint="eastAsia" w:ascii="宋体" w:hAnsi="宋体" w:eastAsia="宋体" w:cs="宋体"/>
          <w:color w:val="auto"/>
          <w:sz w:val="21"/>
          <w:szCs w:val="21"/>
          <w:highlight w:val="none"/>
          <w:u w:val="single"/>
        </w:rPr>
        <w:t xml:space="preserve">                                    </w:t>
      </w:r>
    </w:p>
    <w:p w14:paraId="4533F19B">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u w:val="single"/>
        </w:rPr>
        <w:t>玉林市玉州区人民东路东202号</w:t>
      </w:r>
      <w:r>
        <w:rPr>
          <w:rFonts w:hint="eastAsia" w:ascii="宋体" w:hAnsi="宋体" w:eastAsia="宋体" w:cs="宋体"/>
          <w:color w:val="auto"/>
          <w:sz w:val="21"/>
          <w:szCs w:val="21"/>
          <w:highlight w:val="none"/>
        </w:rPr>
        <w:t xml:space="preserve">    地址：</w:t>
      </w:r>
      <w:r>
        <w:rPr>
          <w:rFonts w:hint="eastAsia" w:ascii="宋体" w:hAnsi="宋体" w:eastAsia="宋体" w:cs="宋体"/>
          <w:color w:val="auto"/>
          <w:sz w:val="21"/>
          <w:szCs w:val="21"/>
          <w:highlight w:val="none"/>
          <w:u w:val="single"/>
        </w:rPr>
        <w:t xml:space="preserve">                                    </w:t>
      </w:r>
    </w:p>
    <w:p w14:paraId="4EBEC56C">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u w:val="single"/>
        </w:rPr>
        <w:t xml:space="preserve">                              </w:t>
      </w:r>
    </w:p>
    <w:p w14:paraId="3C9B7A64">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委托代理人：</w:t>
      </w:r>
      <w:r>
        <w:rPr>
          <w:rFonts w:hint="eastAsia" w:ascii="宋体" w:hAnsi="宋体" w:eastAsia="宋体" w:cs="宋体"/>
          <w:color w:val="auto"/>
          <w:sz w:val="21"/>
          <w:szCs w:val="21"/>
          <w:highlight w:val="none"/>
          <w:u w:val="single"/>
        </w:rPr>
        <w:t xml:space="preserve">                              </w:t>
      </w:r>
    </w:p>
    <w:p w14:paraId="13BC5514">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754C728B">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传真：</w:t>
      </w:r>
      <w:r>
        <w:rPr>
          <w:rFonts w:hint="eastAsia" w:ascii="宋体" w:hAnsi="宋体" w:eastAsia="宋体" w:cs="宋体"/>
          <w:color w:val="auto"/>
          <w:sz w:val="21"/>
          <w:szCs w:val="21"/>
          <w:highlight w:val="none"/>
          <w:u w:val="single"/>
        </w:rPr>
        <w:t xml:space="preserve">                                    </w:t>
      </w:r>
    </w:p>
    <w:p w14:paraId="6EDCB55A">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u w:val="single"/>
        </w:rPr>
        <w:t xml:space="preserve">     537000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u w:val="single"/>
        </w:rPr>
        <w:t xml:space="preserve">                                </w:t>
      </w:r>
    </w:p>
    <w:p w14:paraId="11BF4C72">
      <w:pPr>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开户银行：</w:t>
      </w:r>
      <w:r>
        <w:rPr>
          <w:rFonts w:hint="eastAsia" w:ascii="宋体" w:hAnsi="宋体" w:eastAsia="宋体" w:cs="宋体"/>
          <w:color w:val="auto"/>
          <w:sz w:val="21"/>
          <w:szCs w:val="21"/>
          <w:highlight w:val="none"/>
          <w:u w:val="single"/>
        </w:rPr>
        <w:t xml:space="preserve">                                </w:t>
      </w:r>
    </w:p>
    <w:p w14:paraId="129CC8A7">
      <w:pPr>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开户名称：</w:t>
      </w:r>
      <w:r>
        <w:rPr>
          <w:rFonts w:hint="eastAsia" w:ascii="宋体" w:hAnsi="宋体" w:eastAsia="宋体" w:cs="宋体"/>
          <w:color w:val="auto"/>
          <w:sz w:val="21"/>
          <w:szCs w:val="21"/>
          <w:highlight w:val="none"/>
          <w:u w:val="single"/>
        </w:rPr>
        <w:t xml:space="preserve">                                </w:t>
      </w:r>
    </w:p>
    <w:p w14:paraId="0294F36E">
      <w:pPr>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银行账号：</w:t>
      </w:r>
      <w:r>
        <w:rPr>
          <w:rFonts w:hint="eastAsia" w:ascii="宋体" w:hAnsi="宋体" w:eastAsia="宋体" w:cs="宋体"/>
          <w:color w:val="auto"/>
          <w:sz w:val="21"/>
          <w:szCs w:val="21"/>
          <w:highlight w:val="none"/>
          <w:u w:val="single"/>
        </w:rPr>
        <w:t xml:space="preserve">                                </w:t>
      </w:r>
    </w:p>
    <w:p w14:paraId="24782F28">
      <w:pPr>
        <w:adjustRightInd w:val="0"/>
        <w:spacing w:before="24" w:beforeLines="1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合同签订日期：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日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合同签订地点：</w:t>
      </w:r>
      <w:r>
        <w:rPr>
          <w:rFonts w:hint="eastAsia" w:ascii="宋体" w:hAnsi="宋体" w:eastAsia="宋体" w:cs="宋体"/>
          <w:color w:val="auto"/>
          <w:sz w:val="21"/>
          <w:szCs w:val="21"/>
          <w:highlight w:val="none"/>
          <w:u w:val="single"/>
        </w:rPr>
        <w:t xml:space="preserve">                            </w:t>
      </w:r>
    </w:p>
    <w:p w14:paraId="36CA4769">
      <w:pPr>
        <w:jc w:val="center"/>
        <w:rPr>
          <w:rFonts w:hint="eastAsia" w:ascii="宋体" w:hAnsi="宋体" w:eastAsia="宋体" w:cs="宋体"/>
          <w:b/>
          <w:bCs/>
          <w:color w:val="auto"/>
          <w:kern w:val="0"/>
          <w:sz w:val="32"/>
          <w:szCs w:val="32"/>
          <w:highlight w:val="none"/>
        </w:rPr>
      </w:pPr>
    </w:p>
    <w:p w14:paraId="4A6BFEA0">
      <w:pPr>
        <w:rPr>
          <w:rFonts w:hint="eastAsia" w:ascii="宋体" w:hAnsi="宋体" w:eastAsia="宋体" w:cs="宋体"/>
          <w:b/>
          <w:bCs/>
          <w:color w:val="auto"/>
          <w:kern w:val="0"/>
          <w:sz w:val="32"/>
          <w:szCs w:val="32"/>
          <w:highlight w:val="none"/>
        </w:rPr>
      </w:pPr>
      <w:r>
        <w:rPr>
          <w:rFonts w:hint="eastAsia" w:ascii="宋体" w:hAnsi="宋体" w:eastAsia="宋体" w:cs="宋体"/>
          <w:b/>
          <w:bCs/>
          <w:color w:val="auto"/>
          <w:kern w:val="0"/>
          <w:sz w:val="32"/>
          <w:szCs w:val="32"/>
          <w:highlight w:val="none"/>
        </w:rPr>
        <w:br w:type="page"/>
      </w:r>
    </w:p>
    <w:p w14:paraId="0FF391AB">
      <w:pPr>
        <w:widowControl/>
        <w:kinsoku w:val="0"/>
        <w:snapToGrid w:val="0"/>
        <w:spacing w:before="91" w:line="560" w:lineRule="exact"/>
        <w:ind w:left="18"/>
        <w:jc w:val="center"/>
        <w:textAlignment w:val="baseline"/>
        <w:rPr>
          <w:rFonts w:hint="eastAsia" w:ascii="宋体" w:hAnsi="宋体" w:eastAsia="宋体" w:cs="宋体"/>
          <w:b/>
          <w:bCs/>
          <w:snapToGrid w:val="0"/>
          <w:color w:val="auto"/>
          <w:sz w:val="40"/>
          <w:szCs w:val="40"/>
          <w:highlight w:val="none"/>
        </w:rPr>
      </w:pPr>
      <w:r>
        <w:rPr>
          <w:rFonts w:hint="eastAsia" w:ascii="宋体" w:hAnsi="宋体" w:eastAsia="宋体" w:cs="宋体"/>
          <w:b/>
          <w:bCs/>
          <w:snapToGrid w:val="0"/>
          <w:color w:val="auto"/>
          <w:spacing w:val="-2"/>
          <w:sz w:val="40"/>
          <w:szCs w:val="40"/>
          <w:highlight w:val="none"/>
        </w:rPr>
        <w:t>二  廉政合同</w:t>
      </w:r>
    </w:p>
    <w:p w14:paraId="684AB0BB">
      <w:pPr>
        <w:widowControl/>
        <w:kinsoku w:val="0"/>
        <w:snapToGrid w:val="0"/>
        <w:spacing w:before="65" w:line="560" w:lineRule="exact"/>
        <w:ind w:right="14" w:firstLine="476" w:firstLineChars="200"/>
        <w:textAlignment w:val="baseline"/>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pacing w:val="14"/>
          <w:sz w:val="21"/>
          <w:szCs w:val="21"/>
          <w:highlight w:val="none"/>
        </w:rPr>
        <w:t>根据《</w:t>
      </w:r>
      <w:r>
        <w:rPr>
          <w:rFonts w:hint="eastAsia" w:ascii="宋体" w:hAnsi="宋体" w:eastAsia="宋体" w:cs="宋体"/>
          <w:snapToGrid w:val="0"/>
          <w:color w:val="auto"/>
          <w:spacing w:val="12"/>
          <w:sz w:val="21"/>
          <w:szCs w:val="21"/>
          <w:highlight w:val="none"/>
        </w:rPr>
        <w:t>关</w:t>
      </w:r>
      <w:r>
        <w:rPr>
          <w:rFonts w:hint="eastAsia" w:ascii="宋体" w:hAnsi="宋体" w:eastAsia="宋体" w:cs="宋体"/>
          <w:snapToGrid w:val="0"/>
          <w:color w:val="auto"/>
          <w:spacing w:val="7"/>
          <w:sz w:val="21"/>
          <w:szCs w:val="21"/>
          <w:highlight w:val="none"/>
        </w:rPr>
        <w:t>于在交通基础设施建设中加强廉政建设的若干意见》以及有关工程建设、廉政建设</w:t>
      </w:r>
      <w:r>
        <w:rPr>
          <w:rFonts w:hint="eastAsia" w:ascii="宋体" w:hAnsi="宋体" w:eastAsia="宋体" w:cs="宋体"/>
          <w:snapToGrid w:val="0"/>
          <w:color w:val="auto"/>
          <w:spacing w:val="20"/>
          <w:sz w:val="21"/>
          <w:szCs w:val="21"/>
          <w:highlight w:val="none"/>
        </w:rPr>
        <w:t>的</w:t>
      </w:r>
      <w:r>
        <w:rPr>
          <w:rFonts w:hint="eastAsia" w:ascii="宋体" w:hAnsi="宋体" w:eastAsia="宋体" w:cs="宋体"/>
          <w:snapToGrid w:val="0"/>
          <w:color w:val="auto"/>
          <w:spacing w:val="13"/>
          <w:sz w:val="21"/>
          <w:szCs w:val="21"/>
          <w:highlight w:val="none"/>
        </w:rPr>
        <w:t>规</w:t>
      </w:r>
      <w:r>
        <w:rPr>
          <w:rFonts w:hint="eastAsia" w:ascii="宋体" w:hAnsi="宋体" w:eastAsia="宋体" w:cs="宋体"/>
          <w:snapToGrid w:val="0"/>
          <w:color w:val="auto"/>
          <w:spacing w:val="10"/>
          <w:sz w:val="21"/>
          <w:szCs w:val="21"/>
          <w:highlight w:val="none"/>
        </w:rPr>
        <w:t>定，为做好工程建设中的党风廉政建设，保证工程建设高效优质，保证建设资金的安全和有</w:t>
      </w:r>
      <w:r>
        <w:rPr>
          <w:rFonts w:hint="eastAsia" w:ascii="宋体" w:hAnsi="宋体" w:eastAsia="宋体" w:cs="宋体"/>
          <w:snapToGrid w:val="0"/>
          <w:color w:val="auto"/>
          <w:spacing w:val="2"/>
          <w:sz w:val="21"/>
          <w:szCs w:val="21"/>
          <w:highlight w:val="none"/>
        </w:rPr>
        <w:t>效使用以及投资效益，</w:t>
      </w:r>
      <w:r>
        <w:rPr>
          <w:rFonts w:hint="eastAsia" w:ascii="宋体" w:hAnsi="宋体" w:eastAsia="宋体" w:cs="宋体"/>
          <w:snapToGrid w:val="0"/>
          <w:color w:val="auto"/>
          <w:spacing w:val="2"/>
          <w:sz w:val="21"/>
          <w:szCs w:val="21"/>
          <w:highlight w:val="none"/>
          <w:u w:val="single"/>
          <w:lang w:eastAsia="zh-CN"/>
        </w:rPr>
        <w:t>G241线石和镇梨木冲村至博白公路改建工程前期工作采购</w:t>
      </w:r>
      <w:r>
        <w:rPr>
          <w:rFonts w:hint="eastAsia" w:ascii="宋体" w:hAnsi="宋体" w:eastAsia="宋体" w:cs="宋体"/>
          <w:snapToGrid w:val="0"/>
          <w:color w:val="auto"/>
          <w:spacing w:val="1"/>
          <w:sz w:val="21"/>
          <w:szCs w:val="21"/>
          <w:highlight w:val="none"/>
          <w:u w:val="single"/>
        </w:rPr>
        <w:t>(项目名称)</w:t>
      </w:r>
      <w:r>
        <w:rPr>
          <w:rFonts w:hint="eastAsia" w:ascii="宋体" w:hAnsi="宋体" w:eastAsia="宋体" w:cs="宋体"/>
          <w:snapToGrid w:val="0"/>
          <w:color w:val="auto"/>
          <w:spacing w:val="1"/>
          <w:sz w:val="21"/>
          <w:szCs w:val="21"/>
          <w:highlight w:val="none"/>
          <w:u w:val="single"/>
          <w:lang w:eastAsia="zh-CN"/>
        </w:rPr>
        <w:t>分标号</w:t>
      </w:r>
      <w:r>
        <w:rPr>
          <w:rFonts w:hint="eastAsia" w:ascii="宋体" w:hAnsi="宋体" w:eastAsia="宋体" w:cs="宋体"/>
          <w:snapToGrid w:val="0"/>
          <w:color w:val="auto"/>
          <w:spacing w:val="1"/>
          <w:sz w:val="21"/>
          <w:szCs w:val="21"/>
          <w:highlight w:val="none"/>
          <w:u w:val="single"/>
          <w:lang w:val="en-US" w:eastAsia="zh-CN"/>
        </w:rPr>
        <w:t xml:space="preserve">    </w:t>
      </w:r>
      <w:r>
        <w:rPr>
          <w:rFonts w:hint="eastAsia" w:ascii="宋体" w:hAnsi="宋体" w:eastAsia="宋体" w:cs="宋体"/>
          <w:snapToGrid w:val="0"/>
          <w:color w:val="auto"/>
          <w:spacing w:val="1"/>
          <w:sz w:val="21"/>
          <w:szCs w:val="21"/>
          <w:highlight w:val="none"/>
          <w:u w:val="single"/>
        </w:rPr>
        <w:t xml:space="preserve"> </w:t>
      </w:r>
      <w:r>
        <w:rPr>
          <w:rFonts w:hint="eastAsia" w:ascii="宋体" w:hAnsi="宋体" w:eastAsia="宋体" w:cs="宋体"/>
          <w:snapToGrid w:val="0"/>
          <w:color w:val="auto"/>
          <w:spacing w:val="1"/>
          <w:sz w:val="21"/>
          <w:szCs w:val="21"/>
          <w:highlight w:val="none"/>
        </w:rPr>
        <w:t>项目法人</w:t>
      </w:r>
      <w:r>
        <w:rPr>
          <w:rFonts w:hint="eastAsia" w:ascii="宋体" w:hAnsi="宋体" w:eastAsia="宋体" w:cs="宋体"/>
          <w:snapToGrid w:val="0"/>
          <w:color w:val="auto"/>
          <w:spacing w:val="1"/>
          <w:sz w:val="21"/>
          <w:szCs w:val="21"/>
          <w:highlight w:val="none"/>
          <w:u w:val="single"/>
        </w:rPr>
        <w:t xml:space="preserve"> </w:t>
      </w:r>
      <w:r>
        <w:rPr>
          <w:rFonts w:hint="eastAsia" w:ascii="宋体" w:hAnsi="宋体" w:eastAsia="宋体" w:cs="宋体"/>
          <w:b/>
          <w:bCs/>
          <w:snapToGrid w:val="0"/>
          <w:color w:val="auto"/>
          <w:spacing w:val="-2"/>
          <w:position w:val="1"/>
          <w:sz w:val="21"/>
          <w:szCs w:val="21"/>
          <w:highlight w:val="none"/>
          <w:u w:val="single"/>
        </w:rPr>
        <w:t>广西壮族自治区玉林公路发展中心</w:t>
      </w:r>
      <w:r>
        <w:rPr>
          <w:rFonts w:hint="eastAsia" w:ascii="宋体" w:hAnsi="宋体" w:eastAsia="宋体" w:cs="宋体"/>
          <w:snapToGrid w:val="0"/>
          <w:color w:val="auto"/>
          <w:spacing w:val="1"/>
          <w:sz w:val="21"/>
          <w:szCs w:val="21"/>
          <w:highlight w:val="none"/>
          <w:u w:val="single"/>
        </w:rPr>
        <w:t xml:space="preserve"> </w:t>
      </w:r>
      <w:r>
        <w:rPr>
          <w:rFonts w:hint="eastAsia" w:ascii="宋体" w:hAnsi="宋体" w:eastAsia="宋体" w:cs="宋体"/>
          <w:snapToGrid w:val="0"/>
          <w:color w:val="auto"/>
          <w:spacing w:val="1"/>
          <w:sz w:val="21"/>
          <w:szCs w:val="21"/>
          <w:highlight w:val="none"/>
        </w:rPr>
        <w:t>(以下简称“甲方”) 与该项目的</w:t>
      </w:r>
      <w:r>
        <w:rPr>
          <w:rFonts w:hint="eastAsia" w:ascii="宋体" w:hAnsi="宋体" w:eastAsia="宋体" w:cs="宋体"/>
          <w:snapToGrid w:val="0"/>
          <w:color w:val="auto"/>
          <w:spacing w:val="1"/>
          <w:sz w:val="21"/>
          <w:szCs w:val="21"/>
          <w:highlight w:val="none"/>
          <w:lang w:eastAsia="zh-CN"/>
        </w:rPr>
        <w:t>成交</w:t>
      </w:r>
      <w:r>
        <w:rPr>
          <w:rFonts w:hint="eastAsia" w:ascii="宋体" w:hAnsi="宋体" w:eastAsia="宋体" w:cs="宋体"/>
          <w:snapToGrid w:val="0"/>
          <w:color w:val="auto"/>
          <w:spacing w:val="1"/>
          <w:sz w:val="21"/>
          <w:szCs w:val="21"/>
          <w:highlight w:val="none"/>
        </w:rPr>
        <w:t>单位</w:t>
      </w:r>
      <w:r>
        <w:rPr>
          <w:rFonts w:hint="eastAsia" w:ascii="宋体" w:hAnsi="宋体" w:eastAsia="宋体" w:cs="宋体"/>
          <w:snapToGrid w:val="0"/>
          <w:color w:val="auto"/>
          <w:spacing w:val="1"/>
          <w:sz w:val="21"/>
          <w:szCs w:val="21"/>
          <w:highlight w:val="none"/>
          <w:u w:val="single"/>
        </w:rPr>
        <w:t xml:space="preserve">             </w:t>
      </w:r>
      <w:r>
        <w:rPr>
          <w:rFonts w:hint="eastAsia" w:ascii="宋体" w:hAnsi="宋体" w:eastAsia="宋体" w:cs="宋体"/>
          <w:snapToGrid w:val="0"/>
          <w:color w:val="auto"/>
          <w:sz w:val="21"/>
          <w:szCs w:val="21"/>
          <w:highlight w:val="none"/>
        </w:rPr>
        <w:t>(以下简称“乙方</w:t>
      </w:r>
      <w:r>
        <w:rPr>
          <w:rFonts w:hint="eastAsia" w:ascii="宋体" w:hAnsi="宋体" w:eastAsia="宋体" w:cs="宋体"/>
          <w:snapToGrid w:val="0"/>
          <w:color w:val="auto"/>
          <w:spacing w:val="8"/>
          <w:sz w:val="21"/>
          <w:szCs w:val="21"/>
          <w:highlight w:val="none"/>
        </w:rPr>
        <w:t>”) ，特订立如下合同</w:t>
      </w:r>
      <w:r>
        <w:rPr>
          <w:rFonts w:hint="eastAsia" w:ascii="宋体" w:hAnsi="宋体" w:eastAsia="宋体" w:cs="宋体"/>
          <w:snapToGrid w:val="0"/>
          <w:color w:val="auto"/>
          <w:spacing w:val="5"/>
          <w:sz w:val="21"/>
          <w:szCs w:val="21"/>
          <w:highlight w:val="none"/>
        </w:rPr>
        <w:t>。</w:t>
      </w:r>
    </w:p>
    <w:p w14:paraId="21476D82">
      <w:pPr>
        <w:keepNext w:val="0"/>
        <w:keepLines w:val="0"/>
        <w:pageBreakBefore w:val="0"/>
        <w:widowControl/>
        <w:kinsoku w:val="0"/>
        <w:wordWrap/>
        <w:overflowPunct/>
        <w:topLinePunct w:val="0"/>
        <w:autoSpaceDE/>
        <w:autoSpaceDN/>
        <w:bidi w:val="0"/>
        <w:adjustRightInd/>
        <w:snapToGrid w:val="0"/>
        <w:spacing w:line="360" w:lineRule="auto"/>
        <w:ind w:firstLine="456" w:firstLineChars="200"/>
        <w:textAlignment w:val="baseline"/>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pacing w:val="9"/>
          <w:position w:val="1"/>
          <w:sz w:val="21"/>
          <w:szCs w:val="21"/>
          <w:highlight w:val="none"/>
        </w:rPr>
        <w:t>1</w:t>
      </w:r>
      <w:r>
        <w:rPr>
          <w:rFonts w:hint="eastAsia" w:ascii="宋体" w:hAnsi="宋体" w:eastAsia="宋体" w:cs="宋体"/>
          <w:snapToGrid w:val="0"/>
          <w:color w:val="auto"/>
          <w:spacing w:val="8"/>
          <w:position w:val="1"/>
          <w:sz w:val="21"/>
          <w:szCs w:val="21"/>
          <w:highlight w:val="none"/>
        </w:rPr>
        <w:t>．甲方和乙方双方的权利和义务</w:t>
      </w:r>
    </w:p>
    <w:p w14:paraId="15EE7C2F">
      <w:pPr>
        <w:keepNext w:val="0"/>
        <w:keepLines w:val="0"/>
        <w:pageBreakBefore w:val="0"/>
        <w:widowControl/>
        <w:kinsoku w:val="0"/>
        <w:wordWrap/>
        <w:overflowPunct/>
        <w:topLinePunct w:val="0"/>
        <w:autoSpaceDE/>
        <w:autoSpaceDN/>
        <w:bidi w:val="0"/>
        <w:adjustRightInd/>
        <w:snapToGrid w:val="0"/>
        <w:spacing w:before="140" w:line="360" w:lineRule="auto"/>
        <w:ind w:firstLine="508" w:firstLineChars="200"/>
        <w:textAlignment w:val="baseline"/>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pacing w:val="22"/>
          <w:sz w:val="21"/>
          <w:szCs w:val="21"/>
          <w:highlight w:val="none"/>
        </w:rPr>
        <w:t>(</w:t>
      </w:r>
      <w:r>
        <w:rPr>
          <w:rFonts w:hint="eastAsia" w:ascii="宋体" w:hAnsi="宋体" w:eastAsia="宋体" w:cs="宋体"/>
          <w:snapToGrid w:val="0"/>
          <w:color w:val="auto"/>
          <w:spacing w:val="19"/>
          <w:sz w:val="21"/>
          <w:szCs w:val="21"/>
          <w:highlight w:val="none"/>
        </w:rPr>
        <w:t>1</w:t>
      </w:r>
      <w:r>
        <w:rPr>
          <w:rFonts w:hint="eastAsia" w:ascii="宋体" w:hAnsi="宋体" w:eastAsia="宋体" w:cs="宋体"/>
          <w:snapToGrid w:val="0"/>
          <w:color w:val="auto"/>
          <w:spacing w:val="11"/>
          <w:sz w:val="21"/>
          <w:szCs w:val="21"/>
          <w:highlight w:val="none"/>
        </w:rPr>
        <w:t>)严格遵守党的政策规定和国家有关法律法规及交通运输部的有关规定。</w:t>
      </w:r>
    </w:p>
    <w:p w14:paraId="0E597EF9">
      <w:pPr>
        <w:keepNext w:val="0"/>
        <w:keepLines w:val="0"/>
        <w:pageBreakBefore w:val="0"/>
        <w:widowControl/>
        <w:kinsoku w:val="0"/>
        <w:wordWrap/>
        <w:overflowPunct/>
        <w:topLinePunct w:val="0"/>
        <w:autoSpaceDE/>
        <w:autoSpaceDN/>
        <w:bidi w:val="0"/>
        <w:adjustRightInd/>
        <w:snapToGrid w:val="0"/>
        <w:spacing w:before="161" w:line="360" w:lineRule="auto"/>
        <w:ind w:firstLine="448" w:firstLineChars="200"/>
        <w:textAlignment w:val="baseline"/>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pacing w:val="7"/>
          <w:sz w:val="21"/>
          <w:szCs w:val="21"/>
          <w:highlight w:val="none"/>
        </w:rPr>
        <w:t>(2)严格执行</w:t>
      </w:r>
      <w:r>
        <w:rPr>
          <w:rFonts w:hint="eastAsia" w:ascii="宋体" w:hAnsi="宋体" w:eastAsia="宋体" w:cs="宋体"/>
          <w:snapToGrid w:val="0"/>
          <w:color w:val="auto"/>
          <w:spacing w:val="7"/>
          <w:sz w:val="21"/>
          <w:szCs w:val="21"/>
          <w:highlight w:val="none"/>
          <w:u w:val="single"/>
        </w:rPr>
        <w:t xml:space="preserve"> </w:t>
      </w:r>
      <w:r>
        <w:rPr>
          <w:rFonts w:hint="eastAsia" w:ascii="宋体" w:hAnsi="宋体" w:eastAsia="宋体" w:cs="宋体"/>
          <w:snapToGrid w:val="0"/>
          <w:color w:val="auto"/>
          <w:spacing w:val="7"/>
          <w:sz w:val="21"/>
          <w:szCs w:val="21"/>
          <w:highlight w:val="none"/>
          <w:u w:val="single"/>
          <w:lang w:eastAsia="zh-CN"/>
        </w:rPr>
        <w:t>G241线石和镇梨木冲村至博白公路改建工程前期工作采购</w:t>
      </w:r>
      <w:r>
        <w:rPr>
          <w:rFonts w:hint="eastAsia" w:ascii="宋体" w:hAnsi="宋体" w:eastAsia="宋体" w:cs="宋体"/>
          <w:b/>
          <w:bCs/>
          <w:snapToGrid w:val="0"/>
          <w:color w:val="auto"/>
          <w:spacing w:val="-2"/>
          <w:position w:val="1"/>
          <w:sz w:val="21"/>
          <w:szCs w:val="21"/>
          <w:highlight w:val="none"/>
          <w:u w:val="single"/>
        </w:rPr>
        <w:t xml:space="preserve"> </w:t>
      </w:r>
      <w:r>
        <w:rPr>
          <w:rFonts w:hint="eastAsia" w:ascii="宋体" w:hAnsi="宋体" w:eastAsia="宋体" w:cs="宋体"/>
          <w:snapToGrid w:val="0"/>
          <w:color w:val="auto"/>
          <w:spacing w:val="7"/>
          <w:sz w:val="21"/>
          <w:szCs w:val="21"/>
          <w:highlight w:val="none"/>
          <w:u w:val="single"/>
        </w:rPr>
        <w:t>(项目名称)</w:t>
      </w:r>
      <w:r>
        <w:rPr>
          <w:rFonts w:hint="eastAsia" w:ascii="宋体" w:hAnsi="宋体" w:eastAsia="宋体" w:cs="宋体"/>
          <w:snapToGrid w:val="0"/>
          <w:color w:val="auto"/>
          <w:spacing w:val="7"/>
          <w:sz w:val="21"/>
          <w:szCs w:val="21"/>
          <w:highlight w:val="none"/>
          <w:u w:val="single"/>
          <w:lang w:eastAsia="zh-CN"/>
        </w:rPr>
        <w:t>分标号</w:t>
      </w:r>
      <w:r>
        <w:rPr>
          <w:rFonts w:hint="eastAsia" w:ascii="宋体" w:hAnsi="宋体" w:eastAsia="宋体" w:cs="宋体"/>
          <w:snapToGrid w:val="0"/>
          <w:color w:val="auto"/>
          <w:spacing w:val="7"/>
          <w:sz w:val="21"/>
          <w:szCs w:val="21"/>
          <w:highlight w:val="none"/>
          <w:u w:val="single"/>
          <w:lang w:val="en-US" w:eastAsia="zh-CN"/>
        </w:rPr>
        <w:t xml:space="preserve">    </w:t>
      </w:r>
      <w:r>
        <w:rPr>
          <w:rFonts w:hint="eastAsia" w:ascii="宋体" w:hAnsi="宋体" w:eastAsia="宋体" w:cs="宋体"/>
          <w:snapToGrid w:val="0"/>
          <w:color w:val="auto"/>
          <w:spacing w:val="7"/>
          <w:sz w:val="21"/>
          <w:szCs w:val="21"/>
          <w:highlight w:val="none"/>
          <w:lang w:val="en-US" w:eastAsia="zh-CN"/>
        </w:rPr>
        <w:t xml:space="preserve">  </w:t>
      </w:r>
      <w:r>
        <w:rPr>
          <w:rFonts w:hint="eastAsia" w:ascii="宋体" w:hAnsi="宋体" w:eastAsia="宋体" w:cs="宋体"/>
          <w:snapToGrid w:val="0"/>
          <w:color w:val="auto"/>
          <w:spacing w:val="7"/>
          <w:sz w:val="21"/>
          <w:szCs w:val="21"/>
          <w:highlight w:val="none"/>
        </w:rPr>
        <w:t>合同文件，自觉按合同办</w:t>
      </w:r>
      <w:r>
        <w:rPr>
          <w:rFonts w:hint="eastAsia" w:ascii="宋体" w:hAnsi="宋体" w:eastAsia="宋体" w:cs="宋体"/>
          <w:snapToGrid w:val="0"/>
          <w:color w:val="auto"/>
          <w:spacing w:val="4"/>
          <w:sz w:val="21"/>
          <w:szCs w:val="21"/>
          <w:highlight w:val="none"/>
        </w:rPr>
        <w:t>事</w:t>
      </w:r>
      <w:r>
        <w:rPr>
          <w:rFonts w:hint="eastAsia" w:ascii="宋体" w:hAnsi="宋体" w:eastAsia="宋体" w:cs="宋体"/>
          <w:snapToGrid w:val="0"/>
          <w:color w:val="auto"/>
          <w:sz w:val="21"/>
          <w:szCs w:val="21"/>
          <w:highlight w:val="none"/>
        </w:rPr>
        <w:t>。</w:t>
      </w:r>
    </w:p>
    <w:p w14:paraId="00BDE825">
      <w:pPr>
        <w:keepNext w:val="0"/>
        <w:keepLines w:val="0"/>
        <w:pageBreakBefore w:val="0"/>
        <w:widowControl/>
        <w:kinsoku w:val="0"/>
        <w:wordWrap/>
        <w:overflowPunct/>
        <w:topLinePunct w:val="0"/>
        <w:autoSpaceDE/>
        <w:autoSpaceDN/>
        <w:bidi w:val="0"/>
        <w:adjustRightInd/>
        <w:snapToGrid w:val="0"/>
        <w:spacing w:before="160" w:line="360" w:lineRule="auto"/>
        <w:ind w:left="5" w:right="73" w:firstLine="492" w:firstLineChars="200"/>
        <w:textAlignment w:val="baseline"/>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pacing w:val="18"/>
          <w:sz w:val="21"/>
          <w:szCs w:val="21"/>
          <w:highlight w:val="none"/>
        </w:rPr>
        <w:t>(</w:t>
      </w:r>
      <w:r>
        <w:rPr>
          <w:rFonts w:hint="eastAsia" w:ascii="宋体" w:hAnsi="宋体" w:eastAsia="宋体" w:cs="宋体"/>
          <w:snapToGrid w:val="0"/>
          <w:color w:val="auto"/>
          <w:spacing w:val="14"/>
          <w:sz w:val="21"/>
          <w:szCs w:val="21"/>
          <w:highlight w:val="none"/>
        </w:rPr>
        <w:t>3</w:t>
      </w:r>
      <w:r>
        <w:rPr>
          <w:rFonts w:hint="eastAsia" w:ascii="宋体" w:hAnsi="宋体" w:eastAsia="宋体" w:cs="宋体"/>
          <w:snapToGrid w:val="0"/>
          <w:color w:val="auto"/>
          <w:spacing w:val="9"/>
          <w:sz w:val="21"/>
          <w:szCs w:val="21"/>
          <w:highlight w:val="none"/>
        </w:rPr>
        <w:t>)双方的业务活动坚持公开、公正、诚信、透明的原则 (法律认定的商业秘密和合同文件另有规定除外) ，不得损害国家和集体利益，不得违反工程建设管理规章制度。</w:t>
      </w:r>
    </w:p>
    <w:p w14:paraId="10C8FA80">
      <w:pPr>
        <w:keepNext w:val="0"/>
        <w:keepLines w:val="0"/>
        <w:pageBreakBefore w:val="0"/>
        <w:widowControl/>
        <w:kinsoku w:val="0"/>
        <w:wordWrap/>
        <w:overflowPunct/>
        <w:topLinePunct w:val="0"/>
        <w:autoSpaceDE/>
        <w:autoSpaceDN/>
        <w:bidi w:val="0"/>
        <w:adjustRightInd/>
        <w:snapToGrid w:val="0"/>
        <w:spacing w:before="160" w:line="360" w:lineRule="auto"/>
        <w:ind w:left="5" w:right="73" w:firstLine="492" w:firstLineChars="200"/>
        <w:textAlignment w:val="baseline"/>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pacing w:val="18"/>
          <w:sz w:val="21"/>
          <w:szCs w:val="21"/>
          <w:highlight w:val="none"/>
        </w:rPr>
        <w:t>(4</w:t>
      </w:r>
      <w:r>
        <w:rPr>
          <w:rFonts w:hint="eastAsia" w:ascii="宋体" w:hAnsi="宋体" w:eastAsia="宋体" w:cs="宋体"/>
          <w:snapToGrid w:val="0"/>
          <w:color w:val="auto"/>
          <w:spacing w:val="16"/>
          <w:sz w:val="21"/>
          <w:szCs w:val="21"/>
          <w:highlight w:val="none"/>
        </w:rPr>
        <w:t>)</w:t>
      </w:r>
      <w:r>
        <w:rPr>
          <w:rFonts w:hint="eastAsia" w:ascii="宋体" w:hAnsi="宋体" w:eastAsia="宋体" w:cs="宋体"/>
          <w:snapToGrid w:val="0"/>
          <w:color w:val="auto"/>
          <w:spacing w:val="9"/>
          <w:sz w:val="21"/>
          <w:szCs w:val="21"/>
          <w:highlight w:val="none"/>
        </w:rPr>
        <w:t>建立健全廉政制度，开展廉政教育，设立廉政告示牌，公布举报电话，监督并认真查处</w:t>
      </w:r>
      <w:r>
        <w:rPr>
          <w:rFonts w:hint="eastAsia" w:ascii="宋体" w:hAnsi="宋体" w:eastAsia="宋体" w:cs="宋体"/>
          <w:snapToGrid w:val="0"/>
          <w:color w:val="auto"/>
          <w:spacing w:val="7"/>
          <w:sz w:val="21"/>
          <w:szCs w:val="21"/>
          <w:highlight w:val="none"/>
        </w:rPr>
        <w:t>违法违纪行为。</w:t>
      </w:r>
    </w:p>
    <w:p w14:paraId="74BC1623">
      <w:pPr>
        <w:keepNext w:val="0"/>
        <w:keepLines w:val="0"/>
        <w:pageBreakBefore w:val="0"/>
        <w:widowControl/>
        <w:kinsoku w:val="0"/>
        <w:wordWrap/>
        <w:overflowPunct/>
        <w:topLinePunct w:val="0"/>
        <w:autoSpaceDE/>
        <w:autoSpaceDN/>
        <w:bidi w:val="0"/>
        <w:adjustRightInd/>
        <w:snapToGrid w:val="0"/>
        <w:spacing w:before="160" w:line="360" w:lineRule="auto"/>
        <w:ind w:left="5" w:right="73" w:firstLine="508" w:firstLineChars="200"/>
        <w:textAlignment w:val="baseline"/>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pacing w:val="22"/>
          <w:sz w:val="21"/>
          <w:szCs w:val="21"/>
          <w:highlight w:val="none"/>
        </w:rPr>
        <w:t>(</w:t>
      </w:r>
      <w:r>
        <w:rPr>
          <w:rFonts w:hint="eastAsia" w:ascii="宋体" w:hAnsi="宋体" w:eastAsia="宋体" w:cs="宋体"/>
          <w:snapToGrid w:val="0"/>
          <w:color w:val="auto"/>
          <w:spacing w:val="13"/>
          <w:sz w:val="21"/>
          <w:szCs w:val="21"/>
          <w:highlight w:val="none"/>
        </w:rPr>
        <w:t>5</w:t>
      </w:r>
      <w:r>
        <w:rPr>
          <w:rFonts w:hint="eastAsia" w:ascii="宋体" w:hAnsi="宋体" w:eastAsia="宋体" w:cs="宋体"/>
          <w:snapToGrid w:val="0"/>
          <w:color w:val="auto"/>
          <w:spacing w:val="11"/>
          <w:sz w:val="21"/>
          <w:szCs w:val="21"/>
          <w:highlight w:val="none"/>
        </w:rPr>
        <w:t>)发现对方在业务活动中有违反廉政规定的行为，有及时提醒对方纠正的权利和义务。</w:t>
      </w:r>
    </w:p>
    <w:p w14:paraId="51BEA6ED">
      <w:pPr>
        <w:keepNext w:val="0"/>
        <w:keepLines w:val="0"/>
        <w:pageBreakBefore w:val="0"/>
        <w:widowControl/>
        <w:kinsoku w:val="0"/>
        <w:wordWrap/>
        <w:overflowPunct/>
        <w:topLinePunct w:val="0"/>
        <w:autoSpaceDE/>
        <w:autoSpaceDN/>
        <w:bidi w:val="0"/>
        <w:adjustRightInd/>
        <w:snapToGrid w:val="0"/>
        <w:spacing w:before="160" w:line="360" w:lineRule="auto"/>
        <w:ind w:left="5" w:right="73" w:firstLine="492" w:firstLineChars="200"/>
        <w:textAlignment w:val="baseline"/>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pacing w:val="18"/>
          <w:sz w:val="21"/>
          <w:szCs w:val="21"/>
          <w:highlight w:val="none"/>
        </w:rPr>
        <w:t>(6</w:t>
      </w:r>
      <w:r>
        <w:rPr>
          <w:rFonts w:hint="eastAsia" w:ascii="宋体" w:hAnsi="宋体" w:eastAsia="宋体" w:cs="宋体"/>
          <w:snapToGrid w:val="0"/>
          <w:color w:val="auto"/>
          <w:spacing w:val="16"/>
          <w:sz w:val="21"/>
          <w:szCs w:val="21"/>
          <w:highlight w:val="none"/>
        </w:rPr>
        <w:t>)</w:t>
      </w:r>
      <w:r>
        <w:rPr>
          <w:rFonts w:hint="eastAsia" w:ascii="宋体" w:hAnsi="宋体" w:eastAsia="宋体" w:cs="宋体"/>
          <w:snapToGrid w:val="0"/>
          <w:color w:val="auto"/>
          <w:spacing w:val="9"/>
          <w:sz w:val="21"/>
          <w:szCs w:val="21"/>
          <w:highlight w:val="none"/>
        </w:rPr>
        <w:t>发现对方严重违反本合同义务条款的行为，有向其上级有关部门举报、建议给予处理并</w:t>
      </w:r>
      <w:r>
        <w:rPr>
          <w:rFonts w:hint="eastAsia" w:ascii="宋体" w:hAnsi="宋体" w:eastAsia="宋体" w:cs="宋体"/>
          <w:snapToGrid w:val="0"/>
          <w:color w:val="auto"/>
          <w:spacing w:val="11"/>
          <w:sz w:val="21"/>
          <w:szCs w:val="21"/>
          <w:highlight w:val="none"/>
        </w:rPr>
        <w:t>要</w:t>
      </w:r>
      <w:r>
        <w:rPr>
          <w:rFonts w:hint="eastAsia" w:ascii="宋体" w:hAnsi="宋体" w:eastAsia="宋体" w:cs="宋体"/>
          <w:snapToGrid w:val="0"/>
          <w:color w:val="auto"/>
          <w:spacing w:val="8"/>
          <w:sz w:val="21"/>
          <w:szCs w:val="21"/>
          <w:highlight w:val="none"/>
        </w:rPr>
        <w:t>求告知处理结果的权利。</w:t>
      </w:r>
    </w:p>
    <w:p w14:paraId="57BA7018">
      <w:pPr>
        <w:keepNext w:val="0"/>
        <w:keepLines w:val="0"/>
        <w:pageBreakBefore w:val="0"/>
        <w:widowControl/>
        <w:kinsoku w:val="0"/>
        <w:wordWrap/>
        <w:overflowPunct/>
        <w:topLinePunct w:val="0"/>
        <w:autoSpaceDE/>
        <w:autoSpaceDN/>
        <w:bidi w:val="0"/>
        <w:adjustRightInd/>
        <w:snapToGrid w:val="0"/>
        <w:spacing w:before="160" w:line="360" w:lineRule="auto"/>
        <w:ind w:left="5" w:right="73" w:firstLine="468" w:firstLineChars="200"/>
        <w:textAlignment w:val="baseline"/>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pacing w:val="12"/>
          <w:position w:val="1"/>
          <w:sz w:val="21"/>
          <w:szCs w:val="21"/>
          <w:highlight w:val="none"/>
        </w:rPr>
        <w:t>2</w:t>
      </w:r>
      <w:r>
        <w:rPr>
          <w:rFonts w:hint="eastAsia" w:ascii="宋体" w:hAnsi="宋体" w:eastAsia="宋体" w:cs="宋体"/>
          <w:snapToGrid w:val="0"/>
          <w:color w:val="auto"/>
          <w:spacing w:val="7"/>
          <w:position w:val="1"/>
          <w:sz w:val="21"/>
          <w:szCs w:val="21"/>
          <w:highlight w:val="none"/>
        </w:rPr>
        <w:t>．甲方的义务</w:t>
      </w:r>
    </w:p>
    <w:p w14:paraId="15FF355D">
      <w:pPr>
        <w:keepNext w:val="0"/>
        <w:keepLines w:val="0"/>
        <w:pageBreakBefore w:val="0"/>
        <w:widowControl/>
        <w:kinsoku w:val="0"/>
        <w:wordWrap/>
        <w:overflowPunct/>
        <w:topLinePunct w:val="0"/>
        <w:autoSpaceDE/>
        <w:autoSpaceDN/>
        <w:bidi w:val="0"/>
        <w:adjustRightInd/>
        <w:snapToGrid w:val="0"/>
        <w:spacing w:before="136" w:line="360" w:lineRule="auto"/>
        <w:ind w:left="1" w:right="70" w:firstLine="492" w:firstLineChars="200"/>
        <w:textAlignment w:val="baseline"/>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pacing w:val="18"/>
          <w:sz w:val="21"/>
          <w:szCs w:val="21"/>
          <w:highlight w:val="none"/>
        </w:rPr>
        <w:t>(1</w:t>
      </w:r>
      <w:r>
        <w:rPr>
          <w:rFonts w:hint="eastAsia" w:ascii="宋体" w:hAnsi="宋体" w:eastAsia="宋体" w:cs="宋体"/>
          <w:snapToGrid w:val="0"/>
          <w:color w:val="auto"/>
          <w:spacing w:val="16"/>
          <w:sz w:val="21"/>
          <w:szCs w:val="21"/>
          <w:highlight w:val="none"/>
        </w:rPr>
        <w:t>)</w:t>
      </w:r>
      <w:r>
        <w:rPr>
          <w:rFonts w:hint="eastAsia" w:ascii="宋体" w:hAnsi="宋体" w:eastAsia="宋体" w:cs="宋体"/>
          <w:snapToGrid w:val="0"/>
          <w:color w:val="auto"/>
          <w:spacing w:val="9"/>
          <w:sz w:val="21"/>
          <w:szCs w:val="21"/>
          <w:highlight w:val="none"/>
        </w:rPr>
        <w:t>甲方及其工作人员不得索要或接受乙方的礼金、有价证券和贵重物品，不得让承包</w:t>
      </w:r>
      <w:r>
        <w:rPr>
          <w:rFonts w:hint="eastAsia" w:ascii="宋体" w:hAnsi="宋体" w:eastAsia="宋体" w:cs="宋体"/>
          <w:snapToGrid w:val="0"/>
          <w:color w:val="auto"/>
          <w:spacing w:val="13"/>
          <w:sz w:val="21"/>
          <w:szCs w:val="21"/>
          <w:highlight w:val="none"/>
        </w:rPr>
        <w:t>人</w:t>
      </w:r>
      <w:r>
        <w:rPr>
          <w:rFonts w:hint="eastAsia" w:ascii="宋体" w:hAnsi="宋体" w:eastAsia="宋体" w:cs="宋体"/>
          <w:snapToGrid w:val="0"/>
          <w:color w:val="auto"/>
          <w:spacing w:val="9"/>
          <w:sz w:val="21"/>
          <w:szCs w:val="21"/>
          <w:highlight w:val="none"/>
        </w:rPr>
        <w:t>报销任何应由甲方或甲方工作人员个人支付的费用等。</w:t>
      </w:r>
    </w:p>
    <w:p w14:paraId="5FADDAC7">
      <w:pPr>
        <w:keepNext w:val="0"/>
        <w:keepLines w:val="0"/>
        <w:pageBreakBefore w:val="0"/>
        <w:widowControl/>
        <w:kinsoku w:val="0"/>
        <w:wordWrap/>
        <w:overflowPunct/>
        <w:topLinePunct w:val="0"/>
        <w:autoSpaceDE/>
        <w:autoSpaceDN/>
        <w:bidi w:val="0"/>
        <w:adjustRightInd/>
        <w:snapToGrid w:val="0"/>
        <w:spacing w:before="1" w:line="360" w:lineRule="auto"/>
        <w:ind w:right="70" w:firstLine="492" w:firstLineChars="200"/>
        <w:textAlignment w:val="baseline"/>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pacing w:val="18"/>
          <w:sz w:val="21"/>
          <w:szCs w:val="21"/>
          <w:highlight w:val="none"/>
        </w:rPr>
        <w:t>(2</w:t>
      </w:r>
      <w:r>
        <w:rPr>
          <w:rFonts w:hint="eastAsia" w:ascii="宋体" w:hAnsi="宋体" w:eastAsia="宋体" w:cs="宋体"/>
          <w:snapToGrid w:val="0"/>
          <w:color w:val="auto"/>
          <w:spacing w:val="16"/>
          <w:sz w:val="21"/>
          <w:szCs w:val="21"/>
          <w:highlight w:val="none"/>
        </w:rPr>
        <w:t>)</w:t>
      </w:r>
      <w:r>
        <w:rPr>
          <w:rFonts w:hint="eastAsia" w:ascii="宋体" w:hAnsi="宋体" w:eastAsia="宋体" w:cs="宋体"/>
          <w:snapToGrid w:val="0"/>
          <w:color w:val="auto"/>
          <w:spacing w:val="9"/>
          <w:sz w:val="21"/>
          <w:szCs w:val="21"/>
          <w:highlight w:val="none"/>
        </w:rPr>
        <w:t>甲方工作人员不得参加乙方安排的超标准宴请和娱乐活动；不得接受乙方提供的通讯工具、交通工具和高档办公用品等</w:t>
      </w:r>
      <w:r>
        <w:rPr>
          <w:rFonts w:hint="eastAsia" w:ascii="宋体" w:hAnsi="宋体" w:eastAsia="宋体" w:cs="宋体"/>
          <w:snapToGrid w:val="0"/>
          <w:color w:val="auto"/>
          <w:spacing w:val="7"/>
          <w:sz w:val="21"/>
          <w:szCs w:val="21"/>
          <w:highlight w:val="none"/>
        </w:rPr>
        <w:t>。</w:t>
      </w:r>
    </w:p>
    <w:p w14:paraId="7C101F10">
      <w:pPr>
        <w:keepNext w:val="0"/>
        <w:keepLines w:val="0"/>
        <w:pageBreakBefore w:val="0"/>
        <w:widowControl/>
        <w:kinsoku w:val="0"/>
        <w:wordWrap/>
        <w:overflowPunct/>
        <w:topLinePunct w:val="0"/>
        <w:autoSpaceDE/>
        <w:autoSpaceDN/>
        <w:bidi w:val="0"/>
        <w:adjustRightInd/>
        <w:snapToGrid w:val="0"/>
        <w:spacing w:before="2" w:line="360" w:lineRule="auto"/>
        <w:ind w:left="17" w:right="70" w:firstLine="492" w:firstLineChars="200"/>
        <w:textAlignment w:val="baseline"/>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pacing w:val="18"/>
          <w:sz w:val="21"/>
          <w:szCs w:val="21"/>
          <w:highlight w:val="none"/>
        </w:rPr>
        <w:t>(3</w:t>
      </w:r>
      <w:r>
        <w:rPr>
          <w:rFonts w:hint="eastAsia" w:ascii="宋体" w:hAnsi="宋体" w:eastAsia="宋体" w:cs="宋体"/>
          <w:snapToGrid w:val="0"/>
          <w:color w:val="auto"/>
          <w:spacing w:val="16"/>
          <w:sz w:val="21"/>
          <w:szCs w:val="21"/>
          <w:highlight w:val="none"/>
        </w:rPr>
        <w:t>)</w:t>
      </w:r>
      <w:r>
        <w:rPr>
          <w:rFonts w:hint="eastAsia" w:ascii="宋体" w:hAnsi="宋体" w:eastAsia="宋体" w:cs="宋体"/>
          <w:snapToGrid w:val="0"/>
          <w:color w:val="auto"/>
          <w:spacing w:val="9"/>
          <w:sz w:val="21"/>
          <w:szCs w:val="21"/>
          <w:highlight w:val="none"/>
        </w:rPr>
        <w:t>甲方及其工作人员不得要求或者接受乙方为其住房装修、婚丧嫁娶活动、配偶子女</w:t>
      </w:r>
      <w:r>
        <w:rPr>
          <w:rFonts w:hint="eastAsia" w:ascii="宋体" w:hAnsi="宋体" w:eastAsia="宋体" w:cs="宋体"/>
          <w:snapToGrid w:val="0"/>
          <w:color w:val="auto"/>
          <w:spacing w:val="12"/>
          <w:sz w:val="21"/>
          <w:szCs w:val="21"/>
          <w:highlight w:val="none"/>
        </w:rPr>
        <w:t>的</w:t>
      </w:r>
      <w:r>
        <w:rPr>
          <w:rFonts w:hint="eastAsia" w:ascii="宋体" w:hAnsi="宋体" w:eastAsia="宋体" w:cs="宋体"/>
          <w:snapToGrid w:val="0"/>
          <w:color w:val="auto"/>
          <w:spacing w:val="8"/>
          <w:sz w:val="21"/>
          <w:szCs w:val="21"/>
          <w:highlight w:val="none"/>
        </w:rPr>
        <w:t>工作安排以及出国出境、旅游等提供方便等。</w:t>
      </w:r>
    </w:p>
    <w:p w14:paraId="094F0E6B">
      <w:pPr>
        <w:keepNext w:val="0"/>
        <w:keepLines w:val="0"/>
        <w:pageBreakBefore w:val="0"/>
        <w:widowControl/>
        <w:kinsoku w:val="0"/>
        <w:wordWrap/>
        <w:overflowPunct/>
        <w:topLinePunct w:val="0"/>
        <w:autoSpaceDE/>
        <w:autoSpaceDN/>
        <w:bidi w:val="0"/>
        <w:adjustRightInd/>
        <w:snapToGrid w:val="0"/>
        <w:spacing w:before="1" w:line="360" w:lineRule="auto"/>
        <w:ind w:left="5" w:firstLine="468" w:firstLineChars="200"/>
        <w:textAlignment w:val="baseline"/>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pacing w:val="12"/>
          <w:sz w:val="21"/>
          <w:szCs w:val="21"/>
          <w:highlight w:val="none"/>
        </w:rPr>
        <w:t>(4</w:t>
      </w:r>
      <w:r>
        <w:rPr>
          <w:rFonts w:hint="eastAsia" w:ascii="宋体" w:hAnsi="宋体" w:eastAsia="宋体" w:cs="宋体"/>
          <w:snapToGrid w:val="0"/>
          <w:color w:val="auto"/>
          <w:spacing w:val="10"/>
          <w:sz w:val="21"/>
          <w:szCs w:val="21"/>
          <w:highlight w:val="none"/>
        </w:rPr>
        <w:t>)</w:t>
      </w:r>
      <w:r>
        <w:rPr>
          <w:rFonts w:hint="eastAsia" w:ascii="宋体" w:hAnsi="宋体" w:eastAsia="宋体" w:cs="宋体"/>
          <w:snapToGrid w:val="0"/>
          <w:color w:val="auto"/>
          <w:spacing w:val="6"/>
          <w:sz w:val="21"/>
          <w:szCs w:val="21"/>
          <w:highlight w:val="none"/>
        </w:rPr>
        <w:t>甲方工作人员及其配偶、子女不得从事与甲方工作有关的材料设备供应、工程分包、</w:t>
      </w:r>
      <w:r>
        <w:rPr>
          <w:rFonts w:hint="eastAsia" w:ascii="宋体" w:hAnsi="宋体" w:eastAsia="宋体" w:cs="宋体"/>
          <w:snapToGrid w:val="0"/>
          <w:color w:val="auto"/>
          <w:spacing w:val="8"/>
          <w:sz w:val="21"/>
          <w:szCs w:val="21"/>
          <w:highlight w:val="none"/>
        </w:rPr>
        <w:t>劳</w:t>
      </w:r>
      <w:r>
        <w:rPr>
          <w:rFonts w:hint="eastAsia" w:ascii="宋体" w:hAnsi="宋体" w:eastAsia="宋体" w:cs="宋体"/>
          <w:snapToGrid w:val="0"/>
          <w:color w:val="auto"/>
          <w:spacing w:val="7"/>
          <w:sz w:val="21"/>
          <w:szCs w:val="21"/>
          <w:highlight w:val="none"/>
        </w:rPr>
        <w:t>务等经济活动等。</w:t>
      </w:r>
    </w:p>
    <w:p w14:paraId="7E719DED">
      <w:pPr>
        <w:keepNext w:val="0"/>
        <w:keepLines w:val="0"/>
        <w:pageBreakBefore w:val="0"/>
        <w:widowControl/>
        <w:kinsoku w:val="0"/>
        <w:wordWrap/>
        <w:overflowPunct/>
        <w:topLinePunct w:val="0"/>
        <w:autoSpaceDE/>
        <w:autoSpaceDN/>
        <w:bidi w:val="0"/>
        <w:adjustRightInd/>
        <w:snapToGrid w:val="0"/>
        <w:spacing w:before="2" w:line="360" w:lineRule="auto"/>
        <w:ind w:left="1" w:right="70" w:firstLine="492" w:firstLineChars="200"/>
        <w:textAlignment w:val="baseline"/>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pacing w:val="18"/>
          <w:sz w:val="21"/>
          <w:szCs w:val="21"/>
          <w:highlight w:val="none"/>
        </w:rPr>
        <w:t>(5</w:t>
      </w:r>
      <w:r>
        <w:rPr>
          <w:rFonts w:hint="eastAsia" w:ascii="宋体" w:hAnsi="宋体" w:eastAsia="宋体" w:cs="宋体"/>
          <w:snapToGrid w:val="0"/>
          <w:color w:val="auto"/>
          <w:spacing w:val="16"/>
          <w:sz w:val="21"/>
          <w:szCs w:val="21"/>
          <w:highlight w:val="none"/>
        </w:rPr>
        <w:t>)</w:t>
      </w:r>
      <w:r>
        <w:rPr>
          <w:rFonts w:hint="eastAsia" w:ascii="宋体" w:hAnsi="宋体" w:eastAsia="宋体" w:cs="宋体"/>
          <w:snapToGrid w:val="0"/>
          <w:color w:val="auto"/>
          <w:spacing w:val="9"/>
          <w:sz w:val="21"/>
          <w:szCs w:val="21"/>
          <w:highlight w:val="none"/>
        </w:rPr>
        <w:t>甲方及其工作人员不得以任何理由向乙方推荐分包单位或推销材料，不得要求承包</w:t>
      </w:r>
      <w:r>
        <w:rPr>
          <w:rFonts w:hint="eastAsia" w:ascii="宋体" w:hAnsi="宋体" w:eastAsia="宋体" w:cs="宋体"/>
          <w:snapToGrid w:val="0"/>
          <w:color w:val="auto"/>
          <w:spacing w:val="15"/>
          <w:sz w:val="21"/>
          <w:szCs w:val="21"/>
          <w:highlight w:val="none"/>
        </w:rPr>
        <w:t>人</w:t>
      </w:r>
      <w:r>
        <w:rPr>
          <w:rFonts w:hint="eastAsia" w:ascii="宋体" w:hAnsi="宋体" w:eastAsia="宋体" w:cs="宋体"/>
          <w:snapToGrid w:val="0"/>
          <w:color w:val="auto"/>
          <w:spacing w:val="8"/>
          <w:sz w:val="21"/>
          <w:szCs w:val="21"/>
          <w:highlight w:val="none"/>
        </w:rPr>
        <w:t>购买合同规定以外的材料和设备。</w:t>
      </w:r>
    </w:p>
    <w:p w14:paraId="75DE5A59">
      <w:pPr>
        <w:keepNext w:val="0"/>
        <w:keepLines w:val="0"/>
        <w:pageBreakBefore w:val="0"/>
        <w:widowControl/>
        <w:kinsoku w:val="0"/>
        <w:wordWrap/>
        <w:overflowPunct/>
        <w:topLinePunct w:val="0"/>
        <w:autoSpaceDE/>
        <w:autoSpaceDN/>
        <w:bidi w:val="0"/>
        <w:adjustRightInd/>
        <w:snapToGrid w:val="0"/>
        <w:spacing w:before="1" w:line="360" w:lineRule="auto"/>
        <w:ind w:right="70" w:firstLine="492" w:firstLineChars="200"/>
        <w:textAlignment w:val="baseline"/>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pacing w:val="18"/>
          <w:sz w:val="21"/>
          <w:szCs w:val="21"/>
          <w:highlight w:val="none"/>
        </w:rPr>
        <w:t>(6</w:t>
      </w:r>
      <w:r>
        <w:rPr>
          <w:rFonts w:hint="eastAsia" w:ascii="宋体" w:hAnsi="宋体" w:eastAsia="宋体" w:cs="宋体"/>
          <w:snapToGrid w:val="0"/>
          <w:color w:val="auto"/>
          <w:spacing w:val="16"/>
          <w:sz w:val="21"/>
          <w:szCs w:val="21"/>
          <w:highlight w:val="none"/>
        </w:rPr>
        <w:t>)</w:t>
      </w:r>
      <w:r>
        <w:rPr>
          <w:rFonts w:hint="eastAsia" w:ascii="宋体" w:hAnsi="宋体" w:eastAsia="宋体" w:cs="宋体"/>
          <w:snapToGrid w:val="0"/>
          <w:color w:val="auto"/>
          <w:spacing w:val="9"/>
          <w:sz w:val="21"/>
          <w:szCs w:val="21"/>
          <w:highlight w:val="none"/>
        </w:rPr>
        <w:t>甲方工作人员要秉公办事，不准营私舞弊，不准利用职权从事各种个人有偿中介活动</w:t>
      </w:r>
      <w:r>
        <w:rPr>
          <w:rFonts w:hint="eastAsia" w:ascii="宋体" w:hAnsi="宋体" w:eastAsia="宋体" w:cs="宋体"/>
          <w:snapToGrid w:val="0"/>
          <w:color w:val="auto"/>
          <w:spacing w:val="8"/>
          <w:sz w:val="21"/>
          <w:szCs w:val="21"/>
          <w:highlight w:val="none"/>
        </w:rPr>
        <w:t>和安排个人施工队伍</w:t>
      </w:r>
      <w:r>
        <w:rPr>
          <w:rFonts w:hint="eastAsia" w:ascii="宋体" w:hAnsi="宋体" w:eastAsia="宋体" w:cs="宋体"/>
          <w:snapToGrid w:val="0"/>
          <w:color w:val="auto"/>
          <w:spacing w:val="7"/>
          <w:sz w:val="21"/>
          <w:szCs w:val="21"/>
          <w:highlight w:val="none"/>
        </w:rPr>
        <w:t>。</w:t>
      </w:r>
    </w:p>
    <w:p w14:paraId="2FF5B73D">
      <w:pPr>
        <w:keepNext w:val="0"/>
        <w:keepLines w:val="0"/>
        <w:pageBreakBefore w:val="0"/>
        <w:widowControl/>
        <w:kinsoku w:val="0"/>
        <w:wordWrap/>
        <w:overflowPunct/>
        <w:topLinePunct w:val="0"/>
        <w:autoSpaceDE/>
        <w:autoSpaceDN/>
        <w:bidi w:val="0"/>
        <w:adjustRightInd/>
        <w:snapToGrid w:val="0"/>
        <w:spacing w:line="360" w:lineRule="auto"/>
        <w:ind w:firstLine="460" w:firstLineChars="200"/>
        <w:textAlignment w:val="baseline"/>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pacing w:val="10"/>
          <w:position w:val="1"/>
          <w:sz w:val="21"/>
          <w:szCs w:val="21"/>
          <w:highlight w:val="none"/>
        </w:rPr>
        <w:t>3</w:t>
      </w:r>
      <w:r>
        <w:rPr>
          <w:rFonts w:hint="eastAsia" w:ascii="宋体" w:hAnsi="宋体" w:eastAsia="宋体" w:cs="宋体"/>
          <w:snapToGrid w:val="0"/>
          <w:color w:val="auto"/>
          <w:spacing w:val="7"/>
          <w:position w:val="1"/>
          <w:sz w:val="21"/>
          <w:szCs w:val="21"/>
          <w:highlight w:val="none"/>
        </w:rPr>
        <w:t>．乙方的义务</w:t>
      </w:r>
    </w:p>
    <w:p w14:paraId="45B9867A">
      <w:pPr>
        <w:keepNext w:val="0"/>
        <w:keepLines w:val="0"/>
        <w:pageBreakBefore w:val="0"/>
        <w:widowControl/>
        <w:kinsoku w:val="0"/>
        <w:wordWrap/>
        <w:overflowPunct/>
        <w:topLinePunct w:val="0"/>
        <w:autoSpaceDE/>
        <w:autoSpaceDN/>
        <w:bidi w:val="0"/>
        <w:adjustRightInd/>
        <w:snapToGrid w:val="0"/>
        <w:spacing w:before="2" w:line="360" w:lineRule="auto"/>
        <w:ind w:left="17" w:right="70" w:firstLine="508" w:firstLineChars="200"/>
        <w:textAlignment w:val="baseline"/>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pacing w:val="22"/>
          <w:sz w:val="21"/>
          <w:szCs w:val="21"/>
          <w:highlight w:val="none"/>
        </w:rPr>
        <w:t>(</w:t>
      </w:r>
      <w:r>
        <w:rPr>
          <w:rFonts w:hint="eastAsia" w:ascii="宋体" w:hAnsi="宋体" w:eastAsia="宋体" w:cs="宋体"/>
          <w:snapToGrid w:val="0"/>
          <w:color w:val="auto"/>
          <w:spacing w:val="11"/>
          <w:sz w:val="21"/>
          <w:szCs w:val="21"/>
          <w:highlight w:val="none"/>
        </w:rPr>
        <w:t>1)乙方不得以任何理由向甲方及其工作人员行贿或馈赠礼金、有价证券、贵重礼品。</w:t>
      </w:r>
    </w:p>
    <w:p w14:paraId="0C9A5920">
      <w:pPr>
        <w:keepNext w:val="0"/>
        <w:keepLines w:val="0"/>
        <w:pageBreakBefore w:val="0"/>
        <w:widowControl/>
        <w:kinsoku w:val="0"/>
        <w:wordWrap/>
        <w:overflowPunct/>
        <w:topLinePunct w:val="0"/>
        <w:autoSpaceDE/>
        <w:autoSpaceDN/>
        <w:bidi w:val="0"/>
        <w:adjustRightInd/>
        <w:snapToGrid w:val="0"/>
        <w:spacing w:before="2" w:line="360" w:lineRule="auto"/>
        <w:ind w:left="17" w:right="70" w:firstLine="512" w:firstLineChars="200"/>
        <w:textAlignment w:val="baseline"/>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pacing w:val="23"/>
          <w:sz w:val="21"/>
          <w:szCs w:val="21"/>
          <w:highlight w:val="none"/>
        </w:rPr>
        <w:t>(</w:t>
      </w:r>
      <w:r>
        <w:rPr>
          <w:rFonts w:hint="eastAsia" w:ascii="宋体" w:hAnsi="宋体" w:eastAsia="宋体" w:cs="宋体"/>
          <w:snapToGrid w:val="0"/>
          <w:color w:val="auto"/>
          <w:spacing w:val="12"/>
          <w:sz w:val="21"/>
          <w:szCs w:val="21"/>
          <w:highlight w:val="none"/>
        </w:rPr>
        <w:t>2)</w:t>
      </w:r>
      <w:r>
        <w:rPr>
          <w:rFonts w:hint="eastAsia" w:ascii="宋体" w:hAnsi="宋体" w:eastAsia="宋体" w:cs="宋体"/>
          <w:snapToGrid w:val="0"/>
          <w:color w:val="auto"/>
          <w:spacing w:val="18"/>
          <w:sz w:val="21"/>
          <w:szCs w:val="21"/>
          <w:highlight w:val="none"/>
        </w:rPr>
        <w:t>乙方不得以任何名义为甲方及其工作人员报销应由甲方单位或个人支付的任何费用</w:t>
      </w:r>
      <w:r>
        <w:rPr>
          <w:rFonts w:hint="eastAsia" w:ascii="宋体" w:hAnsi="宋体" w:eastAsia="宋体" w:cs="宋体"/>
          <w:snapToGrid w:val="0"/>
          <w:color w:val="auto"/>
          <w:spacing w:val="12"/>
          <w:sz w:val="21"/>
          <w:szCs w:val="21"/>
          <w:highlight w:val="none"/>
        </w:rPr>
        <w:t>。</w:t>
      </w:r>
    </w:p>
    <w:p w14:paraId="0B384B5C">
      <w:pPr>
        <w:keepNext w:val="0"/>
        <w:keepLines w:val="0"/>
        <w:pageBreakBefore w:val="0"/>
        <w:widowControl/>
        <w:kinsoku w:val="0"/>
        <w:wordWrap/>
        <w:overflowPunct/>
        <w:topLinePunct w:val="0"/>
        <w:autoSpaceDE/>
        <w:autoSpaceDN/>
        <w:bidi w:val="0"/>
        <w:adjustRightInd/>
        <w:snapToGrid w:val="0"/>
        <w:spacing w:before="2" w:line="360" w:lineRule="auto"/>
        <w:ind w:left="17" w:right="70" w:firstLine="508" w:firstLineChars="200"/>
        <w:textAlignment w:val="baseline"/>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pacing w:val="22"/>
          <w:sz w:val="21"/>
          <w:szCs w:val="21"/>
          <w:highlight w:val="none"/>
        </w:rPr>
        <w:t>(</w:t>
      </w:r>
      <w:r>
        <w:rPr>
          <w:rFonts w:hint="eastAsia" w:ascii="宋体" w:hAnsi="宋体" w:eastAsia="宋体" w:cs="宋体"/>
          <w:snapToGrid w:val="0"/>
          <w:color w:val="auto"/>
          <w:spacing w:val="17"/>
          <w:sz w:val="21"/>
          <w:szCs w:val="21"/>
          <w:highlight w:val="none"/>
        </w:rPr>
        <w:t>3</w:t>
      </w:r>
      <w:r>
        <w:rPr>
          <w:rFonts w:hint="eastAsia" w:ascii="宋体" w:hAnsi="宋体" w:eastAsia="宋体" w:cs="宋体"/>
          <w:snapToGrid w:val="0"/>
          <w:color w:val="auto"/>
          <w:spacing w:val="11"/>
          <w:sz w:val="21"/>
          <w:szCs w:val="21"/>
          <w:highlight w:val="none"/>
        </w:rPr>
        <w:t>)</w:t>
      </w:r>
      <w:r>
        <w:rPr>
          <w:rFonts w:hint="eastAsia" w:ascii="宋体" w:hAnsi="宋体" w:eastAsia="宋体" w:cs="宋体"/>
          <w:snapToGrid w:val="0"/>
          <w:color w:val="auto"/>
          <w:spacing w:val="18"/>
          <w:sz w:val="21"/>
          <w:szCs w:val="21"/>
          <w:highlight w:val="none"/>
        </w:rPr>
        <w:t>乙方不得以任何理由安排甲方工作人员参加超标准宴请及娱乐活动</w:t>
      </w:r>
      <w:r>
        <w:rPr>
          <w:rFonts w:hint="eastAsia" w:ascii="宋体" w:hAnsi="宋体" w:eastAsia="宋体" w:cs="宋体"/>
          <w:snapToGrid w:val="0"/>
          <w:color w:val="auto"/>
          <w:spacing w:val="11"/>
          <w:sz w:val="21"/>
          <w:szCs w:val="21"/>
          <w:highlight w:val="none"/>
        </w:rPr>
        <w:t>。</w:t>
      </w:r>
    </w:p>
    <w:p w14:paraId="37D5E042">
      <w:pPr>
        <w:keepNext w:val="0"/>
        <w:keepLines w:val="0"/>
        <w:pageBreakBefore w:val="0"/>
        <w:widowControl/>
        <w:kinsoku w:val="0"/>
        <w:wordWrap/>
        <w:overflowPunct/>
        <w:topLinePunct w:val="0"/>
        <w:autoSpaceDE/>
        <w:autoSpaceDN/>
        <w:bidi w:val="0"/>
        <w:adjustRightInd/>
        <w:snapToGrid w:val="0"/>
        <w:spacing w:before="2" w:line="360" w:lineRule="auto"/>
        <w:ind w:left="17" w:right="70" w:firstLine="508" w:firstLineChars="200"/>
        <w:textAlignment w:val="baseline"/>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pacing w:val="22"/>
          <w:sz w:val="21"/>
          <w:szCs w:val="21"/>
          <w:highlight w:val="none"/>
        </w:rPr>
        <w:t>(</w:t>
      </w:r>
      <w:r>
        <w:rPr>
          <w:rFonts w:hint="eastAsia" w:ascii="宋体" w:hAnsi="宋体" w:eastAsia="宋体" w:cs="宋体"/>
          <w:snapToGrid w:val="0"/>
          <w:color w:val="auto"/>
          <w:spacing w:val="13"/>
          <w:sz w:val="21"/>
          <w:szCs w:val="21"/>
          <w:highlight w:val="none"/>
        </w:rPr>
        <w:t>4</w:t>
      </w:r>
      <w:r>
        <w:rPr>
          <w:rFonts w:hint="eastAsia" w:ascii="宋体" w:hAnsi="宋体" w:eastAsia="宋体" w:cs="宋体"/>
          <w:snapToGrid w:val="0"/>
          <w:color w:val="auto"/>
          <w:spacing w:val="11"/>
          <w:sz w:val="21"/>
          <w:szCs w:val="21"/>
          <w:highlight w:val="none"/>
        </w:rPr>
        <w:t>)</w:t>
      </w:r>
      <w:r>
        <w:rPr>
          <w:rFonts w:hint="eastAsia" w:ascii="宋体" w:hAnsi="宋体" w:eastAsia="宋体" w:cs="宋体"/>
          <w:snapToGrid w:val="0"/>
          <w:color w:val="auto"/>
          <w:spacing w:val="18"/>
          <w:sz w:val="21"/>
          <w:szCs w:val="21"/>
          <w:highlight w:val="none"/>
        </w:rPr>
        <w:t>乙方不得为甲方单位和个人购置或提供通讯工具</w:t>
      </w:r>
      <w:r>
        <w:rPr>
          <w:rFonts w:hint="eastAsia" w:ascii="宋体" w:hAnsi="宋体" w:eastAsia="宋体" w:cs="宋体"/>
          <w:snapToGrid w:val="0"/>
          <w:color w:val="auto"/>
          <w:spacing w:val="11"/>
          <w:sz w:val="21"/>
          <w:szCs w:val="21"/>
          <w:highlight w:val="none"/>
        </w:rPr>
        <w:t>、</w:t>
      </w:r>
      <w:r>
        <w:rPr>
          <w:rFonts w:hint="eastAsia" w:ascii="宋体" w:hAnsi="宋体" w:eastAsia="宋体" w:cs="宋体"/>
          <w:snapToGrid w:val="0"/>
          <w:color w:val="auto"/>
          <w:spacing w:val="18"/>
          <w:sz w:val="21"/>
          <w:szCs w:val="21"/>
          <w:highlight w:val="none"/>
        </w:rPr>
        <w:t>交通工具和高档办公用品等</w:t>
      </w:r>
      <w:r>
        <w:rPr>
          <w:rFonts w:hint="eastAsia" w:ascii="宋体" w:hAnsi="宋体" w:eastAsia="宋体" w:cs="宋体"/>
          <w:snapToGrid w:val="0"/>
          <w:color w:val="auto"/>
          <w:spacing w:val="11"/>
          <w:sz w:val="21"/>
          <w:szCs w:val="21"/>
          <w:highlight w:val="none"/>
        </w:rPr>
        <w:t>。</w:t>
      </w:r>
    </w:p>
    <w:p w14:paraId="34ED10D2">
      <w:pPr>
        <w:keepNext w:val="0"/>
        <w:keepLines w:val="0"/>
        <w:pageBreakBefore w:val="0"/>
        <w:widowControl/>
        <w:kinsoku w:val="0"/>
        <w:wordWrap/>
        <w:overflowPunct/>
        <w:topLinePunct w:val="0"/>
        <w:autoSpaceDE/>
        <w:autoSpaceDN/>
        <w:bidi w:val="0"/>
        <w:adjustRightInd/>
        <w:snapToGrid w:val="0"/>
        <w:spacing w:before="2" w:line="360" w:lineRule="auto"/>
        <w:ind w:left="17" w:right="70" w:firstLine="456" w:firstLineChars="200"/>
        <w:textAlignment w:val="baseline"/>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pacing w:val="9"/>
          <w:position w:val="1"/>
          <w:sz w:val="21"/>
          <w:szCs w:val="21"/>
          <w:highlight w:val="none"/>
        </w:rPr>
        <w:t>4</w:t>
      </w:r>
      <w:r>
        <w:rPr>
          <w:rFonts w:hint="eastAsia" w:ascii="宋体" w:hAnsi="宋体" w:eastAsia="宋体" w:cs="宋体"/>
          <w:snapToGrid w:val="0"/>
          <w:color w:val="auto"/>
          <w:spacing w:val="7"/>
          <w:position w:val="1"/>
          <w:sz w:val="21"/>
          <w:szCs w:val="21"/>
          <w:highlight w:val="none"/>
        </w:rPr>
        <w:t>．</w:t>
      </w:r>
      <w:r>
        <w:rPr>
          <w:rFonts w:hint="eastAsia" w:ascii="宋体" w:hAnsi="宋体" w:eastAsia="宋体" w:cs="宋体"/>
          <w:snapToGrid w:val="0"/>
          <w:color w:val="auto"/>
          <w:spacing w:val="18"/>
          <w:sz w:val="21"/>
          <w:szCs w:val="21"/>
          <w:highlight w:val="none"/>
        </w:rPr>
        <w:t>违约责任</w:t>
      </w:r>
    </w:p>
    <w:p w14:paraId="24A731F9">
      <w:pPr>
        <w:keepNext w:val="0"/>
        <w:keepLines w:val="0"/>
        <w:pageBreakBefore w:val="0"/>
        <w:widowControl/>
        <w:kinsoku w:val="0"/>
        <w:wordWrap/>
        <w:overflowPunct/>
        <w:topLinePunct w:val="0"/>
        <w:autoSpaceDE/>
        <w:autoSpaceDN/>
        <w:bidi w:val="0"/>
        <w:adjustRightInd/>
        <w:snapToGrid w:val="0"/>
        <w:spacing w:before="2" w:line="360" w:lineRule="auto"/>
        <w:ind w:left="17" w:right="70" w:firstLine="484" w:firstLineChars="200"/>
        <w:textAlignment w:val="baseline"/>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pacing w:val="16"/>
          <w:sz w:val="21"/>
          <w:szCs w:val="21"/>
          <w:highlight w:val="none"/>
        </w:rPr>
        <w:t>(</w:t>
      </w:r>
      <w:r>
        <w:rPr>
          <w:rFonts w:hint="eastAsia" w:ascii="宋体" w:hAnsi="宋体" w:eastAsia="宋体" w:cs="宋体"/>
          <w:snapToGrid w:val="0"/>
          <w:color w:val="auto"/>
          <w:spacing w:val="9"/>
          <w:sz w:val="21"/>
          <w:szCs w:val="21"/>
          <w:highlight w:val="none"/>
        </w:rPr>
        <w:t>1)</w:t>
      </w:r>
      <w:r>
        <w:rPr>
          <w:rFonts w:hint="eastAsia" w:ascii="宋体" w:hAnsi="宋体" w:eastAsia="宋体" w:cs="宋体"/>
          <w:snapToGrid w:val="0"/>
          <w:color w:val="auto"/>
          <w:spacing w:val="18"/>
          <w:sz w:val="21"/>
          <w:szCs w:val="21"/>
          <w:highlight w:val="none"/>
        </w:rPr>
        <w:t>甲方及其工作人员违反本合同第</w:t>
      </w:r>
      <w:r>
        <w:rPr>
          <w:rFonts w:hint="eastAsia" w:ascii="宋体" w:hAnsi="宋体" w:eastAsia="宋体" w:cs="宋体"/>
          <w:snapToGrid w:val="0"/>
          <w:color w:val="auto"/>
          <w:spacing w:val="9"/>
          <w:sz w:val="21"/>
          <w:szCs w:val="21"/>
          <w:highlight w:val="none"/>
        </w:rPr>
        <w:t>1、2条，按管理权限，依据有关规定给予党纪、政</w:t>
      </w:r>
      <w:r>
        <w:rPr>
          <w:rFonts w:hint="eastAsia" w:ascii="宋体" w:hAnsi="宋体" w:eastAsia="宋体" w:cs="宋体"/>
          <w:snapToGrid w:val="0"/>
          <w:color w:val="auto"/>
          <w:spacing w:val="20"/>
          <w:sz w:val="21"/>
          <w:szCs w:val="21"/>
          <w:highlight w:val="none"/>
        </w:rPr>
        <w:t>纪</w:t>
      </w:r>
      <w:r>
        <w:rPr>
          <w:rFonts w:hint="eastAsia" w:ascii="宋体" w:hAnsi="宋体" w:eastAsia="宋体" w:cs="宋体"/>
          <w:snapToGrid w:val="0"/>
          <w:color w:val="auto"/>
          <w:spacing w:val="13"/>
          <w:sz w:val="21"/>
          <w:szCs w:val="21"/>
          <w:highlight w:val="none"/>
        </w:rPr>
        <w:t>或</w:t>
      </w:r>
      <w:r>
        <w:rPr>
          <w:rFonts w:hint="eastAsia" w:ascii="宋体" w:hAnsi="宋体" w:eastAsia="宋体" w:cs="宋体"/>
          <w:snapToGrid w:val="0"/>
          <w:color w:val="auto"/>
          <w:spacing w:val="10"/>
          <w:sz w:val="21"/>
          <w:szCs w:val="21"/>
          <w:highlight w:val="none"/>
        </w:rPr>
        <w:t>组织处理；涉嫌犯罪的，移交司法院追究刑事责任；给乙方单位造成经济损失的，应予以</w:t>
      </w:r>
      <w:r>
        <w:rPr>
          <w:rFonts w:hint="eastAsia" w:ascii="宋体" w:hAnsi="宋体" w:eastAsia="宋体" w:cs="宋体"/>
          <w:snapToGrid w:val="0"/>
          <w:color w:val="auto"/>
          <w:spacing w:val="3"/>
          <w:sz w:val="21"/>
          <w:szCs w:val="21"/>
          <w:highlight w:val="none"/>
        </w:rPr>
        <w:t>赔偿。</w:t>
      </w:r>
    </w:p>
    <w:p w14:paraId="38F966B6">
      <w:pPr>
        <w:keepNext w:val="0"/>
        <w:keepLines w:val="0"/>
        <w:pageBreakBefore w:val="0"/>
        <w:widowControl/>
        <w:kinsoku w:val="0"/>
        <w:wordWrap/>
        <w:overflowPunct/>
        <w:topLinePunct w:val="0"/>
        <w:autoSpaceDE/>
        <w:autoSpaceDN/>
        <w:bidi w:val="0"/>
        <w:adjustRightInd/>
        <w:snapToGrid w:val="0"/>
        <w:spacing w:before="2" w:line="360" w:lineRule="auto"/>
        <w:ind w:left="17" w:right="70" w:firstLine="484" w:firstLineChars="200"/>
        <w:textAlignment w:val="baseline"/>
        <w:rPr>
          <w:rFonts w:hint="eastAsia" w:ascii="宋体" w:hAnsi="宋体" w:eastAsia="宋体" w:cs="宋体"/>
          <w:snapToGrid w:val="0"/>
          <w:color w:val="auto"/>
          <w:spacing w:val="18"/>
          <w:sz w:val="21"/>
          <w:szCs w:val="21"/>
          <w:highlight w:val="none"/>
        </w:rPr>
      </w:pPr>
      <w:r>
        <w:rPr>
          <w:rFonts w:hint="eastAsia" w:ascii="宋体" w:hAnsi="宋体" w:eastAsia="宋体" w:cs="宋体"/>
          <w:snapToGrid w:val="0"/>
          <w:color w:val="auto"/>
          <w:spacing w:val="16"/>
          <w:sz w:val="21"/>
          <w:szCs w:val="21"/>
          <w:highlight w:val="none"/>
        </w:rPr>
        <w:t>(</w:t>
      </w:r>
      <w:r>
        <w:rPr>
          <w:rFonts w:hint="eastAsia" w:ascii="宋体" w:hAnsi="宋体" w:eastAsia="宋体" w:cs="宋体"/>
          <w:snapToGrid w:val="0"/>
          <w:color w:val="auto"/>
          <w:spacing w:val="9"/>
          <w:sz w:val="21"/>
          <w:szCs w:val="21"/>
          <w:highlight w:val="none"/>
        </w:rPr>
        <w:t xml:space="preserve">2) </w:t>
      </w:r>
      <w:r>
        <w:rPr>
          <w:rFonts w:hint="eastAsia" w:ascii="宋体" w:hAnsi="宋体" w:eastAsia="宋体" w:cs="宋体"/>
          <w:snapToGrid w:val="0"/>
          <w:color w:val="auto"/>
          <w:spacing w:val="18"/>
          <w:sz w:val="21"/>
          <w:szCs w:val="21"/>
          <w:highlight w:val="none"/>
        </w:rPr>
        <w:t>乙方及其工作人员违反本合同第</w:t>
      </w:r>
      <w:r>
        <w:rPr>
          <w:rFonts w:hint="eastAsia" w:ascii="宋体" w:hAnsi="宋体" w:eastAsia="宋体" w:cs="宋体"/>
          <w:snapToGrid w:val="0"/>
          <w:color w:val="auto"/>
          <w:spacing w:val="9"/>
          <w:sz w:val="21"/>
          <w:szCs w:val="21"/>
          <w:highlight w:val="none"/>
        </w:rPr>
        <w:t>1、3条，按管理权限，依据有关规定给予党纪、政</w:t>
      </w:r>
      <w:r>
        <w:rPr>
          <w:rFonts w:hint="eastAsia" w:ascii="宋体" w:hAnsi="宋体" w:eastAsia="宋体" w:cs="宋体"/>
          <w:snapToGrid w:val="0"/>
          <w:color w:val="auto"/>
          <w:spacing w:val="20"/>
          <w:sz w:val="21"/>
          <w:szCs w:val="21"/>
          <w:highlight w:val="none"/>
        </w:rPr>
        <w:t>纪</w:t>
      </w:r>
      <w:r>
        <w:rPr>
          <w:rFonts w:hint="eastAsia" w:ascii="宋体" w:hAnsi="宋体" w:eastAsia="宋体" w:cs="宋体"/>
          <w:snapToGrid w:val="0"/>
          <w:color w:val="auto"/>
          <w:spacing w:val="10"/>
          <w:sz w:val="21"/>
          <w:szCs w:val="21"/>
          <w:highlight w:val="none"/>
        </w:rPr>
        <w:t>或组织处理；给甲方单位造成经济损失的，应予以赔偿；</w:t>
      </w:r>
      <w:r>
        <w:rPr>
          <w:rFonts w:hint="eastAsia" w:ascii="宋体" w:hAnsi="宋体" w:eastAsia="宋体" w:cs="宋体"/>
          <w:snapToGrid w:val="0"/>
          <w:color w:val="auto"/>
          <w:spacing w:val="18"/>
          <w:sz w:val="21"/>
          <w:szCs w:val="21"/>
          <w:highlight w:val="none"/>
        </w:rPr>
        <w:t>情节严重的，甲方建议交通主管部门给予乙方一至三年内不得进入其主管的公路建设市场的处罚。</w:t>
      </w:r>
    </w:p>
    <w:p w14:paraId="016FE289">
      <w:pPr>
        <w:keepNext w:val="0"/>
        <w:keepLines w:val="0"/>
        <w:pageBreakBefore w:val="0"/>
        <w:widowControl/>
        <w:kinsoku w:val="0"/>
        <w:wordWrap/>
        <w:overflowPunct/>
        <w:topLinePunct w:val="0"/>
        <w:autoSpaceDE/>
        <w:autoSpaceDN/>
        <w:bidi w:val="0"/>
        <w:adjustRightInd/>
        <w:snapToGrid w:val="0"/>
        <w:spacing w:before="2" w:line="360" w:lineRule="auto"/>
        <w:ind w:left="17" w:right="70" w:firstLine="492" w:firstLineChars="200"/>
        <w:textAlignment w:val="baseline"/>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pacing w:val="18"/>
          <w:sz w:val="21"/>
          <w:szCs w:val="21"/>
          <w:highlight w:val="none"/>
        </w:rPr>
        <w:t>5.双方约定：本合同由双方或双方上级单位的纪检监察部门负责监督执行。由甲方或发包</w:t>
      </w:r>
      <w:r>
        <w:rPr>
          <w:rFonts w:hint="eastAsia" w:ascii="宋体" w:hAnsi="宋体" w:eastAsia="宋体" w:cs="宋体"/>
          <w:snapToGrid w:val="0"/>
          <w:color w:val="auto"/>
          <w:spacing w:val="20"/>
          <w:sz w:val="21"/>
          <w:szCs w:val="21"/>
          <w:highlight w:val="none"/>
        </w:rPr>
        <w:t>人</w:t>
      </w:r>
      <w:r>
        <w:rPr>
          <w:rFonts w:hint="eastAsia" w:ascii="宋体" w:hAnsi="宋体" w:eastAsia="宋体" w:cs="宋体"/>
          <w:snapToGrid w:val="0"/>
          <w:color w:val="auto"/>
          <w:spacing w:val="11"/>
          <w:sz w:val="21"/>
          <w:szCs w:val="21"/>
          <w:highlight w:val="none"/>
        </w:rPr>
        <w:t>上</w:t>
      </w:r>
      <w:r>
        <w:rPr>
          <w:rFonts w:hint="eastAsia" w:ascii="宋体" w:hAnsi="宋体" w:eastAsia="宋体" w:cs="宋体"/>
          <w:snapToGrid w:val="0"/>
          <w:color w:val="auto"/>
          <w:spacing w:val="10"/>
          <w:sz w:val="21"/>
          <w:szCs w:val="21"/>
          <w:highlight w:val="none"/>
        </w:rPr>
        <w:t>级单位的纪检监察部门约请乙方或乙方上级单位纪检监察部门对本合同执行情况进行检</w:t>
      </w:r>
      <w:r>
        <w:rPr>
          <w:rFonts w:hint="eastAsia" w:ascii="宋体" w:hAnsi="宋体" w:eastAsia="宋体" w:cs="宋体"/>
          <w:snapToGrid w:val="0"/>
          <w:color w:val="auto"/>
          <w:sz w:val="21"/>
          <w:szCs w:val="21"/>
          <w:highlight w:val="none"/>
        </w:rPr>
        <w:t xml:space="preserve"> </w:t>
      </w:r>
      <w:r>
        <w:rPr>
          <w:rFonts w:hint="eastAsia" w:ascii="宋体" w:hAnsi="宋体" w:eastAsia="宋体" w:cs="宋体"/>
          <w:snapToGrid w:val="0"/>
          <w:color w:val="auto"/>
          <w:spacing w:val="9"/>
          <w:sz w:val="21"/>
          <w:szCs w:val="21"/>
          <w:highlight w:val="none"/>
        </w:rPr>
        <w:t>查，提出在本合同规定范围内的裁定意见</w:t>
      </w:r>
      <w:r>
        <w:rPr>
          <w:rFonts w:hint="eastAsia" w:ascii="宋体" w:hAnsi="宋体" w:eastAsia="宋体" w:cs="宋体"/>
          <w:snapToGrid w:val="0"/>
          <w:color w:val="auto"/>
          <w:spacing w:val="5"/>
          <w:sz w:val="21"/>
          <w:szCs w:val="21"/>
          <w:highlight w:val="none"/>
        </w:rPr>
        <w:t>。</w:t>
      </w:r>
    </w:p>
    <w:p w14:paraId="19F5AB05">
      <w:pPr>
        <w:keepNext w:val="0"/>
        <w:keepLines w:val="0"/>
        <w:pageBreakBefore w:val="0"/>
        <w:widowControl/>
        <w:kinsoku w:val="0"/>
        <w:wordWrap/>
        <w:overflowPunct/>
        <w:topLinePunct w:val="0"/>
        <w:autoSpaceDE/>
        <w:autoSpaceDN/>
        <w:bidi w:val="0"/>
        <w:adjustRightInd/>
        <w:snapToGrid w:val="0"/>
        <w:spacing w:before="2" w:line="360" w:lineRule="auto"/>
        <w:ind w:left="17" w:right="70" w:firstLine="460" w:firstLineChars="200"/>
        <w:textAlignment w:val="baseline"/>
        <w:rPr>
          <w:rFonts w:hint="eastAsia" w:ascii="宋体" w:hAnsi="宋体" w:eastAsia="宋体" w:cs="宋体"/>
          <w:snapToGrid w:val="0"/>
          <w:color w:val="auto"/>
          <w:spacing w:val="9"/>
          <w:position w:val="1"/>
          <w:sz w:val="21"/>
          <w:szCs w:val="21"/>
          <w:highlight w:val="none"/>
        </w:rPr>
      </w:pPr>
      <w:r>
        <w:rPr>
          <w:rFonts w:hint="eastAsia" w:ascii="宋体" w:hAnsi="宋体" w:eastAsia="宋体" w:cs="宋体"/>
          <w:snapToGrid w:val="0"/>
          <w:color w:val="auto"/>
          <w:spacing w:val="10"/>
          <w:position w:val="1"/>
          <w:sz w:val="21"/>
          <w:szCs w:val="21"/>
          <w:highlight w:val="none"/>
        </w:rPr>
        <w:t>6</w:t>
      </w:r>
      <w:r>
        <w:rPr>
          <w:rFonts w:hint="eastAsia" w:ascii="宋体" w:hAnsi="宋体" w:eastAsia="宋体" w:cs="宋体"/>
          <w:snapToGrid w:val="0"/>
          <w:color w:val="auto"/>
          <w:spacing w:val="9"/>
          <w:position w:val="1"/>
          <w:sz w:val="21"/>
          <w:szCs w:val="21"/>
          <w:highlight w:val="none"/>
        </w:rPr>
        <w:t>.</w:t>
      </w:r>
      <w:r>
        <w:rPr>
          <w:rFonts w:hint="eastAsia" w:ascii="宋体" w:hAnsi="宋体" w:eastAsia="宋体" w:cs="宋体"/>
          <w:snapToGrid w:val="0"/>
          <w:color w:val="auto"/>
          <w:spacing w:val="18"/>
          <w:sz w:val="21"/>
          <w:szCs w:val="21"/>
          <w:highlight w:val="none"/>
        </w:rPr>
        <w:t>本合同有效期为甲方和乙方签署之日起至该工程项目竣工验收后止</w:t>
      </w:r>
      <w:r>
        <w:rPr>
          <w:rFonts w:hint="eastAsia" w:ascii="宋体" w:hAnsi="宋体" w:eastAsia="宋体" w:cs="宋体"/>
          <w:snapToGrid w:val="0"/>
          <w:color w:val="auto"/>
          <w:spacing w:val="9"/>
          <w:position w:val="1"/>
          <w:sz w:val="21"/>
          <w:szCs w:val="21"/>
          <w:highlight w:val="none"/>
        </w:rPr>
        <w:t>。</w:t>
      </w:r>
    </w:p>
    <w:p w14:paraId="18026002">
      <w:pPr>
        <w:keepNext w:val="0"/>
        <w:keepLines w:val="0"/>
        <w:pageBreakBefore w:val="0"/>
        <w:widowControl/>
        <w:kinsoku w:val="0"/>
        <w:wordWrap/>
        <w:overflowPunct/>
        <w:topLinePunct w:val="0"/>
        <w:autoSpaceDE/>
        <w:autoSpaceDN/>
        <w:bidi w:val="0"/>
        <w:adjustRightInd/>
        <w:snapToGrid w:val="0"/>
        <w:spacing w:before="2" w:line="360" w:lineRule="auto"/>
        <w:ind w:left="17" w:right="70" w:firstLine="436" w:firstLineChars="200"/>
        <w:textAlignment w:val="baseline"/>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pacing w:val="4"/>
          <w:sz w:val="21"/>
          <w:szCs w:val="21"/>
          <w:highlight w:val="none"/>
        </w:rPr>
        <w:t>7．本合同作为</w:t>
      </w:r>
      <w:r>
        <w:rPr>
          <w:rFonts w:hint="eastAsia" w:ascii="宋体" w:hAnsi="宋体" w:eastAsia="宋体" w:cs="宋体"/>
          <w:snapToGrid w:val="0"/>
          <w:color w:val="auto"/>
          <w:spacing w:val="4"/>
          <w:sz w:val="21"/>
          <w:szCs w:val="21"/>
          <w:highlight w:val="none"/>
          <w:u w:val="single"/>
          <w:lang w:eastAsia="zh-CN"/>
        </w:rPr>
        <w:t>G241线石和镇梨木冲村至博白公路改建工程前期工作采购</w:t>
      </w:r>
      <w:r>
        <w:rPr>
          <w:rFonts w:hint="eastAsia" w:ascii="宋体" w:hAnsi="宋体" w:eastAsia="宋体" w:cs="宋体"/>
          <w:snapToGrid w:val="0"/>
          <w:color w:val="auto"/>
          <w:spacing w:val="4"/>
          <w:sz w:val="21"/>
          <w:szCs w:val="21"/>
          <w:highlight w:val="none"/>
        </w:rPr>
        <w:t>(项目名称)</w:t>
      </w:r>
      <w:r>
        <w:rPr>
          <w:rFonts w:hint="eastAsia" w:ascii="宋体" w:hAnsi="宋体" w:eastAsia="宋体" w:cs="宋体"/>
          <w:snapToGrid w:val="0"/>
          <w:color w:val="auto"/>
          <w:spacing w:val="1"/>
          <w:sz w:val="21"/>
          <w:szCs w:val="21"/>
          <w:highlight w:val="none"/>
          <w:u w:val="single"/>
          <w:lang w:eastAsia="zh-CN"/>
        </w:rPr>
        <w:t>分标号</w:t>
      </w:r>
      <w:r>
        <w:rPr>
          <w:rFonts w:hint="eastAsia" w:ascii="宋体" w:hAnsi="宋体" w:eastAsia="宋体" w:cs="宋体"/>
          <w:snapToGrid w:val="0"/>
          <w:color w:val="auto"/>
          <w:spacing w:val="1"/>
          <w:sz w:val="21"/>
          <w:szCs w:val="21"/>
          <w:highlight w:val="none"/>
          <w:u w:val="single"/>
          <w:lang w:val="en-US" w:eastAsia="zh-CN"/>
        </w:rPr>
        <w:t xml:space="preserve">   </w:t>
      </w:r>
      <w:r>
        <w:rPr>
          <w:rFonts w:hint="eastAsia" w:ascii="宋体" w:hAnsi="宋体" w:eastAsia="宋体" w:cs="宋体"/>
          <w:snapToGrid w:val="0"/>
          <w:color w:val="auto"/>
          <w:spacing w:val="4"/>
          <w:sz w:val="21"/>
          <w:szCs w:val="21"/>
          <w:highlight w:val="none"/>
        </w:rPr>
        <w:t>合同的附件，与</w:t>
      </w:r>
      <w:r>
        <w:rPr>
          <w:rFonts w:hint="eastAsia" w:ascii="宋体" w:hAnsi="宋体" w:eastAsia="宋体" w:cs="宋体"/>
          <w:snapToGrid w:val="0"/>
          <w:color w:val="auto"/>
          <w:spacing w:val="4"/>
          <w:sz w:val="21"/>
          <w:szCs w:val="21"/>
          <w:highlight w:val="none"/>
          <w:lang w:eastAsia="zh-CN"/>
        </w:rPr>
        <w:t>前期工作</w:t>
      </w:r>
      <w:r>
        <w:rPr>
          <w:rFonts w:hint="eastAsia" w:ascii="宋体" w:hAnsi="宋体" w:eastAsia="宋体" w:cs="宋体"/>
          <w:snapToGrid w:val="0"/>
          <w:color w:val="auto"/>
          <w:spacing w:val="4"/>
          <w:sz w:val="21"/>
          <w:szCs w:val="21"/>
          <w:highlight w:val="none"/>
        </w:rPr>
        <w:t>合同具</w:t>
      </w:r>
      <w:r>
        <w:rPr>
          <w:rFonts w:hint="eastAsia" w:ascii="宋体" w:hAnsi="宋体" w:eastAsia="宋体" w:cs="宋体"/>
          <w:snapToGrid w:val="0"/>
          <w:color w:val="auto"/>
          <w:sz w:val="21"/>
          <w:szCs w:val="21"/>
          <w:highlight w:val="none"/>
        </w:rPr>
        <w:t>有同</w:t>
      </w:r>
      <w:r>
        <w:rPr>
          <w:rFonts w:hint="eastAsia" w:ascii="宋体" w:hAnsi="宋体" w:eastAsia="宋体" w:cs="宋体"/>
          <w:snapToGrid w:val="0"/>
          <w:color w:val="auto"/>
          <w:spacing w:val="9"/>
          <w:sz w:val="21"/>
          <w:szCs w:val="21"/>
          <w:highlight w:val="none"/>
        </w:rPr>
        <w:t>等的法律效力，经合同双方法定代表人或委托代理人签署并加盖公章后立即生效</w:t>
      </w:r>
      <w:r>
        <w:rPr>
          <w:rFonts w:hint="eastAsia" w:ascii="宋体" w:hAnsi="宋体" w:eastAsia="宋体" w:cs="宋体"/>
          <w:snapToGrid w:val="0"/>
          <w:color w:val="auto"/>
          <w:spacing w:val="8"/>
          <w:sz w:val="21"/>
          <w:szCs w:val="21"/>
          <w:highlight w:val="none"/>
        </w:rPr>
        <w:t>。</w:t>
      </w:r>
    </w:p>
    <w:p w14:paraId="7C58C612">
      <w:pPr>
        <w:pStyle w:val="13"/>
        <w:keepNext w:val="0"/>
        <w:keepLines w:val="0"/>
        <w:pageBreakBefore w:val="0"/>
        <w:wordWrap/>
        <w:overflowPunct/>
        <w:topLinePunct w:val="0"/>
        <w:autoSpaceDE/>
        <w:autoSpaceDN/>
        <w:bidi w:val="0"/>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snapToGrid w:val="0"/>
          <w:color w:val="auto"/>
          <w:spacing w:val="-2"/>
          <w:sz w:val="21"/>
          <w:szCs w:val="21"/>
          <w:highlight w:val="none"/>
        </w:rPr>
        <w:t>8</w:t>
      </w:r>
      <w:r>
        <w:rPr>
          <w:rFonts w:hint="eastAsia" w:ascii="宋体" w:hAnsi="宋体" w:eastAsia="宋体" w:cs="宋体"/>
          <w:snapToGrid w:val="0"/>
          <w:color w:val="auto"/>
          <w:spacing w:val="-1"/>
          <w:sz w:val="21"/>
          <w:szCs w:val="21"/>
          <w:highlight w:val="none"/>
        </w:rPr>
        <w:t>.</w:t>
      </w:r>
      <w:r>
        <w:rPr>
          <w:rFonts w:hint="eastAsia" w:ascii="宋体" w:hAnsi="宋体" w:eastAsia="宋体" w:cs="宋体"/>
          <w:color w:val="auto"/>
          <w:sz w:val="21"/>
          <w:szCs w:val="21"/>
          <w:highlight w:val="none"/>
        </w:rPr>
        <w:t>本合同书一式</w:t>
      </w:r>
      <w:r>
        <w:rPr>
          <w:rFonts w:hint="eastAsia" w:ascii="宋体" w:hAnsi="宋体" w:eastAsia="宋体" w:cs="宋体"/>
          <w:snapToGrid w:val="0"/>
          <w:color w:val="auto"/>
          <w:spacing w:val="-1"/>
          <w:sz w:val="21"/>
          <w:szCs w:val="21"/>
          <w:highlight w:val="none"/>
        </w:rPr>
        <w:t>陆</w:t>
      </w:r>
      <w:r>
        <w:rPr>
          <w:rFonts w:hint="eastAsia" w:ascii="宋体" w:hAnsi="宋体" w:eastAsia="宋体" w:cs="宋体"/>
          <w:color w:val="auto"/>
          <w:sz w:val="21"/>
          <w:szCs w:val="21"/>
          <w:highlight w:val="none"/>
        </w:rPr>
        <w:t>份，具有同等法律效力，甲方执</w:t>
      </w:r>
      <w:r>
        <w:rPr>
          <w:rFonts w:hint="eastAsia" w:ascii="宋体" w:hAnsi="宋体" w:eastAsia="宋体" w:cs="宋体"/>
          <w:snapToGrid w:val="0"/>
          <w:color w:val="auto"/>
          <w:spacing w:val="18"/>
          <w:sz w:val="21"/>
          <w:szCs w:val="21"/>
          <w:highlight w:val="none"/>
        </w:rPr>
        <w:t>肆</w:t>
      </w:r>
      <w:r>
        <w:rPr>
          <w:rFonts w:hint="eastAsia" w:ascii="宋体" w:hAnsi="宋体" w:eastAsia="宋体" w:cs="宋体"/>
          <w:color w:val="auto"/>
          <w:sz w:val="21"/>
          <w:szCs w:val="21"/>
          <w:highlight w:val="none"/>
        </w:rPr>
        <w:t>份，乙方执</w:t>
      </w:r>
      <w:r>
        <w:rPr>
          <w:rFonts w:hint="eastAsia" w:ascii="宋体" w:hAnsi="宋体" w:eastAsia="宋体" w:cs="宋体"/>
          <w:snapToGrid w:val="0"/>
          <w:color w:val="auto"/>
          <w:spacing w:val="18"/>
          <w:sz w:val="21"/>
          <w:szCs w:val="21"/>
          <w:highlight w:val="none"/>
        </w:rPr>
        <w:t>两</w:t>
      </w:r>
      <w:r>
        <w:rPr>
          <w:rFonts w:hint="eastAsia" w:ascii="宋体" w:hAnsi="宋体" w:eastAsia="宋体" w:cs="宋体"/>
          <w:color w:val="auto"/>
          <w:sz w:val="21"/>
          <w:szCs w:val="21"/>
          <w:highlight w:val="none"/>
        </w:rPr>
        <w:t>份。</w:t>
      </w:r>
    </w:p>
    <w:p w14:paraId="4B69E5B1">
      <w:pPr>
        <w:widowControl/>
        <w:kinsoku w:val="0"/>
        <w:snapToGrid w:val="0"/>
        <w:spacing w:before="20" w:line="560" w:lineRule="exact"/>
        <w:textAlignment w:val="baseline"/>
        <w:rPr>
          <w:rFonts w:hint="eastAsia" w:ascii="宋体" w:hAnsi="宋体" w:eastAsia="宋体" w:cs="宋体"/>
          <w:snapToGrid w:val="0"/>
          <w:color w:val="auto"/>
          <w:spacing w:val="1"/>
          <w:sz w:val="21"/>
          <w:szCs w:val="21"/>
          <w:highlight w:val="none"/>
        </w:rPr>
      </w:pPr>
    </w:p>
    <w:p w14:paraId="348F093F">
      <w:pPr>
        <w:spacing w:line="560" w:lineRule="exact"/>
        <w:rPr>
          <w:rFonts w:hint="eastAsia" w:ascii="宋体" w:hAnsi="宋体" w:eastAsia="宋体" w:cs="宋体"/>
          <w:b/>
          <w:bCs/>
          <w:snapToGrid w:val="0"/>
          <w:color w:val="auto"/>
          <w:spacing w:val="-2"/>
          <w:position w:val="1"/>
          <w:sz w:val="21"/>
          <w:szCs w:val="21"/>
          <w:highlight w:val="none"/>
          <w:u w:val="single"/>
        </w:rPr>
      </w:pPr>
      <w:r>
        <w:rPr>
          <w:rFonts w:hint="eastAsia" w:ascii="宋体" w:hAnsi="宋体" w:eastAsia="宋体" w:cs="宋体"/>
          <w:snapToGrid w:val="0"/>
          <w:color w:val="auto"/>
          <w:sz w:val="21"/>
          <w:szCs w:val="21"/>
          <w:highlight w:val="none"/>
        </w:rPr>
        <w:t>甲方</w:t>
      </w:r>
      <w:r>
        <w:rPr>
          <w:rFonts w:hint="eastAsia" w:ascii="宋体" w:hAnsi="宋体" w:eastAsia="宋体" w:cs="宋体"/>
          <w:snapToGrid w:val="0"/>
          <w:color w:val="auto"/>
          <w:sz w:val="21"/>
          <w:szCs w:val="21"/>
          <w:highlight w:val="none"/>
          <w:lang w:eastAsia="zh-CN"/>
        </w:rPr>
        <w:t>：</w:t>
      </w:r>
      <w:r>
        <w:rPr>
          <w:rFonts w:hint="eastAsia" w:ascii="宋体" w:hAnsi="宋体" w:eastAsia="宋体" w:cs="宋体"/>
          <w:b/>
          <w:bCs/>
          <w:snapToGrid w:val="0"/>
          <w:color w:val="auto"/>
          <w:spacing w:val="-2"/>
          <w:position w:val="1"/>
          <w:sz w:val="21"/>
          <w:szCs w:val="21"/>
          <w:highlight w:val="none"/>
          <w:u w:val="single"/>
        </w:rPr>
        <w:t>广西壮族自治区玉林公路发展中心</w:t>
      </w:r>
      <w:r>
        <w:rPr>
          <w:rFonts w:hint="eastAsia" w:ascii="宋体" w:hAnsi="宋体" w:eastAsia="宋体" w:cs="宋体"/>
          <w:b/>
          <w:bCs/>
          <w:snapToGrid w:val="0"/>
          <w:color w:val="auto"/>
          <w:spacing w:val="-2"/>
          <w:position w:val="1"/>
          <w:sz w:val="21"/>
          <w:szCs w:val="21"/>
          <w:highlight w:val="none"/>
          <w:u w:val="single"/>
          <w:lang w:val="en-US" w:eastAsia="zh-CN"/>
        </w:rPr>
        <w:t xml:space="preserve">      </w:t>
      </w:r>
      <w:r>
        <w:rPr>
          <w:rFonts w:hint="eastAsia" w:ascii="宋体" w:hAnsi="宋体" w:eastAsia="宋体" w:cs="宋体"/>
          <w:snapToGrid w:val="0"/>
          <w:color w:val="auto"/>
          <w:sz w:val="21"/>
          <w:szCs w:val="21"/>
          <w:highlight w:val="none"/>
        </w:rPr>
        <w:t xml:space="preserve">乙方：                                </w:t>
      </w:r>
    </w:p>
    <w:p w14:paraId="03473E67">
      <w:pPr>
        <w:spacing w:line="560" w:lineRule="exact"/>
        <w:ind w:firstLine="840" w:firstLineChars="400"/>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（盖章）　　　　　　　　　　</w:t>
      </w:r>
      <w:r>
        <w:rPr>
          <w:rFonts w:hint="eastAsia" w:ascii="宋体" w:hAnsi="宋体" w:eastAsia="宋体" w:cs="宋体"/>
          <w:snapToGrid w:val="0"/>
          <w:color w:val="auto"/>
          <w:sz w:val="21"/>
          <w:szCs w:val="21"/>
          <w:highlight w:val="none"/>
          <w:lang w:val="en-US" w:eastAsia="zh-CN"/>
        </w:rPr>
        <w:t xml:space="preserve">    </w:t>
      </w:r>
      <w:r>
        <w:rPr>
          <w:rFonts w:hint="eastAsia" w:ascii="宋体" w:hAnsi="宋体" w:eastAsia="宋体" w:cs="宋体"/>
          <w:snapToGrid w:val="0"/>
          <w:color w:val="auto"/>
          <w:sz w:val="21"/>
          <w:szCs w:val="21"/>
          <w:highlight w:val="none"/>
        </w:rPr>
        <w:t xml:space="preserve">   （盖章）</w:t>
      </w:r>
    </w:p>
    <w:p w14:paraId="07B1A01C">
      <w:pPr>
        <w:spacing w:line="560" w:lineRule="exact"/>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法定代表人</w:t>
      </w:r>
      <w:r>
        <w:rPr>
          <w:rFonts w:hint="eastAsia" w:ascii="宋体" w:hAnsi="宋体" w:eastAsia="宋体" w:cs="宋体"/>
          <w:snapToGrid w:val="0"/>
          <w:color w:val="auto"/>
          <w:sz w:val="21"/>
          <w:szCs w:val="21"/>
          <w:highlight w:val="none"/>
          <w:lang w:eastAsia="zh-CN"/>
        </w:rPr>
        <w:t>：</w:t>
      </w:r>
      <w:r>
        <w:rPr>
          <w:rFonts w:hint="eastAsia" w:ascii="宋体" w:hAnsi="宋体" w:eastAsia="宋体" w:cs="宋体"/>
          <w:snapToGrid w:val="0"/>
          <w:color w:val="auto"/>
          <w:sz w:val="21"/>
          <w:szCs w:val="21"/>
          <w:highlight w:val="none"/>
        </w:rPr>
        <w:t>（签字）　　　　　　　</w:t>
      </w:r>
      <w:r>
        <w:rPr>
          <w:rFonts w:hint="eastAsia" w:ascii="宋体" w:hAnsi="宋体" w:eastAsia="宋体" w:cs="宋体"/>
          <w:snapToGrid w:val="0"/>
          <w:color w:val="auto"/>
          <w:sz w:val="21"/>
          <w:szCs w:val="21"/>
          <w:highlight w:val="none"/>
          <w:lang w:val="en-US" w:eastAsia="zh-CN"/>
        </w:rPr>
        <w:t xml:space="preserve">     </w:t>
      </w:r>
      <w:r>
        <w:rPr>
          <w:rFonts w:hint="eastAsia" w:ascii="宋体" w:hAnsi="宋体" w:eastAsia="宋体" w:cs="宋体"/>
          <w:snapToGrid w:val="0"/>
          <w:color w:val="auto"/>
          <w:sz w:val="21"/>
          <w:szCs w:val="21"/>
          <w:highlight w:val="none"/>
        </w:rPr>
        <w:t xml:space="preserve">       法定代表人</w:t>
      </w:r>
      <w:r>
        <w:rPr>
          <w:rFonts w:hint="eastAsia" w:ascii="宋体" w:hAnsi="宋体" w:eastAsia="宋体" w:cs="宋体"/>
          <w:snapToGrid w:val="0"/>
          <w:color w:val="auto"/>
          <w:sz w:val="21"/>
          <w:szCs w:val="21"/>
          <w:highlight w:val="none"/>
          <w:lang w:eastAsia="zh-CN"/>
        </w:rPr>
        <w:t>：</w:t>
      </w:r>
      <w:r>
        <w:rPr>
          <w:rFonts w:hint="eastAsia" w:ascii="宋体" w:hAnsi="宋体" w:eastAsia="宋体" w:cs="宋体"/>
          <w:snapToGrid w:val="0"/>
          <w:color w:val="auto"/>
          <w:sz w:val="21"/>
          <w:szCs w:val="21"/>
          <w:highlight w:val="none"/>
        </w:rPr>
        <w:t>（签字）</w:t>
      </w:r>
    </w:p>
    <w:p w14:paraId="05D15CF7">
      <w:pPr>
        <w:spacing w:line="560" w:lineRule="exact"/>
        <w:rPr>
          <w:rFonts w:hint="eastAsia" w:ascii="宋体" w:hAnsi="宋体" w:eastAsia="宋体" w:cs="宋体"/>
          <w:snapToGrid w:val="0"/>
          <w:color w:val="auto"/>
          <w:spacing w:val="20"/>
          <w:sz w:val="21"/>
          <w:szCs w:val="21"/>
          <w:highlight w:val="none"/>
        </w:rPr>
      </w:pPr>
      <w:r>
        <w:rPr>
          <w:rFonts w:hint="eastAsia" w:ascii="宋体" w:hAnsi="宋体" w:eastAsia="宋体" w:cs="宋体"/>
          <w:snapToGrid w:val="0"/>
          <w:color w:val="auto"/>
          <w:sz w:val="21"/>
          <w:szCs w:val="21"/>
          <w:highlight w:val="none"/>
        </w:rPr>
        <w:t>（或委托代理人）　　　　　　　　　　</w:t>
      </w:r>
      <w:r>
        <w:rPr>
          <w:rFonts w:hint="eastAsia" w:ascii="宋体" w:hAnsi="宋体" w:eastAsia="宋体" w:cs="宋体"/>
          <w:snapToGrid w:val="0"/>
          <w:color w:val="auto"/>
          <w:sz w:val="21"/>
          <w:szCs w:val="21"/>
          <w:highlight w:val="none"/>
          <w:lang w:val="en-US" w:eastAsia="zh-CN"/>
        </w:rPr>
        <w:t xml:space="preserve">        </w:t>
      </w:r>
      <w:r>
        <w:rPr>
          <w:rFonts w:hint="eastAsia" w:ascii="宋体" w:hAnsi="宋体" w:eastAsia="宋体" w:cs="宋体"/>
          <w:snapToGrid w:val="0"/>
          <w:color w:val="auto"/>
          <w:sz w:val="21"/>
          <w:szCs w:val="21"/>
          <w:highlight w:val="none"/>
        </w:rPr>
        <w:t xml:space="preserve">  （或委托代理人）</w:t>
      </w:r>
      <w:r>
        <w:rPr>
          <w:rFonts w:hint="eastAsia" w:ascii="宋体" w:hAnsi="宋体" w:eastAsia="宋体" w:cs="宋体"/>
          <w:snapToGrid w:val="0"/>
          <w:color w:val="auto"/>
          <w:sz w:val="21"/>
          <w:szCs w:val="21"/>
          <w:highlight w:val="none"/>
        </w:rPr>
        <w:br w:type="textWrapping"/>
      </w:r>
    </w:p>
    <w:p w14:paraId="707F1222">
      <w:pPr>
        <w:widowControl/>
        <w:kinsoku w:val="0"/>
        <w:snapToGrid w:val="0"/>
        <w:spacing w:before="1" w:line="560" w:lineRule="exact"/>
        <w:textAlignment w:val="baseline"/>
        <w:rPr>
          <w:rFonts w:hint="eastAsia" w:ascii="宋体" w:hAnsi="宋体" w:eastAsia="宋体" w:cs="宋体"/>
          <w:snapToGrid w:val="0"/>
          <w:color w:val="auto"/>
          <w:sz w:val="24"/>
          <w:szCs w:val="24"/>
          <w:highlight w:val="none"/>
        </w:rPr>
        <w:sectPr>
          <w:footerReference r:id="rId7" w:type="default"/>
          <w:pgSz w:w="11906" w:h="16839"/>
          <w:pgMar w:top="1134" w:right="1134" w:bottom="1134" w:left="1154" w:header="0" w:footer="1247" w:gutter="0"/>
          <w:pgNumType w:fmt="decimal" w:start="1"/>
          <w:cols w:space="720" w:num="1"/>
        </w:sectPr>
      </w:pPr>
      <w:r>
        <w:rPr>
          <w:rFonts w:hint="eastAsia" w:ascii="宋体" w:hAnsi="宋体" w:eastAsia="宋体" w:cs="宋体"/>
          <w:snapToGrid w:val="0"/>
          <w:color w:val="auto"/>
          <w:spacing w:val="20"/>
          <w:sz w:val="21"/>
          <w:szCs w:val="21"/>
          <w:highlight w:val="none"/>
        </w:rPr>
        <w:t>年</w:t>
      </w:r>
      <w:r>
        <w:rPr>
          <w:rFonts w:hint="eastAsia" w:ascii="宋体" w:hAnsi="宋体" w:eastAsia="宋体" w:cs="宋体"/>
          <w:snapToGrid w:val="0"/>
          <w:color w:val="auto"/>
          <w:spacing w:val="18"/>
          <w:sz w:val="21"/>
          <w:szCs w:val="21"/>
          <w:highlight w:val="none"/>
        </w:rPr>
        <w:t xml:space="preserve">   月   日                           </w:t>
      </w:r>
      <w:r>
        <w:rPr>
          <w:rFonts w:hint="eastAsia" w:ascii="宋体" w:hAnsi="宋体" w:eastAsia="宋体" w:cs="宋体"/>
          <w:snapToGrid w:val="0"/>
          <w:color w:val="auto"/>
          <w:spacing w:val="20"/>
          <w:sz w:val="21"/>
          <w:szCs w:val="21"/>
          <w:highlight w:val="none"/>
        </w:rPr>
        <w:t>年</w:t>
      </w:r>
      <w:r>
        <w:rPr>
          <w:rFonts w:hint="eastAsia" w:ascii="宋体" w:hAnsi="宋体" w:eastAsia="宋体" w:cs="宋体"/>
          <w:snapToGrid w:val="0"/>
          <w:color w:val="auto"/>
          <w:spacing w:val="18"/>
          <w:sz w:val="21"/>
          <w:szCs w:val="21"/>
          <w:highlight w:val="none"/>
        </w:rPr>
        <w:t xml:space="preserve">   月   日</w:t>
      </w:r>
    </w:p>
    <w:p w14:paraId="6FE28D89">
      <w:pPr>
        <w:widowControl/>
        <w:kinsoku w:val="0"/>
        <w:snapToGrid w:val="0"/>
        <w:spacing w:before="91" w:line="560" w:lineRule="exact"/>
        <w:jc w:val="center"/>
        <w:textAlignment w:val="baseline"/>
        <w:rPr>
          <w:rFonts w:hint="eastAsia" w:ascii="宋体" w:hAnsi="宋体" w:eastAsia="宋体" w:cs="宋体"/>
          <w:b/>
          <w:bCs/>
          <w:snapToGrid w:val="0"/>
          <w:color w:val="auto"/>
          <w:spacing w:val="-2"/>
          <w:sz w:val="40"/>
          <w:szCs w:val="40"/>
          <w:highlight w:val="none"/>
        </w:rPr>
      </w:pPr>
      <w:r>
        <w:rPr>
          <w:rFonts w:hint="eastAsia" w:ascii="宋体" w:hAnsi="宋体" w:eastAsia="宋体" w:cs="宋体"/>
          <w:b/>
          <w:bCs/>
          <w:snapToGrid w:val="0"/>
          <w:color w:val="auto"/>
          <w:spacing w:val="-2"/>
          <w:sz w:val="40"/>
          <w:szCs w:val="40"/>
          <w:highlight w:val="none"/>
        </w:rPr>
        <w:t>三  安全生产合同</w:t>
      </w:r>
    </w:p>
    <w:p w14:paraId="2E64B97C">
      <w:pPr>
        <w:keepNext w:val="0"/>
        <w:keepLines w:val="0"/>
        <w:pageBreakBefore w:val="0"/>
        <w:widowControl/>
        <w:kinsoku w:val="0"/>
        <w:wordWrap/>
        <w:overflowPunct/>
        <w:topLinePunct w:val="0"/>
        <w:autoSpaceDE/>
        <w:autoSpaceDN/>
        <w:bidi w:val="0"/>
        <w:adjustRightInd/>
        <w:snapToGrid w:val="0"/>
        <w:spacing w:line="500" w:lineRule="exact"/>
        <w:ind w:firstLine="436" w:firstLineChars="200"/>
        <w:textAlignment w:val="baseline"/>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pacing w:val="4"/>
          <w:sz w:val="21"/>
          <w:szCs w:val="21"/>
          <w:highlight w:val="none"/>
        </w:rPr>
        <w:t>为在</w:t>
      </w:r>
      <w:r>
        <w:rPr>
          <w:rFonts w:hint="eastAsia" w:ascii="宋体" w:hAnsi="宋体" w:eastAsia="宋体" w:cs="宋体"/>
          <w:b/>
          <w:bCs/>
          <w:snapToGrid w:val="0"/>
          <w:color w:val="auto"/>
          <w:spacing w:val="-2"/>
          <w:position w:val="1"/>
          <w:sz w:val="21"/>
          <w:szCs w:val="21"/>
          <w:highlight w:val="none"/>
          <w:u w:val="single"/>
          <w:lang w:eastAsia="zh-CN"/>
        </w:rPr>
        <w:t>G241线石和镇梨木冲村至博白公路改建工程前期工作采购</w:t>
      </w:r>
      <w:r>
        <w:rPr>
          <w:rFonts w:hint="eastAsia" w:ascii="宋体" w:hAnsi="宋体" w:eastAsia="宋体" w:cs="宋体"/>
          <w:snapToGrid w:val="0"/>
          <w:color w:val="auto"/>
          <w:spacing w:val="4"/>
          <w:sz w:val="21"/>
          <w:szCs w:val="21"/>
          <w:highlight w:val="none"/>
        </w:rPr>
        <w:t>(项目名称)</w:t>
      </w:r>
      <w:r>
        <w:rPr>
          <w:rFonts w:hint="eastAsia" w:ascii="宋体" w:hAnsi="宋体" w:eastAsia="宋体" w:cs="宋体"/>
          <w:snapToGrid w:val="0"/>
          <w:color w:val="auto"/>
          <w:spacing w:val="1"/>
          <w:sz w:val="21"/>
          <w:szCs w:val="21"/>
          <w:highlight w:val="none"/>
          <w:u w:val="single"/>
          <w:lang w:eastAsia="zh-CN"/>
        </w:rPr>
        <w:t>分标号</w:t>
      </w:r>
      <w:r>
        <w:rPr>
          <w:rFonts w:hint="eastAsia" w:ascii="宋体" w:hAnsi="宋体" w:eastAsia="宋体" w:cs="宋体"/>
          <w:snapToGrid w:val="0"/>
          <w:color w:val="auto"/>
          <w:spacing w:val="1"/>
          <w:sz w:val="21"/>
          <w:szCs w:val="21"/>
          <w:highlight w:val="none"/>
          <w:u w:val="single"/>
          <w:lang w:val="en-US" w:eastAsia="zh-CN"/>
        </w:rPr>
        <w:t xml:space="preserve">   </w:t>
      </w:r>
      <w:r>
        <w:rPr>
          <w:rFonts w:hint="eastAsia" w:ascii="宋体" w:hAnsi="宋体" w:eastAsia="宋体" w:cs="宋体"/>
          <w:snapToGrid w:val="0"/>
          <w:color w:val="auto"/>
          <w:spacing w:val="4"/>
          <w:sz w:val="21"/>
          <w:szCs w:val="21"/>
          <w:highlight w:val="none"/>
        </w:rPr>
        <w:t>合同的实施过程中创造安全、高效的</w:t>
      </w:r>
      <w:r>
        <w:rPr>
          <w:rFonts w:hint="eastAsia" w:ascii="宋体" w:hAnsi="宋体" w:eastAsia="宋体" w:cs="宋体"/>
          <w:snapToGrid w:val="0"/>
          <w:color w:val="auto"/>
          <w:sz w:val="21"/>
          <w:szCs w:val="21"/>
          <w:highlight w:val="none"/>
        </w:rPr>
        <w:t>环</w:t>
      </w:r>
      <w:r>
        <w:rPr>
          <w:rFonts w:hint="eastAsia" w:ascii="宋体" w:hAnsi="宋体" w:eastAsia="宋体" w:cs="宋体"/>
          <w:snapToGrid w:val="0"/>
          <w:color w:val="auto"/>
          <w:spacing w:val="8"/>
          <w:sz w:val="21"/>
          <w:szCs w:val="21"/>
          <w:highlight w:val="none"/>
        </w:rPr>
        <w:t>境，切实搞好本</w:t>
      </w:r>
      <w:r>
        <w:rPr>
          <w:rFonts w:hint="eastAsia" w:ascii="宋体" w:hAnsi="宋体" w:eastAsia="宋体" w:cs="宋体"/>
          <w:snapToGrid w:val="0"/>
          <w:color w:val="auto"/>
          <w:spacing w:val="5"/>
          <w:sz w:val="21"/>
          <w:szCs w:val="21"/>
          <w:highlight w:val="none"/>
        </w:rPr>
        <w:t>项</w:t>
      </w:r>
      <w:r>
        <w:rPr>
          <w:rFonts w:hint="eastAsia" w:ascii="宋体" w:hAnsi="宋体" w:eastAsia="宋体" w:cs="宋体"/>
          <w:snapToGrid w:val="0"/>
          <w:color w:val="auto"/>
          <w:spacing w:val="4"/>
          <w:sz w:val="21"/>
          <w:szCs w:val="21"/>
          <w:highlight w:val="none"/>
        </w:rPr>
        <w:t>目的安全管理工作，本项目甲方</w:t>
      </w:r>
      <w:r>
        <w:rPr>
          <w:rFonts w:hint="eastAsia" w:ascii="宋体" w:hAnsi="宋体" w:eastAsia="宋体" w:cs="宋体"/>
          <w:b/>
          <w:bCs/>
          <w:snapToGrid w:val="0"/>
          <w:color w:val="auto"/>
          <w:spacing w:val="-2"/>
          <w:position w:val="1"/>
          <w:sz w:val="21"/>
          <w:szCs w:val="21"/>
          <w:highlight w:val="none"/>
          <w:u w:val="single"/>
        </w:rPr>
        <w:t>广西壮族自治区玉林公路发展中心</w:t>
      </w:r>
      <w:r>
        <w:rPr>
          <w:rFonts w:hint="eastAsia" w:ascii="宋体" w:hAnsi="宋体" w:eastAsia="宋体" w:cs="宋体"/>
          <w:snapToGrid w:val="0"/>
          <w:color w:val="auto"/>
          <w:spacing w:val="4"/>
          <w:sz w:val="21"/>
          <w:szCs w:val="21"/>
          <w:highlight w:val="none"/>
        </w:rPr>
        <w:t>与乙方特此签订安全生</w:t>
      </w:r>
      <w:r>
        <w:rPr>
          <w:rFonts w:hint="eastAsia" w:ascii="宋体" w:hAnsi="宋体" w:eastAsia="宋体" w:cs="宋体"/>
          <w:snapToGrid w:val="0"/>
          <w:color w:val="auto"/>
          <w:spacing w:val="5"/>
          <w:sz w:val="21"/>
          <w:szCs w:val="21"/>
          <w:highlight w:val="none"/>
        </w:rPr>
        <w:t>产合同：</w:t>
      </w:r>
    </w:p>
    <w:p w14:paraId="596A6079">
      <w:pPr>
        <w:keepNext w:val="0"/>
        <w:keepLines w:val="0"/>
        <w:pageBreakBefore w:val="0"/>
        <w:widowControl/>
        <w:kinsoku w:val="0"/>
        <w:wordWrap/>
        <w:overflowPunct/>
        <w:topLinePunct w:val="0"/>
        <w:autoSpaceDE/>
        <w:autoSpaceDN/>
        <w:bidi w:val="0"/>
        <w:adjustRightInd/>
        <w:snapToGrid w:val="0"/>
        <w:spacing w:line="500" w:lineRule="exact"/>
        <w:ind w:firstLine="440" w:firstLineChars="200"/>
        <w:textAlignment w:val="baseline"/>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pacing w:val="5"/>
          <w:position w:val="1"/>
          <w:sz w:val="21"/>
          <w:szCs w:val="21"/>
          <w:highlight w:val="none"/>
        </w:rPr>
        <w:t>1.甲方职</w:t>
      </w:r>
      <w:r>
        <w:rPr>
          <w:rFonts w:hint="eastAsia" w:ascii="宋体" w:hAnsi="宋体" w:eastAsia="宋体" w:cs="宋体"/>
          <w:snapToGrid w:val="0"/>
          <w:color w:val="auto"/>
          <w:spacing w:val="4"/>
          <w:position w:val="1"/>
          <w:sz w:val="21"/>
          <w:szCs w:val="21"/>
          <w:highlight w:val="none"/>
        </w:rPr>
        <w:t>责</w:t>
      </w:r>
    </w:p>
    <w:p w14:paraId="4E7391C4">
      <w:pPr>
        <w:keepNext w:val="0"/>
        <w:keepLines w:val="0"/>
        <w:pageBreakBefore w:val="0"/>
        <w:widowControl/>
        <w:kinsoku w:val="0"/>
        <w:wordWrap/>
        <w:overflowPunct/>
        <w:topLinePunct w:val="0"/>
        <w:autoSpaceDE/>
        <w:autoSpaceDN/>
        <w:bidi w:val="0"/>
        <w:adjustRightInd/>
        <w:snapToGrid w:val="0"/>
        <w:spacing w:line="500" w:lineRule="exact"/>
        <w:ind w:firstLine="508" w:firstLineChars="200"/>
        <w:textAlignment w:val="baseline"/>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pacing w:val="22"/>
          <w:sz w:val="21"/>
          <w:szCs w:val="21"/>
          <w:highlight w:val="none"/>
        </w:rPr>
        <w:t>(</w:t>
      </w:r>
      <w:r>
        <w:rPr>
          <w:rFonts w:hint="eastAsia" w:ascii="宋体" w:hAnsi="宋体" w:eastAsia="宋体" w:cs="宋体"/>
          <w:snapToGrid w:val="0"/>
          <w:color w:val="auto"/>
          <w:spacing w:val="13"/>
          <w:sz w:val="21"/>
          <w:szCs w:val="21"/>
          <w:highlight w:val="none"/>
        </w:rPr>
        <w:t>1</w:t>
      </w:r>
      <w:r>
        <w:rPr>
          <w:rFonts w:hint="eastAsia" w:ascii="宋体" w:hAnsi="宋体" w:eastAsia="宋体" w:cs="宋体"/>
          <w:snapToGrid w:val="0"/>
          <w:color w:val="auto"/>
          <w:spacing w:val="11"/>
          <w:sz w:val="21"/>
          <w:szCs w:val="21"/>
          <w:highlight w:val="none"/>
        </w:rPr>
        <w:t>)严格遵守国家有关安全生产的法律法规，认真执行工程承包合同中的有关安全要求。</w:t>
      </w:r>
    </w:p>
    <w:p w14:paraId="7327F276">
      <w:pPr>
        <w:keepNext w:val="0"/>
        <w:keepLines w:val="0"/>
        <w:pageBreakBefore w:val="0"/>
        <w:widowControl/>
        <w:kinsoku w:val="0"/>
        <w:wordWrap/>
        <w:overflowPunct/>
        <w:topLinePunct w:val="0"/>
        <w:autoSpaceDE/>
        <w:autoSpaceDN/>
        <w:bidi w:val="0"/>
        <w:adjustRightInd/>
        <w:snapToGrid w:val="0"/>
        <w:spacing w:line="500" w:lineRule="exact"/>
        <w:ind w:firstLine="492" w:firstLineChars="200"/>
        <w:textAlignment w:val="baseline"/>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pacing w:val="18"/>
          <w:sz w:val="21"/>
          <w:szCs w:val="21"/>
          <w:highlight w:val="none"/>
        </w:rPr>
        <w:t>(2</w:t>
      </w:r>
      <w:r>
        <w:rPr>
          <w:rFonts w:hint="eastAsia" w:ascii="宋体" w:hAnsi="宋体" w:eastAsia="宋体" w:cs="宋体"/>
          <w:snapToGrid w:val="0"/>
          <w:color w:val="auto"/>
          <w:spacing w:val="16"/>
          <w:sz w:val="21"/>
          <w:szCs w:val="21"/>
          <w:highlight w:val="none"/>
        </w:rPr>
        <w:t>)</w:t>
      </w:r>
      <w:r>
        <w:rPr>
          <w:rFonts w:hint="eastAsia" w:ascii="宋体" w:hAnsi="宋体" w:eastAsia="宋体" w:cs="宋体"/>
          <w:snapToGrid w:val="0"/>
          <w:color w:val="auto"/>
          <w:spacing w:val="9"/>
          <w:sz w:val="21"/>
          <w:szCs w:val="21"/>
          <w:highlight w:val="none"/>
        </w:rPr>
        <w:t>按照“安全第一、预防为主、综合治理”和坚持“管行业必须管安全、管业务必须管安</w:t>
      </w:r>
      <w:r>
        <w:rPr>
          <w:rFonts w:hint="eastAsia" w:ascii="宋体" w:hAnsi="宋体" w:eastAsia="宋体" w:cs="宋体"/>
          <w:snapToGrid w:val="0"/>
          <w:color w:val="auto"/>
          <w:spacing w:val="20"/>
          <w:sz w:val="21"/>
          <w:szCs w:val="21"/>
          <w:highlight w:val="none"/>
        </w:rPr>
        <w:t>全</w:t>
      </w:r>
      <w:r>
        <w:rPr>
          <w:rFonts w:hint="eastAsia" w:ascii="宋体" w:hAnsi="宋体" w:eastAsia="宋体" w:cs="宋体"/>
          <w:snapToGrid w:val="0"/>
          <w:color w:val="auto"/>
          <w:spacing w:val="13"/>
          <w:sz w:val="21"/>
          <w:szCs w:val="21"/>
          <w:highlight w:val="none"/>
        </w:rPr>
        <w:t>、</w:t>
      </w:r>
      <w:r>
        <w:rPr>
          <w:rFonts w:hint="eastAsia" w:ascii="宋体" w:hAnsi="宋体" w:eastAsia="宋体" w:cs="宋体"/>
          <w:snapToGrid w:val="0"/>
          <w:color w:val="auto"/>
          <w:spacing w:val="10"/>
          <w:sz w:val="21"/>
          <w:szCs w:val="21"/>
          <w:highlight w:val="none"/>
        </w:rPr>
        <w:t>管生产经营必须管安全”的原则进行安全生产管理，做到生产与安全工作同时计划、布置、</w:t>
      </w:r>
      <w:r>
        <w:rPr>
          <w:rFonts w:hint="eastAsia" w:ascii="宋体" w:hAnsi="宋体" w:eastAsia="宋体" w:cs="宋体"/>
          <w:snapToGrid w:val="0"/>
          <w:color w:val="auto"/>
          <w:spacing w:val="13"/>
          <w:sz w:val="21"/>
          <w:szCs w:val="21"/>
          <w:highlight w:val="none"/>
        </w:rPr>
        <w:t>检</w:t>
      </w:r>
      <w:r>
        <w:rPr>
          <w:rFonts w:hint="eastAsia" w:ascii="宋体" w:hAnsi="宋体" w:eastAsia="宋体" w:cs="宋体"/>
          <w:snapToGrid w:val="0"/>
          <w:color w:val="auto"/>
          <w:spacing w:val="7"/>
          <w:sz w:val="21"/>
          <w:szCs w:val="21"/>
          <w:highlight w:val="none"/>
        </w:rPr>
        <w:t>查、总结和评比。</w:t>
      </w:r>
    </w:p>
    <w:p w14:paraId="271FA139">
      <w:pPr>
        <w:keepNext w:val="0"/>
        <w:keepLines w:val="0"/>
        <w:pageBreakBefore w:val="0"/>
        <w:widowControl/>
        <w:kinsoku w:val="0"/>
        <w:wordWrap/>
        <w:overflowPunct/>
        <w:topLinePunct w:val="0"/>
        <w:autoSpaceDE/>
        <w:autoSpaceDN/>
        <w:bidi w:val="0"/>
        <w:adjustRightInd/>
        <w:snapToGrid w:val="0"/>
        <w:spacing w:line="500" w:lineRule="exact"/>
        <w:ind w:firstLine="492" w:firstLineChars="200"/>
        <w:textAlignment w:val="baseline"/>
        <w:rPr>
          <w:rFonts w:hint="eastAsia" w:ascii="宋体" w:hAnsi="宋体" w:eastAsia="宋体" w:cs="宋体"/>
          <w:snapToGrid w:val="0"/>
          <w:color w:val="auto"/>
          <w:spacing w:val="9"/>
          <w:sz w:val="21"/>
          <w:szCs w:val="21"/>
          <w:highlight w:val="none"/>
        </w:rPr>
      </w:pPr>
      <w:r>
        <w:rPr>
          <w:rFonts w:hint="eastAsia" w:ascii="宋体" w:hAnsi="宋体" w:eastAsia="宋体" w:cs="宋体"/>
          <w:snapToGrid w:val="0"/>
          <w:color w:val="auto"/>
          <w:spacing w:val="18"/>
          <w:sz w:val="21"/>
          <w:szCs w:val="21"/>
          <w:highlight w:val="none"/>
        </w:rPr>
        <w:t>(3</w:t>
      </w:r>
      <w:r>
        <w:rPr>
          <w:rFonts w:hint="eastAsia" w:ascii="宋体" w:hAnsi="宋体" w:eastAsia="宋体" w:cs="宋体"/>
          <w:snapToGrid w:val="0"/>
          <w:color w:val="auto"/>
          <w:spacing w:val="16"/>
          <w:sz w:val="21"/>
          <w:szCs w:val="21"/>
          <w:highlight w:val="none"/>
        </w:rPr>
        <w:t>)</w:t>
      </w:r>
      <w:r>
        <w:rPr>
          <w:rFonts w:hint="eastAsia" w:ascii="宋体" w:hAnsi="宋体" w:eastAsia="宋体" w:cs="宋体"/>
          <w:snapToGrid w:val="0"/>
          <w:color w:val="auto"/>
          <w:spacing w:val="9"/>
          <w:sz w:val="21"/>
          <w:szCs w:val="21"/>
          <w:highlight w:val="none"/>
        </w:rPr>
        <w:t>新建、改建、扩建工程项目等建设项目的安全设施必须坚持与主体工程“三同时”的原则，即：同时设计、同时施工、同时投入生产和使用。</w:t>
      </w:r>
    </w:p>
    <w:p w14:paraId="23981063">
      <w:pPr>
        <w:keepNext w:val="0"/>
        <w:keepLines w:val="0"/>
        <w:pageBreakBefore w:val="0"/>
        <w:widowControl/>
        <w:kinsoku w:val="0"/>
        <w:wordWrap/>
        <w:overflowPunct/>
        <w:topLinePunct w:val="0"/>
        <w:autoSpaceDE/>
        <w:autoSpaceDN/>
        <w:bidi w:val="0"/>
        <w:adjustRightInd/>
        <w:snapToGrid w:val="0"/>
        <w:spacing w:line="500" w:lineRule="exact"/>
        <w:ind w:firstLine="508" w:firstLineChars="200"/>
        <w:textAlignment w:val="baseline"/>
        <w:rPr>
          <w:rFonts w:hint="eastAsia" w:ascii="宋体" w:hAnsi="宋体" w:eastAsia="宋体" w:cs="宋体"/>
          <w:snapToGrid w:val="0"/>
          <w:color w:val="auto"/>
          <w:spacing w:val="11"/>
          <w:sz w:val="21"/>
          <w:szCs w:val="21"/>
          <w:highlight w:val="none"/>
        </w:rPr>
      </w:pPr>
      <w:r>
        <w:rPr>
          <w:rFonts w:hint="eastAsia" w:ascii="宋体" w:hAnsi="宋体" w:eastAsia="宋体" w:cs="宋体"/>
          <w:snapToGrid w:val="0"/>
          <w:color w:val="auto"/>
          <w:spacing w:val="22"/>
          <w:sz w:val="21"/>
          <w:szCs w:val="21"/>
          <w:highlight w:val="none"/>
        </w:rPr>
        <w:t>(</w:t>
      </w:r>
      <w:r>
        <w:rPr>
          <w:rFonts w:hint="eastAsia" w:ascii="宋体" w:hAnsi="宋体" w:eastAsia="宋体" w:cs="宋体"/>
          <w:snapToGrid w:val="0"/>
          <w:color w:val="auto"/>
          <w:spacing w:val="19"/>
          <w:sz w:val="21"/>
          <w:szCs w:val="21"/>
          <w:highlight w:val="none"/>
        </w:rPr>
        <w:t>4</w:t>
      </w:r>
      <w:r>
        <w:rPr>
          <w:rFonts w:hint="eastAsia" w:ascii="宋体" w:hAnsi="宋体" w:eastAsia="宋体" w:cs="宋体"/>
          <w:snapToGrid w:val="0"/>
          <w:color w:val="auto"/>
          <w:spacing w:val="11"/>
          <w:sz w:val="21"/>
          <w:szCs w:val="21"/>
          <w:highlight w:val="none"/>
        </w:rPr>
        <w:t>)定期召开安全生产调度会，及时传达中央及地方有关安全生产的精神。</w:t>
      </w:r>
    </w:p>
    <w:p w14:paraId="0DA63F9D">
      <w:pPr>
        <w:keepNext w:val="0"/>
        <w:keepLines w:val="0"/>
        <w:pageBreakBefore w:val="0"/>
        <w:widowControl/>
        <w:kinsoku w:val="0"/>
        <w:wordWrap/>
        <w:overflowPunct/>
        <w:topLinePunct w:val="0"/>
        <w:autoSpaceDE/>
        <w:autoSpaceDN/>
        <w:bidi w:val="0"/>
        <w:adjustRightInd/>
        <w:snapToGrid w:val="0"/>
        <w:spacing w:line="500" w:lineRule="exact"/>
        <w:ind w:firstLine="508" w:firstLineChars="200"/>
        <w:textAlignment w:val="baseline"/>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pacing w:val="22"/>
          <w:sz w:val="21"/>
          <w:szCs w:val="21"/>
          <w:highlight w:val="none"/>
        </w:rPr>
        <w:t>(</w:t>
      </w:r>
      <w:r>
        <w:rPr>
          <w:rFonts w:hint="eastAsia" w:ascii="宋体" w:hAnsi="宋体" w:eastAsia="宋体" w:cs="宋体"/>
          <w:snapToGrid w:val="0"/>
          <w:color w:val="auto"/>
          <w:spacing w:val="13"/>
          <w:sz w:val="21"/>
          <w:szCs w:val="21"/>
          <w:highlight w:val="none"/>
        </w:rPr>
        <w:t>5</w:t>
      </w:r>
      <w:r>
        <w:rPr>
          <w:rFonts w:hint="eastAsia" w:ascii="宋体" w:hAnsi="宋体" w:eastAsia="宋体" w:cs="宋体"/>
          <w:snapToGrid w:val="0"/>
          <w:color w:val="auto"/>
          <w:spacing w:val="11"/>
          <w:sz w:val="21"/>
          <w:szCs w:val="21"/>
          <w:highlight w:val="none"/>
        </w:rPr>
        <w:t>)组织对乙方施工现场安全生产检查，监督乙方及时处理发现的各种安全隐患。</w:t>
      </w:r>
    </w:p>
    <w:p w14:paraId="655BA6C6">
      <w:pPr>
        <w:keepNext w:val="0"/>
        <w:keepLines w:val="0"/>
        <w:pageBreakBefore w:val="0"/>
        <w:widowControl/>
        <w:kinsoku w:val="0"/>
        <w:wordWrap/>
        <w:overflowPunct/>
        <w:topLinePunct w:val="0"/>
        <w:autoSpaceDE/>
        <w:autoSpaceDN/>
        <w:bidi w:val="0"/>
        <w:adjustRightInd/>
        <w:snapToGrid w:val="0"/>
        <w:spacing w:line="500" w:lineRule="exact"/>
        <w:ind w:firstLine="492" w:firstLineChars="200"/>
        <w:textAlignment w:val="baseline"/>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pacing w:val="18"/>
          <w:sz w:val="21"/>
          <w:szCs w:val="21"/>
          <w:highlight w:val="none"/>
        </w:rPr>
        <w:t>(6</w:t>
      </w:r>
      <w:r>
        <w:rPr>
          <w:rFonts w:hint="eastAsia" w:ascii="宋体" w:hAnsi="宋体" w:eastAsia="宋体" w:cs="宋体"/>
          <w:snapToGrid w:val="0"/>
          <w:color w:val="auto"/>
          <w:spacing w:val="14"/>
          <w:sz w:val="21"/>
          <w:szCs w:val="21"/>
          <w:highlight w:val="none"/>
        </w:rPr>
        <w:t>)</w:t>
      </w:r>
      <w:r>
        <w:rPr>
          <w:rFonts w:hint="eastAsia" w:ascii="宋体" w:hAnsi="宋体" w:eastAsia="宋体" w:cs="宋体"/>
          <w:snapToGrid w:val="0"/>
          <w:color w:val="auto"/>
          <w:spacing w:val="9"/>
          <w:sz w:val="21"/>
          <w:szCs w:val="21"/>
          <w:highlight w:val="none"/>
        </w:rPr>
        <w:t>依照有关法律法规的规定，对涉及安全生产的事项需要审查批准或者验收的，必</w:t>
      </w:r>
      <w:r>
        <w:rPr>
          <w:rFonts w:hint="eastAsia" w:ascii="宋体" w:hAnsi="宋体" w:eastAsia="宋体" w:cs="宋体"/>
          <w:snapToGrid w:val="0"/>
          <w:color w:val="auto"/>
          <w:spacing w:val="18"/>
          <w:sz w:val="21"/>
          <w:szCs w:val="21"/>
          <w:highlight w:val="none"/>
        </w:rPr>
        <w:t>须</w:t>
      </w:r>
      <w:r>
        <w:rPr>
          <w:rFonts w:hint="eastAsia" w:ascii="宋体" w:hAnsi="宋体" w:eastAsia="宋体" w:cs="宋体"/>
          <w:snapToGrid w:val="0"/>
          <w:color w:val="auto"/>
          <w:spacing w:val="17"/>
          <w:sz w:val="21"/>
          <w:szCs w:val="21"/>
          <w:highlight w:val="none"/>
        </w:rPr>
        <w:t>严</w:t>
      </w:r>
      <w:r>
        <w:rPr>
          <w:rFonts w:hint="eastAsia" w:ascii="宋体" w:hAnsi="宋体" w:eastAsia="宋体" w:cs="宋体"/>
          <w:snapToGrid w:val="0"/>
          <w:color w:val="auto"/>
          <w:spacing w:val="9"/>
          <w:sz w:val="21"/>
          <w:szCs w:val="21"/>
          <w:highlight w:val="none"/>
        </w:rPr>
        <w:t>格依照有关法律法规和国家标准或者行业标准规定的安全生产条件和程序进行审查。</w:t>
      </w:r>
    </w:p>
    <w:p w14:paraId="5682E7D9">
      <w:pPr>
        <w:keepNext w:val="0"/>
        <w:keepLines w:val="0"/>
        <w:pageBreakBefore w:val="0"/>
        <w:widowControl/>
        <w:kinsoku w:val="0"/>
        <w:wordWrap/>
        <w:overflowPunct/>
        <w:topLinePunct w:val="0"/>
        <w:autoSpaceDE/>
        <w:autoSpaceDN/>
        <w:bidi w:val="0"/>
        <w:adjustRightInd/>
        <w:snapToGrid w:val="0"/>
        <w:spacing w:line="500" w:lineRule="exact"/>
        <w:ind w:firstLine="500" w:firstLineChars="200"/>
        <w:textAlignment w:val="baseline"/>
        <w:rPr>
          <w:rFonts w:hint="eastAsia" w:ascii="宋体" w:hAnsi="宋体" w:eastAsia="宋体" w:cs="宋体"/>
          <w:snapToGrid w:val="0"/>
          <w:color w:val="auto"/>
          <w:spacing w:val="18"/>
          <w:sz w:val="21"/>
          <w:szCs w:val="21"/>
          <w:highlight w:val="none"/>
        </w:rPr>
      </w:pPr>
      <w:r>
        <w:rPr>
          <w:rFonts w:hint="eastAsia" w:ascii="宋体" w:hAnsi="宋体" w:eastAsia="宋体" w:cs="宋体"/>
          <w:snapToGrid w:val="0"/>
          <w:color w:val="auto"/>
          <w:spacing w:val="20"/>
          <w:sz w:val="21"/>
          <w:szCs w:val="21"/>
          <w:highlight w:val="none"/>
        </w:rPr>
        <w:t>(7)</w:t>
      </w:r>
      <w:r>
        <w:rPr>
          <w:rFonts w:hint="eastAsia" w:ascii="宋体" w:hAnsi="宋体" w:eastAsia="宋体" w:cs="宋体"/>
          <w:snapToGrid w:val="0"/>
          <w:color w:val="auto"/>
          <w:spacing w:val="10"/>
          <w:sz w:val="21"/>
          <w:szCs w:val="21"/>
          <w:highlight w:val="none"/>
        </w:rPr>
        <w:t xml:space="preserve"> 不得要求接受审查、验收的单位购买其指定品牌或者指定生产、销售单位的安全设备、</w:t>
      </w:r>
      <w:r>
        <w:rPr>
          <w:rFonts w:hint="eastAsia" w:ascii="宋体" w:hAnsi="宋体" w:eastAsia="宋体" w:cs="宋体"/>
          <w:snapToGrid w:val="0"/>
          <w:color w:val="auto"/>
          <w:spacing w:val="13"/>
          <w:sz w:val="21"/>
          <w:szCs w:val="21"/>
          <w:highlight w:val="none"/>
        </w:rPr>
        <w:t>器</w:t>
      </w:r>
      <w:r>
        <w:rPr>
          <w:rFonts w:hint="eastAsia" w:ascii="宋体" w:hAnsi="宋体" w:eastAsia="宋体" w:cs="宋体"/>
          <w:snapToGrid w:val="0"/>
          <w:color w:val="auto"/>
          <w:spacing w:val="7"/>
          <w:sz w:val="21"/>
          <w:szCs w:val="21"/>
          <w:highlight w:val="none"/>
        </w:rPr>
        <w:t>材或者其他产品。</w:t>
      </w:r>
    </w:p>
    <w:p w14:paraId="3FBDB80E">
      <w:pPr>
        <w:keepNext w:val="0"/>
        <w:keepLines w:val="0"/>
        <w:pageBreakBefore w:val="0"/>
        <w:widowControl/>
        <w:kinsoku w:val="0"/>
        <w:wordWrap/>
        <w:overflowPunct/>
        <w:topLinePunct w:val="0"/>
        <w:autoSpaceDE/>
        <w:autoSpaceDN/>
        <w:bidi w:val="0"/>
        <w:adjustRightInd/>
        <w:snapToGrid w:val="0"/>
        <w:spacing w:line="500" w:lineRule="exact"/>
        <w:ind w:firstLine="492" w:firstLineChars="200"/>
        <w:textAlignment w:val="baseline"/>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pacing w:val="18"/>
          <w:sz w:val="21"/>
          <w:szCs w:val="21"/>
          <w:highlight w:val="none"/>
        </w:rPr>
        <w:t>(8</w:t>
      </w:r>
      <w:r>
        <w:rPr>
          <w:rFonts w:hint="eastAsia" w:ascii="宋体" w:hAnsi="宋体" w:eastAsia="宋体" w:cs="宋体"/>
          <w:snapToGrid w:val="0"/>
          <w:color w:val="auto"/>
          <w:spacing w:val="16"/>
          <w:sz w:val="21"/>
          <w:szCs w:val="21"/>
          <w:highlight w:val="none"/>
        </w:rPr>
        <w:t>)</w:t>
      </w:r>
      <w:r>
        <w:rPr>
          <w:rFonts w:hint="eastAsia" w:ascii="宋体" w:hAnsi="宋体" w:eastAsia="宋体" w:cs="宋体"/>
          <w:snapToGrid w:val="0"/>
          <w:color w:val="auto"/>
          <w:spacing w:val="9"/>
          <w:sz w:val="21"/>
          <w:szCs w:val="21"/>
          <w:highlight w:val="none"/>
        </w:rPr>
        <w:t>定期或不定期对乙方执行有关安全生产的法律法规和国家标准或者行业标准的情况进</w:t>
      </w:r>
      <w:r>
        <w:rPr>
          <w:rFonts w:hint="eastAsia" w:ascii="宋体" w:hAnsi="宋体" w:eastAsia="宋体" w:cs="宋体"/>
          <w:snapToGrid w:val="0"/>
          <w:color w:val="auto"/>
          <w:spacing w:val="7"/>
          <w:sz w:val="21"/>
          <w:szCs w:val="21"/>
          <w:highlight w:val="none"/>
        </w:rPr>
        <w:t>行监督检查。</w:t>
      </w:r>
    </w:p>
    <w:p w14:paraId="600EB3A8">
      <w:pPr>
        <w:keepNext w:val="0"/>
        <w:keepLines w:val="0"/>
        <w:pageBreakBefore w:val="0"/>
        <w:widowControl/>
        <w:kinsoku w:val="0"/>
        <w:wordWrap/>
        <w:overflowPunct/>
        <w:topLinePunct w:val="0"/>
        <w:autoSpaceDE/>
        <w:autoSpaceDN/>
        <w:bidi w:val="0"/>
        <w:adjustRightInd/>
        <w:snapToGrid w:val="0"/>
        <w:spacing w:line="500" w:lineRule="exact"/>
        <w:ind w:firstLine="464" w:firstLineChars="200"/>
        <w:textAlignment w:val="baseline"/>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pacing w:val="11"/>
          <w:position w:val="1"/>
          <w:sz w:val="21"/>
          <w:szCs w:val="21"/>
          <w:highlight w:val="none"/>
        </w:rPr>
        <w:t>2</w:t>
      </w:r>
      <w:r>
        <w:rPr>
          <w:rFonts w:hint="eastAsia" w:ascii="宋体" w:hAnsi="宋体" w:eastAsia="宋体" w:cs="宋体"/>
          <w:snapToGrid w:val="0"/>
          <w:color w:val="auto"/>
          <w:spacing w:val="6"/>
          <w:position w:val="1"/>
          <w:sz w:val="21"/>
          <w:szCs w:val="21"/>
          <w:highlight w:val="none"/>
        </w:rPr>
        <w:t>.乙方职责</w:t>
      </w:r>
    </w:p>
    <w:p w14:paraId="1120F22F">
      <w:pPr>
        <w:keepNext w:val="0"/>
        <w:keepLines w:val="0"/>
        <w:pageBreakBefore w:val="0"/>
        <w:widowControl/>
        <w:kinsoku w:val="0"/>
        <w:wordWrap/>
        <w:overflowPunct/>
        <w:topLinePunct w:val="0"/>
        <w:autoSpaceDE/>
        <w:autoSpaceDN/>
        <w:bidi w:val="0"/>
        <w:adjustRightInd/>
        <w:snapToGrid w:val="0"/>
        <w:spacing w:line="500" w:lineRule="exact"/>
        <w:ind w:firstLine="492" w:firstLineChars="200"/>
        <w:textAlignment w:val="baseline"/>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pacing w:val="18"/>
          <w:sz w:val="21"/>
          <w:szCs w:val="21"/>
          <w:highlight w:val="none"/>
        </w:rPr>
        <w:t>(1</w:t>
      </w:r>
      <w:r>
        <w:rPr>
          <w:rFonts w:hint="eastAsia" w:ascii="宋体" w:hAnsi="宋体" w:eastAsia="宋体" w:cs="宋体"/>
          <w:snapToGrid w:val="0"/>
          <w:color w:val="auto"/>
          <w:spacing w:val="16"/>
          <w:sz w:val="21"/>
          <w:szCs w:val="21"/>
          <w:highlight w:val="none"/>
        </w:rPr>
        <w:t>)</w:t>
      </w:r>
      <w:r>
        <w:rPr>
          <w:rFonts w:hint="eastAsia" w:ascii="宋体" w:hAnsi="宋体" w:eastAsia="宋体" w:cs="宋体"/>
          <w:snapToGrid w:val="0"/>
          <w:color w:val="auto"/>
          <w:spacing w:val="9"/>
          <w:sz w:val="21"/>
          <w:szCs w:val="21"/>
          <w:highlight w:val="none"/>
        </w:rPr>
        <w:t>严格遵守《中华人民共和国安全生产法》、《建设工程安全生产管理条例》等国家有关</w:t>
      </w:r>
      <w:r>
        <w:rPr>
          <w:rFonts w:hint="eastAsia" w:ascii="宋体" w:hAnsi="宋体" w:eastAsia="宋体" w:cs="宋体"/>
          <w:snapToGrid w:val="0"/>
          <w:color w:val="auto"/>
          <w:spacing w:val="14"/>
          <w:sz w:val="21"/>
          <w:szCs w:val="21"/>
          <w:highlight w:val="none"/>
        </w:rPr>
        <w:t>安全生</w:t>
      </w:r>
      <w:r>
        <w:rPr>
          <w:rFonts w:hint="eastAsia" w:ascii="宋体" w:hAnsi="宋体" w:eastAsia="宋体" w:cs="宋体"/>
          <w:snapToGrid w:val="0"/>
          <w:color w:val="auto"/>
          <w:spacing w:val="10"/>
          <w:sz w:val="21"/>
          <w:szCs w:val="21"/>
          <w:highlight w:val="none"/>
        </w:rPr>
        <w:t>产</w:t>
      </w:r>
      <w:r>
        <w:rPr>
          <w:rFonts w:hint="eastAsia" w:ascii="宋体" w:hAnsi="宋体" w:eastAsia="宋体" w:cs="宋体"/>
          <w:snapToGrid w:val="0"/>
          <w:color w:val="auto"/>
          <w:spacing w:val="7"/>
          <w:sz w:val="21"/>
          <w:szCs w:val="21"/>
          <w:highlight w:val="none"/>
        </w:rPr>
        <w:t>的法律法规、《公路水运工程安全生产监督管理办法》、《公路工程施工安全技术规程》</w:t>
      </w:r>
      <w:r>
        <w:rPr>
          <w:rFonts w:hint="eastAsia" w:ascii="宋体" w:hAnsi="宋体" w:eastAsia="宋体" w:cs="宋体"/>
          <w:snapToGrid w:val="0"/>
          <w:color w:val="auto"/>
          <w:spacing w:val="20"/>
          <w:sz w:val="21"/>
          <w:szCs w:val="21"/>
          <w:highlight w:val="none"/>
        </w:rPr>
        <w:t>和</w:t>
      </w:r>
      <w:r>
        <w:rPr>
          <w:rFonts w:hint="eastAsia" w:ascii="宋体" w:hAnsi="宋体" w:eastAsia="宋体" w:cs="宋体"/>
          <w:snapToGrid w:val="0"/>
          <w:color w:val="auto"/>
          <w:spacing w:val="12"/>
          <w:sz w:val="21"/>
          <w:szCs w:val="21"/>
          <w:highlight w:val="none"/>
        </w:rPr>
        <w:t>《</w:t>
      </w:r>
      <w:r>
        <w:rPr>
          <w:rFonts w:hint="eastAsia" w:ascii="宋体" w:hAnsi="宋体" w:eastAsia="宋体" w:cs="宋体"/>
          <w:snapToGrid w:val="0"/>
          <w:color w:val="auto"/>
          <w:spacing w:val="10"/>
          <w:sz w:val="21"/>
          <w:szCs w:val="21"/>
          <w:highlight w:val="none"/>
        </w:rPr>
        <w:t>公路筑养路机械操作规程》等有关安全生产的规定。认真执行工程承包合同中的有关安全要</w:t>
      </w:r>
      <w:r>
        <w:rPr>
          <w:rFonts w:hint="eastAsia" w:ascii="宋体" w:hAnsi="宋体" w:eastAsia="宋体" w:cs="宋体"/>
          <w:snapToGrid w:val="0"/>
          <w:color w:val="auto"/>
          <w:sz w:val="21"/>
          <w:szCs w:val="21"/>
          <w:highlight w:val="none"/>
        </w:rPr>
        <w:t>求。</w:t>
      </w:r>
    </w:p>
    <w:p w14:paraId="56332DCA">
      <w:pPr>
        <w:keepNext w:val="0"/>
        <w:keepLines w:val="0"/>
        <w:pageBreakBefore w:val="0"/>
        <w:widowControl/>
        <w:kinsoku w:val="0"/>
        <w:wordWrap/>
        <w:overflowPunct/>
        <w:topLinePunct w:val="0"/>
        <w:autoSpaceDE/>
        <w:autoSpaceDN/>
        <w:bidi w:val="0"/>
        <w:adjustRightInd/>
        <w:snapToGrid w:val="0"/>
        <w:spacing w:line="500" w:lineRule="exact"/>
        <w:ind w:firstLine="500" w:firstLineChars="200"/>
        <w:textAlignment w:val="baseline"/>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pacing w:val="20"/>
          <w:sz w:val="21"/>
          <w:szCs w:val="21"/>
          <w:highlight w:val="none"/>
        </w:rPr>
        <w:t>(2)</w:t>
      </w:r>
      <w:r>
        <w:rPr>
          <w:rFonts w:hint="eastAsia" w:ascii="宋体" w:hAnsi="宋体" w:eastAsia="宋体" w:cs="宋体"/>
          <w:snapToGrid w:val="0"/>
          <w:color w:val="auto"/>
          <w:spacing w:val="10"/>
          <w:sz w:val="21"/>
          <w:szCs w:val="21"/>
          <w:highlight w:val="none"/>
        </w:rPr>
        <w:t>坚持“安全第一、预防为主、综合治理”和“管行业必须管安全、管业务必须管安全、</w:t>
      </w:r>
      <w:r>
        <w:rPr>
          <w:rFonts w:hint="eastAsia" w:ascii="宋体" w:hAnsi="宋体" w:eastAsia="宋体" w:cs="宋体"/>
          <w:snapToGrid w:val="0"/>
          <w:color w:val="auto"/>
          <w:spacing w:val="20"/>
          <w:sz w:val="21"/>
          <w:szCs w:val="21"/>
          <w:highlight w:val="none"/>
        </w:rPr>
        <w:t>管</w:t>
      </w:r>
      <w:r>
        <w:rPr>
          <w:rFonts w:hint="eastAsia" w:ascii="宋体" w:hAnsi="宋体" w:eastAsia="宋体" w:cs="宋体"/>
          <w:snapToGrid w:val="0"/>
          <w:color w:val="auto"/>
          <w:spacing w:val="12"/>
          <w:sz w:val="21"/>
          <w:szCs w:val="21"/>
          <w:highlight w:val="none"/>
        </w:rPr>
        <w:t>生</w:t>
      </w:r>
      <w:r>
        <w:rPr>
          <w:rFonts w:hint="eastAsia" w:ascii="宋体" w:hAnsi="宋体" w:eastAsia="宋体" w:cs="宋体"/>
          <w:snapToGrid w:val="0"/>
          <w:color w:val="auto"/>
          <w:spacing w:val="10"/>
          <w:sz w:val="21"/>
          <w:szCs w:val="21"/>
          <w:highlight w:val="none"/>
        </w:rPr>
        <w:t>产经营必须管安全”的原则，加强安全生产宣传教育，增强全员安全生产意识，建立健全各</w:t>
      </w:r>
      <w:r>
        <w:rPr>
          <w:rFonts w:hint="eastAsia" w:ascii="宋体" w:hAnsi="宋体" w:eastAsia="宋体" w:cs="宋体"/>
          <w:snapToGrid w:val="0"/>
          <w:color w:val="auto"/>
          <w:spacing w:val="20"/>
          <w:sz w:val="21"/>
          <w:szCs w:val="21"/>
          <w:highlight w:val="none"/>
        </w:rPr>
        <w:t>项</w:t>
      </w:r>
      <w:r>
        <w:rPr>
          <w:rFonts w:hint="eastAsia" w:ascii="宋体" w:hAnsi="宋体" w:eastAsia="宋体" w:cs="宋体"/>
          <w:snapToGrid w:val="0"/>
          <w:color w:val="auto"/>
          <w:spacing w:val="12"/>
          <w:sz w:val="21"/>
          <w:szCs w:val="21"/>
          <w:highlight w:val="none"/>
        </w:rPr>
        <w:t>安</w:t>
      </w:r>
      <w:r>
        <w:rPr>
          <w:rFonts w:hint="eastAsia" w:ascii="宋体" w:hAnsi="宋体" w:eastAsia="宋体" w:cs="宋体"/>
          <w:snapToGrid w:val="0"/>
          <w:color w:val="auto"/>
          <w:spacing w:val="10"/>
          <w:sz w:val="21"/>
          <w:szCs w:val="21"/>
          <w:highlight w:val="none"/>
        </w:rPr>
        <w:t>全生产的管理机构和安全生产管理制度，配备专职及兼职安全检查人员，有组织有领导地开</w:t>
      </w:r>
      <w:r>
        <w:rPr>
          <w:rFonts w:hint="eastAsia" w:ascii="宋体" w:hAnsi="宋体" w:eastAsia="宋体" w:cs="宋体"/>
          <w:snapToGrid w:val="0"/>
          <w:color w:val="auto"/>
          <w:spacing w:val="20"/>
          <w:sz w:val="21"/>
          <w:szCs w:val="21"/>
          <w:highlight w:val="none"/>
        </w:rPr>
        <w:t>展</w:t>
      </w:r>
      <w:r>
        <w:rPr>
          <w:rFonts w:hint="eastAsia" w:ascii="宋体" w:hAnsi="宋体" w:eastAsia="宋体" w:cs="宋体"/>
          <w:snapToGrid w:val="0"/>
          <w:color w:val="auto"/>
          <w:spacing w:val="12"/>
          <w:sz w:val="21"/>
          <w:szCs w:val="21"/>
          <w:highlight w:val="none"/>
        </w:rPr>
        <w:t>安</w:t>
      </w:r>
      <w:r>
        <w:rPr>
          <w:rFonts w:hint="eastAsia" w:ascii="宋体" w:hAnsi="宋体" w:eastAsia="宋体" w:cs="宋体"/>
          <w:snapToGrid w:val="0"/>
          <w:color w:val="auto"/>
          <w:spacing w:val="10"/>
          <w:sz w:val="21"/>
          <w:szCs w:val="21"/>
          <w:highlight w:val="none"/>
        </w:rPr>
        <w:t>全生产活动，履行有关安全生产的法律法规规定的有关安全生产义务。各级领导、工程技</w:t>
      </w:r>
      <w:r>
        <w:rPr>
          <w:rFonts w:hint="eastAsia" w:ascii="宋体" w:hAnsi="宋体" w:eastAsia="宋体" w:cs="宋体"/>
          <w:snapToGrid w:val="0"/>
          <w:color w:val="auto"/>
          <w:spacing w:val="20"/>
          <w:sz w:val="21"/>
          <w:szCs w:val="21"/>
          <w:highlight w:val="none"/>
        </w:rPr>
        <w:t>术</w:t>
      </w:r>
      <w:r>
        <w:rPr>
          <w:rFonts w:hint="eastAsia" w:ascii="宋体" w:hAnsi="宋体" w:eastAsia="宋体" w:cs="宋体"/>
          <w:snapToGrid w:val="0"/>
          <w:color w:val="auto"/>
          <w:spacing w:val="12"/>
          <w:sz w:val="21"/>
          <w:szCs w:val="21"/>
          <w:highlight w:val="none"/>
        </w:rPr>
        <w:t>人</w:t>
      </w:r>
      <w:r>
        <w:rPr>
          <w:rFonts w:hint="eastAsia" w:ascii="宋体" w:hAnsi="宋体" w:eastAsia="宋体" w:cs="宋体"/>
          <w:snapToGrid w:val="0"/>
          <w:color w:val="auto"/>
          <w:spacing w:val="10"/>
          <w:sz w:val="21"/>
          <w:szCs w:val="21"/>
          <w:highlight w:val="none"/>
        </w:rPr>
        <w:t>员、生产管理人员和具体操作人员，必须熟悉和遵守本合同的各项规定，做到生产与安全工</w:t>
      </w:r>
      <w:r>
        <w:rPr>
          <w:rFonts w:hint="eastAsia" w:ascii="宋体" w:hAnsi="宋体" w:eastAsia="宋体" w:cs="宋体"/>
          <w:snapToGrid w:val="0"/>
          <w:color w:val="auto"/>
          <w:spacing w:val="9"/>
          <w:sz w:val="21"/>
          <w:szCs w:val="21"/>
          <w:highlight w:val="none"/>
        </w:rPr>
        <w:t>作同时计划、布置、检查、总结和评比</w:t>
      </w:r>
      <w:r>
        <w:rPr>
          <w:rFonts w:hint="eastAsia" w:ascii="宋体" w:hAnsi="宋体" w:eastAsia="宋体" w:cs="宋体"/>
          <w:snapToGrid w:val="0"/>
          <w:color w:val="auto"/>
          <w:spacing w:val="6"/>
          <w:sz w:val="21"/>
          <w:szCs w:val="21"/>
          <w:highlight w:val="none"/>
        </w:rPr>
        <w:t>。</w:t>
      </w:r>
    </w:p>
    <w:p w14:paraId="7F91746A">
      <w:pPr>
        <w:keepNext w:val="0"/>
        <w:keepLines w:val="0"/>
        <w:pageBreakBefore w:val="0"/>
        <w:widowControl/>
        <w:kinsoku w:val="0"/>
        <w:wordWrap/>
        <w:overflowPunct/>
        <w:topLinePunct w:val="0"/>
        <w:autoSpaceDE/>
        <w:autoSpaceDN/>
        <w:bidi w:val="0"/>
        <w:adjustRightInd/>
        <w:snapToGrid w:val="0"/>
        <w:spacing w:line="500" w:lineRule="exact"/>
        <w:ind w:firstLine="492" w:firstLineChars="200"/>
        <w:textAlignment w:val="baseline"/>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pacing w:val="18"/>
          <w:sz w:val="21"/>
          <w:szCs w:val="21"/>
          <w:highlight w:val="none"/>
        </w:rPr>
        <w:t>(</w:t>
      </w:r>
      <w:r>
        <w:rPr>
          <w:rFonts w:hint="eastAsia" w:ascii="宋体" w:hAnsi="宋体" w:eastAsia="宋体" w:cs="宋体"/>
          <w:snapToGrid w:val="0"/>
          <w:color w:val="auto"/>
          <w:spacing w:val="16"/>
          <w:sz w:val="21"/>
          <w:szCs w:val="21"/>
          <w:highlight w:val="none"/>
        </w:rPr>
        <w:t>3</w:t>
      </w:r>
      <w:r>
        <w:rPr>
          <w:rFonts w:hint="eastAsia" w:ascii="宋体" w:hAnsi="宋体" w:eastAsia="宋体" w:cs="宋体"/>
          <w:snapToGrid w:val="0"/>
          <w:color w:val="auto"/>
          <w:spacing w:val="9"/>
          <w:sz w:val="21"/>
          <w:szCs w:val="21"/>
          <w:highlight w:val="none"/>
        </w:rPr>
        <w:t>)建立健全安全生产责任制。从派往项目实施的项目经理到生产工人 (包括临时雇请的民</w:t>
      </w:r>
      <w:r>
        <w:rPr>
          <w:rFonts w:hint="eastAsia" w:ascii="宋体" w:hAnsi="宋体" w:eastAsia="宋体" w:cs="宋体"/>
          <w:snapToGrid w:val="0"/>
          <w:color w:val="auto"/>
          <w:spacing w:val="10"/>
          <w:sz w:val="21"/>
          <w:szCs w:val="21"/>
          <w:highlight w:val="none"/>
        </w:rPr>
        <w:t>工) 的安全生产管理系统必须做到纵向到底，—环不漏；各职能部门、人员的安全生产责任制做</w:t>
      </w:r>
      <w:r>
        <w:rPr>
          <w:rFonts w:hint="eastAsia" w:ascii="宋体" w:hAnsi="宋体" w:eastAsia="宋体" w:cs="宋体"/>
          <w:snapToGrid w:val="0"/>
          <w:color w:val="auto"/>
          <w:spacing w:val="17"/>
          <w:sz w:val="21"/>
          <w:szCs w:val="21"/>
          <w:highlight w:val="none"/>
        </w:rPr>
        <w:t>到</w:t>
      </w:r>
      <w:r>
        <w:rPr>
          <w:rFonts w:hint="eastAsia" w:ascii="宋体" w:hAnsi="宋体" w:eastAsia="宋体" w:cs="宋体"/>
          <w:snapToGrid w:val="0"/>
          <w:color w:val="auto"/>
          <w:spacing w:val="10"/>
          <w:sz w:val="21"/>
          <w:szCs w:val="21"/>
          <w:highlight w:val="none"/>
        </w:rPr>
        <w:t>横向到边，人人有责。项目经理是安全生产的第一责任人。现场设置的安全机构，应按《公路</w:t>
      </w:r>
      <w:r>
        <w:rPr>
          <w:rFonts w:hint="eastAsia" w:ascii="宋体" w:hAnsi="宋体" w:eastAsia="宋体" w:cs="宋体"/>
          <w:snapToGrid w:val="0"/>
          <w:color w:val="auto"/>
          <w:spacing w:val="20"/>
          <w:sz w:val="21"/>
          <w:szCs w:val="21"/>
          <w:highlight w:val="none"/>
        </w:rPr>
        <w:t>水</w:t>
      </w:r>
      <w:r>
        <w:rPr>
          <w:rFonts w:hint="eastAsia" w:ascii="宋体" w:hAnsi="宋体" w:eastAsia="宋体" w:cs="宋体"/>
          <w:snapToGrid w:val="0"/>
          <w:color w:val="auto"/>
          <w:spacing w:val="10"/>
          <w:sz w:val="21"/>
          <w:szCs w:val="21"/>
          <w:highlight w:val="none"/>
        </w:rPr>
        <w:t>运工程安全生产监督管理办法》规定的最低数量和资质条件配备专职安全生产管理人员，专职</w:t>
      </w:r>
      <w:r>
        <w:rPr>
          <w:rFonts w:hint="eastAsia" w:ascii="宋体" w:hAnsi="宋体" w:eastAsia="宋体" w:cs="宋体"/>
          <w:snapToGrid w:val="0"/>
          <w:color w:val="auto"/>
          <w:spacing w:val="12"/>
          <w:sz w:val="21"/>
          <w:szCs w:val="21"/>
          <w:highlight w:val="none"/>
        </w:rPr>
        <w:t>负责所有</w:t>
      </w:r>
      <w:r>
        <w:rPr>
          <w:rFonts w:hint="eastAsia" w:ascii="宋体" w:hAnsi="宋体" w:eastAsia="宋体" w:cs="宋体"/>
          <w:snapToGrid w:val="0"/>
          <w:color w:val="auto"/>
          <w:spacing w:val="11"/>
          <w:sz w:val="21"/>
          <w:szCs w:val="21"/>
          <w:highlight w:val="none"/>
        </w:rPr>
        <w:t>员</w:t>
      </w:r>
      <w:r>
        <w:rPr>
          <w:rFonts w:hint="eastAsia" w:ascii="宋体" w:hAnsi="宋体" w:eastAsia="宋体" w:cs="宋体"/>
          <w:snapToGrid w:val="0"/>
          <w:color w:val="auto"/>
          <w:spacing w:val="6"/>
          <w:sz w:val="21"/>
          <w:szCs w:val="21"/>
          <w:highlight w:val="none"/>
        </w:rPr>
        <w:t>工的安全和治安保卫工作及预防事故的发生。安全机构人员有权按有关规定发布指令，</w:t>
      </w:r>
      <w:r>
        <w:rPr>
          <w:rFonts w:hint="eastAsia" w:ascii="宋体" w:hAnsi="宋体" w:eastAsia="宋体" w:cs="宋体"/>
          <w:snapToGrid w:val="0"/>
          <w:color w:val="auto"/>
          <w:spacing w:val="15"/>
          <w:sz w:val="21"/>
          <w:szCs w:val="21"/>
          <w:highlight w:val="none"/>
        </w:rPr>
        <w:t>并</w:t>
      </w:r>
      <w:r>
        <w:rPr>
          <w:rFonts w:hint="eastAsia" w:ascii="宋体" w:hAnsi="宋体" w:eastAsia="宋体" w:cs="宋体"/>
          <w:snapToGrid w:val="0"/>
          <w:color w:val="auto"/>
          <w:spacing w:val="8"/>
          <w:sz w:val="21"/>
          <w:szCs w:val="21"/>
          <w:highlight w:val="none"/>
        </w:rPr>
        <w:t>采取保护性措施防止事故发生。</w:t>
      </w:r>
    </w:p>
    <w:p w14:paraId="46D3FBC8">
      <w:pPr>
        <w:keepNext w:val="0"/>
        <w:keepLines w:val="0"/>
        <w:pageBreakBefore w:val="0"/>
        <w:widowControl/>
        <w:kinsoku w:val="0"/>
        <w:wordWrap/>
        <w:overflowPunct/>
        <w:topLinePunct w:val="0"/>
        <w:autoSpaceDE/>
        <w:autoSpaceDN/>
        <w:bidi w:val="0"/>
        <w:adjustRightInd/>
        <w:snapToGrid w:val="0"/>
        <w:spacing w:line="500" w:lineRule="exact"/>
        <w:ind w:firstLine="492" w:firstLineChars="200"/>
        <w:textAlignment w:val="baseline"/>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pacing w:val="18"/>
          <w:sz w:val="21"/>
          <w:szCs w:val="21"/>
          <w:highlight w:val="none"/>
        </w:rPr>
        <w:t>(4</w:t>
      </w:r>
      <w:r>
        <w:rPr>
          <w:rFonts w:hint="eastAsia" w:ascii="宋体" w:hAnsi="宋体" w:eastAsia="宋体" w:cs="宋体"/>
          <w:snapToGrid w:val="0"/>
          <w:color w:val="auto"/>
          <w:spacing w:val="16"/>
          <w:sz w:val="21"/>
          <w:szCs w:val="21"/>
          <w:highlight w:val="none"/>
        </w:rPr>
        <w:t>)</w:t>
      </w:r>
      <w:r>
        <w:rPr>
          <w:rFonts w:hint="eastAsia" w:ascii="宋体" w:hAnsi="宋体" w:eastAsia="宋体" w:cs="宋体"/>
          <w:snapToGrid w:val="0"/>
          <w:color w:val="auto"/>
          <w:spacing w:val="9"/>
          <w:sz w:val="21"/>
          <w:szCs w:val="21"/>
          <w:highlight w:val="none"/>
        </w:rPr>
        <w:t>乙方在任何时候都应采取各种合理的预防措施，防止其员工发生任何违法、违纪、暴</w:t>
      </w:r>
      <w:r>
        <w:rPr>
          <w:rFonts w:hint="eastAsia" w:ascii="宋体" w:hAnsi="宋体" w:eastAsia="宋体" w:cs="宋体"/>
          <w:snapToGrid w:val="0"/>
          <w:color w:val="auto"/>
          <w:spacing w:val="14"/>
          <w:sz w:val="21"/>
          <w:szCs w:val="21"/>
          <w:highlight w:val="none"/>
        </w:rPr>
        <w:t>力</w:t>
      </w:r>
      <w:r>
        <w:rPr>
          <w:rFonts w:hint="eastAsia" w:ascii="宋体" w:hAnsi="宋体" w:eastAsia="宋体" w:cs="宋体"/>
          <w:snapToGrid w:val="0"/>
          <w:color w:val="auto"/>
          <w:spacing w:val="7"/>
          <w:sz w:val="21"/>
          <w:szCs w:val="21"/>
          <w:highlight w:val="none"/>
        </w:rPr>
        <w:t>或妨碍治安的行为。</w:t>
      </w:r>
    </w:p>
    <w:p w14:paraId="75BDBED5">
      <w:pPr>
        <w:keepNext w:val="0"/>
        <w:keepLines w:val="0"/>
        <w:pageBreakBefore w:val="0"/>
        <w:widowControl/>
        <w:kinsoku w:val="0"/>
        <w:wordWrap/>
        <w:overflowPunct/>
        <w:topLinePunct w:val="0"/>
        <w:autoSpaceDE/>
        <w:autoSpaceDN/>
        <w:bidi w:val="0"/>
        <w:adjustRightInd/>
        <w:snapToGrid w:val="0"/>
        <w:spacing w:line="500" w:lineRule="exact"/>
        <w:ind w:firstLine="492" w:firstLineChars="200"/>
        <w:textAlignment w:val="baseline"/>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pacing w:val="18"/>
          <w:sz w:val="21"/>
          <w:szCs w:val="21"/>
          <w:highlight w:val="none"/>
        </w:rPr>
        <w:t>(5</w:t>
      </w:r>
      <w:r>
        <w:rPr>
          <w:rFonts w:hint="eastAsia" w:ascii="宋体" w:hAnsi="宋体" w:eastAsia="宋体" w:cs="宋体"/>
          <w:snapToGrid w:val="0"/>
          <w:color w:val="auto"/>
          <w:spacing w:val="16"/>
          <w:sz w:val="21"/>
          <w:szCs w:val="21"/>
          <w:highlight w:val="none"/>
        </w:rPr>
        <w:t>)</w:t>
      </w:r>
      <w:r>
        <w:rPr>
          <w:rFonts w:hint="eastAsia" w:ascii="宋体" w:hAnsi="宋体" w:eastAsia="宋体" w:cs="宋体"/>
          <w:snapToGrid w:val="0"/>
          <w:color w:val="auto"/>
          <w:spacing w:val="9"/>
          <w:sz w:val="21"/>
          <w:szCs w:val="21"/>
          <w:highlight w:val="none"/>
        </w:rPr>
        <w:t>乙方必须具有劳动安全管理部门颁发的安全生产考核合格证书，参加施工的人员，必</w:t>
      </w:r>
      <w:r>
        <w:rPr>
          <w:rFonts w:hint="eastAsia" w:ascii="宋体" w:hAnsi="宋体" w:eastAsia="宋体" w:cs="宋体"/>
          <w:snapToGrid w:val="0"/>
          <w:color w:val="auto"/>
          <w:spacing w:val="20"/>
          <w:sz w:val="21"/>
          <w:szCs w:val="21"/>
          <w:highlight w:val="none"/>
        </w:rPr>
        <w:t>须</w:t>
      </w:r>
      <w:r>
        <w:rPr>
          <w:rFonts w:hint="eastAsia" w:ascii="宋体" w:hAnsi="宋体" w:eastAsia="宋体" w:cs="宋体"/>
          <w:snapToGrid w:val="0"/>
          <w:color w:val="auto"/>
          <w:spacing w:val="13"/>
          <w:sz w:val="21"/>
          <w:szCs w:val="21"/>
          <w:highlight w:val="none"/>
        </w:rPr>
        <w:t>接</w:t>
      </w:r>
      <w:r>
        <w:rPr>
          <w:rFonts w:hint="eastAsia" w:ascii="宋体" w:hAnsi="宋体" w:eastAsia="宋体" w:cs="宋体"/>
          <w:snapToGrid w:val="0"/>
          <w:color w:val="auto"/>
          <w:spacing w:val="10"/>
          <w:sz w:val="21"/>
          <w:szCs w:val="21"/>
          <w:highlight w:val="none"/>
        </w:rPr>
        <w:t>受安全技术教育，熟知和遵守本工种的各项安全技术操作规程，定期进行安全技术考核，合</w:t>
      </w:r>
      <w:r>
        <w:rPr>
          <w:rFonts w:hint="eastAsia" w:ascii="宋体" w:hAnsi="宋体" w:eastAsia="宋体" w:cs="宋体"/>
          <w:snapToGrid w:val="0"/>
          <w:color w:val="auto"/>
          <w:spacing w:val="20"/>
          <w:sz w:val="21"/>
          <w:szCs w:val="21"/>
          <w:highlight w:val="none"/>
        </w:rPr>
        <w:t>格</w:t>
      </w:r>
      <w:r>
        <w:rPr>
          <w:rFonts w:hint="eastAsia" w:ascii="宋体" w:hAnsi="宋体" w:eastAsia="宋体" w:cs="宋体"/>
          <w:snapToGrid w:val="0"/>
          <w:color w:val="auto"/>
          <w:spacing w:val="13"/>
          <w:sz w:val="21"/>
          <w:szCs w:val="21"/>
          <w:highlight w:val="none"/>
        </w:rPr>
        <w:t>者</w:t>
      </w:r>
      <w:r>
        <w:rPr>
          <w:rFonts w:hint="eastAsia" w:ascii="宋体" w:hAnsi="宋体" w:eastAsia="宋体" w:cs="宋体"/>
          <w:snapToGrid w:val="0"/>
          <w:color w:val="auto"/>
          <w:spacing w:val="10"/>
          <w:sz w:val="21"/>
          <w:szCs w:val="21"/>
          <w:highlight w:val="none"/>
        </w:rPr>
        <w:t>方准上岗操作。对于从事电气、起重、建筑限高架设作业、锅炉、压力容器、焊接、机动车船艇驾驶、爆破、潜水、瓦斯检验等特殊工种的人员，经过专业培训，获得《安全操作合格证》</w:t>
      </w:r>
      <w:r>
        <w:rPr>
          <w:rFonts w:hint="eastAsia" w:ascii="宋体" w:hAnsi="宋体" w:eastAsia="宋体" w:cs="宋体"/>
          <w:snapToGrid w:val="0"/>
          <w:color w:val="auto"/>
          <w:spacing w:val="18"/>
          <w:sz w:val="21"/>
          <w:szCs w:val="21"/>
          <w:highlight w:val="none"/>
        </w:rPr>
        <w:t>后，</w:t>
      </w:r>
      <w:r>
        <w:rPr>
          <w:rFonts w:hint="eastAsia" w:ascii="宋体" w:hAnsi="宋体" w:eastAsia="宋体" w:cs="宋体"/>
          <w:snapToGrid w:val="0"/>
          <w:color w:val="auto"/>
          <w:spacing w:val="11"/>
          <w:sz w:val="21"/>
          <w:szCs w:val="21"/>
          <w:highlight w:val="none"/>
        </w:rPr>
        <w:t>方</w:t>
      </w:r>
      <w:r>
        <w:rPr>
          <w:rFonts w:hint="eastAsia" w:ascii="宋体" w:hAnsi="宋体" w:eastAsia="宋体" w:cs="宋体"/>
          <w:snapToGrid w:val="0"/>
          <w:color w:val="auto"/>
          <w:spacing w:val="9"/>
          <w:sz w:val="21"/>
          <w:szCs w:val="21"/>
          <w:highlight w:val="none"/>
        </w:rPr>
        <w:t>准持证上岗。施工现场如出现特种作业无证操作现象时，项目经理必须承担管理责任。</w:t>
      </w:r>
    </w:p>
    <w:p w14:paraId="7CCC9F1B">
      <w:pPr>
        <w:keepNext w:val="0"/>
        <w:keepLines w:val="0"/>
        <w:pageBreakBefore w:val="0"/>
        <w:widowControl/>
        <w:kinsoku w:val="0"/>
        <w:wordWrap/>
        <w:overflowPunct/>
        <w:topLinePunct w:val="0"/>
        <w:autoSpaceDE/>
        <w:autoSpaceDN/>
        <w:bidi w:val="0"/>
        <w:adjustRightInd/>
        <w:snapToGrid w:val="0"/>
        <w:spacing w:line="500" w:lineRule="exact"/>
        <w:ind w:firstLine="492" w:firstLineChars="200"/>
        <w:textAlignment w:val="baseline"/>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pacing w:val="18"/>
          <w:sz w:val="21"/>
          <w:szCs w:val="21"/>
          <w:highlight w:val="none"/>
        </w:rPr>
        <w:t>(6</w:t>
      </w:r>
      <w:r>
        <w:rPr>
          <w:rFonts w:hint="eastAsia" w:ascii="宋体" w:hAnsi="宋体" w:eastAsia="宋体" w:cs="宋体"/>
          <w:snapToGrid w:val="0"/>
          <w:color w:val="auto"/>
          <w:spacing w:val="16"/>
          <w:sz w:val="21"/>
          <w:szCs w:val="21"/>
          <w:highlight w:val="none"/>
        </w:rPr>
        <w:t>)</w:t>
      </w:r>
      <w:r>
        <w:rPr>
          <w:rFonts w:hint="eastAsia" w:ascii="宋体" w:hAnsi="宋体" w:eastAsia="宋体" w:cs="宋体"/>
          <w:snapToGrid w:val="0"/>
          <w:color w:val="auto"/>
          <w:spacing w:val="9"/>
          <w:sz w:val="21"/>
          <w:szCs w:val="21"/>
          <w:highlight w:val="none"/>
        </w:rPr>
        <w:t>对于易燃易爆的材料除应专门妥善保管之外，还应配备有足够的消防设施，所有施工人</w:t>
      </w:r>
      <w:r>
        <w:rPr>
          <w:rFonts w:hint="eastAsia" w:ascii="宋体" w:hAnsi="宋体" w:eastAsia="宋体" w:cs="宋体"/>
          <w:snapToGrid w:val="0"/>
          <w:color w:val="auto"/>
          <w:spacing w:val="19"/>
          <w:sz w:val="21"/>
          <w:szCs w:val="21"/>
          <w:highlight w:val="none"/>
        </w:rPr>
        <w:t>员</w:t>
      </w:r>
      <w:r>
        <w:rPr>
          <w:rFonts w:hint="eastAsia" w:ascii="宋体" w:hAnsi="宋体" w:eastAsia="宋体" w:cs="宋体"/>
          <w:snapToGrid w:val="0"/>
          <w:color w:val="auto"/>
          <w:spacing w:val="10"/>
          <w:sz w:val="21"/>
          <w:szCs w:val="21"/>
          <w:highlight w:val="none"/>
        </w:rPr>
        <w:t>都应熟悉消防设备的性能和使用方法；乙方不得将任何种类的爆炸物给予、易货或以其他方</w:t>
      </w:r>
      <w:r>
        <w:rPr>
          <w:rFonts w:hint="eastAsia" w:ascii="宋体" w:hAnsi="宋体" w:eastAsia="宋体" w:cs="宋体"/>
          <w:snapToGrid w:val="0"/>
          <w:color w:val="auto"/>
          <w:spacing w:val="9"/>
          <w:sz w:val="21"/>
          <w:szCs w:val="21"/>
          <w:highlight w:val="none"/>
        </w:rPr>
        <w:t>式转让给任何其他人，或允许、容忍上述同样行为</w:t>
      </w:r>
      <w:r>
        <w:rPr>
          <w:rFonts w:hint="eastAsia" w:ascii="宋体" w:hAnsi="宋体" w:eastAsia="宋体" w:cs="宋体"/>
          <w:snapToGrid w:val="0"/>
          <w:color w:val="auto"/>
          <w:spacing w:val="7"/>
          <w:sz w:val="21"/>
          <w:szCs w:val="21"/>
          <w:highlight w:val="none"/>
        </w:rPr>
        <w:t>。</w:t>
      </w:r>
    </w:p>
    <w:p w14:paraId="5BB68143">
      <w:pPr>
        <w:keepNext w:val="0"/>
        <w:keepLines w:val="0"/>
        <w:pageBreakBefore w:val="0"/>
        <w:widowControl/>
        <w:kinsoku w:val="0"/>
        <w:wordWrap/>
        <w:overflowPunct/>
        <w:topLinePunct w:val="0"/>
        <w:autoSpaceDE/>
        <w:autoSpaceDN/>
        <w:bidi w:val="0"/>
        <w:adjustRightInd/>
        <w:snapToGrid w:val="0"/>
        <w:spacing w:line="500" w:lineRule="exact"/>
        <w:ind w:firstLine="492" w:firstLineChars="200"/>
        <w:textAlignment w:val="baseline"/>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pacing w:val="18"/>
          <w:sz w:val="21"/>
          <w:szCs w:val="21"/>
          <w:highlight w:val="none"/>
        </w:rPr>
        <w:t>(7</w:t>
      </w:r>
      <w:r>
        <w:rPr>
          <w:rFonts w:hint="eastAsia" w:ascii="宋体" w:hAnsi="宋体" w:eastAsia="宋体" w:cs="宋体"/>
          <w:snapToGrid w:val="0"/>
          <w:color w:val="auto"/>
          <w:spacing w:val="16"/>
          <w:sz w:val="21"/>
          <w:szCs w:val="21"/>
          <w:highlight w:val="none"/>
        </w:rPr>
        <w:t>)</w:t>
      </w:r>
      <w:r>
        <w:rPr>
          <w:rFonts w:hint="eastAsia" w:ascii="宋体" w:hAnsi="宋体" w:eastAsia="宋体" w:cs="宋体"/>
          <w:snapToGrid w:val="0"/>
          <w:color w:val="auto"/>
          <w:spacing w:val="9"/>
          <w:sz w:val="21"/>
          <w:szCs w:val="21"/>
          <w:highlight w:val="none"/>
        </w:rPr>
        <w:t>操作人员上岗，必须按规定穿戴防护用品。施工负责人和安全检查员应随时检查劳动防</w:t>
      </w:r>
      <w:r>
        <w:rPr>
          <w:rFonts w:hint="eastAsia" w:ascii="宋体" w:hAnsi="宋体" w:eastAsia="宋体" w:cs="宋体"/>
          <w:snapToGrid w:val="0"/>
          <w:color w:val="auto"/>
          <w:spacing w:val="14"/>
          <w:sz w:val="21"/>
          <w:szCs w:val="21"/>
          <w:highlight w:val="none"/>
        </w:rPr>
        <w:t>护</w:t>
      </w:r>
      <w:r>
        <w:rPr>
          <w:rFonts w:hint="eastAsia" w:ascii="宋体" w:hAnsi="宋体" w:eastAsia="宋体" w:cs="宋体"/>
          <w:snapToGrid w:val="0"/>
          <w:color w:val="auto"/>
          <w:spacing w:val="9"/>
          <w:sz w:val="21"/>
          <w:szCs w:val="21"/>
          <w:highlight w:val="none"/>
        </w:rPr>
        <w:t>用品的穿戴情况，不按规定穿戴防护用品的人员不得上岗。</w:t>
      </w:r>
    </w:p>
    <w:p w14:paraId="59C04E0C">
      <w:pPr>
        <w:keepNext w:val="0"/>
        <w:keepLines w:val="0"/>
        <w:pageBreakBefore w:val="0"/>
        <w:widowControl/>
        <w:kinsoku w:val="0"/>
        <w:wordWrap/>
        <w:overflowPunct/>
        <w:topLinePunct w:val="0"/>
        <w:autoSpaceDE/>
        <w:autoSpaceDN/>
        <w:bidi w:val="0"/>
        <w:adjustRightInd/>
        <w:snapToGrid w:val="0"/>
        <w:spacing w:line="500" w:lineRule="exact"/>
        <w:ind w:firstLine="492" w:firstLineChars="200"/>
        <w:textAlignment w:val="baseline"/>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pacing w:val="18"/>
          <w:sz w:val="21"/>
          <w:szCs w:val="21"/>
          <w:highlight w:val="none"/>
        </w:rPr>
        <w:t>(8</w:t>
      </w:r>
      <w:r>
        <w:rPr>
          <w:rFonts w:hint="eastAsia" w:ascii="宋体" w:hAnsi="宋体" w:eastAsia="宋体" w:cs="宋体"/>
          <w:snapToGrid w:val="0"/>
          <w:color w:val="auto"/>
          <w:spacing w:val="16"/>
          <w:sz w:val="21"/>
          <w:szCs w:val="21"/>
          <w:highlight w:val="none"/>
        </w:rPr>
        <w:t>)</w:t>
      </w:r>
      <w:r>
        <w:rPr>
          <w:rFonts w:hint="eastAsia" w:ascii="宋体" w:hAnsi="宋体" w:eastAsia="宋体" w:cs="宋体"/>
          <w:snapToGrid w:val="0"/>
          <w:color w:val="auto"/>
          <w:spacing w:val="9"/>
          <w:sz w:val="21"/>
          <w:szCs w:val="21"/>
          <w:highlight w:val="none"/>
        </w:rPr>
        <w:t>所有施工机具设备和高空作业的设备均应定期检查，并有安全员的签字记录，保证其经</w:t>
      </w:r>
      <w:r>
        <w:rPr>
          <w:rFonts w:hint="eastAsia" w:ascii="宋体" w:hAnsi="宋体" w:eastAsia="宋体" w:cs="宋体"/>
          <w:snapToGrid w:val="0"/>
          <w:color w:val="auto"/>
          <w:sz w:val="21"/>
          <w:szCs w:val="21"/>
          <w:highlight w:val="none"/>
        </w:rPr>
        <w:t xml:space="preserve"> </w:t>
      </w:r>
      <w:r>
        <w:rPr>
          <w:rFonts w:hint="eastAsia" w:ascii="宋体" w:hAnsi="宋体" w:eastAsia="宋体" w:cs="宋体"/>
          <w:snapToGrid w:val="0"/>
          <w:color w:val="auto"/>
          <w:spacing w:val="12"/>
          <w:sz w:val="21"/>
          <w:szCs w:val="21"/>
          <w:highlight w:val="none"/>
        </w:rPr>
        <w:t>常</w:t>
      </w:r>
      <w:r>
        <w:rPr>
          <w:rFonts w:hint="eastAsia" w:ascii="宋体" w:hAnsi="宋体" w:eastAsia="宋体" w:cs="宋体"/>
          <w:snapToGrid w:val="0"/>
          <w:color w:val="auto"/>
          <w:spacing w:val="9"/>
          <w:sz w:val="21"/>
          <w:szCs w:val="21"/>
          <w:highlight w:val="none"/>
        </w:rPr>
        <w:t>处于完好状态；不合格的机具、设备和劳动保护用品严禁使用：</w:t>
      </w:r>
    </w:p>
    <w:p w14:paraId="3B682F7A">
      <w:pPr>
        <w:keepNext w:val="0"/>
        <w:keepLines w:val="0"/>
        <w:pageBreakBefore w:val="0"/>
        <w:widowControl/>
        <w:kinsoku w:val="0"/>
        <w:wordWrap/>
        <w:overflowPunct/>
        <w:topLinePunct w:val="0"/>
        <w:autoSpaceDE/>
        <w:autoSpaceDN/>
        <w:bidi w:val="0"/>
        <w:adjustRightInd/>
        <w:snapToGrid w:val="0"/>
        <w:spacing w:line="500" w:lineRule="exact"/>
        <w:ind w:firstLine="492" w:firstLineChars="200"/>
        <w:textAlignment w:val="baseline"/>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pacing w:val="18"/>
          <w:sz w:val="21"/>
          <w:szCs w:val="21"/>
          <w:highlight w:val="none"/>
        </w:rPr>
        <w:t>(9</w:t>
      </w:r>
      <w:r>
        <w:rPr>
          <w:rFonts w:hint="eastAsia" w:ascii="宋体" w:hAnsi="宋体" w:eastAsia="宋体" w:cs="宋体"/>
          <w:snapToGrid w:val="0"/>
          <w:color w:val="auto"/>
          <w:spacing w:val="16"/>
          <w:sz w:val="21"/>
          <w:szCs w:val="21"/>
          <w:highlight w:val="none"/>
        </w:rPr>
        <w:t>)</w:t>
      </w:r>
      <w:r>
        <w:rPr>
          <w:rFonts w:hint="eastAsia" w:ascii="宋体" w:hAnsi="宋体" w:eastAsia="宋体" w:cs="宋体"/>
          <w:snapToGrid w:val="0"/>
          <w:color w:val="auto"/>
          <w:spacing w:val="9"/>
          <w:sz w:val="21"/>
          <w:szCs w:val="21"/>
          <w:highlight w:val="none"/>
        </w:rPr>
        <w:t>施工中采用新技术、新工艺、新设备、新材料时，必须制定相应的安全技术措施，施工</w:t>
      </w:r>
      <w:r>
        <w:rPr>
          <w:rFonts w:hint="eastAsia" w:ascii="宋体" w:hAnsi="宋体" w:eastAsia="宋体" w:cs="宋体"/>
          <w:snapToGrid w:val="0"/>
          <w:color w:val="auto"/>
          <w:spacing w:val="15"/>
          <w:sz w:val="21"/>
          <w:szCs w:val="21"/>
          <w:highlight w:val="none"/>
        </w:rPr>
        <w:t>现</w:t>
      </w:r>
      <w:r>
        <w:rPr>
          <w:rFonts w:hint="eastAsia" w:ascii="宋体" w:hAnsi="宋体" w:eastAsia="宋体" w:cs="宋体"/>
          <w:snapToGrid w:val="0"/>
          <w:color w:val="auto"/>
          <w:spacing w:val="8"/>
          <w:sz w:val="21"/>
          <w:szCs w:val="21"/>
          <w:highlight w:val="none"/>
        </w:rPr>
        <w:t>场必须具有相关的安全标志牌。</w:t>
      </w:r>
    </w:p>
    <w:p w14:paraId="7E1D0D51">
      <w:pPr>
        <w:keepNext w:val="0"/>
        <w:keepLines w:val="0"/>
        <w:pageBreakBefore w:val="0"/>
        <w:widowControl/>
        <w:kinsoku w:val="0"/>
        <w:wordWrap/>
        <w:overflowPunct/>
        <w:topLinePunct w:val="0"/>
        <w:autoSpaceDE/>
        <w:autoSpaceDN/>
        <w:bidi w:val="0"/>
        <w:adjustRightInd/>
        <w:snapToGrid w:val="0"/>
        <w:spacing w:line="500" w:lineRule="exact"/>
        <w:ind w:firstLine="468" w:firstLineChars="200"/>
        <w:textAlignment w:val="baseline"/>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pacing w:val="12"/>
          <w:sz w:val="21"/>
          <w:szCs w:val="21"/>
          <w:highlight w:val="none"/>
        </w:rPr>
        <w:t>(10)乙方必须按照本工程项目特点，组织制定本工程实施中的生产安全事故应急救援</w:t>
      </w:r>
      <w:r>
        <w:rPr>
          <w:rFonts w:hint="eastAsia" w:ascii="宋体" w:hAnsi="宋体" w:eastAsia="宋体" w:cs="宋体"/>
          <w:snapToGrid w:val="0"/>
          <w:color w:val="auto"/>
          <w:spacing w:val="11"/>
          <w:sz w:val="21"/>
          <w:szCs w:val="21"/>
          <w:highlight w:val="none"/>
        </w:rPr>
        <w:t>预</w:t>
      </w:r>
      <w:r>
        <w:rPr>
          <w:rFonts w:hint="eastAsia" w:ascii="宋体" w:hAnsi="宋体" w:eastAsia="宋体" w:cs="宋体"/>
          <w:snapToGrid w:val="0"/>
          <w:color w:val="auto"/>
          <w:spacing w:val="14"/>
          <w:sz w:val="21"/>
          <w:szCs w:val="21"/>
          <w:highlight w:val="none"/>
        </w:rPr>
        <w:t>案；如果</w:t>
      </w:r>
      <w:r>
        <w:rPr>
          <w:rFonts w:hint="eastAsia" w:ascii="宋体" w:hAnsi="宋体" w:eastAsia="宋体" w:cs="宋体"/>
          <w:snapToGrid w:val="0"/>
          <w:color w:val="auto"/>
          <w:spacing w:val="10"/>
          <w:sz w:val="21"/>
          <w:szCs w:val="21"/>
          <w:highlight w:val="none"/>
        </w:rPr>
        <w:t>发</w:t>
      </w:r>
      <w:r>
        <w:rPr>
          <w:rFonts w:hint="eastAsia" w:ascii="宋体" w:hAnsi="宋体" w:eastAsia="宋体" w:cs="宋体"/>
          <w:snapToGrid w:val="0"/>
          <w:color w:val="auto"/>
          <w:spacing w:val="7"/>
          <w:sz w:val="21"/>
          <w:szCs w:val="21"/>
          <w:highlight w:val="none"/>
        </w:rPr>
        <w:t>生安全事故，应按照《国务院关于特大安全事故行政责任追究的规定》以及其他有关</w:t>
      </w:r>
      <w:r>
        <w:rPr>
          <w:rFonts w:hint="eastAsia" w:ascii="宋体" w:hAnsi="宋体" w:eastAsia="宋体" w:cs="宋体"/>
          <w:snapToGrid w:val="0"/>
          <w:color w:val="auto"/>
          <w:spacing w:val="18"/>
          <w:sz w:val="21"/>
          <w:szCs w:val="21"/>
          <w:highlight w:val="none"/>
        </w:rPr>
        <w:t>规</w:t>
      </w:r>
      <w:r>
        <w:rPr>
          <w:rFonts w:hint="eastAsia" w:ascii="宋体" w:hAnsi="宋体" w:eastAsia="宋体" w:cs="宋体"/>
          <w:snapToGrid w:val="0"/>
          <w:color w:val="auto"/>
          <w:spacing w:val="13"/>
          <w:sz w:val="21"/>
          <w:szCs w:val="21"/>
          <w:highlight w:val="none"/>
        </w:rPr>
        <w:t>定</w:t>
      </w:r>
      <w:r>
        <w:rPr>
          <w:rFonts w:hint="eastAsia" w:ascii="宋体" w:hAnsi="宋体" w:eastAsia="宋体" w:cs="宋体"/>
          <w:snapToGrid w:val="0"/>
          <w:color w:val="auto"/>
          <w:spacing w:val="9"/>
          <w:sz w:val="21"/>
          <w:szCs w:val="21"/>
          <w:highlight w:val="none"/>
        </w:rPr>
        <w:t>，及时上报有关部门，并坚持“四不放过”的原则．严肃处理相关责任人。</w:t>
      </w:r>
    </w:p>
    <w:p w14:paraId="72EE8BE2">
      <w:pPr>
        <w:keepNext w:val="0"/>
        <w:keepLines w:val="0"/>
        <w:pageBreakBefore w:val="0"/>
        <w:widowControl/>
        <w:kinsoku w:val="0"/>
        <w:wordWrap/>
        <w:overflowPunct/>
        <w:topLinePunct w:val="0"/>
        <w:autoSpaceDE/>
        <w:autoSpaceDN/>
        <w:bidi w:val="0"/>
        <w:adjustRightInd/>
        <w:snapToGrid w:val="0"/>
        <w:spacing w:line="500" w:lineRule="exact"/>
        <w:ind w:firstLine="496" w:firstLineChars="200"/>
        <w:textAlignment w:val="baseline"/>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pacing w:val="19"/>
          <w:sz w:val="21"/>
          <w:szCs w:val="21"/>
          <w:highlight w:val="none"/>
        </w:rPr>
        <w:t>(</w:t>
      </w:r>
      <w:r>
        <w:rPr>
          <w:rFonts w:hint="eastAsia" w:ascii="宋体" w:hAnsi="宋体" w:eastAsia="宋体" w:cs="宋体"/>
          <w:snapToGrid w:val="0"/>
          <w:color w:val="auto"/>
          <w:spacing w:val="11"/>
          <w:sz w:val="21"/>
          <w:szCs w:val="21"/>
          <w:highlight w:val="none"/>
        </w:rPr>
        <w:t>11)安全生产费用按照《公路水运工程安全生产监督管理办法》的相关规定使用和管理。</w:t>
      </w:r>
    </w:p>
    <w:p w14:paraId="0D174B74">
      <w:pPr>
        <w:keepNext w:val="0"/>
        <w:keepLines w:val="0"/>
        <w:pageBreakBefore w:val="0"/>
        <w:widowControl/>
        <w:kinsoku w:val="0"/>
        <w:wordWrap/>
        <w:overflowPunct/>
        <w:topLinePunct w:val="0"/>
        <w:autoSpaceDE/>
        <w:autoSpaceDN/>
        <w:bidi w:val="0"/>
        <w:adjustRightInd/>
        <w:snapToGrid w:val="0"/>
        <w:spacing w:line="500" w:lineRule="exact"/>
        <w:ind w:firstLine="468" w:firstLineChars="200"/>
        <w:textAlignment w:val="baseline"/>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pacing w:val="12"/>
          <w:sz w:val="21"/>
          <w:szCs w:val="21"/>
          <w:highlight w:val="none"/>
        </w:rPr>
        <w:t>(12)生产、经营、储存、使用危险物品的车间、商店、仓库不得与员工宿舍在同一座建</w:t>
      </w:r>
      <w:r>
        <w:rPr>
          <w:rFonts w:hint="eastAsia" w:ascii="宋体" w:hAnsi="宋体" w:eastAsia="宋体" w:cs="宋体"/>
          <w:snapToGrid w:val="0"/>
          <w:color w:val="auto"/>
          <w:spacing w:val="11"/>
          <w:sz w:val="21"/>
          <w:szCs w:val="21"/>
          <w:highlight w:val="none"/>
        </w:rPr>
        <w:t>筑</w:t>
      </w:r>
      <w:r>
        <w:rPr>
          <w:rFonts w:hint="eastAsia" w:ascii="宋体" w:hAnsi="宋体" w:eastAsia="宋体" w:cs="宋体"/>
          <w:snapToGrid w:val="0"/>
          <w:color w:val="auto"/>
          <w:spacing w:val="9"/>
          <w:sz w:val="21"/>
          <w:szCs w:val="21"/>
          <w:highlight w:val="none"/>
        </w:rPr>
        <w:t>物内，并应当与员工宿舍保持安全距离</w:t>
      </w:r>
      <w:r>
        <w:rPr>
          <w:rFonts w:hint="eastAsia" w:ascii="宋体" w:hAnsi="宋体" w:eastAsia="宋体" w:cs="宋体"/>
          <w:snapToGrid w:val="0"/>
          <w:color w:val="auto"/>
          <w:spacing w:val="7"/>
          <w:sz w:val="21"/>
          <w:szCs w:val="21"/>
          <w:highlight w:val="none"/>
        </w:rPr>
        <w:t>。</w:t>
      </w:r>
    </w:p>
    <w:p w14:paraId="06D8C6C5">
      <w:pPr>
        <w:keepNext w:val="0"/>
        <w:keepLines w:val="0"/>
        <w:pageBreakBefore w:val="0"/>
        <w:widowControl/>
        <w:kinsoku w:val="0"/>
        <w:wordWrap/>
        <w:overflowPunct/>
        <w:topLinePunct w:val="0"/>
        <w:autoSpaceDE/>
        <w:autoSpaceDN/>
        <w:bidi w:val="0"/>
        <w:adjustRightInd/>
        <w:snapToGrid w:val="0"/>
        <w:spacing w:line="500" w:lineRule="exact"/>
        <w:ind w:firstLine="492" w:firstLineChars="200"/>
        <w:textAlignment w:val="baseline"/>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pacing w:val="18"/>
          <w:sz w:val="21"/>
          <w:szCs w:val="21"/>
          <w:highlight w:val="none"/>
        </w:rPr>
        <w:t>(</w:t>
      </w:r>
      <w:r>
        <w:rPr>
          <w:rFonts w:hint="eastAsia" w:ascii="宋体" w:hAnsi="宋体" w:eastAsia="宋体" w:cs="宋体"/>
          <w:snapToGrid w:val="0"/>
          <w:color w:val="auto"/>
          <w:spacing w:val="16"/>
          <w:sz w:val="21"/>
          <w:szCs w:val="21"/>
          <w:highlight w:val="none"/>
        </w:rPr>
        <w:t>1</w:t>
      </w:r>
      <w:r>
        <w:rPr>
          <w:rFonts w:hint="eastAsia" w:ascii="宋体" w:hAnsi="宋体" w:eastAsia="宋体" w:cs="宋体"/>
          <w:snapToGrid w:val="0"/>
          <w:color w:val="auto"/>
          <w:spacing w:val="9"/>
          <w:sz w:val="21"/>
          <w:szCs w:val="21"/>
          <w:highlight w:val="none"/>
        </w:rPr>
        <w:t>3)乙方进行爆破、吊装、动火、临时用电以及国务院应急管理部门会同国务院有关部</w:t>
      </w:r>
      <w:r>
        <w:rPr>
          <w:rFonts w:hint="eastAsia" w:ascii="宋体" w:hAnsi="宋体" w:eastAsia="宋体" w:cs="宋体"/>
          <w:snapToGrid w:val="0"/>
          <w:color w:val="auto"/>
          <w:spacing w:val="10"/>
          <w:sz w:val="21"/>
          <w:szCs w:val="21"/>
          <w:highlight w:val="none"/>
        </w:rPr>
        <w:t>门规定的其他危险作业，应当安排专门人员进行现场安全管理，确保操作规程的遵守和安全措</w:t>
      </w:r>
      <w:r>
        <w:rPr>
          <w:rFonts w:hint="eastAsia" w:ascii="宋体" w:hAnsi="宋体" w:eastAsia="宋体" w:cs="宋体"/>
          <w:snapToGrid w:val="0"/>
          <w:color w:val="auto"/>
          <w:spacing w:val="6"/>
          <w:sz w:val="21"/>
          <w:szCs w:val="21"/>
          <w:highlight w:val="none"/>
        </w:rPr>
        <w:t>施</w:t>
      </w:r>
      <w:r>
        <w:rPr>
          <w:rFonts w:hint="eastAsia" w:ascii="宋体" w:hAnsi="宋体" w:eastAsia="宋体" w:cs="宋体"/>
          <w:snapToGrid w:val="0"/>
          <w:color w:val="auto"/>
          <w:spacing w:val="1"/>
          <w:sz w:val="21"/>
          <w:szCs w:val="21"/>
          <w:highlight w:val="none"/>
        </w:rPr>
        <w:t>的落实</w:t>
      </w:r>
      <w:r>
        <w:rPr>
          <w:rFonts w:hint="eastAsia" w:ascii="宋体" w:hAnsi="宋体" w:eastAsia="宋体" w:cs="宋体"/>
          <w:snapToGrid w:val="0"/>
          <w:color w:val="auto"/>
          <w:sz w:val="21"/>
          <w:szCs w:val="21"/>
          <w:highlight w:val="none"/>
        </w:rPr>
        <w:t>。</w:t>
      </w:r>
    </w:p>
    <w:p w14:paraId="61AFEF37">
      <w:pPr>
        <w:keepNext w:val="0"/>
        <w:keepLines w:val="0"/>
        <w:pageBreakBefore w:val="0"/>
        <w:widowControl/>
        <w:kinsoku w:val="0"/>
        <w:wordWrap/>
        <w:overflowPunct/>
        <w:topLinePunct w:val="0"/>
        <w:autoSpaceDE/>
        <w:autoSpaceDN/>
        <w:bidi w:val="0"/>
        <w:adjustRightInd/>
        <w:snapToGrid w:val="0"/>
        <w:spacing w:line="500" w:lineRule="exact"/>
        <w:ind w:firstLine="464" w:firstLineChars="200"/>
        <w:textAlignment w:val="baseline"/>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pacing w:val="11"/>
          <w:sz w:val="21"/>
          <w:szCs w:val="21"/>
          <w:highlight w:val="none"/>
        </w:rPr>
        <w:t>(14)乙方应当教育和督促从业人员严格执行本单位的安全生产规章制度和安全操作规程</w:t>
      </w:r>
      <w:r>
        <w:rPr>
          <w:rFonts w:hint="eastAsia" w:ascii="宋体" w:hAnsi="宋体" w:eastAsia="宋体" w:cs="宋体"/>
          <w:snapToGrid w:val="0"/>
          <w:color w:val="auto"/>
          <w:spacing w:val="5"/>
          <w:sz w:val="21"/>
          <w:szCs w:val="21"/>
          <w:highlight w:val="none"/>
        </w:rPr>
        <w:t>；</w:t>
      </w:r>
      <w:r>
        <w:rPr>
          <w:rFonts w:hint="eastAsia" w:ascii="宋体" w:hAnsi="宋体" w:eastAsia="宋体" w:cs="宋体"/>
          <w:snapToGrid w:val="0"/>
          <w:color w:val="auto"/>
          <w:spacing w:val="18"/>
          <w:sz w:val="21"/>
          <w:szCs w:val="21"/>
          <w:highlight w:val="none"/>
        </w:rPr>
        <w:t>并</w:t>
      </w:r>
      <w:r>
        <w:rPr>
          <w:rFonts w:hint="eastAsia" w:ascii="宋体" w:hAnsi="宋体" w:eastAsia="宋体" w:cs="宋体"/>
          <w:snapToGrid w:val="0"/>
          <w:color w:val="auto"/>
          <w:spacing w:val="15"/>
          <w:sz w:val="21"/>
          <w:szCs w:val="21"/>
          <w:highlight w:val="none"/>
        </w:rPr>
        <w:t>向</w:t>
      </w:r>
      <w:r>
        <w:rPr>
          <w:rFonts w:hint="eastAsia" w:ascii="宋体" w:hAnsi="宋体" w:eastAsia="宋体" w:cs="宋体"/>
          <w:snapToGrid w:val="0"/>
          <w:color w:val="auto"/>
          <w:spacing w:val="9"/>
          <w:sz w:val="21"/>
          <w:szCs w:val="21"/>
          <w:highlight w:val="none"/>
        </w:rPr>
        <w:t>从业人员如实告知作业场所和工作岗位存在的危险因素、防范措施以及事故应急措施。</w:t>
      </w:r>
    </w:p>
    <w:p w14:paraId="6CC349A7">
      <w:pPr>
        <w:keepNext w:val="0"/>
        <w:keepLines w:val="0"/>
        <w:pageBreakBefore w:val="0"/>
        <w:widowControl/>
        <w:kinsoku w:val="0"/>
        <w:wordWrap/>
        <w:overflowPunct/>
        <w:topLinePunct w:val="0"/>
        <w:autoSpaceDE/>
        <w:autoSpaceDN/>
        <w:bidi w:val="0"/>
        <w:adjustRightInd/>
        <w:snapToGrid w:val="0"/>
        <w:spacing w:line="500" w:lineRule="exact"/>
        <w:ind w:firstLine="484" w:firstLineChars="200"/>
        <w:textAlignment w:val="baseline"/>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pacing w:val="16"/>
          <w:sz w:val="21"/>
          <w:szCs w:val="21"/>
          <w:highlight w:val="none"/>
        </w:rPr>
        <w:t>(15</w:t>
      </w:r>
      <w:r>
        <w:rPr>
          <w:rFonts w:hint="eastAsia" w:ascii="宋体" w:hAnsi="宋体" w:eastAsia="宋体" w:cs="宋体"/>
          <w:snapToGrid w:val="0"/>
          <w:color w:val="auto"/>
          <w:spacing w:val="14"/>
          <w:sz w:val="21"/>
          <w:szCs w:val="21"/>
          <w:highlight w:val="none"/>
        </w:rPr>
        <w:t>)</w:t>
      </w:r>
      <w:r>
        <w:rPr>
          <w:rFonts w:hint="eastAsia" w:ascii="宋体" w:hAnsi="宋体" w:eastAsia="宋体" w:cs="宋体"/>
          <w:snapToGrid w:val="0"/>
          <w:color w:val="auto"/>
          <w:spacing w:val="8"/>
          <w:sz w:val="21"/>
          <w:szCs w:val="21"/>
          <w:highlight w:val="none"/>
        </w:rPr>
        <w:t>乙方应当关注从业人员的身体、心理状况和行为习惯，加强对从业人员的心理疏导、</w:t>
      </w:r>
      <w:r>
        <w:rPr>
          <w:rFonts w:hint="eastAsia" w:ascii="宋体" w:hAnsi="宋体" w:eastAsia="宋体" w:cs="宋体"/>
          <w:snapToGrid w:val="0"/>
          <w:color w:val="auto"/>
          <w:spacing w:val="18"/>
          <w:sz w:val="21"/>
          <w:szCs w:val="21"/>
          <w:highlight w:val="none"/>
        </w:rPr>
        <w:t>精</w:t>
      </w:r>
      <w:r>
        <w:rPr>
          <w:rFonts w:hint="eastAsia" w:ascii="宋体" w:hAnsi="宋体" w:eastAsia="宋体" w:cs="宋体"/>
          <w:snapToGrid w:val="0"/>
          <w:color w:val="auto"/>
          <w:spacing w:val="14"/>
          <w:sz w:val="21"/>
          <w:szCs w:val="21"/>
          <w:highlight w:val="none"/>
        </w:rPr>
        <w:t>神</w:t>
      </w:r>
      <w:r>
        <w:rPr>
          <w:rFonts w:hint="eastAsia" w:ascii="宋体" w:hAnsi="宋体" w:eastAsia="宋体" w:cs="宋体"/>
          <w:snapToGrid w:val="0"/>
          <w:color w:val="auto"/>
          <w:spacing w:val="9"/>
          <w:sz w:val="21"/>
          <w:szCs w:val="21"/>
          <w:highlight w:val="none"/>
        </w:rPr>
        <w:t>慰藉，严格落实岗位安全生产责任，防范从业人员行为异常导致事故发生。</w:t>
      </w:r>
    </w:p>
    <w:p w14:paraId="4AB5CF5C">
      <w:pPr>
        <w:keepNext w:val="0"/>
        <w:keepLines w:val="0"/>
        <w:pageBreakBefore w:val="0"/>
        <w:widowControl/>
        <w:kinsoku w:val="0"/>
        <w:wordWrap/>
        <w:overflowPunct/>
        <w:topLinePunct w:val="0"/>
        <w:autoSpaceDE/>
        <w:autoSpaceDN/>
        <w:bidi w:val="0"/>
        <w:adjustRightInd/>
        <w:snapToGrid w:val="0"/>
        <w:spacing w:line="500" w:lineRule="exact"/>
        <w:ind w:firstLine="456" w:firstLineChars="200"/>
        <w:textAlignment w:val="baseline"/>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pacing w:val="9"/>
          <w:position w:val="1"/>
          <w:sz w:val="21"/>
          <w:szCs w:val="21"/>
          <w:highlight w:val="none"/>
        </w:rPr>
        <w:t>3</w:t>
      </w:r>
      <w:r>
        <w:rPr>
          <w:rFonts w:hint="eastAsia" w:ascii="宋体" w:hAnsi="宋体" w:eastAsia="宋体" w:cs="宋体"/>
          <w:snapToGrid w:val="0"/>
          <w:color w:val="auto"/>
          <w:spacing w:val="5"/>
          <w:position w:val="1"/>
          <w:sz w:val="21"/>
          <w:szCs w:val="21"/>
          <w:highlight w:val="none"/>
        </w:rPr>
        <w:t>.违约责任</w:t>
      </w:r>
    </w:p>
    <w:p w14:paraId="2F978B76">
      <w:pPr>
        <w:keepNext w:val="0"/>
        <w:keepLines w:val="0"/>
        <w:pageBreakBefore w:val="0"/>
        <w:widowControl/>
        <w:kinsoku w:val="0"/>
        <w:wordWrap/>
        <w:overflowPunct/>
        <w:topLinePunct w:val="0"/>
        <w:autoSpaceDE/>
        <w:autoSpaceDN/>
        <w:bidi w:val="0"/>
        <w:adjustRightInd/>
        <w:snapToGrid w:val="0"/>
        <w:spacing w:line="500" w:lineRule="exact"/>
        <w:ind w:firstLine="468" w:firstLineChars="200"/>
        <w:textAlignment w:val="baseline"/>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pacing w:val="12"/>
          <w:sz w:val="21"/>
          <w:szCs w:val="21"/>
          <w:highlight w:val="none"/>
        </w:rPr>
        <w:t>如</w:t>
      </w:r>
      <w:r>
        <w:rPr>
          <w:rFonts w:hint="eastAsia" w:ascii="宋体" w:hAnsi="宋体" w:eastAsia="宋体" w:cs="宋体"/>
          <w:snapToGrid w:val="0"/>
          <w:color w:val="auto"/>
          <w:spacing w:val="9"/>
          <w:sz w:val="21"/>
          <w:szCs w:val="21"/>
          <w:highlight w:val="none"/>
        </w:rPr>
        <w:t>因甲方或乙方违约造成安全事故，将依法追究责任。</w:t>
      </w:r>
    </w:p>
    <w:p w14:paraId="0963E9E3">
      <w:pPr>
        <w:keepNext w:val="0"/>
        <w:keepLines w:val="0"/>
        <w:pageBreakBefore w:val="0"/>
        <w:widowControl/>
        <w:kinsoku w:val="0"/>
        <w:wordWrap/>
        <w:overflowPunct/>
        <w:topLinePunct w:val="0"/>
        <w:autoSpaceDE/>
        <w:autoSpaceDN/>
        <w:bidi w:val="0"/>
        <w:adjustRightInd/>
        <w:snapToGrid w:val="0"/>
        <w:spacing w:line="500" w:lineRule="exact"/>
        <w:ind w:firstLine="476" w:firstLineChars="200"/>
        <w:textAlignment w:val="baseline"/>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pacing w:val="14"/>
          <w:sz w:val="21"/>
          <w:szCs w:val="21"/>
          <w:highlight w:val="none"/>
        </w:rPr>
        <w:t>4</w:t>
      </w:r>
      <w:r>
        <w:rPr>
          <w:rFonts w:hint="eastAsia" w:ascii="宋体" w:hAnsi="宋体" w:eastAsia="宋体" w:cs="宋体"/>
          <w:snapToGrid w:val="0"/>
          <w:color w:val="auto"/>
          <w:spacing w:val="10"/>
          <w:sz w:val="21"/>
          <w:szCs w:val="21"/>
          <w:highlight w:val="none"/>
        </w:rPr>
        <w:t>.本合同由双方法定代表人或委托代理人签署并加盖单位公章后生效，全部工程竣工验</w:t>
      </w:r>
      <w:r>
        <w:rPr>
          <w:rFonts w:hint="eastAsia" w:ascii="宋体" w:hAnsi="宋体" w:eastAsia="宋体" w:cs="宋体"/>
          <w:snapToGrid w:val="0"/>
          <w:color w:val="auto"/>
          <w:spacing w:val="6"/>
          <w:sz w:val="21"/>
          <w:szCs w:val="21"/>
          <w:highlight w:val="none"/>
        </w:rPr>
        <w:t>收</w:t>
      </w:r>
      <w:r>
        <w:rPr>
          <w:rFonts w:hint="eastAsia" w:ascii="宋体" w:hAnsi="宋体" w:eastAsia="宋体" w:cs="宋体"/>
          <w:snapToGrid w:val="0"/>
          <w:color w:val="auto"/>
          <w:spacing w:val="4"/>
          <w:sz w:val="21"/>
          <w:szCs w:val="21"/>
          <w:highlight w:val="none"/>
        </w:rPr>
        <w:t>后终止。</w:t>
      </w:r>
    </w:p>
    <w:p w14:paraId="6B725B58">
      <w:pPr>
        <w:pStyle w:val="13"/>
        <w:keepNext w:val="0"/>
        <w:keepLines w:val="0"/>
        <w:pageBreakBefore w:val="0"/>
        <w:wordWrap/>
        <w:overflowPunct/>
        <w:topLinePunct w:val="0"/>
        <w:autoSpaceDE/>
        <w:autoSpaceDN/>
        <w:bidi w:val="0"/>
        <w:adjustRightInd/>
        <w:spacing w:line="500" w:lineRule="exact"/>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pacing w:val="-8"/>
          <w:sz w:val="21"/>
          <w:szCs w:val="21"/>
          <w:highlight w:val="none"/>
        </w:rPr>
        <w:t>5.</w:t>
      </w:r>
      <w:r>
        <w:rPr>
          <w:rFonts w:hint="eastAsia" w:ascii="宋体" w:hAnsi="宋体" w:eastAsia="宋体" w:cs="宋体"/>
          <w:color w:val="auto"/>
          <w:sz w:val="21"/>
          <w:szCs w:val="21"/>
          <w:highlight w:val="none"/>
        </w:rPr>
        <w:t>本合同书一式</w:t>
      </w:r>
      <w:r>
        <w:rPr>
          <w:rFonts w:hint="eastAsia" w:ascii="宋体" w:hAnsi="宋体" w:eastAsia="宋体" w:cs="宋体"/>
          <w:snapToGrid w:val="0"/>
          <w:color w:val="auto"/>
          <w:spacing w:val="-1"/>
          <w:sz w:val="21"/>
          <w:szCs w:val="21"/>
          <w:highlight w:val="none"/>
        </w:rPr>
        <w:t>陆</w:t>
      </w:r>
      <w:r>
        <w:rPr>
          <w:rFonts w:hint="eastAsia" w:ascii="宋体" w:hAnsi="宋体" w:eastAsia="宋体" w:cs="宋体"/>
          <w:color w:val="auto"/>
          <w:sz w:val="21"/>
          <w:szCs w:val="21"/>
          <w:highlight w:val="none"/>
        </w:rPr>
        <w:t>份，具有同等法律效力，甲方执</w:t>
      </w:r>
      <w:r>
        <w:rPr>
          <w:rFonts w:hint="eastAsia" w:ascii="宋体" w:hAnsi="宋体" w:eastAsia="宋体" w:cs="宋体"/>
          <w:snapToGrid w:val="0"/>
          <w:color w:val="auto"/>
          <w:spacing w:val="18"/>
          <w:sz w:val="21"/>
          <w:szCs w:val="21"/>
          <w:highlight w:val="none"/>
        </w:rPr>
        <w:t>肆</w:t>
      </w:r>
      <w:r>
        <w:rPr>
          <w:rFonts w:hint="eastAsia" w:ascii="宋体" w:hAnsi="宋体" w:eastAsia="宋体" w:cs="宋体"/>
          <w:color w:val="auto"/>
          <w:sz w:val="21"/>
          <w:szCs w:val="21"/>
          <w:highlight w:val="none"/>
        </w:rPr>
        <w:t>份，乙方执</w:t>
      </w:r>
      <w:r>
        <w:rPr>
          <w:rFonts w:hint="eastAsia" w:ascii="宋体" w:hAnsi="宋体" w:eastAsia="宋体" w:cs="宋体"/>
          <w:snapToGrid w:val="0"/>
          <w:color w:val="auto"/>
          <w:spacing w:val="18"/>
          <w:sz w:val="21"/>
          <w:szCs w:val="21"/>
          <w:highlight w:val="none"/>
        </w:rPr>
        <w:t>两</w:t>
      </w:r>
      <w:r>
        <w:rPr>
          <w:rFonts w:hint="eastAsia" w:ascii="宋体" w:hAnsi="宋体" w:eastAsia="宋体" w:cs="宋体"/>
          <w:color w:val="auto"/>
          <w:sz w:val="21"/>
          <w:szCs w:val="21"/>
          <w:highlight w:val="none"/>
        </w:rPr>
        <w:t>份。</w:t>
      </w:r>
    </w:p>
    <w:p w14:paraId="6CDDE003">
      <w:pPr>
        <w:keepNext w:val="0"/>
        <w:keepLines w:val="0"/>
        <w:pageBreakBefore w:val="0"/>
        <w:wordWrap/>
        <w:overflowPunct/>
        <w:topLinePunct w:val="0"/>
        <w:autoSpaceDE/>
        <w:autoSpaceDN/>
        <w:bidi w:val="0"/>
        <w:adjustRightInd/>
        <w:spacing w:line="500" w:lineRule="exact"/>
        <w:rPr>
          <w:rFonts w:hint="eastAsia" w:ascii="宋体" w:hAnsi="宋体" w:eastAsia="宋体" w:cs="宋体"/>
          <w:b/>
          <w:bCs/>
          <w:snapToGrid w:val="0"/>
          <w:color w:val="auto"/>
          <w:spacing w:val="-2"/>
          <w:position w:val="1"/>
          <w:sz w:val="21"/>
          <w:szCs w:val="21"/>
          <w:highlight w:val="none"/>
          <w:u w:val="single"/>
          <w:lang w:val="en-US" w:eastAsia="zh-CN"/>
        </w:rPr>
      </w:pPr>
      <w:r>
        <w:rPr>
          <w:rFonts w:hint="eastAsia" w:ascii="宋体" w:hAnsi="宋体" w:eastAsia="宋体" w:cs="宋体"/>
          <w:snapToGrid w:val="0"/>
          <w:color w:val="auto"/>
          <w:sz w:val="21"/>
          <w:szCs w:val="21"/>
          <w:highlight w:val="none"/>
        </w:rPr>
        <w:t>甲方</w:t>
      </w:r>
      <w:r>
        <w:rPr>
          <w:rFonts w:hint="eastAsia" w:ascii="宋体" w:hAnsi="宋体" w:eastAsia="宋体" w:cs="宋体"/>
          <w:snapToGrid w:val="0"/>
          <w:color w:val="auto"/>
          <w:sz w:val="21"/>
          <w:szCs w:val="21"/>
          <w:highlight w:val="none"/>
          <w:lang w:eastAsia="zh-CN"/>
        </w:rPr>
        <w:t>：</w:t>
      </w:r>
      <w:r>
        <w:rPr>
          <w:rFonts w:hint="eastAsia" w:ascii="宋体" w:hAnsi="宋体" w:eastAsia="宋体" w:cs="宋体"/>
          <w:b/>
          <w:bCs/>
          <w:snapToGrid w:val="0"/>
          <w:color w:val="auto"/>
          <w:spacing w:val="-2"/>
          <w:position w:val="1"/>
          <w:sz w:val="21"/>
          <w:szCs w:val="21"/>
          <w:highlight w:val="none"/>
          <w:u w:val="single"/>
        </w:rPr>
        <w:t>广西壮族自治区玉林公路发展中心</w:t>
      </w:r>
      <w:r>
        <w:rPr>
          <w:rFonts w:hint="eastAsia" w:ascii="宋体" w:hAnsi="宋体" w:eastAsia="宋体" w:cs="宋体"/>
          <w:b/>
          <w:bCs/>
          <w:snapToGrid w:val="0"/>
          <w:color w:val="auto"/>
          <w:spacing w:val="-2"/>
          <w:position w:val="1"/>
          <w:sz w:val="21"/>
          <w:szCs w:val="21"/>
          <w:highlight w:val="none"/>
          <w:u w:val="single"/>
          <w:lang w:val="en-US" w:eastAsia="zh-CN"/>
        </w:rPr>
        <w:t xml:space="preserve">      </w:t>
      </w:r>
      <w:r>
        <w:rPr>
          <w:rFonts w:hint="eastAsia" w:ascii="宋体" w:hAnsi="宋体" w:eastAsia="宋体" w:cs="宋体"/>
          <w:snapToGrid w:val="0"/>
          <w:color w:val="auto"/>
          <w:sz w:val="21"/>
          <w:szCs w:val="21"/>
          <w:highlight w:val="none"/>
        </w:rPr>
        <w:t>乙方名称：</w:t>
      </w:r>
      <w:r>
        <w:rPr>
          <w:rFonts w:hint="eastAsia" w:ascii="宋体" w:hAnsi="宋体" w:eastAsia="宋体" w:cs="宋体"/>
          <w:snapToGrid w:val="0"/>
          <w:color w:val="auto"/>
          <w:sz w:val="21"/>
          <w:szCs w:val="21"/>
          <w:highlight w:val="none"/>
          <w:u w:val="single"/>
          <w:lang w:val="en-US" w:eastAsia="zh-CN"/>
        </w:rPr>
        <w:t xml:space="preserve">                   </w:t>
      </w:r>
    </w:p>
    <w:p w14:paraId="7119A35A">
      <w:pPr>
        <w:keepNext w:val="0"/>
        <w:keepLines w:val="0"/>
        <w:pageBreakBefore w:val="0"/>
        <w:wordWrap/>
        <w:overflowPunct/>
        <w:topLinePunct w:val="0"/>
        <w:autoSpaceDE/>
        <w:autoSpaceDN/>
        <w:bidi w:val="0"/>
        <w:adjustRightInd/>
        <w:spacing w:line="500" w:lineRule="exact"/>
        <w:ind w:firstLine="420" w:firstLineChars="200"/>
        <w:rPr>
          <w:rFonts w:hint="eastAsia" w:ascii="宋体" w:hAnsi="宋体" w:eastAsia="宋体" w:cs="宋体"/>
          <w:b/>
          <w:bCs/>
          <w:snapToGrid w:val="0"/>
          <w:color w:val="auto"/>
          <w:spacing w:val="-2"/>
          <w:position w:val="1"/>
          <w:sz w:val="21"/>
          <w:szCs w:val="21"/>
          <w:highlight w:val="none"/>
          <w:u w:val="single"/>
        </w:rPr>
      </w:pPr>
      <w:r>
        <w:rPr>
          <w:rFonts w:hint="eastAsia" w:ascii="宋体" w:hAnsi="宋体" w:eastAsia="宋体" w:cs="宋体"/>
          <w:snapToGrid w:val="0"/>
          <w:color w:val="auto"/>
          <w:sz w:val="21"/>
          <w:szCs w:val="21"/>
          <w:highlight w:val="none"/>
        </w:rPr>
        <w:t xml:space="preserve">                         </w:t>
      </w:r>
    </w:p>
    <w:p w14:paraId="142EB772">
      <w:pPr>
        <w:keepNext w:val="0"/>
        <w:keepLines w:val="0"/>
        <w:pageBreakBefore w:val="0"/>
        <w:wordWrap/>
        <w:overflowPunct/>
        <w:topLinePunct w:val="0"/>
        <w:autoSpaceDE/>
        <w:autoSpaceDN/>
        <w:bidi w:val="0"/>
        <w:adjustRightInd/>
        <w:spacing w:line="500" w:lineRule="exact"/>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（盖章）　　　　　　　　　　</w:t>
      </w:r>
      <w:r>
        <w:rPr>
          <w:rFonts w:hint="eastAsia" w:ascii="宋体" w:hAnsi="宋体" w:eastAsia="宋体" w:cs="宋体"/>
          <w:snapToGrid w:val="0"/>
          <w:color w:val="auto"/>
          <w:sz w:val="21"/>
          <w:szCs w:val="21"/>
          <w:highlight w:val="none"/>
          <w:lang w:val="en-US" w:eastAsia="zh-CN"/>
        </w:rPr>
        <w:t xml:space="preserve">             </w:t>
      </w:r>
      <w:r>
        <w:rPr>
          <w:rFonts w:hint="eastAsia" w:ascii="宋体" w:hAnsi="宋体" w:eastAsia="宋体" w:cs="宋体"/>
          <w:snapToGrid w:val="0"/>
          <w:color w:val="auto"/>
          <w:sz w:val="21"/>
          <w:szCs w:val="21"/>
          <w:highlight w:val="none"/>
        </w:rPr>
        <w:t>（盖章）</w:t>
      </w:r>
    </w:p>
    <w:p w14:paraId="784E507D">
      <w:pPr>
        <w:keepNext w:val="0"/>
        <w:keepLines w:val="0"/>
        <w:pageBreakBefore w:val="0"/>
        <w:widowControl/>
        <w:kinsoku w:val="0"/>
        <w:wordWrap/>
        <w:overflowPunct/>
        <w:topLinePunct w:val="0"/>
        <w:autoSpaceDE/>
        <w:autoSpaceDN/>
        <w:bidi w:val="0"/>
        <w:adjustRightInd/>
        <w:snapToGrid w:val="0"/>
        <w:spacing w:line="500" w:lineRule="exact"/>
        <w:textAlignment w:val="baseline"/>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法定代表人</w:t>
      </w:r>
      <w:r>
        <w:rPr>
          <w:rFonts w:hint="eastAsia" w:ascii="宋体" w:hAnsi="宋体" w:eastAsia="宋体" w:cs="宋体"/>
          <w:snapToGrid w:val="0"/>
          <w:color w:val="auto"/>
          <w:sz w:val="21"/>
          <w:szCs w:val="21"/>
          <w:highlight w:val="none"/>
          <w:lang w:eastAsia="zh-CN"/>
        </w:rPr>
        <w:t>：</w:t>
      </w:r>
      <w:r>
        <w:rPr>
          <w:rFonts w:hint="eastAsia" w:ascii="宋体" w:hAnsi="宋体" w:eastAsia="宋体" w:cs="宋体"/>
          <w:snapToGrid w:val="0"/>
          <w:color w:val="auto"/>
          <w:sz w:val="21"/>
          <w:szCs w:val="21"/>
          <w:highlight w:val="none"/>
        </w:rPr>
        <w:t>（签字）　　　　　　　</w:t>
      </w:r>
      <w:r>
        <w:rPr>
          <w:rFonts w:hint="eastAsia" w:ascii="宋体" w:hAnsi="宋体" w:eastAsia="宋体" w:cs="宋体"/>
          <w:snapToGrid w:val="0"/>
          <w:color w:val="auto"/>
          <w:sz w:val="21"/>
          <w:szCs w:val="21"/>
          <w:highlight w:val="none"/>
          <w:lang w:val="en-US" w:eastAsia="zh-CN"/>
        </w:rPr>
        <w:t xml:space="preserve">           </w:t>
      </w:r>
      <w:r>
        <w:rPr>
          <w:rFonts w:hint="eastAsia" w:ascii="宋体" w:hAnsi="宋体" w:eastAsia="宋体" w:cs="宋体"/>
          <w:snapToGrid w:val="0"/>
          <w:color w:val="auto"/>
          <w:sz w:val="21"/>
          <w:szCs w:val="21"/>
          <w:highlight w:val="none"/>
        </w:rPr>
        <w:t>法定代表人</w:t>
      </w:r>
      <w:r>
        <w:rPr>
          <w:rFonts w:hint="eastAsia" w:ascii="宋体" w:hAnsi="宋体" w:eastAsia="宋体" w:cs="宋体"/>
          <w:snapToGrid w:val="0"/>
          <w:color w:val="auto"/>
          <w:sz w:val="21"/>
          <w:szCs w:val="21"/>
          <w:highlight w:val="none"/>
          <w:lang w:eastAsia="zh-CN"/>
        </w:rPr>
        <w:t>：</w:t>
      </w:r>
      <w:r>
        <w:rPr>
          <w:rFonts w:hint="eastAsia" w:ascii="宋体" w:hAnsi="宋体" w:eastAsia="宋体" w:cs="宋体"/>
          <w:snapToGrid w:val="0"/>
          <w:color w:val="auto"/>
          <w:sz w:val="21"/>
          <w:szCs w:val="21"/>
          <w:highlight w:val="none"/>
        </w:rPr>
        <w:t>（签字）</w:t>
      </w:r>
    </w:p>
    <w:p w14:paraId="291E4FB2">
      <w:pPr>
        <w:keepNext w:val="0"/>
        <w:keepLines w:val="0"/>
        <w:pageBreakBefore w:val="0"/>
        <w:widowControl/>
        <w:kinsoku w:val="0"/>
        <w:wordWrap/>
        <w:overflowPunct/>
        <w:topLinePunct w:val="0"/>
        <w:autoSpaceDE/>
        <w:autoSpaceDN/>
        <w:bidi w:val="0"/>
        <w:adjustRightInd/>
        <w:snapToGrid w:val="0"/>
        <w:spacing w:line="500" w:lineRule="exact"/>
        <w:textAlignment w:val="baseline"/>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（或委托代理人）　　　　　　　　　　</w:t>
      </w:r>
      <w:r>
        <w:rPr>
          <w:rFonts w:hint="eastAsia" w:ascii="宋体" w:hAnsi="宋体" w:eastAsia="宋体" w:cs="宋体"/>
          <w:snapToGrid w:val="0"/>
          <w:color w:val="auto"/>
          <w:sz w:val="21"/>
          <w:szCs w:val="21"/>
          <w:highlight w:val="none"/>
          <w:lang w:val="en-US" w:eastAsia="zh-CN"/>
        </w:rPr>
        <w:t xml:space="preserve">         </w:t>
      </w:r>
      <w:r>
        <w:rPr>
          <w:rFonts w:hint="eastAsia" w:ascii="宋体" w:hAnsi="宋体" w:eastAsia="宋体" w:cs="宋体"/>
          <w:snapToGrid w:val="0"/>
          <w:color w:val="auto"/>
          <w:sz w:val="21"/>
          <w:szCs w:val="21"/>
          <w:highlight w:val="none"/>
        </w:rPr>
        <w:t xml:space="preserve">（或委托代理人）  </w:t>
      </w:r>
    </w:p>
    <w:p w14:paraId="69178E60">
      <w:pPr>
        <w:keepNext w:val="0"/>
        <w:keepLines w:val="0"/>
        <w:pageBreakBefore w:val="0"/>
        <w:wordWrap/>
        <w:overflowPunct/>
        <w:topLinePunct w:val="0"/>
        <w:autoSpaceDE/>
        <w:autoSpaceDN/>
        <w:bidi w:val="0"/>
        <w:adjustRightInd/>
        <w:spacing w:line="500" w:lineRule="exact"/>
        <w:ind w:firstLine="1486"/>
        <w:jc w:val="both"/>
        <w:rPr>
          <w:rFonts w:hint="eastAsia" w:ascii="宋体" w:hAnsi="宋体" w:eastAsia="宋体" w:cs="宋体"/>
          <w:color w:val="auto"/>
          <w:highlight w:val="none"/>
        </w:rPr>
      </w:pPr>
      <w:r>
        <w:rPr>
          <w:rFonts w:hint="eastAsia" w:ascii="宋体" w:hAnsi="宋体" w:eastAsia="宋体" w:cs="宋体"/>
          <w:snapToGrid w:val="0"/>
          <w:color w:val="auto"/>
          <w:spacing w:val="4"/>
          <w:sz w:val="21"/>
          <w:szCs w:val="21"/>
          <w:highlight w:val="none"/>
        </w:rPr>
        <w:t xml:space="preserve">年     月    </w:t>
      </w:r>
      <w:bookmarkStart w:id="75" w:name="_Hlk113957024"/>
      <w:r>
        <w:rPr>
          <w:rFonts w:hint="eastAsia" w:ascii="宋体" w:hAnsi="宋体" w:eastAsia="宋体" w:cs="宋体"/>
          <w:snapToGrid w:val="0"/>
          <w:color w:val="auto"/>
          <w:spacing w:val="4"/>
          <w:sz w:val="21"/>
          <w:szCs w:val="21"/>
          <w:highlight w:val="none"/>
        </w:rPr>
        <w:t>日</w:t>
      </w:r>
      <w:bookmarkEnd w:id="75"/>
      <w:r>
        <w:rPr>
          <w:rFonts w:hint="eastAsia" w:ascii="宋体" w:hAnsi="宋体" w:eastAsia="宋体" w:cs="宋体"/>
          <w:snapToGrid w:val="0"/>
          <w:color w:val="auto"/>
          <w:spacing w:val="4"/>
          <w:sz w:val="21"/>
          <w:szCs w:val="21"/>
          <w:highlight w:val="none"/>
        </w:rPr>
        <w:t xml:space="preserve">        </w:t>
      </w:r>
      <w:r>
        <w:rPr>
          <w:rFonts w:hint="eastAsia" w:ascii="宋体" w:hAnsi="宋体" w:eastAsia="宋体" w:cs="宋体"/>
          <w:snapToGrid w:val="0"/>
          <w:color w:val="auto"/>
          <w:spacing w:val="3"/>
          <w:sz w:val="21"/>
          <w:szCs w:val="21"/>
          <w:highlight w:val="none"/>
        </w:rPr>
        <w:t xml:space="preserve"> </w:t>
      </w:r>
      <w:r>
        <w:rPr>
          <w:rFonts w:hint="eastAsia" w:ascii="宋体" w:hAnsi="宋体" w:eastAsia="宋体" w:cs="宋体"/>
          <w:snapToGrid w:val="0"/>
          <w:color w:val="auto"/>
          <w:spacing w:val="2"/>
          <w:sz w:val="21"/>
          <w:szCs w:val="21"/>
          <w:highlight w:val="none"/>
        </w:rPr>
        <w:t xml:space="preserve">    </w:t>
      </w:r>
      <w:r>
        <w:rPr>
          <w:rFonts w:hint="eastAsia" w:ascii="宋体" w:hAnsi="宋体" w:eastAsia="宋体" w:cs="宋体"/>
          <w:snapToGrid w:val="0"/>
          <w:color w:val="auto"/>
          <w:spacing w:val="2"/>
          <w:sz w:val="21"/>
          <w:szCs w:val="21"/>
          <w:highlight w:val="none"/>
          <w:lang w:val="en-US" w:eastAsia="zh-CN"/>
        </w:rPr>
        <w:t xml:space="preserve">     </w:t>
      </w:r>
      <w:r>
        <w:rPr>
          <w:rFonts w:hint="eastAsia" w:ascii="宋体" w:hAnsi="宋体" w:eastAsia="宋体" w:cs="宋体"/>
          <w:snapToGrid w:val="0"/>
          <w:color w:val="auto"/>
          <w:spacing w:val="2"/>
          <w:sz w:val="21"/>
          <w:szCs w:val="21"/>
          <w:highlight w:val="none"/>
        </w:rPr>
        <w:t xml:space="preserve"> </w:t>
      </w:r>
      <w:r>
        <w:rPr>
          <w:rFonts w:hint="eastAsia" w:ascii="宋体" w:hAnsi="宋体" w:eastAsia="宋体" w:cs="宋体"/>
          <w:snapToGrid w:val="0"/>
          <w:color w:val="auto"/>
          <w:spacing w:val="4"/>
          <w:sz w:val="21"/>
          <w:szCs w:val="21"/>
          <w:highlight w:val="none"/>
        </w:rPr>
        <w:t>年     月     日</w:t>
      </w:r>
    </w:p>
    <w:p w14:paraId="2687443D">
      <w:pPr>
        <w:spacing w:line="460" w:lineRule="exact"/>
        <w:rPr>
          <w:rFonts w:hint="eastAsia" w:ascii="宋体" w:hAnsi="宋体" w:eastAsia="宋体" w:cs="宋体"/>
          <w:color w:val="auto"/>
          <w:highlight w:val="none"/>
        </w:rPr>
      </w:pPr>
    </w:p>
    <w:sectPr>
      <w:headerReference r:id="rId9" w:type="first"/>
      <w:footerReference r:id="rId11" w:type="first"/>
      <w:headerReference r:id="rId8" w:type="default"/>
      <w:footerReference r:id="rId10" w:type="default"/>
      <w:pgSz w:w="11906" w:h="16838"/>
      <w:pgMar w:top="1417" w:right="1417" w:bottom="1417" w:left="1417" w:header="851" w:footer="567"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Cordia New">
    <w:panose1 w:val="020B0304020202020204"/>
    <w:charset w:val="00"/>
    <w:family w:val="auto"/>
    <w:pitch w:val="default"/>
    <w:sig w:usb0="81000003" w:usb1="00000000" w:usb2="00000000" w:usb3="00000000" w:csb0="00010001" w:csb1="00000000"/>
  </w:font>
  <w:font w:name="Calibri Light">
    <w:panose1 w:val="020F0302020204030204"/>
    <w:charset w:val="00"/>
    <w:family w:val="swiss"/>
    <w:pitch w:val="default"/>
    <w:sig w:usb0="A00002EF" w:usb1="4000207B" w:usb2="0000000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3FD9D8">
    <w:pPr>
      <w:pStyle w:val="20"/>
      <w:tabs>
        <w:tab w:val="center" w:pos="4439"/>
        <w:tab w:val="clear" w:pos="4153"/>
      </w:tabs>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1270" r="635" b="63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14:paraId="18FB17A5">
                          <w:pPr>
                            <w:pStyle w:val="20"/>
                          </w:pPr>
                          <w:r>
                            <w:fldChar w:fldCharType="begin"/>
                          </w:r>
                          <w:r>
                            <w:instrText xml:space="preserve"> PAGE  \* MERGEFORMAT </w:instrText>
                          </w:r>
                          <w:r>
                            <w:fldChar w:fldCharType="separate"/>
                          </w:r>
                          <w:r>
                            <w:t>2</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Pi91E0AAAAAIBAAAPAAAAAAAAAAEAIAAAACIAAABkcnMv&#10;ZG93bnJldi54bWxQSwECFAAUAAAACACHTuJA3YFN4QsCAAABBAAADgAAAAAAAAABACAAAAAfAQAA&#10;ZHJzL2Uyb0RvYy54bWxQSwUGAAAAAAYABgBZAQAAnAUAAAAA&#10;">
              <v:fill on="f" focussize="0,0"/>
              <v:stroke on="f"/>
              <v:imagedata o:title=""/>
              <o:lock v:ext="edit" aspectratio="f"/>
              <v:textbox inset="0mm,0mm,0mm,0mm" style="mso-fit-shape-to-text:t;">
                <w:txbxContent>
                  <w:p w14:paraId="18FB17A5">
                    <w:pPr>
                      <w:pStyle w:val="20"/>
                    </w:pPr>
                    <w:r>
                      <w:fldChar w:fldCharType="begin"/>
                    </w:r>
                    <w:r>
                      <w:instrText xml:space="preserve"> PAGE  \* MERGEFORMAT </w:instrText>
                    </w:r>
                    <w:r>
                      <w:fldChar w:fldCharType="separate"/>
                    </w:r>
                    <w:r>
                      <w:t>2</w:t>
                    </w:r>
                    <w:r>
                      <w:fldChar w:fldCharType="end"/>
                    </w:r>
                  </w:p>
                </w:txbxContent>
              </v:textbox>
            </v:shape>
          </w:pict>
        </mc:Fallback>
      </mc:AlternateContent>
    </w:r>
  </w:p>
  <w:p w14:paraId="0E6C35E3">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935BC4">
    <w:pPr>
      <w:pStyle w:val="20"/>
      <w:tabs>
        <w:tab w:val="center" w:pos="4439"/>
        <w:tab w:val="clear" w:pos="4153"/>
      </w:tabs>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7F1B0D">
                          <w:pPr>
                            <w:pStyle w:val="20"/>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1B7F1B0D">
                    <w:pPr>
                      <w:pStyle w:val="20"/>
                    </w:pPr>
                    <w:r>
                      <w:fldChar w:fldCharType="begin"/>
                    </w:r>
                    <w:r>
                      <w:instrText xml:space="preserve"> PAGE  \* MERGEFORMAT </w:instrText>
                    </w:r>
                    <w:r>
                      <w:fldChar w:fldCharType="separate"/>
                    </w:r>
                    <w:r>
                      <w:t>0</w:t>
                    </w:r>
                    <w:r>
                      <w:fldChar w:fldCharType="end"/>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53035"/>
              <wp:effectExtent l="0" t="0" r="635" b="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114935" cy="153035"/>
                      </a:xfrm>
                      <a:prstGeom prst="rect">
                        <a:avLst/>
                      </a:prstGeom>
                      <a:noFill/>
                      <a:ln>
                        <a:noFill/>
                      </a:ln>
                    </wps:spPr>
                    <wps:txbx>
                      <w:txbxContent>
                        <w:p w14:paraId="6904B6E2"/>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2.05pt;width:9.05pt;mso-position-horizontal:center;mso-position-horizontal-relative:margin;mso-wrap-style:none;z-index:251661312;mso-width-relative:page;mso-height-relative:page;" filled="f" stroked="f" coordsize="21600,21600" o:gfxdata="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JBU+a0AAAAAMBAAAPAAAAAAAAAAEAIAAAACIAAABkcnMvZG93&#10;bnJldi54bWxQSwECFAAUAAAACACHTuJAFydTEAgCAAACBAAADgAAAAAAAAABACAAAAAfAQAAZHJz&#10;L2Uyb0RvYy54bWxQSwUGAAAAAAYABgBZAQAAmQUAAAAA&#10;">
              <v:fill on="f" focussize="0,0"/>
              <v:stroke on="f"/>
              <v:imagedata o:title=""/>
              <o:lock v:ext="edit" aspectratio="f"/>
              <v:textbox inset="0mm,0mm,0mm,0mm" style="mso-fit-shape-to-text:t;">
                <w:txbxContent>
                  <w:p w14:paraId="6904B6E2"/>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8FDF0E">
    <w:pPr>
      <w:pStyle w:val="20"/>
      <w:tabs>
        <w:tab w:val="center" w:pos="4809"/>
        <w:tab w:val="clear" w:pos="4153"/>
      </w:tabs>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C946B0">
                          <w:pPr>
                            <w:pStyle w:val="2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51C946B0">
                    <w:pPr>
                      <w:pStyle w:val="20"/>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3CD122">
    <w:pPr>
      <w:pStyle w:val="2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131445"/>
              <wp:effectExtent l="0" t="1270" r="635" b="635"/>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ffectLst/>
                    </wps:spPr>
                    <wps:txbx>
                      <w:txbxContent>
                        <w:p w14:paraId="58A4BEEA">
                          <w:pPr>
                            <w:pStyle w:val="20"/>
                            <w:jc w:val="center"/>
                          </w:pPr>
                          <w:r>
                            <w:fldChar w:fldCharType="begin"/>
                          </w:r>
                          <w:r>
                            <w:instrText xml:space="preserve"> PAGE  \* MERGEFORMAT </w:instrText>
                          </w:r>
                          <w:r>
                            <w:fldChar w:fldCharType="separate"/>
                          </w:r>
                          <w:r>
                            <w:t>128</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60288;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z4vdRNAAAAACAQAADwAAAAAAAAABACAAAAAiAAAA&#10;ZHJzL2Rvd25yZXYueG1sUEsBAhQAFAAAAAgAh07iQORYcvMPAgAADwQAAA4AAAAAAAAAAQAgAAAA&#10;HwEAAGRycy9lMm9Eb2MueG1sUEsFBgAAAAAGAAYAWQEAAKAFAAAAAA==&#10;">
              <v:fill on="f" focussize="0,0"/>
              <v:stroke on="f"/>
              <v:imagedata o:title=""/>
              <o:lock v:ext="edit" aspectratio="f"/>
              <v:textbox inset="0mm,0mm,0mm,0mm" style="mso-fit-shape-to-text:t;">
                <w:txbxContent>
                  <w:p w14:paraId="58A4BEEA">
                    <w:pPr>
                      <w:pStyle w:val="20"/>
                      <w:jc w:val="center"/>
                    </w:pPr>
                    <w:r>
                      <w:fldChar w:fldCharType="begin"/>
                    </w:r>
                    <w:r>
                      <w:instrText xml:space="preserve"> PAGE  \* MERGEFORMAT </w:instrText>
                    </w:r>
                    <w:r>
                      <w:fldChar w:fldCharType="separate"/>
                    </w:r>
                    <w:r>
                      <w:t>128</w:t>
                    </w:r>
                    <w:r>
                      <w:fldChar w:fldCharType="end"/>
                    </w:r>
                  </w:p>
                </w:txbxContent>
              </v:textbox>
            </v:shape>
          </w:pict>
        </mc:Fallback>
      </mc:AlternateContent>
    </w:r>
  </w:p>
  <w:p w14:paraId="4C33895C">
    <w:pPr>
      <w:pStyle w:val="2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6B92A">
    <w:pPr>
      <w:pStyle w:val="2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57785" cy="131445"/>
              <wp:effectExtent l="0" t="0" r="635" b="254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ffectLst/>
                    </wps:spPr>
                    <wps:txbx>
                      <w:txbxContent>
                        <w:p w14:paraId="3CF2466A">
                          <w:pPr>
                            <w:pStyle w:val="20"/>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62336;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z4vdRNAAAAACAQAADwAAAAAAAAABACAAAAAiAAAA&#10;ZHJzL2Rvd25yZXYueG1sUEsBAhQAFAAAAAgAh07iQKu01psPAgAADwQAAA4AAAAAAAAAAQAgAAAA&#10;HwEAAGRycy9lMm9Eb2MueG1sUEsFBgAAAAAGAAYAWQEAAKAFAAAAAA==&#10;">
              <v:fill on="f" focussize="0,0"/>
              <v:stroke on="f"/>
              <v:imagedata o:title=""/>
              <o:lock v:ext="edit" aspectratio="f"/>
              <v:textbox inset="0mm,0mm,0mm,0mm" style="mso-fit-shape-to-text:t;">
                <w:txbxContent>
                  <w:p w14:paraId="3CF2466A">
                    <w:pPr>
                      <w:pStyle w:val="20"/>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020111">
    <w:pPr>
      <w:pStyle w:val="2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4F6102">
    <w:pPr>
      <w:pStyle w:val="21"/>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D0A28B">
    <w:pPr>
      <w:pStyle w:val="21"/>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B0E18A">
    <w:pPr>
      <w:pStyle w:val="2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CD59DD"/>
    <w:multiLevelType w:val="singleLevel"/>
    <w:tmpl w:val="CACD59DD"/>
    <w:lvl w:ilvl="0" w:tentative="0">
      <w:start w:val="2"/>
      <w:numFmt w:val="decimal"/>
      <w:suff w:val="nothing"/>
      <w:lvlText w:val="（%1）"/>
      <w:lvlJc w:val="left"/>
    </w:lvl>
  </w:abstractNum>
  <w:abstractNum w:abstractNumId="1">
    <w:nsid w:val="32FC00BB"/>
    <w:multiLevelType w:val="singleLevel"/>
    <w:tmpl w:val="32FC00BB"/>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9A4"/>
    <w:rsid w:val="000042F5"/>
    <w:rsid w:val="00013F13"/>
    <w:rsid w:val="0003117E"/>
    <w:rsid w:val="0003179F"/>
    <w:rsid w:val="000420F1"/>
    <w:rsid w:val="000442B2"/>
    <w:rsid w:val="000450E4"/>
    <w:rsid w:val="00045203"/>
    <w:rsid w:val="000457AC"/>
    <w:rsid w:val="000536BD"/>
    <w:rsid w:val="000578CA"/>
    <w:rsid w:val="00081C9B"/>
    <w:rsid w:val="00094DA1"/>
    <w:rsid w:val="00095559"/>
    <w:rsid w:val="000C509F"/>
    <w:rsid w:val="000C5B27"/>
    <w:rsid w:val="000D047C"/>
    <w:rsid w:val="000D0979"/>
    <w:rsid w:val="0010086F"/>
    <w:rsid w:val="001129BA"/>
    <w:rsid w:val="001205C9"/>
    <w:rsid w:val="0012137C"/>
    <w:rsid w:val="00142117"/>
    <w:rsid w:val="001469F3"/>
    <w:rsid w:val="00152D06"/>
    <w:rsid w:val="00153135"/>
    <w:rsid w:val="001539B0"/>
    <w:rsid w:val="00157C13"/>
    <w:rsid w:val="0016042A"/>
    <w:rsid w:val="00173BFA"/>
    <w:rsid w:val="00173D29"/>
    <w:rsid w:val="0017572B"/>
    <w:rsid w:val="00195EA5"/>
    <w:rsid w:val="001B3836"/>
    <w:rsid w:val="001D4FF9"/>
    <w:rsid w:val="001F2E23"/>
    <w:rsid w:val="00202ABF"/>
    <w:rsid w:val="002061DC"/>
    <w:rsid w:val="00231BE2"/>
    <w:rsid w:val="00236501"/>
    <w:rsid w:val="00263E0B"/>
    <w:rsid w:val="00267E08"/>
    <w:rsid w:val="0027471E"/>
    <w:rsid w:val="00293C5F"/>
    <w:rsid w:val="002978A3"/>
    <w:rsid w:val="00297AB2"/>
    <w:rsid w:val="002C267F"/>
    <w:rsid w:val="002C27BE"/>
    <w:rsid w:val="002E107C"/>
    <w:rsid w:val="002E70B1"/>
    <w:rsid w:val="002F045B"/>
    <w:rsid w:val="002F2376"/>
    <w:rsid w:val="002F38FC"/>
    <w:rsid w:val="002F44F7"/>
    <w:rsid w:val="00314F7D"/>
    <w:rsid w:val="003254D5"/>
    <w:rsid w:val="0033163E"/>
    <w:rsid w:val="00334216"/>
    <w:rsid w:val="00334AF5"/>
    <w:rsid w:val="00345BE0"/>
    <w:rsid w:val="00351793"/>
    <w:rsid w:val="00380705"/>
    <w:rsid w:val="00384653"/>
    <w:rsid w:val="00385ADE"/>
    <w:rsid w:val="00391FCC"/>
    <w:rsid w:val="00393306"/>
    <w:rsid w:val="00394C62"/>
    <w:rsid w:val="003A0ED5"/>
    <w:rsid w:val="003A2F9D"/>
    <w:rsid w:val="003A62B3"/>
    <w:rsid w:val="003B459D"/>
    <w:rsid w:val="003B6402"/>
    <w:rsid w:val="003B6F63"/>
    <w:rsid w:val="003B7C96"/>
    <w:rsid w:val="003C7126"/>
    <w:rsid w:val="003D4494"/>
    <w:rsid w:val="003D7AA9"/>
    <w:rsid w:val="003F18CC"/>
    <w:rsid w:val="003F66AE"/>
    <w:rsid w:val="004178E4"/>
    <w:rsid w:val="00422A3F"/>
    <w:rsid w:val="00441E5D"/>
    <w:rsid w:val="00442F05"/>
    <w:rsid w:val="00443F38"/>
    <w:rsid w:val="004501C2"/>
    <w:rsid w:val="00460B41"/>
    <w:rsid w:val="004621D7"/>
    <w:rsid w:val="00474FE8"/>
    <w:rsid w:val="00477D0E"/>
    <w:rsid w:val="00493A57"/>
    <w:rsid w:val="004A3C75"/>
    <w:rsid w:val="004A40F1"/>
    <w:rsid w:val="004A47A4"/>
    <w:rsid w:val="004A4DD3"/>
    <w:rsid w:val="004B1B49"/>
    <w:rsid w:val="004B580B"/>
    <w:rsid w:val="004C2FCF"/>
    <w:rsid w:val="004C53C1"/>
    <w:rsid w:val="004D0060"/>
    <w:rsid w:val="004D29DE"/>
    <w:rsid w:val="004D7EE2"/>
    <w:rsid w:val="004E29A5"/>
    <w:rsid w:val="004F1291"/>
    <w:rsid w:val="004F3669"/>
    <w:rsid w:val="004F40EC"/>
    <w:rsid w:val="004F551F"/>
    <w:rsid w:val="004F7C58"/>
    <w:rsid w:val="0051048D"/>
    <w:rsid w:val="005109A1"/>
    <w:rsid w:val="00510FE4"/>
    <w:rsid w:val="00515EBE"/>
    <w:rsid w:val="00524A77"/>
    <w:rsid w:val="005316F1"/>
    <w:rsid w:val="005631DB"/>
    <w:rsid w:val="005667A8"/>
    <w:rsid w:val="005848D8"/>
    <w:rsid w:val="00595C3E"/>
    <w:rsid w:val="005A4230"/>
    <w:rsid w:val="005A703B"/>
    <w:rsid w:val="005C4037"/>
    <w:rsid w:val="005C50D8"/>
    <w:rsid w:val="005C77C2"/>
    <w:rsid w:val="005D793E"/>
    <w:rsid w:val="005E0B09"/>
    <w:rsid w:val="005E51A0"/>
    <w:rsid w:val="005F186A"/>
    <w:rsid w:val="005F21E0"/>
    <w:rsid w:val="005F6651"/>
    <w:rsid w:val="00602F64"/>
    <w:rsid w:val="00607ACF"/>
    <w:rsid w:val="006103CF"/>
    <w:rsid w:val="00631F41"/>
    <w:rsid w:val="00634D55"/>
    <w:rsid w:val="00640FC8"/>
    <w:rsid w:val="00662702"/>
    <w:rsid w:val="00686B94"/>
    <w:rsid w:val="00690F7A"/>
    <w:rsid w:val="006B1B34"/>
    <w:rsid w:val="006C49C6"/>
    <w:rsid w:val="006C5D12"/>
    <w:rsid w:val="006C7F9A"/>
    <w:rsid w:val="006D0252"/>
    <w:rsid w:val="006D684C"/>
    <w:rsid w:val="006E6DB4"/>
    <w:rsid w:val="006F0B25"/>
    <w:rsid w:val="007117C0"/>
    <w:rsid w:val="007138AD"/>
    <w:rsid w:val="007337EE"/>
    <w:rsid w:val="00740D49"/>
    <w:rsid w:val="00747F79"/>
    <w:rsid w:val="00754D96"/>
    <w:rsid w:val="007801C8"/>
    <w:rsid w:val="007878EF"/>
    <w:rsid w:val="00794272"/>
    <w:rsid w:val="0079761E"/>
    <w:rsid w:val="007A0403"/>
    <w:rsid w:val="007B496E"/>
    <w:rsid w:val="007B49F9"/>
    <w:rsid w:val="007B7BDB"/>
    <w:rsid w:val="007B7D09"/>
    <w:rsid w:val="007C079F"/>
    <w:rsid w:val="007C1337"/>
    <w:rsid w:val="007C65FB"/>
    <w:rsid w:val="007D3C00"/>
    <w:rsid w:val="007D7DD1"/>
    <w:rsid w:val="007F6E4B"/>
    <w:rsid w:val="0080016A"/>
    <w:rsid w:val="008002FC"/>
    <w:rsid w:val="0082505C"/>
    <w:rsid w:val="00844347"/>
    <w:rsid w:val="008501B1"/>
    <w:rsid w:val="0087375F"/>
    <w:rsid w:val="00884A9F"/>
    <w:rsid w:val="00897195"/>
    <w:rsid w:val="008A3DE0"/>
    <w:rsid w:val="008B2231"/>
    <w:rsid w:val="008D484B"/>
    <w:rsid w:val="008E0E03"/>
    <w:rsid w:val="008E55CC"/>
    <w:rsid w:val="008F4C27"/>
    <w:rsid w:val="008F7ED2"/>
    <w:rsid w:val="009064F3"/>
    <w:rsid w:val="00921552"/>
    <w:rsid w:val="00927668"/>
    <w:rsid w:val="00931421"/>
    <w:rsid w:val="0094048F"/>
    <w:rsid w:val="00943B3A"/>
    <w:rsid w:val="00952222"/>
    <w:rsid w:val="00953F4B"/>
    <w:rsid w:val="00963177"/>
    <w:rsid w:val="00970EA2"/>
    <w:rsid w:val="00977A1B"/>
    <w:rsid w:val="009818D3"/>
    <w:rsid w:val="00982078"/>
    <w:rsid w:val="00985C0D"/>
    <w:rsid w:val="00991454"/>
    <w:rsid w:val="009A415F"/>
    <w:rsid w:val="009A5299"/>
    <w:rsid w:val="009A56AB"/>
    <w:rsid w:val="009B2CDD"/>
    <w:rsid w:val="009D38FD"/>
    <w:rsid w:val="009D7E9E"/>
    <w:rsid w:val="009F1EC5"/>
    <w:rsid w:val="00A02FD8"/>
    <w:rsid w:val="00A156CE"/>
    <w:rsid w:val="00A30A3B"/>
    <w:rsid w:val="00A35716"/>
    <w:rsid w:val="00A60E40"/>
    <w:rsid w:val="00A613B3"/>
    <w:rsid w:val="00A61526"/>
    <w:rsid w:val="00A64ADF"/>
    <w:rsid w:val="00A64C47"/>
    <w:rsid w:val="00A74E39"/>
    <w:rsid w:val="00A832C6"/>
    <w:rsid w:val="00A835EA"/>
    <w:rsid w:val="00A87624"/>
    <w:rsid w:val="00A96DE4"/>
    <w:rsid w:val="00AB0ADF"/>
    <w:rsid w:val="00AB24C2"/>
    <w:rsid w:val="00AB6EDD"/>
    <w:rsid w:val="00AE70AC"/>
    <w:rsid w:val="00AF0270"/>
    <w:rsid w:val="00AF58FE"/>
    <w:rsid w:val="00B005E9"/>
    <w:rsid w:val="00B02E0A"/>
    <w:rsid w:val="00B0462D"/>
    <w:rsid w:val="00B079C7"/>
    <w:rsid w:val="00B24C49"/>
    <w:rsid w:val="00B36033"/>
    <w:rsid w:val="00B3723F"/>
    <w:rsid w:val="00B409A4"/>
    <w:rsid w:val="00B64E15"/>
    <w:rsid w:val="00B83EF6"/>
    <w:rsid w:val="00B84329"/>
    <w:rsid w:val="00B9110F"/>
    <w:rsid w:val="00B92192"/>
    <w:rsid w:val="00BA4700"/>
    <w:rsid w:val="00BA4D5C"/>
    <w:rsid w:val="00BB2CB9"/>
    <w:rsid w:val="00BC01AC"/>
    <w:rsid w:val="00BE0B56"/>
    <w:rsid w:val="00BE3E5C"/>
    <w:rsid w:val="00BF2089"/>
    <w:rsid w:val="00C0189B"/>
    <w:rsid w:val="00C079C0"/>
    <w:rsid w:val="00C07EA8"/>
    <w:rsid w:val="00C07FBD"/>
    <w:rsid w:val="00C17E1D"/>
    <w:rsid w:val="00C22AB7"/>
    <w:rsid w:val="00C31789"/>
    <w:rsid w:val="00C32BBF"/>
    <w:rsid w:val="00C420F1"/>
    <w:rsid w:val="00C476EB"/>
    <w:rsid w:val="00C54288"/>
    <w:rsid w:val="00C71884"/>
    <w:rsid w:val="00C73234"/>
    <w:rsid w:val="00C75246"/>
    <w:rsid w:val="00C75F53"/>
    <w:rsid w:val="00C765AF"/>
    <w:rsid w:val="00C81DBB"/>
    <w:rsid w:val="00C93EB7"/>
    <w:rsid w:val="00C95168"/>
    <w:rsid w:val="00CA6184"/>
    <w:rsid w:val="00CB1FAB"/>
    <w:rsid w:val="00CB22E9"/>
    <w:rsid w:val="00CD4088"/>
    <w:rsid w:val="00CE18BD"/>
    <w:rsid w:val="00CE2C5B"/>
    <w:rsid w:val="00CE3110"/>
    <w:rsid w:val="00CE5C19"/>
    <w:rsid w:val="00D01D5F"/>
    <w:rsid w:val="00D03049"/>
    <w:rsid w:val="00D208C5"/>
    <w:rsid w:val="00D22E16"/>
    <w:rsid w:val="00D33AC2"/>
    <w:rsid w:val="00D355A7"/>
    <w:rsid w:val="00D35C7C"/>
    <w:rsid w:val="00D4204C"/>
    <w:rsid w:val="00D4584F"/>
    <w:rsid w:val="00D5541A"/>
    <w:rsid w:val="00D55EF3"/>
    <w:rsid w:val="00D6600A"/>
    <w:rsid w:val="00D72960"/>
    <w:rsid w:val="00D739AB"/>
    <w:rsid w:val="00D8326F"/>
    <w:rsid w:val="00D861D2"/>
    <w:rsid w:val="00D86669"/>
    <w:rsid w:val="00D97F07"/>
    <w:rsid w:val="00DA0395"/>
    <w:rsid w:val="00DA7057"/>
    <w:rsid w:val="00DB3B9B"/>
    <w:rsid w:val="00DB47A9"/>
    <w:rsid w:val="00DC0480"/>
    <w:rsid w:val="00DC423D"/>
    <w:rsid w:val="00DD7BED"/>
    <w:rsid w:val="00DE3FFD"/>
    <w:rsid w:val="00DE68E0"/>
    <w:rsid w:val="00DF13CA"/>
    <w:rsid w:val="00E06115"/>
    <w:rsid w:val="00E169C5"/>
    <w:rsid w:val="00E348B8"/>
    <w:rsid w:val="00E34CE1"/>
    <w:rsid w:val="00E460F5"/>
    <w:rsid w:val="00E50738"/>
    <w:rsid w:val="00E913B1"/>
    <w:rsid w:val="00EA0422"/>
    <w:rsid w:val="00EA4104"/>
    <w:rsid w:val="00EA5DFD"/>
    <w:rsid w:val="00EB4AE1"/>
    <w:rsid w:val="00EC575C"/>
    <w:rsid w:val="00ED49C5"/>
    <w:rsid w:val="00ED6F5F"/>
    <w:rsid w:val="00EE765E"/>
    <w:rsid w:val="00EE7924"/>
    <w:rsid w:val="00F049E0"/>
    <w:rsid w:val="00F07501"/>
    <w:rsid w:val="00F22140"/>
    <w:rsid w:val="00F34120"/>
    <w:rsid w:val="00F365C1"/>
    <w:rsid w:val="00F42F1E"/>
    <w:rsid w:val="00F5015B"/>
    <w:rsid w:val="00F521F0"/>
    <w:rsid w:val="00F61B4E"/>
    <w:rsid w:val="00F7304C"/>
    <w:rsid w:val="00F77716"/>
    <w:rsid w:val="00FD6FD5"/>
    <w:rsid w:val="00FE00D4"/>
    <w:rsid w:val="00FF20BD"/>
    <w:rsid w:val="00FF3755"/>
    <w:rsid w:val="01C34939"/>
    <w:rsid w:val="01FF73CF"/>
    <w:rsid w:val="029C58B6"/>
    <w:rsid w:val="03D5749D"/>
    <w:rsid w:val="044963B3"/>
    <w:rsid w:val="05212389"/>
    <w:rsid w:val="069A06B4"/>
    <w:rsid w:val="08ED0BA3"/>
    <w:rsid w:val="0A5043D5"/>
    <w:rsid w:val="0D974726"/>
    <w:rsid w:val="0DA6583B"/>
    <w:rsid w:val="10113CE6"/>
    <w:rsid w:val="10397682"/>
    <w:rsid w:val="11BB2AE3"/>
    <w:rsid w:val="11BC6C3D"/>
    <w:rsid w:val="16160357"/>
    <w:rsid w:val="16B80F95"/>
    <w:rsid w:val="199042AE"/>
    <w:rsid w:val="19996B88"/>
    <w:rsid w:val="1A0B3AA3"/>
    <w:rsid w:val="1ADE683C"/>
    <w:rsid w:val="1EEF4A61"/>
    <w:rsid w:val="20B80648"/>
    <w:rsid w:val="242F7F9F"/>
    <w:rsid w:val="2482378D"/>
    <w:rsid w:val="26010820"/>
    <w:rsid w:val="269B2361"/>
    <w:rsid w:val="29712CA6"/>
    <w:rsid w:val="29F6161F"/>
    <w:rsid w:val="2A003E5D"/>
    <w:rsid w:val="2B647605"/>
    <w:rsid w:val="2BDE5087"/>
    <w:rsid w:val="2DBD425D"/>
    <w:rsid w:val="2E1F0FC6"/>
    <w:rsid w:val="31550F5F"/>
    <w:rsid w:val="31C36F12"/>
    <w:rsid w:val="3488219A"/>
    <w:rsid w:val="3AC672C6"/>
    <w:rsid w:val="3C2970C0"/>
    <w:rsid w:val="3DEC38A8"/>
    <w:rsid w:val="3DF37D79"/>
    <w:rsid w:val="3ED3516B"/>
    <w:rsid w:val="3F1018F4"/>
    <w:rsid w:val="413A3C98"/>
    <w:rsid w:val="41DE7325"/>
    <w:rsid w:val="43C0001A"/>
    <w:rsid w:val="44356ED4"/>
    <w:rsid w:val="45196317"/>
    <w:rsid w:val="47CC4581"/>
    <w:rsid w:val="4A4320A9"/>
    <w:rsid w:val="4DA52617"/>
    <w:rsid w:val="4E8F31A6"/>
    <w:rsid w:val="512107C9"/>
    <w:rsid w:val="548D2F86"/>
    <w:rsid w:val="55442D10"/>
    <w:rsid w:val="56867F06"/>
    <w:rsid w:val="58115411"/>
    <w:rsid w:val="58AD376A"/>
    <w:rsid w:val="5B9C1782"/>
    <w:rsid w:val="5E0D03FF"/>
    <w:rsid w:val="61583E28"/>
    <w:rsid w:val="624C3C64"/>
    <w:rsid w:val="62DB1757"/>
    <w:rsid w:val="63DB2832"/>
    <w:rsid w:val="63E54795"/>
    <w:rsid w:val="6483420F"/>
    <w:rsid w:val="66D876CA"/>
    <w:rsid w:val="67221217"/>
    <w:rsid w:val="681011E9"/>
    <w:rsid w:val="68842D40"/>
    <w:rsid w:val="69002B11"/>
    <w:rsid w:val="6B104321"/>
    <w:rsid w:val="6DBE71AC"/>
    <w:rsid w:val="6FDD1EA0"/>
    <w:rsid w:val="72B27E93"/>
    <w:rsid w:val="75D56095"/>
    <w:rsid w:val="773B7E0D"/>
    <w:rsid w:val="7776758C"/>
    <w:rsid w:val="787721E6"/>
    <w:rsid w:val="7AAE7DAC"/>
    <w:rsid w:val="7BD01A83"/>
    <w:rsid w:val="7C372A52"/>
    <w:rsid w:val="7D19734A"/>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nhideWhenUsed="0" w:uiPriority="9" w:semiHidden="0" w:name="heading 5"/>
    <w:lsdException w:qFormat="1" w:uiPriority="9" w:name="heading 6"/>
    <w:lsdException w:qFormat="1" w:unhideWhenUsed="0" w:uiPriority="0" w:semiHidden="0" w:name="heading 7"/>
    <w:lsdException w:qFormat="1" w:unhideWhenUsed="0" w:uiPriority="9"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iPriority="99"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qFormat="1" w:uiPriority="99" w:semiHidden="0"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qFormat="1" w:unhideWhenUsed="0" w:uiPriority="99" w:semiHidden="0" w:name="Body Text First Indent 2"/>
    <w:lsdException w:uiPriority="99" w:name="Note Heading"/>
    <w:lsdException w:uiPriority="99" w:name="Body Text 2"/>
    <w:lsdException w:qFormat="1" w:uiPriority="99" w:semiHidden="0" w:name="Body Text 3"/>
    <w:lsdException w:qFormat="1"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8"/>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9"/>
    <w:qFormat/>
    <w:uiPriority w:val="0"/>
    <w:pPr>
      <w:keepNext/>
      <w:keepLines/>
      <w:spacing w:before="260" w:after="260" w:line="416" w:lineRule="auto"/>
      <w:outlineLvl w:val="1"/>
    </w:pPr>
    <w:rPr>
      <w:rFonts w:ascii="Cambria" w:hAnsi="Cambria"/>
      <w:b/>
      <w:bCs/>
      <w:sz w:val="32"/>
      <w:szCs w:val="32"/>
    </w:rPr>
  </w:style>
  <w:style w:type="paragraph" w:styleId="4">
    <w:name w:val="heading 4"/>
    <w:basedOn w:val="1"/>
    <w:next w:val="1"/>
    <w:link w:val="40"/>
    <w:qFormat/>
    <w:uiPriority w:val="0"/>
    <w:pPr>
      <w:tabs>
        <w:tab w:val="left" w:pos="2155"/>
      </w:tabs>
      <w:adjustRightInd w:val="0"/>
      <w:spacing w:before="120" w:line="360" w:lineRule="auto"/>
      <w:ind w:left="2155" w:hanging="1078"/>
      <w:textAlignment w:val="baseline"/>
      <w:outlineLvl w:val="3"/>
    </w:pPr>
    <w:rPr>
      <w:rFonts w:ascii="Arial" w:eastAsia="黑体"/>
      <w:kern w:val="0"/>
      <w:sz w:val="28"/>
      <w:szCs w:val="20"/>
    </w:rPr>
  </w:style>
  <w:style w:type="paragraph" w:styleId="5">
    <w:name w:val="heading 5"/>
    <w:basedOn w:val="1"/>
    <w:next w:val="6"/>
    <w:link w:val="41"/>
    <w:qFormat/>
    <w:uiPriority w:val="9"/>
    <w:pPr>
      <w:keepNext/>
      <w:keepLines/>
      <w:spacing w:before="280" w:after="290" w:line="376" w:lineRule="auto"/>
      <w:outlineLvl w:val="4"/>
    </w:pPr>
    <w:rPr>
      <w:b/>
      <w:bCs/>
      <w:sz w:val="28"/>
      <w:szCs w:val="28"/>
    </w:rPr>
  </w:style>
  <w:style w:type="paragraph" w:styleId="7">
    <w:name w:val="heading 7"/>
    <w:basedOn w:val="1"/>
    <w:next w:val="1"/>
    <w:link w:val="42"/>
    <w:qFormat/>
    <w:uiPriority w:val="0"/>
    <w:pPr>
      <w:keepNext/>
      <w:keepLines/>
      <w:spacing w:before="240" w:after="64" w:line="320" w:lineRule="auto"/>
      <w:outlineLvl w:val="6"/>
    </w:pPr>
    <w:rPr>
      <w:b/>
      <w:bCs/>
      <w:sz w:val="24"/>
    </w:rPr>
  </w:style>
  <w:style w:type="paragraph" w:styleId="8">
    <w:name w:val="heading 8"/>
    <w:basedOn w:val="1"/>
    <w:next w:val="1"/>
    <w:link w:val="43"/>
    <w:qFormat/>
    <w:uiPriority w:val="9"/>
    <w:pPr>
      <w:keepNext/>
      <w:keepLines/>
      <w:spacing w:before="240" w:after="64" w:line="320" w:lineRule="auto"/>
      <w:outlineLvl w:val="7"/>
    </w:pPr>
    <w:rPr>
      <w:rFonts w:ascii="等线 Light" w:hAnsi="等线 Light" w:eastAsia="等线 Light"/>
      <w:sz w:val="24"/>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pPr>
    <w:rPr>
      <w:szCs w:val="20"/>
    </w:rPr>
  </w:style>
  <w:style w:type="paragraph" w:styleId="9">
    <w:name w:val="index 8"/>
    <w:basedOn w:val="1"/>
    <w:next w:val="1"/>
    <w:qFormat/>
    <w:uiPriority w:val="0"/>
    <w:pPr>
      <w:ind w:left="2940"/>
    </w:pPr>
  </w:style>
  <w:style w:type="paragraph" w:styleId="10">
    <w:name w:val="List Number"/>
    <w:basedOn w:val="1"/>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1">
    <w:name w:val="annotation text"/>
    <w:basedOn w:val="1"/>
    <w:link w:val="48"/>
    <w:qFormat/>
    <w:uiPriority w:val="0"/>
    <w:pPr>
      <w:jc w:val="left"/>
    </w:pPr>
  </w:style>
  <w:style w:type="paragraph" w:styleId="12">
    <w:name w:val="Body Text 3"/>
    <w:basedOn w:val="1"/>
    <w:link w:val="49"/>
    <w:unhideWhenUsed/>
    <w:qFormat/>
    <w:uiPriority w:val="99"/>
    <w:pPr>
      <w:spacing w:after="120"/>
    </w:pPr>
    <w:rPr>
      <w:sz w:val="16"/>
      <w:szCs w:val="16"/>
    </w:rPr>
  </w:style>
  <w:style w:type="paragraph" w:styleId="13">
    <w:name w:val="Body Text"/>
    <w:basedOn w:val="1"/>
    <w:link w:val="45"/>
    <w:unhideWhenUsed/>
    <w:qFormat/>
    <w:uiPriority w:val="0"/>
    <w:pPr>
      <w:spacing w:after="120"/>
    </w:pPr>
  </w:style>
  <w:style w:type="paragraph" w:styleId="14">
    <w:name w:val="Body Text Indent"/>
    <w:basedOn w:val="1"/>
    <w:link w:val="50"/>
    <w:qFormat/>
    <w:uiPriority w:val="0"/>
    <w:pPr>
      <w:ind w:firstLine="830" w:firstLineChars="352"/>
    </w:pPr>
    <w:rPr>
      <w:rFonts w:ascii="仿宋_GB2312" w:eastAsia="仿宋_GB2312"/>
      <w:kern w:val="0"/>
      <w:sz w:val="32"/>
      <w:szCs w:val="20"/>
    </w:rPr>
  </w:style>
  <w:style w:type="paragraph" w:styleId="15">
    <w:name w:val="List 2"/>
    <w:basedOn w:val="1"/>
    <w:unhideWhenUsed/>
    <w:qFormat/>
    <w:uiPriority w:val="99"/>
    <w:pPr>
      <w:ind w:left="100" w:leftChars="200" w:hanging="200" w:hangingChars="200"/>
      <w:contextualSpacing/>
    </w:pPr>
  </w:style>
  <w:style w:type="paragraph" w:styleId="16">
    <w:name w:val="Plain Text"/>
    <w:basedOn w:val="1"/>
    <w:link w:val="52"/>
    <w:qFormat/>
    <w:uiPriority w:val="0"/>
    <w:rPr>
      <w:rFonts w:ascii="宋体" w:hAnsi="Courier New"/>
      <w:kern w:val="0"/>
      <w:sz w:val="20"/>
      <w:szCs w:val="21"/>
    </w:rPr>
  </w:style>
  <w:style w:type="paragraph" w:styleId="17">
    <w:name w:val="Date"/>
    <w:basedOn w:val="1"/>
    <w:next w:val="1"/>
    <w:link w:val="53"/>
    <w:unhideWhenUsed/>
    <w:qFormat/>
    <w:uiPriority w:val="99"/>
    <w:pPr>
      <w:ind w:left="100" w:leftChars="2500"/>
    </w:pPr>
  </w:style>
  <w:style w:type="paragraph" w:styleId="18">
    <w:name w:val="Body Text Indent 2"/>
    <w:basedOn w:val="1"/>
    <w:link w:val="84"/>
    <w:semiHidden/>
    <w:unhideWhenUsed/>
    <w:qFormat/>
    <w:uiPriority w:val="99"/>
    <w:pPr>
      <w:spacing w:after="120" w:line="480" w:lineRule="auto"/>
      <w:ind w:left="420" w:leftChars="200"/>
    </w:pPr>
  </w:style>
  <w:style w:type="paragraph" w:styleId="19">
    <w:name w:val="Balloon Text"/>
    <w:basedOn w:val="1"/>
    <w:link w:val="54"/>
    <w:semiHidden/>
    <w:qFormat/>
    <w:uiPriority w:val="0"/>
    <w:rPr>
      <w:sz w:val="18"/>
      <w:szCs w:val="18"/>
    </w:rPr>
  </w:style>
  <w:style w:type="paragraph" w:styleId="20">
    <w:name w:val="footer"/>
    <w:basedOn w:val="1"/>
    <w:link w:val="3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21">
    <w:name w:val="header"/>
    <w:basedOn w:val="1"/>
    <w:link w:val="3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22">
    <w:name w:val="toc 1"/>
    <w:basedOn w:val="1"/>
    <w:next w:val="1"/>
    <w:unhideWhenUsed/>
    <w:qFormat/>
    <w:uiPriority w:val="39"/>
  </w:style>
  <w:style w:type="paragraph" w:styleId="23">
    <w:name w:val="footnote text"/>
    <w:basedOn w:val="1"/>
    <w:link w:val="83"/>
    <w:unhideWhenUsed/>
    <w:qFormat/>
    <w:uiPriority w:val="99"/>
    <w:pPr>
      <w:snapToGrid w:val="0"/>
      <w:jc w:val="left"/>
    </w:pPr>
    <w:rPr>
      <w:sz w:val="18"/>
      <w:szCs w:val="18"/>
    </w:rPr>
  </w:style>
  <w:style w:type="paragraph" w:styleId="24">
    <w:name w:val="toc 2"/>
    <w:basedOn w:val="1"/>
    <w:next w:val="1"/>
    <w:unhideWhenUsed/>
    <w:qFormat/>
    <w:uiPriority w:val="39"/>
    <w:pPr>
      <w:tabs>
        <w:tab w:val="right" w:leader="dot" w:pos="8296"/>
      </w:tabs>
      <w:ind w:left="420" w:leftChars="200"/>
    </w:pPr>
  </w:style>
  <w:style w:type="paragraph" w:styleId="25">
    <w:name w:val="Normal (Web)"/>
    <w:basedOn w:val="1"/>
    <w:unhideWhenUsed/>
    <w:qFormat/>
    <w:uiPriority w:val="99"/>
    <w:rPr>
      <w:rFonts w:ascii="Calibri" w:hAnsi="Calibri"/>
      <w:kern w:val="0"/>
      <w:sz w:val="24"/>
    </w:rPr>
  </w:style>
  <w:style w:type="paragraph" w:styleId="26">
    <w:name w:val="Title"/>
    <w:basedOn w:val="1"/>
    <w:next w:val="1"/>
    <w:link w:val="46"/>
    <w:qFormat/>
    <w:uiPriority w:val="0"/>
    <w:pPr>
      <w:spacing w:before="240" w:after="60"/>
      <w:jc w:val="center"/>
      <w:outlineLvl w:val="0"/>
    </w:pPr>
    <w:rPr>
      <w:rFonts w:ascii="Arial" w:hAnsi="Arial" w:cs="Arial"/>
      <w:b/>
      <w:bCs/>
      <w:sz w:val="32"/>
      <w:szCs w:val="32"/>
    </w:rPr>
  </w:style>
  <w:style w:type="paragraph" w:styleId="27">
    <w:name w:val="annotation subject"/>
    <w:basedOn w:val="11"/>
    <w:next w:val="11"/>
    <w:link w:val="55"/>
    <w:qFormat/>
    <w:uiPriority w:val="99"/>
    <w:rPr>
      <w:b/>
      <w:bCs/>
    </w:rPr>
  </w:style>
  <w:style w:type="paragraph" w:styleId="28">
    <w:name w:val="Body Text First Indent 2"/>
    <w:basedOn w:val="14"/>
    <w:next w:val="1"/>
    <w:link w:val="56"/>
    <w:qFormat/>
    <w:uiPriority w:val="99"/>
    <w:pPr>
      <w:ind w:firstLine="420" w:firstLineChars="200"/>
    </w:pPr>
    <w:rPr>
      <w:rFonts w:ascii="宋体" w:hAnsi="Courier New"/>
      <w:spacing w:val="-4"/>
      <w:sz w:val="18"/>
    </w:rPr>
  </w:style>
  <w:style w:type="table" w:styleId="30">
    <w:name w:val="Table Grid"/>
    <w:basedOn w:val="29"/>
    <w:qFormat/>
    <w:uiPriority w:val="59"/>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2">
    <w:name w:val="Strong"/>
    <w:basedOn w:val="31"/>
    <w:qFormat/>
    <w:uiPriority w:val="22"/>
    <w:rPr>
      <w:b/>
    </w:rPr>
  </w:style>
  <w:style w:type="character" w:styleId="33">
    <w:name w:val="endnote reference"/>
    <w:unhideWhenUsed/>
    <w:qFormat/>
    <w:uiPriority w:val="99"/>
    <w:rPr>
      <w:vertAlign w:val="superscript"/>
    </w:rPr>
  </w:style>
  <w:style w:type="character" w:styleId="34">
    <w:name w:val="Hyperlink"/>
    <w:unhideWhenUsed/>
    <w:qFormat/>
    <w:uiPriority w:val="99"/>
    <w:rPr>
      <w:color w:val="0000FF"/>
      <w:u w:val="single"/>
    </w:rPr>
  </w:style>
  <w:style w:type="character" w:styleId="35">
    <w:name w:val="annotation reference"/>
    <w:qFormat/>
    <w:uiPriority w:val="0"/>
    <w:rPr>
      <w:sz w:val="21"/>
      <w:szCs w:val="21"/>
    </w:rPr>
  </w:style>
  <w:style w:type="character" w:customStyle="1" w:styleId="36">
    <w:name w:val="页眉 字符"/>
    <w:basedOn w:val="31"/>
    <w:link w:val="21"/>
    <w:qFormat/>
    <w:uiPriority w:val="99"/>
    <w:rPr>
      <w:sz w:val="18"/>
      <w:szCs w:val="18"/>
    </w:rPr>
  </w:style>
  <w:style w:type="character" w:customStyle="1" w:styleId="37">
    <w:name w:val="页脚 字符"/>
    <w:basedOn w:val="31"/>
    <w:link w:val="20"/>
    <w:qFormat/>
    <w:uiPriority w:val="99"/>
    <w:rPr>
      <w:sz w:val="18"/>
      <w:szCs w:val="18"/>
    </w:rPr>
  </w:style>
  <w:style w:type="character" w:customStyle="1" w:styleId="38">
    <w:name w:val="标题 1 字符"/>
    <w:basedOn w:val="31"/>
    <w:link w:val="2"/>
    <w:qFormat/>
    <w:uiPriority w:val="9"/>
    <w:rPr>
      <w:rFonts w:ascii="Times New Roman" w:hAnsi="Times New Roman" w:eastAsia="宋体" w:cs="Times New Roman"/>
      <w:b/>
      <w:bCs/>
      <w:kern w:val="44"/>
      <w:sz w:val="44"/>
      <w:szCs w:val="44"/>
    </w:rPr>
  </w:style>
  <w:style w:type="character" w:customStyle="1" w:styleId="39">
    <w:name w:val="标题 2 字符"/>
    <w:basedOn w:val="31"/>
    <w:link w:val="3"/>
    <w:qFormat/>
    <w:uiPriority w:val="0"/>
    <w:rPr>
      <w:rFonts w:ascii="Cambria" w:hAnsi="Cambria" w:eastAsia="宋体" w:cs="Times New Roman"/>
      <w:b/>
      <w:bCs/>
      <w:sz w:val="32"/>
      <w:szCs w:val="32"/>
    </w:rPr>
  </w:style>
  <w:style w:type="character" w:customStyle="1" w:styleId="40">
    <w:name w:val="标题 4 字符"/>
    <w:basedOn w:val="31"/>
    <w:link w:val="4"/>
    <w:qFormat/>
    <w:uiPriority w:val="0"/>
    <w:rPr>
      <w:rFonts w:ascii="Arial" w:hAnsi="Times New Roman" w:eastAsia="黑体" w:cs="Times New Roman"/>
      <w:kern w:val="0"/>
      <w:sz w:val="28"/>
      <w:szCs w:val="20"/>
    </w:rPr>
  </w:style>
  <w:style w:type="character" w:customStyle="1" w:styleId="41">
    <w:name w:val="标题 5 字符"/>
    <w:basedOn w:val="31"/>
    <w:link w:val="5"/>
    <w:qFormat/>
    <w:uiPriority w:val="9"/>
    <w:rPr>
      <w:rFonts w:ascii="Times New Roman" w:hAnsi="Times New Roman" w:eastAsia="宋体" w:cs="Times New Roman"/>
      <w:b/>
      <w:bCs/>
      <w:sz w:val="28"/>
      <w:szCs w:val="28"/>
    </w:rPr>
  </w:style>
  <w:style w:type="character" w:customStyle="1" w:styleId="42">
    <w:name w:val="标题 7 字符"/>
    <w:basedOn w:val="31"/>
    <w:link w:val="7"/>
    <w:qFormat/>
    <w:uiPriority w:val="0"/>
    <w:rPr>
      <w:rFonts w:ascii="Times New Roman" w:hAnsi="Times New Roman" w:eastAsia="宋体" w:cs="Times New Roman"/>
      <w:b/>
      <w:bCs/>
      <w:sz w:val="24"/>
      <w:szCs w:val="24"/>
    </w:rPr>
  </w:style>
  <w:style w:type="character" w:customStyle="1" w:styleId="43">
    <w:name w:val="标题 8 字符"/>
    <w:basedOn w:val="31"/>
    <w:link w:val="8"/>
    <w:qFormat/>
    <w:uiPriority w:val="9"/>
    <w:rPr>
      <w:rFonts w:ascii="等线 Light" w:hAnsi="等线 Light" w:eastAsia="等线 Light" w:cs="Times New Roman"/>
      <w:sz w:val="24"/>
      <w:szCs w:val="24"/>
    </w:rPr>
  </w:style>
  <w:style w:type="character" w:customStyle="1" w:styleId="44">
    <w:name w:val="正文文本 字符"/>
    <w:basedOn w:val="31"/>
    <w:qFormat/>
    <w:uiPriority w:val="0"/>
    <w:rPr>
      <w:rFonts w:ascii="Times New Roman" w:hAnsi="Times New Roman" w:eastAsia="宋体" w:cs="Times New Roman"/>
      <w:szCs w:val="24"/>
    </w:rPr>
  </w:style>
  <w:style w:type="character" w:customStyle="1" w:styleId="45">
    <w:name w:val="正文文本 字符1"/>
    <w:link w:val="13"/>
    <w:qFormat/>
    <w:uiPriority w:val="0"/>
    <w:rPr>
      <w:rFonts w:ascii="Times New Roman" w:hAnsi="Times New Roman" w:eastAsia="宋体" w:cs="Times New Roman"/>
      <w:szCs w:val="24"/>
    </w:rPr>
  </w:style>
  <w:style w:type="character" w:customStyle="1" w:styleId="46">
    <w:name w:val="标题 字符"/>
    <w:basedOn w:val="31"/>
    <w:link w:val="26"/>
    <w:qFormat/>
    <w:uiPriority w:val="0"/>
    <w:rPr>
      <w:rFonts w:ascii="Arial" w:hAnsi="Arial" w:eastAsia="宋体" w:cs="Arial"/>
      <w:b/>
      <w:bCs/>
      <w:sz w:val="32"/>
      <w:szCs w:val="32"/>
    </w:rPr>
  </w:style>
  <w:style w:type="character" w:customStyle="1" w:styleId="47">
    <w:name w:val="批注文字 字符"/>
    <w:basedOn w:val="31"/>
    <w:qFormat/>
    <w:uiPriority w:val="0"/>
    <w:rPr>
      <w:rFonts w:ascii="Times New Roman" w:hAnsi="Times New Roman" w:eastAsia="宋体" w:cs="Times New Roman"/>
      <w:szCs w:val="24"/>
    </w:rPr>
  </w:style>
  <w:style w:type="character" w:customStyle="1" w:styleId="48">
    <w:name w:val="批注文字 字符2"/>
    <w:link w:val="11"/>
    <w:qFormat/>
    <w:uiPriority w:val="0"/>
    <w:rPr>
      <w:rFonts w:ascii="Times New Roman" w:hAnsi="Times New Roman" w:eastAsia="宋体" w:cs="Times New Roman"/>
      <w:szCs w:val="24"/>
    </w:rPr>
  </w:style>
  <w:style w:type="character" w:customStyle="1" w:styleId="49">
    <w:name w:val="正文文本 3 字符"/>
    <w:basedOn w:val="31"/>
    <w:link w:val="12"/>
    <w:qFormat/>
    <w:uiPriority w:val="99"/>
    <w:rPr>
      <w:rFonts w:ascii="Times New Roman" w:hAnsi="Times New Roman" w:eastAsia="宋体" w:cs="Times New Roman"/>
      <w:sz w:val="16"/>
      <w:szCs w:val="16"/>
    </w:rPr>
  </w:style>
  <w:style w:type="character" w:customStyle="1" w:styleId="50">
    <w:name w:val="正文文本缩进 字符"/>
    <w:basedOn w:val="31"/>
    <w:link w:val="14"/>
    <w:qFormat/>
    <w:uiPriority w:val="0"/>
    <w:rPr>
      <w:rFonts w:ascii="仿宋_GB2312" w:hAnsi="Times New Roman" w:eastAsia="仿宋_GB2312" w:cs="Times New Roman"/>
      <w:kern w:val="0"/>
      <w:sz w:val="32"/>
      <w:szCs w:val="20"/>
    </w:rPr>
  </w:style>
  <w:style w:type="character" w:customStyle="1" w:styleId="51">
    <w:name w:val="纯文本 字符"/>
    <w:basedOn w:val="31"/>
    <w:qFormat/>
    <w:uiPriority w:val="0"/>
    <w:rPr>
      <w:rFonts w:hAnsi="Courier New" w:cs="Courier New" w:asciiTheme="minorEastAsia"/>
      <w:szCs w:val="24"/>
    </w:rPr>
  </w:style>
  <w:style w:type="character" w:customStyle="1" w:styleId="52">
    <w:name w:val="纯文本 字符3"/>
    <w:link w:val="16"/>
    <w:qFormat/>
    <w:uiPriority w:val="0"/>
    <w:rPr>
      <w:rFonts w:ascii="宋体" w:hAnsi="Courier New" w:eastAsia="宋体" w:cs="Times New Roman"/>
      <w:kern w:val="0"/>
      <w:sz w:val="20"/>
      <w:szCs w:val="21"/>
    </w:rPr>
  </w:style>
  <w:style w:type="character" w:customStyle="1" w:styleId="53">
    <w:name w:val="日期 字符"/>
    <w:basedOn w:val="31"/>
    <w:link w:val="17"/>
    <w:qFormat/>
    <w:uiPriority w:val="99"/>
    <w:rPr>
      <w:rFonts w:ascii="Times New Roman" w:hAnsi="Times New Roman" w:eastAsia="宋体" w:cs="Times New Roman"/>
      <w:szCs w:val="24"/>
    </w:rPr>
  </w:style>
  <w:style w:type="character" w:customStyle="1" w:styleId="54">
    <w:name w:val="批注框文本 字符"/>
    <w:basedOn w:val="31"/>
    <w:link w:val="19"/>
    <w:semiHidden/>
    <w:qFormat/>
    <w:uiPriority w:val="0"/>
    <w:rPr>
      <w:rFonts w:ascii="Times New Roman" w:hAnsi="Times New Roman" w:eastAsia="宋体" w:cs="Times New Roman"/>
      <w:sz w:val="18"/>
      <w:szCs w:val="18"/>
    </w:rPr>
  </w:style>
  <w:style w:type="character" w:customStyle="1" w:styleId="55">
    <w:name w:val="批注主题 字符"/>
    <w:basedOn w:val="47"/>
    <w:link w:val="27"/>
    <w:qFormat/>
    <w:uiPriority w:val="99"/>
    <w:rPr>
      <w:rFonts w:ascii="Times New Roman" w:hAnsi="Times New Roman" w:eastAsia="宋体" w:cs="Times New Roman"/>
      <w:b/>
      <w:bCs/>
      <w:szCs w:val="24"/>
    </w:rPr>
  </w:style>
  <w:style w:type="character" w:customStyle="1" w:styleId="56">
    <w:name w:val="正文首行缩进 2 字符"/>
    <w:basedOn w:val="50"/>
    <w:link w:val="28"/>
    <w:qFormat/>
    <w:uiPriority w:val="99"/>
    <w:rPr>
      <w:rFonts w:ascii="宋体" w:hAnsi="Courier New" w:eastAsia="仿宋_GB2312" w:cs="Times New Roman"/>
      <w:spacing w:val="-4"/>
      <w:kern w:val="0"/>
      <w:sz w:val="18"/>
      <w:szCs w:val="20"/>
    </w:rPr>
  </w:style>
  <w:style w:type="character" w:customStyle="1" w:styleId="57">
    <w:name w:val="纯文本 字符1"/>
    <w:qFormat/>
    <w:uiPriority w:val="0"/>
    <w:rPr>
      <w:rFonts w:ascii="宋体" w:hAnsi="Courier New"/>
    </w:rPr>
  </w:style>
  <w:style w:type="character" w:customStyle="1" w:styleId="58">
    <w:name w:val="正文文本 Char"/>
    <w:qFormat/>
    <w:uiPriority w:val="0"/>
    <w:rPr>
      <w:rFonts w:ascii="Times New Roman" w:hAnsi="Times New Roman"/>
      <w:kern w:val="2"/>
      <w:sz w:val="21"/>
      <w:szCs w:val="24"/>
    </w:rPr>
  </w:style>
  <w:style w:type="character" w:customStyle="1" w:styleId="59">
    <w:name w:val="纯文本 字符2"/>
    <w:qFormat/>
    <w:uiPriority w:val="0"/>
    <w:rPr>
      <w:rFonts w:ascii="宋体" w:hAnsi="Courier New" w:eastAsia="宋体" w:cs="Courier New"/>
      <w:szCs w:val="21"/>
    </w:rPr>
  </w:style>
  <w:style w:type="character" w:customStyle="1" w:styleId="60">
    <w:name w:val="apple-style-span"/>
    <w:qFormat/>
    <w:uiPriority w:val="0"/>
  </w:style>
  <w:style w:type="character" w:customStyle="1" w:styleId="61">
    <w:name w:val="批注文字 Char"/>
    <w:qFormat/>
    <w:uiPriority w:val="0"/>
    <w:rPr>
      <w:rFonts w:ascii="Times New Roman" w:hAnsi="Times New Roman"/>
      <w:kern w:val="2"/>
      <w:sz w:val="21"/>
      <w:szCs w:val="24"/>
    </w:rPr>
  </w:style>
  <w:style w:type="character" w:customStyle="1" w:styleId="62">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63">
    <w:name w:val="textcontents"/>
    <w:qFormat/>
    <w:uiPriority w:val="0"/>
  </w:style>
  <w:style w:type="character" w:customStyle="1" w:styleId="64">
    <w:name w:val="标题 1 字符1"/>
    <w:qFormat/>
    <w:uiPriority w:val="0"/>
    <w:rPr>
      <w:b/>
      <w:bCs/>
      <w:kern w:val="44"/>
      <w:sz w:val="44"/>
      <w:szCs w:val="44"/>
    </w:rPr>
  </w:style>
  <w:style w:type="character" w:customStyle="1" w:styleId="65">
    <w:name w:val="批注文字 Char2"/>
    <w:qFormat/>
    <w:uiPriority w:val="0"/>
    <w:rPr>
      <w:rFonts w:ascii="Times New Roman" w:hAnsi="Times New Roman"/>
      <w:kern w:val="2"/>
      <w:sz w:val="21"/>
      <w:szCs w:val="24"/>
    </w:rPr>
  </w:style>
  <w:style w:type="character" w:customStyle="1" w:styleId="66">
    <w:name w:val="标题 2 Char"/>
    <w:qFormat/>
    <w:uiPriority w:val="0"/>
    <w:rPr>
      <w:rFonts w:ascii="Cambria" w:hAnsi="Cambria" w:eastAsia="宋体" w:cs="Times New Roman"/>
      <w:b/>
      <w:bCs/>
      <w:kern w:val="2"/>
      <w:sz w:val="32"/>
      <w:szCs w:val="32"/>
    </w:rPr>
  </w:style>
  <w:style w:type="character" w:customStyle="1" w:styleId="67">
    <w:name w:val="纯文本 Char"/>
    <w:qFormat/>
    <w:uiPriority w:val="0"/>
    <w:rPr>
      <w:rFonts w:ascii="宋体" w:hAnsi="Courier New" w:eastAsia="宋体" w:cs="Courier New"/>
      <w:szCs w:val="21"/>
    </w:rPr>
  </w:style>
  <w:style w:type="character" w:customStyle="1" w:styleId="68">
    <w:name w:val="标题 8 Char"/>
    <w:qFormat/>
    <w:uiPriority w:val="0"/>
    <w:rPr>
      <w:rFonts w:ascii="Arial" w:hAnsi="Arial" w:eastAsia="黑体"/>
      <w:kern w:val="2"/>
      <w:sz w:val="24"/>
      <w:szCs w:val="24"/>
    </w:rPr>
  </w:style>
  <w:style w:type="character" w:customStyle="1" w:styleId="69">
    <w:name w:val="font51"/>
    <w:qFormat/>
    <w:uiPriority w:val="0"/>
    <w:rPr>
      <w:rFonts w:hint="default" w:ascii="Times New Roman" w:hAnsi="Times New Roman" w:cs="Times New Roman"/>
      <w:b/>
      <w:color w:val="000000"/>
      <w:sz w:val="18"/>
      <w:szCs w:val="18"/>
      <w:u w:val="none"/>
    </w:rPr>
  </w:style>
  <w:style w:type="character" w:customStyle="1" w:styleId="70">
    <w:name w:val="批注文字 字符1"/>
    <w:qFormat/>
    <w:uiPriority w:val="0"/>
    <w:rPr>
      <w:rFonts w:ascii="Times New Roman" w:hAnsi="Times New Roman"/>
      <w:kern w:val="2"/>
      <w:sz w:val="21"/>
      <w:szCs w:val="24"/>
    </w:rPr>
  </w:style>
  <w:style w:type="paragraph" w:customStyle="1" w:styleId="71">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styleId="72">
    <w:name w:val="List Paragraph"/>
    <w:basedOn w:val="1"/>
    <w:qFormat/>
    <w:uiPriority w:val="34"/>
    <w:pPr>
      <w:ind w:firstLine="420" w:firstLineChars="200"/>
    </w:pPr>
  </w:style>
  <w:style w:type="paragraph" w:customStyle="1" w:styleId="73">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74">
    <w:name w:val="Title1"/>
    <w:basedOn w:val="1"/>
    <w:next w:val="1"/>
    <w:qFormat/>
    <w:uiPriority w:val="0"/>
    <w:pPr>
      <w:jc w:val="center"/>
      <w:outlineLvl w:val="0"/>
    </w:pPr>
    <w:rPr>
      <w:rFonts w:ascii="Calibri Light" w:hAnsi="Calibri Light" w:eastAsia="Arial Unicode MS"/>
      <w:b/>
    </w:rPr>
  </w:style>
  <w:style w:type="paragraph" w:customStyle="1" w:styleId="75">
    <w:name w:val="默认段落字体 Para Char Char Char Char Char Char Char Char Char1 Char Char Char Char"/>
    <w:basedOn w:val="1"/>
    <w:qFormat/>
    <w:uiPriority w:val="0"/>
    <w:rPr>
      <w:rFonts w:ascii="Tahoma" w:hAnsi="Tahoma"/>
      <w:sz w:val="24"/>
      <w:szCs w:val="20"/>
    </w:rPr>
  </w:style>
  <w:style w:type="paragraph" w:customStyle="1" w:styleId="76">
    <w:name w:val="样式 0正文 + 首行缩进:  2 字符1"/>
    <w:basedOn w:val="1"/>
    <w:qFormat/>
    <w:uiPriority w:val="99"/>
    <w:pPr>
      <w:spacing w:line="360" w:lineRule="auto"/>
      <w:ind w:firstLine="200" w:firstLineChars="200"/>
    </w:pPr>
    <w:rPr>
      <w:szCs w:val="20"/>
    </w:rPr>
  </w:style>
  <w:style w:type="paragraph" w:customStyle="1" w:styleId="77">
    <w:name w:val="无间隔1"/>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78">
    <w:name w:val="Table Paragraph"/>
    <w:basedOn w:val="1"/>
    <w:qFormat/>
    <w:uiPriority w:val="1"/>
    <w:pPr>
      <w:jc w:val="left"/>
    </w:pPr>
    <w:rPr>
      <w:rFonts w:ascii="Calibri" w:hAnsi="Calibri"/>
      <w:kern w:val="0"/>
      <w:sz w:val="22"/>
      <w:szCs w:val="22"/>
      <w:lang w:eastAsia="en-US"/>
    </w:rPr>
  </w:style>
  <w:style w:type="paragraph" w:customStyle="1" w:styleId="79">
    <w:name w:val="正文-公11"/>
    <w:basedOn w:val="1"/>
    <w:qFormat/>
    <w:uiPriority w:val="0"/>
    <w:pPr>
      <w:ind w:firstLine="200" w:firstLineChars="200"/>
      <w:jc w:val="left"/>
    </w:pPr>
    <w:rPr>
      <w:rFonts w:eastAsia="仿宋_GB2312"/>
    </w:rPr>
  </w:style>
  <w:style w:type="paragraph" w:customStyle="1" w:styleId="80">
    <w:name w:val="my正文"/>
    <w:basedOn w:val="1"/>
    <w:link w:val="81"/>
    <w:qFormat/>
    <w:uiPriority w:val="0"/>
    <w:pPr>
      <w:spacing w:line="360" w:lineRule="auto"/>
      <w:ind w:firstLine="480" w:firstLineChars="200"/>
    </w:pPr>
    <w:rPr>
      <w:sz w:val="24"/>
      <w:lang w:val="zh-CN"/>
    </w:rPr>
  </w:style>
  <w:style w:type="character" w:customStyle="1" w:styleId="81">
    <w:name w:val="my正文 Char"/>
    <w:link w:val="80"/>
    <w:qFormat/>
    <w:uiPriority w:val="0"/>
    <w:rPr>
      <w:rFonts w:ascii="Times New Roman" w:hAnsi="Times New Roman" w:eastAsia="宋体" w:cs="Times New Roman"/>
      <w:sz w:val="24"/>
      <w:szCs w:val="24"/>
      <w:lang w:val="zh-CN"/>
    </w:rPr>
  </w:style>
  <w:style w:type="character" w:customStyle="1" w:styleId="82">
    <w:name w:val="纯文本 Char2"/>
    <w:qFormat/>
    <w:uiPriority w:val="0"/>
    <w:rPr>
      <w:rFonts w:ascii="宋体" w:hAnsi="Courier New" w:eastAsia="宋体" w:cs="Courier New"/>
      <w:szCs w:val="21"/>
    </w:rPr>
  </w:style>
  <w:style w:type="character" w:customStyle="1" w:styleId="83">
    <w:name w:val="脚注文本 字符"/>
    <w:basedOn w:val="31"/>
    <w:link w:val="23"/>
    <w:qFormat/>
    <w:uiPriority w:val="99"/>
    <w:rPr>
      <w:rFonts w:ascii="Times New Roman" w:hAnsi="Times New Roman" w:eastAsia="宋体" w:cs="Times New Roman"/>
      <w:sz w:val="18"/>
      <w:szCs w:val="18"/>
    </w:rPr>
  </w:style>
  <w:style w:type="character" w:customStyle="1" w:styleId="84">
    <w:name w:val="正文文本缩进 2 字符"/>
    <w:basedOn w:val="31"/>
    <w:link w:val="18"/>
    <w:semiHidden/>
    <w:qFormat/>
    <w:uiPriority w:val="99"/>
    <w:rPr>
      <w:rFonts w:ascii="Times New Roman" w:hAnsi="Times New Roman" w:eastAsia="宋体" w:cs="Times New Roman"/>
      <w:szCs w:val="24"/>
    </w:rPr>
  </w:style>
  <w:style w:type="paragraph" w:customStyle="1" w:styleId="85">
    <w:name w:val="纯文本1"/>
    <w:basedOn w:val="1"/>
    <w:qFormat/>
    <w:uiPriority w:val="0"/>
    <w:pPr>
      <w:adjustRightInd w:val="0"/>
      <w:jc w:val="left"/>
      <w:textAlignment w:val="baseline"/>
    </w:pPr>
    <w:rPr>
      <w:rFonts w:ascii="宋体" w:hAnsi="Courier New"/>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D64431C-A10E-4F21-954C-B7F56855377D}">
  <ds:schemaRefs/>
</ds:datastoreItem>
</file>

<file path=docProps/app.xml><?xml version="1.0" encoding="utf-8"?>
<Properties xmlns="http://schemas.openxmlformats.org/officeDocument/2006/extended-properties" xmlns:vt="http://schemas.openxmlformats.org/officeDocument/2006/docPropsVTypes">
  <Template>Normal</Template>
  <Company>dell</Company>
  <Pages>93</Pages>
  <Words>18937</Words>
  <Characters>20214</Characters>
  <Lines>612</Lines>
  <Paragraphs>172</Paragraphs>
  <TotalTime>1</TotalTime>
  <ScaleCrop>false</ScaleCrop>
  <LinksUpToDate>false</LinksUpToDate>
  <CharactersWithSpaces>20331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2025-02-24T08:14:00Z</dcterms:created>
  <dc:creator>TSE James</dc:creator>
  <cp:lastModifiedBy>辉</cp:lastModifiedBy>
  <cp:lastPrinted>2025-11-03T03:17:00Z</cp:lastPrinted>
  <dcterms:modified xsi:type="dcterms:W3CDTF">2025-11-10T09:12:18Z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C64FA004C4EE40F0ADD61EA19A80A738_13</vt:lpwstr>
  </property>
  <property fmtid="{D5CDD505-2E9C-101B-9397-08002B2CF9AE}" pid="4" name="KSOTemplateDocerSaveRecord">
    <vt:lpwstr>eyJoZGlkIjoiNmE3N2FkNGRhNmYzODI4NjQwNTE1MTI2NmI3YThhNzQiLCJ1c2VySWQiOiI0MjYwNDg1MjgifQ==</vt:lpwstr>
  </property>
</Properties>
</file>