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879FF">
      <w:pPr>
        <w:spacing w:beforeLines="50" w:line="360" w:lineRule="auto"/>
        <w:jc w:val="center"/>
        <w:rPr>
          <w:rFonts w:asciiTheme="minorEastAsia" w:hAnsiTheme="minorEastAsia" w:eastAsiaTheme="minorEastAsia" w:cstheme="minorEastAsia"/>
          <w:color w:val="auto"/>
          <w:sz w:val="52"/>
          <w:szCs w:val="52"/>
          <w:highlight w:val="none"/>
        </w:rPr>
      </w:pPr>
      <w:r>
        <w:rPr>
          <w:rFonts w:hint="eastAsia" w:asciiTheme="minorEastAsia" w:hAnsiTheme="minorEastAsia" w:eastAsiaTheme="minorEastAsia" w:cstheme="minorEastAsia"/>
          <w:color w:val="auto"/>
          <w:sz w:val="52"/>
          <w:szCs w:val="52"/>
          <w:highlight w:val="none"/>
        </w:rPr>
        <w:t>南宁市政府采购</w:t>
      </w:r>
    </w:p>
    <w:p w14:paraId="0E13325E">
      <w:pPr>
        <w:spacing w:beforeLines="50" w:line="360" w:lineRule="auto"/>
        <w:jc w:val="center"/>
        <w:rPr>
          <w:rFonts w:asciiTheme="minorEastAsia" w:hAnsiTheme="minorEastAsia" w:eastAsiaTheme="minorEastAsia" w:cstheme="minorEastAsia"/>
          <w:color w:val="auto"/>
          <w:sz w:val="52"/>
          <w:szCs w:val="52"/>
          <w:highlight w:val="none"/>
        </w:rPr>
      </w:pPr>
      <w:r>
        <w:rPr>
          <w:rFonts w:hint="eastAsia" w:asciiTheme="minorEastAsia" w:hAnsiTheme="minorEastAsia" w:eastAsiaTheme="minorEastAsia" w:cstheme="minorEastAsia"/>
          <w:color w:val="auto"/>
          <w:sz w:val="52"/>
          <w:szCs w:val="52"/>
          <w:highlight w:val="none"/>
        </w:rPr>
        <w:t>公开招标文件（服务类）</w:t>
      </w:r>
    </w:p>
    <w:p w14:paraId="580E7D0B">
      <w:pPr>
        <w:spacing w:beforeLines="50" w:line="360" w:lineRule="auto"/>
        <w:jc w:val="center"/>
        <w:rPr>
          <w:rFonts w:asciiTheme="minorEastAsia" w:hAnsiTheme="minorEastAsia" w:eastAsiaTheme="minorEastAsia" w:cstheme="minorEastAsia"/>
          <w:b/>
          <w:color w:val="auto"/>
          <w:sz w:val="48"/>
          <w:szCs w:val="48"/>
          <w:highlight w:val="none"/>
        </w:rPr>
      </w:pPr>
    </w:p>
    <w:p w14:paraId="33949B58">
      <w:pPr>
        <w:spacing w:beforeLines="50" w:line="360" w:lineRule="auto"/>
        <w:jc w:val="center"/>
        <w:rPr>
          <w:rFonts w:asciiTheme="minorEastAsia" w:hAnsiTheme="minorEastAsia" w:eastAsiaTheme="minorEastAsia" w:cstheme="minorEastAsia"/>
          <w:b/>
          <w:color w:val="auto"/>
          <w:sz w:val="48"/>
          <w:szCs w:val="48"/>
          <w:highlight w:val="none"/>
        </w:rPr>
      </w:pPr>
    </w:p>
    <w:p w14:paraId="452D4ACA">
      <w:pPr>
        <w:snapToGrid w:val="0"/>
        <w:spacing w:beforeLines="50" w:line="360" w:lineRule="auto"/>
        <w:jc w:val="center"/>
        <w:rPr>
          <w:rFonts w:asciiTheme="minorEastAsia" w:hAnsiTheme="minorEastAsia" w:eastAsiaTheme="minorEastAsia" w:cstheme="minorEastAsia"/>
          <w:color w:val="auto"/>
          <w:sz w:val="72"/>
          <w:szCs w:val="72"/>
          <w:highlight w:val="none"/>
        </w:rPr>
      </w:pPr>
      <w:r>
        <w:rPr>
          <w:rFonts w:hint="eastAsia" w:asciiTheme="minorEastAsia" w:hAnsiTheme="minorEastAsia" w:eastAsiaTheme="minorEastAsia" w:cstheme="minorEastAsia"/>
          <w:color w:val="auto"/>
          <w:sz w:val="72"/>
          <w:szCs w:val="72"/>
          <w:highlight w:val="none"/>
        </w:rPr>
        <w:t>招 标 文 件</w:t>
      </w:r>
    </w:p>
    <w:p w14:paraId="79CBEB22">
      <w:pPr>
        <w:snapToGrid w:val="0"/>
        <w:spacing w:beforeLines="50" w:line="360" w:lineRule="auto"/>
        <w:jc w:val="center"/>
        <w:rPr>
          <w:rFonts w:asciiTheme="minorEastAsia" w:hAnsiTheme="minorEastAsia" w:eastAsiaTheme="minorEastAsia" w:cstheme="minorEastAsia"/>
          <w:color w:val="auto"/>
          <w:sz w:val="30"/>
          <w:szCs w:val="72"/>
          <w:highlight w:val="none"/>
        </w:rPr>
      </w:pPr>
      <w:r>
        <w:rPr>
          <w:rFonts w:hint="eastAsia" w:asciiTheme="minorEastAsia" w:hAnsiTheme="minorEastAsia" w:eastAsiaTheme="minorEastAsia" w:cstheme="minorEastAsia"/>
          <w:color w:val="auto"/>
          <w:sz w:val="30"/>
          <w:szCs w:val="72"/>
          <w:highlight w:val="none"/>
        </w:rPr>
        <w:t>（全流程电子化评标）</w:t>
      </w:r>
    </w:p>
    <w:p w14:paraId="479F754E">
      <w:pPr>
        <w:snapToGrid w:val="0"/>
        <w:spacing w:beforeLines="50" w:line="360" w:lineRule="auto"/>
        <w:rPr>
          <w:rFonts w:asciiTheme="minorEastAsia" w:hAnsiTheme="minorEastAsia" w:eastAsiaTheme="minorEastAsia" w:cstheme="minorEastAsia"/>
          <w:color w:val="auto"/>
          <w:sz w:val="30"/>
          <w:szCs w:val="72"/>
          <w:highlight w:val="none"/>
        </w:rPr>
      </w:pPr>
    </w:p>
    <w:p w14:paraId="0DFD0389">
      <w:pPr>
        <w:pStyle w:val="12"/>
        <w:snapToGrid w:val="0"/>
        <w:spacing w:before="50" w:after="120" w:line="360" w:lineRule="auto"/>
        <w:ind w:firstLine="1193" w:firstLineChars="396"/>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w:t>
      </w:r>
      <w:r>
        <w:rPr>
          <w:rFonts w:hint="eastAsia" w:asciiTheme="minorEastAsia" w:hAnsiTheme="minorEastAsia" w:eastAsiaTheme="minorEastAsia" w:cstheme="minorEastAsia"/>
          <w:b/>
          <w:bCs/>
          <w:color w:val="auto"/>
          <w:w w:val="95"/>
          <w:sz w:val="30"/>
          <w:szCs w:val="30"/>
          <w:highlight w:val="none"/>
        </w:rPr>
        <w:t>名称</w:t>
      </w:r>
      <w:r>
        <w:rPr>
          <w:rFonts w:hint="eastAsia" w:asciiTheme="minorEastAsia" w:hAnsiTheme="minorEastAsia" w:eastAsiaTheme="minorEastAsia" w:cstheme="minorEastAsia"/>
          <w:b/>
          <w:bCs/>
          <w:color w:val="auto"/>
          <w:sz w:val="30"/>
          <w:szCs w:val="30"/>
          <w:highlight w:val="none"/>
        </w:rPr>
        <w:t>：南宁市2025年政府和社会资本合作新机制项目实施方</w:t>
      </w:r>
    </w:p>
    <w:p w14:paraId="2D65023A">
      <w:pPr>
        <w:pStyle w:val="12"/>
        <w:snapToGrid w:val="0"/>
        <w:spacing w:before="50" w:after="120" w:line="360" w:lineRule="auto"/>
        <w:ind w:firstLine="2711" w:firstLineChars="900"/>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案评审服务</w:t>
      </w:r>
    </w:p>
    <w:p w14:paraId="005B11A2">
      <w:pPr>
        <w:snapToGrid w:val="0"/>
        <w:spacing w:beforeLines="50" w:line="360" w:lineRule="auto"/>
        <w:ind w:firstLine="1145" w:firstLineChars="400"/>
        <w:rPr>
          <w:rFonts w:asciiTheme="minorEastAsia" w:hAnsiTheme="minorEastAsia" w:eastAsiaTheme="minorEastAsia" w:cstheme="minorEastAsia"/>
          <w:b/>
          <w:color w:val="auto"/>
          <w:sz w:val="30"/>
          <w:szCs w:val="48"/>
          <w:highlight w:val="none"/>
        </w:rPr>
      </w:pPr>
      <w:r>
        <w:rPr>
          <w:rFonts w:hint="eastAsia" w:asciiTheme="minorEastAsia" w:hAnsiTheme="minorEastAsia" w:eastAsiaTheme="minorEastAsia" w:cstheme="minorEastAsia"/>
          <w:b/>
          <w:bCs/>
          <w:color w:val="auto"/>
          <w:w w:val="95"/>
          <w:sz w:val="30"/>
          <w:szCs w:val="30"/>
          <w:highlight w:val="none"/>
        </w:rPr>
        <w:t>项目</w:t>
      </w:r>
      <w:r>
        <w:rPr>
          <w:rFonts w:hint="eastAsia" w:asciiTheme="minorEastAsia" w:hAnsiTheme="minorEastAsia" w:eastAsiaTheme="minorEastAsia" w:cstheme="minorEastAsia"/>
          <w:b/>
          <w:bCs/>
          <w:color w:val="auto"/>
          <w:sz w:val="30"/>
          <w:szCs w:val="30"/>
          <w:highlight w:val="none"/>
        </w:rPr>
        <w:t>编号</w:t>
      </w:r>
      <w:r>
        <w:rPr>
          <w:rFonts w:hint="eastAsia" w:asciiTheme="minorEastAsia" w:hAnsiTheme="minorEastAsia" w:eastAsiaTheme="minorEastAsia" w:cstheme="minorEastAsia"/>
          <w:b/>
          <w:bCs/>
          <w:color w:val="auto"/>
          <w:w w:val="95"/>
          <w:sz w:val="30"/>
          <w:szCs w:val="30"/>
          <w:highlight w:val="none"/>
        </w:rPr>
        <w:t>：</w:t>
      </w:r>
      <w:r>
        <w:rPr>
          <w:rFonts w:hint="eastAsia" w:asciiTheme="minorEastAsia" w:hAnsiTheme="minorEastAsia" w:eastAsiaTheme="minorEastAsia" w:cstheme="minorEastAsia"/>
          <w:b/>
          <w:color w:val="auto"/>
          <w:sz w:val="30"/>
          <w:szCs w:val="48"/>
          <w:highlight w:val="none"/>
        </w:rPr>
        <w:t>NNZC2025-G3-990774-JGJD</w:t>
      </w:r>
    </w:p>
    <w:p w14:paraId="6F2CB721">
      <w:pPr>
        <w:snapToGrid w:val="0"/>
        <w:spacing w:beforeLines="50" w:line="360" w:lineRule="auto"/>
        <w:ind w:firstLine="1205" w:firstLineChars="400"/>
        <w:rPr>
          <w:rFonts w:asciiTheme="minorEastAsia" w:hAnsiTheme="minorEastAsia" w:eastAsiaTheme="minorEastAsia" w:cstheme="minorEastAsia"/>
          <w:b/>
          <w:color w:val="auto"/>
          <w:sz w:val="30"/>
          <w:szCs w:val="48"/>
          <w:highlight w:val="none"/>
        </w:rPr>
      </w:pPr>
      <w:r>
        <w:rPr>
          <w:rFonts w:hint="eastAsia" w:asciiTheme="minorEastAsia" w:hAnsiTheme="minorEastAsia" w:eastAsiaTheme="minorEastAsia" w:cstheme="minorEastAsia"/>
          <w:b/>
          <w:color w:val="auto"/>
          <w:sz w:val="30"/>
          <w:szCs w:val="48"/>
          <w:highlight w:val="none"/>
        </w:rPr>
        <w:t>项目所属区划：</w:t>
      </w:r>
      <w:r>
        <w:rPr>
          <w:rFonts w:hint="eastAsia" w:asciiTheme="minorEastAsia" w:hAnsiTheme="minorEastAsia" w:eastAsiaTheme="minorEastAsia" w:cstheme="minorEastAsia"/>
          <w:b/>
          <w:color w:val="auto"/>
          <w:sz w:val="30"/>
          <w:szCs w:val="48"/>
          <w:highlight w:val="none"/>
          <w:u w:val="single"/>
        </w:rPr>
        <w:t xml:space="preserve"> 南宁市本级</w:t>
      </w:r>
    </w:p>
    <w:p w14:paraId="45BE6889">
      <w:pPr>
        <w:pStyle w:val="12"/>
        <w:snapToGrid w:val="0"/>
        <w:spacing w:before="50" w:after="120" w:line="360" w:lineRule="auto"/>
        <w:ind w:firstLine="1125" w:firstLineChars="393"/>
        <w:rPr>
          <w:rFonts w:asciiTheme="minorEastAsia" w:hAnsiTheme="minorEastAsia" w:eastAsiaTheme="minorEastAsia" w:cstheme="minorEastAsia"/>
          <w:b/>
          <w:bCs/>
          <w:color w:val="auto"/>
          <w:w w:val="95"/>
          <w:sz w:val="30"/>
          <w:szCs w:val="30"/>
          <w:highlight w:val="none"/>
        </w:rPr>
      </w:pPr>
      <w:r>
        <w:rPr>
          <w:rFonts w:hint="eastAsia" w:asciiTheme="minorEastAsia" w:hAnsiTheme="minorEastAsia" w:eastAsiaTheme="minorEastAsia" w:cstheme="minorEastAsia"/>
          <w:b/>
          <w:bCs/>
          <w:color w:val="auto"/>
          <w:w w:val="95"/>
          <w:sz w:val="30"/>
          <w:szCs w:val="30"/>
          <w:highlight w:val="none"/>
        </w:rPr>
        <w:t>采 购 人：南宁市固定资产投资项目前期服务中心</w:t>
      </w:r>
    </w:p>
    <w:p w14:paraId="3CBB724E">
      <w:pPr>
        <w:pStyle w:val="12"/>
        <w:snapToGrid w:val="0"/>
        <w:spacing w:before="50" w:after="120" w:line="360" w:lineRule="auto"/>
        <w:ind w:firstLine="1125" w:firstLineChars="393"/>
        <w:rPr>
          <w:rFonts w:asciiTheme="minorEastAsia" w:hAnsiTheme="minorEastAsia" w:eastAsiaTheme="minorEastAsia" w:cstheme="minorEastAsia"/>
          <w:b/>
          <w:bCs/>
          <w:color w:val="auto"/>
          <w:w w:val="95"/>
          <w:sz w:val="30"/>
          <w:szCs w:val="30"/>
          <w:highlight w:val="none"/>
        </w:rPr>
      </w:pPr>
      <w:r>
        <w:rPr>
          <w:rFonts w:hint="eastAsia" w:asciiTheme="minorEastAsia" w:hAnsiTheme="minorEastAsia" w:eastAsiaTheme="minorEastAsia" w:cstheme="minorEastAsia"/>
          <w:b/>
          <w:bCs/>
          <w:color w:val="auto"/>
          <w:w w:val="95"/>
          <w:sz w:val="30"/>
          <w:szCs w:val="30"/>
          <w:highlight w:val="none"/>
        </w:rPr>
        <w:t>采购代理机构：</w:t>
      </w:r>
      <w:bookmarkStart w:id="0" w:name="PO_3000001866_PM031"/>
      <w:r>
        <w:rPr>
          <w:rFonts w:hint="eastAsia" w:asciiTheme="minorEastAsia" w:hAnsiTheme="minorEastAsia" w:eastAsiaTheme="minorEastAsia" w:cstheme="minorEastAsia"/>
          <w:b/>
          <w:bCs/>
          <w:color w:val="auto"/>
          <w:w w:val="95"/>
          <w:sz w:val="30"/>
          <w:szCs w:val="30"/>
          <w:highlight w:val="none"/>
        </w:rPr>
        <w:t>广西建设工程机电设备招标中心有限公司</w:t>
      </w:r>
      <w:bookmarkEnd w:id="0"/>
    </w:p>
    <w:p w14:paraId="4F03AB7C">
      <w:pPr>
        <w:pStyle w:val="12"/>
        <w:snapToGrid w:val="0"/>
        <w:spacing w:before="50" w:after="120" w:line="360" w:lineRule="auto"/>
        <w:ind w:firstLine="841" w:firstLineChars="294"/>
        <w:rPr>
          <w:rFonts w:asciiTheme="minorEastAsia" w:hAnsiTheme="minorEastAsia" w:eastAsiaTheme="minorEastAsia" w:cstheme="minorEastAsia"/>
          <w:b/>
          <w:bCs/>
          <w:color w:val="auto"/>
          <w:w w:val="95"/>
          <w:sz w:val="30"/>
          <w:szCs w:val="30"/>
          <w:highlight w:val="none"/>
        </w:rPr>
      </w:pPr>
      <w:r>
        <w:rPr>
          <w:rFonts w:hint="eastAsia" w:asciiTheme="minorEastAsia" w:hAnsiTheme="minorEastAsia" w:eastAsiaTheme="minorEastAsia" w:cstheme="minorEastAsia"/>
          <w:b/>
          <w:bCs/>
          <w:color w:val="auto"/>
          <w:w w:val="95"/>
          <w:sz w:val="30"/>
          <w:szCs w:val="30"/>
          <w:highlight w:val="none"/>
        </w:rPr>
        <w:t xml:space="preserve">                </w:t>
      </w:r>
    </w:p>
    <w:p w14:paraId="72F006C1">
      <w:pPr>
        <w:pStyle w:val="12"/>
        <w:snapToGrid w:val="0"/>
        <w:spacing w:before="50" w:after="120" w:line="360" w:lineRule="auto"/>
        <w:jc w:val="center"/>
        <w:rPr>
          <w:rFonts w:asciiTheme="minorEastAsia" w:hAnsiTheme="minorEastAsia" w:eastAsiaTheme="minorEastAsia" w:cstheme="minorEastAsia"/>
          <w:b/>
          <w:bCs/>
          <w:color w:val="auto"/>
          <w:w w:val="95"/>
          <w:sz w:val="30"/>
          <w:szCs w:val="30"/>
          <w:highlight w:val="none"/>
        </w:rPr>
      </w:pPr>
      <w:r>
        <w:rPr>
          <w:rFonts w:hint="eastAsia" w:asciiTheme="minorEastAsia" w:hAnsiTheme="minorEastAsia" w:eastAsiaTheme="minorEastAsia" w:cstheme="minorEastAsia"/>
          <w:b/>
          <w:bCs/>
          <w:color w:val="auto"/>
          <w:w w:val="95"/>
          <w:sz w:val="30"/>
          <w:szCs w:val="30"/>
          <w:highlight w:val="none"/>
        </w:rPr>
        <w:t>2025年8月</w:t>
      </w:r>
      <w:r>
        <w:rPr>
          <w:rFonts w:hint="eastAsia" w:asciiTheme="minorEastAsia" w:hAnsiTheme="minorEastAsia" w:eastAsiaTheme="minorEastAsia" w:cstheme="minorEastAsia"/>
          <w:b/>
          <w:bCs/>
          <w:color w:val="auto"/>
          <w:w w:val="95"/>
          <w:sz w:val="30"/>
          <w:szCs w:val="30"/>
          <w:highlight w:val="none"/>
          <w:lang w:val="en-US" w:eastAsia="zh-CN"/>
        </w:rPr>
        <w:t>18</w:t>
      </w:r>
      <w:r>
        <w:rPr>
          <w:rFonts w:hint="eastAsia" w:asciiTheme="minorEastAsia" w:hAnsiTheme="minorEastAsia" w:eastAsiaTheme="minorEastAsia" w:cstheme="minorEastAsia"/>
          <w:b/>
          <w:bCs/>
          <w:color w:val="auto"/>
          <w:w w:val="95"/>
          <w:sz w:val="30"/>
          <w:szCs w:val="30"/>
          <w:highlight w:val="none"/>
        </w:rPr>
        <w:t>日</w:t>
      </w:r>
    </w:p>
    <w:p w14:paraId="582B5216">
      <w:pPr>
        <w:widowControl/>
        <w:spacing w:line="360" w:lineRule="auto"/>
        <w:jc w:val="left"/>
        <w:rPr>
          <w:rFonts w:asciiTheme="minorEastAsia" w:hAnsiTheme="minorEastAsia" w:eastAsiaTheme="minorEastAsia" w:cstheme="minorEastAsia"/>
          <w:b/>
          <w:bCs/>
          <w:color w:val="auto"/>
          <w:w w:val="95"/>
          <w:sz w:val="30"/>
          <w:szCs w:val="30"/>
          <w:highlight w:val="none"/>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14:paraId="6F9145CD">
      <w:pPr>
        <w:pStyle w:val="12"/>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2725597A">
      <w:pPr>
        <w:pStyle w:val="17"/>
        <w:tabs>
          <w:tab w:val="right" w:leader="dot" w:pos="9638"/>
        </w:tabs>
        <w:snapToGrid w:val="0"/>
        <w:spacing w:line="160" w:lineRule="atLeas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val="0"/>
          <w:bCs w:val="0"/>
          <w:caps w:val="0"/>
          <w:color w:val="auto"/>
          <w:sz w:val="28"/>
          <w:szCs w:val="28"/>
          <w:highlight w:val="none"/>
        </w:rPr>
        <w:fldChar w:fldCharType="begin"/>
      </w:r>
      <w:r>
        <w:rPr>
          <w:rFonts w:hint="eastAsia" w:asciiTheme="minorEastAsia" w:hAnsiTheme="minorEastAsia" w:eastAsiaTheme="minorEastAsia" w:cstheme="minorEastAsia"/>
          <w:b w:val="0"/>
          <w:bCs w:val="0"/>
          <w:caps w:val="0"/>
          <w:color w:val="auto"/>
          <w:sz w:val="28"/>
          <w:szCs w:val="28"/>
          <w:highlight w:val="none"/>
        </w:rPr>
        <w:instrText xml:space="preserve"> TOC \o "1-3" \h \z \u </w:instrText>
      </w:r>
      <w:r>
        <w:rPr>
          <w:rFonts w:hint="eastAsia" w:asciiTheme="minorEastAsia" w:hAnsiTheme="minorEastAsia" w:eastAsiaTheme="minorEastAsia" w:cstheme="minorEastAsia"/>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"_Toc26972" </w:instrText>
      </w:r>
      <w:r>
        <w:rPr>
          <w:color w:val="auto"/>
          <w:highlight w:val="none"/>
        </w:rPr>
        <w:fldChar w:fldCharType="separate"/>
      </w:r>
      <w:r>
        <w:rPr>
          <w:rFonts w:hint="eastAsia" w:asciiTheme="minorEastAsia" w:hAnsiTheme="minorEastAsia" w:eastAsiaTheme="minorEastAsia" w:cstheme="minorEastAsia"/>
          <w:color w:val="auto"/>
          <w:highlight w:val="none"/>
        </w:rPr>
        <w:t>第一章  招标公告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_Toc26972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F4D1031">
      <w:pPr>
        <w:pStyle w:val="17"/>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"_Toc4033" </w:instrText>
      </w:r>
      <w:r>
        <w:rPr>
          <w:color w:val="auto"/>
          <w:highlight w:val="none"/>
        </w:rPr>
        <w:fldChar w:fldCharType="separate"/>
      </w:r>
      <w:r>
        <w:rPr>
          <w:rFonts w:hint="eastAsia" w:asciiTheme="minorEastAsia" w:hAnsiTheme="minorEastAsia" w:eastAsiaTheme="minorEastAsia" w:cstheme="minorEastAsia"/>
          <w:color w:val="auto"/>
          <w:highlight w:val="none"/>
        </w:rPr>
        <w:t>第二章  采购需求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_Toc4033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9136266">
      <w:pPr>
        <w:pStyle w:val="17"/>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"_Toc25544" </w:instrText>
      </w:r>
      <w:r>
        <w:rPr>
          <w:color w:val="auto"/>
          <w:highlight w:val="none"/>
        </w:rPr>
        <w:fldChar w:fldCharType="separate"/>
      </w:r>
      <w:r>
        <w:rPr>
          <w:rFonts w:hint="eastAsia" w:asciiTheme="minorEastAsia" w:hAnsiTheme="minorEastAsia" w:eastAsiaTheme="minorEastAsia" w:cstheme="minorEastAsia"/>
          <w:color w:val="auto"/>
          <w:highlight w:val="none"/>
        </w:rPr>
        <w:t>第三章  投标人须知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_Toc25544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2162008">
      <w:pPr>
        <w:pStyle w:val="19"/>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"_Toc7747" </w:instrText>
      </w:r>
      <w:r>
        <w:rPr>
          <w:color w:val="auto"/>
          <w:highlight w:val="none"/>
        </w:rPr>
        <w:fldChar w:fldCharType="separate"/>
      </w:r>
      <w:r>
        <w:rPr>
          <w:rFonts w:hint="eastAsia" w:asciiTheme="minorEastAsia" w:hAnsiTheme="minorEastAsia" w:eastAsiaTheme="minorEastAsia" w:cstheme="minorEastAsia"/>
          <w:color w:val="auto"/>
          <w:szCs w:val="30"/>
          <w:highlight w:val="none"/>
        </w:rPr>
        <w:t>第一节 投标人须知前附表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_Toc7747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0112505D">
      <w:pPr>
        <w:pStyle w:val="19"/>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"_Toc26256" </w:instrText>
      </w:r>
      <w:r>
        <w:rPr>
          <w:color w:val="auto"/>
          <w:highlight w:val="none"/>
        </w:rPr>
        <w:fldChar w:fldCharType="separate"/>
      </w:r>
      <w:r>
        <w:rPr>
          <w:rFonts w:hint="eastAsia" w:asciiTheme="minorEastAsia" w:hAnsiTheme="minorEastAsia" w:eastAsiaTheme="minorEastAsia" w:cstheme="minorEastAsia"/>
          <w:color w:val="auto"/>
          <w:highlight w:val="none"/>
        </w:rPr>
        <w:t>第二节 投标人须知正文</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_Toc26256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35D9D42">
      <w:pPr>
        <w:pStyle w:val="11"/>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"_Toc5147" </w:instrText>
      </w:r>
      <w:r>
        <w:rPr>
          <w:color w:val="auto"/>
          <w:highlight w:val="none"/>
        </w:rPr>
        <w:fldChar w:fldCharType="separate"/>
      </w:r>
      <w:r>
        <w:rPr>
          <w:rFonts w:hint="eastAsia" w:asciiTheme="minorEastAsia" w:hAnsiTheme="minorEastAsia" w:eastAsiaTheme="minorEastAsia" w:cstheme="minorEastAsia"/>
          <w:color w:val="auto"/>
          <w:highlight w:val="none"/>
        </w:rPr>
        <w:t>一、总  则</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_Toc5147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CF57CA7">
      <w:pPr>
        <w:pStyle w:val="11"/>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"_Toc28438" </w:instrText>
      </w:r>
      <w:r>
        <w:rPr>
          <w:color w:val="auto"/>
          <w:highlight w:val="none"/>
        </w:rPr>
        <w:fldChar w:fldCharType="separate"/>
      </w:r>
      <w:r>
        <w:rPr>
          <w:rFonts w:hint="eastAsia" w:asciiTheme="minorEastAsia" w:hAnsiTheme="minorEastAsia" w:eastAsiaTheme="minorEastAsia" w:cstheme="minorEastAsia"/>
          <w:color w:val="auto"/>
          <w:highlight w:val="none"/>
        </w:rPr>
        <w:t>二、招标文件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_Toc28438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AE2D0C1">
      <w:pPr>
        <w:pStyle w:val="11"/>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"_Toc3710" </w:instrText>
      </w:r>
      <w:r>
        <w:rPr>
          <w:color w:val="auto"/>
          <w:highlight w:val="none"/>
        </w:rPr>
        <w:fldChar w:fldCharType="separate"/>
      </w:r>
      <w:r>
        <w:rPr>
          <w:rFonts w:hint="eastAsia" w:asciiTheme="minorEastAsia" w:hAnsiTheme="minorEastAsia" w:eastAsiaTheme="minorEastAsia" w:cstheme="minorEastAsia"/>
          <w:color w:val="auto"/>
          <w:highlight w:val="none"/>
        </w:rPr>
        <w:t>三、投标文件的编制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_Toc3710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16050F9">
      <w:pPr>
        <w:pStyle w:val="11"/>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"_Toc19885" </w:instrText>
      </w:r>
      <w:r>
        <w:rPr>
          <w:color w:val="auto"/>
          <w:highlight w:val="none"/>
        </w:rPr>
        <w:fldChar w:fldCharType="separate"/>
      </w:r>
      <w:r>
        <w:rPr>
          <w:rFonts w:hint="eastAsia" w:asciiTheme="minorEastAsia" w:hAnsiTheme="minorEastAsia" w:eastAsiaTheme="minorEastAsia" w:cstheme="minorEastAsia"/>
          <w:color w:val="auto"/>
          <w:highlight w:val="none"/>
        </w:rPr>
        <w:t>四、开    标</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_Toc19885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1498044">
      <w:pPr>
        <w:pStyle w:val="11"/>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"_Toc27807" </w:instrText>
      </w:r>
      <w:r>
        <w:rPr>
          <w:color w:val="auto"/>
          <w:highlight w:val="none"/>
        </w:rPr>
        <w:fldChar w:fldCharType="separate"/>
      </w:r>
      <w:r>
        <w:rPr>
          <w:rFonts w:hint="eastAsia" w:asciiTheme="minorEastAsia" w:hAnsiTheme="minorEastAsia" w:eastAsiaTheme="minorEastAsia" w:cstheme="minorEastAsia"/>
          <w:color w:val="auto"/>
          <w:highlight w:val="none"/>
        </w:rPr>
        <w:t>五、资格审查</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_Toc27807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AFCB2C4">
      <w:pPr>
        <w:pStyle w:val="11"/>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"_Toc7226" </w:instrText>
      </w:r>
      <w:r>
        <w:rPr>
          <w:color w:val="auto"/>
          <w:highlight w:val="none"/>
        </w:rPr>
        <w:fldChar w:fldCharType="separate"/>
      </w:r>
      <w:r>
        <w:rPr>
          <w:rFonts w:hint="eastAsia" w:asciiTheme="minorEastAsia" w:hAnsiTheme="minorEastAsia" w:eastAsiaTheme="minorEastAsia" w:cstheme="minorEastAsia"/>
          <w:color w:val="auto"/>
          <w:highlight w:val="none"/>
        </w:rPr>
        <w:t>六、评   标</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_Toc7226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24</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AFA0DB9">
      <w:pPr>
        <w:pStyle w:val="11"/>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"_Toc16966" </w:instrText>
      </w:r>
      <w:r>
        <w:rPr>
          <w:color w:val="auto"/>
          <w:highlight w:val="none"/>
        </w:rPr>
        <w:fldChar w:fldCharType="separate"/>
      </w:r>
      <w:r>
        <w:rPr>
          <w:rFonts w:hint="eastAsia" w:asciiTheme="minorEastAsia" w:hAnsiTheme="minorEastAsia" w:eastAsiaTheme="minorEastAsia" w:cstheme="minorEastAsia"/>
          <w:color w:val="auto"/>
          <w:highlight w:val="none"/>
        </w:rPr>
        <w:t>七、中标和合同</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_Toc16966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1F936FC9">
      <w:pPr>
        <w:pStyle w:val="11"/>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"_Toc25336" </w:instrText>
      </w:r>
      <w:r>
        <w:rPr>
          <w:color w:val="auto"/>
          <w:highlight w:val="none"/>
        </w:rPr>
        <w:fldChar w:fldCharType="separate"/>
      </w:r>
      <w:r>
        <w:rPr>
          <w:rFonts w:hint="eastAsia" w:asciiTheme="minorEastAsia" w:hAnsiTheme="minorEastAsia" w:eastAsiaTheme="minorEastAsia" w:cstheme="minorEastAsia"/>
          <w:bCs/>
          <w:color w:val="auto"/>
          <w:szCs w:val="32"/>
          <w:highlight w:val="none"/>
        </w:rPr>
        <w:t>八、验收</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_Toc25336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1F0748A">
      <w:pPr>
        <w:pStyle w:val="11"/>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"_Toc29710" </w:instrText>
      </w:r>
      <w:r>
        <w:rPr>
          <w:color w:val="auto"/>
          <w:highlight w:val="none"/>
        </w:rPr>
        <w:fldChar w:fldCharType="separate"/>
      </w:r>
      <w:r>
        <w:rPr>
          <w:rFonts w:hint="eastAsia" w:asciiTheme="minorEastAsia" w:hAnsiTheme="minorEastAsia" w:eastAsiaTheme="minorEastAsia" w:cstheme="minorEastAsia"/>
          <w:color w:val="auto"/>
          <w:highlight w:val="none"/>
        </w:rPr>
        <w:t>九、其他事项</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_Toc29710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35F7BD4">
      <w:pPr>
        <w:pStyle w:val="17"/>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"_Toc9276" </w:instrText>
      </w:r>
      <w:r>
        <w:rPr>
          <w:color w:val="auto"/>
          <w:highlight w:val="none"/>
        </w:rPr>
        <w:fldChar w:fldCharType="separate"/>
      </w:r>
      <w:r>
        <w:rPr>
          <w:rFonts w:hint="eastAsia" w:asciiTheme="minorEastAsia" w:hAnsiTheme="minorEastAsia" w:eastAsiaTheme="minorEastAsia" w:cstheme="minorEastAsia"/>
          <w:color w:val="auto"/>
          <w:highlight w:val="none"/>
        </w:rPr>
        <w:t>第四章  评标方法及评分标准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_Toc9276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CA7A646">
      <w:pPr>
        <w:pStyle w:val="19"/>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"_Toc29328" </w:instrText>
      </w:r>
      <w:r>
        <w:rPr>
          <w:color w:val="auto"/>
          <w:highlight w:val="none"/>
        </w:rPr>
        <w:fldChar w:fldCharType="separate"/>
      </w:r>
      <w:r>
        <w:rPr>
          <w:rFonts w:hint="eastAsia" w:asciiTheme="minorEastAsia" w:hAnsiTheme="minorEastAsia" w:eastAsiaTheme="minorEastAsia" w:cstheme="minorEastAsia"/>
          <w:color w:val="auto"/>
          <w:szCs w:val="32"/>
          <w:highlight w:val="none"/>
        </w:rPr>
        <w:t>第一节 评标方法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_Toc29328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CE137FC">
      <w:pPr>
        <w:pStyle w:val="19"/>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"_Toc3945" </w:instrText>
      </w:r>
      <w:r>
        <w:rPr>
          <w:color w:val="auto"/>
          <w:highlight w:val="none"/>
        </w:rPr>
        <w:fldChar w:fldCharType="separate"/>
      </w:r>
      <w:r>
        <w:rPr>
          <w:rFonts w:hint="eastAsia" w:asciiTheme="minorEastAsia" w:hAnsiTheme="minorEastAsia" w:eastAsiaTheme="minorEastAsia" w:cstheme="minorEastAsia"/>
          <w:color w:val="auto"/>
          <w:szCs w:val="32"/>
          <w:highlight w:val="none"/>
        </w:rPr>
        <w:t>第二节 评标程序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_Toc3945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6BC2A30">
      <w:pPr>
        <w:pStyle w:val="19"/>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"_Toc29713" </w:instrText>
      </w:r>
      <w:r>
        <w:rPr>
          <w:color w:val="auto"/>
          <w:highlight w:val="none"/>
        </w:rPr>
        <w:fldChar w:fldCharType="separate"/>
      </w:r>
      <w:r>
        <w:rPr>
          <w:rFonts w:hint="eastAsia" w:asciiTheme="minorEastAsia" w:hAnsiTheme="minorEastAsia" w:eastAsiaTheme="minorEastAsia" w:cstheme="minorEastAsia"/>
          <w:color w:val="auto"/>
          <w:szCs w:val="30"/>
          <w:highlight w:val="none"/>
        </w:rPr>
        <w:t>第三节 评分标准</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_Toc29713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37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8876A9C">
      <w:pPr>
        <w:pStyle w:val="19"/>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"_Toc23668" </w:instrText>
      </w:r>
      <w:r>
        <w:rPr>
          <w:color w:val="auto"/>
          <w:highlight w:val="none"/>
        </w:rPr>
        <w:fldChar w:fldCharType="separate"/>
      </w:r>
      <w:r>
        <w:rPr>
          <w:rFonts w:hint="eastAsia" w:asciiTheme="minorEastAsia" w:hAnsiTheme="minorEastAsia" w:eastAsiaTheme="minorEastAsia" w:cstheme="minorEastAsia"/>
          <w:color w:val="auto"/>
          <w:szCs w:val="30"/>
          <w:highlight w:val="none"/>
        </w:rPr>
        <w:t>第四节 中标候选人推荐原则</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_Toc23668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FDDE11B">
      <w:pPr>
        <w:pStyle w:val="19"/>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"_Toc18534" </w:instrText>
      </w:r>
      <w:r>
        <w:rPr>
          <w:color w:val="auto"/>
          <w:highlight w:val="none"/>
        </w:rPr>
        <w:fldChar w:fldCharType="separate"/>
      </w:r>
      <w:r>
        <w:rPr>
          <w:rFonts w:hint="eastAsia" w:asciiTheme="minorEastAsia" w:hAnsiTheme="minorEastAsia" w:eastAsiaTheme="minorEastAsia" w:cstheme="minorEastAsia"/>
          <w:color w:val="auto"/>
          <w:szCs w:val="30"/>
          <w:highlight w:val="none"/>
        </w:rPr>
        <w:t>第五节 评标报告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_Toc18534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6EE398C">
      <w:pPr>
        <w:pStyle w:val="17"/>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"_Toc7342" </w:instrText>
      </w:r>
      <w:r>
        <w:rPr>
          <w:color w:val="auto"/>
          <w:highlight w:val="none"/>
        </w:rPr>
        <w:fldChar w:fldCharType="separate"/>
      </w:r>
      <w:r>
        <w:rPr>
          <w:rFonts w:hint="eastAsia" w:asciiTheme="minorEastAsia" w:hAnsiTheme="minorEastAsia" w:eastAsiaTheme="minorEastAsia" w:cstheme="minorEastAsia"/>
          <w:color w:val="auto"/>
          <w:highlight w:val="none"/>
        </w:rPr>
        <w:t>第五章 拟签订的合同文本</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_Toc7342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41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63EC1ED2">
      <w:pPr>
        <w:pStyle w:val="17"/>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"_Toc298" </w:instrText>
      </w:r>
      <w:r>
        <w:rPr>
          <w:color w:val="auto"/>
          <w:highlight w:val="none"/>
        </w:rPr>
        <w:fldChar w:fldCharType="separate"/>
      </w:r>
      <w:r>
        <w:rPr>
          <w:rFonts w:hint="eastAsia" w:asciiTheme="minorEastAsia" w:hAnsiTheme="minorEastAsia" w:eastAsiaTheme="minorEastAsia" w:cstheme="minorEastAsia"/>
          <w:color w:val="auto"/>
          <w:highlight w:val="none"/>
        </w:rPr>
        <w:t>第六章 投标文件格式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3AA361BA">
      <w:pPr>
        <w:pStyle w:val="19"/>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"_Toc29354"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第一节 投标文件外层包装封面</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_Toc29354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E7156B8">
      <w:pPr>
        <w:pStyle w:val="19"/>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"_Toc14463"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第二节 资格证明文件格式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_Toc14463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1B6DC5C">
      <w:pPr>
        <w:pStyle w:val="19"/>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"_Toc29299"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第三节 商务文件格式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_Toc29299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68</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C0AAC33">
      <w:pPr>
        <w:pStyle w:val="19"/>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"_Toc21227"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第四节 技术文件格式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_Toc21227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79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25B4AC69">
      <w:pPr>
        <w:pStyle w:val="19"/>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"_Toc13435"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第五节 报价文件格式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_Toc13435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86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7237528B">
      <w:pPr>
        <w:pStyle w:val="19"/>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asciiTheme="minorEastAsia" w:hAnsiTheme="minorEastAsia" w:eastAsiaTheme="minorEastAsia" w:cstheme="minorEastAsia"/>
          <w:color w:val="auto"/>
          <w:szCs w:val="28"/>
          <w:highlight w:val="none"/>
        </w:rPr>
        <w:t>第六节 其他文书、文件格式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_Toc15635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8DE99F1">
      <w:pPr>
        <w:pStyle w:val="17"/>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"_Toc14561" </w:instrText>
      </w:r>
      <w:r>
        <w:rPr>
          <w:color w:val="auto"/>
          <w:highlight w:val="none"/>
        </w:rPr>
        <w:fldChar w:fldCharType="separate"/>
      </w:r>
      <w:r>
        <w:rPr>
          <w:rFonts w:hint="eastAsia" w:asciiTheme="minorEastAsia" w:hAnsiTheme="minorEastAsia" w:eastAsiaTheme="minorEastAsia" w:cstheme="minorEastAsia"/>
          <w:color w:val="auto"/>
          <w:highlight w:val="none"/>
        </w:rPr>
        <w:t>第七章 质疑、投诉证明材料格式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_Toc14561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542C3C57">
      <w:pPr>
        <w:pStyle w:val="19"/>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"_Toc27750" </w:instrText>
      </w:r>
      <w:r>
        <w:rPr>
          <w:color w:val="auto"/>
          <w:highlight w:val="none"/>
        </w:rPr>
        <w:fldChar w:fldCharType="separate"/>
      </w:r>
      <w:r>
        <w:rPr>
          <w:rFonts w:hint="eastAsia" w:asciiTheme="minorEastAsia" w:hAnsiTheme="minorEastAsia" w:eastAsiaTheme="minorEastAsia" w:cstheme="minorEastAsia"/>
          <w:bCs w:val="0"/>
          <w:color w:val="auto"/>
          <w:highlight w:val="none"/>
        </w:rPr>
        <w:t>第一节 质疑函（格式）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_Toc27750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93</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37E712F">
      <w:pPr>
        <w:pStyle w:val="19"/>
        <w:tabs>
          <w:tab w:val="right" w:leader="dot" w:pos="9638"/>
        </w:tabs>
        <w:snapToGrid w:val="0"/>
        <w:spacing w:line="160" w:lineRule="atLeast"/>
        <w:rPr>
          <w:rFonts w:asciiTheme="minorEastAsia" w:hAnsiTheme="minorEastAsia" w:eastAsiaTheme="minorEastAsia" w:cstheme="minorEastAsia"/>
          <w:color w:val="auto"/>
          <w:highlight w:val="none"/>
        </w:rPr>
      </w:pPr>
      <w:r>
        <w:rPr>
          <w:color w:val="auto"/>
          <w:highlight w:val="none"/>
        </w:rPr>
        <w:fldChar w:fldCharType="begin"/>
      </w:r>
      <w:r>
        <w:rPr>
          <w:color w:val="auto"/>
          <w:highlight w:val="none"/>
        </w:rPr>
        <w:instrText xml:space="preserve"> HYPERLINK \l "_Toc26110" </w:instrText>
      </w:r>
      <w:r>
        <w:rPr>
          <w:color w:val="auto"/>
          <w:highlight w:val="none"/>
        </w:rPr>
        <w:fldChar w:fldCharType="separate"/>
      </w:r>
      <w:r>
        <w:rPr>
          <w:rFonts w:hint="eastAsia" w:asciiTheme="minorEastAsia" w:hAnsiTheme="minorEastAsia" w:eastAsiaTheme="minorEastAsia" w:cstheme="minorEastAsia"/>
          <w:bCs w:val="0"/>
          <w:color w:val="auto"/>
          <w:highlight w:val="none"/>
        </w:rPr>
        <w:t>第二节 投诉书（格式）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_Toc26110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96</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color w:val="auto"/>
          <w:highlight w:val="none"/>
        </w:rPr>
        <w:fldChar w:fldCharType="end"/>
      </w:r>
    </w:p>
    <w:p w14:paraId="4D15A3B5">
      <w:pPr>
        <w:pStyle w:val="12"/>
        <w:snapToGrid w:val="0"/>
        <w:spacing w:line="160" w:lineRule="atLeast"/>
        <w:jc w:val="center"/>
        <w:outlineLvl w:val="0"/>
        <w:rPr>
          <w:rFonts w:asciiTheme="minorEastAsia" w:hAnsiTheme="minorEastAsia" w:eastAsiaTheme="minorEastAsia" w:cstheme="minorEastAsia"/>
          <w:bCs/>
          <w:caps/>
          <w:color w:val="auto"/>
          <w:szCs w:val="28"/>
          <w:highlight w:val="none"/>
          <w:u w:val="single"/>
        </w:rPr>
      </w:pPr>
      <w:r>
        <w:rPr>
          <w:rFonts w:hint="eastAsia" w:asciiTheme="minorEastAsia" w:hAnsiTheme="minorEastAsia" w:eastAsiaTheme="minorEastAsia" w:cstheme="minorEastAsia"/>
          <w:bCs/>
          <w:caps/>
          <w:color w:val="auto"/>
          <w:szCs w:val="28"/>
          <w:highlight w:val="none"/>
          <w:u w:val="single"/>
        </w:rPr>
        <w:fldChar w:fldCharType="end"/>
      </w:r>
    </w:p>
    <w:p w14:paraId="538A11BA">
      <w:pPr>
        <w:rPr>
          <w:rFonts w:asciiTheme="minorEastAsia" w:hAnsiTheme="minorEastAsia" w:eastAsiaTheme="minorEastAsia" w:cstheme="minorEastAsia"/>
          <w:bCs/>
          <w:caps/>
          <w:color w:val="auto"/>
          <w:szCs w:val="28"/>
          <w:highlight w:val="none"/>
          <w:u w:val="single"/>
        </w:rPr>
      </w:pPr>
      <w:r>
        <w:rPr>
          <w:rFonts w:hint="eastAsia" w:asciiTheme="minorEastAsia" w:hAnsiTheme="minorEastAsia" w:eastAsiaTheme="minorEastAsia" w:cstheme="minorEastAsia"/>
          <w:bCs/>
          <w:caps/>
          <w:color w:val="auto"/>
          <w:szCs w:val="28"/>
          <w:highlight w:val="none"/>
          <w:u w:val="single"/>
        </w:rPr>
        <w:br w:type="page"/>
      </w:r>
    </w:p>
    <w:p w14:paraId="581EE99C">
      <w:pPr>
        <w:pStyle w:val="12"/>
        <w:jc w:val="center"/>
        <w:outlineLvl w:val="0"/>
        <w:rPr>
          <w:rFonts w:asciiTheme="minorEastAsia" w:hAnsiTheme="minorEastAsia" w:eastAsiaTheme="minorEastAsia" w:cstheme="minorEastAsia"/>
          <w:b/>
          <w:color w:val="auto"/>
          <w:sz w:val="36"/>
          <w:highlight w:val="none"/>
        </w:rPr>
      </w:pPr>
      <w:bookmarkStart w:id="1" w:name="_Toc26972"/>
      <w:r>
        <w:rPr>
          <w:rFonts w:hint="eastAsia" w:asciiTheme="minorEastAsia" w:hAnsiTheme="minorEastAsia" w:eastAsiaTheme="minorEastAsia" w:cstheme="minorEastAsia"/>
          <w:b/>
          <w:color w:val="auto"/>
          <w:sz w:val="36"/>
          <w:highlight w:val="none"/>
        </w:rPr>
        <w:t>第一章  招标公告</w:t>
      </w:r>
      <w:bookmarkEnd w:id="1"/>
    </w:p>
    <w:p w14:paraId="092FDDAD">
      <w:pPr>
        <w:pStyle w:val="12"/>
        <w:jc w:val="center"/>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公开招标公告</w:t>
      </w:r>
    </w:p>
    <w:p w14:paraId="3E7DD6BE">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项目概况</w:t>
      </w:r>
    </w:p>
    <w:p w14:paraId="4481C6F7">
      <w:pPr>
        <w:pBdr>
          <w:top w:val="single" w:color="auto" w:sz="4" w:space="1"/>
          <w:left w:val="single" w:color="auto" w:sz="4" w:space="4"/>
          <w:bottom w:val="single" w:color="auto" w:sz="4" w:space="1"/>
          <w:right w:val="single" w:color="auto" w:sz="4" w:space="4"/>
        </w:pBdr>
        <w:spacing w:line="360" w:lineRule="auto"/>
        <w:ind w:firstLine="525" w:firstLineChars="25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南宁市2025年政府和社会资本合作新机制项目实施方案评审服务  </w:t>
      </w:r>
      <w:r>
        <w:rPr>
          <w:rFonts w:hint="eastAsia" w:asciiTheme="minorEastAsia" w:hAnsiTheme="minorEastAsia" w:eastAsiaTheme="minorEastAsia" w:cstheme="minorEastAsia"/>
          <w:color w:val="auto"/>
          <w:szCs w:val="21"/>
          <w:highlight w:val="none"/>
        </w:rPr>
        <w:t>招标项目的潜在投标人应在广西政府采购云平台（https://www.gcy.zfcg.gxzf.gov.cn/）获取（下载）招标文件，并于</w:t>
      </w:r>
      <w:bookmarkStart w:id="2" w:name="PO_3000001866_PM015"/>
      <w:r>
        <w:rPr>
          <w:rFonts w:hint="eastAsia" w:asciiTheme="minorEastAsia" w:hAnsiTheme="minorEastAsia" w:eastAsiaTheme="minorEastAsia" w:cstheme="minorEastAsia"/>
          <w:color w:val="auto"/>
          <w:szCs w:val="21"/>
          <w:highlight w:val="none"/>
          <w:u w:val="single"/>
        </w:rPr>
        <w:t>2025年</w:t>
      </w:r>
      <w:r>
        <w:rPr>
          <w:rFonts w:hint="eastAsia" w:asciiTheme="minorEastAsia" w:hAnsiTheme="minorEastAsia" w:eastAsiaTheme="minorEastAsia" w:cstheme="minorEastAsia"/>
          <w:color w:val="auto"/>
          <w:szCs w:val="21"/>
          <w:highlight w:val="none"/>
          <w:u w:val="single"/>
          <w:lang w:val="en-US" w:eastAsia="zh-CN"/>
        </w:rPr>
        <w:t>9</w:t>
      </w:r>
      <w:r>
        <w:rPr>
          <w:rFonts w:hint="eastAsia" w:asciiTheme="minorEastAsia" w:hAnsiTheme="minorEastAsia" w:eastAsiaTheme="minorEastAsia" w:cstheme="minorEastAsia"/>
          <w:color w:val="auto"/>
          <w:szCs w:val="21"/>
          <w:highlight w:val="none"/>
          <w:u w:val="single"/>
        </w:rPr>
        <w:t>月</w:t>
      </w:r>
      <w:r>
        <w:rPr>
          <w:rFonts w:hint="eastAsia" w:asciiTheme="minorEastAsia" w:hAnsiTheme="minorEastAsia" w:eastAsiaTheme="minorEastAsia" w:cstheme="minorEastAsia"/>
          <w:color w:val="auto"/>
          <w:szCs w:val="21"/>
          <w:highlight w:val="none"/>
          <w:u w:val="single"/>
          <w:lang w:val="en-US" w:eastAsia="zh-CN"/>
        </w:rPr>
        <w:t>8</w:t>
      </w:r>
      <w:r>
        <w:rPr>
          <w:rFonts w:hint="eastAsia" w:asciiTheme="minorEastAsia" w:hAnsiTheme="minorEastAsia" w:eastAsiaTheme="minorEastAsia" w:cstheme="minorEastAsia"/>
          <w:color w:val="auto"/>
          <w:szCs w:val="21"/>
          <w:highlight w:val="none"/>
          <w:u w:val="single"/>
        </w:rPr>
        <w:t xml:space="preserve">日上午9时30分 </w:t>
      </w:r>
      <w:bookmarkEnd w:id="2"/>
      <w:r>
        <w:rPr>
          <w:rFonts w:hint="eastAsia" w:asciiTheme="minorEastAsia" w:hAnsiTheme="minorEastAsia" w:eastAsiaTheme="minorEastAsia" w:cstheme="minorEastAsia"/>
          <w:bCs/>
          <w:color w:val="auto"/>
          <w:szCs w:val="21"/>
          <w:highlight w:val="none"/>
        </w:rPr>
        <w:t>（北京时间）前</w:t>
      </w:r>
      <w:r>
        <w:rPr>
          <w:rFonts w:hint="eastAsia" w:asciiTheme="minorEastAsia" w:hAnsiTheme="minorEastAsia" w:eastAsiaTheme="minorEastAsia" w:cstheme="minorEastAsia"/>
          <w:color w:val="auto"/>
          <w:szCs w:val="21"/>
          <w:highlight w:val="none"/>
        </w:rPr>
        <w:t>递交（上传）投标文件。</w:t>
      </w:r>
    </w:p>
    <w:p w14:paraId="73D285BA">
      <w:pPr>
        <w:spacing w:line="380" w:lineRule="exact"/>
        <w:ind w:firstLine="211" w:firstLineChars="100"/>
        <w:rPr>
          <w:rFonts w:asciiTheme="minorEastAsia" w:hAnsiTheme="minorEastAsia" w:eastAsiaTheme="minorEastAsia" w:cstheme="minorEastAsia"/>
          <w:b/>
          <w:bCs/>
          <w:color w:val="auto"/>
          <w:sz w:val="24"/>
          <w:highlight w:val="none"/>
        </w:rPr>
      </w:pPr>
      <w:bookmarkStart w:id="3" w:name="_Toc28359002"/>
      <w:bookmarkStart w:id="4" w:name="_Toc28359079"/>
      <w:bookmarkStart w:id="5" w:name="_Toc35393621"/>
      <w:bookmarkStart w:id="6" w:name="_Toc35393790"/>
      <w:bookmarkStart w:id="7" w:name="_Hlk24379207"/>
      <w:r>
        <w:rPr>
          <w:rFonts w:hint="eastAsia" w:asciiTheme="minorEastAsia" w:hAnsiTheme="minorEastAsia" w:eastAsiaTheme="minorEastAsia" w:cstheme="minorEastAsia"/>
          <w:b/>
          <w:bCs/>
          <w:color w:val="auto"/>
          <w:szCs w:val="21"/>
          <w:highlight w:val="none"/>
        </w:rPr>
        <w:t>一、项目基本情况</w:t>
      </w:r>
      <w:bookmarkEnd w:id="3"/>
      <w:bookmarkEnd w:id="4"/>
      <w:bookmarkEnd w:id="5"/>
      <w:bookmarkEnd w:id="6"/>
    </w:p>
    <w:p w14:paraId="298EA9B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项目编号：NNZC2025-G3-990774-JGJD</w:t>
      </w:r>
    </w:p>
    <w:p w14:paraId="158806B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项目名称：南宁市2025年政府和社会资本合作新机制项目实施方案评审服务</w:t>
      </w:r>
    </w:p>
    <w:bookmarkEnd w:id="7"/>
    <w:p w14:paraId="57B2BD8E">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预算总金额（元）：651000.00</w:t>
      </w:r>
    </w:p>
    <w:p w14:paraId="2321A8E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采购需求：</w:t>
      </w:r>
      <w:bookmarkStart w:id="8" w:name="PO_3000001866_PM004"/>
      <w:r>
        <w:rPr>
          <w:rFonts w:hint="eastAsia" w:asciiTheme="minorEastAsia" w:hAnsiTheme="minorEastAsia" w:eastAsiaTheme="minorEastAsia" w:cstheme="minorEastAsia"/>
          <w:color w:val="auto"/>
          <w:szCs w:val="21"/>
          <w:highlight w:val="none"/>
        </w:rPr>
        <w:t xml:space="preserve"> </w:t>
      </w:r>
    </w:p>
    <w:bookmarkEnd w:id="8"/>
    <w:p w14:paraId="29BE3FF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标项名称:南宁市2025年政府和社会资本合作新机制项目实施方案评审服务</w:t>
      </w:r>
    </w:p>
    <w:p w14:paraId="4A0ECDF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数量:1</w:t>
      </w:r>
    </w:p>
    <w:p w14:paraId="1A3A1D4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预算金额（元）:651000.00</w:t>
      </w:r>
    </w:p>
    <w:p w14:paraId="0490DCC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简要规格描述或项目基本概况介绍、用途：</w:t>
      </w:r>
    </w:p>
    <w:p w14:paraId="3560F26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hAnsi="仿宋_GB2312" w:cs="仿宋_GB2312"/>
          <w:color w:val="auto"/>
          <w:highlight w:val="none"/>
        </w:rPr>
        <w:t>提供南宁市5个新机制项目</w:t>
      </w:r>
      <w:r>
        <w:rPr>
          <w:rFonts w:hint="eastAsia"/>
          <w:color w:val="auto"/>
          <w:highlight w:val="none"/>
        </w:rPr>
        <w:t>特许经营方案及协议的评估评审咨询服务</w:t>
      </w:r>
      <w:r>
        <w:rPr>
          <w:rFonts w:hint="eastAsia" w:asciiTheme="minorEastAsia" w:hAnsiTheme="minorEastAsia" w:eastAsiaTheme="minorEastAsia" w:cstheme="minorEastAsia"/>
          <w:color w:val="auto"/>
          <w:szCs w:val="21"/>
          <w:highlight w:val="none"/>
        </w:rPr>
        <w:t>。具体详见招标文件第二章《采购需求》。</w:t>
      </w:r>
    </w:p>
    <w:p w14:paraId="1CC8386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最高限价（如有）：651000.00</w:t>
      </w:r>
    </w:p>
    <w:p w14:paraId="2BD9B93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合同履约期限：</w:t>
      </w:r>
      <w:r>
        <w:rPr>
          <w:rFonts w:hint="eastAsia" w:ascii="宋体" w:hAnsi="宋体" w:cs="宋体"/>
          <w:color w:val="auto"/>
          <w:szCs w:val="21"/>
          <w:highlight w:val="none"/>
        </w:rPr>
        <w:t>自合同签订之日起</w:t>
      </w:r>
      <w:r>
        <w:rPr>
          <w:rFonts w:hint="eastAsia"/>
          <w:color w:val="auto"/>
          <w:highlight w:val="none"/>
        </w:rPr>
        <w:t>1</w:t>
      </w:r>
      <w:r>
        <w:rPr>
          <w:rFonts w:hint="eastAsia" w:ascii="宋体" w:hAnsi="宋体" w:cs="宋体"/>
          <w:color w:val="auto"/>
          <w:szCs w:val="21"/>
          <w:highlight w:val="none"/>
        </w:rPr>
        <w:t>年。</w:t>
      </w:r>
    </w:p>
    <w:p w14:paraId="2865CFFF">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本标项（否）接受联合体投标</w:t>
      </w:r>
    </w:p>
    <w:p w14:paraId="02549F31">
      <w:pPr>
        <w:spacing w:line="380" w:lineRule="exact"/>
        <w:rPr>
          <w:rFonts w:asciiTheme="minorEastAsia" w:hAnsiTheme="minorEastAsia" w:eastAsiaTheme="minorEastAsia" w:cstheme="minorEastAsia"/>
          <w:b/>
          <w:bCs/>
          <w:color w:val="auto"/>
          <w:sz w:val="24"/>
          <w:highlight w:val="none"/>
        </w:rPr>
      </w:pPr>
      <w:bookmarkStart w:id="9" w:name="_Toc28359003"/>
      <w:bookmarkStart w:id="10" w:name="_Toc35393622"/>
      <w:bookmarkStart w:id="11" w:name="_Toc28359080"/>
      <w:bookmarkStart w:id="12" w:name="_Toc35393791"/>
      <w:r>
        <w:rPr>
          <w:rFonts w:hint="eastAsia" w:asciiTheme="minorEastAsia" w:hAnsiTheme="minorEastAsia" w:eastAsiaTheme="minorEastAsia" w:cstheme="minorEastAsia"/>
          <w:b/>
          <w:bCs/>
          <w:color w:val="auto"/>
          <w:szCs w:val="21"/>
          <w:highlight w:val="none"/>
        </w:rPr>
        <w:t>二、投标人的资格要求：</w:t>
      </w:r>
      <w:r>
        <w:rPr>
          <w:rFonts w:hint="eastAsia" w:asciiTheme="minorEastAsia" w:hAnsiTheme="minorEastAsia" w:eastAsiaTheme="minorEastAsia" w:cstheme="minorEastAsia"/>
          <w:b/>
          <w:bCs/>
          <w:color w:val="auto"/>
          <w:sz w:val="24"/>
          <w:highlight w:val="none"/>
        </w:rPr>
        <w:t>资格要求：</w:t>
      </w:r>
      <w:bookmarkEnd w:id="9"/>
      <w:bookmarkEnd w:id="10"/>
      <w:bookmarkEnd w:id="11"/>
      <w:bookmarkEnd w:id="12"/>
    </w:p>
    <w:p w14:paraId="14B7BDE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1.满足《中华人民共和国政府采购法》第二十二条规定</w:t>
      </w:r>
      <w:r>
        <w:rPr>
          <w:rFonts w:hint="eastAsia" w:asciiTheme="minorEastAsia" w:hAnsiTheme="minorEastAsia" w:eastAsiaTheme="minorEastAsia" w:cstheme="minorEastAsia"/>
          <w:color w:val="auto"/>
          <w:szCs w:val="21"/>
          <w:highlight w:val="none"/>
          <w:lang w:eastAsia="zh-CN"/>
        </w:rPr>
        <w:t>。</w:t>
      </w:r>
    </w:p>
    <w:p w14:paraId="6BAFF40E">
      <w:pPr>
        <w:spacing w:line="360" w:lineRule="auto"/>
        <w:ind w:firstLine="420" w:firstLineChars="200"/>
        <w:rPr>
          <w:rFonts w:asciiTheme="minorEastAsia" w:hAnsiTheme="minorEastAsia" w:eastAsiaTheme="minorEastAsia" w:cstheme="minorEastAsia"/>
          <w:color w:val="auto"/>
          <w:szCs w:val="21"/>
          <w:highlight w:val="none"/>
        </w:rPr>
      </w:pPr>
      <w:bookmarkStart w:id="13" w:name="_Toc28359004"/>
      <w:bookmarkStart w:id="14" w:name="_Toc28359081"/>
      <w:r>
        <w:rPr>
          <w:rFonts w:hint="eastAsia" w:asciiTheme="minorEastAsia" w:hAnsiTheme="minorEastAsia" w:eastAsiaTheme="minorEastAsia" w:cstheme="minorEastAsia"/>
          <w:color w:val="auto"/>
          <w:szCs w:val="21"/>
          <w:highlight w:val="none"/>
        </w:rPr>
        <w:t>2.落实政府采购政策需满足的资格要求：</w:t>
      </w:r>
    </w:p>
    <w:p w14:paraId="01D4136C">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☑专门面向中小企业采购的项目（供应商应为中小微企业、监狱企业、残疾人福利性单位)</w:t>
      </w:r>
    </w:p>
    <w:p w14:paraId="25EFDDC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□非专门面向中小企业采购的项目</w:t>
      </w:r>
    </w:p>
    <w:p w14:paraId="25F7803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3.本项目的特定资格要求：无</w:t>
      </w:r>
    </w:p>
    <w:p w14:paraId="7784316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本项目的特定条件：无</w:t>
      </w:r>
    </w:p>
    <w:p w14:paraId="5DADC82D">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5.单位负责人为同一人或者存在直接控股、管理关系的不同供应商，不得参加同一合同项下的政府采购活动。</w:t>
      </w:r>
    </w:p>
    <w:p w14:paraId="56805B5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bookmarkEnd w:id="13"/>
    <w:bookmarkEnd w:id="14"/>
    <w:p w14:paraId="56B8FBF7">
      <w:pPr>
        <w:spacing w:line="380" w:lineRule="exac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三、获取招标文件</w:t>
      </w:r>
    </w:p>
    <w:p w14:paraId="712EABBA">
      <w:pPr>
        <w:snapToGrid w:val="0"/>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时间：自公告发布之日起。</w:t>
      </w:r>
    </w:p>
    <w:p w14:paraId="72631753">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地点：广西政府采购云平台（https://www.gcy.zfcg.gxzf.gov.cn/）</w:t>
      </w:r>
    </w:p>
    <w:p w14:paraId="2981DE27">
      <w:pPr>
        <w:spacing w:line="380" w:lineRule="exact"/>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44A25051">
      <w:pPr>
        <w:snapToGrid w:val="0"/>
        <w:spacing w:line="380" w:lineRule="exact"/>
        <w:ind w:firstLine="472" w:firstLineChars="22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售价：0元。</w:t>
      </w:r>
    </w:p>
    <w:p w14:paraId="72A901AD">
      <w:pPr>
        <w:spacing w:line="380" w:lineRule="exac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四、提交投标文件截止时间、开标时间和地点</w:t>
      </w:r>
    </w:p>
    <w:p w14:paraId="005A8B23">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1.提交投标文件截止时间和开标时间：2025年</w:t>
      </w:r>
      <w:r>
        <w:rPr>
          <w:rFonts w:hint="eastAsia" w:asciiTheme="minorEastAsia" w:hAnsiTheme="minorEastAsia" w:eastAsiaTheme="minorEastAsia" w:cstheme="minorEastAsia"/>
          <w:bCs/>
          <w:color w:val="auto"/>
          <w:szCs w:val="21"/>
          <w:highlight w:val="none"/>
          <w:lang w:val="en-US" w:eastAsia="zh-CN"/>
        </w:rPr>
        <w:t>9</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8</w:t>
      </w:r>
      <w:r>
        <w:rPr>
          <w:rFonts w:hint="eastAsia" w:asciiTheme="minorEastAsia" w:hAnsiTheme="minorEastAsia" w:eastAsiaTheme="minorEastAsia" w:cstheme="minorEastAsia"/>
          <w:bCs/>
          <w:color w:val="auto"/>
          <w:szCs w:val="21"/>
          <w:highlight w:val="none"/>
        </w:rPr>
        <w:t>日上午9时30分（北京时间）</w:t>
      </w:r>
    </w:p>
    <w:p w14:paraId="74FF5A73">
      <w:pPr>
        <w:spacing w:line="38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2.投标和开标地点：</w:t>
      </w:r>
    </w:p>
    <w:p w14:paraId="6A0CA74B">
      <w:pPr>
        <w:snapToGrid w:val="0"/>
        <w:spacing w:line="36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投标地点：广西政府采购云平台（https://www.gcy.zfcg.gxzf.gov.cn/）</w:t>
      </w:r>
    </w:p>
    <w:p w14:paraId="67599AF3">
      <w:pPr>
        <w:snapToGrid w:val="0"/>
        <w:spacing w:line="38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开标地点：广西政府采购云平台电子开标大厅</w:t>
      </w:r>
    </w:p>
    <w:p w14:paraId="0497A8D0">
      <w:pPr>
        <w:spacing w:line="380" w:lineRule="exac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五、公告期限</w:t>
      </w:r>
    </w:p>
    <w:p w14:paraId="71482602">
      <w:pPr>
        <w:spacing w:line="38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自本公告发布之日起5个工作日。</w:t>
      </w:r>
    </w:p>
    <w:p w14:paraId="1ABBC340">
      <w:pPr>
        <w:spacing w:line="380" w:lineRule="exac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六、其他补充事宜</w:t>
      </w:r>
    </w:p>
    <w:p w14:paraId="16234BD7">
      <w:pPr>
        <w:spacing w:line="380" w:lineRule="exact"/>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1.投标保证金：本项目不收取投标保证金</w:t>
      </w:r>
    </w:p>
    <w:p w14:paraId="12CCB488">
      <w:pPr>
        <w:spacing w:line="380" w:lineRule="exact"/>
        <w:ind w:firstLine="315" w:firstLineChars="150"/>
        <w:jc w:val="left"/>
        <w:rPr>
          <w:rFonts w:asciiTheme="minorEastAsia" w:hAnsiTheme="minorEastAsia" w:eastAsiaTheme="minorEastAsia" w:cstheme="minorEastAsia"/>
          <w:color w:val="auto"/>
          <w:kern w:val="0"/>
          <w:szCs w:val="21"/>
          <w:highlight w:val="none"/>
          <w:u w:val="single"/>
        </w:rPr>
      </w:pPr>
      <w:r>
        <w:rPr>
          <w:rFonts w:hint="eastAsia" w:asciiTheme="minorEastAsia" w:hAnsiTheme="minorEastAsia" w:eastAsiaTheme="minorEastAsia" w:cstheme="minorEastAsia"/>
          <w:color w:val="auto"/>
          <w:kern w:val="0"/>
          <w:szCs w:val="21"/>
          <w:highlight w:val="none"/>
        </w:rPr>
        <w:t>2.采购意向公开链接：</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kern w:val="0"/>
          <w:szCs w:val="21"/>
          <w:highlight w:val="none"/>
          <w:u w:val="single"/>
        </w:rPr>
        <w:t>http://www.ccgp-guangxi.gov.cn/site/detail?categoryCode=reformColumn&amp;parentId=66601&amp;articleId=/7j3yWe/dUOLpTjNNdyAIg==</w:t>
      </w:r>
    </w:p>
    <w:p w14:paraId="728B9CCC">
      <w:pPr>
        <w:spacing w:line="380" w:lineRule="exact"/>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3.网上查询地址</w:t>
      </w:r>
      <w:bookmarkStart w:id="15" w:name="PO_3000001867_PM023"/>
    </w:p>
    <w:p w14:paraId="79DD8FE2">
      <w:pPr>
        <w:spacing w:line="380" w:lineRule="exact"/>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中国政府采购网（http://www.ccgp.gov.cn）,广西壮族自治区政府采购网（http://zfcg.gxzf.gov.cn）, 全国公共资源交易平台（广西.南宁）（http://ggzy.jgswj.gxzf.gov.cn/nnggzy/）、</w:t>
      </w:r>
      <w:r>
        <w:rPr>
          <w:rFonts w:hint="eastAsia" w:asciiTheme="minorEastAsia" w:hAnsiTheme="minorEastAsia" w:eastAsiaTheme="minorEastAsia" w:cstheme="minorEastAsia"/>
          <w:color w:val="auto"/>
          <w:szCs w:val="21"/>
          <w:highlight w:val="none"/>
        </w:rPr>
        <w:t>广西招标网（http://www.guangxibid.com.cn/）</w:t>
      </w:r>
    </w:p>
    <w:p w14:paraId="3D6D623C">
      <w:pPr>
        <w:spacing w:line="380" w:lineRule="exact"/>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kern w:val="0"/>
          <w:szCs w:val="21"/>
          <w:highlight w:val="none"/>
        </w:rPr>
        <w:t>本项目需要落实的政府采购政策：</w:t>
      </w:r>
    </w:p>
    <w:p w14:paraId="0F75DE41">
      <w:pPr>
        <w:spacing w:line="380" w:lineRule="exact"/>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（1）政府采购促进中小企业发展。</w:t>
      </w:r>
    </w:p>
    <w:p w14:paraId="605A6722">
      <w:pPr>
        <w:spacing w:line="380" w:lineRule="exact"/>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（2）政府采购支持采用本国产品的政策。</w:t>
      </w:r>
    </w:p>
    <w:p w14:paraId="550E41B9">
      <w:pPr>
        <w:spacing w:line="380" w:lineRule="exact"/>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（3）强制采购节能产品；优先采购节能产品、环境标志产品。</w:t>
      </w:r>
    </w:p>
    <w:p w14:paraId="44875258">
      <w:pPr>
        <w:spacing w:line="380" w:lineRule="exact"/>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（4）政府采购促进残疾人就业政策。</w:t>
      </w:r>
    </w:p>
    <w:p w14:paraId="26E38C0C">
      <w:pPr>
        <w:spacing w:line="380" w:lineRule="exact"/>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（5）政府采购支持监狱企业发展。</w:t>
      </w:r>
      <w:bookmarkEnd w:id="15"/>
    </w:p>
    <w:p w14:paraId="7C3FED11">
      <w:pPr>
        <w:spacing w:line="360" w:lineRule="exact"/>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5.投标人投标注意事项</w:t>
      </w:r>
    </w:p>
    <w:p w14:paraId="1F775969">
      <w:pPr>
        <w:spacing w:line="360" w:lineRule="exact"/>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0EAF9E3A">
      <w:pPr>
        <w:spacing w:line="360" w:lineRule="exact"/>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211B5122">
      <w:pPr>
        <w:spacing w:line="360" w:lineRule="exact"/>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3D54A6D4">
      <w:pPr>
        <w:spacing w:line="380" w:lineRule="exact"/>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4042FFCE">
      <w:pPr>
        <w:spacing w:line="380" w:lineRule="exact"/>
        <w:rPr>
          <w:rFonts w:asciiTheme="minorEastAsia" w:hAnsiTheme="minorEastAsia" w:eastAsiaTheme="minorEastAsia" w:cstheme="minorEastAsia"/>
          <w:b/>
          <w:bCs/>
          <w:color w:val="auto"/>
          <w:szCs w:val="21"/>
          <w:highlight w:val="none"/>
        </w:rPr>
      </w:pPr>
      <w:bookmarkStart w:id="16" w:name="_Toc28359085"/>
      <w:bookmarkStart w:id="17" w:name="_Toc35393627"/>
      <w:bookmarkStart w:id="18" w:name="_Toc35393796"/>
      <w:bookmarkStart w:id="19" w:name="_Toc28359008"/>
      <w:r>
        <w:rPr>
          <w:rFonts w:hint="eastAsia" w:asciiTheme="minorEastAsia" w:hAnsiTheme="minorEastAsia" w:eastAsiaTheme="minorEastAsia" w:cstheme="minorEastAsia"/>
          <w:b/>
          <w:bCs/>
          <w:color w:val="auto"/>
          <w:szCs w:val="21"/>
          <w:highlight w:val="none"/>
        </w:rPr>
        <w:t>七、对本次招标提出询问，请按以下方式联系。</w:t>
      </w:r>
    </w:p>
    <w:p w14:paraId="7A233C7E">
      <w:pPr>
        <w:spacing w:line="380" w:lineRule="exact"/>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1.采购人信息</w:t>
      </w:r>
    </w:p>
    <w:p w14:paraId="244B7750">
      <w:pPr>
        <w:spacing w:line="360" w:lineRule="exact"/>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称：南宁市固定资产投资项目前期服务中心</w:t>
      </w:r>
    </w:p>
    <w:p w14:paraId="186C939F">
      <w:pPr>
        <w:spacing w:line="360" w:lineRule="exact"/>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地址：南宁市桂春路南一里1号</w:t>
      </w:r>
    </w:p>
    <w:p w14:paraId="7718384A">
      <w:pPr>
        <w:spacing w:line="360" w:lineRule="exact"/>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项目联系人：赵莉青</w:t>
      </w:r>
    </w:p>
    <w:p w14:paraId="664B92F4">
      <w:pPr>
        <w:spacing w:line="360" w:lineRule="exact"/>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联系电话：0771-5773108</w:t>
      </w:r>
    </w:p>
    <w:p w14:paraId="61CC035D">
      <w:pPr>
        <w:spacing w:line="380" w:lineRule="exact"/>
        <w:ind w:firstLine="42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2.采购代理机构信息</w:t>
      </w:r>
    </w:p>
    <w:p w14:paraId="2D68364A">
      <w:pPr>
        <w:shd w:val="clear" w:color="auto" w:fill="FFFFFF"/>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bookmarkStart w:id="20" w:name="PO_3000001868_PM031_1"/>
      <w:r>
        <w:rPr>
          <w:rFonts w:hint="eastAsia" w:asciiTheme="minorEastAsia" w:hAnsiTheme="minorEastAsia" w:eastAsiaTheme="minorEastAsia" w:cstheme="minorEastAsia"/>
          <w:color w:val="auto"/>
          <w:szCs w:val="21"/>
          <w:highlight w:val="none"/>
        </w:rPr>
        <w:t>广西建设工程机电设备招标中心有限公司</w:t>
      </w:r>
      <w:bookmarkEnd w:id="20"/>
    </w:p>
    <w:p w14:paraId="42E7D9C4">
      <w:pPr>
        <w:shd w:val="clear" w:color="auto" w:fill="FFFFFF"/>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址：南宁市青秀区枫林路18号广西国控集团（枫林路办公区）裙楼三层</w:t>
      </w:r>
    </w:p>
    <w:p w14:paraId="79830CCA">
      <w:pPr>
        <w:shd w:val="clear" w:color="auto" w:fill="FFFFFF"/>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项目联系人：韦吉、陈蓉</w:t>
      </w:r>
    </w:p>
    <w:p w14:paraId="75072446">
      <w:pPr>
        <w:shd w:val="clear" w:color="auto" w:fill="FFFFFF"/>
        <w:spacing w:line="40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w:t>
      </w:r>
      <w:bookmarkStart w:id="21" w:name="PO_3000001868_PM033"/>
      <w:r>
        <w:rPr>
          <w:rFonts w:hint="eastAsia" w:asciiTheme="minorEastAsia" w:hAnsiTheme="minorEastAsia" w:eastAsiaTheme="minorEastAsia" w:cstheme="minorEastAsia"/>
          <w:color w:val="auto"/>
          <w:szCs w:val="21"/>
          <w:highlight w:val="none"/>
        </w:rPr>
        <w:t>0771-2869912</w:t>
      </w:r>
      <w:bookmarkEnd w:id="21"/>
    </w:p>
    <w:bookmarkEnd w:id="16"/>
    <w:bookmarkEnd w:id="17"/>
    <w:bookmarkEnd w:id="18"/>
    <w:bookmarkEnd w:id="19"/>
    <w:p w14:paraId="3EFD7A7E">
      <w:pPr>
        <w:spacing w:line="360" w:lineRule="auto"/>
        <w:rPr>
          <w:rFonts w:asciiTheme="minorEastAsia" w:hAnsiTheme="minorEastAsia" w:eastAsiaTheme="minorEastAsia" w:cstheme="minorEastAsia"/>
          <w:color w:val="auto"/>
          <w:szCs w:val="21"/>
          <w:highlight w:val="none"/>
        </w:rPr>
      </w:pPr>
    </w:p>
    <w:p w14:paraId="4AE593D7">
      <w:pPr>
        <w:spacing w:line="360" w:lineRule="auto"/>
        <w:jc w:val="right"/>
        <w:rPr>
          <w:rFonts w:asciiTheme="minorEastAsia" w:hAnsiTheme="minorEastAsia" w:eastAsiaTheme="minorEastAsia" w:cstheme="minorEastAsia"/>
          <w:color w:val="auto"/>
          <w:szCs w:val="21"/>
          <w:highlight w:val="none"/>
          <w:u w:val="single"/>
        </w:rPr>
      </w:pPr>
      <w:bookmarkStart w:id="22" w:name="PO_3000001866_PM031_2"/>
      <w:r>
        <w:rPr>
          <w:rFonts w:hint="eastAsia" w:asciiTheme="minorEastAsia" w:hAnsiTheme="minorEastAsia" w:eastAsiaTheme="minorEastAsia" w:cstheme="minorEastAsia"/>
          <w:color w:val="auto"/>
          <w:szCs w:val="21"/>
          <w:highlight w:val="none"/>
          <w:u w:val="single"/>
        </w:rPr>
        <w:t>广西建设工程机电设备招标中心有限公司</w:t>
      </w:r>
      <w:bookmarkEnd w:id="22"/>
    </w:p>
    <w:p w14:paraId="3C8A74E7">
      <w:pPr>
        <w:spacing w:line="360" w:lineRule="auto"/>
        <w:ind w:firstLine="210" w:firstLineChars="100"/>
        <w:jc w:val="right"/>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szCs w:val="21"/>
          <w:highlight w:val="none"/>
          <w:u w:val="single"/>
        </w:rPr>
        <w:t>2025年8月</w:t>
      </w:r>
      <w:r>
        <w:rPr>
          <w:rFonts w:hint="eastAsia" w:asciiTheme="minorEastAsia" w:hAnsiTheme="minorEastAsia" w:eastAsiaTheme="minorEastAsia" w:cstheme="minorEastAsia"/>
          <w:color w:val="auto"/>
          <w:szCs w:val="21"/>
          <w:highlight w:val="none"/>
          <w:u w:val="single"/>
          <w:lang w:val="en-US" w:eastAsia="zh-CN"/>
        </w:rPr>
        <w:t>18</w:t>
      </w:r>
      <w:r>
        <w:rPr>
          <w:rFonts w:hint="eastAsia" w:asciiTheme="minorEastAsia" w:hAnsiTheme="minorEastAsia" w:eastAsiaTheme="minorEastAsia" w:cstheme="minorEastAsia"/>
          <w:color w:val="auto"/>
          <w:szCs w:val="21"/>
          <w:highlight w:val="none"/>
          <w:u w:val="single"/>
        </w:rPr>
        <w:t>日</w:t>
      </w:r>
    </w:p>
    <w:p w14:paraId="20276D61">
      <w:pPr>
        <w:widowControl/>
        <w:spacing w:line="360" w:lineRule="auto"/>
        <w:jc w:val="left"/>
        <w:rPr>
          <w:rFonts w:asciiTheme="minorEastAsia" w:hAnsiTheme="minorEastAsia" w:eastAsiaTheme="minorEastAsia" w:cstheme="minorEastAsia"/>
          <w:color w:val="auto"/>
          <w:sz w:val="24"/>
          <w:highlight w:val="none"/>
          <w:lang w:val="zh-CN"/>
        </w:rPr>
        <w:sectPr>
          <w:pgSz w:w="11906" w:h="16838"/>
          <w:pgMar w:top="1134" w:right="1134" w:bottom="1134" w:left="1134" w:header="720" w:footer="720" w:gutter="0"/>
          <w:pgNumType w:start="1"/>
          <w:cols w:space="720" w:num="1"/>
          <w:docGrid w:type="lines" w:linePitch="331" w:charSpace="0"/>
        </w:sectPr>
      </w:pPr>
    </w:p>
    <w:p w14:paraId="0D129F8D">
      <w:pPr>
        <w:pStyle w:val="12"/>
        <w:jc w:val="center"/>
        <w:outlineLvl w:val="0"/>
        <w:rPr>
          <w:rFonts w:asciiTheme="minorEastAsia" w:hAnsiTheme="minorEastAsia" w:eastAsiaTheme="minorEastAsia" w:cstheme="minorEastAsia"/>
          <w:b/>
          <w:color w:val="auto"/>
          <w:sz w:val="36"/>
          <w:highlight w:val="none"/>
        </w:rPr>
      </w:pPr>
      <w:bookmarkStart w:id="23" w:name="_Toc532545042"/>
      <w:bookmarkStart w:id="24" w:name="_Toc4033"/>
      <w:r>
        <w:rPr>
          <w:rFonts w:hint="eastAsia" w:asciiTheme="minorEastAsia" w:hAnsiTheme="minorEastAsia" w:eastAsiaTheme="minorEastAsia" w:cstheme="minorEastAsia"/>
          <w:b/>
          <w:color w:val="auto"/>
          <w:sz w:val="36"/>
          <w:highlight w:val="none"/>
        </w:rPr>
        <w:t xml:space="preserve">第二章  </w:t>
      </w:r>
      <w:bookmarkEnd w:id="23"/>
      <w:r>
        <w:rPr>
          <w:rFonts w:hint="eastAsia" w:asciiTheme="minorEastAsia" w:hAnsiTheme="minorEastAsia" w:eastAsiaTheme="minorEastAsia" w:cstheme="minorEastAsia"/>
          <w:b/>
          <w:color w:val="auto"/>
          <w:sz w:val="36"/>
          <w:highlight w:val="none"/>
        </w:rPr>
        <w:t>采购需求</w:t>
      </w:r>
      <w:bookmarkEnd w:id="24"/>
    </w:p>
    <w:p w14:paraId="6AFD3AF2">
      <w:pPr>
        <w:adjustRightInd w:val="0"/>
        <w:spacing w:line="340" w:lineRule="exact"/>
        <w:rPr>
          <w:rFonts w:asciiTheme="minorEastAsia" w:hAnsiTheme="minorEastAsia" w:eastAsiaTheme="minorEastAsia" w:cstheme="minorEastAsia"/>
          <w:b/>
          <w:color w:val="auto"/>
          <w:szCs w:val="21"/>
          <w:highlight w:val="none"/>
        </w:rPr>
      </w:pPr>
    </w:p>
    <w:p w14:paraId="55490A5F">
      <w:pPr>
        <w:adjustRightInd w:val="0"/>
        <w:spacing w:line="34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说明：</w:t>
      </w:r>
    </w:p>
    <w:p w14:paraId="2DE8E96D">
      <w:pPr>
        <w:spacing w:line="360" w:lineRule="auto"/>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为落实政府采购政策需满足的要求（根据项目实际情况填写内容）</w:t>
      </w:r>
    </w:p>
    <w:p w14:paraId="01B47FC1">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（1）本招标文件所称中小企业必须符合《政府采购促进中小企业发展管理办法》（财库〔2020〕46号）的规定。</w:t>
      </w:r>
    </w:p>
    <w:p w14:paraId="3E9003E5">
      <w:pPr>
        <w:spacing w:line="360" w:lineRule="auto"/>
        <w:ind w:firstLine="424" w:firstLineChars="202"/>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14:paraId="39014053">
      <w:pPr>
        <w:spacing w:line="360" w:lineRule="auto"/>
        <w:ind w:firstLine="424" w:firstLineChars="202"/>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b/>
          <w:color w:val="auto"/>
          <w:szCs w:val="21"/>
          <w:highlight w:val="none"/>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32692045">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2.“实质性要求”是指招标文件中已经指明不满足则投标无效的条款，或者不能负偏离的条款，或者采购需求中带“▲”的条款。</w:t>
      </w:r>
    </w:p>
    <w:p w14:paraId="30D27176">
      <w:pPr>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3.不需要投标人对采购需求响应为具体数值的，此采购需求的数值后将以◆号标注。</w:t>
      </w:r>
    </w:p>
    <w:p w14:paraId="7C7947D5">
      <w:pPr>
        <w:spacing w:line="360" w:lineRule="auto"/>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4.如投标人投标产品存在侵犯他人的知识产权或者专利成果行为的，应承担相应法律责任。</w:t>
      </w:r>
    </w:p>
    <w:p w14:paraId="0B185703">
      <w:pPr>
        <w:pStyle w:val="15"/>
        <w:spacing w:line="360" w:lineRule="auto"/>
        <w:ind w:left="424" w:leftChars="202"/>
        <w:rPr>
          <w:rFonts w:asciiTheme="minorEastAsia" w:hAnsiTheme="minorEastAsia" w:eastAsiaTheme="minorEastAsia" w:cstheme="minorEastAsia"/>
          <w:color w:val="auto"/>
          <w:sz w:val="21"/>
          <w:szCs w:val="24"/>
          <w:highlight w:val="none"/>
        </w:rPr>
      </w:pPr>
      <w:r>
        <w:rPr>
          <w:rFonts w:hint="eastAsia" w:asciiTheme="minorEastAsia" w:hAnsiTheme="minorEastAsia" w:eastAsiaTheme="minorEastAsia" w:cstheme="minorEastAsia"/>
          <w:color w:val="auto"/>
          <w:sz w:val="21"/>
          <w:szCs w:val="24"/>
          <w:highlight w:val="none"/>
        </w:rPr>
        <w:t>5.中小企业划分标准所属行业名称（行业名称及划分见本章附件2）：</w:t>
      </w:r>
    </w:p>
    <w:p w14:paraId="03606AC9">
      <w:pPr>
        <w:pStyle w:val="15"/>
        <w:spacing w:line="360" w:lineRule="auto"/>
        <w:ind w:left="424" w:leftChars="202" w:firstLine="211" w:firstLineChars="100"/>
        <w:rPr>
          <w:rFonts w:asciiTheme="minorEastAsia" w:hAnsiTheme="minorEastAsia" w:eastAsiaTheme="minorEastAsia" w:cstheme="minorEastAsia"/>
          <w:b/>
          <w:bCs/>
          <w:color w:val="auto"/>
          <w:sz w:val="21"/>
          <w:szCs w:val="24"/>
          <w:highlight w:val="none"/>
        </w:rPr>
      </w:pPr>
      <w:r>
        <w:rPr>
          <w:rFonts w:hint="eastAsia" w:asciiTheme="minorEastAsia" w:hAnsiTheme="minorEastAsia" w:eastAsiaTheme="minorEastAsia" w:cstheme="minorEastAsia"/>
          <w:b/>
          <w:bCs/>
          <w:color w:val="auto"/>
          <w:sz w:val="21"/>
          <w:szCs w:val="24"/>
          <w:highlight w:val="none"/>
        </w:rPr>
        <w:t>本项目标的所属行业-其他未列明行业。</w:t>
      </w:r>
    </w:p>
    <w:p w14:paraId="44CB59F2">
      <w:pPr>
        <w:pStyle w:val="15"/>
        <w:rPr>
          <w:rFonts w:asciiTheme="minorEastAsia" w:hAnsiTheme="minorEastAsia" w:eastAsiaTheme="minorEastAsia" w:cstheme="minorEastAsia"/>
          <w:color w:val="auto"/>
          <w:highlight w:val="none"/>
        </w:rPr>
      </w:pPr>
    </w:p>
    <w:p w14:paraId="6D729DA9">
      <w:pPr>
        <w:pStyle w:val="30"/>
        <w:rPr>
          <w:rFonts w:asciiTheme="minorEastAsia" w:hAnsiTheme="minorEastAsia" w:eastAsiaTheme="minorEastAsia" w:cstheme="minorEastAsia"/>
          <w:color w:val="auto"/>
          <w:highlight w:val="none"/>
        </w:rPr>
      </w:pPr>
    </w:p>
    <w:p w14:paraId="7CE6F61A">
      <w:pPr>
        <w:rPr>
          <w:rFonts w:asciiTheme="minorEastAsia" w:hAnsiTheme="minorEastAsia" w:eastAsiaTheme="minorEastAsia" w:cstheme="minorEastAsia"/>
          <w:color w:val="auto"/>
          <w:highlight w:val="none"/>
        </w:rPr>
      </w:pPr>
    </w:p>
    <w:p w14:paraId="1798F091">
      <w:pPr>
        <w:pStyle w:val="15"/>
        <w:rPr>
          <w:rFonts w:asciiTheme="minorEastAsia" w:hAnsiTheme="minorEastAsia" w:eastAsiaTheme="minorEastAsia" w:cstheme="minorEastAsia"/>
          <w:color w:val="auto"/>
          <w:highlight w:val="none"/>
        </w:rPr>
      </w:pPr>
    </w:p>
    <w:p w14:paraId="1F1467C3">
      <w:pPr>
        <w:pStyle w:val="30"/>
        <w:rPr>
          <w:rFonts w:asciiTheme="minorEastAsia" w:hAnsiTheme="minorEastAsia" w:eastAsiaTheme="minorEastAsia" w:cstheme="minorEastAsia"/>
          <w:color w:val="auto"/>
          <w:highlight w:val="none"/>
        </w:rPr>
      </w:pPr>
    </w:p>
    <w:p w14:paraId="76FE7255">
      <w:pPr>
        <w:rPr>
          <w:rFonts w:asciiTheme="minorEastAsia" w:hAnsiTheme="minorEastAsia" w:eastAsiaTheme="minorEastAsia" w:cstheme="minorEastAsia"/>
          <w:color w:val="auto"/>
          <w:highlight w:val="none"/>
        </w:rPr>
      </w:pPr>
    </w:p>
    <w:p w14:paraId="5AAA511E">
      <w:pPr>
        <w:pStyle w:val="15"/>
        <w:rPr>
          <w:rFonts w:asciiTheme="minorEastAsia" w:hAnsiTheme="minorEastAsia" w:eastAsiaTheme="minorEastAsia" w:cstheme="minorEastAsia"/>
          <w:color w:val="auto"/>
          <w:highlight w:val="none"/>
        </w:rPr>
      </w:pPr>
    </w:p>
    <w:p w14:paraId="751D41DC">
      <w:pPr>
        <w:spacing w:line="428" w:lineRule="exact"/>
        <w:rPr>
          <w:rFonts w:asciiTheme="minorEastAsia" w:hAnsiTheme="minorEastAsia" w:eastAsiaTheme="minorEastAsia" w:cstheme="minorEastAsia"/>
          <w:color w:val="auto"/>
          <w:highlight w:val="none"/>
        </w:rPr>
      </w:pPr>
    </w:p>
    <w:p w14:paraId="13FB3C36">
      <w:pPr>
        <w:spacing w:line="428" w:lineRule="exact"/>
        <w:jc w:val="cente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sz w:val="24"/>
          <w:highlight w:val="none"/>
        </w:rPr>
        <w:t>服务需求一览表</w:t>
      </w:r>
    </w:p>
    <w:tbl>
      <w:tblPr>
        <w:tblStyle w:val="23"/>
        <w:tblW w:w="94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1346"/>
        <w:gridCol w:w="736"/>
        <w:gridCol w:w="6825"/>
      </w:tblGrid>
      <w:tr w14:paraId="6C659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7975816">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项号</w:t>
            </w:r>
          </w:p>
        </w:tc>
        <w:tc>
          <w:tcPr>
            <w:tcW w:w="1295" w:type="dxa"/>
            <w:tcBorders>
              <w:top w:val="single" w:color="auto" w:sz="4" w:space="0"/>
              <w:left w:val="nil"/>
              <w:bottom w:val="single" w:color="auto" w:sz="4" w:space="0"/>
              <w:right w:val="single" w:color="auto" w:sz="4" w:space="0"/>
            </w:tcBorders>
            <w:vAlign w:val="center"/>
          </w:tcPr>
          <w:p w14:paraId="7FB41506">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服务名称</w:t>
            </w:r>
          </w:p>
        </w:tc>
        <w:tc>
          <w:tcPr>
            <w:tcW w:w="708" w:type="dxa"/>
            <w:tcBorders>
              <w:top w:val="single" w:color="auto" w:sz="4" w:space="0"/>
              <w:left w:val="nil"/>
              <w:bottom w:val="single" w:color="auto" w:sz="4" w:space="0"/>
              <w:right w:val="single" w:color="auto" w:sz="4" w:space="0"/>
            </w:tcBorders>
            <w:vAlign w:val="center"/>
          </w:tcPr>
          <w:p w14:paraId="5036099D">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数量及单位</w:t>
            </w:r>
          </w:p>
        </w:tc>
        <w:tc>
          <w:tcPr>
            <w:tcW w:w="6568" w:type="dxa"/>
            <w:tcBorders>
              <w:top w:val="single" w:color="auto" w:sz="4" w:space="0"/>
              <w:left w:val="nil"/>
              <w:bottom w:val="single" w:color="auto" w:sz="4" w:space="0"/>
              <w:right w:val="single" w:color="auto" w:sz="4" w:space="0"/>
            </w:tcBorders>
            <w:vAlign w:val="center"/>
          </w:tcPr>
          <w:p w14:paraId="52F047F1">
            <w:pPr>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服务内容及要求</w:t>
            </w:r>
          </w:p>
        </w:tc>
      </w:tr>
      <w:tr w14:paraId="5EBB6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62268E26">
            <w:pPr>
              <w:rPr>
                <w:rFonts w:asciiTheme="minorEastAsia" w:hAnsiTheme="minorEastAsia" w:cstheme="minorEastAsia"/>
                <w:color w:val="auto"/>
                <w:szCs w:val="21"/>
                <w:highlight w:val="none"/>
              </w:rPr>
            </w:pPr>
            <w:r>
              <w:rPr>
                <w:rFonts w:hint="eastAsia"/>
                <w:color w:val="auto"/>
                <w:highlight w:val="none"/>
              </w:rPr>
              <w:t>1</w:t>
            </w:r>
          </w:p>
        </w:tc>
        <w:tc>
          <w:tcPr>
            <w:tcW w:w="1295" w:type="dxa"/>
            <w:tcBorders>
              <w:top w:val="single" w:color="auto" w:sz="4" w:space="0"/>
              <w:left w:val="nil"/>
              <w:bottom w:val="single" w:color="auto" w:sz="4" w:space="0"/>
              <w:right w:val="single" w:color="auto" w:sz="4" w:space="0"/>
            </w:tcBorders>
            <w:vAlign w:val="center"/>
          </w:tcPr>
          <w:p w14:paraId="0B0D09C4">
            <w:pPr>
              <w:jc w:val="center"/>
              <w:rPr>
                <w:rFonts w:asciiTheme="minorEastAsia" w:hAnsiTheme="minorEastAsia" w:cstheme="minorEastAsia"/>
                <w:b/>
                <w:bCs/>
                <w:color w:val="auto"/>
                <w:szCs w:val="21"/>
                <w:highlight w:val="none"/>
              </w:rPr>
            </w:pPr>
            <w:r>
              <w:rPr>
                <w:rFonts w:hint="eastAsia" w:asciiTheme="minorEastAsia" w:hAnsiTheme="minorEastAsia" w:cstheme="minorEastAsia"/>
                <w:b/>
                <w:bCs/>
                <w:color w:val="auto"/>
                <w:szCs w:val="21"/>
                <w:highlight w:val="none"/>
              </w:rPr>
              <w:t>南宁市2025年政府和社会资本合作新机制项目实施方案评审服务</w:t>
            </w:r>
          </w:p>
        </w:tc>
        <w:tc>
          <w:tcPr>
            <w:tcW w:w="708" w:type="dxa"/>
            <w:tcBorders>
              <w:top w:val="single" w:color="auto" w:sz="4" w:space="0"/>
              <w:left w:val="nil"/>
              <w:bottom w:val="single" w:color="auto" w:sz="4" w:space="0"/>
              <w:right w:val="single" w:color="auto" w:sz="4" w:space="0"/>
            </w:tcBorders>
            <w:vAlign w:val="center"/>
          </w:tcPr>
          <w:p w14:paraId="0E9A2041">
            <w:pPr>
              <w:jc w:val="center"/>
              <w:rPr>
                <w:rFonts w:asciiTheme="minorEastAsia" w:hAnsiTheme="minorEastAsia" w:cstheme="minorEastAsia"/>
                <w:color w:val="auto"/>
                <w:szCs w:val="21"/>
                <w:highlight w:val="none"/>
              </w:rPr>
            </w:pPr>
            <w:r>
              <w:rPr>
                <w:rFonts w:hint="eastAsia"/>
                <w:color w:val="auto"/>
                <w:highlight w:val="none"/>
              </w:rPr>
              <w:t>1项</w:t>
            </w:r>
          </w:p>
        </w:tc>
        <w:tc>
          <w:tcPr>
            <w:tcW w:w="6568" w:type="dxa"/>
            <w:tcBorders>
              <w:top w:val="single" w:color="auto" w:sz="4" w:space="0"/>
              <w:left w:val="nil"/>
              <w:bottom w:val="single" w:color="auto" w:sz="4" w:space="0"/>
              <w:right w:val="single" w:color="auto" w:sz="4" w:space="0"/>
            </w:tcBorders>
            <w:vAlign w:val="center"/>
          </w:tcPr>
          <w:p w14:paraId="66D2F4CE">
            <w:pPr>
              <w:numPr>
                <w:ilvl w:val="0"/>
                <w:numId w:val="1"/>
              </w:numPr>
              <w:spacing w:line="440" w:lineRule="exact"/>
              <w:ind w:firstLine="464" w:firstLineChars="221"/>
              <w:rPr>
                <w:color w:val="auto"/>
                <w:highlight w:val="none"/>
              </w:rPr>
            </w:pPr>
            <w:r>
              <w:rPr>
                <w:rFonts w:hint="eastAsia" w:hAnsi="仿宋_GB2312" w:cs="仿宋_GB2312"/>
                <w:color w:val="auto"/>
                <w:highlight w:val="none"/>
              </w:rPr>
              <w:t>服务内容：提供南宁市5个</w:t>
            </w:r>
            <w:bookmarkStart w:id="25" w:name="OLE_LINK1"/>
            <w:r>
              <w:rPr>
                <w:rFonts w:hint="eastAsia" w:hAnsi="仿宋_GB2312" w:cs="仿宋_GB2312"/>
                <w:color w:val="auto"/>
                <w:highlight w:val="none"/>
              </w:rPr>
              <w:t>新机制项目</w:t>
            </w:r>
            <w:r>
              <w:rPr>
                <w:rFonts w:hint="eastAsia"/>
                <w:color w:val="auto"/>
                <w:highlight w:val="none"/>
              </w:rPr>
              <w:t>特许经营方案及协议的评估评审咨询服务</w:t>
            </w:r>
            <w:bookmarkEnd w:id="25"/>
            <w:r>
              <w:rPr>
                <w:rFonts w:hint="eastAsia"/>
                <w:color w:val="auto"/>
                <w:highlight w:val="none"/>
              </w:rPr>
              <w:t>。</w:t>
            </w:r>
          </w:p>
          <w:p w14:paraId="2CD46613">
            <w:pPr>
              <w:numPr>
                <w:ilvl w:val="0"/>
                <w:numId w:val="1"/>
              </w:numPr>
              <w:spacing w:line="440" w:lineRule="exact"/>
              <w:ind w:firstLine="464" w:firstLineChars="221"/>
              <w:rPr>
                <w:color w:val="auto"/>
                <w:highlight w:val="none"/>
              </w:rPr>
            </w:pPr>
            <w:r>
              <w:rPr>
                <w:rFonts w:hint="eastAsia"/>
                <w:color w:val="auto"/>
                <w:highlight w:val="none"/>
              </w:rPr>
              <w:t>技术要求：按国家、自治区、南宁市的现行法规体系、政策、行业标准、相关技术要求及技术规范执行。</w:t>
            </w:r>
          </w:p>
          <w:p w14:paraId="063A0556">
            <w:pPr>
              <w:numPr>
                <w:ilvl w:val="0"/>
                <w:numId w:val="1"/>
              </w:numPr>
              <w:spacing w:line="440" w:lineRule="exact"/>
              <w:ind w:firstLine="464" w:firstLineChars="221"/>
              <w:rPr>
                <w:color w:val="auto"/>
                <w:highlight w:val="none"/>
              </w:rPr>
            </w:pPr>
            <w:r>
              <w:rPr>
                <w:rFonts w:hint="eastAsia"/>
                <w:color w:val="auto"/>
                <w:highlight w:val="none"/>
                <w:lang w:eastAsia="zh-CN"/>
              </w:rPr>
              <w:t>评审项目领域</w:t>
            </w:r>
            <w:r>
              <w:rPr>
                <w:rFonts w:hint="eastAsia"/>
                <w:color w:val="auto"/>
                <w:highlight w:val="none"/>
              </w:rPr>
              <w:t>类别：包括但不限于</w:t>
            </w:r>
            <w:r>
              <w:rPr>
                <w:rFonts w:hint="eastAsia"/>
                <w:color w:val="auto"/>
                <w:highlight w:val="none"/>
                <w:lang w:eastAsia="zh-CN"/>
              </w:rPr>
              <w:t>环保、</w:t>
            </w:r>
            <w:r>
              <w:rPr>
                <w:rFonts w:hint="eastAsia"/>
                <w:color w:val="auto"/>
                <w:highlight w:val="none"/>
              </w:rPr>
              <w:t>市政</w:t>
            </w:r>
            <w:r>
              <w:rPr>
                <w:rFonts w:hint="eastAsia"/>
                <w:color w:val="auto"/>
                <w:highlight w:val="none"/>
                <w:lang w:eastAsia="zh-CN"/>
              </w:rPr>
              <w:t>、物流、农业林业、社会、交通运输、物流、水利、新型基础设施、能源</w:t>
            </w:r>
            <w:r>
              <w:rPr>
                <w:rFonts w:hint="eastAsia"/>
                <w:color w:val="auto"/>
                <w:highlight w:val="none"/>
              </w:rPr>
              <w:t>等</w:t>
            </w:r>
            <w:r>
              <w:rPr>
                <w:rFonts w:hint="eastAsia"/>
                <w:color w:val="auto"/>
                <w:highlight w:val="none"/>
                <w:lang w:eastAsia="zh-CN"/>
              </w:rPr>
              <w:t>领域</w:t>
            </w:r>
            <w:r>
              <w:rPr>
                <w:rFonts w:hint="eastAsia"/>
                <w:color w:val="auto"/>
                <w:highlight w:val="none"/>
              </w:rPr>
              <w:t>。</w:t>
            </w:r>
          </w:p>
          <w:p w14:paraId="53B2283C">
            <w:pPr>
              <w:numPr>
                <w:ilvl w:val="0"/>
                <w:numId w:val="1"/>
              </w:numPr>
              <w:spacing w:line="440" w:lineRule="exact"/>
              <w:ind w:firstLine="464" w:firstLineChars="221"/>
              <w:rPr>
                <w:color w:val="auto"/>
                <w:highlight w:val="none"/>
              </w:rPr>
            </w:pPr>
            <w:r>
              <w:rPr>
                <w:rFonts w:hint="eastAsia"/>
                <w:color w:val="auto"/>
                <w:highlight w:val="none"/>
              </w:rPr>
              <w:t>工作内容</w:t>
            </w:r>
            <w:r>
              <w:rPr>
                <w:rFonts w:hint="eastAsia"/>
                <w:color w:val="auto"/>
                <w:highlight w:val="none"/>
                <w:lang w:eastAsia="zh-CN"/>
              </w:rPr>
              <w:t>及要求</w:t>
            </w:r>
            <w:r>
              <w:rPr>
                <w:rFonts w:hint="eastAsia"/>
                <w:color w:val="auto"/>
                <w:highlight w:val="none"/>
              </w:rPr>
              <w:t>：</w:t>
            </w:r>
          </w:p>
          <w:p w14:paraId="2EFE91A5">
            <w:pPr>
              <w:numPr>
                <w:ilvl w:val="0"/>
                <w:numId w:val="2"/>
              </w:numPr>
              <w:spacing w:line="440" w:lineRule="exact"/>
              <w:ind w:firstLine="420" w:firstLineChars="200"/>
              <w:rPr>
                <w:rFonts w:hint="eastAsia"/>
                <w:color w:val="auto"/>
                <w:highlight w:val="none"/>
              </w:rPr>
            </w:pPr>
            <w:r>
              <w:rPr>
                <w:rFonts w:hint="eastAsia"/>
                <w:color w:val="auto"/>
                <w:highlight w:val="none"/>
              </w:rPr>
              <w:t>接到采购人委托任务后，需积极主动与采购人联系，落实新机制项目特许经营方案及协议评估评审工作事宜，并安排充足人员开展</w:t>
            </w:r>
            <w:r>
              <w:rPr>
                <w:rFonts w:hint="eastAsia"/>
                <w:color w:val="auto"/>
                <w:highlight w:val="none"/>
                <w:lang w:eastAsia="zh-CN"/>
              </w:rPr>
              <w:t>评审会前的预审</w:t>
            </w:r>
            <w:r>
              <w:rPr>
                <w:rFonts w:hint="eastAsia"/>
                <w:color w:val="auto"/>
                <w:highlight w:val="none"/>
              </w:rPr>
              <w:t>工作；</w:t>
            </w:r>
          </w:p>
          <w:p w14:paraId="7E4861FC">
            <w:pPr>
              <w:numPr>
                <w:ilvl w:val="0"/>
                <w:numId w:val="2"/>
              </w:numPr>
              <w:spacing w:line="440" w:lineRule="exact"/>
              <w:ind w:firstLine="420" w:firstLineChars="200"/>
              <w:rPr>
                <w:rFonts w:hint="eastAsia"/>
                <w:color w:val="auto"/>
                <w:highlight w:val="none"/>
              </w:rPr>
            </w:pPr>
            <w:r>
              <w:rPr>
                <w:rFonts w:hint="eastAsia"/>
                <w:color w:val="auto"/>
                <w:highlight w:val="none"/>
                <w:lang w:eastAsia="zh-CN"/>
              </w:rPr>
              <w:t>经成交供应商预审通过的</w:t>
            </w:r>
            <w:r>
              <w:rPr>
                <w:rFonts w:hint="eastAsia" w:hAnsi="仿宋_GB2312" w:cs="仿宋_GB2312"/>
                <w:color w:val="auto"/>
                <w:highlight w:val="none"/>
              </w:rPr>
              <w:t>项目</w:t>
            </w:r>
            <w:r>
              <w:rPr>
                <w:rFonts w:hint="eastAsia"/>
                <w:color w:val="auto"/>
                <w:highlight w:val="none"/>
              </w:rPr>
              <w:t>特许经营方案及协议</w:t>
            </w:r>
            <w:r>
              <w:rPr>
                <w:rFonts w:hint="eastAsia"/>
                <w:color w:val="auto"/>
                <w:highlight w:val="none"/>
                <w:lang w:eastAsia="zh-CN"/>
              </w:rPr>
              <w:t>由成交供应商组织各有关部门及专家组（包括法律、财务及相关行业等方面专家不少于</w:t>
            </w:r>
            <w:r>
              <w:rPr>
                <w:rFonts w:hint="eastAsia"/>
                <w:color w:val="auto"/>
                <w:highlight w:val="none"/>
                <w:lang w:val="en-US" w:eastAsia="zh-CN"/>
              </w:rPr>
              <w:t>5人组成</w:t>
            </w:r>
            <w:r>
              <w:rPr>
                <w:rFonts w:hint="eastAsia"/>
                <w:color w:val="auto"/>
                <w:highlight w:val="none"/>
                <w:lang w:eastAsia="zh-CN"/>
              </w:rPr>
              <w:t>）召开评审会，并出具相关会议纪要；</w:t>
            </w:r>
          </w:p>
          <w:p w14:paraId="66F26261">
            <w:pPr>
              <w:numPr>
                <w:ilvl w:val="0"/>
                <w:numId w:val="2"/>
              </w:numPr>
              <w:spacing w:line="440" w:lineRule="exact"/>
              <w:ind w:firstLine="420" w:firstLineChars="200"/>
              <w:rPr>
                <w:color w:val="auto"/>
                <w:highlight w:val="none"/>
              </w:rPr>
            </w:pPr>
            <w:r>
              <w:rPr>
                <w:rFonts w:hint="eastAsia"/>
                <w:color w:val="auto"/>
                <w:highlight w:val="none"/>
                <w:lang w:eastAsia="zh-CN"/>
              </w:rPr>
              <w:t>成交供应商根据会议修改意见审查修订后的</w:t>
            </w:r>
            <w:r>
              <w:rPr>
                <w:rFonts w:hint="eastAsia" w:hAnsi="仿宋_GB2312" w:cs="仿宋_GB2312"/>
                <w:color w:val="auto"/>
                <w:highlight w:val="none"/>
              </w:rPr>
              <w:t>项目</w:t>
            </w:r>
            <w:r>
              <w:rPr>
                <w:rFonts w:hint="eastAsia"/>
                <w:color w:val="auto"/>
                <w:highlight w:val="none"/>
              </w:rPr>
              <w:t>特许经营方案及协议</w:t>
            </w:r>
            <w:r>
              <w:rPr>
                <w:rFonts w:hint="eastAsia"/>
                <w:color w:val="auto"/>
                <w:highlight w:val="none"/>
                <w:lang w:eastAsia="zh-CN"/>
              </w:rPr>
              <w:t>，编制评审报告，向采购人</w:t>
            </w:r>
            <w:r>
              <w:rPr>
                <w:rFonts w:hint="eastAsia"/>
                <w:color w:val="auto"/>
                <w:highlight w:val="none"/>
              </w:rPr>
              <w:t>提交咨询服务成果；</w:t>
            </w:r>
          </w:p>
          <w:p w14:paraId="36772680">
            <w:pPr>
              <w:numPr>
                <w:ilvl w:val="0"/>
                <w:numId w:val="2"/>
              </w:numPr>
              <w:spacing w:line="440" w:lineRule="exact"/>
              <w:ind w:firstLine="420" w:firstLineChars="200"/>
              <w:rPr>
                <w:color w:val="auto"/>
                <w:highlight w:val="none"/>
              </w:rPr>
            </w:pPr>
            <w:r>
              <w:rPr>
                <w:rFonts w:hint="eastAsia"/>
                <w:color w:val="auto"/>
                <w:highlight w:val="none"/>
              </w:rPr>
              <w:t>资料归档。</w:t>
            </w:r>
          </w:p>
          <w:p w14:paraId="01490A57">
            <w:pPr>
              <w:numPr>
                <w:ilvl w:val="0"/>
                <w:numId w:val="1"/>
              </w:numPr>
              <w:spacing w:line="440" w:lineRule="exact"/>
              <w:ind w:firstLine="464" w:firstLineChars="221"/>
              <w:rPr>
                <w:color w:val="auto"/>
                <w:highlight w:val="none"/>
              </w:rPr>
            </w:pPr>
            <w:r>
              <w:rPr>
                <w:rFonts w:hint="eastAsia"/>
                <w:color w:val="auto"/>
                <w:highlight w:val="none"/>
              </w:rPr>
              <w:t>技术资料归档要求：包括项目文本的第一版及终版、专家及部门意见、会议纪要、修改意见、项目评估评审报告等相关资料，并按保存10年的要求整理归档。</w:t>
            </w:r>
          </w:p>
          <w:p w14:paraId="1AD9BEC1">
            <w:pPr>
              <w:ind w:firstLine="420" w:firstLineChars="200"/>
              <w:rPr>
                <w:color w:val="auto"/>
                <w:highlight w:val="none"/>
              </w:rPr>
            </w:pPr>
          </w:p>
        </w:tc>
      </w:tr>
      <w:tr w14:paraId="3C444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14:paraId="6AC1C24B">
            <w:pP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商务条款</w:t>
            </w:r>
          </w:p>
        </w:tc>
        <w:tc>
          <w:tcPr>
            <w:tcW w:w="8571" w:type="dxa"/>
            <w:gridSpan w:val="3"/>
            <w:tcBorders>
              <w:top w:val="single" w:color="auto" w:sz="4" w:space="0"/>
              <w:left w:val="nil"/>
              <w:bottom w:val="single" w:color="auto" w:sz="4" w:space="0"/>
              <w:right w:val="single" w:color="auto" w:sz="4" w:space="0"/>
            </w:tcBorders>
            <w:vAlign w:val="center"/>
          </w:tcPr>
          <w:p w14:paraId="5274A4D5">
            <w:pPr>
              <w:numPr>
                <w:ilvl w:val="255"/>
                <w:numId w:val="0"/>
              </w:numPr>
              <w:spacing w:line="440" w:lineRule="exac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一、合同签订期：自中标通知书发出之日起</w:t>
            </w:r>
            <w:r>
              <w:rPr>
                <w:rFonts w:hint="eastAsia"/>
                <w:color w:val="auto"/>
                <w:highlight w:val="none"/>
              </w:rPr>
              <w:t>15</w:t>
            </w:r>
            <w:r>
              <w:rPr>
                <w:rFonts w:hint="eastAsia" w:ascii="宋体" w:hAnsi="宋体" w:cs="宋体"/>
                <w:color w:val="auto"/>
                <w:szCs w:val="21"/>
                <w:highlight w:val="none"/>
              </w:rPr>
              <w:t>个工作日内。</w:t>
            </w:r>
          </w:p>
          <w:p w14:paraId="6032B993">
            <w:pPr>
              <w:numPr>
                <w:ilvl w:val="255"/>
                <w:numId w:val="0"/>
              </w:numPr>
              <w:spacing w:line="440" w:lineRule="exac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二、服务时间：自合同签订之日起</w:t>
            </w:r>
            <w:r>
              <w:rPr>
                <w:rFonts w:hint="eastAsia"/>
                <w:color w:val="auto"/>
                <w:highlight w:val="none"/>
              </w:rPr>
              <w:t>1</w:t>
            </w:r>
            <w:r>
              <w:rPr>
                <w:rFonts w:hint="eastAsia" w:ascii="宋体" w:hAnsi="宋体" w:cs="宋体"/>
                <w:color w:val="auto"/>
                <w:szCs w:val="21"/>
                <w:highlight w:val="none"/>
              </w:rPr>
              <w:t>年。</w:t>
            </w:r>
          </w:p>
          <w:p w14:paraId="4A916E3D">
            <w:pPr>
              <w:numPr>
                <w:ilvl w:val="255"/>
                <w:numId w:val="0"/>
              </w:numPr>
              <w:spacing w:line="440" w:lineRule="exac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三、提交服务成果时间、地点：</w:t>
            </w:r>
          </w:p>
          <w:p w14:paraId="0664B437">
            <w:pPr>
              <w:numPr>
                <w:ilvl w:val="255"/>
                <w:numId w:val="0"/>
              </w:numPr>
              <w:spacing w:line="440" w:lineRule="exact"/>
              <w:rPr>
                <w:rFonts w:ascii="宋体" w:hAnsi="宋体" w:cs="宋体"/>
                <w:color w:val="auto"/>
                <w:szCs w:val="21"/>
                <w:highlight w:val="none"/>
              </w:rPr>
            </w:pPr>
            <w:r>
              <w:rPr>
                <w:rFonts w:hint="eastAsia" w:ascii="宋体" w:hAnsi="宋体" w:cs="宋体"/>
                <w:color w:val="auto"/>
                <w:szCs w:val="21"/>
                <w:highlight w:val="none"/>
              </w:rPr>
              <w:t>单个项目提交服务成果时间：成交供应商在接到采购人委托及完整的项目成果文件(特许经营方案、协议)后，</w:t>
            </w:r>
            <w:r>
              <w:rPr>
                <w:rFonts w:hint="eastAsia"/>
                <w:color w:val="auto"/>
                <w:highlight w:val="none"/>
              </w:rPr>
              <w:t>5</w:t>
            </w:r>
            <w:r>
              <w:rPr>
                <w:rFonts w:hint="eastAsia" w:ascii="宋体" w:hAnsi="宋体" w:cs="宋体"/>
                <w:color w:val="auto"/>
                <w:szCs w:val="21"/>
                <w:highlight w:val="none"/>
              </w:rPr>
              <w:t>个工作日内组织评审工作，并向采购人提交项目咨询服务专家意见或会议纪要。成交供应商在收到修改完善并定稿的项目成果文件后，</w:t>
            </w:r>
            <w:r>
              <w:rPr>
                <w:rFonts w:hint="eastAsia"/>
                <w:color w:val="auto"/>
                <w:highlight w:val="none"/>
              </w:rPr>
              <w:t>5</w:t>
            </w:r>
            <w:r>
              <w:rPr>
                <w:rFonts w:hint="eastAsia" w:ascii="宋体" w:hAnsi="宋体" w:cs="宋体"/>
                <w:color w:val="auto"/>
                <w:szCs w:val="21"/>
                <w:highlight w:val="none"/>
              </w:rPr>
              <w:t>个工作日内向采购人提交</w:t>
            </w:r>
            <w:r>
              <w:rPr>
                <w:rFonts w:hint="eastAsia"/>
                <w:color w:val="auto"/>
                <w:highlight w:val="none"/>
              </w:rPr>
              <w:t>3份</w:t>
            </w:r>
            <w:r>
              <w:rPr>
                <w:rFonts w:hint="eastAsia" w:ascii="宋体" w:hAnsi="宋体" w:cs="宋体"/>
                <w:color w:val="auto"/>
                <w:szCs w:val="21"/>
                <w:highlight w:val="none"/>
              </w:rPr>
              <w:t>纸质版咨询服务成果（会议纪要、评估评审报告）。</w:t>
            </w:r>
          </w:p>
          <w:p w14:paraId="3FE0389B">
            <w:pPr>
              <w:numPr>
                <w:ilvl w:val="255"/>
                <w:numId w:val="0"/>
              </w:numPr>
              <w:spacing w:line="440" w:lineRule="exact"/>
              <w:rPr>
                <w:rFonts w:ascii="宋体" w:hAnsi="宋体" w:cs="宋体"/>
                <w:color w:val="auto"/>
                <w:szCs w:val="21"/>
                <w:highlight w:val="none"/>
              </w:rPr>
            </w:pPr>
            <w:r>
              <w:rPr>
                <w:rFonts w:hint="eastAsia" w:ascii="宋体" w:hAnsi="宋体" w:cs="宋体"/>
                <w:color w:val="auto"/>
                <w:szCs w:val="21"/>
                <w:highlight w:val="none"/>
              </w:rPr>
              <w:t>提交服务成果地点：南宁市内采购人指定地点。</w:t>
            </w:r>
          </w:p>
          <w:p w14:paraId="135C501C">
            <w:pPr>
              <w:numPr>
                <w:ilvl w:val="255"/>
                <w:numId w:val="0"/>
              </w:numPr>
              <w:spacing w:line="440" w:lineRule="exac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四、验收标准：</w:t>
            </w:r>
          </w:p>
          <w:p w14:paraId="00E4E658">
            <w:pPr>
              <w:numPr>
                <w:ilvl w:val="255"/>
                <w:numId w:val="0"/>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咨询服务质量须按招标文件提出的要求及所签合同的约定进行，并提交项目评估评审报告，以便采购人进行验收。按投标文件、国家及行业标准等有关内容进行验收。标准若有不一致时，以较高标准为准。评估评审报告通过采购人及采购人上级主管部门审核确认即为验收合格。</w:t>
            </w:r>
          </w:p>
          <w:p w14:paraId="44753DF6">
            <w:pPr>
              <w:numPr>
                <w:ilvl w:val="255"/>
                <w:numId w:val="0"/>
              </w:numPr>
              <w:spacing w:line="440" w:lineRule="exact"/>
              <w:rPr>
                <w:rFonts w:hint="eastAsia" w:ascii="宋体" w:hAnsi="宋体" w:eastAsia="宋体" w:cs="宋体"/>
                <w:color w:val="auto"/>
                <w:szCs w:val="21"/>
                <w:highlight w:val="none"/>
                <w:lang w:eastAsia="zh-CN"/>
              </w:rPr>
            </w:pP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五、售后服务要求：</w:t>
            </w:r>
          </w:p>
          <w:p w14:paraId="1493A274">
            <w:pPr>
              <w:numPr>
                <w:ilvl w:val="255"/>
                <w:numId w:val="0"/>
              </w:numPr>
              <w:spacing w:line="440" w:lineRule="exact"/>
              <w:rPr>
                <w:rFonts w:ascii="宋体" w:hAnsi="宋体" w:cs="宋体"/>
                <w:color w:val="auto"/>
                <w:szCs w:val="21"/>
                <w:highlight w:val="none"/>
              </w:rPr>
            </w:pPr>
            <w:r>
              <w:rPr>
                <w:rFonts w:hint="eastAsia" w:ascii="宋体" w:hAnsi="宋体" w:cs="宋体"/>
                <w:color w:val="auto"/>
                <w:szCs w:val="21"/>
                <w:highlight w:val="none"/>
              </w:rPr>
              <w:t>（</w:t>
            </w:r>
            <w:bookmarkStart w:id="325" w:name="_GoBack"/>
            <w:bookmarkEnd w:id="325"/>
            <w:r>
              <w:rPr>
                <w:rFonts w:hint="eastAsia" w:ascii="宋体" w:hAnsi="宋体" w:cs="宋体"/>
                <w:color w:val="auto"/>
                <w:szCs w:val="21"/>
                <w:highlight w:val="none"/>
              </w:rPr>
              <w:t>一）处理问题响应时间：接到采购人处理问题通知后</w:t>
            </w:r>
            <w:r>
              <w:rPr>
                <w:rFonts w:hint="eastAsia"/>
                <w:color w:val="auto"/>
                <w:highlight w:val="none"/>
              </w:rPr>
              <w:t>24小</w:t>
            </w:r>
            <w:r>
              <w:rPr>
                <w:rFonts w:hint="eastAsia" w:ascii="宋体" w:hAnsi="宋体" w:cs="宋体"/>
                <w:color w:val="auto"/>
                <w:szCs w:val="21"/>
                <w:highlight w:val="none"/>
              </w:rPr>
              <w:t>时内到达采购人指定现场。</w:t>
            </w:r>
          </w:p>
          <w:p w14:paraId="0174A8BB">
            <w:pPr>
              <w:numPr>
                <w:ilvl w:val="255"/>
                <w:numId w:val="0"/>
              </w:numPr>
              <w:spacing w:line="440" w:lineRule="exact"/>
              <w:rPr>
                <w:rFonts w:ascii="宋体" w:hAnsi="宋体" w:cs="宋体"/>
                <w:color w:val="auto"/>
                <w:szCs w:val="21"/>
                <w:highlight w:val="none"/>
              </w:rPr>
            </w:pPr>
            <w:r>
              <w:rPr>
                <w:rFonts w:hint="eastAsia" w:ascii="宋体" w:hAnsi="宋体" w:cs="宋体"/>
                <w:color w:val="auto"/>
                <w:szCs w:val="21"/>
                <w:highlight w:val="none"/>
              </w:rPr>
              <w:t>（二）根据工作对接会、联席会、验收等意见相应修改完善服务成果。</w:t>
            </w:r>
          </w:p>
          <w:p w14:paraId="2D446FEC">
            <w:pPr>
              <w:numPr>
                <w:ilvl w:val="255"/>
                <w:numId w:val="0"/>
              </w:numPr>
              <w:spacing w:line="440" w:lineRule="exac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六、报价要求:</w:t>
            </w:r>
          </w:p>
          <w:p w14:paraId="5BE11C41">
            <w:pPr>
              <w:numPr>
                <w:ilvl w:val="255"/>
                <w:numId w:val="0"/>
              </w:numPr>
              <w:spacing w:line="440" w:lineRule="exact"/>
              <w:rPr>
                <w:rFonts w:ascii="宋体" w:hAnsi="宋体" w:cs="宋体"/>
                <w:color w:val="auto"/>
                <w:szCs w:val="21"/>
                <w:highlight w:val="none"/>
              </w:rPr>
            </w:pPr>
            <w:r>
              <w:rPr>
                <w:rFonts w:hint="eastAsia" w:ascii="宋体" w:hAnsi="宋体" w:cs="宋体"/>
                <w:color w:val="auto"/>
                <w:szCs w:val="21"/>
                <w:highlight w:val="none"/>
              </w:rPr>
              <w:t>（一）本</w:t>
            </w:r>
            <w:r>
              <w:rPr>
                <w:rFonts w:ascii="宋体" w:hAnsi="宋体" w:cs="宋体"/>
                <w:color w:val="auto"/>
                <w:szCs w:val="21"/>
                <w:highlight w:val="none"/>
              </w:rPr>
              <w:t>项目</w:t>
            </w:r>
            <w:r>
              <w:rPr>
                <w:rFonts w:hint="eastAsia" w:ascii="宋体" w:hAnsi="宋体" w:cs="宋体"/>
                <w:color w:val="auto"/>
                <w:szCs w:val="21"/>
                <w:highlight w:val="none"/>
              </w:rPr>
              <w:t>按项目单价报价，按</w:t>
            </w:r>
            <w:r>
              <w:rPr>
                <w:rFonts w:hint="eastAsia"/>
                <w:color w:val="auto"/>
                <w:highlight w:val="none"/>
              </w:rPr>
              <w:t>5个</w:t>
            </w:r>
            <w:r>
              <w:rPr>
                <w:rFonts w:hint="eastAsia" w:ascii="宋体" w:hAnsi="宋体" w:cs="宋体"/>
                <w:color w:val="auto"/>
                <w:szCs w:val="21"/>
                <w:highlight w:val="none"/>
              </w:rPr>
              <w:t>计，每个单价不高于</w:t>
            </w:r>
            <w:r>
              <w:rPr>
                <w:rFonts w:hint="eastAsia"/>
                <w:color w:val="auto"/>
                <w:highlight w:val="none"/>
              </w:rPr>
              <w:t>13.02</w:t>
            </w:r>
            <w:r>
              <w:rPr>
                <w:rFonts w:hint="eastAsia" w:ascii="宋体" w:hAnsi="宋体" w:cs="宋体"/>
                <w:color w:val="auto"/>
                <w:szCs w:val="21"/>
                <w:highlight w:val="none"/>
              </w:rPr>
              <w:t>万元，总金额不超过</w:t>
            </w:r>
            <w:r>
              <w:rPr>
                <w:rFonts w:hint="eastAsia"/>
                <w:color w:val="auto"/>
                <w:highlight w:val="none"/>
              </w:rPr>
              <w:t>65.1</w:t>
            </w:r>
            <w:r>
              <w:rPr>
                <w:rFonts w:hint="eastAsia" w:ascii="宋体" w:hAnsi="宋体" w:cs="宋体"/>
                <w:color w:val="auto"/>
                <w:szCs w:val="21"/>
                <w:highlight w:val="none"/>
              </w:rPr>
              <w:t>万元。</w:t>
            </w:r>
          </w:p>
          <w:p w14:paraId="067B97FE">
            <w:pPr>
              <w:numPr>
                <w:ilvl w:val="255"/>
                <w:numId w:val="0"/>
              </w:numPr>
              <w:spacing w:line="440" w:lineRule="exact"/>
              <w:rPr>
                <w:rFonts w:ascii="宋体" w:hAnsi="宋体" w:cs="宋体"/>
                <w:color w:val="auto"/>
                <w:szCs w:val="21"/>
                <w:highlight w:val="none"/>
              </w:rPr>
            </w:pPr>
            <w:r>
              <w:rPr>
                <w:rFonts w:hint="eastAsia" w:ascii="宋体" w:hAnsi="宋体" w:cs="宋体"/>
                <w:color w:val="auto"/>
                <w:szCs w:val="21"/>
                <w:highlight w:val="none"/>
              </w:rPr>
              <w:t>（二）报价必须包含以下部分，包括：</w:t>
            </w:r>
          </w:p>
          <w:p w14:paraId="5EA45EFA">
            <w:pPr>
              <w:numPr>
                <w:ilvl w:val="255"/>
                <w:numId w:val="0"/>
              </w:numPr>
              <w:spacing w:line="440" w:lineRule="exact"/>
              <w:rPr>
                <w:rFonts w:ascii="宋体" w:hAnsi="宋体" w:cs="宋体"/>
                <w:color w:val="auto"/>
                <w:szCs w:val="21"/>
                <w:highlight w:val="none"/>
              </w:rPr>
            </w:pPr>
            <w:r>
              <w:rPr>
                <w:rFonts w:hint="eastAsia"/>
                <w:color w:val="auto"/>
                <w:highlight w:val="none"/>
              </w:rPr>
              <w:t>1.</w:t>
            </w:r>
            <w:r>
              <w:rPr>
                <w:rFonts w:hint="eastAsia" w:ascii="宋体" w:hAnsi="宋体" w:cs="宋体"/>
                <w:color w:val="auto"/>
                <w:szCs w:val="21"/>
                <w:highlight w:val="none"/>
              </w:rPr>
              <w:t>服务的价格；</w:t>
            </w:r>
          </w:p>
          <w:p w14:paraId="34799ABB">
            <w:pPr>
              <w:numPr>
                <w:ilvl w:val="255"/>
                <w:numId w:val="0"/>
              </w:numPr>
              <w:spacing w:line="440" w:lineRule="exact"/>
              <w:rPr>
                <w:rFonts w:ascii="宋体" w:hAnsi="宋体" w:cs="宋体"/>
                <w:color w:val="auto"/>
                <w:szCs w:val="21"/>
                <w:highlight w:val="none"/>
              </w:rPr>
            </w:pPr>
            <w:r>
              <w:rPr>
                <w:rFonts w:hint="eastAsia"/>
                <w:color w:val="auto"/>
                <w:highlight w:val="none"/>
              </w:rPr>
              <w:t>2.</w:t>
            </w:r>
            <w:r>
              <w:rPr>
                <w:rFonts w:hint="eastAsia" w:ascii="宋体" w:hAnsi="宋体" w:cs="宋体"/>
                <w:color w:val="auto"/>
                <w:szCs w:val="21"/>
                <w:highlight w:val="none"/>
              </w:rPr>
              <w:t>必要的保险费用和各项税金；</w:t>
            </w:r>
          </w:p>
          <w:p w14:paraId="7DD09912">
            <w:pPr>
              <w:numPr>
                <w:ilvl w:val="255"/>
                <w:numId w:val="0"/>
              </w:numPr>
              <w:spacing w:line="440" w:lineRule="exact"/>
              <w:rPr>
                <w:rFonts w:ascii="宋体" w:hAnsi="宋体" w:cs="宋体"/>
                <w:color w:val="auto"/>
                <w:szCs w:val="21"/>
                <w:highlight w:val="none"/>
              </w:rPr>
            </w:pPr>
            <w:r>
              <w:rPr>
                <w:rFonts w:hint="eastAsia"/>
                <w:color w:val="auto"/>
                <w:highlight w:val="none"/>
              </w:rPr>
              <w:t>3.</w:t>
            </w:r>
            <w:r>
              <w:rPr>
                <w:rFonts w:hint="eastAsia" w:ascii="宋体" w:hAnsi="宋体" w:cs="宋体"/>
                <w:color w:val="auto"/>
                <w:szCs w:val="21"/>
                <w:highlight w:val="none"/>
              </w:rPr>
              <w:t>其他：如服务团队人员工资、社保、出差、工作经费、食宿、福利、安全责任等均由供应商负责。</w:t>
            </w:r>
          </w:p>
          <w:p w14:paraId="14990C75">
            <w:pPr>
              <w:numPr>
                <w:ilvl w:val="255"/>
                <w:numId w:val="0"/>
              </w:numPr>
              <w:spacing w:line="440" w:lineRule="exac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七、服务费用计费方式；</w:t>
            </w:r>
          </w:p>
          <w:p w14:paraId="181CB6CE">
            <w:pPr>
              <w:numPr>
                <w:ilvl w:val="255"/>
                <w:numId w:val="0"/>
              </w:numPr>
              <w:spacing w:line="440" w:lineRule="exact"/>
              <w:rPr>
                <w:rFonts w:ascii="宋体" w:hAnsi="宋体" w:cs="宋体"/>
                <w:color w:val="auto"/>
                <w:szCs w:val="21"/>
                <w:highlight w:val="none"/>
              </w:rPr>
            </w:pPr>
            <w:r>
              <w:rPr>
                <w:rFonts w:hint="eastAsia" w:ascii="宋体" w:hAnsi="宋体" w:cs="宋体"/>
                <w:color w:val="auto"/>
                <w:szCs w:val="21"/>
                <w:highlight w:val="none"/>
              </w:rPr>
              <w:t>本项目合同最终结算金额为采购人实际委托的单个评估评审项目费用之和，采购人支付服务费用金额不超过</w:t>
            </w:r>
            <w:r>
              <w:rPr>
                <w:rFonts w:hint="eastAsia"/>
                <w:color w:val="auto"/>
                <w:highlight w:val="none"/>
              </w:rPr>
              <w:t>65.1</w:t>
            </w:r>
            <w:r>
              <w:rPr>
                <w:rFonts w:hint="eastAsia" w:ascii="宋体" w:hAnsi="宋体" w:cs="宋体"/>
                <w:color w:val="auto"/>
                <w:szCs w:val="21"/>
                <w:highlight w:val="none"/>
              </w:rPr>
              <w:t>万元，单个项目评估评审费用不超过</w:t>
            </w:r>
            <w:r>
              <w:rPr>
                <w:rFonts w:hint="eastAsia"/>
                <w:color w:val="auto"/>
                <w:highlight w:val="none"/>
              </w:rPr>
              <w:t>13.02万</w:t>
            </w:r>
            <w:r>
              <w:rPr>
                <w:rFonts w:hint="eastAsia" w:ascii="宋体" w:hAnsi="宋体" w:cs="宋体"/>
                <w:color w:val="auto"/>
                <w:szCs w:val="21"/>
                <w:highlight w:val="none"/>
              </w:rPr>
              <w:t>元。</w:t>
            </w:r>
          </w:p>
          <w:p w14:paraId="6EB39548">
            <w:pPr>
              <w:numPr>
                <w:ilvl w:val="255"/>
                <w:numId w:val="0"/>
              </w:numPr>
              <w:spacing w:line="440" w:lineRule="exact"/>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color w:val="auto"/>
                <w:highlight w:val="none"/>
              </w:rPr>
              <w:t>八、付款方式：本项目按进度付款，每个项目特许经营方案及协议的评审服务工作完成，出具评审会议纪要及评审报告并通过采购人确认后，成交供应商可提出申请支付单个项目的成交金额（单价）的100%，采购人在接到申请后，1</w:t>
            </w:r>
            <w:r>
              <w:rPr>
                <w:color w:val="auto"/>
                <w:highlight w:val="none"/>
              </w:rPr>
              <w:t>0</w:t>
            </w:r>
            <w:r>
              <w:rPr>
                <w:rFonts w:hint="eastAsia"/>
                <w:color w:val="auto"/>
                <w:highlight w:val="none"/>
              </w:rPr>
              <w:t>个工作日内向财政局提交付款材料，在国库审核通过后10个工作日内支付给成交供应商。</w:t>
            </w:r>
          </w:p>
          <w:p w14:paraId="552561DF">
            <w:pPr>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九、回避原则；</w:t>
            </w:r>
          </w:p>
          <w:p w14:paraId="6F6627EC">
            <w:pPr>
              <w:numPr>
                <w:ilvl w:val="255"/>
                <w:numId w:val="0"/>
              </w:numPr>
              <w:spacing w:line="440" w:lineRule="exact"/>
              <w:rPr>
                <w:rFonts w:ascii="宋体" w:hAnsi="宋体" w:cs="宋体"/>
                <w:color w:val="auto"/>
                <w:szCs w:val="21"/>
                <w:highlight w:val="none"/>
              </w:rPr>
            </w:pPr>
            <w:r>
              <w:rPr>
                <w:rFonts w:hint="eastAsia" w:ascii="宋体" w:hAnsi="宋体" w:cs="宋体"/>
                <w:color w:val="auto"/>
                <w:szCs w:val="21"/>
                <w:highlight w:val="none"/>
              </w:rPr>
              <w:t>承担编制任务的工程咨询单位，不得承担同一事项的评估咨询任务。承担评估咨询任务的工程咨询单位，与同一事项的编制单位，项目业主单位之间不得存在控股、管理关系或者负责人为同一人的重大关联关系。因回避而无法承接的单个项目，由采购人另行委托，相关的评估评审服务费由采购人向另行委托的第三方支付。</w:t>
            </w:r>
          </w:p>
          <w:p w14:paraId="79BF33BE">
            <w:pPr>
              <w:numPr>
                <w:ilvl w:val="255"/>
                <w:numId w:val="0"/>
              </w:numPr>
              <w:spacing w:line="440" w:lineRule="exac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十、其他：</w:t>
            </w:r>
          </w:p>
          <w:p w14:paraId="06D7EEEE">
            <w:pPr>
              <w:numPr>
                <w:ilvl w:val="255"/>
                <w:numId w:val="0"/>
              </w:numPr>
              <w:spacing w:line="440" w:lineRule="exact"/>
              <w:rPr>
                <w:rFonts w:ascii="宋体" w:hAnsi="宋体" w:cs="宋体"/>
                <w:color w:val="auto"/>
                <w:szCs w:val="21"/>
                <w:highlight w:val="none"/>
              </w:rPr>
            </w:pPr>
            <w:r>
              <w:rPr>
                <w:rFonts w:hint="eastAsia" w:ascii="宋体" w:hAnsi="宋体" w:cs="宋体"/>
                <w:color w:val="auto"/>
                <w:szCs w:val="21"/>
                <w:highlight w:val="none"/>
              </w:rPr>
              <w:t>本项目不得分包或转包。</w:t>
            </w:r>
          </w:p>
        </w:tc>
      </w:tr>
    </w:tbl>
    <w:p w14:paraId="454E5A20">
      <w:pPr>
        <w:spacing w:line="428" w:lineRule="exact"/>
        <w:rPr>
          <w:rFonts w:asciiTheme="minorEastAsia" w:hAnsiTheme="minorEastAsia" w:eastAsiaTheme="minorEastAsia" w:cstheme="minorEastAsia"/>
          <w:color w:val="auto"/>
          <w:highlight w:val="none"/>
        </w:rPr>
      </w:pPr>
    </w:p>
    <w:p w14:paraId="5F4148DA">
      <w:pPr>
        <w:spacing w:line="428"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14:paraId="724BA8D2">
      <w:pPr>
        <w:spacing w:line="428" w:lineRule="exac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32"/>
          <w:szCs w:val="32"/>
          <w:highlight w:val="none"/>
        </w:rPr>
        <w:t>附件1：</w:t>
      </w:r>
    </w:p>
    <w:p w14:paraId="756A2838">
      <w:pPr>
        <w:spacing w:before="7"/>
        <w:rPr>
          <w:rFonts w:asciiTheme="minorEastAsia" w:hAnsiTheme="minorEastAsia" w:eastAsiaTheme="minorEastAsia" w:cstheme="minorEastAsia"/>
          <w:color w:val="auto"/>
          <w:sz w:val="17"/>
          <w:szCs w:val="17"/>
          <w:highlight w:val="none"/>
        </w:rPr>
      </w:pPr>
    </w:p>
    <w:p w14:paraId="5D037F11">
      <w:pPr>
        <w:spacing w:line="528" w:lineRule="exact"/>
        <w:ind w:left="1871"/>
        <w:rPr>
          <w:rFonts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节能产品政府采购品目清单</w:t>
      </w:r>
    </w:p>
    <w:tbl>
      <w:tblPr>
        <w:tblStyle w:val="23"/>
        <w:tblW w:w="9220" w:type="dxa"/>
        <w:tblInd w:w="93" w:type="dxa"/>
        <w:tblLayout w:type="autofit"/>
        <w:tblCellMar>
          <w:top w:w="0" w:type="dxa"/>
          <w:left w:w="108" w:type="dxa"/>
          <w:bottom w:w="0" w:type="dxa"/>
          <w:right w:w="108" w:type="dxa"/>
        </w:tblCellMar>
      </w:tblPr>
      <w:tblGrid>
        <w:gridCol w:w="660"/>
        <w:gridCol w:w="1116"/>
        <w:gridCol w:w="1516"/>
        <w:gridCol w:w="1620"/>
        <w:gridCol w:w="4540"/>
      </w:tblGrid>
      <w:tr w14:paraId="0F6E3D59">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tcPr>
          <w:p w14:paraId="7DE88987">
            <w:pPr>
              <w:widowControl/>
              <w:jc w:val="center"/>
              <w:rPr>
                <w:rFonts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ign w:val="center"/>
          </w:tcPr>
          <w:p w14:paraId="66C736C7">
            <w:pPr>
              <w:widowControl/>
              <w:jc w:val="center"/>
              <w:rPr>
                <w:rFonts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ign w:val="center"/>
          </w:tcPr>
          <w:p w14:paraId="27F815D0">
            <w:pPr>
              <w:widowControl/>
              <w:jc w:val="center"/>
              <w:rPr>
                <w:rFonts w:asciiTheme="minorEastAsia" w:hAnsiTheme="minorEastAsia" w:eastAsiaTheme="minorEastAsia" w:cstheme="minorEastAsia"/>
                <w:b/>
                <w:bCs/>
                <w:color w:val="auto"/>
                <w:kern w:val="0"/>
                <w:sz w:val="22"/>
                <w:szCs w:val="22"/>
                <w:highlight w:val="none"/>
              </w:rPr>
            </w:pPr>
            <w:r>
              <w:rPr>
                <w:rFonts w:hint="eastAsia" w:asciiTheme="minorEastAsia" w:hAnsiTheme="minorEastAsia" w:eastAsiaTheme="minorEastAsia" w:cstheme="minorEastAsia"/>
                <w:b/>
                <w:bCs/>
                <w:color w:val="auto"/>
                <w:kern w:val="0"/>
                <w:sz w:val="22"/>
                <w:szCs w:val="22"/>
                <w:highlight w:val="none"/>
              </w:rPr>
              <w:t>依据的标准</w:t>
            </w:r>
          </w:p>
        </w:tc>
      </w:tr>
      <w:tr w14:paraId="670D393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04C2A0FA">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ign w:val="center"/>
          </w:tcPr>
          <w:p w14:paraId="573A072B">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ign w:val="center"/>
          </w:tcPr>
          <w:p w14:paraId="7D84E55B">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ign w:val="center"/>
          </w:tcPr>
          <w:p w14:paraId="089C01BE">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AD0E16A">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7C2F2A6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7C643FBE">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12CDDEA9">
            <w:pPr>
              <w:widowControl/>
              <w:jc w:val="left"/>
              <w:rPr>
                <w:rFonts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40134445">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ign w:val="center"/>
          </w:tcPr>
          <w:p w14:paraId="6E4E9948">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DE5A4B6">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0D68F6B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5365DA17">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2482512C">
            <w:pPr>
              <w:widowControl/>
              <w:jc w:val="left"/>
              <w:rPr>
                <w:rFonts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3B697192">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ign w:val="center"/>
          </w:tcPr>
          <w:p w14:paraId="50083493">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746E4953">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《微型计算机能效限定值及能效等级》（GB28380）</w:t>
            </w:r>
          </w:p>
        </w:tc>
      </w:tr>
      <w:tr w14:paraId="231C335C">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480CAA6C">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ign w:val="center"/>
          </w:tcPr>
          <w:p w14:paraId="4BB19BE5">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ign w:val="center"/>
          </w:tcPr>
          <w:p w14:paraId="5E430F91">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ign w:val="center"/>
          </w:tcPr>
          <w:p w14:paraId="08943A77">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ign w:val="center"/>
          </w:tcPr>
          <w:p w14:paraId="2DEF2C16">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3B5B835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04897C13">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04407006">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4CC4DBE7">
            <w:pPr>
              <w:widowControl/>
              <w:jc w:val="left"/>
              <w:rPr>
                <w:rFonts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4B022D91">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ign w:val="center"/>
          </w:tcPr>
          <w:p w14:paraId="4E4A1CA7">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5BC47F5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1D09FF66">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19FF8532">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35998C14">
            <w:pPr>
              <w:widowControl/>
              <w:jc w:val="left"/>
              <w:rPr>
                <w:rFonts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08FA4363">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ign w:val="center"/>
          </w:tcPr>
          <w:p w14:paraId="7F622070">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70B72D6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054C094A">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034FA811">
            <w:pPr>
              <w:widowControl/>
              <w:jc w:val="left"/>
              <w:rPr>
                <w:rFonts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6C6CA8B0">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ign w:val="center"/>
          </w:tcPr>
          <w:p w14:paraId="36FD45DC">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ign w:val="center"/>
          </w:tcPr>
          <w:p w14:paraId="1F826604">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《计算机显示器能效限定值及能效等级》（GB21520）</w:t>
            </w:r>
          </w:p>
        </w:tc>
      </w:tr>
      <w:tr w14:paraId="5BEF7D0C">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74FC6877">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34E820F1">
            <w:pPr>
              <w:widowControl/>
              <w:jc w:val="left"/>
              <w:rPr>
                <w:rFonts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017260B7">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ign w:val="center"/>
          </w:tcPr>
          <w:p w14:paraId="46499979">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ign w:val="center"/>
          </w:tcPr>
          <w:p w14:paraId="001A0AAE">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086D2301">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4F5F3975">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3</w:t>
            </w:r>
          </w:p>
        </w:tc>
        <w:tc>
          <w:tcPr>
            <w:tcW w:w="1080" w:type="dxa"/>
            <w:tcBorders>
              <w:top w:val="nil"/>
              <w:left w:val="nil"/>
              <w:bottom w:val="single" w:color="000000" w:sz="8" w:space="0"/>
              <w:right w:val="single" w:color="000000" w:sz="8" w:space="0"/>
            </w:tcBorders>
            <w:noWrap/>
            <w:vAlign w:val="center"/>
          </w:tcPr>
          <w:p w14:paraId="6B1CD677">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ign w:val="center"/>
          </w:tcPr>
          <w:p w14:paraId="2326B1C4">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0FA8C331">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0206516F">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《投影机能效限定值及能效等级》（GB32028）</w:t>
            </w:r>
          </w:p>
        </w:tc>
      </w:tr>
      <w:tr w14:paraId="4FDD00F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2511A326">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4</w:t>
            </w:r>
          </w:p>
        </w:tc>
        <w:tc>
          <w:tcPr>
            <w:tcW w:w="1080" w:type="dxa"/>
            <w:tcBorders>
              <w:top w:val="nil"/>
              <w:left w:val="nil"/>
              <w:bottom w:val="single" w:color="000000" w:sz="8" w:space="0"/>
              <w:right w:val="single" w:color="000000" w:sz="8" w:space="0"/>
            </w:tcBorders>
            <w:noWrap/>
            <w:vAlign w:val="center"/>
          </w:tcPr>
          <w:p w14:paraId="73FB0A80">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ign w:val="center"/>
          </w:tcPr>
          <w:p w14:paraId="49F62F3C">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71451835">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4BBDD775">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《复印机、打印机和传真机能效限定值及能效等级》（GB21521）</w:t>
            </w:r>
          </w:p>
        </w:tc>
      </w:tr>
      <w:tr w14:paraId="11A78F7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7B7D18CC">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5</w:t>
            </w:r>
          </w:p>
        </w:tc>
        <w:tc>
          <w:tcPr>
            <w:tcW w:w="1080" w:type="dxa"/>
            <w:tcBorders>
              <w:top w:val="nil"/>
              <w:left w:val="nil"/>
              <w:bottom w:val="single" w:color="000000" w:sz="8" w:space="0"/>
              <w:right w:val="single" w:color="000000" w:sz="8" w:space="0"/>
            </w:tcBorders>
            <w:noWrap/>
            <w:vAlign w:val="center"/>
          </w:tcPr>
          <w:p w14:paraId="3D762DD8">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ign w:val="center"/>
          </w:tcPr>
          <w:p w14:paraId="2ECA2A23">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ign w:val="center"/>
          </w:tcPr>
          <w:p w14:paraId="77B58749">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2DBA635">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《清水离心泵能效限定值及节能评价值》（GB19762）</w:t>
            </w:r>
          </w:p>
        </w:tc>
      </w:tr>
      <w:tr w14:paraId="10FBB1CE">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7348DCE3">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ign w:val="center"/>
          </w:tcPr>
          <w:p w14:paraId="462CBF40">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ign w:val="center"/>
          </w:tcPr>
          <w:p w14:paraId="60393FC0">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ign w:val="center"/>
          </w:tcPr>
          <w:p w14:paraId="35B1F328">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ign w:val="center"/>
          </w:tcPr>
          <w:p w14:paraId="39ECDDC9">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《冷水机组能效限定值及能效等级》（GB19577），《低环境温度空气源热泵（冷水）机组能效限定值及能效等级》（GB37480）</w:t>
            </w:r>
          </w:p>
        </w:tc>
      </w:tr>
      <w:tr w14:paraId="3CF0DCE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43E25BDB">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2B05CD43">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761C7853">
            <w:pPr>
              <w:widowControl/>
              <w:jc w:val="left"/>
              <w:rPr>
                <w:rFonts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CFD41EF">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ign w:val="center"/>
          </w:tcPr>
          <w:p w14:paraId="18ACA367">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《水（地）源热泵机组能效限定值及能效等级》（GB30721）</w:t>
            </w:r>
          </w:p>
        </w:tc>
      </w:tr>
      <w:tr w14:paraId="2AE29E6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41F9A902">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5C267D78">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2F1F239D">
            <w:pPr>
              <w:widowControl/>
              <w:jc w:val="left"/>
              <w:rPr>
                <w:rFonts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4B809048">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ign w:val="center"/>
          </w:tcPr>
          <w:p w14:paraId="3C5FAEB3">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《溴化锂吸收式冷水机组能效限定值及能效等级》（GB29540）</w:t>
            </w:r>
          </w:p>
        </w:tc>
      </w:tr>
      <w:tr w14:paraId="2AD281D3">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7CD3160E">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1864950F">
            <w:pPr>
              <w:widowControl/>
              <w:jc w:val="left"/>
              <w:rPr>
                <w:rFonts w:asciiTheme="minorEastAsia" w:hAnsiTheme="minorEastAsia" w:eastAsiaTheme="minorEastAsia" w:cstheme="minorEastAsia"/>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22B1DD2A">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ign w:val="center"/>
          </w:tcPr>
          <w:p w14:paraId="129461AD">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ign w:val="center"/>
          </w:tcPr>
          <w:p w14:paraId="429F5C70">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《多联式空调（热泵）机组能效限定值及能源效率等级》（GB21454）</w:t>
            </w:r>
          </w:p>
        </w:tc>
      </w:tr>
      <w:tr w14:paraId="1D142F3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08A12D79">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27837F7F">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5587361B">
            <w:pPr>
              <w:widowControl/>
              <w:jc w:val="left"/>
              <w:rPr>
                <w:rFonts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38CBBA3D">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ign w:val="center"/>
          </w:tcPr>
          <w:p w14:paraId="3E7CB3AF">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《单元式空气调节机能效限定值及能效等级》（GB19576）《风管送风式空调机组能效限定值及能效等级》（GB37479）</w:t>
            </w:r>
          </w:p>
        </w:tc>
      </w:tr>
      <w:tr w14:paraId="04B98DB3">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33165ED1">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2EEA9BB5">
            <w:pPr>
              <w:widowControl/>
              <w:jc w:val="left"/>
              <w:rPr>
                <w:rFonts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72844C96">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ign w:val="center"/>
          </w:tcPr>
          <w:p w14:paraId="44196DBC">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ign w:val="center"/>
          </w:tcPr>
          <w:p w14:paraId="4FD00458">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《单元式空气调节机能效限定值及能效等级》（GB19576）</w:t>
            </w:r>
          </w:p>
        </w:tc>
      </w:tr>
      <w:tr w14:paraId="026E443F">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4C5A28AD">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53090FCB">
            <w:pPr>
              <w:widowControl/>
              <w:jc w:val="left"/>
              <w:rPr>
                <w:rFonts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42333F4F">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ign w:val="center"/>
          </w:tcPr>
          <w:p w14:paraId="398FFD33">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ign w:val="center"/>
          </w:tcPr>
          <w:p w14:paraId="45B15BC6">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《机械通风冷却塔第1部分：中小型开式冷却塔》（GB/T7190.1）；《机械通风冷却塔第2部分：大型开式冷却塔》（GB/T7190.2）</w:t>
            </w:r>
          </w:p>
        </w:tc>
      </w:tr>
      <w:tr w14:paraId="328AAC2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36599AF8">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7</w:t>
            </w:r>
          </w:p>
        </w:tc>
        <w:tc>
          <w:tcPr>
            <w:tcW w:w="1080" w:type="dxa"/>
            <w:tcBorders>
              <w:top w:val="nil"/>
              <w:left w:val="nil"/>
              <w:bottom w:val="single" w:color="000000" w:sz="8" w:space="0"/>
              <w:right w:val="single" w:color="000000" w:sz="8" w:space="0"/>
            </w:tcBorders>
            <w:noWrap/>
            <w:vAlign w:val="center"/>
          </w:tcPr>
          <w:p w14:paraId="5DCBC3E6">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ign w:val="center"/>
          </w:tcPr>
          <w:p w14:paraId="10B80B24">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76DE82EF">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03D39072">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《中小型三相异步电动机能效限定值及能效等级》（GB18613）</w:t>
            </w:r>
          </w:p>
        </w:tc>
      </w:tr>
      <w:tr w14:paraId="5333746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79DE073B">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8</w:t>
            </w:r>
          </w:p>
        </w:tc>
        <w:tc>
          <w:tcPr>
            <w:tcW w:w="1080" w:type="dxa"/>
            <w:tcBorders>
              <w:top w:val="nil"/>
              <w:left w:val="nil"/>
              <w:bottom w:val="single" w:color="000000" w:sz="8" w:space="0"/>
              <w:right w:val="single" w:color="000000" w:sz="8" w:space="0"/>
            </w:tcBorders>
            <w:noWrap/>
            <w:vAlign w:val="center"/>
          </w:tcPr>
          <w:p w14:paraId="53514B27">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ign w:val="center"/>
          </w:tcPr>
          <w:p w14:paraId="0E0117EC">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ign w:val="center"/>
          </w:tcPr>
          <w:p w14:paraId="59F86268">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8D2154F">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《三相配电变压器能效限定值及能效等级》（GB20052）</w:t>
            </w:r>
          </w:p>
        </w:tc>
      </w:tr>
      <w:tr w14:paraId="3BFC689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65E5BA77">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9</w:t>
            </w:r>
          </w:p>
        </w:tc>
        <w:tc>
          <w:tcPr>
            <w:tcW w:w="1080" w:type="dxa"/>
            <w:tcBorders>
              <w:top w:val="nil"/>
              <w:left w:val="nil"/>
              <w:bottom w:val="single" w:color="000000" w:sz="8" w:space="0"/>
              <w:right w:val="single" w:color="000000" w:sz="8" w:space="0"/>
            </w:tcBorders>
            <w:noWrap/>
            <w:vAlign w:val="center"/>
          </w:tcPr>
          <w:p w14:paraId="45D266D2">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ign w:val="center"/>
          </w:tcPr>
          <w:p w14:paraId="073AA1C7">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ign w:val="center"/>
          </w:tcPr>
          <w:p w14:paraId="20436FD5">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3966461">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《管形荧光灯镇流器能效限定值及能效等级》（GB17896）</w:t>
            </w:r>
          </w:p>
        </w:tc>
      </w:tr>
      <w:tr w14:paraId="7DD0CCD6">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52A542FC">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ign w:val="center"/>
          </w:tcPr>
          <w:p w14:paraId="77F07D88">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ign w:val="center"/>
          </w:tcPr>
          <w:p w14:paraId="48A4E0CF">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ign w:val="center"/>
          </w:tcPr>
          <w:p w14:paraId="7FE2DAB1">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C1E7AC9">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《家用电冰箱耗电量限定值及能效等级》（GB 12021.2）</w:t>
            </w:r>
          </w:p>
        </w:tc>
      </w:tr>
      <w:tr w14:paraId="21593850">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7CE3F1CC">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0FB6695D">
            <w:pPr>
              <w:widowControl/>
              <w:jc w:val="left"/>
              <w:rPr>
                <w:rFonts w:asciiTheme="minorEastAsia" w:hAnsiTheme="minorEastAsia" w:eastAsiaTheme="minorEastAsia" w:cstheme="minorEastAsia"/>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034BD3C2">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ign w:val="center"/>
          </w:tcPr>
          <w:p w14:paraId="35411331">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ign w:val="center"/>
          </w:tcPr>
          <w:p w14:paraId="33C6DD9D">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2CB6844F">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3A71678E">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3703B2E8">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775E3076">
            <w:pPr>
              <w:widowControl/>
              <w:jc w:val="left"/>
              <w:rPr>
                <w:rFonts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23DDF2E7">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ign w:val="center"/>
          </w:tcPr>
          <w:p w14:paraId="18156C73">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《多联式空调（热泵）机组能效限定值及能源效率等级》（GB21454）</w:t>
            </w:r>
          </w:p>
        </w:tc>
      </w:tr>
      <w:tr w14:paraId="7E976FC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02B6EE67">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37E5A418">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3B9B7A19">
            <w:pPr>
              <w:widowControl/>
              <w:jc w:val="left"/>
              <w:rPr>
                <w:rFonts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606E95AE">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ign w:val="center"/>
          </w:tcPr>
          <w:p w14:paraId="675F8F22">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《单元式空气调节机能效限定值及能源效率等级》（GB19576）《风管送风式空调机组能效限定值及能效等级》（GB37479）</w:t>
            </w:r>
          </w:p>
        </w:tc>
      </w:tr>
      <w:tr w14:paraId="4F36D34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407CF277">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60E9211C">
            <w:pPr>
              <w:widowControl/>
              <w:jc w:val="left"/>
              <w:rPr>
                <w:rFonts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1C06A5E8">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ign w:val="center"/>
          </w:tcPr>
          <w:p w14:paraId="3CCBA2DB">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23386139">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《电动洗衣机能效水效限定值及等级》（GB12021.4）</w:t>
            </w:r>
          </w:p>
        </w:tc>
      </w:tr>
      <w:tr w14:paraId="2F19275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40EA8836">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07585A13">
            <w:pPr>
              <w:widowControl/>
              <w:jc w:val="left"/>
              <w:rPr>
                <w:rFonts w:asciiTheme="minorEastAsia" w:hAnsiTheme="minorEastAsia" w:eastAsiaTheme="minorEastAsia" w:cstheme="minorEastAsia"/>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ign w:val="center"/>
          </w:tcPr>
          <w:p w14:paraId="7D4676A4">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ign w:val="center"/>
          </w:tcPr>
          <w:p w14:paraId="6D805716">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ign w:val="center"/>
          </w:tcPr>
          <w:p w14:paraId="39EF102F">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《储水式电热水器能效限定值及能效等级》（GB21519）</w:t>
            </w:r>
          </w:p>
        </w:tc>
      </w:tr>
      <w:tr w14:paraId="610D09D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1CC92582">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318E7CDA">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58D8C3EA">
            <w:pPr>
              <w:widowControl/>
              <w:jc w:val="left"/>
              <w:rPr>
                <w:rFonts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2C5416BD">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ign w:val="center"/>
          </w:tcPr>
          <w:p w14:paraId="79CBC748">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《家用燃气快速热水器和燃气采暖热水炉能效限定值及能效等级》（GB20665）</w:t>
            </w:r>
          </w:p>
        </w:tc>
      </w:tr>
      <w:tr w14:paraId="51661E1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1189E612">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62E113E8">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2AA26701">
            <w:pPr>
              <w:widowControl/>
              <w:jc w:val="left"/>
              <w:rPr>
                <w:rFonts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782D3E41">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ign w:val="center"/>
          </w:tcPr>
          <w:p w14:paraId="2AE3EAAA">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《热泵热水机（器）能效限定值及能效等级》（GB29541）</w:t>
            </w:r>
          </w:p>
        </w:tc>
      </w:tr>
      <w:tr w14:paraId="3073EC3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0873FBA4">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14E58311">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551BDF95">
            <w:pPr>
              <w:widowControl/>
              <w:jc w:val="left"/>
              <w:rPr>
                <w:rFonts w:asciiTheme="minorEastAsia" w:hAnsiTheme="minorEastAsia" w:eastAsiaTheme="minorEastAsia" w:cstheme="minorEastAsia"/>
                <w:color w:val="auto"/>
                <w:kern w:val="0"/>
                <w:sz w:val="20"/>
                <w:szCs w:val="20"/>
                <w:highlight w:val="none"/>
              </w:rPr>
            </w:pPr>
          </w:p>
        </w:tc>
        <w:tc>
          <w:tcPr>
            <w:tcW w:w="1620" w:type="dxa"/>
            <w:tcBorders>
              <w:top w:val="nil"/>
              <w:left w:val="nil"/>
              <w:bottom w:val="single" w:color="000000" w:sz="8" w:space="0"/>
              <w:right w:val="single" w:color="000000" w:sz="8" w:space="0"/>
            </w:tcBorders>
            <w:noWrap/>
            <w:vAlign w:val="center"/>
          </w:tcPr>
          <w:p w14:paraId="4CF50B4A">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ign w:val="center"/>
          </w:tcPr>
          <w:p w14:paraId="22A6927D">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《家用太阳能热水系统能效限定值及能效等级》（GB26969）</w:t>
            </w:r>
          </w:p>
        </w:tc>
      </w:tr>
      <w:tr w14:paraId="7D1B631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72C76DE8">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noWrap/>
            <w:vAlign w:val="center"/>
          </w:tcPr>
          <w:p w14:paraId="234C9907">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noWrap/>
            <w:vAlign w:val="center"/>
          </w:tcPr>
          <w:p w14:paraId="50BB67B6">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noWrap/>
            <w:vAlign w:val="center"/>
          </w:tcPr>
          <w:p w14:paraId="14E517D1">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446F5182">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《普通照明用双端荧光灯能效限定值及能效等级》（GB19043）</w:t>
            </w:r>
          </w:p>
        </w:tc>
      </w:tr>
      <w:tr w14:paraId="6E86B26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3604816E">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75D43866">
            <w:pPr>
              <w:widowControl/>
              <w:jc w:val="left"/>
              <w:rPr>
                <w:rFonts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5227EFCA">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noWrap/>
            <w:vAlign w:val="center"/>
          </w:tcPr>
          <w:p w14:paraId="517CAF80">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00F7B87C">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《道路和隧道照明用LED灯具能效限定值及能效等级》（GB37478）</w:t>
            </w:r>
          </w:p>
        </w:tc>
      </w:tr>
      <w:tr w14:paraId="7430CE8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5533735C">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18069D07">
            <w:pPr>
              <w:widowControl/>
              <w:jc w:val="left"/>
              <w:rPr>
                <w:rFonts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0E2CD5AA">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LED筒灯</w:t>
            </w:r>
          </w:p>
        </w:tc>
        <w:tc>
          <w:tcPr>
            <w:tcW w:w="1620" w:type="dxa"/>
            <w:tcBorders>
              <w:top w:val="nil"/>
              <w:left w:val="nil"/>
              <w:bottom w:val="single" w:color="000000" w:sz="8" w:space="0"/>
              <w:right w:val="single" w:color="000000" w:sz="8" w:space="0"/>
            </w:tcBorders>
            <w:noWrap/>
            <w:vAlign w:val="center"/>
          </w:tcPr>
          <w:p w14:paraId="23FC6223">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560E492">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《室内照明用LED产品能效限定值及能效等级》（GB30255）</w:t>
            </w:r>
          </w:p>
        </w:tc>
      </w:tr>
      <w:tr w14:paraId="02E15D9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2D9D4275">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226C9861">
            <w:pPr>
              <w:widowControl/>
              <w:jc w:val="left"/>
              <w:rPr>
                <w:rFonts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448C3C64">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noWrap/>
            <w:vAlign w:val="center"/>
          </w:tcPr>
          <w:p w14:paraId="6C1496FA">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277EA5AB">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《室内照明用LED产品能效限定值及能效等级》（GB30255）</w:t>
            </w:r>
          </w:p>
        </w:tc>
      </w:tr>
      <w:tr w14:paraId="136A702D">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ign w:val="center"/>
          </w:tcPr>
          <w:p w14:paraId="07FA97DB">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12</w:t>
            </w:r>
          </w:p>
        </w:tc>
        <w:tc>
          <w:tcPr>
            <w:tcW w:w="1080" w:type="dxa"/>
            <w:tcBorders>
              <w:top w:val="nil"/>
              <w:left w:val="nil"/>
              <w:bottom w:val="single" w:color="000000" w:sz="8" w:space="0"/>
              <w:right w:val="single" w:color="000000" w:sz="8" w:space="0"/>
            </w:tcBorders>
            <w:noWrap/>
            <w:vAlign w:val="center"/>
          </w:tcPr>
          <w:p w14:paraId="04E9B52D">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noWrap/>
            <w:vAlign w:val="center"/>
          </w:tcPr>
          <w:p w14:paraId="7207893F">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noWrap/>
            <w:vAlign w:val="center"/>
          </w:tcPr>
          <w:p w14:paraId="4B8248A6">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1EC02206">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《平板电视能效限定值及能效等级》（GB24850）</w:t>
            </w:r>
          </w:p>
        </w:tc>
      </w:tr>
      <w:tr w14:paraId="4BC59196">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ign w:val="center"/>
          </w:tcPr>
          <w:p w14:paraId="78651DBA">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13</w:t>
            </w:r>
          </w:p>
        </w:tc>
        <w:tc>
          <w:tcPr>
            <w:tcW w:w="1080" w:type="dxa"/>
            <w:tcBorders>
              <w:top w:val="nil"/>
              <w:left w:val="nil"/>
              <w:bottom w:val="single" w:color="000000" w:sz="8" w:space="0"/>
              <w:right w:val="single" w:color="000000" w:sz="8" w:space="0"/>
            </w:tcBorders>
            <w:noWrap/>
            <w:vAlign w:val="center"/>
          </w:tcPr>
          <w:p w14:paraId="06A4F03B">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noWrap/>
            <w:vAlign w:val="center"/>
          </w:tcPr>
          <w:p w14:paraId="06264156">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noWrap/>
            <w:vAlign w:val="center"/>
          </w:tcPr>
          <w:p w14:paraId="274AA834">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监视器</w:t>
            </w:r>
          </w:p>
        </w:tc>
        <w:tc>
          <w:tcPr>
            <w:tcW w:w="4540" w:type="dxa"/>
            <w:tcBorders>
              <w:top w:val="nil"/>
              <w:left w:val="nil"/>
              <w:bottom w:val="single" w:color="000000" w:sz="8" w:space="0"/>
              <w:right w:val="single" w:color="000000" w:sz="8" w:space="0"/>
            </w:tcBorders>
            <w:noWrap/>
            <w:vAlign w:val="center"/>
          </w:tcPr>
          <w:p w14:paraId="5D9C7835">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3ADCC79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16FEE140">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14</w:t>
            </w:r>
          </w:p>
        </w:tc>
        <w:tc>
          <w:tcPr>
            <w:tcW w:w="1080" w:type="dxa"/>
            <w:tcBorders>
              <w:top w:val="nil"/>
              <w:left w:val="nil"/>
              <w:bottom w:val="single" w:color="000000" w:sz="8" w:space="0"/>
              <w:right w:val="single" w:color="000000" w:sz="8" w:space="0"/>
            </w:tcBorders>
            <w:noWrap/>
            <w:vAlign w:val="center"/>
          </w:tcPr>
          <w:p w14:paraId="317EF8ED">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noWrap/>
            <w:vAlign w:val="center"/>
          </w:tcPr>
          <w:p w14:paraId="2758C29D">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noWrap/>
            <w:vAlign w:val="center"/>
          </w:tcPr>
          <w:p w14:paraId="729E4A22">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00AF27DB">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《商用燃气灶具能效限定值及能效等级》（GB30531）</w:t>
            </w:r>
          </w:p>
        </w:tc>
      </w:tr>
      <w:tr w14:paraId="6F9D8D7D">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ign w:val="center"/>
          </w:tcPr>
          <w:p w14:paraId="73F51A62">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noWrap/>
            <w:vAlign w:val="center"/>
          </w:tcPr>
          <w:p w14:paraId="6BCEDDCB">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★A060805便器</w:t>
            </w:r>
          </w:p>
        </w:tc>
        <w:tc>
          <w:tcPr>
            <w:tcW w:w="1320" w:type="dxa"/>
            <w:tcBorders>
              <w:top w:val="nil"/>
              <w:left w:val="nil"/>
              <w:bottom w:val="single" w:color="000000" w:sz="8" w:space="0"/>
              <w:right w:val="single" w:color="000000" w:sz="8" w:space="0"/>
            </w:tcBorders>
            <w:noWrap/>
            <w:vAlign w:val="center"/>
          </w:tcPr>
          <w:p w14:paraId="3E99F289">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坐便器</w:t>
            </w:r>
          </w:p>
        </w:tc>
        <w:tc>
          <w:tcPr>
            <w:tcW w:w="1620" w:type="dxa"/>
            <w:tcBorders>
              <w:top w:val="nil"/>
              <w:left w:val="nil"/>
              <w:bottom w:val="single" w:color="000000" w:sz="8" w:space="0"/>
              <w:right w:val="single" w:color="000000" w:sz="8" w:space="0"/>
            </w:tcBorders>
            <w:noWrap/>
            <w:vAlign w:val="center"/>
          </w:tcPr>
          <w:p w14:paraId="5A217A43">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4FB44F9D">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《坐便器水效限定值及水效等级》（GB25502）</w:t>
            </w:r>
          </w:p>
        </w:tc>
      </w:tr>
      <w:tr w14:paraId="0EF996D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00FA7D30">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5DA2B679">
            <w:pPr>
              <w:widowControl/>
              <w:jc w:val="left"/>
              <w:rPr>
                <w:rFonts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19B68997">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蹲便器</w:t>
            </w:r>
          </w:p>
        </w:tc>
        <w:tc>
          <w:tcPr>
            <w:tcW w:w="1620" w:type="dxa"/>
            <w:tcBorders>
              <w:top w:val="nil"/>
              <w:left w:val="nil"/>
              <w:bottom w:val="single" w:color="000000" w:sz="8" w:space="0"/>
              <w:right w:val="single" w:color="000000" w:sz="8" w:space="0"/>
            </w:tcBorders>
            <w:noWrap/>
            <w:vAlign w:val="center"/>
          </w:tcPr>
          <w:p w14:paraId="4F01FABE">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2734E8EA">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《蹲便器用水效率限定值及用水效率等级》（GB30717）</w:t>
            </w:r>
          </w:p>
        </w:tc>
      </w:tr>
      <w:tr w14:paraId="47E7389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ign w:val="center"/>
          </w:tcPr>
          <w:p w14:paraId="17A29957">
            <w:pPr>
              <w:widowControl/>
              <w:jc w:val="left"/>
              <w:rPr>
                <w:rFonts w:asciiTheme="minorEastAsia" w:hAnsiTheme="minorEastAsia" w:eastAsiaTheme="minorEastAsia" w:cstheme="minorEastAsia"/>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ign w:val="center"/>
          </w:tcPr>
          <w:p w14:paraId="49980FAC">
            <w:pPr>
              <w:widowControl/>
              <w:jc w:val="left"/>
              <w:rPr>
                <w:rFonts w:asciiTheme="minorEastAsia" w:hAnsiTheme="minorEastAsia" w:eastAsiaTheme="minorEastAsia" w:cstheme="minorEastAsia"/>
                <w:color w:val="auto"/>
                <w:kern w:val="0"/>
                <w:sz w:val="20"/>
                <w:szCs w:val="20"/>
                <w:highlight w:val="none"/>
              </w:rPr>
            </w:pPr>
          </w:p>
        </w:tc>
        <w:tc>
          <w:tcPr>
            <w:tcW w:w="1320" w:type="dxa"/>
            <w:tcBorders>
              <w:top w:val="nil"/>
              <w:left w:val="nil"/>
              <w:bottom w:val="single" w:color="000000" w:sz="8" w:space="0"/>
              <w:right w:val="single" w:color="000000" w:sz="8" w:space="0"/>
            </w:tcBorders>
            <w:noWrap/>
            <w:vAlign w:val="center"/>
          </w:tcPr>
          <w:p w14:paraId="4D94C3BE">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小便器</w:t>
            </w:r>
          </w:p>
        </w:tc>
        <w:tc>
          <w:tcPr>
            <w:tcW w:w="1620" w:type="dxa"/>
            <w:tcBorders>
              <w:top w:val="nil"/>
              <w:left w:val="nil"/>
              <w:bottom w:val="single" w:color="000000" w:sz="8" w:space="0"/>
              <w:right w:val="single" w:color="000000" w:sz="8" w:space="0"/>
            </w:tcBorders>
            <w:noWrap/>
            <w:vAlign w:val="center"/>
          </w:tcPr>
          <w:p w14:paraId="177FF51E">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50959EF7">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《小便器用水效率限定值及用水效率等级》（GB28377）</w:t>
            </w:r>
          </w:p>
        </w:tc>
      </w:tr>
      <w:tr w14:paraId="7583CD4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7FEE22F4">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16</w:t>
            </w:r>
          </w:p>
        </w:tc>
        <w:tc>
          <w:tcPr>
            <w:tcW w:w="1080" w:type="dxa"/>
            <w:tcBorders>
              <w:top w:val="nil"/>
              <w:left w:val="nil"/>
              <w:bottom w:val="single" w:color="000000" w:sz="8" w:space="0"/>
              <w:right w:val="single" w:color="000000" w:sz="8" w:space="0"/>
            </w:tcBorders>
            <w:noWrap/>
            <w:vAlign w:val="center"/>
          </w:tcPr>
          <w:p w14:paraId="711881F6">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ign w:val="center"/>
          </w:tcPr>
          <w:p w14:paraId="3C96978A">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412D10CC">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2DE35073">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《水嘴用水效率限定值及用水效率等级》（GB 25501）</w:t>
            </w:r>
          </w:p>
        </w:tc>
      </w:tr>
      <w:tr w14:paraId="51D4EFD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57B61E89">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17</w:t>
            </w:r>
          </w:p>
        </w:tc>
        <w:tc>
          <w:tcPr>
            <w:tcW w:w="1080" w:type="dxa"/>
            <w:tcBorders>
              <w:top w:val="nil"/>
              <w:left w:val="nil"/>
              <w:bottom w:val="single" w:color="000000" w:sz="8" w:space="0"/>
              <w:right w:val="single" w:color="000000" w:sz="8" w:space="0"/>
            </w:tcBorders>
            <w:noWrap/>
            <w:vAlign w:val="center"/>
          </w:tcPr>
          <w:p w14:paraId="082F3732">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ign w:val="center"/>
          </w:tcPr>
          <w:p w14:paraId="777CAEB9">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2E8882EB">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64D14A9C">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《便器冲洗阀用水效率限定值及用水效率等级》（GB28379）</w:t>
            </w:r>
          </w:p>
        </w:tc>
      </w:tr>
      <w:tr w14:paraId="2C476DD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ign w:val="center"/>
          </w:tcPr>
          <w:p w14:paraId="0BCBD5BB">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18</w:t>
            </w:r>
          </w:p>
        </w:tc>
        <w:tc>
          <w:tcPr>
            <w:tcW w:w="1080" w:type="dxa"/>
            <w:tcBorders>
              <w:top w:val="nil"/>
              <w:left w:val="nil"/>
              <w:bottom w:val="single" w:color="000000" w:sz="8" w:space="0"/>
              <w:right w:val="single" w:color="000000" w:sz="8" w:space="0"/>
            </w:tcBorders>
            <w:noWrap/>
            <w:vAlign w:val="center"/>
          </w:tcPr>
          <w:p w14:paraId="32C9A282">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ign w:val="center"/>
          </w:tcPr>
          <w:p w14:paraId="650C21AE">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1620" w:type="dxa"/>
            <w:tcBorders>
              <w:top w:val="nil"/>
              <w:left w:val="nil"/>
              <w:bottom w:val="single" w:color="000000" w:sz="8" w:space="0"/>
              <w:right w:val="single" w:color="000000" w:sz="8" w:space="0"/>
            </w:tcBorders>
            <w:noWrap/>
            <w:vAlign w:val="center"/>
          </w:tcPr>
          <w:p w14:paraId="0057990F">
            <w:pPr>
              <w:widowControl/>
              <w:jc w:val="center"/>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　</w:t>
            </w:r>
          </w:p>
        </w:tc>
        <w:tc>
          <w:tcPr>
            <w:tcW w:w="4540" w:type="dxa"/>
            <w:tcBorders>
              <w:top w:val="nil"/>
              <w:left w:val="nil"/>
              <w:bottom w:val="single" w:color="000000" w:sz="8" w:space="0"/>
              <w:right w:val="single" w:color="000000" w:sz="8" w:space="0"/>
            </w:tcBorders>
            <w:noWrap/>
            <w:vAlign w:val="center"/>
          </w:tcPr>
          <w:p w14:paraId="35E4B5CA">
            <w:pPr>
              <w:widowControl/>
              <w:jc w:val="left"/>
              <w:rPr>
                <w:rFonts w:asciiTheme="minorEastAsia" w:hAnsiTheme="minorEastAsia" w:eastAsiaTheme="minorEastAsia" w:cstheme="minorEastAsia"/>
                <w:color w:val="auto"/>
                <w:kern w:val="0"/>
                <w:sz w:val="20"/>
                <w:szCs w:val="20"/>
                <w:highlight w:val="none"/>
              </w:rPr>
            </w:pPr>
            <w:r>
              <w:rPr>
                <w:rFonts w:hint="eastAsia" w:asciiTheme="minorEastAsia" w:hAnsiTheme="minorEastAsia" w:eastAsiaTheme="minorEastAsia" w:cstheme="minorEastAsia"/>
                <w:color w:val="auto"/>
                <w:kern w:val="0"/>
                <w:sz w:val="20"/>
                <w:szCs w:val="20"/>
                <w:highlight w:val="none"/>
              </w:rPr>
              <w:t>《淋浴器用水效率限定值及用水效率等级》（GB28378）</w:t>
            </w:r>
          </w:p>
        </w:tc>
      </w:tr>
    </w:tbl>
    <w:p w14:paraId="3EA62A29">
      <w:pPr>
        <w:pStyle w:val="9"/>
        <w:spacing w:line="360" w:lineRule="auto"/>
        <w:rPr>
          <w:rFonts w:asciiTheme="minorEastAsia" w:hAnsiTheme="minorEastAsia" w:eastAsiaTheme="minorEastAsia" w:cstheme="minorEastAsia"/>
          <w:color w:val="auto"/>
          <w:spacing w:val="-3"/>
          <w:szCs w:val="21"/>
          <w:highlight w:val="none"/>
        </w:rPr>
      </w:pPr>
    </w:p>
    <w:p w14:paraId="67E17ADE">
      <w:pPr>
        <w:pStyle w:val="9"/>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pacing w:val="-3"/>
          <w:szCs w:val="21"/>
          <w:highlight w:val="none"/>
        </w:rPr>
        <w:t>注：1.节能产品认证应依据相关国家标准的最新版本，依据国家标准中二级能效（水效）</w:t>
      </w:r>
      <w:r>
        <w:rPr>
          <w:rFonts w:hint="eastAsia" w:asciiTheme="minorEastAsia" w:hAnsiTheme="minorEastAsia" w:eastAsiaTheme="minorEastAsia" w:cstheme="minorEastAsia"/>
          <w:color w:val="auto"/>
          <w:szCs w:val="21"/>
          <w:highlight w:val="none"/>
        </w:rPr>
        <w:t>指标。</w:t>
      </w:r>
    </w:p>
    <w:p w14:paraId="3312CEE4">
      <w:pPr>
        <w:pStyle w:val="9"/>
        <w:spacing w:line="360" w:lineRule="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 xml:space="preserve">    2</w:t>
      </w:r>
      <w:r>
        <w:rPr>
          <w:rFonts w:hint="eastAsia" w:asciiTheme="minorEastAsia" w:hAnsiTheme="minorEastAsia" w:eastAsiaTheme="minorEastAsia" w:cstheme="minorEastAsia"/>
          <w:b/>
          <w:bCs/>
          <w:color w:val="auto"/>
          <w:szCs w:val="21"/>
          <w:highlight w:val="none"/>
        </w:rPr>
        <w:t>.以“★”标注的为政府强制采购产品。</w:t>
      </w:r>
    </w:p>
    <w:p w14:paraId="2244537A">
      <w:pPr>
        <w:pStyle w:val="12"/>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32"/>
          <w:szCs w:val="32"/>
          <w:highlight w:val="none"/>
        </w:rPr>
        <w:t>附件2：</w:t>
      </w:r>
    </w:p>
    <w:p w14:paraId="1726A0CC">
      <w:pPr>
        <w:spacing w:line="528" w:lineRule="exact"/>
        <w:ind w:left="1871"/>
        <w:rPr>
          <w:rFonts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中小微企业划型标准</w:t>
      </w:r>
    </w:p>
    <w:tbl>
      <w:tblPr>
        <w:tblStyle w:val="23"/>
        <w:tblW w:w="7980" w:type="dxa"/>
        <w:tblInd w:w="250" w:type="dxa"/>
        <w:tblLayout w:type="fixed"/>
        <w:tblCellMar>
          <w:top w:w="0" w:type="dxa"/>
          <w:left w:w="108" w:type="dxa"/>
          <w:bottom w:w="0" w:type="dxa"/>
          <w:right w:w="108" w:type="dxa"/>
        </w:tblCellMar>
      </w:tblPr>
      <w:tblGrid>
        <w:gridCol w:w="1701"/>
        <w:gridCol w:w="1383"/>
        <w:gridCol w:w="913"/>
        <w:gridCol w:w="1619"/>
        <w:gridCol w:w="1439"/>
        <w:gridCol w:w="925"/>
      </w:tblGrid>
      <w:tr w14:paraId="4CF248E0">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ign w:val="center"/>
          </w:tcPr>
          <w:p w14:paraId="467A0066">
            <w:pPr>
              <w:widowControl/>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行业名称</w:t>
            </w:r>
          </w:p>
        </w:tc>
        <w:tc>
          <w:tcPr>
            <w:tcW w:w="1384" w:type="dxa"/>
            <w:tcBorders>
              <w:top w:val="single" w:color="auto" w:sz="4" w:space="0"/>
              <w:left w:val="nil"/>
              <w:bottom w:val="single" w:color="auto" w:sz="4" w:space="0"/>
              <w:right w:val="single" w:color="auto" w:sz="4" w:space="0"/>
            </w:tcBorders>
            <w:noWrap/>
            <w:vAlign w:val="center"/>
          </w:tcPr>
          <w:p w14:paraId="6CC00F45">
            <w:pPr>
              <w:widowControl/>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ign w:val="center"/>
          </w:tcPr>
          <w:p w14:paraId="48DA9A98">
            <w:pPr>
              <w:widowControl/>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ign w:val="center"/>
          </w:tcPr>
          <w:p w14:paraId="4CFC991F">
            <w:pPr>
              <w:widowControl/>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ign w:val="center"/>
          </w:tcPr>
          <w:p w14:paraId="5BB0C94B">
            <w:pPr>
              <w:widowControl/>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ign w:val="center"/>
          </w:tcPr>
          <w:p w14:paraId="0852C92C">
            <w:pPr>
              <w:widowControl/>
              <w:jc w:val="left"/>
              <w:rPr>
                <w:rFonts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微型</w:t>
            </w:r>
          </w:p>
        </w:tc>
      </w:tr>
      <w:tr w14:paraId="2DADD183">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452984A6">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农、林、牧、渔</w:t>
            </w:r>
          </w:p>
        </w:tc>
        <w:tc>
          <w:tcPr>
            <w:tcW w:w="1384" w:type="dxa"/>
            <w:tcBorders>
              <w:top w:val="nil"/>
              <w:left w:val="nil"/>
              <w:bottom w:val="single" w:color="auto" w:sz="4" w:space="0"/>
              <w:right w:val="single" w:color="auto" w:sz="4" w:space="0"/>
            </w:tcBorders>
            <w:noWrap/>
            <w:vAlign w:val="center"/>
          </w:tcPr>
          <w:p w14:paraId="302653EE">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5AA8153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6A2DD10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440" w:type="dxa"/>
            <w:tcBorders>
              <w:top w:val="nil"/>
              <w:left w:val="nil"/>
              <w:bottom w:val="single" w:color="auto" w:sz="4" w:space="0"/>
              <w:right w:val="single" w:color="auto" w:sz="4" w:space="0"/>
            </w:tcBorders>
            <w:noWrap/>
            <w:vAlign w:val="center"/>
          </w:tcPr>
          <w:p w14:paraId="5CD1658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50≤Y＜500</w:t>
            </w:r>
          </w:p>
        </w:tc>
        <w:tc>
          <w:tcPr>
            <w:tcW w:w="925" w:type="dxa"/>
            <w:tcBorders>
              <w:top w:val="nil"/>
              <w:left w:val="nil"/>
              <w:bottom w:val="single" w:color="auto" w:sz="4" w:space="0"/>
              <w:right w:val="single" w:color="auto" w:sz="4" w:space="0"/>
            </w:tcBorders>
            <w:noWrap/>
            <w:vAlign w:val="center"/>
          </w:tcPr>
          <w:p w14:paraId="5BACC06F">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41F7BC1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D6ED966">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工业</w:t>
            </w:r>
          </w:p>
        </w:tc>
        <w:tc>
          <w:tcPr>
            <w:tcW w:w="1384" w:type="dxa"/>
            <w:tcBorders>
              <w:top w:val="nil"/>
              <w:left w:val="nil"/>
              <w:bottom w:val="single" w:color="auto" w:sz="4" w:space="0"/>
              <w:right w:val="single" w:color="auto" w:sz="4" w:space="0"/>
            </w:tcBorders>
            <w:noWrap/>
            <w:vAlign w:val="center"/>
          </w:tcPr>
          <w:p w14:paraId="1524330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07F81ED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3A13A2D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14:paraId="2F39DCF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925" w:type="dxa"/>
            <w:tcBorders>
              <w:top w:val="nil"/>
              <w:left w:val="nil"/>
              <w:bottom w:val="single" w:color="auto" w:sz="4" w:space="0"/>
              <w:right w:val="single" w:color="auto" w:sz="4" w:space="0"/>
            </w:tcBorders>
            <w:noWrap/>
            <w:vAlign w:val="center"/>
          </w:tcPr>
          <w:p w14:paraId="0E99234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56A2C86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C1DCCDF">
            <w:pPr>
              <w:widowControl/>
              <w:jc w:val="left"/>
              <w:rPr>
                <w:rFonts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2976B1D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6332ACD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4E93C9C5">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ign w:val="center"/>
          </w:tcPr>
          <w:p w14:paraId="66596C7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300≤Y＜2000</w:t>
            </w:r>
          </w:p>
        </w:tc>
        <w:tc>
          <w:tcPr>
            <w:tcW w:w="925" w:type="dxa"/>
            <w:tcBorders>
              <w:top w:val="nil"/>
              <w:left w:val="nil"/>
              <w:bottom w:val="single" w:color="auto" w:sz="4" w:space="0"/>
              <w:right w:val="single" w:color="auto" w:sz="4" w:space="0"/>
            </w:tcBorders>
            <w:noWrap/>
            <w:vAlign w:val="center"/>
          </w:tcPr>
          <w:p w14:paraId="1EEB122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6A30A43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7922E68">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建筑业</w:t>
            </w:r>
          </w:p>
        </w:tc>
        <w:tc>
          <w:tcPr>
            <w:tcW w:w="1384" w:type="dxa"/>
            <w:tcBorders>
              <w:top w:val="nil"/>
              <w:left w:val="nil"/>
              <w:bottom w:val="single" w:color="auto" w:sz="4" w:space="0"/>
              <w:right w:val="single" w:color="auto" w:sz="4" w:space="0"/>
            </w:tcBorders>
            <w:noWrap/>
            <w:vAlign w:val="center"/>
          </w:tcPr>
          <w:p w14:paraId="3AA6629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6BA8911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22E362F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ign w:val="center"/>
          </w:tcPr>
          <w:p w14:paraId="562F124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300≤Y＜6000</w:t>
            </w:r>
          </w:p>
        </w:tc>
        <w:tc>
          <w:tcPr>
            <w:tcW w:w="925" w:type="dxa"/>
            <w:tcBorders>
              <w:top w:val="nil"/>
              <w:left w:val="nil"/>
              <w:bottom w:val="single" w:color="auto" w:sz="4" w:space="0"/>
              <w:right w:val="single" w:color="auto" w:sz="4" w:space="0"/>
            </w:tcBorders>
            <w:noWrap/>
            <w:vAlign w:val="center"/>
          </w:tcPr>
          <w:p w14:paraId="261D2C7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452BBFB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A48E4E6">
            <w:pPr>
              <w:widowControl/>
              <w:jc w:val="left"/>
              <w:rPr>
                <w:rFonts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1D38610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14:paraId="7137343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2C3B924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ign w:val="center"/>
          </w:tcPr>
          <w:p w14:paraId="125941AD">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300≤Z＜5000</w:t>
            </w:r>
          </w:p>
        </w:tc>
        <w:tc>
          <w:tcPr>
            <w:tcW w:w="925" w:type="dxa"/>
            <w:tcBorders>
              <w:top w:val="nil"/>
              <w:left w:val="nil"/>
              <w:bottom w:val="single" w:color="auto" w:sz="4" w:space="0"/>
              <w:right w:val="single" w:color="auto" w:sz="4" w:space="0"/>
            </w:tcBorders>
            <w:noWrap/>
            <w:vAlign w:val="center"/>
          </w:tcPr>
          <w:p w14:paraId="66E5AC0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Z＜300</w:t>
            </w:r>
          </w:p>
        </w:tc>
      </w:tr>
      <w:tr w14:paraId="51F0180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3E6E673">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批发业</w:t>
            </w:r>
          </w:p>
        </w:tc>
        <w:tc>
          <w:tcPr>
            <w:tcW w:w="1384" w:type="dxa"/>
            <w:tcBorders>
              <w:top w:val="nil"/>
              <w:left w:val="nil"/>
              <w:bottom w:val="single" w:color="auto" w:sz="4" w:space="0"/>
              <w:right w:val="single" w:color="auto" w:sz="4" w:space="0"/>
            </w:tcBorders>
            <w:noWrap/>
            <w:vAlign w:val="center"/>
          </w:tcPr>
          <w:p w14:paraId="0EE053E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2336259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0A2F4FB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20≤X＜200</w:t>
            </w:r>
          </w:p>
        </w:tc>
        <w:tc>
          <w:tcPr>
            <w:tcW w:w="1440" w:type="dxa"/>
            <w:tcBorders>
              <w:top w:val="nil"/>
              <w:left w:val="nil"/>
              <w:bottom w:val="single" w:color="auto" w:sz="4" w:space="0"/>
              <w:right w:val="single" w:color="auto" w:sz="4" w:space="0"/>
            </w:tcBorders>
            <w:noWrap/>
            <w:vAlign w:val="center"/>
          </w:tcPr>
          <w:p w14:paraId="32B316A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5≤X＜20</w:t>
            </w:r>
          </w:p>
        </w:tc>
        <w:tc>
          <w:tcPr>
            <w:tcW w:w="925" w:type="dxa"/>
            <w:tcBorders>
              <w:top w:val="nil"/>
              <w:left w:val="nil"/>
              <w:bottom w:val="single" w:color="auto" w:sz="4" w:space="0"/>
              <w:right w:val="single" w:color="auto" w:sz="4" w:space="0"/>
            </w:tcBorders>
            <w:noWrap/>
            <w:vAlign w:val="center"/>
          </w:tcPr>
          <w:p w14:paraId="5CA9C7F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X＜5</w:t>
            </w:r>
          </w:p>
        </w:tc>
      </w:tr>
      <w:tr w14:paraId="2EE5D21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2E46EE5">
            <w:pPr>
              <w:widowControl/>
              <w:jc w:val="left"/>
              <w:rPr>
                <w:rFonts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24BE0C4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5B0F2C75">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7F5647F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ign w:val="center"/>
          </w:tcPr>
          <w:p w14:paraId="01E3AFF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925" w:type="dxa"/>
            <w:tcBorders>
              <w:top w:val="nil"/>
              <w:left w:val="nil"/>
              <w:bottom w:val="single" w:color="auto" w:sz="4" w:space="0"/>
              <w:right w:val="single" w:color="auto" w:sz="4" w:space="0"/>
            </w:tcBorders>
            <w:noWrap/>
            <w:vAlign w:val="center"/>
          </w:tcPr>
          <w:p w14:paraId="5EC9AD67">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Y＜1000</w:t>
            </w:r>
          </w:p>
        </w:tc>
      </w:tr>
      <w:tr w14:paraId="3B182E5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3716A3F6">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零售业</w:t>
            </w:r>
          </w:p>
        </w:tc>
        <w:tc>
          <w:tcPr>
            <w:tcW w:w="1384" w:type="dxa"/>
            <w:tcBorders>
              <w:top w:val="nil"/>
              <w:left w:val="nil"/>
              <w:bottom w:val="single" w:color="auto" w:sz="4" w:space="0"/>
              <w:right w:val="single" w:color="auto" w:sz="4" w:space="0"/>
            </w:tcBorders>
            <w:noWrap/>
            <w:vAlign w:val="center"/>
          </w:tcPr>
          <w:p w14:paraId="3166B02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5926736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58F273B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50≤X＜300</w:t>
            </w:r>
          </w:p>
        </w:tc>
        <w:tc>
          <w:tcPr>
            <w:tcW w:w="1440" w:type="dxa"/>
            <w:tcBorders>
              <w:top w:val="nil"/>
              <w:left w:val="nil"/>
              <w:bottom w:val="single" w:color="auto" w:sz="4" w:space="0"/>
              <w:right w:val="single" w:color="auto" w:sz="4" w:space="0"/>
            </w:tcBorders>
            <w:noWrap/>
            <w:vAlign w:val="center"/>
          </w:tcPr>
          <w:p w14:paraId="7AFA0E5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10≤X＜50</w:t>
            </w:r>
          </w:p>
        </w:tc>
        <w:tc>
          <w:tcPr>
            <w:tcW w:w="925" w:type="dxa"/>
            <w:tcBorders>
              <w:top w:val="nil"/>
              <w:left w:val="nil"/>
              <w:bottom w:val="single" w:color="auto" w:sz="4" w:space="0"/>
              <w:right w:val="single" w:color="auto" w:sz="4" w:space="0"/>
            </w:tcBorders>
            <w:noWrap/>
            <w:vAlign w:val="center"/>
          </w:tcPr>
          <w:p w14:paraId="636F83D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5707877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4D241871">
            <w:pPr>
              <w:widowControl/>
              <w:jc w:val="left"/>
              <w:rPr>
                <w:rFonts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44B88E5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412EFC7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55FF1EC7">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440" w:type="dxa"/>
            <w:tcBorders>
              <w:top w:val="nil"/>
              <w:left w:val="nil"/>
              <w:bottom w:val="single" w:color="auto" w:sz="4" w:space="0"/>
              <w:right w:val="single" w:color="auto" w:sz="4" w:space="0"/>
            </w:tcBorders>
            <w:noWrap/>
            <w:vAlign w:val="center"/>
          </w:tcPr>
          <w:p w14:paraId="0EAB71E0">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100≤Y＜500</w:t>
            </w:r>
          </w:p>
        </w:tc>
        <w:tc>
          <w:tcPr>
            <w:tcW w:w="925" w:type="dxa"/>
            <w:tcBorders>
              <w:top w:val="nil"/>
              <w:left w:val="nil"/>
              <w:bottom w:val="single" w:color="auto" w:sz="4" w:space="0"/>
              <w:right w:val="single" w:color="auto" w:sz="4" w:space="0"/>
            </w:tcBorders>
            <w:noWrap/>
            <w:vAlign w:val="center"/>
          </w:tcPr>
          <w:p w14:paraId="30910BF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6494011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B230E87">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交通运输业</w:t>
            </w:r>
          </w:p>
        </w:tc>
        <w:tc>
          <w:tcPr>
            <w:tcW w:w="1384" w:type="dxa"/>
            <w:tcBorders>
              <w:top w:val="nil"/>
              <w:left w:val="nil"/>
              <w:bottom w:val="single" w:color="auto" w:sz="4" w:space="0"/>
              <w:right w:val="single" w:color="auto" w:sz="4" w:space="0"/>
            </w:tcBorders>
            <w:noWrap/>
            <w:vAlign w:val="center"/>
          </w:tcPr>
          <w:p w14:paraId="52C7E86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5ED42C79">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5701894F">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14:paraId="0880A1DE">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925" w:type="dxa"/>
            <w:tcBorders>
              <w:top w:val="nil"/>
              <w:left w:val="nil"/>
              <w:bottom w:val="single" w:color="auto" w:sz="4" w:space="0"/>
              <w:right w:val="single" w:color="auto" w:sz="4" w:space="0"/>
            </w:tcBorders>
            <w:noWrap/>
            <w:vAlign w:val="center"/>
          </w:tcPr>
          <w:p w14:paraId="7BB0B2A7">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6BD9B9E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485B5D2">
            <w:pPr>
              <w:widowControl/>
              <w:jc w:val="left"/>
              <w:rPr>
                <w:rFonts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1C51BCB7">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4292F779">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073B9160">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ign w:val="center"/>
          </w:tcPr>
          <w:p w14:paraId="38BD795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200≤Y＜3000</w:t>
            </w:r>
          </w:p>
        </w:tc>
        <w:tc>
          <w:tcPr>
            <w:tcW w:w="925" w:type="dxa"/>
            <w:tcBorders>
              <w:top w:val="nil"/>
              <w:left w:val="nil"/>
              <w:bottom w:val="single" w:color="auto" w:sz="4" w:space="0"/>
              <w:right w:val="single" w:color="auto" w:sz="4" w:space="0"/>
            </w:tcBorders>
            <w:noWrap/>
            <w:vAlign w:val="center"/>
          </w:tcPr>
          <w:p w14:paraId="634835FD">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w:t>
            </w:r>
          </w:p>
        </w:tc>
      </w:tr>
      <w:tr w14:paraId="729CFB7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C3EE60A">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仓储业</w:t>
            </w:r>
          </w:p>
        </w:tc>
        <w:tc>
          <w:tcPr>
            <w:tcW w:w="1384" w:type="dxa"/>
            <w:tcBorders>
              <w:top w:val="nil"/>
              <w:left w:val="nil"/>
              <w:bottom w:val="single" w:color="auto" w:sz="4" w:space="0"/>
              <w:right w:val="single" w:color="auto" w:sz="4" w:space="0"/>
            </w:tcBorders>
            <w:noWrap/>
            <w:vAlign w:val="center"/>
          </w:tcPr>
          <w:p w14:paraId="40B9CA15">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2B76CE5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25002C5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w:t>
            </w:r>
          </w:p>
        </w:tc>
        <w:tc>
          <w:tcPr>
            <w:tcW w:w="1440" w:type="dxa"/>
            <w:tcBorders>
              <w:top w:val="nil"/>
              <w:left w:val="nil"/>
              <w:bottom w:val="single" w:color="auto" w:sz="4" w:space="0"/>
              <w:right w:val="single" w:color="auto" w:sz="4" w:space="0"/>
            </w:tcBorders>
            <w:noWrap/>
            <w:vAlign w:val="center"/>
          </w:tcPr>
          <w:p w14:paraId="40B7750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20≤X＜100</w:t>
            </w:r>
          </w:p>
        </w:tc>
        <w:tc>
          <w:tcPr>
            <w:tcW w:w="925" w:type="dxa"/>
            <w:tcBorders>
              <w:top w:val="nil"/>
              <w:left w:val="nil"/>
              <w:bottom w:val="single" w:color="auto" w:sz="4" w:space="0"/>
              <w:right w:val="single" w:color="auto" w:sz="4" w:space="0"/>
            </w:tcBorders>
            <w:noWrap/>
            <w:vAlign w:val="center"/>
          </w:tcPr>
          <w:p w14:paraId="72FE9C79">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7CFBBD8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0D6ECA07">
            <w:pPr>
              <w:widowControl/>
              <w:jc w:val="left"/>
              <w:rPr>
                <w:rFonts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3C9B7D4F">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5429295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3CF00F19">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ign w:val="center"/>
          </w:tcPr>
          <w:p w14:paraId="1ED9ADF5">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925" w:type="dxa"/>
            <w:tcBorders>
              <w:top w:val="nil"/>
              <w:left w:val="nil"/>
              <w:bottom w:val="single" w:color="auto" w:sz="4" w:space="0"/>
              <w:right w:val="single" w:color="auto" w:sz="4" w:space="0"/>
            </w:tcBorders>
            <w:noWrap/>
            <w:vAlign w:val="center"/>
          </w:tcPr>
          <w:p w14:paraId="78C3F07E">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1087452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1E25265">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邮政业</w:t>
            </w:r>
          </w:p>
        </w:tc>
        <w:tc>
          <w:tcPr>
            <w:tcW w:w="1384" w:type="dxa"/>
            <w:tcBorders>
              <w:top w:val="nil"/>
              <w:left w:val="nil"/>
              <w:bottom w:val="single" w:color="auto" w:sz="4" w:space="0"/>
              <w:right w:val="single" w:color="auto" w:sz="4" w:space="0"/>
            </w:tcBorders>
            <w:noWrap/>
            <w:vAlign w:val="center"/>
          </w:tcPr>
          <w:p w14:paraId="1996E45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1E03EBD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1D895C7D">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14:paraId="7B1939C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925" w:type="dxa"/>
            <w:tcBorders>
              <w:top w:val="nil"/>
              <w:left w:val="nil"/>
              <w:bottom w:val="single" w:color="auto" w:sz="4" w:space="0"/>
              <w:right w:val="single" w:color="auto" w:sz="4" w:space="0"/>
            </w:tcBorders>
            <w:noWrap/>
            <w:vAlign w:val="center"/>
          </w:tcPr>
          <w:p w14:paraId="4FBB89D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1393089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A9C65FE">
            <w:pPr>
              <w:widowControl/>
              <w:jc w:val="left"/>
              <w:rPr>
                <w:rFonts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69C9A6C9">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76603CD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2D13EC6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ign w:val="center"/>
          </w:tcPr>
          <w:p w14:paraId="08A9F845">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14:paraId="19BB7D8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09A49D1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25DA152D">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住宿业</w:t>
            </w:r>
          </w:p>
        </w:tc>
        <w:tc>
          <w:tcPr>
            <w:tcW w:w="1384" w:type="dxa"/>
            <w:tcBorders>
              <w:top w:val="nil"/>
              <w:left w:val="nil"/>
              <w:bottom w:val="single" w:color="auto" w:sz="4" w:space="0"/>
              <w:right w:val="single" w:color="auto" w:sz="4" w:space="0"/>
            </w:tcBorders>
            <w:noWrap/>
            <w:vAlign w:val="center"/>
          </w:tcPr>
          <w:p w14:paraId="0718D37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3653FEF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5233168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14:paraId="68FDB25E">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14:paraId="3B63697F">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358A9D8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3F4A5D0">
            <w:pPr>
              <w:widowControl/>
              <w:jc w:val="left"/>
              <w:rPr>
                <w:rFonts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26F03F59">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663FF7C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328785AE">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ign w:val="center"/>
          </w:tcPr>
          <w:p w14:paraId="41273145">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14:paraId="2F4A7DED">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598AACF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52134F43">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餐饮业</w:t>
            </w:r>
          </w:p>
        </w:tc>
        <w:tc>
          <w:tcPr>
            <w:tcW w:w="1384" w:type="dxa"/>
            <w:tcBorders>
              <w:top w:val="nil"/>
              <w:left w:val="nil"/>
              <w:bottom w:val="single" w:color="auto" w:sz="4" w:space="0"/>
              <w:right w:val="single" w:color="auto" w:sz="4" w:space="0"/>
            </w:tcBorders>
            <w:noWrap/>
            <w:vAlign w:val="center"/>
          </w:tcPr>
          <w:p w14:paraId="7015BB9E">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2653BA6D">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2BC02655">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14:paraId="0275790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14:paraId="516F744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5CB2A81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176D6D87">
            <w:pPr>
              <w:widowControl/>
              <w:jc w:val="left"/>
              <w:rPr>
                <w:rFonts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2823A5E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4FA1050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4380BFE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ign w:val="center"/>
          </w:tcPr>
          <w:p w14:paraId="23D55ED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925" w:type="dxa"/>
            <w:tcBorders>
              <w:top w:val="nil"/>
              <w:left w:val="nil"/>
              <w:bottom w:val="single" w:color="auto" w:sz="4" w:space="0"/>
              <w:right w:val="single" w:color="auto" w:sz="4" w:space="0"/>
            </w:tcBorders>
            <w:noWrap/>
            <w:vAlign w:val="center"/>
          </w:tcPr>
          <w:p w14:paraId="00FAEC0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07DD16F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28AED7C8">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信息传输业</w:t>
            </w:r>
          </w:p>
        </w:tc>
        <w:tc>
          <w:tcPr>
            <w:tcW w:w="1384" w:type="dxa"/>
            <w:tcBorders>
              <w:top w:val="nil"/>
              <w:left w:val="nil"/>
              <w:bottom w:val="single" w:color="auto" w:sz="4" w:space="0"/>
              <w:right w:val="single" w:color="auto" w:sz="4" w:space="0"/>
            </w:tcBorders>
            <w:noWrap/>
            <w:vAlign w:val="center"/>
          </w:tcPr>
          <w:p w14:paraId="00C4DF2D">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78A34897">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1464602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100≤X＜2000</w:t>
            </w:r>
          </w:p>
        </w:tc>
        <w:tc>
          <w:tcPr>
            <w:tcW w:w="1440" w:type="dxa"/>
            <w:tcBorders>
              <w:top w:val="nil"/>
              <w:left w:val="nil"/>
              <w:bottom w:val="single" w:color="auto" w:sz="4" w:space="0"/>
              <w:right w:val="single" w:color="auto" w:sz="4" w:space="0"/>
            </w:tcBorders>
            <w:noWrap/>
            <w:vAlign w:val="center"/>
          </w:tcPr>
          <w:p w14:paraId="349E0BA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14:paraId="5D14BD5E">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7EBBD76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FC41906">
            <w:pPr>
              <w:widowControl/>
              <w:jc w:val="left"/>
              <w:rPr>
                <w:rFonts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554F73A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17597A6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45677577">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ign w:val="center"/>
          </w:tcPr>
          <w:p w14:paraId="7445073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925" w:type="dxa"/>
            <w:tcBorders>
              <w:top w:val="nil"/>
              <w:left w:val="nil"/>
              <w:bottom w:val="single" w:color="auto" w:sz="4" w:space="0"/>
              <w:right w:val="single" w:color="auto" w:sz="4" w:space="0"/>
            </w:tcBorders>
            <w:noWrap/>
            <w:vAlign w:val="center"/>
          </w:tcPr>
          <w:p w14:paraId="11B082C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451C990E">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1F95376">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软件和信息技术服务业</w:t>
            </w:r>
          </w:p>
        </w:tc>
        <w:tc>
          <w:tcPr>
            <w:tcW w:w="1384" w:type="dxa"/>
            <w:tcBorders>
              <w:top w:val="nil"/>
              <w:left w:val="nil"/>
              <w:bottom w:val="single" w:color="auto" w:sz="4" w:space="0"/>
              <w:right w:val="single" w:color="auto" w:sz="4" w:space="0"/>
            </w:tcBorders>
            <w:noWrap/>
            <w:vAlign w:val="center"/>
          </w:tcPr>
          <w:p w14:paraId="4E34AAF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299BE6A7">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68A9FA8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14:paraId="3665B26E">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14:paraId="6C1593E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79A54E2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77B33ABF">
            <w:pPr>
              <w:widowControl/>
              <w:jc w:val="left"/>
              <w:rPr>
                <w:rFonts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165CC76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783747F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73D4684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ign w:val="center"/>
          </w:tcPr>
          <w:p w14:paraId="374CAED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50≤Y＜1000</w:t>
            </w:r>
          </w:p>
        </w:tc>
        <w:tc>
          <w:tcPr>
            <w:tcW w:w="925" w:type="dxa"/>
            <w:tcBorders>
              <w:top w:val="nil"/>
              <w:left w:val="nil"/>
              <w:bottom w:val="single" w:color="auto" w:sz="4" w:space="0"/>
              <w:right w:val="single" w:color="auto" w:sz="4" w:space="0"/>
            </w:tcBorders>
            <w:noWrap/>
            <w:vAlign w:val="center"/>
          </w:tcPr>
          <w:p w14:paraId="36766CDC">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15DCC6E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4A80FDD1">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房地产开发经营</w:t>
            </w:r>
          </w:p>
        </w:tc>
        <w:tc>
          <w:tcPr>
            <w:tcW w:w="1384" w:type="dxa"/>
            <w:tcBorders>
              <w:top w:val="nil"/>
              <w:left w:val="nil"/>
              <w:bottom w:val="single" w:color="auto" w:sz="4" w:space="0"/>
              <w:right w:val="single" w:color="auto" w:sz="4" w:space="0"/>
            </w:tcBorders>
            <w:noWrap/>
            <w:vAlign w:val="center"/>
          </w:tcPr>
          <w:p w14:paraId="36415BA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0B55807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560EA95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ign w:val="center"/>
          </w:tcPr>
          <w:p w14:paraId="7B951560">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100≤X＜1000</w:t>
            </w:r>
          </w:p>
        </w:tc>
        <w:tc>
          <w:tcPr>
            <w:tcW w:w="925" w:type="dxa"/>
            <w:tcBorders>
              <w:top w:val="nil"/>
              <w:left w:val="nil"/>
              <w:bottom w:val="single" w:color="auto" w:sz="4" w:space="0"/>
              <w:right w:val="single" w:color="auto" w:sz="4" w:space="0"/>
            </w:tcBorders>
            <w:noWrap/>
            <w:vAlign w:val="center"/>
          </w:tcPr>
          <w:p w14:paraId="5FAF92C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7885542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2C0FE8D5">
            <w:pPr>
              <w:widowControl/>
              <w:jc w:val="left"/>
              <w:rPr>
                <w:rFonts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5824191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14:paraId="2F6313BE">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3839FE4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ign w:val="center"/>
          </w:tcPr>
          <w:p w14:paraId="0E1842AF">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2000≤Y＜5000</w:t>
            </w:r>
          </w:p>
        </w:tc>
        <w:tc>
          <w:tcPr>
            <w:tcW w:w="925" w:type="dxa"/>
            <w:tcBorders>
              <w:top w:val="nil"/>
              <w:left w:val="nil"/>
              <w:bottom w:val="single" w:color="auto" w:sz="4" w:space="0"/>
              <w:right w:val="single" w:color="auto" w:sz="4" w:space="0"/>
            </w:tcBorders>
            <w:noWrap/>
            <w:vAlign w:val="center"/>
          </w:tcPr>
          <w:p w14:paraId="60CC802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Y＜2000</w:t>
            </w:r>
          </w:p>
        </w:tc>
      </w:tr>
      <w:tr w14:paraId="6FED9D1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162FCB33">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物业管理</w:t>
            </w:r>
          </w:p>
        </w:tc>
        <w:tc>
          <w:tcPr>
            <w:tcW w:w="1384" w:type="dxa"/>
            <w:tcBorders>
              <w:top w:val="nil"/>
              <w:left w:val="nil"/>
              <w:bottom w:val="single" w:color="auto" w:sz="4" w:space="0"/>
              <w:right w:val="single" w:color="auto" w:sz="4" w:space="0"/>
            </w:tcBorders>
            <w:noWrap/>
            <w:vAlign w:val="center"/>
          </w:tcPr>
          <w:p w14:paraId="5FCCDFED">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39AF6EBA">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4B60BA0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440" w:type="dxa"/>
            <w:tcBorders>
              <w:top w:val="nil"/>
              <w:left w:val="nil"/>
              <w:bottom w:val="single" w:color="auto" w:sz="4" w:space="0"/>
              <w:right w:val="single" w:color="auto" w:sz="4" w:space="0"/>
            </w:tcBorders>
            <w:noWrap/>
            <w:vAlign w:val="center"/>
          </w:tcPr>
          <w:p w14:paraId="1A7DFFE7">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925" w:type="dxa"/>
            <w:tcBorders>
              <w:top w:val="nil"/>
              <w:left w:val="nil"/>
              <w:bottom w:val="single" w:color="auto" w:sz="4" w:space="0"/>
              <w:right w:val="single" w:color="auto" w:sz="4" w:space="0"/>
            </w:tcBorders>
            <w:noWrap/>
            <w:vAlign w:val="center"/>
          </w:tcPr>
          <w:p w14:paraId="2AF6DC4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7AE2E5E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68F09E43">
            <w:pPr>
              <w:widowControl/>
              <w:jc w:val="left"/>
              <w:rPr>
                <w:rFonts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0872050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ign w:val="center"/>
          </w:tcPr>
          <w:p w14:paraId="0A23A0F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43A25C4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440" w:type="dxa"/>
            <w:tcBorders>
              <w:top w:val="nil"/>
              <w:left w:val="nil"/>
              <w:bottom w:val="single" w:color="auto" w:sz="4" w:space="0"/>
              <w:right w:val="single" w:color="auto" w:sz="4" w:space="0"/>
            </w:tcBorders>
            <w:noWrap/>
            <w:vAlign w:val="center"/>
          </w:tcPr>
          <w:p w14:paraId="015680C2">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500≤Y＜1000</w:t>
            </w:r>
          </w:p>
        </w:tc>
        <w:tc>
          <w:tcPr>
            <w:tcW w:w="925" w:type="dxa"/>
            <w:tcBorders>
              <w:top w:val="nil"/>
              <w:left w:val="nil"/>
              <w:bottom w:val="single" w:color="auto" w:sz="4" w:space="0"/>
              <w:right w:val="single" w:color="auto" w:sz="4" w:space="0"/>
            </w:tcBorders>
            <w:noWrap/>
            <w:vAlign w:val="center"/>
          </w:tcPr>
          <w:p w14:paraId="68A0DE18">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Y＜500</w:t>
            </w:r>
          </w:p>
        </w:tc>
      </w:tr>
      <w:tr w14:paraId="4EFFC4A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ign w:val="bottom"/>
          </w:tcPr>
          <w:p w14:paraId="7491362E">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租赁和商务服务业</w:t>
            </w:r>
          </w:p>
        </w:tc>
        <w:tc>
          <w:tcPr>
            <w:tcW w:w="1384" w:type="dxa"/>
            <w:tcBorders>
              <w:top w:val="nil"/>
              <w:left w:val="nil"/>
              <w:bottom w:val="single" w:color="auto" w:sz="4" w:space="0"/>
              <w:right w:val="single" w:color="auto" w:sz="4" w:space="0"/>
            </w:tcBorders>
            <w:noWrap/>
            <w:vAlign w:val="center"/>
          </w:tcPr>
          <w:p w14:paraId="7082F9BB">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3D18B7E6">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0DD6B210">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14:paraId="6A32FCFD">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14:paraId="295919A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356FCF8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ign w:val="center"/>
          </w:tcPr>
          <w:p w14:paraId="5399883B">
            <w:pPr>
              <w:widowControl/>
              <w:jc w:val="left"/>
              <w:rPr>
                <w:rFonts w:asciiTheme="minorEastAsia" w:hAnsiTheme="minorEastAsia" w:eastAsiaTheme="minorEastAsia" w:cstheme="minorEastAsia"/>
                <w:b/>
                <w:bCs/>
                <w:color w:val="auto"/>
                <w:kern w:val="0"/>
                <w:sz w:val="18"/>
                <w:szCs w:val="18"/>
                <w:highlight w:val="none"/>
              </w:rPr>
            </w:pPr>
          </w:p>
        </w:tc>
        <w:tc>
          <w:tcPr>
            <w:tcW w:w="1384" w:type="dxa"/>
            <w:tcBorders>
              <w:top w:val="nil"/>
              <w:left w:val="nil"/>
              <w:bottom w:val="single" w:color="auto" w:sz="4" w:space="0"/>
              <w:right w:val="single" w:color="auto" w:sz="4" w:space="0"/>
            </w:tcBorders>
            <w:noWrap/>
            <w:vAlign w:val="center"/>
          </w:tcPr>
          <w:p w14:paraId="12CB8E83">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ign w:val="center"/>
          </w:tcPr>
          <w:p w14:paraId="534C730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620" w:type="dxa"/>
            <w:tcBorders>
              <w:top w:val="nil"/>
              <w:left w:val="nil"/>
              <w:bottom w:val="single" w:color="auto" w:sz="4" w:space="0"/>
              <w:right w:val="single" w:color="auto" w:sz="4" w:space="0"/>
            </w:tcBorders>
            <w:noWrap/>
            <w:vAlign w:val="center"/>
          </w:tcPr>
          <w:p w14:paraId="6ECFE017">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ign w:val="center"/>
          </w:tcPr>
          <w:p w14:paraId="25C520FE">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100≤Z＜8000</w:t>
            </w:r>
          </w:p>
        </w:tc>
        <w:tc>
          <w:tcPr>
            <w:tcW w:w="925" w:type="dxa"/>
            <w:tcBorders>
              <w:top w:val="nil"/>
              <w:left w:val="nil"/>
              <w:bottom w:val="single" w:color="auto" w:sz="4" w:space="0"/>
              <w:right w:val="single" w:color="auto" w:sz="4" w:space="0"/>
            </w:tcBorders>
            <w:noWrap/>
            <w:vAlign w:val="center"/>
          </w:tcPr>
          <w:p w14:paraId="650CA029">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47A2B76C">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ign w:val="bottom"/>
          </w:tcPr>
          <w:p w14:paraId="2FC97707">
            <w:pPr>
              <w:widowControl/>
              <w:jc w:val="center"/>
              <w:rPr>
                <w:rFonts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其他未列明行业</w:t>
            </w:r>
          </w:p>
        </w:tc>
        <w:tc>
          <w:tcPr>
            <w:tcW w:w="1384" w:type="dxa"/>
            <w:tcBorders>
              <w:top w:val="nil"/>
              <w:left w:val="nil"/>
              <w:bottom w:val="single" w:color="auto" w:sz="4" w:space="0"/>
              <w:right w:val="single" w:color="auto" w:sz="4" w:space="0"/>
            </w:tcBorders>
            <w:noWrap/>
            <w:vAlign w:val="center"/>
          </w:tcPr>
          <w:p w14:paraId="07015BFE">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ign w:val="center"/>
          </w:tcPr>
          <w:p w14:paraId="544BBCB0">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620" w:type="dxa"/>
            <w:tcBorders>
              <w:top w:val="nil"/>
              <w:left w:val="nil"/>
              <w:bottom w:val="single" w:color="auto" w:sz="4" w:space="0"/>
              <w:right w:val="single" w:color="auto" w:sz="4" w:space="0"/>
            </w:tcBorders>
            <w:noWrap/>
            <w:vAlign w:val="center"/>
          </w:tcPr>
          <w:p w14:paraId="467F4F14">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440" w:type="dxa"/>
            <w:tcBorders>
              <w:top w:val="nil"/>
              <w:left w:val="nil"/>
              <w:bottom w:val="single" w:color="auto" w:sz="4" w:space="0"/>
              <w:right w:val="single" w:color="auto" w:sz="4" w:space="0"/>
            </w:tcBorders>
            <w:noWrap/>
            <w:vAlign w:val="center"/>
          </w:tcPr>
          <w:p w14:paraId="6B72635D">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925" w:type="dxa"/>
            <w:tcBorders>
              <w:top w:val="nil"/>
              <w:left w:val="nil"/>
              <w:bottom w:val="single" w:color="auto" w:sz="4" w:space="0"/>
              <w:right w:val="single" w:color="auto" w:sz="4" w:space="0"/>
            </w:tcBorders>
            <w:noWrap/>
            <w:vAlign w:val="center"/>
          </w:tcPr>
          <w:p w14:paraId="5CD23DC1">
            <w:pPr>
              <w:widowControl/>
              <w:jc w:val="left"/>
              <w:rPr>
                <w:rFonts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bl>
    <w:p w14:paraId="3351A73B">
      <w:pPr>
        <w:spacing w:line="360" w:lineRule="auto"/>
        <w:ind w:firstLine="525" w:firstLineChars="2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A306896">
      <w:pPr>
        <w:widowControl/>
        <w:jc w:val="left"/>
        <w:rPr>
          <w:rFonts w:asciiTheme="minorEastAsia" w:hAnsiTheme="minorEastAsia" w:eastAsiaTheme="minorEastAsia" w:cstheme="minorEastAsia"/>
          <w:color w:val="auto"/>
          <w:szCs w:val="20"/>
          <w:highlight w:val="none"/>
        </w:rPr>
        <w:sectPr>
          <w:pgSz w:w="11906" w:h="16838"/>
          <w:pgMar w:top="1134" w:right="1134" w:bottom="1134" w:left="1134" w:header="720" w:footer="720" w:gutter="0"/>
          <w:cols w:space="720" w:num="1"/>
          <w:docGrid w:type="lines" w:linePitch="331" w:charSpace="0"/>
        </w:sectPr>
      </w:pPr>
    </w:p>
    <w:p w14:paraId="4564D57E">
      <w:pPr>
        <w:pStyle w:val="12"/>
        <w:jc w:val="center"/>
        <w:outlineLvl w:val="0"/>
        <w:rPr>
          <w:rFonts w:asciiTheme="minorEastAsia" w:hAnsiTheme="minorEastAsia" w:eastAsiaTheme="minorEastAsia" w:cstheme="minorEastAsia"/>
          <w:b/>
          <w:color w:val="auto"/>
          <w:sz w:val="36"/>
          <w:szCs w:val="36"/>
          <w:highlight w:val="none"/>
        </w:rPr>
      </w:pPr>
      <w:bookmarkStart w:id="26" w:name="_Toc532545044"/>
      <w:bookmarkStart w:id="27" w:name="_Toc25544"/>
      <w:r>
        <w:rPr>
          <w:rFonts w:hint="eastAsia" w:asciiTheme="minorEastAsia" w:hAnsiTheme="minorEastAsia" w:eastAsiaTheme="minorEastAsia" w:cstheme="minorEastAsia"/>
          <w:b/>
          <w:color w:val="auto"/>
          <w:sz w:val="36"/>
          <w:highlight w:val="none"/>
        </w:rPr>
        <w:t>第三章  投标人须知</w:t>
      </w:r>
      <w:bookmarkEnd w:id="26"/>
      <w:bookmarkEnd w:id="27"/>
    </w:p>
    <w:p w14:paraId="306D55D2">
      <w:pPr>
        <w:pStyle w:val="12"/>
        <w:spacing w:line="720" w:lineRule="auto"/>
        <w:jc w:val="center"/>
        <w:outlineLvl w:val="1"/>
        <w:rPr>
          <w:rFonts w:asciiTheme="minorEastAsia" w:hAnsiTheme="minorEastAsia" w:eastAsiaTheme="minorEastAsia" w:cstheme="minorEastAsia"/>
          <w:b/>
          <w:color w:val="auto"/>
          <w:sz w:val="30"/>
          <w:szCs w:val="30"/>
          <w:highlight w:val="none"/>
        </w:rPr>
      </w:pPr>
      <w:bookmarkStart w:id="28" w:name="_Toc7747"/>
      <w:r>
        <w:rPr>
          <w:rFonts w:hint="eastAsia" w:asciiTheme="minorEastAsia" w:hAnsiTheme="minorEastAsia" w:eastAsiaTheme="minorEastAsia" w:cstheme="minorEastAsia"/>
          <w:b/>
          <w:color w:val="auto"/>
          <w:sz w:val="30"/>
          <w:szCs w:val="30"/>
          <w:highlight w:val="none"/>
        </w:rPr>
        <w:t>第一节 投标人须知前附表</w:t>
      </w:r>
      <w:bookmarkEnd w:id="28"/>
    </w:p>
    <w:tbl>
      <w:tblPr>
        <w:tblStyle w:val="23"/>
        <w:tblW w:w="102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7746E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386FF452">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ign w:val="center"/>
          </w:tcPr>
          <w:p w14:paraId="5BF2DA47">
            <w:pPr>
              <w:snapToGrid w:val="0"/>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ign w:val="center"/>
          </w:tcPr>
          <w:p w14:paraId="1FC19283">
            <w:pPr>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编列内容</w:t>
            </w:r>
          </w:p>
        </w:tc>
      </w:tr>
      <w:tr w14:paraId="49AE8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3CC26B16">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ign w:val="center"/>
          </w:tcPr>
          <w:p w14:paraId="22421C9D">
            <w:pPr>
              <w:spacing w:line="380" w:lineRule="exact"/>
              <w:rPr>
                <w:rFonts w:asciiTheme="minorEastAsia" w:hAnsiTheme="minorEastAsia" w:eastAsiaTheme="minorEastAsia" w:cstheme="minorEastAsia"/>
                <w:color w:val="auto"/>
                <w:szCs w:val="21"/>
                <w:highlight w:val="none"/>
              </w:rPr>
            </w:pPr>
            <w:bookmarkStart w:id="29" w:name="_5"/>
            <w:bookmarkEnd w:id="29"/>
            <w:bookmarkStart w:id="30" w:name="_8.1"/>
            <w:bookmarkEnd w:id="30"/>
            <w:bookmarkStart w:id="31" w:name="_9.2"/>
            <w:bookmarkEnd w:id="31"/>
            <w:r>
              <w:rPr>
                <w:rFonts w:hint="eastAsia" w:asciiTheme="minorEastAsia" w:hAnsiTheme="minorEastAsia" w:eastAsiaTheme="minorEastAsia" w:cstheme="minorEastAsia"/>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ign w:val="center"/>
          </w:tcPr>
          <w:p w14:paraId="1C5F1F0F">
            <w:pPr>
              <w:pStyle w:val="8"/>
              <w:spacing w:line="380" w:lineRule="exact"/>
              <w:rPr>
                <w:rFonts w:asciiTheme="minorEastAsia" w:hAnsiTheme="minorEastAsia" w:eastAsiaTheme="minorEastAsia" w:cstheme="minorEastAsia"/>
                <w:color w:val="auto"/>
                <w:szCs w:val="21"/>
                <w:highlight w:val="none"/>
              </w:rPr>
            </w:pPr>
            <w:bookmarkStart w:id="32" w:name="PO_3000001866_PM007"/>
            <w:r>
              <w:rPr>
                <w:rFonts w:hint="eastAsia" w:asciiTheme="minorEastAsia" w:hAnsiTheme="minorEastAsia" w:eastAsiaTheme="minorEastAsia" w:cstheme="minorEastAsia"/>
                <w:color w:val="auto"/>
                <w:szCs w:val="21"/>
                <w:highlight w:val="none"/>
              </w:rPr>
              <w:t>不允许联合体投标</w:t>
            </w:r>
            <w:bookmarkEnd w:id="32"/>
            <w:r>
              <w:rPr>
                <w:rFonts w:hint="eastAsia" w:asciiTheme="minorEastAsia" w:hAnsiTheme="minorEastAsia" w:eastAsiaTheme="minorEastAsia" w:cstheme="minorEastAsia"/>
                <w:color w:val="auto"/>
                <w:szCs w:val="21"/>
                <w:highlight w:val="none"/>
              </w:rPr>
              <w:t>。</w:t>
            </w:r>
          </w:p>
        </w:tc>
      </w:tr>
      <w:tr w14:paraId="66EE9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6591A04D">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ign w:val="center"/>
          </w:tcPr>
          <w:p w14:paraId="2C50D0DB">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1566C748">
            <w:pPr>
              <w:pStyle w:val="8"/>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无</w:t>
            </w:r>
          </w:p>
        </w:tc>
      </w:tr>
      <w:tr w14:paraId="04608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698D9C90">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ign w:val="center"/>
          </w:tcPr>
          <w:p w14:paraId="08AA8C1F">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ign w:val="center"/>
          </w:tcPr>
          <w:p w14:paraId="69846CDD">
            <w:pPr>
              <w:pStyle w:val="8"/>
              <w:spacing w:line="380" w:lineRule="exact"/>
              <w:rPr>
                <w:rFonts w:asciiTheme="minorEastAsia" w:hAnsiTheme="minorEastAsia" w:eastAsiaTheme="minorEastAsia" w:cstheme="minorEastAsia"/>
                <w:color w:val="auto"/>
                <w:szCs w:val="21"/>
                <w:highlight w:val="none"/>
              </w:rPr>
            </w:pPr>
            <w:bookmarkStart w:id="33" w:name="PO_3000001866_PM044"/>
            <w:r>
              <w:rPr>
                <w:rFonts w:hint="eastAsia" w:asciiTheme="minorEastAsia" w:hAnsiTheme="minorEastAsia" w:eastAsiaTheme="minorEastAsia" w:cstheme="minorEastAsia"/>
                <w:color w:val="auto"/>
                <w:szCs w:val="21"/>
                <w:highlight w:val="none"/>
              </w:rPr>
              <w:t>不允许分包</w:t>
            </w:r>
            <w:bookmarkEnd w:id="33"/>
          </w:p>
          <w:p w14:paraId="601892E2">
            <w:pPr>
              <w:pStyle w:val="8"/>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转包/分包内容：</w:t>
            </w:r>
            <w:r>
              <w:rPr>
                <w:rFonts w:hint="eastAsia" w:asciiTheme="minorEastAsia" w:hAnsiTheme="minorEastAsia" w:eastAsiaTheme="minorEastAsia" w:cstheme="minorEastAsia"/>
                <w:color w:val="auto"/>
                <w:szCs w:val="21"/>
                <w:highlight w:val="none"/>
                <w:u w:val="single"/>
              </w:rPr>
              <w:t xml:space="preserve">      /    。</w:t>
            </w:r>
          </w:p>
          <w:p w14:paraId="691F8862">
            <w:pPr>
              <w:pStyle w:val="8"/>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转包/分包金额或者比例：</w:t>
            </w:r>
            <w:r>
              <w:rPr>
                <w:rFonts w:hint="eastAsia" w:asciiTheme="minorEastAsia" w:hAnsiTheme="minorEastAsia" w:eastAsiaTheme="minorEastAsia" w:cstheme="minorEastAsia"/>
                <w:color w:val="auto"/>
                <w:szCs w:val="21"/>
                <w:highlight w:val="none"/>
                <w:u w:val="single"/>
              </w:rPr>
              <w:t xml:space="preserve">    /  。</w:t>
            </w:r>
          </w:p>
        </w:tc>
      </w:tr>
      <w:tr w14:paraId="0F5E4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6597559D">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ign w:val="center"/>
          </w:tcPr>
          <w:p w14:paraId="38E8842E">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ign w:val="center"/>
          </w:tcPr>
          <w:p w14:paraId="16FE3FEB">
            <w:pPr>
              <w:rPr>
                <w:rFonts w:asciiTheme="minorEastAsia" w:hAnsiTheme="minorEastAsia" w:eastAsiaTheme="minorEastAsia" w:cstheme="minorEastAsia"/>
                <w:color w:val="auto"/>
                <w:sz w:val="28"/>
                <w:szCs w:val="18"/>
                <w:highlight w:val="none"/>
              </w:rPr>
            </w:pPr>
            <w:r>
              <w:rPr>
                <w:rFonts w:hint="eastAsia" w:asciiTheme="minorEastAsia" w:hAnsiTheme="minorEastAsia" w:eastAsiaTheme="minorEastAsia" w:cstheme="minorEastAsia"/>
                <w:color w:val="auto"/>
                <w:szCs w:val="21"/>
                <w:highlight w:val="none"/>
              </w:rPr>
              <w:t>与本项目相关的政府采购业务澄清、更正及与之相关的事项将在采购公告中“六、其他补充事宜”中网上查询地址上发布</w:t>
            </w:r>
            <w:r>
              <w:rPr>
                <w:rFonts w:hint="eastAsia" w:asciiTheme="minorEastAsia" w:hAnsiTheme="minorEastAsia" w:eastAsiaTheme="minorEastAsia" w:cstheme="minorEastAsia"/>
                <w:color w:val="auto"/>
                <w:kern w:val="0"/>
                <w:szCs w:val="21"/>
                <w:highlight w:val="none"/>
              </w:rPr>
              <w:t>。</w:t>
            </w:r>
          </w:p>
        </w:tc>
      </w:tr>
      <w:tr w14:paraId="24F21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0AC3491C">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noWrap/>
            <w:vAlign w:val="center"/>
          </w:tcPr>
          <w:p w14:paraId="3521F1EC">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ign w:val="center"/>
          </w:tcPr>
          <w:p w14:paraId="5D8F25A0">
            <w:pPr>
              <w:snapToGrid w:val="0"/>
              <w:spacing w:line="380" w:lineRule="exac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不组织召开开标前答疑会</w:t>
            </w:r>
          </w:p>
        </w:tc>
      </w:tr>
      <w:tr w14:paraId="0E70A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ign w:val="center"/>
          </w:tcPr>
          <w:p w14:paraId="4A6E0D3F">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ign w:val="center"/>
          </w:tcPr>
          <w:p w14:paraId="57235EDE">
            <w:pPr>
              <w:snapToGrid w:val="0"/>
              <w:spacing w:line="380" w:lineRule="exact"/>
              <w:jc w:val="left"/>
              <w:rPr>
                <w:rFonts w:asciiTheme="minorEastAsia" w:hAnsiTheme="minorEastAsia" w:eastAsiaTheme="minorEastAsia" w:cstheme="minorEastAsia"/>
                <w:color w:val="auto"/>
                <w:szCs w:val="21"/>
                <w:highlight w:val="none"/>
              </w:rPr>
            </w:pPr>
            <w:bookmarkStart w:id="34" w:name="_13.2"/>
            <w:bookmarkEnd w:id="34"/>
            <w:r>
              <w:rPr>
                <w:rFonts w:hint="eastAsia" w:asciiTheme="minorEastAsia" w:hAnsiTheme="minorEastAsia" w:eastAsiaTheme="minorEastAsia" w:cstheme="minorEastAsia"/>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13C52B0E">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1、投标人为法人或者其他组织的，提供营业执照等证明文件（如营业执照或者事业单位法人证书或者执业许可证等），投标人为自然人的，提供身份证复印件。（</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03F57B0B">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2、投标人依法缴纳税收的相关材料[</w:t>
            </w:r>
            <w:r>
              <w:rPr>
                <w:rFonts w:hint="eastAsia" w:asciiTheme="minorEastAsia" w:hAnsiTheme="minorEastAsia" w:eastAsiaTheme="minorEastAsia" w:cstheme="minorEastAsia"/>
                <w:color w:val="auto"/>
                <w:szCs w:val="21"/>
                <w:highlight w:val="none"/>
                <w:u w:val="single"/>
              </w:rPr>
              <w:t>2025年2月至2025年7月</w:t>
            </w:r>
            <w:r>
              <w:rPr>
                <w:rFonts w:hint="eastAsia" w:asciiTheme="minorEastAsia" w:hAnsiTheme="minorEastAsia" w:eastAsiaTheme="minorEastAsia" w:cstheme="minorEastAsia"/>
                <w:color w:val="auto"/>
                <w:szCs w:val="21"/>
                <w:highlight w:val="none"/>
              </w:rPr>
              <w:t>任意连续</w:t>
            </w:r>
            <w:r>
              <w:rPr>
                <w:rFonts w:hint="eastAsia" w:asciiTheme="minorEastAsia" w:hAnsiTheme="minorEastAsia" w:eastAsiaTheme="minorEastAsia" w:cstheme="minorEastAsia"/>
                <w:color w:val="auto"/>
                <w:szCs w:val="21"/>
                <w:highlight w:val="none"/>
                <w:u w:val="single"/>
              </w:rPr>
              <w:t xml:space="preserve"> 3   </w:t>
            </w:r>
            <w:r>
              <w:rPr>
                <w:rFonts w:hint="eastAsia" w:asciiTheme="minorEastAsia" w:hAnsiTheme="minorEastAsia" w:eastAsiaTheme="minorEastAsia" w:cstheme="minorEastAsia"/>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058895A1">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3、投标人依法缴纳社会保障资金的相关材料[</w:t>
            </w:r>
            <w:r>
              <w:rPr>
                <w:rFonts w:hint="eastAsia" w:asciiTheme="minorEastAsia" w:hAnsiTheme="minorEastAsia" w:eastAsiaTheme="minorEastAsia" w:cstheme="minorEastAsia"/>
                <w:color w:val="auto"/>
                <w:szCs w:val="21"/>
                <w:highlight w:val="none"/>
                <w:u w:val="single"/>
              </w:rPr>
              <w:t>2025年2月至2025年7月</w:t>
            </w:r>
            <w:r>
              <w:rPr>
                <w:rFonts w:hint="eastAsia" w:asciiTheme="minorEastAsia" w:hAnsiTheme="minorEastAsia" w:eastAsiaTheme="minorEastAsia" w:cstheme="minorEastAsia"/>
                <w:color w:val="auto"/>
                <w:szCs w:val="21"/>
                <w:highlight w:val="none"/>
              </w:rPr>
              <w:t>任意连续</w:t>
            </w:r>
            <w:r>
              <w:rPr>
                <w:rFonts w:hint="eastAsia" w:asciiTheme="minorEastAsia" w:hAnsiTheme="minorEastAsia" w:eastAsiaTheme="minorEastAsia" w:cstheme="minorEastAsia"/>
                <w:color w:val="auto"/>
                <w:szCs w:val="21"/>
                <w:highlight w:val="none"/>
                <w:u w:val="single"/>
              </w:rPr>
              <w:t xml:space="preserve"> 3  </w:t>
            </w:r>
            <w:r>
              <w:rPr>
                <w:rFonts w:hint="eastAsia" w:asciiTheme="minorEastAsia" w:hAnsiTheme="minorEastAsia" w:eastAsiaTheme="minorEastAsia" w:cstheme="minorEastAsia"/>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71DF246A">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4、投标人财务状况报告：[</w:t>
            </w:r>
            <w:r>
              <w:rPr>
                <w:rFonts w:hint="eastAsia" w:asciiTheme="minorEastAsia" w:hAnsiTheme="minorEastAsia" w:eastAsiaTheme="minorEastAsia" w:cstheme="minorEastAsia"/>
                <w:color w:val="auto"/>
                <w:szCs w:val="21"/>
                <w:highlight w:val="none"/>
                <w:u w:val="single"/>
              </w:rPr>
              <w:t>2024</w:t>
            </w:r>
            <w:r>
              <w:rPr>
                <w:rFonts w:hint="eastAsia" w:asciiTheme="minorEastAsia" w:hAnsiTheme="minorEastAsia" w:eastAsiaTheme="minorEastAsia" w:cstheme="minorEastAsia"/>
                <w:color w:val="auto"/>
                <w:szCs w:val="21"/>
                <w:highlight w:val="none"/>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3F52D43F">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5、投标人直接控股股东信息表。（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1CF0B148">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6、投标人直接管理关系信息表。（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37D9F518">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7、投标资格声明。（</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208C0646">
            <w:pPr>
              <w:shd w:val="clear" w:color="auto" w:fill="FFFFFF"/>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8、投标人应为中小微企业/监狱企业/残疾人福利性单位：</w:t>
            </w:r>
          </w:p>
          <w:p w14:paraId="2C1EC6CC">
            <w:pPr>
              <w:shd w:val="clear" w:color="auto" w:fill="FFFFFF"/>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（1）《中小企业声明函》</w:t>
            </w:r>
            <w:r>
              <w:rPr>
                <w:rFonts w:hint="eastAsia" w:asciiTheme="minorEastAsia" w:hAnsiTheme="minorEastAsia" w:eastAsiaTheme="minorEastAsia" w:cstheme="minorEastAsia"/>
                <w:color w:val="auto"/>
                <w:highlight w:val="none"/>
              </w:rPr>
              <w:t>（格式后附）</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rPr>
              <w:t>（除投标人为监狱企业及残疾人福利性单位外，必须提供</w:t>
            </w:r>
            <w:r>
              <w:rPr>
                <w:rFonts w:hint="eastAsia" w:asciiTheme="minorEastAsia" w:hAnsiTheme="minorEastAsia" w:eastAsiaTheme="minorEastAsia" w:cstheme="minorEastAsia"/>
                <w:b/>
                <w:bCs/>
                <w:color w:val="auto"/>
                <w:highlight w:val="none"/>
              </w:rPr>
              <w:t>，否则投标文件按无效响应处理</w:t>
            </w:r>
            <w:r>
              <w:rPr>
                <w:rFonts w:hint="eastAsia" w:asciiTheme="minorEastAsia" w:hAnsiTheme="minorEastAsia" w:eastAsiaTheme="minorEastAsia" w:cstheme="minorEastAsia"/>
                <w:b/>
                <w:bCs/>
                <w:color w:val="auto"/>
                <w:szCs w:val="21"/>
                <w:highlight w:val="none"/>
              </w:rPr>
              <w:t>）</w:t>
            </w:r>
          </w:p>
          <w:p w14:paraId="6972EDAB">
            <w:pPr>
              <w:shd w:val="clear" w:color="auto" w:fill="FFFFFF"/>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（2）供应商属于监狱企业的，应当提供由省级以上监狱管理局、戒毒管理局等（含新疆生产建设兵团）出具的属于监狱企业的证明文件；</w:t>
            </w:r>
            <w:r>
              <w:rPr>
                <w:rFonts w:hint="eastAsia" w:asciiTheme="minorEastAsia" w:hAnsiTheme="minorEastAsia" w:eastAsiaTheme="minorEastAsia" w:cstheme="minorEastAsia"/>
                <w:b/>
                <w:bCs/>
                <w:color w:val="auto"/>
                <w:szCs w:val="21"/>
                <w:highlight w:val="none"/>
              </w:rPr>
              <w:t>（如投标人属于监狱企业的，则必须提供</w:t>
            </w:r>
            <w:r>
              <w:rPr>
                <w:rFonts w:hint="eastAsia" w:asciiTheme="minorEastAsia" w:hAnsiTheme="minorEastAsia" w:eastAsiaTheme="minorEastAsia" w:cstheme="minorEastAsia"/>
                <w:b/>
                <w:bCs/>
                <w:color w:val="auto"/>
                <w:highlight w:val="none"/>
              </w:rPr>
              <w:t>，否则投标文件按无效响应处理</w:t>
            </w:r>
            <w:r>
              <w:rPr>
                <w:rFonts w:hint="eastAsia" w:asciiTheme="minorEastAsia" w:hAnsiTheme="minorEastAsia" w:eastAsiaTheme="minorEastAsia" w:cstheme="minorEastAsia"/>
                <w:b/>
                <w:bCs/>
                <w:color w:val="auto"/>
                <w:szCs w:val="21"/>
                <w:highlight w:val="none"/>
              </w:rPr>
              <w:t>）</w:t>
            </w:r>
          </w:p>
          <w:p w14:paraId="71E67119">
            <w:pPr>
              <w:shd w:val="clear" w:color="auto" w:fill="FFFFFF"/>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（3）符合条件的残疾人福利性单位在参加政府采购活动时，应当提供《残疾人福利性单位声明函》</w:t>
            </w:r>
            <w:r>
              <w:rPr>
                <w:rFonts w:hint="eastAsia" w:asciiTheme="minorEastAsia" w:hAnsiTheme="minorEastAsia" w:eastAsiaTheme="minorEastAsia" w:cstheme="minorEastAsia"/>
                <w:color w:val="auto"/>
                <w:highlight w:val="none"/>
              </w:rPr>
              <w:t>（格式后附）</w:t>
            </w:r>
            <w:r>
              <w:rPr>
                <w:rFonts w:hint="eastAsia" w:asciiTheme="minorEastAsia" w:hAnsiTheme="minorEastAsia" w:eastAsiaTheme="minorEastAsia" w:cstheme="minorEastAsia"/>
                <w:color w:val="auto"/>
                <w:szCs w:val="21"/>
                <w:highlight w:val="none"/>
              </w:rPr>
              <w:t>，并对声明的真实性负责；</w:t>
            </w:r>
            <w:r>
              <w:rPr>
                <w:rFonts w:hint="eastAsia" w:asciiTheme="minorEastAsia" w:hAnsiTheme="minorEastAsia" w:eastAsiaTheme="minorEastAsia" w:cstheme="minorEastAsia"/>
                <w:b/>
                <w:bCs/>
                <w:color w:val="auto"/>
                <w:szCs w:val="21"/>
                <w:highlight w:val="none"/>
              </w:rPr>
              <w:t>（如投标人属于残疾人福利性单位的，则必须提供</w:t>
            </w:r>
            <w:r>
              <w:rPr>
                <w:rFonts w:hint="eastAsia" w:asciiTheme="minorEastAsia" w:hAnsiTheme="minorEastAsia" w:eastAsiaTheme="minorEastAsia" w:cstheme="minorEastAsia"/>
                <w:b/>
                <w:bCs/>
                <w:color w:val="auto"/>
                <w:highlight w:val="none"/>
              </w:rPr>
              <w:t>，否则投标文件按无效响应处理</w:t>
            </w:r>
            <w:r>
              <w:rPr>
                <w:rFonts w:hint="eastAsia" w:asciiTheme="minorEastAsia" w:hAnsiTheme="minorEastAsia" w:eastAsiaTheme="minorEastAsia" w:cstheme="minorEastAsia"/>
                <w:b/>
                <w:bCs/>
                <w:color w:val="auto"/>
                <w:szCs w:val="21"/>
                <w:highlight w:val="none"/>
              </w:rPr>
              <w:t>）</w:t>
            </w:r>
          </w:p>
          <w:p w14:paraId="74E3BC9B">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9、除招标文件规定必须提供以外，投标人认为需要提供的其他证明材料。（如有请提供）</w:t>
            </w:r>
          </w:p>
          <w:p w14:paraId="1A03DF50">
            <w:pPr>
              <w:snapToGrid w:val="0"/>
              <w:spacing w:line="380" w:lineRule="exact"/>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注：1.</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bCs/>
                <w:color w:val="auto"/>
                <w:szCs w:val="21"/>
                <w:highlight w:val="none"/>
              </w:rPr>
              <w:t>以上标明“必须提供”的材料</w:t>
            </w:r>
            <w:r>
              <w:rPr>
                <w:rFonts w:hint="eastAsia" w:asciiTheme="minorEastAsia" w:hAnsiTheme="minorEastAsia" w:eastAsiaTheme="minorEastAsia" w:cstheme="minorEastAsia"/>
                <w:b/>
                <w:color w:val="auto"/>
                <w:szCs w:val="21"/>
                <w:highlight w:val="none"/>
              </w:rPr>
              <w:t>属于复印件的扫描件的</w:t>
            </w:r>
            <w:r>
              <w:rPr>
                <w:rFonts w:hint="eastAsia" w:asciiTheme="minorEastAsia" w:hAnsiTheme="minorEastAsia" w:eastAsiaTheme="minorEastAsia" w:cstheme="minorEastAsia"/>
                <w:b/>
                <w:bCs/>
                <w:color w:val="auto"/>
                <w:szCs w:val="21"/>
                <w:highlight w:val="none"/>
              </w:rPr>
              <w:t>，必须加盖投标人电子公章，否则</w:t>
            </w:r>
            <w:r>
              <w:rPr>
                <w:rFonts w:hint="eastAsia" w:asciiTheme="minorEastAsia" w:hAnsiTheme="minorEastAsia" w:eastAsiaTheme="minorEastAsia" w:cstheme="minorEastAsia"/>
                <w:b/>
                <w:color w:val="auto"/>
                <w:szCs w:val="21"/>
                <w:highlight w:val="none"/>
              </w:rPr>
              <w:t>作无效投标处理。</w:t>
            </w:r>
          </w:p>
        </w:tc>
      </w:tr>
      <w:tr w14:paraId="766C2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ign w:val="center"/>
          </w:tcPr>
          <w:p w14:paraId="02C101E9">
            <w:pPr>
              <w:spacing w:line="380" w:lineRule="exact"/>
              <w:rPr>
                <w:rFonts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3655B352">
            <w:pPr>
              <w:snapToGrid w:val="0"/>
              <w:spacing w:line="380" w:lineRule="exact"/>
              <w:jc w:val="left"/>
              <w:rPr>
                <w:rFonts w:asciiTheme="minorEastAsia" w:hAnsiTheme="minorEastAsia" w:eastAsiaTheme="minorEastAsia" w:cstheme="minorEastAsia"/>
                <w:color w:val="auto"/>
                <w:szCs w:val="21"/>
                <w:highlight w:val="none"/>
              </w:rPr>
            </w:pPr>
            <w:bookmarkStart w:id="35" w:name="_13.3"/>
            <w:bookmarkEnd w:id="35"/>
            <w:r>
              <w:rPr>
                <w:rFonts w:hint="eastAsia" w:asciiTheme="minorEastAsia" w:hAnsiTheme="minorEastAsia" w:eastAsiaTheme="minorEastAsia" w:cstheme="minorEastAsia"/>
                <w:color w:val="auto"/>
                <w:szCs w:val="21"/>
                <w:highlight w:val="none"/>
              </w:rPr>
              <w:t>商务文件组成</w:t>
            </w:r>
          </w:p>
          <w:p w14:paraId="3DDBE645">
            <w:pPr>
              <w:spacing w:line="380" w:lineRule="exact"/>
              <w:rPr>
                <w:rFonts w:asciiTheme="minorEastAsia" w:hAnsiTheme="minorEastAsia" w:eastAsiaTheme="minorEastAsia" w:cstheme="minorEastAsia"/>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ign w:val="center"/>
          </w:tcPr>
          <w:p w14:paraId="4641A7C9">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1、无串通投标行为的承诺函；（</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3C674ACC">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2、法定代表人身份证明及法定代表人有效身份证正反面复印件；（</w:t>
            </w:r>
            <w:r>
              <w:rPr>
                <w:rFonts w:hint="eastAsia" w:asciiTheme="minorEastAsia" w:hAnsiTheme="minorEastAsia" w:eastAsiaTheme="minorEastAsia" w:cstheme="minorEastAsia"/>
                <w:b/>
                <w:bCs/>
                <w:color w:val="auto"/>
                <w:szCs w:val="21"/>
                <w:highlight w:val="none"/>
              </w:rPr>
              <w:t>除自然人投标外</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4B8C405A">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3、法定代表人授权委托书及委托代理人有效身份证正反面复印件；（</w:t>
            </w:r>
            <w:r>
              <w:rPr>
                <w:rFonts w:hint="eastAsia" w:asciiTheme="minorEastAsia" w:hAnsiTheme="minorEastAsia" w:eastAsiaTheme="minorEastAsia" w:cstheme="minorEastAsia"/>
                <w:b/>
                <w:color w:val="auto"/>
                <w:szCs w:val="21"/>
                <w:highlight w:val="none"/>
              </w:rPr>
              <w:t>委托时必须提供，否则作无效投标处理</w:t>
            </w:r>
            <w:r>
              <w:rPr>
                <w:rFonts w:hint="eastAsia" w:asciiTheme="minorEastAsia" w:hAnsiTheme="minorEastAsia" w:eastAsiaTheme="minorEastAsia" w:cstheme="minorEastAsia"/>
                <w:color w:val="auto"/>
                <w:szCs w:val="21"/>
                <w:highlight w:val="none"/>
              </w:rPr>
              <w:t>）</w:t>
            </w:r>
          </w:p>
          <w:p w14:paraId="1BD76B97">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4、商务条款偏离表；（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7AB98C51">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5、投标人情况介绍；（如有请提供）</w:t>
            </w:r>
          </w:p>
          <w:p w14:paraId="30E85F43">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6、除招标文件规定必须提供以外，投标人认为需要提供的其他证明材料。（投标人根据“第二章 采购需求”及“第四章 评标方法及评标标准”提供有关证明材料）。（如有请提供）</w:t>
            </w:r>
          </w:p>
          <w:p w14:paraId="5D2BA333">
            <w:pPr>
              <w:snapToGrid w:val="0"/>
              <w:spacing w:line="380" w:lineRule="exact"/>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 1.法定代表人授权委托书必须由法定代表人及委托代理人签字，并加盖投标人公章，否则作无效投标处理。</w:t>
            </w:r>
          </w:p>
          <w:p w14:paraId="3EE6E3C1">
            <w:pPr>
              <w:snapToGrid w:val="0"/>
              <w:spacing w:line="380" w:lineRule="exact"/>
              <w:ind w:firstLine="422" w:firstLineChars="200"/>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bCs/>
                <w:color w:val="auto"/>
                <w:szCs w:val="21"/>
                <w:highlight w:val="none"/>
              </w:rPr>
              <w:t>2.</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bCs/>
                <w:color w:val="auto"/>
                <w:szCs w:val="21"/>
                <w:highlight w:val="none"/>
              </w:rPr>
              <w:t>以上标明“必须提供”的材料</w:t>
            </w:r>
            <w:r>
              <w:rPr>
                <w:rFonts w:hint="eastAsia" w:asciiTheme="minorEastAsia" w:hAnsiTheme="minorEastAsia" w:eastAsiaTheme="minorEastAsia" w:cstheme="minorEastAsia"/>
                <w:b/>
                <w:color w:val="auto"/>
                <w:szCs w:val="21"/>
                <w:highlight w:val="none"/>
              </w:rPr>
              <w:t>属于复印件的扫描件的</w:t>
            </w:r>
            <w:r>
              <w:rPr>
                <w:rFonts w:hint="eastAsia" w:asciiTheme="minorEastAsia" w:hAnsiTheme="minorEastAsia" w:eastAsiaTheme="minorEastAsia" w:cstheme="minorEastAsia"/>
                <w:b/>
                <w:bCs/>
                <w:color w:val="auto"/>
                <w:szCs w:val="21"/>
                <w:highlight w:val="none"/>
              </w:rPr>
              <w:t>，必须加盖投标人电子公章，否则</w:t>
            </w:r>
            <w:r>
              <w:rPr>
                <w:rFonts w:hint="eastAsia" w:asciiTheme="minorEastAsia" w:hAnsiTheme="minorEastAsia" w:eastAsiaTheme="minorEastAsia" w:cstheme="minorEastAsia"/>
                <w:b/>
                <w:color w:val="auto"/>
                <w:szCs w:val="21"/>
                <w:highlight w:val="none"/>
              </w:rPr>
              <w:t>作无效投标处理</w:t>
            </w:r>
            <w:r>
              <w:rPr>
                <w:rFonts w:hint="eastAsia" w:asciiTheme="minorEastAsia" w:hAnsiTheme="minorEastAsia" w:eastAsiaTheme="minorEastAsia" w:cstheme="minorEastAsia"/>
                <w:b/>
                <w:bCs/>
                <w:color w:val="auto"/>
                <w:szCs w:val="21"/>
                <w:highlight w:val="none"/>
              </w:rPr>
              <w:t>。</w:t>
            </w:r>
          </w:p>
        </w:tc>
      </w:tr>
      <w:tr w14:paraId="7CB80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ign w:val="center"/>
          </w:tcPr>
          <w:p w14:paraId="0FECB817">
            <w:pPr>
              <w:spacing w:line="380" w:lineRule="exact"/>
              <w:rPr>
                <w:rFonts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1D46B216">
            <w:pPr>
              <w:snapToGrid w:val="0"/>
              <w:spacing w:line="380" w:lineRule="exact"/>
              <w:jc w:val="left"/>
              <w:rPr>
                <w:rFonts w:asciiTheme="minorEastAsia" w:hAnsiTheme="minorEastAsia" w:eastAsiaTheme="minorEastAsia" w:cstheme="minorEastAsia"/>
                <w:color w:val="auto"/>
                <w:szCs w:val="21"/>
                <w:highlight w:val="none"/>
              </w:rPr>
            </w:pPr>
            <w:bookmarkStart w:id="36" w:name="_13.4"/>
            <w:bookmarkEnd w:id="36"/>
            <w:r>
              <w:rPr>
                <w:rFonts w:hint="eastAsia" w:asciiTheme="minorEastAsia" w:hAnsiTheme="minorEastAsia" w:eastAsiaTheme="minorEastAsia" w:cstheme="minorEastAsia"/>
                <w:color w:val="auto"/>
                <w:szCs w:val="21"/>
                <w:highlight w:val="none"/>
              </w:rPr>
              <w:t>技术文件组成</w:t>
            </w:r>
          </w:p>
          <w:p w14:paraId="7FF38CF1">
            <w:pPr>
              <w:spacing w:line="380" w:lineRule="exact"/>
              <w:rPr>
                <w:rFonts w:asciiTheme="minorEastAsia" w:hAnsiTheme="minorEastAsia" w:eastAsiaTheme="minorEastAsia" w:cstheme="minorEastAsia"/>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noWrap/>
            <w:vAlign w:val="center"/>
          </w:tcPr>
          <w:p w14:paraId="1389A5B8">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1、技术需求偏离表；（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1D43DF34">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2、服务方案；（</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4B01097F">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3、售后服务方案；（</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64F5CC8E">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4、项目实施人员一览表；（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p w14:paraId="056ED767">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5、投标人对本项目的合理化建议和改进措施；（如有请提供）</w:t>
            </w:r>
          </w:p>
          <w:p w14:paraId="7383DCE1">
            <w:pPr>
              <w:snapToGrid w:val="0"/>
              <w:spacing w:line="380" w:lineRule="exact"/>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6、除招标文件规定必须提供以外，投标人需要说明的其他文件和说明。（如有请提供）</w:t>
            </w:r>
          </w:p>
          <w:p w14:paraId="2359333A">
            <w:pPr>
              <w:snapToGrid w:val="0"/>
              <w:spacing w:line="380" w:lineRule="exact"/>
              <w:jc w:val="left"/>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注：以上标明“必须提供”的材料</w:t>
            </w:r>
            <w:r>
              <w:rPr>
                <w:rFonts w:hint="eastAsia" w:asciiTheme="minorEastAsia" w:hAnsiTheme="minorEastAsia" w:eastAsiaTheme="minorEastAsia" w:cstheme="minorEastAsia"/>
                <w:b/>
                <w:color w:val="auto"/>
                <w:szCs w:val="21"/>
                <w:highlight w:val="none"/>
              </w:rPr>
              <w:t>属于复印件的扫描件的</w:t>
            </w:r>
            <w:r>
              <w:rPr>
                <w:rFonts w:hint="eastAsia" w:asciiTheme="minorEastAsia" w:hAnsiTheme="minorEastAsia" w:eastAsiaTheme="minorEastAsia" w:cstheme="minorEastAsia"/>
                <w:b/>
                <w:bCs/>
                <w:color w:val="auto"/>
                <w:szCs w:val="21"/>
                <w:highlight w:val="none"/>
              </w:rPr>
              <w:t>，必须加盖投标人电子公章，否则</w:t>
            </w:r>
            <w:r>
              <w:rPr>
                <w:rFonts w:hint="eastAsia" w:asciiTheme="minorEastAsia" w:hAnsiTheme="minorEastAsia" w:eastAsiaTheme="minorEastAsia" w:cstheme="minorEastAsia"/>
                <w:b/>
                <w:color w:val="auto"/>
                <w:szCs w:val="21"/>
                <w:highlight w:val="none"/>
              </w:rPr>
              <w:t>作无效投标处理</w:t>
            </w:r>
            <w:r>
              <w:rPr>
                <w:rFonts w:hint="eastAsia" w:asciiTheme="minorEastAsia" w:hAnsiTheme="minorEastAsia" w:eastAsiaTheme="minorEastAsia" w:cstheme="minorEastAsia"/>
                <w:b/>
                <w:bCs/>
                <w:color w:val="auto"/>
                <w:szCs w:val="21"/>
                <w:highlight w:val="none"/>
              </w:rPr>
              <w:t>。</w:t>
            </w:r>
          </w:p>
        </w:tc>
      </w:tr>
      <w:tr w14:paraId="626A5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ign w:val="center"/>
          </w:tcPr>
          <w:p w14:paraId="59A2F879">
            <w:pPr>
              <w:widowControl/>
              <w:jc w:val="left"/>
              <w:rPr>
                <w:rFonts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032ECC1A">
            <w:pPr>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494F3EE7">
            <w:pPr>
              <w:tabs>
                <w:tab w:val="left" w:pos="459"/>
              </w:tabs>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1、投标函；</w:t>
            </w:r>
            <w:r>
              <w:rPr>
                <w:rFonts w:hint="eastAsia" w:asciiTheme="minorEastAsia" w:hAnsiTheme="minorEastAsia" w:eastAsiaTheme="minorEastAsia" w:cstheme="minorEastAsia"/>
                <w:b/>
                <w:color w:val="auto"/>
                <w:szCs w:val="21"/>
                <w:highlight w:val="none"/>
              </w:rPr>
              <w:t>（必须提供，否则作无效投标处理）</w:t>
            </w:r>
          </w:p>
          <w:p w14:paraId="7F14D3A7">
            <w:pPr>
              <w:tabs>
                <w:tab w:val="left" w:pos="459"/>
              </w:tabs>
              <w:snapToGrid w:val="0"/>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2、开标一览表；（</w:t>
            </w:r>
            <w:r>
              <w:rPr>
                <w:rFonts w:hint="eastAsia" w:asciiTheme="minorEastAsia" w:hAnsiTheme="minorEastAsia" w:eastAsiaTheme="minorEastAsia" w:cstheme="minorEastAsia"/>
                <w:b/>
                <w:color w:val="auto"/>
                <w:szCs w:val="21"/>
                <w:highlight w:val="none"/>
              </w:rPr>
              <w:t>必须提供，否则作无效投标处理</w:t>
            </w:r>
            <w:r>
              <w:rPr>
                <w:rFonts w:hint="eastAsia" w:asciiTheme="minorEastAsia" w:hAnsiTheme="minorEastAsia" w:eastAsiaTheme="minorEastAsia" w:cstheme="minorEastAsia"/>
                <w:color w:val="auto"/>
                <w:szCs w:val="21"/>
                <w:highlight w:val="none"/>
              </w:rPr>
              <w:t>）</w:t>
            </w:r>
          </w:p>
        </w:tc>
      </w:tr>
      <w:tr w14:paraId="6CD64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1F0C6AC8">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ign w:val="center"/>
          </w:tcPr>
          <w:p w14:paraId="74719B39">
            <w:pPr>
              <w:spacing w:line="380" w:lineRule="exact"/>
              <w:rPr>
                <w:rFonts w:asciiTheme="minorEastAsia" w:hAnsiTheme="minorEastAsia" w:eastAsiaTheme="minorEastAsia" w:cstheme="minorEastAsia"/>
                <w:color w:val="auto"/>
                <w:szCs w:val="21"/>
                <w:highlight w:val="none"/>
              </w:rPr>
            </w:pPr>
            <w:bookmarkStart w:id="37" w:name="_16.2"/>
            <w:bookmarkEnd w:id="37"/>
            <w:r>
              <w:rPr>
                <w:rFonts w:hint="eastAsia" w:asciiTheme="minorEastAsia" w:hAnsiTheme="minorEastAsia" w:eastAsiaTheme="minorEastAsia" w:cstheme="minorEastAsia"/>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680823E9">
            <w:pPr>
              <w:snapToGrid w:val="0"/>
              <w:spacing w:line="38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14:paraId="5CF9B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1DE55539">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ign w:val="center"/>
          </w:tcPr>
          <w:p w14:paraId="7EBDAE2C">
            <w:pPr>
              <w:spacing w:line="380" w:lineRule="exact"/>
              <w:rPr>
                <w:rFonts w:asciiTheme="minorEastAsia" w:hAnsiTheme="minorEastAsia" w:eastAsiaTheme="minorEastAsia" w:cstheme="minorEastAsia"/>
                <w:color w:val="auto"/>
                <w:szCs w:val="21"/>
                <w:highlight w:val="none"/>
              </w:rPr>
            </w:pPr>
            <w:bookmarkStart w:id="38" w:name="_17.1"/>
            <w:bookmarkEnd w:id="38"/>
            <w:r>
              <w:rPr>
                <w:rFonts w:hint="eastAsia" w:asciiTheme="minorEastAsia" w:hAnsiTheme="minorEastAsia" w:eastAsiaTheme="minorEastAsia" w:cstheme="minorEastAsia"/>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ign w:val="center"/>
          </w:tcPr>
          <w:p w14:paraId="0F164485">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自投标截止之日起</w:t>
            </w:r>
            <w:r>
              <w:rPr>
                <w:rFonts w:hint="eastAsia" w:asciiTheme="minorEastAsia" w:hAnsiTheme="minorEastAsia" w:eastAsiaTheme="minorEastAsia" w:cstheme="minorEastAsia"/>
                <w:color w:val="auto"/>
                <w:szCs w:val="21"/>
                <w:highlight w:val="none"/>
                <w:u w:val="single"/>
              </w:rPr>
              <w:t xml:space="preserve"> </w:t>
            </w:r>
            <w:bookmarkStart w:id="39" w:name="PO_3000001866_PM046"/>
            <w:r>
              <w:rPr>
                <w:rFonts w:hint="eastAsia" w:asciiTheme="minorEastAsia" w:hAnsiTheme="minorEastAsia" w:eastAsiaTheme="minorEastAsia" w:cstheme="minorEastAsia"/>
                <w:color w:val="auto"/>
                <w:szCs w:val="21"/>
                <w:highlight w:val="none"/>
                <w:u w:val="single"/>
              </w:rPr>
              <w:t>90日历日</w:t>
            </w:r>
            <w:bookmarkEnd w:id="39"/>
            <w:r>
              <w:rPr>
                <w:rFonts w:hint="eastAsia" w:asciiTheme="minorEastAsia" w:hAnsiTheme="minorEastAsia" w:eastAsiaTheme="minorEastAsia" w:cstheme="minorEastAsia"/>
                <w:color w:val="auto"/>
                <w:szCs w:val="21"/>
                <w:highlight w:val="none"/>
              </w:rPr>
              <w:t>。</w:t>
            </w:r>
          </w:p>
        </w:tc>
      </w:tr>
      <w:tr w14:paraId="1AA34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3EEC57E4">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ign w:val="center"/>
          </w:tcPr>
          <w:p w14:paraId="5E4D9F65">
            <w:pPr>
              <w:spacing w:line="380" w:lineRule="exact"/>
              <w:rPr>
                <w:rFonts w:asciiTheme="minorEastAsia" w:hAnsiTheme="minorEastAsia" w:eastAsiaTheme="minorEastAsia" w:cstheme="minorEastAsia"/>
                <w:color w:val="auto"/>
                <w:szCs w:val="21"/>
                <w:highlight w:val="none"/>
              </w:rPr>
            </w:pPr>
            <w:bookmarkStart w:id="40" w:name="_18"/>
            <w:bookmarkEnd w:id="40"/>
            <w:r>
              <w:rPr>
                <w:rFonts w:hint="eastAsia" w:asciiTheme="minorEastAsia" w:hAnsiTheme="minorEastAsia" w:eastAsiaTheme="minorEastAsia" w:cstheme="minorEastAsia"/>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ign w:val="center"/>
          </w:tcPr>
          <w:p w14:paraId="66A5F384">
            <w:pPr>
              <w:autoSpaceDE w:val="0"/>
              <w:autoSpaceDN w:val="0"/>
              <w:snapToGrid w:val="0"/>
              <w:spacing w:line="380" w:lineRule="exact"/>
              <w:textAlignment w:val="bottom"/>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本项目不收取投标保证金。</w:t>
            </w:r>
          </w:p>
        </w:tc>
      </w:tr>
      <w:tr w14:paraId="0985E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6279AECA">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ign w:val="center"/>
          </w:tcPr>
          <w:p w14:paraId="5267F998">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309FF08F">
            <w:pPr>
              <w:spacing w:line="360" w:lineRule="auto"/>
              <w:rPr>
                <w:rFonts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Theme="minorEastAsia" w:hAnsiTheme="minorEastAsia" w:eastAsiaTheme="minorEastAsia" w:cstheme="minorEastAsia"/>
                <w:b/>
                <w:color w:val="auto"/>
                <w:szCs w:val="21"/>
                <w:highlight w:val="none"/>
                <w:u w:val="single"/>
              </w:rPr>
              <w:t>电子版投标文件制作方式见招标公告附件。</w:t>
            </w:r>
          </w:p>
        </w:tc>
      </w:tr>
      <w:tr w14:paraId="734A0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42CC8157">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ign w:val="center"/>
          </w:tcPr>
          <w:p w14:paraId="57212FCF">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ign w:val="center"/>
          </w:tcPr>
          <w:p w14:paraId="6A5D6C3B">
            <w:pPr>
              <w:autoSpaceDE w:val="0"/>
              <w:autoSpaceDN w:val="0"/>
              <w:snapToGrid w:val="0"/>
              <w:spacing w:line="380" w:lineRule="exact"/>
              <w:textAlignment w:val="bottom"/>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本项目不接受备份投标文件。</w:t>
            </w:r>
          </w:p>
        </w:tc>
      </w:tr>
      <w:tr w14:paraId="7A4FE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noWrap/>
            <w:vAlign w:val="center"/>
          </w:tcPr>
          <w:p w14:paraId="5999DDD1">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ign w:val="center"/>
          </w:tcPr>
          <w:p w14:paraId="09CE5702">
            <w:pPr>
              <w:spacing w:line="380" w:lineRule="exact"/>
              <w:rPr>
                <w:rFonts w:asciiTheme="minorEastAsia" w:hAnsiTheme="minorEastAsia" w:eastAsiaTheme="minorEastAsia" w:cstheme="minorEastAsia"/>
                <w:color w:val="auto"/>
                <w:szCs w:val="21"/>
                <w:highlight w:val="none"/>
              </w:rPr>
            </w:pPr>
            <w:bookmarkStart w:id="41" w:name="_21.1"/>
            <w:bookmarkEnd w:id="41"/>
            <w:r>
              <w:rPr>
                <w:rFonts w:hint="eastAsia" w:asciiTheme="minorEastAsia" w:hAnsiTheme="minorEastAsia" w:eastAsiaTheme="minorEastAsia" w:cstheme="minorEastAsia"/>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ign w:val="center"/>
          </w:tcPr>
          <w:p w14:paraId="21F0D5B3">
            <w:pPr>
              <w:snapToGrid w:val="0"/>
              <w:spacing w:line="380" w:lineRule="exact"/>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详见招标公告</w:t>
            </w:r>
          </w:p>
        </w:tc>
      </w:tr>
      <w:tr w14:paraId="12E34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ign w:val="center"/>
          </w:tcPr>
          <w:p w14:paraId="159CCA73">
            <w:pPr>
              <w:widowControl/>
              <w:jc w:val="left"/>
              <w:rPr>
                <w:rFonts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2F9E8466">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noWrap/>
            <w:vAlign w:val="center"/>
          </w:tcPr>
          <w:p w14:paraId="5DC66A27">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详见招标公告</w:t>
            </w:r>
          </w:p>
        </w:tc>
      </w:tr>
      <w:tr w14:paraId="3C85D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75" w:type="dxa"/>
            <w:vMerge w:val="continue"/>
            <w:tcBorders>
              <w:top w:val="single" w:color="auto" w:sz="4" w:space="0"/>
              <w:left w:val="single" w:color="auto" w:sz="4" w:space="0"/>
              <w:bottom w:val="nil"/>
              <w:right w:val="single" w:color="auto" w:sz="4" w:space="0"/>
            </w:tcBorders>
            <w:noWrap/>
            <w:vAlign w:val="center"/>
          </w:tcPr>
          <w:p w14:paraId="157FCEB0">
            <w:pPr>
              <w:widowControl/>
              <w:jc w:val="left"/>
              <w:rPr>
                <w:rFonts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right w:val="single" w:color="auto" w:sz="4" w:space="0"/>
            </w:tcBorders>
            <w:noWrap/>
            <w:vAlign w:val="center"/>
          </w:tcPr>
          <w:p w14:paraId="0FA3DF46">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2531AC8F">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详见招标公告</w:t>
            </w:r>
          </w:p>
        </w:tc>
      </w:tr>
      <w:tr w14:paraId="5C6D2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75FA3472">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ign w:val="center"/>
          </w:tcPr>
          <w:p w14:paraId="70528883">
            <w:pPr>
              <w:spacing w:line="380" w:lineRule="exact"/>
              <w:rPr>
                <w:rFonts w:asciiTheme="minorEastAsia" w:hAnsiTheme="minorEastAsia" w:eastAsiaTheme="minorEastAsia" w:cstheme="minorEastAsia"/>
                <w:color w:val="auto"/>
                <w:szCs w:val="21"/>
                <w:highlight w:val="none"/>
              </w:rPr>
            </w:pPr>
            <w:bookmarkStart w:id="42" w:name="_23"/>
            <w:bookmarkEnd w:id="42"/>
            <w:r>
              <w:rPr>
                <w:rFonts w:hint="eastAsia" w:asciiTheme="minorEastAsia" w:hAnsiTheme="minorEastAsia" w:eastAsiaTheme="minorEastAsia" w:cstheme="minorEastAsia"/>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0F3AFDE4">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详见招标公告 </w:t>
            </w:r>
          </w:p>
        </w:tc>
      </w:tr>
      <w:tr w14:paraId="0AEC6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6AA8045F">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ign w:val="center"/>
          </w:tcPr>
          <w:p w14:paraId="66B4A25F">
            <w:pPr>
              <w:spacing w:line="380" w:lineRule="exact"/>
              <w:rPr>
                <w:rFonts w:asciiTheme="minorEastAsia" w:hAnsiTheme="minorEastAsia" w:eastAsiaTheme="minorEastAsia" w:cstheme="minorEastAsia"/>
                <w:color w:val="auto"/>
                <w:szCs w:val="21"/>
                <w:highlight w:val="none"/>
              </w:rPr>
            </w:pPr>
            <w:bookmarkStart w:id="43" w:name="_25.3"/>
            <w:bookmarkEnd w:id="43"/>
            <w:r>
              <w:rPr>
                <w:rFonts w:hint="eastAsia" w:asciiTheme="minorEastAsia" w:hAnsiTheme="minorEastAsia" w:eastAsiaTheme="minorEastAsia" w:cstheme="minorEastAsia"/>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ign w:val="center"/>
          </w:tcPr>
          <w:p w14:paraId="0453C4A8">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采购人或者采购代理机构在资格审查结束前，对投标人进行信用查询。</w:t>
            </w:r>
          </w:p>
          <w:p w14:paraId="7E4FE9A3">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查询渠道：“信用中国”网站(www.creditchina.gov.cn) 、中国政府采购网(www.ccgp.gov.cn)。</w:t>
            </w:r>
          </w:p>
        </w:tc>
      </w:tr>
      <w:tr w14:paraId="4BF0F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03E7BBB9">
            <w:pPr>
              <w:widowControl/>
              <w:jc w:val="left"/>
              <w:rPr>
                <w:rFonts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2641C6EC">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36C4D569">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资格审查结束前</w:t>
            </w:r>
          </w:p>
        </w:tc>
      </w:tr>
      <w:tr w14:paraId="42CED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3F1B6102">
            <w:pPr>
              <w:widowControl/>
              <w:jc w:val="left"/>
              <w:rPr>
                <w:rFonts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6DF23A36">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1A346D7E">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在查询网站中直接截图查询记录，截图作为在“广西政府采购云平台”作为附件上传保存。</w:t>
            </w:r>
          </w:p>
        </w:tc>
      </w:tr>
      <w:tr w14:paraId="6C6F4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3E799841">
            <w:pPr>
              <w:widowControl/>
              <w:jc w:val="left"/>
              <w:rPr>
                <w:rFonts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77BBE213">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ign w:val="center"/>
          </w:tcPr>
          <w:p w14:paraId="4CD3E9AA">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Theme="minorEastAsia" w:hAnsiTheme="minorEastAsia" w:eastAsiaTheme="minorEastAsia" w:cstheme="minorEastAsia"/>
                <w:color w:val="auto"/>
                <w:sz w:val="22"/>
                <w:szCs w:val="22"/>
                <w:highlight w:val="none"/>
              </w:rPr>
              <w:t>应当拒绝其参与政府采购活动</w:t>
            </w:r>
            <w:r>
              <w:rPr>
                <w:rFonts w:hint="eastAsia" w:asciiTheme="minorEastAsia" w:hAnsiTheme="minorEastAsia" w:eastAsiaTheme="minorEastAsia" w:cstheme="minorEastAsia"/>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194C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1BCD8620">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ign w:val="center"/>
          </w:tcPr>
          <w:p w14:paraId="74708657">
            <w:pPr>
              <w:spacing w:line="380" w:lineRule="exact"/>
              <w:rPr>
                <w:rFonts w:asciiTheme="minorEastAsia" w:hAnsiTheme="minorEastAsia" w:eastAsiaTheme="minorEastAsia" w:cstheme="minorEastAsia"/>
                <w:color w:val="auto"/>
                <w:szCs w:val="21"/>
                <w:highlight w:val="none"/>
              </w:rPr>
            </w:pPr>
            <w:bookmarkStart w:id="44" w:name="_28.3"/>
            <w:bookmarkEnd w:id="44"/>
            <w:bookmarkStart w:id="45" w:name="_26"/>
            <w:bookmarkEnd w:id="45"/>
            <w:r>
              <w:rPr>
                <w:rFonts w:hint="eastAsia" w:asciiTheme="minorEastAsia" w:hAnsiTheme="minorEastAsia" w:eastAsiaTheme="minorEastAsia" w:cstheme="minorEastAsia"/>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ign w:val="center"/>
          </w:tcPr>
          <w:p w14:paraId="50E466B5">
            <w:pPr>
              <w:autoSpaceDE w:val="0"/>
              <w:autoSpaceDN w:val="0"/>
              <w:snapToGrid w:val="0"/>
              <w:spacing w:line="380" w:lineRule="exact"/>
              <w:textAlignment w:val="bottom"/>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综合评分法</w:t>
            </w:r>
          </w:p>
        </w:tc>
      </w:tr>
      <w:tr w14:paraId="020B7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bottom w:val="nil"/>
              <w:right w:val="single" w:color="auto" w:sz="4" w:space="0"/>
            </w:tcBorders>
            <w:noWrap/>
            <w:vAlign w:val="center"/>
          </w:tcPr>
          <w:p w14:paraId="56996C2C">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29.2</w:t>
            </w:r>
          </w:p>
        </w:tc>
        <w:tc>
          <w:tcPr>
            <w:tcW w:w="2268" w:type="dxa"/>
            <w:tcBorders>
              <w:top w:val="single" w:color="auto" w:sz="4" w:space="0"/>
              <w:left w:val="single" w:color="auto" w:sz="4" w:space="0"/>
              <w:bottom w:val="nil"/>
              <w:right w:val="single" w:color="auto" w:sz="4" w:space="0"/>
            </w:tcBorders>
            <w:noWrap/>
            <w:vAlign w:val="center"/>
          </w:tcPr>
          <w:p w14:paraId="575E4B78">
            <w:pPr>
              <w:spacing w:line="380" w:lineRule="exact"/>
              <w:rPr>
                <w:rFonts w:asciiTheme="minorEastAsia" w:hAnsiTheme="minorEastAsia" w:eastAsiaTheme="minorEastAsia" w:cstheme="minorEastAsia"/>
                <w:color w:val="auto"/>
                <w:szCs w:val="21"/>
                <w:highlight w:val="none"/>
              </w:rPr>
            </w:pPr>
            <w:bookmarkStart w:id="46" w:name="_29.2.2（2）"/>
            <w:bookmarkEnd w:id="46"/>
            <w:r>
              <w:rPr>
                <w:rFonts w:hint="eastAsia" w:asciiTheme="minorEastAsia" w:hAnsiTheme="minorEastAsia" w:eastAsiaTheme="minorEastAsia" w:cstheme="minorEastAsia"/>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noWrap/>
            <w:vAlign w:val="center"/>
          </w:tcPr>
          <w:p w14:paraId="6F2D04A5">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商务条款评审中允许负偏离的条款数为</w:t>
            </w:r>
            <w:r>
              <w:rPr>
                <w:rFonts w:hint="eastAsia" w:asciiTheme="minorEastAsia" w:hAnsiTheme="minorEastAsia" w:eastAsiaTheme="minorEastAsia" w:cstheme="minorEastAsia"/>
                <w:color w:val="auto"/>
                <w:szCs w:val="21"/>
                <w:highlight w:val="none"/>
                <w:u w:val="single"/>
              </w:rPr>
              <w:t xml:space="preserve"> 0</w:t>
            </w:r>
            <w:r>
              <w:rPr>
                <w:rFonts w:hint="eastAsia" w:asciiTheme="minorEastAsia" w:hAnsiTheme="minorEastAsia" w:eastAsiaTheme="minorEastAsia" w:cstheme="minorEastAsia"/>
                <w:color w:val="auto"/>
                <w:szCs w:val="21"/>
                <w:highlight w:val="none"/>
              </w:rPr>
              <w:t>项。</w:t>
            </w:r>
          </w:p>
          <w:p w14:paraId="3CB0B923">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技术需求评审中允许负偏离的条款数为</w:t>
            </w:r>
            <w:r>
              <w:rPr>
                <w:rFonts w:hint="eastAsia" w:asciiTheme="minorEastAsia" w:hAnsiTheme="minorEastAsia" w:eastAsiaTheme="minorEastAsia" w:cstheme="minorEastAsia"/>
                <w:color w:val="auto"/>
                <w:szCs w:val="21"/>
                <w:highlight w:val="none"/>
                <w:u w:val="single"/>
              </w:rPr>
              <w:t xml:space="preserve"> 0</w:t>
            </w:r>
            <w:r>
              <w:rPr>
                <w:rFonts w:hint="eastAsia" w:asciiTheme="minorEastAsia" w:hAnsiTheme="minorEastAsia" w:eastAsiaTheme="minorEastAsia" w:cstheme="minorEastAsia"/>
                <w:color w:val="auto"/>
                <w:szCs w:val="21"/>
                <w:highlight w:val="none"/>
              </w:rPr>
              <w:t>项。</w:t>
            </w:r>
          </w:p>
        </w:tc>
      </w:tr>
      <w:tr w14:paraId="7F28B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297100EE">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ign w:val="center"/>
          </w:tcPr>
          <w:p w14:paraId="6B7DA8AD">
            <w:pPr>
              <w:autoSpaceDE w:val="0"/>
              <w:autoSpaceDN w:val="0"/>
              <w:snapToGrid w:val="0"/>
              <w:spacing w:line="380" w:lineRule="exact"/>
              <w:textAlignment w:val="bottom"/>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ign w:val="center"/>
          </w:tcPr>
          <w:p w14:paraId="52FE1E4A">
            <w:pPr>
              <w:autoSpaceDE w:val="0"/>
              <w:autoSpaceDN w:val="0"/>
              <w:snapToGrid w:val="0"/>
              <w:spacing w:line="380" w:lineRule="exact"/>
              <w:textAlignment w:val="bottom"/>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70F20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4645BBA">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ign w:val="center"/>
          </w:tcPr>
          <w:p w14:paraId="651E3336">
            <w:pPr>
              <w:spacing w:line="380" w:lineRule="exact"/>
              <w:rPr>
                <w:rFonts w:asciiTheme="minorEastAsia" w:hAnsiTheme="minorEastAsia" w:eastAsiaTheme="minorEastAsia" w:cstheme="minorEastAsia"/>
                <w:color w:val="auto"/>
                <w:szCs w:val="21"/>
                <w:highlight w:val="none"/>
              </w:rPr>
            </w:pPr>
            <w:bookmarkStart w:id="47" w:name="_39.1"/>
            <w:bookmarkEnd w:id="47"/>
            <w:r>
              <w:rPr>
                <w:rFonts w:hint="eastAsia" w:asciiTheme="minorEastAsia" w:hAnsiTheme="minorEastAsia" w:eastAsiaTheme="minorEastAsia" w:cstheme="minorEastAsia"/>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ign w:val="bottom"/>
          </w:tcPr>
          <w:p w14:paraId="481E6256">
            <w:pPr>
              <w:autoSpaceDE w:val="0"/>
              <w:autoSpaceDN w:val="0"/>
              <w:snapToGrid w:val="0"/>
              <w:spacing w:line="380" w:lineRule="exact"/>
              <w:jc w:val="left"/>
              <w:textAlignment w:val="bottom"/>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本项目不收取履约保证金。</w:t>
            </w:r>
          </w:p>
        </w:tc>
      </w:tr>
      <w:tr w14:paraId="1EB35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30CC1729">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ign w:val="center"/>
          </w:tcPr>
          <w:p w14:paraId="6FAF7232">
            <w:pPr>
              <w:spacing w:line="380" w:lineRule="exact"/>
              <w:rPr>
                <w:rFonts w:asciiTheme="minorEastAsia" w:hAnsiTheme="minorEastAsia" w:eastAsiaTheme="minorEastAsia" w:cstheme="minorEastAsia"/>
                <w:color w:val="auto"/>
                <w:szCs w:val="21"/>
                <w:highlight w:val="none"/>
              </w:rPr>
            </w:pPr>
            <w:bookmarkStart w:id="48" w:name="_40.1"/>
            <w:bookmarkEnd w:id="48"/>
            <w:r>
              <w:rPr>
                <w:rFonts w:hint="eastAsia" w:asciiTheme="minorEastAsia" w:hAnsiTheme="minorEastAsia" w:eastAsiaTheme="minorEastAsia" w:cstheme="minorEastAsia"/>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noWrap/>
            <w:vAlign w:val="center"/>
          </w:tcPr>
          <w:p w14:paraId="56B62E62">
            <w:pPr>
              <w:autoSpaceDE w:val="0"/>
              <w:autoSpaceDN w:val="0"/>
              <w:snapToGrid w:val="0"/>
              <w:spacing w:line="380" w:lineRule="exact"/>
              <w:textAlignment w:val="bottom"/>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电子采购合同需要供应商通过有效CA证书进行电子签署</w:t>
            </w:r>
          </w:p>
        </w:tc>
      </w:tr>
      <w:tr w14:paraId="0FAD8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4C9D61F1">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ign w:val="center"/>
          </w:tcPr>
          <w:p w14:paraId="4C4EE882">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0CB0CBB4">
            <w:pPr>
              <w:snapToGrid w:val="0"/>
              <w:spacing w:line="380" w:lineRule="exact"/>
              <w:rPr>
                <w:rFonts w:asciiTheme="minorEastAsia" w:hAnsiTheme="minorEastAsia" w:eastAsiaTheme="minorEastAsia" w:cstheme="minorEastAsia"/>
                <w:color w:val="auto"/>
                <w:szCs w:val="21"/>
                <w:highlight w:val="none"/>
              </w:rPr>
            </w:pPr>
            <w:r>
              <w:rPr>
                <w:rFonts w:hint="eastAsia" w:ascii="宋体" w:hAnsi="宋体"/>
                <w:color w:val="auto"/>
                <w:szCs w:val="21"/>
                <w:highlight w:val="none"/>
              </w:rPr>
              <w:t>提交纸质书面材料或通过广西政府采购云平台系统（上传扫描件）提出</w:t>
            </w:r>
          </w:p>
        </w:tc>
      </w:tr>
      <w:tr w14:paraId="0257E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713A4C42">
            <w:pPr>
              <w:widowControl/>
              <w:jc w:val="left"/>
              <w:rPr>
                <w:rFonts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467C34F0">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5E675849">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（1）</w:t>
            </w:r>
            <w:bookmarkStart w:id="49" w:name="PO_3000001866_PM031_3"/>
            <w:r>
              <w:rPr>
                <w:rFonts w:hint="eastAsia" w:asciiTheme="minorEastAsia" w:hAnsiTheme="minorEastAsia" w:eastAsiaTheme="minorEastAsia" w:cstheme="minorEastAsia"/>
                <w:color w:val="auto"/>
                <w:szCs w:val="21"/>
                <w:highlight w:val="none"/>
                <w:u w:val="single"/>
              </w:rPr>
              <w:t>广西建设工程机电设备招标中心有限公司</w:t>
            </w:r>
            <w:bookmarkEnd w:id="49"/>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部门；</w:t>
            </w:r>
          </w:p>
          <w:p w14:paraId="3E4F7ACB">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w:t>
            </w:r>
            <w:bookmarkStart w:id="50" w:name="PO_3000001866_PM033_1"/>
            <w:r>
              <w:rPr>
                <w:rFonts w:hint="eastAsia" w:asciiTheme="minorEastAsia" w:hAnsiTheme="minorEastAsia" w:eastAsiaTheme="minorEastAsia" w:cstheme="minorEastAsia"/>
                <w:color w:val="auto"/>
                <w:szCs w:val="21"/>
                <w:highlight w:val="none"/>
              </w:rPr>
              <w:t>0771-2869912</w:t>
            </w:r>
            <w:bookmarkEnd w:id="50"/>
            <w:r>
              <w:rPr>
                <w:rFonts w:hint="eastAsia" w:asciiTheme="minorEastAsia" w:hAnsiTheme="minorEastAsia" w:eastAsiaTheme="minorEastAsia" w:cstheme="minorEastAsia"/>
                <w:color w:val="auto"/>
                <w:szCs w:val="21"/>
                <w:highlight w:val="none"/>
              </w:rPr>
              <w:t>，</w:t>
            </w:r>
          </w:p>
          <w:p w14:paraId="528FA9E2">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通讯地址：南宁市青秀区枫林路18号广西国控集团（枫林路办公区）裙楼三层</w:t>
            </w:r>
          </w:p>
          <w:p w14:paraId="64D07503">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（2）</w:t>
            </w:r>
            <w:bookmarkStart w:id="51" w:name="PO_3000001866_PM026_2"/>
            <w:r>
              <w:rPr>
                <w:rFonts w:hint="eastAsia" w:asciiTheme="minorEastAsia" w:hAnsiTheme="minorEastAsia" w:eastAsiaTheme="minorEastAsia" w:cstheme="minorEastAsia"/>
                <w:color w:val="auto"/>
                <w:szCs w:val="21"/>
                <w:highlight w:val="none"/>
                <w:u w:val="single"/>
              </w:rPr>
              <w:t>南宁市固定资产投资项目前期服务中心</w:t>
            </w:r>
            <w:bookmarkEnd w:id="51"/>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部门；</w:t>
            </w:r>
          </w:p>
          <w:p w14:paraId="06A5815E">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w:t>
            </w:r>
            <w:bookmarkStart w:id="52" w:name="PO_3000001866_PM028_1"/>
            <w:r>
              <w:rPr>
                <w:rFonts w:hint="eastAsia" w:asciiTheme="minorEastAsia" w:hAnsiTheme="minorEastAsia" w:eastAsiaTheme="minorEastAsia" w:cstheme="minorEastAsia"/>
                <w:color w:val="auto"/>
                <w:szCs w:val="21"/>
                <w:highlight w:val="none"/>
              </w:rPr>
              <w:t>0771-5773108</w:t>
            </w:r>
            <w:bookmarkEnd w:id="52"/>
            <w:r>
              <w:rPr>
                <w:rFonts w:hint="eastAsia" w:asciiTheme="minorEastAsia" w:hAnsiTheme="minorEastAsia" w:eastAsiaTheme="minorEastAsia" w:cstheme="minorEastAsia"/>
                <w:color w:val="auto"/>
                <w:szCs w:val="21"/>
                <w:highlight w:val="none"/>
              </w:rPr>
              <w:t>，</w:t>
            </w:r>
          </w:p>
          <w:p w14:paraId="163BC648">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通讯地址：</w:t>
            </w:r>
            <w:bookmarkStart w:id="53" w:name="PO_3000001866_PM030_2"/>
            <w:r>
              <w:rPr>
                <w:rFonts w:hint="eastAsia" w:asciiTheme="minorEastAsia" w:hAnsiTheme="minorEastAsia" w:eastAsiaTheme="minorEastAsia" w:cstheme="minorEastAsia"/>
                <w:color w:val="auto"/>
                <w:szCs w:val="21"/>
                <w:highlight w:val="none"/>
                <w:u w:val="single"/>
              </w:rPr>
              <w:t>南宁市桂春路南一里1号</w:t>
            </w:r>
            <w:bookmarkEnd w:id="53"/>
            <w:r>
              <w:rPr>
                <w:rFonts w:hint="eastAsia" w:asciiTheme="minorEastAsia" w:hAnsiTheme="minorEastAsia" w:eastAsiaTheme="minorEastAsia" w:cstheme="minorEastAsia"/>
                <w:color w:val="auto"/>
                <w:szCs w:val="21"/>
                <w:highlight w:val="none"/>
              </w:rPr>
              <w:t xml:space="preserve"> </w:t>
            </w:r>
          </w:p>
        </w:tc>
      </w:tr>
      <w:tr w14:paraId="25AFF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568CD4D7">
            <w:pPr>
              <w:widowControl/>
              <w:jc w:val="left"/>
              <w:rPr>
                <w:rFonts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10EE410A">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ign w:val="center"/>
          </w:tcPr>
          <w:p w14:paraId="39B2A0A7">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质疑期内每个工作日</w:t>
            </w:r>
            <w:r>
              <w:rPr>
                <w:rFonts w:hint="eastAsia" w:asciiTheme="minorEastAsia" w:hAnsiTheme="minorEastAsia" w:eastAsiaTheme="minorEastAsia" w:cstheme="minorEastAsia"/>
                <w:color w:val="auto"/>
                <w:highlight w:val="none"/>
                <w:u w:val="single"/>
              </w:rPr>
              <w:t xml:space="preserve"> 8  </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u w:val="single"/>
              </w:rPr>
              <w:t xml:space="preserve"> 30 </w:t>
            </w:r>
            <w:r>
              <w:rPr>
                <w:rFonts w:hint="eastAsia" w:asciiTheme="minorEastAsia" w:hAnsiTheme="minorEastAsia" w:eastAsiaTheme="minorEastAsia" w:cstheme="minorEastAsia"/>
                <w:color w:val="auto"/>
                <w:highlight w:val="none"/>
              </w:rPr>
              <w:t>分到</w:t>
            </w:r>
            <w:r>
              <w:rPr>
                <w:rFonts w:hint="eastAsia" w:asciiTheme="minorEastAsia" w:hAnsiTheme="minorEastAsia" w:eastAsiaTheme="minorEastAsia" w:cstheme="minorEastAsia"/>
                <w:color w:val="auto"/>
                <w:highlight w:val="none"/>
                <w:u w:val="single"/>
              </w:rPr>
              <w:t xml:space="preserve"> 12  </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u w:val="single"/>
              </w:rPr>
              <w:t xml:space="preserve"> 00  </w:t>
            </w:r>
            <w:r>
              <w:rPr>
                <w:rFonts w:hint="eastAsia"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highlight w:val="none"/>
                <w:u w:val="single"/>
              </w:rPr>
              <w:t xml:space="preserve"> 14 </w:t>
            </w:r>
            <w:r>
              <w:rPr>
                <w:rFonts w:hint="eastAsia" w:asciiTheme="minorEastAsia" w:hAnsiTheme="minorEastAsia" w:eastAsiaTheme="minorEastAsia" w:cstheme="minorEastAsia"/>
                <w:color w:val="auto"/>
                <w:highlight w:val="none"/>
              </w:rPr>
              <w:t>时</w:t>
            </w:r>
            <w:r>
              <w:rPr>
                <w:rFonts w:hint="eastAsia" w:asciiTheme="minorEastAsia" w:hAnsiTheme="minorEastAsia" w:eastAsiaTheme="minorEastAsia" w:cstheme="minorEastAsia"/>
                <w:color w:val="auto"/>
                <w:highlight w:val="none"/>
                <w:u w:val="single"/>
              </w:rPr>
              <w:t xml:space="preserve"> 30 </w:t>
            </w:r>
            <w:r>
              <w:rPr>
                <w:rFonts w:hint="eastAsia" w:asciiTheme="minorEastAsia" w:hAnsiTheme="minorEastAsia" w:eastAsiaTheme="minorEastAsia" w:cstheme="minorEastAsia"/>
                <w:color w:val="auto"/>
                <w:highlight w:val="none"/>
              </w:rPr>
              <w:t>分到</w:t>
            </w:r>
            <w:r>
              <w:rPr>
                <w:rFonts w:hint="eastAsia" w:asciiTheme="minorEastAsia" w:hAnsiTheme="minorEastAsia" w:eastAsiaTheme="minorEastAsia" w:cstheme="minorEastAsia"/>
                <w:color w:val="auto"/>
                <w:highlight w:val="none"/>
                <w:u w:val="single"/>
              </w:rPr>
              <w:t xml:space="preserve"> 18 </w:t>
            </w:r>
            <w:r>
              <w:rPr>
                <w:rFonts w:hint="eastAsia" w:asciiTheme="minorEastAsia" w:hAnsiTheme="minorEastAsia" w:eastAsiaTheme="minorEastAsia" w:cstheme="minorEastAsia"/>
                <w:color w:val="auto"/>
                <w:highlight w:val="none"/>
              </w:rPr>
              <w:t>时00分</w:t>
            </w:r>
          </w:p>
        </w:tc>
      </w:tr>
      <w:tr w14:paraId="1E880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noWrap/>
            <w:vAlign w:val="center"/>
          </w:tcPr>
          <w:p w14:paraId="5D27A565">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ign w:val="center"/>
          </w:tcPr>
          <w:p w14:paraId="7CA788CE">
            <w:pPr>
              <w:spacing w:line="38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397744FD">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1、受理方式：纸质方式受理，投诉书正、副本（经过质疑的事项才可投诉）。</w:t>
            </w:r>
          </w:p>
          <w:p w14:paraId="210DE59E">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2、邮寄地址：</w:t>
            </w:r>
          </w:p>
          <w:p w14:paraId="53EA717A">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名称：</w:t>
            </w:r>
            <w:bookmarkStart w:id="54" w:name="PO_3000001866_PM036"/>
            <w:r>
              <w:rPr>
                <w:rFonts w:hint="eastAsia" w:asciiTheme="minorEastAsia" w:hAnsiTheme="minorEastAsia" w:eastAsiaTheme="minorEastAsia" w:cstheme="minorEastAsia"/>
                <w:color w:val="auto"/>
                <w:highlight w:val="none"/>
              </w:rPr>
              <w:t>南宁市财政局政府采购监督管理科</w:t>
            </w:r>
            <w:bookmarkEnd w:id="54"/>
          </w:p>
          <w:p w14:paraId="15261C1F">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地址：南宁市青秀区东葛路129号 </w:t>
            </w:r>
            <w:bookmarkStart w:id="55" w:name="PO_3000001866_PM039"/>
            <w:r>
              <w:rPr>
                <w:rFonts w:hint="eastAsia" w:asciiTheme="minorEastAsia" w:hAnsiTheme="minorEastAsia" w:eastAsiaTheme="minorEastAsia" w:cstheme="minorEastAsia"/>
                <w:color w:val="auto"/>
                <w:highlight w:val="none"/>
              </w:rPr>
              <w:t xml:space="preserve"> </w:t>
            </w:r>
            <w:bookmarkEnd w:id="55"/>
          </w:p>
          <w:p w14:paraId="7DCCD43A">
            <w:pPr>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w:t>
            </w:r>
            <w:bookmarkStart w:id="56" w:name="PO_3000001866_PM038_1"/>
            <w:r>
              <w:rPr>
                <w:rFonts w:hint="eastAsia" w:asciiTheme="minorEastAsia" w:hAnsiTheme="minorEastAsia" w:eastAsiaTheme="minorEastAsia" w:cstheme="minorEastAsia"/>
                <w:color w:val="auto"/>
                <w:highlight w:val="none"/>
              </w:rPr>
              <w:t>0771-2189091</w:t>
            </w:r>
            <w:bookmarkEnd w:id="56"/>
          </w:p>
        </w:tc>
      </w:tr>
      <w:tr w14:paraId="683C7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0D90F222">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ign w:val="center"/>
          </w:tcPr>
          <w:p w14:paraId="35CC50C8">
            <w:pPr>
              <w:spacing w:line="380" w:lineRule="exact"/>
              <w:rPr>
                <w:rFonts w:asciiTheme="minorEastAsia" w:hAnsiTheme="minorEastAsia" w:eastAsiaTheme="minorEastAsia" w:cstheme="minorEastAsia"/>
                <w:color w:val="auto"/>
                <w:szCs w:val="21"/>
                <w:highlight w:val="none"/>
              </w:rPr>
            </w:pPr>
            <w:bookmarkStart w:id="57" w:name="_41"/>
            <w:bookmarkEnd w:id="57"/>
            <w:bookmarkStart w:id="58" w:name="_42"/>
            <w:bookmarkEnd w:id="58"/>
            <w:r>
              <w:rPr>
                <w:rFonts w:hint="eastAsia" w:asciiTheme="minorEastAsia" w:hAnsiTheme="minorEastAsia" w:eastAsiaTheme="minorEastAsia" w:cstheme="minorEastAsia"/>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2294CA12">
            <w:pPr>
              <w:pStyle w:val="12"/>
              <w:snapToGrid w:val="0"/>
              <w:spacing w:line="38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本项目代理服务费由</w:t>
            </w:r>
            <w:r>
              <w:rPr>
                <w:rFonts w:hint="eastAsia" w:asciiTheme="minorEastAsia" w:hAnsiTheme="minorEastAsia" w:eastAsiaTheme="minorEastAsia" w:cstheme="minorEastAsia"/>
                <w:color w:val="auto"/>
                <w:highlight w:val="none"/>
                <w:u w:val="single"/>
              </w:rPr>
              <w:t>中标人</w:t>
            </w:r>
            <w:r>
              <w:rPr>
                <w:rFonts w:hint="eastAsia" w:asciiTheme="minorEastAsia" w:hAnsiTheme="minorEastAsia" w:eastAsiaTheme="minorEastAsia" w:cstheme="minorEastAsia"/>
                <w:color w:val="auto"/>
                <w:highlight w:val="none"/>
              </w:rPr>
              <w:t>在领取中标通知书前，一次性向采购代理机构支付。</w:t>
            </w:r>
          </w:p>
        </w:tc>
      </w:tr>
      <w:tr w14:paraId="0C7F5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078785B7">
            <w:pPr>
              <w:widowControl/>
              <w:jc w:val="left"/>
              <w:rPr>
                <w:rFonts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79668B8D">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ign w:val="center"/>
          </w:tcPr>
          <w:p w14:paraId="2447EF80">
            <w:pPr>
              <w:pStyle w:val="12"/>
              <w:snapToGrid w:val="0"/>
              <w:spacing w:line="380" w:lineRule="exact"/>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包干价9300.00元</w:t>
            </w:r>
          </w:p>
        </w:tc>
      </w:tr>
      <w:tr w14:paraId="2B443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5961DC24">
            <w:pPr>
              <w:widowControl/>
              <w:jc w:val="left"/>
              <w:rPr>
                <w:rFonts w:asciiTheme="minorEastAsia" w:hAnsiTheme="minorEastAsia" w:eastAsiaTheme="minorEastAsia" w:cstheme="minorEastAsia"/>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59DD0FA4">
            <w:pPr>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ign w:val="center"/>
          </w:tcPr>
          <w:p w14:paraId="7AE1745B">
            <w:pPr>
              <w:pStyle w:val="12"/>
              <w:shd w:val="clear" w:color="auto" w:fill="FFFFFF"/>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开户名称：广西建设工程机电设备招标中心有限公司 </w:t>
            </w:r>
          </w:p>
          <w:p w14:paraId="5C29EE98">
            <w:pPr>
              <w:pStyle w:val="12"/>
              <w:shd w:val="clear" w:color="auto" w:fill="FFFFFF"/>
              <w:snapToGrid w:val="0"/>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开户银行：招商银行南宁分行营业部</w:t>
            </w:r>
          </w:p>
          <w:p w14:paraId="61140D21">
            <w:pPr>
              <w:pStyle w:val="12"/>
              <w:snapToGrid w:val="0"/>
              <w:spacing w:line="38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银行账号：7719 0142 3310 201 </w:t>
            </w:r>
          </w:p>
        </w:tc>
      </w:tr>
      <w:tr w14:paraId="05CC1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0C4A8F94">
            <w:pPr>
              <w:snapToGrid w:val="0"/>
              <w:spacing w:line="38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ign w:val="center"/>
          </w:tcPr>
          <w:p w14:paraId="0B2B201D">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ign w:val="center"/>
          </w:tcPr>
          <w:p w14:paraId="2C4499C3">
            <w:pPr>
              <w:snapToGrid w:val="0"/>
              <w:spacing w:line="38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解释权：</w:t>
            </w:r>
            <w:r>
              <w:rPr>
                <w:rFonts w:hint="eastAsia" w:asciiTheme="minorEastAsia" w:hAnsiTheme="minorEastAsia" w:eastAsiaTheme="minorEastAsia" w:cstheme="minorEastAsia"/>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Theme="minorEastAsia" w:hAnsiTheme="minorEastAsia" w:eastAsiaTheme="minorEastAsia" w:cstheme="minorEastAsia"/>
                <w:b/>
                <w:color w:val="auto"/>
                <w:szCs w:val="21"/>
                <w:highlight w:val="none"/>
              </w:rPr>
              <w:t>，由采购人或者采购代理机构负责解释。</w:t>
            </w:r>
          </w:p>
          <w:p w14:paraId="15DDBC01">
            <w:pPr>
              <w:snapToGrid w:val="0"/>
              <w:spacing w:line="38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法律责任：</w:t>
            </w:r>
          </w:p>
          <w:p w14:paraId="250857E2">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47D8F00F">
            <w:pPr>
              <w:spacing w:line="38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1"/>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2FF7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ign w:val="center"/>
          </w:tcPr>
          <w:p w14:paraId="215FF904">
            <w:pPr>
              <w:snapToGrid w:val="0"/>
              <w:spacing w:line="38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ign w:val="center"/>
          </w:tcPr>
          <w:p w14:paraId="6FE8C1FA">
            <w:pPr>
              <w:snapToGrid w:val="0"/>
              <w:spacing w:line="38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ign w:val="center"/>
          </w:tcPr>
          <w:p w14:paraId="2F3AB228">
            <w:pP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63B88715">
            <w:pPr>
              <w:pStyle w:val="12"/>
              <w:snapToGrid w:val="0"/>
              <w:spacing w:line="3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0BCA81E">
            <w:pP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私章、签字章、印鉴、影印等其他形式均不能代替亲笔签字。</w:t>
            </w:r>
          </w:p>
          <w:p w14:paraId="7785F38F">
            <w:pPr>
              <w:pStyle w:val="12"/>
              <w:snapToGrid w:val="0"/>
              <w:spacing w:line="3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4.自然人投标的，招标文件规定盖公章处由自然人摁手指指印。</w:t>
            </w:r>
          </w:p>
          <w:p w14:paraId="20B86F81">
            <w:pPr>
              <w:spacing w:line="380" w:lineRule="exact"/>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5.本招标文件所称的“以上”“以下”“以内”“届满”，包括本数；所称的“不满”“超过”“以外”，不包括本数。</w:t>
            </w:r>
          </w:p>
        </w:tc>
      </w:tr>
    </w:tbl>
    <w:p w14:paraId="2498890D">
      <w:pPr>
        <w:widowControl/>
        <w:spacing w:line="412" w:lineRule="auto"/>
        <w:jc w:val="left"/>
        <w:rPr>
          <w:rFonts w:asciiTheme="minorEastAsia" w:hAnsiTheme="minorEastAsia" w:eastAsiaTheme="minorEastAsia" w:cstheme="minorEastAsia"/>
          <w:b/>
          <w:bCs/>
          <w:color w:val="auto"/>
          <w:sz w:val="32"/>
          <w:szCs w:val="32"/>
          <w:highlight w:val="none"/>
        </w:rPr>
        <w:sectPr>
          <w:pgSz w:w="11906" w:h="16838"/>
          <w:pgMar w:top="1134" w:right="1134" w:bottom="1134" w:left="1134" w:header="720" w:footer="720" w:gutter="0"/>
          <w:cols w:space="720" w:num="1"/>
          <w:docGrid w:type="lines" w:linePitch="331" w:charSpace="0"/>
        </w:sectPr>
      </w:pPr>
    </w:p>
    <w:p w14:paraId="2971E62B">
      <w:pPr>
        <w:pStyle w:val="2"/>
        <w:jc w:val="center"/>
        <w:rPr>
          <w:rFonts w:asciiTheme="minorEastAsia" w:hAnsiTheme="minorEastAsia" w:eastAsiaTheme="minorEastAsia" w:cstheme="minorEastAsia"/>
          <w:color w:val="auto"/>
          <w:highlight w:val="none"/>
        </w:rPr>
      </w:pPr>
      <w:bookmarkStart w:id="59" w:name="_Toc26256"/>
      <w:r>
        <w:rPr>
          <w:rFonts w:hint="eastAsia" w:asciiTheme="minorEastAsia" w:hAnsiTheme="minorEastAsia" w:eastAsiaTheme="minorEastAsia" w:cstheme="minorEastAsia"/>
          <w:color w:val="auto"/>
          <w:highlight w:val="none"/>
        </w:rPr>
        <w:t>须知正文</w:t>
      </w:r>
      <w:bookmarkEnd w:id="59"/>
    </w:p>
    <w:p w14:paraId="00002EB9">
      <w:pPr>
        <w:pStyle w:val="3"/>
        <w:keepNext w:val="0"/>
        <w:keepLines w:val="0"/>
        <w:spacing w:line="400" w:lineRule="exact"/>
        <w:jc w:val="center"/>
        <w:rPr>
          <w:rFonts w:asciiTheme="minorEastAsia" w:hAnsiTheme="minorEastAsia" w:eastAsiaTheme="minorEastAsia" w:cstheme="minorEastAsia"/>
          <w:color w:val="auto"/>
          <w:highlight w:val="none"/>
        </w:rPr>
      </w:pPr>
      <w:bookmarkStart w:id="60" w:name="_Toc5147"/>
      <w:bookmarkStart w:id="61" w:name="_Toc24326"/>
      <w:r>
        <w:rPr>
          <w:rFonts w:hint="eastAsia" w:asciiTheme="minorEastAsia" w:hAnsiTheme="minorEastAsia" w:eastAsiaTheme="minorEastAsia" w:cstheme="minorEastAsia"/>
          <w:color w:val="auto"/>
          <w:highlight w:val="none"/>
        </w:rPr>
        <w:t>一、总  则</w:t>
      </w:r>
      <w:bookmarkEnd w:id="60"/>
      <w:bookmarkEnd w:id="61"/>
    </w:p>
    <w:p w14:paraId="1714D091">
      <w:pPr>
        <w:spacing w:line="360" w:lineRule="auto"/>
        <w:ind w:firstLine="480" w:firstLineChars="200"/>
        <w:rPr>
          <w:rFonts w:asciiTheme="minorEastAsia" w:hAnsiTheme="minorEastAsia" w:eastAsiaTheme="minorEastAsia" w:cstheme="minorEastAsia"/>
          <w:color w:val="auto"/>
          <w:sz w:val="24"/>
          <w:highlight w:val="none"/>
        </w:rPr>
      </w:pPr>
      <w:bookmarkStart w:id="62" w:name="_Toc254970527"/>
      <w:bookmarkStart w:id="63" w:name="_Toc254970668"/>
      <w:r>
        <w:rPr>
          <w:rFonts w:hint="eastAsia" w:asciiTheme="minorEastAsia" w:hAnsiTheme="minorEastAsia" w:eastAsiaTheme="minorEastAsia" w:cstheme="minorEastAsia"/>
          <w:color w:val="auto"/>
          <w:sz w:val="24"/>
          <w:highlight w:val="none"/>
        </w:rPr>
        <w:t>1.适用范围</w:t>
      </w:r>
      <w:bookmarkEnd w:id="62"/>
      <w:bookmarkEnd w:id="63"/>
    </w:p>
    <w:p w14:paraId="7BCB501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B085E6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1.2本招标文件</w:t>
      </w:r>
      <w:r>
        <w:rPr>
          <w:rFonts w:hint="eastAsia" w:asciiTheme="minorEastAsia" w:hAnsiTheme="minorEastAsia" w:eastAsiaTheme="minorEastAsia" w:cstheme="minorEastAsia"/>
          <w:color w:val="auto"/>
          <w:spacing w:val="-6"/>
          <w:szCs w:val="21"/>
          <w:highlight w:val="none"/>
        </w:rPr>
        <w:t>适用于本项目的所有采购程序和环节（法律、法规另有规定的，从其规定）。</w:t>
      </w:r>
    </w:p>
    <w:p w14:paraId="7C98D155">
      <w:pPr>
        <w:spacing w:line="360" w:lineRule="auto"/>
        <w:ind w:firstLine="480" w:firstLineChars="200"/>
        <w:rPr>
          <w:rFonts w:asciiTheme="minorEastAsia" w:hAnsiTheme="minorEastAsia" w:eastAsiaTheme="minorEastAsia" w:cstheme="minorEastAsia"/>
          <w:color w:val="auto"/>
          <w:sz w:val="24"/>
          <w:highlight w:val="none"/>
        </w:rPr>
      </w:pPr>
      <w:bookmarkStart w:id="64" w:name="_Toc254970528"/>
      <w:bookmarkStart w:id="65" w:name="_Toc254970669"/>
      <w:r>
        <w:rPr>
          <w:rFonts w:hint="eastAsia" w:asciiTheme="minorEastAsia" w:hAnsiTheme="minorEastAsia" w:eastAsiaTheme="minorEastAsia" w:cstheme="minorEastAsia"/>
          <w:color w:val="auto"/>
          <w:sz w:val="24"/>
          <w:highlight w:val="none"/>
        </w:rPr>
        <w:t>2.定义</w:t>
      </w:r>
      <w:bookmarkEnd w:id="64"/>
      <w:bookmarkEnd w:id="65"/>
    </w:p>
    <w:p w14:paraId="6B8182B9">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2.1“采购人”是指依法进行政府采购的国家机关、事业单位、团体组织。</w:t>
      </w:r>
    </w:p>
    <w:p w14:paraId="2A8459B1">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2.2“采购代理机构” 指政府采购集中采购机构和集中采购机构以外的采购代理机构。</w:t>
      </w:r>
    </w:p>
    <w:p w14:paraId="57DE5A95">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2.3“供应商”是指向采购人提供货物、工程或者服务的法人、其他组织或者自然人。</w:t>
      </w:r>
    </w:p>
    <w:p w14:paraId="2AFE26A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2.4“投标人”是指响应招标、参加投标竞争的法人、非法人组织或者自然人。</w:t>
      </w:r>
    </w:p>
    <w:p w14:paraId="35365EF5">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2.5“服务”是指除货物和工程以外的其他政府采购对象。</w:t>
      </w:r>
    </w:p>
    <w:p w14:paraId="43C8F59D">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2.6“书面形式”是指合同书、信件和数据电文（包括电报、电传、传真、短信、电子数据交换和电子邮件）等可以有形地表现所载内容的形式。</w:t>
      </w:r>
    </w:p>
    <w:p w14:paraId="157EC64B">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2.7“实质性要求”是指招标文件中已经指明不满足则投标无效的条款，或者不能负偏离的条款，或者采购需求中带“</w:t>
      </w: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color w:val="auto"/>
          <w:szCs w:val="21"/>
          <w:highlight w:val="none"/>
        </w:rPr>
        <w:t>”的条款。</w:t>
      </w:r>
    </w:p>
    <w:p w14:paraId="4F70CCD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2.8“正偏离”，是指投标文件对招标文件“采购需求”中有关条款作出的响应优于条款要求并有利于采购人的情形。</w:t>
      </w:r>
    </w:p>
    <w:p w14:paraId="09E03B4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2.9“负偏离”，是指投标文件对招标文件“采购需求”中有关条款作出的响应不满足条款要求，导致采购人要求不能得到满足的情形。</w:t>
      </w:r>
    </w:p>
    <w:p w14:paraId="3296CD2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2.10“允许负偏离的条款”是指采购需求中的不属于“实质性要求”的条款。</w:t>
      </w:r>
      <w:bookmarkStart w:id="66" w:name="_Toc254970529"/>
      <w:bookmarkStart w:id="67" w:name="_Toc254970670"/>
    </w:p>
    <w:p w14:paraId="0CF7EBB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bookmarkEnd w:id="66"/>
      <w:bookmarkEnd w:id="67"/>
      <w:r>
        <w:rPr>
          <w:rFonts w:hint="eastAsia" w:asciiTheme="minorEastAsia" w:hAnsiTheme="minorEastAsia" w:eastAsiaTheme="minorEastAsia" w:cstheme="minorEastAsia"/>
          <w:color w:val="auto"/>
          <w:sz w:val="24"/>
          <w:highlight w:val="none"/>
        </w:rPr>
        <w:t>投标人的资格要求</w:t>
      </w:r>
    </w:p>
    <w:p w14:paraId="39EBA83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投标人的资格要求详见“招标公告”。</w:t>
      </w:r>
    </w:p>
    <w:p w14:paraId="218A6F7D">
      <w:pPr>
        <w:spacing w:line="360" w:lineRule="auto"/>
        <w:ind w:firstLine="480" w:firstLineChars="200"/>
        <w:rPr>
          <w:rFonts w:asciiTheme="minorEastAsia" w:hAnsiTheme="minorEastAsia" w:eastAsiaTheme="minorEastAsia" w:cstheme="minorEastAsia"/>
          <w:color w:val="auto"/>
          <w:sz w:val="24"/>
          <w:highlight w:val="none"/>
        </w:rPr>
      </w:pPr>
      <w:bookmarkStart w:id="68" w:name="_Toc254970671"/>
      <w:bookmarkStart w:id="69" w:name="_Toc254970530"/>
      <w:r>
        <w:rPr>
          <w:rFonts w:hint="eastAsia" w:asciiTheme="minorEastAsia" w:hAnsiTheme="minorEastAsia" w:eastAsiaTheme="minorEastAsia" w:cstheme="minorEastAsia"/>
          <w:color w:val="auto"/>
          <w:sz w:val="24"/>
          <w:highlight w:val="none"/>
        </w:rPr>
        <w:t>4.投标委托</w:t>
      </w:r>
      <w:bookmarkEnd w:id="68"/>
      <w:bookmarkEnd w:id="69"/>
    </w:p>
    <w:p w14:paraId="2ABA7B4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72E64E1F">
      <w:pPr>
        <w:spacing w:line="360" w:lineRule="auto"/>
        <w:ind w:firstLine="480" w:firstLineChars="200"/>
        <w:rPr>
          <w:rFonts w:asciiTheme="minorEastAsia" w:hAnsiTheme="minorEastAsia" w:eastAsiaTheme="minorEastAsia" w:cstheme="minorEastAsia"/>
          <w:color w:val="auto"/>
          <w:sz w:val="24"/>
          <w:highlight w:val="none"/>
        </w:rPr>
      </w:pPr>
      <w:bookmarkStart w:id="70" w:name="_5.投标费用"/>
      <w:bookmarkEnd w:id="70"/>
      <w:bookmarkStart w:id="71" w:name="_Toc254970672"/>
      <w:bookmarkStart w:id="72" w:name="_Toc254970531"/>
      <w:r>
        <w:rPr>
          <w:rFonts w:hint="eastAsia" w:asciiTheme="minorEastAsia" w:hAnsiTheme="minorEastAsia" w:eastAsiaTheme="minorEastAsia" w:cstheme="minorEastAsia"/>
          <w:color w:val="auto"/>
          <w:sz w:val="24"/>
          <w:highlight w:val="none"/>
        </w:rPr>
        <w:t>5.投标费用</w:t>
      </w:r>
      <w:bookmarkEnd w:id="71"/>
      <w:bookmarkEnd w:id="72"/>
    </w:p>
    <w:p w14:paraId="1A5B034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投标费用：投标人应承担参与本次采购活动有关的所有费用，包括但不限于勘查现场、编制投标文件、参加澄清说明、签订合同等，不论投标结果如何，均应自行承担。</w:t>
      </w:r>
    </w:p>
    <w:p w14:paraId="437B5E9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6.联合体投标</w:t>
      </w:r>
    </w:p>
    <w:p w14:paraId="20CFF1F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6.1本项目是否接受联合体投标，详见“投标人须知前附表”。</w:t>
      </w:r>
    </w:p>
    <w:p w14:paraId="08E4F148">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6.2如接受联合体投标，联合体投标要求详见“投标人须知前附表”。</w:t>
      </w:r>
    </w:p>
    <w:p w14:paraId="3E387F78">
      <w:pPr>
        <w:spacing w:line="360" w:lineRule="auto"/>
        <w:ind w:firstLine="420" w:firstLineChars="200"/>
        <w:rPr>
          <w:rFonts w:asciiTheme="minorEastAsia" w:hAnsiTheme="minorEastAsia" w:eastAsiaTheme="minorEastAsia" w:cstheme="minorEastAsia"/>
          <w:bCs/>
          <w:color w:val="auto"/>
          <w:sz w:val="24"/>
          <w:szCs w:val="21"/>
          <w:highlight w:val="none"/>
          <w:shd w:val="clear" w:color="auto" w:fill="FFFFFF"/>
        </w:rPr>
      </w:pPr>
      <w:r>
        <w:rPr>
          <w:rFonts w:hint="eastAsia" w:asciiTheme="minorEastAsia" w:hAnsiTheme="minorEastAsia" w:eastAsiaTheme="minorEastAsia" w:cstheme="minorEastAsia"/>
          <w:bCs/>
          <w:color w:val="auto"/>
          <w:szCs w:val="21"/>
          <w:highlight w:val="none"/>
        </w:rPr>
        <w:t>6.3根据《政府采购促进中小企业发展管理办法》（财库[2020]46号）第九条、</w:t>
      </w:r>
      <w:r>
        <w:rPr>
          <w:rFonts w:hint="eastAsia"/>
          <w:color w:val="auto"/>
          <w:highlight w:val="none"/>
        </w:rPr>
        <w:t>《广西壮族自治区财政厅关于持续优化政府采购营商环境推动高质量发展的通知》（桂财采〔2024〕55号）</w:t>
      </w:r>
      <w:r>
        <w:rPr>
          <w:rFonts w:hint="eastAsia" w:asciiTheme="minorEastAsia" w:hAnsiTheme="minorEastAsia" w:eastAsiaTheme="minorEastAsia" w:cstheme="minorEastAsia"/>
          <w:bCs/>
          <w:color w:val="auto"/>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7FE85E88">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7.转包与分包             </w:t>
      </w:r>
    </w:p>
    <w:p w14:paraId="149BEE5D">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7B97DFF">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7.2根据《政府采购促进中小企业发展管理办法》（财库[2020]46号）第九条及</w:t>
      </w:r>
      <w:r>
        <w:rPr>
          <w:rFonts w:hint="eastAsia"/>
          <w:color w:val="auto"/>
          <w:highlight w:val="none"/>
        </w:rPr>
        <w:t>《广西壮族自治区财政厅关于持续优化政府采购营商环境推动高质量发展的通知》（桂财采〔2024〕55号）</w:t>
      </w:r>
      <w:r>
        <w:rPr>
          <w:rFonts w:hint="eastAsia" w:asciiTheme="minorEastAsia" w:hAnsiTheme="minorEastAsia" w:eastAsiaTheme="minorEastAsia" w:cstheme="minorEastAsia"/>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3BB70387">
      <w:pPr>
        <w:spacing w:line="360" w:lineRule="auto"/>
        <w:ind w:firstLine="480" w:firstLineChars="200"/>
        <w:rPr>
          <w:rFonts w:asciiTheme="minorEastAsia" w:hAnsiTheme="minorEastAsia" w:eastAsiaTheme="minorEastAsia" w:cstheme="minorEastAsia"/>
          <w:color w:val="auto"/>
          <w:sz w:val="24"/>
          <w:highlight w:val="none"/>
        </w:rPr>
      </w:pPr>
      <w:bookmarkStart w:id="73" w:name="_Toc254970532"/>
      <w:bookmarkStart w:id="74" w:name="_Toc254970673"/>
      <w:r>
        <w:rPr>
          <w:rFonts w:hint="eastAsia" w:asciiTheme="minorEastAsia" w:hAnsiTheme="minorEastAsia" w:eastAsiaTheme="minorEastAsia" w:cstheme="minorEastAsia"/>
          <w:color w:val="auto"/>
          <w:sz w:val="24"/>
          <w:highlight w:val="none"/>
        </w:rPr>
        <w:t>8.特别说明：</w:t>
      </w:r>
      <w:bookmarkEnd w:id="73"/>
      <w:bookmarkEnd w:id="74"/>
      <w:bookmarkStart w:id="75" w:name="_8.1提供相同品牌产品且通过资格审查、符合性审查的不同投标人参加同一合"/>
      <w:bookmarkEnd w:id="75"/>
    </w:p>
    <w:p w14:paraId="28A80176">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8.1如果本招标文件要求投标人提供资格、信誉、荣誉、业绩与企业认证等材料的，则投标人所提供的以上材料必须为投标人所拥有。</w:t>
      </w:r>
    </w:p>
    <w:p w14:paraId="778273F1">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8.2投标人应仔细阅读招标文件的所有内容，按照招标文件的要求提交投标文件，并对所提供的全部资料的真实性承担法律责任。</w:t>
      </w:r>
    </w:p>
    <w:p w14:paraId="5F79F49E">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044F00D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9.回避与串通投标</w:t>
      </w:r>
    </w:p>
    <w:p w14:paraId="68B339D1">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9.1在政府采购活动中，采购人员及相关人员与供应商有下列利害关系之一的，应当回避：</w:t>
      </w:r>
    </w:p>
    <w:p w14:paraId="3B163F1E">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（1）参加采购活动前3年内与供应商存在劳动关系；</w:t>
      </w:r>
    </w:p>
    <w:p w14:paraId="11B88093">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（2）参加采购活动前3年内担任供应商的董事、监事；</w:t>
      </w:r>
    </w:p>
    <w:p w14:paraId="64FF9B8C">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（3）参加采购活动前3年内是供应商的控股股东或者实际控制人；</w:t>
      </w:r>
    </w:p>
    <w:p w14:paraId="248597C0">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（4）与供应商的法定代表人或者负责人有夫妻、直系血亲、三代以内旁系血亲或者近姻亲关系；</w:t>
      </w:r>
    </w:p>
    <w:p w14:paraId="26D55432">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（5）与供应商有其他可能影响政府采购活动公平、公正进行的关系。</w:t>
      </w:r>
    </w:p>
    <w:p w14:paraId="445F8319">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B70A69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9.2有下列情形之一的视为投标人相互串通投标，投标文件将被视为无效：</w:t>
      </w:r>
    </w:p>
    <w:p w14:paraId="4CFE03DE">
      <w:pPr>
        <w:spacing w:line="360" w:lineRule="auto"/>
        <w:ind w:firstLine="422" w:firstLineChars="20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（1）不同投标人的投标文件由同一单位或者个人编制；或者不同投标人报名的IP地址一致的；或者编制标书硬件设备CPU编号、硬盘编号、网卡地址一致的情况。</w:t>
      </w:r>
    </w:p>
    <w:p w14:paraId="1AB5A763">
      <w:pPr>
        <w:spacing w:line="360" w:lineRule="auto"/>
        <w:ind w:firstLine="422" w:firstLineChars="20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（2）不同投标人委托同一单位或者个人办理投标事宜；</w:t>
      </w:r>
    </w:p>
    <w:p w14:paraId="60571E4B">
      <w:pPr>
        <w:spacing w:line="360" w:lineRule="auto"/>
        <w:ind w:firstLine="422" w:firstLineChars="20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（3）不同的投标人的投标文件载明的项目管理员为同一个人；</w:t>
      </w:r>
    </w:p>
    <w:p w14:paraId="11DDE523">
      <w:pPr>
        <w:spacing w:line="360" w:lineRule="auto"/>
        <w:ind w:firstLine="422" w:firstLineChars="20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（4）不同投标人的电子或纸质投标文件异常一致或者投标报价呈规律性差异；</w:t>
      </w:r>
    </w:p>
    <w:p w14:paraId="04F199EA">
      <w:pPr>
        <w:spacing w:line="360" w:lineRule="auto"/>
        <w:ind w:firstLine="422" w:firstLineChars="20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（5）不同投标人的纸质投标文件相互混装；</w:t>
      </w:r>
    </w:p>
    <w:p w14:paraId="472D2D8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9.3供应商有下列情形之一的，属于恶意串通行为，将报同级监督管理部门：</w:t>
      </w:r>
    </w:p>
    <w:p w14:paraId="0B98C8EB">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（1）供应商直接或者间接从采购人或者采购代理机构处获得其他供应商的相关信息并修改其投标文件或者投标文件；</w:t>
      </w:r>
    </w:p>
    <w:p w14:paraId="20037B41">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（2）供应商按照采购人或者采购代理机构的授意撤换、修改投标文件或者投标文件；</w:t>
      </w:r>
    </w:p>
    <w:p w14:paraId="61A2F8CE">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（3）供应商之间协商报价、技术方案等投标文件或者投标文件的实质性内容；</w:t>
      </w:r>
    </w:p>
    <w:p w14:paraId="570A1C1B">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（4）属于同一集团、协会、商会等组织成员的供应商按照该组织要求协同参加政府采购活动；</w:t>
      </w:r>
    </w:p>
    <w:p w14:paraId="334CC061">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（5）供应商之间事先约定一致抬高或者压低投标报价，或者在招标项目中事先约定轮流以高价位或者低价位中标，或者事先约定由某一特定供应商中标，然后再参加投标；</w:t>
      </w:r>
    </w:p>
    <w:p w14:paraId="78D3D35B">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（6）供应商之间商定部分供应商放弃参加政府采购活动或者放弃中标；</w:t>
      </w:r>
    </w:p>
    <w:p w14:paraId="17D72CDC">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（7）供应商与采购人或者采购代理机构之间、供应商相互之间，为谋求特定供应商中标或者排斥其他供应商的其他串通行为。</w:t>
      </w:r>
    </w:p>
    <w:p w14:paraId="52FD8787">
      <w:pPr>
        <w:pStyle w:val="12"/>
        <w:snapToGrid w:val="0"/>
        <w:spacing w:line="360" w:lineRule="auto"/>
        <w:ind w:left="2" w:leftChars="1" w:firstLine="422" w:firstLineChars="200"/>
        <w:rPr>
          <w:rFonts w:asciiTheme="minorEastAsia" w:hAnsiTheme="minorEastAsia" w:eastAsiaTheme="minorEastAsia" w:cstheme="minorEastAsia"/>
          <w:b/>
          <w:color w:val="auto"/>
          <w:highlight w:val="none"/>
        </w:rPr>
      </w:pPr>
    </w:p>
    <w:p w14:paraId="615A7945">
      <w:pPr>
        <w:pStyle w:val="3"/>
        <w:keepNext w:val="0"/>
        <w:keepLines w:val="0"/>
        <w:spacing w:line="400" w:lineRule="exact"/>
        <w:jc w:val="center"/>
        <w:rPr>
          <w:rFonts w:asciiTheme="minorEastAsia" w:hAnsiTheme="minorEastAsia" w:eastAsiaTheme="minorEastAsia" w:cstheme="minorEastAsia"/>
          <w:color w:val="auto"/>
          <w:highlight w:val="none"/>
        </w:rPr>
      </w:pPr>
      <w:bookmarkStart w:id="76" w:name="_Toc28438"/>
      <w:bookmarkStart w:id="77" w:name="_Toc20943"/>
      <w:bookmarkStart w:id="78" w:name="_Toc254970534"/>
      <w:bookmarkStart w:id="79" w:name="_Toc254970675"/>
      <w:r>
        <w:rPr>
          <w:rFonts w:hint="eastAsia" w:asciiTheme="minorEastAsia" w:hAnsiTheme="minorEastAsia" w:eastAsiaTheme="minorEastAsia" w:cstheme="minorEastAsia"/>
          <w:color w:val="auto"/>
          <w:highlight w:val="none"/>
        </w:rPr>
        <w:t>二、招标文件</w:t>
      </w:r>
      <w:bookmarkEnd w:id="76"/>
      <w:bookmarkEnd w:id="77"/>
      <w:bookmarkEnd w:id="78"/>
      <w:bookmarkEnd w:id="79"/>
    </w:p>
    <w:p w14:paraId="5B603B5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10.招标文件的组成</w:t>
      </w:r>
    </w:p>
    <w:p w14:paraId="039ADB7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第一章 招标公告；</w:t>
      </w:r>
    </w:p>
    <w:p w14:paraId="43F0565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第二章 采购需求； </w:t>
      </w:r>
    </w:p>
    <w:p w14:paraId="5395A13D">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第三章 投标人须知；</w:t>
      </w:r>
    </w:p>
    <w:p w14:paraId="6675FA7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第四章 评标方法及评标标准；</w:t>
      </w:r>
    </w:p>
    <w:p w14:paraId="15ABDC2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第五章 拟签订的合同文本；</w:t>
      </w:r>
    </w:p>
    <w:p w14:paraId="440FA45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第六章 投标文件格式；</w:t>
      </w:r>
    </w:p>
    <w:p w14:paraId="3E51007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第七章 质疑、投诉材料格式</w:t>
      </w:r>
    </w:p>
    <w:p w14:paraId="24AE4373">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17CC70A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11.招标文件的澄清、修改 、现场考察和答疑会</w:t>
      </w:r>
    </w:p>
    <w:p w14:paraId="289F707A">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18467CF">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11.2 投标人应认真审阅本公开招标文件，如有疑问，或发现其中有误或有要求不合理的，应在投标人须知前附表规定的</w:t>
      </w:r>
      <w:r>
        <w:rPr>
          <w:rFonts w:hint="eastAsia" w:asciiTheme="minorEastAsia" w:hAnsiTheme="minorEastAsia" w:eastAsiaTheme="minorEastAsia" w:cstheme="minorEastAsia"/>
          <w:color w:val="auto"/>
          <w:kern w:val="0"/>
          <w:szCs w:val="21"/>
          <w:highlight w:val="none"/>
        </w:rPr>
        <w:t>投标截止时间</w:t>
      </w:r>
      <w:r>
        <w:rPr>
          <w:rFonts w:hint="eastAsia" w:asciiTheme="minorEastAsia" w:hAnsiTheme="minorEastAsia" w:eastAsiaTheme="minorEastAsia" w:cstheme="minorEastAsia"/>
          <w:color w:val="auto"/>
          <w:highlight w:val="none"/>
        </w:rPr>
        <w:t>前以书面形式要求采购人或采购代理机构对招标文件予以澄清；否则，由此产生的后果由投标人自行负责。</w:t>
      </w:r>
    </w:p>
    <w:p w14:paraId="3A0FED7F">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Theme="minorEastAsia" w:hAnsiTheme="minorEastAsia" w:eastAsiaTheme="minorEastAsia" w:cstheme="minorEastAsia"/>
          <w:color w:val="auto"/>
          <w:szCs w:val="21"/>
          <w:highlight w:val="none"/>
        </w:rPr>
        <w:t>投标人须知前附表”</w:t>
      </w:r>
      <w:r>
        <w:rPr>
          <w:rFonts w:hint="eastAsia" w:asciiTheme="minorEastAsia" w:hAnsiTheme="minorEastAsia" w:eastAsiaTheme="minorEastAsia" w:cstheme="minorEastAsia"/>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57FAD136">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11.4 采购人和采购代理机构可以视采购具体情况，变更投标截止时间和开标时间，将变更时间将在“</w:t>
      </w:r>
      <w:r>
        <w:rPr>
          <w:rFonts w:hint="eastAsia" w:asciiTheme="minorEastAsia" w:hAnsiTheme="minorEastAsia" w:eastAsiaTheme="minorEastAsia" w:cstheme="minorEastAsia"/>
          <w:color w:val="auto"/>
          <w:szCs w:val="21"/>
          <w:highlight w:val="none"/>
        </w:rPr>
        <w:t>投标人须知前附表”</w:t>
      </w:r>
      <w:r>
        <w:rPr>
          <w:rFonts w:hint="eastAsia" w:asciiTheme="minorEastAsia" w:hAnsiTheme="minorEastAsia" w:eastAsiaTheme="minorEastAsia" w:cstheme="minorEastAsia"/>
          <w:color w:val="auto"/>
          <w:kern w:val="0"/>
          <w:szCs w:val="21"/>
          <w:highlight w:val="none"/>
        </w:rPr>
        <w:t>规定的政府采购信息发布媒体上</w:t>
      </w:r>
      <w:r>
        <w:rPr>
          <w:rFonts w:hint="eastAsia" w:asciiTheme="minorEastAsia" w:hAnsiTheme="minorEastAsia" w:eastAsiaTheme="minorEastAsia" w:cstheme="minorEastAsia"/>
          <w:color w:val="auto"/>
          <w:highlight w:val="none"/>
        </w:rPr>
        <w:t>发布更正公告。</w:t>
      </w:r>
    </w:p>
    <w:p w14:paraId="4E280B71">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w:t>
      </w:r>
      <w:bookmarkStart w:id="80" w:name="_Hlk53134511"/>
      <w:r>
        <w:rPr>
          <w:rFonts w:hint="eastAsia" w:asciiTheme="minorEastAsia" w:hAnsiTheme="minorEastAsia" w:eastAsiaTheme="minorEastAsia" w:cstheme="minorEastAsia"/>
          <w:color w:val="auto"/>
          <w:highlight w:val="none"/>
        </w:rPr>
        <w:t>5采购人或者采购代理机构可以在招标文件提供期限截止后，组织已获取招标文件的潜在投标人现场考察或者召开开标前答疑会，具体详见“投标人须知前附表”。</w:t>
      </w:r>
    </w:p>
    <w:bookmarkEnd w:id="80"/>
    <w:p w14:paraId="60B76062">
      <w:pPr>
        <w:pStyle w:val="3"/>
        <w:keepNext w:val="0"/>
        <w:keepLines w:val="0"/>
        <w:spacing w:line="400" w:lineRule="exact"/>
        <w:jc w:val="center"/>
        <w:rPr>
          <w:rFonts w:asciiTheme="minorEastAsia" w:hAnsiTheme="minorEastAsia" w:eastAsiaTheme="minorEastAsia" w:cstheme="minorEastAsia"/>
          <w:color w:val="auto"/>
          <w:highlight w:val="none"/>
        </w:rPr>
      </w:pPr>
      <w:bookmarkStart w:id="81" w:name="_Toc254970676"/>
      <w:bookmarkStart w:id="82" w:name="_Toc254970535"/>
      <w:bookmarkStart w:id="83" w:name="_Toc5025"/>
      <w:bookmarkStart w:id="84" w:name="_Toc3710"/>
      <w:r>
        <w:rPr>
          <w:rFonts w:hint="eastAsia" w:asciiTheme="minorEastAsia" w:hAnsiTheme="minorEastAsia" w:eastAsiaTheme="minorEastAsia" w:cstheme="minorEastAsia"/>
          <w:color w:val="auto"/>
          <w:highlight w:val="none"/>
        </w:rPr>
        <w:t>三、投标文件的编制</w:t>
      </w:r>
      <w:bookmarkEnd w:id="81"/>
      <w:bookmarkEnd w:id="82"/>
      <w:bookmarkEnd w:id="83"/>
      <w:bookmarkEnd w:id="84"/>
    </w:p>
    <w:p w14:paraId="2279D0CF">
      <w:pPr>
        <w:spacing w:line="360" w:lineRule="auto"/>
        <w:ind w:firstLine="480" w:firstLineChars="200"/>
        <w:rPr>
          <w:rFonts w:asciiTheme="minorEastAsia" w:hAnsiTheme="minorEastAsia" w:eastAsiaTheme="minorEastAsia" w:cstheme="minorEastAsia"/>
          <w:color w:val="auto"/>
          <w:sz w:val="24"/>
          <w:highlight w:val="none"/>
        </w:rPr>
      </w:pPr>
      <w:bookmarkStart w:id="85" w:name="_Toc254970536"/>
      <w:bookmarkStart w:id="86" w:name="_Toc254970677"/>
      <w:r>
        <w:rPr>
          <w:rFonts w:hint="eastAsia" w:asciiTheme="minorEastAsia" w:hAnsiTheme="minorEastAsia" w:eastAsiaTheme="minorEastAsia" w:cstheme="minorEastAsia"/>
          <w:color w:val="auto"/>
          <w:sz w:val="24"/>
          <w:highlight w:val="none"/>
        </w:rPr>
        <w:t>12.投标文件的编制原则</w:t>
      </w:r>
    </w:p>
    <w:p w14:paraId="41F6245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12.1投标人必须按照招标文件的要求编制投标文件。投标文件必须对招标文件提出的要求和条件作出明确响应。</w:t>
      </w:r>
    </w:p>
    <w:p w14:paraId="5926098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0D794AB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13.投标文件的组成</w:t>
      </w:r>
      <w:bookmarkEnd w:id="85"/>
      <w:bookmarkEnd w:id="86"/>
    </w:p>
    <w:p w14:paraId="7DE7007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13.1投标文件由报价文件、资格证明文件、商务文件、技术文件四部分组成。</w:t>
      </w:r>
    </w:p>
    <w:p w14:paraId="22E1ED30">
      <w:pPr>
        <w:spacing w:line="360" w:lineRule="auto"/>
        <w:ind w:firstLine="420" w:firstLineChars="200"/>
        <w:rPr>
          <w:rFonts w:asciiTheme="minorEastAsia" w:hAnsiTheme="minorEastAsia" w:eastAsiaTheme="minorEastAsia" w:cstheme="minorEastAsia"/>
          <w:bCs/>
          <w:color w:val="auto"/>
          <w:szCs w:val="21"/>
          <w:highlight w:val="none"/>
        </w:rPr>
      </w:pPr>
      <w:bookmarkStart w:id="87" w:name="_13.2资格证明文件：具体材料见“投标人须知前附表”。"/>
      <w:bookmarkEnd w:id="87"/>
      <w:bookmarkStart w:id="88" w:name="_13.1报价文件:_具体材料见“投标人须知前附表”。"/>
      <w:bookmarkEnd w:id="88"/>
      <w:r>
        <w:rPr>
          <w:rFonts w:hint="eastAsia" w:asciiTheme="minorEastAsia" w:hAnsiTheme="minorEastAsia" w:eastAsiaTheme="minorEastAsia" w:cstheme="minorEastAsia"/>
          <w:bCs/>
          <w:color w:val="auto"/>
          <w:szCs w:val="21"/>
          <w:highlight w:val="none"/>
        </w:rPr>
        <w:t>（1）资格证明文件：具体材料见“投标人须知前附表”。</w:t>
      </w:r>
    </w:p>
    <w:p w14:paraId="66FAA537">
      <w:pPr>
        <w:spacing w:line="360" w:lineRule="auto"/>
        <w:ind w:firstLine="420" w:firstLineChars="200"/>
        <w:rPr>
          <w:rFonts w:asciiTheme="minorEastAsia" w:hAnsiTheme="minorEastAsia" w:eastAsiaTheme="minorEastAsia" w:cstheme="minorEastAsia"/>
          <w:bCs/>
          <w:color w:val="auto"/>
          <w:szCs w:val="21"/>
          <w:highlight w:val="none"/>
        </w:rPr>
      </w:pPr>
      <w:bookmarkStart w:id="89" w:name="_13.3商务文件:_具体材料见“投标人须知前附表”。"/>
      <w:bookmarkEnd w:id="89"/>
      <w:r>
        <w:rPr>
          <w:rFonts w:hint="eastAsia" w:asciiTheme="minorEastAsia" w:hAnsiTheme="minorEastAsia" w:eastAsiaTheme="minorEastAsia" w:cstheme="minorEastAsia"/>
          <w:bCs/>
          <w:color w:val="auto"/>
          <w:szCs w:val="21"/>
          <w:highlight w:val="none"/>
        </w:rPr>
        <w:t>（2）商务文件：具体材料见“投标人须知前附表”。</w:t>
      </w:r>
    </w:p>
    <w:p w14:paraId="40B0FF40">
      <w:pPr>
        <w:spacing w:line="360" w:lineRule="auto"/>
        <w:ind w:firstLine="420" w:firstLineChars="200"/>
        <w:rPr>
          <w:rFonts w:asciiTheme="minorEastAsia" w:hAnsiTheme="minorEastAsia" w:eastAsiaTheme="minorEastAsia" w:cstheme="minorEastAsia"/>
          <w:bCs/>
          <w:color w:val="auto"/>
          <w:szCs w:val="21"/>
          <w:highlight w:val="none"/>
        </w:rPr>
      </w:pPr>
      <w:bookmarkStart w:id="90" w:name="_13.4技术文件：具体材料见“投标人须知前附表”。"/>
      <w:bookmarkEnd w:id="90"/>
      <w:r>
        <w:rPr>
          <w:rFonts w:hint="eastAsia" w:asciiTheme="minorEastAsia" w:hAnsiTheme="minorEastAsia" w:eastAsiaTheme="minorEastAsia" w:cstheme="minorEastAsia"/>
          <w:bCs/>
          <w:color w:val="auto"/>
          <w:szCs w:val="21"/>
          <w:highlight w:val="none"/>
        </w:rPr>
        <w:t xml:space="preserve">（3）技术文件：具体材料见“投标人须知前附表”。 </w:t>
      </w:r>
    </w:p>
    <w:p w14:paraId="71D2F65C">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（4）报价文件： 具体材料见“投标人须知前附表”。</w:t>
      </w:r>
    </w:p>
    <w:p w14:paraId="6A0F7B06">
      <w:pPr>
        <w:spacing w:line="360" w:lineRule="auto"/>
        <w:ind w:firstLine="420" w:firstLineChars="200"/>
        <w:rPr>
          <w:rFonts w:asciiTheme="minorEastAsia" w:hAnsiTheme="minorEastAsia" w:eastAsiaTheme="minorEastAsia" w:cstheme="minorEastAsia"/>
          <w:bCs/>
          <w:color w:val="auto"/>
          <w:szCs w:val="21"/>
          <w:highlight w:val="none"/>
        </w:rPr>
      </w:pPr>
      <w:bookmarkStart w:id="91" w:name="_13.5投标文件电子版：具体材料见“投标人须知前附表”。"/>
      <w:bookmarkEnd w:id="91"/>
      <w:r>
        <w:rPr>
          <w:rFonts w:hint="eastAsia" w:asciiTheme="minorEastAsia" w:hAnsiTheme="minorEastAsia" w:eastAsiaTheme="minorEastAsia" w:cstheme="minorEastAsia"/>
          <w:bCs/>
          <w:color w:val="auto"/>
          <w:szCs w:val="21"/>
          <w:highlight w:val="none"/>
        </w:rPr>
        <w:t>13.2投标文件电子版：具体要求见本节19.投标文件编制。</w:t>
      </w:r>
    </w:p>
    <w:p w14:paraId="2281D2F0">
      <w:pPr>
        <w:spacing w:line="360" w:lineRule="auto"/>
        <w:ind w:firstLine="480" w:firstLineChars="200"/>
        <w:rPr>
          <w:rFonts w:asciiTheme="minorEastAsia" w:hAnsiTheme="minorEastAsia" w:eastAsiaTheme="minorEastAsia" w:cstheme="minorEastAsia"/>
          <w:color w:val="auto"/>
          <w:sz w:val="24"/>
          <w:highlight w:val="none"/>
        </w:rPr>
      </w:pPr>
      <w:bookmarkStart w:id="92" w:name="_Toc254970537"/>
      <w:bookmarkStart w:id="93" w:name="_Toc254970678"/>
      <w:r>
        <w:rPr>
          <w:rFonts w:hint="eastAsia" w:asciiTheme="minorEastAsia" w:hAnsiTheme="minorEastAsia" w:eastAsiaTheme="minorEastAsia" w:cstheme="minorEastAsia"/>
          <w:color w:val="auto"/>
          <w:sz w:val="24"/>
          <w:highlight w:val="none"/>
        </w:rPr>
        <w:t>14.投标文件的语言及计量</w:t>
      </w:r>
      <w:bookmarkEnd w:id="92"/>
      <w:bookmarkEnd w:id="93"/>
    </w:p>
    <w:p w14:paraId="1EE27671">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14.1语言文字</w:t>
      </w:r>
    </w:p>
    <w:p w14:paraId="2A70F3EF">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79EFE15">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14.2投标计量单位</w:t>
      </w:r>
    </w:p>
    <w:p w14:paraId="087E3F61">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招标文件已有明确规定的，使用招标文件规定的计量单位；招标文件没有规定的，应采用中华人民共和国法定计量单位，货币种类为人民币，否则视同未响应。</w:t>
      </w:r>
    </w:p>
    <w:p w14:paraId="3C0F66C8">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15.投标文件提交的风险</w:t>
      </w:r>
    </w:p>
    <w:p w14:paraId="10B3EB46">
      <w:pPr>
        <w:spacing w:line="360" w:lineRule="auto"/>
        <w:ind w:firstLine="420"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p>
    <w:p w14:paraId="5C899189">
      <w:pPr>
        <w:spacing w:line="360" w:lineRule="auto"/>
        <w:ind w:firstLine="480" w:firstLineChars="200"/>
        <w:rPr>
          <w:rFonts w:asciiTheme="minorEastAsia" w:hAnsiTheme="minorEastAsia" w:eastAsiaTheme="minorEastAsia" w:cstheme="minorEastAsia"/>
          <w:color w:val="auto"/>
          <w:sz w:val="24"/>
          <w:highlight w:val="none"/>
        </w:rPr>
      </w:pPr>
      <w:bookmarkStart w:id="94" w:name="_Toc254970679"/>
      <w:bookmarkStart w:id="95" w:name="_Toc254970538"/>
      <w:r>
        <w:rPr>
          <w:rFonts w:hint="eastAsia" w:asciiTheme="minorEastAsia" w:hAnsiTheme="minorEastAsia" w:eastAsiaTheme="minorEastAsia" w:cstheme="minorEastAsia"/>
          <w:color w:val="auto"/>
          <w:sz w:val="24"/>
          <w:highlight w:val="none"/>
        </w:rPr>
        <w:t>16.投标报价</w:t>
      </w:r>
      <w:bookmarkEnd w:id="94"/>
      <w:bookmarkEnd w:id="95"/>
    </w:p>
    <w:p w14:paraId="00A6C5BC">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16.1投标报价应</w:t>
      </w:r>
      <w:r>
        <w:rPr>
          <w:rFonts w:hint="eastAsia" w:asciiTheme="minorEastAsia" w:hAnsiTheme="minorEastAsia" w:eastAsiaTheme="minorEastAsia" w:cstheme="minorEastAsia"/>
          <w:bCs/>
          <w:color w:val="auto"/>
          <w:szCs w:val="20"/>
          <w:highlight w:val="none"/>
        </w:rPr>
        <w:t>按“第六章　投标文件格式”中“开标一览表”格式填写。</w:t>
      </w:r>
    </w:p>
    <w:p w14:paraId="30DBA621">
      <w:pPr>
        <w:spacing w:line="360" w:lineRule="auto"/>
        <w:ind w:firstLine="420" w:firstLineChars="200"/>
        <w:rPr>
          <w:rFonts w:asciiTheme="minorEastAsia" w:hAnsiTheme="minorEastAsia" w:eastAsiaTheme="minorEastAsia" w:cstheme="minorEastAsia"/>
          <w:bCs/>
          <w:color w:val="auto"/>
          <w:szCs w:val="21"/>
          <w:highlight w:val="none"/>
        </w:rPr>
      </w:pPr>
      <w:bookmarkStart w:id="96" w:name="_16.2投标报价具体定义见投标人须知前附表。"/>
      <w:bookmarkEnd w:id="96"/>
      <w:r>
        <w:rPr>
          <w:rFonts w:hint="eastAsia" w:asciiTheme="minorEastAsia" w:hAnsiTheme="minorEastAsia" w:eastAsiaTheme="minorEastAsia" w:cstheme="minorEastAsia"/>
          <w:bCs/>
          <w:color w:val="auto"/>
          <w:szCs w:val="21"/>
          <w:highlight w:val="none"/>
        </w:rPr>
        <w:t>16.2投标报价具体包括内容详见“投标人须知前附表”。</w:t>
      </w:r>
    </w:p>
    <w:p w14:paraId="1180CB25">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16.3投标人必须就所投每个分标的全部内容分别作完整唯一总价报价，不得存在漏项报价；投标人必须就所投分标的单项内容作唯一报价。</w:t>
      </w:r>
    </w:p>
    <w:p w14:paraId="10CC4C6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17.投标有效期</w:t>
      </w:r>
    </w:p>
    <w:p w14:paraId="4BB3BE48">
      <w:pPr>
        <w:spacing w:line="360" w:lineRule="auto"/>
        <w:ind w:firstLine="420" w:firstLineChars="200"/>
        <w:rPr>
          <w:rFonts w:asciiTheme="minorEastAsia" w:hAnsiTheme="minorEastAsia" w:eastAsiaTheme="minorEastAsia" w:cstheme="minorEastAsia"/>
          <w:bCs/>
          <w:color w:val="auto"/>
          <w:szCs w:val="21"/>
          <w:highlight w:val="none"/>
        </w:rPr>
      </w:pPr>
      <w:bookmarkStart w:id="97" w:name="_17.1投标有效期应按“投标人须知中的前附表”规定的期限。"/>
      <w:bookmarkEnd w:id="97"/>
      <w:r>
        <w:rPr>
          <w:rFonts w:hint="eastAsia" w:asciiTheme="minorEastAsia" w:hAnsiTheme="minorEastAsia" w:eastAsiaTheme="minorEastAsia" w:cstheme="minorEastAsia"/>
          <w:bCs/>
          <w:color w:val="auto"/>
          <w:szCs w:val="21"/>
          <w:highlight w:val="none"/>
        </w:rPr>
        <w:t>17.1投标有效期是指为保证采购人有足够的时间在开标后完成评标、定标、合同签订等工作而要求投标人提交的投标文件在一定时间内保持有效的期限。</w:t>
      </w:r>
    </w:p>
    <w:p w14:paraId="47476986">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17.2</w:t>
      </w:r>
      <w:bookmarkStart w:id="98" w:name="_Toc254970540"/>
      <w:bookmarkStart w:id="99" w:name="_Toc254970681"/>
      <w:r>
        <w:rPr>
          <w:rFonts w:hint="eastAsia" w:asciiTheme="minorEastAsia" w:hAnsiTheme="minorEastAsia" w:eastAsiaTheme="minorEastAsia" w:cstheme="minorEastAsia"/>
          <w:bCs/>
          <w:color w:val="auto"/>
          <w:szCs w:val="21"/>
          <w:highlight w:val="none"/>
        </w:rPr>
        <w:t xml:space="preserve"> 投标有效期应按规定的期限作出承诺，具体详见“投标人须知前附表”。</w:t>
      </w:r>
    </w:p>
    <w:p w14:paraId="52952A91">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17.3投标人的投标文件在投标有效期内均保持有效。</w:t>
      </w:r>
      <w:bookmarkEnd w:id="98"/>
      <w:bookmarkEnd w:id="99"/>
    </w:p>
    <w:p w14:paraId="383C200E">
      <w:pPr>
        <w:spacing w:line="360" w:lineRule="auto"/>
        <w:ind w:firstLine="480" w:firstLineChars="200"/>
        <w:rPr>
          <w:rFonts w:asciiTheme="minorEastAsia" w:hAnsiTheme="minorEastAsia" w:eastAsiaTheme="minorEastAsia" w:cstheme="minorEastAsia"/>
          <w:color w:val="auto"/>
          <w:sz w:val="24"/>
          <w:highlight w:val="none"/>
        </w:rPr>
      </w:pPr>
      <w:bookmarkStart w:id="100" w:name="_18.投标保证金"/>
      <w:bookmarkEnd w:id="100"/>
      <w:bookmarkStart w:id="101" w:name="_Toc254970541"/>
      <w:bookmarkStart w:id="102" w:name="_Toc254970682"/>
      <w:r>
        <w:rPr>
          <w:rFonts w:hint="eastAsia" w:asciiTheme="minorEastAsia" w:hAnsiTheme="minorEastAsia" w:eastAsiaTheme="minorEastAsia" w:cstheme="minorEastAsia"/>
          <w:color w:val="auto"/>
          <w:sz w:val="24"/>
          <w:highlight w:val="none"/>
        </w:rPr>
        <w:t>18.投标保证金</w:t>
      </w:r>
      <w:bookmarkEnd w:id="101"/>
      <w:bookmarkEnd w:id="102"/>
    </w:p>
    <w:p w14:paraId="2B59BBFC">
      <w:pPr>
        <w:spacing w:line="360" w:lineRule="auto"/>
        <w:ind w:firstLine="420" w:firstLineChars="200"/>
        <w:rPr>
          <w:rFonts w:asciiTheme="minorEastAsia" w:hAnsiTheme="minorEastAsia" w:eastAsiaTheme="minorEastAsia" w:cstheme="minorEastAsia"/>
          <w:color w:val="auto"/>
          <w:szCs w:val="21"/>
          <w:highlight w:val="none"/>
        </w:rPr>
      </w:pPr>
      <w:bookmarkStart w:id="103" w:name="_Toc254970542"/>
      <w:bookmarkStart w:id="104" w:name="_Toc254970683"/>
      <w:r>
        <w:rPr>
          <w:rFonts w:hint="eastAsia" w:asciiTheme="minorEastAsia" w:hAnsiTheme="minorEastAsia" w:eastAsiaTheme="minorEastAsia" w:cstheme="minorEastAsia"/>
          <w:color w:val="auto"/>
          <w:szCs w:val="21"/>
          <w:highlight w:val="none"/>
        </w:rPr>
        <w:t>见“投标人须知前附表”。</w:t>
      </w:r>
    </w:p>
    <w:p w14:paraId="611C254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19.投标文件的</w:t>
      </w:r>
      <w:bookmarkEnd w:id="103"/>
      <w:bookmarkEnd w:id="104"/>
      <w:r>
        <w:rPr>
          <w:rFonts w:hint="eastAsia" w:asciiTheme="minorEastAsia" w:hAnsiTheme="minorEastAsia" w:eastAsiaTheme="minorEastAsia" w:cstheme="minorEastAsia"/>
          <w:color w:val="auto"/>
          <w:sz w:val="24"/>
          <w:highlight w:val="none"/>
        </w:rPr>
        <w:t>编制</w:t>
      </w:r>
    </w:p>
    <w:p w14:paraId="19F62E4F">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color w:val="auto"/>
          <w:szCs w:val="21"/>
          <w:highlight w:val="none"/>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05" w:name="_19.2投标文件应按报价文件、资格证明文件、商务文件、技术文件分别编制"/>
      <w:bookmarkEnd w:id="105"/>
      <w:r>
        <w:rPr>
          <w:rFonts w:hint="eastAsia" w:asciiTheme="minorEastAsia" w:hAnsiTheme="minorEastAsia" w:eastAsiaTheme="minorEastAsia" w:cstheme="minorEastAsia"/>
          <w:color w:val="auto"/>
          <w:szCs w:val="21"/>
          <w:highlight w:val="none"/>
        </w:rPr>
        <w:t xml:space="preserve"> </w:t>
      </w:r>
    </w:p>
    <w:p w14:paraId="6FC27577">
      <w:pPr>
        <w:pStyle w:val="32"/>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19.2投标文件按照招标文件第六章格式要求在规定位置进行签署、盖章。投标人的投标文件未按照招标文件要求签署、盖章的，</w:t>
      </w:r>
      <w:r>
        <w:rPr>
          <w:rFonts w:hint="eastAsia" w:asciiTheme="minorEastAsia" w:hAnsiTheme="minorEastAsia" w:eastAsiaTheme="minorEastAsia" w:cstheme="minorEastAsia"/>
          <w:b/>
          <w:color w:val="auto"/>
          <w:sz w:val="21"/>
          <w:szCs w:val="21"/>
          <w:highlight w:val="none"/>
        </w:rPr>
        <w:t>其投标无效。</w:t>
      </w:r>
      <w:r>
        <w:rPr>
          <w:rFonts w:hint="eastAsia" w:asciiTheme="minorEastAsia" w:hAnsiTheme="minorEastAsia" w:eastAsiaTheme="minorEastAsia" w:cstheme="minorEastAsia"/>
          <w:color w:val="auto"/>
          <w:sz w:val="21"/>
          <w:szCs w:val="21"/>
          <w:highlight w:val="none"/>
        </w:rPr>
        <w:t>骑缝盖公章不视为在规定位置盖章。</w:t>
      </w:r>
    </w:p>
    <w:p w14:paraId="2A4BBAF7">
      <w:pPr>
        <w:pStyle w:val="32"/>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1A5BA31C">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19.4投标文件中标注的投标人名称应与主体资格证明（如营业执照、事业单位法人证书、执业许可证、自然人身份证等）及公章一致，</w:t>
      </w:r>
      <w:r>
        <w:rPr>
          <w:rFonts w:hint="eastAsia" w:asciiTheme="minorEastAsia" w:hAnsiTheme="minorEastAsia" w:eastAsiaTheme="minorEastAsia" w:cstheme="minorEastAsia"/>
          <w:color w:val="auto"/>
          <w:szCs w:val="21"/>
          <w:highlight w:val="none"/>
        </w:rPr>
        <w:t>否则作无效投标处理</w:t>
      </w:r>
      <w:r>
        <w:rPr>
          <w:rFonts w:hint="eastAsia" w:asciiTheme="minorEastAsia" w:hAnsiTheme="minorEastAsia" w:eastAsiaTheme="minorEastAsia" w:cstheme="minorEastAsia"/>
          <w:b/>
          <w:color w:val="auto"/>
          <w:szCs w:val="21"/>
          <w:highlight w:val="none"/>
        </w:rPr>
        <w:t>。</w:t>
      </w:r>
    </w:p>
    <w:p w14:paraId="43210C2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19.5投标文件应避免涂改、行间插字或者删除，</w:t>
      </w:r>
      <w:r>
        <w:rPr>
          <w:rFonts w:hint="eastAsia" w:asciiTheme="minorEastAsia" w:hAnsiTheme="minorEastAsia" w:eastAsiaTheme="minorEastAsia" w:cstheme="minorEastAsia"/>
          <w:b/>
          <w:color w:val="auto"/>
          <w:szCs w:val="21"/>
          <w:highlight w:val="none"/>
        </w:rPr>
        <w:t>否则其投标无效。</w:t>
      </w:r>
    </w:p>
    <w:p w14:paraId="487E8471">
      <w:pPr>
        <w:spacing w:line="360" w:lineRule="auto"/>
        <w:ind w:firstLine="525" w:firstLineChars="2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19.6 对招标文件的实质性要求和条件作出响应是指投标人必须对招标文件中标注为实质性要求和条件的</w:t>
      </w:r>
      <w:r>
        <w:rPr>
          <w:rFonts w:hint="eastAsia" w:asciiTheme="minorEastAsia" w:hAnsiTheme="minorEastAsia" w:eastAsiaTheme="minorEastAsia" w:cstheme="minorEastAsia"/>
          <w:color w:val="auto"/>
          <w:szCs w:val="21"/>
          <w:highlight w:val="none"/>
        </w:rPr>
        <w:t>服务内容及要求</w:t>
      </w:r>
      <w:r>
        <w:rPr>
          <w:rFonts w:hint="eastAsia" w:asciiTheme="minorEastAsia" w:hAnsiTheme="minorEastAsia" w:eastAsiaTheme="minorEastAsia" w:cstheme="minorEastAsia"/>
          <w:color w:val="auto"/>
          <w:highlight w:val="none"/>
        </w:rPr>
        <w:t>、商务条款及其它内容</w:t>
      </w:r>
      <w:r>
        <w:rPr>
          <w:rFonts w:hint="eastAsia" w:asciiTheme="minorEastAsia" w:hAnsiTheme="minorEastAsia" w:eastAsiaTheme="minorEastAsia" w:cstheme="minorEastAsia"/>
          <w:b/>
          <w:color w:val="auto"/>
          <w:highlight w:val="none"/>
        </w:rPr>
        <w:t>作出满足或者优于原要求和条件的承诺</w:t>
      </w:r>
      <w:r>
        <w:rPr>
          <w:rFonts w:hint="eastAsia" w:asciiTheme="minorEastAsia" w:hAnsiTheme="minorEastAsia" w:eastAsiaTheme="minorEastAsia" w:cstheme="minorEastAsia"/>
          <w:color w:val="auto"/>
          <w:highlight w:val="none"/>
        </w:rPr>
        <w:t>。</w:t>
      </w:r>
    </w:p>
    <w:p w14:paraId="1F011A58">
      <w:pPr>
        <w:spacing w:line="360" w:lineRule="auto"/>
        <w:ind w:firstLine="422" w:firstLineChars="200"/>
        <w:rPr>
          <w:rFonts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rPr>
        <w:t>19.7本项目为南宁市全流程电子化项目，异常情况见“第二节 投标人须知正文”中“四、24.2开标程序。</w:t>
      </w:r>
    </w:p>
    <w:p w14:paraId="664C885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20.备份投标文件</w:t>
      </w:r>
    </w:p>
    <w:p w14:paraId="4169D200">
      <w:pPr>
        <w:spacing w:line="360" w:lineRule="auto"/>
        <w:ind w:firstLine="42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Cs w:val="21"/>
          <w:highlight w:val="none"/>
        </w:rPr>
        <w:t>详见在“投标人须知前附表”。</w:t>
      </w:r>
    </w:p>
    <w:p w14:paraId="7786F2E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21.投标文件的提交</w:t>
      </w:r>
    </w:p>
    <w:p w14:paraId="04A32D30">
      <w:pPr>
        <w:spacing w:line="360" w:lineRule="auto"/>
        <w:ind w:firstLine="420" w:firstLineChars="200"/>
        <w:rPr>
          <w:rFonts w:asciiTheme="minorEastAsia" w:hAnsiTheme="minorEastAsia" w:eastAsiaTheme="minorEastAsia" w:cstheme="minorEastAsia"/>
          <w:b/>
          <w:color w:val="auto"/>
          <w:highlight w:val="none"/>
        </w:rPr>
      </w:pPr>
      <w:bookmarkStart w:id="106" w:name="_21.1投标人必须在“投标人须知中的前附表”规定的投标文件接收时间和投"/>
      <w:bookmarkEnd w:id="106"/>
      <w:r>
        <w:rPr>
          <w:rFonts w:hint="eastAsia" w:asciiTheme="minorEastAsia" w:hAnsiTheme="minorEastAsia" w:eastAsiaTheme="minorEastAsia" w:cstheme="minorEastAsia"/>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Theme="minorEastAsia" w:hAnsiTheme="minorEastAsia" w:eastAsiaTheme="minorEastAsia" w:cstheme="minorEastAsia"/>
          <w:color w:val="auto"/>
          <w:szCs w:val="21"/>
          <w:highlight w:val="none"/>
        </w:rPr>
        <w:t>广西政府采购云平台</w:t>
      </w:r>
      <w:r>
        <w:rPr>
          <w:rFonts w:hint="eastAsia" w:asciiTheme="minorEastAsia" w:hAnsiTheme="minorEastAsia" w:eastAsiaTheme="minorEastAsia" w:cstheme="minorEastAsia"/>
          <w:bCs/>
          <w:color w:val="auto"/>
          <w:szCs w:val="21"/>
          <w:highlight w:val="none"/>
        </w:rPr>
        <w:t xml:space="preserve">”。 </w:t>
      </w:r>
      <w:r>
        <w:rPr>
          <w:rFonts w:hint="eastAsia" w:asciiTheme="minorEastAsia" w:hAnsiTheme="minorEastAsia" w:eastAsiaTheme="minorEastAsia" w:cstheme="minorEastAsia"/>
          <w:b/>
          <w:color w:val="auto"/>
          <w:highlight w:val="none"/>
        </w:rPr>
        <w:t xml:space="preserve"> </w:t>
      </w:r>
    </w:p>
    <w:p w14:paraId="23494AA2">
      <w:pPr>
        <w:spacing w:line="360" w:lineRule="auto"/>
        <w:ind w:firstLine="422" w:firstLineChars="200"/>
        <w:rPr>
          <w:rFonts w:asciiTheme="minorEastAsia" w:hAnsiTheme="minorEastAsia" w:eastAsiaTheme="minorEastAsia" w:cstheme="minorEastAsia"/>
          <w:b/>
          <w:color w:val="auto"/>
          <w:szCs w:val="20"/>
          <w:highlight w:val="none"/>
        </w:rPr>
      </w:pPr>
      <w:r>
        <w:rPr>
          <w:rFonts w:hint="eastAsia" w:asciiTheme="minorEastAsia" w:hAnsiTheme="minorEastAsia" w:eastAsiaTheme="minorEastAsia" w:cstheme="minorEastAsia"/>
          <w:b/>
          <w:color w:val="auto"/>
          <w:szCs w:val="21"/>
          <w:highlight w:val="none"/>
        </w:rPr>
        <w:t>21.2未在规定时间内提交或者未按照招标文件要求密封或者标记的电子投标文件，广西政府采购云平台将拒收。</w:t>
      </w:r>
    </w:p>
    <w:p w14:paraId="1BB577B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21.3电子版投标文件提交方式见“招标公告”中“四、提交投标文件截止时间、开标时间和地点”</w:t>
      </w:r>
      <w:r>
        <w:rPr>
          <w:rFonts w:hint="eastAsia" w:asciiTheme="minorEastAsia" w:hAnsiTheme="minorEastAsia" w:eastAsiaTheme="minorEastAsia" w:cstheme="minorEastAsia"/>
          <w:b/>
          <w:color w:val="auto"/>
          <w:szCs w:val="21"/>
          <w:highlight w:val="none"/>
        </w:rPr>
        <w:t xml:space="preserve"> 。</w:t>
      </w:r>
    </w:p>
    <w:p w14:paraId="6CD2E1E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投标文件的补充、修改、撤回与退回</w:t>
      </w:r>
      <w:bookmarkStart w:id="107" w:name="_Toc254970684"/>
      <w:bookmarkStart w:id="108" w:name="_Toc254970543"/>
    </w:p>
    <w:p w14:paraId="76F3BDA6">
      <w:pPr>
        <w:spacing w:line="360" w:lineRule="auto"/>
        <w:ind w:firstLine="42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4BF77B9C">
      <w:pPr>
        <w:pStyle w:val="32"/>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22.2广西政府采购云平台收到投标文件，将妥善保存并即时向供应商发出确认回执通知。在投标截止时间前，除供应商补充、修改或者撤回投标文件外，任何单位和个人不得解密或提取投标文件。</w:t>
      </w:r>
    </w:p>
    <w:bookmarkEnd w:id="107"/>
    <w:bookmarkEnd w:id="108"/>
    <w:p w14:paraId="0947DDB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22.3在投标截止时间止提交电子版投标文件的投标人不足3家时，电子版投标文件由代理机构在广西政府采购云平台操作退回，除此之外采购人和采购代理机构对已提交的投标文件概不退回。</w:t>
      </w:r>
    </w:p>
    <w:p w14:paraId="795EEFE9">
      <w:pPr>
        <w:pStyle w:val="10"/>
        <w:snapToGrid w:val="0"/>
        <w:spacing w:line="400" w:lineRule="exact"/>
        <w:ind w:firstLine="739"/>
        <w:rPr>
          <w:rFonts w:asciiTheme="minorEastAsia" w:hAnsiTheme="minorEastAsia" w:eastAsiaTheme="minorEastAsia" w:cstheme="minorEastAsia"/>
          <w:snapToGrid w:val="0"/>
          <w:color w:val="auto"/>
          <w:sz w:val="21"/>
          <w:szCs w:val="21"/>
          <w:highlight w:val="none"/>
        </w:rPr>
      </w:pPr>
    </w:p>
    <w:p w14:paraId="33286DD8">
      <w:pPr>
        <w:pStyle w:val="3"/>
        <w:keepNext w:val="0"/>
        <w:keepLines w:val="0"/>
        <w:spacing w:line="400" w:lineRule="exact"/>
        <w:jc w:val="center"/>
        <w:rPr>
          <w:rFonts w:asciiTheme="minorEastAsia" w:hAnsiTheme="minorEastAsia" w:eastAsiaTheme="minorEastAsia" w:cstheme="minorEastAsia"/>
          <w:color w:val="auto"/>
          <w:highlight w:val="none"/>
        </w:rPr>
      </w:pPr>
      <w:bookmarkStart w:id="109" w:name="_Toc20244"/>
      <w:bookmarkStart w:id="110" w:name="_Toc254970685"/>
      <w:bookmarkStart w:id="111" w:name="_Toc19885"/>
      <w:bookmarkStart w:id="112" w:name="_Toc254970544"/>
      <w:r>
        <w:rPr>
          <w:rFonts w:hint="eastAsia" w:asciiTheme="minorEastAsia" w:hAnsiTheme="minorEastAsia" w:eastAsiaTheme="minorEastAsia" w:cstheme="minorEastAsia"/>
          <w:color w:val="auto"/>
          <w:highlight w:val="none"/>
        </w:rPr>
        <w:t>四、开    标</w:t>
      </w:r>
      <w:bookmarkEnd w:id="109"/>
      <w:bookmarkEnd w:id="110"/>
      <w:bookmarkEnd w:id="111"/>
      <w:bookmarkEnd w:id="112"/>
    </w:p>
    <w:p w14:paraId="15B5BE13">
      <w:pPr>
        <w:spacing w:line="360" w:lineRule="auto"/>
        <w:ind w:firstLine="480" w:firstLineChars="200"/>
        <w:rPr>
          <w:rFonts w:asciiTheme="minorEastAsia" w:hAnsiTheme="minorEastAsia" w:eastAsiaTheme="minorEastAsia" w:cstheme="minorEastAsia"/>
          <w:color w:val="auto"/>
          <w:sz w:val="24"/>
          <w:highlight w:val="none"/>
        </w:rPr>
      </w:pPr>
      <w:bookmarkStart w:id="113" w:name="_23.开标时间和地点"/>
      <w:bookmarkEnd w:id="113"/>
      <w:r>
        <w:rPr>
          <w:rFonts w:hint="eastAsia" w:asciiTheme="minorEastAsia" w:hAnsiTheme="minorEastAsia" w:eastAsiaTheme="minorEastAsia" w:cstheme="minorEastAsia"/>
          <w:color w:val="auto"/>
          <w:sz w:val="24"/>
          <w:highlight w:val="none"/>
        </w:rPr>
        <w:t>23.开标时间和地点</w:t>
      </w:r>
    </w:p>
    <w:p w14:paraId="0642156C">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23.1开标时间及地点详见“投标人须知前附表”</w:t>
      </w:r>
    </w:p>
    <w:p w14:paraId="3F533FE1">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23.2如</w:t>
      </w:r>
      <w:r>
        <w:rPr>
          <w:rFonts w:hint="eastAsia" w:asciiTheme="minorEastAsia" w:hAnsiTheme="minorEastAsia" w:eastAsiaTheme="minorEastAsia" w:cstheme="minorEastAsia"/>
          <w:bCs/>
          <w:color w:val="auto"/>
          <w:highlight w:val="none"/>
        </w:rPr>
        <w:t>投标人成功解密投标文件，但未在</w:t>
      </w:r>
      <w:r>
        <w:rPr>
          <w:rFonts w:hint="eastAsia" w:asciiTheme="minorEastAsia" w:hAnsiTheme="minorEastAsia" w:eastAsiaTheme="minorEastAsia" w:cstheme="minorEastAsia"/>
          <w:color w:val="auto"/>
          <w:szCs w:val="21"/>
          <w:highlight w:val="none"/>
        </w:rPr>
        <w:t>广西政府采购云平台</w:t>
      </w:r>
      <w:r>
        <w:rPr>
          <w:rFonts w:hint="eastAsia" w:asciiTheme="minorEastAsia" w:hAnsiTheme="minorEastAsia" w:eastAsiaTheme="minorEastAsia" w:cstheme="minorEastAsia"/>
          <w:bCs/>
          <w:color w:val="auto"/>
          <w:highlight w:val="none"/>
        </w:rPr>
        <w:t>电子开标大厅参加开标的，视同认可开标过程和结果，</w:t>
      </w:r>
      <w:r>
        <w:rPr>
          <w:rFonts w:hint="eastAsia" w:asciiTheme="minorEastAsia" w:hAnsiTheme="minorEastAsia" w:eastAsiaTheme="minorEastAsia" w:cstheme="minorEastAsia"/>
          <w:color w:val="auto"/>
          <w:highlight w:val="none"/>
        </w:rPr>
        <w:t>由此产生的后果由投标人自行负责。 投标人不足3家的，不得开标。</w:t>
      </w:r>
    </w:p>
    <w:p w14:paraId="6B07170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24.开标程序</w:t>
      </w:r>
    </w:p>
    <w:p w14:paraId="4B30D708">
      <w:pPr>
        <w:autoSpaceDE w:val="0"/>
        <w:autoSpaceDN w:val="0"/>
        <w:adjustRightInd w:val="0"/>
        <w:spacing w:line="440" w:lineRule="exact"/>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24.1</w:t>
      </w:r>
      <w:r>
        <w:rPr>
          <w:rFonts w:hint="eastAsia" w:asciiTheme="minorEastAsia" w:hAnsiTheme="minorEastAsia" w:eastAsiaTheme="minorEastAsia" w:cstheme="minorEastAsia"/>
          <w:color w:val="auto"/>
          <w:kern w:val="0"/>
          <w:szCs w:val="21"/>
          <w:highlight w:val="none"/>
        </w:rPr>
        <w:t>开标形式：</w:t>
      </w:r>
    </w:p>
    <w:p w14:paraId="1647384F">
      <w:pPr>
        <w:autoSpaceDE w:val="0"/>
        <w:autoSpaceDN w:val="0"/>
        <w:adjustRightInd w:val="0"/>
        <w:spacing w:line="44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bCs/>
          <w:color w:val="auto"/>
          <w:szCs w:val="21"/>
          <w:highlight w:val="none"/>
        </w:rPr>
        <w:t>开标的准备工作由采购代理机构负责落实，采购代理机构必须基于</w:t>
      </w:r>
      <w:r>
        <w:rPr>
          <w:rFonts w:hint="eastAsia" w:asciiTheme="minorEastAsia" w:hAnsiTheme="minorEastAsia" w:eastAsiaTheme="minorEastAsia" w:cstheme="minorEastAsia"/>
          <w:color w:val="auto"/>
          <w:szCs w:val="21"/>
          <w:highlight w:val="none"/>
        </w:rPr>
        <w:t>广西政府采购云平台</w:t>
      </w:r>
      <w:r>
        <w:rPr>
          <w:rFonts w:hint="eastAsia" w:asciiTheme="minorEastAsia" w:hAnsiTheme="minorEastAsia" w:eastAsiaTheme="minorEastAsia" w:cstheme="minorEastAsia"/>
          <w:bCs/>
          <w:color w:val="auto"/>
          <w:szCs w:val="21"/>
          <w:highlight w:val="none"/>
        </w:rPr>
        <w:t>选取评审专家，如采购代理机构未按规定选取专家的，视为本次开评标无效，应当重新采购；</w:t>
      </w:r>
    </w:p>
    <w:p w14:paraId="2F0B5858">
      <w:pPr>
        <w:autoSpaceDE w:val="0"/>
        <w:autoSpaceDN w:val="0"/>
        <w:adjustRightInd w:val="0"/>
        <w:spacing w:line="44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（2）采购代理机构将按照招标文件规定的时间通过</w:t>
      </w:r>
      <w:r>
        <w:rPr>
          <w:rFonts w:hint="eastAsia" w:asciiTheme="minorEastAsia" w:hAnsiTheme="minorEastAsia" w:eastAsiaTheme="minorEastAsia" w:cstheme="minorEastAsia"/>
          <w:color w:val="auto"/>
          <w:szCs w:val="21"/>
          <w:highlight w:val="none"/>
        </w:rPr>
        <w:t>广西政府采购云平台</w:t>
      </w:r>
      <w:r>
        <w:rPr>
          <w:rFonts w:hint="eastAsia" w:asciiTheme="minorEastAsia" w:hAnsiTheme="minorEastAsia" w:eastAsiaTheme="minorEastAsia" w:cstheme="minorEastAsia"/>
          <w:bCs/>
          <w:color w:val="auto"/>
          <w:szCs w:val="21"/>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6D342ABC">
      <w:pPr>
        <w:autoSpaceDE w:val="0"/>
        <w:autoSpaceDN w:val="0"/>
        <w:adjustRightInd w:val="0"/>
        <w:spacing w:line="44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24.2开标程序：</w:t>
      </w:r>
    </w:p>
    <w:p w14:paraId="4510B2DC">
      <w:pPr>
        <w:pStyle w:val="12"/>
        <w:snapToGrid w:val="0"/>
        <w:spacing w:line="44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（1）解密电子投标文件。</w:t>
      </w:r>
      <w:r>
        <w:rPr>
          <w:rFonts w:hint="eastAsia" w:asciiTheme="minorEastAsia" w:hAnsiTheme="minorEastAsia" w:eastAsiaTheme="minorEastAsia" w:cstheme="minorEastAsia"/>
          <w:color w:val="auto"/>
          <w:szCs w:val="21"/>
          <w:highlight w:val="none"/>
        </w:rPr>
        <w:t>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asciiTheme="minorEastAsia" w:hAnsiTheme="minorEastAsia" w:eastAsiaTheme="minorEastAsia" w:cstheme="minorEastAsia"/>
          <w:b/>
          <w:color w:val="auto"/>
          <w:szCs w:val="21"/>
          <w:highlight w:val="none"/>
        </w:rPr>
        <w:t>须携带加密时所用的CA锁准时登录到广西政府采购云平台电子开标大厅签到并对电子投标文件解密</w:t>
      </w:r>
      <w:r>
        <w:rPr>
          <w:rFonts w:hint="eastAsia" w:asciiTheme="minorEastAsia" w:hAnsiTheme="minorEastAsia" w:eastAsiaTheme="minorEastAsia" w:cstheme="minorEastAsia"/>
          <w:color w:val="auto"/>
          <w:szCs w:val="21"/>
          <w:highlight w:val="none"/>
        </w:rPr>
        <w:t>。开标后5分钟投标人还未进行解密的，代理机构要通知投标人。通知后，投标文件仍未按时解密，或者投标人没预留联系方式或预留联系方式无效，导致代理机构无法联系到投标人进行解密的，</w:t>
      </w:r>
      <w:r>
        <w:rPr>
          <w:rFonts w:hint="eastAsia" w:asciiTheme="minorEastAsia" w:hAnsiTheme="minorEastAsia" w:eastAsiaTheme="minorEastAsia" w:cstheme="minorEastAsia"/>
          <w:b/>
          <w:color w:val="auto"/>
          <w:szCs w:val="21"/>
          <w:highlight w:val="none"/>
        </w:rPr>
        <w:t>均视为无效投标。</w:t>
      </w:r>
    </w:p>
    <w:p w14:paraId="19C3181F">
      <w:pPr>
        <w:pStyle w:val="12"/>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（解密</w:t>
      </w:r>
      <w:r>
        <w:rPr>
          <w:rFonts w:hint="eastAsia" w:asciiTheme="minorEastAsia" w:hAnsiTheme="minorEastAsia" w:eastAsiaTheme="minorEastAsia" w:cstheme="minorEastAsia"/>
          <w:bCs/>
          <w:color w:val="auto"/>
          <w:szCs w:val="21"/>
          <w:highlight w:val="none"/>
        </w:rPr>
        <w:t>异常情况处理：详见本章</w:t>
      </w:r>
      <w:r>
        <w:rPr>
          <w:rFonts w:hint="eastAsia" w:asciiTheme="minorEastAsia" w:hAnsiTheme="minorEastAsia" w:eastAsiaTheme="minorEastAsia" w:cstheme="minorEastAsia"/>
          <w:color w:val="auto"/>
          <w:highlight w:val="none"/>
        </w:rPr>
        <w:t>29.3 电子交易活动的中止。</w:t>
      </w:r>
      <w:r>
        <w:rPr>
          <w:rFonts w:hint="eastAsia" w:asciiTheme="minorEastAsia" w:hAnsiTheme="minorEastAsia" w:eastAsiaTheme="minorEastAsia" w:cstheme="minorEastAsia"/>
          <w:color w:val="auto"/>
          <w:szCs w:val="21"/>
          <w:highlight w:val="none"/>
        </w:rPr>
        <w:t>）</w:t>
      </w:r>
    </w:p>
    <w:p w14:paraId="600FEFB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color w:val="auto"/>
          <w:szCs w:val="21"/>
          <w:highlight w:val="none"/>
        </w:rPr>
        <w:t>电子唱标。</w:t>
      </w:r>
      <w:r>
        <w:rPr>
          <w:rFonts w:hint="eastAsia" w:asciiTheme="minorEastAsia" w:hAnsiTheme="minorEastAsia" w:eastAsiaTheme="minorEastAsia" w:cstheme="minorEastAsia"/>
          <w:color w:val="auto"/>
          <w:szCs w:val="21"/>
          <w:highlight w:val="none"/>
        </w:rPr>
        <w:t>投标文件解密结束，各投标供应商报价均在广西政府采购云平台远程不见面开标大厅展示；</w:t>
      </w:r>
    </w:p>
    <w:p w14:paraId="400A847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b/>
          <w:color w:val="auto"/>
          <w:szCs w:val="21"/>
          <w:highlight w:val="none"/>
        </w:rPr>
        <w:t>签署电子《政府采购活动现场确认声明书》。</w:t>
      </w:r>
      <w:r>
        <w:rPr>
          <w:rFonts w:hint="eastAsia" w:asciiTheme="minorEastAsia" w:hAnsiTheme="minorEastAsia" w:eastAsiaTheme="minorEastAsia" w:cstheme="minorEastAsia"/>
          <w:color w:val="auto"/>
          <w:szCs w:val="21"/>
          <w:highlight w:val="none"/>
        </w:rPr>
        <w:t>通过邮件形式在远程不见面开标大厅发送各投标人签署电子《政府采购活动现场确认声明书》。</w:t>
      </w:r>
    </w:p>
    <w:p w14:paraId="42B39CC1">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582AB395">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7976F5B">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（6）开标结束。</w:t>
      </w:r>
    </w:p>
    <w:p w14:paraId="76B0337A">
      <w:pPr>
        <w:pStyle w:val="12"/>
        <w:snapToGrid w:val="0"/>
        <w:spacing w:line="44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特别说明：</w:t>
      </w:r>
      <w:r>
        <w:rPr>
          <w:rFonts w:hint="eastAsia" w:asciiTheme="minorEastAsia" w:hAnsiTheme="minorEastAsia" w:eastAsiaTheme="minorEastAsia" w:cstheme="minorEastAsia"/>
          <w:color w:val="auto"/>
          <w:szCs w:val="21"/>
          <w:highlight w:val="none"/>
        </w:rPr>
        <w:t>如遇广西政府采购云平台电子化开标或评审程序调整的，按调整后执行。</w:t>
      </w:r>
    </w:p>
    <w:p w14:paraId="6C9C3705">
      <w:pPr>
        <w:pStyle w:val="12"/>
        <w:snapToGrid w:val="0"/>
        <w:spacing w:line="400" w:lineRule="exact"/>
        <w:ind w:left="689" w:leftChars="228" w:hanging="210" w:hangingChars="100"/>
        <w:rPr>
          <w:rFonts w:asciiTheme="minorEastAsia" w:hAnsiTheme="minorEastAsia" w:eastAsiaTheme="minorEastAsia" w:cstheme="minorEastAsia"/>
          <w:color w:val="auto"/>
          <w:highlight w:val="none"/>
        </w:rPr>
      </w:pPr>
    </w:p>
    <w:p w14:paraId="621DEDE0">
      <w:pPr>
        <w:pStyle w:val="3"/>
        <w:keepNext w:val="0"/>
        <w:keepLines w:val="0"/>
        <w:spacing w:line="400" w:lineRule="exact"/>
        <w:jc w:val="center"/>
        <w:rPr>
          <w:rFonts w:asciiTheme="minorEastAsia" w:hAnsiTheme="minorEastAsia" w:eastAsiaTheme="minorEastAsia" w:cstheme="minorEastAsia"/>
          <w:color w:val="auto"/>
          <w:highlight w:val="none"/>
        </w:rPr>
      </w:pPr>
      <w:bookmarkStart w:id="114" w:name="_Toc27569"/>
      <w:bookmarkStart w:id="115" w:name="_Toc27807"/>
      <w:r>
        <w:rPr>
          <w:rFonts w:hint="eastAsia" w:asciiTheme="minorEastAsia" w:hAnsiTheme="minorEastAsia" w:eastAsiaTheme="minorEastAsia" w:cstheme="minorEastAsia"/>
          <w:color w:val="auto"/>
          <w:highlight w:val="none"/>
        </w:rPr>
        <w:t>五、资格审查</w:t>
      </w:r>
      <w:bookmarkEnd w:id="114"/>
      <w:bookmarkEnd w:id="115"/>
    </w:p>
    <w:p w14:paraId="2B1E0569">
      <w:pPr>
        <w:pStyle w:val="5"/>
        <w:keepNext w:val="0"/>
        <w:keepLines w:val="0"/>
        <w:spacing w:before="0" w:after="0" w:line="360" w:lineRule="auto"/>
        <w:ind w:firstLine="482"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25.资格审查</w:t>
      </w:r>
    </w:p>
    <w:p w14:paraId="202A209E">
      <w:pPr>
        <w:spacing w:line="360" w:lineRule="auto"/>
        <w:ind w:firstLine="422" w:firstLineChars="200"/>
        <w:rPr>
          <w:rFonts w:asciiTheme="minorEastAsia" w:hAnsiTheme="minorEastAsia" w:eastAsiaTheme="minorEastAsia" w:cstheme="minorEastAsia"/>
          <w:b/>
          <w:bCs/>
          <w:color w:val="auto"/>
          <w:szCs w:val="20"/>
          <w:highlight w:val="none"/>
        </w:rPr>
      </w:pPr>
      <w:r>
        <w:rPr>
          <w:rFonts w:hint="eastAsia" w:asciiTheme="minorEastAsia" w:hAnsiTheme="minorEastAsia" w:eastAsiaTheme="minorEastAsia" w:cstheme="minorEastAsia"/>
          <w:b/>
          <w:bCs/>
          <w:color w:val="auto"/>
          <w:szCs w:val="20"/>
          <w:highlight w:val="none"/>
        </w:rPr>
        <w:t xml:space="preserve"> 25.1开标结束后，采购人或采购机构依法通过电子投标文件对投标人的资格进行线上审查。</w:t>
      </w:r>
    </w:p>
    <w:p w14:paraId="57D2C709">
      <w:pPr>
        <w:spacing w:line="360" w:lineRule="auto"/>
        <w:ind w:firstLine="422" w:firstLineChars="200"/>
        <w:rPr>
          <w:rFonts w:asciiTheme="minorEastAsia" w:hAnsiTheme="minorEastAsia" w:eastAsiaTheme="minorEastAsia" w:cstheme="minorEastAsia"/>
          <w:b/>
          <w:bCs/>
          <w:color w:val="auto"/>
          <w:szCs w:val="20"/>
          <w:highlight w:val="none"/>
        </w:rPr>
      </w:pPr>
      <w:r>
        <w:rPr>
          <w:rFonts w:hint="eastAsia" w:asciiTheme="minorEastAsia" w:hAnsiTheme="minorEastAsia" w:eastAsiaTheme="minorEastAsia" w:cstheme="minorEastAsia"/>
          <w:b/>
          <w:bCs/>
          <w:color w:val="auto"/>
          <w:szCs w:val="20"/>
          <w:highlight w:val="none"/>
        </w:rPr>
        <w:t xml:space="preserve"> 25.2采购人或采购机构依据法律法规和招标文件的规定，对投标人的基本资格条件、特定资格条件进行审查。</w:t>
      </w:r>
    </w:p>
    <w:p w14:paraId="39E2DF69">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68954E12">
      <w:pPr>
        <w:spacing w:line="360" w:lineRule="auto"/>
        <w:ind w:firstLine="422" w:firstLineChars="200"/>
        <w:rPr>
          <w:rFonts w:asciiTheme="minorEastAsia" w:hAnsiTheme="minorEastAsia" w:eastAsiaTheme="minorEastAsia" w:cstheme="minorEastAsia"/>
          <w:b/>
          <w:bCs/>
          <w:color w:val="auto"/>
          <w:szCs w:val="20"/>
          <w:highlight w:val="none"/>
        </w:rPr>
      </w:pPr>
      <w:bookmarkStart w:id="116" w:name="_25.3_投标人有下列情形之一的，资格审查不通过而导致其投标无效："/>
      <w:bookmarkEnd w:id="116"/>
      <w:r>
        <w:rPr>
          <w:rFonts w:hint="eastAsia" w:asciiTheme="minorEastAsia" w:hAnsiTheme="minorEastAsia" w:eastAsiaTheme="minorEastAsia" w:cstheme="minorEastAsia"/>
          <w:b/>
          <w:bCs/>
          <w:color w:val="auto"/>
          <w:szCs w:val="20"/>
          <w:highlight w:val="none"/>
        </w:rPr>
        <w:t>25.4投标人有下列情形之一的，资格审查不通过，作无效投标处理：</w:t>
      </w:r>
    </w:p>
    <w:p w14:paraId="132B4882">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（1）不具备招标文件中规定的资格要求的；（注：其中信用查询规则见“投标人须知前附表”，</w:t>
      </w:r>
      <w:r>
        <w:rPr>
          <w:rFonts w:hint="eastAsia" w:asciiTheme="minorEastAsia" w:hAnsiTheme="minorEastAsia" w:eastAsiaTheme="minorEastAsia" w:cstheme="minorEastAsia"/>
          <w:color w:val="auto"/>
          <w:szCs w:val="21"/>
          <w:highlight w:val="none"/>
        </w:rPr>
        <w:t>广西政府采购云平台</w:t>
      </w:r>
      <w:r>
        <w:rPr>
          <w:rFonts w:hint="eastAsia" w:asciiTheme="minorEastAsia" w:hAnsiTheme="minorEastAsia" w:eastAsiaTheme="minorEastAsia" w:cstheme="minorEastAsia"/>
          <w:color w:val="auto"/>
          <w:highlight w:val="none"/>
        </w:rPr>
        <w:t>已与“信用中国”平台做接口，审查专家可直接在线查询）</w:t>
      </w:r>
    </w:p>
    <w:p w14:paraId="791748A8">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（2）投标文件未提供任一项“投标人须知前附表”资格证明文件规定的“必须提供”的文件资料的；</w:t>
      </w:r>
    </w:p>
    <w:p w14:paraId="6A1E91B8">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（3）投标文件提供的资格证明文件出现任一项不符合“投标人须知前附表”资格证明文件规定的“必须提供”的文件资料要求或者无效的。</w:t>
      </w:r>
    </w:p>
    <w:p w14:paraId="400EFBFD">
      <w:pPr>
        <w:pStyle w:val="5"/>
        <w:keepNext w:val="0"/>
        <w:keepLines w:val="0"/>
        <w:spacing w:before="0" w:after="0" w:line="360" w:lineRule="auto"/>
        <w:ind w:firstLine="420" w:firstLineChars="200"/>
        <w:rPr>
          <w:rFonts w:asciiTheme="minorEastAsia" w:hAnsiTheme="minorEastAsia" w:eastAsiaTheme="minorEastAsia" w:cstheme="minorEastAsia"/>
          <w:b w:val="0"/>
          <w:bCs w:val="0"/>
          <w:color w:val="auto"/>
          <w:sz w:val="21"/>
          <w:szCs w:val="20"/>
          <w:highlight w:val="none"/>
        </w:rPr>
      </w:pPr>
      <w:r>
        <w:rPr>
          <w:rFonts w:hint="eastAsia" w:asciiTheme="minorEastAsia" w:hAnsiTheme="minorEastAsia" w:eastAsiaTheme="minorEastAsia" w:cstheme="minorEastAsia"/>
          <w:b w:val="0"/>
          <w:bCs w:val="0"/>
          <w:color w:val="auto"/>
          <w:sz w:val="21"/>
          <w:szCs w:val="20"/>
          <w:highlight w:val="none"/>
        </w:rPr>
        <w:t>25.5资格审查的合格投标人不足3家的，不得评标。</w:t>
      </w:r>
    </w:p>
    <w:p w14:paraId="74A5C1B6">
      <w:pPr>
        <w:pStyle w:val="3"/>
        <w:keepNext w:val="0"/>
        <w:keepLines w:val="0"/>
        <w:spacing w:line="360" w:lineRule="auto"/>
        <w:jc w:val="center"/>
        <w:rPr>
          <w:rFonts w:asciiTheme="minorEastAsia" w:hAnsiTheme="minorEastAsia" w:eastAsiaTheme="minorEastAsia" w:cstheme="minorEastAsia"/>
          <w:color w:val="auto"/>
          <w:highlight w:val="none"/>
        </w:rPr>
      </w:pPr>
      <w:bookmarkStart w:id="117" w:name="_Toc29672"/>
      <w:bookmarkStart w:id="118" w:name="_Toc7226"/>
      <w:r>
        <w:rPr>
          <w:rFonts w:hint="eastAsia" w:asciiTheme="minorEastAsia" w:hAnsiTheme="minorEastAsia" w:eastAsiaTheme="minorEastAsia" w:cstheme="minorEastAsia"/>
          <w:color w:val="auto"/>
          <w:highlight w:val="none"/>
        </w:rPr>
        <w:t>六、评   标</w:t>
      </w:r>
      <w:bookmarkEnd w:id="117"/>
      <w:bookmarkEnd w:id="118"/>
    </w:p>
    <w:p w14:paraId="10778B6C">
      <w:pPr>
        <w:spacing w:line="360" w:lineRule="auto"/>
        <w:ind w:firstLine="480" w:firstLineChars="200"/>
        <w:rPr>
          <w:rFonts w:asciiTheme="minorEastAsia" w:hAnsiTheme="minorEastAsia" w:eastAsiaTheme="minorEastAsia" w:cstheme="minorEastAsia"/>
          <w:color w:val="auto"/>
          <w:sz w:val="24"/>
          <w:highlight w:val="none"/>
        </w:rPr>
      </w:pPr>
      <w:bookmarkStart w:id="119" w:name="_26.组建评标委员会"/>
      <w:bookmarkEnd w:id="119"/>
      <w:r>
        <w:rPr>
          <w:rFonts w:hint="eastAsia" w:asciiTheme="minorEastAsia" w:hAnsiTheme="minorEastAsia" w:eastAsiaTheme="minorEastAsia" w:cstheme="minorEastAsia"/>
          <w:color w:val="auto"/>
          <w:sz w:val="24"/>
          <w:highlight w:val="none"/>
        </w:rPr>
        <w:t>26.组建评标委员会</w:t>
      </w:r>
    </w:p>
    <w:p w14:paraId="79C55E30">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评标委员会由采购人代表和评审专家组成，人数为5人以上单数，其中评审专家不得少于成员总数的三分之二。</w:t>
      </w:r>
    </w:p>
    <w:p w14:paraId="01AE8B73">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参加过采购项目前期咨询论证的专家，不得参加该采购项目的评审活动。</w:t>
      </w:r>
    </w:p>
    <w:p w14:paraId="6EEDAE1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27.评标的依据</w:t>
      </w:r>
    </w:p>
    <w:p w14:paraId="6326928D">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评标委员会以招标文件为依据对投标文件进行评审，“第四章 评标方法和评标标准”没有规定的方法、评审因素和标准，不作为评标依据。</w:t>
      </w:r>
    </w:p>
    <w:p w14:paraId="3D95B48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28.评标原则</w:t>
      </w:r>
    </w:p>
    <w:p w14:paraId="735012FD">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1DD2289">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0" w:name="_28.3评标方法。本项目将按须知前附表规定的评标办法进行评标，具体评标"/>
      <w:bookmarkEnd w:id="120"/>
    </w:p>
    <w:p w14:paraId="0BCF2220">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D366984">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28.4评标过程的监控。本项目电子评标过程实行网上留痕、全程录音、录像监控，投标人在评标过程中所进行的试图影响评标结果的不公正活动，可能导致其投标按无效处理。</w:t>
      </w:r>
    </w:p>
    <w:p w14:paraId="37565B56">
      <w:pPr>
        <w:widowControl/>
        <w:spacing w:line="560" w:lineRule="exact"/>
        <w:ind w:firstLine="420" w:firstLineChars="200"/>
        <w:jc w:val="left"/>
        <w:textAlignment w:val="baseline"/>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63705EA">
      <w:pPr>
        <w:widowControl/>
        <w:spacing w:line="560" w:lineRule="exact"/>
        <w:ind w:firstLine="420" w:firstLineChars="200"/>
        <w:jc w:val="left"/>
        <w:textAlignment w:val="baseline"/>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28.6  在招标采购中，符合专业条件的供应商或者对招标文件作实质响应的供应商不足3家的，应予以废标。</w:t>
      </w:r>
    </w:p>
    <w:p w14:paraId="430D959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29.评标方法及评标标准</w:t>
      </w:r>
    </w:p>
    <w:p w14:paraId="02F237B0">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29.1本项目的评标方法详见“投标人须知前附表”。</w:t>
      </w:r>
    </w:p>
    <w:p w14:paraId="1D890C5A">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29.2 评标委员会按照</w:t>
      </w:r>
      <w:r>
        <w:rPr>
          <w:rFonts w:hint="eastAsia" w:asciiTheme="minorEastAsia" w:hAnsiTheme="minorEastAsia" w:eastAsiaTheme="minorEastAsia" w:cstheme="minorEastAsia"/>
          <w:b/>
          <w:color w:val="auto"/>
          <w:highlight w:val="none"/>
        </w:rPr>
        <w:t>“第四章 评标方法和评标标准”</w:t>
      </w:r>
      <w:r>
        <w:rPr>
          <w:rFonts w:hint="eastAsia" w:asciiTheme="minorEastAsia" w:hAnsiTheme="minorEastAsia" w:eastAsiaTheme="minorEastAsia" w:cstheme="minorEastAsia"/>
          <w:color w:val="auto"/>
          <w:highlight w:val="none"/>
        </w:rPr>
        <w:t>规定的方法、评审因素、标准和程序对投标文件进行评审。</w:t>
      </w:r>
    </w:p>
    <w:p w14:paraId="5048B486">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29.3 电子交易活动的中止。采购过程中出现以下情形，导致电子交易平台无法正常运行，或者无法保证电子交易的公平、公正和安全时，采购机构可中止电子交易活动：</w:t>
      </w:r>
    </w:p>
    <w:p w14:paraId="428003C0">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（1）电子交易平台发生故障而无法登录访问的； </w:t>
      </w:r>
    </w:p>
    <w:p w14:paraId="622B381F">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（2）电子交易平台应用或数据库出现错误，不能进行正常操作的；</w:t>
      </w:r>
    </w:p>
    <w:p w14:paraId="317728BD">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（3）电子交易平台发现严重安全漏洞，有潜在泄密危险的；</w:t>
      </w:r>
    </w:p>
    <w:p w14:paraId="0D497483">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（4）病毒发作导致不能进行正常操作的； </w:t>
      </w:r>
    </w:p>
    <w:p w14:paraId="1A8FFBEC">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（4）其他无法保证电子交易的公平、公正和安全的情况。</w:t>
      </w:r>
    </w:p>
    <w:p w14:paraId="721A4072">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D4BC3D5">
      <w:pPr>
        <w:pStyle w:val="12"/>
        <w:snapToGrid w:val="0"/>
        <w:spacing w:line="400" w:lineRule="exact"/>
        <w:ind w:firstLine="420" w:firstLineChars="200"/>
        <w:rPr>
          <w:rFonts w:asciiTheme="minorEastAsia" w:hAnsiTheme="minorEastAsia" w:eastAsiaTheme="minorEastAsia" w:cstheme="minorEastAsia"/>
          <w:color w:val="auto"/>
          <w:highlight w:val="none"/>
        </w:rPr>
      </w:pPr>
    </w:p>
    <w:p w14:paraId="31E748F3">
      <w:pPr>
        <w:pStyle w:val="3"/>
        <w:keepNext w:val="0"/>
        <w:keepLines w:val="0"/>
        <w:spacing w:line="400" w:lineRule="exact"/>
        <w:jc w:val="center"/>
        <w:rPr>
          <w:rFonts w:asciiTheme="minorEastAsia" w:hAnsiTheme="minorEastAsia" w:eastAsiaTheme="minorEastAsia" w:cstheme="minorEastAsia"/>
          <w:color w:val="auto"/>
          <w:highlight w:val="none"/>
        </w:rPr>
      </w:pPr>
      <w:bookmarkStart w:id="121" w:name="_Toc254970546"/>
      <w:bookmarkStart w:id="122" w:name="_Toc254970687"/>
      <w:bookmarkStart w:id="123" w:name="_Toc16966"/>
      <w:bookmarkStart w:id="124" w:name="_Toc8266"/>
      <w:r>
        <w:rPr>
          <w:rFonts w:hint="eastAsia" w:asciiTheme="minorEastAsia" w:hAnsiTheme="minorEastAsia" w:eastAsiaTheme="minorEastAsia" w:cstheme="minorEastAsia"/>
          <w:color w:val="auto"/>
          <w:highlight w:val="none"/>
        </w:rPr>
        <w:t>七、</w:t>
      </w:r>
      <w:bookmarkEnd w:id="121"/>
      <w:bookmarkEnd w:id="122"/>
      <w:r>
        <w:rPr>
          <w:rFonts w:hint="eastAsia" w:asciiTheme="minorEastAsia" w:hAnsiTheme="minorEastAsia" w:eastAsiaTheme="minorEastAsia" w:cstheme="minorEastAsia"/>
          <w:color w:val="auto"/>
          <w:highlight w:val="none"/>
        </w:rPr>
        <w:t>中标和合同</w:t>
      </w:r>
      <w:bookmarkEnd w:id="123"/>
      <w:bookmarkEnd w:id="124"/>
    </w:p>
    <w:p w14:paraId="1AC1C6B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30.确定中标人</w:t>
      </w:r>
    </w:p>
    <w:p w14:paraId="695293D7">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30.1本项目授权评标委员会直接按第四章“评标方法及标准”的规定排列中标候选人顺序，并依照次序确定中标人。</w:t>
      </w:r>
    </w:p>
    <w:p w14:paraId="5E6214A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4F239DA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30.3中标供应商无正当理由拒签合同的，根据《中华人民共和国政府采购法》第七十七条第一款规定处理。</w:t>
      </w:r>
    </w:p>
    <w:p w14:paraId="1F99B40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30.4根据《中华人民共和国民法典》</w:t>
      </w:r>
      <w:r>
        <w:rPr>
          <w:rFonts w:hint="eastAsia" w:asciiTheme="minorEastAsia" w:hAnsiTheme="minorEastAsia" w:eastAsiaTheme="minorEastAsia" w:cstheme="minorEastAsia"/>
          <w:color w:val="auto"/>
          <w:sz w:val="19"/>
          <w:szCs w:val="19"/>
          <w:highlight w:val="none"/>
        </w:rPr>
        <w:t>第五百六十三条</w:t>
      </w:r>
      <w:r>
        <w:rPr>
          <w:rFonts w:hint="eastAsia" w:asciiTheme="minorEastAsia" w:hAnsiTheme="minorEastAsia" w:eastAsiaTheme="minorEastAsia" w:cstheme="minorEastAsia"/>
          <w:color w:val="auto"/>
          <w:szCs w:val="21"/>
          <w:highlight w:val="none"/>
        </w:rPr>
        <w:t>，因不可抗力致使不能实现合同目的的，当事人可以解除合同。</w:t>
      </w:r>
    </w:p>
    <w:p w14:paraId="63BEADE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结果公告</w:t>
      </w:r>
    </w:p>
    <w:p w14:paraId="35A83A75">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31.1</w:t>
      </w:r>
      <w:r>
        <w:rPr>
          <w:rFonts w:hint="eastAsia" w:asciiTheme="minorEastAsia" w:hAnsiTheme="minorEastAsia" w:eastAsiaTheme="minorEastAsia" w:cstheme="minorEastAsia"/>
          <w:color w:val="auto"/>
          <w:highlight w:val="none"/>
        </w:rPr>
        <w:t>在中标供应商确定之日起2个工作日内，由采购代理机构</w:t>
      </w:r>
      <w:r>
        <w:rPr>
          <w:rFonts w:hint="eastAsia" w:asciiTheme="minorEastAsia" w:hAnsiTheme="minorEastAsia" w:eastAsiaTheme="minorEastAsia" w:cstheme="minorEastAsia"/>
          <w:b/>
          <w:color w:val="auto"/>
          <w:szCs w:val="21"/>
          <w:highlight w:val="none"/>
        </w:rPr>
        <w:t>在招标公告发布媒体上</w:t>
      </w:r>
      <w:r>
        <w:rPr>
          <w:rFonts w:hint="eastAsia" w:asciiTheme="minorEastAsia" w:hAnsiTheme="minorEastAsia" w:eastAsiaTheme="minorEastAsia" w:cstheme="minorEastAsia"/>
          <w:color w:val="auto"/>
          <w:highlight w:val="none"/>
        </w:rPr>
        <w:t>发布中标结果公告，中标结果公告期限为1个工作日，发布中标结果公告的同时向中标供应商发出中标通知书。</w:t>
      </w:r>
      <w:r>
        <w:rPr>
          <w:rFonts w:hint="eastAsia" w:asciiTheme="minorEastAsia" w:hAnsiTheme="minorEastAsia" w:eastAsiaTheme="minorEastAsia" w:cstheme="minorEastAsia"/>
          <w:b/>
          <w:color w:val="auto"/>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Theme="minorEastAsia" w:hAnsiTheme="minorEastAsia" w:eastAsiaTheme="minorEastAsia" w:cstheme="minorEastAsia"/>
          <w:color w:val="auto"/>
          <w:szCs w:val="21"/>
          <w:highlight w:val="none"/>
        </w:rPr>
        <w:t>排名第二的中标候选人因前款规定的同样原因被取消中标资格的，授权的评标委员会可以确定排名第三的中标候选人为中标人，以此类推。</w:t>
      </w:r>
    </w:p>
    <w:p w14:paraId="31996FA5">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以上信息查询记录及相关证据与采购文件一并保存。</w:t>
      </w:r>
    </w:p>
    <w:p w14:paraId="400DEB7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2065D43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32.发出中标通知书</w:t>
      </w:r>
    </w:p>
    <w:p w14:paraId="6F0767F0">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32.1在发布中标公告的同时，采购代理机构向中标人通过广西政府采购云平台发出电子中标通知书。</w:t>
      </w:r>
    </w:p>
    <w:p w14:paraId="2ED1F852">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70E6188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 无义务解释未中标原因</w:t>
      </w:r>
    </w:p>
    <w:p w14:paraId="4C987537">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采购代理机构无义务向未中标的投标人解释未中标原因和退还投标文件。</w:t>
      </w:r>
    </w:p>
    <w:p w14:paraId="613ED6A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34.合同授予标准</w:t>
      </w:r>
    </w:p>
    <w:p w14:paraId="4CAAF89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合同将授予被确定实质上响应招标文件要求，具备履行合同能力的中标人（招标文件另有约定多名中标人的除外）。</w:t>
      </w:r>
    </w:p>
    <w:p w14:paraId="22D28CE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35.履约保证金</w:t>
      </w:r>
    </w:p>
    <w:p w14:paraId="0CAC8A60">
      <w:pPr>
        <w:spacing w:line="360" w:lineRule="auto"/>
        <w:ind w:firstLine="420" w:firstLineChars="200"/>
        <w:rPr>
          <w:rFonts w:asciiTheme="minorEastAsia" w:hAnsiTheme="minorEastAsia" w:eastAsiaTheme="minorEastAsia" w:cstheme="minorEastAsia"/>
          <w:color w:val="auto"/>
          <w:szCs w:val="21"/>
          <w:highlight w:val="none"/>
        </w:rPr>
      </w:pPr>
      <w:bookmarkStart w:id="125" w:name="_39.1中标人须于签订合同前按本须知前附表规定的金额转账或电汇到指定账"/>
      <w:bookmarkEnd w:id="125"/>
      <w:r>
        <w:rPr>
          <w:rFonts w:hint="eastAsia" w:asciiTheme="minorEastAsia" w:hAnsiTheme="minorEastAsia" w:eastAsiaTheme="minorEastAsia" w:cstheme="minorEastAsia"/>
          <w:color w:val="auto"/>
          <w:szCs w:val="21"/>
          <w:highlight w:val="none"/>
        </w:rPr>
        <w:t>见“投标人须知前附表”。</w:t>
      </w:r>
    </w:p>
    <w:p w14:paraId="5AA8FEC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36.签订合同</w:t>
      </w:r>
    </w:p>
    <w:p w14:paraId="278AFED2">
      <w:pPr>
        <w:pStyle w:val="32"/>
        <w:snapToGrid w:val="0"/>
        <w:spacing w:before="0"/>
        <w:ind w:firstLine="422"/>
        <w:rPr>
          <w:rFonts w:asciiTheme="minorEastAsia" w:hAnsiTheme="minorEastAsia" w:eastAsiaTheme="minorEastAsia" w:cstheme="minorEastAsia"/>
          <w:color w:val="auto"/>
          <w:kern w:val="0"/>
          <w:sz w:val="21"/>
          <w:szCs w:val="21"/>
          <w:highlight w:val="none"/>
          <w:lang w:val="zh-CN"/>
        </w:rPr>
      </w:pPr>
      <w:bookmarkStart w:id="126" w:name="_40.1投标人接到中标通知书后，按须知前附表规定向采购人出示相关资格证"/>
      <w:bookmarkEnd w:id="126"/>
      <w:r>
        <w:rPr>
          <w:rFonts w:hint="eastAsia" w:asciiTheme="minorEastAsia" w:hAnsiTheme="minorEastAsia" w:eastAsiaTheme="minorEastAsia" w:cstheme="minorEastAsia"/>
          <w:b/>
          <w:color w:val="auto"/>
          <w:sz w:val="21"/>
          <w:szCs w:val="21"/>
          <w:highlight w:val="none"/>
        </w:rPr>
        <w:t xml:space="preserve"> 36.1中标人领取电子中标通知书后，</w:t>
      </w:r>
      <w:r>
        <w:rPr>
          <w:rFonts w:hint="eastAsia" w:asciiTheme="minorEastAsia" w:hAnsiTheme="minorEastAsia" w:eastAsiaTheme="minorEastAsia" w:cstheme="minorEastAsia"/>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4423F0E7">
      <w:pPr>
        <w:pStyle w:val="32"/>
        <w:snapToGrid w:val="0"/>
        <w:spacing w:before="0"/>
        <w:ind w:firstLine="420"/>
        <w:rPr>
          <w:rFonts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36.2</w:t>
      </w:r>
      <w:r>
        <w:rPr>
          <w:rFonts w:hint="eastAsia" w:asciiTheme="minorEastAsia" w:hAnsiTheme="minorEastAsia" w:eastAsiaTheme="minorEastAsia" w:cstheme="minorEastAsia"/>
          <w:color w:val="auto"/>
          <w:sz w:val="21"/>
          <w:szCs w:val="21"/>
          <w:highlight w:val="none"/>
        </w:rPr>
        <w:t>采购合同由采购人与中标供应商根据招标文件、投标文件等内容通过政府采购电子交易平台在线签订，自动备案。</w:t>
      </w:r>
    </w:p>
    <w:p w14:paraId="7AF4925D">
      <w:pPr>
        <w:pStyle w:val="32"/>
        <w:snapToGrid w:val="0"/>
        <w:spacing w:before="0"/>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36.3签订合同时间：按中标通知书规定的时间与采购人签订合同（最长不能超过25日）。</w:t>
      </w:r>
    </w:p>
    <w:p w14:paraId="01BDB2F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384EFC6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A4C69E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0660BC3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36.7如签订合同并生效后，供应商无故拒绝或延期，除按照合同条款处理外，将承担相应的法律责任。</w:t>
      </w:r>
    </w:p>
    <w:p w14:paraId="4C2A2627">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14:paraId="2FA65738">
      <w:pPr>
        <w:spacing w:line="360" w:lineRule="auto"/>
        <w:ind w:firstLine="480" w:firstLineChars="200"/>
        <w:rPr>
          <w:rFonts w:asciiTheme="minorEastAsia" w:hAnsiTheme="minorEastAsia" w:eastAsiaTheme="minorEastAsia" w:cstheme="minorEastAsia"/>
          <w:color w:val="auto"/>
          <w:sz w:val="24"/>
          <w:highlight w:val="none"/>
        </w:rPr>
      </w:pPr>
      <w:bookmarkStart w:id="127" w:name="_41.政府采购合同公告"/>
      <w:bookmarkEnd w:id="127"/>
      <w:r>
        <w:rPr>
          <w:rFonts w:hint="eastAsia" w:asciiTheme="minorEastAsia" w:hAnsiTheme="minorEastAsia" w:eastAsiaTheme="minorEastAsia" w:cstheme="minorEastAsia"/>
          <w:color w:val="auto"/>
          <w:sz w:val="24"/>
          <w:highlight w:val="none"/>
        </w:rPr>
        <w:t>37.政府采购合同公告</w:t>
      </w:r>
    </w:p>
    <w:p w14:paraId="1578130B">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采购人或者受托采购代理机构应当自政府采购合同签订之日起2个工作日内，将政府采购合同</w:t>
      </w:r>
      <w:r>
        <w:rPr>
          <w:rFonts w:hint="eastAsia" w:asciiTheme="minorEastAsia" w:hAnsiTheme="minorEastAsia" w:eastAsiaTheme="minorEastAsia" w:cstheme="minorEastAsia"/>
          <w:bCs/>
          <w:color w:val="auto"/>
          <w:highlight w:val="none"/>
        </w:rPr>
        <w:t>在以下媒体上发布</w:t>
      </w:r>
      <w:r>
        <w:rPr>
          <w:rFonts w:hint="eastAsia" w:asciiTheme="minorEastAsia" w:hAnsiTheme="minorEastAsia" w:eastAsiaTheme="minorEastAsia" w:cstheme="minorEastAsia"/>
          <w:color w:val="auto"/>
          <w:kern w:val="0"/>
          <w:szCs w:val="21"/>
          <w:highlight w:val="none"/>
        </w:rPr>
        <w:t xml:space="preserve"> “广西政府采购网”（http://zfcg.gxzf.gov.cn）</w:t>
      </w:r>
      <w:r>
        <w:rPr>
          <w:rFonts w:hint="eastAsia" w:asciiTheme="minorEastAsia" w:hAnsiTheme="minorEastAsia" w:eastAsiaTheme="minorEastAsia" w:cstheme="minorEastAsia"/>
          <w:color w:val="auto"/>
          <w:highlight w:val="none"/>
        </w:rPr>
        <w:t>上公告，但政府采购合同中涉及国家秘密、商业秘密的内容除外。</w:t>
      </w:r>
    </w:p>
    <w:p w14:paraId="6EA5C13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38. 询问、质疑和投诉</w:t>
      </w:r>
    </w:p>
    <w:p w14:paraId="056C025E">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38.1询问</w:t>
      </w:r>
    </w:p>
    <w:p w14:paraId="7D6B6325">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38.1.1供应商在开标前对政府采购活动事项有疑问的，可以向采购人或采购代理机构项目负责人提出询问。</w:t>
      </w:r>
    </w:p>
    <w:p w14:paraId="0CB0B8AE">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38.1.2采购人或采购人委托的采购代理机构自受理询问之日起3个工作日内对供应商依法提出的询问作出答复，</w:t>
      </w:r>
      <w:r>
        <w:rPr>
          <w:rFonts w:hint="eastAsia" w:asciiTheme="minorEastAsia" w:hAnsiTheme="minorEastAsia" w:eastAsiaTheme="minorEastAsia" w:cstheme="minorEastAsia"/>
          <w:color w:val="auto"/>
          <w:highlight w:val="none"/>
        </w:rPr>
        <w:t>但答复内容不得涉及商业秘密</w:t>
      </w:r>
      <w:r>
        <w:rPr>
          <w:rFonts w:hint="eastAsia" w:asciiTheme="minorEastAsia" w:hAnsiTheme="minorEastAsia" w:eastAsiaTheme="minorEastAsia" w:cstheme="minorEastAsia"/>
          <w:bCs/>
          <w:color w:val="auto"/>
          <w:szCs w:val="21"/>
          <w:highlight w:val="none"/>
        </w:rPr>
        <w:t>。</w:t>
      </w:r>
    </w:p>
    <w:p w14:paraId="020EAD98">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38.1.3 询问事项可能影响中标、成交结果的，采购人应当暂停签订合同，已经签订合同的，应当中止履行合同。</w:t>
      </w:r>
    </w:p>
    <w:p w14:paraId="73015056">
      <w:pPr>
        <w:spacing w:line="360" w:lineRule="auto"/>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 xml:space="preserve"> </w:t>
      </w:r>
      <w:r>
        <w:rPr>
          <w:rFonts w:hint="eastAsia" w:asciiTheme="minorEastAsia" w:hAnsiTheme="minorEastAsia" w:eastAsiaTheme="minorEastAsia" w:cstheme="minorEastAsia"/>
          <w:color w:val="auto"/>
          <w:szCs w:val="21"/>
          <w:highlight w:val="none"/>
        </w:rPr>
        <w:t>38.2质疑</w:t>
      </w:r>
    </w:p>
    <w:p w14:paraId="3FFDE760">
      <w:pPr>
        <w:spacing w:line="360" w:lineRule="auto"/>
        <w:ind w:firstLine="420"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38.2.1</w:t>
      </w:r>
      <w:r>
        <w:rPr>
          <w:rFonts w:hint="eastAsia" w:asciiTheme="minorEastAsia" w:hAnsiTheme="minorEastAsia" w:eastAsiaTheme="minorEastAsia" w:cstheme="minorEastAsia"/>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116CD7A">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（1）潜在供应商依法获取公开招标文件后，认为采购文件使自己的权益受到损害的，应当在公开招标文件公告期限届满之日起7个工作日内提出质疑。</w:t>
      </w:r>
      <w:r>
        <w:rPr>
          <w:rFonts w:hint="eastAsia" w:asciiTheme="minorEastAsia" w:hAnsiTheme="minorEastAsia" w:eastAsiaTheme="minorEastAsia" w:cstheme="minorEastAsia"/>
          <w:color w:val="auto"/>
          <w:highlight w:val="none"/>
        </w:rPr>
        <w:t>委托代理协议无特殊约定的，</w:t>
      </w:r>
      <w:r>
        <w:rPr>
          <w:rFonts w:hint="eastAsia" w:asciiTheme="minorEastAsia" w:hAnsiTheme="minorEastAsia" w:eastAsiaTheme="minorEastAsia" w:cstheme="minorEastAsia"/>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488854CB">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0723C0F">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（3）供应商认为中标或者成交结果使自己的权益受到损害的，应当在中标或者成交结果公告期限届满之日起7个工作日内提出质疑，由采购人受理并负责答复。</w:t>
      </w:r>
    </w:p>
    <w:p w14:paraId="1BBDB64B">
      <w:pPr>
        <w:spacing w:line="360" w:lineRule="auto"/>
        <w:ind w:firstLine="422"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bCs/>
          <w:color w:val="auto"/>
          <w:szCs w:val="21"/>
          <w:highlight w:val="none"/>
        </w:rPr>
        <w:t>38.2.2</w:t>
      </w:r>
      <w:r>
        <w:rPr>
          <w:rFonts w:hint="eastAsia" w:asciiTheme="minorEastAsia" w:hAnsiTheme="minorEastAsia" w:eastAsiaTheme="minorEastAsia" w:cstheme="minorEastAsia"/>
          <w:bCs/>
          <w:color w:val="auto"/>
          <w:szCs w:val="21"/>
          <w:highlight w:val="none"/>
        </w:rPr>
        <w:t>供应商质疑实行实名制，其质疑应当有具体的质疑事项及事实根据，质疑应当坚持依法依规、诚实信用原则，不得进行虚假、恶意质疑。</w:t>
      </w:r>
    </w:p>
    <w:p w14:paraId="115C1F65">
      <w:pPr>
        <w:spacing w:line="360" w:lineRule="auto"/>
        <w:ind w:firstLine="422"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bCs/>
          <w:color w:val="auto"/>
          <w:highlight w:val="none"/>
        </w:rPr>
        <w:t>38.2.3</w:t>
      </w:r>
      <w:r>
        <w:rPr>
          <w:rFonts w:hint="eastAsia" w:asciiTheme="minorEastAsia" w:hAnsiTheme="minorEastAsia" w:eastAsiaTheme="minorEastAsia" w:cstheme="minorEastAsia"/>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Theme="minorEastAsia" w:hAnsiTheme="minorEastAsia" w:eastAsiaTheme="minorEastAsia" w:cstheme="minorEastAsia"/>
          <w:color w:val="auto"/>
          <w:highlight w:val="none"/>
        </w:rPr>
        <w:t>。</w:t>
      </w:r>
    </w:p>
    <w:p w14:paraId="02817614">
      <w:pPr>
        <w:spacing w:line="360" w:lineRule="auto"/>
        <w:ind w:firstLine="42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38.2.4 质疑供应商提起质疑应当符合下列条件：</w:t>
      </w:r>
    </w:p>
    <w:p w14:paraId="5C962B2F">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（1）质疑供应商是参与所质疑</w:t>
      </w:r>
      <w:r>
        <w:rPr>
          <w:rFonts w:hint="eastAsia" w:asciiTheme="minorEastAsia" w:hAnsiTheme="minorEastAsia" w:eastAsiaTheme="minorEastAsia" w:cstheme="minorEastAsia"/>
          <w:bCs/>
          <w:color w:val="auto"/>
          <w:szCs w:val="21"/>
          <w:highlight w:val="none"/>
        </w:rPr>
        <w:t>项目</w:t>
      </w:r>
      <w:r>
        <w:rPr>
          <w:rFonts w:hint="eastAsia" w:asciiTheme="minorEastAsia" w:hAnsiTheme="minorEastAsia" w:eastAsiaTheme="minorEastAsia" w:cstheme="minorEastAsia"/>
          <w:bCs/>
          <w:color w:val="auto"/>
          <w:highlight w:val="none"/>
        </w:rPr>
        <w:t>采购活动的供应商（潜在供应商已依法获取采购文件的，可以对该采购文件质疑）；</w:t>
      </w:r>
    </w:p>
    <w:p w14:paraId="74EAD900">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（2）质疑函内容符合本章第38.2.5项的规定；</w:t>
      </w:r>
    </w:p>
    <w:p w14:paraId="6387089A">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（3）在质疑有效期限内提起质疑；</w:t>
      </w:r>
    </w:p>
    <w:p w14:paraId="05C0A28D">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（4）属于所质疑的采购人或采购人委托的采购代理机构组织的采购活动；</w:t>
      </w:r>
    </w:p>
    <w:p w14:paraId="2CE63FB2">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（5）同一质疑事项未经采购人或采购人委托的采购代理机构质疑处理； </w:t>
      </w:r>
    </w:p>
    <w:p w14:paraId="42405A17">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（6）供应商对同一采购程序环节的质疑应当在质疑有效期内一次性提出；</w:t>
      </w:r>
    </w:p>
    <w:p w14:paraId="06AED47F">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（7）供应商提交质疑应当提交必要的证明材料，证明材料应以合法手段取得；</w:t>
      </w:r>
    </w:p>
    <w:p w14:paraId="623C8B6F">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highlight w:val="none"/>
        </w:rPr>
        <w:t>（8）财政部门规定的其他条件。</w:t>
      </w:r>
    </w:p>
    <w:p w14:paraId="569B8371">
      <w:pPr>
        <w:spacing w:line="360" w:lineRule="auto"/>
        <w:ind w:firstLine="420" w:firstLineChars="200"/>
        <w:rPr>
          <w:rFonts w:asciiTheme="minorEastAsia" w:hAnsiTheme="minorEastAsia" w:eastAsiaTheme="minorEastAsia" w:cstheme="minorEastAsia"/>
          <w:b/>
          <w:color w:val="auto"/>
          <w:szCs w:val="21"/>
          <w:highlight w:val="none"/>
        </w:rPr>
      </w:pPr>
      <w:bookmarkStart w:id="128" w:name="_9.2质疑、投诉应当采用书面形式，质疑函、投诉书均应明确阐述招标文件、"/>
      <w:bookmarkEnd w:id="128"/>
      <w:r>
        <w:rPr>
          <w:rFonts w:hint="eastAsia" w:asciiTheme="minorEastAsia" w:hAnsiTheme="minorEastAsia" w:eastAsiaTheme="minorEastAsia" w:cstheme="minorEastAsia"/>
          <w:color w:val="auto"/>
          <w:szCs w:val="21"/>
          <w:highlight w:val="none"/>
        </w:rPr>
        <w:t xml:space="preserve"> 38.2.5 </w:t>
      </w:r>
      <w:r>
        <w:rPr>
          <w:rFonts w:hint="eastAsia" w:asciiTheme="minorEastAsia" w:hAnsiTheme="minorEastAsia" w:eastAsiaTheme="minorEastAsia" w:cstheme="minorEastAsia"/>
          <w:bCs/>
          <w:color w:val="auto"/>
          <w:highlight w:val="none"/>
        </w:rPr>
        <w:t>供应商提出质疑应当提交质疑函和必要的证明材料，针对同一采购程序环节的质疑必须在法定质疑期内一次性提出。质疑函应当包括下列内容（质疑函格式后附）：</w:t>
      </w:r>
    </w:p>
    <w:p w14:paraId="7AA4ECA4">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（1）供应商的姓名或者名称、地址、邮编、联系人及联系电话；</w:t>
      </w:r>
    </w:p>
    <w:p w14:paraId="2DF97EE8">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（2）质疑项目的名称、编号；</w:t>
      </w:r>
    </w:p>
    <w:p w14:paraId="7CED47D7">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（3）具体、明确的质疑事项和与质疑事项相关的请求；</w:t>
      </w:r>
    </w:p>
    <w:p w14:paraId="00DF6F62">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（4）事实依据（列明权益受到损害的事实和理由）；</w:t>
      </w:r>
    </w:p>
    <w:p w14:paraId="25DD7E8A">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（5）必要的法律依据；</w:t>
      </w:r>
    </w:p>
    <w:p w14:paraId="3370BBCB">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（6）提出质疑的日期。</w:t>
      </w:r>
    </w:p>
    <w:p w14:paraId="75903F06">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供应商为自然人的，应当由本人签字；供应商为法人或者其他组织的，应当由法定代表人、主要负责人，或者其委托代理人签字或者盖章，并加盖公章。</w:t>
      </w:r>
    </w:p>
    <w:p w14:paraId="270F3679">
      <w:pPr>
        <w:spacing w:line="360" w:lineRule="auto"/>
        <w:ind w:firstLine="422" w:firstLineChars="200"/>
        <w:rPr>
          <w:rFonts w:asciiTheme="minorEastAsia" w:hAnsiTheme="minorEastAsia" w:eastAsiaTheme="minorEastAsia" w:cstheme="minorEastAsia"/>
          <w:b/>
          <w:color w:val="auto"/>
          <w:szCs w:val="20"/>
          <w:highlight w:val="none"/>
        </w:rPr>
      </w:pPr>
      <w:r>
        <w:rPr>
          <w:rFonts w:hint="eastAsia" w:asciiTheme="minorEastAsia" w:hAnsiTheme="minorEastAsia" w:eastAsiaTheme="minorEastAsia" w:cstheme="minorEastAsia"/>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7F30C64B">
      <w:pPr>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2619FC6A">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018A525C">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6526B805">
      <w:pPr>
        <w:spacing w:line="360" w:lineRule="auto"/>
        <w:ind w:firstLine="42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质疑答复导致中标结果改变的，采购人或者采购代理机构应当将有关情况书面报告本级财政部门。</w:t>
      </w:r>
    </w:p>
    <w:p w14:paraId="6741101F">
      <w:pPr>
        <w:spacing w:line="360" w:lineRule="auto"/>
        <w:ind w:firstLine="422" w:firstLineChars="20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38.3投诉</w:t>
      </w:r>
    </w:p>
    <w:p w14:paraId="1EEEEBC2">
      <w:pPr>
        <w:spacing w:line="360" w:lineRule="auto"/>
        <w:ind w:firstLine="422"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color w:val="auto"/>
          <w:highlight w:val="none"/>
        </w:rPr>
        <w:t>38.3</w:t>
      </w:r>
      <w:r>
        <w:rPr>
          <w:rFonts w:hint="eastAsia" w:asciiTheme="minorEastAsia" w:hAnsiTheme="minorEastAsia" w:eastAsiaTheme="minorEastAsia" w:cstheme="minorEastAsia"/>
          <w:bCs/>
          <w:color w:val="auto"/>
          <w:highlight w:val="none"/>
        </w:rPr>
        <w:t>.</w:t>
      </w:r>
      <w:r>
        <w:rPr>
          <w:rFonts w:hint="eastAsia" w:asciiTheme="minorEastAsia" w:hAnsiTheme="minorEastAsia" w:eastAsiaTheme="minorEastAsia" w:cstheme="minorEastAsia"/>
          <w:b/>
          <w:bCs/>
          <w:color w:val="auto"/>
          <w:highlight w:val="none"/>
        </w:rPr>
        <w:t xml:space="preserve">1 </w:t>
      </w:r>
      <w:r>
        <w:rPr>
          <w:rFonts w:hint="eastAsia" w:asciiTheme="minorEastAsia" w:hAnsiTheme="minorEastAsia" w:eastAsiaTheme="minorEastAsia" w:cstheme="minorEastAsia"/>
          <w:bCs/>
          <w:color w:val="auto"/>
          <w:highlight w:val="none"/>
        </w:rPr>
        <w:t xml:space="preserve"> 供应商认为采购文件、采购过程、中标和成交结果使自己的合法权益受到损害的，应当首先依法向采购人或采购人委托的</w:t>
      </w:r>
      <w:r>
        <w:rPr>
          <w:rFonts w:hint="eastAsia" w:asciiTheme="minorEastAsia" w:hAnsiTheme="minorEastAsia" w:eastAsiaTheme="minorEastAsia" w:cstheme="minorEastAsia"/>
          <w:color w:val="auto"/>
          <w:highlight w:val="none"/>
        </w:rPr>
        <w:t>采购代理机构</w:t>
      </w:r>
      <w:r>
        <w:rPr>
          <w:rFonts w:hint="eastAsia" w:asciiTheme="minorEastAsia" w:hAnsiTheme="minorEastAsia" w:eastAsiaTheme="minorEastAsia" w:cstheme="minorEastAsia"/>
          <w:bCs/>
          <w:color w:val="auto"/>
          <w:highlight w:val="none"/>
        </w:rPr>
        <w:t>提出质疑。对采购人、</w:t>
      </w:r>
      <w:r>
        <w:rPr>
          <w:rFonts w:hint="eastAsia" w:asciiTheme="minorEastAsia" w:hAnsiTheme="minorEastAsia" w:eastAsiaTheme="minorEastAsia" w:cstheme="minorEastAsia"/>
          <w:color w:val="auto"/>
          <w:highlight w:val="none"/>
        </w:rPr>
        <w:t>采购代理机构</w:t>
      </w:r>
      <w:r>
        <w:rPr>
          <w:rFonts w:hint="eastAsia" w:asciiTheme="minorEastAsia" w:hAnsiTheme="minorEastAsia" w:eastAsiaTheme="minorEastAsia" w:cstheme="minorEastAsia"/>
          <w:bCs/>
          <w:color w:val="auto"/>
          <w:highlight w:val="none"/>
        </w:rPr>
        <w:t>的答复不满意，或者采购人、</w:t>
      </w:r>
      <w:r>
        <w:rPr>
          <w:rFonts w:hint="eastAsia" w:asciiTheme="minorEastAsia" w:hAnsiTheme="minorEastAsia" w:eastAsiaTheme="minorEastAsia" w:cstheme="minorEastAsia"/>
          <w:color w:val="auto"/>
          <w:highlight w:val="none"/>
        </w:rPr>
        <w:t>采购代理机构</w:t>
      </w:r>
      <w:r>
        <w:rPr>
          <w:rFonts w:hint="eastAsia" w:asciiTheme="minorEastAsia" w:hAnsiTheme="minorEastAsia" w:eastAsiaTheme="minorEastAsia" w:cstheme="minorEastAsia"/>
          <w:bCs/>
          <w:color w:val="auto"/>
          <w:highlight w:val="none"/>
        </w:rPr>
        <w:t>未在规定期限内做出答复的，供应商可以在答复期满后15个工作日内向南宁市政府采购监督管理部门提起投诉，投诉方式见“投标人须知前附表”。</w:t>
      </w:r>
    </w:p>
    <w:p w14:paraId="322599E9">
      <w:pPr>
        <w:spacing w:line="360" w:lineRule="auto"/>
        <w:ind w:firstLine="422"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color w:val="auto"/>
          <w:highlight w:val="none"/>
        </w:rPr>
        <w:t xml:space="preserve">38.3.2 </w:t>
      </w:r>
      <w:r>
        <w:rPr>
          <w:rFonts w:hint="eastAsia" w:asciiTheme="minorEastAsia" w:hAnsiTheme="minorEastAsia" w:eastAsiaTheme="minorEastAsia" w:cstheme="minorEastAsia"/>
          <w:color w:val="auto"/>
          <w:highlight w:val="none"/>
        </w:rPr>
        <w:t xml:space="preserve"> 投诉人投诉时，应当提交投诉书，并按照被投诉采购人、采购代理机构和与投诉事项有关的供应商数量提供投诉书的副本。投诉书</w:t>
      </w:r>
      <w:r>
        <w:rPr>
          <w:rFonts w:hint="eastAsia" w:asciiTheme="minorEastAsia" w:hAnsiTheme="minorEastAsia" w:eastAsiaTheme="minorEastAsia" w:cstheme="minorEastAsia"/>
          <w:color w:val="auto"/>
          <w:szCs w:val="21"/>
          <w:highlight w:val="none"/>
        </w:rPr>
        <w:t>应当包括下列主要内容</w:t>
      </w:r>
      <w:r>
        <w:rPr>
          <w:rFonts w:hint="eastAsia" w:asciiTheme="minorEastAsia" w:hAnsiTheme="minorEastAsia" w:eastAsiaTheme="minorEastAsia" w:cstheme="minorEastAsia"/>
          <w:color w:val="auto"/>
          <w:highlight w:val="none"/>
        </w:rPr>
        <w:t>（如材料中有外文资料应同时附上对应的中文译本）</w:t>
      </w:r>
      <w:r>
        <w:rPr>
          <w:rFonts w:hint="eastAsia" w:asciiTheme="minorEastAsia" w:hAnsiTheme="minorEastAsia" w:eastAsiaTheme="minorEastAsia" w:cstheme="minorEastAsia"/>
          <w:bCs/>
          <w:color w:val="auto"/>
          <w:highlight w:val="none"/>
        </w:rPr>
        <w:t>（投诉书格式后附）</w:t>
      </w:r>
      <w:r>
        <w:rPr>
          <w:rFonts w:hint="eastAsia" w:asciiTheme="minorEastAsia" w:hAnsiTheme="minorEastAsia" w:eastAsiaTheme="minorEastAsia" w:cstheme="minorEastAsia"/>
          <w:color w:val="auto"/>
          <w:szCs w:val="21"/>
          <w:highlight w:val="none"/>
        </w:rPr>
        <w:t>：</w:t>
      </w:r>
    </w:p>
    <w:p w14:paraId="07BD915A">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（1）投诉人和被投诉人的名称、地址、邮编、联系人及联系电话等； </w:t>
      </w:r>
    </w:p>
    <w:p w14:paraId="48B43CB8">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（2）质疑和质疑答复情况及相关证明材料； </w:t>
      </w:r>
    </w:p>
    <w:p w14:paraId="2B19B1A7">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（3）具体、明确的投诉事项和与投诉事项相关的投诉请求；</w:t>
      </w:r>
    </w:p>
    <w:p w14:paraId="563B8DB1">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（4）事实依据；</w:t>
      </w:r>
    </w:p>
    <w:p w14:paraId="5F63AE04">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（5）法律依据；</w:t>
      </w:r>
    </w:p>
    <w:p w14:paraId="19E217D5">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（6）提起投诉的日期。</w:t>
      </w:r>
    </w:p>
    <w:p w14:paraId="2A9F924F">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（7）附件材料：营业执照副本内页复印件（要求证件有效并清晰反映企业法人经营范围；近期连续三个月依法缴纳税收和在职职工社会保障资金证明材料（复印件）。</w:t>
      </w:r>
      <w:r>
        <w:rPr>
          <w:rFonts w:hint="eastAsia" w:asciiTheme="minorEastAsia" w:hAnsiTheme="minorEastAsia" w:eastAsiaTheme="minorEastAsia" w:cstheme="minorEastAsia"/>
          <w:color w:val="auto"/>
          <w:highlight w:val="none"/>
        </w:rPr>
        <w:tab/>
      </w:r>
    </w:p>
    <w:p w14:paraId="25F9D319">
      <w:pPr>
        <w:spacing w:line="360" w:lineRule="auto"/>
        <w:ind w:firstLine="422"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
          <w:color w:val="auto"/>
          <w:highlight w:val="none"/>
        </w:rPr>
        <w:t xml:space="preserve">38.3.3  </w:t>
      </w:r>
      <w:r>
        <w:rPr>
          <w:rFonts w:hint="eastAsia" w:asciiTheme="minorEastAsia" w:hAnsiTheme="minorEastAsia" w:eastAsiaTheme="minorEastAsia" w:cstheme="minorEastAsia"/>
          <w:color w:val="auto"/>
          <w:highlight w:val="none"/>
        </w:rPr>
        <w:t>投诉人可以委托代理人办理投诉事务。</w:t>
      </w:r>
      <w:r>
        <w:rPr>
          <w:rFonts w:hint="eastAsia" w:asciiTheme="minorEastAsia" w:hAnsiTheme="minorEastAsia" w:eastAsiaTheme="minorEastAsia" w:cstheme="minorEastAsia"/>
          <w:bCs/>
          <w:color w:val="auto"/>
          <w:highlight w:val="none"/>
        </w:rPr>
        <w:t>委托代理人应熟悉相关业务情况。</w:t>
      </w:r>
      <w:r>
        <w:rPr>
          <w:rFonts w:hint="eastAsia" w:asciiTheme="minorEastAsia" w:hAnsiTheme="minorEastAsia" w:eastAsiaTheme="minorEastAsia" w:cstheme="minorEastAsia"/>
          <w:color w:val="auto"/>
          <w:highlight w:val="none"/>
        </w:rPr>
        <w:t>代理人办理投诉事务时，除提交投诉书外，还应当提交投诉人的授权委托书和委托代理人身份证明复印件。</w:t>
      </w:r>
    </w:p>
    <w:p w14:paraId="66E9BBC7">
      <w:pPr>
        <w:spacing w:line="360" w:lineRule="auto"/>
        <w:ind w:firstLine="422"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38.3.4</w:t>
      </w:r>
      <w:r>
        <w:rPr>
          <w:rFonts w:hint="eastAsia" w:asciiTheme="minorEastAsia" w:hAnsiTheme="minorEastAsia" w:eastAsiaTheme="minorEastAsia" w:cstheme="minorEastAsia"/>
          <w:color w:val="auto"/>
          <w:highlight w:val="none"/>
        </w:rPr>
        <w:t xml:space="preserve">  投诉人提起投诉应当符合下列条件：</w:t>
      </w:r>
    </w:p>
    <w:p w14:paraId="48601CCD">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（1）投诉人是参与所投诉政府采购活动的供应商；</w:t>
      </w:r>
    </w:p>
    <w:p w14:paraId="0418EDD5">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（2）提起投诉前已依法进行质疑；</w:t>
      </w:r>
    </w:p>
    <w:p w14:paraId="1223EBA0">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（3）投诉书内容符合本章第38.3.2项的规定；</w:t>
      </w:r>
    </w:p>
    <w:p w14:paraId="143B3C5D">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（4）在投诉有效期限内提起投诉；</w:t>
      </w:r>
    </w:p>
    <w:p w14:paraId="5CCC0141">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（5）属于南宁市政府采购监督管理部门管辖；</w:t>
      </w:r>
    </w:p>
    <w:p w14:paraId="3A297D42">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（6）同一投诉事项未经</w:t>
      </w:r>
      <w:r>
        <w:rPr>
          <w:rFonts w:hint="eastAsia" w:asciiTheme="minorEastAsia" w:hAnsiTheme="minorEastAsia" w:eastAsiaTheme="minorEastAsia" w:cstheme="minorEastAsia"/>
          <w:bCs/>
          <w:color w:val="auto"/>
          <w:highlight w:val="none"/>
        </w:rPr>
        <w:t>南宁市政府采购监督管理部门</w:t>
      </w:r>
      <w:r>
        <w:rPr>
          <w:rFonts w:hint="eastAsia" w:asciiTheme="minorEastAsia" w:hAnsiTheme="minorEastAsia" w:eastAsiaTheme="minorEastAsia" w:cstheme="minorEastAsia"/>
          <w:color w:val="auto"/>
          <w:highlight w:val="none"/>
        </w:rPr>
        <w:t>投诉处理；</w:t>
      </w:r>
    </w:p>
    <w:p w14:paraId="287F95AE">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（7）国务院财政部门规定的其他条件。</w:t>
      </w:r>
    </w:p>
    <w:p w14:paraId="259A8C39">
      <w:pPr>
        <w:spacing w:line="360" w:lineRule="auto"/>
        <w:ind w:firstLine="422"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38.3.5</w:t>
      </w:r>
      <w:r>
        <w:rPr>
          <w:rFonts w:hint="eastAsia" w:asciiTheme="minorEastAsia" w:hAnsiTheme="minorEastAsia" w:eastAsiaTheme="minorEastAsia" w:cstheme="minorEastAsia"/>
          <w:color w:val="auto"/>
          <w:highlight w:val="none"/>
        </w:rPr>
        <w:t xml:space="preserve">  南宁市政府采购监督管理部门自受理投诉之日起30个工作日内，对投诉事项作出处理决定，并以书面形式通知投诉人、被投诉人及其他与投诉处理结果有利害关系的政府采购当事人。并将投诉结果在</w:t>
      </w:r>
      <w:r>
        <w:rPr>
          <w:rFonts w:hint="eastAsia" w:asciiTheme="minorEastAsia" w:hAnsiTheme="minorEastAsia" w:eastAsiaTheme="minorEastAsia" w:cstheme="minorEastAsia"/>
          <w:color w:val="auto"/>
          <w:kern w:val="0"/>
          <w:szCs w:val="21"/>
          <w:highlight w:val="none"/>
        </w:rPr>
        <w:t>“广西政府采购网”（http://zfcg.gxzf.gov.cn）</w:t>
      </w:r>
      <w:r>
        <w:rPr>
          <w:rFonts w:hint="eastAsia" w:asciiTheme="minorEastAsia" w:hAnsiTheme="minorEastAsia" w:eastAsiaTheme="minorEastAsia" w:cstheme="minorEastAsia"/>
          <w:color w:val="auto"/>
          <w:highlight w:val="none"/>
        </w:rPr>
        <w:t>发布。</w:t>
      </w:r>
    </w:p>
    <w:p w14:paraId="28D0A22F">
      <w:pPr>
        <w:spacing w:line="360" w:lineRule="auto"/>
        <w:ind w:firstLine="422"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38.3.6</w:t>
      </w:r>
      <w:r>
        <w:rPr>
          <w:rFonts w:hint="eastAsia" w:asciiTheme="minorEastAsia" w:hAnsiTheme="minorEastAsia" w:eastAsiaTheme="minorEastAsia" w:cstheme="minorEastAsia"/>
          <w:color w:val="auto"/>
          <w:highlight w:val="none"/>
        </w:rPr>
        <w:t xml:space="preserve">  南宁市政府采购监督管理部门在处理投诉事项期间，可以视具体情况暂停采购活动。</w:t>
      </w:r>
    </w:p>
    <w:p w14:paraId="5F9FF64B">
      <w:pPr>
        <w:snapToGrid w:val="0"/>
        <w:spacing w:line="360" w:lineRule="auto"/>
        <w:ind w:left="120" w:leftChars="57" w:firstLine="482" w:firstLineChars="150"/>
        <w:jc w:val="center"/>
        <w:outlineLvl w:val="2"/>
        <w:rPr>
          <w:rFonts w:asciiTheme="minorEastAsia" w:hAnsiTheme="minorEastAsia" w:eastAsiaTheme="minorEastAsia" w:cstheme="minorEastAsia"/>
          <w:b/>
          <w:bCs/>
          <w:color w:val="auto"/>
          <w:sz w:val="32"/>
          <w:szCs w:val="32"/>
          <w:highlight w:val="none"/>
        </w:rPr>
      </w:pPr>
      <w:bookmarkStart w:id="129" w:name="_Toc25336"/>
      <w:bookmarkStart w:id="130" w:name="_Toc28289"/>
      <w:r>
        <w:rPr>
          <w:rFonts w:hint="eastAsia" w:asciiTheme="minorEastAsia" w:hAnsiTheme="minorEastAsia" w:eastAsiaTheme="minorEastAsia" w:cstheme="minorEastAsia"/>
          <w:b/>
          <w:bCs/>
          <w:color w:val="auto"/>
          <w:sz w:val="32"/>
          <w:szCs w:val="32"/>
          <w:highlight w:val="none"/>
        </w:rPr>
        <w:t>八、验收</w:t>
      </w:r>
      <w:bookmarkEnd w:id="129"/>
      <w:bookmarkEnd w:id="130"/>
    </w:p>
    <w:p w14:paraId="04B432D9">
      <w:pPr>
        <w:spacing w:line="360" w:lineRule="auto"/>
        <w:ind w:firstLine="422" w:firstLineChars="200"/>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39.验收</w:t>
      </w:r>
    </w:p>
    <w:p w14:paraId="21877512">
      <w:pPr>
        <w:tabs>
          <w:tab w:val="left" w:pos="0"/>
        </w:tabs>
        <w:spacing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33A5C7">
      <w:pPr>
        <w:tabs>
          <w:tab w:val="left" w:pos="0"/>
        </w:tabs>
        <w:spacing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39.2采购人可以邀请参加本项目的其他投标人或者第三方机构参与验收。参与验收的投标人或者第三方机构的意见作为验收书的参考资料一并存档。</w:t>
      </w:r>
    </w:p>
    <w:p w14:paraId="07E5EF59">
      <w:pPr>
        <w:tabs>
          <w:tab w:val="left" w:pos="0"/>
        </w:tabs>
        <w:spacing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27EA3B">
      <w:pPr>
        <w:tabs>
          <w:tab w:val="left" w:pos="0"/>
        </w:tabs>
        <w:spacing w:line="360"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BDCBD07">
      <w:pPr>
        <w:pStyle w:val="12"/>
        <w:snapToGrid w:val="0"/>
        <w:spacing w:line="400" w:lineRule="exact"/>
        <w:rPr>
          <w:rFonts w:asciiTheme="minorEastAsia" w:hAnsiTheme="minorEastAsia" w:eastAsiaTheme="minorEastAsia" w:cstheme="minorEastAsia"/>
          <w:color w:val="auto"/>
          <w:highlight w:val="none"/>
        </w:rPr>
      </w:pPr>
    </w:p>
    <w:p w14:paraId="46D73911">
      <w:pPr>
        <w:pStyle w:val="3"/>
        <w:keepNext w:val="0"/>
        <w:keepLines w:val="0"/>
        <w:spacing w:line="360" w:lineRule="auto"/>
        <w:jc w:val="center"/>
        <w:rPr>
          <w:rFonts w:asciiTheme="minorEastAsia" w:hAnsiTheme="minorEastAsia" w:eastAsiaTheme="minorEastAsia" w:cstheme="minorEastAsia"/>
          <w:color w:val="auto"/>
          <w:highlight w:val="none"/>
        </w:rPr>
      </w:pPr>
      <w:bookmarkStart w:id="131" w:name="_八、其他事项"/>
      <w:bookmarkEnd w:id="131"/>
      <w:bookmarkStart w:id="132" w:name="_Toc29710"/>
      <w:bookmarkStart w:id="133" w:name="_Toc25202"/>
      <w:r>
        <w:rPr>
          <w:rFonts w:hint="eastAsia" w:asciiTheme="minorEastAsia" w:hAnsiTheme="minorEastAsia" w:eastAsiaTheme="minorEastAsia" w:cstheme="minorEastAsia"/>
          <w:color w:val="auto"/>
          <w:highlight w:val="none"/>
        </w:rPr>
        <w:t>九、其他事项</w:t>
      </w:r>
      <w:bookmarkEnd w:id="132"/>
      <w:bookmarkEnd w:id="133"/>
    </w:p>
    <w:p w14:paraId="2DB94C31">
      <w:pPr>
        <w:spacing w:line="360" w:lineRule="auto"/>
        <w:ind w:firstLine="480" w:firstLineChars="200"/>
        <w:rPr>
          <w:rFonts w:asciiTheme="minorEastAsia" w:hAnsiTheme="minorEastAsia" w:eastAsiaTheme="minorEastAsia" w:cstheme="minorEastAsia"/>
          <w:color w:val="auto"/>
          <w:sz w:val="24"/>
          <w:highlight w:val="none"/>
        </w:rPr>
      </w:pPr>
      <w:bookmarkStart w:id="134" w:name="_42.代理服务费"/>
      <w:bookmarkEnd w:id="134"/>
      <w:r>
        <w:rPr>
          <w:rFonts w:hint="eastAsia" w:asciiTheme="minorEastAsia" w:hAnsiTheme="minorEastAsia" w:eastAsiaTheme="minorEastAsia" w:cstheme="minorEastAsia"/>
          <w:color w:val="auto"/>
          <w:sz w:val="24"/>
          <w:highlight w:val="none"/>
        </w:rPr>
        <w:t>40.代理服务费</w:t>
      </w:r>
    </w:p>
    <w:p w14:paraId="3509BBC2">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代理服务收费标准及缴费账户详见“投标人须知前附表”，投标人为联合体的，可以由联合体中的一方或者多方共同交纳代理服务费。</w:t>
      </w:r>
    </w:p>
    <w:p w14:paraId="084F804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 需要补充的其他内容</w:t>
      </w:r>
    </w:p>
    <w:p w14:paraId="25E2596F">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41.1本招标文件解释规则详见“投标人须知前附表”。</w:t>
      </w:r>
    </w:p>
    <w:p w14:paraId="44F4BEA3">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41.2 其他事项详见“投标人须知前附表”。</w:t>
      </w:r>
    </w:p>
    <w:p w14:paraId="24CA7D32">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55D81570">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以联合体形式参加政府采购活动，联合体各方均为中小企业的，联合体视同中小企业。其中，联合体各方均为小微企业的，联合体视同小微企业。</w:t>
      </w:r>
    </w:p>
    <w:p w14:paraId="2E926085">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依据本文件规定享受扶持政策获得政府采购合同的，小微企业不得将合同分包给大中型企业，中型企业不得将合同分包给大型企业。</w:t>
      </w:r>
    </w:p>
    <w:p w14:paraId="2CFEE87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 政采贷相关说明</w:t>
      </w:r>
    </w:p>
    <w:p w14:paraId="71D5B6A2">
      <w:pPr>
        <w:spacing w:line="360" w:lineRule="auto"/>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66E8332D">
      <w:pPr>
        <w:numPr>
          <w:ilvl w:val="0"/>
          <w:numId w:val="3"/>
        </w:numPr>
        <w:spacing w:line="360" w:lineRule="auto"/>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7"/>
          <w:rFonts w:hint="eastAsia" w:asciiTheme="minorEastAsia" w:hAnsiTheme="minorEastAsia" w:eastAsiaTheme="minorEastAsia" w:cstheme="minorEastAsia"/>
          <w:color w:val="auto"/>
          <w:highlight w:val="none"/>
        </w:rPr>
        <w:t>http://www.nnggzy.org.cn）“交易信息-政府采购-政府采购信用融资”中融资银行和南宁市企业融资服务中心专栏信息申请政府采购信用融资。</w:t>
      </w:r>
      <w:r>
        <w:rPr>
          <w:rStyle w:val="27"/>
          <w:rFonts w:hint="eastAsia" w:asciiTheme="minorEastAsia" w:hAnsiTheme="minorEastAsia" w:eastAsiaTheme="minorEastAsia" w:cstheme="minorEastAsia"/>
          <w:color w:val="auto"/>
          <w:highlight w:val="none"/>
        </w:rPr>
        <w:fldChar w:fldCharType="end"/>
      </w:r>
    </w:p>
    <w:p w14:paraId="222FD4AF">
      <w:pPr>
        <w:numPr>
          <w:ilvl w:val="0"/>
          <w:numId w:val="3"/>
        </w:numPr>
        <w:spacing w:line="360" w:lineRule="auto"/>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Theme="minorEastAsia" w:hAnsiTheme="minorEastAsia" w:eastAsiaTheme="minorEastAsia" w:cstheme="minorEastAsia"/>
          <w:color w:val="auto"/>
          <w:highlight w:val="none"/>
        </w:rPr>
        <w:br w:type="page"/>
      </w:r>
      <w:bookmarkStart w:id="135" w:name="_Toc532545043"/>
    </w:p>
    <w:p w14:paraId="66E724EC">
      <w:pPr>
        <w:pStyle w:val="12"/>
        <w:jc w:val="center"/>
        <w:outlineLvl w:val="0"/>
        <w:rPr>
          <w:rFonts w:asciiTheme="minorEastAsia" w:hAnsiTheme="minorEastAsia" w:eastAsiaTheme="minorEastAsia" w:cstheme="minorEastAsia"/>
          <w:b/>
          <w:color w:val="auto"/>
          <w:sz w:val="36"/>
          <w:highlight w:val="none"/>
        </w:rPr>
      </w:pPr>
      <w:bookmarkStart w:id="136" w:name="_Toc9276"/>
      <w:r>
        <w:rPr>
          <w:rFonts w:hint="eastAsia" w:asciiTheme="minorEastAsia" w:hAnsiTheme="minorEastAsia" w:eastAsiaTheme="minorEastAsia" w:cstheme="minorEastAsia"/>
          <w:b/>
          <w:color w:val="auto"/>
          <w:sz w:val="36"/>
          <w:highlight w:val="none"/>
        </w:rPr>
        <w:t>第四章  评标方法</w:t>
      </w:r>
      <w:bookmarkEnd w:id="135"/>
      <w:r>
        <w:rPr>
          <w:rFonts w:hint="eastAsia" w:asciiTheme="minorEastAsia" w:hAnsiTheme="minorEastAsia" w:eastAsiaTheme="minorEastAsia" w:cstheme="minorEastAsia"/>
          <w:b/>
          <w:color w:val="auto"/>
          <w:sz w:val="36"/>
          <w:highlight w:val="none"/>
        </w:rPr>
        <w:t>及评分标准</w:t>
      </w:r>
      <w:bookmarkEnd w:id="136"/>
    </w:p>
    <w:p w14:paraId="7DCC244A">
      <w:pPr>
        <w:pStyle w:val="12"/>
        <w:jc w:val="center"/>
        <w:outlineLvl w:val="1"/>
        <w:rPr>
          <w:rFonts w:asciiTheme="minorEastAsia" w:hAnsiTheme="minorEastAsia" w:eastAsiaTheme="minorEastAsia" w:cstheme="minorEastAsia"/>
          <w:b/>
          <w:bCs/>
          <w:color w:val="auto"/>
          <w:sz w:val="32"/>
          <w:szCs w:val="32"/>
          <w:highlight w:val="none"/>
        </w:rPr>
      </w:pPr>
      <w:bookmarkStart w:id="137" w:name="_Toc29328"/>
      <w:r>
        <w:rPr>
          <w:rFonts w:hint="eastAsia" w:asciiTheme="minorEastAsia" w:hAnsiTheme="minorEastAsia" w:eastAsiaTheme="minorEastAsia" w:cstheme="minorEastAsia"/>
          <w:b/>
          <w:bCs/>
          <w:color w:val="auto"/>
          <w:sz w:val="32"/>
          <w:szCs w:val="32"/>
          <w:highlight w:val="none"/>
        </w:rPr>
        <w:t>第一节 评标方法</w:t>
      </w:r>
      <w:bookmarkEnd w:id="137"/>
    </w:p>
    <w:p w14:paraId="359DEAD8">
      <w:pPr>
        <w:pStyle w:val="12"/>
        <w:tabs>
          <w:tab w:val="left" w:pos="2472"/>
        </w:tabs>
        <w:spacing w:line="46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w:t>
      </w:r>
      <w:r>
        <w:rPr>
          <w:rFonts w:hint="eastAsia" w:asciiTheme="minorEastAsia" w:hAnsiTheme="minorEastAsia" w:eastAsiaTheme="minorEastAsia" w:cstheme="minorEastAsia"/>
          <w:color w:val="auto"/>
          <w:szCs w:val="21"/>
          <w:highlight w:val="none"/>
          <w:u w:val="single"/>
        </w:rPr>
        <w:t xml:space="preserve"> 以下勾选的方式</w:t>
      </w:r>
      <w:r>
        <w:rPr>
          <w:rFonts w:hint="eastAsia" w:asciiTheme="minorEastAsia" w:hAnsiTheme="minorEastAsia" w:eastAsiaTheme="minorEastAsia" w:cstheme="minorEastAsia"/>
          <w:color w:val="auto"/>
          <w:szCs w:val="21"/>
          <w:highlight w:val="none"/>
        </w:rPr>
        <w:t>进行评审。</w:t>
      </w:r>
    </w:p>
    <w:p w14:paraId="7EBA551E">
      <w:pPr>
        <w:pStyle w:val="12"/>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□最低评标价法，是指投标文件满足招标文件</w:t>
      </w:r>
      <w:r>
        <w:rPr>
          <w:rFonts w:hint="eastAsia" w:asciiTheme="minorEastAsia" w:hAnsiTheme="minorEastAsia" w:eastAsiaTheme="minorEastAsia" w:cstheme="minorEastAsia"/>
          <w:color w:val="auto"/>
          <w:highlight w:val="none"/>
        </w:rPr>
        <w:t>全部实质性要求，且投标报价最低的投标人为中标候选人的评标方法。</w:t>
      </w:r>
    </w:p>
    <w:p w14:paraId="5F0F58DC">
      <w:pPr>
        <w:autoSpaceDE w:val="0"/>
        <w:autoSpaceDN w:val="0"/>
        <w:adjustRightInd w:val="0"/>
        <w:spacing w:line="440" w:lineRule="exact"/>
        <w:ind w:firstLine="42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highlight w:val="none"/>
        </w:rPr>
        <w:t>☑综合评分法，</w:t>
      </w:r>
      <w:r>
        <w:rPr>
          <w:rFonts w:hint="eastAsia" w:asciiTheme="minorEastAsia" w:hAnsiTheme="minorEastAsia" w:eastAsiaTheme="minorEastAsia" w:cstheme="minorEastAsia"/>
          <w:b/>
          <w:bCs/>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282AE811">
      <w:pPr>
        <w:pStyle w:val="12"/>
        <w:spacing w:line="360" w:lineRule="auto"/>
        <w:ind w:firstLine="420"/>
        <w:rPr>
          <w:rFonts w:asciiTheme="minorEastAsia" w:hAnsiTheme="minorEastAsia" w:eastAsiaTheme="minorEastAsia" w:cstheme="minorEastAsia"/>
          <w:color w:val="auto"/>
          <w:highlight w:val="none"/>
        </w:rPr>
      </w:pPr>
    </w:p>
    <w:p w14:paraId="257E7FD1">
      <w:pPr>
        <w:pStyle w:val="12"/>
        <w:tabs>
          <w:tab w:val="left" w:pos="2472"/>
        </w:tabs>
        <w:spacing w:line="460" w:lineRule="exact"/>
        <w:jc w:val="center"/>
        <w:outlineLvl w:val="1"/>
        <w:rPr>
          <w:rFonts w:asciiTheme="minorEastAsia" w:hAnsiTheme="minorEastAsia" w:eastAsiaTheme="minorEastAsia" w:cstheme="minorEastAsia"/>
          <w:b/>
          <w:bCs/>
          <w:color w:val="auto"/>
          <w:sz w:val="32"/>
          <w:szCs w:val="32"/>
          <w:highlight w:val="none"/>
        </w:rPr>
      </w:pPr>
      <w:bookmarkStart w:id="138" w:name="_Toc3945"/>
      <w:r>
        <w:rPr>
          <w:rFonts w:hint="eastAsia" w:asciiTheme="minorEastAsia" w:hAnsiTheme="minorEastAsia" w:eastAsiaTheme="minorEastAsia" w:cstheme="minorEastAsia"/>
          <w:b/>
          <w:bCs/>
          <w:color w:val="auto"/>
          <w:sz w:val="32"/>
          <w:szCs w:val="32"/>
          <w:highlight w:val="none"/>
        </w:rPr>
        <w:t>第二节 评标程序</w:t>
      </w:r>
      <w:bookmarkEnd w:id="138"/>
    </w:p>
    <w:p w14:paraId="6289B7D2">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1.符合性审查</w:t>
      </w:r>
    </w:p>
    <w:p w14:paraId="65ECE18B">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评标委员会应当对符合资格的投标人的投标文件进行投标报价、商务、技术等实质性内容符合性审查，以确定其是否满足招标文件的实质性要求。</w:t>
      </w:r>
    </w:p>
    <w:p w14:paraId="636831C5">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2.符合性审查不通过而导致投标无效的情形</w:t>
      </w:r>
    </w:p>
    <w:p w14:paraId="6D7CAD3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投标人的投标文件中存在对招标文件的任何实质性要求和条件的负偏离，将被视为投标无效。</w:t>
      </w:r>
    </w:p>
    <w:p w14:paraId="1B7A4DC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2.1在报价评审时，如发现下列情形之一的，将被视为投标无效：</w:t>
      </w:r>
    </w:p>
    <w:p w14:paraId="298C29E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（1）投标文件未提供“投标人须知前附表”第13.1条规定中“必须提供”的文件资料的;</w:t>
      </w:r>
    </w:p>
    <w:p w14:paraId="4556761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（2）未采用人民币报价或者未按照招标文件标明的币种报价的；</w:t>
      </w:r>
    </w:p>
    <w:p w14:paraId="05BD2E4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（3）报价超出招标文件规定最高限价，或者超出采购预算金额（包括分项预算）的；</w:t>
      </w:r>
    </w:p>
    <w:p w14:paraId="5748418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38B054B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（5）修正后的报价，投标人不确认的；</w:t>
      </w:r>
    </w:p>
    <w:p w14:paraId="2170658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（6）投标人属于本章第5条第（2）项情形的。</w:t>
      </w:r>
    </w:p>
    <w:p w14:paraId="641763A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2.2在商务评审时，如发现下列情形之一的，将被视为投标无效：</w:t>
      </w:r>
    </w:p>
    <w:p w14:paraId="261704B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（1）投标文件未按招标文件要求签署、盖章的；</w:t>
      </w:r>
    </w:p>
    <w:p w14:paraId="55189FE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（2）委托代理人未能出具有效身份证明或者出具的身份证明与授权委托书中的信息不符的； </w:t>
      </w:r>
    </w:p>
    <w:p w14:paraId="624ED20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（3）投标文件未提供“投标人须知前附表”第13.1条规定中“必须提供”或者“委托时必须提供”的文件资料的;</w:t>
      </w:r>
    </w:p>
    <w:p w14:paraId="01A5B81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（4）投标有效期、项目完成时间（交货时间、服务完成时间或者服务期等）、质保期、售后服务等招标文件中标“▲”的商务条款发生负偏离的；</w:t>
      </w:r>
    </w:p>
    <w:p w14:paraId="49AD529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（5）商务条款评审允许负偏离的条款数超过“投标人须知前附表”规定项数的。</w:t>
      </w:r>
    </w:p>
    <w:p w14:paraId="3823984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（6）投标文件的实质性内容未使用中文表述、使用计量单位不符合招标文件要求的；</w:t>
      </w:r>
    </w:p>
    <w:p w14:paraId="7C37891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（7）投标文件中的文件资料因填写不齐全或者内容虚假或者出现其他情形而导致被评标委员会认定无效的；</w:t>
      </w:r>
    </w:p>
    <w:p w14:paraId="152FE23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（8）投标文件含有采购人不能接受的附加条件的；</w:t>
      </w:r>
    </w:p>
    <w:p w14:paraId="18ECC1B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（9）未响应招标文件实质性要求的；</w:t>
      </w:r>
    </w:p>
    <w:p w14:paraId="08448E4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（10）属于投标人须知正文第9.2条情形的；</w:t>
      </w:r>
    </w:p>
    <w:p w14:paraId="14AE662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（11）法律、法规和招标文件规定的其他无效情形。</w:t>
      </w:r>
    </w:p>
    <w:p w14:paraId="00557FB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2.3在技术评审时，如发现下列情形之一的，将被视为投标无效：</w:t>
      </w:r>
    </w:p>
    <w:p w14:paraId="0BCAF312">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（1）不满足招标文件要求的服务内容、技术要求、安全、质量标准，或者与招标文件中标“▲”的技术需求发生负偏离的；</w:t>
      </w:r>
    </w:p>
    <w:p w14:paraId="3A3A776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（2）技术需求评审允许负偏离的条款数超过“投标人须知前附表”规定项数的；</w:t>
      </w:r>
    </w:p>
    <w:p w14:paraId="0B0A06C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（3）投标文件未提供“投标人须知前附表”第13.1条规定中“必须提供”的文件资料的;</w:t>
      </w:r>
    </w:p>
    <w:p w14:paraId="6FA4382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（4）虚假投标，或者出现其他情形而导致被评标委员会认定无效的；</w:t>
      </w:r>
    </w:p>
    <w:p w14:paraId="055AF12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（5）如招标文件需要提供技术方案的，投标技术方案不明确，招标文件未允许但存在一个或者一个以上备选（替代）投标方案的。</w:t>
      </w:r>
    </w:p>
    <w:p w14:paraId="52DF69F3">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3.澄清补正、说明或者补正</w:t>
      </w:r>
    </w:p>
    <w:p w14:paraId="591D665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04A5EA8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0EF7575">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4.投标文件修正</w:t>
      </w:r>
    </w:p>
    <w:p w14:paraId="3FAC2EC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4.1投标文件报价出现前后不一致的，按照下列规定修正： </w:t>
      </w:r>
    </w:p>
    <w:p w14:paraId="4DC3DD8F">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（1）报价文件中“开标一览表”内容与投标文件中相应内容不一致的，以“开标一览表”为准；</w:t>
      </w:r>
    </w:p>
    <w:p w14:paraId="2B5E14C5">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（2）大写金额和小写金额不一致的，以大写金额为准；</w:t>
      </w:r>
    </w:p>
    <w:p w14:paraId="51FA3F86">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（3）单价金额小数点或者百分比有明显错位的，以开标一览表的总价为准，并修改单价；</w:t>
      </w:r>
    </w:p>
    <w:p w14:paraId="2213814F">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（4）总价金额与按单价汇总金额不一致的，以单价金额计算结果为准。</w:t>
      </w:r>
    </w:p>
    <w:p w14:paraId="5DD2E511">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同时出现两种以上不一致的，按照以上（1）-（4）规定的顺序修正。修正后的报价经投标人确认后产生约束力，投标人不确认的，其投标无效。</w:t>
      </w:r>
    </w:p>
    <w:p w14:paraId="51855A6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4.2经投标人确认修正后的报价若超过采购预算金额或者最高限价，投标人的投标文件作无效投标处理。</w:t>
      </w:r>
    </w:p>
    <w:p w14:paraId="4E77620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4.3经投标人确认修正后的报价作为签订合同的依据，并以此报价计算价格分。</w:t>
      </w:r>
    </w:p>
    <w:p w14:paraId="593CCAD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5.比较与评价</w:t>
      </w:r>
    </w:p>
    <w:p w14:paraId="4DEB262D">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5.1评标委员会按照招标文件中规定的评标方法和评标标准，对符合性审查合格的投标文件进行商务和技术评估，综合比较与评价。</w:t>
      </w:r>
    </w:p>
    <w:p w14:paraId="400D09C0">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5.2评标委员会独立对每个投标人的投标文件进行评价，并汇总每个投标人的得分。</w:t>
      </w:r>
    </w:p>
    <w:p w14:paraId="387FA3DA">
      <w:pPr>
        <w:widowControl/>
        <w:numPr>
          <w:ilvl w:val="0"/>
          <w:numId w:val="4"/>
        </w:numPr>
        <w:spacing w:after="150" w:line="480" w:lineRule="auto"/>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5DEDF393">
      <w:pPr>
        <w:widowControl/>
        <w:numPr>
          <w:ilvl w:val="0"/>
          <w:numId w:val="4"/>
        </w:numPr>
        <w:spacing w:after="150" w:line="480" w:lineRule="auto"/>
        <w:ind w:firstLine="42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7B873807">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5.3评标委员会按照招标文件中规定的评标方法和标准计算各投标人的报价得分。在计算过程中，不得去掉最高报价或者最低报价。</w:t>
      </w:r>
    </w:p>
    <w:p w14:paraId="7B93B687">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5.4各投标人的得分为所有评委的有效评分的算术平均数。</w:t>
      </w:r>
    </w:p>
    <w:p w14:paraId="25D449A3">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5.5评标委员会按照招标文件中的规定推荐中标候选人。</w:t>
      </w:r>
    </w:p>
    <w:p w14:paraId="793A2CCD">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E64B21B">
      <w:pPr>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6.评审复核</w:t>
      </w:r>
    </w:p>
    <w:p w14:paraId="623B7FB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6.1评标报告签署前，评标委员会要对评审结果进行复核，复核意见要体现在评标报告中。</w:t>
      </w:r>
    </w:p>
    <w:p w14:paraId="2C6C4936">
      <w:pPr>
        <w:widowControl/>
        <w:spacing w:line="560" w:lineRule="exact"/>
        <w:ind w:firstLine="420" w:firstLineChars="200"/>
        <w:jc w:val="left"/>
        <w:textAlignment w:val="baseline"/>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6.2评标结果汇总完成后，除下列情形外，任何人不得修改评标结果：</w:t>
      </w:r>
    </w:p>
    <w:p w14:paraId="2E3B5022">
      <w:pPr>
        <w:widowControl/>
        <w:spacing w:line="560" w:lineRule="exact"/>
        <w:jc w:val="left"/>
        <w:textAlignment w:val="baseline"/>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（一）分值汇总计算错误的；</w:t>
      </w:r>
    </w:p>
    <w:p w14:paraId="71DFF52D">
      <w:pPr>
        <w:widowControl/>
        <w:spacing w:line="560" w:lineRule="exact"/>
        <w:jc w:val="left"/>
        <w:textAlignment w:val="baseline"/>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（二）分项评分超出评分标准范围的；</w:t>
      </w:r>
    </w:p>
    <w:p w14:paraId="21D075C4">
      <w:pPr>
        <w:widowControl/>
        <w:spacing w:line="560" w:lineRule="exact"/>
        <w:jc w:val="left"/>
        <w:textAlignment w:val="baseline"/>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（三）评标委员会成员对客观评审因素评分不一致的；</w:t>
      </w:r>
    </w:p>
    <w:p w14:paraId="6FE818C8">
      <w:pPr>
        <w:widowControl/>
        <w:spacing w:line="560" w:lineRule="exact"/>
        <w:jc w:val="left"/>
        <w:textAlignment w:val="baseline"/>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（四）经评标委员会认定评分畸高、畸低的。</w:t>
      </w:r>
    </w:p>
    <w:p w14:paraId="10022395">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F43A86C">
      <w:pPr>
        <w:outlineLvl w:val="9"/>
        <w:rPr>
          <w:rFonts w:hint="eastAsia" w:asciiTheme="minorEastAsia" w:hAnsiTheme="minorEastAsia" w:eastAsiaTheme="minorEastAsia" w:cstheme="minorEastAsia"/>
          <w:b w:val="0"/>
          <w:color w:val="auto"/>
          <w:sz w:val="30"/>
          <w:szCs w:val="30"/>
          <w:highlight w:val="none"/>
        </w:rPr>
      </w:pPr>
      <w:bookmarkStart w:id="139" w:name="_Toc29713"/>
    </w:p>
    <w:p w14:paraId="24B95D5D">
      <w:pPr>
        <w:outlineLvl w:val="9"/>
        <w:rPr>
          <w:rFonts w:hint="eastAsia" w:asciiTheme="minorEastAsia" w:hAnsiTheme="minorEastAsia" w:eastAsiaTheme="minorEastAsia" w:cstheme="minorEastAsia"/>
          <w:b w:val="0"/>
          <w:color w:val="auto"/>
          <w:sz w:val="30"/>
          <w:szCs w:val="30"/>
          <w:highlight w:val="none"/>
        </w:rPr>
      </w:pPr>
    </w:p>
    <w:p w14:paraId="7464786D">
      <w:pPr>
        <w:outlineLvl w:val="9"/>
        <w:rPr>
          <w:rFonts w:hint="eastAsia" w:asciiTheme="minorEastAsia" w:hAnsiTheme="minorEastAsia" w:eastAsiaTheme="minorEastAsia" w:cstheme="minorEastAsia"/>
          <w:b w:val="0"/>
          <w:color w:val="auto"/>
          <w:sz w:val="30"/>
          <w:szCs w:val="30"/>
          <w:highlight w:val="none"/>
        </w:rPr>
      </w:pPr>
    </w:p>
    <w:p w14:paraId="10B1D945">
      <w:pPr>
        <w:outlineLvl w:val="9"/>
        <w:rPr>
          <w:rFonts w:hint="eastAsia" w:asciiTheme="minorEastAsia" w:hAnsiTheme="minorEastAsia" w:eastAsiaTheme="minorEastAsia" w:cstheme="minorEastAsia"/>
          <w:b w:val="0"/>
          <w:color w:val="auto"/>
          <w:sz w:val="30"/>
          <w:szCs w:val="30"/>
          <w:highlight w:val="none"/>
        </w:rPr>
      </w:pPr>
    </w:p>
    <w:p w14:paraId="4223ACE0">
      <w:pPr>
        <w:outlineLvl w:val="9"/>
        <w:rPr>
          <w:rFonts w:hint="eastAsia" w:asciiTheme="minorEastAsia" w:hAnsiTheme="minorEastAsia" w:eastAsiaTheme="minorEastAsia" w:cstheme="minorEastAsia"/>
          <w:b w:val="0"/>
          <w:color w:val="auto"/>
          <w:sz w:val="30"/>
          <w:szCs w:val="30"/>
          <w:highlight w:val="none"/>
        </w:rPr>
      </w:pPr>
    </w:p>
    <w:p w14:paraId="70331497">
      <w:pPr>
        <w:outlineLvl w:val="9"/>
        <w:rPr>
          <w:rFonts w:hint="eastAsia" w:asciiTheme="minorEastAsia" w:hAnsiTheme="minorEastAsia" w:eastAsiaTheme="minorEastAsia" w:cstheme="minorEastAsia"/>
          <w:b w:val="0"/>
          <w:color w:val="auto"/>
          <w:sz w:val="30"/>
          <w:szCs w:val="30"/>
          <w:highlight w:val="none"/>
        </w:rPr>
      </w:pPr>
    </w:p>
    <w:p w14:paraId="00874091">
      <w:pPr>
        <w:outlineLvl w:val="9"/>
        <w:rPr>
          <w:rFonts w:hint="eastAsia" w:asciiTheme="minorEastAsia" w:hAnsiTheme="minorEastAsia" w:eastAsiaTheme="minorEastAsia" w:cstheme="minorEastAsia"/>
          <w:b w:val="0"/>
          <w:color w:val="auto"/>
          <w:sz w:val="30"/>
          <w:szCs w:val="30"/>
          <w:highlight w:val="none"/>
        </w:rPr>
      </w:pPr>
    </w:p>
    <w:p w14:paraId="4A7BCCC1">
      <w:pPr>
        <w:outlineLvl w:val="9"/>
        <w:rPr>
          <w:rFonts w:hint="eastAsia" w:asciiTheme="minorEastAsia" w:hAnsiTheme="minorEastAsia" w:eastAsiaTheme="minorEastAsia" w:cstheme="minorEastAsia"/>
          <w:b w:val="0"/>
          <w:color w:val="auto"/>
          <w:sz w:val="30"/>
          <w:szCs w:val="30"/>
          <w:highlight w:val="none"/>
        </w:rPr>
      </w:pPr>
    </w:p>
    <w:p w14:paraId="4F86D522">
      <w:pPr>
        <w:outlineLvl w:val="9"/>
        <w:rPr>
          <w:rFonts w:hint="eastAsia" w:asciiTheme="minorEastAsia" w:hAnsiTheme="minorEastAsia" w:eastAsiaTheme="minorEastAsia" w:cstheme="minorEastAsia"/>
          <w:b w:val="0"/>
          <w:color w:val="auto"/>
          <w:sz w:val="30"/>
          <w:szCs w:val="30"/>
          <w:highlight w:val="none"/>
        </w:rPr>
      </w:pPr>
    </w:p>
    <w:p w14:paraId="59AC5AC3">
      <w:pPr>
        <w:outlineLvl w:val="9"/>
        <w:rPr>
          <w:rFonts w:hint="eastAsia" w:asciiTheme="minorEastAsia" w:hAnsiTheme="minorEastAsia" w:eastAsiaTheme="minorEastAsia" w:cstheme="minorEastAsia"/>
          <w:b w:val="0"/>
          <w:color w:val="auto"/>
          <w:sz w:val="30"/>
          <w:szCs w:val="30"/>
          <w:highlight w:val="none"/>
        </w:rPr>
      </w:pPr>
    </w:p>
    <w:p w14:paraId="130B99D3">
      <w:pPr>
        <w:pStyle w:val="2"/>
        <w:jc w:val="center"/>
        <w:rPr>
          <w:rFonts w:asciiTheme="minorEastAsia" w:hAnsiTheme="minorEastAsia" w:eastAsiaTheme="minorEastAsia" w:cstheme="minorEastAsia"/>
          <w:b w:val="0"/>
          <w:color w:val="auto"/>
          <w:sz w:val="30"/>
          <w:szCs w:val="30"/>
          <w:highlight w:val="none"/>
        </w:rPr>
      </w:pPr>
      <w:r>
        <w:rPr>
          <w:rFonts w:hint="eastAsia" w:asciiTheme="minorEastAsia" w:hAnsiTheme="minorEastAsia" w:eastAsiaTheme="minorEastAsia" w:cstheme="minorEastAsia"/>
          <w:b w:val="0"/>
          <w:color w:val="auto"/>
          <w:sz w:val="30"/>
          <w:szCs w:val="30"/>
          <w:highlight w:val="none"/>
        </w:rPr>
        <w:t>第三节 评分标准</w:t>
      </w:r>
      <w:bookmarkEnd w:id="139"/>
    </w:p>
    <w:p w14:paraId="366833B9">
      <w:pPr>
        <w:pStyle w:val="12"/>
        <w:ind w:firstLine="602" w:firstLineChars="200"/>
        <w:jc w:val="center"/>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综合评分法</w:t>
      </w:r>
    </w:p>
    <w:p w14:paraId="4387F5E0">
      <w:pPr>
        <w:spacing w:line="400" w:lineRule="exact"/>
        <w:ind w:firstLine="420"/>
        <w:rPr>
          <w:rFonts w:ascii="宋体" w:hAnsi="宋体"/>
          <w:bCs/>
          <w:color w:val="auto"/>
          <w:szCs w:val="21"/>
          <w:highlight w:val="none"/>
        </w:rPr>
      </w:pPr>
      <w:r>
        <w:rPr>
          <w:rFonts w:hint="eastAsia" w:ascii="宋体" w:hAnsi="宋体"/>
          <w:bCs/>
          <w:color w:val="auto"/>
          <w:szCs w:val="21"/>
          <w:highlight w:val="none"/>
        </w:rPr>
        <w:t>注：</w:t>
      </w:r>
    </w:p>
    <w:p w14:paraId="5DFA7642">
      <w:pPr>
        <w:wordWrap w:val="0"/>
        <w:spacing w:line="360" w:lineRule="auto"/>
        <w:ind w:firstLine="1050" w:firstLineChars="500"/>
        <w:jc w:val="left"/>
        <w:rPr>
          <w:rFonts w:ascii="宋体" w:hAnsi="宋体" w:cs="宋体"/>
          <w:color w:val="auto"/>
          <w:szCs w:val="21"/>
          <w:highlight w:val="none"/>
        </w:rPr>
      </w:pPr>
      <w:r>
        <w:rPr>
          <w:rFonts w:hint="eastAsia" w:hAnsi="宋体"/>
          <w:bCs/>
          <w:color w:val="auto"/>
          <w:szCs w:val="21"/>
          <w:highlight w:val="none"/>
        </w:rPr>
        <w:t>1、计分方法按四舍五入取至百分位。</w:t>
      </w:r>
    </w:p>
    <w:p w14:paraId="5E04CE21">
      <w:pPr>
        <w:wordWrap w:val="0"/>
        <w:spacing w:line="360" w:lineRule="auto"/>
        <w:ind w:firstLine="1050" w:firstLineChars="500"/>
        <w:jc w:val="left"/>
        <w:rPr>
          <w:color w:val="auto"/>
          <w:highlight w:val="none"/>
        </w:rPr>
      </w:pPr>
      <w:r>
        <w:rPr>
          <w:rFonts w:hint="eastAsia" w:hAnsi="宋体"/>
          <w:bCs/>
          <w:color w:val="auto"/>
          <w:szCs w:val="21"/>
          <w:highlight w:val="none"/>
        </w:rPr>
        <w:t>2、商务技术评审因素为客观评分项的，应在评分项目或评分标准中予以标注为“客观分”。对投标人的客观评分项目，各评标专家评分应当一致。</w:t>
      </w:r>
    </w:p>
    <w:tbl>
      <w:tblPr>
        <w:tblStyle w:val="23"/>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120"/>
        <w:gridCol w:w="1290"/>
        <w:gridCol w:w="6422"/>
      </w:tblGrid>
      <w:tr w14:paraId="4F8A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14:paraId="2AC14D1A">
            <w:pPr>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vAlign w:val="center"/>
          </w:tcPr>
          <w:p w14:paraId="418FF85B">
            <w:pPr>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评审因素</w:t>
            </w:r>
          </w:p>
        </w:tc>
        <w:tc>
          <w:tcPr>
            <w:tcW w:w="6422" w:type="dxa"/>
            <w:tcBorders>
              <w:top w:val="single" w:color="auto" w:sz="4" w:space="0"/>
              <w:left w:val="single" w:color="auto" w:sz="4" w:space="0"/>
              <w:bottom w:val="single" w:color="auto" w:sz="4" w:space="0"/>
              <w:right w:val="single" w:color="auto" w:sz="4" w:space="0"/>
            </w:tcBorders>
            <w:vAlign w:val="center"/>
          </w:tcPr>
          <w:p w14:paraId="37FBAC61">
            <w:pPr>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评分标准</w:t>
            </w:r>
          </w:p>
        </w:tc>
      </w:tr>
      <w:tr w14:paraId="0425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526" w:type="dxa"/>
            <w:tcBorders>
              <w:top w:val="single" w:color="auto" w:sz="4" w:space="0"/>
              <w:left w:val="single" w:color="auto" w:sz="4" w:space="0"/>
              <w:bottom w:val="single" w:color="auto" w:sz="4" w:space="0"/>
              <w:right w:val="single" w:color="auto" w:sz="4" w:space="0"/>
            </w:tcBorders>
            <w:vAlign w:val="center"/>
          </w:tcPr>
          <w:p w14:paraId="4BBD12FC">
            <w:pPr>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1</w:t>
            </w:r>
          </w:p>
        </w:tc>
        <w:tc>
          <w:tcPr>
            <w:tcW w:w="1120" w:type="dxa"/>
            <w:tcBorders>
              <w:top w:val="single" w:color="auto" w:sz="4" w:space="0"/>
              <w:left w:val="single" w:color="auto" w:sz="4" w:space="0"/>
              <w:bottom w:val="single" w:color="auto" w:sz="4" w:space="0"/>
              <w:right w:val="single" w:color="auto" w:sz="4" w:space="0"/>
            </w:tcBorders>
            <w:vAlign w:val="center"/>
          </w:tcPr>
          <w:p w14:paraId="7116E9CC">
            <w:pPr>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价格分</w:t>
            </w:r>
          </w:p>
          <w:p w14:paraId="55C4B1C5">
            <w:pPr>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（满分10分）</w:t>
            </w:r>
          </w:p>
        </w:tc>
        <w:tc>
          <w:tcPr>
            <w:tcW w:w="1290" w:type="dxa"/>
            <w:tcBorders>
              <w:top w:val="single" w:color="auto" w:sz="4" w:space="0"/>
              <w:left w:val="single" w:color="auto" w:sz="4" w:space="0"/>
              <w:bottom w:val="single" w:color="auto" w:sz="4" w:space="0"/>
              <w:right w:val="single" w:color="auto" w:sz="4" w:space="0"/>
            </w:tcBorders>
            <w:vAlign w:val="center"/>
          </w:tcPr>
          <w:p w14:paraId="623787CB">
            <w:pPr>
              <w:adjustRightIn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投标报价</w:t>
            </w:r>
          </w:p>
          <w:p w14:paraId="75503D9E">
            <w:pPr>
              <w:adjustRightInd w:val="0"/>
              <w:spacing w:line="360" w:lineRule="auto"/>
              <w:jc w:val="center"/>
              <w:textAlignment w:val="baseline"/>
              <w:rPr>
                <w:rFonts w:ascii="宋体" w:hAnsi="宋体" w:cs="宋体"/>
                <w:color w:val="auto"/>
                <w:szCs w:val="21"/>
                <w:highlight w:val="none"/>
              </w:rPr>
            </w:pPr>
            <w:r>
              <w:rPr>
                <w:rFonts w:hint="eastAsia" w:ascii="宋体" w:hAnsi="宋体" w:cs="宋体"/>
                <w:bCs/>
                <w:color w:val="auto"/>
                <w:szCs w:val="21"/>
                <w:highlight w:val="none"/>
              </w:rPr>
              <w:t>（满分10分）</w:t>
            </w:r>
          </w:p>
        </w:tc>
        <w:tc>
          <w:tcPr>
            <w:tcW w:w="6422" w:type="dxa"/>
            <w:tcBorders>
              <w:top w:val="single" w:color="auto" w:sz="4" w:space="0"/>
              <w:left w:val="single" w:color="auto" w:sz="4" w:space="0"/>
              <w:bottom w:val="single" w:color="auto" w:sz="4" w:space="0"/>
              <w:right w:val="single" w:color="auto" w:sz="4" w:space="0"/>
            </w:tcBorders>
            <w:vAlign w:val="center"/>
          </w:tcPr>
          <w:p w14:paraId="6113B7F9">
            <w:pPr>
              <w:spacing w:line="360" w:lineRule="auto"/>
              <w:rPr>
                <w:rFonts w:ascii="宋体" w:hAnsi="宋体" w:cs="宋体"/>
                <w:color w:val="auto"/>
                <w:szCs w:val="21"/>
                <w:highlight w:val="none"/>
              </w:rPr>
            </w:pPr>
            <w:r>
              <w:rPr>
                <w:rFonts w:hint="eastAsia" w:ascii="宋体" w:hAnsi="宋体" w:cs="宋体"/>
                <w:color w:val="auto"/>
                <w:szCs w:val="21"/>
                <w:highlight w:val="none"/>
              </w:rPr>
              <w:t>项目专门面向中小企业采购，价格分计算时不再进行政策优惠计算。</w:t>
            </w:r>
          </w:p>
          <w:p w14:paraId="6F725C40">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（1）最终中标人的中标金额等于投标报价。</w:t>
            </w:r>
          </w:p>
          <w:p w14:paraId="033A0AE9">
            <w:pPr>
              <w:spacing w:line="360" w:lineRule="auto"/>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以进入比较与评价环节的最低的评审报价为基准价，基准价得分为 10分。</w:t>
            </w:r>
          </w:p>
          <w:p w14:paraId="5F181043">
            <w:pPr>
              <w:spacing w:line="360" w:lineRule="auto"/>
              <w:rPr>
                <w:rFonts w:ascii="宋体" w:hAnsi="宋体" w:cs="宋体"/>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价格分计算公式：</w:t>
            </w:r>
          </w:p>
          <w:p w14:paraId="40C456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报价得分=（基准价/最后报价）× 10分</w:t>
            </w:r>
          </w:p>
          <w:p w14:paraId="31B1ED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备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tc>
      </w:tr>
      <w:tr w14:paraId="1B49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jc w:val="center"/>
        </w:trPr>
        <w:tc>
          <w:tcPr>
            <w:tcW w:w="526" w:type="dxa"/>
            <w:vMerge w:val="restart"/>
            <w:tcBorders>
              <w:top w:val="single" w:color="auto" w:sz="4" w:space="0"/>
              <w:left w:val="single" w:color="auto" w:sz="4" w:space="0"/>
              <w:right w:val="single" w:color="auto" w:sz="4" w:space="0"/>
            </w:tcBorders>
            <w:vAlign w:val="center"/>
          </w:tcPr>
          <w:p w14:paraId="005DB39A">
            <w:pPr>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1120" w:type="dxa"/>
            <w:vMerge w:val="restart"/>
            <w:tcBorders>
              <w:top w:val="single" w:color="auto" w:sz="4" w:space="0"/>
              <w:left w:val="single" w:color="auto" w:sz="4" w:space="0"/>
              <w:right w:val="single" w:color="auto" w:sz="4" w:space="0"/>
            </w:tcBorders>
            <w:vAlign w:val="center"/>
          </w:tcPr>
          <w:p w14:paraId="352D3E72">
            <w:pPr>
              <w:adjustRightInd w:val="0"/>
              <w:spacing w:line="360" w:lineRule="auto"/>
              <w:ind w:left="-105" w:leftChars="-50" w:right="-105" w:rightChars="-50"/>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技术分（</w:t>
            </w:r>
            <w:r>
              <w:rPr>
                <w:rFonts w:hint="eastAsia" w:ascii="宋体" w:hAnsi="宋体" w:cs="宋体"/>
                <w:color w:val="auto"/>
                <w:szCs w:val="21"/>
                <w:highlight w:val="none"/>
              </w:rPr>
              <w:t>满分65</w:t>
            </w:r>
            <w:r>
              <w:rPr>
                <w:rFonts w:hint="eastAsia" w:ascii="宋体" w:hAnsi="宋体" w:cs="宋体"/>
                <w:bCs/>
                <w:color w:val="auto"/>
                <w:szCs w:val="21"/>
                <w:highlight w:val="none"/>
              </w:rPr>
              <w:t>分）</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5E4DF98D">
            <w:pPr>
              <w:pStyle w:val="35"/>
              <w:adjustRightInd w:val="0"/>
              <w:snapToGrid w:val="0"/>
              <w:spacing w:line="360" w:lineRule="auto"/>
              <w:ind w:left="12"/>
              <w:jc w:val="center"/>
              <w:rPr>
                <w:rFonts w:ascii="宋体" w:hAnsi="宋体" w:cs="宋体"/>
                <w:color w:val="auto"/>
                <w:kern w:val="2"/>
                <w:position w:val="20"/>
                <w:sz w:val="21"/>
                <w:szCs w:val="21"/>
                <w:highlight w:val="none"/>
                <w:lang w:eastAsia="zh-CN"/>
              </w:rPr>
            </w:pPr>
            <w:r>
              <w:rPr>
                <w:rFonts w:hint="eastAsia" w:ascii="宋体" w:hAnsi="宋体" w:cs="宋体"/>
                <w:color w:val="auto"/>
                <w:sz w:val="21"/>
                <w:szCs w:val="21"/>
                <w:highlight w:val="none"/>
                <w:lang w:eastAsia="zh-CN"/>
              </w:rPr>
              <w:t>（1）</w:t>
            </w:r>
            <w:r>
              <w:rPr>
                <w:rFonts w:hint="eastAsia" w:ascii="宋体" w:hAnsi="宋体" w:cs="宋体"/>
                <w:color w:val="auto"/>
                <w:kern w:val="2"/>
                <w:sz w:val="21"/>
                <w:szCs w:val="21"/>
                <w:highlight w:val="none"/>
                <w:shd w:val="clear" w:color="auto" w:fill="FFFFFF"/>
                <w:lang w:eastAsia="zh-CN"/>
              </w:rPr>
              <w:t>对项目的认知和理解（9分）</w:t>
            </w:r>
          </w:p>
        </w:tc>
        <w:tc>
          <w:tcPr>
            <w:tcW w:w="6422" w:type="dxa"/>
            <w:tcBorders>
              <w:top w:val="single" w:color="auto" w:sz="4" w:space="0"/>
              <w:left w:val="single" w:color="auto" w:sz="4" w:space="0"/>
              <w:right w:val="single" w:color="auto" w:sz="4" w:space="0"/>
            </w:tcBorders>
            <w:shd w:val="clear" w:color="auto" w:fill="auto"/>
          </w:tcPr>
          <w:p w14:paraId="5C8D3E66">
            <w:pPr>
              <w:spacing w:line="360" w:lineRule="auto"/>
              <w:ind w:firstLine="420" w:firstLineChars="200"/>
              <w:jc w:val="lef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不提供或提供的材料不具备对项目认识或理解、对采购内容及需求的理解方面内容不得分；</w:t>
            </w:r>
          </w:p>
          <w:p w14:paraId="0CFD7563">
            <w:pPr>
              <w:spacing w:line="360" w:lineRule="auto"/>
              <w:ind w:firstLine="420" w:firstLineChars="200"/>
              <w:jc w:val="lef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一档（3分）：对项目认识、对采购内容及需求理解不足，思路不清晰，不具体。</w:t>
            </w:r>
          </w:p>
          <w:p w14:paraId="037654B1">
            <w:pPr>
              <w:spacing w:line="360" w:lineRule="auto"/>
              <w:ind w:firstLine="420" w:firstLineChars="200"/>
              <w:jc w:val="lef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二档（6分）：对项目实施方案评估评审工作的理解满足采购需求，对项目认识较充分，理解较深，总体思路和理解表述简单。</w:t>
            </w:r>
          </w:p>
          <w:p w14:paraId="5C91F06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shd w:val="clear" w:color="auto" w:fill="FFFFFF"/>
              </w:rPr>
              <w:t>三档（9分）：对项目的特点、认识准确透彻，对项目实施方案评审服务的理解深刻、详细充分，能准备把项目采购需求服务工作的要求做出进一步详细阐述，完全符合项目采购需求，总体思路和理解表述清晰、严谨、完整。</w:t>
            </w:r>
          </w:p>
        </w:tc>
      </w:tr>
      <w:tr w14:paraId="1EEB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jc w:val="center"/>
        </w:trPr>
        <w:tc>
          <w:tcPr>
            <w:tcW w:w="526" w:type="dxa"/>
            <w:vMerge w:val="continue"/>
            <w:tcBorders>
              <w:left w:val="single" w:color="auto" w:sz="4" w:space="0"/>
              <w:right w:val="single" w:color="auto" w:sz="4" w:space="0"/>
            </w:tcBorders>
            <w:vAlign w:val="center"/>
          </w:tcPr>
          <w:p w14:paraId="5F8517B9">
            <w:pPr>
              <w:adjustRightInd w:val="0"/>
              <w:spacing w:line="360" w:lineRule="auto"/>
              <w:jc w:val="center"/>
              <w:textAlignment w:val="baseline"/>
              <w:rPr>
                <w:rFonts w:ascii="宋体" w:hAnsi="宋体" w:cs="宋体"/>
                <w:color w:val="auto"/>
                <w:szCs w:val="21"/>
                <w:highlight w:val="none"/>
              </w:rPr>
            </w:pPr>
          </w:p>
        </w:tc>
        <w:tc>
          <w:tcPr>
            <w:tcW w:w="1120" w:type="dxa"/>
            <w:vMerge w:val="continue"/>
            <w:tcBorders>
              <w:left w:val="single" w:color="auto" w:sz="4" w:space="0"/>
              <w:right w:val="single" w:color="auto" w:sz="4" w:space="0"/>
            </w:tcBorders>
            <w:vAlign w:val="center"/>
          </w:tcPr>
          <w:p w14:paraId="001695FE">
            <w:pPr>
              <w:adjustRightInd w:val="0"/>
              <w:spacing w:line="360" w:lineRule="auto"/>
              <w:ind w:left="-105" w:leftChars="-50" w:right="-105" w:rightChars="-50"/>
              <w:jc w:val="center"/>
              <w:textAlignment w:val="baseline"/>
              <w:rPr>
                <w:rFonts w:ascii="宋体" w:hAnsi="宋体" w:cs="宋体"/>
                <w:bCs/>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70F727E2">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（2）工作难点、重点（满分21分）</w:t>
            </w:r>
          </w:p>
        </w:tc>
        <w:tc>
          <w:tcPr>
            <w:tcW w:w="6422" w:type="dxa"/>
            <w:tcBorders>
              <w:top w:val="single" w:color="auto" w:sz="4" w:space="0"/>
              <w:left w:val="single" w:color="auto" w:sz="4" w:space="0"/>
              <w:right w:val="single" w:color="auto" w:sz="4" w:space="0"/>
            </w:tcBorders>
            <w:shd w:val="clear" w:color="auto" w:fill="auto"/>
            <w:vAlign w:val="center"/>
          </w:tcPr>
          <w:p w14:paraId="111C55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根据投标人提供的实施方案工作总体难点、重点分析进行比较打分，不提供不得分：</w:t>
            </w:r>
          </w:p>
          <w:p w14:paraId="62C483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一档（7分）：能识别出部分难点和重点问题，但分析不够准确和全面，对策措施针对性不强，对南宁市政府和社会资本合作工作有一定的参考价值，但参考意义有限。</w:t>
            </w:r>
          </w:p>
          <w:p w14:paraId="3032D6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档（14分）：能准确找出南宁市政府和社会资本合作新机制项目工作中的主要难点和重点，但分析的深度和广度有所欠缺。对策措施具有一定的针对性，但在创新性和独特性方面不足，对南宁市政府和社会资本合作工作有一定的借鉴作用。</w:t>
            </w:r>
          </w:p>
          <w:p w14:paraId="3AFBDF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档（21分）：精准识别南宁市政府和社会资本合作新机制项目工作中存在的关键难点和重点问题，针对难点和重点问题提出具有创新性和独特性的解决方案，切实可行，能为南宁市政府和社会资本合作工作提供重要参考；</w:t>
            </w:r>
          </w:p>
          <w:p w14:paraId="6C2EDB64">
            <w:pPr>
              <w:spacing w:line="360" w:lineRule="auto"/>
              <w:ind w:firstLine="420" w:firstLineChars="200"/>
              <w:rPr>
                <w:rFonts w:ascii="宋体" w:hAnsi="宋体" w:cs="宋体"/>
                <w:color w:val="auto"/>
                <w:szCs w:val="21"/>
                <w:highlight w:val="none"/>
              </w:rPr>
            </w:pPr>
          </w:p>
        </w:tc>
      </w:tr>
      <w:tr w14:paraId="3C6F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jc w:val="center"/>
        </w:trPr>
        <w:tc>
          <w:tcPr>
            <w:tcW w:w="526" w:type="dxa"/>
            <w:vMerge w:val="continue"/>
            <w:tcBorders>
              <w:left w:val="single" w:color="auto" w:sz="4" w:space="0"/>
              <w:right w:val="single" w:color="auto" w:sz="4" w:space="0"/>
            </w:tcBorders>
            <w:vAlign w:val="center"/>
          </w:tcPr>
          <w:p w14:paraId="6BEF28DB">
            <w:pPr>
              <w:adjustRightInd w:val="0"/>
              <w:spacing w:line="360" w:lineRule="auto"/>
              <w:jc w:val="center"/>
              <w:textAlignment w:val="baseline"/>
              <w:rPr>
                <w:rFonts w:ascii="宋体" w:hAnsi="宋体" w:cs="宋体"/>
                <w:color w:val="auto"/>
                <w:szCs w:val="21"/>
                <w:highlight w:val="none"/>
              </w:rPr>
            </w:pPr>
          </w:p>
        </w:tc>
        <w:tc>
          <w:tcPr>
            <w:tcW w:w="1120" w:type="dxa"/>
            <w:vMerge w:val="continue"/>
            <w:tcBorders>
              <w:left w:val="single" w:color="auto" w:sz="4" w:space="0"/>
              <w:right w:val="single" w:color="auto" w:sz="4" w:space="0"/>
            </w:tcBorders>
            <w:vAlign w:val="center"/>
          </w:tcPr>
          <w:p w14:paraId="1C4A686B">
            <w:pPr>
              <w:adjustRightInd w:val="0"/>
              <w:spacing w:line="360" w:lineRule="auto"/>
              <w:ind w:left="-105" w:leftChars="-50" w:right="-105" w:rightChars="-50"/>
              <w:jc w:val="center"/>
              <w:textAlignment w:val="baseline"/>
              <w:rPr>
                <w:rFonts w:ascii="宋体" w:hAnsi="宋体" w:cs="宋体"/>
                <w:bCs/>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62CE36DC">
            <w:pPr>
              <w:spacing w:line="360" w:lineRule="auto"/>
              <w:ind w:left="-2" w:leftChars="-1"/>
              <w:jc w:val="center"/>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服务方案分（满分</w:t>
            </w:r>
            <w:r>
              <w:rPr>
                <w:rFonts w:hint="eastAsia" w:ascii="宋体" w:hAnsi="宋体" w:cs="宋体"/>
                <w:color w:val="auto"/>
                <w:szCs w:val="21"/>
                <w:highlight w:val="none"/>
              </w:rPr>
              <w:t>24</w:t>
            </w:r>
            <w:r>
              <w:rPr>
                <w:rFonts w:hint="eastAsia" w:ascii="宋体" w:hAnsi="宋体" w:cs="宋体"/>
                <w:bCs/>
                <w:color w:val="auto"/>
                <w:szCs w:val="21"/>
                <w:highlight w:val="none"/>
              </w:rPr>
              <w:t>分）</w:t>
            </w:r>
          </w:p>
        </w:tc>
        <w:tc>
          <w:tcPr>
            <w:tcW w:w="6422" w:type="dxa"/>
            <w:tcBorders>
              <w:top w:val="single" w:color="auto" w:sz="4" w:space="0"/>
              <w:left w:val="single" w:color="auto" w:sz="4" w:space="0"/>
              <w:right w:val="single" w:color="auto" w:sz="4" w:space="0"/>
            </w:tcBorders>
            <w:shd w:val="clear" w:color="auto" w:fill="auto"/>
            <w:vAlign w:val="center"/>
          </w:tcPr>
          <w:p w14:paraId="3CADBF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根据投标人提供的</w:t>
            </w:r>
            <w:r>
              <w:rPr>
                <w:rFonts w:hint="eastAsia" w:ascii="宋体" w:hAnsi="宋体" w:cs="宋体"/>
                <w:bCs/>
                <w:color w:val="auto"/>
                <w:szCs w:val="21"/>
                <w:highlight w:val="none"/>
              </w:rPr>
              <w:t>服务方案</w:t>
            </w:r>
            <w:r>
              <w:rPr>
                <w:rFonts w:hint="eastAsia" w:ascii="宋体" w:hAnsi="宋体" w:cs="宋体"/>
                <w:color w:val="auto"/>
                <w:szCs w:val="21"/>
                <w:highlight w:val="none"/>
              </w:rPr>
              <w:t>进行比较打分，不提供不得分：</w:t>
            </w:r>
          </w:p>
          <w:p w14:paraId="5F95A0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（投标人根据技术服务要求提交相关实施服务方案，包括实施管理制度、实施计划、进度保障措施、质量保证措施等）</w:t>
            </w:r>
          </w:p>
          <w:p w14:paraId="6337FD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一档（8分）：投标人能提供相关实施服务方案，方案内容不完整，各项措施不全。</w:t>
            </w:r>
          </w:p>
          <w:p w14:paraId="6E0E42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二档（16分）：投标人能提供详细的实施服务方案，有相应的实施管理制度、实施计划、进度保障措施、质量保证措施等内容，但未体现针对性。</w:t>
            </w:r>
          </w:p>
          <w:p w14:paraId="0D2D11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三档（24分）：在满足二档的基础上，投标人能提供完整、详细、有针对性的服务方案及完整的实施管理制度、实施计划、进度保障措施、质量保证措施等，且方案内容科学合理，具有可行性，可操作性。</w:t>
            </w:r>
          </w:p>
        </w:tc>
      </w:tr>
      <w:tr w14:paraId="42D8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526" w:type="dxa"/>
            <w:vMerge w:val="continue"/>
            <w:tcBorders>
              <w:left w:val="single" w:color="auto" w:sz="4" w:space="0"/>
              <w:bottom w:val="single" w:color="auto" w:sz="4" w:space="0"/>
              <w:right w:val="single" w:color="auto" w:sz="4" w:space="0"/>
            </w:tcBorders>
            <w:vAlign w:val="center"/>
          </w:tcPr>
          <w:p w14:paraId="2B8AB1DB">
            <w:pPr>
              <w:adjustRightInd w:val="0"/>
              <w:spacing w:line="360" w:lineRule="auto"/>
              <w:jc w:val="center"/>
              <w:textAlignment w:val="baseline"/>
              <w:rPr>
                <w:rFonts w:ascii="宋体" w:hAnsi="宋体" w:cs="宋体"/>
                <w:color w:val="auto"/>
                <w:szCs w:val="21"/>
                <w:highlight w:val="none"/>
              </w:rPr>
            </w:pPr>
          </w:p>
        </w:tc>
        <w:tc>
          <w:tcPr>
            <w:tcW w:w="1120" w:type="dxa"/>
            <w:vMerge w:val="continue"/>
            <w:tcBorders>
              <w:left w:val="single" w:color="auto" w:sz="4" w:space="0"/>
              <w:right w:val="single" w:color="auto" w:sz="4" w:space="0"/>
            </w:tcBorders>
            <w:vAlign w:val="center"/>
          </w:tcPr>
          <w:p w14:paraId="1B11563E">
            <w:pPr>
              <w:adjustRightInd w:val="0"/>
              <w:spacing w:line="360" w:lineRule="auto"/>
              <w:ind w:left="-105" w:leftChars="-50" w:right="-105" w:rightChars="-50"/>
              <w:jc w:val="center"/>
              <w:textAlignment w:val="baseline"/>
              <w:rPr>
                <w:rFonts w:ascii="宋体" w:hAnsi="宋体" w:cs="宋体"/>
                <w:bCs/>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vAlign w:val="center"/>
          </w:tcPr>
          <w:p w14:paraId="6407BC68">
            <w:pPr>
              <w:spacing w:line="360" w:lineRule="auto"/>
              <w:rPr>
                <w:rFonts w:ascii="宋体" w:hAnsi="宋体" w:cs="宋体"/>
                <w:bCs/>
                <w:color w:val="auto"/>
                <w:szCs w:val="21"/>
                <w:highlight w:val="none"/>
              </w:rPr>
            </w:pPr>
            <w:r>
              <w:rPr>
                <w:rFonts w:hint="eastAsia" w:ascii="宋体" w:hAnsi="宋体" w:cs="宋体"/>
                <w:color w:val="auto"/>
                <w:szCs w:val="21"/>
                <w:highlight w:val="none"/>
              </w:rPr>
              <w:t>（4）</w:t>
            </w:r>
            <w:r>
              <w:rPr>
                <w:rFonts w:hint="eastAsia" w:ascii="宋体" w:hAnsi="宋体" w:cs="宋体"/>
                <w:bCs/>
                <w:color w:val="auto"/>
                <w:szCs w:val="21"/>
                <w:highlight w:val="none"/>
              </w:rPr>
              <w:t>售后服务方案分（满分</w:t>
            </w:r>
            <w:r>
              <w:rPr>
                <w:rFonts w:hint="eastAsia" w:ascii="宋体" w:hAnsi="宋体" w:cs="宋体"/>
                <w:color w:val="auto"/>
                <w:szCs w:val="21"/>
                <w:highlight w:val="none"/>
              </w:rPr>
              <w:t>11</w:t>
            </w:r>
            <w:r>
              <w:rPr>
                <w:rFonts w:hint="eastAsia" w:ascii="宋体" w:hAnsi="宋体" w:cs="宋体"/>
                <w:bCs/>
                <w:color w:val="auto"/>
                <w:szCs w:val="21"/>
                <w:highlight w:val="none"/>
              </w:rPr>
              <w:t>分）</w:t>
            </w:r>
          </w:p>
        </w:tc>
        <w:tc>
          <w:tcPr>
            <w:tcW w:w="6422" w:type="dxa"/>
            <w:tcBorders>
              <w:top w:val="single" w:color="auto" w:sz="4" w:space="0"/>
              <w:left w:val="single" w:color="auto" w:sz="4" w:space="0"/>
              <w:right w:val="single" w:color="auto" w:sz="4" w:space="0"/>
            </w:tcBorders>
            <w:vAlign w:val="center"/>
          </w:tcPr>
          <w:p w14:paraId="717F0F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根据投标人提供的</w:t>
            </w:r>
            <w:r>
              <w:rPr>
                <w:rFonts w:hint="eastAsia" w:ascii="宋体" w:hAnsi="宋体" w:cs="宋体"/>
                <w:bCs/>
                <w:color w:val="auto"/>
                <w:szCs w:val="21"/>
                <w:highlight w:val="none"/>
              </w:rPr>
              <w:t>售后服务方案</w:t>
            </w:r>
            <w:r>
              <w:rPr>
                <w:rFonts w:hint="eastAsia" w:ascii="宋体" w:hAnsi="宋体" w:cs="宋体"/>
                <w:color w:val="auto"/>
                <w:szCs w:val="21"/>
                <w:highlight w:val="none"/>
              </w:rPr>
              <w:t>进行比较打分，不提供不得分：</w:t>
            </w:r>
          </w:p>
          <w:p w14:paraId="3AD245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一档（3分）：投标人能提供售后服务方案，服务承诺内容不齐全，陈述不充分，接到采购人处理问题通知后24小时内到达采购人指定现场；</w:t>
            </w:r>
          </w:p>
          <w:p w14:paraId="4276A8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二档（7分）：投标人能提供售后服务方案，满足采购文件的售后服务要求，针对本项目提供专门的售后服务支持，接到采购人处理问题通知后12小时内到达采购人指定现场。</w:t>
            </w:r>
          </w:p>
          <w:p w14:paraId="30482A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档（11分）：投标人能提供售后服务方案，满足采购文件的售后服务要求，提供问题处理流程、维护保障流程及组织架构；能根据采购人情况提供技术支持服务、定期回访服务；针对本项目提供专门的售后服务支持，响应时间、解决问题时间优于采购需求，接到采购人处理问题通知后2小时内到达采购人指定现场。</w:t>
            </w:r>
          </w:p>
        </w:tc>
      </w:tr>
      <w:tr w14:paraId="37C1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526" w:type="dxa"/>
            <w:vMerge w:val="restart"/>
            <w:tcBorders>
              <w:top w:val="single" w:color="auto" w:sz="4" w:space="0"/>
              <w:left w:val="single" w:color="auto" w:sz="4" w:space="0"/>
              <w:right w:val="single" w:color="auto" w:sz="4" w:space="0"/>
            </w:tcBorders>
            <w:vAlign w:val="center"/>
          </w:tcPr>
          <w:p w14:paraId="1A3BDCEF">
            <w:pPr>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3</w:t>
            </w:r>
          </w:p>
        </w:tc>
        <w:tc>
          <w:tcPr>
            <w:tcW w:w="1120" w:type="dxa"/>
            <w:vMerge w:val="restart"/>
            <w:tcBorders>
              <w:top w:val="single" w:color="auto" w:sz="4" w:space="0"/>
              <w:left w:val="single" w:color="auto" w:sz="4" w:space="0"/>
              <w:right w:val="single" w:color="auto" w:sz="4" w:space="0"/>
            </w:tcBorders>
            <w:vAlign w:val="center"/>
          </w:tcPr>
          <w:p w14:paraId="7ED4406A">
            <w:pPr>
              <w:adjustRightInd w:val="0"/>
              <w:spacing w:line="360" w:lineRule="auto"/>
              <w:ind w:left="-105" w:leftChars="-50" w:right="-105" w:rightChars="-50"/>
              <w:jc w:val="center"/>
              <w:textAlignment w:val="baseline"/>
              <w:rPr>
                <w:rFonts w:ascii="宋体" w:hAnsi="宋体" w:cs="宋体"/>
                <w:bCs/>
                <w:color w:val="auto"/>
                <w:szCs w:val="21"/>
                <w:highlight w:val="none"/>
              </w:rPr>
            </w:pPr>
            <w:r>
              <w:rPr>
                <w:rFonts w:hint="eastAsia" w:ascii="宋体" w:hAnsi="宋体" w:cs="宋体"/>
                <w:color w:val="auto"/>
                <w:szCs w:val="21"/>
                <w:highlight w:val="none"/>
              </w:rPr>
              <w:t>商务分（满分25分）</w:t>
            </w:r>
          </w:p>
        </w:tc>
        <w:tc>
          <w:tcPr>
            <w:tcW w:w="1290" w:type="dxa"/>
            <w:tcBorders>
              <w:top w:val="single" w:color="auto" w:sz="4" w:space="0"/>
              <w:left w:val="single" w:color="auto" w:sz="4" w:space="0"/>
              <w:right w:val="single" w:color="auto" w:sz="4" w:space="0"/>
            </w:tcBorders>
            <w:vAlign w:val="center"/>
          </w:tcPr>
          <w:p w14:paraId="13A6DE1A">
            <w:pPr>
              <w:adjustRightInd w:val="0"/>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1</w:t>
            </w:r>
            <w:r>
              <w:rPr>
                <w:rFonts w:hint="eastAsia" w:ascii="宋体" w:hAnsi="宋体" w:cs="宋体"/>
                <w:bCs/>
                <w:color w:val="auto"/>
                <w:szCs w:val="21"/>
                <w:highlight w:val="none"/>
              </w:rPr>
              <w:t>）业绩情况（满分</w:t>
            </w:r>
            <w:r>
              <w:rPr>
                <w:rFonts w:hint="eastAsia" w:ascii="宋体" w:hAnsi="宋体" w:cs="宋体"/>
                <w:color w:val="auto"/>
                <w:szCs w:val="21"/>
                <w:highlight w:val="none"/>
              </w:rPr>
              <w:t>9</w:t>
            </w:r>
            <w:r>
              <w:rPr>
                <w:rFonts w:hint="eastAsia" w:ascii="宋体" w:hAnsi="宋体" w:cs="宋体"/>
                <w:bCs/>
                <w:color w:val="auto"/>
                <w:szCs w:val="21"/>
                <w:highlight w:val="none"/>
              </w:rPr>
              <w:t>分）</w:t>
            </w:r>
          </w:p>
        </w:tc>
        <w:tc>
          <w:tcPr>
            <w:tcW w:w="6422" w:type="dxa"/>
            <w:tcBorders>
              <w:top w:val="single" w:color="auto" w:sz="4" w:space="0"/>
              <w:left w:val="single" w:color="auto" w:sz="4" w:space="0"/>
              <w:bottom w:val="single" w:color="auto" w:sz="4" w:space="0"/>
              <w:right w:val="single" w:color="auto" w:sz="4" w:space="0"/>
            </w:tcBorders>
            <w:vAlign w:val="center"/>
          </w:tcPr>
          <w:p w14:paraId="5324F860">
            <w:pPr>
              <w:pStyle w:val="8"/>
              <w:spacing w:line="360" w:lineRule="auto"/>
              <w:ind w:firstLine="420" w:firstLineChars="200"/>
              <w:rPr>
                <w:rFonts w:ascii="宋体" w:hAnsi="宋体" w:cs="宋体"/>
                <w:color w:val="auto"/>
                <w:szCs w:val="21"/>
                <w:highlight w:val="none"/>
              </w:rPr>
            </w:pPr>
            <w:r>
              <w:rPr>
                <w:rFonts w:hint="eastAsia" w:asciiTheme="minorEastAsia" w:hAnsiTheme="minorEastAsia" w:eastAsiaTheme="minorEastAsia" w:cstheme="minorEastAsia"/>
                <w:bCs/>
                <w:color w:val="auto"/>
                <w:szCs w:val="21"/>
                <w:highlight w:val="none"/>
              </w:rPr>
              <w:t>投标人</w:t>
            </w:r>
            <w:r>
              <w:rPr>
                <w:rFonts w:hint="eastAsia" w:asciiTheme="minorEastAsia" w:hAnsiTheme="minorEastAsia" w:eastAsiaTheme="minorEastAsia" w:cstheme="minorEastAsia"/>
                <w:color w:val="auto"/>
                <w:szCs w:val="21"/>
                <w:highlight w:val="none"/>
              </w:rPr>
              <w:t>2022年1月1日以来（截至提交投标文件当日）具有项目评估评审服务业绩的，每个得3分。满分9分。（提供中标（成交）通知书或合同复印件）</w:t>
            </w:r>
          </w:p>
        </w:tc>
      </w:tr>
      <w:tr w14:paraId="5118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26" w:type="dxa"/>
            <w:vMerge w:val="continue"/>
            <w:tcBorders>
              <w:left w:val="single" w:color="auto" w:sz="4" w:space="0"/>
              <w:right w:val="single" w:color="auto" w:sz="4" w:space="0"/>
            </w:tcBorders>
            <w:vAlign w:val="center"/>
          </w:tcPr>
          <w:p w14:paraId="3F41C070">
            <w:pPr>
              <w:adjustRightInd w:val="0"/>
              <w:spacing w:line="360" w:lineRule="auto"/>
              <w:jc w:val="center"/>
              <w:textAlignment w:val="baseline"/>
              <w:rPr>
                <w:rFonts w:ascii="宋体" w:hAnsi="宋体" w:cs="宋体"/>
                <w:color w:val="auto"/>
                <w:szCs w:val="21"/>
                <w:highlight w:val="none"/>
              </w:rPr>
            </w:pPr>
          </w:p>
        </w:tc>
        <w:tc>
          <w:tcPr>
            <w:tcW w:w="1120" w:type="dxa"/>
            <w:vMerge w:val="continue"/>
            <w:tcBorders>
              <w:left w:val="single" w:color="auto" w:sz="4" w:space="0"/>
              <w:right w:val="single" w:color="auto" w:sz="4" w:space="0"/>
            </w:tcBorders>
            <w:vAlign w:val="center"/>
          </w:tcPr>
          <w:p w14:paraId="11F03656">
            <w:pPr>
              <w:spacing w:line="360" w:lineRule="auto"/>
              <w:jc w:val="center"/>
              <w:rPr>
                <w:rFonts w:ascii="宋体" w:hAnsi="宋体" w:cs="宋体"/>
                <w:color w:val="auto"/>
                <w:szCs w:val="21"/>
                <w:highlight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31B2A5A9">
            <w:pPr>
              <w:adjustRightInd w:val="0"/>
              <w:snapToGrid w:val="0"/>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拟投入项目团队人员情况（满分</w:t>
            </w:r>
            <w:r>
              <w:rPr>
                <w:rFonts w:hint="eastAsia" w:ascii="宋体" w:hAnsi="宋体" w:cs="宋体"/>
                <w:color w:val="auto"/>
                <w:szCs w:val="21"/>
                <w:highlight w:val="none"/>
              </w:rPr>
              <w:t>16</w:t>
            </w:r>
            <w:r>
              <w:rPr>
                <w:rFonts w:hint="eastAsia" w:ascii="宋体" w:hAnsi="宋体" w:cs="宋体"/>
                <w:bCs/>
                <w:color w:val="auto"/>
                <w:szCs w:val="21"/>
                <w:highlight w:val="none"/>
              </w:rPr>
              <w:t>分）</w:t>
            </w:r>
          </w:p>
        </w:tc>
        <w:tc>
          <w:tcPr>
            <w:tcW w:w="6422" w:type="dxa"/>
            <w:tcBorders>
              <w:top w:val="single" w:color="auto" w:sz="4" w:space="0"/>
              <w:left w:val="single" w:color="auto" w:sz="4" w:space="0"/>
              <w:bottom w:val="single" w:color="auto" w:sz="4" w:space="0"/>
              <w:right w:val="single" w:color="auto" w:sz="4" w:space="0"/>
            </w:tcBorders>
            <w:shd w:val="clear" w:color="auto" w:fill="auto"/>
            <w:vAlign w:val="center"/>
          </w:tcPr>
          <w:p w14:paraId="37D10BF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①拟投入的项目负责人应具备工程咨询相关工作经验并取得咨询工程师（投资）证书</w:t>
            </w:r>
            <w:r>
              <w:rPr>
                <w:rFonts w:hint="eastAsia" w:ascii="宋体" w:hAnsi="宋体" w:cs="宋体"/>
                <w:color w:val="auto"/>
                <w:szCs w:val="21"/>
                <w:highlight w:val="none"/>
              </w:rPr>
              <w:t>5</w:t>
            </w:r>
            <w:r>
              <w:rPr>
                <w:rFonts w:hint="eastAsia" w:ascii="宋体" w:hAnsi="宋体" w:cs="宋体"/>
                <w:bCs/>
                <w:color w:val="auto"/>
                <w:szCs w:val="21"/>
                <w:highlight w:val="none"/>
              </w:rPr>
              <w:t>年及以上，否则不得分。在此基础上，具有工程系列正高级职称得</w:t>
            </w:r>
            <w:r>
              <w:rPr>
                <w:rFonts w:hint="eastAsia" w:ascii="宋体" w:hAnsi="宋体" w:cs="宋体"/>
                <w:color w:val="auto"/>
                <w:szCs w:val="21"/>
                <w:highlight w:val="none"/>
              </w:rPr>
              <w:t>4</w:t>
            </w:r>
            <w:r>
              <w:rPr>
                <w:rFonts w:hint="eastAsia" w:ascii="宋体" w:hAnsi="宋体" w:cs="宋体"/>
                <w:bCs/>
                <w:color w:val="auto"/>
                <w:szCs w:val="21"/>
                <w:highlight w:val="none"/>
              </w:rPr>
              <w:t>分；具有工程系列副高级职称得</w:t>
            </w:r>
            <w:r>
              <w:rPr>
                <w:rFonts w:hint="eastAsia" w:ascii="宋体" w:hAnsi="宋体" w:cs="宋体"/>
                <w:color w:val="auto"/>
                <w:szCs w:val="21"/>
                <w:highlight w:val="none"/>
              </w:rPr>
              <w:t>2</w:t>
            </w:r>
            <w:r>
              <w:rPr>
                <w:rFonts w:hint="eastAsia" w:ascii="宋体" w:hAnsi="宋体" w:cs="宋体"/>
                <w:bCs/>
                <w:color w:val="auto"/>
                <w:szCs w:val="21"/>
                <w:highlight w:val="none"/>
              </w:rPr>
              <w:t>分；具有工程系列中级职称得</w:t>
            </w:r>
            <w:r>
              <w:rPr>
                <w:rFonts w:hint="eastAsia" w:ascii="宋体" w:hAnsi="宋体" w:cs="宋体"/>
                <w:color w:val="auto"/>
                <w:szCs w:val="21"/>
                <w:highlight w:val="none"/>
              </w:rPr>
              <w:t>1</w:t>
            </w:r>
            <w:r>
              <w:rPr>
                <w:rFonts w:hint="eastAsia" w:ascii="宋体" w:hAnsi="宋体" w:cs="宋体"/>
                <w:bCs/>
                <w:color w:val="auto"/>
                <w:szCs w:val="21"/>
                <w:highlight w:val="none"/>
              </w:rPr>
              <w:t>分。此项满分</w:t>
            </w:r>
            <w:r>
              <w:rPr>
                <w:rFonts w:hint="eastAsia" w:ascii="宋体" w:hAnsi="宋体" w:cs="宋体"/>
                <w:color w:val="auto"/>
                <w:szCs w:val="21"/>
                <w:highlight w:val="none"/>
              </w:rPr>
              <w:t>4</w:t>
            </w:r>
            <w:r>
              <w:rPr>
                <w:rFonts w:hint="eastAsia" w:ascii="宋体" w:hAnsi="宋体" w:cs="宋体"/>
                <w:bCs/>
                <w:color w:val="auto"/>
                <w:szCs w:val="21"/>
                <w:highlight w:val="none"/>
              </w:rPr>
              <w:t>分。（提供</w:t>
            </w:r>
            <w:r>
              <w:rPr>
                <w:rFonts w:hint="eastAsia" w:ascii="宋体" w:hAnsi="宋体" w:cs="宋体"/>
                <w:color w:val="auto"/>
                <w:szCs w:val="21"/>
                <w:highlight w:val="none"/>
              </w:rPr>
              <w:t>5</w:t>
            </w:r>
            <w:r>
              <w:rPr>
                <w:rFonts w:hint="eastAsia" w:ascii="宋体" w:hAnsi="宋体" w:cs="宋体"/>
                <w:bCs/>
                <w:color w:val="auto"/>
                <w:szCs w:val="21"/>
                <w:highlight w:val="none"/>
              </w:rPr>
              <w:t>年以上执业时间的咨询工程师（投资）证书、职称证等复印件）</w:t>
            </w:r>
          </w:p>
          <w:p w14:paraId="2A77BCA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w:t>
            </w:r>
            <w:r>
              <w:rPr>
                <w:rFonts w:hint="eastAsia" w:ascii="宋体" w:hAnsi="宋体" w:cs="宋体"/>
                <w:color w:val="auto"/>
                <w:szCs w:val="21"/>
                <w:highlight w:val="none"/>
              </w:rPr>
              <w:t>拟投入项目的其他人员至少5人，否则不得分。同时</w:t>
            </w:r>
            <w:r>
              <w:rPr>
                <w:rFonts w:hint="eastAsia" w:ascii="宋体" w:hAnsi="宋体" w:cs="宋体"/>
                <w:bCs/>
                <w:color w:val="auto"/>
                <w:szCs w:val="21"/>
                <w:highlight w:val="none"/>
              </w:rPr>
              <w:t>具有工程类、财务、金融、造价专业的得</w:t>
            </w:r>
            <w:r>
              <w:rPr>
                <w:rFonts w:hint="eastAsia" w:ascii="宋体" w:hAnsi="宋体" w:cs="宋体"/>
                <w:color w:val="auto"/>
                <w:szCs w:val="21"/>
                <w:highlight w:val="none"/>
              </w:rPr>
              <w:t>2</w:t>
            </w:r>
            <w:r>
              <w:rPr>
                <w:rFonts w:hint="eastAsia" w:ascii="宋体" w:hAnsi="宋体" w:cs="宋体"/>
                <w:bCs/>
                <w:color w:val="auto"/>
                <w:szCs w:val="21"/>
                <w:highlight w:val="none"/>
              </w:rPr>
              <w:t>分。每少一个专业扣</w:t>
            </w:r>
            <w:r>
              <w:rPr>
                <w:rFonts w:hint="eastAsia" w:ascii="宋体" w:hAnsi="宋体" w:cs="宋体"/>
                <w:color w:val="auto"/>
                <w:szCs w:val="21"/>
                <w:highlight w:val="none"/>
              </w:rPr>
              <w:t>0.5</w:t>
            </w:r>
            <w:r>
              <w:rPr>
                <w:rFonts w:hint="eastAsia" w:ascii="宋体" w:hAnsi="宋体" w:cs="宋体"/>
                <w:bCs/>
                <w:color w:val="auto"/>
                <w:szCs w:val="21"/>
                <w:highlight w:val="none"/>
              </w:rPr>
              <w:t>分，扣完为止。此项满分</w:t>
            </w:r>
            <w:r>
              <w:rPr>
                <w:rFonts w:hint="eastAsia" w:ascii="宋体" w:hAnsi="宋体" w:cs="宋体"/>
                <w:color w:val="auto"/>
                <w:szCs w:val="21"/>
                <w:highlight w:val="none"/>
              </w:rPr>
              <w:t>2</w:t>
            </w:r>
            <w:r>
              <w:rPr>
                <w:rFonts w:hint="eastAsia" w:ascii="宋体" w:hAnsi="宋体" w:cs="宋体"/>
                <w:bCs/>
                <w:color w:val="auto"/>
                <w:szCs w:val="21"/>
                <w:highlight w:val="none"/>
              </w:rPr>
              <w:t>分。（职称证或毕业证的专业均可。）</w:t>
            </w:r>
          </w:p>
          <w:p w14:paraId="1C912E0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③</w:t>
            </w:r>
            <w:r>
              <w:rPr>
                <w:rFonts w:hint="eastAsia" w:ascii="宋体" w:hAnsi="宋体" w:cs="宋体"/>
                <w:color w:val="auto"/>
                <w:szCs w:val="21"/>
                <w:highlight w:val="none"/>
              </w:rPr>
              <w:t>拟投入项目的其他人员同时</w:t>
            </w:r>
            <w:r>
              <w:rPr>
                <w:rFonts w:hint="eastAsia" w:ascii="宋体" w:hAnsi="宋体" w:cs="宋体"/>
                <w:bCs/>
                <w:color w:val="auto"/>
                <w:szCs w:val="21"/>
                <w:highlight w:val="none"/>
              </w:rPr>
              <w:t>具有高级职称及咨询工程师（投资）证书的</w:t>
            </w:r>
            <w:r>
              <w:rPr>
                <w:rFonts w:hint="eastAsia" w:ascii="宋体" w:hAnsi="宋体" w:cs="宋体"/>
                <w:color w:val="auto"/>
                <w:szCs w:val="21"/>
                <w:highlight w:val="none"/>
              </w:rPr>
              <w:t>，得2分；同时</w:t>
            </w:r>
            <w:r>
              <w:rPr>
                <w:rFonts w:hint="eastAsia" w:ascii="宋体" w:hAnsi="宋体" w:cs="宋体"/>
                <w:bCs/>
                <w:color w:val="auto"/>
                <w:szCs w:val="21"/>
                <w:highlight w:val="none"/>
              </w:rPr>
              <w:t>具有中级职称及咨询工程师（投资）证书的</w:t>
            </w:r>
            <w:r>
              <w:rPr>
                <w:rFonts w:hint="eastAsia" w:ascii="宋体" w:hAnsi="宋体" w:cs="宋体"/>
                <w:color w:val="auto"/>
                <w:szCs w:val="21"/>
                <w:highlight w:val="none"/>
              </w:rPr>
              <w:t>，得1分。此项满分10分。</w:t>
            </w:r>
          </w:p>
          <w:p w14:paraId="3E950E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【备注：需提供有关人员的证书复印件和以上人员在本单位任职的证明材料复印件[如 2025年2月至2025年7月任意3个月的《投保单》或《社会保险参保人员证明》；或单位代缴个人所得税税单等复印件（加盖公章）；或提供供应商与拟投入本项目团队成员签订的劳务合同复印件（法定代表人除外]作为评审依据，不能按要求提供的，相应项目不计分。在社保证明中将拟投入人员姓名做明显标注】</w:t>
            </w:r>
          </w:p>
        </w:tc>
      </w:tr>
      <w:tr w14:paraId="7364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526" w:type="dxa"/>
            <w:tcBorders>
              <w:left w:val="single" w:color="auto" w:sz="4" w:space="0"/>
              <w:right w:val="single" w:color="auto" w:sz="4" w:space="0"/>
            </w:tcBorders>
            <w:vAlign w:val="center"/>
          </w:tcPr>
          <w:p w14:paraId="2B68F6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120" w:type="dxa"/>
            <w:tcBorders>
              <w:left w:val="single" w:color="auto" w:sz="4" w:space="0"/>
              <w:right w:val="single" w:color="auto" w:sz="4" w:space="0"/>
            </w:tcBorders>
            <w:vAlign w:val="center"/>
          </w:tcPr>
          <w:p w14:paraId="0899C78D">
            <w:pPr>
              <w:spacing w:line="360" w:lineRule="auto"/>
              <w:rPr>
                <w:rFonts w:ascii="宋体" w:hAnsi="宋体" w:cs="宋体"/>
                <w:color w:val="auto"/>
                <w:szCs w:val="21"/>
                <w:highlight w:val="none"/>
              </w:rPr>
            </w:pPr>
            <w:r>
              <w:rPr>
                <w:rFonts w:hint="eastAsia" w:ascii="宋体" w:hAnsi="宋体" w:cs="宋体"/>
                <w:color w:val="auto"/>
                <w:szCs w:val="21"/>
                <w:highlight w:val="none"/>
              </w:rPr>
              <w:t>诚信处罚</w:t>
            </w:r>
          </w:p>
          <w:p w14:paraId="6E343CF8">
            <w:pPr>
              <w:spacing w:line="360" w:lineRule="auto"/>
              <w:rPr>
                <w:rFonts w:ascii="宋体" w:hAnsi="宋体" w:cs="宋体"/>
                <w:color w:val="auto"/>
                <w:szCs w:val="21"/>
                <w:highlight w:val="none"/>
              </w:rPr>
            </w:pPr>
            <w:r>
              <w:rPr>
                <w:rFonts w:hint="eastAsia" w:ascii="宋体" w:hAnsi="宋体" w:cs="宋体"/>
                <w:color w:val="auto"/>
                <w:szCs w:val="21"/>
                <w:highlight w:val="none"/>
              </w:rPr>
              <w:t>扣分</w:t>
            </w:r>
          </w:p>
          <w:p w14:paraId="70177A0A">
            <w:pPr>
              <w:spacing w:line="360" w:lineRule="auto"/>
              <w:rPr>
                <w:rFonts w:ascii="宋体" w:hAnsi="宋体" w:cs="宋体"/>
                <w:color w:val="auto"/>
                <w:szCs w:val="21"/>
                <w:highlight w:val="none"/>
              </w:rPr>
            </w:pPr>
            <w:r>
              <w:rPr>
                <w:rFonts w:hint="eastAsia" w:ascii="宋体" w:hAnsi="宋体" w:cs="宋体"/>
                <w:color w:val="auto"/>
                <w:szCs w:val="21"/>
                <w:highlight w:val="none"/>
              </w:rPr>
              <w:t>（0分）</w:t>
            </w:r>
          </w:p>
        </w:tc>
        <w:tc>
          <w:tcPr>
            <w:tcW w:w="1290" w:type="dxa"/>
            <w:tcBorders>
              <w:top w:val="single" w:color="auto" w:sz="4" w:space="0"/>
              <w:left w:val="single" w:color="auto" w:sz="4" w:space="0"/>
              <w:bottom w:val="single" w:color="auto" w:sz="4" w:space="0"/>
              <w:right w:val="single" w:color="auto" w:sz="4" w:space="0"/>
            </w:tcBorders>
            <w:vAlign w:val="center"/>
          </w:tcPr>
          <w:p w14:paraId="741643BD">
            <w:pPr>
              <w:spacing w:line="360" w:lineRule="auto"/>
              <w:rPr>
                <w:rFonts w:ascii="宋体" w:hAnsi="宋体" w:cs="宋体"/>
                <w:color w:val="auto"/>
                <w:szCs w:val="21"/>
                <w:highlight w:val="none"/>
              </w:rPr>
            </w:pPr>
            <w:r>
              <w:rPr>
                <w:rFonts w:hint="eastAsia" w:ascii="宋体" w:hAnsi="宋体" w:cs="宋体"/>
                <w:color w:val="auto"/>
                <w:szCs w:val="21"/>
                <w:highlight w:val="none"/>
              </w:rPr>
              <w:t>诚信处罚</w:t>
            </w:r>
          </w:p>
          <w:p w14:paraId="2AD793B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扣分</w:t>
            </w:r>
          </w:p>
          <w:p w14:paraId="6E332993">
            <w:pPr>
              <w:spacing w:line="360" w:lineRule="auto"/>
              <w:jc w:val="left"/>
              <w:rPr>
                <w:rFonts w:ascii="宋体" w:hAnsi="宋体" w:cs="宋体"/>
                <w:bCs/>
                <w:color w:val="auto"/>
                <w:szCs w:val="21"/>
                <w:highlight w:val="none"/>
              </w:rPr>
            </w:pPr>
            <w:r>
              <w:rPr>
                <w:rFonts w:hint="eastAsia" w:ascii="宋体" w:hAnsi="宋体" w:cs="宋体"/>
                <w:color w:val="auto"/>
                <w:szCs w:val="21"/>
                <w:highlight w:val="none"/>
              </w:rPr>
              <w:t>（-6~0分）</w:t>
            </w:r>
          </w:p>
        </w:tc>
        <w:tc>
          <w:tcPr>
            <w:tcW w:w="6422" w:type="dxa"/>
            <w:tcBorders>
              <w:top w:val="single" w:color="auto" w:sz="4" w:space="0"/>
              <w:left w:val="single" w:color="auto" w:sz="4" w:space="0"/>
              <w:bottom w:val="single" w:color="auto" w:sz="4" w:space="0"/>
              <w:right w:val="single" w:color="auto" w:sz="4" w:space="0"/>
            </w:tcBorders>
            <w:vAlign w:val="center"/>
          </w:tcPr>
          <w:p w14:paraId="4CA7B6B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在截标日前一年内在政府采购活动中存在违约情况的，每次扣除3分，最高扣6分。（供应商提供出具书面说明或其他有效证明材料作为评分依据，成交后由采购人进行核查，如核查后发现未如实提供的，按提供虚假材料处理。）</w:t>
            </w:r>
          </w:p>
        </w:tc>
      </w:tr>
      <w:tr w14:paraId="6025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358" w:type="dxa"/>
            <w:gridSpan w:val="4"/>
            <w:tcBorders>
              <w:top w:val="single" w:color="auto" w:sz="4" w:space="0"/>
              <w:left w:val="single" w:color="auto" w:sz="4" w:space="0"/>
              <w:bottom w:val="single" w:color="auto" w:sz="4" w:space="0"/>
              <w:right w:val="single" w:color="auto" w:sz="4" w:space="0"/>
            </w:tcBorders>
            <w:vAlign w:val="center"/>
          </w:tcPr>
          <w:p w14:paraId="2B6BD3DF">
            <w:pPr>
              <w:pStyle w:val="12"/>
              <w:spacing w:line="360" w:lineRule="auto"/>
              <w:ind w:firstLine="420"/>
              <w:rPr>
                <w:rFonts w:hAnsi="宋体" w:cs="宋体"/>
                <w:bCs/>
                <w:color w:val="auto"/>
                <w:szCs w:val="21"/>
                <w:highlight w:val="none"/>
              </w:rPr>
            </w:pPr>
            <w:r>
              <w:rPr>
                <w:rFonts w:hint="eastAsia" w:hAnsi="宋体" w:cs="宋体"/>
                <w:b/>
                <w:bCs/>
                <w:color w:val="auto"/>
                <w:szCs w:val="21"/>
                <w:highlight w:val="none"/>
              </w:rPr>
              <w:t>总得分=1+2+3+4</w:t>
            </w:r>
          </w:p>
        </w:tc>
      </w:tr>
    </w:tbl>
    <w:p w14:paraId="62618A62">
      <w:pPr>
        <w:pStyle w:val="12"/>
        <w:spacing w:line="360" w:lineRule="auto"/>
        <w:ind w:firstLine="420" w:firstLineChars="200"/>
        <w:rPr>
          <w:rFonts w:hint="eastAsia" w:asciiTheme="minorEastAsia" w:hAnsiTheme="minorEastAsia" w:eastAsiaTheme="minorEastAsia" w:cstheme="minorEastAsia"/>
          <w:b w:val="0"/>
          <w:color w:val="auto"/>
          <w:sz w:val="21"/>
          <w:szCs w:val="20"/>
          <w:highlight w:val="none"/>
        </w:rPr>
      </w:pPr>
      <w:bookmarkStart w:id="140" w:name="_Toc23668"/>
    </w:p>
    <w:p w14:paraId="40BF40CC">
      <w:pPr>
        <w:pStyle w:val="2"/>
        <w:jc w:val="center"/>
        <w:rPr>
          <w:rFonts w:asciiTheme="minorEastAsia" w:hAnsiTheme="minorEastAsia" w:eastAsiaTheme="minorEastAsia" w:cstheme="minorEastAsia"/>
          <w:b w:val="0"/>
          <w:color w:val="auto"/>
          <w:sz w:val="30"/>
          <w:szCs w:val="30"/>
          <w:highlight w:val="none"/>
        </w:rPr>
      </w:pPr>
      <w:r>
        <w:rPr>
          <w:rFonts w:hint="eastAsia" w:asciiTheme="minorEastAsia" w:hAnsiTheme="minorEastAsia" w:eastAsiaTheme="minorEastAsia" w:cstheme="minorEastAsia"/>
          <w:b w:val="0"/>
          <w:color w:val="auto"/>
          <w:sz w:val="30"/>
          <w:szCs w:val="30"/>
          <w:highlight w:val="none"/>
        </w:rPr>
        <w:t>第四节 中标候选人推荐原则</w:t>
      </w:r>
      <w:bookmarkEnd w:id="140"/>
    </w:p>
    <w:p w14:paraId="37460B15">
      <w:pPr>
        <w:pStyle w:val="12"/>
        <w:numPr>
          <w:ilvl w:val="0"/>
          <w:numId w:val="5"/>
        </w:numPr>
        <w:spacing w:line="360" w:lineRule="auto"/>
        <w:contextualSpacing/>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综合评分法</w:t>
      </w:r>
    </w:p>
    <w:p w14:paraId="19F6643C">
      <w:pPr>
        <w:pStyle w:val="12"/>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2789EFB4">
      <w:pPr>
        <w:pStyle w:val="2"/>
        <w:spacing w:line="360" w:lineRule="auto"/>
        <w:ind w:firstLine="600" w:firstLineChars="200"/>
        <w:jc w:val="center"/>
        <w:rPr>
          <w:rFonts w:asciiTheme="minorEastAsia" w:hAnsiTheme="minorEastAsia" w:eastAsiaTheme="minorEastAsia" w:cstheme="minorEastAsia"/>
          <w:b w:val="0"/>
          <w:color w:val="auto"/>
          <w:sz w:val="30"/>
          <w:szCs w:val="30"/>
          <w:highlight w:val="none"/>
        </w:rPr>
      </w:pPr>
      <w:bookmarkStart w:id="141" w:name="_Toc18534"/>
      <w:r>
        <w:rPr>
          <w:rFonts w:hint="eastAsia" w:asciiTheme="minorEastAsia" w:hAnsiTheme="minorEastAsia" w:eastAsiaTheme="minorEastAsia" w:cstheme="minorEastAsia"/>
          <w:b w:val="0"/>
          <w:color w:val="auto"/>
          <w:sz w:val="30"/>
          <w:szCs w:val="30"/>
          <w:highlight w:val="none"/>
        </w:rPr>
        <w:t>第五节 评标报告</w:t>
      </w:r>
      <w:bookmarkEnd w:id="141"/>
    </w:p>
    <w:p w14:paraId="21774F32">
      <w:pPr>
        <w:pStyle w:val="32"/>
        <w:spacing w:before="0"/>
        <w:ind w:firstLine="482"/>
        <w:rPr>
          <w:rFonts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（一）评标报告与推荐中标候选人</w:t>
      </w:r>
    </w:p>
    <w:p w14:paraId="602D0CCD">
      <w:pPr>
        <w:pStyle w:val="12"/>
        <w:tabs>
          <w:tab w:val="left" w:pos="2472"/>
        </w:tabs>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评标委员会根据原始评标记录和评标结果编写评标报告，并通过电子交易平台向采购人、采购代理机构提交。</w:t>
      </w:r>
    </w:p>
    <w:p w14:paraId="0F7D07D4">
      <w:pPr>
        <w:widowControl/>
        <w:spacing w:line="360" w:lineRule="auto"/>
        <w:ind w:firstLine="482" w:firstLineChars="200"/>
        <w:jc w:val="left"/>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（二）评标争议事项处理</w:t>
      </w:r>
    </w:p>
    <w:p w14:paraId="319EB780">
      <w:pPr>
        <w:pStyle w:val="12"/>
        <w:tabs>
          <w:tab w:val="left" w:pos="2472"/>
        </w:tabs>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99A89FC">
      <w:pPr>
        <w:widowControl/>
        <w:jc w:val="left"/>
        <w:rPr>
          <w:rFonts w:asciiTheme="minorEastAsia" w:hAnsiTheme="minorEastAsia" w:eastAsiaTheme="minorEastAsia" w:cstheme="minorEastAsia"/>
          <w:b/>
          <w:color w:val="auto"/>
          <w:sz w:val="36"/>
          <w:szCs w:val="20"/>
          <w:highlight w:val="none"/>
        </w:rPr>
        <w:sectPr>
          <w:pgSz w:w="11906" w:h="16838"/>
          <w:pgMar w:top="1134" w:right="1134" w:bottom="1134" w:left="1134" w:header="720" w:footer="720" w:gutter="0"/>
          <w:cols w:space="720" w:num="1"/>
          <w:docGrid w:type="lines" w:linePitch="331" w:charSpace="0"/>
        </w:sectPr>
      </w:pPr>
    </w:p>
    <w:p w14:paraId="30FA4A3F">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4BCD4244">
      <w:pPr>
        <w:pStyle w:val="12"/>
        <w:tabs>
          <w:tab w:val="left" w:pos="2472"/>
        </w:tabs>
        <w:spacing w:line="460" w:lineRule="exact"/>
        <w:jc w:val="center"/>
        <w:outlineLvl w:val="0"/>
        <w:rPr>
          <w:rFonts w:asciiTheme="minorEastAsia" w:hAnsiTheme="minorEastAsia" w:eastAsiaTheme="minorEastAsia" w:cstheme="minorEastAsia"/>
          <w:b/>
          <w:color w:val="auto"/>
          <w:sz w:val="36"/>
          <w:highlight w:val="none"/>
        </w:rPr>
      </w:pPr>
      <w:bookmarkStart w:id="142" w:name="_Toc7342"/>
      <w:r>
        <w:rPr>
          <w:rFonts w:hint="eastAsia" w:asciiTheme="minorEastAsia" w:hAnsiTheme="minorEastAsia" w:eastAsiaTheme="minorEastAsia" w:cstheme="minorEastAsia"/>
          <w:b/>
          <w:color w:val="auto"/>
          <w:sz w:val="36"/>
          <w:highlight w:val="none"/>
        </w:rPr>
        <w:t>第五章 拟签订的合同文本</w:t>
      </w:r>
      <w:bookmarkEnd w:id="142"/>
    </w:p>
    <w:p w14:paraId="572DD3CE">
      <w:pPr>
        <w:widowControl/>
        <w:jc w:val="left"/>
        <w:rPr>
          <w:rFonts w:asciiTheme="minorEastAsia" w:hAnsiTheme="minorEastAsia" w:eastAsiaTheme="minorEastAsia" w:cstheme="minorEastAsia"/>
          <w:bCs/>
          <w:color w:val="auto"/>
          <w:szCs w:val="20"/>
          <w:highlight w:val="none"/>
        </w:rPr>
        <w:sectPr>
          <w:pgSz w:w="11906" w:h="16838"/>
          <w:pgMar w:top="1134" w:right="1134" w:bottom="1134" w:left="1134" w:header="720" w:footer="720" w:gutter="0"/>
          <w:cols w:space="720" w:num="1"/>
          <w:docGrid w:type="lines" w:linePitch="331" w:charSpace="0"/>
        </w:sectPr>
      </w:pPr>
    </w:p>
    <w:p w14:paraId="5BCF4470">
      <w:pPr>
        <w:spacing w:line="360" w:lineRule="auto"/>
        <w:rPr>
          <w:rFonts w:asciiTheme="minorEastAsia" w:hAnsiTheme="minorEastAsia" w:eastAsiaTheme="minorEastAsia" w:cstheme="minorEastAsia"/>
          <w:color w:val="auto"/>
          <w:sz w:val="24"/>
          <w:highlight w:val="none"/>
        </w:rPr>
      </w:pPr>
    </w:p>
    <w:p w14:paraId="1B87101A">
      <w:pPr>
        <w:spacing w:line="360" w:lineRule="auto"/>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广西政府采购云平台合同编号：</w:t>
      </w:r>
      <w:r>
        <w:rPr>
          <w:rFonts w:hint="eastAsia" w:asciiTheme="minorEastAsia" w:hAnsiTheme="minorEastAsia" w:eastAsiaTheme="minorEastAsia" w:cstheme="minorEastAsia"/>
          <w:color w:val="auto"/>
          <w:sz w:val="24"/>
          <w:highlight w:val="none"/>
          <w:u w:val="single"/>
        </w:rPr>
        <w:t xml:space="preserve">           </w:t>
      </w:r>
    </w:p>
    <w:p w14:paraId="70918B2C">
      <w:pPr>
        <w:spacing w:line="360" w:lineRule="auto"/>
        <w:jc w:val="center"/>
        <w:rPr>
          <w:rFonts w:asciiTheme="minorEastAsia" w:hAnsiTheme="minorEastAsia" w:eastAsiaTheme="minorEastAsia" w:cstheme="minorEastAsia"/>
          <w:b/>
          <w:bCs/>
          <w:color w:val="auto"/>
          <w:sz w:val="52"/>
          <w:highlight w:val="none"/>
        </w:rPr>
      </w:pPr>
    </w:p>
    <w:p w14:paraId="5865FA5E">
      <w:pPr>
        <w:spacing w:line="360" w:lineRule="auto"/>
        <w:jc w:val="center"/>
        <w:rPr>
          <w:rFonts w:asciiTheme="minorEastAsia" w:hAnsiTheme="minorEastAsia" w:eastAsiaTheme="minorEastAsia" w:cstheme="minorEastAsia"/>
          <w:b/>
          <w:bCs/>
          <w:color w:val="auto"/>
          <w:sz w:val="52"/>
          <w:highlight w:val="none"/>
        </w:rPr>
      </w:pPr>
    </w:p>
    <w:p w14:paraId="7C1AA2DD">
      <w:pPr>
        <w:spacing w:line="360" w:lineRule="auto"/>
        <w:jc w:val="center"/>
        <w:rPr>
          <w:rFonts w:asciiTheme="minorEastAsia" w:hAnsiTheme="minorEastAsia" w:eastAsiaTheme="minorEastAsia" w:cstheme="minorEastAsia"/>
          <w:b/>
          <w:bCs/>
          <w:color w:val="auto"/>
          <w:sz w:val="52"/>
          <w:highlight w:val="none"/>
        </w:rPr>
      </w:pPr>
      <w:r>
        <w:rPr>
          <w:rFonts w:hint="eastAsia" w:asciiTheme="minorEastAsia" w:hAnsiTheme="minorEastAsia" w:eastAsiaTheme="minorEastAsia" w:cstheme="minorEastAsia"/>
          <w:b/>
          <w:bCs/>
          <w:color w:val="auto"/>
          <w:sz w:val="52"/>
          <w:highlight w:val="none"/>
        </w:rPr>
        <w:t>南 宁 市 政 府 采 购</w:t>
      </w:r>
    </w:p>
    <w:p w14:paraId="13FD942C">
      <w:pPr>
        <w:spacing w:line="360" w:lineRule="auto"/>
        <w:ind w:firstLine="420" w:firstLineChars="200"/>
        <w:rPr>
          <w:rFonts w:asciiTheme="minorEastAsia" w:hAnsiTheme="minorEastAsia" w:eastAsiaTheme="minorEastAsia" w:cstheme="minorEastAsia"/>
          <w:color w:val="auto"/>
          <w:highlight w:val="none"/>
        </w:rPr>
      </w:pPr>
    </w:p>
    <w:p w14:paraId="1880A9CF">
      <w:pPr>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2C9D13F1">
      <w:pPr>
        <w:spacing w:line="360" w:lineRule="auto"/>
        <w:jc w:val="center"/>
        <w:rPr>
          <w:rFonts w:asciiTheme="minorEastAsia" w:hAnsiTheme="minorEastAsia" w:eastAsiaTheme="minorEastAsia" w:cstheme="minorEastAsia"/>
          <w:b/>
          <w:bCs/>
          <w:color w:val="auto"/>
          <w:sz w:val="44"/>
          <w:highlight w:val="none"/>
          <w:u w:val="single"/>
        </w:rPr>
      </w:pPr>
      <w:r>
        <w:rPr>
          <w:rFonts w:hint="eastAsia" w:asciiTheme="minorEastAsia" w:hAnsiTheme="minorEastAsia" w:eastAsiaTheme="minorEastAsia" w:cstheme="minorEastAsia"/>
          <w:b/>
          <w:bCs/>
          <w:color w:val="auto"/>
          <w:sz w:val="44"/>
          <w:highlight w:val="none"/>
          <w:u w:val="single"/>
        </w:rPr>
        <w:t xml:space="preserve"> 南宁市2025年政府和社会资本合作新机制项目实施方案评审服务</w:t>
      </w:r>
    </w:p>
    <w:p w14:paraId="2545124C">
      <w:pPr>
        <w:spacing w:line="360" w:lineRule="auto"/>
        <w:jc w:val="center"/>
        <w:rPr>
          <w:rFonts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bCs/>
          <w:color w:val="auto"/>
          <w:sz w:val="44"/>
          <w:highlight w:val="none"/>
        </w:rPr>
        <w:t>合同</w:t>
      </w:r>
    </w:p>
    <w:p w14:paraId="639A1940">
      <w:pPr>
        <w:spacing w:line="360" w:lineRule="auto"/>
        <w:jc w:val="center"/>
        <w:rPr>
          <w:rFonts w:asciiTheme="minorEastAsia" w:hAnsiTheme="minorEastAsia" w:eastAsiaTheme="minorEastAsia" w:cstheme="minorEastAsia"/>
          <w:b/>
          <w:bCs/>
          <w:color w:val="auto"/>
          <w:sz w:val="44"/>
          <w:highlight w:val="none"/>
        </w:rPr>
      </w:pPr>
    </w:p>
    <w:p w14:paraId="529B8DAE">
      <w:pPr>
        <w:spacing w:line="360" w:lineRule="auto"/>
        <w:rPr>
          <w:rFonts w:asciiTheme="minorEastAsia" w:hAnsiTheme="minorEastAsia" w:eastAsiaTheme="minorEastAsia" w:cstheme="minorEastAsia"/>
          <w:b/>
          <w:bCs/>
          <w:color w:val="auto"/>
          <w:sz w:val="44"/>
          <w:highlight w:val="none"/>
        </w:rPr>
      </w:pPr>
    </w:p>
    <w:p w14:paraId="1E59D96F">
      <w:pPr>
        <w:ind w:firstLine="1995" w:firstLineChars="552"/>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项目编号：</w:t>
      </w:r>
      <w:r>
        <w:rPr>
          <w:rFonts w:hint="eastAsia" w:asciiTheme="minorEastAsia" w:hAnsiTheme="minorEastAsia" w:eastAsiaTheme="minorEastAsia" w:cstheme="minorEastAsia"/>
          <w:b/>
          <w:color w:val="auto"/>
          <w:sz w:val="36"/>
          <w:szCs w:val="36"/>
          <w:highlight w:val="none"/>
          <w:u w:val="single"/>
        </w:rPr>
        <w:t xml:space="preserve">NNZC2025-G3-990774-JGJD </w:t>
      </w:r>
    </w:p>
    <w:p w14:paraId="5EC04594">
      <w:pPr>
        <w:ind w:firstLine="1995" w:firstLineChars="552"/>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计划编号：</w:t>
      </w:r>
      <w:r>
        <w:rPr>
          <w:rFonts w:hint="eastAsia" w:asciiTheme="minorEastAsia" w:hAnsiTheme="minorEastAsia" w:eastAsiaTheme="minorEastAsia" w:cstheme="minorEastAsia"/>
          <w:b/>
          <w:color w:val="auto"/>
          <w:sz w:val="36"/>
          <w:szCs w:val="36"/>
          <w:highlight w:val="none"/>
          <w:u w:val="single"/>
        </w:rPr>
        <w:t xml:space="preserve">  </w:t>
      </w:r>
      <w:bookmarkStart w:id="143" w:name="PO_3000001866_PM001WMC001"/>
      <w:r>
        <w:rPr>
          <w:rFonts w:hint="eastAsia" w:asciiTheme="minorEastAsia" w:hAnsiTheme="minorEastAsia" w:eastAsiaTheme="minorEastAsia" w:cstheme="minorEastAsia"/>
          <w:b/>
          <w:color w:val="auto"/>
          <w:sz w:val="36"/>
          <w:szCs w:val="36"/>
          <w:highlight w:val="none"/>
          <w:u w:val="single"/>
        </w:rPr>
        <w:t xml:space="preserve">                      </w:t>
      </w:r>
      <w:bookmarkEnd w:id="143"/>
      <w:r>
        <w:rPr>
          <w:rFonts w:hint="eastAsia" w:asciiTheme="minorEastAsia" w:hAnsiTheme="minorEastAsia" w:eastAsiaTheme="minorEastAsia" w:cstheme="minorEastAsia"/>
          <w:b/>
          <w:color w:val="auto"/>
          <w:sz w:val="36"/>
          <w:szCs w:val="36"/>
          <w:highlight w:val="none"/>
          <w:u w:val="single"/>
        </w:rPr>
        <w:t xml:space="preserve"> </w:t>
      </w:r>
    </w:p>
    <w:p w14:paraId="2A81936C">
      <w:pPr>
        <w:ind w:firstLine="1970" w:firstLineChars="545"/>
        <w:rPr>
          <w:rFonts w:asciiTheme="minorEastAsia" w:hAnsiTheme="minorEastAsia" w:eastAsiaTheme="minorEastAsia" w:cstheme="minorEastAsia"/>
          <w:b/>
          <w:color w:val="auto"/>
          <w:sz w:val="36"/>
          <w:szCs w:val="36"/>
          <w:highlight w:val="none"/>
          <w:u w:val="single"/>
        </w:rPr>
      </w:pPr>
    </w:p>
    <w:p w14:paraId="27DB6153">
      <w:pPr>
        <w:tabs>
          <w:tab w:val="left" w:pos="7200"/>
        </w:tabs>
        <w:spacing w:line="360" w:lineRule="auto"/>
        <w:ind w:firstLine="1995" w:firstLineChars="552"/>
        <w:rPr>
          <w:rFonts w:asciiTheme="minorEastAsia" w:hAnsiTheme="minorEastAsia" w:eastAsiaTheme="minorEastAsia" w:cstheme="minorEastAsia"/>
          <w:b/>
          <w:color w:val="auto"/>
          <w:sz w:val="36"/>
          <w:szCs w:val="36"/>
          <w:highlight w:val="none"/>
          <w:u w:val="single"/>
        </w:rPr>
      </w:pPr>
      <w:r>
        <w:rPr>
          <w:rFonts w:hint="eastAsia" w:asciiTheme="minorEastAsia" w:hAnsiTheme="minorEastAsia" w:eastAsiaTheme="minorEastAsia" w:cstheme="minorEastAsia"/>
          <w:b/>
          <w:color w:val="auto"/>
          <w:sz w:val="36"/>
          <w:szCs w:val="36"/>
          <w:highlight w:val="none"/>
        </w:rPr>
        <w:t>采购人：</w:t>
      </w:r>
      <w:r>
        <w:rPr>
          <w:rFonts w:hint="eastAsia" w:asciiTheme="minorEastAsia" w:hAnsiTheme="minorEastAsia" w:eastAsiaTheme="minorEastAsia" w:cstheme="minorEastAsia"/>
          <w:b/>
          <w:color w:val="auto"/>
          <w:sz w:val="36"/>
          <w:szCs w:val="36"/>
          <w:highlight w:val="none"/>
          <w:u w:val="single"/>
        </w:rPr>
        <w:t xml:space="preserve">南宁市固定资产投资项目前期服务中心  </w:t>
      </w:r>
    </w:p>
    <w:p w14:paraId="5E8497C2">
      <w:pPr>
        <w:tabs>
          <w:tab w:val="left" w:pos="7380"/>
        </w:tabs>
        <w:spacing w:line="360" w:lineRule="auto"/>
        <w:ind w:firstLine="1995" w:firstLineChars="552"/>
        <w:rPr>
          <w:rFonts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b/>
          <w:color w:val="auto"/>
          <w:sz w:val="36"/>
          <w:szCs w:val="36"/>
          <w:highlight w:val="none"/>
        </w:rPr>
        <w:t>中标供应商：</w:t>
      </w:r>
      <w:r>
        <w:rPr>
          <w:rFonts w:hint="eastAsia" w:asciiTheme="minorEastAsia" w:hAnsiTheme="minorEastAsia" w:eastAsiaTheme="minorEastAsia" w:cstheme="minorEastAsia"/>
          <w:b/>
          <w:color w:val="auto"/>
          <w:sz w:val="36"/>
          <w:szCs w:val="36"/>
          <w:highlight w:val="none"/>
          <w:u w:val="single"/>
        </w:rPr>
        <w:t xml:space="preserve">                   </w:t>
      </w:r>
    </w:p>
    <w:p w14:paraId="7DB8F54F">
      <w:pPr>
        <w:tabs>
          <w:tab w:val="left" w:pos="7380"/>
        </w:tabs>
        <w:spacing w:line="360" w:lineRule="auto"/>
        <w:rPr>
          <w:rFonts w:asciiTheme="minorEastAsia" w:hAnsiTheme="minorEastAsia" w:eastAsiaTheme="minorEastAsia" w:cstheme="minorEastAsia"/>
          <w:b/>
          <w:bCs/>
          <w:color w:val="auto"/>
          <w:sz w:val="44"/>
          <w:highlight w:val="none"/>
        </w:rPr>
      </w:pPr>
    </w:p>
    <w:p w14:paraId="567D2543">
      <w:pPr>
        <w:spacing w:before="120" w:line="360" w:lineRule="auto"/>
        <w:ind w:firstLine="960" w:firstLineChars="400"/>
        <w:rPr>
          <w:rFonts w:asciiTheme="minorEastAsia" w:hAnsiTheme="minorEastAsia" w:eastAsiaTheme="minorEastAsia" w:cstheme="minorEastAsia"/>
          <w:color w:val="auto"/>
          <w:sz w:val="24"/>
          <w:highlight w:val="none"/>
        </w:rPr>
      </w:pPr>
    </w:p>
    <w:p w14:paraId="287E42A4">
      <w:pPr>
        <w:spacing w:before="120" w:line="360" w:lineRule="auto"/>
        <w:ind w:firstLine="960" w:firstLineChars="400"/>
        <w:rPr>
          <w:rFonts w:asciiTheme="minorEastAsia" w:hAnsiTheme="minorEastAsia" w:eastAsiaTheme="minorEastAsia" w:cstheme="minorEastAsia"/>
          <w:color w:val="auto"/>
          <w:sz w:val="24"/>
          <w:highlight w:val="none"/>
        </w:rPr>
      </w:pPr>
    </w:p>
    <w:p w14:paraId="53EED675">
      <w:pPr>
        <w:spacing w:before="120" w:line="360" w:lineRule="auto"/>
        <w:ind w:firstLine="2280" w:firstLineChars="950"/>
        <w:rPr>
          <w:rFonts w:asciiTheme="minorEastAsia" w:hAnsiTheme="minorEastAsia" w:eastAsiaTheme="minorEastAsia" w:cstheme="minorEastAsia"/>
          <w:b/>
          <w:bCs/>
          <w:color w:val="auto"/>
          <w:sz w:val="4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3F907BC4">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44"/>
          <w:highlight w:val="none"/>
        </w:rPr>
        <w:br w:type="page"/>
      </w:r>
      <w:r>
        <w:rPr>
          <w:rFonts w:hint="eastAsia" w:asciiTheme="minorEastAsia" w:hAnsiTheme="minorEastAsia" w:eastAsiaTheme="minorEastAsia" w:cstheme="minorEastAsia"/>
          <w:b/>
          <w:color w:val="auto"/>
          <w:sz w:val="24"/>
          <w:highlight w:val="none"/>
        </w:rPr>
        <w:t>合同目录</w:t>
      </w:r>
    </w:p>
    <w:p w14:paraId="31EFEF05">
      <w:pPr>
        <w:snapToGrid w:val="0"/>
        <w:spacing w:line="360" w:lineRule="auto"/>
        <w:jc w:val="center"/>
        <w:rPr>
          <w:rFonts w:asciiTheme="minorEastAsia" w:hAnsiTheme="minorEastAsia" w:eastAsiaTheme="minorEastAsia" w:cstheme="minorEastAsia"/>
          <w:b/>
          <w:bCs/>
          <w:color w:val="auto"/>
          <w:sz w:val="44"/>
          <w:highlight w:val="none"/>
        </w:rPr>
      </w:pPr>
    </w:p>
    <w:p w14:paraId="2B21F546">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w:t>
      </w:r>
      <w:r>
        <w:rPr>
          <w:rFonts w:hint="eastAsia" w:asciiTheme="minorEastAsia" w:hAnsiTheme="minorEastAsia" w:eastAsiaTheme="minorEastAsia" w:cstheme="minorEastAsia"/>
          <w:color w:val="auto"/>
          <w:sz w:val="24"/>
          <w:highlight w:val="none"/>
        </w:rPr>
        <w:t>第一部分 合同书</w:t>
      </w:r>
      <w:r>
        <w:rPr>
          <w:rFonts w:hint="eastAsia" w:asciiTheme="minorEastAsia" w:hAnsiTheme="minorEastAsia" w:eastAsiaTheme="minorEastAsia" w:cstheme="minorEastAsia"/>
          <w:color w:val="auto"/>
          <w:kern w:val="0"/>
          <w:sz w:val="24"/>
          <w:highlight w:val="none"/>
        </w:rPr>
        <w:t>……………………………………………………………（页码）</w:t>
      </w:r>
    </w:p>
    <w:p w14:paraId="7DE04407">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二、第二部分 合同一般条款……………………………………………………（页码）</w:t>
      </w:r>
    </w:p>
    <w:p w14:paraId="1AA5F6D0">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三、第三部分 合同专用条款……………………………………………………（页码）</w:t>
      </w:r>
    </w:p>
    <w:p w14:paraId="15F909C4">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四、</w:t>
      </w:r>
      <w:r>
        <w:rPr>
          <w:rFonts w:hint="eastAsia" w:asciiTheme="minorEastAsia" w:hAnsiTheme="minorEastAsia" w:eastAsiaTheme="minorEastAsia" w:cstheme="minorEastAsia"/>
          <w:color w:val="auto"/>
          <w:sz w:val="24"/>
          <w:highlight w:val="none"/>
        </w:rPr>
        <w:t>第四部分 合同附件</w:t>
      </w:r>
      <w:r>
        <w:rPr>
          <w:rFonts w:hint="eastAsia" w:asciiTheme="minorEastAsia" w:hAnsiTheme="minorEastAsia" w:eastAsiaTheme="minorEastAsia" w:cstheme="minorEastAsia"/>
          <w:color w:val="auto"/>
          <w:kern w:val="0"/>
          <w:sz w:val="24"/>
          <w:highlight w:val="none"/>
        </w:rPr>
        <w:t>…………………………………………………………（页码）</w:t>
      </w:r>
    </w:p>
    <w:p w14:paraId="55ADDEEE">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4.1中标通知书 …………………………………………………………………（页码）</w:t>
      </w:r>
    </w:p>
    <w:p w14:paraId="1BADE85C">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4.2招标文件服务需求一览表 …………………………………………………（页码）</w:t>
      </w:r>
    </w:p>
    <w:p w14:paraId="347D1F79">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4.3招标文件的更改通知（如有） ……………………………………………（页码）</w:t>
      </w:r>
    </w:p>
    <w:p w14:paraId="1D536318">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4.4投标函 ………………………………………………………………………（页码）</w:t>
      </w:r>
    </w:p>
    <w:p w14:paraId="090BF63B">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4.5报价表 ………………………………………………………………………（页码）</w:t>
      </w:r>
    </w:p>
    <w:p w14:paraId="2909389F">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4.6投标服务技术资料表 ………………………………………………………（页码）</w:t>
      </w:r>
    </w:p>
    <w:p w14:paraId="1B8C9740">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4.7商务条款偏离表 ……………………………………………………………（页码）</w:t>
      </w:r>
    </w:p>
    <w:p w14:paraId="3A39BBAA">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4.8中标供应商澄清函（如有请提供） ………………………………………（页码）</w:t>
      </w:r>
    </w:p>
    <w:p w14:paraId="21464917">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4.9其他与本合同相关的资料（如有请提供） ………………………………（页码）</w:t>
      </w:r>
    </w:p>
    <w:p w14:paraId="04BC3BF5">
      <w:pPr>
        <w:snapToGrid w:val="0"/>
        <w:spacing w:line="360" w:lineRule="auto"/>
        <w:rPr>
          <w:rFonts w:asciiTheme="minorEastAsia" w:hAnsiTheme="minorEastAsia" w:eastAsiaTheme="minorEastAsia" w:cstheme="minorEastAsia"/>
          <w:color w:val="auto"/>
          <w:kern w:val="0"/>
          <w:sz w:val="24"/>
          <w:highlight w:val="none"/>
        </w:rPr>
      </w:pPr>
    </w:p>
    <w:p w14:paraId="10811928">
      <w:pPr>
        <w:widowControl/>
        <w:jc w:val="left"/>
        <w:rPr>
          <w:rFonts w:asciiTheme="minorEastAsia" w:hAnsiTheme="minorEastAsia" w:eastAsiaTheme="minorEastAsia" w:cstheme="minorEastAsia"/>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342FD877">
      <w:pPr>
        <w:pStyle w:val="33"/>
        <w:ind w:firstLine="562"/>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第一部分 合同书</w:t>
      </w:r>
    </w:p>
    <w:p w14:paraId="7CD934A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南宁市固定资产投资项目前期服务中心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公开招标方式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南宁市2025年政府和社会资本合作新机制项目实施方案评审服务</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（中标人名称）</w:t>
      </w:r>
      <w:r>
        <w:rPr>
          <w:rFonts w:hint="eastAsia" w:asciiTheme="minorEastAsia" w:hAnsiTheme="minorEastAsia" w:eastAsiaTheme="minorEastAsia" w:cstheme="minorEastAsia"/>
          <w:color w:val="auto"/>
          <w:sz w:val="24"/>
          <w:highlight w:val="none"/>
        </w:rPr>
        <w:t>为该项目中标人。现于中标通知书发出之日起 10个工作日 内，按照采购文件确定的事项签订本合同。</w:t>
      </w:r>
    </w:p>
    <w:p w14:paraId="4E272BD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根据《中华人民共和国民法典》、《中华人民共和国政府采购法》等相关法律法规之规定，按照平等、自愿、公平和诚实信用的原则，经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南宁市固定资产投资项目前期服务中心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（中标人名称）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6C8F4B69">
      <w:pPr>
        <w:spacing w:line="360" w:lineRule="auto"/>
        <w:ind w:firstLine="482" w:firstLineChars="200"/>
        <w:rPr>
          <w:rFonts w:asciiTheme="minorEastAsia" w:hAnsiTheme="minorEastAsia" w:eastAsiaTheme="minorEastAsia" w:cstheme="minorEastAsia"/>
          <w:b/>
          <w:color w:val="auto"/>
          <w:sz w:val="24"/>
          <w:highlight w:val="none"/>
        </w:rPr>
      </w:pPr>
      <w:bookmarkStart w:id="144" w:name="_Toc3029"/>
      <w:bookmarkStart w:id="145" w:name="_Toc2232"/>
      <w:bookmarkStart w:id="146" w:name="_Toc24059"/>
      <w:r>
        <w:rPr>
          <w:rFonts w:hint="eastAsia" w:asciiTheme="minorEastAsia" w:hAnsiTheme="minorEastAsia" w:eastAsiaTheme="minorEastAsia" w:cstheme="minorEastAsia"/>
          <w:b/>
          <w:color w:val="auto"/>
          <w:sz w:val="24"/>
          <w:highlight w:val="none"/>
        </w:rPr>
        <w:t>1.1 合同组成部分</w:t>
      </w:r>
      <w:bookmarkEnd w:id="144"/>
      <w:bookmarkEnd w:id="145"/>
      <w:bookmarkEnd w:id="146"/>
    </w:p>
    <w:p w14:paraId="73145A4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72500DB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388A604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中标通知书；</w:t>
      </w:r>
    </w:p>
    <w:p w14:paraId="07E4DBC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 投标文件及“投标报价”（含澄清或者说明文件）；</w:t>
      </w:r>
    </w:p>
    <w:p w14:paraId="12CFFB8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1.1.4 招标文件（含澄清或者修改文件）；</w:t>
      </w:r>
    </w:p>
    <w:p w14:paraId="7FCD82A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539268C7">
      <w:pPr>
        <w:spacing w:line="360" w:lineRule="auto"/>
        <w:ind w:firstLine="482" w:firstLineChars="200"/>
        <w:rPr>
          <w:rFonts w:asciiTheme="minorEastAsia" w:hAnsiTheme="minorEastAsia" w:eastAsiaTheme="minorEastAsia" w:cstheme="minorEastAsia"/>
          <w:b/>
          <w:color w:val="auto"/>
          <w:sz w:val="24"/>
          <w:highlight w:val="none"/>
        </w:rPr>
      </w:pPr>
      <w:bookmarkStart w:id="147" w:name="_Toc21295"/>
      <w:bookmarkStart w:id="148" w:name="_Toc27126"/>
      <w:bookmarkStart w:id="149" w:name="_Toc24300"/>
      <w:r>
        <w:rPr>
          <w:rFonts w:hint="eastAsia" w:asciiTheme="minorEastAsia" w:hAnsiTheme="minorEastAsia" w:eastAsiaTheme="minorEastAsia" w:cstheme="minorEastAsia"/>
          <w:b/>
          <w:color w:val="auto"/>
          <w:sz w:val="24"/>
          <w:highlight w:val="none"/>
        </w:rPr>
        <w:t>1.2 标的物</w:t>
      </w:r>
      <w:bookmarkEnd w:id="147"/>
      <w:bookmarkEnd w:id="148"/>
      <w:bookmarkEnd w:id="149"/>
    </w:p>
    <w:p w14:paraId="26833FF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 标的物1信息</w:t>
      </w:r>
    </w:p>
    <w:p w14:paraId="7072E5FC">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1.2.1.1名称：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CBF0E18">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1.2.1.2数量：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5BAB5D8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1.2.1.3质量：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A1602D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051CF819">
      <w:pPr>
        <w:spacing w:line="360" w:lineRule="auto"/>
        <w:ind w:firstLine="482" w:firstLineChars="200"/>
        <w:rPr>
          <w:rFonts w:asciiTheme="minorEastAsia" w:hAnsiTheme="minorEastAsia" w:eastAsiaTheme="minorEastAsia" w:cstheme="minorEastAsia"/>
          <w:b/>
          <w:color w:val="auto"/>
          <w:sz w:val="24"/>
          <w:highlight w:val="none"/>
        </w:rPr>
      </w:pPr>
      <w:bookmarkStart w:id="150" w:name="_Toc21551"/>
      <w:bookmarkStart w:id="151" w:name="_Toc21631"/>
      <w:bookmarkStart w:id="152" w:name="_Toc23292"/>
      <w:r>
        <w:rPr>
          <w:rFonts w:hint="eastAsia" w:asciiTheme="minorEastAsia" w:hAnsiTheme="minorEastAsia" w:eastAsiaTheme="minorEastAsia" w:cstheme="minorEastAsia"/>
          <w:b/>
          <w:color w:val="auto"/>
          <w:sz w:val="24"/>
          <w:highlight w:val="none"/>
        </w:rPr>
        <w:t>1.3 价款</w:t>
      </w:r>
      <w:bookmarkEnd w:id="150"/>
      <w:bookmarkEnd w:id="151"/>
      <w:bookmarkEnd w:id="152"/>
    </w:p>
    <w:p w14:paraId="73D47E5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本合同总价为：人民币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元人民币，含税）。其中</w:t>
      </w:r>
      <w:r>
        <w:rPr>
          <w:rFonts w:hint="eastAsia" w:ascii="宋体" w:hAnsi="宋体" w:cs="宋体"/>
          <w:color w:val="auto"/>
          <w:sz w:val="24"/>
          <w:szCs w:val="24"/>
          <w:highlight w:val="none"/>
        </w:rPr>
        <w:t>每个评审项目单价</w:t>
      </w:r>
      <w:r>
        <w:rPr>
          <w:rFonts w:asciiTheme="minorEastAsia" w:hAnsiTheme="minorEastAsia" w:eastAsiaTheme="minorEastAsia" w:cstheme="minorEastAsia"/>
          <w:color w:val="auto"/>
          <w:sz w:val="24"/>
          <w:highlight w:val="none"/>
          <w:u w:val="single"/>
        </w:rPr>
        <w:t xml:space="preserve">        </w:t>
      </w:r>
      <w:r>
        <w:rPr>
          <w:rFonts w:hint="eastAsia" w:ascii="宋体" w:hAnsi="宋体" w:cs="宋体"/>
          <w:color w:val="auto"/>
          <w:sz w:val="24"/>
          <w:szCs w:val="24"/>
          <w:highlight w:val="none"/>
        </w:rPr>
        <w:t>元，本项目合同最终结算金额为甲方实际委托的单个评估评审项目费用之和，甲方支付服务费用金额不超过</w:t>
      </w:r>
      <w:r>
        <w:rPr>
          <w:rFonts w:asciiTheme="minorEastAsia" w:hAnsiTheme="minorEastAsia" w:eastAsiaTheme="minorEastAsia" w:cstheme="minorEastAsia"/>
          <w:color w:val="auto"/>
          <w:sz w:val="24"/>
          <w:highlight w:val="none"/>
          <w:u w:val="single"/>
        </w:rPr>
        <w:t xml:space="preserve">        </w:t>
      </w:r>
      <w:r>
        <w:rPr>
          <w:rFonts w:hint="eastAsia" w:ascii="宋体" w:hAnsi="宋体" w:cs="宋体"/>
          <w:color w:val="auto"/>
          <w:sz w:val="24"/>
          <w:szCs w:val="24"/>
          <w:highlight w:val="none"/>
        </w:rPr>
        <w:t>元，单个项目评估评审费用不超过</w:t>
      </w:r>
      <w:r>
        <w:rPr>
          <w:rFonts w:asciiTheme="minorEastAsia" w:hAnsiTheme="minorEastAsia" w:eastAsiaTheme="minorEastAsia" w:cstheme="minorEastAsia"/>
          <w:color w:val="auto"/>
          <w:sz w:val="24"/>
          <w:highlight w:val="none"/>
          <w:u w:val="single"/>
        </w:rPr>
        <w:t xml:space="preserve">        </w:t>
      </w:r>
      <w:r>
        <w:rPr>
          <w:rFonts w:hint="eastAsia" w:ascii="宋体" w:hAnsi="宋体" w:cs="宋体"/>
          <w:color w:val="auto"/>
          <w:sz w:val="24"/>
          <w:szCs w:val="24"/>
          <w:highlight w:val="none"/>
        </w:rPr>
        <w:t>元。</w:t>
      </w:r>
    </w:p>
    <w:p w14:paraId="5AE1D5D9">
      <w:pPr>
        <w:spacing w:line="360" w:lineRule="auto"/>
        <w:ind w:firstLine="482" w:firstLineChars="200"/>
        <w:rPr>
          <w:rFonts w:asciiTheme="minorEastAsia" w:hAnsiTheme="minorEastAsia" w:eastAsiaTheme="minorEastAsia" w:cstheme="minorEastAsia"/>
          <w:b/>
          <w:color w:val="auto"/>
          <w:sz w:val="24"/>
          <w:highlight w:val="none"/>
        </w:rPr>
      </w:pPr>
      <w:bookmarkStart w:id="153" w:name="_Toc10340"/>
      <w:bookmarkStart w:id="154" w:name="_Toc1814"/>
      <w:bookmarkStart w:id="155" w:name="_Toc22618"/>
      <w:r>
        <w:rPr>
          <w:rFonts w:hint="eastAsia" w:asciiTheme="minorEastAsia" w:hAnsiTheme="minorEastAsia" w:eastAsiaTheme="minorEastAsia" w:cstheme="minorEastAsia"/>
          <w:b/>
          <w:color w:val="auto"/>
          <w:sz w:val="24"/>
          <w:highlight w:val="none"/>
        </w:rPr>
        <w:t>1.4 付款方式和发票开具方式</w:t>
      </w:r>
      <w:bookmarkEnd w:id="153"/>
      <w:bookmarkEnd w:id="154"/>
      <w:bookmarkEnd w:id="155"/>
    </w:p>
    <w:p w14:paraId="5B613F9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 付款方式：</w:t>
      </w:r>
      <w:r>
        <w:rPr>
          <w:rFonts w:hint="eastAsia" w:asciiTheme="minorEastAsia" w:hAnsiTheme="minorEastAsia" w:eastAsiaTheme="minorEastAsia" w:cstheme="minorEastAsia"/>
          <w:color w:val="auto"/>
          <w:sz w:val="24"/>
          <w:highlight w:val="none"/>
          <w:u w:val="single"/>
        </w:rPr>
        <w:t xml:space="preserve"> 本项目按进度付款，每个项目特许经营方案及协议的评审服务工作完成，出具评审会议纪要及评审报告并通过甲方确认后，乙方可提出申请支付单个项目的成交金额（单价）的100%，甲方在接到申请后，10个工作日内向财政局提交付款材料，在国库审核通过后10个工作日内支付给乙方。  </w:t>
      </w:r>
    </w:p>
    <w:p w14:paraId="4476F30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 发票开具方式：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5153AAD0">
      <w:pPr>
        <w:spacing w:line="360" w:lineRule="auto"/>
        <w:ind w:firstLine="482" w:firstLineChars="200"/>
        <w:rPr>
          <w:rFonts w:asciiTheme="minorEastAsia" w:hAnsiTheme="minorEastAsia" w:eastAsiaTheme="minorEastAsia" w:cstheme="minorEastAsia"/>
          <w:b/>
          <w:color w:val="auto"/>
          <w:sz w:val="24"/>
          <w:highlight w:val="none"/>
        </w:rPr>
      </w:pPr>
      <w:bookmarkStart w:id="156" w:name="_Toc32071"/>
      <w:bookmarkStart w:id="157" w:name="_Toc2846"/>
      <w:bookmarkStart w:id="158" w:name="_Toc19304"/>
      <w:r>
        <w:rPr>
          <w:rFonts w:hint="eastAsia" w:asciiTheme="minorEastAsia" w:hAnsiTheme="minorEastAsia" w:eastAsiaTheme="minorEastAsia" w:cstheme="minorEastAsia"/>
          <w:b/>
          <w:color w:val="auto"/>
          <w:sz w:val="24"/>
          <w:highlight w:val="none"/>
        </w:rPr>
        <w:t>1.5 标的物服务期、地点、方式</w:t>
      </w:r>
      <w:bookmarkEnd w:id="156"/>
      <w:bookmarkEnd w:id="157"/>
      <w:bookmarkEnd w:id="158"/>
      <w:r>
        <w:rPr>
          <w:rFonts w:hint="eastAsia" w:asciiTheme="minorEastAsia" w:hAnsiTheme="minorEastAsia" w:eastAsiaTheme="minorEastAsia" w:cstheme="minorEastAsia"/>
          <w:b/>
          <w:color w:val="auto"/>
          <w:sz w:val="24"/>
          <w:highlight w:val="none"/>
        </w:rPr>
        <w:t>和服务期限</w:t>
      </w:r>
    </w:p>
    <w:p w14:paraId="0638CA27">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1.5.1 服务期：</w:t>
      </w:r>
      <w:r>
        <w:rPr>
          <w:rFonts w:hint="eastAsia" w:asciiTheme="minorEastAsia" w:hAnsiTheme="minorEastAsia" w:eastAsiaTheme="minorEastAsia" w:cstheme="minorEastAsia"/>
          <w:color w:val="auto"/>
          <w:sz w:val="24"/>
          <w:highlight w:val="none"/>
          <w:u w:val="single"/>
        </w:rPr>
        <w:t xml:space="preserve">                                                 ；</w:t>
      </w:r>
    </w:p>
    <w:p w14:paraId="6AC7D18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 服务地点：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3EA3B2A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服务方式：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B63273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1.5.4 服务及质保期限：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1A32BF74">
      <w:pPr>
        <w:spacing w:line="360" w:lineRule="auto"/>
        <w:ind w:firstLine="482" w:firstLineChars="200"/>
        <w:rPr>
          <w:rFonts w:asciiTheme="minorEastAsia" w:hAnsiTheme="minorEastAsia" w:eastAsiaTheme="minorEastAsia" w:cstheme="minorEastAsia"/>
          <w:b/>
          <w:color w:val="auto"/>
          <w:sz w:val="24"/>
          <w:highlight w:val="none"/>
        </w:rPr>
      </w:pPr>
      <w:bookmarkStart w:id="159" w:name="_Toc19554"/>
      <w:bookmarkStart w:id="160" w:name="_Toc27250"/>
      <w:bookmarkStart w:id="161" w:name="_Toc21423"/>
      <w:r>
        <w:rPr>
          <w:rFonts w:hint="eastAsia" w:asciiTheme="minorEastAsia" w:hAnsiTheme="minorEastAsia" w:eastAsiaTheme="minorEastAsia" w:cstheme="minorEastAsia"/>
          <w:b/>
          <w:color w:val="auto"/>
          <w:sz w:val="24"/>
          <w:highlight w:val="none"/>
        </w:rPr>
        <w:t>1.6 违约责任</w:t>
      </w:r>
      <w:bookmarkEnd w:id="159"/>
      <w:bookmarkEnd w:id="160"/>
      <w:bookmarkEnd w:id="161"/>
    </w:p>
    <w:p w14:paraId="1DC2A6D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 除不可抗力外，如果</w:t>
      </w:r>
      <w:r>
        <w:rPr>
          <w:rFonts w:hint="eastAsia" w:asciiTheme="minorEastAsia" w:hAnsiTheme="minorEastAsia" w:eastAsiaTheme="minorEastAsia" w:cstheme="minorEastAsia"/>
          <w:color w:val="auto"/>
          <w:sz w:val="24"/>
          <w:highlight w:val="none"/>
          <w:lang w:val="en-US" w:eastAsia="zh-CN"/>
        </w:rPr>
        <w:t>因乙方原因导致</w:t>
      </w:r>
      <w:r>
        <w:rPr>
          <w:rFonts w:hint="eastAsia" w:asciiTheme="minorEastAsia" w:hAnsiTheme="minorEastAsia" w:eastAsiaTheme="minorEastAsia" w:cstheme="minorEastAsia"/>
          <w:color w:val="auto"/>
          <w:sz w:val="24"/>
          <w:highlight w:val="none"/>
        </w:rPr>
        <w:t>乙方没有按照本合同约定的期限、地点和方式交付标的物，甲方可要求乙方支付违约金，违约金按每迟延交付标的物一日的应交付而未交付标的物价格的</w:t>
      </w:r>
      <w:r>
        <w:rPr>
          <w:rFonts w:hint="eastAsia" w:asciiTheme="minorEastAsia" w:hAnsiTheme="minorEastAsia" w:eastAsiaTheme="minorEastAsia" w:cstheme="minorEastAsia"/>
          <w:color w:val="auto"/>
          <w:sz w:val="24"/>
          <w:highlight w:val="none"/>
          <w:u w:val="single"/>
        </w:rPr>
        <w:t xml:space="preserve"> 万分之五</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%；迟延超过【5】日的，甲方有权在要求乙方支付违约金的同时，书面通知乙方解除本合同，乙方应退回全部已收取的合同价款并按合同总金额的</w:t>
      </w:r>
      <w:r>
        <w:rPr>
          <w:rFonts w:hint="eastAsia" w:asciiTheme="minorEastAsia" w:hAnsiTheme="minorEastAsia" w:eastAsiaTheme="minorEastAsia" w:cstheme="minorEastAsia"/>
          <w:color w:val="auto"/>
          <w:sz w:val="24"/>
          <w:highlight w:val="none"/>
          <w:u w:val="single"/>
        </w:rPr>
        <w:t xml:space="preserve"> 20%</w:t>
      </w:r>
      <w:r>
        <w:rPr>
          <w:rFonts w:hint="eastAsia" w:asciiTheme="minorEastAsia" w:hAnsiTheme="minorEastAsia" w:eastAsiaTheme="minorEastAsia" w:cstheme="minorEastAsia"/>
          <w:color w:val="auto"/>
          <w:sz w:val="24"/>
          <w:highlight w:val="none"/>
        </w:rPr>
        <w:t>向甲方支付违约金；</w:t>
      </w:r>
    </w:p>
    <w:p w14:paraId="6D98C0A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除不可抗力外，如果甲方没有按照本合同约定的付款方式付款，乙方可要求甲方支付违约金，违约金按每迟延付款一日的应付而未付款的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万分之五</w:t>
      </w:r>
      <w:r>
        <w:rPr>
          <w:rFonts w:hint="eastAsia" w:asciiTheme="minorEastAsia" w:hAnsiTheme="minorEastAsia" w:eastAsiaTheme="minorEastAsia" w:cstheme="minorEastAsia"/>
          <w:color w:val="auto"/>
          <w:sz w:val="24"/>
          <w:highlight w:val="none"/>
        </w:rPr>
        <w:t>计算，最高限额为欠付金额的</w:t>
      </w:r>
      <w:r>
        <w:rPr>
          <w:rFonts w:hint="eastAsia" w:asciiTheme="minorEastAsia" w:hAnsiTheme="minorEastAsia" w:eastAsiaTheme="minorEastAsia" w:cstheme="minorEastAsia"/>
          <w:color w:val="auto"/>
          <w:sz w:val="24"/>
          <w:highlight w:val="none"/>
          <w:u w:val="single"/>
        </w:rPr>
        <w:t xml:space="preserve"> 20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47508E6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8285071">
      <w:pPr>
        <w:spacing w:line="360" w:lineRule="auto"/>
        <w:ind w:firstLine="480" w:firstLineChars="200"/>
        <w:rPr>
          <w:rFonts w:eastAsia="仿宋_GB2312" w:asciiTheme="minorEastAsia" w:hAnsi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1.6.4乙方在质保期内未按承诺提供售后等服务的，每发生一次向甲方支付违约金额</w:t>
      </w:r>
      <w:r>
        <w:rPr>
          <w:rFonts w:hint="eastAsia" w:asciiTheme="minorEastAsia" w:hAnsiTheme="minorEastAsia" w:eastAsiaTheme="minorEastAsia" w:cstheme="minorEastAsia"/>
          <w:color w:val="auto"/>
          <w:sz w:val="24"/>
          <w:highlight w:val="none"/>
          <w:u w:val="single"/>
        </w:rPr>
        <w:t xml:space="preserve">        </w:t>
      </w:r>
      <w:r>
        <w:rPr>
          <w:rFonts w:ascii="Arial" w:hAnsi="Arial" w:cs="Arial" w:eastAsiaTheme="minorEastAsia"/>
          <w:color w:val="auto"/>
          <w:sz w:val="24"/>
          <w:highlight w:val="none"/>
          <w:u w:val="single"/>
        </w:rPr>
        <w:t>￥</w:t>
      </w:r>
      <w:r>
        <w:rPr>
          <w:rFonts w:hint="eastAsia" w:ascii="仿宋" w:hAnsi="仿宋" w:eastAsia="仿宋" w:cs="仿宋"/>
          <w:color w:val="auto"/>
          <w:sz w:val="24"/>
          <w:highlight w:val="none"/>
          <w:u w:val="single"/>
        </w:rPr>
        <w:t>2000.00</w:t>
      </w:r>
      <w:r>
        <w:rPr>
          <w:rFonts w:hint="eastAsia" w:ascii="仿宋_GB2312" w:hAnsi="楷体" w:eastAsia="仿宋_GB2312"/>
          <w:color w:val="auto"/>
          <w:sz w:val="24"/>
          <w:highlight w:val="none"/>
        </w:rPr>
        <w:t>元。</w:t>
      </w:r>
    </w:p>
    <w:p w14:paraId="07F59EB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A859BB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3427128">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06B1C0C6">
      <w:pPr>
        <w:spacing w:line="360" w:lineRule="auto"/>
        <w:ind w:firstLine="482" w:firstLineChars="200"/>
        <w:rPr>
          <w:rFonts w:asciiTheme="minorEastAsia" w:hAnsiTheme="minorEastAsia" w:eastAsiaTheme="minorEastAsia" w:cstheme="minorEastAsia"/>
          <w:b/>
          <w:color w:val="auto"/>
          <w:sz w:val="24"/>
          <w:highlight w:val="none"/>
        </w:rPr>
      </w:pPr>
      <w:bookmarkStart w:id="162" w:name="_Toc28375"/>
      <w:bookmarkStart w:id="163" w:name="_Toc16021"/>
      <w:bookmarkStart w:id="164" w:name="_Toc15583"/>
      <w:r>
        <w:rPr>
          <w:rFonts w:hint="eastAsia" w:asciiTheme="minorEastAsia" w:hAnsiTheme="minorEastAsia" w:eastAsiaTheme="minorEastAsia" w:cstheme="minorEastAsia"/>
          <w:b/>
          <w:color w:val="auto"/>
          <w:sz w:val="24"/>
          <w:highlight w:val="none"/>
        </w:rPr>
        <w:t>1.7 合同争议的解决</w:t>
      </w:r>
      <w:bookmarkEnd w:id="162"/>
      <w:bookmarkEnd w:id="163"/>
      <w:bookmarkEnd w:id="164"/>
    </w:p>
    <w:p w14:paraId="6195BB63">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Theme="minorEastAsia" w:hAnsiTheme="minorEastAsia" w:eastAsiaTheme="minorEastAsia" w:cstheme="minorEastAsia"/>
          <w:color w:val="auto"/>
          <w:sz w:val="24"/>
          <w:highlight w:val="none"/>
          <w:u w:val="single"/>
        </w:rPr>
        <w:t xml:space="preserve">   1  </w:t>
      </w:r>
      <w:r>
        <w:rPr>
          <w:rFonts w:hint="eastAsia" w:asciiTheme="minorEastAsia" w:hAnsiTheme="minorEastAsia" w:eastAsiaTheme="minorEastAsia" w:cstheme="minorEastAsia"/>
          <w:color w:val="auto"/>
          <w:sz w:val="24"/>
          <w:highlight w:val="none"/>
        </w:rPr>
        <w:t>种方式解决：</w:t>
      </w:r>
    </w:p>
    <w:p w14:paraId="284A6743">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color w:val="auto"/>
          <w:sz w:val="24"/>
          <w:highlight w:val="none"/>
          <w:u w:val="single"/>
        </w:rPr>
        <w:t>南宁</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390300C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color w:val="auto"/>
          <w:sz w:val="24"/>
          <w:highlight w:val="none"/>
          <w:u w:val="single"/>
        </w:rPr>
        <w:t xml:space="preserve">   甲方所在地    有管辖权的</w:t>
      </w:r>
      <w:r>
        <w:rPr>
          <w:rFonts w:hint="eastAsia" w:asciiTheme="minorEastAsia" w:hAnsiTheme="minorEastAsia" w:eastAsiaTheme="minorEastAsia" w:cstheme="minorEastAsia"/>
          <w:color w:val="auto"/>
          <w:sz w:val="24"/>
          <w:highlight w:val="none"/>
        </w:rPr>
        <w:t>人民法院起诉。</w:t>
      </w:r>
    </w:p>
    <w:p w14:paraId="1FDBD3D8">
      <w:pPr>
        <w:spacing w:line="360" w:lineRule="auto"/>
        <w:ind w:firstLine="482" w:firstLineChars="200"/>
        <w:rPr>
          <w:rFonts w:asciiTheme="minorEastAsia" w:hAnsiTheme="minorEastAsia" w:eastAsiaTheme="minorEastAsia" w:cstheme="minorEastAsia"/>
          <w:b/>
          <w:color w:val="auto"/>
          <w:sz w:val="24"/>
          <w:highlight w:val="none"/>
        </w:rPr>
      </w:pPr>
      <w:bookmarkStart w:id="165" w:name="_Toc15322"/>
      <w:bookmarkStart w:id="166" w:name="_Toc11173"/>
      <w:bookmarkStart w:id="167" w:name="_Toc7245"/>
      <w:r>
        <w:rPr>
          <w:rFonts w:hint="eastAsia" w:asciiTheme="minorEastAsia" w:hAnsiTheme="minorEastAsia" w:eastAsiaTheme="minorEastAsia" w:cstheme="minorEastAsia"/>
          <w:b/>
          <w:color w:val="auto"/>
          <w:sz w:val="24"/>
          <w:highlight w:val="none"/>
        </w:rPr>
        <w:t>1.8 合同生效</w:t>
      </w:r>
      <w:bookmarkEnd w:id="165"/>
      <w:bookmarkEnd w:id="166"/>
      <w:bookmarkEnd w:id="167"/>
    </w:p>
    <w:p w14:paraId="7ADE552B">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本合同自双方当事人加盖有效公章时生效。</w:t>
      </w:r>
    </w:p>
    <w:p w14:paraId="120D0A5F">
      <w:pPr>
        <w:spacing w:line="360" w:lineRule="auto"/>
        <w:ind w:firstLine="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甲方：                                  乙方：</w:t>
      </w:r>
    </w:p>
    <w:p w14:paraId="287DF9E3">
      <w:pPr>
        <w:spacing w:line="360" w:lineRule="auto"/>
        <w:ind w:firstLine="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25EDF12E">
      <w:pPr>
        <w:spacing w:line="360" w:lineRule="auto"/>
        <w:ind w:firstLine="200"/>
        <w:rPr>
          <w:rFonts w:asciiTheme="minorEastAsia" w:hAnsiTheme="minorEastAsia" w:eastAsiaTheme="minorEastAsia" w:cstheme="minorEastAsia"/>
          <w:color w:val="auto"/>
          <w:sz w:val="24"/>
          <w:highlight w:val="none"/>
          <w:lang w:val="zh-CN"/>
        </w:rPr>
      </w:pPr>
    </w:p>
    <w:p w14:paraId="379B6E95">
      <w:pPr>
        <w:spacing w:line="360" w:lineRule="auto"/>
        <w:ind w:firstLine="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642A03B7">
      <w:pPr>
        <w:spacing w:line="360" w:lineRule="auto"/>
        <w:ind w:firstLine="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w:t>
      </w:r>
    </w:p>
    <w:p w14:paraId="16AEF2B3">
      <w:pPr>
        <w:spacing w:line="360" w:lineRule="auto"/>
        <w:ind w:firstLine="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或授权代表（签字）: </w:t>
      </w:r>
    </w:p>
    <w:p w14:paraId="0ED0AEBD">
      <w:pPr>
        <w:spacing w:line="360" w:lineRule="auto"/>
        <w:ind w:firstLine="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473E8458">
      <w:pPr>
        <w:spacing w:line="360" w:lineRule="auto"/>
        <w:ind w:firstLine="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4B1AD7E3">
      <w:pPr>
        <w:spacing w:line="360" w:lineRule="auto"/>
        <w:ind w:firstLine="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64A37BAE">
      <w:pPr>
        <w:spacing w:line="360" w:lineRule="auto"/>
        <w:ind w:firstLine="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14:paraId="196BE94E">
      <w:pPr>
        <w:spacing w:line="360" w:lineRule="auto"/>
        <w:ind w:firstLine="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3DFB911F">
      <w:pPr>
        <w:spacing w:line="360" w:lineRule="auto"/>
        <w:ind w:firstLine="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094ADA9F">
      <w:pPr>
        <w:spacing w:line="360" w:lineRule="auto"/>
        <w:ind w:firstLine="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6EB00973">
      <w:pPr>
        <w:spacing w:line="360" w:lineRule="auto"/>
        <w:ind w:firstLine="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5AB98DF6">
      <w:pPr>
        <w:spacing w:line="360" w:lineRule="auto"/>
        <w:ind w:firstLine="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732146F3">
      <w:pPr>
        <w:spacing w:line="360" w:lineRule="auto"/>
        <w:ind w:firstLine="200"/>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highlight w:val="none"/>
        </w:rPr>
        <w:br w:type="page"/>
      </w:r>
      <w:bookmarkStart w:id="168" w:name="_Toc331685783"/>
      <w:r>
        <w:rPr>
          <w:rFonts w:hint="eastAsia" w:asciiTheme="minorEastAsia" w:hAnsiTheme="minorEastAsia" w:eastAsiaTheme="minorEastAsia" w:cstheme="minorEastAsia"/>
          <w:b/>
          <w:color w:val="auto"/>
          <w:sz w:val="28"/>
          <w:szCs w:val="28"/>
          <w:highlight w:val="none"/>
        </w:rPr>
        <w:t>第二部分 合同一般条款</w:t>
      </w:r>
      <w:bookmarkEnd w:id="168"/>
    </w:p>
    <w:p w14:paraId="5E039AAC">
      <w:pPr>
        <w:spacing w:line="360" w:lineRule="auto"/>
        <w:ind w:firstLine="482" w:firstLineChars="200"/>
        <w:rPr>
          <w:rFonts w:asciiTheme="minorEastAsia" w:hAnsiTheme="minorEastAsia" w:eastAsiaTheme="minorEastAsia" w:cstheme="minorEastAsia"/>
          <w:b/>
          <w:color w:val="auto"/>
          <w:sz w:val="24"/>
          <w:highlight w:val="none"/>
        </w:rPr>
      </w:pPr>
      <w:bookmarkStart w:id="169" w:name="_Ref467378404"/>
      <w:bookmarkStart w:id="170" w:name="_Ref467379109"/>
      <w:bookmarkStart w:id="171" w:name="_Toc259093669"/>
      <w:bookmarkStart w:id="172" w:name="_Ref467379101"/>
      <w:bookmarkStart w:id="173" w:name="_Ref467379214"/>
      <w:bookmarkStart w:id="174" w:name="_Ref467379205"/>
      <w:bookmarkStart w:id="175" w:name="_Toc28763"/>
      <w:bookmarkStart w:id="176" w:name="_Toc16917"/>
      <w:bookmarkStart w:id="177" w:name="_Ref467378463"/>
      <w:bookmarkStart w:id="178" w:name="_Ref467379225"/>
      <w:bookmarkStart w:id="179" w:name="_Toc487900349"/>
      <w:bookmarkStart w:id="180" w:name="_Toc279701240"/>
      <w:bookmarkStart w:id="181" w:name="_Ref467378499"/>
      <w:bookmarkStart w:id="182" w:name="_Ref467379195"/>
      <w:bookmarkStart w:id="183" w:name="_Ref467379094"/>
      <w:bookmarkStart w:id="184" w:name="_Toc19614"/>
      <w:r>
        <w:rPr>
          <w:rFonts w:hint="eastAsia" w:asciiTheme="minorEastAsia" w:hAnsiTheme="minorEastAsia" w:eastAsiaTheme="minorEastAsia" w:cstheme="minorEastAsia"/>
          <w:b/>
          <w:color w:val="auto"/>
          <w:sz w:val="24"/>
          <w:highlight w:val="none"/>
        </w:rPr>
        <w:t>2.1 定义</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6056C22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2A9FD56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“合同”系指采购人和中标人签订的载明双方当事人所达成的协议，并包括所有的附件、附录和构成合同的其他文件。</w:t>
      </w:r>
    </w:p>
    <w:p w14:paraId="61B52A3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“合同价”系指根据合同约定，中标人在完全履行合同义务后，采购人应支付给中标人的价格。</w:t>
      </w:r>
    </w:p>
    <w:p w14:paraId="370B395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676A1504">
      <w:pPr>
        <w:spacing w:line="360" w:lineRule="auto"/>
        <w:ind w:firstLine="480" w:firstLineChars="200"/>
        <w:rPr>
          <w:rFonts w:asciiTheme="minorEastAsia" w:hAnsiTheme="minorEastAsia" w:eastAsiaTheme="minorEastAsia" w:cstheme="minorEastAsia"/>
          <w:color w:val="auto"/>
          <w:sz w:val="24"/>
          <w:highlight w:val="none"/>
        </w:rPr>
      </w:pPr>
      <w:bookmarkStart w:id="185" w:name="_Ref467378840"/>
      <w:r>
        <w:rPr>
          <w:rFonts w:hint="eastAsia" w:asciiTheme="minorEastAsia" w:hAnsiTheme="minorEastAsia" w:eastAsiaTheme="minorEastAsia" w:cstheme="minorEastAsia"/>
          <w:color w:val="auto"/>
          <w:sz w:val="24"/>
          <w:highlight w:val="none"/>
        </w:rPr>
        <w:t>2.1.4 “甲方”系指与中标人签署合同的采购人</w:t>
      </w:r>
      <w:bookmarkEnd w:id="185"/>
      <w:r>
        <w:rPr>
          <w:rFonts w:hint="eastAsia" w:asciiTheme="minorEastAsia" w:hAnsiTheme="minorEastAsia" w:eastAsiaTheme="minorEastAsia" w:cstheme="minorEastAsia"/>
          <w:color w:val="auto"/>
          <w:sz w:val="24"/>
          <w:highlight w:val="none"/>
        </w:rPr>
        <w:t>；采购人委托采购机构代表其与乙方签订合同的，采购人的授权委托书作为合同附件。</w:t>
      </w:r>
    </w:p>
    <w:p w14:paraId="57DEF9EC">
      <w:pPr>
        <w:spacing w:line="360" w:lineRule="auto"/>
        <w:ind w:firstLine="480" w:firstLineChars="200"/>
        <w:rPr>
          <w:rFonts w:asciiTheme="minorEastAsia" w:hAnsiTheme="minorEastAsia" w:eastAsiaTheme="minorEastAsia" w:cstheme="minorEastAsia"/>
          <w:color w:val="auto"/>
          <w:sz w:val="24"/>
          <w:highlight w:val="none"/>
        </w:rPr>
      </w:pPr>
      <w:bookmarkStart w:id="186" w:name="_Ref467379400"/>
      <w:r>
        <w:rPr>
          <w:rFonts w:hint="eastAsia" w:asciiTheme="minorEastAsia" w:hAnsiTheme="minorEastAsia" w:eastAsiaTheme="minorEastAsia" w:cstheme="minorEastAsia"/>
          <w:color w:val="auto"/>
          <w:sz w:val="24"/>
          <w:highlight w:val="none"/>
        </w:rPr>
        <w:t>2.1.5 “乙方”系指根据合同约定交付标的物的</w:t>
      </w:r>
      <w:bookmarkEnd w:id="186"/>
      <w:r>
        <w:rPr>
          <w:rFonts w:hint="eastAsia" w:asciiTheme="minorEastAsia" w:hAnsiTheme="minorEastAsia" w:eastAsiaTheme="minorEastAsia" w:cstheme="minorEastAsia"/>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FBC51C4">
      <w:pPr>
        <w:spacing w:line="360" w:lineRule="auto"/>
        <w:ind w:firstLine="480" w:firstLineChars="200"/>
        <w:rPr>
          <w:rFonts w:asciiTheme="minorEastAsia" w:hAnsiTheme="minorEastAsia" w:eastAsiaTheme="minorEastAsia" w:cstheme="minorEastAsia"/>
          <w:color w:val="auto"/>
          <w:sz w:val="24"/>
          <w:highlight w:val="none"/>
        </w:rPr>
      </w:pPr>
      <w:bookmarkStart w:id="187" w:name="_Ref467379436"/>
      <w:r>
        <w:rPr>
          <w:rFonts w:hint="eastAsia" w:asciiTheme="minorEastAsia" w:hAnsiTheme="minorEastAsia" w:eastAsiaTheme="minorEastAsia" w:cstheme="minorEastAsia"/>
          <w:color w:val="auto"/>
          <w:sz w:val="24"/>
          <w:highlight w:val="none"/>
        </w:rPr>
        <w:t>2.1.6 “现场”系指合同约定标的物将要运至或者实施或者安装的地点。</w:t>
      </w:r>
      <w:bookmarkEnd w:id="187"/>
    </w:p>
    <w:p w14:paraId="3053C8E5">
      <w:pPr>
        <w:spacing w:line="360" w:lineRule="auto"/>
        <w:ind w:firstLine="482" w:firstLineChars="200"/>
        <w:rPr>
          <w:rFonts w:asciiTheme="minorEastAsia" w:hAnsiTheme="minorEastAsia" w:eastAsiaTheme="minorEastAsia" w:cstheme="minorEastAsia"/>
          <w:b/>
          <w:color w:val="auto"/>
          <w:sz w:val="24"/>
          <w:highlight w:val="none"/>
        </w:rPr>
      </w:pPr>
      <w:bookmarkStart w:id="188" w:name="_Toc27635"/>
      <w:bookmarkStart w:id="189" w:name="_Toc13336"/>
      <w:bookmarkStart w:id="190" w:name="_Toc487900350"/>
      <w:bookmarkStart w:id="191" w:name="_Toc279701241"/>
      <w:bookmarkStart w:id="192" w:name="_Toc259093670"/>
      <w:bookmarkStart w:id="193" w:name="_Toc32504"/>
      <w:r>
        <w:rPr>
          <w:rFonts w:hint="eastAsia" w:asciiTheme="minorEastAsia" w:hAnsiTheme="minorEastAsia" w:eastAsiaTheme="minorEastAsia" w:cstheme="minorEastAsia"/>
          <w:b/>
          <w:color w:val="auto"/>
          <w:sz w:val="24"/>
          <w:highlight w:val="none"/>
        </w:rPr>
        <w:t>2.2 技术规范</w:t>
      </w:r>
      <w:bookmarkEnd w:id="188"/>
      <w:bookmarkEnd w:id="189"/>
      <w:bookmarkEnd w:id="190"/>
      <w:bookmarkEnd w:id="191"/>
      <w:bookmarkEnd w:id="192"/>
      <w:bookmarkEnd w:id="193"/>
    </w:p>
    <w:p w14:paraId="5356AA3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C444DDC">
      <w:pPr>
        <w:spacing w:line="360" w:lineRule="auto"/>
        <w:ind w:firstLine="482" w:firstLineChars="200"/>
        <w:rPr>
          <w:rFonts w:asciiTheme="minorEastAsia" w:hAnsiTheme="minorEastAsia" w:eastAsiaTheme="minorEastAsia" w:cstheme="minorEastAsia"/>
          <w:b/>
          <w:color w:val="auto"/>
          <w:sz w:val="24"/>
          <w:highlight w:val="none"/>
        </w:rPr>
      </w:pPr>
      <w:bookmarkStart w:id="194" w:name="_Toc27853"/>
      <w:bookmarkStart w:id="195" w:name="_Toc487900351"/>
      <w:bookmarkStart w:id="196" w:name="_Toc279701242"/>
      <w:bookmarkStart w:id="197" w:name="_Toc9829"/>
      <w:bookmarkStart w:id="198" w:name="_Toc259093671"/>
      <w:bookmarkStart w:id="199" w:name="_Toc31634"/>
      <w:r>
        <w:rPr>
          <w:rFonts w:hint="eastAsia" w:asciiTheme="minorEastAsia" w:hAnsiTheme="minorEastAsia" w:eastAsiaTheme="minorEastAsia" w:cstheme="minorEastAsia"/>
          <w:b/>
          <w:color w:val="auto"/>
          <w:sz w:val="24"/>
          <w:highlight w:val="none"/>
        </w:rPr>
        <w:t>2.3 知识产权</w:t>
      </w:r>
      <w:bookmarkEnd w:id="194"/>
      <w:bookmarkEnd w:id="195"/>
      <w:bookmarkEnd w:id="196"/>
      <w:bookmarkEnd w:id="197"/>
      <w:bookmarkEnd w:id="198"/>
      <w:bookmarkEnd w:id="199"/>
    </w:p>
    <w:p w14:paraId="4F97A8E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143062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2.3.2具有知识产权的计算机软件等标的物的知识产权归属，详见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15432870">
      <w:pPr>
        <w:spacing w:line="360" w:lineRule="auto"/>
        <w:ind w:firstLine="482" w:firstLineChars="200"/>
        <w:rPr>
          <w:rFonts w:asciiTheme="minorEastAsia" w:hAnsiTheme="minorEastAsia" w:eastAsiaTheme="minorEastAsia" w:cstheme="minorEastAsia"/>
          <w:b/>
          <w:color w:val="auto"/>
          <w:sz w:val="24"/>
          <w:highlight w:val="none"/>
        </w:rPr>
      </w:pPr>
      <w:bookmarkStart w:id="200" w:name="_Toc4194"/>
      <w:bookmarkStart w:id="201" w:name="_Toc11932"/>
      <w:bookmarkStart w:id="202" w:name="_Toc29149"/>
      <w:r>
        <w:rPr>
          <w:rFonts w:hint="eastAsia" w:asciiTheme="minorEastAsia" w:hAnsiTheme="minorEastAsia" w:eastAsiaTheme="minorEastAsia" w:cstheme="minorEastAsia"/>
          <w:b/>
          <w:color w:val="auto"/>
          <w:sz w:val="24"/>
          <w:highlight w:val="none"/>
        </w:rPr>
        <w:t>2.4 包装和装运</w:t>
      </w:r>
      <w:bookmarkEnd w:id="200"/>
      <w:bookmarkEnd w:id="201"/>
      <w:bookmarkEnd w:id="202"/>
    </w:p>
    <w:p w14:paraId="228B5D0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2.4.1除</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900A30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装运标的物的要求和通知，详见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5214E92B">
      <w:pPr>
        <w:spacing w:line="360" w:lineRule="auto"/>
        <w:ind w:firstLine="482" w:firstLineChars="200"/>
        <w:rPr>
          <w:rFonts w:asciiTheme="minorEastAsia" w:hAnsiTheme="minorEastAsia" w:eastAsiaTheme="minorEastAsia" w:cstheme="minorEastAsia"/>
          <w:b/>
          <w:color w:val="auto"/>
          <w:sz w:val="24"/>
          <w:highlight w:val="none"/>
        </w:rPr>
      </w:pPr>
      <w:bookmarkStart w:id="203" w:name="_Ref467379542"/>
      <w:bookmarkStart w:id="204" w:name="_Toc279701245"/>
      <w:bookmarkStart w:id="205" w:name="_Ref467378591"/>
      <w:bookmarkStart w:id="206" w:name="_Ref467379527"/>
      <w:bookmarkStart w:id="207" w:name="_Toc259093674"/>
      <w:bookmarkStart w:id="208" w:name="_Ref467378541"/>
      <w:bookmarkStart w:id="209" w:name="_Ref467379536"/>
      <w:bookmarkStart w:id="210" w:name="_Toc487900354"/>
      <w:bookmarkStart w:id="211" w:name="_Toc30272"/>
      <w:bookmarkStart w:id="212" w:name="_Toc19074"/>
      <w:bookmarkStart w:id="213" w:name="_Toc26182"/>
      <w:r>
        <w:rPr>
          <w:rFonts w:hint="eastAsia" w:asciiTheme="minorEastAsia" w:hAnsiTheme="minorEastAsia" w:eastAsiaTheme="minorEastAsia" w:cstheme="minorEastAsia"/>
          <w:b/>
          <w:color w:val="auto"/>
          <w:sz w:val="24"/>
          <w:highlight w:val="none"/>
        </w:rPr>
        <w:t>2.</w:t>
      </w:r>
      <w:bookmarkEnd w:id="203"/>
      <w:bookmarkEnd w:id="204"/>
      <w:bookmarkEnd w:id="205"/>
      <w:bookmarkEnd w:id="206"/>
      <w:bookmarkEnd w:id="207"/>
      <w:bookmarkEnd w:id="208"/>
      <w:bookmarkEnd w:id="209"/>
      <w:bookmarkEnd w:id="210"/>
      <w:r>
        <w:rPr>
          <w:rFonts w:hint="eastAsia" w:asciiTheme="minorEastAsia" w:hAnsiTheme="minorEastAsia" w:eastAsiaTheme="minorEastAsia" w:cstheme="minorEastAsia"/>
          <w:b/>
          <w:color w:val="auto"/>
          <w:sz w:val="24"/>
          <w:highlight w:val="none"/>
        </w:rPr>
        <w:t>5 履约检查和问题反馈</w:t>
      </w:r>
      <w:bookmarkEnd w:id="211"/>
      <w:bookmarkEnd w:id="212"/>
      <w:bookmarkEnd w:id="213"/>
    </w:p>
    <w:p w14:paraId="576E5217">
      <w:pPr>
        <w:spacing w:line="360" w:lineRule="auto"/>
        <w:ind w:firstLine="480" w:firstLineChars="200"/>
        <w:rPr>
          <w:rFonts w:asciiTheme="minorEastAsia" w:hAnsiTheme="minorEastAsia" w:eastAsiaTheme="minorEastAsia" w:cstheme="minorEastAsia"/>
          <w:color w:val="auto"/>
          <w:sz w:val="24"/>
          <w:highlight w:val="none"/>
        </w:rPr>
      </w:pPr>
      <w:bookmarkStart w:id="214" w:name="_Ref467379657"/>
      <w:r>
        <w:rPr>
          <w:rFonts w:hint="eastAsia" w:asciiTheme="minorEastAsia" w:hAnsiTheme="minorEastAsia" w:eastAsiaTheme="minorEastAsia" w:cstheme="minorEastAsia"/>
          <w:color w:val="auto"/>
          <w:sz w:val="24"/>
          <w:highlight w:val="none"/>
        </w:rPr>
        <w:t>2.5.1</w:t>
      </w:r>
      <w:bookmarkEnd w:id="214"/>
      <w:bookmarkStart w:id="215" w:name="_Toc186431854"/>
      <w:bookmarkStart w:id="216" w:name="_Toc259093676"/>
      <w:bookmarkStart w:id="217" w:name="_Ref467379807"/>
      <w:bookmarkStart w:id="218" w:name="_Toc279701247"/>
      <w:bookmarkStart w:id="219" w:name="_Ref467379793"/>
      <w:bookmarkStart w:id="220" w:name="_Toc487900357"/>
      <w:r>
        <w:rPr>
          <w:rFonts w:hint="eastAsia" w:asciiTheme="minorEastAsia" w:hAnsiTheme="minorEastAsia" w:eastAsiaTheme="minorEastAsia" w:cstheme="minorEastAsia"/>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4B805E5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2.5.2 合同履行期间，甲方有权将履行过程中出现的问题反馈给乙方，双方当事人应以书面形式约定需要完善和改进的内容</w:t>
      </w:r>
      <w:bookmarkEnd w:id="215"/>
      <w:bookmarkStart w:id="221" w:name="_Toc186431855"/>
      <w:r>
        <w:rPr>
          <w:rFonts w:hint="eastAsia" w:asciiTheme="minorEastAsia" w:hAnsiTheme="minorEastAsia" w:eastAsiaTheme="minorEastAsia" w:cstheme="minorEastAsia"/>
          <w:color w:val="auto"/>
          <w:sz w:val="24"/>
          <w:highlight w:val="none"/>
        </w:rPr>
        <w:t>。</w:t>
      </w:r>
    </w:p>
    <w:bookmarkEnd w:id="221"/>
    <w:p w14:paraId="7FAA87F8">
      <w:pPr>
        <w:spacing w:line="360" w:lineRule="auto"/>
        <w:ind w:firstLine="482" w:firstLineChars="200"/>
        <w:rPr>
          <w:rFonts w:asciiTheme="minorEastAsia" w:hAnsiTheme="minorEastAsia" w:eastAsiaTheme="minorEastAsia" w:cstheme="minorEastAsia"/>
          <w:b/>
          <w:color w:val="auto"/>
          <w:sz w:val="24"/>
          <w:highlight w:val="none"/>
        </w:rPr>
      </w:pPr>
      <w:bookmarkStart w:id="222" w:name="_Toc19219"/>
      <w:bookmarkStart w:id="223" w:name="_Toc28451"/>
      <w:bookmarkStart w:id="224" w:name="_Toc7836"/>
      <w:r>
        <w:rPr>
          <w:rFonts w:hint="eastAsia" w:asciiTheme="minorEastAsia" w:hAnsiTheme="minorEastAsia" w:eastAsiaTheme="minorEastAsia" w:cstheme="minorEastAsia"/>
          <w:b/>
          <w:color w:val="auto"/>
          <w:sz w:val="24"/>
          <w:highlight w:val="none"/>
        </w:rPr>
        <w:t>2.6 结算方式和付款条件</w:t>
      </w:r>
      <w:bookmarkEnd w:id="216"/>
      <w:bookmarkEnd w:id="217"/>
      <w:bookmarkEnd w:id="218"/>
      <w:bookmarkEnd w:id="219"/>
      <w:bookmarkEnd w:id="220"/>
      <w:bookmarkEnd w:id="222"/>
      <w:bookmarkEnd w:id="223"/>
      <w:bookmarkEnd w:id="224"/>
    </w:p>
    <w:p w14:paraId="1C04652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6EC29ADC">
      <w:pPr>
        <w:spacing w:line="360" w:lineRule="auto"/>
        <w:ind w:firstLine="482" w:firstLineChars="200"/>
        <w:rPr>
          <w:rFonts w:asciiTheme="minorEastAsia" w:hAnsiTheme="minorEastAsia" w:eastAsiaTheme="minorEastAsia" w:cstheme="minorEastAsia"/>
          <w:b/>
          <w:color w:val="auto"/>
          <w:sz w:val="24"/>
          <w:highlight w:val="none"/>
        </w:rPr>
      </w:pPr>
      <w:bookmarkStart w:id="225" w:name="_Toc487900358"/>
      <w:bookmarkStart w:id="226" w:name="_Ref467379923"/>
      <w:bookmarkStart w:id="227" w:name="_Toc259093677"/>
      <w:bookmarkStart w:id="228" w:name="_Toc279701248"/>
      <w:bookmarkStart w:id="229" w:name="_Ref467379863"/>
      <w:bookmarkStart w:id="230" w:name="_Ref467379852"/>
      <w:bookmarkStart w:id="231" w:name="_Toc16110"/>
      <w:bookmarkStart w:id="232" w:name="_Toc3225"/>
      <w:bookmarkStart w:id="233" w:name="_Toc774"/>
      <w:r>
        <w:rPr>
          <w:rFonts w:hint="eastAsia" w:asciiTheme="minorEastAsia" w:hAnsiTheme="minorEastAsia" w:eastAsiaTheme="minorEastAsia" w:cstheme="minorEastAsia"/>
          <w:b/>
          <w:color w:val="auto"/>
          <w:sz w:val="24"/>
          <w:highlight w:val="none"/>
        </w:rPr>
        <w:t>2.7 技术资料</w:t>
      </w:r>
      <w:bookmarkEnd w:id="225"/>
      <w:bookmarkEnd w:id="226"/>
      <w:bookmarkEnd w:id="227"/>
      <w:bookmarkEnd w:id="228"/>
      <w:bookmarkEnd w:id="229"/>
      <w:bookmarkEnd w:id="230"/>
      <w:r>
        <w:rPr>
          <w:rFonts w:hint="eastAsia" w:asciiTheme="minorEastAsia" w:hAnsiTheme="minorEastAsia" w:eastAsiaTheme="minorEastAsia" w:cstheme="minorEastAsia"/>
          <w:b/>
          <w:color w:val="auto"/>
          <w:sz w:val="24"/>
          <w:highlight w:val="none"/>
        </w:rPr>
        <w:t>和保密义务</w:t>
      </w:r>
      <w:bookmarkEnd w:id="231"/>
      <w:bookmarkEnd w:id="232"/>
      <w:bookmarkEnd w:id="233"/>
    </w:p>
    <w:p w14:paraId="5EF5FA7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乙方有权依据合同约定和项目需要，向甲方了解有关情况，调阅有关资料等，甲方应予积极配合；</w:t>
      </w:r>
    </w:p>
    <w:p w14:paraId="5B2CB2C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乙方有义务妥善保管和保护由甲方提供的前款信息和资料等；</w:t>
      </w:r>
    </w:p>
    <w:p w14:paraId="2540D6D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CD8FA07">
      <w:pPr>
        <w:spacing w:line="360" w:lineRule="auto"/>
        <w:ind w:firstLine="482" w:firstLineChars="200"/>
        <w:rPr>
          <w:rFonts w:asciiTheme="minorEastAsia" w:hAnsiTheme="minorEastAsia" w:eastAsiaTheme="minorEastAsia" w:cstheme="minorEastAsia"/>
          <w:b/>
          <w:color w:val="auto"/>
          <w:sz w:val="24"/>
          <w:highlight w:val="none"/>
        </w:rPr>
      </w:pPr>
      <w:bookmarkStart w:id="234" w:name="_Toc7860"/>
      <w:r>
        <w:rPr>
          <w:rFonts w:hint="eastAsia" w:asciiTheme="minorEastAsia" w:hAnsiTheme="minorEastAsia" w:eastAsiaTheme="minorEastAsia" w:cstheme="minorEastAsia"/>
          <w:b/>
          <w:color w:val="auto"/>
          <w:sz w:val="24"/>
          <w:highlight w:val="none"/>
        </w:rPr>
        <w:t>2.8 质量保证</w:t>
      </w:r>
      <w:bookmarkEnd w:id="234"/>
    </w:p>
    <w:p w14:paraId="7ECE9F2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2.8.1 乙方应建立和完善履行合同的内部质量保证体系，并提供相关内部规章制度给甲方，以便甲方进行监督检查；</w:t>
      </w:r>
    </w:p>
    <w:p w14:paraId="2EC1FD2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2.8.2 乙方应保证履行合同的人员数量和素质、软件和硬件设备的配置、场地、环境和设施等满足全面履行合同的要求，并应接受甲方的监督检查。</w:t>
      </w:r>
    </w:p>
    <w:p w14:paraId="742CA4E3">
      <w:pPr>
        <w:spacing w:line="360" w:lineRule="auto"/>
        <w:ind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Theme="minorEastAsia" w:hAnsiTheme="minorEastAsia" w:eastAsiaTheme="minorEastAsia" w:cstheme="minorEastAsia"/>
          <w:color w:val="auto"/>
          <w:kern w:val="0"/>
          <w:sz w:val="24"/>
          <w:highlight w:val="none"/>
        </w:rPr>
        <w:t>甲方有权放弃或终止合同，并没收履约保证金。</w:t>
      </w:r>
    </w:p>
    <w:p w14:paraId="2291315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Theme="minorEastAsia" w:hAnsiTheme="minorEastAsia" w:eastAsiaTheme="minorEastAsia" w:cstheme="minorEastAsia"/>
          <w:color w:val="auto"/>
          <w:sz w:val="24"/>
          <w:highlight w:val="none"/>
          <w:u w:val="single"/>
        </w:rPr>
        <w:t xml:space="preserve"> </w:t>
      </w:r>
      <w:r>
        <w:rPr>
          <w:rFonts w:hint="eastAsia" w:ascii="仿宋_GB2312" w:hAnsi="仿宋" w:eastAsia="仿宋_GB2312"/>
          <w:color w:val="auto"/>
          <w:sz w:val="24"/>
          <w:highlight w:val="none"/>
          <w:u w:val="single"/>
        </w:rPr>
        <w:t>30%</w:t>
      </w:r>
      <w:r>
        <w:rPr>
          <w:rFonts w:hint="eastAsia" w:asciiTheme="minorEastAsia" w:hAnsiTheme="minorEastAsia" w:eastAsiaTheme="minorEastAsia" w:cstheme="minorEastAsia"/>
          <w:color w:val="auto"/>
          <w:sz w:val="24"/>
          <w:highlight w:val="none"/>
        </w:rPr>
        <w:t>。</w:t>
      </w:r>
    </w:p>
    <w:p w14:paraId="4CC4A970">
      <w:pPr>
        <w:spacing w:line="360" w:lineRule="auto"/>
        <w:ind w:firstLine="482" w:firstLineChars="200"/>
        <w:rPr>
          <w:rFonts w:asciiTheme="minorEastAsia" w:hAnsiTheme="minorEastAsia" w:eastAsiaTheme="minorEastAsia" w:cstheme="minorEastAsia"/>
          <w:b/>
          <w:color w:val="auto"/>
          <w:sz w:val="24"/>
          <w:highlight w:val="none"/>
        </w:rPr>
      </w:pPr>
      <w:bookmarkStart w:id="235" w:name="_Toc17244"/>
      <w:bookmarkStart w:id="236" w:name="_Toc487900362"/>
      <w:bookmarkStart w:id="237" w:name="_Toc259093681"/>
      <w:bookmarkStart w:id="238" w:name="_Toc279701252"/>
      <w:r>
        <w:rPr>
          <w:rFonts w:hint="eastAsia" w:asciiTheme="minorEastAsia" w:hAnsiTheme="minorEastAsia" w:eastAsiaTheme="minorEastAsia" w:cstheme="minorEastAsia"/>
          <w:b/>
          <w:color w:val="auto"/>
          <w:sz w:val="24"/>
          <w:highlight w:val="none"/>
        </w:rPr>
        <w:t>2.9 标的物的风险负担</w:t>
      </w:r>
      <w:bookmarkEnd w:id="235"/>
    </w:p>
    <w:p w14:paraId="5CE53A66">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标的物或者在途标的物或者交付给第一承运人后的标的物毁损、灭失的风险负担详见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w:t>
      </w:r>
    </w:p>
    <w:p w14:paraId="310525C7">
      <w:pPr>
        <w:spacing w:line="360" w:lineRule="auto"/>
        <w:ind w:firstLine="482" w:firstLineChars="200"/>
        <w:rPr>
          <w:rFonts w:asciiTheme="minorEastAsia" w:hAnsiTheme="minorEastAsia" w:eastAsiaTheme="minorEastAsia" w:cstheme="minorEastAsia"/>
          <w:b/>
          <w:color w:val="auto"/>
          <w:sz w:val="24"/>
          <w:highlight w:val="none"/>
        </w:rPr>
      </w:pPr>
      <w:bookmarkStart w:id="239" w:name="_Toc14055"/>
      <w:r>
        <w:rPr>
          <w:rFonts w:hint="eastAsia" w:asciiTheme="minorEastAsia" w:hAnsiTheme="minorEastAsia" w:eastAsiaTheme="minorEastAsia" w:cstheme="minorEastAsia"/>
          <w:b/>
          <w:color w:val="auto"/>
          <w:sz w:val="24"/>
          <w:highlight w:val="none"/>
        </w:rPr>
        <w:t>2.10 延迟交货</w:t>
      </w:r>
      <w:bookmarkEnd w:id="236"/>
      <w:bookmarkEnd w:id="237"/>
      <w:bookmarkEnd w:id="238"/>
      <w:bookmarkEnd w:id="239"/>
      <w:r>
        <w:rPr>
          <w:rFonts w:hint="eastAsia" w:asciiTheme="minorEastAsia" w:hAnsiTheme="minorEastAsia" w:eastAsiaTheme="minorEastAsia" w:cstheme="minorEastAsia"/>
          <w:b/>
          <w:color w:val="auto"/>
          <w:sz w:val="24"/>
          <w:highlight w:val="none"/>
        </w:rPr>
        <w:t>/交付</w:t>
      </w:r>
    </w:p>
    <w:p w14:paraId="20EC0DD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D1C6C55">
      <w:pPr>
        <w:spacing w:line="360" w:lineRule="auto"/>
        <w:ind w:firstLine="482" w:firstLineChars="200"/>
        <w:rPr>
          <w:rFonts w:asciiTheme="minorEastAsia" w:hAnsiTheme="minorEastAsia" w:eastAsiaTheme="minorEastAsia" w:cstheme="minorEastAsia"/>
          <w:b/>
          <w:color w:val="auto"/>
          <w:sz w:val="24"/>
          <w:highlight w:val="none"/>
        </w:rPr>
      </w:pPr>
      <w:bookmarkStart w:id="240" w:name="_Toc7502"/>
      <w:bookmarkStart w:id="241" w:name="_Toc279701254"/>
      <w:bookmarkStart w:id="242" w:name="_Toc259093683"/>
      <w:bookmarkStart w:id="243" w:name="_Ref467378121"/>
      <w:bookmarkStart w:id="244" w:name="_Toc487900364"/>
      <w:r>
        <w:rPr>
          <w:rFonts w:hint="eastAsia" w:asciiTheme="minorEastAsia" w:hAnsiTheme="minorEastAsia" w:eastAsiaTheme="minorEastAsia" w:cstheme="minorEastAsia"/>
          <w:b/>
          <w:color w:val="auto"/>
          <w:sz w:val="24"/>
          <w:highlight w:val="none"/>
        </w:rPr>
        <w:t>2.11 合同变更</w:t>
      </w:r>
      <w:bookmarkEnd w:id="240"/>
    </w:p>
    <w:p w14:paraId="4C68C1A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64970A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45" w:name="_Toc279701259"/>
      <w:bookmarkStart w:id="246" w:name="_Toc259093688"/>
      <w:bookmarkStart w:id="247" w:name="_Toc487900369"/>
    </w:p>
    <w:p w14:paraId="06CB0C85">
      <w:pPr>
        <w:spacing w:line="360" w:lineRule="auto"/>
        <w:ind w:firstLine="482" w:firstLineChars="200"/>
        <w:rPr>
          <w:rFonts w:asciiTheme="minorEastAsia" w:hAnsiTheme="minorEastAsia" w:eastAsiaTheme="minorEastAsia" w:cstheme="minorEastAsia"/>
          <w:b/>
          <w:color w:val="auto"/>
          <w:sz w:val="24"/>
          <w:highlight w:val="none"/>
        </w:rPr>
      </w:pPr>
      <w:bookmarkStart w:id="248" w:name="_Toc10366"/>
      <w:bookmarkStart w:id="249" w:name="_Toc15237"/>
      <w:bookmarkStart w:id="250" w:name="_Toc22955"/>
      <w:r>
        <w:rPr>
          <w:rFonts w:hint="eastAsia" w:asciiTheme="minorEastAsia" w:hAnsiTheme="minorEastAsia" w:eastAsiaTheme="minorEastAsia" w:cstheme="minorEastAsia"/>
          <w:b/>
          <w:color w:val="auto"/>
          <w:sz w:val="24"/>
          <w:highlight w:val="none"/>
        </w:rPr>
        <w:t>2.12 合同转让</w:t>
      </w:r>
      <w:bookmarkEnd w:id="245"/>
      <w:bookmarkEnd w:id="246"/>
      <w:bookmarkEnd w:id="247"/>
      <w:r>
        <w:rPr>
          <w:rFonts w:hint="eastAsia" w:asciiTheme="minorEastAsia" w:hAnsiTheme="minorEastAsia" w:eastAsiaTheme="minorEastAsia" w:cstheme="minorEastAsia"/>
          <w:b/>
          <w:color w:val="auto"/>
          <w:sz w:val="24"/>
          <w:highlight w:val="none"/>
        </w:rPr>
        <w:t>和分包</w:t>
      </w:r>
      <w:bookmarkEnd w:id="248"/>
      <w:bookmarkEnd w:id="249"/>
      <w:bookmarkEnd w:id="250"/>
    </w:p>
    <w:p w14:paraId="0D22DEA3">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455E7E5D">
      <w:pPr>
        <w:spacing w:line="360" w:lineRule="auto"/>
        <w:ind w:firstLine="482" w:firstLineChars="200"/>
        <w:rPr>
          <w:rFonts w:asciiTheme="minorEastAsia" w:hAnsiTheme="minorEastAsia" w:eastAsiaTheme="minorEastAsia" w:cstheme="minorEastAsia"/>
          <w:b/>
          <w:color w:val="auto"/>
          <w:sz w:val="24"/>
          <w:highlight w:val="none"/>
        </w:rPr>
      </w:pPr>
      <w:bookmarkStart w:id="251" w:name="_Toc14066"/>
      <w:bookmarkStart w:id="252" w:name="_Toc16508"/>
      <w:bookmarkStart w:id="253" w:name="_Toc13566"/>
      <w:r>
        <w:rPr>
          <w:rFonts w:hint="eastAsia" w:asciiTheme="minorEastAsia" w:hAnsiTheme="minorEastAsia" w:eastAsiaTheme="minorEastAsia" w:cstheme="minorEastAsia"/>
          <w:b/>
          <w:color w:val="auto"/>
          <w:sz w:val="24"/>
          <w:highlight w:val="none"/>
        </w:rPr>
        <w:t>2.13 不可抗力</w:t>
      </w:r>
      <w:bookmarkEnd w:id="251"/>
      <w:bookmarkEnd w:id="252"/>
      <w:bookmarkEnd w:id="253"/>
    </w:p>
    <w:p w14:paraId="3990A7D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2.13.1如果任何一方遭遇法律规定的不可抗力，致使合同履行受阻时，履行合同的期限应予延长，延长的期限应相当于不可抗力所影响的时间；</w:t>
      </w:r>
    </w:p>
    <w:p w14:paraId="2DF79C2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2.13.2受不可抗力影响的一方在不可抗力发生后，应在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约定时间内以书面形式通知对方当事人，并在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5F133A4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2.13.3 因不可抗力致使不能实现合同目的的，当事人可以解除合同；</w:t>
      </w:r>
    </w:p>
    <w:p w14:paraId="16268530">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2.13.4 因不可抗力致使合同有变更必要的，双方当事人应在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1AB31ECA">
      <w:pPr>
        <w:spacing w:line="360" w:lineRule="auto"/>
        <w:ind w:firstLine="482" w:firstLineChars="200"/>
        <w:rPr>
          <w:rFonts w:asciiTheme="minorEastAsia" w:hAnsiTheme="minorEastAsia" w:eastAsiaTheme="minorEastAsia" w:cstheme="minorEastAsia"/>
          <w:b/>
          <w:color w:val="auto"/>
          <w:sz w:val="24"/>
          <w:highlight w:val="none"/>
        </w:rPr>
      </w:pPr>
      <w:bookmarkStart w:id="254" w:name="_Toc30676"/>
      <w:bookmarkStart w:id="255" w:name="_Toc6969"/>
      <w:bookmarkStart w:id="256" w:name="_Toc487900365"/>
      <w:bookmarkStart w:id="257" w:name="_Toc689"/>
      <w:bookmarkStart w:id="258" w:name="_Toc279701255"/>
      <w:bookmarkStart w:id="259" w:name="_Toc259093684"/>
      <w:r>
        <w:rPr>
          <w:rFonts w:hint="eastAsia" w:asciiTheme="minorEastAsia" w:hAnsiTheme="minorEastAsia" w:eastAsiaTheme="minorEastAsia" w:cstheme="minorEastAsia"/>
          <w:b/>
          <w:color w:val="auto"/>
          <w:sz w:val="24"/>
          <w:highlight w:val="none"/>
        </w:rPr>
        <w:t>2.14 税费</w:t>
      </w:r>
      <w:bookmarkEnd w:id="254"/>
      <w:bookmarkEnd w:id="255"/>
      <w:bookmarkEnd w:id="256"/>
      <w:bookmarkEnd w:id="257"/>
      <w:bookmarkEnd w:id="258"/>
      <w:bookmarkEnd w:id="259"/>
    </w:p>
    <w:p w14:paraId="536F6DD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与合同有关的一切税费，均按照中华人民共和国法律的相关规定执行。</w:t>
      </w:r>
    </w:p>
    <w:p w14:paraId="0A779565">
      <w:pPr>
        <w:spacing w:line="360" w:lineRule="auto"/>
        <w:ind w:firstLine="482" w:firstLineChars="200"/>
        <w:rPr>
          <w:rFonts w:asciiTheme="minorEastAsia" w:hAnsiTheme="minorEastAsia" w:eastAsiaTheme="minorEastAsia" w:cstheme="minorEastAsia"/>
          <w:b/>
          <w:color w:val="auto"/>
          <w:sz w:val="24"/>
          <w:highlight w:val="none"/>
        </w:rPr>
      </w:pPr>
      <w:bookmarkStart w:id="260" w:name="_Toc16959"/>
      <w:bookmarkStart w:id="261" w:name="_Toc279701258"/>
      <w:bookmarkStart w:id="262" w:name="_Toc487900368"/>
      <w:bookmarkStart w:id="263" w:name="_Toc8298"/>
      <w:bookmarkStart w:id="264" w:name="_Toc7102"/>
      <w:bookmarkStart w:id="265" w:name="_Toc259093687"/>
      <w:r>
        <w:rPr>
          <w:rFonts w:hint="eastAsia" w:asciiTheme="minorEastAsia" w:hAnsiTheme="minorEastAsia" w:eastAsiaTheme="minorEastAsia" w:cstheme="minorEastAsia"/>
          <w:b/>
          <w:color w:val="auto"/>
          <w:sz w:val="24"/>
          <w:highlight w:val="none"/>
        </w:rPr>
        <w:t>2.15 乙方破产</w:t>
      </w:r>
      <w:bookmarkEnd w:id="260"/>
      <w:bookmarkEnd w:id="261"/>
      <w:bookmarkEnd w:id="262"/>
      <w:bookmarkEnd w:id="263"/>
      <w:bookmarkEnd w:id="264"/>
      <w:bookmarkEnd w:id="265"/>
    </w:p>
    <w:p w14:paraId="692CD85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C88EF8E">
      <w:pPr>
        <w:spacing w:line="360" w:lineRule="auto"/>
        <w:ind w:firstLine="482" w:firstLineChars="200"/>
        <w:rPr>
          <w:rFonts w:asciiTheme="minorEastAsia" w:hAnsiTheme="minorEastAsia" w:eastAsiaTheme="minorEastAsia" w:cstheme="minorEastAsia"/>
          <w:b/>
          <w:color w:val="auto"/>
          <w:sz w:val="24"/>
          <w:highlight w:val="none"/>
        </w:rPr>
      </w:pPr>
      <w:bookmarkStart w:id="266" w:name="_Toc29333"/>
      <w:bookmarkStart w:id="267" w:name="_Toc6134"/>
      <w:bookmarkStart w:id="268" w:name="_Toc15387"/>
      <w:r>
        <w:rPr>
          <w:rFonts w:hint="eastAsia" w:asciiTheme="minorEastAsia" w:hAnsiTheme="minorEastAsia" w:eastAsiaTheme="minorEastAsia" w:cstheme="minorEastAsia"/>
          <w:b/>
          <w:color w:val="auto"/>
          <w:sz w:val="24"/>
          <w:highlight w:val="none"/>
        </w:rPr>
        <w:t>2.16 合同中止、终止</w:t>
      </w:r>
      <w:bookmarkEnd w:id="266"/>
      <w:bookmarkEnd w:id="267"/>
      <w:bookmarkEnd w:id="268"/>
    </w:p>
    <w:p w14:paraId="74B4755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2.16.1 双方当事人不得擅自中止或者终止合同；</w:t>
      </w:r>
    </w:p>
    <w:p w14:paraId="6CB86228">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71942D62">
      <w:pPr>
        <w:spacing w:line="360" w:lineRule="auto"/>
        <w:ind w:firstLine="482" w:firstLineChars="200"/>
        <w:rPr>
          <w:rFonts w:asciiTheme="minorEastAsia" w:hAnsiTheme="minorEastAsia" w:eastAsiaTheme="minorEastAsia" w:cstheme="minorEastAsia"/>
          <w:b/>
          <w:color w:val="auto"/>
          <w:sz w:val="24"/>
          <w:highlight w:val="none"/>
        </w:rPr>
      </w:pPr>
      <w:bookmarkStart w:id="269" w:name="_Toc6596"/>
      <w:bookmarkStart w:id="270" w:name="_Toc14563"/>
      <w:bookmarkStart w:id="271" w:name="_Toc1125"/>
      <w:r>
        <w:rPr>
          <w:rFonts w:hint="eastAsia" w:asciiTheme="minorEastAsia" w:hAnsiTheme="minorEastAsia" w:eastAsiaTheme="minorEastAsia" w:cstheme="minorEastAsia"/>
          <w:b/>
          <w:color w:val="auto"/>
          <w:sz w:val="24"/>
          <w:highlight w:val="none"/>
        </w:rPr>
        <w:t>2.17 检验和验收</w:t>
      </w:r>
      <w:bookmarkEnd w:id="269"/>
      <w:bookmarkEnd w:id="270"/>
      <w:bookmarkEnd w:id="271"/>
    </w:p>
    <w:p w14:paraId="1B372773">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2.17.1标的物交付前，乙方应对标的物的质量、数量等方面进行详细、全面的检验，并向甲方出具证明标的物符合合同约定的文件；标的物交付时，乙方在</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约定时间内组织验收，并可依法邀请相关方参加，验收应出具验收书。</w:t>
      </w:r>
    </w:p>
    <w:p w14:paraId="367477D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D186F72">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2.17.3 检验和验收标准、程序等具体内容以及前述验收书的效力详见</w:t>
      </w:r>
      <w:r>
        <w:rPr>
          <w:rFonts w:hint="eastAsia" w:asciiTheme="minorEastAsia" w:hAnsiTheme="minorEastAsia" w:eastAsiaTheme="minorEastAsia" w:cstheme="minorEastAsia"/>
          <w:b/>
          <w:i/>
          <w:color w:val="auto"/>
          <w:sz w:val="24"/>
          <w:highlight w:val="none"/>
          <w:u w:val="single"/>
        </w:rPr>
        <w:t>合同专用条款</w:t>
      </w:r>
      <w:r>
        <w:rPr>
          <w:rFonts w:hint="eastAsia" w:asciiTheme="minorEastAsia" w:hAnsiTheme="minorEastAsia" w:eastAsiaTheme="minorEastAsia" w:cstheme="minorEastAsia"/>
          <w:i/>
          <w:color w:val="auto"/>
          <w:sz w:val="24"/>
          <w:highlight w:val="none"/>
        </w:rPr>
        <w:t>。</w:t>
      </w:r>
    </w:p>
    <w:bookmarkEnd w:id="241"/>
    <w:bookmarkEnd w:id="242"/>
    <w:bookmarkEnd w:id="243"/>
    <w:bookmarkEnd w:id="244"/>
    <w:p w14:paraId="231B1BB7">
      <w:pPr>
        <w:spacing w:line="360" w:lineRule="auto"/>
        <w:ind w:firstLine="482" w:firstLineChars="200"/>
        <w:rPr>
          <w:rFonts w:asciiTheme="minorEastAsia" w:hAnsiTheme="minorEastAsia" w:eastAsiaTheme="minorEastAsia" w:cstheme="minorEastAsia"/>
          <w:b/>
          <w:color w:val="auto"/>
          <w:sz w:val="24"/>
          <w:highlight w:val="none"/>
        </w:rPr>
      </w:pPr>
      <w:bookmarkStart w:id="272" w:name="_Toc279701261"/>
      <w:bookmarkStart w:id="273" w:name="_Toc259093690"/>
      <w:bookmarkStart w:id="274" w:name="_Toc487900371"/>
      <w:bookmarkStart w:id="275" w:name="_Toc25182"/>
      <w:bookmarkStart w:id="276" w:name="_Toc19604"/>
      <w:bookmarkStart w:id="277" w:name="_Toc11284"/>
      <w:r>
        <w:rPr>
          <w:rFonts w:hint="eastAsia" w:asciiTheme="minorEastAsia" w:hAnsiTheme="minorEastAsia" w:eastAsiaTheme="minorEastAsia" w:cstheme="minorEastAsia"/>
          <w:b/>
          <w:color w:val="auto"/>
          <w:sz w:val="24"/>
          <w:highlight w:val="none"/>
        </w:rPr>
        <w:t>2.18 通知</w:t>
      </w:r>
      <w:bookmarkEnd w:id="272"/>
      <w:bookmarkEnd w:id="273"/>
      <w:bookmarkEnd w:id="274"/>
      <w:r>
        <w:rPr>
          <w:rFonts w:hint="eastAsia" w:asciiTheme="minorEastAsia" w:hAnsiTheme="minorEastAsia" w:eastAsiaTheme="minorEastAsia" w:cstheme="minorEastAsia"/>
          <w:b/>
          <w:color w:val="auto"/>
          <w:sz w:val="24"/>
          <w:highlight w:val="none"/>
        </w:rPr>
        <w:t>和送达</w:t>
      </w:r>
      <w:bookmarkEnd w:id="275"/>
      <w:bookmarkEnd w:id="276"/>
      <w:bookmarkEnd w:id="277"/>
    </w:p>
    <w:p w14:paraId="1B03843A">
      <w:pPr>
        <w:spacing w:line="360" w:lineRule="auto"/>
        <w:ind w:firstLine="480" w:firstLineChars="200"/>
        <w:rPr>
          <w:rFonts w:asciiTheme="minorEastAsia" w:hAnsiTheme="minorEastAsia" w:eastAsiaTheme="minorEastAsia" w:cstheme="minorEastAsia"/>
          <w:color w:val="auto"/>
          <w:sz w:val="24"/>
          <w:highlight w:val="none"/>
        </w:rPr>
      </w:pPr>
      <w:bookmarkStart w:id="278" w:name="_Toc6698"/>
      <w:bookmarkStart w:id="279" w:name="_Toc3135"/>
      <w:bookmarkStart w:id="280" w:name="_Toc279701262"/>
      <w:bookmarkStart w:id="281" w:name="_Toc259093691"/>
      <w:bookmarkStart w:id="282" w:name="_Toc487900372"/>
      <w:r>
        <w:rPr>
          <w:rFonts w:hint="eastAsia" w:asciiTheme="minorEastAsia" w:hAnsiTheme="minorEastAsia" w:eastAsiaTheme="minorEastAsia" w:cstheme="minorEastAsia"/>
          <w:color w:val="auto"/>
          <w:sz w:val="24"/>
          <w:highlight w:val="none"/>
        </w:rPr>
        <w:t>2.18.1 任何一方因履行合同而以合同第一部分尾部所列明的</w:t>
      </w:r>
      <w:r>
        <w:rPr>
          <w:rFonts w:hint="eastAsia" w:asciiTheme="minorEastAsia" w:hAnsiTheme="minorEastAsia" w:eastAsiaTheme="minorEastAsia" w:cstheme="minorEastAsia"/>
          <w:color w:val="auto"/>
          <w:sz w:val="24"/>
          <w:highlight w:val="none"/>
          <w:u w:val="single"/>
        </w:rPr>
        <w:t>“约定送达地址”</w:t>
      </w:r>
      <w:r>
        <w:rPr>
          <w:rFonts w:hint="eastAsia" w:asciiTheme="minorEastAsia" w:hAnsiTheme="minorEastAsia" w:eastAsiaTheme="minorEastAsia" w:cstheme="minorEastAsia"/>
          <w:color w:val="auto"/>
          <w:sz w:val="24"/>
          <w:highlight w:val="none"/>
        </w:rPr>
        <w:t>为收件地址的所有通知、文件、材料，均视为已向对方当事人送达；任何一方变更上述送达方式或者地址的，应于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 xml:space="preserve"> 2 </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bookmarkEnd w:id="278"/>
      <w:bookmarkEnd w:id="279"/>
    </w:p>
    <w:p w14:paraId="67F17DAE">
      <w:pPr>
        <w:spacing w:line="360" w:lineRule="auto"/>
        <w:ind w:firstLine="480" w:firstLineChars="200"/>
        <w:rPr>
          <w:rFonts w:asciiTheme="minorEastAsia" w:hAnsiTheme="minorEastAsia" w:eastAsiaTheme="minorEastAsia" w:cstheme="minorEastAsia"/>
          <w:color w:val="auto"/>
          <w:sz w:val="24"/>
          <w:highlight w:val="none"/>
        </w:rPr>
      </w:pPr>
      <w:bookmarkStart w:id="283" w:name="_Toc23294"/>
      <w:bookmarkStart w:id="284" w:name="_Toc23128"/>
      <w:r>
        <w:rPr>
          <w:rFonts w:hint="eastAsia" w:asciiTheme="minorEastAsia" w:hAnsiTheme="minorEastAsia" w:eastAsiaTheme="minorEastAsia" w:cstheme="minorEastAsia"/>
          <w:color w:val="auto"/>
          <w:sz w:val="24"/>
          <w:highlight w:val="none"/>
        </w:rPr>
        <w:t>2.18.2以当面服务方式送达的，交付之时视为送达；以电子邮件方式送达的，发出电子邮件之时视为送达；以传真方式送达的，发出传真之时视为送达；以邮寄方式送达的，邮件挂号寄出或者交邮之日之次日视为送达。</w:t>
      </w:r>
      <w:bookmarkEnd w:id="283"/>
      <w:bookmarkEnd w:id="284"/>
    </w:p>
    <w:p w14:paraId="20524771">
      <w:pPr>
        <w:spacing w:line="360" w:lineRule="auto"/>
        <w:ind w:firstLine="482" w:firstLineChars="200"/>
        <w:rPr>
          <w:rFonts w:asciiTheme="minorEastAsia" w:hAnsiTheme="minorEastAsia" w:eastAsiaTheme="minorEastAsia" w:cstheme="minorEastAsia"/>
          <w:b/>
          <w:color w:val="auto"/>
          <w:sz w:val="24"/>
          <w:highlight w:val="none"/>
        </w:rPr>
      </w:pPr>
      <w:bookmarkStart w:id="285" w:name="_Toc4355"/>
      <w:bookmarkStart w:id="286" w:name="_Toc18540"/>
      <w:bookmarkStart w:id="287" w:name="_Toc30599"/>
      <w:r>
        <w:rPr>
          <w:rFonts w:hint="eastAsia" w:asciiTheme="minorEastAsia" w:hAnsiTheme="minorEastAsia" w:eastAsiaTheme="minorEastAsia" w:cstheme="minorEastAsia"/>
          <w:b/>
          <w:color w:val="auto"/>
          <w:sz w:val="24"/>
          <w:highlight w:val="none"/>
        </w:rPr>
        <w:t>2.19 计量单位</w:t>
      </w:r>
      <w:bookmarkEnd w:id="280"/>
      <w:bookmarkEnd w:id="281"/>
      <w:bookmarkEnd w:id="282"/>
      <w:bookmarkEnd w:id="285"/>
      <w:bookmarkEnd w:id="286"/>
      <w:bookmarkEnd w:id="287"/>
    </w:p>
    <w:p w14:paraId="121F3FB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除技术规范中另有规定外,合同的计量单位均使用国家法定计量单位。</w:t>
      </w:r>
    </w:p>
    <w:p w14:paraId="4AC1CE79">
      <w:pPr>
        <w:spacing w:line="360" w:lineRule="auto"/>
        <w:ind w:firstLine="482" w:firstLineChars="200"/>
        <w:rPr>
          <w:rFonts w:asciiTheme="minorEastAsia" w:hAnsiTheme="minorEastAsia" w:eastAsiaTheme="minorEastAsia" w:cstheme="minorEastAsia"/>
          <w:b/>
          <w:color w:val="auto"/>
          <w:sz w:val="24"/>
          <w:highlight w:val="none"/>
        </w:rPr>
      </w:pPr>
      <w:bookmarkStart w:id="288" w:name="_Toc18567"/>
      <w:bookmarkStart w:id="289" w:name="_Toc259093692"/>
      <w:bookmarkStart w:id="290" w:name="_Toc10330"/>
      <w:bookmarkStart w:id="291" w:name="_Toc279701263"/>
      <w:bookmarkStart w:id="292" w:name="_Toc487900373"/>
      <w:bookmarkStart w:id="293" w:name="_Toc12773"/>
      <w:r>
        <w:rPr>
          <w:rFonts w:hint="eastAsia" w:asciiTheme="minorEastAsia" w:hAnsiTheme="minorEastAsia" w:eastAsiaTheme="minorEastAsia" w:cstheme="minorEastAsia"/>
          <w:b/>
          <w:color w:val="auto"/>
          <w:sz w:val="24"/>
          <w:highlight w:val="none"/>
        </w:rPr>
        <w:t>2.20 合同使用的文字和适用的法律</w:t>
      </w:r>
      <w:bookmarkEnd w:id="288"/>
      <w:bookmarkEnd w:id="289"/>
      <w:bookmarkEnd w:id="290"/>
      <w:bookmarkEnd w:id="291"/>
      <w:bookmarkEnd w:id="292"/>
      <w:bookmarkEnd w:id="293"/>
    </w:p>
    <w:p w14:paraId="5FFFF5E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2.20.1 合同使用汉语书就、变更和解释；</w:t>
      </w:r>
    </w:p>
    <w:p w14:paraId="17E6B63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2.20.2 合同适用中华人民共和国法律。</w:t>
      </w:r>
    </w:p>
    <w:p w14:paraId="38614537">
      <w:pPr>
        <w:spacing w:line="360" w:lineRule="auto"/>
        <w:ind w:firstLine="482" w:firstLineChars="200"/>
        <w:rPr>
          <w:rFonts w:asciiTheme="minorEastAsia" w:hAnsiTheme="minorEastAsia" w:eastAsiaTheme="minorEastAsia" w:cstheme="minorEastAsia"/>
          <w:b/>
          <w:color w:val="auto"/>
          <w:sz w:val="24"/>
          <w:highlight w:val="none"/>
        </w:rPr>
      </w:pPr>
      <w:bookmarkStart w:id="294" w:name="_Toc279701264"/>
      <w:bookmarkStart w:id="295" w:name="_Toc259093693"/>
      <w:bookmarkStart w:id="296" w:name="_Toc16673"/>
      <w:bookmarkStart w:id="297" w:name="_Toc12004"/>
      <w:bookmarkStart w:id="298" w:name="_Toc3148"/>
      <w:bookmarkStart w:id="299" w:name="_Toc487900374"/>
      <w:r>
        <w:rPr>
          <w:rFonts w:hint="eastAsia" w:asciiTheme="minorEastAsia" w:hAnsiTheme="minorEastAsia" w:eastAsiaTheme="minorEastAsia" w:cstheme="minorEastAsia"/>
          <w:b/>
          <w:color w:val="auto"/>
          <w:sz w:val="24"/>
          <w:highlight w:val="none"/>
        </w:rPr>
        <w:t>2.21 履约保证金</w:t>
      </w:r>
      <w:bookmarkEnd w:id="294"/>
      <w:bookmarkEnd w:id="295"/>
      <w:bookmarkEnd w:id="296"/>
      <w:bookmarkEnd w:id="297"/>
      <w:bookmarkEnd w:id="298"/>
    </w:p>
    <w:p w14:paraId="0D323642">
      <w:pPr>
        <w:spacing w:line="360" w:lineRule="auto"/>
        <w:ind w:firstLine="480" w:firstLineChars="200"/>
        <w:rPr>
          <w:rFonts w:asciiTheme="minorEastAsia" w:hAnsiTheme="minorEastAsia" w:eastAsiaTheme="minorEastAsia" w:cstheme="minorEastAsia"/>
          <w:snapToGrid w:val="0"/>
          <w:color w:val="auto"/>
          <w:kern w:val="0"/>
          <w:sz w:val="24"/>
          <w:highlight w:val="none"/>
        </w:rPr>
      </w:pPr>
      <w:r>
        <w:rPr>
          <w:rFonts w:hint="eastAsia" w:asciiTheme="minorEastAsia" w:hAnsiTheme="minorEastAsia" w:eastAsiaTheme="minorEastAsia" w:cstheme="minorEastAsia"/>
          <w:color w:val="auto"/>
          <w:sz w:val="24"/>
          <w:highlight w:val="none"/>
        </w:rPr>
        <w:t>本项目不收取履约保证金</w:t>
      </w:r>
    </w:p>
    <w:p w14:paraId="4CB36D81">
      <w:pPr>
        <w:spacing w:line="360" w:lineRule="auto"/>
        <w:ind w:firstLine="482"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sz w:val="24"/>
          <w:highlight w:val="none"/>
        </w:rPr>
        <w:t>2.22 中小企业政策</w:t>
      </w:r>
    </w:p>
    <w:p w14:paraId="64E0DCF1">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2.22.1本合同（☑是  □否）为中小企业“政采贷”可融资合同，关于中小企业信用融资事项见采购文件“投标人须知正文”。</w:t>
      </w:r>
    </w:p>
    <w:p w14:paraId="020A18E5">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2.22.2本合同（☑是  □否）为中小企业预留合同。</w:t>
      </w:r>
    </w:p>
    <w:bookmarkEnd w:id="299"/>
    <w:p w14:paraId="058BAC98">
      <w:pPr>
        <w:spacing w:line="360" w:lineRule="auto"/>
        <w:ind w:firstLine="482" w:firstLineChars="200"/>
        <w:rPr>
          <w:rFonts w:asciiTheme="minorEastAsia" w:hAnsiTheme="minorEastAsia" w:eastAsiaTheme="minorEastAsia" w:cstheme="minorEastAsia"/>
          <w:b/>
          <w:color w:val="auto"/>
          <w:sz w:val="24"/>
          <w:highlight w:val="none"/>
        </w:rPr>
      </w:pPr>
      <w:bookmarkStart w:id="300" w:name="_Toc14001"/>
      <w:bookmarkStart w:id="301" w:name="_Toc19890"/>
      <w:bookmarkStart w:id="302" w:name="_Toc6885"/>
      <w:r>
        <w:rPr>
          <w:rFonts w:hint="eastAsia" w:asciiTheme="minorEastAsia" w:hAnsiTheme="minorEastAsia" w:eastAsiaTheme="minorEastAsia" w:cstheme="minorEastAsia"/>
          <w:b/>
          <w:color w:val="auto"/>
          <w:sz w:val="24"/>
          <w:highlight w:val="none"/>
        </w:rPr>
        <w:t>2.23 合同份数</w:t>
      </w:r>
      <w:bookmarkEnd w:id="300"/>
      <w:bookmarkEnd w:id="301"/>
      <w:bookmarkEnd w:id="302"/>
    </w:p>
    <w:p w14:paraId="7CA0D8E5">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份，甲方执</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份，乙方执</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份。每份均具有同等法律效力。</w:t>
      </w:r>
    </w:p>
    <w:p w14:paraId="6E0694AD">
      <w:pPr>
        <w:spacing w:line="360" w:lineRule="auto"/>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highlight w:val="none"/>
        </w:rPr>
        <w:br w:type="page"/>
      </w:r>
      <w:bookmarkStart w:id="303" w:name="_Toc331685784"/>
      <w:r>
        <w:rPr>
          <w:rFonts w:hint="eastAsia" w:asciiTheme="minorEastAsia" w:hAnsiTheme="minorEastAsia" w:eastAsiaTheme="minorEastAsia" w:cstheme="minorEastAsia"/>
          <w:b/>
          <w:color w:val="auto"/>
          <w:sz w:val="28"/>
          <w:szCs w:val="28"/>
          <w:highlight w:val="none"/>
        </w:rPr>
        <w:t>第三部分  合同专用条款</w:t>
      </w:r>
      <w:bookmarkEnd w:id="303"/>
    </w:p>
    <w:p w14:paraId="785C8DDC">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8E8DFA1">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3.1具有知识产权的标的物知识产权归属：</w:t>
      </w:r>
    </w:p>
    <w:p w14:paraId="6DCA767E">
      <w:pPr>
        <w:spacing w:line="360" w:lineRule="auto"/>
        <w:ind w:firstLine="480" w:firstLineChars="200"/>
        <w:rPr>
          <w:rFonts w:asciiTheme="minorEastAsia" w:hAnsiTheme="minorEastAsia" w:eastAsiaTheme="minorEastAsia" w:cstheme="minorEastAsia"/>
          <w:color w:val="auto"/>
          <w:sz w:val="24"/>
          <w:highlight w:val="none"/>
        </w:rPr>
      </w:pPr>
    </w:p>
    <w:p w14:paraId="035D11B4">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3.2包装和装运专用条款（如果有）：</w:t>
      </w:r>
    </w:p>
    <w:p w14:paraId="3FBE9E0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723743CD">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3.3装运标的物的要求和通知：</w:t>
      </w:r>
    </w:p>
    <w:p w14:paraId="6AFD8C6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3ADCBA3F">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
          <w:color w:val="auto"/>
          <w:sz w:val="24"/>
          <w:highlight w:val="none"/>
        </w:rPr>
        <w:t>结算方式和付款条件</w:t>
      </w:r>
    </w:p>
    <w:p w14:paraId="7097B68A">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本次项目合同总价为大写人民币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    元）。</w:t>
      </w:r>
      <w:r>
        <w:rPr>
          <w:rFonts w:hint="eastAsia" w:asciiTheme="minorEastAsia" w:hAnsiTheme="minorEastAsia" w:eastAsiaTheme="minorEastAsia" w:cstheme="minorEastAsia"/>
          <w:color w:val="auto"/>
          <w:sz w:val="24"/>
          <w:szCs w:val="24"/>
          <w:highlight w:val="none"/>
        </w:rPr>
        <w:t>其中</w:t>
      </w:r>
      <w:r>
        <w:rPr>
          <w:rFonts w:hint="eastAsia" w:ascii="宋体" w:hAnsi="宋体" w:cs="宋体"/>
          <w:color w:val="auto"/>
          <w:sz w:val="24"/>
          <w:szCs w:val="24"/>
          <w:highlight w:val="none"/>
        </w:rPr>
        <w:t>每个评审项目单价</w:t>
      </w:r>
      <w:r>
        <w:rPr>
          <w:rFonts w:asciiTheme="minorEastAsia" w:hAnsiTheme="minorEastAsia" w:eastAsiaTheme="minorEastAsia" w:cstheme="minorEastAsia"/>
          <w:color w:val="auto"/>
          <w:sz w:val="24"/>
          <w:highlight w:val="none"/>
          <w:u w:val="single"/>
        </w:rPr>
        <w:t xml:space="preserve">        </w:t>
      </w:r>
      <w:r>
        <w:rPr>
          <w:rFonts w:hint="eastAsia" w:ascii="宋体" w:hAnsi="宋体" w:cs="宋体"/>
          <w:color w:val="auto"/>
          <w:sz w:val="24"/>
          <w:szCs w:val="24"/>
          <w:highlight w:val="none"/>
        </w:rPr>
        <w:t>元，本项目合同最终结算金额为甲方实际委托的单个评估评审项目费用之和，甲方支付服务费用金额不超过</w:t>
      </w:r>
      <w:r>
        <w:rPr>
          <w:rFonts w:asciiTheme="minorEastAsia" w:hAnsiTheme="minorEastAsia" w:eastAsiaTheme="minorEastAsia" w:cstheme="minorEastAsia"/>
          <w:color w:val="auto"/>
          <w:sz w:val="24"/>
          <w:highlight w:val="none"/>
          <w:u w:val="single"/>
        </w:rPr>
        <w:t xml:space="preserve">        </w:t>
      </w:r>
      <w:r>
        <w:rPr>
          <w:rFonts w:hint="eastAsia" w:ascii="宋体" w:hAnsi="宋体" w:cs="宋体"/>
          <w:color w:val="auto"/>
          <w:sz w:val="24"/>
          <w:szCs w:val="24"/>
          <w:highlight w:val="none"/>
        </w:rPr>
        <w:t>元，单个项目评估评审费用不超过</w:t>
      </w:r>
      <w:r>
        <w:rPr>
          <w:rFonts w:asciiTheme="minorEastAsia" w:hAnsiTheme="minorEastAsia" w:eastAsiaTheme="minorEastAsia" w:cstheme="minorEastAsia"/>
          <w:color w:val="auto"/>
          <w:sz w:val="24"/>
          <w:highlight w:val="none"/>
          <w:u w:val="single"/>
        </w:rPr>
        <w:t xml:space="preserve">        </w:t>
      </w:r>
      <w:r>
        <w:rPr>
          <w:rFonts w:hint="eastAsia" w:ascii="宋体" w:hAnsi="宋体" w:cs="宋体"/>
          <w:color w:val="auto"/>
          <w:sz w:val="24"/>
          <w:szCs w:val="24"/>
          <w:highlight w:val="none"/>
        </w:rPr>
        <w:t>元。</w:t>
      </w:r>
    </w:p>
    <w:p w14:paraId="0691ED6F">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color w:val="auto"/>
          <w:sz w:val="24"/>
          <w:highlight w:val="none"/>
        </w:rPr>
        <w:t>本项目按进度付款，每个项目特许经营方案及协议的评审服务工作完成，出具评审会议纪要及评审报告并通过甲方确认后，乙方可提出申请支付单个项目的成交金额（单价）的</w:t>
      </w:r>
      <w:r>
        <w:rPr>
          <w:color w:val="auto"/>
          <w:sz w:val="24"/>
          <w:highlight w:val="none"/>
        </w:rPr>
        <w:t>100%</w:t>
      </w:r>
      <w:r>
        <w:rPr>
          <w:rFonts w:hint="eastAsia"/>
          <w:color w:val="auto"/>
          <w:sz w:val="24"/>
          <w:highlight w:val="none"/>
        </w:rPr>
        <w:t>，甲方在接到申请后，</w:t>
      </w:r>
      <w:r>
        <w:rPr>
          <w:color w:val="auto"/>
          <w:sz w:val="24"/>
          <w:highlight w:val="none"/>
        </w:rPr>
        <w:t>10</w:t>
      </w:r>
      <w:r>
        <w:rPr>
          <w:rFonts w:hint="eastAsia"/>
          <w:color w:val="auto"/>
          <w:sz w:val="24"/>
          <w:highlight w:val="none"/>
        </w:rPr>
        <w:t>个工作日内向财政局提交付款材料，在国库审核通过后</w:t>
      </w:r>
      <w:r>
        <w:rPr>
          <w:color w:val="auto"/>
          <w:sz w:val="24"/>
          <w:highlight w:val="none"/>
        </w:rPr>
        <w:t>10</w:t>
      </w:r>
      <w:r>
        <w:rPr>
          <w:rFonts w:hint="eastAsia"/>
          <w:color w:val="auto"/>
          <w:sz w:val="24"/>
          <w:highlight w:val="none"/>
        </w:rPr>
        <w:t>个工作日内支付给乙方。</w:t>
      </w:r>
    </w:p>
    <w:p w14:paraId="48B8F929">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甲方无故逾期支付服务费用的，按照每逾期一日支付欠付服务费额度的</w:t>
      </w:r>
      <w:r>
        <w:rPr>
          <w:rFonts w:hint="eastAsia" w:asciiTheme="minorEastAsia" w:hAnsiTheme="minorEastAsia" w:eastAsiaTheme="minorEastAsia" w:cstheme="minorEastAsia"/>
          <w:color w:val="auto"/>
          <w:sz w:val="24"/>
          <w:highlight w:val="none"/>
          <w:u w:val="single"/>
        </w:rPr>
        <w:t xml:space="preserve"> 万分之五</w:t>
      </w:r>
      <w:r>
        <w:rPr>
          <w:rFonts w:hint="eastAsia" w:asciiTheme="minorEastAsia" w:hAnsiTheme="minorEastAsia" w:eastAsiaTheme="minorEastAsia" w:cstheme="minorEastAsia"/>
          <w:color w:val="auto"/>
          <w:sz w:val="24"/>
          <w:highlight w:val="none"/>
        </w:rPr>
        <w:t>承担违约责任，违约金上限按照《合同书》约定执行。</w:t>
      </w:r>
    </w:p>
    <w:p w14:paraId="024DD3AA">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3.5</w:t>
      </w:r>
      <w:r>
        <w:rPr>
          <w:rFonts w:hint="eastAsia" w:asciiTheme="minorEastAsia" w:hAnsiTheme="minorEastAsia" w:eastAsiaTheme="minorEastAsia" w:cstheme="minorEastAsia"/>
          <w:b/>
          <w:color w:val="auto"/>
          <w:sz w:val="24"/>
          <w:highlight w:val="none"/>
        </w:rPr>
        <w:t>标的物的风险负担</w:t>
      </w:r>
    </w:p>
    <w:p w14:paraId="69128197">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标的物或者在途标的物或者交付给第一承运人后的标的物毁损、灭失的风险负担：</w:t>
      </w:r>
    </w:p>
    <w:p w14:paraId="7CE4E1B9">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乙方                                                                       </w:t>
      </w:r>
    </w:p>
    <w:p w14:paraId="15E001AE">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3.5.1受不可抗力影响的一方在不可抗力发生后，应在日内（根据项目实际填写）以书面形式通知对方当事人，并在日内，将有关部门出具的证明文件送达对方当事人。</w:t>
      </w:r>
    </w:p>
    <w:p w14:paraId="5204EB3B">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3.5.2因不可抗力致使合同有变更必要的，双方当事人应在日内（根据项目实际填写）以书面形式变更合同</w:t>
      </w:r>
      <w:r>
        <w:rPr>
          <w:rFonts w:hint="eastAsia" w:asciiTheme="minorEastAsia" w:hAnsiTheme="minorEastAsia" w:eastAsiaTheme="minorEastAsia" w:cstheme="minorEastAsia"/>
          <w:color w:val="auto"/>
          <w:sz w:val="24"/>
          <w:highlight w:val="none"/>
          <w:lang w:eastAsia="zh-CN"/>
        </w:rPr>
        <w:t>。</w:t>
      </w:r>
    </w:p>
    <w:p w14:paraId="26252386">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14:paraId="354480F8">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3.5.4 检验和验收标准、程序等具体内容以及前述验收书的效力：</w:t>
      </w:r>
    </w:p>
    <w:p w14:paraId="567F76BB">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 xml:space="preserve">                                                                       </w:t>
      </w:r>
    </w:p>
    <w:p w14:paraId="6611B97A">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3.5.5 其他：</w:t>
      </w:r>
      <w:r>
        <w:rPr>
          <w:rFonts w:hint="eastAsia" w:asciiTheme="minorEastAsia" w:hAnsiTheme="minorEastAsia" w:eastAsiaTheme="minorEastAsia" w:cstheme="minorEastAsia"/>
          <w:color w:val="auto"/>
          <w:sz w:val="24"/>
          <w:highlight w:val="none"/>
          <w:lang w:val="en-US" w:eastAsia="zh-CN"/>
        </w:rPr>
        <w:t>无。</w:t>
      </w:r>
    </w:p>
    <w:p w14:paraId="18B50DF7">
      <w:pPr>
        <w:spacing w:line="360" w:lineRule="auto"/>
        <w:ind w:firstLine="480"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3.6</w:t>
      </w:r>
      <w:r>
        <w:rPr>
          <w:rFonts w:hint="eastAsia" w:asciiTheme="minorEastAsia" w:hAnsiTheme="minorEastAsia" w:eastAsiaTheme="minorEastAsia" w:cstheme="minorEastAsia"/>
          <w:b/>
          <w:color w:val="auto"/>
          <w:sz w:val="24"/>
          <w:highlight w:val="none"/>
        </w:rPr>
        <w:t>项目验收：</w:t>
      </w:r>
    </w:p>
    <w:p w14:paraId="309377B8">
      <w:pPr>
        <w:tabs>
          <w:tab w:val="left" w:pos="904"/>
        </w:tabs>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00EDCDFF">
      <w:pPr>
        <w:tabs>
          <w:tab w:val="left" w:pos="904"/>
        </w:tabs>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08C49DAD">
      <w:pPr>
        <w:tabs>
          <w:tab w:val="left" w:pos="904"/>
        </w:tabs>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4FBF3937">
      <w:pPr>
        <w:tabs>
          <w:tab w:val="left" w:pos="904"/>
        </w:tabs>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3.6.4验收产生的费用：</w:t>
      </w:r>
    </w:p>
    <w:p w14:paraId="6D37F9BA">
      <w:pPr>
        <w:tabs>
          <w:tab w:val="left" w:pos="904"/>
        </w:tabs>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首次验收费用由</w:t>
      </w:r>
      <w:r>
        <w:rPr>
          <w:rFonts w:hint="eastAsia" w:asciiTheme="minorEastAsia" w:hAnsiTheme="minorEastAsia" w:eastAsiaTheme="minorEastAsia" w:cstheme="minorEastAsia"/>
          <w:color w:val="auto"/>
          <w:sz w:val="24"/>
          <w:highlight w:val="none"/>
          <w:u w:val="single"/>
        </w:rPr>
        <w:t xml:space="preserve">  甲方 </w:t>
      </w:r>
      <w:r>
        <w:rPr>
          <w:rFonts w:hint="eastAsia" w:asciiTheme="minorEastAsia" w:hAnsiTheme="minorEastAsia" w:eastAsiaTheme="minorEastAsia" w:cstheme="minorEastAsia"/>
          <w:color w:val="auto"/>
          <w:sz w:val="24"/>
          <w:highlight w:val="none"/>
        </w:rPr>
        <w:t>承担，如首次验收不合格，后续验收费用由</w:t>
      </w:r>
      <w:r>
        <w:rPr>
          <w:rFonts w:hint="eastAsia" w:asciiTheme="minorEastAsia" w:hAnsiTheme="minorEastAsia" w:eastAsiaTheme="minorEastAsia" w:cstheme="minorEastAsia"/>
          <w:color w:val="auto"/>
          <w:sz w:val="24"/>
          <w:highlight w:val="none"/>
          <w:u w:val="single"/>
        </w:rPr>
        <w:t xml:space="preserve"> 乙方 </w:t>
      </w:r>
      <w:r>
        <w:rPr>
          <w:rFonts w:hint="eastAsia" w:asciiTheme="minorEastAsia" w:hAnsiTheme="minorEastAsia" w:eastAsiaTheme="minorEastAsia" w:cstheme="minorEastAsia"/>
          <w:color w:val="auto"/>
          <w:sz w:val="24"/>
          <w:highlight w:val="none"/>
        </w:rPr>
        <w:t>支付。</w:t>
      </w:r>
    </w:p>
    <w:p w14:paraId="4F7480D2">
      <w:pPr>
        <w:tabs>
          <w:tab w:val="left" w:pos="904"/>
        </w:tabs>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3.6.5验收内容及资料要求：</w:t>
      </w:r>
    </w:p>
    <w:p w14:paraId="228CB0BF">
      <w:pPr>
        <w:tabs>
          <w:tab w:val="left" w:pos="904"/>
        </w:tabs>
        <w:snapToGrid w:val="0"/>
        <w:spacing w:line="360" w:lineRule="auto"/>
        <w:ind w:firstLine="480" w:firstLineChars="20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根据采购文件确定的技术指标或者服务要求确定验收指标和标准。未进行相应约定的，应当符合国家强制性规定、政策要求、安全标准、行业或企业有关标准等。</w:t>
      </w:r>
    </w:p>
    <w:p w14:paraId="0464C55C">
      <w:pPr>
        <w:tabs>
          <w:tab w:val="left" w:pos="904"/>
        </w:tabs>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3.6.6</w:t>
      </w:r>
      <w:r>
        <w:rPr>
          <w:rFonts w:hint="eastAsia" w:asciiTheme="minorEastAsia" w:hAnsiTheme="minorEastAsia" w:eastAsiaTheme="minorEastAsia" w:cstheme="minorEastAsia"/>
          <w:color w:val="auto"/>
          <w:sz w:val="24"/>
          <w:highlight w:val="none"/>
        </w:rPr>
        <w:t>验收内容</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76F9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026D6AA4">
            <w:pPr>
              <w:widowControl/>
              <w:spacing w:line="360" w:lineRule="auto"/>
              <w:ind w:firstLine="200"/>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noWrap/>
            <w:vAlign w:val="center"/>
          </w:tcPr>
          <w:p w14:paraId="6E0557A2">
            <w:pPr>
              <w:widowControl/>
              <w:spacing w:line="360" w:lineRule="auto"/>
              <w:ind w:firstLine="200"/>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noWrap/>
            <w:vAlign w:val="center"/>
          </w:tcPr>
          <w:p w14:paraId="37D66A07">
            <w:pPr>
              <w:widowControl/>
              <w:spacing w:line="360" w:lineRule="auto"/>
              <w:ind w:firstLine="200"/>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 xml:space="preserve"> 验收标准</w:t>
            </w:r>
          </w:p>
        </w:tc>
      </w:tr>
      <w:tr w14:paraId="2376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3F5D13D3">
            <w:pPr>
              <w:widowControl/>
              <w:spacing w:line="360" w:lineRule="auto"/>
              <w:ind w:firstLine="200"/>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noWrap/>
            <w:vAlign w:val="center"/>
          </w:tcPr>
          <w:p w14:paraId="10EE00AB">
            <w:pPr>
              <w:widowControl/>
              <w:spacing w:line="360" w:lineRule="auto"/>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交付标的物数量</w:t>
            </w:r>
          </w:p>
        </w:tc>
        <w:tc>
          <w:tcPr>
            <w:tcW w:w="5930" w:type="dxa"/>
            <w:tcBorders>
              <w:top w:val="single" w:color="auto" w:sz="4" w:space="0"/>
              <w:left w:val="single" w:color="auto" w:sz="4" w:space="0"/>
              <w:bottom w:val="single" w:color="auto" w:sz="4" w:space="0"/>
              <w:right w:val="single" w:color="auto" w:sz="4" w:space="0"/>
            </w:tcBorders>
            <w:noWrap/>
            <w:vAlign w:val="center"/>
          </w:tcPr>
          <w:p w14:paraId="15E5A1DE">
            <w:pPr>
              <w:widowControl/>
              <w:spacing w:line="360" w:lineRule="auto"/>
              <w:ind w:firstLine="200"/>
              <w:jc w:val="center"/>
              <w:rPr>
                <w:rFonts w:asciiTheme="minorEastAsia" w:hAnsiTheme="minorEastAsia" w:eastAsiaTheme="minorEastAsia" w:cstheme="minorEastAsia"/>
                <w:color w:val="auto"/>
                <w:kern w:val="0"/>
                <w:sz w:val="24"/>
                <w:highlight w:val="none"/>
              </w:rPr>
            </w:pPr>
          </w:p>
        </w:tc>
      </w:tr>
      <w:tr w14:paraId="206D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699B7044">
            <w:pPr>
              <w:widowControl/>
              <w:spacing w:line="360" w:lineRule="auto"/>
              <w:ind w:firstLine="200"/>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noWrap/>
            <w:vAlign w:val="center"/>
          </w:tcPr>
          <w:p w14:paraId="78DD2449">
            <w:pPr>
              <w:widowControl/>
              <w:spacing w:line="360" w:lineRule="auto"/>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交付标的物质量文件</w:t>
            </w:r>
          </w:p>
        </w:tc>
        <w:tc>
          <w:tcPr>
            <w:tcW w:w="5930" w:type="dxa"/>
            <w:tcBorders>
              <w:top w:val="single" w:color="auto" w:sz="4" w:space="0"/>
              <w:left w:val="single" w:color="auto" w:sz="4" w:space="0"/>
              <w:bottom w:val="single" w:color="auto" w:sz="4" w:space="0"/>
              <w:right w:val="single" w:color="auto" w:sz="4" w:space="0"/>
            </w:tcBorders>
            <w:noWrap/>
            <w:vAlign w:val="center"/>
          </w:tcPr>
          <w:p w14:paraId="4828CEF6">
            <w:pPr>
              <w:widowControl/>
              <w:spacing w:line="360" w:lineRule="auto"/>
              <w:ind w:firstLine="200"/>
              <w:jc w:val="center"/>
              <w:rPr>
                <w:rFonts w:asciiTheme="minorEastAsia" w:hAnsiTheme="minorEastAsia" w:eastAsiaTheme="minorEastAsia" w:cstheme="minorEastAsia"/>
                <w:color w:val="auto"/>
                <w:kern w:val="0"/>
                <w:sz w:val="24"/>
                <w:highlight w:val="none"/>
              </w:rPr>
            </w:pPr>
          </w:p>
        </w:tc>
      </w:tr>
      <w:tr w14:paraId="6624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5974BC58">
            <w:pPr>
              <w:widowControl/>
              <w:spacing w:line="360" w:lineRule="auto"/>
              <w:ind w:firstLine="200"/>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noWrap/>
            <w:vAlign w:val="center"/>
          </w:tcPr>
          <w:p w14:paraId="74F0DBE7">
            <w:pPr>
              <w:spacing w:line="360" w:lineRule="auto"/>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noWrap/>
            <w:vAlign w:val="center"/>
          </w:tcPr>
          <w:p w14:paraId="3A7C39C2">
            <w:pPr>
              <w:pStyle w:val="9"/>
              <w:spacing w:after="0" w:line="360" w:lineRule="auto"/>
              <w:ind w:firstLine="200"/>
              <w:jc w:val="left"/>
              <w:rPr>
                <w:rFonts w:asciiTheme="minorEastAsia" w:hAnsiTheme="minorEastAsia" w:eastAsiaTheme="minorEastAsia" w:cstheme="minorEastAsia"/>
                <w:color w:val="auto"/>
                <w:highlight w:val="none"/>
              </w:rPr>
            </w:pPr>
          </w:p>
        </w:tc>
      </w:tr>
      <w:tr w14:paraId="184A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17644544">
            <w:pPr>
              <w:widowControl/>
              <w:spacing w:line="360" w:lineRule="auto"/>
              <w:ind w:firstLine="200"/>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noWrap/>
            <w:vAlign w:val="center"/>
          </w:tcPr>
          <w:p w14:paraId="701174C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售后服务承诺</w:t>
            </w:r>
          </w:p>
        </w:tc>
        <w:tc>
          <w:tcPr>
            <w:tcW w:w="5930" w:type="dxa"/>
            <w:tcBorders>
              <w:top w:val="single" w:color="auto" w:sz="4" w:space="0"/>
              <w:left w:val="single" w:color="auto" w:sz="4" w:space="0"/>
              <w:bottom w:val="single" w:color="auto" w:sz="4" w:space="0"/>
              <w:right w:val="single" w:color="auto" w:sz="4" w:space="0"/>
            </w:tcBorders>
            <w:noWrap/>
            <w:vAlign w:val="center"/>
          </w:tcPr>
          <w:p w14:paraId="47C5BB1A">
            <w:pPr>
              <w:widowControl/>
              <w:spacing w:line="360" w:lineRule="auto"/>
              <w:ind w:firstLine="200"/>
              <w:jc w:val="center"/>
              <w:rPr>
                <w:rFonts w:asciiTheme="minorEastAsia" w:hAnsiTheme="minorEastAsia" w:eastAsiaTheme="minorEastAsia" w:cstheme="minorEastAsia"/>
                <w:color w:val="auto"/>
                <w:kern w:val="0"/>
                <w:sz w:val="24"/>
                <w:highlight w:val="none"/>
              </w:rPr>
            </w:pPr>
          </w:p>
        </w:tc>
      </w:tr>
      <w:tr w14:paraId="6080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ign w:val="center"/>
          </w:tcPr>
          <w:p w14:paraId="21A5DC84">
            <w:pPr>
              <w:widowControl/>
              <w:spacing w:line="360" w:lineRule="auto"/>
              <w:ind w:firstLine="200"/>
              <w:jc w:val="center"/>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6</w:t>
            </w:r>
          </w:p>
        </w:tc>
        <w:tc>
          <w:tcPr>
            <w:tcW w:w="1914" w:type="dxa"/>
            <w:tcBorders>
              <w:top w:val="single" w:color="auto" w:sz="4" w:space="0"/>
              <w:left w:val="single" w:color="auto" w:sz="4" w:space="0"/>
              <w:bottom w:val="single" w:color="auto" w:sz="4" w:space="0"/>
              <w:right w:val="single" w:color="auto" w:sz="4" w:space="0"/>
            </w:tcBorders>
            <w:noWrap/>
            <w:vAlign w:val="center"/>
          </w:tcPr>
          <w:p w14:paraId="73EAA02B">
            <w:pPr>
              <w:widowControl/>
              <w:spacing w:line="360" w:lineRule="auto"/>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noWrap/>
            <w:vAlign w:val="center"/>
          </w:tcPr>
          <w:p w14:paraId="4B5E97BA">
            <w:pPr>
              <w:widowControl/>
              <w:spacing w:line="360" w:lineRule="auto"/>
              <w:ind w:firstLine="200"/>
              <w:jc w:val="left"/>
              <w:rPr>
                <w:rFonts w:asciiTheme="minorEastAsia" w:hAnsiTheme="minorEastAsia" w:eastAsiaTheme="minorEastAsia" w:cstheme="minorEastAsia"/>
                <w:color w:val="auto"/>
                <w:kern w:val="0"/>
                <w:sz w:val="24"/>
                <w:highlight w:val="none"/>
              </w:rPr>
            </w:pPr>
          </w:p>
        </w:tc>
      </w:tr>
    </w:tbl>
    <w:p w14:paraId="24E0AE38">
      <w:pPr>
        <w:tabs>
          <w:tab w:val="left" w:pos="904"/>
        </w:tabs>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1B4176C0">
      <w:pPr>
        <w:tabs>
          <w:tab w:val="left" w:pos="904"/>
        </w:tabs>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3.6.7验收资料要求</w:t>
      </w:r>
    </w:p>
    <w:p w14:paraId="2BE6B20B">
      <w:pPr>
        <w:tabs>
          <w:tab w:val="left" w:pos="904"/>
        </w:tabs>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验收资料要求包括（不限于）以下内容：</w:t>
      </w:r>
    </w:p>
    <w:p w14:paraId="256FEDEB">
      <w:pPr>
        <w:tabs>
          <w:tab w:val="left" w:pos="904"/>
        </w:tabs>
        <w:adjustRightInd w:val="0"/>
        <w:snapToGrid w:val="0"/>
        <w:spacing w:line="360" w:lineRule="auto"/>
        <w:ind w:firstLine="240" w:firstLineChars="1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（1）采购文件；</w:t>
      </w:r>
    </w:p>
    <w:p w14:paraId="0D4E73EA">
      <w:pPr>
        <w:tabs>
          <w:tab w:val="left" w:pos="904"/>
        </w:tabs>
        <w:adjustRightInd w:val="0"/>
        <w:snapToGrid w:val="0"/>
        <w:spacing w:line="360" w:lineRule="auto"/>
        <w:ind w:firstLine="240" w:firstLineChars="1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（2）投标文件；</w:t>
      </w:r>
    </w:p>
    <w:p w14:paraId="0F896E52">
      <w:pPr>
        <w:tabs>
          <w:tab w:val="left" w:pos="904"/>
        </w:tabs>
        <w:adjustRightInd w:val="0"/>
        <w:snapToGrid w:val="0"/>
        <w:spacing w:line="360" w:lineRule="auto"/>
        <w:ind w:firstLine="240" w:firstLineChars="1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（3）采购合同；</w:t>
      </w:r>
    </w:p>
    <w:p w14:paraId="07A66192">
      <w:pPr>
        <w:tabs>
          <w:tab w:val="left" w:pos="904"/>
        </w:tabs>
        <w:adjustRightInd w:val="0"/>
        <w:snapToGrid w:val="0"/>
        <w:spacing w:line="360" w:lineRule="auto"/>
        <w:ind w:firstLine="240" w:firstLineChars="100"/>
        <w:jc w:val="left"/>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color w:val="auto"/>
          <w:sz w:val="24"/>
          <w:highlight w:val="none"/>
        </w:rPr>
        <w:t>（4）其他需提供的相关材料：（业主根据项目实际增减第（4）点验收资料内容）。</w:t>
      </w:r>
    </w:p>
    <w:p w14:paraId="3C3FE517">
      <w:pPr>
        <w:rPr>
          <w:rFonts w:asciiTheme="minorEastAsia" w:hAnsiTheme="minorEastAsia" w:eastAsiaTheme="minorEastAsia" w:cstheme="minorEastAsia"/>
          <w:color w:val="auto"/>
          <w:highlight w:val="none"/>
        </w:rPr>
      </w:pPr>
    </w:p>
    <w:p w14:paraId="0CF9A950">
      <w:pPr>
        <w:spacing w:line="360" w:lineRule="auto"/>
        <w:ind w:left="720" w:firstLine="723" w:firstLineChars="200"/>
        <w:rPr>
          <w:rFonts w:asciiTheme="minorEastAsia" w:hAnsiTheme="minorEastAsia" w:eastAsiaTheme="minorEastAsia" w:cstheme="minorEastAsia"/>
          <w:b/>
          <w:color w:val="auto"/>
          <w:sz w:val="36"/>
          <w:szCs w:val="20"/>
          <w:highlight w:val="none"/>
        </w:rPr>
      </w:pPr>
    </w:p>
    <w:p w14:paraId="442D1CE9">
      <w:pPr>
        <w:spacing w:line="360" w:lineRule="auto"/>
        <w:ind w:left="720" w:firstLine="723" w:firstLineChars="200"/>
        <w:rPr>
          <w:rFonts w:asciiTheme="minorEastAsia" w:hAnsiTheme="minorEastAsia" w:eastAsiaTheme="minorEastAsia" w:cstheme="minorEastAsia"/>
          <w:b/>
          <w:color w:val="auto"/>
          <w:sz w:val="36"/>
          <w:szCs w:val="20"/>
          <w:highlight w:val="none"/>
        </w:rPr>
      </w:pPr>
    </w:p>
    <w:p w14:paraId="366C4D2D">
      <w:pPr>
        <w:widowControl/>
        <w:spacing w:beforeAutospacing="1" w:line="360" w:lineRule="auto"/>
        <w:jc w:val="left"/>
        <w:rPr>
          <w:rFonts w:asciiTheme="minorEastAsia" w:hAnsiTheme="minorEastAsia" w:eastAsiaTheme="minorEastAsia" w:cstheme="minorEastAsia"/>
          <w:color w:val="auto"/>
          <w:highlight w:val="none"/>
        </w:rPr>
        <w:sectPr>
          <w:pgSz w:w="11906" w:h="16838"/>
          <w:pgMar w:top="1134" w:right="1134" w:bottom="1134" w:left="1134" w:header="720" w:footer="720" w:gutter="0"/>
          <w:cols w:space="720" w:num="1"/>
          <w:docGrid w:type="lines" w:linePitch="331" w:charSpace="0"/>
        </w:sectPr>
      </w:pPr>
    </w:p>
    <w:p w14:paraId="00EC7498">
      <w:pPr>
        <w:pStyle w:val="12"/>
        <w:spacing w:line="360" w:lineRule="auto"/>
        <w:ind w:left="178" w:leftChars="85"/>
        <w:rPr>
          <w:rFonts w:asciiTheme="minorEastAsia" w:hAnsiTheme="minorEastAsia" w:eastAsiaTheme="minorEastAsia" w:cstheme="minorEastAsia"/>
          <w:color w:val="auto"/>
          <w:highlight w:val="none"/>
        </w:rPr>
      </w:pPr>
    </w:p>
    <w:p w14:paraId="3094BA2D">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101BBEBA">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76C9460D">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43AD4963">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26B741DB">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2E816B38">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4FFC9D75">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70724EA1">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7BCBE6E7">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635D7935">
      <w:pPr>
        <w:pStyle w:val="12"/>
        <w:tabs>
          <w:tab w:val="left" w:pos="2472"/>
        </w:tabs>
        <w:spacing w:line="460" w:lineRule="exact"/>
        <w:jc w:val="center"/>
        <w:outlineLvl w:val="0"/>
        <w:rPr>
          <w:rFonts w:asciiTheme="minorEastAsia" w:hAnsiTheme="minorEastAsia" w:eastAsiaTheme="minorEastAsia" w:cstheme="minorEastAsia"/>
          <w:b/>
          <w:color w:val="auto"/>
          <w:sz w:val="36"/>
          <w:highlight w:val="none"/>
        </w:rPr>
      </w:pPr>
      <w:bookmarkStart w:id="304" w:name="_Toc298"/>
      <w:r>
        <w:rPr>
          <w:rFonts w:hint="eastAsia" w:asciiTheme="minorEastAsia" w:hAnsiTheme="minorEastAsia" w:eastAsiaTheme="minorEastAsia" w:cstheme="minorEastAsia"/>
          <w:b/>
          <w:color w:val="auto"/>
          <w:sz w:val="36"/>
          <w:highlight w:val="none"/>
        </w:rPr>
        <w:t>第六章 投标文件格式</w:t>
      </w:r>
      <w:bookmarkEnd w:id="304"/>
    </w:p>
    <w:p w14:paraId="41960794">
      <w:pPr>
        <w:widowControl/>
        <w:spacing w:beforeAutospacing="1" w:line="360" w:lineRule="auto"/>
        <w:jc w:val="left"/>
        <w:rPr>
          <w:rFonts w:asciiTheme="minorEastAsia" w:hAnsiTheme="minorEastAsia" w:eastAsiaTheme="minorEastAsia" w:cstheme="minorEastAsia"/>
          <w:color w:val="auto"/>
          <w:szCs w:val="20"/>
          <w:highlight w:val="none"/>
        </w:rPr>
        <w:sectPr>
          <w:pgSz w:w="11906" w:h="16838"/>
          <w:pgMar w:top="1134" w:right="1134" w:bottom="1134" w:left="1134" w:header="720" w:footer="720" w:gutter="0"/>
          <w:cols w:space="720" w:num="1"/>
          <w:docGrid w:type="lines" w:linePitch="331" w:charSpace="0"/>
        </w:sectPr>
      </w:pPr>
    </w:p>
    <w:p w14:paraId="04130643">
      <w:pPr>
        <w:pStyle w:val="12"/>
        <w:ind w:firstLine="551" w:firstLineChars="196"/>
        <w:jc w:val="center"/>
        <w:outlineLvl w:val="1"/>
        <w:rPr>
          <w:rFonts w:asciiTheme="minorEastAsia" w:hAnsiTheme="minorEastAsia" w:eastAsiaTheme="minorEastAsia" w:cstheme="minorEastAsia"/>
          <w:b/>
          <w:bCs/>
          <w:color w:val="auto"/>
          <w:sz w:val="28"/>
          <w:szCs w:val="28"/>
          <w:highlight w:val="none"/>
        </w:rPr>
      </w:pPr>
      <w:bookmarkStart w:id="305" w:name="_Toc29354"/>
      <w:r>
        <w:rPr>
          <w:rFonts w:hint="eastAsia" w:asciiTheme="minorEastAsia" w:hAnsiTheme="minorEastAsia" w:eastAsiaTheme="minorEastAsia" w:cstheme="minorEastAsia"/>
          <w:b/>
          <w:bCs/>
          <w:color w:val="auto"/>
          <w:sz w:val="28"/>
          <w:szCs w:val="28"/>
          <w:highlight w:val="none"/>
        </w:rPr>
        <w:t>第一节 投标文件外层包装封面</w:t>
      </w:r>
      <w:bookmarkEnd w:id="305"/>
    </w:p>
    <w:p w14:paraId="7226E927">
      <w:pPr>
        <w:spacing w:beforeLines="50" w:afterLines="50"/>
        <w:jc w:val="center"/>
        <w:rPr>
          <w:rFonts w:asciiTheme="minorEastAsia" w:hAnsiTheme="minorEastAsia" w:eastAsiaTheme="minorEastAsia" w:cstheme="minorEastAsia"/>
          <w:color w:val="auto"/>
          <w:spacing w:val="20"/>
          <w:sz w:val="44"/>
          <w:szCs w:val="44"/>
          <w:highlight w:val="none"/>
        </w:rPr>
      </w:pPr>
    </w:p>
    <w:p w14:paraId="40451B8F">
      <w:pPr>
        <w:spacing w:beforeLines="50" w:afterLines="50"/>
        <w:jc w:val="center"/>
        <w:rPr>
          <w:rFonts w:asciiTheme="minorEastAsia" w:hAnsiTheme="minorEastAsia" w:eastAsiaTheme="minorEastAsia" w:cstheme="minorEastAsia"/>
          <w:color w:val="auto"/>
          <w:spacing w:val="20"/>
          <w:sz w:val="44"/>
          <w:szCs w:val="44"/>
          <w:highlight w:val="none"/>
        </w:rPr>
      </w:pPr>
    </w:p>
    <w:p w14:paraId="57A7EE52">
      <w:pPr>
        <w:spacing w:beforeLines="50" w:afterLines="50"/>
        <w:jc w:val="center"/>
        <w:rPr>
          <w:rFonts w:asciiTheme="minorEastAsia" w:hAnsiTheme="minorEastAsia" w:eastAsiaTheme="minorEastAsia" w:cstheme="minorEastAsia"/>
          <w:color w:val="auto"/>
          <w:spacing w:val="20"/>
          <w:sz w:val="44"/>
          <w:szCs w:val="44"/>
          <w:highlight w:val="none"/>
        </w:rPr>
      </w:pPr>
    </w:p>
    <w:p w14:paraId="52BED956">
      <w:pPr>
        <w:spacing w:beforeLines="50" w:afterLines="50"/>
        <w:jc w:val="center"/>
        <w:rPr>
          <w:rFonts w:asciiTheme="minorEastAsia" w:hAnsiTheme="minorEastAsia" w:eastAsiaTheme="minorEastAsia" w:cstheme="minorEastAsia"/>
          <w:color w:val="auto"/>
          <w:spacing w:val="20"/>
          <w:sz w:val="44"/>
          <w:szCs w:val="44"/>
          <w:highlight w:val="none"/>
        </w:rPr>
      </w:pPr>
    </w:p>
    <w:p w14:paraId="516B0A34">
      <w:pPr>
        <w:spacing w:beforeLines="50" w:afterLines="50"/>
        <w:jc w:val="center"/>
        <w:rPr>
          <w:rFonts w:asciiTheme="minorEastAsia" w:hAnsiTheme="minorEastAsia" w:eastAsiaTheme="minorEastAsia" w:cstheme="minorEastAsia"/>
          <w:color w:val="auto"/>
          <w:spacing w:val="20"/>
          <w:sz w:val="44"/>
          <w:szCs w:val="44"/>
          <w:highlight w:val="none"/>
        </w:rPr>
      </w:pPr>
      <w:r>
        <w:rPr>
          <w:rFonts w:hint="eastAsia" w:asciiTheme="minorEastAsia" w:hAnsiTheme="minorEastAsia" w:eastAsiaTheme="minorEastAsia" w:cstheme="minorEastAsia"/>
          <w:color w:val="auto"/>
          <w:spacing w:val="20"/>
          <w:sz w:val="44"/>
          <w:szCs w:val="44"/>
          <w:highlight w:val="none"/>
        </w:rPr>
        <w:t>南宁市2025年政府和社会资本合作新机制项目实施方案评审服务</w:t>
      </w:r>
    </w:p>
    <w:p w14:paraId="0602F1D3">
      <w:pPr>
        <w:spacing w:beforeLines="50" w:afterLines="50"/>
        <w:jc w:val="center"/>
        <w:rPr>
          <w:rFonts w:asciiTheme="minorEastAsia" w:hAnsiTheme="minorEastAsia" w:eastAsiaTheme="minorEastAsia" w:cstheme="minorEastAsia"/>
          <w:color w:val="auto"/>
          <w:spacing w:val="40"/>
          <w:w w:val="110"/>
          <w:sz w:val="44"/>
          <w:szCs w:val="44"/>
          <w:highlight w:val="none"/>
        </w:rPr>
      </w:pPr>
      <w:r>
        <w:rPr>
          <w:rFonts w:hint="eastAsia" w:asciiTheme="minorEastAsia" w:hAnsiTheme="minorEastAsia" w:eastAsiaTheme="minorEastAsia" w:cstheme="minorEastAsia"/>
          <w:color w:val="auto"/>
          <w:spacing w:val="40"/>
          <w:w w:val="110"/>
          <w:sz w:val="44"/>
          <w:szCs w:val="44"/>
          <w:highlight w:val="none"/>
        </w:rPr>
        <w:t>投标文件</w:t>
      </w:r>
    </w:p>
    <w:p w14:paraId="3FB4B807">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（电子投标文件）</w:t>
      </w:r>
    </w:p>
    <w:tbl>
      <w:tblPr>
        <w:tblStyle w:val="23"/>
        <w:tblW w:w="0" w:type="auto"/>
        <w:jc w:val="center"/>
        <w:tblLayout w:type="fixed"/>
        <w:tblCellMar>
          <w:top w:w="0" w:type="dxa"/>
          <w:left w:w="108" w:type="dxa"/>
          <w:bottom w:w="0" w:type="dxa"/>
          <w:right w:w="108" w:type="dxa"/>
        </w:tblCellMar>
      </w:tblPr>
      <w:tblGrid>
        <w:gridCol w:w="1601"/>
        <w:gridCol w:w="6172"/>
      </w:tblGrid>
      <w:tr w14:paraId="3F9DE828">
        <w:tblPrEx>
          <w:tblCellMar>
            <w:top w:w="0" w:type="dxa"/>
            <w:left w:w="108" w:type="dxa"/>
            <w:bottom w:w="0" w:type="dxa"/>
            <w:right w:w="108" w:type="dxa"/>
          </w:tblCellMar>
        </w:tblPrEx>
        <w:trPr>
          <w:jc w:val="center"/>
        </w:trPr>
        <w:tc>
          <w:tcPr>
            <w:tcW w:w="1601" w:type="dxa"/>
            <w:noWrap/>
            <w:vAlign w:val="bottom"/>
          </w:tcPr>
          <w:p w14:paraId="5417E8C7">
            <w:pPr>
              <w:jc w:val="distribute"/>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6172" w:type="dxa"/>
            <w:tcBorders>
              <w:top w:val="nil"/>
              <w:left w:val="nil"/>
              <w:bottom w:val="single" w:color="000000" w:sz="4" w:space="0"/>
              <w:right w:val="nil"/>
            </w:tcBorders>
            <w:noWrap/>
            <w:vAlign w:val="bottom"/>
          </w:tcPr>
          <w:p w14:paraId="029305F0">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南宁市2025年政府和社会资本合作新机制项目实施方案评审服务</w:t>
            </w:r>
          </w:p>
        </w:tc>
      </w:tr>
      <w:tr w14:paraId="20041D26">
        <w:tblPrEx>
          <w:tblCellMar>
            <w:top w:w="0" w:type="dxa"/>
            <w:left w:w="108" w:type="dxa"/>
            <w:bottom w:w="0" w:type="dxa"/>
            <w:right w:w="108" w:type="dxa"/>
          </w:tblCellMar>
        </w:tblPrEx>
        <w:trPr>
          <w:jc w:val="center"/>
        </w:trPr>
        <w:tc>
          <w:tcPr>
            <w:tcW w:w="1601" w:type="dxa"/>
            <w:noWrap/>
            <w:vAlign w:val="bottom"/>
          </w:tcPr>
          <w:p w14:paraId="2C883632">
            <w:pPr>
              <w:jc w:val="distribute"/>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采购方式：</w:t>
            </w:r>
          </w:p>
        </w:tc>
        <w:tc>
          <w:tcPr>
            <w:tcW w:w="6172" w:type="dxa"/>
            <w:tcBorders>
              <w:top w:val="single" w:color="000000" w:sz="4" w:space="0"/>
              <w:left w:val="nil"/>
              <w:bottom w:val="single" w:color="000000" w:sz="4" w:space="0"/>
              <w:right w:val="nil"/>
            </w:tcBorders>
            <w:noWrap/>
            <w:vAlign w:val="bottom"/>
          </w:tcPr>
          <w:p w14:paraId="1F3194DB">
            <w:pPr>
              <w:jc w:val="left"/>
              <w:rPr>
                <w:rFonts w:asciiTheme="minorEastAsia" w:hAnsiTheme="minorEastAsia" w:eastAsiaTheme="minorEastAsia" w:cstheme="minorEastAsia"/>
                <w:color w:val="auto"/>
                <w:sz w:val="24"/>
                <w:highlight w:val="none"/>
              </w:rPr>
            </w:pPr>
            <w:bookmarkStart w:id="306" w:name="PO_3000001866_PM003"/>
            <w:r>
              <w:rPr>
                <w:rFonts w:hint="eastAsia" w:asciiTheme="minorEastAsia" w:hAnsiTheme="minorEastAsia" w:eastAsiaTheme="minorEastAsia" w:cstheme="minorEastAsia"/>
                <w:color w:val="auto"/>
                <w:sz w:val="24"/>
                <w:highlight w:val="none"/>
              </w:rPr>
              <w:t>公开招标</w:t>
            </w:r>
            <w:bookmarkEnd w:id="306"/>
          </w:p>
        </w:tc>
      </w:tr>
      <w:tr w14:paraId="597C7848">
        <w:tblPrEx>
          <w:tblCellMar>
            <w:top w:w="0" w:type="dxa"/>
            <w:left w:w="108" w:type="dxa"/>
            <w:bottom w:w="0" w:type="dxa"/>
            <w:right w:w="108" w:type="dxa"/>
          </w:tblCellMar>
        </w:tblPrEx>
        <w:trPr>
          <w:jc w:val="center"/>
        </w:trPr>
        <w:tc>
          <w:tcPr>
            <w:tcW w:w="1601" w:type="dxa"/>
            <w:noWrap/>
            <w:vAlign w:val="bottom"/>
          </w:tcPr>
          <w:p w14:paraId="6D4C1B82">
            <w:pPr>
              <w:jc w:val="distribute"/>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p>
        </w:tc>
        <w:tc>
          <w:tcPr>
            <w:tcW w:w="6172" w:type="dxa"/>
            <w:tcBorders>
              <w:top w:val="single" w:color="000000" w:sz="4" w:space="0"/>
              <w:left w:val="nil"/>
              <w:bottom w:val="single" w:color="000000" w:sz="4" w:space="0"/>
              <w:right w:val="nil"/>
            </w:tcBorders>
            <w:noWrap/>
            <w:vAlign w:val="bottom"/>
          </w:tcPr>
          <w:p w14:paraId="20886121">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NNZC2025-G3-990774-JGJD</w:t>
            </w:r>
          </w:p>
        </w:tc>
      </w:tr>
      <w:tr w14:paraId="1FB51293">
        <w:tblPrEx>
          <w:tblCellMar>
            <w:top w:w="0" w:type="dxa"/>
            <w:left w:w="108" w:type="dxa"/>
            <w:bottom w:w="0" w:type="dxa"/>
            <w:right w:w="108" w:type="dxa"/>
          </w:tblCellMar>
        </w:tblPrEx>
        <w:trPr>
          <w:jc w:val="center"/>
        </w:trPr>
        <w:tc>
          <w:tcPr>
            <w:tcW w:w="1601" w:type="dxa"/>
            <w:noWrap/>
            <w:vAlign w:val="bottom"/>
          </w:tcPr>
          <w:p w14:paraId="44CB9630">
            <w:pPr>
              <w:jc w:val="distribute"/>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所投分标：</w:t>
            </w:r>
          </w:p>
        </w:tc>
        <w:tc>
          <w:tcPr>
            <w:tcW w:w="6172" w:type="dxa"/>
            <w:tcBorders>
              <w:top w:val="single" w:color="000000" w:sz="4" w:space="0"/>
              <w:left w:val="nil"/>
              <w:bottom w:val="single" w:color="000000" w:sz="4" w:space="0"/>
              <w:right w:val="nil"/>
            </w:tcBorders>
            <w:noWrap/>
            <w:vAlign w:val="bottom"/>
          </w:tcPr>
          <w:p w14:paraId="3AD01BAA">
            <w:pPr>
              <w:jc w:val="left"/>
              <w:rPr>
                <w:rFonts w:asciiTheme="minorEastAsia" w:hAnsiTheme="minorEastAsia" w:eastAsiaTheme="minorEastAsia" w:cstheme="minorEastAsia"/>
                <w:color w:val="auto"/>
                <w:sz w:val="24"/>
                <w:highlight w:val="none"/>
              </w:rPr>
            </w:pPr>
          </w:p>
        </w:tc>
      </w:tr>
      <w:tr w14:paraId="651F6488">
        <w:tblPrEx>
          <w:tblCellMar>
            <w:top w:w="0" w:type="dxa"/>
            <w:left w:w="108" w:type="dxa"/>
            <w:bottom w:w="0" w:type="dxa"/>
            <w:right w:w="108" w:type="dxa"/>
          </w:tblCellMar>
        </w:tblPrEx>
        <w:trPr>
          <w:jc w:val="center"/>
        </w:trPr>
        <w:tc>
          <w:tcPr>
            <w:tcW w:w="1601" w:type="dxa"/>
            <w:noWrap/>
            <w:vAlign w:val="bottom"/>
          </w:tcPr>
          <w:p w14:paraId="60A4DBDA">
            <w:pPr>
              <w:jc w:val="distribute"/>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w:t>
            </w:r>
          </w:p>
        </w:tc>
        <w:tc>
          <w:tcPr>
            <w:tcW w:w="6172" w:type="dxa"/>
            <w:tcBorders>
              <w:top w:val="single" w:color="000000" w:sz="4" w:space="0"/>
              <w:left w:val="nil"/>
              <w:bottom w:val="single" w:color="000000" w:sz="4" w:space="0"/>
              <w:right w:val="nil"/>
            </w:tcBorders>
            <w:noWrap/>
            <w:vAlign w:val="bottom"/>
          </w:tcPr>
          <w:p w14:paraId="13A429BA">
            <w:pPr>
              <w:jc w:val="left"/>
              <w:rPr>
                <w:rFonts w:asciiTheme="minorEastAsia" w:hAnsiTheme="minorEastAsia" w:eastAsiaTheme="minorEastAsia" w:cstheme="minorEastAsia"/>
                <w:color w:val="auto"/>
                <w:sz w:val="24"/>
                <w:highlight w:val="none"/>
              </w:rPr>
            </w:pPr>
          </w:p>
        </w:tc>
      </w:tr>
      <w:tr w14:paraId="0DB68125">
        <w:tblPrEx>
          <w:tblCellMar>
            <w:top w:w="0" w:type="dxa"/>
            <w:left w:w="108" w:type="dxa"/>
            <w:bottom w:w="0" w:type="dxa"/>
            <w:right w:w="108" w:type="dxa"/>
          </w:tblCellMar>
        </w:tblPrEx>
        <w:trPr>
          <w:jc w:val="center"/>
        </w:trPr>
        <w:tc>
          <w:tcPr>
            <w:tcW w:w="1601" w:type="dxa"/>
            <w:noWrap/>
            <w:vAlign w:val="bottom"/>
          </w:tcPr>
          <w:p w14:paraId="7882CE79">
            <w:pPr>
              <w:jc w:val="distribute"/>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投标人地址：</w:t>
            </w:r>
          </w:p>
        </w:tc>
        <w:tc>
          <w:tcPr>
            <w:tcW w:w="6172" w:type="dxa"/>
            <w:tcBorders>
              <w:top w:val="single" w:color="000000" w:sz="4" w:space="0"/>
              <w:left w:val="nil"/>
              <w:bottom w:val="single" w:color="000000" w:sz="4" w:space="0"/>
              <w:right w:val="nil"/>
            </w:tcBorders>
            <w:noWrap/>
            <w:vAlign w:val="bottom"/>
          </w:tcPr>
          <w:p w14:paraId="19EE16F3">
            <w:pPr>
              <w:jc w:val="left"/>
              <w:rPr>
                <w:rFonts w:asciiTheme="minorEastAsia" w:hAnsiTheme="minorEastAsia" w:eastAsiaTheme="minorEastAsia" w:cstheme="minorEastAsia"/>
                <w:color w:val="auto"/>
                <w:sz w:val="24"/>
                <w:highlight w:val="none"/>
              </w:rPr>
            </w:pPr>
          </w:p>
        </w:tc>
      </w:tr>
    </w:tbl>
    <w:p w14:paraId="69B373F3">
      <w:pPr>
        <w:ind w:firstLine="4200" w:firstLineChars="1750"/>
        <w:rPr>
          <w:rFonts w:asciiTheme="minorEastAsia" w:hAnsiTheme="minorEastAsia" w:eastAsiaTheme="minorEastAsia" w:cstheme="minorEastAsia"/>
          <w:color w:val="auto"/>
          <w:sz w:val="24"/>
          <w:highlight w:val="none"/>
        </w:rPr>
      </w:pPr>
    </w:p>
    <w:p w14:paraId="7BFFED56">
      <w:pPr>
        <w:ind w:firstLine="4200" w:firstLineChars="1750"/>
        <w:rPr>
          <w:rFonts w:asciiTheme="minorEastAsia" w:hAnsiTheme="minorEastAsia" w:eastAsiaTheme="minorEastAsia" w:cstheme="minorEastAsia"/>
          <w:color w:val="auto"/>
          <w:sz w:val="24"/>
          <w:highlight w:val="none"/>
        </w:rPr>
      </w:pPr>
    </w:p>
    <w:p w14:paraId="304AA5B5">
      <w:pPr>
        <w:ind w:firstLine="4200" w:firstLineChars="1750"/>
        <w:rPr>
          <w:rFonts w:asciiTheme="minorEastAsia" w:hAnsiTheme="minorEastAsia" w:eastAsiaTheme="minorEastAsia" w:cstheme="minorEastAsia"/>
          <w:color w:val="auto"/>
          <w:sz w:val="24"/>
          <w:highlight w:val="none"/>
        </w:rPr>
      </w:pPr>
    </w:p>
    <w:p w14:paraId="31EABBE1">
      <w:pPr>
        <w:ind w:firstLine="5880" w:firstLineChars="24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投标截止时间前不得解密</w:t>
      </w:r>
    </w:p>
    <w:p w14:paraId="479B4F84">
      <w:pPr>
        <w:ind w:firstLine="6480" w:firstLineChars="2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749227D3">
      <w:pPr>
        <w:widowControl/>
        <w:jc w:val="left"/>
        <w:rPr>
          <w:rFonts w:asciiTheme="minorEastAsia" w:hAnsiTheme="minorEastAsia" w:eastAsiaTheme="minorEastAsia" w:cstheme="minorEastAsia"/>
          <w:color w:val="auto"/>
          <w:sz w:val="24"/>
          <w:highlight w:val="none"/>
        </w:rPr>
        <w:sectPr>
          <w:pgSz w:w="11907" w:h="16840"/>
          <w:pgMar w:top="1531" w:right="1418" w:bottom="1361" w:left="1418" w:header="720" w:footer="720" w:gutter="0"/>
          <w:cols w:space="720" w:num="1"/>
        </w:sectPr>
      </w:pPr>
    </w:p>
    <w:p w14:paraId="3D7F64B5">
      <w:pPr>
        <w:pStyle w:val="12"/>
        <w:jc w:val="center"/>
        <w:outlineLvl w:val="1"/>
        <w:rPr>
          <w:rFonts w:asciiTheme="minorEastAsia" w:hAnsiTheme="minorEastAsia" w:eastAsiaTheme="minorEastAsia" w:cstheme="minorEastAsia"/>
          <w:b/>
          <w:bCs/>
          <w:color w:val="auto"/>
          <w:sz w:val="28"/>
          <w:szCs w:val="28"/>
          <w:highlight w:val="none"/>
        </w:rPr>
      </w:pPr>
      <w:bookmarkStart w:id="307" w:name="_Toc14463"/>
      <w:r>
        <w:rPr>
          <w:rFonts w:hint="eastAsia" w:asciiTheme="minorEastAsia" w:hAnsiTheme="minorEastAsia" w:eastAsiaTheme="minorEastAsia" w:cstheme="minorEastAsia"/>
          <w:b/>
          <w:bCs/>
          <w:color w:val="auto"/>
          <w:sz w:val="28"/>
          <w:szCs w:val="28"/>
          <w:highlight w:val="none"/>
        </w:rPr>
        <w:t>第二节 资格证明文件格式</w:t>
      </w:r>
      <w:bookmarkEnd w:id="307"/>
    </w:p>
    <w:p w14:paraId="56ED0EB0">
      <w:pPr>
        <w:pStyle w:val="12"/>
        <w:spacing w:line="360" w:lineRule="auto"/>
        <w:ind w:firstLine="420"/>
        <w:rPr>
          <w:rFonts w:asciiTheme="minorEastAsia" w:hAnsiTheme="minorEastAsia" w:eastAsiaTheme="minorEastAsia" w:cstheme="minorEastAsia"/>
          <w:color w:val="auto"/>
          <w:sz w:val="30"/>
          <w:highlight w:val="none"/>
        </w:rPr>
      </w:pPr>
    </w:p>
    <w:p w14:paraId="665BF1E4">
      <w:pPr>
        <w:snapToGrid w:val="0"/>
        <w:spacing w:beforeLines="50" w:after="50"/>
        <w:rPr>
          <w:rFonts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电子投标文件</w:t>
      </w:r>
    </w:p>
    <w:p w14:paraId="546B3DF2">
      <w:pPr>
        <w:snapToGrid w:val="0"/>
        <w:spacing w:beforeLines="50" w:after="50"/>
        <w:rPr>
          <w:rFonts w:asciiTheme="minorEastAsia" w:hAnsiTheme="minorEastAsia" w:eastAsiaTheme="minorEastAsia" w:cstheme="minorEastAsia"/>
          <w:color w:val="auto"/>
          <w:sz w:val="24"/>
          <w:szCs w:val="20"/>
          <w:highlight w:val="none"/>
        </w:rPr>
      </w:pPr>
    </w:p>
    <w:p w14:paraId="3ABD9A7C">
      <w:pPr>
        <w:snapToGrid w:val="0"/>
        <w:spacing w:beforeLines="50" w:after="50"/>
        <w:jc w:val="center"/>
        <w:rPr>
          <w:rFonts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32"/>
          <w:szCs w:val="32"/>
          <w:highlight w:val="none"/>
        </w:rPr>
        <w:t>资格证明文件（封面）</w:t>
      </w:r>
    </w:p>
    <w:p w14:paraId="5257B348">
      <w:pPr>
        <w:snapToGrid w:val="0"/>
        <w:spacing w:beforeLines="50" w:after="50"/>
        <w:rPr>
          <w:rFonts w:asciiTheme="minorEastAsia" w:hAnsiTheme="minorEastAsia" w:eastAsiaTheme="minorEastAsia" w:cstheme="minorEastAsia"/>
          <w:bCs/>
          <w:color w:val="auto"/>
          <w:sz w:val="24"/>
          <w:szCs w:val="20"/>
          <w:highlight w:val="none"/>
        </w:rPr>
      </w:pPr>
    </w:p>
    <w:p w14:paraId="5C9984C8">
      <w:pPr>
        <w:snapToGrid w:val="0"/>
        <w:spacing w:beforeLines="50" w:after="50"/>
        <w:rPr>
          <w:rFonts w:asciiTheme="minorEastAsia" w:hAnsiTheme="minorEastAsia" w:eastAsiaTheme="minorEastAsia" w:cstheme="minorEastAsia"/>
          <w:bCs/>
          <w:color w:val="auto"/>
          <w:sz w:val="24"/>
          <w:szCs w:val="20"/>
          <w:highlight w:val="none"/>
        </w:rPr>
      </w:pPr>
    </w:p>
    <w:p w14:paraId="3EFCC08D">
      <w:pPr>
        <w:snapToGrid w:val="0"/>
        <w:spacing w:beforeLines="50" w:after="50"/>
        <w:rPr>
          <w:rFonts w:asciiTheme="minorEastAsia" w:hAnsiTheme="minorEastAsia" w:eastAsiaTheme="minorEastAsia" w:cstheme="minorEastAsia"/>
          <w:bCs/>
          <w:color w:val="auto"/>
          <w:sz w:val="24"/>
          <w:szCs w:val="20"/>
          <w:highlight w:val="none"/>
        </w:rPr>
      </w:pPr>
    </w:p>
    <w:p w14:paraId="005CD69D">
      <w:pPr>
        <w:snapToGrid w:val="0"/>
        <w:spacing w:beforeLines="50" w:after="50"/>
        <w:rPr>
          <w:rFonts w:asciiTheme="minorEastAsia" w:hAnsiTheme="minorEastAsia" w:eastAsiaTheme="minorEastAsia" w:cstheme="minorEastAsia"/>
          <w:bCs/>
          <w:color w:val="auto"/>
          <w:sz w:val="24"/>
          <w:szCs w:val="20"/>
          <w:highlight w:val="none"/>
        </w:rPr>
      </w:pPr>
    </w:p>
    <w:p w14:paraId="2E754138">
      <w:pPr>
        <w:snapToGrid w:val="0"/>
        <w:spacing w:beforeLines="50" w:after="50"/>
        <w:rPr>
          <w:rFonts w:asciiTheme="minorEastAsia" w:hAnsiTheme="minorEastAsia" w:eastAsiaTheme="minorEastAsia" w:cstheme="minorEastAsia"/>
          <w:bCs/>
          <w:color w:val="auto"/>
          <w:sz w:val="24"/>
          <w:szCs w:val="20"/>
          <w:highlight w:val="none"/>
        </w:rPr>
      </w:pPr>
    </w:p>
    <w:p w14:paraId="474368E4">
      <w:pPr>
        <w:snapToGrid w:val="0"/>
        <w:spacing w:beforeLines="50" w:after="50"/>
        <w:rPr>
          <w:rFonts w:asciiTheme="minorEastAsia" w:hAnsiTheme="minorEastAsia" w:eastAsiaTheme="minorEastAsia" w:cstheme="minorEastAsia"/>
          <w:bCs/>
          <w:color w:val="auto"/>
          <w:sz w:val="24"/>
          <w:szCs w:val="20"/>
          <w:highlight w:val="none"/>
        </w:rPr>
      </w:pPr>
    </w:p>
    <w:p w14:paraId="0F287938">
      <w:pPr>
        <w:snapToGrid w:val="0"/>
        <w:spacing w:beforeLines="50" w:after="50"/>
        <w:rPr>
          <w:rFonts w:asciiTheme="minorEastAsia" w:hAnsiTheme="minorEastAsia" w:eastAsiaTheme="minorEastAsia" w:cstheme="minorEastAsia"/>
          <w:bCs/>
          <w:color w:val="auto"/>
          <w:sz w:val="24"/>
          <w:szCs w:val="20"/>
          <w:highlight w:val="none"/>
        </w:rPr>
      </w:pPr>
    </w:p>
    <w:p w14:paraId="0DB32FE2">
      <w:pPr>
        <w:snapToGrid w:val="0"/>
        <w:spacing w:beforeLines="50" w:after="50"/>
        <w:ind w:firstLine="540" w:firstLineChars="225"/>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项目名称：南宁市2025年政府和社会资本合作新机制项目实施方案评审服务</w:t>
      </w:r>
    </w:p>
    <w:p w14:paraId="4F1BEF84">
      <w:pPr>
        <w:snapToGrid w:val="0"/>
        <w:spacing w:beforeLines="50" w:after="50"/>
        <w:ind w:firstLine="540" w:firstLineChars="225"/>
        <w:rPr>
          <w:rFonts w:asciiTheme="minorEastAsia" w:hAnsiTheme="minorEastAsia" w:eastAsiaTheme="minorEastAsia" w:cstheme="minorEastAsia"/>
          <w:bCs/>
          <w:color w:val="auto"/>
          <w:sz w:val="24"/>
          <w:szCs w:val="20"/>
          <w:highlight w:val="none"/>
        </w:rPr>
      </w:pPr>
    </w:p>
    <w:p w14:paraId="3A897D6B">
      <w:pPr>
        <w:snapToGrid w:val="0"/>
        <w:spacing w:beforeLines="50" w:after="50"/>
        <w:ind w:firstLine="540" w:firstLineChars="225"/>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项目编号：NNZC2025-G3-990774-JGJD</w:t>
      </w:r>
    </w:p>
    <w:p w14:paraId="5F4F0413">
      <w:pPr>
        <w:snapToGrid w:val="0"/>
        <w:spacing w:beforeLines="50" w:after="50"/>
        <w:ind w:firstLine="540" w:firstLineChars="225"/>
        <w:rPr>
          <w:rFonts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 xml:space="preserve"> </w:t>
      </w:r>
    </w:p>
    <w:p w14:paraId="535B270B">
      <w:pPr>
        <w:snapToGrid w:val="0"/>
        <w:spacing w:beforeLines="50" w:after="50"/>
        <w:ind w:firstLine="540" w:firstLineChars="225"/>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w:t>
      </w:r>
    </w:p>
    <w:p w14:paraId="1E5A140C">
      <w:pPr>
        <w:pStyle w:val="6"/>
        <w:snapToGrid w:val="0"/>
        <w:spacing w:before="50" w:after="50"/>
        <w:ind w:firstLine="540" w:firstLineChars="225"/>
        <w:rPr>
          <w:rFonts w:asciiTheme="minorEastAsia" w:hAnsiTheme="minorEastAsia" w:eastAsiaTheme="minorEastAsia" w:cstheme="minorEastAsia"/>
          <w:bCs/>
          <w:color w:val="auto"/>
          <w:sz w:val="24"/>
          <w:szCs w:val="24"/>
          <w:highlight w:val="none"/>
        </w:rPr>
      </w:pPr>
    </w:p>
    <w:p w14:paraId="6A6F9DCD">
      <w:pPr>
        <w:pStyle w:val="6"/>
        <w:snapToGrid w:val="0"/>
        <w:spacing w:before="50" w:after="50"/>
        <w:ind w:firstLine="540" w:firstLineChars="225"/>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投标人名称：</w:t>
      </w:r>
    </w:p>
    <w:p w14:paraId="32E40990">
      <w:pPr>
        <w:pStyle w:val="6"/>
        <w:snapToGrid w:val="0"/>
        <w:spacing w:before="50" w:after="50"/>
        <w:ind w:firstLine="540" w:firstLineChars="225"/>
        <w:rPr>
          <w:rFonts w:asciiTheme="minorEastAsia" w:hAnsiTheme="minorEastAsia" w:eastAsiaTheme="minorEastAsia" w:cstheme="minorEastAsia"/>
          <w:bCs/>
          <w:color w:val="auto"/>
          <w:sz w:val="24"/>
          <w:szCs w:val="24"/>
          <w:highlight w:val="none"/>
        </w:rPr>
      </w:pPr>
    </w:p>
    <w:p w14:paraId="2512BBA8">
      <w:pPr>
        <w:pStyle w:val="6"/>
        <w:snapToGrid w:val="0"/>
        <w:spacing w:before="50" w:after="50"/>
        <w:ind w:firstLine="960" w:firstLineChars="400"/>
        <w:rPr>
          <w:rFonts w:asciiTheme="minorEastAsia" w:hAnsiTheme="minorEastAsia" w:eastAsiaTheme="minorEastAsia" w:cstheme="minorEastAsia"/>
          <w:bCs/>
          <w:color w:val="auto"/>
          <w:sz w:val="24"/>
          <w:szCs w:val="24"/>
          <w:highlight w:val="none"/>
        </w:rPr>
      </w:pPr>
    </w:p>
    <w:p w14:paraId="42B4517F">
      <w:pPr>
        <w:snapToGrid w:val="0"/>
        <w:spacing w:beforeLines="50" w:after="50"/>
        <w:ind w:firstLine="645"/>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28ECE2BB">
      <w:pPr>
        <w:widowControl/>
        <w:spacing w:line="360" w:lineRule="auto"/>
        <w:jc w:val="left"/>
        <w:rPr>
          <w:rFonts w:asciiTheme="minorEastAsia" w:hAnsiTheme="minorEastAsia" w:eastAsiaTheme="minorEastAsia" w:cstheme="minorEastAsia"/>
          <w:color w:val="auto"/>
          <w:sz w:val="30"/>
          <w:szCs w:val="20"/>
          <w:highlight w:val="none"/>
        </w:rPr>
        <w:sectPr>
          <w:pgSz w:w="11906" w:h="16838"/>
          <w:pgMar w:top="1134" w:right="1134" w:bottom="1134" w:left="1134" w:header="720" w:footer="720" w:gutter="0"/>
          <w:cols w:space="720" w:num="1"/>
          <w:docGrid w:type="lines" w:linePitch="331" w:charSpace="0"/>
        </w:sectPr>
      </w:pPr>
    </w:p>
    <w:p w14:paraId="60F2563B">
      <w:pPr>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资格证明文件目录</w:t>
      </w:r>
    </w:p>
    <w:p w14:paraId="72CD49FC">
      <w:pPr>
        <w:snapToGrid w:val="0"/>
        <w:spacing w:line="360" w:lineRule="auto"/>
        <w:rPr>
          <w:rFonts w:asciiTheme="minorEastAsia" w:hAnsiTheme="minorEastAsia" w:eastAsiaTheme="minorEastAsia" w:cstheme="minorEastAsia"/>
          <w:color w:val="auto"/>
          <w:kern w:val="0"/>
          <w:sz w:val="24"/>
          <w:highlight w:val="none"/>
        </w:rPr>
      </w:pPr>
    </w:p>
    <w:p w14:paraId="512F2F6D">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一、投标人为法人或者其他组织的，提供营业执照等证明文件（如营业执照或者事业单位法人证书或者执业许可证等），投标人为自然人的，提供身份证复印件………（页码）</w:t>
      </w:r>
    </w:p>
    <w:p w14:paraId="0A7791F0">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二、投标人依法缴纳税收的相关材料…………………………………………………（页码）</w:t>
      </w:r>
    </w:p>
    <w:p w14:paraId="59DC9E81">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三、投标人依法缴纳社会保障资金的相关材料………………………………………（页码）</w:t>
      </w:r>
    </w:p>
    <w:p w14:paraId="419D553B">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四、财务状况报告方面的材料…………………………………………………………（页码）</w:t>
      </w:r>
    </w:p>
    <w:p w14:paraId="5FD783B7">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五、投标人直接控股股东信息表</w:t>
      </w:r>
      <w:r>
        <w:rPr>
          <w:rFonts w:hint="eastAsia" w:asciiTheme="minorEastAsia" w:hAnsiTheme="minorEastAsia" w:eastAsiaTheme="minorEastAsia" w:cstheme="minorEastAsia"/>
          <w:color w:val="auto"/>
          <w:kern w:val="0"/>
          <w:sz w:val="24"/>
          <w:highlight w:val="none"/>
        </w:rPr>
        <w:t>…………………………………………………………（页码）</w:t>
      </w:r>
    </w:p>
    <w:p w14:paraId="558F7820">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六、投标人直接关联关系信息表</w:t>
      </w:r>
      <w:r>
        <w:rPr>
          <w:rFonts w:hint="eastAsia" w:asciiTheme="minorEastAsia" w:hAnsiTheme="minorEastAsia" w:eastAsiaTheme="minorEastAsia" w:cstheme="minorEastAsia"/>
          <w:color w:val="auto"/>
          <w:kern w:val="0"/>
          <w:sz w:val="24"/>
          <w:highlight w:val="none"/>
        </w:rPr>
        <w:t>………………………………………………………（页码）</w:t>
      </w:r>
    </w:p>
    <w:p w14:paraId="4806A6CA">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七、投标资格声明函……………………………………………………………………（页码）</w:t>
      </w:r>
    </w:p>
    <w:p w14:paraId="3C420AE9">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八、投标人应为中小微企业/监狱企业/残疾人福利性单位……………………（页码）</w:t>
      </w:r>
    </w:p>
    <w:p w14:paraId="7C84ECC2">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九、除招标文件规定必须提供以外，投标人认为需要提供的其他证明材料</w:t>
      </w:r>
      <w:r>
        <w:rPr>
          <w:rFonts w:hint="eastAsia" w:asciiTheme="minorEastAsia" w:hAnsiTheme="minorEastAsia" w:eastAsiaTheme="minorEastAsia" w:cstheme="minorEastAsia"/>
          <w:color w:val="auto"/>
          <w:kern w:val="0"/>
          <w:sz w:val="24"/>
          <w:highlight w:val="none"/>
        </w:rPr>
        <w:t>……（页码）</w:t>
      </w:r>
    </w:p>
    <w:p w14:paraId="06E47FD7">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注：以上目录是基本格式要求，各投标人可根据自身情况进一步向下增加内容或细化。</w:t>
      </w:r>
    </w:p>
    <w:p w14:paraId="684155B5">
      <w:pPr>
        <w:widowControl/>
        <w:spacing w:line="360" w:lineRule="auto"/>
        <w:jc w:val="left"/>
        <w:rPr>
          <w:rFonts w:asciiTheme="minorEastAsia" w:hAnsiTheme="minorEastAsia" w:eastAsiaTheme="minorEastAsia" w:cstheme="minorEastAsia"/>
          <w:color w:val="auto"/>
          <w:sz w:val="30"/>
          <w:szCs w:val="20"/>
          <w:highlight w:val="none"/>
        </w:rPr>
        <w:sectPr>
          <w:pgSz w:w="11906" w:h="16838"/>
          <w:pgMar w:top="1134" w:right="1134" w:bottom="1134" w:left="1134" w:header="720" w:footer="720" w:gutter="0"/>
          <w:cols w:space="720" w:num="1"/>
          <w:docGrid w:type="lines" w:linePitch="331" w:charSpace="0"/>
        </w:sectPr>
      </w:pPr>
    </w:p>
    <w:p w14:paraId="0A2651A5">
      <w:pPr>
        <w:snapToGrid w:val="0"/>
        <w:spacing w:line="360" w:lineRule="auto"/>
        <w:rPr>
          <w:rFonts w:asciiTheme="minorEastAsia" w:hAnsiTheme="minorEastAsia" w:eastAsiaTheme="minorEastAsia" w:cstheme="minorEastAsia"/>
          <w:b/>
          <w:color w:val="auto"/>
          <w:kern w:val="0"/>
          <w:sz w:val="32"/>
          <w:szCs w:val="32"/>
          <w:highlight w:val="none"/>
          <w:lang w:val="zh-CN"/>
        </w:rPr>
      </w:pPr>
    </w:p>
    <w:p w14:paraId="4E3C3976">
      <w:pPr>
        <w:spacing w:line="360" w:lineRule="auto"/>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一、一、投标人为法人或者其他组织的，提供营业执照等证明文件（如营业执照或者事业单位法人证书或者执业许可证等），投标人为自然人的，提供身份证复印件</w:t>
      </w:r>
    </w:p>
    <w:p w14:paraId="1F2EAE2C">
      <w:pPr>
        <w:spacing w:line="360" w:lineRule="auto"/>
        <w:rPr>
          <w:rFonts w:asciiTheme="minorEastAsia" w:hAnsiTheme="minorEastAsia" w:eastAsiaTheme="minorEastAsia" w:cstheme="minorEastAsia"/>
          <w:b/>
          <w:color w:val="auto"/>
          <w:sz w:val="30"/>
          <w:szCs w:val="30"/>
          <w:highlight w:val="none"/>
        </w:rPr>
      </w:pPr>
    </w:p>
    <w:p w14:paraId="0367096D">
      <w:pPr>
        <w:snapToGrid w:val="0"/>
        <w:spacing w:line="360" w:lineRule="auto"/>
        <w:ind w:firstLine="576"/>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投标人名称(电子签章)：                              </w:t>
      </w:r>
    </w:p>
    <w:p w14:paraId="2299F646">
      <w:pPr>
        <w:spacing w:line="360" w:lineRule="auto"/>
        <w:jc w:val="center"/>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kern w:val="0"/>
          <w:sz w:val="24"/>
          <w:highlight w:val="none"/>
          <w:lang w:val="zh-CN"/>
        </w:rPr>
        <w:t xml:space="preserve">                   日期：  年  月</w:t>
      </w:r>
    </w:p>
    <w:p w14:paraId="4188B0B9">
      <w:pPr>
        <w:spacing w:line="360" w:lineRule="auto"/>
        <w:jc w:val="center"/>
        <w:rPr>
          <w:rFonts w:asciiTheme="minorEastAsia" w:hAnsiTheme="minorEastAsia" w:eastAsiaTheme="minorEastAsia" w:cstheme="minorEastAsia"/>
          <w:b/>
          <w:color w:val="auto"/>
          <w:kern w:val="0"/>
          <w:sz w:val="32"/>
          <w:szCs w:val="32"/>
          <w:highlight w:val="none"/>
          <w:lang w:val="zh-CN"/>
        </w:rPr>
      </w:pPr>
    </w:p>
    <w:p w14:paraId="463D5E6D">
      <w:pPr>
        <w:spacing w:line="360" w:lineRule="auto"/>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二、投标人依法缴纳税收的相关材料</w:t>
      </w:r>
    </w:p>
    <w:p w14:paraId="4FDEADB7">
      <w:pPr>
        <w:snapToGrid w:val="0"/>
        <w:spacing w:line="360" w:lineRule="auto"/>
        <w:ind w:firstLine="480" w:firstLineChars="200"/>
        <w:rPr>
          <w:rFonts w:asciiTheme="minorEastAsia" w:hAnsiTheme="minorEastAsia" w:eastAsiaTheme="minorEastAsia" w:cstheme="minorEastAsia"/>
          <w:color w:val="auto"/>
          <w:sz w:val="24"/>
          <w:highlight w:val="none"/>
        </w:rPr>
      </w:pPr>
    </w:p>
    <w:p w14:paraId="023B5C11">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278A3811">
      <w:pPr>
        <w:snapToGrid w:val="0"/>
        <w:spacing w:line="360" w:lineRule="auto"/>
        <w:ind w:firstLine="5040" w:firstLineChars="2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投标人名称(电子签章)：</w:t>
      </w:r>
    </w:p>
    <w:p w14:paraId="57EA1C10">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96B6A86">
      <w:pPr>
        <w:spacing w:line="360" w:lineRule="auto"/>
        <w:jc w:val="center"/>
        <w:rPr>
          <w:rFonts w:asciiTheme="minorEastAsia" w:hAnsiTheme="minorEastAsia" w:eastAsiaTheme="minorEastAsia" w:cstheme="minorEastAsia"/>
          <w:b/>
          <w:color w:val="auto"/>
          <w:kern w:val="0"/>
          <w:sz w:val="32"/>
          <w:szCs w:val="32"/>
          <w:highlight w:val="none"/>
          <w:lang w:val="zh-CN"/>
        </w:rPr>
      </w:pPr>
    </w:p>
    <w:p w14:paraId="677C5F66">
      <w:pPr>
        <w:spacing w:line="360" w:lineRule="auto"/>
        <w:jc w:val="center"/>
        <w:rPr>
          <w:rFonts w:asciiTheme="minorEastAsia" w:hAnsiTheme="minorEastAsia" w:eastAsiaTheme="minorEastAsia" w:cstheme="minorEastAsia"/>
          <w:b/>
          <w:color w:val="auto"/>
          <w:kern w:val="0"/>
          <w:sz w:val="32"/>
          <w:szCs w:val="32"/>
          <w:highlight w:val="none"/>
          <w:lang w:val="zh-CN"/>
        </w:rPr>
      </w:pPr>
    </w:p>
    <w:p w14:paraId="5E6CA443">
      <w:pPr>
        <w:spacing w:line="360" w:lineRule="auto"/>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三、投标人依法缴纳社会保障资金的相关材料</w:t>
      </w:r>
    </w:p>
    <w:p w14:paraId="32F2DD23">
      <w:pPr>
        <w:snapToGrid w:val="0"/>
        <w:spacing w:line="360" w:lineRule="auto"/>
        <w:ind w:firstLine="480" w:firstLineChars="200"/>
        <w:rPr>
          <w:rFonts w:asciiTheme="minorEastAsia" w:hAnsiTheme="minorEastAsia" w:eastAsiaTheme="minorEastAsia" w:cstheme="minorEastAsia"/>
          <w:color w:val="auto"/>
          <w:sz w:val="24"/>
          <w:highlight w:val="none"/>
        </w:rPr>
      </w:pPr>
    </w:p>
    <w:p w14:paraId="364AB7D6">
      <w:pPr>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0264BE18">
      <w:pPr>
        <w:snapToGrid w:val="0"/>
        <w:spacing w:line="360" w:lineRule="auto"/>
        <w:ind w:firstLine="5040" w:firstLineChars="2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投标人名称(电子签章)：</w:t>
      </w:r>
    </w:p>
    <w:p w14:paraId="35CAE696">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22471FE7">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p>
    <w:p w14:paraId="59CC49B4">
      <w:pPr>
        <w:snapToGrid w:val="0"/>
        <w:spacing w:line="360" w:lineRule="auto"/>
        <w:ind w:right="480"/>
        <w:jc w:val="center"/>
        <w:rPr>
          <w:rFonts w:asciiTheme="minorEastAsia" w:hAnsiTheme="minorEastAsia" w:eastAsiaTheme="minorEastAsia" w:cstheme="minorEastAsia"/>
          <w:b/>
          <w:color w:val="auto"/>
          <w:kern w:val="0"/>
          <w:sz w:val="32"/>
          <w:szCs w:val="32"/>
          <w:highlight w:val="none"/>
          <w:lang w:val="zh-CN"/>
        </w:rPr>
      </w:pPr>
    </w:p>
    <w:p w14:paraId="2D40AA32">
      <w:pPr>
        <w:spacing w:line="360" w:lineRule="auto"/>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rPr>
        <w:br w:type="page"/>
      </w:r>
      <w:r>
        <w:rPr>
          <w:rFonts w:hint="eastAsia" w:asciiTheme="minorEastAsia" w:hAnsiTheme="minorEastAsia" w:eastAsiaTheme="minorEastAsia" w:cstheme="minorEastAsia"/>
          <w:b/>
          <w:color w:val="auto"/>
          <w:kern w:val="0"/>
          <w:sz w:val="32"/>
          <w:szCs w:val="32"/>
          <w:highlight w:val="none"/>
        </w:rPr>
        <w:t>四、</w:t>
      </w:r>
      <w:r>
        <w:rPr>
          <w:rFonts w:hint="eastAsia" w:asciiTheme="minorEastAsia" w:hAnsiTheme="minorEastAsia" w:eastAsiaTheme="minorEastAsia" w:cstheme="minorEastAsia"/>
          <w:b/>
          <w:color w:val="auto"/>
          <w:kern w:val="0"/>
          <w:sz w:val="32"/>
          <w:szCs w:val="32"/>
          <w:highlight w:val="none"/>
          <w:lang w:val="zh-CN"/>
        </w:rPr>
        <w:t>财务状况报告方面的材料</w:t>
      </w:r>
    </w:p>
    <w:p w14:paraId="28200055">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p>
    <w:p w14:paraId="636562CF">
      <w:pPr>
        <w:snapToGrid w:val="0"/>
        <w:spacing w:line="360" w:lineRule="auto"/>
        <w:ind w:firstLine="5040" w:firstLineChars="2100"/>
        <w:rPr>
          <w:rFonts w:asciiTheme="minorEastAsia" w:hAnsiTheme="minorEastAsia" w:eastAsiaTheme="minorEastAsia" w:cstheme="minorEastAsia"/>
          <w:color w:val="auto"/>
          <w:kern w:val="0"/>
          <w:sz w:val="24"/>
          <w:highlight w:val="none"/>
          <w:lang w:val="zh-CN"/>
        </w:rPr>
      </w:pPr>
    </w:p>
    <w:p w14:paraId="4432AA56">
      <w:pPr>
        <w:snapToGrid w:val="0"/>
        <w:spacing w:line="360" w:lineRule="auto"/>
        <w:ind w:firstLine="5040" w:firstLineChars="2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投标人名称(电子签章)：</w:t>
      </w:r>
    </w:p>
    <w:p w14:paraId="2F209109">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1DEF91B6">
      <w:pPr>
        <w:spacing w:line="360" w:lineRule="auto"/>
        <w:rPr>
          <w:rFonts w:asciiTheme="minorEastAsia" w:hAnsiTheme="minorEastAsia" w:eastAsiaTheme="minorEastAsia" w:cstheme="minorEastAsia"/>
          <w:b/>
          <w:color w:val="auto"/>
          <w:kern w:val="0"/>
          <w:sz w:val="32"/>
          <w:szCs w:val="32"/>
          <w:highlight w:val="none"/>
          <w:lang w:val="zh-CN"/>
        </w:rPr>
      </w:pPr>
    </w:p>
    <w:p w14:paraId="6A787B2E">
      <w:pPr>
        <w:spacing w:line="360" w:lineRule="auto"/>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五、投标人直接控股股东信息</w:t>
      </w:r>
      <w:r>
        <w:rPr>
          <w:rFonts w:hint="eastAsia" w:asciiTheme="minorEastAsia" w:hAnsiTheme="minorEastAsia" w:eastAsiaTheme="minorEastAsia" w:cstheme="minorEastAsia"/>
          <w:b/>
          <w:color w:val="auto"/>
          <w:kern w:val="0"/>
          <w:sz w:val="32"/>
          <w:szCs w:val="32"/>
          <w:highlight w:val="none"/>
        </w:rPr>
        <w:t>表</w:t>
      </w:r>
    </w:p>
    <w:p w14:paraId="7A9349B4">
      <w:pPr>
        <w:snapToGrid w:val="0"/>
        <w:spacing w:line="360" w:lineRule="auto"/>
        <w:ind w:right="480"/>
        <w:jc w:val="center"/>
        <w:rPr>
          <w:rFonts w:asciiTheme="minorEastAsia" w:hAnsiTheme="minorEastAsia" w:eastAsiaTheme="minorEastAsia" w:cstheme="minorEastAsia"/>
          <w:b/>
          <w:color w:val="auto"/>
          <w:sz w:val="28"/>
          <w:szCs w:val="28"/>
          <w:highlight w:val="none"/>
        </w:rPr>
      </w:pPr>
    </w:p>
    <w:tbl>
      <w:tblPr>
        <w:tblStyle w:val="23"/>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509F2D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9086E40">
            <w:pPr>
              <w:spacing w:line="360" w:lineRule="auto"/>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CB9AC5E">
            <w:pPr>
              <w:spacing w:line="360" w:lineRule="auto"/>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0BB8D86">
            <w:pPr>
              <w:spacing w:line="360" w:lineRule="auto"/>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3B0B76B">
            <w:pPr>
              <w:spacing w:line="360" w:lineRule="auto"/>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D92299E">
            <w:pPr>
              <w:spacing w:line="360" w:lineRule="auto"/>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4926D66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0D02A32">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DBE68BB">
            <w:pPr>
              <w:spacing w:line="360" w:lineRule="auto"/>
              <w:jc w:val="center"/>
              <w:rPr>
                <w:rFonts w:asciiTheme="minorEastAsia" w:hAnsiTheme="minorEastAsia" w:eastAsiaTheme="minorEastAsia" w:cstheme="minorEastAsia"/>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9C9EFE5">
            <w:pPr>
              <w:spacing w:line="360" w:lineRule="auto"/>
              <w:jc w:val="center"/>
              <w:rPr>
                <w:rFonts w:asciiTheme="minorEastAsia" w:hAnsiTheme="minorEastAsia" w:eastAsiaTheme="minorEastAsia" w:cstheme="minorEastAsia"/>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7BD25FF">
            <w:pPr>
              <w:spacing w:line="360" w:lineRule="auto"/>
              <w:jc w:val="center"/>
              <w:rPr>
                <w:rFonts w:asciiTheme="minorEastAsia" w:hAnsiTheme="minorEastAsia" w:eastAsiaTheme="minorEastAsia" w:cstheme="minorEastAsia"/>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6737596">
            <w:pPr>
              <w:spacing w:line="360" w:lineRule="auto"/>
              <w:jc w:val="center"/>
              <w:rPr>
                <w:rFonts w:asciiTheme="minorEastAsia" w:hAnsiTheme="minorEastAsia" w:eastAsiaTheme="minorEastAsia" w:cstheme="minorEastAsia"/>
                <w:color w:val="auto"/>
                <w:kern w:val="0"/>
                <w:sz w:val="24"/>
                <w:highlight w:val="none"/>
              </w:rPr>
            </w:pPr>
          </w:p>
        </w:tc>
      </w:tr>
      <w:tr w14:paraId="08FD376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DAA7E7F">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14E8367">
            <w:pPr>
              <w:spacing w:line="360" w:lineRule="auto"/>
              <w:jc w:val="center"/>
              <w:rPr>
                <w:rFonts w:asciiTheme="minorEastAsia" w:hAnsiTheme="minorEastAsia" w:eastAsiaTheme="minorEastAsia" w:cstheme="minorEastAsia"/>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295C57B">
            <w:pPr>
              <w:spacing w:line="360" w:lineRule="auto"/>
              <w:jc w:val="center"/>
              <w:rPr>
                <w:rFonts w:asciiTheme="minorEastAsia" w:hAnsiTheme="minorEastAsia" w:eastAsiaTheme="minorEastAsia" w:cstheme="minorEastAsia"/>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7F442BD">
            <w:pPr>
              <w:spacing w:line="360" w:lineRule="auto"/>
              <w:jc w:val="center"/>
              <w:rPr>
                <w:rFonts w:asciiTheme="minorEastAsia" w:hAnsiTheme="minorEastAsia" w:eastAsiaTheme="minorEastAsia" w:cstheme="minorEastAsia"/>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9EE32EF">
            <w:pPr>
              <w:spacing w:line="360" w:lineRule="auto"/>
              <w:jc w:val="center"/>
              <w:rPr>
                <w:rFonts w:asciiTheme="minorEastAsia" w:hAnsiTheme="minorEastAsia" w:eastAsiaTheme="minorEastAsia" w:cstheme="minorEastAsia"/>
                <w:color w:val="auto"/>
                <w:kern w:val="0"/>
                <w:sz w:val="24"/>
                <w:highlight w:val="none"/>
              </w:rPr>
            </w:pPr>
          </w:p>
        </w:tc>
      </w:tr>
      <w:tr w14:paraId="1106ECB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2CA9231">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AB55AFE">
            <w:pPr>
              <w:spacing w:line="360" w:lineRule="auto"/>
              <w:jc w:val="center"/>
              <w:rPr>
                <w:rFonts w:asciiTheme="minorEastAsia" w:hAnsiTheme="minorEastAsia" w:eastAsiaTheme="minorEastAsia" w:cstheme="minorEastAsia"/>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7E4A133">
            <w:pPr>
              <w:spacing w:line="360" w:lineRule="auto"/>
              <w:jc w:val="center"/>
              <w:rPr>
                <w:rFonts w:asciiTheme="minorEastAsia" w:hAnsiTheme="minorEastAsia" w:eastAsiaTheme="minorEastAsia" w:cstheme="minorEastAsia"/>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B2EFEEE">
            <w:pPr>
              <w:spacing w:line="360" w:lineRule="auto"/>
              <w:jc w:val="center"/>
              <w:rPr>
                <w:rFonts w:asciiTheme="minorEastAsia" w:hAnsiTheme="minorEastAsia" w:eastAsiaTheme="minorEastAsia" w:cstheme="minorEastAsia"/>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B18924D">
            <w:pPr>
              <w:spacing w:line="360" w:lineRule="auto"/>
              <w:jc w:val="center"/>
              <w:rPr>
                <w:rFonts w:asciiTheme="minorEastAsia" w:hAnsiTheme="minorEastAsia" w:eastAsiaTheme="minorEastAsia" w:cstheme="minorEastAsia"/>
                <w:color w:val="auto"/>
                <w:kern w:val="0"/>
                <w:sz w:val="24"/>
                <w:highlight w:val="none"/>
              </w:rPr>
            </w:pPr>
          </w:p>
        </w:tc>
      </w:tr>
      <w:tr w14:paraId="480DB719">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7493B9B">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930EF2F">
            <w:pPr>
              <w:spacing w:line="360" w:lineRule="auto"/>
              <w:jc w:val="center"/>
              <w:rPr>
                <w:rFonts w:asciiTheme="minorEastAsia" w:hAnsiTheme="minorEastAsia" w:eastAsiaTheme="minorEastAsia" w:cstheme="minorEastAsia"/>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C34C3D1">
            <w:pPr>
              <w:spacing w:line="360" w:lineRule="auto"/>
              <w:jc w:val="center"/>
              <w:rPr>
                <w:rFonts w:asciiTheme="minorEastAsia" w:hAnsiTheme="minorEastAsia" w:eastAsiaTheme="minorEastAsia" w:cstheme="minorEastAsia"/>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659C3D6">
            <w:pPr>
              <w:spacing w:line="360" w:lineRule="auto"/>
              <w:jc w:val="center"/>
              <w:rPr>
                <w:rFonts w:asciiTheme="minorEastAsia" w:hAnsiTheme="minorEastAsia" w:eastAsiaTheme="minorEastAsia" w:cstheme="minorEastAsia"/>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9B627D">
            <w:pPr>
              <w:spacing w:line="360" w:lineRule="auto"/>
              <w:jc w:val="center"/>
              <w:rPr>
                <w:rFonts w:asciiTheme="minorEastAsia" w:hAnsiTheme="minorEastAsia" w:eastAsiaTheme="minorEastAsia" w:cstheme="minorEastAsia"/>
                <w:color w:val="auto"/>
                <w:kern w:val="0"/>
                <w:sz w:val="24"/>
                <w:highlight w:val="none"/>
              </w:rPr>
            </w:pPr>
          </w:p>
        </w:tc>
      </w:tr>
    </w:tbl>
    <w:p w14:paraId="7937BBD0">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51A59C4E">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45A30E9">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2.本表所指的控股关系仅限于直接控股关系，不包括间接的控股关系。公司实际控制人与公司之间的关系不属于本表所指的直接控股关系。</w:t>
      </w:r>
    </w:p>
    <w:p w14:paraId="4179D9EA">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3.供应商不存在直接控股股东的，则填“无”。</w:t>
      </w:r>
    </w:p>
    <w:p w14:paraId="2E692BF2">
      <w:pPr>
        <w:snapToGrid w:val="0"/>
        <w:spacing w:line="360" w:lineRule="auto"/>
        <w:jc w:val="left"/>
        <w:rPr>
          <w:rFonts w:asciiTheme="minorEastAsia" w:hAnsiTheme="minorEastAsia" w:eastAsiaTheme="minorEastAsia" w:cstheme="minorEastAsia"/>
          <w:color w:val="auto"/>
          <w:sz w:val="24"/>
          <w:highlight w:val="none"/>
        </w:rPr>
      </w:pPr>
    </w:p>
    <w:p w14:paraId="264CBAC9">
      <w:pPr>
        <w:snapToGrid w:val="0"/>
        <w:spacing w:line="360" w:lineRule="auto"/>
        <w:jc w:val="left"/>
        <w:rPr>
          <w:rFonts w:asciiTheme="minorEastAsia" w:hAnsiTheme="minorEastAsia" w:eastAsiaTheme="minorEastAsia" w:cstheme="minorEastAsia"/>
          <w:color w:val="auto"/>
          <w:sz w:val="24"/>
          <w:highlight w:val="none"/>
        </w:rPr>
      </w:pPr>
    </w:p>
    <w:p w14:paraId="710E1A7A">
      <w:pPr>
        <w:snapToGrid w:val="0"/>
        <w:spacing w:line="360" w:lineRule="auto"/>
        <w:ind w:firstLine="5040" w:firstLineChars="2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7C2A6CBD">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1090490A">
      <w:pPr>
        <w:snapToGrid w:val="0"/>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26794AD2">
      <w:pPr>
        <w:snapToGrid w:val="0"/>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六、投标人直接管理关系信息表</w:t>
      </w:r>
    </w:p>
    <w:tbl>
      <w:tblPr>
        <w:tblStyle w:val="23"/>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7C191B76">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5DC947A">
            <w:pPr>
              <w:spacing w:line="360" w:lineRule="auto"/>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8DE1302">
            <w:pPr>
              <w:spacing w:line="360" w:lineRule="auto"/>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545CBBA">
            <w:pPr>
              <w:spacing w:line="360" w:lineRule="auto"/>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78B78327">
            <w:pPr>
              <w:spacing w:line="360" w:lineRule="auto"/>
              <w:jc w:val="center"/>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备注</w:t>
            </w:r>
          </w:p>
        </w:tc>
      </w:tr>
      <w:tr w14:paraId="22E8160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EC9A758">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8F84F03">
            <w:pPr>
              <w:spacing w:line="360" w:lineRule="auto"/>
              <w:jc w:val="center"/>
              <w:rPr>
                <w:rFonts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087B75C">
            <w:pPr>
              <w:spacing w:line="360" w:lineRule="auto"/>
              <w:jc w:val="center"/>
              <w:rPr>
                <w:rFonts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9E5ADA7">
            <w:pPr>
              <w:spacing w:line="360" w:lineRule="auto"/>
              <w:jc w:val="center"/>
              <w:rPr>
                <w:rFonts w:asciiTheme="minorEastAsia" w:hAnsiTheme="minorEastAsia" w:eastAsiaTheme="minorEastAsia" w:cstheme="minorEastAsia"/>
                <w:color w:val="auto"/>
                <w:kern w:val="0"/>
                <w:sz w:val="24"/>
                <w:highlight w:val="none"/>
              </w:rPr>
            </w:pPr>
          </w:p>
        </w:tc>
      </w:tr>
      <w:tr w14:paraId="5F81B3D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24D252E">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4E3E5DB">
            <w:pPr>
              <w:spacing w:line="360" w:lineRule="auto"/>
              <w:jc w:val="center"/>
              <w:rPr>
                <w:rFonts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6D046CF">
            <w:pPr>
              <w:spacing w:line="360" w:lineRule="auto"/>
              <w:jc w:val="center"/>
              <w:rPr>
                <w:rFonts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D79FE44">
            <w:pPr>
              <w:spacing w:line="360" w:lineRule="auto"/>
              <w:jc w:val="center"/>
              <w:rPr>
                <w:rFonts w:asciiTheme="minorEastAsia" w:hAnsiTheme="minorEastAsia" w:eastAsiaTheme="minorEastAsia" w:cstheme="minorEastAsia"/>
                <w:color w:val="auto"/>
                <w:kern w:val="0"/>
                <w:sz w:val="24"/>
                <w:highlight w:val="none"/>
              </w:rPr>
            </w:pPr>
          </w:p>
        </w:tc>
      </w:tr>
      <w:tr w14:paraId="2BA5F00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1B05D03">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E74221D">
            <w:pPr>
              <w:spacing w:line="360" w:lineRule="auto"/>
              <w:jc w:val="center"/>
              <w:rPr>
                <w:rFonts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019A674">
            <w:pPr>
              <w:spacing w:line="360" w:lineRule="auto"/>
              <w:jc w:val="center"/>
              <w:rPr>
                <w:rFonts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53E3E2B">
            <w:pPr>
              <w:spacing w:line="360" w:lineRule="auto"/>
              <w:jc w:val="center"/>
              <w:rPr>
                <w:rFonts w:asciiTheme="minorEastAsia" w:hAnsiTheme="minorEastAsia" w:eastAsiaTheme="minorEastAsia" w:cstheme="minorEastAsia"/>
                <w:color w:val="auto"/>
                <w:kern w:val="0"/>
                <w:sz w:val="24"/>
                <w:highlight w:val="none"/>
              </w:rPr>
            </w:pPr>
          </w:p>
        </w:tc>
      </w:tr>
      <w:tr w14:paraId="323EFF2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225A6EAC">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8050444">
            <w:pPr>
              <w:spacing w:line="360" w:lineRule="auto"/>
              <w:jc w:val="center"/>
              <w:rPr>
                <w:rFonts w:asciiTheme="minorEastAsia" w:hAnsiTheme="minorEastAsia" w:eastAsiaTheme="minorEastAsia" w:cstheme="minorEastAsia"/>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CDB4E82">
            <w:pPr>
              <w:spacing w:line="360" w:lineRule="auto"/>
              <w:jc w:val="center"/>
              <w:rPr>
                <w:rFonts w:asciiTheme="minorEastAsia" w:hAnsiTheme="minorEastAsia" w:eastAsiaTheme="minorEastAsia" w:cstheme="minorEastAsia"/>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A382D6C">
            <w:pPr>
              <w:spacing w:line="360" w:lineRule="auto"/>
              <w:jc w:val="center"/>
              <w:rPr>
                <w:rFonts w:asciiTheme="minorEastAsia" w:hAnsiTheme="minorEastAsia" w:eastAsiaTheme="minorEastAsia" w:cstheme="minorEastAsia"/>
                <w:color w:val="auto"/>
                <w:kern w:val="0"/>
                <w:sz w:val="24"/>
                <w:highlight w:val="none"/>
              </w:rPr>
            </w:pPr>
          </w:p>
        </w:tc>
      </w:tr>
    </w:tbl>
    <w:p w14:paraId="5B298759">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w:t>
      </w:r>
    </w:p>
    <w:p w14:paraId="04FA1DA9">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1.管理关系：是指不具有出资持股关系的其他单位之间存在的管理与被管理关系，如一些上下级关系的事业单位和团体组织。</w:t>
      </w:r>
    </w:p>
    <w:p w14:paraId="52CF95B4">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pacing w:val="-6"/>
          <w:sz w:val="24"/>
          <w:highlight w:val="none"/>
        </w:rPr>
        <w:t>本表所指的管理关系仅限于直接管理关系，不包括间接的管理关系。</w:t>
      </w:r>
    </w:p>
    <w:p w14:paraId="65A66313">
      <w:pPr>
        <w:snapToGrid w:val="0"/>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3.供应商不存在直接管理关系的，则填“无”。</w:t>
      </w:r>
    </w:p>
    <w:p w14:paraId="01891515">
      <w:pPr>
        <w:snapToGrid w:val="0"/>
        <w:spacing w:line="360" w:lineRule="auto"/>
        <w:jc w:val="left"/>
        <w:rPr>
          <w:rFonts w:asciiTheme="minorEastAsia" w:hAnsiTheme="minorEastAsia" w:eastAsiaTheme="minorEastAsia" w:cstheme="minorEastAsia"/>
          <w:color w:val="auto"/>
          <w:sz w:val="24"/>
          <w:highlight w:val="none"/>
        </w:rPr>
      </w:pPr>
    </w:p>
    <w:p w14:paraId="30AD5B31">
      <w:pPr>
        <w:snapToGrid w:val="0"/>
        <w:spacing w:line="360" w:lineRule="auto"/>
        <w:jc w:val="left"/>
        <w:rPr>
          <w:rFonts w:asciiTheme="minorEastAsia" w:hAnsiTheme="minorEastAsia" w:eastAsiaTheme="minorEastAsia" w:cstheme="minorEastAsia"/>
          <w:color w:val="auto"/>
          <w:sz w:val="24"/>
          <w:highlight w:val="none"/>
        </w:rPr>
      </w:pPr>
    </w:p>
    <w:p w14:paraId="7D516D1C">
      <w:pPr>
        <w:snapToGrid w:val="0"/>
        <w:spacing w:line="360" w:lineRule="auto"/>
        <w:jc w:val="left"/>
        <w:rPr>
          <w:rFonts w:asciiTheme="minorEastAsia" w:hAnsiTheme="minorEastAsia" w:eastAsiaTheme="minorEastAsia" w:cstheme="minorEastAsia"/>
          <w:color w:val="auto"/>
          <w:sz w:val="24"/>
          <w:highlight w:val="none"/>
        </w:rPr>
      </w:pPr>
    </w:p>
    <w:p w14:paraId="5B81E9D7">
      <w:pPr>
        <w:snapToGrid w:val="0"/>
        <w:spacing w:line="360" w:lineRule="auto"/>
        <w:jc w:val="left"/>
        <w:rPr>
          <w:rFonts w:asciiTheme="minorEastAsia" w:hAnsiTheme="minorEastAsia" w:eastAsiaTheme="minorEastAsia" w:cstheme="minorEastAsia"/>
          <w:color w:val="auto"/>
          <w:sz w:val="24"/>
          <w:highlight w:val="none"/>
        </w:rPr>
      </w:pPr>
    </w:p>
    <w:p w14:paraId="39C6E2FF">
      <w:pPr>
        <w:snapToGrid w:val="0"/>
        <w:spacing w:line="360" w:lineRule="auto"/>
        <w:jc w:val="left"/>
        <w:rPr>
          <w:rFonts w:asciiTheme="minorEastAsia" w:hAnsiTheme="minorEastAsia" w:eastAsiaTheme="minorEastAsia" w:cstheme="minorEastAsia"/>
          <w:color w:val="auto"/>
          <w:sz w:val="24"/>
          <w:highlight w:val="none"/>
        </w:rPr>
      </w:pPr>
    </w:p>
    <w:p w14:paraId="5146FD5D">
      <w:pPr>
        <w:snapToGrid w:val="0"/>
        <w:spacing w:line="360" w:lineRule="auto"/>
        <w:jc w:val="left"/>
        <w:rPr>
          <w:rFonts w:asciiTheme="minorEastAsia" w:hAnsiTheme="minorEastAsia" w:eastAsiaTheme="minorEastAsia" w:cstheme="minorEastAsia"/>
          <w:color w:val="auto"/>
          <w:sz w:val="24"/>
          <w:highlight w:val="none"/>
        </w:rPr>
      </w:pPr>
    </w:p>
    <w:p w14:paraId="0053AE59">
      <w:pPr>
        <w:snapToGrid w:val="0"/>
        <w:spacing w:line="360" w:lineRule="auto"/>
        <w:jc w:val="left"/>
        <w:rPr>
          <w:rFonts w:asciiTheme="minorEastAsia" w:hAnsiTheme="minorEastAsia" w:eastAsiaTheme="minorEastAsia" w:cstheme="minorEastAsia"/>
          <w:color w:val="auto"/>
          <w:sz w:val="24"/>
          <w:highlight w:val="none"/>
        </w:rPr>
      </w:pPr>
    </w:p>
    <w:p w14:paraId="1CB560BA">
      <w:pPr>
        <w:snapToGrid w:val="0"/>
        <w:spacing w:line="360" w:lineRule="auto"/>
        <w:jc w:val="left"/>
        <w:rPr>
          <w:rFonts w:asciiTheme="minorEastAsia" w:hAnsiTheme="minorEastAsia" w:eastAsiaTheme="minorEastAsia" w:cstheme="minorEastAsia"/>
          <w:color w:val="auto"/>
          <w:sz w:val="24"/>
          <w:highlight w:val="none"/>
        </w:rPr>
      </w:pPr>
    </w:p>
    <w:p w14:paraId="0911223B">
      <w:pPr>
        <w:snapToGrid w:val="0"/>
        <w:spacing w:line="360" w:lineRule="auto"/>
        <w:ind w:firstLine="5040" w:firstLineChars="2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1AE40693">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7D632B87">
      <w:pPr>
        <w:snapToGrid w:val="0"/>
        <w:spacing w:before="50" w:afterLines="50"/>
        <w:jc w:val="left"/>
        <w:rPr>
          <w:rFonts w:asciiTheme="minorEastAsia" w:hAnsiTheme="minorEastAsia" w:eastAsiaTheme="minorEastAsia" w:cstheme="minorEastAsia"/>
          <w:color w:val="auto"/>
          <w:szCs w:val="21"/>
          <w:highlight w:val="none"/>
        </w:rPr>
      </w:pPr>
    </w:p>
    <w:p w14:paraId="6DAD7911">
      <w:pPr>
        <w:snapToGrid w:val="0"/>
        <w:spacing w:beforeLines="50" w:after="50"/>
        <w:jc w:val="left"/>
        <w:rPr>
          <w:rFonts w:asciiTheme="minorEastAsia" w:hAnsiTheme="minorEastAsia" w:eastAsiaTheme="minorEastAsia" w:cstheme="minorEastAsia"/>
          <w:b/>
          <w:color w:val="auto"/>
          <w:sz w:val="24"/>
          <w:szCs w:val="20"/>
          <w:highlight w:val="none"/>
        </w:rPr>
      </w:pPr>
    </w:p>
    <w:p w14:paraId="0FE9837B">
      <w:pPr>
        <w:snapToGrid w:val="0"/>
        <w:spacing w:beforeLines="50" w:after="50"/>
        <w:jc w:val="left"/>
        <w:rPr>
          <w:rFonts w:asciiTheme="minorEastAsia" w:hAnsiTheme="minorEastAsia" w:eastAsiaTheme="minorEastAsia" w:cstheme="minorEastAsia"/>
          <w:b/>
          <w:color w:val="auto"/>
          <w:sz w:val="24"/>
          <w:highlight w:val="none"/>
        </w:rPr>
      </w:pPr>
    </w:p>
    <w:p w14:paraId="7D50A99A">
      <w:pPr>
        <w:snapToGrid w:val="0"/>
        <w:spacing w:beforeLines="50" w:after="50"/>
        <w:jc w:val="left"/>
        <w:rPr>
          <w:rFonts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xml:space="preserve"> </w:t>
      </w:r>
    </w:p>
    <w:p w14:paraId="402C3A3F">
      <w:pPr>
        <w:snapToGrid w:val="0"/>
        <w:spacing w:beforeLines="50" w:after="50"/>
        <w:jc w:val="left"/>
        <w:rPr>
          <w:rFonts w:asciiTheme="minorEastAsia" w:hAnsiTheme="minorEastAsia" w:eastAsiaTheme="minorEastAsia" w:cstheme="minorEastAsia"/>
          <w:b/>
          <w:color w:val="auto"/>
          <w:sz w:val="24"/>
          <w:szCs w:val="20"/>
          <w:highlight w:val="none"/>
        </w:rPr>
      </w:pPr>
    </w:p>
    <w:p w14:paraId="5A5F16AE">
      <w:pPr>
        <w:snapToGrid w:val="0"/>
        <w:spacing w:beforeLines="50" w:after="50"/>
        <w:jc w:val="left"/>
        <w:rPr>
          <w:rFonts w:asciiTheme="minorEastAsia" w:hAnsiTheme="minorEastAsia" w:eastAsiaTheme="minorEastAsia" w:cstheme="minorEastAsia"/>
          <w:b/>
          <w:color w:val="auto"/>
          <w:sz w:val="24"/>
          <w:szCs w:val="20"/>
          <w:highlight w:val="none"/>
        </w:rPr>
      </w:pPr>
    </w:p>
    <w:p w14:paraId="0A3A668A">
      <w:pPr>
        <w:snapToGrid w:val="0"/>
        <w:spacing w:before="50" w:afterLines="50"/>
        <w:jc w:val="left"/>
        <w:rPr>
          <w:rFonts w:asciiTheme="minorEastAsia" w:hAnsiTheme="minorEastAsia" w:eastAsiaTheme="minorEastAsia" w:cstheme="minorEastAsia"/>
          <w:color w:val="auto"/>
          <w:highlight w:val="none"/>
        </w:rPr>
      </w:pPr>
    </w:p>
    <w:p w14:paraId="7836D2B2">
      <w:pPr>
        <w:snapToGrid w:val="0"/>
        <w:spacing w:before="50" w:afterLines="50"/>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七、投标资格声明函</w:t>
      </w:r>
    </w:p>
    <w:p w14:paraId="25ADE691">
      <w:pPr>
        <w:tabs>
          <w:tab w:val="left" w:pos="7200"/>
        </w:tabs>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致：</w:t>
      </w:r>
      <w:bookmarkStart w:id="308" w:name="PO_3000001866_PM031_5"/>
      <w:r>
        <w:rPr>
          <w:rFonts w:hint="eastAsia" w:asciiTheme="minorEastAsia" w:hAnsiTheme="minorEastAsia" w:eastAsiaTheme="minorEastAsia" w:cstheme="minorEastAsia"/>
          <w:color w:val="auto"/>
          <w:szCs w:val="21"/>
          <w:highlight w:val="none"/>
          <w:u w:val="single"/>
        </w:rPr>
        <w:t>广西建设工程机电设备招标中心有限公司</w:t>
      </w:r>
      <w:bookmarkEnd w:id="308"/>
      <w:r>
        <w:rPr>
          <w:rFonts w:hint="eastAsia" w:asciiTheme="minorEastAsia" w:hAnsiTheme="minorEastAsia" w:eastAsiaTheme="minorEastAsia" w:cstheme="minorEastAsia"/>
          <w:color w:val="auto"/>
          <w:szCs w:val="21"/>
          <w:highlight w:val="none"/>
          <w:u w:val="single"/>
        </w:rPr>
        <w:t xml:space="preserve"> </w:t>
      </w:r>
    </w:p>
    <w:p w14:paraId="5C51AAB7">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我方愿意参加贵方组织的_</w:t>
      </w:r>
      <w:r>
        <w:rPr>
          <w:rFonts w:hint="eastAsia" w:asciiTheme="minorEastAsia" w:hAnsiTheme="minorEastAsia" w:eastAsiaTheme="minorEastAsia" w:cstheme="minorEastAsia"/>
          <w:color w:val="auto"/>
          <w:szCs w:val="21"/>
          <w:highlight w:val="none"/>
          <w:u w:val="single"/>
        </w:rPr>
        <w:t xml:space="preserve">南宁市2025年政府和社会资本合作新机制项目实施方案评审服务 </w:t>
      </w:r>
      <w:r>
        <w:rPr>
          <w:rFonts w:hint="eastAsia" w:asciiTheme="minorEastAsia" w:hAnsiTheme="minorEastAsia" w:eastAsiaTheme="minorEastAsia" w:cstheme="minorEastAsia"/>
          <w:color w:val="auto"/>
          <w:szCs w:val="21"/>
          <w:highlight w:val="none"/>
        </w:rPr>
        <w:t>_（项目编号：NNZC2025-G3-990774-JGJD ）项目的投标，为便于贵方公正、择优地确定中标人，我方就本次投标有关事项郑重声明如下：</w:t>
      </w:r>
    </w:p>
    <w:p w14:paraId="5AD0A6CC">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23916568">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我方不是采购人的附属机构；在获知本项目采购信息后，与采购人聘请的为此项目提供咨询服务的公司及其附属机构没有任何联系。</w:t>
      </w:r>
    </w:p>
    <w:p w14:paraId="2AACDCB4">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3.经查询，在“信用中国”和“中国政府采购网”网站我方未被列入失信被执行人、重大税收违法案件当事人名单、政府采购严重违法失信行为记录名单。</w:t>
      </w:r>
    </w:p>
    <w:p w14:paraId="3D1ACAAE">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4.以上事项如有虚假或隐瞒，我方愿意承担一切后果，并不再寻求任何旨在减轻或免除法律责任的辩解。 </w:t>
      </w:r>
    </w:p>
    <w:p w14:paraId="1B557B96">
      <w:pPr>
        <w:tabs>
          <w:tab w:val="left" w:pos="7200"/>
        </w:tabs>
        <w:ind w:firstLine="270" w:firstLineChars="150"/>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说明：</w:t>
      </w:r>
    </w:p>
    <w:p w14:paraId="60B9B559">
      <w:pPr>
        <w:ind w:firstLine="360" w:firstLineChars="200"/>
        <w:jc w:val="left"/>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25000E90">
      <w:pPr>
        <w:ind w:firstLine="360" w:firstLineChars="200"/>
        <w:jc w:val="left"/>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2A98D25">
      <w:pPr>
        <w:snapToGrid w:val="0"/>
        <w:spacing w:before="50" w:afterLines="50"/>
        <w:jc w:val="left"/>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 </w:t>
      </w:r>
      <w:r>
        <w:rPr>
          <w:rFonts w:hint="eastAsia" w:asciiTheme="minorEastAsia" w:hAnsiTheme="minorEastAsia" w:eastAsiaTheme="minorEastAsia" w:cstheme="minorEastAsia"/>
          <w:b/>
          <w:color w:val="auto"/>
          <w:sz w:val="18"/>
          <w:szCs w:val="18"/>
          <w:highlight w:val="none"/>
        </w:rPr>
        <w:t xml:space="preserve">  3.如为联合体投标，盖章处须加盖联合体各方公章并由联合体各方法定代表人分别签署，否则投标无效。</w:t>
      </w:r>
    </w:p>
    <w:p w14:paraId="557A1819">
      <w:pPr>
        <w:snapToGrid w:val="0"/>
        <w:spacing w:before="50" w:afterLines="100"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256FD0E6">
      <w:pPr>
        <w:snapToGrid w:val="0"/>
        <w:spacing w:before="50" w:afterLines="100" w:line="360" w:lineRule="auto"/>
        <w:ind w:left="7428" w:leftChars="2223" w:hanging="2760" w:hangingChars="115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r>
        <w:rPr>
          <w:rFonts w:hint="eastAsia" w:asciiTheme="minorEastAsia" w:hAnsiTheme="minorEastAsia" w:eastAsiaTheme="minorEastAsia" w:cstheme="minorEastAsia"/>
          <w:color w:val="auto"/>
          <w:szCs w:val="21"/>
          <w:highlight w:val="none"/>
        </w:rPr>
        <w:t xml:space="preserve">                                     年    月    日</w:t>
      </w:r>
    </w:p>
    <w:p w14:paraId="7FC0E972">
      <w:pPr>
        <w:pStyle w:val="12"/>
        <w:spacing w:line="600" w:lineRule="exact"/>
        <w:jc w:val="center"/>
        <w:rPr>
          <w:rFonts w:asciiTheme="minorEastAsia" w:hAnsiTheme="minorEastAsia" w:eastAsiaTheme="minorEastAsia" w:cstheme="minorEastAsia"/>
          <w:b/>
          <w:bCs/>
          <w:color w:val="auto"/>
          <w:sz w:val="30"/>
          <w:szCs w:val="30"/>
          <w:highlight w:val="none"/>
        </w:rPr>
      </w:pPr>
    </w:p>
    <w:p w14:paraId="786267C6">
      <w:pPr>
        <w:pStyle w:val="12"/>
        <w:spacing w:line="600" w:lineRule="exact"/>
        <w:jc w:val="center"/>
        <w:rPr>
          <w:rFonts w:asciiTheme="minorEastAsia" w:hAnsiTheme="minorEastAsia" w:eastAsiaTheme="minorEastAsia" w:cstheme="minorEastAsia"/>
          <w:b/>
          <w:bCs/>
          <w:color w:val="auto"/>
          <w:sz w:val="30"/>
          <w:szCs w:val="30"/>
          <w:highlight w:val="none"/>
        </w:rPr>
      </w:pPr>
    </w:p>
    <w:p w14:paraId="3004C40E">
      <w:pPr>
        <w:widowControl/>
        <w:jc w:val="left"/>
        <w:rPr>
          <w:rFonts w:asciiTheme="minorEastAsia" w:hAnsiTheme="minorEastAsia" w:eastAsiaTheme="minorEastAsia" w:cstheme="minorEastAsia"/>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706D7782">
      <w:pPr>
        <w:snapToGrid w:val="0"/>
        <w:spacing w:before="50" w:afterLines="50"/>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八、投标人应为中小微企业/监狱企业/残疾人福利性单位：</w:t>
      </w:r>
    </w:p>
    <w:p w14:paraId="333BA96E">
      <w:pPr>
        <w:pStyle w:val="12"/>
        <w:jc w:val="center"/>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1、中小企业声明函（格式）</w:t>
      </w:r>
    </w:p>
    <w:p w14:paraId="4C5241FD">
      <w:pPr>
        <w:pStyle w:val="12"/>
        <w:jc w:val="center"/>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Cs/>
          <w:i/>
          <w:iCs/>
          <w:color w:val="auto"/>
          <w:sz w:val="30"/>
          <w:szCs w:val="30"/>
          <w:highlight w:val="none"/>
        </w:rPr>
        <w:t>（属于中小企业时提供）</w:t>
      </w:r>
    </w:p>
    <w:p w14:paraId="2DC9B960">
      <w:pPr>
        <w:pStyle w:val="10"/>
        <w:spacing w:line="240" w:lineRule="auto"/>
        <w:ind w:firstLine="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说明：</w:t>
      </w:r>
    </w:p>
    <w:p w14:paraId="315D74BB">
      <w:pPr>
        <w:pStyle w:val="10"/>
        <w:spacing w:line="240" w:lineRule="auto"/>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1、本声明函主要供参加政府采购活动的中小企业填写，非中小企业无需填写。</w:t>
      </w:r>
    </w:p>
    <w:p w14:paraId="0DBA61A5">
      <w:pPr>
        <w:pStyle w:val="10"/>
        <w:spacing w:line="240" w:lineRule="auto"/>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2、小型、微型企业提供中型企业提供的服务的，视同为中型企业。</w:t>
      </w:r>
    </w:p>
    <w:p w14:paraId="6C0A8F5D">
      <w:pPr>
        <w:pStyle w:val="10"/>
        <w:spacing w:line="240" w:lineRule="auto"/>
        <w:ind w:firstLine="404" w:firstLineChars="200"/>
        <w:rPr>
          <w:rFonts w:asciiTheme="minorEastAsia" w:hAnsiTheme="minorEastAsia" w:eastAsiaTheme="minorEastAsia" w:cstheme="minorEastAsia"/>
          <w:color w:val="auto"/>
          <w:sz w:val="21"/>
          <w:szCs w:val="21"/>
          <w:highlight w:val="none"/>
        </w:rPr>
      </w:pPr>
    </w:p>
    <w:p w14:paraId="390EA554">
      <w:pPr>
        <w:pStyle w:val="9"/>
        <w:spacing w:line="500" w:lineRule="exact"/>
        <w:ind w:right="142"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本公司（联合体）郑重声明，根据《政府采购促进中小企业发展管理办法》（财库﹝2020﹞46号）的规定，本公司（联合体）参加</w:t>
      </w:r>
      <w:bookmarkStart w:id="309" w:name="PO_3000001866_PM026_8"/>
      <w:r>
        <w:rPr>
          <w:rFonts w:hint="eastAsia" w:asciiTheme="minorEastAsia" w:hAnsiTheme="minorEastAsia" w:eastAsiaTheme="minorEastAsia" w:cstheme="minorEastAsia"/>
          <w:color w:val="auto"/>
          <w:highlight w:val="none"/>
          <w:u w:val="single"/>
        </w:rPr>
        <w:t>南宁市固定资产投资项目前期服务中心</w:t>
      </w:r>
      <w:bookmarkEnd w:id="309"/>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u w:val="single"/>
        </w:rPr>
        <w:t>南宁市2025年政府和社会资本合作新机制项目实施方案评审服务</w:t>
      </w:r>
      <w:r>
        <w:rPr>
          <w:rFonts w:hint="eastAsia" w:asciiTheme="minorEastAsia" w:hAnsiTheme="minorEastAsia" w:eastAsiaTheme="minorEastAsia" w:cstheme="minorEastAsia"/>
          <w:color w:val="auto"/>
          <w:highlight w:val="none"/>
        </w:rPr>
        <w:t>采购活动，服务全部由符合政策要求的中小企业承接。相关企业（含联合体中的中小企业、签订分包意向协议的中小企业）的具体情况如下：</w:t>
      </w:r>
    </w:p>
    <w:p w14:paraId="33DFCB80">
      <w:pPr>
        <w:tabs>
          <w:tab w:val="left" w:pos="1384"/>
          <w:tab w:val="left" w:pos="4562"/>
          <w:tab w:val="left" w:pos="6803"/>
        </w:tabs>
        <w:spacing w:before="13" w:line="500" w:lineRule="exact"/>
        <w:ind w:right="142" w:firstLine="600" w:firstLineChars="286"/>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u w:val="single"/>
        </w:rPr>
        <w:t>（标的名称）</w:t>
      </w:r>
      <w:r>
        <w:rPr>
          <w:rFonts w:hint="eastAsia" w:asciiTheme="minorEastAsia" w:hAnsiTheme="minorEastAsia" w:eastAsiaTheme="minorEastAsia" w:cstheme="minorEastAsia"/>
          <w:color w:val="auto"/>
          <w:szCs w:val="21"/>
          <w:highlight w:val="none"/>
        </w:rPr>
        <w:t>，属于</w:t>
      </w:r>
      <w:r>
        <w:rPr>
          <w:rFonts w:hint="eastAsia" w:asciiTheme="minorEastAsia" w:hAnsiTheme="minorEastAsia" w:eastAsiaTheme="minorEastAsia" w:cstheme="minorEastAsia"/>
          <w:color w:val="auto"/>
          <w:szCs w:val="21"/>
          <w:highlight w:val="none"/>
          <w:u w:val="single"/>
        </w:rPr>
        <w:t>（采购文件中明确的所属行业）</w:t>
      </w:r>
      <w:r>
        <w:rPr>
          <w:rFonts w:hint="eastAsia" w:asciiTheme="minorEastAsia" w:hAnsiTheme="minorEastAsia" w:eastAsiaTheme="minorEastAsia" w:cstheme="minorEastAsia"/>
          <w:color w:val="auto"/>
          <w:szCs w:val="21"/>
          <w:highlight w:val="none"/>
        </w:rPr>
        <w:t>；承接企业为</w:t>
      </w:r>
      <w:r>
        <w:rPr>
          <w:rFonts w:hint="eastAsia" w:asciiTheme="minorEastAsia" w:hAnsiTheme="minorEastAsia" w:eastAsiaTheme="minorEastAsia" w:cstheme="minorEastAsia"/>
          <w:color w:val="auto"/>
          <w:szCs w:val="21"/>
          <w:highlight w:val="none"/>
          <w:u w:val="single"/>
        </w:rPr>
        <w:t>（企业名称）</w:t>
      </w:r>
      <w:r>
        <w:rPr>
          <w:rFonts w:hint="eastAsia" w:asciiTheme="minorEastAsia" w:hAnsiTheme="minorEastAsia" w:eastAsiaTheme="minorEastAsia" w:cstheme="minorEastAsia"/>
          <w:color w:val="auto"/>
          <w:szCs w:val="21"/>
          <w:highlight w:val="none"/>
        </w:rPr>
        <w:t>，从业人员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人，营业收入为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万元，资产总额为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万元，属于</w:t>
      </w:r>
      <w:r>
        <w:rPr>
          <w:rFonts w:hint="eastAsia" w:asciiTheme="minorEastAsia" w:hAnsiTheme="minorEastAsia" w:eastAsiaTheme="minorEastAsia" w:cstheme="minorEastAsia"/>
          <w:color w:val="auto"/>
          <w:szCs w:val="21"/>
          <w:highlight w:val="none"/>
          <w:u w:val="single"/>
        </w:rPr>
        <w:t>（中型企业、小型企业、微型企业）</w:t>
      </w:r>
      <w:r>
        <w:rPr>
          <w:rFonts w:hint="eastAsia" w:asciiTheme="minorEastAsia" w:hAnsiTheme="minorEastAsia" w:eastAsiaTheme="minorEastAsia" w:cstheme="minorEastAsia"/>
          <w:color w:val="auto"/>
          <w:szCs w:val="21"/>
          <w:highlight w:val="none"/>
        </w:rPr>
        <w:t>；</w:t>
      </w:r>
    </w:p>
    <w:p w14:paraId="6DFD326D">
      <w:pPr>
        <w:tabs>
          <w:tab w:val="left" w:pos="1065"/>
          <w:tab w:val="left" w:pos="4262"/>
          <w:tab w:val="left" w:pos="6477"/>
        </w:tabs>
        <w:spacing w:before="20" w:line="500" w:lineRule="exact"/>
        <w:ind w:right="84" w:firstLine="600" w:firstLineChars="286"/>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u w:val="single"/>
        </w:rPr>
        <w:t>（标的名称）</w:t>
      </w:r>
      <w:r>
        <w:rPr>
          <w:rFonts w:hint="eastAsia" w:asciiTheme="minorEastAsia" w:hAnsiTheme="minorEastAsia" w:eastAsiaTheme="minorEastAsia" w:cstheme="minorEastAsia"/>
          <w:color w:val="auto"/>
          <w:szCs w:val="21"/>
          <w:highlight w:val="none"/>
        </w:rPr>
        <w:t>，属于</w:t>
      </w:r>
      <w:r>
        <w:rPr>
          <w:rFonts w:hint="eastAsia" w:asciiTheme="minorEastAsia" w:hAnsiTheme="minorEastAsia" w:eastAsiaTheme="minorEastAsia" w:cstheme="minorEastAsia"/>
          <w:color w:val="auto"/>
          <w:szCs w:val="21"/>
          <w:highlight w:val="none"/>
          <w:u w:val="single"/>
        </w:rPr>
        <w:t>（采购文件中明确的所属行业）</w:t>
      </w:r>
      <w:r>
        <w:rPr>
          <w:rFonts w:hint="eastAsia" w:asciiTheme="minorEastAsia" w:hAnsiTheme="minorEastAsia" w:eastAsiaTheme="minorEastAsia" w:cstheme="minorEastAsia"/>
          <w:color w:val="auto"/>
          <w:szCs w:val="21"/>
          <w:highlight w:val="none"/>
        </w:rPr>
        <w:t>；承接企业为</w:t>
      </w:r>
      <w:r>
        <w:rPr>
          <w:rFonts w:hint="eastAsia" w:asciiTheme="minorEastAsia" w:hAnsiTheme="minorEastAsia" w:eastAsiaTheme="minorEastAsia" w:cstheme="minorEastAsia"/>
          <w:color w:val="auto"/>
          <w:szCs w:val="21"/>
          <w:highlight w:val="none"/>
          <w:u w:val="single"/>
        </w:rPr>
        <w:t>（企业名称）</w:t>
      </w:r>
      <w:r>
        <w:rPr>
          <w:rFonts w:hint="eastAsia" w:asciiTheme="minorEastAsia" w:hAnsiTheme="minorEastAsia" w:eastAsiaTheme="minorEastAsia" w:cstheme="minorEastAsia"/>
          <w:color w:val="auto"/>
          <w:szCs w:val="21"/>
          <w:highlight w:val="none"/>
        </w:rPr>
        <w:t>，从业人员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人，营业收入为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万元，资产总额为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万元，属于</w:t>
      </w:r>
      <w:r>
        <w:rPr>
          <w:rFonts w:hint="eastAsia" w:asciiTheme="minorEastAsia" w:hAnsiTheme="minorEastAsia" w:eastAsiaTheme="minorEastAsia" w:cstheme="minorEastAsia"/>
          <w:color w:val="auto"/>
          <w:szCs w:val="21"/>
          <w:highlight w:val="none"/>
          <w:u w:val="single"/>
        </w:rPr>
        <w:t>（中型企业、小型企业、微型企业）</w:t>
      </w:r>
      <w:r>
        <w:rPr>
          <w:rFonts w:hint="eastAsia" w:asciiTheme="minorEastAsia" w:hAnsiTheme="minorEastAsia" w:eastAsiaTheme="minorEastAsia" w:cstheme="minorEastAsia"/>
          <w:color w:val="auto"/>
          <w:szCs w:val="21"/>
          <w:highlight w:val="none"/>
        </w:rPr>
        <w:t>；</w:t>
      </w:r>
    </w:p>
    <w:p w14:paraId="1E265598">
      <w:pPr>
        <w:pStyle w:val="9"/>
        <w:spacing w:before="34" w:line="500" w:lineRule="exact"/>
        <w:ind w:left="765" w:right="142" w:hanging="5"/>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7BAA3811">
      <w:pPr>
        <w:pStyle w:val="9"/>
        <w:spacing w:before="34" w:line="500" w:lineRule="exact"/>
        <w:ind w:right="142"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以上企业，不属于大企业的分支机构，不存在控股股东为大企业的情形，也不存在与大企业的负责人为同一人的情形。</w:t>
      </w:r>
    </w:p>
    <w:p w14:paraId="6C92D849">
      <w:pPr>
        <w:pStyle w:val="9"/>
        <w:spacing w:before="34" w:line="500" w:lineRule="exact"/>
        <w:ind w:right="142"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本企业对上述声明内容的真实性负责。如有虚假，将依法承担相应责任。</w:t>
      </w:r>
    </w:p>
    <w:p w14:paraId="1A43FA1A">
      <w:pPr>
        <w:pStyle w:val="12"/>
        <w:spacing w:line="360" w:lineRule="auto"/>
        <w:ind w:firstLine="420" w:firstLineChars="200"/>
        <w:rPr>
          <w:rFonts w:asciiTheme="minorEastAsia" w:hAnsiTheme="minorEastAsia" w:eastAsiaTheme="minorEastAsia" w:cstheme="minorEastAsia"/>
          <w:color w:val="auto"/>
          <w:szCs w:val="21"/>
          <w:highlight w:val="none"/>
        </w:rPr>
      </w:pPr>
    </w:p>
    <w:p w14:paraId="50C282A7">
      <w:pPr>
        <w:pStyle w:val="12"/>
        <w:spacing w:line="360" w:lineRule="auto"/>
        <w:ind w:firstLine="420" w:firstLineChars="200"/>
        <w:rPr>
          <w:rFonts w:asciiTheme="minorEastAsia" w:hAnsiTheme="minorEastAsia" w:eastAsiaTheme="minorEastAsia" w:cstheme="minorEastAsia"/>
          <w:color w:val="auto"/>
          <w:szCs w:val="21"/>
          <w:highlight w:val="none"/>
        </w:rPr>
      </w:pPr>
    </w:p>
    <w:p w14:paraId="0A01C8B6">
      <w:pPr>
        <w:snapToGrid w:val="0"/>
        <w:spacing w:line="360" w:lineRule="auto"/>
        <w:ind w:firstLine="5040" w:firstLineChars="2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2C9BF4DC">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715151FE">
      <w:pPr>
        <w:pStyle w:val="12"/>
        <w:spacing w:line="360" w:lineRule="auto"/>
        <w:ind w:firstLine="420" w:firstLineChars="200"/>
        <w:rPr>
          <w:rFonts w:asciiTheme="minorEastAsia" w:hAnsiTheme="minorEastAsia" w:eastAsiaTheme="minorEastAsia" w:cstheme="minorEastAsia"/>
          <w:color w:val="auto"/>
          <w:szCs w:val="21"/>
          <w:highlight w:val="none"/>
        </w:rPr>
      </w:pPr>
    </w:p>
    <w:p w14:paraId="78EAEAC3">
      <w:pPr>
        <w:snapToGrid w:val="0"/>
        <w:spacing w:before="50" w:afterLines="50" w:line="360" w:lineRule="auto"/>
        <w:jc w:val="left"/>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注：</w:t>
      </w:r>
    </w:p>
    <w:p w14:paraId="39B44EBB">
      <w:pPr>
        <w:numPr>
          <w:ilvl w:val="0"/>
          <w:numId w:val="6"/>
        </w:numPr>
        <w:snapToGrid w:val="0"/>
        <w:spacing w:before="50" w:afterLines="50" w:line="360" w:lineRule="auto"/>
        <w:ind w:left="660" w:hanging="360"/>
        <w:jc w:val="left"/>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从业人员、营业收入、资产总额填报上一年度数据，无上一年度数据的新成立企业可不填报。</w:t>
      </w:r>
    </w:p>
    <w:p w14:paraId="18A672C0">
      <w:pPr>
        <w:snapToGrid w:val="0"/>
        <w:spacing w:before="50" w:afterLines="50" w:line="360" w:lineRule="auto"/>
        <w:ind w:firstLine="300" w:firstLineChars="150"/>
        <w:jc w:val="left"/>
        <w:rPr>
          <w:rFonts w:asciiTheme="minorEastAsia" w:hAnsiTheme="minorEastAsia" w:eastAsiaTheme="minorEastAsia" w:cstheme="minorEastAsia"/>
          <w:color w:val="auto"/>
          <w:sz w:val="20"/>
          <w:highlight w:val="none"/>
        </w:rPr>
      </w:pPr>
      <w:r>
        <w:rPr>
          <w:rFonts w:hint="eastAsia" w:asciiTheme="minorEastAsia" w:hAnsiTheme="minorEastAsia" w:eastAsiaTheme="minorEastAsia" w:cstheme="minorEastAsia"/>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218F3F42">
      <w:pPr>
        <w:widowControl/>
        <w:spacing w:line="360" w:lineRule="auto"/>
        <w:jc w:val="left"/>
        <w:rPr>
          <w:rFonts w:asciiTheme="minorEastAsia" w:hAnsiTheme="minorEastAsia" w:eastAsiaTheme="minorEastAsia" w:cstheme="minorEastAsia"/>
          <w:color w:val="auto"/>
          <w:sz w:val="20"/>
          <w:highlight w:val="none"/>
        </w:rPr>
        <w:sectPr>
          <w:pgSz w:w="11906" w:h="16838"/>
          <w:pgMar w:top="1134" w:right="1134" w:bottom="1134" w:left="1134" w:header="720" w:footer="720" w:gutter="0"/>
          <w:cols w:space="720" w:num="1"/>
          <w:docGrid w:type="lines" w:linePitch="331" w:charSpace="0"/>
        </w:sectPr>
      </w:pPr>
    </w:p>
    <w:p w14:paraId="15FA866A">
      <w:pPr>
        <w:pStyle w:val="12"/>
        <w:spacing w:line="360" w:lineRule="auto"/>
        <w:jc w:val="center"/>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2、监狱企业证明文件（格式）</w:t>
      </w:r>
    </w:p>
    <w:p w14:paraId="0A385777">
      <w:pPr>
        <w:pStyle w:val="13"/>
        <w:ind w:left="0" w:leftChars="0"/>
        <w:jc w:val="center"/>
        <w:rPr>
          <w:color w:val="auto"/>
          <w:kern w:val="0"/>
          <w:highlight w:val="none"/>
        </w:rPr>
      </w:pPr>
      <w:r>
        <w:rPr>
          <w:rFonts w:hint="eastAsia" w:asciiTheme="minorEastAsia" w:hAnsiTheme="minorEastAsia" w:eastAsiaTheme="minorEastAsia" w:cstheme="minorEastAsia"/>
          <w:bCs/>
          <w:i/>
          <w:iCs/>
          <w:color w:val="auto"/>
          <w:sz w:val="30"/>
          <w:szCs w:val="30"/>
          <w:highlight w:val="none"/>
        </w:rPr>
        <w:t>（属于监狱企业时提供）</w:t>
      </w:r>
    </w:p>
    <w:p w14:paraId="734E3634">
      <w:pPr>
        <w:pStyle w:val="12"/>
        <w:spacing w:line="460" w:lineRule="exact"/>
        <w:ind w:firstLine="840" w:firstLineChars="350"/>
        <w:jc w:val="lef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按《关于政府采购支持监狱企业发展有关问题的通知》(财库〔2014〕68 号)认定为监狱企业的，在政府采购活动中，监狱企业视同小型、微型企业。监狱企业参加政府采购活动时，应当提供由省级以上监狱管理局、戒毒管理局(含新疆生产建设兵团)出具的属于监狱企业的证明文件。</w:t>
      </w:r>
    </w:p>
    <w:p w14:paraId="5C63C351">
      <w:pPr>
        <w:snapToGrid w:val="0"/>
        <w:spacing w:line="360" w:lineRule="auto"/>
        <w:ind w:left="5626" w:leftChars="1736" w:hanging="1980" w:hangingChars="825"/>
        <w:rPr>
          <w:rFonts w:hint="eastAsia" w:asciiTheme="minorEastAsia" w:hAnsiTheme="minorEastAsia" w:eastAsiaTheme="minorEastAsia" w:cstheme="minorEastAsia"/>
          <w:color w:val="auto"/>
          <w:kern w:val="0"/>
          <w:sz w:val="24"/>
          <w:highlight w:val="none"/>
          <w:lang w:val="zh-CN"/>
        </w:rPr>
      </w:pPr>
    </w:p>
    <w:p w14:paraId="10D2B307">
      <w:pPr>
        <w:snapToGrid w:val="0"/>
        <w:ind w:left="5626" w:leftChars="1736" w:hanging="1980" w:hangingChars="825"/>
        <w:rPr>
          <w:rFonts w:hint="eastAsia" w:asciiTheme="minorEastAsia" w:hAnsiTheme="minorEastAsia" w:eastAsiaTheme="minorEastAsia" w:cstheme="minorEastAsia"/>
          <w:color w:val="auto"/>
          <w:kern w:val="0"/>
          <w:sz w:val="24"/>
          <w:highlight w:val="none"/>
          <w:lang w:val="zh-CN"/>
        </w:rPr>
      </w:pPr>
    </w:p>
    <w:p w14:paraId="58060B5B">
      <w:pPr>
        <w:snapToGrid w:val="0"/>
        <w:spacing w:line="360" w:lineRule="auto"/>
        <w:ind w:left="5626" w:leftChars="1736" w:hanging="1980" w:hangingChars="825"/>
        <w:rPr>
          <w:rFonts w:hint="eastAsia" w:asciiTheme="minorEastAsia" w:hAnsiTheme="minorEastAsia" w:eastAsiaTheme="minorEastAsia" w:cstheme="minorEastAsia"/>
          <w:color w:val="auto"/>
          <w:kern w:val="0"/>
          <w:sz w:val="24"/>
          <w:highlight w:val="none"/>
          <w:lang w:val="zh-CN"/>
        </w:rPr>
      </w:pPr>
    </w:p>
    <w:p w14:paraId="54CF5229">
      <w:pPr>
        <w:snapToGrid w:val="0"/>
        <w:spacing w:line="360" w:lineRule="auto"/>
        <w:ind w:left="5626" w:leftChars="1736" w:hanging="1980" w:hangingChars="825"/>
        <w:rPr>
          <w:rFonts w:hint="eastAsia" w:asciiTheme="minorEastAsia" w:hAnsiTheme="minorEastAsia" w:eastAsiaTheme="minorEastAsia" w:cstheme="minorEastAsia"/>
          <w:color w:val="auto"/>
          <w:kern w:val="0"/>
          <w:sz w:val="24"/>
          <w:highlight w:val="none"/>
          <w:lang w:val="zh-CN"/>
        </w:rPr>
      </w:pPr>
    </w:p>
    <w:p w14:paraId="02917FAD">
      <w:pPr>
        <w:snapToGrid w:val="0"/>
        <w:spacing w:line="360" w:lineRule="auto"/>
        <w:ind w:left="5626" w:leftChars="1736" w:hanging="1980" w:hangingChars="825"/>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6941B04E">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3E95CE51">
      <w:pPr>
        <w:rPr>
          <w:rFonts w:asciiTheme="minorEastAsia" w:hAnsiTheme="minorEastAsia" w:eastAsiaTheme="minorEastAsia" w:cstheme="minorEastAsia"/>
          <w:color w:val="auto"/>
          <w:highlight w:val="none"/>
        </w:rPr>
      </w:pPr>
    </w:p>
    <w:p w14:paraId="777A499F">
      <w:pPr>
        <w:rPr>
          <w:rFonts w:asciiTheme="minorEastAsia" w:hAnsiTheme="minorEastAsia" w:eastAsiaTheme="minorEastAsia" w:cstheme="minorEastAsia"/>
          <w:color w:val="auto"/>
          <w:highlight w:val="none"/>
        </w:rPr>
      </w:pPr>
    </w:p>
    <w:p w14:paraId="301AEFC2">
      <w:pPr>
        <w:rPr>
          <w:rFonts w:asciiTheme="minorEastAsia" w:hAnsiTheme="minorEastAsia" w:eastAsiaTheme="minorEastAsia" w:cstheme="minorEastAsia"/>
          <w:color w:val="auto"/>
          <w:highlight w:val="none"/>
        </w:rPr>
      </w:pPr>
    </w:p>
    <w:p w14:paraId="5A5E0E01">
      <w:pPr>
        <w:rPr>
          <w:rFonts w:asciiTheme="minorEastAsia" w:hAnsiTheme="minorEastAsia" w:eastAsiaTheme="minorEastAsia" w:cstheme="minorEastAsia"/>
          <w:color w:val="auto"/>
          <w:highlight w:val="none"/>
        </w:rPr>
      </w:pPr>
    </w:p>
    <w:p w14:paraId="02B215B9">
      <w:pPr>
        <w:rPr>
          <w:rFonts w:asciiTheme="minorEastAsia" w:hAnsiTheme="minorEastAsia" w:eastAsiaTheme="minorEastAsia" w:cstheme="minorEastAsia"/>
          <w:color w:val="auto"/>
          <w:highlight w:val="none"/>
        </w:rPr>
      </w:pPr>
    </w:p>
    <w:p w14:paraId="53C0FF99">
      <w:pPr>
        <w:rPr>
          <w:rFonts w:asciiTheme="minorEastAsia" w:hAnsiTheme="minorEastAsia" w:eastAsiaTheme="minorEastAsia" w:cstheme="minorEastAsia"/>
          <w:color w:val="auto"/>
          <w:highlight w:val="none"/>
        </w:rPr>
      </w:pPr>
    </w:p>
    <w:p w14:paraId="23AC1629">
      <w:pPr>
        <w:rPr>
          <w:rFonts w:asciiTheme="minorEastAsia" w:hAnsiTheme="minorEastAsia" w:eastAsiaTheme="minorEastAsia" w:cstheme="minorEastAsia"/>
          <w:color w:val="auto"/>
          <w:highlight w:val="none"/>
        </w:rPr>
      </w:pPr>
    </w:p>
    <w:p w14:paraId="091772E8">
      <w:pPr>
        <w:rPr>
          <w:rFonts w:asciiTheme="minorEastAsia" w:hAnsiTheme="minorEastAsia" w:eastAsiaTheme="minorEastAsia" w:cstheme="minorEastAsia"/>
          <w:color w:val="auto"/>
          <w:highlight w:val="none"/>
        </w:rPr>
      </w:pPr>
    </w:p>
    <w:p w14:paraId="1CBBC58B">
      <w:pPr>
        <w:rPr>
          <w:rFonts w:asciiTheme="minorEastAsia" w:hAnsiTheme="minorEastAsia" w:eastAsiaTheme="minorEastAsia" w:cstheme="minorEastAsia"/>
          <w:color w:val="auto"/>
          <w:highlight w:val="none"/>
        </w:rPr>
      </w:pPr>
    </w:p>
    <w:p w14:paraId="6DDFD012">
      <w:pPr>
        <w:rPr>
          <w:rFonts w:asciiTheme="minorEastAsia" w:hAnsiTheme="minorEastAsia" w:eastAsiaTheme="minorEastAsia" w:cstheme="minorEastAsia"/>
          <w:color w:val="auto"/>
          <w:highlight w:val="none"/>
        </w:rPr>
      </w:pPr>
    </w:p>
    <w:p w14:paraId="5FD3BB17">
      <w:pPr>
        <w:rPr>
          <w:rFonts w:asciiTheme="minorEastAsia" w:hAnsiTheme="minorEastAsia" w:eastAsiaTheme="minorEastAsia" w:cstheme="minorEastAsia"/>
          <w:color w:val="auto"/>
          <w:highlight w:val="none"/>
        </w:rPr>
      </w:pPr>
    </w:p>
    <w:p w14:paraId="4B6975B1">
      <w:pPr>
        <w:rPr>
          <w:rFonts w:asciiTheme="minorEastAsia" w:hAnsiTheme="minorEastAsia" w:eastAsiaTheme="minorEastAsia" w:cstheme="minorEastAsia"/>
          <w:color w:val="auto"/>
          <w:highlight w:val="none"/>
        </w:rPr>
      </w:pPr>
    </w:p>
    <w:p w14:paraId="236CF06A">
      <w:pPr>
        <w:rPr>
          <w:rFonts w:asciiTheme="minorEastAsia" w:hAnsiTheme="minorEastAsia" w:eastAsiaTheme="minorEastAsia" w:cstheme="minorEastAsia"/>
          <w:color w:val="auto"/>
          <w:highlight w:val="none"/>
        </w:rPr>
      </w:pPr>
    </w:p>
    <w:p w14:paraId="44FB5050">
      <w:pPr>
        <w:rPr>
          <w:rFonts w:asciiTheme="minorEastAsia" w:hAnsiTheme="minorEastAsia" w:eastAsiaTheme="minorEastAsia" w:cstheme="minorEastAsia"/>
          <w:color w:val="auto"/>
          <w:highlight w:val="none"/>
        </w:rPr>
      </w:pPr>
    </w:p>
    <w:p w14:paraId="39122DDE">
      <w:pPr>
        <w:rPr>
          <w:rFonts w:asciiTheme="minorEastAsia" w:hAnsiTheme="minorEastAsia" w:eastAsiaTheme="minorEastAsia" w:cstheme="minorEastAsia"/>
          <w:color w:val="auto"/>
          <w:highlight w:val="none"/>
        </w:rPr>
      </w:pPr>
    </w:p>
    <w:p w14:paraId="7BB85286">
      <w:pPr>
        <w:rPr>
          <w:rFonts w:asciiTheme="minorEastAsia" w:hAnsiTheme="minorEastAsia" w:eastAsiaTheme="minorEastAsia" w:cstheme="minorEastAsia"/>
          <w:color w:val="auto"/>
          <w:highlight w:val="none"/>
        </w:rPr>
      </w:pPr>
    </w:p>
    <w:p w14:paraId="3A3DF26A">
      <w:pPr>
        <w:rPr>
          <w:rFonts w:asciiTheme="minorEastAsia" w:hAnsiTheme="minorEastAsia" w:eastAsiaTheme="minorEastAsia" w:cstheme="minorEastAsia"/>
          <w:color w:val="auto"/>
          <w:highlight w:val="none"/>
        </w:rPr>
      </w:pPr>
    </w:p>
    <w:p w14:paraId="0C9CFAAA">
      <w:pPr>
        <w:rPr>
          <w:rFonts w:asciiTheme="minorEastAsia" w:hAnsiTheme="minorEastAsia" w:eastAsiaTheme="minorEastAsia" w:cstheme="minorEastAsia"/>
          <w:color w:val="auto"/>
          <w:highlight w:val="none"/>
        </w:rPr>
      </w:pPr>
    </w:p>
    <w:p w14:paraId="6C13E874">
      <w:pPr>
        <w:rPr>
          <w:rFonts w:asciiTheme="minorEastAsia" w:hAnsiTheme="minorEastAsia" w:eastAsiaTheme="minorEastAsia" w:cstheme="minorEastAsia"/>
          <w:color w:val="auto"/>
          <w:highlight w:val="none"/>
        </w:rPr>
      </w:pPr>
    </w:p>
    <w:p w14:paraId="1E5C87EB">
      <w:pPr>
        <w:rPr>
          <w:rFonts w:asciiTheme="minorEastAsia" w:hAnsiTheme="minorEastAsia" w:eastAsiaTheme="minorEastAsia" w:cstheme="minorEastAsia"/>
          <w:color w:val="auto"/>
          <w:highlight w:val="none"/>
        </w:rPr>
      </w:pPr>
    </w:p>
    <w:p w14:paraId="003AB4CE">
      <w:pPr>
        <w:rPr>
          <w:rFonts w:asciiTheme="minorEastAsia" w:hAnsiTheme="minorEastAsia" w:eastAsiaTheme="minorEastAsia" w:cstheme="minorEastAsia"/>
          <w:color w:val="auto"/>
          <w:highlight w:val="none"/>
        </w:rPr>
      </w:pPr>
    </w:p>
    <w:p w14:paraId="7F8328FA">
      <w:pPr>
        <w:rPr>
          <w:rFonts w:asciiTheme="minorEastAsia" w:hAnsiTheme="minorEastAsia" w:eastAsiaTheme="minorEastAsia" w:cstheme="minorEastAsia"/>
          <w:color w:val="auto"/>
          <w:highlight w:val="none"/>
        </w:rPr>
      </w:pPr>
    </w:p>
    <w:p w14:paraId="7193F3D2">
      <w:pPr>
        <w:rPr>
          <w:rFonts w:asciiTheme="minorEastAsia" w:hAnsiTheme="minorEastAsia" w:eastAsiaTheme="minorEastAsia" w:cstheme="minorEastAsia"/>
          <w:color w:val="auto"/>
          <w:highlight w:val="none"/>
        </w:rPr>
      </w:pPr>
    </w:p>
    <w:p w14:paraId="76880B95">
      <w:pPr>
        <w:rPr>
          <w:rFonts w:asciiTheme="minorEastAsia" w:hAnsiTheme="minorEastAsia" w:eastAsiaTheme="minorEastAsia" w:cstheme="minorEastAsia"/>
          <w:color w:val="auto"/>
          <w:highlight w:val="none"/>
        </w:rPr>
      </w:pPr>
    </w:p>
    <w:p w14:paraId="20BD021C">
      <w:pPr>
        <w:rPr>
          <w:rFonts w:asciiTheme="minorEastAsia" w:hAnsiTheme="minorEastAsia" w:eastAsiaTheme="minorEastAsia" w:cstheme="minorEastAsia"/>
          <w:color w:val="auto"/>
          <w:highlight w:val="none"/>
        </w:rPr>
      </w:pPr>
    </w:p>
    <w:p w14:paraId="34683076">
      <w:pPr>
        <w:pStyle w:val="12"/>
        <w:numPr>
          <w:ilvl w:val="0"/>
          <w:numId w:val="7"/>
        </w:numPr>
        <w:spacing w:line="360" w:lineRule="auto"/>
        <w:jc w:val="center"/>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残疾人福利性单位声明函（格式）</w:t>
      </w:r>
    </w:p>
    <w:p w14:paraId="250614B4">
      <w:pPr>
        <w:pStyle w:val="12"/>
        <w:spacing w:line="360" w:lineRule="auto"/>
        <w:jc w:val="center"/>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Cs/>
          <w:i/>
          <w:iCs/>
          <w:color w:val="auto"/>
          <w:sz w:val="30"/>
          <w:szCs w:val="30"/>
          <w:highlight w:val="none"/>
        </w:rPr>
        <w:t>（属于残疾人福利性单位时提供）</w:t>
      </w:r>
    </w:p>
    <w:p w14:paraId="721AAC98">
      <w:pPr>
        <w:pStyle w:val="12"/>
        <w:spacing w:line="360" w:lineRule="auto"/>
        <w:jc w:val="center"/>
        <w:rPr>
          <w:rFonts w:asciiTheme="minorEastAsia" w:hAnsiTheme="minorEastAsia" w:eastAsiaTheme="minorEastAsia" w:cstheme="minorEastAsia"/>
          <w:b/>
          <w:color w:val="auto"/>
          <w:sz w:val="30"/>
          <w:szCs w:val="30"/>
          <w:highlight w:val="none"/>
        </w:rPr>
      </w:pPr>
    </w:p>
    <w:p w14:paraId="22E1692B">
      <w:pPr>
        <w:pStyle w:val="12"/>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南宁市固定资产投资项目前期服务中心 </w:t>
      </w:r>
      <w:r>
        <w:rPr>
          <w:rFonts w:hint="eastAsia" w:asciiTheme="minorEastAsia" w:hAnsiTheme="minorEastAsia" w:eastAsiaTheme="minorEastAsia" w:cstheme="minorEastAsia"/>
          <w:color w:val="auto"/>
          <w:sz w:val="24"/>
          <w:szCs w:val="24"/>
          <w:highlight w:val="none"/>
        </w:rPr>
        <w:t>单位的</w:t>
      </w:r>
      <w:r>
        <w:rPr>
          <w:rFonts w:hint="eastAsia" w:asciiTheme="minorEastAsia" w:hAnsiTheme="minorEastAsia" w:eastAsiaTheme="minorEastAsia" w:cstheme="minorEastAsia"/>
          <w:color w:val="auto"/>
          <w:sz w:val="24"/>
          <w:szCs w:val="24"/>
          <w:highlight w:val="none"/>
          <w:u w:val="single"/>
        </w:rPr>
        <w:t>南宁市2025年政府和社会资本合作新机制项目实施方案评审服务</w:t>
      </w:r>
      <w:r>
        <w:rPr>
          <w:rFonts w:hint="eastAsia" w:asciiTheme="minorEastAsia" w:hAnsiTheme="minorEastAsia" w:eastAsiaTheme="minorEastAsia" w:cstheme="minorEastAsia"/>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4FF7B791">
      <w:pPr>
        <w:pStyle w:val="12"/>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本公司对上述声明的真实性负责。如有虚假，将依法承担相应责任。</w:t>
      </w:r>
    </w:p>
    <w:p w14:paraId="45350DD8">
      <w:pPr>
        <w:pStyle w:val="12"/>
        <w:spacing w:line="360" w:lineRule="auto"/>
        <w:jc w:val="left"/>
        <w:rPr>
          <w:rFonts w:asciiTheme="minorEastAsia" w:hAnsiTheme="minorEastAsia" w:eastAsiaTheme="minorEastAsia" w:cstheme="minorEastAsia"/>
          <w:b/>
          <w:color w:val="auto"/>
          <w:szCs w:val="21"/>
          <w:highlight w:val="none"/>
        </w:rPr>
      </w:pPr>
    </w:p>
    <w:p w14:paraId="53E4F0D2">
      <w:pPr>
        <w:pStyle w:val="12"/>
        <w:spacing w:line="360" w:lineRule="auto"/>
        <w:jc w:val="left"/>
        <w:rPr>
          <w:rFonts w:asciiTheme="minorEastAsia" w:hAnsiTheme="minorEastAsia" w:eastAsiaTheme="minorEastAsia" w:cstheme="minorEastAsia"/>
          <w:b/>
          <w:color w:val="auto"/>
          <w:szCs w:val="21"/>
          <w:highlight w:val="none"/>
        </w:rPr>
      </w:pPr>
    </w:p>
    <w:p w14:paraId="5A5B1660">
      <w:pPr>
        <w:snapToGrid w:val="0"/>
        <w:spacing w:line="360" w:lineRule="auto"/>
        <w:ind w:left="5137" w:leftChars="1736" w:hanging="1491" w:hangingChars="825"/>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18"/>
          <w:szCs w:val="18"/>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08D6E4F4">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4BA10F1F">
      <w:pPr>
        <w:pStyle w:val="12"/>
        <w:spacing w:line="360" w:lineRule="auto"/>
        <w:ind w:left="5132" w:leftChars="1979" w:hanging="976" w:hangingChars="488"/>
        <w:rPr>
          <w:rFonts w:asciiTheme="minorEastAsia" w:hAnsiTheme="minorEastAsia" w:eastAsiaTheme="minorEastAsia" w:cstheme="minorEastAsia"/>
          <w:color w:val="auto"/>
          <w:sz w:val="20"/>
          <w:highlight w:val="none"/>
        </w:rPr>
      </w:pPr>
    </w:p>
    <w:p w14:paraId="6509466B">
      <w:pPr>
        <w:spacing w:line="360" w:lineRule="auto"/>
        <w:ind w:right="42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1EC47B5D">
      <w:pPr>
        <w:widowControl/>
        <w:spacing w:line="360" w:lineRule="auto"/>
        <w:jc w:val="left"/>
        <w:rPr>
          <w:rFonts w:asciiTheme="minorEastAsia" w:hAnsiTheme="minorEastAsia" w:eastAsiaTheme="minorEastAsia" w:cstheme="minorEastAsia"/>
          <w:color w:val="auto"/>
          <w:sz w:val="20"/>
          <w:highlight w:val="none"/>
        </w:rPr>
        <w:sectPr>
          <w:pgSz w:w="11906" w:h="16838"/>
          <w:pgMar w:top="1134" w:right="1134" w:bottom="1134" w:left="1134" w:header="720" w:footer="720" w:gutter="0"/>
          <w:cols w:space="720" w:num="1"/>
          <w:docGrid w:type="lines" w:linePitch="331" w:charSpace="0"/>
        </w:sectPr>
      </w:pPr>
    </w:p>
    <w:p w14:paraId="6C9728FE">
      <w:pPr>
        <w:pStyle w:val="12"/>
        <w:spacing w:line="600" w:lineRule="exact"/>
        <w:rPr>
          <w:rFonts w:asciiTheme="minorEastAsia" w:hAnsiTheme="minorEastAsia" w:eastAsiaTheme="minorEastAsia" w:cstheme="minorEastAsia"/>
          <w:color w:val="auto"/>
          <w:kern w:val="0"/>
          <w:szCs w:val="21"/>
          <w:highlight w:val="none"/>
        </w:rPr>
      </w:pPr>
    </w:p>
    <w:p w14:paraId="3AD4521D">
      <w:pPr>
        <w:pStyle w:val="12"/>
        <w:spacing w:line="600" w:lineRule="exact"/>
        <w:jc w:val="center"/>
        <w:rPr>
          <w:rFonts w:asciiTheme="minorEastAsia" w:hAnsiTheme="minorEastAsia" w:eastAsiaTheme="minorEastAsia" w:cstheme="minorEastAsia"/>
          <w:color w:val="auto"/>
          <w:kern w:val="0"/>
          <w:szCs w:val="21"/>
          <w:highlight w:val="none"/>
        </w:rPr>
      </w:pPr>
    </w:p>
    <w:p w14:paraId="4DDB1FC4">
      <w:pPr>
        <w:pStyle w:val="12"/>
        <w:spacing w:line="600" w:lineRule="exact"/>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九、除招标文件规定必须提供以外，投标人认为需要提供的其他证明材料</w:t>
      </w:r>
    </w:p>
    <w:p w14:paraId="29C96995">
      <w:pPr>
        <w:pStyle w:val="12"/>
        <w:spacing w:line="600" w:lineRule="exact"/>
        <w:jc w:val="center"/>
        <w:rPr>
          <w:rFonts w:asciiTheme="minorEastAsia" w:hAnsiTheme="minorEastAsia" w:eastAsiaTheme="minorEastAsia" w:cstheme="minorEastAsia"/>
          <w:b/>
          <w:bCs/>
          <w:color w:val="auto"/>
          <w:sz w:val="30"/>
          <w:szCs w:val="30"/>
          <w:highlight w:val="none"/>
        </w:rPr>
      </w:pPr>
    </w:p>
    <w:p w14:paraId="4CA6606E">
      <w:pPr>
        <w:pStyle w:val="12"/>
        <w:spacing w:line="600" w:lineRule="exact"/>
        <w:jc w:val="center"/>
        <w:rPr>
          <w:rFonts w:asciiTheme="minorEastAsia" w:hAnsiTheme="minorEastAsia" w:eastAsiaTheme="minorEastAsia" w:cstheme="minorEastAsia"/>
          <w:b/>
          <w:bCs/>
          <w:color w:val="auto"/>
          <w:sz w:val="30"/>
          <w:szCs w:val="30"/>
          <w:highlight w:val="none"/>
        </w:rPr>
      </w:pPr>
    </w:p>
    <w:p w14:paraId="39D96407">
      <w:pPr>
        <w:snapToGrid w:val="0"/>
        <w:spacing w:line="360" w:lineRule="auto"/>
        <w:ind w:firstLine="5040" w:firstLineChars="2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6DC0A0AF">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BD51AC3">
      <w:pPr>
        <w:widowControl/>
        <w:spacing w:line="360" w:lineRule="auto"/>
        <w:jc w:val="left"/>
        <w:rPr>
          <w:rFonts w:asciiTheme="minorEastAsia" w:hAnsiTheme="minorEastAsia" w:eastAsiaTheme="minorEastAsia" w:cstheme="minorEastAsia"/>
          <w:color w:val="auto"/>
          <w:szCs w:val="21"/>
          <w:highlight w:val="none"/>
        </w:rPr>
        <w:sectPr>
          <w:pgSz w:w="11906" w:h="16838"/>
          <w:pgMar w:top="1134" w:right="1134" w:bottom="1134" w:left="1134" w:header="720" w:footer="720" w:gutter="0"/>
          <w:cols w:space="720" w:num="1"/>
          <w:docGrid w:type="lines" w:linePitch="331" w:charSpace="0"/>
        </w:sectPr>
      </w:pPr>
    </w:p>
    <w:p w14:paraId="41C5045B">
      <w:pPr>
        <w:pStyle w:val="12"/>
        <w:rPr>
          <w:rFonts w:asciiTheme="minorEastAsia" w:hAnsiTheme="minorEastAsia" w:eastAsiaTheme="minorEastAsia" w:cstheme="minorEastAsia"/>
          <w:color w:val="auto"/>
          <w:szCs w:val="21"/>
          <w:highlight w:val="none"/>
        </w:rPr>
      </w:pPr>
    </w:p>
    <w:p w14:paraId="03CB2236">
      <w:pPr>
        <w:pStyle w:val="12"/>
        <w:jc w:val="center"/>
        <w:outlineLvl w:val="1"/>
        <w:rPr>
          <w:rFonts w:asciiTheme="minorEastAsia" w:hAnsiTheme="minorEastAsia" w:eastAsiaTheme="minorEastAsia" w:cstheme="minorEastAsia"/>
          <w:b/>
          <w:bCs/>
          <w:color w:val="auto"/>
          <w:sz w:val="28"/>
          <w:szCs w:val="28"/>
          <w:highlight w:val="none"/>
        </w:rPr>
      </w:pPr>
      <w:bookmarkStart w:id="310" w:name="_Toc19686838"/>
      <w:bookmarkStart w:id="311" w:name="_Toc29299"/>
      <w:r>
        <w:rPr>
          <w:rFonts w:hint="eastAsia" w:asciiTheme="minorEastAsia" w:hAnsiTheme="minorEastAsia" w:eastAsiaTheme="minorEastAsia" w:cstheme="minorEastAsia"/>
          <w:b/>
          <w:bCs/>
          <w:color w:val="auto"/>
          <w:sz w:val="28"/>
          <w:szCs w:val="28"/>
          <w:highlight w:val="none"/>
        </w:rPr>
        <w:t>第三节 商务文件格式</w:t>
      </w:r>
      <w:bookmarkEnd w:id="310"/>
      <w:bookmarkEnd w:id="311"/>
    </w:p>
    <w:p w14:paraId="20BF504A">
      <w:pPr>
        <w:snapToGrid w:val="0"/>
        <w:spacing w:beforeLines="50" w:after="50"/>
        <w:rPr>
          <w:rFonts w:asciiTheme="minorEastAsia" w:hAnsiTheme="minorEastAsia" w:eastAsiaTheme="minorEastAsia" w:cstheme="minorEastAsia"/>
          <w:color w:val="auto"/>
          <w:sz w:val="30"/>
          <w:szCs w:val="20"/>
          <w:highlight w:val="none"/>
        </w:rPr>
      </w:pPr>
    </w:p>
    <w:p w14:paraId="1B5F5F9A">
      <w:pPr>
        <w:snapToGrid w:val="0"/>
        <w:spacing w:beforeLines="50" w:after="50"/>
        <w:rPr>
          <w:rFonts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 xml:space="preserve">             电子投标文件</w:t>
      </w:r>
    </w:p>
    <w:p w14:paraId="7D950A28">
      <w:pPr>
        <w:snapToGrid w:val="0"/>
        <w:spacing w:beforeLines="50" w:after="50"/>
        <w:rPr>
          <w:rFonts w:asciiTheme="minorEastAsia" w:hAnsiTheme="minorEastAsia" w:eastAsiaTheme="minorEastAsia" w:cstheme="minorEastAsia"/>
          <w:color w:val="auto"/>
          <w:sz w:val="24"/>
          <w:szCs w:val="20"/>
          <w:highlight w:val="none"/>
        </w:rPr>
      </w:pPr>
    </w:p>
    <w:p w14:paraId="2634CD98">
      <w:pPr>
        <w:snapToGrid w:val="0"/>
        <w:spacing w:beforeLines="50" w:after="50"/>
        <w:jc w:val="center"/>
        <w:rPr>
          <w:rFonts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32"/>
          <w:szCs w:val="32"/>
          <w:highlight w:val="none"/>
        </w:rPr>
        <w:t>商务文件（封面）</w:t>
      </w:r>
    </w:p>
    <w:p w14:paraId="74D42E6F">
      <w:pPr>
        <w:snapToGrid w:val="0"/>
        <w:spacing w:beforeLines="50" w:after="50"/>
        <w:rPr>
          <w:rFonts w:asciiTheme="minorEastAsia" w:hAnsiTheme="minorEastAsia" w:eastAsiaTheme="minorEastAsia" w:cstheme="minorEastAsia"/>
          <w:bCs/>
          <w:color w:val="auto"/>
          <w:sz w:val="24"/>
          <w:szCs w:val="20"/>
          <w:highlight w:val="none"/>
        </w:rPr>
      </w:pPr>
    </w:p>
    <w:p w14:paraId="30687E79">
      <w:pPr>
        <w:snapToGrid w:val="0"/>
        <w:spacing w:beforeLines="50" w:after="50"/>
        <w:ind w:firstLine="540" w:firstLineChars="225"/>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项目名称：南宁市2025年政府和社会资本合作新机制项目实施方案评审服务</w:t>
      </w:r>
    </w:p>
    <w:p w14:paraId="58BF258F">
      <w:pPr>
        <w:snapToGrid w:val="0"/>
        <w:spacing w:beforeLines="50" w:after="50"/>
        <w:ind w:firstLine="540" w:firstLineChars="225"/>
        <w:rPr>
          <w:rFonts w:asciiTheme="minorEastAsia" w:hAnsiTheme="minorEastAsia" w:eastAsiaTheme="minorEastAsia" w:cstheme="minorEastAsia"/>
          <w:bCs/>
          <w:color w:val="auto"/>
          <w:sz w:val="24"/>
          <w:szCs w:val="20"/>
          <w:highlight w:val="none"/>
        </w:rPr>
      </w:pPr>
    </w:p>
    <w:p w14:paraId="1407C154">
      <w:pPr>
        <w:snapToGrid w:val="0"/>
        <w:spacing w:beforeLines="50" w:after="50"/>
        <w:ind w:firstLine="540" w:firstLineChars="225"/>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项目编号：NNZC2025-G3-990774-JGJD</w:t>
      </w:r>
    </w:p>
    <w:p w14:paraId="7E67A660">
      <w:pPr>
        <w:snapToGrid w:val="0"/>
        <w:spacing w:beforeLines="50" w:after="50"/>
        <w:ind w:firstLine="540" w:firstLineChars="225"/>
        <w:rPr>
          <w:rFonts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 xml:space="preserve"> </w:t>
      </w:r>
    </w:p>
    <w:p w14:paraId="57430014">
      <w:pPr>
        <w:snapToGrid w:val="0"/>
        <w:spacing w:beforeLines="50" w:after="50"/>
        <w:ind w:firstLine="540" w:firstLineChars="225"/>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w:t>
      </w:r>
    </w:p>
    <w:p w14:paraId="5BDA97E7">
      <w:pPr>
        <w:snapToGrid w:val="0"/>
        <w:spacing w:beforeLines="50" w:after="50"/>
        <w:ind w:firstLine="540" w:firstLineChars="225"/>
        <w:rPr>
          <w:rFonts w:asciiTheme="minorEastAsia" w:hAnsiTheme="minorEastAsia" w:eastAsiaTheme="minorEastAsia" w:cstheme="minorEastAsia"/>
          <w:bCs/>
          <w:color w:val="auto"/>
          <w:sz w:val="24"/>
          <w:szCs w:val="20"/>
          <w:highlight w:val="none"/>
        </w:rPr>
      </w:pPr>
    </w:p>
    <w:p w14:paraId="7105FB63">
      <w:pPr>
        <w:pStyle w:val="6"/>
        <w:snapToGrid w:val="0"/>
        <w:spacing w:before="50" w:after="50"/>
        <w:ind w:firstLine="540" w:firstLineChars="225"/>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投标人名称：</w:t>
      </w:r>
    </w:p>
    <w:p w14:paraId="522C63D1">
      <w:pPr>
        <w:pStyle w:val="6"/>
        <w:snapToGrid w:val="0"/>
        <w:spacing w:before="50" w:after="50"/>
        <w:ind w:firstLine="540" w:firstLineChars="225"/>
        <w:rPr>
          <w:rFonts w:asciiTheme="minorEastAsia" w:hAnsiTheme="minorEastAsia" w:eastAsiaTheme="minorEastAsia" w:cstheme="minorEastAsia"/>
          <w:bCs/>
          <w:color w:val="auto"/>
          <w:sz w:val="24"/>
          <w:szCs w:val="24"/>
          <w:highlight w:val="none"/>
        </w:rPr>
      </w:pPr>
    </w:p>
    <w:p w14:paraId="560C931A">
      <w:pPr>
        <w:pStyle w:val="6"/>
        <w:snapToGrid w:val="0"/>
        <w:spacing w:before="50" w:after="50"/>
        <w:ind w:firstLine="540" w:firstLineChars="225"/>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投标人地址：</w:t>
      </w:r>
    </w:p>
    <w:p w14:paraId="7F036E61">
      <w:pPr>
        <w:pStyle w:val="6"/>
        <w:snapToGrid w:val="0"/>
        <w:spacing w:before="50" w:after="50"/>
        <w:ind w:firstLine="960" w:firstLineChars="400"/>
        <w:rPr>
          <w:rFonts w:asciiTheme="minorEastAsia" w:hAnsiTheme="minorEastAsia" w:eastAsiaTheme="minorEastAsia" w:cstheme="minorEastAsia"/>
          <w:bCs/>
          <w:color w:val="auto"/>
          <w:sz w:val="24"/>
          <w:szCs w:val="24"/>
          <w:highlight w:val="none"/>
        </w:rPr>
      </w:pPr>
    </w:p>
    <w:p w14:paraId="39EC6413">
      <w:pPr>
        <w:snapToGrid w:val="0"/>
        <w:spacing w:beforeLines="50" w:after="50"/>
        <w:ind w:firstLine="645"/>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64F79B4E">
      <w:pPr>
        <w:snapToGrid w:val="0"/>
        <w:spacing w:beforeLines="50" w:after="50"/>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sz w:val="24"/>
          <w:szCs w:val="20"/>
          <w:highlight w:val="none"/>
        </w:rPr>
        <w:t xml:space="preserve"> </w:t>
      </w:r>
    </w:p>
    <w:p w14:paraId="40BAA6E7">
      <w:pPr>
        <w:spacing w:line="360" w:lineRule="auto"/>
        <w:ind w:right="420"/>
        <w:rPr>
          <w:rFonts w:asciiTheme="minorEastAsia" w:hAnsiTheme="minorEastAsia" w:eastAsiaTheme="minorEastAsia" w:cstheme="minorEastAsia"/>
          <w:color w:val="auto"/>
          <w:sz w:val="24"/>
          <w:szCs w:val="20"/>
          <w:highlight w:val="none"/>
        </w:rPr>
      </w:pPr>
    </w:p>
    <w:p w14:paraId="08E0CF48">
      <w:pPr>
        <w:spacing w:line="360" w:lineRule="auto"/>
        <w:ind w:right="420"/>
        <w:rPr>
          <w:rFonts w:asciiTheme="minorEastAsia" w:hAnsiTheme="minorEastAsia" w:eastAsiaTheme="minorEastAsia" w:cstheme="minorEastAsia"/>
          <w:color w:val="auto"/>
          <w:sz w:val="24"/>
          <w:szCs w:val="20"/>
          <w:highlight w:val="none"/>
        </w:rPr>
      </w:pPr>
    </w:p>
    <w:p w14:paraId="3070DD6E">
      <w:pPr>
        <w:spacing w:line="360" w:lineRule="auto"/>
        <w:ind w:right="420"/>
        <w:rPr>
          <w:rFonts w:asciiTheme="minorEastAsia" w:hAnsiTheme="minorEastAsia" w:eastAsiaTheme="minorEastAsia" w:cstheme="minorEastAsia"/>
          <w:color w:val="auto"/>
          <w:sz w:val="24"/>
          <w:szCs w:val="20"/>
          <w:highlight w:val="none"/>
        </w:rPr>
      </w:pPr>
    </w:p>
    <w:p w14:paraId="6AA9C134">
      <w:pPr>
        <w:spacing w:line="360" w:lineRule="auto"/>
        <w:ind w:right="420"/>
        <w:rPr>
          <w:rFonts w:asciiTheme="minorEastAsia" w:hAnsiTheme="minorEastAsia" w:eastAsiaTheme="minorEastAsia" w:cstheme="minorEastAsia"/>
          <w:color w:val="auto"/>
          <w:sz w:val="24"/>
          <w:szCs w:val="20"/>
          <w:highlight w:val="none"/>
        </w:rPr>
      </w:pPr>
    </w:p>
    <w:p w14:paraId="3BADC764">
      <w:pPr>
        <w:spacing w:line="360" w:lineRule="auto"/>
        <w:ind w:right="420"/>
        <w:rPr>
          <w:rFonts w:asciiTheme="minorEastAsia" w:hAnsiTheme="minorEastAsia" w:eastAsiaTheme="minorEastAsia" w:cstheme="minorEastAsia"/>
          <w:color w:val="auto"/>
          <w:sz w:val="24"/>
          <w:szCs w:val="20"/>
          <w:highlight w:val="none"/>
        </w:rPr>
      </w:pPr>
    </w:p>
    <w:p w14:paraId="4EF337B5">
      <w:pPr>
        <w:spacing w:line="360" w:lineRule="auto"/>
        <w:ind w:right="420"/>
        <w:rPr>
          <w:rFonts w:asciiTheme="minorEastAsia" w:hAnsiTheme="minorEastAsia" w:eastAsiaTheme="minorEastAsia" w:cstheme="minorEastAsia"/>
          <w:color w:val="auto"/>
          <w:sz w:val="24"/>
          <w:szCs w:val="20"/>
          <w:highlight w:val="none"/>
        </w:rPr>
      </w:pPr>
    </w:p>
    <w:p w14:paraId="313E2A48">
      <w:pPr>
        <w:spacing w:line="360" w:lineRule="auto"/>
        <w:ind w:right="420"/>
        <w:rPr>
          <w:rFonts w:asciiTheme="minorEastAsia" w:hAnsiTheme="minorEastAsia" w:eastAsiaTheme="minorEastAsia" w:cstheme="minorEastAsia"/>
          <w:color w:val="auto"/>
          <w:sz w:val="24"/>
          <w:szCs w:val="20"/>
          <w:highlight w:val="none"/>
        </w:rPr>
      </w:pPr>
    </w:p>
    <w:p w14:paraId="6E8DC367">
      <w:pPr>
        <w:spacing w:line="360" w:lineRule="auto"/>
        <w:ind w:right="420"/>
        <w:rPr>
          <w:rFonts w:asciiTheme="minorEastAsia" w:hAnsiTheme="minorEastAsia" w:eastAsiaTheme="minorEastAsia" w:cstheme="minorEastAsia"/>
          <w:color w:val="auto"/>
          <w:sz w:val="24"/>
          <w:szCs w:val="20"/>
          <w:highlight w:val="none"/>
        </w:rPr>
      </w:pPr>
    </w:p>
    <w:p w14:paraId="47D04A77">
      <w:pPr>
        <w:spacing w:line="360" w:lineRule="auto"/>
        <w:ind w:right="420"/>
        <w:rPr>
          <w:rFonts w:asciiTheme="minorEastAsia" w:hAnsiTheme="minorEastAsia" w:eastAsiaTheme="minorEastAsia" w:cstheme="minorEastAsia"/>
          <w:color w:val="auto"/>
          <w:sz w:val="24"/>
          <w:szCs w:val="20"/>
          <w:highlight w:val="none"/>
        </w:rPr>
      </w:pPr>
    </w:p>
    <w:p w14:paraId="77B58B6B">
      <w:pPr>
        <w:spacing w:line="360" w:lineRule="auto"/>
        <w:ind w:right="42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 xml:space="preserve"> </w:t>
      </w:r>
    </w:p>
    <w:p w14:paraId="59C70EBC">
      <w:pPr>
        <w:rPr>
          <w:rFonts w:asciiTheme="minorEastAsia" w:hAnsiTheme="minorEastAsia" w:eastAsiaTheme="minorEastAsia" w:cstheme="minorEastAsia"/>
          <w:b/>
          <w:color w:val="auto"/>
          <w:kern w:val="0"/>
          <w:sz w:val="24"/>
          <w:highlight w:val="none"/>
        </w:rPr>
      </w:pPr>
    </w:p>
    <w:p w14:paraId="79E49E76">
      <w:pPr>
        <w:jc w:val="center"/>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商务文件目录</w:t>
      </w:r>
    </w:p>
    <w:p w14:paraId="676D3806">
      <w:pPr>
        <w:pStyle w:val="34"/>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一、无串标行为承诺函…………………………………………………………………（页码）</w:t>
      </w:r>
    </w:p>
    <w:p w14:paraId="6CD529BD">
      <w:pPr>
        <w:pStyle w:val="34"/>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二、法定代表人身份证明及法定代表人有效身份证正反面复印件………（页码）</w:t>
      </w:r>
    </w:p>
    <w:p w14:paraId="3401B48A">
      <w:pPr>
        <w:pStyle w:val="34"/>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三、法定代表人授权委托书（如有委托时）……………………………………（页码）</w:t>
      </w:r>
    </w:p>
    <w:p w14:paraId="2C761B5D">
      <w:pPr>
        <w:pStyle w:val="34"/>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val="zh-CN"/>
        </w:rPr>
        <w:t>商务条款偏离表………………………………</w:t>
      </w:r>
      <w:r>
        <w:rPr>
          <w:rFonts w:hint="eastAsia" w:asciiTheme="minorEastAsia" w:hAnsiTheme="minorEastAsia" w:eastAsiaTheme="minorEastAsia" w:cstheme="minorEastAsia"/>
          <w:color w:val="auto"/>
          <w:highlight w:val="none"/>
        </w:rPr>
        <w:t>……………………………………（页码）</w:t>
      </w:r>
    </w:p>
    <w:p w14:paraId="19EC3A9E">
      <w:pPr>
        <w:pStyle w:val="34"/>
        <w:spacing w:line="360" w:lineRule="auto"/>
        <w:rPr>
          <w:rFonts w:asciiTheme="minorEastAsia" w:hAnsiTheme="minorEastAsia" w:eastAsiaTheme="minorEastAsia" w:cstheme="minorEastAsia"/>
          <w:color w:val="auto"/>
          <w:highlight w:val="none"/>
        </w:rPr>
      </w:pPr>
      <w:bookmarkStart w:id="312" w:name="OLE_LINK6"/>
      <w:bookmarkStart w:id="313" w:name="OLE_LINK7"/>
      <w:bookmarkStart w:id="314" w:name="OLE_LINK5"/>
      <w:r>
        <w:rPr>
          <w:rFonts w:hint="eastAsia" w:asciiTheme="minorEastAsia" w:hAnsiTheme="minorEastAsia" w:eastAsiaTheme="minorEastAsia" w:cstheme="minorEastAsia"/>
          <w:color w:val="auto"/>
          <w:highlight w:val="none"/>
        </w:rPr>
        <w:t>五、投标人情况介绍</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7299D21D">
      <w:pPr>
        <w:pStyle w:val="34"/>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六、投标人类似业绩的证明文件（如有要求）</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bookmarkEnd w:id="312"/>
      <w:bookmarkEnd w:id="313"/>
    </w:p>
    <w:p w14:paraId="3B548AF7">
      <w:pPr>
        <w:pStyle w:val="34"/>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七、其他商务文件或说明</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bookmarkEnd w:id="314"/>
    <w:p w14:paraId="6F0F1745">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注：以上目录是基本格式要求，各投标人可根据自身情况进一步向下增加内容或细化。</w:t>
      </w:r>
    </w:p>
    <w:p w14:paraId="2C63A809">
      <w:pPr>
        <w:widowControl/>
        <w:spacing w:line="360" w:lineRule="auto"/>
        <w:jc w:val="left"/>
        <w:rPr>
          <w:rFonts w:asciiTheme="minorEastAsia" w:hAnsiTheme="minorEastAsia" w:eastAsiaTheme="minorEastAsia" w:cstheme="minorEastAsia"/>
          <w:color w:val="auto"/>
          <w:highlight w:val="none"/>
        </w:rPr>
        <w:sectPr>
          <w:pgSz w:w="11906" w:h="16838"/>
          <w:pgMar w:top="1134" w:right="1134" w:bottom="1134" w:left="1134" w:header="720" w:footer="720" w:gutter="0"/>
          <w:cols w:space="720" w:num="1"/>
          <w:docGrid w:type="lines" w:linePitch="331" w:charSpace="0"/>
        </w:sectPr>
      </w:pPr>
    </w:p>
    <w:p w14:paraId="2324001B">
      <w:pPr>
        <w:snapToGrid w:val="0"/>
        <w:spacing w:beforeLines="50" w:after="50"/>
        <w:ind w:left="420"/>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一、无串标行为承诺函</w:t>
      </w:r>
    </w:p>
    <w:p w14:paraId="6828FC45">
      <w:pPr>
        <w:snapToGrid w:val="0"/>
        <w:spacing w:beforeLines="50" w:after="50"/>
        <w:ind w:left="420"/>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投标人参加本项目无围标串标行为的承诺函</w:t>
      </w:r>
    </w:p>
    <w:p w14:paraId="2C6AAA5A">
      <w:pPr>
        <w:snapToGrid w:val="0"/>
        <w:spacing w:beforeLines="50" w:after="50"/>
        <w:rPr>
          <w:rFonts w:asciiTheme="minorEastAsia" w:hAnsiTheme="minorEastAsia" w:eastAsiaTheme="minorEastAsia" w:cstheme="minorEastAsia"/>
          <w:b/>
          <w:color w:val="auto"/>
          <w:szCs w:val="21"/>
          <w:highlight w:val="none"/>
        </w:rPr>
      </w:pPr>
    </w:p>
    <w:p w14:paraId="74A8E8A2">
      <w:pPr>
        <w:snapToGrid w:val="0"/>
        <w:spacing w:beforeLines="50" w:after="50" w:line="360" w:lineRule="auto"/>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一、我方承诺无下列相互串通投标的情形：</w:t>
      </w:r>
    </w:p>
    <w:p w14:paraId="60840C6E">
      <w:pPr>
        <w:snapToGrid w:val="0"/>
        <w:spacing w:beforeLines="50" w:after="50"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1.不同投标人的投标文件由同一单位或者个人编制；或者不同投标人报名的IP地址一致的；或者编制标书硬件设备CPU编号、硬盘编号、网卡地址一致的情况。</w:t>
      </w:r>
    </w:p>
    <w:p w14:paraId="161A89DA">
      <w:pPr>
        <w:snapToGrid w:val="0"/>
        <w:spacing w:beforeLines="50" w:after="50"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2.不同投标人委托同一单位或者个人办理投标事宜；</w:t>
      </w:r>
    </w:p>
    <w:p w14:paraId="1EEDCF97">
      <w:pPr>
        <w:snapToGrid w:val="0"/>
        <w:spacing w:beforeLines="50" w:after="50"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3.不同的投标人的投标文件载明的项目管理员为同一个人；</w:t>
      </w:r>
    </w:p>
    <w:p w14:paraId="672AA541">
      <w:pPr>
        <w:snapToGrid w:val="0"/>
        <w:spacing w:beforeLines="50" w:after="50"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4.不同投标人的投标文件异常一致或者投标报价呈规律性差异；</w:t>
      </w:r>
    </w:p>
    <w:p w14:paraId="0EB0D9A5">
      <w:pPr>
        <w:snapToGrid w:val="0"/>
        <w:spacing w:beforeLines="50" w:after="50"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5.不同投标人的投标文件相互混装；</w:t>
      </w:r>
    </w:p>
    <w:p w14:paraId="6D261271">
      <w:pPr>
        <w:snapToGrid w:val="0"/>
        <w:spacing w:beforeLines="50" w:after="50"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6.不同投标人的投标保证金从同一单位或者个人账户转出。</w:t>
      </w:r>
    </w:p>
    <w:p w14:paraId="1E032926">
      <w:pPr>
        <w:snapToGrid w:val="0"/>
        <w:spacing w:beforeLines="50" w:after="50"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二、我方承诺无下列恶意串通的情形：</w:t>
      </w:r>
    </w:p>
    <w:p w14:paraId="2A0310BC">
      <w:pPr>
        <w:snapToGrid w:val="0"/>
        <w:spacing w:beforeLines="50" w:after="50"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1.投标人直接或者间接从采购人或者采购代理机构处获得其他投标人的相关信息并修改其投标文件或者投标文件；</w:t>
      </w:r>
    </w:p>
    <w:p w14:paraId="00C19807">
      <w:pPr>
        <w:snapToGrid w:val="0"/>
        <w:spacing w:beforeLines="50" w:after="50"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2.投标人按照采购人或者采购代理机构的授意撤换、修改投标文件或者投标文件；</w:t>
      </w:r>
    </w:p>
    <w:p w14:paraId="6A06ECD0">
      <w:pPr>
        <w:snapToGrid w:val="0"/>
        <w:spacing w:beforeLines="50" w:after="50"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3.投标人之间协商报价、技术方案等投标文件或者投标文件的实质性内容；</w:t>
      </w:r>
    </w:p>
    <w:p w14:paraId="63A7E778">
      <w:pPr>
        <w:snapToGrid w:val="0"/>
        <w:spacing w:beforeLines="50" w:after="50"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4.属于同一集团、协会、商会等组织成员的投标人按照该组织要求协同参加政府采购活动；</w:t>
      </w:r>
    </w:p>
    <w:p w14:paraId="52289023">
      <w:pPr>
        <w:snapToGrid w:val="0"/>
        <w:spacing w:beforeLines="50" w:after="50"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61FC3489">
      <w:pPr>
        <w:snapToGrid w:val="0"/>
        <w:spacing w:beforeLines="50" w:after="50"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6.投标人之间商定部分投标人放弃参加政府采购活动或者放弃中标；</w:t>
      </w:r>
    </w:p>
    <w:p w14:paraId="3987CEC2">
      <w:pPr>
        <w:snapToGrid w:val="0"/>
        <w:spacing w:beforeLines="50" w:after="50"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7.投标人与采购人或者采购代理机构之间、投标人相互之间，为谋求特定投标人中标或者排斥其他投标人的其他串通行为。</w:t>
      </w:r>
    </w:p>
    <w:p w14:paraId="1E79793A">
      <w:pPr>
        <w:snapToGrid w:val="0"/>
        <w:spacing w:beforeLines="50" w:after="50" w:line="360" w:lineRule="auto"/>
        <w:ind w:firstLine="413" w:firstLineChars="196"/>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以上情形一经核查属实，我方愿意承担一切后果，接受政府采购监管部门对我方认定存在围标串标行为，并不再寻求任何旨在减轻或者免除法律责任的辩解。</w:t>
      </w:r>
    </w:p>
    <w:p w14:paraId="67C74087">
      <w:pPr>
        <w:snapToGrid w:val="0"/>
        <w:spacing w:line="360" w:lineRule="auto"/>
        <w:ind w:firstLine="4935" w:firstLineChars="235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3CE0421A">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162E9810">
      <w:pPr>
        <w:pStyle w:val="12"/>
        <w:snapToGrid w:val="0"/>
        <w:spacing w:before="295" w:after="295"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bCs/>
          <w:color w:val="auto"/>
          <w:sz w:val="30"/>
          <w:szCs w:val="30"/>
          <w:highlight w:val="none"/>
        </w:rPr>
        <w:t>二、法定代表人身份证明</w:t>
      </w:r>
    </w:p>
    <w:p w14:paraId="775B596E">
      <w:pPr>
        <w:spacing w:beforeLines="100" w:afterLines="50"/>
        <w:ind w:left="540"/>
        <w:jc w:val="center"/>
        <w:rPr>
          <w:rFonts w:asciiTheme="minorEastAsia" w:hAnsiTheme="minorEastAsia" w:eastAsiaTheme="minorEastAsia" w:cstheme="minorEastAsia"/>
          <w:b/>
          <w:color w:val="auto"/>
          <w:sz w:val="32"/>
          <w:szCs w:val="32"/>
          <w:highlight w:val="none"/>
        </w:rPr>
      </w:pPr>
    </w:p>
    <w:p w14:paraId="17EB5101">
      <w:pPr>
        <w:spacing w:beforeLines="100" w:afterLines="50"/>
        <w:ind w:left="540"/>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法定代表人身份证明</w:t>
      </w:r>
    </w:p>
    <w:p w14:paraId="430C534C">
      <w:pPr>
        <w:spacing w:line="500" w:lineRule="exact"/>
        <w:ind w:left="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 标 人：</w:t>
      </w:r>
      <w:r>
        <w:rPr>
          <w:rFonts w:hint="eastAsia" w:asciiTheme="minorEastAsia" w:hAnsiTheme="minorEastAsia" w:eastAsiaTheme="minorEastAsia" w:cstheme="minorEastAsia"/>
          <w:color w:val="auto"/>
          <w:sz w:val="24"/>
          <w:highlight w:val="none"/>
          <w:u w:val="single"/>
        </w:rPr>
        <w:t xml:space="preserve">                                                        </w:t>
      </w:r>
    </w:p>
    <w:p w14:paraId="208281E8">
      <w:pPr>
        <w:spacing w:line="500" w:lineRule="exact"/>
        <w:ind w:left="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 xml:space="preserve">                                                        </w:t>
      </w:r>
    </w:p>
    <w:p w14:paraId="5090D3F6">
      <w:pPr>
        <w:spacing w:line="500" w:lineRule="exact"/>
        <w:ind w:left="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    名：</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性      别：</w:t>
      </w:r>
      <w:r>
        <w:rPr>
          <w:rFonts w:hint="eastAsia" w:asciiTheme="minorEastAsia" w:hAnsiTheme="minorEastAsia" w:eastAsiaTheme="minorEastAsia" w:cstheme="minorEastAsia"/>
          <w:color w:val="auto"/>
          <w:sz w:val="24"/>
          <w:highlight w:val="none"/>
          <w:u w:val="single"/>
        </w:rPr>
        <w:t xml:space="preserve">                </w:t>
      </w:r>
    </w:p>
    <w:p w14:paraId="7537B959">
      <w:pPr>
        <w:spacing w:line="500" w:lineRule="exact"/>
        <w:ind w:left="54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年    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      务：</w:t>
      </w:r>
      <w:r>
        <w:rPr>
          <w:rFonts w:hint="eastAsia" w:asciiTheme="minorEastAsia" w:hAnsiTheme="minorEastAsia" w:eastAsiaTheme="minorEastAsia" w:cstheme="minorEastAsia"/>
          <w:color w:val="auto"/>
          <w:sz w:val="24"/>
          <w:highlight w:val="none"/>
          <w:u w:val="single"/>
        </w:rPr>
        <w:t xml:space="preserve">                </w:t>
      </w:r>
    </w:p>
    <w:p w14:paraId="5A6DBA58">
      <w:pPr>
        <w:spacing w:line="500" w:lineRule="exact"/>
        <w:ind w:left="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r>
        <w:rPr>
          <w:rFonts w:hint="eastAsia" w:asciiTheme="minorEastAsia" w:hAnsiTheme="minorEastAsia" w:eastAsiaTheme="minorEastAsia" w:cstheme="minorEastAsia"/>
          <w:color w:val="auto"/>
          <w:sz w:val="24"/>
          <w:highlight w:val="none"/>
          <w:u w:val="single"/>
        </w:rPr>
        <w:t xml:space="preserve">                                 </w:t>
      </w:r>
    </w:p>
    <w:p w14:paraId="140648D0">
      <w:pPr>
        <w:spacing w:line="500" w:lineRule="exact"/>
        <w:ind w:left="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 xml:space="preserve">            （投标人名称）              </w:t>
      </w:r>
      <w:r>
        <w:rPr>
          <w:rFonts w:hint="eastAsia" w:asciiTheme="minorEastAsia" w:hAnsiTheme="minorEastAsia" w:eastAsiaTheme="minorEastAsia" w:cstheme="minorEastAsia"/>
          <w:color w:val="auto"/>
          <w:sz w:val="24"/>
          <w:highlight w:val="none"/>
        </w:rPr>
        <w:t>的法定代表人。</w:t>
      </w:r>
    </w:p>
    <w:p w14:paraId="1A001706">
      <w:pPr>
        <w:spacing w:line="500" w:lineRule="exact"/>
        <w:ind w:left="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14:paraId="56F7436C">
      <w:pPr>
        <w:spacing w:line="500" w:lineRule="exact"/>
        <w:ind w:left="540"/>
        <w:rPr>
          <w:rFonts w:asciiTheme="minorEastAsia" w:hAnsiTheme="minorEastAsia" w:eastAsiaTheme="minorEastAsia" w:cstheme="minorEastAsia"/>
          <w:color w:val="auto"/>
          <w:sz w:val="24"/>
          <w:highlight w:val="none"/>
        </w:rPr>
      </w:pPr>
    </w:p>
    <w:p w14:paraId="7209BF35">
      <w:pPr>
        <w:spacing w:line="500" w:lineRule="exact"/>
        <w:ind w:left="540"/>
        <w:rPr>
          <w:rFonts w:asciiTheme="minorEastAsia" w:hAnsiTheme="minorEastAsia" w:eastAsiaTheme="minorEastAsia" w:cstheme="minorEastAsia"/>
          <w:color w:val="auto"/>
          <w:sz w:val="24"/>
          <w:highlight w:val="none"/>
        </w:rPr>
      </w:pPr>
    </w:p>
    <w:p w14:paraId="3E409D64">
      <w:pPr>
        <w:spacing w:line="500" w:lineRule="exact"/>
        <w:ind w:left="54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附件：法定代表人有效身份证正反面复印件</w:t>
      </w:r>
    </w:p>
    <w:p w14:paraId="3678A6D7">
      <w:pPr>
        <w:spacing w:line="500" w:lineRule="exact"/>
        <w:ind w:left="540"/>
        <w:rPr>
          <w:rFonts w:asciiTheme="minorEastAsia" w:hAnsiTheme="minorEastAsia" w:eastAsiaTheme="minorEastAsia" w:cstheme="minorEastAsia"/>
          <w:color w:val="auto"/>
          <w:sz w:val="24"/>
          <w:highlight w:val="none"/>
        </w:rPr>
      </w:pPr>
    </w:p>
    <w:p w14:paraId="58F8289B">
      <w:pPr>
        <w:snapToGrid w:val="0"/>
        <w:spacing w:line="360" w:lineRule="auto"/>
        <w:ind w:firstLine="4935" w:firstLineChars="235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0D85F92C">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39CA410">
      <w:pPr>
        <w:snapToGrid w:val="0"/>
        <w:spacing w:beforeLines="50" w:after="50"/>
        <w:jc w:val="center"/>
        <w:rPr>
          <w:rFonts w:asciiTheme="minorEastAsia" w:hAnsiTheme="minorEastAsia" w:eastAsiaTheme="minorEastAsia" w:cstheme="minorEastAsia"/>
          <w:b/>
          <w:color w:val="auto"/>
          <w:sz w:val="24"/>
          <w:highlight w:val="none"/>
        </w:rPr>
      </w:pPr>
    </w:p>
    <w:p w14:paraId="3AE08487">
      <w:pPr>
        <w:snapToGrid w:val="0"/>
        <w:spacing w:beforeLines="50" w:after="50"/>
        <w:ind w:firstLine="600" w:firstLineChars="2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注：自然人投标的无需提供</w:t>
      </w:r>
    </w:p>
    <w:p w14:paraId="6CD29FFC">
      <w:pPr>
        <w:snapToGrid w:val="0"/>
        <w:spacing w:beforeLines="50" w:after="50"/>
        <w:ind w:firstLine="600" w:firstLineChars="250"/>
        <w:jc w:val="left"/>
        <w:rPr>
          <w:rFonts w:asciiTheme="minorEastAsia" w:hAnsiTheme="minorEastAsia" w:eastAsiaTheme="minorEastAsia" w:cstheme="minorEastAsia"/>
          <w:color w:val="auto"/>
          <w:sz w:val="24"/>
          <w:highlight w:val="none"/>
        </w:rPr>
      </w:pPr>
    </w:p>
    <w:p w14:paraId="3E56ED7C">
      <w:pPr>
        <w:snapToGrid w:val="0"/>
        <w:spacing w:beforeLines="50" w:after="50"/>
        <w:ind w:firstLine="602" w:firstLineChars="250"/>
        <w:jc w:val="left"/>
        <w:rPr>
          <w:rFonts w:asciiTheme="minorEastAsia" w:hAnsiTheme="minorEastAsia" w:eastAsiaTheme="minorEastAsia" w:cstheme="minorEastAsia"/>
          <w:b/>
          <w:color w:val="auto"/>
          <w:sz w:val="24"/>
          <w:szCs w:val="20"/>
          <w:highlight w:val="none"/>
        </w:rPr>
      </w:pPr>
    </w:p>
    <w:tbl>
      <w:tblPr>
        <w:tblStyle w:val="23"/>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328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tcPr>
          <w:p w14:paraId="10AB5A7B">
            <w:pPr>
              <w:spacing w:line="360" w:lineRule="auto"/>
              <w:rPr>
                <w:rFonts w:asciiTheme="minorEastAsia" w:hAnsiTheme="minorEastAsia" w:eastAsiaTheme="minorEastAsia" w:cstheme="minorEastAsia"/>
                <w:b/>
                <w:color w:val="auto"/>
                <w:sz w:val="24"/>
                <w:highlight w:val="none"/>
              </w:rPr>
            </w:pPr>
          </w:p>
          <w:p w14:paraId="0D68999A">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法定代表身份证复印件粘贴处（正、反面）</w:t>
            </w:r>
          </w:p>
        </w:tc>
      </w:tr>
    </w:tbl>
    <w:p w14:paraId="37F5CBA5">
      <w:pPr>
        <w:pStyle w:val="12"/>
        <w:snapToGrid w:val="0"/>
        <w:spacing w:before="295" w:after="295"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bCs/>
          <w:color w:val="auto"/>
          <w:sz w:val="30"/>
          <w:szCs w:val="30"/>
          <w:highlight w:val="none"/>
        </w:rPr>
        <w:t>三、法定代表人授权委托书（如有委托时）</w:t>
      </w:r>
    </w:p>
    <w:p w14:paraId="1FD514F3">
      <w:pPr>
        <w:snapToGrid w:val="0"/>
        <w:spacing w:beforeLines="50" w:after="50"/>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法定代表人授权委托书</w:t>
      </w:r>
    </w:p>
    <w:p w14:paraId="1C5BDC60">
      <w:pPr>
        <w:snapToGrid w:val="0"/>
        <w:spacing w:beforeLines="50" w:after="50"/>
        <w:jc w:val="center"/>
        <w:rPr>
          <w:rFonts w:asciiTheme="minorEastAsia" w:hAnsiTheme="minorEastAsia" w:eastAsiaTheme="minorEastAsia" w:cstheme="minorEastAsia"/>
          <w:b/>
          <w:color w:val="auto"/>
          <w:sz w:val="24"/>
          <w:highlight w:val="none"/>
        </w:rPr>
      </w:pPr>
    </w:p>
    <w:p w14:paraId="3C3319AB">
      <w:pPr>
        <w:pStyle w:val="12"/>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u w:val="single"/>
        </w:rPr>
        <w:t xml:space="preserve"> </w:t>
      </w:r>
      <w:bookmarkStart w:id="315" w:name="PO_3000001866_PM031_7"/>
      <w:r>
        <w:rPr>
          <w:rFonts w:hint="eastAsia" w:asciiTheme="minorEastAsia" w:hAnsiTheme="minorEastAsia" w:eastAsiaTheme="minorEastAsia" w:cstheme="minorEastAsia"/>
          <w:color w:val="auto"/>
          <w:highlight w:val="none"/>
          <w:u w:val="single"/>
        </w:rPr>
        <w:t>广西建设工程机电设备招标中心有限公司</w:t>
      </w:r>
      <w:bookmarkEnd w:id="315"/>
      <w:r>
        <w:rPr>
          <w:rFonts w:hint="eastAsia" w:asciiTheme="minorEastAsia" w:hAnsiTheme="minorEastAsia" w:eastAsiaTheme="minorEastAsia" w:cstheme="minorEastAsia"/>
          <w:color w:val="auto"/>
          <w:highlight w:val="none"/>
          <w:u w:val="single"/>
        </w:rPr>
        <w:t xml:space="preserve"> </w:t>
      </w:r>
    </w:p>
    <w:p w14:paraId="0A4F1C35">
      <w:pPr>
        <w:pStyle w:val="12"/>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（姓名）系</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（投标人名称）的法定代表人，现授权我单位在职正式员工</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（姓名和职务）为我方代理人。代理人根据授权，以我方名义签署、澄清、说明、补正、递交、撤回、修改贵方组织的</w:t>
      </w:r>
      <w:r>
        <w:rPr>
          <w:rFonts w:hint="eastAsia" w:asciiTheme="minorEastAsia" w:hAnsiTheme="minorEastAsia" w:eastAsiaTheme="minorEastAsia" w:cstheme="minorEastAsia"/>
          <w:color w:val="auto"/>
          <w:highlight w:val="none"/>
          <w:u w:val="single"/>
        </w:rPr>
        <w:t xml:space="preserve"> 南宁市2025年政府和社会资本合作新机制项目实施方案评审服务 </w:t>
      </w:r>
      <w:r>
        <w:rPr>
          <w:rFonts w:hint="eastAsia" w:asciiTheme="minorEastAsia" w:hAnsiTheme="minorEastAsia" w:eastAsiaTheme="minorEastAsia" w:cstheme="minorEastAsia"/>
          <w:color w:val="auto"/>
          <w:highlight w:val="none"/>
        </w:rPr>
        <w:t>项目（项目编号：</w:t>
      </w:r>
      <w:r>
        <w:rPr>
          <w:rFonts w:hint="eastAsia" w:asciiTheme="minorEastAsia" w:hAnsiTheme="minorEastAsia" w:eastAsiaTheme="minorEastAsia" w:cstheme="minorEastAsia"/>
          <w:color w:val="auto"/>
          <w:highlight w:val="none"/>
          <w:u w:val="single"/>
        </w:rPr>
        <w:t xml:space="preserve">NNZC2025-G3-990774-JGJD </w:t>
      </w:r>
      <w:r>
        <w:rPr>
          <w:rFonts w:hint="eastAsia" w:asciiTheme="minorEastAsia" w:hAnsiTheme="minorEastAsia" w:eastAsiaTheme="minorEastAsia" w:cstheme="minorEastAsia"/>
          <w:color w:val="auto"/>
          <w:highlight w:val="none"/>
        </w:rPr>
        <w:t>）的投标文件、签订合同和处理一切有关事宜，其法律后果由我方承担。</w:t>
      </w:r>
    </w:p>
    <w:p w14:paraId="14FCA4D2">
      <w:pPr>
        <w:pStyle w:val="12"/>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本授权书于</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highlight w:val="none"/>
        </w:rPr>
        <w:t>日签字生效，委托期限：</w:t>
      </w:r>
      <w:r>
        <w:rPr>
          <w:rFonts w:hint="eastAsia" w:asciiTheme="minorEastAsia" w:hAnsiTheme="minorEastAsia" w:eastAsiaTheme="minorEastAsia" w:cstheme="minorEastAsia"/>
          <w:color w:val="auto"/>
          <w:spacing w:val="10"/>
          <w:sz w:val="24"/>
          <w:highlight w:val="none"/>
          <w:u w:val="single"/>
        </w:rPr>
        <w:t xml:space="preserve">    </w:t>
      </w:r>
      <w:r>
        <w:rPr>
          <w:rFonts w:hint="eastAsia" w:asciiTheme="minorEastAsia" w:hAnsiTheme="minorEastAsia" w:eastAsiaTheme="minorEastAsia" w:cstheme="minorEastAsia"/>
          <w:color w:val="auto"/>
          <w:highlight w:val="none"/>
        </w:rPr>
        <w:t>。</w:t>
      </w:r>
    </w:p>
    <w:p w14:paraId="727558D7">
      <w:pPr>
        <w:pStyle w:val="12"/>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代理人无转委托权。</w:t>
      </w:r>
    </w:p>
    <w:p w14:paraId="2793909D">
      <w:pPr>
        <w:pStyle w:val="12"/>
        <w:spacing w:line="360" w:lineRule="auto"/>
        <w:ind w:firstLine="420"/>
        <w:rPr>
          <w:rFonts w:asciiTheme="minorEastAsia" w:hAnsiTheme="minorEastAsia" w:eastAsiaTheme="minorEastAsia" w:cstheme="minorEastAsia"/>
          <w:color w:val="auto"/>
          <w:highlight w:val="none"/>
        </w:rPr>
      </w:pPr>
    </w:p>
    <w:p w14:paraId="043FFD26">
      <w:pPr>
        <w:pStyle w:val="12"/>
        <w:spacing w:line="360" w:lineRule="auto"/>
        <w:ind w:firstLine="42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投标人（或联合体投标</w:t>
      </w:r>
      <w:r>
        <w:rPr>
          <w:rFonts w:hint="eastAsia" w:asciiTheme="minorEastAsia" w:hAnsiTheme="minorEastAsia" w:eastAsiaTheme="minorEastAsia" w:cstheme="minorEastAsia"/>
          <w:color w:val="auto"/>
          <w:kern w:val="0"/>
          <w:szCs w:val="21"/>
          <w:highlight w:val="none"/>
        </w:rPr>
        <w:t>牵头人名称</w:t>
      </w:r>
      <w:r>
        <w:rPr>
          <w:rFonts w:hint="eastAsia" w:asciiTheme="minorEastAsia" w:hAnsiTheme="minorEastAsia" w:eastAsiaTheme="minorEastAsia" w:cstheme="minorEastAsia"/>
          <w:color w:val="auto"/>
          <w:highlight w:val="none"/>
        </w:rPr>
        <w:t>）（盖单位公章）：</w:t>
      </w:r>
      <w:r>
        <w:rPr>
          <w:rFonts w:hint="eastAsia" w:asciiTheme="minorEastAsia" w:hAnsiTheme="minorEastAsia" w:eastAsiaTheme="minorEastAsia" w:cstheme="minorEastAsia"/>
          <w:color w:val="auto"/>
          <w:highlight w:val="none"/>
          <w:u w:val="single"/>
        </w:rPr>
        <w:t xml:space="preserve">                                    </w:t>
      </w:r>
    </w:p>
    <w:p w14:paraId="7D1B40C4">
      <w:pPr>
        <w:pStyle w:val="12"/>
        <w:spacing w:line="360" w:lineRule="auto"/>
        <w:ind w:firstLine="42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法定代表人（签字）：</w:t>
      </w:r>
      <w:r>
        <w:rPr>
          <w:rFonts w:hint="eastAsia" w:asciiTheme="minorEastAsia" w:hAnsiTheme="minorEastAsia" w:eastAsiaTheme="minorEastAsia" w:cstheme="minorEastAsia"/>
          <w:color w:val="auto"/>
          <w:highlight w:val="none"/>
          <w:u w:val="single"/>
        </w:rPr>
        <w:t xml:space="preserve">                                </w:t>
      </w:r>
    </w:p>
    <w:p w14:paraId="794DCBAC">
      <w:pPr>
        <w:pStyle w:val="12"/>
        <w:spacing w:line="360" w:lineRule="auto"/>
        <w:ind w:firstLine="42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法定代表人身份证号码：</w:t>
      </w:r>
      <w:r>
        <w:rPr>
          <w:rFonts w:hint="eastAsia" w:asciiTheme="minorEastAsia" w:hAnsiTheme="minorEastAsia" w:eastAsiaTheme="minorEastAsia" w:cstheme="minorEastAsia"/>
          <w:color w:val="auto"/>
          <w:highlight w:val="none"/>
          <w:u w:val="single"/>
        </w:rPr>
        <w:t xml:space="preserve">                                   </w:t>
      </w:r>
    </w:p>
    <w:p w14:paraId="5C53007B">
      <w:pPr>
        <w:pStyle w:val="12"/>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委托代理人（签字）：</w:t>
      </w:r>
      <w:r>
        <w:rPr>
          <w:rFonts w:hint="eastAsia" w:asciiTheme="minorEastAsia" w:hAnsiTheme="minorEastAsia" w:eastAsiaTheme="minorEastAsia" w:cstheme="minorEastAsia"/>
          <w:color w:val="auto"/>
          <w:highlight w:val="none"/>
          <w:u w:val="single"/>
        </w:rPr>
        <w:t xml:space="preserve">                                </w:t>
      </w:r>
    </w:p>
    <w:p w14:paraId="2E5F706A">
      <w:pPr>
        <w:pStyle w:val="12"/>
        <w:spacing w:line="360" w:lineRule="auto"/>
        <w:ind w:firstLine="42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委托代理人身份证号码：</w:t>
      </w:r>
      <w:r>
        <w:rPr>
          <w:rFonts w:hint="eastAsia" w:asciiTheme="minorEastAsia" w:hAnsiTheme="minorEastAsia" w:eastAsiaTheme="minorEastAsia" w:cstheme="minorEastAsia"/>
          <w:color w:val="auto"/>
          <w:highlight w:val="none"/>
          <w:u w:val="single"/>
        </w:rPr>
        <w:t xml:space="preserve">                                   </w:t>
      </w:r>
    </w:p>
    <w:p w14:paraId="65D23310">
      <w:pPr>
        <w:pStyle w:val="12"/>
        <w:spacing w:line="360" w:lineRule="auto"/>
        <w:ind w:firstLine="420"/>
        <w:rPr>
          <w:rFonts w:asciiTheme="minorEastAsia" w:hAnsiTheme="minorEastAsia" w:eastAsiaTheme="minorEastAsia" w:cstheme="minorEastAsia"/>
          <w:color w:val="auto"/>
          <w:highlight w:val="none"/>
          <w:u w:val="single"/>
        </w:rPr>
      </w:pPr>
    </w:p>
    <w:p w14:paraId="00B5E152">
      <w:pPr>
        <w:pStyle w:val="12"/>
        <w:spacing w:line="360" w:lineRule="auto"/>
        <w:ind w:firstLine="42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kern w:val="0"/>
          <w:szCs w:val="21"/>
          <w:highlight w:val="none"/>
        </w:rPr>
        <w:t>成员一名称：</w:t>
      </w:r>
      <w:r>
        <w:rPr>
          <w:rFonts w:hint="eastAsia" w:asciiTheme="minorEastAsia" w:hAnsiTheme="minorEastAsia" w:eastAsiaTheme="minorEastAsia" w:cstheme="minorEastAsia"/>
          <w:color w:val="auto"/>
          <w:highlight w:val="none"/>
        </w:rPr>
        <w:t>（盖单位公章）：</w:t>
      </w:r>
      <w:r>
        <w:rPr>
          <w:rFonts w:hint="eastAsia" w:asciiTheme="minorEastAsia" w:hAnsiTheme="minorEastAsia" w:eastAsiaTheme="minorEastAsia" w:cstheme="minorEastAsia"/>
          <w:color w:val="auto"/>
          <w:highlight w:val="none"/>
          <w:u w:val="single"/>
        </w:rPr>
        <w:t xml:space="preserve">                                    </w:t>
      </w:r>
    </w:p>
    <w:p w14:paraId="51A88C1B">
      <w:pPr>
        <w:pStyle w:val="12"/>
        <w:spacing w:line="360" w:lineRule="auto"/>
        <w:ind w:firstLine="42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法定代表人（签字）：</w:t>
      </w:r>
      <w:r>
        <w:rPr>
          <w:rFonts w:hint="eastAsia" w:asciiTheme="minorEastAsia" w:hAnsiTheme="minorEastAsia" w:eastAsiaTheme="minorEastAsia" w:cstheme="minorEastAsia"/>
          <w:color w:val="auto"/>
          <w:highlight w:val="none"/>
          <w:u w:val="single"/>
        </w:rPr>
        <w:t xml:space="preserve">                                </w:t>
      </w:r>
    </w:p>
    <w:p w14:paraId="7EFB3133">
      <w:pPr>
        <w:pStyle w:val="12"/>
        <w:spacing w:line="360" w:lineRule="auto"/>
        <w:ind w:firstLine="420"/>
        <w:rPr>
          <w:rFonts w:asciiTheme="minorEastAsia" w:hAnsiTheme="minorEastAsia" w:eastAsiaTheme="minorEastAsia" w:cstheme="minorEastAsia"/>
          <w:color w:val="auto"/>
          <w:highlight w:val="none"/>
          <w:u w:val="single"/>
        </w:rPr>
      </w:pPr>
    </w:p>
    <w:p w14:paraId="4E49DCB9">
      <w:pPr>
        <w:autoSpaceDE w:val="0"/>
        <w:autoSpaceDN w:val="0"/>
        <w:adjustRightInd w:val="0"/>
        <w:spacing w:line="360" w:lineRule="auto"/>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成员二名称：</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（盖单位公章）</w:t>
      </w:r>
    </w:p>
    <w:p w14:paraId="1744CB7A">
      <w:pPr>
        <w:autoSpaceDE w:val="0"/>
        <w:autoSpaceDN w:val="0"/>
        <w:adjustRightInd w:val="0"/>
        <w:spacing w:line="360" w:lineRule="auto"/>
        <w:ind w:firstLine="420" w:firstLineChars="200"/>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法定代表人或其委托代理人：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（签字）</w:t>
      </w:r>
    </w:p>
    <w:p w14:paraId="5A2FE640">
      <w:pPr>
        <w:pStyle w:val="12"/>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14:paraId="5C3D5133">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p>
    <w:p w14:paraId="7FB15EEC">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1.法定代表人和委托代理人必须在授权委托书上亲笔签名，不得使用印章、签名章或者其他电子制版签名代替，</w:t>
      </w:r>
      <w:r>
        <w:rPr>
          <w:rFonts w:hint="eastAsia" w:asciiTheme="minorEastAsia" w:hAnsiTheme="minorEastAsia" w:eastAsiaTheme="minorEastAsia" w:cstheme="minorEastAsia"/>
          <w:b/>
          <w:bCs/>
          <w:color w:val="auto"/>
          <w:szCs w:val="21"/>
          <w:highlight w:val="none"/>
        </w:rPr>
        <w:t>否则作无效投标处理</w:t>
      </w:r>
      <w:r>
        <w:rPr>
          <w:rFonts w:hint="eastAsia" w:asciiTheme="minorEastAsia" w:hAnsiTheme="minorEastAsia" w:eastAsiaTheme="minorEastAsia" w:cstheme="minorEastAsia"/>
          <w:color w:val="auto"/>
          <w:szCs w:val="21"/>
          <w:highlight w:val="none"/>
        </w:rPr>
        <w:t>；</w:t>
      </w:r>
    </w:p>
    <w:p w14:paraId="5FBD4659">
      <w:pPr>
        <w:spacing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2.以联合体形式投标的，本授权委托书应由联合体牵头人的法定代表人按上述规定签署。</w:t>
      </w:r>
    </w:p>
    <w:p w14:paraId="06B23E1A">
      <w:pPr>
        <w:snapToGrid w:val="0"/>
        <w:spacing w:before="50" w:afterLines="50"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BB2F611">
      <w:pPr>
        <w:snapToGrid w:val="0"/>
        <w:spacing w:before="50" w:afterLines="50" w:line="360" w:lineRule="auto"/>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若为联合体投标须各方签字或盖章。</w:t>
      </w:r>
    </w:p>
    <w:p w14:paraId="219E9099">
      <w:pPr>
        <w:spacing w:line="360" w:lineRule="auto"/>
        <w:rPr>
          <w:rFonts w:asciiTheme="minorEastAsia" w:hAnsiTheme="minorEastAsia" w:eastAsiaTheme="minorEastAsia" w:cstheme="minorEastAsia"/>
          <w:b/>
          <w:color w:val="auto"/>
          <w:sz w:val="24"/>
          <w:highlight w:val="none"/>
        </w:rPr>
      </w:pPr>
    </w:p>
    <w:p w14:paraId="3EC21E0D">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w:t>
      </w:r>
    </w:p>
    <w:tbl>
      <w:tblPr>
        <w:tblStyle w:val="23"/>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4531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noWrap/>
          </w:tcPr>
          <w:p w14:paraId="5096A62E">
            <w:pPr>
              <w:spacing w:line="360" w:lineRule="auto"/>
              <w:rPr>
                <w:rFonts w:asciiTheme="minorEastAsia" w:hAnsiTheme="minorEastAsia" w:eastAsiaTheme="minorEastAsia" w:cstheme="minorEastAsia"/>
                <w:b/>
                <w:color w:val="auto"/>
                <w:sz w:val="24"/>
                <w:highlight w:val="none"/>
              </w:rPr>
            </w:pPr>
          </w:p>
          <w:p w14:paraId="2944D572">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全权代表身份证复印件粘贴处（正、反面）</w:t>
            </w:r>
          </w:p>
        </w:tc>
      </w:tr>
    </w:tbl>
    <w:p w14:paraId="11657F99">
      <w:pPr>
        <w:snapToGrid w:val="0"/>
        <w:spacing w:before="50" w:afterLines="50" w:line="360" w:lineRule="auto"/>
        <w:jc w:val="left"/>
        <w:rPr>
          <w:rFonts w:asciiTheme="minorEastAsia" w:hAnsiTheme="minorEastAsia" w:eastAsiaTheme="minorEastAsia" w:cstheme="minorEastAsia"/>
          <w:color w:val="auto"/>
          <w:szCs w:val="21"/>
          <w:highlight w:val="none"/>
        </w:rPr>
      </w:pPr>
    </w:p>
    <w:p w14:paraId="36BBB3B4">
      <w:pPr>
        <w:snapToGrid w:val="0"/>
        <w:spacing w:beforeLines="50" w:after="50"/>
        <w:ind w:firstLine="566" w:firstLineChars="236"/>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rPr>
        <w:br w:type="page"/>
      </w:r>
    </w:p>
    <w:p w14:paraId="03748E44">
      <w:pPr>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四、商务条款偏离表</w:t>
      </w:r>
    </w:p>
    <w:p w14:paraId="1CB803F9">
      <w:pPr>
        <w:jc w:val="center"/>
        <w:rPr>
          <w:rFonts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color w:val="auto"/>
          <w:sz w:val="30"/>
          <w:szCs w:val="20"/>
          <w:highlight w:val="none"/>
        </w:rPr>
        <w:t>(注：按项目需求表具体项目修改)</w:t>
      </w:r>
    </w:p>
    <w:p w14:paraId="1DB8695B">
      <w:pPr>
        <w:snapToGrid w:val="0"/>
        <w:spacing w:before="50"/>
        <w:jc w:val="left"/>
        <w:rPr>
          <w:rFonts w:asciiTheme="minorEastAsia" w:hAnsiTheme="minorEastAsia" w:eastAsiaTheme="minorEastAsia" w:cstheme="minorEastAsia"/>
          <w:color w:val="auto"/>
          <w:sz w:val="24"/>
          <w:highlight w:val="none"/>
        </w:rPr>
      </w:pPr>
    </w:p>
    <w:p w14:paraId="78F0F8B1">
      <w:pPr>
        <w:pStyle w:val="12"/>
        <w:spacing w:line="360" w:lineRule="auto"/>
        <w:ind w:left="-424" w:leftChars="-202" w:firstLine="846"/>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请逐条对应本项目招标文件第二章“服务需求一览表”中“商务条款”的要求，详细填写相应的具体内容。“偏离说明”一栏应当选择“正偏离”、“负偏离”或“无偏离”进行填写。</w:t>
      </w:r>
    </w:p>
    <w:tbl>
      <w:tblPr>
        <w:tblStyle w:val="23"/>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0308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37215963">
            <w:pPr>
              <w:spacing w:line="3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tcPr>
          <w:p w14:paraId="3D5CEA78">
            <w:pPr>
              <w:spacing w:line="3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招标文件的商务需求</w:t>
            </w:r>
          </w:p>
        </w:tc>
        <w:tc>
          <w:tcPr>
            <w:tcW w:w="2516" w:type="dxa"/>
            <w:tcBorders>
              <w:top w:val="single" w:color="auto" w:sz="4" w:space="0"/>
              <w:left w:val="single" w:color="auto" w:sz="4" w:space="0"/>
              <w:right w:val="single" w:color="auto" w:sz="4" w:space="0"/>
            </w:tcBorders>
            <w:noWrap/>
          </w:tcPr>
          <w:p w14:paraId="54205BE7">
            <w:pPr>
              <w:spacing w:line="3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投标文件承诺的商务条款</w:t>
            </w:r>
          </w:p>
        </w:tc>
        <w:tc>
          <w:tcPr>
            <w:tcW w:w="2516" w:type="dxa"/>
            <w:tcBorders>
              <w:top w:val="single" w:color="auto" w:sz="4" w:space="0"/>
              <w:left w:val="single" w:color="auto" w:sz="4" w:space="0"/>
              <w:right w:val="single" w:color="auto" w:sz="4" w:space="0"/>
            </w:tcBorders>
            <w:noWrap/>
          </w:tcPr>
          <w:p w14:paraId="55B694DE">
            <w:pPr>
              <w:spacing w:line="30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14:paraId="0444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716CE96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tcPr>
          <w:p w14:paraId="4677C2E5">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noWrap/>
          </w:tcPr>
          <w:p w14:paraId="486295DF">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noWrap/>
          </w:tcPr>
          <w:p w14:paraId="0911B1D8">
            <w:pPr>
              <w:spacing w:line="3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10D7CE3E">
            <w:pPr>
              <w:spacing w:line="300" w:lineRule="exact"/>
              <w:rPr>
                <w:rFonts w:asciiTheme="minorEastAsia" w:hAnsiTheme="minorEastAsia" w:eastAsiaTheme="minorEastAsia" w:cstheme="minorEastAsia"/>
                <w:color w:val="auto"/>
                <w:szCs w:val="21"/>
                <w:highlight w:val="none"/>
              </w:rPr>
            </w:pPr>
          </w:p>
        </w:tc>
      </w:tr>
      <w:tr w14:paraId="3593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0C16E6A">
            <w:pPr>
              <w:spacing w:line="340" w:lineRule="exact"/>
              <w:rPr>
                <w:rFonts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0AF1CAE">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15B9F26C">
            <w:pPr>
              <w:spacing w:line="340" w:lineRule="exact"/>
              <w:rPr>
                <w:rFonts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tcPr>
          <w:p w14:paraId="07E070D6">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20A75CC0">
            <w:pPr>
              <w:spacing w:line="300" w:lineRule="exact"/>
              <w:rPr>
                <w:rFonts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tcPr>
          <w:p w14:paraId="690E057F">
            <w:pPr>
              <w:spacing w:line="3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49483E1C">
            <w:pPr>
              <w:spacing w:line="300" w:lineRule="exact"/>
              <w:rPr>
                <w:rFonts w:asciiTheme="minorEastAsia" w:hAnsiTheme="minorEastAsia" w:eastAsiaTheme="minorEastAsia" w:cstheme="minorEastAsia"/>
                <w:color w:val="auto"/>
                <w:szCs w:val="21"/>
                <w:highlight w:val="none"/>
              </w:rPr>
            </w:pPr>
          </w:p>
        </w:tc>
      </w:tr>
      <w:tr w14:paraId="298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B5F54BD">
            <w:pPr>
              <w:spacing w:line="340" w:lineRule="exact"/>
              <w:rPr>
                <w:rFonts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5E8E807">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9B4BC48">
            <w:pPr>
              <w:spacing w:line="340" w:lineRule="exact"/>
              <w:rPr>
                <w:rFonts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tcPr>
          <w:p w14:paraId="66C33BC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11FD098B">
            <w:pPr>
              <w:spacing w:line="300" w:lineRule="exact"/>
              <w:rPr>
                <w:rFonts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tcPr>
          <w:p w14:paraId="62EE7941">
            <w:pPr>
              <w:spacing w:line="3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27B39B10">
            <w:pPr>
              <w:spacing w:line="300" w:lineRule="exact"/>
              <w:rPr>
                <w:rFonts w:asciiTheme="minorEastAsia" w:hAnsiTheme="minorEastAsia" w:eastAsiaTheme="minorEastAsia" w:cstheme="minorEastAsia"/>
                <w:color w:val="auto"/>
                <w:szCs w:val="21"/>
                <w:highlight w:val="none"/>
              </w:rPr>
            </w:pPr>
          </w:p>
        </w:tc>
      </w:tr>
      <w:tr w14:paraId="0EAE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B62D194">
            <w:pPr>
              <w:spacing w:line="340" w:lineRule="exact"/>
              <w:rPr>
                <w:rFonts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6E00356A">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noWrap/>
          </w:tcPr>
          <w:p w14:paraId="49746102">
            <w:pPr>
              <w:spacing w:line="3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noWrap/>
          </w:tcPr>
          <w:p w14:paraId="091D2326">
            <w:pPr>
              <w:spacing w:line="3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17448316">
            <w:pPr>
              <w:spacing w:line="300" w:lineRule="exact"/>
              <w:rPr>
                <w:rFonts w:asciiTheme="minorEastAsia" w:hAnsiTheme="minorEastAsia" w:eastAsiaTheme="minorEastAsia" w:cstheme="minorEastAsia"/>
                <w:color w:val="auto"/>
                <w:szCs w:val="21"/>
                <w:highlight w:val="none"/>
              </w:rPr>
            </w:pPr>
          </w:p>
        </w:tc>
      </w:tr>
      <w:tr w14:paraId="3990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57DEA0B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tcPr>
          <w:p w14:paraId="009688B6">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noWrap/>
          </w:tcPr>
          <w:p w14:paraId="662E9CA0">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noWrap/>
          </w:tcPr>
          <w:p w14:paraId="3DCBDDD6">
            <w:pPr>
              <w:spacing w:line="3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6A12148C">
            <w:pPr>
              <w:spacing w:line="300" w:lineRule="exact"/>
              <w:rPr>
                <w:rFonts w:asciiTheme="minorEastAsia" w:hAnsiTheme="minorEastAsia" w:eastAsiaTheme="minorEastAsia" w:cstheme="minorEastAsia"/>
                <w:color w:val="auto"/>
                <w:szCs w:val="21"/>
                <w:highlight w:val="none"/>
              </w:rPr>
            </w:pPr>
          </w:p>
        </w:tc>
      </w:tr>
      <w:tr w14:paraId="078C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03EDF0F">
            <w:pPr>
              <w:spacing w:line="340" w:lineRule="exact"/>
              <w:rPr>
                <w:rFonts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73F7BB1F">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31851A0B">
            <w:pPr>
              <w:spacing w:line="340" w:lineRule="exact"/>
              <w:rPr>
                <w:rFonts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tcPr>
          <w:p w14:paraId="117CC8FF">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339C4E55">
            <w:pPr>
              <w:spacing w:line="300" w:lineRule="exact"/>
              <w:rPr>
                <w:rFonts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tcPr>
          <w:p w14:paraId="61200A5D">
            <w:pPr>
              <w:spacing w:line="3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0696EAE8">
            <w:pPr>
              <w:spacing w:line="300" w:lineRule="exact"/>
              <w:rPr>
                <w:rFonts w:asciiTheme="minorEastAsia" w:hAnsiTheme="minorEastAsia" w:eastAsiaTheme="minorEastAsia" w:cstheme="minorEastAsia"/>
                <w:color w:val="auto"/>
                <w:szCs w:val="21"/>
                <w:highlight w:val="none"/>
              </w:rPr>
            </w:pPr>
          </w:p>
        </w:tc>
      </w:tr>
      <w:tr w14:paraId="1636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AD0F502">
            <w:pPr>
              <w:spacing w:line="340" w:lineRule="exact"/>
              <w:rPr>
                <w:rFonts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5DB18196">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230B882D">
            <w:pPr>
              <w:spacing w:line="340" w:lineRule="exact"/>
              <w:rPr>
                <w:rFonts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tcPr>
          <w:p w14:paraId="0ED418E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73FDD96">
            <w:pPr>
              <w:spacing w:line="300" w:lineRule="exact"/>
              <w:rPr>
                <w:rFonts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tcPr>
          <w:p w14:paraId="23308D73">
            <w:pPr>
              <w:spacing w:line="3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3774C4E2">
            <w:pPr>
              <w:spacing w:line="300" w:lineRule="exact"/>
              <w:rPr>
                <w:rFonts w:asciiTheme="minorEastAsia" w:hAnsiTheme="minorEastAsia" w:eastAsiaTheme="minorEastAsia" w:cstheme="minorEastAsia"/>
                <w:color w:val="auto"/>
                <w:szCs w:val="21"/>
                <w:highlight w:val="none"/>
              </w:rPr>
            </w:pPr>
          </w:p>
        </w:tc>
      </w:tr>
      <w:tr w14:paraId="3BC4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019B9285">
            <w:pPr>
              <w:spacing w:line="340" w:lineRule="exact"/>
              <w:rPr>
                <w:rFonts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04A49E3E">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noWrap/>
          </w:tcPr>
          <w:p w14:paraId="76347F5B">
            <w:pPr>
              <w:spacing w:line="3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noWrap/>
          </w:tcPr>
          <w:p w14:paraId="7CAAE264">
            <w:pPr>
              <w:spacing w:line="3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4301C390">
            <w:pPr>
              <w:spacing w:line="300" w:lineRule="exact"/>
              <w:rPr>
                <w:rFonts w:asciiTheme="minorEastAsia" w:hAnsiTheme="minorEastAsia" w:eastAsiaTheme="minorEastAsia" w:cstheme="minorEastAsia"/>
                <w:color w:val="auto"/>
                <w:szCs w:val="21"/>
                <w:highlight w:val="none"/>
              </w:rPr>
            </w:pPr>
          </w:p>
        </w:tc>
      </w:tr>
      <w:tr w14:paraId="17B4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10A47E3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tcPr>
          <w:p w14:paraId="0A758C37">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noWrap/>
          </w:tcPr>
          <w:p w14:paraId="20EB0E36">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tc>
        <w:tc>
          <w:tcPr>
            <w:tcW w:w="2516" w:type="dxa"/>
            <w:tcBorders>
              <w:top w:val="single" w:color="auto" w:sz="4" w:space="0"/>
              <w:left w:val="single" w:color="auto" w:sz="4" w:space="0"/>
              <w:right w:val="single" w:color="auto" w:sz="4" w:space="0"/>
            </w:tcBorders>
            <w:noWrap/>
          </w:tcPr>
          <w:p w14:paraId="2E0A07B0">
            <w:pPr>
              <w:spacing w:line="3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2660FF9B">
            <w:pPr>
              <w:spacing w:line="300" w:lineRule="exact"/>
              <w:rPr>
                <w:rFonts w:asciiTheme="minorEastAsia" w:hAnsiTheme="minorEastAsia" w:eastAsiaTheme="minorEastAsia" w:cstheme="minorEastAsia"/>
                <w:color w:val="auto"/>
                <w:szCs w:val="21"/>
                <w:highlight w:val="none"/>
              </w:rPr>
            </w:pPr>
          </w:p>
        </w:tc>
      </w:tr>
      <w:tr w14:paraId="5707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78C23C4">
            <w:pPr>
              <w:spacing w:line="340" w:lineRule="exact"/>
              <w:rPr>
                <w:rFonts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5595EE39">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36F4563A">
            <w:pPr>
              <w:spacing w:line="340" w:lineRule="exact"/>
              <w:rPr>
                <w:rFonts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tcPr>
          <w:p w14:paraId="04A4616A">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3788B892">
            <w:pPr>
              <w:spacing w:line="300" w:lineRule="exact"/>
              <w:rPr>
                <w:rFonts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tcPr>
          <w:p w14:paraId="4A7F0463">
            <w:pPr>
              <w:spacing w:line="3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0A03EC31">
            <w:pPr>
              <w:spacing w:line="300" w:lineRule="exact"/>
              <w:rPr>
                <w:rFonts w:asciiTheme="minorEastAsia" w:hAnsiTheme="minorEastAsia" w:eastAsiaTheme="minorEastAsia" w:cstheme="minorEastAsia"/>
                <w:color w:val="auto"/>
                <w:szCs w:val="21"/>
                <w:highlight w:val="none"/>
              </w:rPr>
            </w:pPr>
          </w:p>
        </w:tc>
      </w:tr>
      <w:tr w14:paraId="6060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56DFDCF3">
            <w:pPr>
              <w:spacing w:line="340" w:lineRule="exact"/>
              <w:rPr>
                <w:rFonts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34F8BE3B">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7335C8CB">
            <w:pPr>
              <w:spacing w:line="340" w:lineRule="exact"/>
              <w:rPr>
                <w:rFonts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tcPr>
          <w:p w14:paraId="7677885E">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3C8D74E8">
            <w:pPr>
              <w:spacing w:line="300" w:lineRule="exact"/>
              <w:rPr>
                <w:rFonts w:asciiTheme="minorEastAsia" w:hAnsiTheme="minorEastAsia" w:eastAsiaTheme="minorEastAsia" w:cstheme="minorEastAsia"/>
                <w:color w:val="auto"/>
                <w:szCs w:val="21"/>
                <w:highlight w:val="none"/>
              </w:rPr>
            </w:pPr>
          </w:p>
        </w:tc>
        <w:tc>
          <w:tcPr>
            <w:tcW w:w="2516" w:type="dxa"/>
            <w:tcBorders>
              <w:left w:val="single" w:color="auto" w:sz="4" w:space="0"/>
              <w:right w:val="single" w:color="auto" w:sz="4" w:space="0"/>
            </w:tcBorders>
            <w:noWrap/>
          </w:tcPr>
          <w:p w14:paraId="580DBA6D">
            <w:pPr>
              <w:spacing w:line="3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11A27F83">
            <w:pPr>
              <w:spacing w:line="300" w:lineRule="exact"/>
              <w:rPr>
                <w:rFonts w:asciiTheme="minorEastAsia" w:hAnsiTheme="minorEastAsia" w:eastAsiaTheme="minorEastAsia" w:cstheme="minorEastAsia"/>
                <w:color w:val="auto"/>
                <w:szCs w:val="21"/>
                <w:highlight w:val="none"/>
              </w:rPr>
            </w:pPr>
          </w:p>
        </w:tc>
      </w:tr>
      <w:tr w14:paraId="325A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E232611">
            <w:pPr>
              <w:spacing w:line="340" w:lineRule="exact"/>
              <w:rPr>
                <w:rFonts w:asciiTheme="minorEastAsia" w:hAnsiTheme="minorEastAsia" w:eastAsiaTheme="minorEastAsia" w:cstheme="minorEastAsia"/>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tcPr>
          <w:p w14:paraId="45542B3E">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noWrap/>
          </w:tcPr>
          <w:p w14:paraId="564A1BEE">
            <w:pPr>
              <w:spacing w:line="3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516" w:type="dxa"/>
            <w:tcBorders>
              <w:left w:val="single" w:color="auto" w:sz="4" w:space="0"/>
              <w:bottom w:val="single" w:color="auto" w:sz="4" w:space="0"/>
              <w:right w:val="single" w:color="auto" w:sz="4" w:space="0"/>
            </w:tcBorders>
            <w:noWrap/>
          </w:tcPr>
          <w:p w14:paraId="61B58028">
            <w:pPr>
              <w:spacing w:line="3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p w14:paraId="10876623">
            <w:pPr>
              <w:spacing w:line="300" w:lineRule="exact"/>
              <w:rPr>
                <w:rFonts w:asciiTheme="minorEastAsia" w:hAnsiTheme="minorEastAsia" w:eastAsiaTheme="minorEastAsia" w:cstheme="minorEastAsia"/>
                <w:color w:val="auto"/>
                <w:szCs w:val="21"/>
                <w:highlight w:val="none"/>
              </w:rPr>
            </w:pPr>
          </w:p>
        </w:tc>
      </w:tr>
    </w:tbl>
    <w:p w14:paraId="6DCC58F7">
      <w:pPr>
        <w:pStyle w:val="12"/>
        <w:spacing w:line="360" w:lineRule="auto"/>
        <w:ind w:left="-708" w:leftChars="-337"/>
        <w:rPr>
          <w:rFonts w:asciiTheme="minorEastAsia" w:hAnsiTheme="minorEastAsia" w:eastAsiaTheme="minorEastAsia" w:cstheme="minorEastAsia"/>
          <w:color w:val="auto"/>
          <w:highlight w:val="none"/>
        </w:rPr>
      </w:pPr>
    </w:p>
    <w:p w14:paraId="56EB9CC5">
      <w:pPr>
        <w:pStyle w:val="12"/>
        <w:spacing w:line="360" w:lineRule="auto"/>
        <w:ind w:left="-708" w:leftChars="-33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0B68AFB8">
      <w:pPr>
        <w:pStyle w:val="12"/>
        <w:spacing w:line="360" w:lineRule="auto"/>
        <w:ind w:left="-708" w:leftChars="-337"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1.表格内容均需按要求填写并盖章，不得留空，否则按投标无效处理。</w:t>
      </w:r>
    </w:p>
    <w:p w14:paraId="3B85129E">
      <w:pPr>
        <w:pStyle w:val="12"/>
        <w:spacing w:line="360" w:lineRule="auto"/>
        <w:ind w:left="-603" w:leftChars="-287" w:firstLine="315" w:firstLineChars="1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2.当投标文件的商务内容低于招标文件要求时，投标人应当如实写明“负偏离”，否则视为虚假应标。</w:t>
      </w:r>
    </w:p>
    <w:p w14:paraId="7A34242A">
      <w:pPr>
        <w:pStyle w:val="12"/>
        <w:spacing w:line="360" w:lineRule="auto"/>
        <w:ind w:left="-708" w:leftChars="-337"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3.采购需求中带“▲”及“★”的条款，也要分别在本表“投标文件的商务需求”、“投标文件承诺的商务条款”中标记。</w:t>
      </w:r>
    </w:p>
    <w:p w14:paraId="63232BB2">
      <w:pPr>
        <w:snapToGrid w:val="0"/>
        <w:spacing w:before="50" w:after="50"/>
        <w:rPr>
          <w:rFonts w:asciiTheme="minorEastAsia" w:hAnsiTheme="minorEastAsia" w:eastAsiaTheme="minorEastAsia" w:cstheme="minorEastAsia"/>
          <w:color w:val="auto"/>
          <w:sz w:val="24"/>
          <w:highlight w:val="none"/>
        </w:rPr>
      </w:pPr>
    </w:p>
    <w:p w14:paraId="64BF3826">
      <w:pPr>
        <w:snapToGrid w:val="0"/>
        <w:spacing w:line="360" w:lineRule="auto"/>
        <w:ind w:firstLine="4935" w:firstLineChars="235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20D76C3B">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101145F2">
      <w:pPr>
        <w:widowControl/>
        <w:jc w:val="left"/>
        <w:rPr>
          <w:rFonts w:asciiTheme="minorEastAsia" w:hAnsiTheme="minorEastAsia" w:eastAsiaTheme="minorEastAsia" w:cstheme="minorEastAsia"/>
          <w:color w:val="auto"/>
          <w:szCs w:val="21"/>
          <w:highlight w:val="none"/>
        </w:rPr>
        <w:sectPr>
          <w:pgSz w:w="11906" w:h="16838"/>
          <w:pgMar w:top="1440" w:right="1797" w:bottom="1440" w:left="1797" w:header="851" w:footer="992" w:gutter="0"/>
          <w:cols w:space="720" w:num="1"/>
        </w:sectPr>
      </w:pPr>
    </w:p>
    <w:p w14:paraId="78FA7FE4">
      <w:pPr>
        <w:snapToGrid w:val="0"/>
        <w:spacing w:beforeLines="50" w:after="50"/>
        <w:ind w:firstLine="602" w:firstLineChars="200"/>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五、投标人情况介绍</w:t>
      </w:r>
    </w:p>
    <w:p w14:paraId="7EDCB8A6">
      <w:pPr>
        <w:spacing w:line="360" w:lineRule="auto"/>
        <w:ind w:firstLine="4048" w:firstLineChars="1687"/>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（格式自拟）</w:t>
      </w:r>
    </w:p>
    <w:p w14:paraId="79114377">
      <w:pPr>
        <w:snapToGrid w:val="0"/>
        <w:spacing w:line="360" w:lineRule="auto"/>
        <w:ind w:firstLine="4935" w:firstLineChars="23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21C56977">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2E26F13D">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04E825B5">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3C285BA2">
      <w:pPr>
        <w:snapToGrid w:val="0"/>
        <w:spacing w:line="360" w:lineRule="auto"/>
        <w:ind w:firstLine="4935" w:firstLineChars="235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73A9325A">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49AD0558">
      <w:pPr>
        <w:snapToGrid w:val="0"/>
        <w:spacing w:beforeLines="50" w:after="50"/>
        <w:ind w:firstLine="602" w:firstLineChars="200"/>
        <w:jc w:val="center"/>
        <w:rPr>
          <w:rFonts w:asciiTheme="minorEastAsia" w:hAnsiTheme="minorEastAsia" w:eastAsiaTheme="minorEastAsia" w:cstheme="minorEastAsia"/>
          <w:b/>
          <w:bCs/>
          <w:color w:val="auto"/>
          <w:sz w:val="30"/>
          <w:szCs w:val="30"/>
          <w:highlight w:val="none"/>
        </w:rPr>
      </w:pPr>
    </w:p>
    <w:p w14:paraId="4605C8CC">
      <w:pPr>
        <w:widowControl/>
        <w:jc w:val="left"/>
        <w:rPr>
          <w:rFonts w:asciiTheme="minorEastAsia" w:hAnsiTheme="minorEastAsia" w:eastAsiaTheme="minorEastAsia" w:cstheme="minorEastAsia"/>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7C3A43B9">
      <w:pPr>
        <w:snapToGrid w:val="0"/>
        <w:spacing w:beforeLines="50" w:after="50"/>
        <w:ind w:firstLine="602" w:firstLineChars="200"/>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六、投标人类似的业绩证明文件（如有要求）</w:t>
      </w:r>
    </w:p>
    <w:p w14:paraId="74CCDEB9">
      <w:pPr>
        <w:pStyle w:val="18"/>
        <w:snapToGrid w:val="0"/>
        <w:ind w:left="480" w:hanging="480"/>
        <w:rPr>
          <w:rFonts w:asciiTheme="minorEastAsia" w:hAnsiTheme="minorEastAsia" w:eastAsiaTheme="minorEastAsia" w:cstheme="minorEastAsia"/>
          <w:color w:val="auto"/>
          <w:sz w:val="24"/>
          <w:highlight w:val="none"/>
        </w:rPr>
      </w:pPr>
    </w:p>
    <w:p w14:paraId="34BCFA0B">
      <w:pPr>
        <w:pStyle w:val="18"/>
        <w:snapToGrid w:val="0"/>
        <w:ind w:left="480" w:hanging="480"/>
        <w:rPr>
          <w:rFonts w:asciiTheme="minorEastAsia" w:hAnsiTheme="minorEastAsia" w:eastAsiaTheme="minorEastAsia" w:cstheme="minorEastAsia"/>
          <w:color w:val="auto"/>
          <w:sz w:val="24"/>
          <w:highlight w:val="none"/>
        </w:rPr>
      </w:pPr>
    </w:p>
    <w:p w14:paraId="0A8BEBD3">
      <w:pPr>
        <w:pStyle w:val="18"/>
        <w:snapToGrid w:val="0"/>
        <w:ind w:left="480" w:hanging="480"/>
        <w:rPr>
          <w:rFonts w:asciiTheme="minorEastAsia" w:hAnsiTheme="minorEastAsia" w:eastAsiaTheme="minorEastAsia" w:cstheme="minorEastAsia"/>
          <w:color w:val="auto"/>
          <w:sz w:val="24"/>
          <w:highlight w:val="none"/>
        </w:rPr>
      </w:pPr>
    </w:p>
    <w:p w14:paraId="139063B9">
      <w:pPr>
        <w:autoSpaceDE w:val="0"/>
        <w:autoSpaceDN w:val="0"/>
        <w:spacing w:line="360" w:lineRule="auto"/>
        <w:ind w:firstLine="12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附表 :相关项目业绩一览表（投标人同类项目合同复印件、用户验收报告、用户评价意见格式自拟）</w:t>
      </w:r>
    </w:p>
    <w:tbl>
      <w:tblPr>
        <w:tblStyle w:val="23"/>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3AE87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14:paraId="75A27CDD">
            <w:pPr>
              <w:snapToGrid w:val="0"/>
              <w:spacing w:line="2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14:paraId="474F3D85">
            <w:pPr>
              <w:snapToGrid w:val="0"/>
              <w:spacing w:line="2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noWrap/>
            <w:vAlign w:val="center"/>
          </w:tcPr>
          <w:p w14:paraId="658EE158">
            <w:pPr>
              <w:snapToGrid w:val="0"/>
              <w:spacing w:line="2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w:t>
            </w:r>
          </w:p>
          <w:p w14:paraId="48AC3E12">
            <w:pPr>
              <w:snapToGrid w:val="0"/>
              <w:spacing w:line="2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金额</w:t>
            </w:r>
          </w:p>
          <w:p w14:paraId="768416B9">
            <w:pPr>
              <w:snapToGrid w:val="0"/>
              <w:spacing w:line="2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noWrap/>
            <w:vAlign w:val="center"/>
          </w:tcPr>
          <w:p w14:paraId="7CD93274">
            <w:pPr>
              <w:snapToGrid w:val="0"/>
              <w:spacing w:line="2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noWrap/>
            <w:vAlign w:val="center"/>
          </w:tcPr>
          <w:p w14:paraId="23EF4774">
            <w:pPr>
              <w:snapToGrid w:val="0"/>
              <w:spacing w:line="2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采购人联系人及</w:t>
            </w:r>
          </w:p>
          <w:p w14:paraId="58BC0AE3">
            <w:pPr>
              <w:snapToGrid w:val="0"/>
              <w:spacing w:line="2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p>
        </w:tc>
      </w:tr>
      <w:tr w14:paraId="12D03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14:paraId="6944E28C">
            <w:pPr>
              <w:widowControl/>
              <w:jc w:val="left"/>
              <w:rPr>
                <w:rFonts w:asciiTheme="minorEastAsia" w:hAnsiTheme="minorEastAsia" w:eastAsiaTheme="minorEastAsia" w:cstheme="minorEastAsia"/>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14:paraId="0FDE921A">
            <w:pPr>
              <w:widowControl/>
              <w:jc w:val="left"/>
              <w:rPr>
                <w:rFonts w:asciiTheme="minorEastAsia" w:hAnsiTheme="minorEastAsia" w:eastAsiaTheme="minorEastAsia" w:cstheme="minorEastAsia"/>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noWrap/>
            <w:vAlign w:val="center"/>
          </w:tcPr>
          <w:p w14:paraId="5F322A9E">
            <w:pPr>
              <w:widowControl/>
              <w:jc w:val="left"/>
              <w:rPr>
                <w:rFonts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14460D2">
            <w:pPr>
              <w:snapToGrid w:val="0"/>
              <w:spacing w:line="2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noWrap/>
            <w:vAlign w:val="center"/>
          </w:tcPr>
          <w:p w14:paraId="1810F10A">
            <w:pPr>
              <w:snapToGrid w:val="0"/>
              <w:spacing w:line="2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noWrap/>
            <w:vAlign w:val="center"/>
          </w:tcPr>
          <w:p w14:paraId="27DB47B9">
            <w:pPr>
              <w:snapToGrid w:val="0"/>
              <w:spacing w:line="240" w:lineRule="exact"/>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noWrap/>
            <w:vAlign w:val="center"/>
          </w:tcPr>
          <w:p w14:paraId="58745188">
            <w:pPr>
              <w:widowControl/>
              <w:jc w:val="left"/>
              <w:rPr>
                <w:rFonts w:asciiTheme="minorEastAsia" w:hAnsiTheme="minorEastAsia" w:eastAsiaTheme="minorEastAsia" w:cstheme="minorEastAsia"/>
                <w:color w:val="auto"/>
                <w:sz w:val="24"/>
                <w:highlight w:val="none"/>
              </w:rPr>
            </w:pPr>
          </w:p>
        </w:tc>
      </w:tr>
      <w:tr w14:paraId="25840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tcPr>
          <w:p w14:paraId="05E9330C">
            <w:pPr>
              <w:snapToGrid w:val="0"/>
              <w:spacing w:line="240" w:lineRule="exact"/>
              <w:jc w:val="left"/>
              <w:rPr>
                <w:rFonts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tcPr>
          <w:p w14:paraId="45E321A4">
            <w:pPr>
              <w:snapToGrid w:val="0"/>
              <w:spacing w:line="240" w:lineRule="exact"/>
              <w:jc w:val="left"/>
              <w:rPr>
                <w:rFonts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tcPr>
          <w:p w14:paraId="2D4AE340">
            <w:pPr>
              <w:snapToGrid w:val="0"/>
              <w:spacing w:line="240" w:lineRule="exact"/>
              <w:jc w:val="left"/>
              <w:rPr>
                <w:rFonts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tcPr>
          <w:p w14:paraId="6880C3C1">
            <w:pPr>
              <w:snapToGrid w:val="0"/>
              <w:spacing w:line="240" w:lineRule="exact"/>
              <w:jc w:val="left"/>
              <w:rPr>
                <w:rFonts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tcPr>
          <w:p w14:paraId="077754FD">
            <w:pPr>
              <w:snapToGrid w:val="0"/>
              <w:spacing w:line="240" w:lineRule="exact"/>
              <w:jc w:val="left"/>
              <w:rPr>
                <w:rFonts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tcPr>
          <w:p w14:paraId="009C003C">
            <w:pPr>
              <w:snapToGrid w:val="0"/>
              <w:spacing w:line="240" w:lineRule="exact"/>
              <w:jc w:val="left"/>
              <w:rPr>
                <w:rFonts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tcPr>
          <w:p w14:paraId="1874A86D">
            <w:pPr>
              <w:snapToGrid w:val="0"/>
              <w:spacing w:line="240" w:lineRule="exact"/>
              <w:jc w:val="left"/>
              <w:rPr>
                <w:rFonts w:asciiTheme="minorEastAsia" w:hAnsiTheme="minorEastAsia" w:eastAsiaTheme="minorEastAsia" w:cstheme="minorEastAsia"/>
                <w:color w:val="auto"/>
                <w:sz w:val="24"/>
                <w:highlight w:val="none"/>
              </w:rPr>
            </w:pPr>
          </w:p>
        </w:tc>
      </w:tr>
      <w:tr w14:paraId="4DF90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18E7A438">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tcPr>
          <w:p w14:paraId="0E9EF2D5">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tcPr>
          <w:p w14:paraId="68A6C7E1">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tcPr>
          <w:p w14:paraId="4945E830">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tcPr>
          <w:p w14:paraId="7FA7EB69">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tcPr>
          <w:p w14:paraId="545040CD">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tcPr>
          <w:p w14:paraId="59C630D3">
            <w:pPr>
              <w:snapToGrid w:val="0"/>
              <w:spacing w:before="50" w:afterLines="50" w:line="400" w:lineRule="exact"/>
              <w:jc w:val="left"/>
              <w:rPr>
                <w:rFonts w:asciiTheme="minorEastAsia" w:hAnsiTheme="minorEastAsia" w:eastAsiaTheme="minorEastAsia" w:cstheme="minorEastAsia"/>
                <w:color w:val="auto"/>
                <w:sz w:val="24"/>
                <w:highlight w:val="none"/>
              </w:rPr>
            </w:pPr>
          </w:p>
        </w:tc>
      </w:tr>
      <w:tr w14:paraId="32011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14:paraId="4CBE22A7">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tcPr>
          <w:p w14:paraId="05A17E43">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tcPr>
          <w:p w14:paraId="7AA374C5">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tcPr>
          <w:p w14:paraId="2FD39DCD">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tcPr>
          <w:p w14:paraId="2F881C26">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tcPr>
          <w:p w14:paraId="4462A9B1">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tcPr>
          <w:p w14:paraId="618E6FEE">
            <w:pPr>
              <w:snapToGrid w:val="0"/>
              <w:spacing w:before="50" w:afterLines="50" w:line="400" w:lineRule="exact"/>
              <w:jc w:val="left"/>
              <w:rPr>
                <w:rFonts w:asciiTheme="minorEastAsia" w:hAnsiTheme="minorEastAsia" w:eastAsiaTheme="minorEastAsia" w:cstheme="minorEastAsia"/>
                <w:color w:val="auto"/>
                <w:sz w:val="24"/>
                <w:highlight w:val="none"/>
              </w:rPr>
            </w:pPr>
          </w:p>
        </w:tc>
      </w:tr>
      <w:tr w14:paraId="7F4C9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7E78E0CB">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tcPr>
          <w:p w14:paraId="3C4C904D">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tcPr>
          <w:p w14:paraId="45714C2C">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tcPr>
          <w:p w14:paraId="71A6139F">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tcPr>
          <w:p w14:paraId="0F9399DC">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tcPr>
          <w:p w14:paraId="0BE0CA52">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tcPr>
          <w:p w14:paraId="09DFDDBF">
            <w:pPr>
              <w:snapToGrid w:val="0"/>
              <w:spacing w:before="50" w:afterLines="50" w:line="400" w:lineRule="exact"/>
              <w:jc w:val="left"/>
              <w:rPr>
                <w:rFonts w:asciiTheme="minorEastAsia" w:hAnsiTheme="minorEastAsia" w:eastAsiaTheme="minorEastAsia" w:cstheme="minorEastAsia"/>
                <w:color w:val="auto"/>
                <w:sz w:val="24"/>
                <w:highlight w:val="none"/>
              </w:rPr>
            </w:pPr>
          </w:p>
        </w:tc>
      </w:tr>
      <w:tr w14:paraId="5ECE2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14:paraId="0A251947">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noWrap/>
          </w:tcPr>
          <w:p w14:paraId="4F4F4C93">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noWrap/>
          </w:tcPr>
          <w:p w14:paraId="037E0BA2">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tcPr>
          <w:p w14:paraId="31971432">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tcPr>
          <w:p w14:paraId="3B43A4D8">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tcPr>
          <w:p w14:paraId="1BE81FC4">
            <w:pPr>
              <w:snapToGrid w:val="0"/>
              <w:spacing w:before="50" w:afterLines="50" w:line="400" w:lineRule="exact"/>
              <w:jc w:val="left"/>
              <w:rPr>
                <w:rFonts w:asciiTheme="minorEastAsia" w:hAnsiTheme="minorEastAsia" w:eastAsiaTheme="minorEastAsia" w:cstheme="minorEastAsia"/>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noWrap/>
          </w:tcPr>
          <w:p w14:paraId="1522C7CD">
            <w:pPr>
              <w:snapToGrid w:val="0"/>
              <w:spacing w:before="50" w:afterLines="50" w:line="400" w:lineRule="exact"/>
              <w:jc w:val="left"/>
              <w:rPr>
                <w:rFonts w:asciiTheme="minorEastAsia" w:hAnsiTheme="minorEastAsia" w:eastAsiaTheme="minorEastAsia" w:cstheme="minorEastAsia"/>
                <w:color w:val="auto"/>
                <w:sz w:val="24"/>
                <w:highlight w:val="none"/>
              </w:rPr>
            </w:pPr>
          </w:p>
        </w:tc>
      </w:tr>
    </w:tbl>
    <w:p w14:paraId="6D237710">
      <w:pPr>
        <w:pStyle w:val="12"/>
        <w:spacing w:line="360" w:lineRule="auto"/>
        <w:ind w:left="7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注：投标人可按上述的格式自行编制，须随表提交相应的合同复印件和用户单位验收证明并注明所在投标人商务技术文件页码。</w:t>
      </w:r>
    </w:p>
    <w:p w14:paraId="34814932">
      <w:pPr>
        <w:snapToGrid w:val="0"/>
        <w:spacing w:line="360" w:lineRule="auto"/>
        <w:ind w:firstLine="4935" w:firstLineChars="23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368910FD">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19B2CED7">
      <w:pPr>
        <w:snapToGrid w:val="0"/>
        <w:spacing w:line="360" w:lineRule="auto"/>
        <w:ind w:firstLine="10080" w:firstLineChars="48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0ABB35EE">
      <w:pPr>
        <w:snapToGrid w:val="0"/>
        <w:spacing w:line="360" w:lineRule="auto"/>
        <w:ind w:firstLine="10080" w:firstLineChars="4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6697921E">
      <w:pPr>
        <w:widowControl/>
        <w:spacing w:line="360" w:lineRule="auto"/>
        <w:jc w:val="left"/>
        <w:rPr>
          <w:rFonts w:asciiTheme="minorEastAsia" w:hAnsiTheme="minorEastAsia" w:eastAsiaTheme="minorEastAsia" w:cstheme="minorEastAsia"/>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316D7E5B">
      <w:pPr>
        <w:pStyle w:val="12"/>
        <w:jc w:val="center"/>
        <w:outlineLvl w:val="1"/>
        <w:rPr>
          <w:rFonts w:asciiTheme="minorEastAsia" w:hAnsiTheme="minorEastAsia" w:eastAsiaTheme="minorEastAsia" w:cstheme="minorEastAsia"/>
          <w:b/>
          <w:bCs/>
          <w:color w:val="auto"/>
          <w:sz w:val="28"/>
          <w:szCs w:val="28"/>
          <w:highlight w:val="none"/>
        </w:rPr>
      </w:pPr>
      <w:bookmarkStart w:id="316" w:name="_Toc21227"/>
      <w:bookmarkStart w:id="317" w:name="_Toc19686839"/>
      <w:r>
        <w:rPr>
          <w:rFonts w:hint="eastAsia" w:asciiTheme="minorEastAsia" w:hAnsiTheme="minorEastAsia" w:eastAsiaTheme="minorEastAsia" w:cstheme="minorEastAsia"/>
          <w:b/>
          <w:bCs/>
          <w:color w:val="auto"/>
          <w:sz w:val="28"/>
          <w:szCs w:val="28"/>
          <w:highlight w:val="none"/>
        </w:rPr>
        <w:t>第四节 技术文件格式</w:t>
      </w:r>
      <w:bookmarkEnd w:id="316"/>
      <w:bookmarkEnd w:id="317"/>
    </w:p>
    <w:p w14:paraId="57EA65C6">
      <w:pPr>
        <w:snapToGrid w:val="0"/>
        <w:spacing w:beforeLines="50" w:after="50"/>
        <w:rPr>
          <w:rFonts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电子投标文件</w:t>
      </w:r>
    </w:p>
    <w:p w14:paraId="4F768D68">
      <w:pPr>
        <w:snapToGrid w:val="0"/>
        <w:spacing w:beforeLines="50" w:after="50"/>
        <w:rPr>
          <w:rFonts w:asciiTheme="minorEastAsia" w:hAnsiTheme="minorEastAsia" w:eastAsiaTheme="minorEastAsia" w:cstheme="minorEastAsia"/>
          <w:color w:val="auto"/>
          <w:sz w:val="24"/>
          <w:szCs w:val="20"/>
          <w:highlight w:val="none"/>
        </w:rPr>
      </w:pPr>
    </w:p>
    <w:p w14:paraId="734DC7C7">
      <w:pPr>
        <w:snapToGrid w:val="0"/>
        <w:spacing w:beforeLines="50" w:after="50"/>
        <w:jc w:val="center"/>
        <w:rPr>
          <w:rFonts w:asciiTheme="minorEastAsia" w:hAnsiTheme="minorEastAsia" w:eastAsiaTheme="minorEastAsia" w:cstheme="minorEastAsia"/>
          <w:b/>
          <w:bCs/>
          <w:color w:val="auto"/>
          <w:sz w:val="32"/>
          <w:szCs w:val="32"/>
          <w:highlight w:val="none"/>
        </w:rPr>
      </w:pPr>
    </w:p>
    <w:p w14:paraId="3CF6E614">
      <w:pPr>
        <w:snapToGrid w:val="0"/>
        <w:spacing w:beforeLines="50" w:after="50"/>
        <w:jc w:val="center"/>
        <w:rPr>
          <w:rFonts w:asciiTheme="minorEastAsia" w:hAnsiTheme="minorEastAsia" w:eastAsiaTheme="minorEastAsia" w:cstheme="minorEastAsia"/>
          <w:b/>
          <w:bCs/>
          <w:color w:val="auto"/>
          <w:sz w:val="32"/>
          <w:szCs w:val="32"/>
          <w:highlight w:val="none"/>
        </w:rPr>
      </w:pPr>
    </w:p>
    <w:p w14:paraId="5C0B3FAD">
      <w:pPr>
        <w:snapToGrid w:val="0"/>
        <w:spacing w:beforeLines="50" w:after="50"/>
        <w:jc w:val="center"/>
        <w:rPr>
          <w:rFonts w:asciiTheme="minorEastAsia" w:hAnsiTheme="minorEastAsia" w:eastAsiaTheme="minorEastAsia" w:cstheme="minorEastAsia"/>
          <w:b/>
          <w:bCs/>
          <w:color w:val="auto"/>
          <w:sz w:val="32"/>
          <w:szCs w:val="32"/>
          <w:highlight w:val="none"/>
        </w:rPr>
      </w:pPr>
    </w:p>
    <w:p w14:paraId="12A1B9DB">
      <w:pPr>
        <w:snapToGrid w:val="0"/>
        <w:spacing w:beforeLines="50" w:after="50"/>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技术文件（封面）</w:t>
      </w:r>
    </w:p>
    <w:p w14:paraId="16C2C8C1">
      <w:pPr>
        <w:snapToGrid w:val="0"/>
        <w:spacing w:beforeLines="50" w:after="50"/>
        <w:rPr>
          <w:rFonts w:asciiTheme="minorEastAsia" w:hAnsiTheme="minorEastAsia" w:eastAsiaTheme="minorEastAsia" w:cstheme="minorEastAsia"/>
          <w:bCs/>
          <w:color w:val="auto"/>
          <w:sz w:val="24"/>
          <w:szCs w:val="20"/>
          <w:highlight w:val="none"/>
        </w:rPr>
      </w:pPr>
    </w:p>
    <w:p w14:paraId="7EACD6FF">
      <w:pPr>
        <w:snapToGrid w:val="0"/>
        <w:spacing w:beforeLines="50" w:after="50" w:line="400" w:lineRule="exact"/>
        <w:ind w:firstLine="360" w:firstLineChars="150"/>
        <w:rPr>
          <w:rFonts w:asciiTheme="minorEastAsia" w:hAnsiTheme="minorEastAsia" w:eastAsiaTheme="minorEastAsia" w:cstheme="minorEastAsia"/>
          <w:bCs/>
          <w:color w:val="auto"/>
          <w:sz w:val="24"/>
          <w:szCs w:val="20"/>
          <w:highlight w:val="none"/>
        </w:rPr>
      </w:pPr>
      <w:r>
        <w:rPr>
          <w:rFonts w:hint="eastAsia" w:asciiTheme="minorEastAsia" w:hAnsiTheme="minorEastAsia" w:eastAsiaTheme="minorEastAsia" w:cstheme="minorEastAsia"/>
          <w:bCs/>
          <w:color w:val="auto"/>
          <w:sz w:val="24"/>
          <w:highlight w:val="none"/>
        </w:rPr>
        <w:t>项目名称： 南宁市2025年政府和社会资本合作新机制项目实施方案评审服务</w:t>
      </w:r>
    </w:p>
    <w:p w14:paraId="395325CB">
      <w:pPr>
        <w:snapToGrid w:val="0"/>
        <w:spacing w:beforeLines="50" w:after="50" w:line="400" w:lineRule="exact"/>
        <w:ind w:firstLine="360" w:firstLineChars="15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项目编号： NNZC2025-G3-990774-JGJD</w:t>
      </w:r>
    </w:p>
    <w:p w14:paraId="2CEAE492">
      <w:pPr>
        <w:snapToGrid w:val="0"/>
        <w:spacing w:beforeLines="50" w:after="50" w:line="400" w:lineRule="exact"/>
        <w:ind w:firstLine="360" w:firstLineChars="15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w:t>
      </w:r>
    </w:p>
    <w:p w14:paraId="2A8B8C72">
      <w:pPr>
        <w:snapToGrid w:val="0"/>
        <w:spacing w:beforeLines="50" w:after="50" w:line="400" w:lineRule="exact"/>
        <w:ind w:firstLine="360" w:firstLineChars="15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投标人名称：</w:t>
      </w:r>
    </w:p>
    <w:p w14:paraId="2A6FA120">
      <w:pPr>
        <w:snapToGrid w:val="0"/>
        <w:spacing w:beforeLines="50" w:after="50" w:line="400" w:lineRule="exact"/>
        <w:ind w:firstLine="360" w:firstLineChars="15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投标人地址：</w:t>
      </w:r>
    </w:p>
    <w:p w14:paraId="057DBCCA">
      <w:pPr>
        <w:snapToGrid w:val="0"/>
        <w:spacing w:beforeLines="50" w:after="50"/>
        <w:ind w:firstLine="645"/>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25DD6C6F">
      <w:pPr>
        <w:snapToGrid w:val="0"/>
        <w:spacing w:beforeLines="50" w:after="50"/>
        <w:ind w:firstLine="645"/>
        <w:jc w:val="center"/>
        <w:rPr>
          <w:rFonts w:asciiTheme="minorEastAsia" w:hAnsiTheme="minorEastAsia" w:eastAsiaTheme="minorEastAsia" w:cstheme="minorEastAsia"/>
          <w:color w:val="auto"/>
          <w:sz w:val="24"/>
          <w:szCs w:val="20"/>
          <w:highlight w:val="none"/>
        </w:rPr>
      </w:pPr>
    </w:p>
    <w:p w14:paraId="45B57F54">
      <w:pPr>
        <w:jc w:val="center"/>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bCs/>
          <w:color w:val="auto"/>
          <w:sz w:val="24"/>
          <w:highlight w:val="none"/>
        </w:rPr>
        <w:br w:type="page"/>
      </w:r>
      <w:r>
        <w:rPr>
          <w:rFonts w:hint="eastAsia" w:asciiTheme="minorEastAsia" w:hAnsiTheme="minorEastAsia" w:eastAsiaTheme="minorEastAsia" w:cstheme="minorEastAsia"/>
          <w:b/>
          <w:color w:val="auto"/>
          <w:kern w:val="0"/>
          <w:sz w:val="28"/>
          <w:szCs w:val="28"/>
          <w:highlight w:val="none"/>
        </w:rPr>
        <w:t>技术文件目录</w:t>
      </w:r>
    </w:p>
    <w:p w14:paraId="64BE3A07">
      <w:pPr>
        <w:pStyle w:val="34"/>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一、技术需求偏离表…………………………………………………（页码）</w:t>
      </w:r>
    </w:p>
    <w:p w14:paraId="20E13F0C">
      <w:pPr>
        <w:pStyle w:val="34"/>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二、服务方案…………………………………………………………（页码）</w:t>
      </w:r>
    </w:p>
    <w:p w14:paraId="2322D84D">
      <w:pPr>
        <w:pStyle w:val="34"/>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三、售后服务方案 ………………………………</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5A5E68D8">
      <w:pPr>
        <w:pStyle w:val="34"/>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w:t>
      </w:r>
      <w:r>
        <w:rPr>
          <w:rFonts w:hint="eastAsia" w:asciiTheme="minorEastAsia" w:hAnsiTheme="minorEastAsia" w:eastAsiaTheme="minorEastAsia" w:cstheme="minorEastAsia"/>
          <w:color w:val="auto"/>
          <w:highlight w:val="none"/>
          <w:lang w:val="zh-CN"/>
        </w:rPr>
        <w:t>项目实施人员一览表 ………………………………</w:t>
      </w:r>
      <w:r>
        <w:rPr>
          <w:rFonts w:hint="eastAsia" w:asciiTheme="minorEastAsia" w:hAnsiTheme="minorEastAsia" w:eastAsiaTheme="minorEastAsia" w:cstheme="minorEastAsia"/>
          <w:color w:val="auto"/>
          <w:highlight w:val="none"/>
        </w:rPr>
        <w:t>………………………（页码）</w:t>
      </w:r>
    </w:p>
    <w:p w14:paraId="6B106890">
      <w:pPr>
        <w:pStyle w:val="34"/>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五、投标人对项目的合理化建议和改进措施</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31E6523D">
      <w:pPr>
        <w:pStyle w:val="34"/>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六、认为需要的其他技术文件或说明（如有）</w:t>
      </w:r>
      <w:r>
        <w:rPr>
          <w:rFonts w:hint="eastAsia" w:asciiTheme="minorEastAsia" w:hAnsiTheme="minorEastAsia" w:eastAsiaTheme="minorEastAsia" w:cstheme="minorEastAsia"/>
          <w:color w:val="auto"/>
          <w:highlight w:val="none"/>
          <w:lang w:val="zh-CN"/>
        </w:rPr>
        <w:t>………………………………</w:t>
      </w:r>
      <w:r>
        <w:rPr>
          <w:rFonts w:hint="eastAsia" w:asciiTheme="minorEastAsia" w:hAnsiTheme="minorEastAsia" w:eastAsiaTheme="minorEastAsia" w:cstheme="minorEastAsia"/>
          <w:color w:val="auto"/>
          <w:highlight w:val="none"/>
        </w:rPr>
        <w:t>（页码）</w:t>
      </w:r>
    </w:p>
    <w:p w14:paraId="195933AC">
      <w:pPr>
        <w:spacing w:line="360" w:lineRule="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注：以上目录是基本格式要求，各投标人可根据自身情况进一步向下增加内容或细化。</w:t>
      </w:r>
    </w:p>
    <w:p w14:paraId="4485082F">
      <w:pPr>
        <w:snapToGrid w:val="0"/>
        <w:spacing w:beforeLines="50" w:after="50"/>
        <w:ind w:left="143" w:leftChars="68" w:firstLine="472" w:firstLineChars="196"/>
        <w:jc w:val="left"/>
        <w:rPr>
          <w:rFonts w:asciiTheme="minorEastAsia" w:hAnsiTheme="minorEastAsia" w:eastAsiaTheme="minorEastAsia" w:cstheme="minorEastAsia"/>
          <w:b/>
          <w:color w:val="auto"/>
          <w:sz w:val="24"/>
          <w:highlight w:val="none"/>
        </w:rPr>
      </w:pPr>
    </w:p>
    <w:p w14:paraId="3DC31BE4">
      <w:pPr>
        <w:snapToGrid w:val="0"/>
        <w:spacing w:beforeLines="50" w:after="50"/>
        <w:ind w:left="143" w:leftChars="68" w:firstLine="472" w:firstLineChars="196"/>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b/>
          <w:color w:val="auto"/>
          <w:sz w:val="24"/>
          <w:highlight w:val="none"/>
        </w:rPr>
        <w:t xml:space="preserve"> </w:t>
      </w:r>
    </w:p>
    <w:p w14:paraId="0D39C1DC">
      <w:pPr>
        <w:pStyle w:val="12"/>
        <w:spacing w:line="500" w:lineRule="exact"/>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一、技术需求偏离表</w:t>
      </w:r>
    </w:p>
    <w:p w14:paraId="3C07C3E5">
      <w:pPr>
        <w:pStyle w:val="12"/>
        <w:spacing w:line="440" w:lineRule="exact"/>
        <w:ind w:firstLine="420" w:firstLineChars="200"/>
        <w:rPr>
          <w:rFonts w:asciiTheme="minorEastAsia" w:hAnsiTheme="minorEastAsia" w:eastAsiaTheme="minorEastAsia" w:cstheme="minorEastAsia"/>
          <w:color w:val="auto"/>
          <w:highlight w:val="none"/>
        </w:rPr>
      </w:pPr>
    </w:p>
    <w:p w14:paraId="741AAA31">
      <w:pPr>
        <w:pStyle w:val="12"/>
        <w:spacing w:line="600" w:lineRule="exact"/>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请根据所投服务的实际技术参数，</w:t>
      </w:r>
      <w:r>
        <w:rPr>
          <w:rFonts w:hint="eastAsia" w:asciiTheme="minorEastAsia" w:hAnsiTheme="minorEastAsia" w:eastAsiaTheme="minorEastAsia" w:cstheme="minorEastAsia"/>
          <w:b/>
          <w:color w:val="auto"/>
          <w:sz w:val="28"/>
          <w:szCs w:val="28"/>
          <w:highlight w:val="none"/>
        </w:rPr>
        <w:t>逐条对应</w:t>
      </w:r>
      <w:r>
        <w:rPr>
          <w:rFonts w:hint="eastAsia" w:asciiTheme="minorEastAsia" w:hAnsiTheme="minorEastAsia" w:eastAsiaTheme="minorEastAsia" w:cstheme="minorEastAsia"/>
          <w:color w:val="auto"/>
          <w:sz w:val="24"/>
          <w:szCs w:val="24"/>
          <w:highlight w:val="none"/>
        </w:rPr>
        <w:t>本项目招标文件第二章“服务需求一览表”中的</w:t>
      </w:r>
      <w:r>
        <w:rPr>
          <w:rFonts w:hint="eastAsia" w:asciiTheme="minorEastAsia" w:hAnsiTheme="minorEastAsia" w:eastAsiaTheme="minorEastAsia" w:cstheme="minorEastAsia"/>
          <w:b/>
          <w:bCs/>
          <w:color w:val="auto"/>
          <w:sz w:val="24"/>
          <w:szCs w:val="24"/>
          <w:highlight w:val="none"/>
        </w:rPr>
        <w:t>“服务内容及要求”</w:t>
      </w:r>
      <w:r>
        <w:rPr>
          <w:rFonts w:hint="eastAsia" w:asciiTheme="minorEastAsia" w:hAnsiTheme="minorEastAsia" w:eastAsiaTheme="minorEastAsia" w:cstheme="minorEastAsia"/>
          <w:color w:val="auto"/>
          <w:sz w:val="24"/>
          <w:szCs w:val="24"/>
          <w:highlight w:val="none"/>
        </w:rPr>
        <w:t>详细填写相应的具体内容。“偏离说明”一栏应当选择“正偏离”、“负偏离”或“无偏离”进行填写。</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4AA2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ign w:val="center"/>
          </w:tcPr>
          <w:p w14:paraId="27738257">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ign w:val="center"/>
          </w:tcPr>
          <w:p w14:paraId="40E4596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ign w:val="center"/>
          </w:tcPr>
          <w:p w14:paraId="530D8E3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ign w:val="center"/>
          </w:tcPr>
          <w:p w14:paraId="7FF85DA2">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偏离说明</w:t>
            </w:r>
          </w:p>
        </w:tc>
      </w:tr>
      <w:tr w14:paraId="061C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185" w:type="dxa"/>
            <w:vMerge w:val="continue"/>
            <w:tcBorders>
              <w:top w:val="single" w:color="auto" w:sz="4" w:space="0"/>
              <w:left w:val="single" w:color="auto" w:sz="4" w:space="0"/>
              <w:bottom w:val="single" w:color="auto" w:sz="4" w:space="0"/>
              <w:right w:val="single" w:color="auto" w:sz="4" w:space="0"/>
            </w:tcBorders>
            <w:noWrap/>
            <w:vAlign w:val="center"/>
          </w:tcPr>
          <w:p w14:paraId="56200674">
            <w:pPr>
              <w:widowControl/>
              <w:jc w:val="left"/>
              <w:rPr>
                <w:rFonts w:asciiTheme="minorEastAsia" w:hAnsiTheme="minorEastAsia" w:eastAsiaTheme="minorEastAsia" w:cstheme="minorEastAsia"/>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44EAC2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noWrap/>
            <w:vAlign w:val="center"/>
          </w:tcPr>
          <w:p w14:paraId="38E311A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ign w:val="center"/>
          </w:tcPr>
          <w:p w14:paraId="3D1CBFF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noWrap/>
            <w:vAlign w:val="center"/>
          </w:tcPr>
          <w:p w14:paraId="5DEF3E9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ign w:val="center"/>
          </w:tcPr>
          <w:p w14:paraId="72328A19">
            <w:pPr>
              <w:widowControl/>
              <w:jc w:val="left"/>
              <w:rPr>
                <w:rFonts w:asciiTheme="minorEastAsia" w:hAnsiTheme="minorEastAsia" w:eastAsiaTheme="minorEastAsia" w:cstheme="minorEastAsia"/>
                <w:color w:val="auto"/>
                <w:szCs w:val="21"/>
                <w:highlight w:val="none"/>
              </w:rPr>
            </w:pPr>
          </w:p>
        </w:tc>
      </w:tr>
      <w:tr w14:paraId="39A3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599DB881">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ign w:val="center"/>
          </w:tcPr>
          <w:p w14:paraId="103A8690">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ign w:val="center"/>
          </w:tcPr>
          <w:p w14:paraId="142F46B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75ACDAB1">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7E1BF134">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2C452337">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ign w:val="center"/>
          </w:tcPr>
          <w:p w14:paraId="799DAACC">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ign w:val="center"/>
          </w:tcPr>
          <w:p w14:paraId="28FB2314">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234FF7D4">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68FBA3D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4DA2198A">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ign w:val="center"/>
          </w:tcPr>
          <w:p w14:paraId="63A2F256">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tc>
      </w:tr>
      <w:tr w14:paraId="2A2E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636BE687">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ign w:val="center"/>
          </w:tcPr>
          <w:p w14:paraId="55F3208C">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ign w:val="center"/>
          </w:tcPr>
          <w:p w14:paraId="2CEE00EC">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3F8CEC3E">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62B50D67">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6401E364">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ign w:val="center"/>
          </w:tcPr>
          <w:p w14:paraId="53C297FB">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noWrap/>
            <w:vAlign w:val="center"/>
          </w:tcPr>
          <w:p w14:paraId="0243D16F">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  ……</w:t>
            </w:r>
          </w:p>
          <w:p w14:paraId="7C2609A2">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w:t>
            </w:r>
          </w:p>
          <w:p w14:paraId="75858BAC">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  ……</w:t>
            </w:r>
          </w:p>
          <w:p w14:paraId="16E77C8C">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noWrap/>
            <w:vAlign w:val="center"/>
          </w:tcPr>
          <w:p w14:paraId="653AE5EA">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正偏离（负偏离或无偏离）</w:t>
            </w:r>
          </w:p>
        </w:tc>
      </w:tr>
      <w:tr w14:paraId="7C2A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ign w:val="center"/>
          </w:tcPr>
          <w:p w14:paraId="698A7243">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ign w:val="center"/>
          </w:tcPr>
          <w:p w14:paraId="3CF6DA9D">
            <w:pPr>
              <w:rPr>
                <w:rFonts w:asciiTheme="minorEastAsia" w:hAnsiTheme="minorEastAsia" w:eastAsiaTheme="minorEastAsia" w:cstheme="minorEastAsia"/>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14:paraId="5E54AB8F">
            <w:pPr>
              <w:rPr>
                <w:rFonts w:asciiTheme="minorEastAsia" w:hAnsiTheme="minorEastAsia" w:eastAsiaTheme="minorEastAsia" w:cstheme="minorEastAsia"/>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539C72F3">
            <w:pPr>
              <w:rPr>
                <w:rFonts w:asciiTheme="minorEastAsia" w:hAnsiTheme="minorEastAsia" w:eastAsiaTheme="minorEastAsia" w:cstheme="minorEastAsia"/>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noWrap/>
            <w:vAlign w:val="center"/>
          </w:tcPr>
          <w:p w14:paraId="71B8F4C6">
            <w:pPr>
              <w:rPr>
                <w:rFonts w:asciiTheme="minorEastAsia" w:hAnsiTheme="minorEastAsia" w:eastAsiaTheme="minorEastAsia" w:cstheme="minorEastAsia"/>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ign w:val="center"/>
          </w:tcPr>
          <w:p w14:paraId="20E38972">
            <w:pPr>
              <w:rPr>
                <w:rFonts w:asciiTheme="minorEastAsia" w:hAnsiTheme="minorEastAsia" w:eastAsiaTheme="minorEastAsia" w:cstheme="minorEastAsia"/>
                <w:color w:val="auto"/>
                <w:szCs w:val="21"/>
                <w:highlight w:val="none"/>
              </w:rPr>
            </w:pPr>
          </w:p>
        </w:tc>
      </w:tr>
      <w:tr w14:paraId="57E6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ign w:val="center"/>
          </w:tcPr>
          <w:p w14:paraId="7587E9DF">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w:t>
            </w:r>
            <w:r>
              <w:rPr>
                <w:rFonts w:hint="eastAsia" w:asciiTheme="minorEastAsia" w:hAnsiTheme="minorEastAsia" w:eastAsiaTheme="minorEastAsia" w:cstheme="minorEastAsia"/>
                <w:color w:val="auto"/>
                <w:szCs w:val="21"/>
                <w:highlight w:val="none"/>
              </w:rPr>
              <w:t>分标（此处有分标时填写具体分标号，无分标时填写“无”）</w:t>
            </w:r>
          </w:p>
        </w:tc>
      </w:tr>
    </w:tbl>
    <w:p w14:paraId="769D8B43">
      <w:pPr>
        <w:pStyle w:val="1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p>
    <w:p w14:paraId="061F8D07">
      <w:pPr>
        <w:pStyle w:val="1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1.表格内容均需按要求填写并盖章，不得留空，</w:t>
      </w:r>
      <w:r>
        <w:rPr>
          <w:rFonts w:hint="eastAsia" w:asciiTheme="minorEastAsia" w:hAnsiTheme="minorEastAsia" w:eastAsiaTheme="minorEastAsia" w:cstheme="minorEastAsia"/>
          <w:bCs/>
          <w:color w:val="auto"/>
          <w:szCs w:val="21"/>
          <w:highlight w:val="none"/>
        </w:rPr>
        <w:t>否则按投标无效处理</w:t>
      </w:r>
      <w:r>
        <w:rPr>
          <w:rFonts w:hint="eastAsia" w:asciiTheme="minorEastAsia" w:hAnsiTheme="minorEastAsia" w:eastAsiaTheme="minorEastAsia" w:cstheme="minorEastAsia"/>
          <w:color w:val="auto"/>
          <w:szCs w:val="21"/>
          <w:highlight w:val="none"/>
        </w:rPr>
        <w:t>。</w:t>
      </w:r>
    </w:p>
    <w:p w14:paraId="5CFCE2BF">
      <w:pPr>
        <w:pStyle w:val="12"/>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2.当投标文件的服务内容低于招标文件要求时，投标人应当如实写明“负偏离”，否则视为虚假应标。</w:t>
      </w:r>
    </w:p>
    <w:p w14:paraId="76F2AC10">
      <w:pPr>
        <w:pStyle w:val="12"/>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w:t>
      </w:r>
      <w:r>
        <w:rPr>
          <w:rFonts w:hint="eastAsia" w:asciiTheme="minorEastAsia" w:hAnsiTheme="minorEastAsia" w:eastAsiaTheme="minorEastAsia" w:cstheme="minorEastAsia"/>
          <w:color w:val="auto"/>
          <w:szCs w:val="21"/>
          <w:highlight w:val="none"/>
        </w:rPr>
        <w:t>采购需求中带“▲”的条款，也要分别在本表“服务参数”、“所提供服务的内容”中标记。</w:t>
      </w:r>
    </w:p>
    <w:p w14:paraId="771A41C6">
      <w:pPr>
        <w:snapToGrid w:val="0"/>
        <w:spacing w:line="360" w:lineRule="auto"/>
        <w:ind w:firstLine="5640" w:firstLineChars="2350"/>
        <w:rPr>
          <w:rFonts w:asciiTheme="minorEastAsia" w:hAnsiTheme="minorEastAsia" w:eastAsiaTheme="minorEastAsia" w:cstheme="minorEastAsia"/>
          <w:color w:val="auto"/>
          <w:kern w:val="0"/>
          <w:sz w:val="24"/>
          <w:highlight w:val="none"/>
          <w:lang w:val="zh-CN"/>
        </w:rPr>
      </w:pPr>
    </w:p>
    <w:p w14:paraId="44750D43">
      <w:pPr>
        <w:snapToGrid w:val="0"/>
        <w:spacing w:line="360" w:lineRule="auto"/>
        <w:ind w:firstLine="5640" w:firstLineChars="235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1524E699">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4656A588">
      <w:pPr>
        <w:widowControl/>
        <w:jc w:val="left"/>
        <w:rPr>
          <w:rFonts w:asciiTheme="minorEastAsia" w:hAnsiTheme="minorEastAsia" w:eastAsiaTheme="minorEastAsia" w:cstheme="minorEastAsia"/>
          <w:color w:val="auto"/>
          <w:sz w:val="30"/>
          <w:szCs w:val="20"/>
          <w:highlight w:val="none"/>
        </w:rPr>
        <w:sectPr>
          <w:pgSz w:w="11906" w:h="16838"/>
          <w:pgMar w:top="1134" w:right="1134" w:bottom="1134" w:left="1134" w:header="720" w:footer="720" w:gutter="0"/>
          <w:cols w:space="720" w:num="1"/>
          <w:docGrid w:type="lines" w:linePitch="331" w:charSpace="0"/>
        </w:sectPr>
      </w:pPr>
    </w:p>
    <w:p w14:paraId="58370867">
      <w:pPr>
        <w:snapToGrid w:val="0"/>
        <w:spacing w:beforeLines="50" w:after="50"/>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二、服务方案</w:t>
      </w:r>
    </w:p>
    <w:p w14:paraId="34861498">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（由投标人根据采购需求及招标文件要求编制）</w:t>
      </w:r>
    </w:p>
    <w:p w14:paraId="0115DFF9">
      <w:pPr>
        <w:rPr>
          <w:rFonts w:asciiTheme="minorEastAsia" w:hAnsiTheme="minorEastAsia" w:eastAsiaTheme="minorEastAsia" w:cstheme="minorEastAsia"/>
          <w:b/>
          <w:bCs/>
          <w:color w:val="auto"/>
          <w:kern w:val="0"/>
          <w:sz w:val="24"/>
          <w:highlight w:val="none"/>
          <w:lang w:val="zh-CN"/>
        </w:rPr>
      </w:pPr>
    </w:p>
    <w:p w14:paraId="6B79F5EF">
      <w:pPr>
        <w:rPr>
          <w:rFonts w:asciiTheme="minorEastAsia" w:hAnsiTheme="minorEastAsia" w:eastAsiaTheme="minorEastAsia" w:cstheme="minorEastAsia"/>
          <w:b/>
          <w:bCs/>
          <w:color w:val="auto"/>
          <w:kern w:val="0"/>
          <w:sz w:val="24"/>
          <w:highlight w:val="none"/>
          <w:lang w:val="zh-CN"/>
        </w:rPr>
      </w:pPr>
    </w:p>
    <w:p w14:paraId="2E35656F">
      <w:pPr>
        <w:rPr>
          <w:rFonts w:asciiTheme="minorEastAsia" w:hAnsiTheme="minorEastAsia" w:eastAsiaTheme="minorEastAsia" w:cstheme="minorEastAsia"/>
          <w:b/>
          <w:bCs/>
          <w:color w:val="auto"/>
          <w:kern w:val="0"/>
          <w:sz w:val="24"/>
          <w:highlight w:val="none"/>
          <w:lang w:val="zh-CN"/>
        </w:rPr>
      </w:pPr>
    </w:p>
    <w:p w14:paraId="37B8E0FA">
      <w:pPr>
        <w:rPr>
          <w:rFonts w:asciiTheme="minorEastAsia" w:hAnsiTheme="minorEastAsia" w:eastAsiaTheme="minorEastAsia" w:cstheme="minorEastAsia"/>
          <w:b/>
          <w:bCs/>
          <w:color w:val="auto"/>
          <w:kern w:val="0"/>
          <w:sz w:val="24"/>
          <w:highlight w:val="none"/>
          <w:lang w:val="zh-CN"/>
        </w:rPr>
      </w:pPr>
    </w:p>
    <w:p w14:paraId="702B5787">
      <w:pPr>
        <w:rPr>
          <w:rFonts w:asciiTheme="minorEastAsia" w:hAnsiTheme="minorEastAsia" w:eastAsiaTheme="minorEastAsia" w:cstheme="minorEastAsia"/>
          <w:b/>
          <w:bCs/>
          <w:color w:val="auto"/>
          <w:kern w:val="0"/>
          <w:sz w:val="24"/>
          <w:highlight w:val="none"/>
          <w:lang w:val="zh-CN"/>
        </w:rPr>
      </w:pPr>
    </w:p>
    <w:p w14:paraId="7A7DDF98">
      <w:pPr>
        <w:autoSpaceDE w:val="0"/>
        <w:autoSpaceDN w:val="0"/>
        <w:spacing w:line="360" w:lineRule="auto"/>
        <w:ind w:firstLine="4440" w:firstLineChars="185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投标人名称（电子签章）：</w:t>
      </w:r>
    </w:p>
    <w:p w14:paraId="1ABFCCA6">
      <w:pPr>
        <w:autoSpaceDE w:val="0"/>
        <w:autoSpaceDN w:val="0"/>
        <w:spacing w:line="360" w:lineRule="auto"/>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14:paraId="3094BDD4">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3E2E2640">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2C0334C6">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59172B0F">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7B54922B">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385D7A02">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71F76F59">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3EC943FD">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47E01E5C">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074DA41E">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383EBD23">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66847270">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3A195357">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156D5B8B">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22476ADE">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016795BA">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58ED8BA2">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156F0308">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3ABF4694">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2F600B78">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77DA6104">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2500EC0E">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3E877E4B">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74F5098F">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00A333D2">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4644D8BA">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56B676B9">
      <w:pPr>
        <w:snapToGrid w:val="0"/>
        <w:spacing w:beforeLines="50" w:after="50"/>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三、售后服务方案</w:t>
      </w:r>
    </w:p>
    <w:p w14:paraId="09DF8F23">
      <w:pPr>
        <w:autoSpaceDE w:val="0"/>
        <w:autoSpaceDN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（由投标人根据采购需求及招标文件要求编制）</w:t>
      </w:r>
    </w:p>
    <w:p w14:paraId="09E49F82">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p>
    <w:p w14:paraId="5127297D">
      <w:pPr>
        <w:snapToGrid w:val="0"/>
        <w:spacing w:line="360" w:lineRule="auto"/>
        <w:ind w:firstLine="5160" w:firstLineChars="215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54862FF5">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41CF4FB8">
      <w:pPr>
        <w:widowControl/>
        <w:spacing w:line="360" w:lineRule="auto"/>
        <w:jc w:val="left"/>
        <w:rPr>
          <w:rFonts w:asciiTheme="minorEastAsia" w:hAnsiTheme="minorEastAsia" w:eastAsiaTheme="minorEastAsia" w:cstheme="minorEastAsia"/>
          <w:color w:val="auto"/>
          <w:sz w:val="24"/>
          <w:highlight w:val="none"/>
        </w:rPr>
        <w:sectPr>
          <w:pgSz w:w="11906" w:h="16838"/>
          <w:pgMar w:top="1134" w:right="1134" w:bottom="1134" w:left="1134" w:header="720" w:footer="720" w:gutter="0"/>
          <w:cols w:space="720" w:num="1"/>
          <w:docGrid w:type="lines" w:linePitch="331" w:charSpace="0"/>
        </w:sectPr>
      </w:pPr>
    </w:p>
    <w:p w14:paraId="4AEFCC1A">
      <w:pPr>
        <w:snapToGrid w:val="0"/>
        <w:spacing w:beforeLines="50" w:after="50"/>
        <w:ind w:left="142"/>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四、项目实施人员一览表</w:t>
      </w:r>
    </w:p>
    <w:p w14:paraId="1DA591DB">
      <w:pPr>
        <w:spacing w:line="360" w:lineRule="auto"/>
        <w:jc w:val="center"/>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highlight w:val="none"/>
        </w:rPr>
        <w:t>（由投标人根据采购需求及招标文件要求编制）</w:t>
      </w:r>
    </w:p>
    <w:p w14:paraId="3F308FAF">
      <w:pPr>
        <w:snapToGrid w:val="0"/>
        <w:spacing w:line="360" w:lineRule="auto"/>
        <w:ind w:firstLine="4320" w:firstLineChars="1800"/>
        <w:rPr>
          <w:rFonts w:asciiTheme="minorEastAsia" w:hAnsiTheme="minorEastAsia" w:eastAsiaTheme="minorEastAsia" w:cstheme="minorEastAsia"/>
          <w:color w:val="auto"/>
          <w:kern w:val="0"/>
          <w:sz w:val="24"/>
          <w:highlight w:val="none"/>
          <w:lang w:val="zh-CN"/>
        </w:rPr>
      </w:pPr>
    </w:p>
    <w:p w14:paraId="097B6C0E">
      <w:pPr>
        <w:snapToGrid w:val="0"/>
        <w:spacing w:line="360" w:lineRule="auto"/>
        <w:ind w:firstLine="4320" w:firstLineChars="1800"/>
        <w:rPr>
          <w:rFonts w:asciiTheme="minorEastAsia" w:hAnsiTheme="minorEastAsia" w:eastAsiaTheme="minorEastAsia" w:cstheme="minorEastAsia"/>
          <w:color w:val="auto"/>
          <w:kern w:val="0"/>
          <w:sz w:val="24"/>
          <w:highlight w:val="none"/>
          <w:lang w:val="zh-CN"/>
        </w:rPr>
      </w:pPr>
    </w:p>
    <w:p w14:paraId="09BD07CE">
      <w:pPr>
        <w:snapToGrid w:val="0"/>
        <w:spacing w:line="360" w:lineRule="auto"/>
        <w:ind w:firstLine="4320" w:firstLineChars="1800"/>
        <w:rPr>
          <w:rFonts w:asciiTheme="minorEastAsia" w:hAnsiTheme="minorEastAsia" w:eastAsiaTheme="minorEastAsia" w:cstheme="minorEastAsia"/>
          <w:color w:val="auto"/>
          <w:kern w:val="0"/>
          <w:sz w:val="24"/>
          <w:highlight w:val="none"/>
          <w:lang w:val="zh-CN"/>
        </w:rPr>
      </w:pPr>
    </w:p>
    <w:p w14:paraId="3BAAC59B">
      <w:pPr>
        <w:snapToGrid w:val="0"/>
        <w:spacing w:line="360" w:lineRule="auto"/>
        <w:ind w:firstLine="4320" w:firstLineChars="1800"/>
        <w:rPr>
          <w:rFonts w:asciiTheme="minorEastAsia" w:hAnsiTheme="minorEastAsia" w:eastAsiaTheme="minorEastAsia" w:cstheme="minorEastAsia"/>
          <w:color w:val="auto"/>
          <w:kern w:val="0"/>
          <w:sz w:val="24"/>
          <w:highlight w:val="none"/>
          <w:lang w:val="zh-CN"/>
        </w:rPr>
      </w:pPr>
    </w:p>
    <w:p w14:paraId="675B5EDE">
      <w:pPr>
        <w:snapToGrid w:val="0"/>
        <w:spacing w:line="360" w:lineRule="auto"/>
        <w:ind w:firstLine="4320" w:firstLineChars="18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7E1C286D">
      <w:pPr>
        <w:autoSpaceDE w:val="0"/>
        <w:autoSpaceDN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14:paraId="5AFB7495">
      <w:pPr>
        <w:snapToGrid w:val="0"/>
        <w:spacing w:before="50" w:after="50"/>
        <w:rPr>
          <w:rFonts w:asciiTheme="minorEastAsia" w:hAnsiTheme="minorEastAsia" w:eastAsiaTheme="minorEastAsia" w:cstheme="minorEastAsia"/>
          <w:color w:val="auto"/>
          <w:sz w:val="24"/>
          <w:highlight w:val="none"/>
        </w:rPr>
      </w:pPr>
    </w:p>
    <w:p w14:paraId="15B68B6D">
      <w:pPr>
        <w:snapToGrid w:val="0"/>
        <w:spacing w:beforeLines="50" w:after="5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br w:type="page"/>
      </w:r>
      <w:r>
        <w:rPr>
          <w:rFonts w:hint="eastAsia" w:asciiTheme="minorEastAsia" w:hAnsiTheme="minorEastAsia" w:eastAsiaTheme="minorEastAsia" w:cstheme="minorEastAsia"/>
          <w:color w:val="auto"/>
          <w:sz w:val="24"/>
          <w:highlight w:val="none"/>
        </w:rPr>
        <w:t xml:space="preserve"> </w:t>
      </w:r>
    </w:p>
    <w:p w14:paraId="45D17AAC">
      <w:pPr>
        <w:snapToGrid w:val="0"/>
        <w:spacing w:beforeLines="50" w:after="50"/>
        <w:ind w:left="142"/>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五、投标人对项目的合理化建议和改进措施</w:t>
      </w:r>
    </w:p>
    <w:p w14:paraId="7D56E2AD">
      <w:pPr>
        <w:spacing w:line="360" w:lineRule="auto"/>
        <w:ind w:firstLine="4048" w:firstLineChars="168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（格式自拟）</w:t>
      </w:r>
    </w:p>
    <w:p w14:paraId="0983AF6D">
      <w:pPr>
        <w:snapToGrid w:val="0"/>
        <w:spacing w:line="360" w:lineRule="auto"/>
        <w:ind w:firstLine="4935" w:firstLineChars="23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76A4993A">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4C900EC0">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19C1C1E5">
      <w:pPr>
        <w:snapToGrid w:val="0"/>
        <w:spacing w:line="360" w:lineRule="auto"/>
        <w:ind w:firstLine="4935" w:firstLineChars="2350"/>
        <w:rPr>
          <w:rFonts w:asciiTheme="minorEastAsia" w:hAnsiTheme="minorEastAsia" w:eastAsiaTheme="minorEastAsia" w:cstheme="minorEastAsia"/>
          <w:color w:val="auto"/>
          <w:szCs w:val="21"/>
          <w:highlight w:val="none"/>
        </w:rPr>
      </w:pPr>
    </w:p>
    <w:p w14:paraId="091EDEB2">
      <w:pPr>
        <w:snapToGrid w:val="0"/>
        <w:spacing w:line="360" w:lineRule="auto"/>
        <w:ind w:firstLine="4935" w:firstLineChars="235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49B5981F">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7805F5D">
      <w:pPr>
        <w:autoSpaceDE w:val="0"/>
        <w:autoSpaceDN w:val="0"/>
        <w:spacing w:line="360" w:lineRule="auto"/>
        <w:ind w:firstLine="120"/>
        <w:rPr>
          <w:rFonts w:asciiTheme="minorEastAsia" w:hAnsiTheme="minorEastAsia" w:eastAsiaTheme="minorEastAsia" w:cstheme="minorEastAsia"/>
          <w:color w:val="auto"/>
          <w:sz w:val="24"/>
          <w:highlight w:val="none"/>
        </w:rPr>
      </w:pPr>
    </w:p>
    <w:p w14:paraId="6DB26544">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六、认为需要的其他技术文件或说明</w:t>
      </w:r>
    </w:p>
    <w:p w14:paraId="3CCB1C44">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（由投标人根据采购需求自行编制）</w:t>
      </w:r>
    </w:p>
    <w:p w14:paraId="72784AFD">
      <w:pPr>
        <w:spacing w:line="360" w:lineRule="auto"/>
        <w:jc w:val="center"/>
        <w:rPr>
          <w:rFonts w:asciiTheme="minorEastAsia" w:hAnsiTheme="minorEastAsia" w:eastAsiaTheme="minorEastAsia" w:cstheme="minorEastAsia"/>
          <w:color w:val="auto"/>
          <w:sz w:val="24"/>
          <w:highlight w:val="none"/>
        </w:rPr>
      </w:pPr>
    </w:p>
    <w:p w14:paraId="24B8D688">
      <w:pPr>
        <w:autoSpaceDE w:val="0"/>
        <w:autoSpaceDN w:val="0"/>
        <w:spacing w:line="360" w:lineRule="auto"/>
        <w:ind w:firstLine="4800" w:firstLineChars="20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投标人名称（电子</w:t>
      </w:r>
      <w:r>
        <w:rPr>
          <w:rFonts w:hint="eastAsia" w:asciiTheme="minorEastAsia" w:hAnsiTheme="minorEastAsia" w:eastAsiaTheme="minorEastAsia" w:cstheme="minorEastAsia"/>
          <w:color w:val="auto"/>
          <w:kern w:val="0"/>
          <w:sz w:val="24"/>
          <w:highlight w:val="none"/>
          <w:lang w:val="zh-CN"/>
        </w:rPr>
        <w:t>签章</w:t>
      </w:r>
      <w:r>
        <w:rPr>
          <w:rFonts w:hint="eastAsia" w:asciiTheme="minorEastAsia" w:hAnsiTheme="minorEastAsia" w:eastAsiaTheme="minorEastAsia" w:cstheme="minorEastAsia"/>
          <w:color w:val="auto"/>
          <w:kern w:val="0"/>
          <w:sz w:val="24"/>
          <w:highlight w:val="none"/>
        </w:rPr>
        <w:t xml:space="preserve">）：                       </w:t>
      </w:r>
    </w:p>
    <w:p w14:paraId="47674AA1">
      <w:pPr>
        <w:autoSpaceDE w:val="0"/>
        <w:autoSpaceDN w:val="0"/>
        <w:spacing w:line="360" w:lineRule="auto"/>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  年  月   日</w:t>
      </w:r>
    </w:p>
    <w:p w14:paraId="3EB0DC1E">
      <w:pPr>
        <w:widowControl/>
        <w:jc w:val="left"/>
        <w:rPr>
          <w:rFonts w:asciiTheme="minorEastAsia" w:hAnsiTheme="minorEastAsia" w:eastAsiaTheme="minorEastAsia" w:cstheme="minorEastAsia"/>
          <w:b/>
          <w:bCs/>
          <w:color w:val="auto"/>
          <w:sz w:val="24"/>
          <w:highlight w:val="none"/>
        </w:rPr>
        <w:sectPr>
          <w:pgSz w:w="11906" w:h="16838"/>
          <w:pgMar w:top="1134" w:right="1134" w:bottom="1134" w:left="1134" w:header="720" w:footer="720" w:gutter="0"/>
          <w:cols w:space="720" w:num="1"/>
          <w:docGrid w:type="lines" w:linePitch="331" w:charSpace="0"/>
        </w:sectPr>
      </w:pPr>
    </w:p>
    <w:p w14:paraId="1E8825D4">
      <w:pPr>
        <w:pStyle w:val="12"/>
        <w:jc w:val="center"/>
        <w:outlineLvl w:val="1"/>
        <w:rPr>
          <w:rFonts w:asciiTheme="minorEastAsia" w:hAnsiTheme="minorEastAsia" w:eastAsiaTheme="minorEastAsia" w:cstheme="minorEastAsia"/>
          <w:b/>
          <w:bCs/>
          <w:color w:val="auto"/>
          <w:sz w:val="28"/>
          <w:szCs w:val="28"/>
          <w:highlight w:val="none"/>
        </w:rPr>
      </w:pPr>
      <w:bookmarkStart w:id="318" w:name="_Toc13435"/>
      <w:r>
        <w:rPr>
          <w:rFonts w:hint="eastAsia" w:asciiTheme="minorEastAsia" w:hAnsiTheme="minorEastAsia" w:eastAsiaTheme="minorEastAsia" w:cstheme="minorEastAsia"/>
          <w:b/>
          <w:bCs/>
          <w:color w:val="auto"/>
          <w:sz w:val="28"/>
          <w:szCs w:val="28"/>
          <w:highlight w:val="none"/>
        </w:rPr>
        <w:t>第五节 报价文件格式</w:t>
      </w:r>
      <w:bookmarkEnd w:id="318"/>
    </w:p>
    <w:p w14:paraId="22FB8E02">
      <w:pPr>
        <w:snapToGrid w:val="0"/>
        <w:spacing w:beforeLines="50" w:after="50" w:line="400" w:lineRule="exact"/>
        <w:rPr>
          <w:rFonts w:asciiTheme="minorEastAsia" w:hAnsiTheme="minorEastAsia" w:eastAsiaTheme="minorEastAsia" w:cstheme="minorEastAsia"/>
          <w:bCs/>
          <w:color w:val="auto"/>
          <w:sz w:val="32"/>
          <w:szCs w:val="20"/>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Cs/>
          <w:color w:val="auto"/>
          <w:highlight w:val="none"/>
        </w:rPr>
        <w:t>电子投标文件</w:t>
      </w:r>
    </w:p>
    <w:p w14:paraId="75F0D801">
      <w:pPr>
        <w:snapToGrid w:val="0"/>
        <w:spacing w:beforeLines="50" w:after="50" w:line="400" w:lineRule="exact"/>
        <w:jc w:val="center"/>
        <w:rPr>
          <w:rFonts w:asciiTheme="minorEastAsia" w:hAnsiTheme="minorEastAsia" w:eastAsiaTheme="minorEastAsia" w:cstheme="minorEastAsia"/>
          <w:bCs/>
          <w:color w:val="auto"/>
          <w:sz w:val="24"/>
          <w:szCs w:val="20"/>
          <w:highlight w:val="none"/>
        </w:rPr>
      </w:pPr>
    </w:p>
    <w:p w14:paraId="7B0996ED">
      <w:pPr>
        <w:snapToGrid w:val="0"/>
        <w:spacing w:beforeLines="50" w:after="50" w:line="400" w:lineRule="exact"/>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报价文件（封面）</w:t>
      </w:r>
    </w:p>
    <w:p w14:paraId="3AF425EF">
      <w:pPr>
        <w:snapToGrid w:val="0"/>
        <w:spacing w:beforeLines="50" w:after="50" w:line="400" w:lineRule="exact"/>
        <w:rPr>
          <w:rFonts w:asciiTheme="minorEastAsia" w:hAnsiTheme="minorEastAsia" w:eastAsiaTheme="minorEastAsia" w:cstheme="minorEastAsia"/>
          <w:bCs/>
          <w:color w:val="auto"/>
          <w:sz w:val="24"/>
          <w:szCs w:val="20"/>
          <w:highlight w:val="none"/>
        </w:rPr>
      </w:pPr>
    </w:p>
    <w:p w14:paraId="6AF51CF2">
      <w:pPr>
        <w:snapToGrid w:val="0"/>
        <w:spacing w:beforeLines="50" w:after="50" w:line="400" w:lineRule="exact"/>
        <w:rPr>
          <w:rFonts w:asciiTheme="minorEastAsia" w:hAnsiTheme="minorEastAsia" w:eastAsiaTheme="minorEastAsia" w:cstheme="minorEastAsia"/>
          <w:bCs/>
          <w:color w:val="auto"/>
          <w:sz w:val="24"/>
          <w:szCs w:val="20"/>
          <w:highlight w:val="none"/>
        </w:rPr>
      </w:pPr>
    </w:p>
    <w:p w14:paraId="5E448914">
      <w:pPr>
        <w:snapToGrid w:val="0"/>
        <w:spacing w:beforeLines="50" w:after="50" w:line="400" w:lineRule="exact"/>
        <w:rPr>
          <w:rFonts w:asciiTheme="minorEastAsia" w:hAnsiTheme="minorEastAsia" w:eastAsiaTheme="minorEastAsia" w:cstheme="minorEastAsia"/>
          <w:bCs/>
          <w:color w:val="auto"/>
          <w:sz w:val="24"/>
          <w:szCs w:val="20"/>
          <w:highlight w:val="none"/>
        </w:rPr>
      </w:pPr>
    </w:p>
    <w:p w14:paraId="7900A320">
      <w:pPr>
        <w:snapToGrid w:val="0"/>
        <w:spacing w:beforeLines="50" w:after="50" w:line="400" w:lineRule="exact"/>
        <w:rPr>
          <w:rFonts w:asciiTheme="minorEastAsia" w:hAnsiTheme="minorEastAsia" w:eastAsiaTheme="minorEastAsia" w:cstheme="minorEastAsia"/>
          <w:bCs/>
          <w:color w:val="auto"/>
          <w:sz w:val="24"/>
          <w:szCs w:val="20"/>
          <w:highlight w:val="none"/>
        </w:rPr>
      </w:pPr>
    </w:p>
    <w:p w14:paraId="1C729117">
      <w:pPr>
        <w:snapToGrid w:val="0"/>
        <w:spacing w:beforeLines="50" w:after="50" w:line="400" w:lineRule="exact"/>
        <w:ind w:firstLine="360" w:firstLineChars="15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项目名称： 南宁市2025年政府和社会资本合作新机制项目实施方案评审服务</w:t>
      </w:r>
    </w:p>
    <w:p w14:paraId="7A9F196C">
      <w:pPr>
        <w:snapToGrid w:val="0"/>
        <w:spacing w:beforeLines="50" w:after="50" w:line="400" w:lineRule="exact"/>
        <w:ind w:firstLine="360" w:firstLineChars="150"/>
        <w:rPr>
          <w:rFonts w:asciiTheme="minorEastAsia" w:hAnsiTheme="minorEastAsia" w:eastAsiaTheme="minorEastAsia" w:cstheme="minorEastAsia"/>
          <w:bCs/>
          <w:color w:val="auto"/>
          <w:sz w:val="24"/>
          <w:highlight w:val="none"/>
        </w:rPr>
      </w:pPr>
    </w:p>
    <w:p w14:paraId="6AC1C3C0">
      <w:pPr>
        <w:snapToGrid w:val="0"/>
        <w:spacing w:beforeLines="50" w:after="50" w:line="400" w:lineRule="exact"/>
        <w:ind w:firstLine="360" w:firstLineChars="15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项目编号： NNZC2025-G3-990774-JGJD</w:t>
      </w:r>
    </w:p>
    <w:p w14:paraId="530D3D9E">
      <w:pPr>
        <w:snapToGrid w:val="0"/>
        <w:spacing w:beforeLines="50" w:after="50" w:line="400" w:lineRule="exact"/>
        <w:ind w:firstLine="360" w:firstLineChars="150"/>
        <w:rPr>
          <w:rFonts w:asciiTheme="minorEastAsia" w:hAnsiTheme="minorEastAsia" w:eastAsiaTheme="minorEastAsia" w:cstheme="minorEastAsia"/>
          <w:bCs/>
          <w:color w:val="auto"/>
          <w:sz w:val="24"/>
          <w:highlight w:val="none"/>
        </w:rPr>
      </w:pPr>
    </w:p>
    <w:p w14:paraId="2030F439">
      <w:pPr>
        <w:snapToGrid w:val="0"/>
        <w:spacing w:beforeLines="50" w:after="50" w:line="400" w:lineRule="exact"/>
        <w:ind w:firstLine="360" w:firstLineChars="15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所投分标：</w:t>
      </w:r>
    </w:p>
    <w:p w14:paraId="52DD4235">
      <w:pPr>
        <w:snapToGrid w:val="0"/>
        <w:spacing w:beforeLines="50" w:after="50" w:line="400" w:lineRule="exact"/>
        <w:ind w:firstLine="360" w:firstLineChars="150"/>
        <w:rPr>
          <w:rFonts w:asciiTheme="minorEastAsia" w:hAnsiTheme="minorEastAsia" w:eastAsiaTheme="minorEastAsia" w:cstheme="minorEastAsia"/>
          <w:bCs/>
          <w:color w:val="auto"/>
          <w:sz w:val="24"/>
          <w:highlight w:val="none"/>
        </w:rPr>
      </w:pPr>
    </w:p>
    <w:p w14:paraId="093631EE">
      <w:pPr>
        <w:snapToGrid w:val="0"/>
        <w:spacing w:beforeLines="50" w:after="50" w:line="400" w:lineRule="exact"/>
        <w:ind w:firstLine="360" w:firstLineChars="15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投标人名称：</w:t>
      </w:r>
    </w:p>
    <w:p w14:paraId="1ECC67D3">
      <w:pPr>
        <w:snapToGrid w:val="0"/>
        <w:spacing w:beforeLines="50" w:after="50" w:line="400" w:lineRule="exact"/>
        <w:ind w:firstLine="360" w:firstLineChars="150"/>
        <w:rPr>
          <w:rFonts w:asciiTheme="minorEastAsia" w:hAnsiTheme="minorEastAsia" w:eastAsiaTheme="minorEastAsia" w:cstheme="minorEastAsia"/>
          <w:bCs/>
          <w:color w:val="auto"/>
          <w:sz w:val="24"/>
          <w:highlight w:val="none"/>
        </w:rPr>
      </w:pPr>
    </w:p>
    <w:p w14:paraId="7D02DCE8">
      <w:pPr>
        <w:snapToGrid w:val="0"/>
        <w:spacing w:beforeLines="50" w:after="50" w:line="400" w:lineRule="exact"/>
        <w:ind w:firstLine="360" w:firstLineChars="15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投标人地址：</w:t>
      </w:r>
    </w:p>
    <w:p w14:paraId="13F9114F">
      <w:pPr>
        <w:pStyle w:val="6"/>
        <w:snapToGrid w:val="0"/>
        <w:spacing w:before="50" w:after="50" w:line="400" w:lineRule="exact"/>
        <w:ind w:firstLine="960" w:firstLineChars="400"/>
        <w:rPr>
          <w:rFonts w:asciiTheme="minorEastAsia" w:hAnsiTheme="minorEastAsia" w:eastAsiaTheme="minorEastAsia" w:cstheme="minorEastAsia"/>
          <w:bCs/>
          <w:color w:val="auto"/>
          <w:sz w:val="24"/>
          <w:szCs w:val="24"/>
          <w:highlight w:val="none"/>
        </w:rPr>
      </w:pPr>
    </w:p>
    <w:p w14:paraId="79CCD256">
      <w:pPr>
        <w:snapToGrid w:val="0"/>
        <w:spacing w:beforeLines="50" w:after="50" w:line="400" w:lineRule="exac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14:paraId="035D023D">
      <w:pPr>
        <w:widowControl/>
        <w:jc w:val="left"/>
        <w:rPr>
          <w:rFonts w:asciiTheme="minorEastAsia" w:hAnsiTheme="minorEastAsia" w:eastAsiaTheme="minorEastAsia" w:cstheme="minorEastAsia"/>
          <w:color w:val="auto"/>
          <w:sz w:val="24"/>
          <w:highlight w:val="none"/>
        </w:rPr>
        <w:sectPr>
          <w:pgSz w:w="11906" w:h="16838"/>
          <w:pgMar w:top="1134" w:right="1134" w:bottom="1134" w:left="1134" w:header="720" w:footer="720" w:gutter="0"/>
          <w:cols w:space="720" w:num="1"/>
          <w:docGrid w:type="lines" w:linePitch="331" w:charSpace="0"/>
        </w:sectPr>
      </w:pPr>
    </w:p>
    <w:p w14:paraId="5BA6A592">
      <w:pPr>
        <w:rPr>
          <w:rFonts w:asciiTheme="minorEastAsia" w:hAnsiTheme="minorEastAsia" w:eastAsiaTheme="minorEastAsia" w:cstheme="minorEastAsia"/>
          <w:color w:val="auto"/>
          <w:highlight w:val="none"/>
        </w:rPr>
      </w:pPr>
    </w:p>
    <w:p w14:paraId="415B6D7B">
      <w:pPr>
        <w:snapToGrid w:val="0"/>
        <w:spacing w:beforeLines="50" w:after="50" w:line="400" w:lineRule="exact"/>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报价文件目录</w:t>
      </w:r>
    </w:p>
    <w:p w14:paraId="2999ECA2">
      <w:pPr>
        <w:rPr>
          <w:rFonts w:asciiTheme="minorEastAsia" w:hAnsiTheme="minorEastAsia" w:eastAsiaTheme="minorEastAsia" w:cstheme="minorEastAsia"/>
          <w:color w:val="auto"/>
          <w:highlight w:val="none"/>
        </w:rPr>
      </w:pPr>
    </w:p>
    <w:p w14:paraId="3EA0434D">
      <w:pP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一、投标函………………………………………………………（页码）</w:t>
      </w:r>
    </w:p>
    <w:p w14:paraId="259178AE">
      <w:pP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二、开标一览表…………………………………………………（页码）</w:t>
      </w:r>
    </w:p>
    <w:p w14:paraId="251A5EF7">
      <w:pPr>
        <w:widowControl/>
        <w:jc w:val="left"/>
        <w:rPr>
          <w:rFonts w:asciiTheme="minorEastAsia" w:hAnsiTheme="minorEastAsia" w:eastAsiaTheme="minorEastAsia" w:cstheme="minorEastAsia"/>
          <w:color w:val="auto"/>
          <w:sz w:val="30"/>
          <w:szCs w:val="20"/>
          <w:highlight w:val="none"/>
        </w:rPr>
        <w:sectPr>
          <w:pgSz w:w="11906" w:h="16838"/>
          <w:pgMar w:top="1134" w:right="1134" w:bottom="1134" w:left="1134" w:header="720" w:footer="720" w:gutter="0"/>
          <w:cols w:space="720" w:num="1"/>
          <w:docGrid w:type="lines" w:linePitch="331" w:charSpace="0"/>
        </w:sectPr>
      </w:pPr>
    </w:p>
    <w:p w14:paraId="7C4E3647">
      <w:pPr>
        <w:pStyle w:val="12"/>
        <w:spacing w:line="500" w:lineRule="exact"/>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一、投标函</w:t>
      </w:r>
    </w:p>
    <w:p w14:paraId="58019469">
      <w:pPr>
        <w:pStyle w:val="12"/>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bookmarkStart w:id="319" w:name="PO_3000001866_PM031_4"/>
      <w:r>
        <w:rPr>
          <w:rFonts w:hint="eastAsia" w:asciiTheme="minorEastAsia" w:hAnsiTheme="minorEastAsia" w:eastAsiaTheme="minorEastAsia" w:cstheme="minorEastAsia"/>
          <w:color w:val="auto"/>
          <w:highlight w:val="none"/>
          <w:u w:val="single"/>
        </w:rPr>
        <w:t>广西建设工程机电设备招标中心有限公司</w:t>
      </w:r>
      <w:bookmarkEnd w:id="319"/>
    </w:p>
    <w:p w14:paraId="678D003E">
      <w:pPr>
        <w:pStyle w:val="12"/>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我方已仔细阅读了贵方组织的</w:t>
      </w:r>
      <w:r>
        <w:rPr>
          <w:rFonts w:hint="eastAsia" w:asciiTheme="minorEastAsia" w:hAnsiTheme="minorEastAsia" w:eastAsiaTheme="minorEastAsia" w:cstheme="minorEastAsia"/>
          <w:color w:val="auto"/>
          <w:highlight w:val="none"/>
          <w:u w:val="single"/>
        </w:rPr>
        <w:t xml:space="preserve">南宁市2025年政府和社会资本合作新机制项目实施方案评审服务 </w:t>
      </w:r>
      <w:r>
        <w:rPr>
          <w:rFonts w:hint="eastAsia" w:asciiTheme="minorEastAsia" w:hAnsiTheme="minorEastAsia" w:eastAsiaTheme="minorEastAsia" w:cstheme="minorEastAsia"/>
          <w:color w:val="auto"/>
          <w:highlight w:val="none"/>
        </w:rPr>
        <w:t>项目（项目编号：NNZC2025-G3-990774-JGJD）的招标文件的全部内容，授权</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(全权代表姓名)</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(职务、职称)为全权代表，现正式递交下述文件参加贵方组织的本次政府采购活动： </w:t>
      </w:r>
    </w:p>
    <w:p w14:paraId="1E28626A">
      <w:pPr>
        <w:pStyle w:val="12"/>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一、报价文件电子版一份（包含按投标人须知前附表要求提交的全部文件）；</w:t>
      </w:r>
    </w:p>
    <w:p w14:paraId="5B785A51">
      <w:pPr>
        <w:pStyle w:val="12"/>
        <w:spacing w:line="440" w:lineRule="exact"/>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二、资格文件电子版一份（包含按投标人须知前附表要求提交的全部文件）；</w:t>
      </w:r>
    </w:p>
    <w:p w14:paraId="67386138">
      <w:pPr>
        <w:pStyle w:val="12"/>
        <w:spacing w:line="440" w:lineRule="exact"/>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三、技术文件电子版一份（包含按投标人须知前附表要求提交的全部文件）；</w:t>
      </w:r>
    </w:p>
    <w:p w14:paraId="23059266">
      <w:pPr>
        <w:pStyle w:val="12"/>
        <w:spacing w:line="440" w:lineRule="exact"/>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四、商务文件电子版一份（包含按投标人须知前附表要求提交的全部文件）；</w:t>
      </w:r>
    </w:p>
    <w:p w14:paraId="15C8D632">
      <w:pPr>
        <w:pStyle w:val="12"/>
        <w:spacing w:line="440" w:lineRule="exact"/>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据此函，签字人兹宣布：</w:t>
      </w:r>
    </w:p>
    <w:p w14:paraId="1A6D07C0">
      <w:pPr>
        <w:pStyle w:val="12"/>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1、我方愿意以（大写）人民币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元)的投标总报价，提交服务成果时间（无分标时填写）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，提供本项目招标文件第二章“服务需求”中的相应的采购内容。</w:t>
      </w:r>
    </w:p>
    <w:p w14:paraId="75520D27">
      <w:pPr>
        <w:pStyle w:val="12"/>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其中（有分标时填写）：</w:t>
      </w:r>
    </w:p>
    <w:p w14:paraId="71A44D37">
      <w:pPr>
        <w:pStyle w:val="12"/>
        <w:spacing w:line="360" w:lineRule="exact"/>
        <w:ind w:firstLine="420" w:firstLineChars="20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分标报价为（大写）人民币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元)，提交服务成果时间：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79ECDC3D">
      <w:pPr>
        <w:pStyle w:val="12"/>
        <w:spacing w:line="360" w:lineRule="exact"/>
        <w:ind w:firstLine="420" w:firstLineChars="20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分标报价为（大写）人民币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元)，提交服务成果时间：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14:paraId="7D0C3A49">
      <w:pPr>
        <w:pStyle w:val="12"/>
        <w:spacing w:line="360" w:lineRule="exact"/>
        <w:ind w:firstLine="420" w:firstLineChars="20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w:t>
      </w:r>
    </w:p>
    <w:p w14:paraId="35F7ED74">
      <w:pPr>
        <w:pStyle w:val="12"/>
        <w:spacing w:line="360" w:lineRule="exact"/>
        <w:ind w:firstLine="420" w:firstLineChars="20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4FE08DC4">
      <w:pPr>
        <w:pStyle w:val="12"/>
        <w:spacing w:line="360" w:lineRule="exact"/>
        <w:ind w:firstLine="420" w:firstLineChars="20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3、我方所递交的投标文件及有关资料都是内容完整、真实和准确的。</w:t>
      </w:r>
    </w:p>
    <w:p w14:paraId="2AF326E4">
      <w:pPr>
        <w:pStyle w:val="12"/>
        <w:spacing w:line="440" w:lineRule="exact"/>
        <w:ind w:firstLine="48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r>
        <w:rPr>
          <w:rFonts w:hint="eastAsia" w:asciiTheme="minorEastAsia" w:hAnsiTheme="minorEastAsia" w:eastAsiaTheme="minorEastAsia" w:cstheme="minorEastAsia"/>
          <w:color w:val="auto"/>
          <w:szCs w:val="21"/>
          <w:highlight w:val="none"/>
        </w:rPr>
        <w:t>如本项目采购内容涉及须符合国家强制规定的，我方承诺我方本次投标（包括资格条件和所投产品）均符合国家有关强制规定。</w:t>
      </w:r>
    </w:p>
    <w:p w14:paraId="3EE17C8E">
      <w:pPr>
        <w:pStyle w:val="12"/>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2033212F">
      <w:pPr>
        <w:pStyle w:val="12"/>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6、我方已详细审核招标文件，我方知道必须放弃提出含糊不清或误解问题的权利。</w:t>
      </w:r>
    </w:p>
    <w:p w14:paraId="3F97C84A">
      <w:pPr>
        <w:pStyle w:val="12"/>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7、我方同意应贵方要求提供与本投标有关的任何数据或资料。若贵方需要，我方愿意提供我方作出的一切承诺的证明材料。</w:t>
      </w:r>
    </w:p>
    <w:p w14:paraId="78231685">
      <w:pPr>
        <w:pStyle w:val="12"/>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8、我方完全理解贵方不一定接受投标报价最低的投标人为中标供应商的行为。</w:t>
      </w:r>
    </w:p>
    <w:p w14:paraId="3B7C05F1">
      <w:pPr>
        <w:pStyle w:val="12"/>
        <w:spacing w:line="44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8868BA1">
      <w:pPr>
        <w:pStyle w:val="12"/>
        <w:numPr>
          <w:ilvl w:val="0"/>
          <w:numId w:val="8"/>
        </w:numPr>
        <w:spacing w:line="44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提供虚假材料谋取中标、成交的；</w:t>
      </w:r>
    </w:p>
    <w:p w14:paraId="5BC6D962">
      <w:pPr>
        <w:pStyle w:val="12"/>
        <w:numPr>
          <w:ilvl w:val="0"/>
          <w:numId w:val="8"/>
        </w:numPr>
        <w:spacing w:line="44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采取不正当手段诋毁、排挤其他供应商的；</w:t>
      </w:r>
    </w:p>
    <w:p w14:paraId="754BB031">
      <w:pPr>
        <w:pStyle w:val="12"/>
        <w:numPr>
          <w:ilvl w:val="0"/>
          <w:numId w:val="8"/>
        </w:numPr>
        <w:spacing w:line="44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与采购人、其他供应商或者采购代理机构恶意串通的；</w:t>
      </w:r>
    </w:p>
    <w:p w14:paraId="6D75B70F">
      <w:pPr>
        <w:pStyle w:val="12"/>
        <w:numPr>
          <w:ilvl w:val="0"/>
          <w:numId w:val="8"/>
        </w:numPr>
        <w:spacing w:line="44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向采购人、采购代理机构行贿或者提供其他不正当利益的；</w:t>
      </w:r>
    </w:p>
    <w:p w14:paraId="3D83CFAD">
      <w:pPr>
        <w:pStyle w:val="12"/>
        <w:numPr>
          <w:ilvl w:val="0"/>
          <w:numId w:val="8"/>
        </w:numPr>
        <w:spacing w:line="44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在招标采购过程中与采购人进行协商谈判的；</w:t>
      </w:r>
    </w:p>
    <w:p w14:paraId="3EAC4FF1">
      <w:pPr>
        <w:pStyle w:val="12"/>
        <w:numPr>
          <w:ilvl w:val="0"/>
          <w:numId w:val="8"/>
        </w:numPr>
        <w:spacing w:line="44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拒绝有关部门监督检查或提供虚假情况的。</w:t>
      </w:r>
    </w:p>
    <w:p w14:paraId="71464EF3">
      <w:pPr>
        <w:pStyle w:val="12"/>
        <w:spacing w:line="440" w:lineRule="exact"/>
        <w:ind w:left="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10、我方及由本人担任法定代表人的其他机构最近三年内被处罚的违法行为有：</w:t>
      </w:r>
      <w:r>
        <w:rPr>
          <w:rFonts w:hint="eastAsia" w:asciiTheme="minorEastAsia" w:hAnsiTheme="minorEastAsia" w:eastAsiaTheme="minorEastAsia" w:cstheme="minorEastAsia"/>
          <w:color w:val="auto"/>
          <w:highlight w:val="none"/>
          <w:u w:val="single"/>
        </w:rPr>
        <w:t xml:space="preserve">                                        </w:t>
      </w:r>
    </w:p>
    <w:p w14:paraId="1C7E2D6D">
      <w:pPr>
        <w:pStyle w:val="12"/>
        <w:spacing w:line="440" w:lineRule="exact"/>
        <w:ind w:left="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p>
    <w:p w14:paraId="30512A61">
      <w:pPr>
        <w:pStyle w:val="12"/>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11、以上事项如有虚假或隐瞒，我方愿意承担一切后果，并不再寻求任何旨在减轻或免除法律责任的辩解。</w:t>
      </w:r>
    </w:p>
    <w:p w14:paraId="7904B4EC">
      <w:pPr>
        <w:pStyle w:val="12"/>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12、与本投标有关的一切正式往来信函请寄：</w:t>
      </w:r>
      <w:r>
        <w:rPr>
          <w:rFonts w:hint="eastAsia" w:asciiTheme="minorEastAsia" w:hAnsiTheme="minorEastAsia" w:eastAsiaTheme="minorEastAsia" w:cstheme="minorEastAsia"/>
          <w:color w:val="auto"/>
          <w:highlight w:val="none"/>
          <w:u w:val="single"/>
        </w:rPr>
        <w:t xml:space="preserve"> </w:t>
      </w:r>
    </w:p>
    <w:p w14:paraId="3D1DC2A5">
      <w:pPr>
        <w:pStyle w:val="12"/>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14:paraId="6324488D">
      <w:pPr>
        <w:pStyle w:val="12"/>
        <w:spacing w:line="360" w:lineRule="auto"/>
        <w:ind w:firstLine="42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电话：</w:t>
      </w:r>
      <w:r>
        <w:rPr>
          <w:rFonts w:hint="eastAsia" w:asciiTheme="minorEastAsia" w:hAnsiTheme="minorEastAsia" w:eastAsiaTheme="minorEastAsia" w:cstheme="minorEastAsia"/>
          <w:color w:val="auto"/>
          <w:highlight w:val="none"/>
          <w:u w:val="single"/>
        </w:rPr>
        <w:t xml:space="preserve">                                      　　　　　　　　　</w:t>
      </w:r>
    </w:p>
    <w:p w14:paraId="066DB909">
      <w:pPr>
        <w:pStyle w:val="12"/>
        <w:spacing w:line="360" w:lineRule="auto"/>
        <w:ind w:firstLine="42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传真：</w:t>
      </w:r>
      <w:r>
        <w:rPr>
          <w:rFonts w:hint="eastAsia" w:asciiTheme="minorEastAsia" w:hAnsiTheme="minorEastAsia" w:eastAsiaTheme="minorEastAsia" w:cstheme="minorEastAsia"/>
          <w:color w:val="auto"/>
          <w:highlight w:val="none"/>
          <w:u w:val="single"/>
        </w:rPr>
        <w:t>　　　　　　　　　　　　　　　　　　　　　　　　　　　　</w:t>
      </w:r>
    </w:p>
    <w:p w14:paraId="3AEBED23">
      <w:pPr>
        <w:pStyle w:val="12"/>
        <w:spacing w:line="360" w:lineRule="auto"/>
        <w:ind w:firstLine="42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w:t>
      </w:r>
    </w:p>
    <w:p w14:paraId="07CD01E9">
      <w:pPr>
        <w:pStyle w:val="12"/>
        <w:spacing w:line="360" w:lineRule="auto"/>
        <w:ind w:firstLine="42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开户名称：</w:t>
      </w:r>
      <w:r>
        <w:rPr>
          <w:rFonts w:hint="eastAsia" w:asciiTheme="minorEastAsia" w:hAnsiTheme="minorEastAsia" w:eastAsiaTheme="minorEastAsia" w:cstheme="minorEastAsia"/>
          <w:color w:val="auto"/>
          <w:highlight w:val="none"/>
          <w:u w:val="single"/>
        </w:rPr>
        <w:t xml:space="preserve">                                                    </w:t>
      </w:r>
    </w:p>
    <w:p w14:paraId="4091BBB4">
      <w:pPr>
        <w:pStyle w:val="12"/>
        <w:spacing w:line="360" w:lineRule="auto"/>
        <w:ind w:firstLine="42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开户银行：</w:t>
      </w:r>
      <w:r>
        <w:rPr>
          <w:rFonts w:hint="eastAsia" w:asciiTheme="minorEastAsia" w:hAnsiTheme="minorEastAsia" w:eastAsiaTheme="minorEastAsia" w:cstheme="minorEastAsia"/>
          <w:color w:val="auto"/>
          <w:highlight w:val="none"/>
          <w:u w:val="single"/>
        </w:rPr>
        <w:t xml:space="preserve">                                                    </w:t>
      </w:r>
    </w:p>
    <w:p w14:paraId="5FB32BB6">
      <w:pPr>
        <w:pStyle w:val="12"/>
        <w:spacing w:line="360" w:lineRule="auto"/>
        <w:ind w:firstLine="42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银行账号：</w:t>
      </w:r>
      <w:r>
        <w:rPr>
          <w:rFonts w:hint="eastAsia" w:asciiTheme="minorEastAsia" w:hAnsiTheme="minorEastAsia" w:eastAsiaTheme="minorEastAsia" w:cstheme="minorEastAsia"/>
          <w:color w:val="auto"/>
          <w:highlight w:val="none"/>
          <w:u w:val="single"/>
        </w:rPr>
        <w:t xml:space="preserve">                                                    </w:t>
      </w:r>
    </w:p>
    <w:p w14:paraId="3D38BA38">
      <w:pPr>
        <w:snapToGrid w:val="0"/>
        <w:spacing w:line="360" w:lineRule="auto"/>
        <w:ind w:firstLine="5040" w:firstLineChars="2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669975B7">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1D23BE53">
      <w:pPr>
        <w:widowControl/>
        <w:spacing w:line="360" w:lineRule="auto"/>
        <w:jc w:val="left"/>
        <w:rPr>
          <w:rFonts w:asciiTheme="minorEastAsia" w:hAnsiTheme="minorEastAsia" w:eastAsiaTheme="minorEastAsia" w:cstheme="minorEastAsia"/>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59897EDF">
      <w:pPr>
        <w:pStyle w:val="12"/>
        <w:spacing w:line="360" w:lineRule="auto"/>
        <w:jc w:val="center"/>
        <w:rPr>
          <w:rFonts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color w:val="auto"/>
          <w:sz w:val="30"/>
          <w:highlight w:val="none"/>
        </w:rPr>
        <w:t>二、</w:t>
      </w:r>
      <w:r>
        <w:rPr>
          <w:rFonts w:hint="eastAsia" w:asciiTheme="minorEastAsia" w:hAnsiTheme="minorEastAsia" w:eastAsiaTheme="minorEastAsia" w:cstheme="minorEastAsia"/>
          <w:b/>
          <w:color w:val="auto"/>
          <w:sz w:val="30"/>
          <w:szCs w:val="30"/>
          <w:highlight w:val="none"/>
        </w:rPr>
        <w:t>开标一览表</w:t>
      </w:r>
      <w:r>
        <w:rPr>
          <w:rFonts w:hint="eastAsia" w:asciiTheme="minorEastAsia" w:hAnsiTheme="minorEastAsia" w:eastAsiaTheme="minorEastAsia" w:cstheme="minorEastAsia"/>
          <w:b/>
          <w:color w:val="auto"/>
          <w:kern w:val="0"/>
          <w:sz w:val="24"/>
          <w:highlight w:val="none"/>
          <w:lang w:val="zh-CN"/>
        </w:rPr>
        <w:t>(单位均为人民币元)</w:t>
      </w:r>
    </w:p>
    <w:p w14:paraId="59067B54">
      <w:pPr>
        <w:snapToGrid w:val="0"/>
        <w:spacing w:before="50" w:after="50"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南宁市2025年政府和社会资本合作新机制项目实施方案评审服务</w:t>
      </w:r>
      <w:r>
        <w:rPr>
          <w:rFonts w:hint="eastAsia" w:asciiTheme="minorEastAsia" w:hAnsiTheme="minorEastAsia" w:eastAsiaTheme="minorEastAsia" w:cstheme="minorEastAsia"/>
          <w:color w:val="auto"/>
          <w:sz w:val="24"/>
          <w:highlight w:val="none"/>
        </w:rPr>
        <w:t xml:space="preserve">  </w:t>
      </w:r>
    </w:p>
    <w:p w14:paraId="1FF78539">
      <w:pPr>
        <w:snapToGrid w:val="0"/>
        <w:spacing w:before="50" w:after="50"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u w:val="single"/>
        </w:rPr>
        <w:t xml:space="preserve"> NNZC2025-G3-990774-JGJD </w:t>
      </w:r>
      <w:r>
        <w:rPr>
          <w:rFonts w:hint="eastAsia" w:asciiTheme="minorEastAsia" w:hAnsiTheme="minorEastAsia" w:eastAsiaTheme="minorEastAsia" w:cstheme="minorEastAsia"/>
          <w:color w:val="auto"/>
          <w:sz w:val="24"/>
          <w:highlight w:val="none"/>
        </w:rPr>
        <w:t xml:space="preserve"> </w:t>
      </w:r>
    </w:p>
    <w:p w14:paraId="0F01EBAF">
      <w:pPr>
        <w:pStyle w:val="12"/>
        <w:spacing w:line="360" w:lineRule="auto"/>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color w:val="auto"/>
          <w:sz w:val="24"/>
          <w:highlight w:val="none"/>
        </w:rPr>
        <w:t>投标人名称：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tbl>
      <w:tblPr>
        <w:tblStyle w:val="23"/>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491D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2DF04E93">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02E0D483">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noWrap/>
            <w:vAlign w:val="center"/>
          </w:tcPr>
          <w:p w14:paraId="107F2F5E">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noWrap/>
            <w:vAlign w:val="center"/>
          </w:tcPr>
          <w:p w14:paraId="6D1891C2">
            <w:pPr>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ign w:val="center"/>
          </w:tcPr>
          <w:p w14:paraId="7D535163">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ign w:val="center"/>
          </w:tcPr>
          <w:p w14:paraId="18D6C38B">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单项合价（元）</w:t>
            </w:r>
          </w:p>
          <w:p w14:paraId="170BB847">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tcPr>
          <w:p w14:paraId="2C501566">
            <w:pPr>
              <w:spacing w:line="360" w:lineRule="auto"/>
              <w:jc w:val="cente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服务期限</w:t>
            </w:r>
          </w:p>
        </w:tc>
        <w:tc>
          <w:tcPr>
            <w:tcW w:w="957" w:type="dxa"/>
            <w:tcBorders>
              <w:top w:val="single" w:color="auto" w:sz="4" w:space="0"/>
              <w:left w:val="single" w:color="auto" w:sz="4" w:space="0"/>
              <w:bottom w:val="single" w:color="auto" w:sz="4" w:space="0"/>
              <w:right w:val="single" w:color="auto" w:sz="4" w:space="0"/>
            </w:tcBorders>
            <w:noWrap/>
            <w:vAlign w:val="center"/>
          </w:tcPr>
          <w:p w14:paraId="215B8E1A">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备注</w:t>
            </w:r>
          </w:p>
        </w:tc>
      </w:tr>
      <w:tr w14:paraId="70B4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1D69CF66">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ign w:val="center"/>
          </w:tcPr>
          <w:p w14:paraId="22F3A7EE">
            <w:pPr>
              <w:rPr>
                <w:rFonts w:asciiTheme="minorEastAsia" w:hAnsiTheme="minorEastAsia" w:eastAsiaTheme="minorEastAsia" w:cstheme="minorEastAsia"/>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ign w:val="center"/>
          </w:tcPr>
          <w:p w14:paraId="2A317C84">
            <w:pPr>
              <w:rPr>
                <w:rFonts w:asciiTheme="minorEastAsia" w:hAnsiTheme="minorEastAsia" w:eastAsiaTheme="minorEastAsia" w:cstheme="minorEastAsia"/>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882CEE1">
            <w:pPr>
              <w:rPr>
                <w:rFonts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B5D0C21">
            <w:pPr>
              <w:rPr>
                <w:rFonts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69AAD31C">
            <w:pPr>
              <w:rPr>
                <w:rFonts w:asciiTheme="minorEastAsia" w:hAnsiTheme="minorEastAsia" w:eastAsiaTheme="minorEastAsia" w:cstheme="minorEastAsia"/>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tcPr>
          <w:p w14:paraId="57E69AE6">
            <w:pPr>
              <w:rPr>
                <w:rFonts w:asciiTheme="minorEastAsia" w:hAnsiTheme="minorEastAsia" w:eastAsiaTheme="minorEastAsia" w:cstheme="minorEastAsia"/>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14:paraId="0F072C6C">
            <w:pPr>
              <w:rPr>
                <w:rFonts w:asciiTheme="minorEastAsia" w:hAnsiTheme="minorEastAsia" w:eastAsiaTheme="minorEastAsia" w:cstheme="minorEastAsia"/>
                <w:color w:val="auto"/>
                <w:szCs w:val="22"/>
                <w:highlight w:val="none"/>
              </w:rPr>
            </w:pPr>
          </w:p>
        </w:tc>
      </w:tr>
      <w:tr w14:paraId="1845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0D4F5868">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ign w:val="center"/>
          </w:tcPr>
          <w:p w14:paraId="28D77E5A">
            <w:pPr>
              <w:rPr>
                <w:rFonts w:asciiTheme="minorEastAsia" w:hAnsiTheme="minorEastAsia" w:eastAsiaTheme="minorEastAsia" w:cstheme="minorEastAsia"/>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ign w:val="center"/>
          </w:tcPr>
          <w:p w14:paraId="0E6D6D28">
            <w:pPr>
              <w:rPr>
                <w:rFonts w:asciiTheme="minorEastAsia" w:hAnsiTheme="minorEastAsia" w:eastAsiaTheme="minorEastAsia" w:cstheme="minorEastAsia"/>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BC02EE4">
            <w:pPr>
              <w:rPr>
                <w:rFonts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4D9EDFC1">
            <w:pPr>
              <w:rPr>
                <w:rFonts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743DC3E2">
            <w:pPr>
              <w:rPr>
                <w:rFonts w:asciiTheme="minorEastAsia" w:hAnsiTheme="minorEastAsia" w:eastAsiaTheme="minorEastAsia" w:cstheme="minorEastAsia"/>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tcPr>
          <w:p w14:paraId="6A6E4693">
            <w:pPr>
              <w:rPr>
                <w:rFonts w:asciiTheme="minorEastAsia" w:hAnsiTheme="minorEastAsia" w:eastAsiaTheme="minorEastAsia" w:cstheme="minorEastAsia"/>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14:paraId="436EBC58">
            <w:pPr>
              <w:rPr>
                <w:rFonts w:asciiTheme="minorEastAsia" w:hAnsiTheme="minorEastAsia" w:eastAsiaTheme="minorEastAsia" w:cstheme="minorEastAsia"/>
                <w:color w:val="auto"/>
                <w:szCs w:val="22"/>
                <w:highlight w:val="none"/>
              </w:rPr>
            </w:pPr>
          </w:p>
        </w:tc>
      </w:tr>
      <w:tr w14:paraId="3769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ign w:val="center"/>
          </w:tcPr>
          <w:p w14:paraId="38766FB9">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ign w:val="center"/>
          </w:tcPr>
          <w:p w14:paraId="5FD372FA">
            <w:pPr>
              <w:rPr>
                <w:rFonts w:asciiTheme="minorEastAsia" w:hAnsiTheme="minorEastAsia" w:eastAsiaTheme="minorEastAsia" w:cstheme="minorEastAsia"/>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ign w:val="center"/>
          </w:tcPr>
          <w:p w14:paraId="44AEEDE9">
            <w:pPr>
              <w:rPr>
                <w:rFonts w:asciiTheme="minorEastAsia" w:hAnsiTheme="minorEastAsia" w:eastAsiaTheme="minorEastAsia" w:cstheme="minorEastAsia"/>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65FDDE60">
            <w:pPr>
              <w:rPr>
                <w:rFonts w:asciiTheme="minorEastAsia" w:hAnsiTheme="minorEastAsia" w:eastAsiaTheme="minorEastAsia" w:cstheme="minorEastAsia"/>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1E8EBD4">
            <w:pPr>
              <w:rPr>
                <w:rFonts w:asciiTheme="minorEastAsia" w:hAnsiTheme="minorEastAsia" w:eastAsiaTheme="minorEastAsia" w:cstheme="minorEastAsia"/>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ign w:val="center"/>
          </w:tcPr>
          <w:p w14:paraId="259EF793">
            <w:pPr>
              <w:rPr>
                <w:rFonts w:asciiTheme="minorEastAsia" w:hAnsiTheme="minorEastAsia" w:eastAsiaTheme="minorEastAsia" w:cstheme="minorEastAsia"/>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tcPr>
          <w:p w14:paraId="1D02EE9C">
            <w:pPr>
              <w:rPr>
                <w:rFonts w:asciiTheme="minorEastAsia" w:hAnsiTheme="minorEastAsia" w:eastAsiaTheme="minorEastAsia" w:cstheme="minorEastAsia"/>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14:paraId="5E41B6E7">
            <w:pPr>
              <w:rPr>
                <w:rFonts w:asciiTheme="minorEastAsia" w:hAnsiTheme="minorEastAsia" w:eastAsiaTheme="minorEastAsia" w:cstheme="minorEastAsia"/>
                <w:color w:val="auto"/>
                <w:szCs w:val="22"/>
                <w:highlight w:val="none"/>
              </w:rPr>
            </w:pPr>
          </w:p>
        </w:tc>
      </w:tr>
      <w:tr w14:paraId="15B0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tcPr>
          <w:p w14:paraId="7DB8C5FA">
            <w:pPr>
              <w:jc w:val="left"/>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1"/>
                <w:highlight w:val="none"/>
              </w:rPr>
              <w:t>报价合计（包含税费等所有费用）：（大写）人民币  （￥  元）</w:t>
            </w:r>
          </w:p>
        </w:tc>
      </w:tr>
      <w:tr w14:paraId="6994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tcPr>
          <w:p w14:paraId="1B05ABBA">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验收标准：</w:t>
            </w:r>
          </w:p>
        </w:tc>
      </w:tr>
      <w:tr w14:paraId="2094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tcPr>
          <w:p w14:paraId="48099E27">
            <w:pPr>
              <w:rPr>
                <w:rFonts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优惠及其它：</w:t>
            </w:r>
          </w:p>
        </w:tc>
      </w:tr>
    </w:tbl>
    <w:p w14:paraId="57D730BD">
      <w:pPr>
        <w:snapToGrid w:val="0"/>
        <w:spacing w:before="50" w:after="50"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注： </w:t>
      </w:r>
    </w:p>
    <w:p w14:paraId="389E0254">
      <w:pPr>
        <w:snapToGrid w:val="0"/>
        <w:spacing w:before="50" w:after="50"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Theme="minorEastAsia" w:hAnsiTheme="minorEastAsia" w:eastAsiaTheme="minorEastAsia" w:cstheme="minorEastAsia"/>
          <w:b/>
          <w:color w:val="auto"/>
          <w:kern w:val="0"/>
          <w:sz w:val="24"/>
          <w:highlight w:val="none"/>
          <w:lang w:val="zh-CN"/>
        </w:rPr>
        <w:t>否则其投标作无效标处理。</w:t>
      </w:r>
    </w:p>
    <w:p w14:paraId="06F3201F">
      <w:pPr>
        <w:snapToGrid w:val="0"/>
        <w:spacing w:before="50" w:after="50"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2、本表内容均不能涂改，</w:t>
      </w:r>
      <w:r>
        <w:rPr>
          <w:rFonts w:hint="eastAsia" w:asciiTheme="minorEastAsia" w:hAnsiTheme="minorEastAsia" w:eastAsiaTheme="minorEastAsia" w:cstheme="minorEastAsia"/>
          <w:b/>
          <w:color w:val="auto"/>
          <w:kern w:val="0"/>
          <w:sz w:val="24"/>
          <w:highlight w:val="none"/>
          <w:lang w:val="zh-CN"/>
        </w:rPr>
        <w:t>否则其投标作无效标处理。</w:t>
      </w:r>
    </w:p>
    <w:p w14:paraId="6A1E282D">
      <w:pPr>
        <w:snapToGrid w:val="0"/>
        <w:spacing w:before="50" w:after="50" w:line="360" w:lineRule="auto"/>
        <w:ind w:firstLine="480" w:firstLineChars="200"/>
        <w:jc w:val="left"/>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3、如为联合体投标，“投标人名称”处必须列明联合体各方名称，并标注联合体牵头人名称，且盖章处须加盖联合体各方公章，</w:t>
      </w:r>
      <w:r>
        <w:rPr>
          <w:rFonts w:hint="eastAsia" w:asciiTheme="minorEastAsia" w:hAnsiTheme="minorEastAsia" w:eastAsiaTheme="minorEastAsia" w:cstheme="minorEastAsia"/>
          <w:b/>
          <w:color w:val="auto"/>
          <w:kern w:val="0"/>
          <w:sz w:val="24"/>
          <w:highlight w:val="none"/>
          <w:lang w:val="zh-CN"/>
        </w:rPr>
        <w:t>否则其投标作无效标处理。</w:t>
      </w:r>
    </w:p>
    <w:p w14:paraId="155510D6">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4、以上表格要求细分项目及报价，在“具体服务内容”一栏中，填写具体服务范围、服务时间、服务标准，</w:t>
      </w:r>
      <w:r>
        <w:rPr>
          <w:rFonts w:hint="eastAsia" w:asciiTheme="minorEastAsia" w:hAnsiTheme="minorEastAsia" w:eastAsiaTheme="minorEastAsia" w:cstheme="minorEastAsia"/>
          <w:b/>
          <w:color w:val="auto"/>
          <w:kern w:val="0"/>
          <w:sz w:val="24"/>
          <w:highlight w:val="none"/>
          <w:lang w:val="zh-CN"/>
        </w:rPr>
        <w:t>否则其投标作无效标处理。</w:t>
      </w:r>
      <w:r>
        <w:rPr>
          <w:rFonts w:hint="eastAsia" w:asciiTheme="minorEastAsia" w:hAnsiTheme="minorEastAsia" w:eastAsiaTheme="minorEastAsia" w:cstheme="minorEastAsia"/>
          <w:color w:val="auto"/>
          <w:kern w:val="0"/>
          <w:sz w:val="24"/>
          <w:highlight w:val="none"/>
          <w:lang w:val="zh-CN"/>
        </w:rPr>
        <w:t>。</w:t>
      </w:r>
    </w:p>
    <w:p w14:paraId="00ACD72E">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14:paraId="7EE6E3A7">
      <w:pPr>
        <w:snapToGrid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szCs w:val="22"/>
          <w:highlight w:val="none"/>
          <w:lang w:val="zh-CN"/>
        </w:rPr>
        <w:t>6、</w:t>
      </w:r>
      <w:r>
        <w:rPr>
          <w:rFonts w:hint="eastAsia" w:asciiTheme="minorEastAsia" w:hAnsiTheme="minorEastAsia" w:eastAsiaTheme="minorEastAsia" w:cstheme="min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4953CC8">
      <w:pPr>
        <w:snapToGrid w:val="0"/>
        <w:spacing w:line="360" w:lineRule="auto"/>
        <w:ind w:firstLine="5040" w:firstLineChars="21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投标人名称(电子签章)：</w:t>
      </w:r>
    </w:p>
    <w:p w14:paraId="7F90A470">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71A7477F">
      <w:pPr>
        <w:widowControl/>
        <w:jc w:val="left"/>
        <w:rPr>
          <w:rFonts w:asciiTheme="minorEastAsia" w:hAnsiTheme="minorEastAsia" w:eastAsiaTheme="minorEastAsia" w:cstheme="minorEastAsia"/>
          <w:color w:val="auto"/>
          <w:sz w:val="30"/>
          <w:szCs w:val="20"/>
          <w:highlight w:val="none"/>
        </w:rPr>
        <w:sectPr>
          <w:pgSz w:w="11906" w:h="16838"/>
          <w:pgMar w:top="1134" w:right="1134" w:bottom="1134" w:left="1134" w:header="720" w:footer="720" w:gutter="0"/>
          <w:cols w:space="720" w:num="1"/>
          <w:docGrid w:type="lines" w:linePitch="331" w:charSpace="0"/>
        </w:sectPr>
      </w:pPr>
    </w:p>
    <w:p w14:paraId="309D2B42">
      <w:pPr>
        <w:snapToGrid w:val="0"/>
        <w:spacing w:beforeLines="50" w:after="50"/>
        <w:jc w:val="center"/>
        <w:outlineLvl w:val="1"/>
        <w:rPr>
          <w:rFonts w:asciiTheme="minorEastAsia" w:hAnsiTheme="minorEastAsia" w:eastAsiaTheme="minorEastAsia" w:cstheme="minorEastAsia"/>
          <w:b/>
          <w:bCs/>
          <w:color w:val="auto"/>
          <w:sz w:val="28"/>
          <w:szCs w:val="28"/>
          <w:highlight w:val="none"/>
        </w:rPr>
      </w:pPr>
      <w:bookmarkStart w:id="320" w:name="_Toc19686840"/>
      <w:bookmarkStart w:id="321" w:name="_Toc15635"/>
      <w:r>
        <w:rPr>
          <w:rFonts w:hint="eastAsia" w:asciiTheme="minorEastAsia" w:hAnsiTheme="minorEastAsia" w:eastAsiaTheme="minorEastAsia" w:cstheme="minorEastAsia"/>
          <w:b/>
          <w:bCs/>
          <w:color w:val="auto"/>
          <w:sz w:val="28"/>
          <w:szCs w:val="28"/>
          <w:highlight w:val="none"/>
        </w:rPr>
        <w:t>第六节 其他文书、文件格式</w:t>
      </w:r>
      <w:bookmarkEnd w:id="320"/>
      <w:bookmarkEnd w:id="321"/>
    </w:p>
    <w:p w14:paraId="369ADF9E">
      <w:pPr>
        <w:jc w:val="center"/>
        <w:rPr>
          <w:rFonts w:asciiTheme="minorEastAsia" w:hAnsiTheme="minorEastAsia" w:eastAsiaTheme="minorEastAsia" w:cstheme="minorEastAsia"/>
          <w:b/>
          <w:bCs/>
          <w:color w:val="auto"/>
          <w:sz w:val="32"/>
          <w:szCs w:val="32"/>
          <w:highlight w:val="none"/>
        </w:rPr>
      </w:pPr>
    </w:p>
    <w:p w14:paraId="579E81E7">
      <w:pPr>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知识产权合规性声明</w:t>
      </w:r>
    </w:p>
    <w:p w14:paraId="13D8BE36">
      <w:pPr>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    </w:t>
      </w:r>
    </w:p>
    <w:p w14:paraId="0A76FE15">
      <w:pPr>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    本企业自愿参与政府投资政府采购的</w:t>
      </w:r>
      <w:r>
        <w:rPr>
          <w:rFonts w:hint="eastAsia" w:asciiTheme="minorEastAsia" w:hAnsiTheme="minorEastAsia" w:eastAsiaTheme="minorEastAsia" w:cstheme="minorEastAsia"/>
          <w:color w:val="auto"/>
          <w:sz w:val="30"/>
          <w:szCs w:val="30"/>
          <w:highlight w:val="none"/>
          <w:u w:val="single"/>
        </w:rPr>
        <w:t>南宁市2025年政府和社会资本合作新机制项目实施方案评审服务</w:t>
      </w:r>
      <w:r>
        <w:rPr>
          <w:rFonts w:hint="eastAsia" w:asciiTheme="minorEastAsia" w:hAnsiTheme="minorEastAsia" w:eastAsiaTheme="minorEastAsia" w:cstheme="minorEastAsia"/>
          <w:color w:val="auto"/>
          <w:sz w:val="30"/>
          <w:szCs w:val="30"/>
          <w:highlight w:val="none"/>
        </w:rPr>
        <w:t>项目，</w:t>
      </w:r>
      <w:r>
        <w:rPr>
          <w:rFonts w:hint="eastAsia" w:asciiTheme="minorEastAsia" w:hAnsiTheme="minorEastAsia" w:eastAsiaTheme="minorEastAsia" w:cstheme="minorEastAsia"/>
          <w:b/>
          <w:bCs/>
          <w:color w:val="auto"/>
          <w:sz w:val="30"/>
          <w:szCs w:val="30"/>
          <w:highlight w:val="none"/>
        </w:rPr>
        <w:t>在此郑重承诺：</w:t>
      </w:r>
      <w:r>
        <w:rPr>
          <w:rFonts w:hint="eastAsia" w:asciiTheme="minorEastAsia" w:hAnsiTheme="minorEastAsia" w:eastAsiaTheme="minorEastAsia" w:cstheme="minorEastAsia"/>
          <w:color w:val="auto"/>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669DFC16">
      <w:pPr>
        <w:snapToGrid w:val="0"/>
        <w:spacing w:line="360" w:lineRule="auto"/>
        <w:ind w:left="5137" w:leftChars="1736" w:hanging="1491" w:hangingChars="825"/>
        <w:rPr>
          <w:rFonts w:asciiTheme="minorEastAsia" w:hAnsiTheme="minorEastAsia" w:eastAsiaTheme="minorEastAsia" w:cstheme="minorEastAsia"/>
          <w:b/>
          <w:color w:val="auto"/>
          <w:sz w:val="18"/>
          <w:szCs w:val="18"/>
          <w:highlight w:val="none"/>
        </w:rPr>
      </w:pPr>
      <w:r>
        <w:rPr>
          <w:rFonts w:hint="eastAsia" w:asciiTheme="minorEastAsia" w:hAnsiTheme="minorEastAsia" w:eastAsiaTheme="minorEastAsia" w:cstheme="minorEastAsia"/>
          <w:b/>
          <w:color w:val="auto"/>
          <w:sz w:val="18"/>
          <w:szCs w:val="18"/>
          <w:highlight w:val="none"/>
        </w:rPr>
        <w:t xml:space="preserve">           </w:t>
      </w:r>
    </w:p>
    <w:p w14:paraId="1DFED2B3">
      <w:pPr>
        <w:snapToGrid w:val="0"/>
        <w:spacing w:line="360" w:lineRule="auto"/>
        <w:ind w:left="5137" w:leftChars="1736" w:hanging="1491" w:hangingChars="825"/>
        <w:rPr>
          <w:rFonts w:asciiTheme="minorEastAsia" w:hAnsiTheme="minorEastAsia" w:eastAsiaTheme="minorEastAsia" w:cstheme="minorEastAsia"/>
          <w:b/>
          <w:color w:val="auto"/>
          <w:sz w:val="18"/>
          <w:szCs w:val="18"/>
          <w:highlight w:val="none"/>
        </w:rPr>
      </w:pPr>
    </w:p>
    <w:p w14:paraId="7CC72124">
      <w:pPr>
        <w:snapToGrid w:val="0"/>
        <w:spacing w:line="360" w:lineRule="auto"/>
        <w:ind w:left="5137" w:leftChars="1736" w:hanging="1491" w:hangingChars="825"/>
        <w:rPr>
          <w:rFonts w:asciiTheme="minorEastAsia" w:hAnsiTheme="minorEastAsia" w:eastAsiaTheme="minorEastAsia" w:cstheme="minorEastAsia"/>
          <w:b/>
          <w:color w:val="auto"/>
          <w:sz w:val="18"/>
          <w:szCs w:val="18"/>
          <w:highlight w:val="none"/>
        </w:rPr>
      </w:pPr>
    </w:p>
    <w:p w14:paraId="4BB9144C">
      <w:pPr>
        <w:snapToGrid w:val="0"/>
        <w:spacing w:line="360" w:lineRule="auto"/>
        <w:ind w:left="5137" w:leftChars="1736" w:hanging="1491" w:hangingChars="825"/>
        <w:rPr>
          <w:rFonts w:asciiTheme="minorEastAsia" w:hAnsiTheme="minorEastAsia" w:eastAsiaTheme="minorEastAsia" w:cstheme="minorEastAsia"/>
          <w:b/>
          <w:color w:val="auto"/>
          <w:sz w:val="18"/>
          <w:szCs w:val="18"/>
          <w:highlight w:val="none"/>
        </w:rPr>
      </w:pPr>
    </w:p>
    <w:p w14:paraId="4DD01FC5">
      <w:pPr>
        <w:snapToGrid w:val="0"/>
        <w:spacing w:line="360" w:lineRule="auto"/>
        <w:ind w:left="5137" w:leftChars="1736" w:hanging="1491" w:hangingChars="825"/>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18"/>
          <w:szCs w:val="18"/>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投标人名称(电子签章)：</w:t>
      </w:r>
    </w:p>
    <w:p w14:paraId="60263358">
      <w:pPr>
        <w:snapToGrid w:val="0"/>
        <w:spacing w:line="360" w:lineRule="auto"/>
        <w:ind w:firstLine="5160" w:firstLineChars="215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00900DB8">
      <w:pPr>
        <w:pStyle w:val="12"/>
        <w:tabs>
          <w:tab w:val="left" w:pos="2472"/>
        </w:tabs>
        <w:spacing w:line="460" w:lineRule="exact"/>
        <w:jc w:val="center"/>
        <w:rPr>
          <w:rFonts w:asciiTheme="minorEastAsia" w:hAnsiTheme="minorEastAsia" w:eastAsiaTheme="minorEastAsia" w:cstheme="minorEastAsia"/>
          <w:b/>
          <w:color w:val="auto"/>
          <w:sz w:val="36"/>
          <w:highlight w:val="none"/>
        </w:rPr>
      </w:pPr>
      <w:r>
        <w:rPr>
          <w:rFonts w:hint="eastAsia" w:asciiTheme="minorEastAsia" w:hAnsiTheme="minorEastAsia" w:eastAsiaTheme="minorEastAsia" w:cstheme="minorEastAsia"/>
          <w:b/>
          <w:color w:val="auto"/>
          <w:sz w:val="30"/>
          <w:szCs w:val="30"/>
          <w:highlight w:val="none"/>
        </w:rPr>
        <w:br w:type="page"/>
      </w:r>
    </w:p>
    <w:p w14:paraId="23E52A58">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11B0B3F0">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70938171">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5EB38A9A">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6B81C5D9">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20D60F90">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0098C81B">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79B2277C">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04BC269F">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458E545B">
      <w:pPr>
        <w:pStyle w:val="12"/>
        <w:tabs>
          <w:tab w:val="left" w:pos="2472"/>
        </w:tabs>
        <w:spacing w:line="460" w:lineRule="exact"/>
        <w:jc w:val="center"/>
        <w:rPr>
          <w:rFonts w:asciiTheme="minorEastAsia" w:hAnsiTheme="minorEastAsia" w:eastAsiaTheme="minorEastAsia" w:cstheme="minorEastAsia"/>
          <w:b/>
          <w:color w:val="auto"/>
          <w:sz w:val="36"/>
          <w:highlight w:val="none"/>
        </w:rPr>
      </w:pPr>
    </w:p>
    <w:p w14:paraId="45ADC0FE">
      <w:pPr>
        <w:pStyle w:val="12"/>
        <w:tabs>
          <w:tab w:val="left" w:pos="2472"/>
        </w:tabs>
        <w:spacing w:line="460" w:lineRule="exact"/>
        <w:jc w:val="center"/>
        <w:outlineLvl w:val="0"/>
        <w:rPr>
          <w:rFonts w:asciiTheme="minorEastAsia" w:hAnsiTheme="minorEastAsia" w:eastAsiaTheme="minorEastAsia" w:cstheme="minorEastAsia"/>
          <w:b/>
          <w:color w:val="auto"/>
          <w:sz w:val="36"/>
          <w:highlight w:val="none"/>
        </w:rPr>
      </w:pPr>
      <w:bookmarkStart w:id="322" w:name="_Toc14561"/>
      <w:r>
        <w:rPr>
          <w:rFonts w:hint="eastAsia" w:asciiTheme="minorEastAsia" w:hAnsiTheme="minorEastAsia" w:eastAsiaTheme="minorEastAsia" w:cstheme="minorEastAsia"/>
          <w:b/>
          <w:color w:val="auto"/>
          <w:sz w:val="36"/>
          <w:highlight w:val="none"/>
        </w:rPr>
        <w:t>第七章 质疑、投诉证明材料格式</w:t>
      </w:r>
      <w:bookmarkEnd w:id="322"/>
    </w:p>
    <w:p w14:paraId="4CCB7C22">
      <w:pPr>
        <w:widowControl/>
        <w:spacing w:line="360" w:lineRule="auto"/>
        <w:jc w:val="left"/>
        <w:rPr>
          <w:rFonts w:asciiTheme="minorEastAsia" w:hAnsiTheme="minorEastAsia" w:eastAsiaTheme="minorEastAsia" w:cstheme="minorEastAsia"/>
          <w:color w:val="auto"/>
          <w:sz w:val="20"/>
          <w:highlight w:val="none"/>
        </w:rPr>
        <w:sectPr>
          <w:pgSz w:w="11906" w:h="16838"/>
          <w:pgMar w:top="1134" w:right="1134" w:bottom="1134" w:left="1134" w:header="720" w:footer="720" w:gutter="0"/>
          <w:cols w:space="720" w:num="1"/>
          <w:docGrid w:type="lines" w:linePitch="331" w:charSpace="0"/>
        </w:sectPr>
      </w:pPr>
    </w:p>
    <w:p w14:paraId="043DC66A">
      <w:pPr>
        <w:widowControl/>
        <w:shd w:val="clear" w:color="auto" w:fill="FFFFFF"/>
        <w:spacing w:line="260" w:lineRule="exact"/>
        <w:jc w:val="left"/>
        <w:rPr>
          <w:rFonts w:asciiTheme="minorEastAsia" w:hAnsiTheme="minorEastAsia" w:eastAsiaTheme="minorEastAsia" w:cstheme="minorEastAsia"/>
          <w:b/>
          <w:bCs/>
          <w:color w:val="auto"/>
          <w:sz w:val="28"/>
          <w:szCs w:val="28"/>
          <w:highlight w:val="none"/>
        </w:rPr>
      </w:pPr>
    </w:p>
    <w:p w14:paraId="62F9829E">
      <w:pPr>
        <w:pStyle w:val="2"/>
        <w:jc w:val="center"/>
        <w:rPr>
          <w:rFonts w:asciiTheme="minorEastAsia" w:hAnsiTheme="minorEastAsia" w:eastAsiaTheme="minorEastAsia" w:cstheme="minorEastAsia"/>
          <w:b w:val="0"/>
          <w:bCs w:val="0"/>
          <w:color w:val="auto"/>
          <w:highlight w:val="none"/>
        </w:rPr>
      </w:pPr>
      <w:bookmarkStart w:id="323" w:name="_Toc27750"/>
      <w:r>
        <w:rPr>
          <w:rFonts w:hint="eastAsia" w:asciiTheme="minorEastAsia" w:hAnsiTheme="minorEastAsia" w:eastAsiaTheme="minorEastAsia" w:cstheme="minorEastAsia"/>
          <w:b w:val="0"/>
          <w:bCs w:val="0"/>
          <w:color w:val="auto"/>
          <w:highlight w:val="none"/>
        </w:rPr>
        <w:t>第一节 质疑函（格式）</w:t>
      </w:r>
      <w:bookmarkEnd w:id="323"/>
    </w:p>
    <w:p w14:paraId="2C5D3D0C">
      <w:pPr>
        <w:jc w:val="center"/>
        <w:rPr>
          <w:rFonts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质疑函范本</w:t>
      </w:r>
    </w:p>
    <w:p w14:paraId="3799BFE0">
      <w:pPr>
        <w:adjustRightInd w:val="0"/>
        <w:snapToGrid w:val="0"/>
        <w:spacing w:beforeLines="100" w:line="360" w:lineRule="auto"/>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一、质疑供应商基本信息</w:t>
      </w:r>
    </w:p>
    <w:p w14:paraId="08BBF9BC">
      <w:pPr>
        <w:adjustRightInd w:val="0"/>
        <w:snapToGrid w:val="0"/>
        <w:spacing w:line="360" w:lineRule="auto"/>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质疑供应商：</w:t>
      </w:r>
      <w:r>
        <w:rPr>
          <w:rFonts w:hint="eastAsia" w:asciiTheme="minorEastAsia" w:hAnsiTheme="minorEastAsia" w:eastAsiaTheme="minorEastAsia" w:cstheme="minorEastAsia"/>
          <w:color w:val="auto"/>
          <w:sz w:val="32"/>
          <w:szCs w:val="32"/>
          <w:highlight w:val="none"/>
          <w:u w:val="dotted"/>
        </w:rPr>
        <w:t xml:space="preserve">                                        </w:t>
      </w:r>
    </w:p>
    <w:p w14:paraId="5B595B57">
      <w:pPr>
        <w:adjustRightInd w:val="0"/>
        <w:snapToGrid w:val="0"/>
        <w:spacing w:line="360" w:lineRule="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地址：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p>
    <w:p w14:paraId="763EA413">
      <w:pPr>
        <w:adjustRightInd w:val="0"/>
        <w:snapToGrid w:val="0"/>
        <w:spacing w:line="360" w:lineRule="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联系人：</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p>
    <w:p w14:paraId="74B95444">
      <w:pPr>
        <w:adjustRightInd w:val="0"/>
        <w:snapToGrid w:val="0"/>
        <w:spacing w:line="360" w:lineRule="auto"/>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授权代表：</w:t>
      </w:r>
      <w:r>
        <w:rPr>
          <w:rFonts w:hint="eastAsia" w:asciiTheme="minorEastAsia" w:hAnsiTheme="minorEastAsia" w:eastAsiaTheme="minorEastAsia" w:cstheme="minorEastAsia"/>
          <w:color w:val="auto"/>
          <w:sz w:val="32"/>
          <w:szCs w:val="32"/>
          <w:highlight w:val="none"/>
          <w:u w:val="dotted"/>
        </w:rPr>
        <w:t xml:space="preserve">                                          </w:t>
      </w:r>
    </w:p>
    <w:p w14:paraId="76BA1774">
      <w:pPr>
        <w:adjustRightInd w:val="0"/>
        <w:snapToGrid w:val="0"/>
        <w:spacing w:line="360" w:lineRule="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 xml:space="preserve"> </w:t>
      </w:r>
    </w:p>
    <w:p w14:paraId="1A6579EB">
      <w:pPr>
        <w:adjustRightInd w:val="0"/>
        <w:snapToGrid w:val="0"/>
        <w:spacing w:line="360" w:lineRule="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地址： </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p>
    <w:p w14:paraId="06503AF4">
      <w:pPr>
        <w:adjustRightInd w:val="0"/>
        <w:snapToGrid w:val="0"/>
        <w:spacing w:line="360" w:lineRule="auto"/>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二、质疑项目基本情况</w:t>
      </w:r>
    </w:p>
    <w:p w14:paraId="1C45E10F">
      <w:pPr>
        <w:adjustRightInd w:val="0"/>
        <w:snapToGrid w:val="0"/>
        <w:spacing w:line="360" w:lineRule="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质疑项目的名称：</w:t>
      </w:r>
      <w:r>
        <w:rPr>
          <w:rFonts w:hint="eastAsia" w:asciiTheme="minorEastAsia" w:hAnsiTheme="minorEastAsia" w:eastAsiaTheme="minorEastAsia" w:cstheme="minorEastAsia"/>
          <w:color w:val="auto"/>
          <w:sz w:val="32"/>
          <w:szCs w:val="32"/>
          <w:highlight w:val="none"/>
          <w:u w:val="dotted"/>
        </w:rPr>
        <w:t xml:space="preserve">   南宁市2025年政府和社会资本合作新机制项目实施方案评审服务     </w:t>
      </w:r>
    </w:p>
    <w:p w14:paraId="0A39E5FA">
      <w:pPr>
        <w:adjustRightInd w:val="0"/>
        <w:snapToGrid w:val="0"/>
        <w:spacing w:line="360" w:lineRule="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质疑项目的编号：</w:t>
      </w:r>
      <w:r>
        <w:rPr>
          <w:rFonts w:hint="eastAsia" w:asciiTheme="minorEastAsia" w:hAnsiTheme="minorEastAsia" w:eastAsiaTheme="minorEastAsia" w:cstheme="minorEastAsia"/>
          <w:color w:val="auto"/>
          <w:sz w:val="32"/>
          <w:szCs w:val="32"/>
          <w:highlight w:val="none"/>
          <w:u w:val="dotted"/>
        </w:rPr>
        <w:t xml:space="preserve">NNZC2025-G3-990774-JGJD </w:t>
      </w:r>
      <w:r>
        <w:rPr>
          <w:rFonts w:hint="eastAsia" w:asciiTheme="minorEastAsia" w:hAnsiTheme="minorEastAsia" w:eastAsiaTheme="minorEastAsia" w:cstheme="minorEastAsia"/>
          <w:color w:val="auto"/>
          <w:sz w:val="32"/>
          <w:szCs w:val="32"/>
          <w:highlight w:val="none"/>
        </w:rPr>
        <w:t>包号：</w:t>
      </w:r>
      <w:r>
        <w:rPr>
          <w:rFonts w:hint="eastAsia" w:asciiTheme="minorEastAsia" w:hAnsiTheme="minorEastAsia" w:eastAsiaTheme="minorEastAsia" w:cstheme="minorEastAsia"/>
          <w:color w:val="auto"/>
          <w:sz w:val="32"/>
          <w:szCs w:val="32"/>
          <w:highlight w:val="none"/>
          <w:u w:val="dotted"/>
        </w:rPr>
        <w:t xml:space="preserve">                 </w:t>
      </w:r>
    </w:p>
    <w:p w14:paraId="03318F9E">
      <w:pPr>
        <w:adjustRightInd w:val="0"/>
        <w:snapToGrid w:val="0"/>
        <w:spacing w:line="360" w:lineRule="auto"/>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采购人名称：</w:t>
      </w:r>
      <w:r>
        <w:rPr>
          <w:rFonts w:hint="eastAsia" w:asciiTheme="minorEastAsia" w:hAnsiTheme="minorEastAsia" w:eastAsiaTheme="minorEastAsia" w:cstheme="minorEastAsia"/>
          <w:color w:val="auto"/>
          <w:sz w:val="32"/>
          <w:szCs w:val="32"/>
          <w:highlight w:val="none"/>
          <w:u w:val="dotted"/>
        </w:rPr>
        <w:t xml:space="preserve">    南宁市固定资产投资项目前期服务中心  </w:t>
      </w:r>
    </w:p>
    <w:p w14:paraId="23E27358">
      <w:pPr>
        <w:adjustRightInd w:val="0"/>
        <w:snapToGrid w:val="0"/>
        <w:spacing w:line="360" w:lineRule="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采购文件获取日期：</w:t>
      </w:r>
      <w:r>
        <w:rPr>
          <w:rFonts w:hint="eastAsia" w:asciiTheme="minorEastAsia" w:hAnsiTheme="minorEastAsia" w:eastAsiaTheme="minorEastAsia" w:cstheme="minorEastAsia"/>
          <w:color w:val="auto"/>
          <w:sz w:val="32"/>
          <w:szCs w:val="32"/>
          <w:highlight w:val="none"/>
          <w:u w:val="dotted"/>
        </w:rPr>
        <w:t xml:space="preserve">                                           </w:t>
      </w:r>
    </w:p>
    <w:p w14:paraId="6D8ADA95">
      <w:pPr>
        <w:adjustRightInd w:val="0"/>
        <w:snapToGrid w:val="0"/>
        <w:spacing w:line="360" w:lineRule="auto"/>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三、质疑事项具体内容</w:t>
      </w:r>
    </w:p>
    <w:p w14:paraId="2DD65F4F">
      <w:pPr>
        <w:adjustRightInd w:val="0"/>
        <w:snapToGrid w:val="0"/>
        <w:spacing w:line="360" w:lineRule="auto"/>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质疑事项1：</w:t>
      </w:r>
      <w:r>
        <w:rPr>
          <w:rFonts w:hint="eastAsia" w:asciiTheme="minorEastAsia" w:hAnsiTheme="minorEastAsia" w:eastAsiaTheme="minorEastAsia" w:cstheme="minorEastAsia"/>
          <w:color w:val="auto"/>
          <w:sz w:val="32"/>
          <w:szCs w:val="32"/>
          <w:highlight w:val="none"/>
          <w:u w:val="dotted"/>
        </w:rPr>
        <w:t xml:space="preserve">                                         </w:t>
      </w:r>
    </w:p>
    <w:p w14:paraId="7A47A2AF">
      <w:pPr>
        <w:adjustRightInd w:val="0"/>
        <w:snapToGrid w:val="0"/>
        <w:spacing w:line="360" w:lineRule="auto"/>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事实依据：</w:t>
      </w:r>
      <w:r>
        <w:rPr>
          <w:rFonts w:hint="eastAsia" w:asciiTheme="minorEastAsia" w:hAnsiTheme="minorEastAsia" w:eastAsiaTheme="minorEastAsia" w:cstheme="minorEastAsia"/>
          <w:color w:val="auto"/>
          <w:sz w:val="32"/>
          <w:szCs w:val="32"/>
          <w:highlight w:val="none"/>
          <w:u w:val="dotted"/>
        </w:rPr>
        <w:t xml:space="preserve">                                          </w:t>
      </w:r>
    </w:p>
    <w:p w14:paraId="0B08471A">
      <w:pPr>
        <w:adjustRightInd w:val="0"/>
        <w:snapToGrid w:val="0"/>
        <w:spacing w:line="360" w:lineRule="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u w:val="dotted"/>
        </w:rPr>
        <w:t xml:space="preserve">                                                       </w:t>
      </w:r>
    </w:p>
    <w:p w14:paraId="1EB9D286">
      <w:pPr>
        <w:adjustRightInd w:val="0"/>
        <w:snapToGrid w:val="0"/>
        <w:spacing w:line="360" w:lineRule="auto"/>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法律依据：</w:t>
      </w:r>
      <w:r>
        <w:rPr>
          <w:rFonts w:hint="eastAsia" w:asciiTheme="minorEastAsia" w:hAnsiTheme="minorEastAsia" w:eastAsiaTheme="minorEastAsia" w:cstheme="minorEastAsia"/>
          <w:color w:val="auto"/>
          <w:sz w:val="32"/>
          <w:szCs w:val="32"/>
          <w:highlight w:val="none"/>
          <w:u w:val="dotted"/>
        </w:rPr>
        <w:t xml:space="preserve">                                          </w:t>
      </w:r>
    </w:p>
    <w:p w14:paraId="27CADAB1">
      <w:pPr>
        <w:adjustRightInd w:val="0"/>
        <w:snapToGrid w:val="0"/>
        <w:spacing w:line="360" w:lineRule="auto"/>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u w:val="dotted"/>
        </w:rPr>
        <w:t xml:space="preserve">                                                     </w:t>
      </w:r>
    </w:p>
    <w:p w14:paraId="45036B9F">
      <w:pPr>
        <w:adjustRightInd w:val="0"/>
        <w:snapToGrid w:val="0"/>
        <w:spacing w:line="360" w:lineRule="auto"/>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质疑事项2</w:t>
      </w:r>
    </w:p>
    <w:p w14:paraId="52E794A6">
      <w:pPr>
        <w:adjustRightInd w:val="0"/>
        <w:snapToGrid w:val="0"/>
        <w:spacing w:line="360" w:lineRule="auto"/>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w:t>
      </w:r>
    </w:p>
    <w:p w14:paraId="52B72161">
      <w:pPr>
        <w:adjustRightInd w:val="0"/>
        <w:snapToGrid w:val="0"/>
        <w:spacing w:line="360" w:lineRule="auto"/>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四、与质疑事项相关的质疑请求</w:t>
      </w:r>
    </w:p>
    <w:p w14:paraId="71317F56">
      <w:pPr>
        <w:adjustRightInd w:val="0"/>
        <w:snapToGrid w:val="0"/>
        <w:spacing w:line="360" w:lineRule="auto"/>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请求：</w:t>
      </w:r>
      <w:r>
        <w:rPr>
          <w:rFonts w:hint="eastAsia" w:asciiTheme="minorEastAsia" w:hAnsiTheme="minorEastAsia" w:eastAsiaTheme="minorEastAsia" w:cstheme="minorEastAsia"/>
          <w:color w:val="auto"/>
          <w:sz w:val="32"/>
          <w:szCs w:val="32"/>
          <w:highlight w:val="none"/>
          <w:u w:val="dotted"/>
        </w:rPr>
        <w:t xml:space="preserve">                                               </w:t>
      </w:r>
    </w:p>
    <w:p w14:paraId="193464A7">
      <w:pPr>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签字(签章)：                   公章：                      </w:t>
      </w:r>
    </w:p>
    <w:p w14:paraId="7D357CD6">
      <w:pPr>
        <w:rPr>
          <w:rFonts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 xml:space="preserve">日期：    </w:t>
      </w:r>
    </w:p>
    <w:p w14:paraId="6381AC74">
      <w:pPr>
        <w:adjustRightInd w:val="0"/>
        <w:snapToGrid w:val="0"/>
        <w:spacing w:line="360" w:lineRule="auto"/>
        <w:rPr>
          <w:rFonts w:asciiTheme="minorEastAsia" w:hAnsiTheme="minorEastAsia" w:eastAsiaTheme="minorEastAsia" w:cstheme="minorEastAsia"/>
          <w:color w:val="auto"/>
          <w:sz w:val="32"/>
          <w:szCs w:val="32"/>
          <w:highlight w:val="none"/>
        </w:rPr>
      </w:pPr>
    </w:p>
    <w:p w14:paraId="340A5D42">
      <w:pPr>
        <w:adjustRightInd w:val="0"/>
        <w:snapToGrid w:val="0"/>
        <w:spacing w:line="360" w:lineRule="auto"/>
        <w:rPr>
          <w:rFonts w:asciiTheme="minorEastAsia" w:hAnsiTheme="minorEastAsia" w:eastAsiaTheme="minorEastAsia" w:cstheme="minorEastAsia"/>
          <w:color w:val="auto"/>
          <w:sz w:val="32"/>
          <w:szCs w:val="32"/>
          <w:highlight w:val="none"/>
        </w:rPr>
      </w:pPr>
    </w:p>
    <w:p w14:paraId="071649D1">
      <w:pPr>
        <w:jc w:val="center"/>
        <w:rPr>
          <w:rFonts w:asciiTheme="minorEastAsia" w:hAnsiTheme="minorEastAsia" w:eastAsiaTheme="minorEastAsia" w:cstheme="minorEastAsia"/>
          <w:b/>
          <w:bCs/>
          <w:color w:val="auto"/>
          <w:sz w:val="32"/>
          <w:szCs w:val="32"/>
          <w:highlight w:val="none"/>
        </w:rPr>
      </w:pPr>
    </w:p>
    <w:p w14:paraId="78FF1ADB">
      <w:pPr>
        <w:jc w:val="center"/>
        <w:rPr>
          <w:rFonts w:asciiTheme="minorEastAsia" w:hAnsiTheme="minorEastAsia" w:eastAsiaTheme="minorEastAsia" w:cstheme="minorEastAsia"/>
          <w:b/>
          <w:bCs/>
          <w:color w:val="auto"/>
          <w:sz w:val="32"/>
          <w:szCs w:val="32"/>
          <w:highlight w:val="none"/>
        </w:rPr>
      </w:pPr>
    </w:p>
    <w:p w14:paraId="6CFF1B77">
      <w:pPr>
        <w:jc w:val="center"/>
        <w:rPr>
          <w:rFonts w:asciiTheme="minorEastAsia" w:hAnsiTheme="minorEastAsia" w:eastAsiaTheme="minorEastAsia" w:cstheme="minorEastAsia"/>
          <w:b/>
          <w:bCs/>
          <w:color w:val="auto"/>
          <w:sz w:val="32"/>
          <w:szCs w:val="32"/>
          <w:highlight w:val="none"/>
        </w:rPr>
      </w:pPr>
    </w:p>
    <w:p w14:paraId="078D4CA1">
      <w:pPr>
        <w:jc w:val="center"/>
        <w:rPr>
          <w:rFonts w:asciiTheme="minorEastAsia" w:hAnsiTheme="minorEastAsia" w:eastAsiaTheme="minorEastAsia" w:cstheme="minorEastAsia"/>
          <w:b/>
          <w:bCs/>
          <w:color w:val="auto"/>
          <w:sz w:val="32"/>
          <w:szCs w:val="32"/>
          <w:highlight w:val="none"/>
        </w:rPr>
      </w:pPr>
    </w:p>
    <w:p w14:paraId="70890C20">
      <w:pPr>
        <w:jc w:val="center"/>
        <w:rPr>
          <w:rFonts w:asciiTheme="minorEastAsia" w:hAnsiTheme="minorEastAsia" w:eastAsiaTheme="minorEastAsia" w:cstheme="minorEastAsia"/>
          <w:b/>
          <w:bCs/>
          <w:color w:val="auto"/>
          <w:sz w:val="32"/>
          <w:szCs w:val="32"/>
          <w:highlight w:val="none"/>
        </w:rPr>
      </w:pPr>
    </w:p>
    <w:p w14:paraId="533E80F4">
      <w:pPr>
        <w:jc w:val="center"/>
        <w:rPr>
          <w:rFonts w:asciiTheme="minorEastAsia" w:hAnsiTheme="minorEastAsia" w:eastAsiaTheme="minorEastAsia" w:cstheme="minorEastAsia"/>
          <w:b/>
          <w:bCs/>
          <w:color w:val="auto"/>
          <w:sz w:val="32"/>
          <w:szCs w:val="32"/>
          <w:highlight w:val="none"/>
        </w:rPr>
      </w:pPr>
    </w:p>
    <w:p w14:paraId="03FAB1DF">
      <w:pPr>
        <w:jc w:val="center"/>
        <w:rPr>
          <w:rFonts w:asciiTheme="minorEastAsia" w:hAnsiTheme="minorEastAsia" w:eastAsiaTheme="minorEastAsia" w:cstheme="minorEastAsia"/>
          <w:b/>
          <w:bCs/>
          <w:color w:val="auto"/>
          <w:sz w:val="32"/>
          <w:szCs w:val="32"/>
          <w:highlight w:val="none"/>
        </w:rPr>
      </w:pPr>
    </w:p>
    <w:p w14:paraId="4C4392AD">
      <w:pPr>
        <w:rPr>
          <w:rFonts w:asciiTheme="minorEastAsia" w:hAnsiTheme="minorEastAsia" w:eastAsiaTheme="minorEastAsia" w:cstheme="minorEastAsia"/>
          <w:b/>
          <w:color w:val="auto"/>
          <w:sz w:val="32"/>
          <w:szCs w:val="32"/>
          <w:highlight w:val="none"/>
        </w:rPr>
      </w:pPr>
    </w:p>
    <w:p w14:paraId="4C3F771A">
      <w:pPr>
        <w:rPr>
          <w:rFonts w:asciiTheme="minorEastAsia" w:hAnsiTheme="minorEastAsia" w:eastAsiaTheme="minorEastAsia" w:cstheme="minorEastAsia"/>
          <w:b/>
          <w:color w:val="auto"/>
          <w:sz w:val="32"/>
          <w:szCs w:val="32"/>
          <w:highlight w:val="none"/>
        </w:rPr>
      </w:pPr>
    </w:p>
    <w:p w14:paraId="173D4D4B">
      <w:pPr>
        <w:rPr>
          <w:rFonts w:asciiTheme="minorEastAsia" w:hAnsiTheme="minorEastAsia" w:eastAsiaTheme="minorEastAsia" w:cstheme="minorEastAsia"/>
          <w:b/>
          <w:color w:val="auto"/>
          <w:sz w:val="32"/>
          <w:szCs w:val="32"/>
          <w:highlight w:val="none"/>
        </w:rPr>
      </w:pPr>
    </w:p>
    <w:p w14:paraId="52DB7CA7">
      <w:pPr>
        <w:rPr>
          <w:rFonts w:asciiTheme="minorEastAsia" w:hAnsiTheme="minorEastAsia" w:eastAsiaTheme="minorEastAsia" w:cstheme="minorEastAsia"/>
          <w:b/>
          <w:color w:val="auto"/>
          <w:sz w:val="32"/>
          <w:szCs w:val="32"/>
          <w:highlight w:val="none"/>
        </w:rPr>
      </w:pPr>
    </w:p>
    <w:p w14:paraId="3298EA45">
      <w:pPr>
        <w:rPr>
          <w:rFonts w:asciiTheme="minorEastAsia" w:hAnsiTheme="minorEastAsia" w:eastAsiaTheme="minorEastAsia" w:cstheme="minorEastAsia"/>
          <w:b/>
          <w:color w:val="auto"/>
          <w:sz w:val="32"/>
          <w:szCs w:val="32"/>
          <w:highlight w:val="none"/>
        </w:rPr>
      </w:pPr>
    </w:p>
    <w:p w14:paraId="30B4431C">
      <w:pPr>
        <w:rPr>
          <w:rFonts w:asciiTheme="minorEastAsia" w:hAnsiTheme="minorEastAsia" w:eastAsiaTheme="minorEastAsia" w:cstheme="minorEastAsia"/>
          <w:b/>
          <w:color w:val="auto"/>
          <w:sz w:val="32"/>
          <w:szCs w:val="32"/>
          <w:highlight w:val="none"/>
        </w:rPr>
      </w:pPr>
    </w:p>
    <w:p w14:paraId="66540DCD">
      <w:pPr>
        <w:rPr>
          <w:rFonts w:asciiTheme="minorEastAsia" w:hAnsiTheme="minorEastAsia" w:eastAsiaTheme="minorEastAsia" w:cstheme="minorEastAsia"/>
          <w:b/>
          <w:color w:val="auto"/>
          <w:sz w:val="32"/>
          <w:szCs w:val="32"/>
          <w:highlight w:val="none"/>
        </w:rPr>
      </w:pPr>
    </w:p>
    <w:p w14:paraId="6F05AF13">
      <w:pPr>
        <w:rPr>
          <w:rFonts w:asciiTheme="minorEastAsia" w:hAnsiTheme="minorEastAsia" w:eastAsiaTheme="minorEastAsia" w:cstheme="minorEastAsia"/>
          <w:b/>
          <w:color w:val="auto"/>
          <w:sz w:val="32"/>
          <w:szCs w:val="32"/>
          <w:highlight w:val="none"/>
        </w:rPr>
      </w:pPr>
    </w:p>
    <w:p w14:paraId="13C3D6A5">
      <w:pPr>
        <w:rPr>
          <w:rFonts w:asciiTheme="minorEastAsia" w:hAnsiTheme="minorEastAsia" w:eastAsiaTheme="minorEastAsia" w:cstheme="minorEastAsia"/>
          <w:b/>
          <w:color w:val="auto"/>
          <w:sz w:val="32"/>
          <w:szCs w:val="32"/>
          <w:highlight w:val="none"/>
        </w:rPr>
      </w:pPr>
    </w:p>
    <w:p w14:paraId="58913AB4">
      <w:pP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质疑函制作说明：</w:t>
      </w:r>
    </w:p>
    <w:p w14:paraId="7D020054">
      <w:pPr>
        <w:widowControl/>
        <w:ind w:firstLine="640" w:firstLineChars="20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1.供应商提出质疑时，应提交质疑函和必要的证明材料。</w:t>
      </w:r>
    </w:p>
    <w:p w14:paraId="62D99B29">
      <w:pPr>
        <w:widowControl/>
        <w:ind w:firstLine="640" w:firstLineChars="20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32"/>
          <w:szCs w:val="32"/>
          <w:highlight w:val="none"/>
        </w:rPr>
        <w:t>供应商签署的授权委托书。授权委托书应载明代理人的姓名或者名称、代理事项、具体权限、期限和相关事项。</w:t>
      </w:r>
    </w:p>
    <w:p w14:paraId="4DA350AB">
      <w:pPr>
        <w:widowControl/>
        <w:ind w:firstLine="640" w:firstLineChars="20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3.质疑供应商若对项目的某一分包进行质疑，质疑函中应列明具体分包号。</w:t>
      </w:r>
    </w:p>
    <w:p w14:paraId="605264E3">
      <w:pPr>
        <w:widowControl/>
        <w:ind w:firstLine="640" w:firstLineChars="20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4.质疑函的质疑事项应具体、明确，并有必要的事实依据和法律依据。</w:t>
      </w:r>
    </w:p>
    <w:p w14:paraId="4281F6BB">
      <w:pPr>
        <w:widowControl/>
        <w:ind w:firstLine="640" w:firstLineChars="20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5.质疑函的质疑请求应与质疑事项相关。</w:t>
      </w:r>
    </w:p>
    <w:p w14:paraId="72667718">
      <w:pPr>
        <w:widowControl/>
        <w:ind w:firstLine="640" w:firstLineChars="20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4642B954">
      <w:pPr>
        <w:widowControl/>
        <w:ind w:firstLine="600" w:firstLineChars="200"/>
        <w:jc w:val="left"/>
        <w:rPr>
          <w:rFonts w:asciiTheme="minorEastAsia" w:hAnsiTheme="minorEastAsia" w:eastAsiaTheme="minorEastAsia" w:cstheme="minorEastAsia"/>
          <w:color w:val="auto"/>
          <w:sz w:val="30"/>
          <w:szCs w:val="30"/>
          <w:highlight w:val="none"/>
        </w:rPr>
      </w:pPr>
    </w:p>
    <w:p w14:paraId="33C508C9">
      <w:pPr>
        <w:widowControl/>
        <w:spacing w:line="360" w:lineRule="auto"/>
        <w:jc w:val="left"/>
        <w:rPr>
          <w:rFonts w:asciiTheme="minorEastAsia" w:hAnsiTheme="minorEastAsia" w:eastAsiaTheme="minorEastAsia" w:cstheme="minorEastAsia"/>
          <w:color w:val="auto"/>
          <w:kern w:val="0"/>
          <w:sz w:val="24"/>
          <w:highlight w:val="none"/>
        </w:rPr>
        <w:sectPr>
          <w:pgSz w:w="11906" w:h="16838"/>
          <w:pgMar w:top="1134" w:right="1134" w:bottom="1134" w:left="1134" w:header="720" w:footer="720" w:gutter="0"/>
          <w:cols w:space="720" w:num="1"/>
          <w:docGrid w:type="lines" w:linePitch="331" w:charSpace="0"/>
        </w:sectPr>
      </w:pPr>
    </w:p>
    <w:p w14:paraId="609E5F27">
      <w:pPr>
        <w:pStyle w:val="2"/>
        <w:jc w:val="center"/>
        <w:rPr>
          <w:rFonts w:asciiTheme="minorEastAsia" w:hAnsiTheme="minorEastAsia" w:eastAsiaTheme="minorEastAsia" w:cstheme="minorEastAsia"/>
          <w:b w:val="0"/>
          <w:bCs w:val="0"/>
          <w:color w:val="auto"/>
          <w:highlight w:val="none"/>
        </w:rPr>
      </w:pPr>
      <w:bookmarkStart w:id="324" w:name="_Toc26110"/>
      <w:r>
        <w:rPr>
          <w:rFonts w:hint="eastAsia" w:asciiTheme="minorEastAsia" w:hAnsiTheme="minorEastAsia" w:eastAsiaTheme="minorEastAsia" w:cstheme="minorEastAsia"/>
          <w:b w:val="0"/>
          <w:bCs w:val="0"/>
          <w:color w:val="auto"/>
          <w:highlight w:val="none"/>
        </w:rPr>
        <w:t>第二节 投诉书（格式）</w:t>
      </w:r>
      <w:bookmarkEnd w:id="324"/>
    </w:p>
    <w:p w14:paraId="5FD52CFC">
      <w:pPr>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投诉书范本</w:t>
      </w:r>
    </w:p>
    <w:p w14:paraId="003862E4">
      <w:pP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一、投诉相关主体基本情况</w:t>
      </w:r>
    </w:p>
    <w:p w14:paraId="104B4172">
      <w:pPr>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投诉人：</w:t>
      </w:r>
      <w:r>
        <w:rPr>
          <w:rFonts w:hint="eastAsia" w:asciiTheme="minorEastAsia" w:hAnsiTheme="minorEastAsia" w:eastAsiaTheme="minorEastAsia" w:cstheme="minorEastAsia"/>
          <w:color w:val="auto"/>
          <w:sz w:val="32"/>
          <w:szCs w:val="32"/>
          <w:highlight w:val="none"/>
          <w:u w:val="dotted"/>
        </w:rPr>
        <w:t xml:space="preserve">                                               </w:t>
      </w:r>
    </w:p>
    <w:p w14:paraId="612FE72D">
      <w:pPr>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地     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0D8CB61C">
      <w:pPr>
        <w:tabs>
          <w:tab w:val="left" w:pos="6510"/>
        </w:tabs>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法定代表人/主要负责人：</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 xml:space="preserve">  </w:t>
      </w:r>
    </w:p>
    <w:p w14:paraId="1010BA3F">
      <w:pPr>
        <w:tabs>
          <w:tab w:val="left" w:pos="6510"/>
        </w:tabs>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p>
    <w:p w14:paraId="7F8DEE28">
      <w:pPr>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授权代表：</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p>
    <w:p w14:paraId="7E526596">
      <w:pPr>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地     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r>
        <w:rPr>
          <w:rFonts w:hint="eastAsia" w:asciiTheme="minorEastAsia" w:hAnsiTheme="minorEastAsia" w:eastAsiaTheme="minorEastAsia" w:cstheme="minorEastAsia"/>
          <w:color w:val="auto"/>
          <w:sz w:val="32"/>
          <w:szCs w:val="32"/>
          <w:highlight w:val="none"/>
          <w:u w:val="dotted"/>
        </w:rPr>
        <w:t xml:space="preserve">                   </w:t>
      </w:r>
    </w:p>
    <w:p w14:paraId="3DF3FCA4">
      <w:pPr>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被投诉人1：</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11919A67">
      <w:pPr>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地     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6B72D8C0">
      <w:pPr>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联系人：</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26B21405">
      <w:pP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被投诉人2</w:t>
      </w:r>
    </w:p>
    <w:p w14:paraId="55D76928">
      <w:pPr>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w:t>
      </w:r>
    </w:p>
    <w:p w14:paraId="595D036E">
      <w:pPr>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相关供应商：</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3742B03B">
      <w:pPr>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地     址：</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邮编：</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72B4AB5D">
      <w:pPr>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联系人：</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联系电话：</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u w:val="single"/>
        </w:rPr>
        <w:t xml:space="preserve">      </w:t>
      </w:r>
    </w:p>
    <w:p w14:paraId="7B307D6B">
      <w:pP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二、投诉项目基本情况</w:t>
      </w:r>
    </w:p>
    <w:p w14:paraId="0941B12C">
      <w:pPr>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采购项目名称：</w:t>
      </w:r>
      <w:r>
        <w:rPr>
          <w:rFonts w:hint="eastAsia" w:asciiTheme="minorEastAsia" w:hAnsiTheme="minorEastAsia" w:eastAsiaTheme="minorEastAsia" w:cstheme="minorEastAsia"/>
          <w:color w:val="auto"/>
          <w:sz w:val="32"/>
          <w:szCs w:val="32"/>
          <w:highlight w:val="none"/>
          <w:u w:val="dotted"/>
        </w:rPr>
        <w:t xml:space="preserve"> 南宁市2025年政府和社会资本合作新机制项目实施方案评审服务   </w:t>
      </w:r>
    </w:p>
    <w:p w14:paraId="4F82E6A5">
      <w:pPr>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采购项目编号：</w:t>
      </w:r>
      <w:r>
        <w:rPr>
          <w:rFonts w:hint="eastAsia" w:asciiTheme="minorEastAsia" w:hAnsiTheme="minorEastAsia" w:eastAsiaTheme="minorEastAsia" w:cstheme="minorEastAsia"/>
          <w:color w:val="auto"/>
          <w:sz w:val="32"/>
          <w:szCs w:val="32"/>
          <w:highlight w:val="none"/>
          <w:u w:val="dotted"/>
        </w:rPr>
        <w:t xml:space="preserve"> NNZC2025-G3-990774-JGJD  </w:t>
      </w:r>
      <w:r>
        <w:rPr>
          <w:rFonts w:hint="eastAsia" w:asciiTheme="minorEastAsia" w:hAnsiTheme="minorEastAsia" w:eastAsiaTheme="minorEastAsia" w:cstheme="minorEastAsia"/>
          <w:color w:val="auto"/>
          <w:sz w:val="32"/>
          <w:szCs w:val="32"/>
          <w:highlight w:val="none"/>
        </w:rPr>
        <w:t>包号：</w:t>
      </w:r>
      <w:r>
        <w:rPr>
          <w:rFonts w:hint="eastAsia" w:asciiTheme="minorEastAsia" w:hAnsiTheme="minorEastAsia" w:eastAsiaTheme="minorEastAsia" w:cstheme="minorEastAsia"/>
          <w:color w:val="auto"/>
          <w:sz w:val="32"/>
          <w:szCs w:val="32"/>
          <w:highlight w:val="none"/>
          <w:u w:val="dotted"/>
        </w:rPr>
        <w:t xml:space="preserve">              </w:t>
      </w:r>
    </w:p>
    <w:p w14:paraId="293469AE">
      <w:pP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采购人名称：</w:t>
      </w:r>
      <w:r>
        <w:rPr>
          <w:rFonts w:hint="eastAsia" w:asciiTheme="minorEastAsia" w:hAnsiTheme="minorEastAsia" w:eastAsiaTheme="minorEastAsia" w:cstheme="minorEastAsia"/>
          <w:color w:val="auto"/>
          <w:sz w:val="32"/>
          <w:szCs w:val="32"/>
          <w:highlight w:val="none"/>
          <w:u w:val="dotted"/>
        </w:rPr>
        <w:t xml:space="preserve"> 南宁市固定资产投资项目前期服务中心</w:t>
      </w:r>
      <w:r>
        <w:rPr>
          <w:rFonts w:hint="eastAsia" w:asciiTheme="minorEastAsia" w:hAnsiTheme="minorEastAsia" w:eastAsiaTheme="minorEastAsia" w:cstheme="minorEastAsia"/>
          <w:color w:val="auto"/>
          <w:sz w:val="32"/>
          <w:szCs w:val="32"/>
          <w:highlight w:val="none"/>
          <w:u w:val="single"/>
        </w:rPr>
        <w:t xml:space="preserve">  </w:t>
      </w:r>
    </w:p>
    <w:p w14:paraId="159F59A6">
      <w:pPr>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代理机构名称：</w:t>
      </w:r>
      <w:r>
        <w:rPr>
          <w:rFonts w:hint="eastAsia" w:asciiTheme="minorEastAsia" w:hAnsiTheme="minorEastAsia" w:eastAsiaTheme="minorEastAsia" w:cstheme="minorEastAsia"/>
          <w:color w:val="auto"/>
          <w:sz w:val="32"/>
          <w:szCs w:val="32"/>
          <w:highlight w:val="none"/>
          <w:u w:val="dotted"/>
        </w:rPr>
        <w:t xml:space="preserve">                                         </w:t>
      </w:r>
    </w:p>
    <w:p w14:paraId="4EF664E9">
      <w:pPr>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采购文件公告:</w:t>
      </w:r>
      <w:r>
        <w:rPr>
          <w:rFonts w:hint="eastAsia" w:asciiTheme="minorEastAsia" w:hAnsiTheme="minorEastAsia" w:eastAsiaTheme="minorEastAsia" w:cstheme="minorEastAsia"/>
          <w:color w:val="auto"/>
          <w:sz w:val="32"/>
          <w:szCs w:val="32"/>
          <w:highlight w:val="none"/>
          <w:u w:val="dotted"/>
        </w:rPr>
        <w:t xml:space="preserve">是/否 </w:t>
      </w:r>
      <w:r>
        <w:rPr>
          <w:rFonts w:hint="eastAsia" w:asciiTheme="minorEastAsia" w:hAnsiTheme="minorEastAsia" w:eastAsiaTheme="minorEastAsia" w:cstheme="minorEastAsia"/>
          <w:color w:val="auto"/>
          <w:sz w:val="32"/>
          <w:szCs w:val="32"/>
          <w:highlight w:val="none"/>
        </w:rPr>
        <w:t>公告期限：</w:t>
      </w:r>
      <w:r>
        <w:rPr>
          <w:rFonts w:hint="eastAsia" w:asciiTheme="minorEastAsia" w:hAnsiTheme="minorEastAsia" w:eastAsiaTheme="minorEastAsia" w:cstheme="minorEastAsia"/>
          <w:color w:val="auto"/>
          <w:sz w:val="32"/>
          <w:szCs w:val="32"/>
          <w:highlight w:val="none"/>
          <w:u w:val="dotted"/>
        </w:rPr>
        <w:t xml:space="preserve">                                 </w:t>
      </w:r>
    </w:p>
    <w:p w14:paraId="25390B07">
      <w:pPr>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采购结果公告:</w:t>
      </w:r>
      <w:r>
        <w:rPr>
          <w:rFonts w:hint="eastAsia" w:asciiTheme="minorEastAsia" w:hAnsiTheme="minorEastAsia" w:eastAsiaTheme="minorEastAsia" w:cstheme="minorEastAsia"/>
          <w:color w:val="auto"/>
          <w:sz w:val="32"/>
          <w:szCs w:val="32"/>
          <w:highlight w:val="none"/>
          <w:u w:val="dotted"/>
        </w:rPr>
        <w:t xml:space="preserve">是/否 </w:t>
      </w:r>
      <w:r>
        <w:rPr>
          <w:rFonts w:hint="eastAsia" w:asciiTheme="minorEastAsia" w:hAnsiTheme="minorEastAsia" w:eastAsiaTheme="minorEastAsia" w:cstheme="minorEastAsia"/>
          <w:color w:val="auto"/>
          <w:sz w:val="32"/>
          <w:szCs w:val="32"/>
          <w:highlight w:val="none"/>
        </w:rPr>
        <w:t>公告期限：</w:t>
      </w:r>
      <w:r>
        <w:rPr>
          <w:rFonts w:hint="eastAsia" w:asciiTheme="minorEastAsia" w:hAnsiTheme="minorEastAsia" w:eastAsiaTheme="minorEastAsia" w:cstheme="minorEastAsia"/>
          <w:color w:val="auto"/>
          <w:sz w:val="32"/>
          <w:szCs w:val="32"/>
          <w:highlight w:val="none"/>
          <w:u w:val="dotted"/>
        </w:rPr>
        <w:t xml:space="preserve">                        </w:t>
      </w:r>
    </w:p>
    <w:p w14:paraId="2FC6E1B1">
      <w:pP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三、质疑基本情况</w:t>
      </w:r>
    </w:p>
    <w:p w14:paraId="59369DCA">
      <w:pPr>
        <w:ind w:firstLine="640" w:firstLineChars="200"/>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投诉人于</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日,向</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提出质疑，质疑事项为：</w:t>
      </w:r>
      <w:r>
        <w:rPr>
          <w:rFonts w:hint="eastAsia" w:asciiTheme="minorEastAsia" w:hAnsiTheme="minorEastAsia" w:eastAsiaTheme="minorEastAsia" w:cstheme="minorEastAsia"/>
          <w:color w:val="auto"/>
          <w:sz w:val="32"/>
          <w:szCs w:val="32"/>
          <w:highlight w:val="none"/>
          <w:u w:val="dotted"/>
        </w:rPr>
        <w:t xml:space="preserve">                                </w:t>
      </w:r>
    </w:p>
    <w:p w14:paraId="3FD50696">
      <w:pPr>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 xml:space="preserve">  </w:t>
      </w:r>
    </w:p>
    <w:p w14:paraId="2B84F516">
      <w:pPr>
        <w:ind w:firstLine="480" w:firstLineChars="150"/>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u w:val="dotted"/>
        </w:rPr>
        <w:t>采购人/代理机构</w:t>
      </w:r>
      <w:r>
        <w:rPr>
          <w:rFonts w:hint="eastAsia" w:asciiTheme="minorEastAsia" w:hAnsiTheme="minorEastAsia" w:eastAsiaTheme="minorEastAsia" w:cstheme="minorEastAsia"/>
          <w:color w:val="auto"/>
          <w:sz w:val="32"/>
          <w:szCs w:val="32"/>
          <w:highlight w:val="none"/>
        </w:rPr>
        <w:t>于</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日,就质疑事项作出了答复/没有在法定期限内作出答复。</w:t>
      </w:r>
    </w:p>
    <w:p w14:paraId="7A52B830">
      <w:pP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四、投诉事项具体内容</w:t>
      </w:r>
    </w:p>
    <w:p w14:paraId="77E81CD6">
      <w:pPr>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投诉事项 1：</w:t>
      </w:r>
      <w:r>
        <w:rPr>
          <w:rFonts w:hint="eastAsia" w:asciiTheme="minorEastAsia" w:hAnsiTheme="minorEastAsia" w:eastAsiaTheme="minorEastAsia" w:cstheme="minorEastAsia"/>
          <w:color w:val="auto"/>
          <w:sz w:val="32"/>
          <w:szCs w:val="32"/>
          <w:highlight w:val="none"/>
          <w:u w:val="dotted"/>
        </w:rPr>
        <w:t xml:space="preserve">                                       </w:t>
      </w:r>
    </w:p>
    <w:p w14:paraId="7C6E23C6">
      <w:pP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事实依据：</w:t>
      </w:r>
      <w:r>
        <w:rPr>
          <w:rFonts w:hint="eastAsia" w:asciiTheme="minorEastAsia" w:hAnsiTheme="minorEastAsia" w:eastAsiaTheme="minorEastAsia" w:cstheme="minorEastAsia"/>
          <w:color w:val="auto"/>
          <w:sz w:val="32"/>
          <w:szCs w:val="32"/>
          <w:highlight w:val="none"/>
          <w:u w:val="dotted"/>
        </w:rPr>
        <w:t xml:space="preserve">                                         </w:t>
      </w:r>
    </w:p>
    <w:p w14:paraId="42555E4E">
      <w:pPr>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u w:val="dotted"/>
        </w:rPr>
        <w:t xml:space="preserve">                                                      </w:t>
      </w:r>
    </w:p>
    <w:p w14:paraId="72AB602F">
      <w:pPr>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法律依据：</w:t>
      </w:r>
      <w:r>
        <w:rPr>
          <w:rFonts w:hint="eastAsia" w:asciiTheme="minorEastAsia" w:hAnsiTheme="minorEastAsia" w:eastAsiaTheme="minorEastAsia" w:cstheme="minorEastAsia"/>
          <w:color w:val="auto"/>
          <w:sz w:val="32"/>
          <w:szCs w:val="32"/>
          <w:highlight w:val="none"/>
          <w:u w:val="dotted"/>
        </w:rPr>
        <w:t xml:space="preserve">                                          </w:t>
      </w:r>
    </w:p>
    <w:p w14:paraId="0CB3D2E0">
      <w:pPr>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u w:val="dotted"/>
        </w:rPr>
        <w:t xml:space="preserve">                                                      </w:t>
      </w:r>
    </w:p>
    <w:p w14:paraId="353C592D">
      <w:pP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投诉事项2</w:t>
      </w:r>
    </w:p>
    <w:p w14:paraId="6BFC2E90">
      <w:pPr>
        <w:rPr>
          <w:rFonts w:asciiTheme="minorEastAsia" w:hAnsiTheme="minorEastAsia" w:eastAsiaTheme="minorEastAsia" w:cstheme="minorEastAsia"/>
          <w:color w:val="auto"/>
          <w:sz w:val="32"/>
          <w:szCs w:val="32"/>
          <w:highlight w:val="none"/>
          <w:u w:val="dotted"/>
        </w:rPr>
      </w:pPr>
      <w:r>
        <w:rPr>
          <w:rFonts w:hint="eastAsia" w:asciiTheme="minorEastAsia" w:hAnsiTheme="minorEastAsia" w:eastAsiaTheme="minorEastAsia" w:cstheme="minorEastAsia"/>
          <w:color w:val="auto"/>
          <w:sz w:val="32"/>
          <w:szCs w:val="32"/>
          <w:highlight w:val="none"/>
        </w:rPr>
        <w:t>……</w:t>
      </w:r>
    </w:p>
    <w:p w14:paraId="0A72E54F">
      <w:pP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五、与投诉事项相关的投诉请求</w:t>
      </w:r>
    </w:p>
    <w:p w14:paraId="49915797">
      <w:pP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请求：</w:t>
      </w:r>
      <w:r>
        <w:rPr>
          <w:rFonts w:hint="eastAsia" w:asciiTheme="minorEastAsia" w:hAnsiTheme="minorEastAsia" w:eastAsiaTheme="minorEastAsia" w:cstheme="minorEastAsia"/>
          <w:color w:val="auto"/>
          <w:sz w:val="32"/>
          <w:szCs w:val="32"/>
          <w:highlight w:val="none"/>
          <w:u w:val="dotted"/>
        </w:rPr>
        <w:t xml:space="preserve">                                              </w:t>
      </w:r>
      <w:r>
        <w:rPr>
          <w:rFonts w:hint="eastAsia" w:asciiTheme="minorEastAsia" w:hAnsiTheme="minorEastAsia" w:eastAsiaTheme="minorEastAsia" w:cstheme="minorEastAsia"/>
          <w:color w:val="auto"/>
          <w:sz w:val="32"/>
          <w:szCs w:val="32"/>
          <w:highlight w:val="none"/>
        </w:rPr>
        <w:t xml:space="preserve"> </w:t>
      </w:r>
    </w:p>
    <w:p w14:paraId="64DD99BB">
      <w:pPr>
        <w:rPr>
          <w:rFonts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rPr>
        <w:t xml:space="preserve">                                                                                                    </w:t>
      </w:r>
    </w:p>
    <w:p w14:paraId="1A69DCBE">
      <w:pP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签字(签章)：                   公章：                      </w:t>
      </w:r>
    </w:p>
    <w:p w14:paraId="302F34DA">
      <w:pP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日期：    </w:t>
      </w:r>
    </w:p>
    <w:p w14:paraId="0B7FB7F0">
      <w:pPr>
        <w:rPr>
          <w:rFonts w:asciiTheme="minorEastAsia" w:hAnsiTheme="minorEastAsia" w:eastAsiaTheme="minorEastAsia" w:cstheme="minorEastAsia"/>
          <w:b/>
          <w:color w:val="auto"/>
          <w:sz w:val="32"/>
          <w:szCs w:val="32"/>
          <w:highlight w:val="none"/>
        </w:rPr>
      </w:pPr>
    </w:p>
    <w:p w14:paraId="7536E68E">
      <w:pP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投诉书制作说明：</w:t>
      </w:r>
    </w:p>
    <w:p w14:paraId="22255E5E">
      <w:pPr>
        <w:widowControl/>
        <w:ind w:firstLine="640" w:firstLineChars="200"/>
        <w:rPr>
          <w:rFonts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sz w:val="32"/>
          <w:szCs w:val="32"/>
          <w:highlight w:val="none"/>
        </w:rPr>
        <w:t>1.投诉人提起投诉时，应当提交投诉书和必要的证明材料，并按照被投诉人和与投诉事项有关的供应商数量提供投诉书副本。</w:t>
      </w:r>
    </w:p>
    <w:p w14:paraId="65E4BFAF">
      <w:pPr>
        <w:widowControl/>
        <w:ind w:firstLine="640" w:firstLineChars="200"/>
        <w:jc w:val="left"/>
        <w:rPr>
          <w:rFonts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sz w:val="32"/>
          <w:szCs w:val="32"/>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32"/>
          <w:szCs w:val="32"/>
          <w:highlight w:val="none"/>
        </w:rPr>
        <w:t>投诉人签署的授权委托书。授权委托书应当载明代理人的姓名或者名称、代理事项、具体权限、期限和相关事项。</w:t>
      </w:r>
    </w:p>
    <w:p w14:paraId="633A84CA">
      <w:pPr>
        <w:widowControl/>
        <w:ind w:firstLine="640" w:firstLineChars="20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3.投诉人若对项目的某一分包进行投诉，投诉书应列明具体分包号。</w:t>
      </w:r>
    </w:p>
    <w:p w14:paraId="2004FC6D">
      <w:pPr>
        <w:widowControl/>
        <w:ind w:firstLine="640" w:firstLineChars="20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4.投诉书应简要列明质疑事项，质疑函、质疑答复等作为附件材料提供。</w:t>
      </w:r>
    </w:p>
    <w:p w14:paraId="2CA818CC">
      <w:pPr>
        <w:widowControl/>
        <w:ind w:firstLine="640" w:firstLineChars="20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5.投诉书的投诉事项应具体、明确，并有必要的事实依据和法律依据。</w:t>
      </w:r>
    </w:p>
    <w:p w14:paraId="69C8CCF1">
      <w:pPr>
        <w:widowControl/>
        <w:ind w:firstLine="640" w:firstLineChars="200"/>
        <w:jc w:val="left"/>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6.投诉书的投诉请求应与投诉事项相关。</w:t>
      </w:r>
    </w:p>
    <w:p w14:paraId="0FB9C8CF">
      <w:pPr>
        <w:widowControl/>
        <w:ind w:firstLine="640" w:firstLineChars="200"/>
        <w:jc w:val="left"/>
        <w:rPr>
          <w:rFonts w:asciiTheme="minorEastAsia" w:hAnsiTheme="minorEastAsia" w:eastAsiaTheme="minorEastAsia" w:cstheme="minorEastAsia"/>
          <w:color w:val="auto"/>
          <w:kern w:val="0"/>
          <w:sz w:val="32"/>
          <w:szCs w:val="32"/>
          <w:highlight w:val="none"/>
        </w:rPr>
      </w:pPr>
      <w:r>
        <w:rPr>
          <w:rFonts w:hint="eastAsia" w:asciiTheme="minorEastAsia" w:hAnsiTheme="minorEastAsia" w:eastAsiaTheme="minorEastAsia" w:cstheme="minorEastAsia"/>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567C0FFF">
      <w:pPr>
        <w:snapToGrid w:val="0"/>
        <w:spacing w:before="50" w:afterLines="50" w:line="360" w:lineRule="auto"/>
        <w:ind w:firstLine="480" w:firstLineChars="200"/>
        <w:jc w:val="left"/>
        <w:rPr>
          <w:rFonts w:asciiTheme="minorEastAsia" w:hAnsiTheme="minorEastAsia" w:eastAsiaTheme="minorEastAsia" w:cstheme="minorEastAsia"/>
          <w:color w:val="auto"/>
          <w:sz w:val="24"/>
          <w:highlight w:val="none"/>
        </w:rPr>
      </w:pPr>
    </w:p>
    <w:p w14:paraId="719BAC62">
      <w:pPr>
        <w:rPr>
          <w:rFonts w:asciiTheme="minorEastAsia" w:hAnsiTheme="minorEastAsia" w:eastAsiaTheme="minorEastAsia" w:cstheme="minorEastAsia"/>
          <w:color w:val="auto"/>
          <w:highlight w:val="none"/>
        </w:rPr>
      </w:pPr>
    </w:p>
    <w:p w14:paraId="558DB1CA">
      <w:pPr>
        <w:rPr>
          <w:rFonts w:asciiTheme="minorEastAsia" w:hAnsiTheme="minorEastAsia" w:eastAsiaTheme="minorEastAsia" w:cstheme="minorEastAsia"/>
          <w:color w:val="auto"/>
          <w:highlight w:val="none"/>
        </w:rPr>
      </w:pPr>
    </w:p>
    <w:sectPr>
      <w:footerReference r:id="rId8" w:type="first"/>
      <w:headerReference r:id="rId5" w:type="default"/>
      <w:footerReference r:id="rId6" w:type="default"/>
      <w:footerReference r:id="rId7"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BE907">
    <w:pPr>
      <w:pStyle w:val="1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49E860CD">
                <w:pPr>
                  <w:pStyle w:val="15"/>
                </w:pPr>
                <w:r>
                  <w:fldChar w:fldCharType="begin"/>
                </w:r>
                <w:r>
                  <w:instrText xml:space="preserve"> PAGE  \* MERGEFORMAT </w:instrText>
                </w:r>
                <w:r>
                  <w:fldChar w:fldCharType="separate"/>
                </w:r>
                <w:r>
                  <w:t>68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72517">
    <w:pPr>
      <w:pStyle w:val="15"/>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124BAF05">
                <w:pPr>
                  <w:pStyle w:val="15"/>
                  <w:jc w:val="center"/>
                </w:pPr>
                <w:r>
                  <w:fldChar w:fldCharType="begin"/>
                </w:r>
                <w:r>
                  <w:instrText xml:space="preserve"> PAGE   \* MERGEFORMAT </w:instrText>
                </w:r>
                <w:r>
                  <w:fldChar w:fldCharType="separate"/>
                </w:r>
                <w:r>
                  <w:rPr>
                    <w:lang w:val="zh-CN"/>
                  </w:rPr>
                  <w:t>100</w:t>
                </w:r>
                <w:r>
                  <w:rPr>
                    <w:lang w:val="zh-CN"/>
                  </w:rPr>
                  <w:fldChar w:fldCharType="end"/>
                </w:r>
              </w:p>
            </w:txbxContent>
          </v:textbox>
        </v:shape>
      </w:pict>
    </w:r>
  </w:p>
  <w:p w14:paraId="78754606">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A9A08">
    <w:pPr>
      <w:pStyle w:val="15"/>
      <w:framePr w:wrap="around" w:vAnchor="text" w:hAnchor="margin" w:xAlign="center" w:y="1"/>
      <w:rPr>
        <w:rStyle w:val="26"/>
      </w:rPr>
    </w:pPr>
    <w:r>
      <w:fldChar w:fldCharType="begin"/>
    </w:r>
    <w:r>
      <w:rPr>
        <w:rStyle w:val="26"/>
      </w:rPr>
      <w:instrText xml:space="preserve">PAGE  </w:instrText>
    </w:r>
    <w:r>
      <w:fldChar w:fldCharType="end"/>
    </w:r>
  </w:p>
  <w:p w14:paraId="23403934">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8F87B">
    <w:pPr>
      <w:pStyle w:val="15"/>
      <w:framePr w:wrap="around" w:vAnchor="text" w:hAnchor="margin" w:xAlign="right" w:y="1"/>
      <w:rPr>
        <w:rStyle w:val="26"/>
      </w:rPr>
    </w:pPr>
    <w:r>
      <w:fldChar w:fldCharType="begin"/>
    </w:r>
    <w:r>
      <w:rPr>
        <w:rStyle w:val="26"/>
      </w:rPr>
      <w:instrText xml:space="preserve">PAGE  </w:instrText>
    </w:r>
    <w:r>
      <w:fldChar w:fldCharType="separate"/>
    </w:r>
    <w:r>
      <w:rPr>
        <w:rStyle w:val="26"/>
      </w:rPr>
      <w:t>122</w:t>
    </w:r>
    <w:r>
      <w:fldChar w:fldCharType="end"/>
    </w:r>
  </w:p>
  <w:p w14:paraId="6CCCD29B">
    <w:pPr>
      <w:pStyle w:val="15"/>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4EF1F">
    <w:pPr>
      <w:pStyle w:val="16"/>
    </w:pPr>
    <w:r>
      <w:rPr>
        <w:rFonts w:hint="eastAsia"/>
      </w:rPr>
      <w:t>南宁市政府采购公开招标采购文件（项目编号：NNZC2025-G3-990774-JGJD）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CBBDF">
    <w:pPr>
      <w:pStyle w:val="16"/>
      <w:tabs>
        <w:tab w:val="center" w:pos="0"/>
        <w:tab w:val="clear" w:pos="4153"/>
      </w:tabs>
    </w:pPr>
    <w:r>
      <w:rPr>
        <w:rFonts w:hint="eastAsia"/>
      </w:rPr>
      <w:t>项目编号：@采购文件模板实体.项目编号1@</w:t>
    </w:r>
  </w:p>
  <w:p w14:paraId="3FB2ED76">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E37BA"/>
    <w:multiLevelType w:val="singleLevel"/>
    <w:tmpl w:val="B7DE37BA"/>
    <w:lvl w:ilvl="0" w:tentative="0">
      <w:start w:val="1"/>
      <w:numFmt w:val="chineseCounting"/>
      <w:suff w:val="nothing"/>
      <w:lvlText w:val="%1、"/>
      <w:lvlJc w:val="left"/>
      <w:rPr>
        <w:rFonts w:hint="eastAsia"/>
      </w:rPr>
    </w:lvl>
  </w:abstractNum>
  <w:abstractNum w:abstractNumId="1">
    <w:nsid w:val="D71B5DE5"/>
    <w:multiLevelType w:val="singleLevel"/>
    <w:tmpl w:val="D71B5DE5"/>
    <w:lvl w:ilvl="0" w:tentative="0">
      <w:start w:val="1"/>
      <w:numFmt w:val="chineseCounting"/>
      <w:suff w:val="nothing"/>
      <w:lvlText w:val="（%1）"/>
      <w:lvlJc w:val="left"/>
      <w:rPr>
        <w:rFonts w:hint="eastAsia"/>
      </w:rPr>
    </w:lvl>
  </w:abstractNum>
  <w:abstractNum w:abstractNumId="2">
    <w:nsid w:val="DC3C4FD3"/>
    <w:multiLevelType w:val="singleLevel"/>
    <w:tmpl w:val="DC3C4FD3"/>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45643F3D"/>
    <w:multiLevelType w:val="singleLevel"/>
    <w:tmpl w:val="45643F3D"/>
    <w:lvl w:ilvl="0" w:tentative="0">
      <w:start w:val="3"/>
      <w:numFmt w:val="decimal"/>
      <w:lvlText w:val="%1."/>
      <w:lvlJc w:val="left"/>
      <w:pPr>
        <w:tabs>
          <w:tab w:val="left" w:pos="312"/>
        </w:tabs>
      </w:pPr>
    </w:lvl>
  </w:abstractNum>
  <w:abstractNum w:abstractNumId="6">
    <w:nsid w:val="51536378"/>
    <w:multiLevelType w:val="singleLevel"/>
    <w:tmpl w:val="51536378"/>
    <w:lvl w:ilvl="0" w:tentative="0">
      <w:start w:val="1"/>
      <w:numFmt w:val="decimal"/>
      <w:suff w:val="nothing"/>
      <w:lvlText w:val="（%1）"/>
      <w:lvlJc w:val="left"/>
      <w:pPr>
        <w:ind w:left="0" w:firstLine="0"/>
      </w:pPr>
    </w:lvl>
  </w:abstractNum>
  <w:abstractNum w:abstractNumId="7">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 w:numId="2">
    <w:abstractNumId w:val="1"/>
  </w:num>
  <w:num w:numId="3">
    <w:abstractNumId w:val="2"/>
  </w:num>
  <w:num w:numId="4">
    <w:abstractNumId w:val="6"/>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2YTZkYzViNTQ5M2I4MTAzYTk5MTBkMDRlZGQ1MTgifQ=="/>
  </w:docVars>
  <w:rsids>
    <w:rsidRoot w:val="007B5CB3"/>
    <w:rsid w:val="000E5316"/>
    <w:rsid w:val="001B69E0"/>
    <w:rsid w:val="00372C4E"/>
    <w:rsid w:val="00524477"/>
    <w:rsid w:val="00565E4F"/>
    <w:rsid w:val="006F06F9"/>
    <w:rsid w:val="00787F6B"/>
    <w:rsid w:val="007B5CB3"/>
    <w:rsid w:val="00DE6C47"/>
    <w:rsid w:val="00EF1E6A"/>
    <w:rsid w:val="00FB68EA"/>
    <w:rsid w:val="00FD5494"/>
    <w:rsid w:val="01520363"/>
    <w:rsid w:val="019674B7"/>
    <w:rsid w:val="033C5C40"/>
    <w:rsid w:val="03F0476C"/>
    <w:rsid w:val="08A74FB5"/>
    <w:rsid w:val="099B14A9"/>
    <w:rsid w:val="0BE81B6C"/>
    <w:rsid w:val="0CA67794"/>
    <w:rsid w:val="0EFE40CF"/>
    <w:rsid w:val="11F04BAD"/>
    <w:rsid w:val="13130905"/>
    <w:rsid w:val="13AD4DEB"/>
    <w:rsid w:val="162F3076"/>
    <w:rsid w:val="175FEF62"/>
    <w:rsid w:val="1763654B"/>
    <w:rsid w:val="17697E5C"/>
    <w:rsid w:val="17DF4D5A"/>
    <w:rsid w:val="1A5B192A"/>
    <w:rsid w:val="1A8707A2"/>
    <w:rsid w:val="1DF4681E"/>
    <w:rsid w:val="1E4E0A42"/>
    <w:rsid w:val="1ED757AE"/>
    <w:rsid w:val="1F2BC332"/>
    <w:rsid w:val="1F6358B3"/>
    <w:rsid w:val="1FADEC2C"/>
    <w:rsid w:val="1FEB428A"/>
    <w:rsid w:val="20293178"/>
    <w:rsid w:val="2352548B"/>
    <w:rsid w:val="23F3E645"/>
    <w:rsid w:val="259C4FDD"/>
    <w:rsid w:val="26B66A46"/>
    <w:rsid w:val="28C00E11"/>
    <w:rsid w:val="2A428374"/>
    <w:rsid w:val="2A506E02"/>
    <w:rsid w:val="2ABFBF42"/>
    <w:rsid w:val="2B602462"/>
    <w:rsid w:val="2C71577B"/>
    <w:rsid w:val="2D156B17"/>
    <w:rsid w:val="2DEE2434"/>
    <w:rsid w:val="2DFE606D"/>
    <w:rsid w:val="2EFF2243"/>
    <w:rsid w:val="2F5F427B"/>
    <w:rsid w:val="3025014F"/>
    <w:rsid w:val="3072DAE0"/>
    <w:rsid w:val="3359EAAE"/>
    <w:rsid w:val="340F5638"/>
    <w:rsid w:val="34DBACD9"/>
    <w:rsid w:val="35AE33B0"/>
    <w:rsid w:val="35ECC83D"/>
    <w:rsid w:val="36647A21"/>
    <w:rsid w:val="376E2A64"/>
    <w:rsid w:val="39E3559D"/>
    <w:rsid w:val="39FB0CA5"/>
    <w:rsid w:val="3ADF44F4"/>
    <w:rsid w:val="3BD9D2F9"/>
    <w:rsid w:val="3BF750E1"/>
    <w:rsid w:val="3BFF9C3A"/>
    <w:rsid w:val="3C3A521C"/>
    <w:rsid w:val="3DAFA26C"/>
    <w:rsid w:val="3EEECC26"/>
    <w:rsid w:val="3F3A2728"/>
    <w:rsid w:val="3F6DC35C"/>
    <w:rsid w:val="3F6E89F1"/>
    <w:rsid w:val="3F7A0547"/>
    <w:rsid w:val="3FDDA833"/>
    <w:rsid w:val="3FE4156D"/>
    <w:rsid w:val="3FFDDD1F"/>
    <w:rsid w:val="3FFF1901"/>
    <w:rsid w:val="40D87B25"/>
    <w:rsid w:val="446613DF"/>
    <w:rsid w:val="44B244EA"/>
    <w:rsid w:val="456719A5"/>
    <w:rsid w:val="47DC362C"/>
    <w:rsid w:val="49B94213"/>
    <w:rsid w:val="49F7474D"/>
    <w:rsid w:val="4A021FF3"/>
    <w:rsid w:val="4A5676C5"/>
    <w:rsid w:val="4C742085"/>
    <w:rsid w:val="4CEE5883"/>
    <w:rsid w:val="4D5FCF02"/>
    <w:rsid w:val="4F5BE202"/>
    <w:rsid w:val="4FC7AB2B"/>
    <w:rsid w:val="4FD9F8FD"/>
    <w:rsid w:val="50185EE2"/>
    <w:rsid w:val="50290AEE"/>
    <w:rsid w:val="50493858"/>
    <w:rsid w:val="504B57F2"/>
    <w:rsid w:val="50EA4A1D"/>
    <w:rsid w:val="51E909F0"/>
    <w:rsid w:val="51F9D297"/>
    <w:rsid w:val="51FA188E"/>
    <w:rsid w:val="52D7336D"/>
    <w:rsid w:val="5377272B"/>
    <w:rsid w:val="54240834"/>
    <w:rsid w:val="556B1685"/>
    <w:rsid w:val="557742CC"/>
    <w:rsid w:val="55CD4C0E"/>
    <w:rsid w:val="55FFA1DF"/>
    <w:rsid w:val="570F62D0"/>
    <w:rsid w:val="57CF1346"/>
    <w:rsid w:val="59DE17F1"/>
    <w:rsid w:val="59F0F7DE"/>
    <w:rsid w:val="5B8F09B5"/>
    <w:rsid w:val="5BECF23C"/>
    <w:rsid w:val="5C62639E"/>
    <w:rsid w:val="5CFFBBC0"/>
    <w:rsid w:val="5D3F0663"/>
    <w:rsid w:val="5E510478"/>
    <w:rsid w:val="5EE30EB9"/>
    <w:rsid w:val="5EE52114"/>
    <w:rsid w:val="5EFB44F7"/>
    <w:rsid w:val="5F69331F"/>
    <w:rsid w:val="5F9F1A34"/>
    <w:rsid w:val="5FBFF516"/>
    <w:rsid w:val="5FEDC66C"/>
    <w:rsid w:val="5FF36F18"/>
    <w:rsid w:val="5FFB426A"/>
    <w:rsid w:val="5FFF3BE6"/>
    <w:rsid w:val="604F6772"/>
    <w:rsid w:val="61D5D266"/>
    <w:rsid w:val="62AA63A9"/>
    <w:rsid w:val="634A5FE0"/>
    <w:rsid w:val="634F8575"/>
    <w:rsid w:val="6377B2EC"/>
    <w:rsid w:val="6415668A"/>
    <w:rsid w:val="649E0AF9"/>
    <w:rsid w:val="66535657"/>
    <w:rsid w:val="66BE1541"/>
    <w:rsid w:val="67B72ABC"/>
    <w:rsid w:val="67BAEE22"/>
    <w:rsid w:val="67BEB412"/>
    <w:rsid w:val="67F7D249"/>
    <w:rsid w:val="6830029F"/>
    <w:rsid w:val="686D2352"/>
    <w:rsid w:val="687769E1"/>
    <w:rsid w:val="692FCC80"/>
    <w:rsid w:val="69B9B359"/>
    <w:rsid w:val="69BD323B"/>
    <w:rsid w:val="6AB11709"/>
    <w:rsid w:val="6B7DA9FF"/>
    <w:rsid w:val="6BAC3984"/>
    <w:rsid w:val="6BBB7FF5"/>
    <w:rsid w:val="6BDFADBA"/>
    <w:rsid w:val="6BEF0EF7"/>
    <w:rsid w:val="6CAA158D"/>
    <w:rsid w:val="6DB85E51"/>
    <w:rsid w:val="6DF64E7A"/>
    <w:rsid w:val="6E7EB433"/>
    <w:rsid w:val="6EF721ED"/>
    <w:rsid w:val="6EF8530B"/>
    <w:rsid w:val="6EFC6072"/>
    <w:rsid w:val="6F7D3CD6"/>
    <w:rsid w:val="6FA6D871"/>
    <w:rsid w:val="6FB75003"/>
    <w:rsid w:val="6FCD7E03"/>
    <w:rsid w:val="6FDFE229"/>
    <w:rsid w:val="6FDFF6C2"/>
    <w:rsid w:val="6FF1B51E"/>
    <w:rsid w:val="6FFFAD42"/>
    <w:rsid w:val="70F6F2D9"/>
    <w:rsid w:val="71F2043E"/>
    <w:rsid w:val="71FFF52B"/>
    <w:rsid w:val="723FEF7E"/>
    <w:rsid w:val="728601C9"/>
    <w:rsid w:val="72D721DC"/>
    <w:rsid w:val="72F33A41"/>
    <w:rsid w:val="73676E22"/>
    <w:rsid w:val="74781483"/>
    <w:rsid w:val="75B570E6"/>
    <w:rsid w:val="75FD8C5A"/>
    <w:rsid w:val="76BFECB7"/>
    <w:rsid w:val="778650A2"/>
    <w:rsid w:val="778A5E63"/>
    <w:rsid w:val="77BB1DE1"/>
    <w:rsid w:val="77D50CBF"/>
    <w:rsid w:val="77EF2889"/>
    <w:rsid w:val="77F50107"/>
    <w:rsid w:val="77FF9E8A"/>
    <w:rsid w:val="77FFF192"/>
    <w:rsid w:val="78CC2A74"/>
    <w:rsid w:val="7935BB99"/>
    <w:rsid w:val="79EF79C6"/>
    <w:rsid w:val="79FB5AF2"/>
    <w:rsid w:val="7AA385B8"/>
    <w:rsid w:val="7AFB5E36"/>
    <w:rsid w:val="7AFE5C54"/>
    <w:rsid w:val="7B7BA8EB"/>
    <w:rsid w:val="7BBEBD4B"/>
    <w:rsid w:val="7BBF933C"/>
    <w:rsid w:val="7BDD3E69"/>
    <w:rsid w:val="7BF32D6A"/>
    <w:rsid w:val="7C791B97"/>
    <w:rsid w:val="7CF7EDC6"/>
    <w:rsid w:val="7D2FC9B0"/>
    <w:rsid w:val="7D7E4F8B"/>
    <w:rsid w:val="7D9D73BC"/>
    <w:rsid w:val="7DBBA9D4"/>
    <w:rsid w:val="7DEDF879"/>
    <w:rsid w:val="7DEF5EA4"/>
    <w:rsid w:val="7DEFC14B"/>
    <w:rsid w:val="7E3E1E49"/>
    <w:rsid w:val="7E554A5A"/>
    <w:rsid w:val="7EBD76D2"/>
    <w:rsid w:val="7EBDE941"/>
    <w:rsid w:val="7F038896"/>
    <w:rsid w:val="7F3A171C"/>
    <w:rsid w:val="7F3B8432"/>
    <w:rsid w:val="7F7DDEE9"/>
    <w:rsid w:val="7F7F5520"/>
    <w:rsid w:val="7FDD7C70"/>
    <w:rsid w:val="7FDFDAF6"/>
    <w:rsid w:val="7FEBCBDF"/>
    <w:rsid w:val="7FF5FA6C"/>
    <w:rsid w:val="7FFA9D08"/>
    <w:rsid w:val="7FFE5DF8"/>
    <w:rsid w:val="7FFE71C6"/>
    <w:rsid w:val="83DB1D45"/>
    <w:rsid w:val="98F7F6CE"/>
    <w:rsid w:val="9DFFC609"/>
    <w:rsid w:val="9F3B62BC"/>
    <w:rsid w:val="9F6BDB46"/>
    <w:rsid w:val="9FD4F612"/>
    <w:rsid w:val="9FF6C3D5"/>
    <w:rsid w:val="A7D30287"/>
    <w:rsid w:val="AD5EF420"/>
    <w:rsid w:val="AFB1D1AE"/>
    <w:rsid w:val="B4EF76FF"/>
    <w:rsid w:val="B7B70F5E"/>
    <w:rsid w:val="B7EDFD16"/>
    <w:rsid w:val="B8F5777A"/>
    <w:rsid w:val="B9BEC972"/>
    <w:rsid w:val="B9F74285"/>
    <w:rsid w:val="BAFF65D3"/>
    <w:rsid w:val="BAFFFA5F"/>
    <w:rsid w:val="BBEBB2A6"/>
    <w:rsid w:val="BCCFCFD2"/>
    <w:rsid w:val="BD370D06"/>
    <w:rsid w:val="BDBAADCF"/>
    <w:rsid w:val="BEB64497"/>
    <w:rsid w:val="BEBBE18E"/>
    <w:rsid w:val="BF5D7D23"/>
    <w:rsid w:val="BF7D25B7"/>
    <w:rsid w:val="BF7E82E0"/>
    <w:rsid w:val="BF7F9695"/>
    <w:rsid w:val="BFEC8D4A"/>
    <w:rsid w:val="BFF67F8A"/>
    <w:rsid w:val="BFF7FB85"/>
    <w:rsid w:val="BFFA41F7"/>
    <w:rsid w:val="BFFA5948"/>
    <w:rsid w:val="C3FF7292"/>
    <w:rsid w:val="C7AB62B2"/>
    <w:rsid w:val="CBFFF79B"/>
    <w:rsid w:val="CCD7E003"/>
    <w:rsid w:val="CFEDD025"/>
    <w:rsid w:val="D1BFE4AC"/>
    <w:rsid w:val="D5FB373E"/>
    <w:rsid w:val="D6FD8C60"/>
    <w:rsid w:val="DB7F42A1"/>
    <w:rsid w:val="DBDD3C40"/>
    <w:rsid w:val="DC8F7DCC"/>
    <w:rsid w:val="DCEFF330"/>
    <w:rsid w:val="DD7B7513"/>
    <w:rsid w:val="DDFE77C6"/>
    <w:rsid w:val="DDFF2A6A"/>
    <w:rsid w:val="DED90015"/>
    <w:rsid w:val="DF7B0FED"/>
    <w:rsid w:val="DFAF3231"/>
    <w:rsid w:val="DFAF4F32"/>
    <w:rsid w:val="DFBD6787"/>
    <w:rsid w:val="DFC14313"/>
    <w:rsid w:val="DFFEE93D"/>
    <w:rsid w:val="DFFFDEDD"/>
    <w:rsid w:val="E5DFAB2E"/>
    <w:rsid w:val="E6DF1DBC"/>
    <w:rsid w:val="E7BEB492"/>
    <w:rsid w:val="E8BD9E91"/>
    <w:rsid w:val="EB5FCB68"/>
    <w:rsid w:val="EB770C58"/>
    <w:rsid w:val="EBF6BCEB"/>
    <w:rsid w:val="EBF8F8A9"/>
    <w:rsid w:val="EBFFAC84"/>
    <w:rsid w:val="EC1BC58A"/>
    <w:rsid w:val="ECECB1C4"/>
    <w:rsid w:val="EEDF29F7"/>
    <w:rsid w:val="EF2F8197"/>
    <w:rsid w:val="EF9F8C53"/>
    <w:rsid w:val="EFAD8BB5"/>
    <w:rsid w:val="EFBF7C5F"/>
    <w:rsid w:val="EFE54E74"/>
    <w:rsid w:val="EFFF19A8"/>
    <w:rsid w:val="F0FAE9E2"/>
    <w:rsid w:val="F33D912D"/>
    <w:rsid w:val="F3BB28E4"/>
    <w:rsid w:val="F42F796B"/>
    <w:rsid w:val="F47769D0"/>
    <w:rsid w:val="F4D3F6A9"/>
    <w:rsid w:val="F4F57643"/>
    <w:rsid w:val="F5FB393B"/>
    <w:rsid w:val="F73E2F8D"/>
    <w:rsid w:val="F7E753A5"/>
    <w:rsid w:val="F7FE56A7"/>
    <w:rsid w:val="F87E4B0A"/>
    <w:rsid w:val="F9DFEB85"/>
    <w:rsid w:val="F9FB28FD"/>
    <w:rsid w:val="F9FFB243"/>
    <w:rsid w:val="FB3FC475"/>
    <w:rsid w:val="FBA7756B"/>
    <w:rsid w:val="FBEDB5AD"/>
    <w:rsid w:val="FBEF3AAA"/>
    <w:rsid w:val="FBFB1181"/>
    <w:rsid w:val="FCF7C459"/>
    <w:rsid w:val="FD5C55CB"/>
    <w:rsid w:val="FD731026"/>
    <w:rsid w:val="FD9F2D4E"/>
    <w:rsid w:val="FDCFB5C7"/>
    <w:rsid w:val="FDE73F90"/>
    <w:rsid w:val="FDE9E1B9"/>
    <w:rsid w:val="FE7EBC75"/>
    <w:rsid w:val="FEBA7E28"/>
    <w:rsid w:val="FED53400"/>
    <w:rsid w:val="FEEF34E6"/>
    <w:rsid w:val="FEF6A441"/>
    <w:rsid w:val="FF5BCB4D"/>
    <w:rsid w:val="FF6FA569"/>
    <w:rsid w:val="FF7B8C58"/>
    <w:rsid w:val="FF7DE2E0"/>
    <w:rsid w:val="FF7F0EBA"/>
    <w:rsid w:val="FF9F9443"/>
    <w:rsid w:val="FFA3B8C5"/>
    <w:rsid w:val="FFB964D5"/>
    <w:rsid w:val="FFBB11C5"/>
    <w:rsid w:val="FFDF9E1A"/>
    <w:rsid w:val="FFDFB8DA"/>
    <w:rsid w:val="FFDFF685"/>
    <w:rsid w:val="FFE1819F"/>
    <w:rsid w:val="FFF46914"/>
    <w:rsid w:val="FFFBA109"/>
    <w:rsid w:val="FFFBA416"/>
    <w:rsid w:val="FFFCDCAA"/>
    <w:rsid w:val="FFFD9A44"/>
    <w:rsid w:val="FFFF5F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line="413" w:lineRule="auto"/>
      <w:outlineLvl w:val="1"/>
    </w:pPr>
    <w:rPr>
      <w:rFonts w:ascii="Arial" w:hAnsi="Arial" w:eastAsia="黑体"/>
      <w:b/>
      <w:bCs/>
      <w:sz w:val="32"/>
      <w:szCs w:val="32"/>
    </w:rPr>
  </w:style>
  <w:style w:type="paragraph" w:styleId="3">
    <w:name w:val="heading 3"/>
    <w:basedOn w:val="1"/>
    <w:next w:val="1"/>
    <w:semiHidden/>
    <w:unhideWhenUsed/>
    <w:qFormat/>
    <w:uiPriority w:val="0"/>
    <w:pPr>
      <w:keepNext/>
      <w:keepLines/>
      <w:spacing w:line="600" w:lineRule="exact"/>
      <w:ind w:firstLine="643" w:firstLineChars="200"/>
      <w:outlineLvl w:val="2"/>
    </w:pPr>
    <w:rPr>
      <w:b/>
      <w:bCs/>
      <w:sz w:val="32"/>
      <w:szCs w:val="32"/>
    </w:rPr>
  </w:style>
  <w:style w:type="paragraph" w:styleId="4">
    <w:name w:val="heading 4"/>
    <w:basedOn w:val="1"/>
    <w:next w:val="1"/>
    <w:qFormat/>
    <w:uiPriority w:val="0"/>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5">
    <w:name w:val="heading 5"/>
    <w:basedOn w:val="1"/>
    <w:next w:val="1"/>
    <w:semiHidden/>
    <w:unhideWhenUsed/>
    <w:qFormat/>
    <w:uiPriority w:val="0"/>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szCs w:val="20"/>
    </w:rPr>
  </w:style>
  <w:style w:type="paragraph" w:styleId="7">
    <w:name w:val="Document Map"/>
    <w:basedOn w:val="1"/>
    <w:link w:val="38"/>
    <w:qFormat/>
    <w:uiPriority w:val="0"/>
    <w:rPr>
      <w:rFonts w:ascii="宋体"/>
      <w:sz w:val="18"/>
      <w:szCs w:val="18"/>
    </w:rPr>
  </w:style>
  <w:style w:type="paragraph" w:styleId="8">
    <w:name w:val="annotation text"/>
    <w:basedOn w:val="1"/>
    <w:link w:val="39"/>
    <w:qFormat/>
    <w:uiPriority w:val="0"/>
    <w:pPr>
      <w:jc w:val="left"/>
    </w:pPr>
  </w:style>
  <w:style w:type="paragraph" w:styleId="9">
    <w:name w:val="Body Text"/>
    <w:basedOn w:val="1"/>
    <w:next w:val="1"/>
    <w:unhideWhenUsed/>
    <w:qFormat/>
    <w:uiPriority w:val="0"/>
    <w:pPr>
      <w:spacing w:after="120"/>
    </w:pPr>
  </w:style>
  <w:style w:type="paragraph" w:styleId="10">
    <w:name w:val="Body Text Indent"/>
    <w:basedOn w:val="1"/>
    <w:next w:val="1"/>
    <w:semiHidden/>
    <w:unhideWhenUsed/>
    <w:qFormat/>
    <w:uiPriority w:val="99"/>
    <w:pPr>
      <w:spacing w:line="200" w:lineRule="exact"/>
      <w:ind w:firstLine="301"/>
    </w:pPr>
    <w:rPr>
      <w:rFonts w:ascii="宋体" w:hAnsi="Courier New"/>
      <w:spacing w:val="-4"/>
      <w:sz w:val="18"/>
      <w:szCs w:val="20"/>
    </w:rPr>
  </w:style>
  <w:style w:type="paragraph" w:styleId="11">
    <w:name w:val="toc 3"/>
    <w:basedOn w:val="1"/>
    <w:next w:val="1"/>
    <w:qFormat/>
    <w:uiPriority w:val="0"/>
    <w:pPr>
      <w:jc w:val="left"/>
    </w:pPr>
    <w:rPr>
      <w:rFonts w:ascii="Calibri" w:hAnsi="Calibri"/>
      <w:smallCaps/>
      <w:sz w:val="22"/>
      <w:szCs w:val="22"/>
    </w:rPr>
  </w:style>
  <w:style w:type="paragraph" w:styleId="12">
    <w:name w:val="Plain Text"/>
    <w:basedOn w:val="1"/>
    <w:next w:val="4"/>
    <w:unhideWhenUsed/>
    <w:qFormat/>
    <w:uiPriority w:val="0"/>
    <w:rPr>
      <w:rFonts w:ascii="宋体" w:hAnsi="Courier New"/>
      <w:szCs w:val="20"/>
    </w:rPr>
  </w:style>
  <w:style w:type="paragraph" w:styleId="13">
    <w:name w:val="Date"/>
    <w:basedOn w:val="1"/>
    <w:next w:val="1"/>
    <w:unhideWhenUsed/>
    <w:qFormat/>
    <w:uiPriority w:val="99"/>
    <w:pPr>
      <w:ind w:left="100" w:leftChars="2500"/>
    </w:pPr>
  </w:style>
  <w:style w:type="paragraph" w:styleId="14">
    <w:name w:val="Balloon Text"/>
    <w:basedOn w:val="1"/>
    <w:link w:val="37"/>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360" w:after="360"/>
      <w:jc w:val="left"/>
    </w:pPr>
    <w:rPr>
      <w:rFonts w:ascii="Calibri" w:hAnsi="Calibri"/>
      <w:b/>
      <w:bCs/>
      <w:caps/>
      <w:sz w:val="22"/>
      <w:szCs w:val="22"/>
      <w:u w:val="single"/>
    </w:rPr>
  </w:style>
  <w:style w:type="paragraph" w:styleId="18">
    <w:name w:val="List"/>
    <w:basedOn w:val="1"/>
    <w:qFormat/>
    <w:uiPriority w:val="0"/>
    <w:pPr>
      <w:ind w:left="200" w:hanging="200" w:hangingChars="200"/>
    </w:pPr>
    <w:rPr>
      <w:sz w:val="28"/>
    </w:rPr>
  </w:style>
  <w:style w:type="paragraph" w:styleId="19">
    <w:name w:val="toc 2"/>
    <w:basedOn w:val="1"/>
    <w:next w:val="1"/>
    <w:qFormat/>
    <w:uiPriority w:val="0"/>
    <w:pPr>
      <w:jc w:val="left"/>
    </w:pPr>
    <w:rPr>
      <w:rFonts w:ascii="Calibri" w:hAnsi="Calibri"/>
      <w:b/>
      <w:bCs/>
      <w:smallCaps/>
      <w:sz w:val="22"/>
      <w:szCs w:val="22"/>
    </w:rPr>
  </w:style>
  <w:style w:type="paragraph" w:styleId="20">
    <w:name w:val="Normal (Web)"/>
    <w:basedOn w:val="1"/>
    <w:qFormat/>
    <w:uiPriority w:val="0"/>
    <w:pPr>
      <w:spacing w:beforeAutospacing="1" w:afterAutospacing="1"/>
      <w:jc w:val="left"/>
    </w:pPr>
    <w:rPr>
      <w:kern w:val="0"/>
      <w:sz w:val="24"/>
    </w:rPr>
  </w:style>
  <w:style w:type="paragraph" w:styleId="21">
    <w:name w:val="Title"/>
    <w:basedOn w:val="1"/>
    <w:next w:val="1"/>
    <w:qFormat/>
    <w:uiPriority w:val="0"/>
    <w:pPr>
      <w:spacing w:before="240" w:after="60"/>
      <w:jc w:val="center"/>
      <w:outlineLvl w:val="0"/>
    </w:pPr>
    <w:rPr>
      <w:rFonts w:ascii="Cambria" w:hAnsi="Cambria"/>
      <w:b/>
      <w:bCs/>
      <w:sz w:val="32"/>
      <w:szCs w:val="32"/>
    </w:rPr>
  </w:style>
  <w:style w:type="paragraph" w:styleId="22">
    <w:name w:val="annotation subject"/>
    <w:basedOn w:val="8"/>
    <w:next w:val="8"/>
    <w:link w:val="40"/>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0"/>
  </w:style>
  <w:style w:type="character" w:styleId="27">
    <w:name w:val="Hyperlink"/>
    <w:qFormat/>
    <w:uiPriority w:val="0"/>
    <w:rPr>
      <w:color w:val="0000FF"/>
      <w:u w:val="single"/>
    </w:rPr>
  </w:style>
  <w:style w:type="character" w:styleId="28">
    <w:name w:val="annotation reference"/>
    <w:semiHidden/>
    <w:unhideWhenUsed/>
    <w:qFormat/>
    <w:uiPriority w:val="99"/>
    <w:rPr>
      <w:sz w:val="21"/>
      <w:szCs w:val="21"/>
    </w:rPr>
  </w:style>
  <w:style w:type="character" w:styleId="29">
    <w:name w:val="HTML Sample"/>
    <w:basedOn w:val="25"/>
    <w:qFormat/>
    <w:uiPriority w:val="0"/>
    <w:rPr>
      <w:rFonts w:ascii="Courier New" w:hAnsi="Courier New"/>
    </w:rPr>
  </w:style>
  <w:style w:type="paragraph" w:styleId="30">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character" w:customStyle="1" w:styleId="3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2">
    <w:name w:val="正文2"/>
    <w:basedOn w:val="1"/>
    <w:qFormat/>
    <w:uiPriority w:val="0"/>
    <w:pPr>
      <w:adjustRightInd w:val="0"/>
      <w:spacing w:before="156" w:line="360" w:lineRule="auto"/>
      <w:ind w:firstLine="510" w:firstLineChars="200"/>
    </w:pPr>
    <w:rPr>
      <w:sz w:val="24"/>
      <w:szCs w:val="20"/>
    </w:rPr>
  </w:style>
  <w:style w:type="paragraph" w:customStyle="1" w:styleId="33">
    <w:name w:val="正文缩进1"/>
    <w:basedOn w:val="1"/>
    <w:next w:val="1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4">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5">
    <w:name w:val="Table Paragraph"/>
    <w:basedOn w:val="1"/>
    <w:qFormat/>
    <w:uiPriority w:val="1"/>
    <w:pPr>
      <w:jc w:val="left"/>
    </w:pPr>
    <w:rPr>
      <w:rFonts w:ascii="Calibri" w:hAnsi="Calibri"/>
      <w:kern w:val="0"/>
      <w:sz w:val="22"/>
      <w:szCs w:val="22"/>
      <w:lang w:eastAsia="en-US"/>
    </w:rPr>
  </w:style>
  <w:style w:type="paragraph" w:customStyle="1" w:styleId="3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7">
    <w:name w:val="批注框文本 Char"/>
    <w:basedOn w:val="25"/>
    <w:link w:val="14"/>
    <w:qFormat/>
    <w:uiPriority w:val="0"/>
    <w:rPr>
      <w:kern w:val="2"/>
      <w:sz w:val="18"/>
      <w:szCs w:val="18"/>
    </w:rPr>
  </w:style>
  <w:style w:type="character" w:customStyle="1" w:styleId="38">
    <w:name w:val="文档结构图 Char"/>
    <w:basedOn w:val="25"/>
    <w:link w:val="7"/>
    <w:qFormat/>
    <w:uiPriority w:val="0"/>
    <w:rPr>
      <w:rFonts w:ascii="宋体"/>
      <w:kern w:val="2"/>
      <w:sz w:val="18"/>
      <w:szCs w:val="18"/>
    </w:rPr>
  </w:style>
  <w:style w:type="character" w:customStyle="1" w:styleId="39">
    <w:name w:val="批注文字 Char"/>
    <w:basedOn w:val="25"/>
    <w:link w:val="8"/>
    <w:qFormat/>
    <w:uiPriority w:val="0"/>
    <w:rPr>
      <w:kern w:val="2"/>
      <w:sz w:val="21"/>
      <w:szCs w:val="24"/>
    </w:rPr>
  </w:style>
  <w:style w:type="character" w:customStyle="1" w:styleId="40">
    <w:name w:val="批注主题 Char"/>
    <w:basedOn w:val="39"/>
    <w:link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11781</Words>
  <Characters>13683</Characters>
  <Lines>445</Lines>
  <Paragraphs>125</Paragraphs>
  <TotalTime>22</TotalTime>
  <ScaleCrop>false</ScaleCrop>
  <LinksUpToDate>false</LinksUpToDate>
  <CharactersWithSpaces>13910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2024-08-23T09:09:00Z</dcterms:created>
  <dc:creator>lenovo</dc:creator>
  <cp:lastModifiedBy>龙同学</cp:lastModifiedBy>
  <dcterms:modified xsi:type="dcterms:W3CDTF">2025-08-18T08:30:38Z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F39761D9B68E4CD789C559B180A2977F_12</vt:lpwstr>
  </property>
  <property fmtid="{D5CDD505-2E9C-101B-9397-08002B2CF9AE}" pid="4" name="KSOTemplateDocerSaveRecord">
    <vt:lpwstr>eyJoZGlkIjoiODI1MmFhOTkyM2RjOTU3ZjhhMGJkN2ZlZWYxZGNkMzQiLCJ1c2VySWQiOiI2Nzc0Nzc2MjIifQ==</vt:lpwstr>
  </property>
</Properties>
</file>