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hint="eastAsia" w:ascii="宋体" w:hAnsi="宋体" w:eastAsia="宋体"/>
          <w:sz w:val="52"/>
          <w:szCs w:val="52"/>
          <w:lang w:eastAsia="zh-CN"/>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r>
        <w:rPr>
          <w:rFonts w:hint="eastAsia" w:ascii="宋体" w:hAnsi="宋体" w:eastAsia="宋体"/>
          <w:sz w:val="52"/>
          <w:szCs w:val="52"/>
          <w:lang w:eastAsia="zh-CN"/>
        </w:rPr>
        <w:drawing>
          <wp:inline distT="0" distB="0" distL="114300" distR="114300">
            <wp:extent cx="5638165" cy="7974330"/>
            <wp:effectExtent l="0" t="0" r="635" b="7620"/>
            <wp:docPr id="7" name="图片 7" descr="SKMBT_28325070714370_00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KMBT_28325070714370_0001_00"/>
                    <pic:cNvPicPr>
                      <a:picLocks noChangeAspect="1"/>
                    </pic:cNvPicPr>
                  </pic:nvPicPr>
                  <pic:blipFill>
                    <a:blip r:embed="rId13"/>
                    <a:stretch>
                      <a:fillRect/>
                    </a:stretch>
                  </pic:blipFill>
                  <pic:spPr>
                    <a:xfrm>
                      <a:off x="0" y="0"/>
                      <a:ext cx="5638165" cy="7974330"/>
                    </a:xfrm>
                    <a:prstGeom prst="rect">
                      <a:avLst/>
                    </a:prstGeom>
                  </pic:spPr>
                </pic:pic>
              </a:graphicData>
            </a:graphic>
          </wp:inline>
        </w:drawing>
      </w:r>
    </w:p>
    <w:p>
      <w:pPr>
        <w:spacing w:before="156" w:beforeLines="50" w:line="360" w:lineRule="auto"/>
        <w:jc w:val="center"/>
        <w:rPr>
          <w:rFonts w:ascii="宋体" w:hAnsi="宋体"/>
          <w:sz w:val="52"/>
          <w:szCs w:val="52"/>
        </w:rPr>
      </w:pPr>
      <w:r>
        <w:rPr>
          <w:rFonts w:hint="eastAsia" w:ascii="宋体" w:hAnsi="宋体"/>
          <w:sz w:val="52"/>
          <w:szCs w:val="52"/>
        </w:rPr>
        <w:t>南宁市政府采购</w:t>
      </w:r>
    </w:p>
    <w:p>
      <w:pPr>
        <w:spacing w:before="156" w:beforeLines="50" w:line="360" w:lineRule="auto"/>
        <w:jc w:val="center"/>
        <w:rPr>
          <w:rFonts w:ascii="宋体" w:hAnsi="宋体"/>
          <w:sz w:val="52"/>
          <w:szCs w:val="52"/>
        </w:rPr>
      </w:pPr>
      <w:r>
        <w:rPr>
          <w:rFonts w:hint="eastAsia" w:ascii="宋体" w:hAnsi="宋体"/>
          <w:sz w:val="52"/>
          <w:szCs w:val="52"/>
        </w:rPr>
        <w:t>竞争性磋商文件（工程类）</w:t>
      </w:r>
    </w:p>
    <w:p>
      <w:pPr>
        <w:spacing w:before="156" w:beforeLines="50" w:line="360" w:lineRule="auto"/>
        <w:jc w:val="center"/>
        <w:rPr>
          <w:rFonts w:ascii="宋体" w:hAnsi="宋体"/>
          <w:sz w:val="36"/>
          <w:szCs w:val="36"/>
        </w:rPr>
      </w:pPr>
    </w:p>
    <w:p>
      <w:pPr>
        <w:spacing w:before="156" w:beforeLines="50" w:line="360" w:lineRule="auto"/>
        <w:jc w:val="center"/>
        <w:rPr>
          <w:rFonts w:ascii="宋体" w:hAnsi="宋体"/>
          <w:sz w:val="36"/>
          <w:szCs w:val="36"/>
        </w:rPr>
      </w:pPr>
    </w:p>
    <w:p>
      <w:pPr>
        <w:snapToGrid w:val="0"/>
        <w:spacing w:before="156" w:beforeLines="50" w:line="360" w:lineRule="auto"/>
        <w:jc w:val="center"/>
        <w:rPr>
          <w:rFonts w:ascii="宋体" w:hAnsi="宋体" w:cs="方正小标宋简体"/>
          <w:sz w:val="44"/>
          <w:szCs w:val="44"/>
        </w:rPr>
      </w:pPr>
      <w:r>
        <w:rPr>
          <w:rFonts w:hint="eastAsia" w:ascii="宋体" w:hAnsi="宋体"/>
          <w:sz w:val="72"/>
          <w:szCs w:val="72"/>
        </w:rPr>
        <w:t>竞争性磋商文件</w:t>
      </w:r>
    </w:p>
    <w:p>
      <w:pPr>
        <w:spacing w:before="312" w:beforeLines="100" w:after="156" w:afterLines="50" w:line="360" w:lineRule="auto"/>
        <w:jc w:val="center"/>
        <w:rPr>
          <w:rFonts w:ascii="宋体" w:hAnsi="宋体"/>
          <w:b/>
          <w:sz w:val="32"/>
          <w:szCs w:val="32"/>
        </w:rPr>
      </w:pPr>
      <w:r>
        <w:rPr>
          <w:rFonts w:hint="eastAsia" w:ascii="宋体" w:hAnsi="宋体"/>
          <w:szCs w:val="21"/>
        </w:rPr>
        <w:t>（全流程电子化评标）</w:t>
      </w:r>
    </w:p>
    <w:p>
      <w:pPr>
        <w:spacing w:line="360" w:lineRule="auto"/>
        <w:jc w:val="center"/>
        <w:rPr>
          <w:rFonts w:ascii="宋体" w:hAnsi="宋体"/>
          <w:b/>
          <w:sz w:val="32"/>
          <w:szCs w:val="32"/>
        </w:rPr>
      </w:pPr>
    </w:p>
    <w:p>
      <w:pPr>
        <w:spacing w:line="360" w:lineRule="auto"/>
        <w:ind w:left="2564" w:leftChars="456" w:hanging="1606" w:hangingChars="500"/>
        <w:rPr>
          <w:rFonts w:hint="eastAsia" w:ascii="宋体" w:hAnsi="宋体"/>
          <w:b/>
          <w:color w:val="000000" w:themeColor="text1"/>
          <w:sz w:val="32"/>
          <w:szCs w:val="32"/>
          <w:lang w:eastAsia="zh-CN"/>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项目名称：</w:t>
      </w:r>
      <w:r>
        <w:rPr>
          <w:rFonts w:hint="eastAsia" w:ascii="宋体" w:hAnsi="宋体"/>
          <w:b/>
          <w:color w:val="000000" w:themeColor="text1"/>
          <w:sz w:val="32"/>
          <w:szCs w:val="32"/>
          <w:lang w:eastAsia="zh-CN"/>
          <w14:textFill>
            <w14:solidFill>
              <w14:schemeClr w14:val="tx1"/>
            </w14:solidFill>
          </w14:textFill>
        </w:rPr>
        <w:t>南宁市体育运动学校游泳跳水馆功能训练房改造工程</w:t>
      </w:r>
    </w:p>
    <w:p>
      <w:pPr>
        <w:spacing w:line="360" w:lineRule="auto"/>
        <w:ind w:firstLine="964" w:firstLineChars="300"/>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项目编号：NNZC2025-C2-990603-GXZX</w:t>
      </w:r>
    </w:p>
    <w:p>
      <w:pPr>
        <w:spacing w:line="360" w:lineRule="auto"/>
        <w:ind w:firstLine="904" w:firstLineChars="300"/>
        <w:rPr>
          <w:rFonts w:hint="eastAsia" w:ascii="宋体" w:hAnsi="宋体" w:eastAsia="宋体"/>
          <w:b/>
          <w:color w:val="000000" w:themeColor="text1"/>
          <w:sz w:val="32"/>
          <w:szCs w:val="32"/>
          <w:lang w:val="en-US" w:eastAsia="zh-CN"/>
          <w14:textFill>
            <w14:solidFill>
              <w14:schemeClr w14:val="tx1"/>
            </w14:solidFill>
          </w14:textFill>
        </w:rPr>
      </w:pPr>
      <w:r>
        <w:rPr>
          <w:rFonts w:hint="eastAsia" w:ascii="宋体" w:hAnsi="宋体" w:cs="宋体"/>
          <w:b/>
          <w:color w:val="000000" w:themeColor="text1"/>
          <w:sz w:val="30"/>
          <w:szCs w:val="48"/>
          <w14:textFill>
            <w14:solidFill>
              <w14:schemeClr w14:val="tx1"/>
            </w14:solidFill>
          </w14:textFill>
        </w:rPr>
        <w:t>项目所属区划：</w:t>
      </w:r>
      <w:r>
        <w:rPr>
          <w:rFonts w:hint="eastAsia" w:ascii="宋体" w:hAnsi="宋体" w:cs="宋体"/>
          <w:b/>
          <w:color w:val="000000" w:themeColor="text1"/>
          <w:sz w:val="30"/>
          <w:szCs w:val="48"/>
          <w:lang w:eastAsia="zh-CN"/>
          <w14:textFill>
            <w14:solidFill>
              <w14:schemeClr w14:val="tx1"/>
            </w14:solidFill>
          </w14:textFill>
        </w:rPr>
        <w:t>南宁市</w:t>
      </w:r>
    </w:p>
    <w:p>
      <w:pPr>
        <w:spacing w:line="360" w:lineRule="auto"/>
        <w:ind w:firstLine="964" w:firstLineChars="300"/>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采 购 人：</w:t>
      </w:r>
      <w:r>
        <w:rPr>
          <w:rFonts w:hint="eastAsia" w:ascii="宋体" w:hAnsi="宋体"/>
          <w:b/>
          <w:color w:val="000000" w:themeColor="text1"/>
          <w:sz w:val="32"/>
          <w:szCs w:val="32"/>
          <w:lang w:eastAsia="zh-CN"/>
          <w14:textFill>
            <w14:solidFill>
              <w14:schemeClr w14:val="tx1"/>
            </w14:solidFill>
          </w14:textFill>
        </w:rPr>
        <w:t>南宁市体育局</w:t>
      </w:r>
      <w:r>
        <w:rPr>
          <w:rFonts w:hint="eastAsia" w:ascii="宋体" w:hAnsi="宋体"/>
          <w:b/>
          <w:color w:val="000000" w:themeColor="text1"/>
          <w:sz w:val="32"/>
          <w:szCs w:val="32"/>
          <w14:textFill>
            <w14:solidFill>
              <w14:schemeClr w14:val="tx1"/>
            </w14:solidFill>
          </w14:textFill>
        </w:rPr>
        <w:t xml:space="preserve"> </w:t>
      </w:r>
    </w:p>
    <w:p>
      <w:pPr>
        <w:spacing w:line="360" w:lineRule="auto"/>
        <w:ind w:firstLine="964" w:firstLineChars="300"/>
        <w:rPr>
          <w:rFonts w:hint="eastAsia" w:ascii="宋体" w:hAnsi="宋体" w:eastAsia="宋体"/>
          <w:b/>
          <w:color w:val="000000" w:themeColor="text1"/>
          <w:sz w:val="32"/>
          <w:szCs w:val="32"/>
          <w:lang w:eastAsia="zh-CN"/>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采购代理机构：</w:t>
      </w:r>
      <w:r>
        <w:rPr>
          <w:rFonts w:hint="eastAsia" w:ascii="宋体" w:hAnsi="宋体"/>
          <w:b/>
          <w:color w:val="000000" w:themeColor="text1"/>
          <w:sz w:val="32"/>
          <w:szCs w:val="32"/>
          <w:lang w:eastAsia="zh-CN"/>
          <w14:textFill>
            <w14:solidFill>
              <w14:schemeClr w14:val="tx1"/>
            </w14:solidFill>
          </w14:textFill>
        </w:rPr>
        <w:t>广西中信恒泰工程顾问有限公司</w:t>
      </w:r>
    </w:p>
    <w:p>
      <w:pPr>
        <w:spacing w:line="360" w:lineRule="auto"/>
        <w:ind w:firstLine="1430" w:firstLineChars="445"/>
        <w:rPr>
          <w:rFonts w:ascii="宋体" w:hAnsi="宋体"/>
          <w:b/>
          <w:color w:val="000000" w:themeColor="text1"/>
          <w:sz w:val="32"/>
          <w:szCs w:val="32"/>
          <w14:textFill>
            <w14:solidFill>
              <w14:schemeClr w14:val="tx1"/>
            </w14:solidFill>
          </w14:textFill>
        </w:rPr>
      </w:pPr>
    </w:p>
    <w:p>
      <w:pPr>
        <w:spacing w:line="360" w:lineRule="auto"/>
        <w:jc w:val="center"/>
        <w:rPr>
          <w:rFonts w:ascii="宋体" w:hAnsi="宋体"/>
          <w:b/>
          <w:color w:val="000000" w:themeColor="text1"/>
          <w:sz w:val="32"/>
          <w:szCs w:val="32"/>
          <w14:textFill>
            <w14:solidFill>
              <w14:schemeClr w14:val="tx1"/>
            </w14:solidFill>
          </w14:textFill>
        </w:rPr>
      </w:pPr>
    </w:p>
    <w:p>
      <w:pPr>
        <w:spacing w:line="360" w:lineRule="auto"/>
        <w:jc w:val="center"/>
        <w:rPr>
          <w:rFonts w:ascii="宋体" w:hAnsi="宋体"/>
          <w:b/>
          <w:color w:val="000000" w:themeColor="text1"/>
          <w:sz w:val="32"/>
          <w:szCs w:val="32"/>
          <w14:textFill>
            <w14:solidFill>
              <w14:schemeClr w14:val="tx1"/>
            </w14:solidFill>
          </w14:textFill>
        </w:rPr>
      </w:pPr>
    </w:p>
    <w:p>
      <w:pPr>
        <w:spacing w:line="360" w:lineRule="auto"/>
        <w:jc w:val="center"/>
        <w:rPr>
          <w:rFonts w:ascii="宋体" w:hAnsi="宋体"/>
          <w:b/>
          <w:color w:val="000000" w:themeColor="text1"/>
          <w:sz w:val="32"/>
          <w:szCs w:val="32"/>
          <w14:textFill>
            <w14:solidFill>
              <w14:schemeClr w14:val="tx1"/>
            </w14:solidFill>
          </w14:textFill>
        </w:rPr>
        <w:sectPr>
          <w:pgSz w:w="11906" w:h="16838"/>
          <w:pgMar w:top="1440" w:right="1440" w:bottom="1440" w:left="1587" w:header="851" w:footer="992" w:gutter="0"/>
          <w:pgNumType w:start="0"/>
          <w:cols w:space="720" w:num="1"/>
          <w:titlePg/>
          <w:docGrid w:type="lines" w:linePitch="312" w:charSpace="0"/>
        </w:sectPr>
      </w:pPr>
      <w:r>
        <w:rPr>
          <w:rFonts w:hint="eastAsia" w:ascii="宋体" w:hAnsi="宋体"/>
          <w:b/>
          <w:color w:val="000000" w:themeColor="text1"/>
          <w:sz w:val="32"/>
          <w:szCs w:val="32"/>
          <w14:textFill>
            <w14:solidFill>
              <w14:schemeClr w14:val="tx1"/>
            </w14:solidFill>
          </w14:textFill>
        </w:rPr>
        <w:t>202</w:t>
      </w:r>
      <w:r>
        <w:rPr>
          <w:rFonts w:hint="eastAsia" w:ascii="宋体" w:hAnsi="宋体"/>
          <w:b/>
          <w:color w:val="000000" w:themeColor="text1"/>
          <w:sz w:val="32"/>
          <w:szCs w:val="32"/>
          <w:lang w:val="en-US" w:eastAsia="zh-CN"/>
          <w14:textFill>
            <w14:solidFill>
              <w14:schemeClr w14:val="tx1"/>
            </w14:solidFill>
          </w14:textFill>
        </w:rPr>
        <w:t>5</w:t>
      </w:r>
      <w:r>
        <w:rPr>
          <w:rFonts w:hint="eastAsia" w:ascii="宋体" w:hAnsi="宋体"/>
          <w:b/>
          <w:color w:val="000000" w:themeColor="text1"/>
          <w:sz w:val="32"/>
          <w:szCs w:val="32"/>
          <w14:textFill>
            <w14:solidFill>
              <w14:schemeClr w14:val="tx1"/>
            </w14:solidFill>
          </w14:textFill>
        </w:rPr>
        <w:t>年</w:t>
      </w:r>
      <w:r>
        <w:rPr>
          <w:rFonts w:hint="eastAsia" w:ascii="宋体" w:hAnsi="宋体"/>
          <w:b/>
          <w:color w:val="000000" w:themeColor="text1"/>
          <w:sz w:val="32"/>
          <w:szCs w:val="32"/>
          <w:lang w:val="en-US" w:eastAsia="zh-CN"/>
          <w14:textFill>
            <w14:solidFill>
              <w14:schemeClr w14:val="tx1"/>
            </w14:solidFill>
          </w14:textFill>
        </w:rPr>
        <w:t>7</w:t>
      </w:r>
      <w:r>
        <w:rPr>
          <w:rFonts w:hint="eastAsia" w:ascii="宋体" w:hAnsi="宋体"/>
          <w:b/>
          <w:color w:val="000000" w:themeColor="text1"/>
          <w:sz w:val="32"/>
          <w:szCs w:val="32"/>
          <w14:textFill>
            <w14:solidFill>
              <w14:schemeClr w14:val="tx1"/>
            </w14:solidFill>
          </w14:textFill>
        </w:rPr>
        <w:t>月</w:t>
      </w: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44"/>
          <w:szCs w:val="44"/>
        </w:rPr>
      </w:pPr>
    </w:p>
    <w:p>
      <w:pPr>
        <w:tabs>
          <w:tab w:val="right" w:leader="dot" w:pos="8869"/>
        </w:tabs>
        <w:rPr>
          <w:rFonts w:ascii="宋体" w:hAnsi="宋体"/>
          <w:color w:val="auto"/>
          <w:szCs w:val="22"/>
        </w:rPr>
      </w:pPr>
      <w:r>
        <w:rPr>
          <w:rFonts w:ascii="宋体" w:hAnsi="宋体"/>
          <w:b/>
          <w:color w:val="auto"/>
          <w:sz w:val="30"/>
          <w:szCs w:val="30"/>
        </w:rPr>
        <w:fldChar w:fldCharType="begin"/>
      </w:r>
      <w:r>
        <w:rPr>
          <w:rFonts w:hint="eastAsia" w:ascii="宋体" w:hAnsi="宋体"/>
          <w:b/>
          <w:color w:val="auto"/>
          <w:sz w:val="30"/>
          <w:szCs w:val="30"/>
        </w:rPr>
        <w:instrText xml:space="preserve">TOC \o "1-3" \h \z \u</w:instrText>
      </w:r>
      <w:r>
        <w:rPr>
          <w:rFonts w:ascii="宋体" w:hAnsi="宋体"/>
          <w:b/>
          <w:color w:val="auto"/>
          <w:sz w:val="30"/>
          <w:szCs w:val="30"/>
        </w:rPr>
        <w:fldChar w:fldCharType="separate"/>
      </w:r>
      <w:r>
        <w:rPr>
          <w:rFonts w:ascii="Calibri" w:hAnsi="Calibri"/>
          <w:color w:val="auto"/>
        </w:rPr>
        <w:fldChar w:fldCharType="begin"/>
      </w:r>
      <w:r>
        <w:rPr>
          <w:rFonts w:ascii="Calibri" w:hAnsi="Calibri"/>
          <w:color w:val="auto"/>
        </w:rPr>
        <w:instrText xml:space="preserve"> HYPERLINK \l "_Toc106794701" </w:instrText>
      </w:r>
      <w:r>
        <w:rPr>
          <w:rFonts w:ascii="Calibri" w:hAnsi="Calibri"/>
          <w:color w:val="auto"/>
        </w:rPr>
        <w:fldChar w:fldCharType="separate"/>
      </w:r>
      <w:r>
        <w:rPr>
          <w:rFonts w:hint="eastAsia" w:ascii="宋体" w:hAnsi="宋体"/>
          <w:color w:val="auto"/>
        </w:rPr>
        <w:t>第一章竞争性磋商公告</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_Toc106794701 \h </w:instrText>
      </w:r>
      <w:r>
        <w:rPr>
          <w:rFonts w:ascii="宋体" w:hAnsi="宋体"/>
          <w:color w:val="auto"/>
        </w:rPr>
        <w:fldChar w:fldCharType="separate"/>
      </w:r>
      <w:r>
        <w:rPr>
          <w:rFonts w:ascii="宋体" w:hAnsi="宋体"/>
          <w:color w:val="auto"/>
        </w:rPr>
        <w:t>1</w:t>
      </w:r>
      <w:r>
        <w:rPr>
          <w:rFonts w:ascii="宋体" w:hAnsi="宋体"/>
          <w:color w:val="auto"/>
        </w:rPr>
        <w:fldChar w:fldCharType="end"/>
      </w:r>
      <w:r>
        <w:rPr>
          <w:rFonts w:ascii="宋体" w:hAnsi="宋体"/>
          <w:color w:val="auto"/>
        </w:rPr>
        <w:fldChar w:fldCharType="end"/>
      </w:r>
    </w:p>
    <w:p>
      <w:pPr>
        <w:tabs>
          <w:tab w:val="right" w:leader="dot" w:pos="8869"/>
        </w:tabs>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"_Toc106794702" </w:instrText>
      </w:r>
      <w:r>
        <w:rPr>
          <w:rFonts w:ascii="Calibri" w:hAnsi="Calibri"/>
          <w:color w:val="auto"/>
        </w:rPr>
        <w:fldChar w:fldCharType="separate"/>
      </w:r>
      <w:r>
        <w:rPr>
          <w:rFonts w:hint="eastAsia" w:ascii="宋体" w:hAnsi="宋体"/>
          <w:color w:val="auto"/>
        </w:rPr>
        <w:t>第二章采购需求</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_Toc106794702 \h </w:instrText>
      </w:r>
      <w:r>
        <w:rPr>
          <w:rFonts w:ascii="宋体" w:hAnsi="宋体"/>
          <w:color w:val="auto"/>
        </w:rPr>
        <w:fldChar w:fldCharType="separate"/>
      </w:r>
      <w:r>
        <w:rPr>
          <w:rFonts w:ascii="宋体" w:hAnsi="宋体"/>
          <w:color w:val="auto"/>
        </w:rPr>
        <w:t>5</w:t>
      </w:r>
      <w:r>
        <w:rPr>
          <w:rFonts w:ascii="宋体" w:hAnsi="宋体"/>
          <w:color w:val="auto"/>
        </w:rPr>
        <w:fldChar w:fldCharType="end"/>
      </w:r>
      <w:r>
        <w:rPr>
          <w:rFonts w:ascii="宋体" w:hAnsi="宋体"/>
          <w:color w:val="auto"/>
        </w:rPr>
        <w:fldChar w:fldCharType="end"/>
      </w:r>
    </w:p>
    <w:p>
      <w:pPr>
        <w:tabs>
          <w:tab w:val="right" w:leader="dot" w:pos="8869"/>
        </w:tabs>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"_Toc106794705" </w:instrText>
      </w:r>
      <w:r>
        <w:rPr>
          <w:rFonts w:ascii="Calibri" w:hAnsi="Calibri"/>
          <w:color w:val="auto"/>
        </w:rPr>
        <w:fldChar w:fldCharType="separate"/>
      </w:r>
      <w:r>
        <w:rPr>
          <w:rFonts w:hint="eastAsia" w:ascii="宋体" w:hAnsi="宋体"/>
          <w:color w:val="auto"/>
        </w:rPr>
        <w:t>第三章供应商须知</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_Toc106794705 \h </w:instrText>
      </w:r>
      <w:r>
        <w:rPr>
          <w:rFonts w:ascii="宋体" w:hAnsi="宋体"/>
          <w:color w:val="auto"/>
        </w:rPr>
        <w:fldChar w:fldCharType="separate"/>
      </w:r>
      <w:r>
        <w:rPr>
          <w:rFonts w:ascii="宋体" w:hAnsi="宋体"/>
          <w:color w:val="auto"/>
        </w:rPr>
        <w:t>9</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"_Toc106794706" </w:instrText>
      </w:r>
      <w:r>
        <w:rPr>
          <w:rFonts w:ascii="Calibri" w:hAnsi="Calibri"/>
          <w:color w:val="auto"/>
        </w:rPr>
        <w:fldChar w:fldCharType="separate"/>
      </w:r>
      <w:r>
        <w:rPr>
          <w:rFonts w:hint="eastAsia" w:ascii="宋体" w:hAnsi="宋体"/>
          <w:color w:val="auto"/>
        </w:rPr>
        <w:t>第一节供应商须知前附表</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_Toc106794706 \h </w:instrText>
      </w:r>
      <w:r>
        <w:rPr>
          <w:rFonts w:ascii="宋体" w:hAnsi="宋体"/>
          <w:color w:val="auto"/>
        </w:rPr>
        <w:fldChar w:fldCharType="separate"/>
      </w:r>
      <w:r>
        <w:rPr>
          <w:rFonts w:ascii="宋体" w:hAnsi="宋体"/>
          <w:color w:val="auto"/>
        </w:rPr>
        <w:t>9</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"_Toc106794707" </w:instrText>
      </w:r>
      <w:r>
        <w:rPr>
          <w:rFonts w:ascii="Calibri" w:hAnsi="Calibri"/>
          <w:color w:val="auto"/>
        </w:rPr>
        <w:fldChar w:fldCharType="separate"/>
      </w:r>
      <w:r>
        <w:rPr>
          <w:rFonts w:hint="eastAsia" w:ascii="宋体" w:hAnsi="宋体"/>
          <w:color w:val="auto"/>
        </w:rPr>
        <w:t>第二节供应商须知正文</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_Toc106794707 \h </w:instrText>
      </w:r>
      <w:r>
        <w:rPr>
          <w:rFonts w:ascii="宋体" w:hAnsi="宋体"/>
          <w:color w:val="auto"/>
        </w:rPr>
        <w:fldChar w:fldCharType="separate"/>
      </w:r>
      <w:r>
        <w:rPr>
          <w:rFonts w:ascii="宋体" w:hAnsi="宋体"/>
          <w:color w:val="auto"/>
        </w:rPr>
        <w:t>15</w:t>
      </w:r>
      <w:r>
        <w:rPr>
          <w:rFonts w:ascii="宋体" w:hAnsi="宋体"/>
          <w:color w:val="auto"/>
        </w:rPr>
        <w:fldChar w:fldCharType="end"/>
      </w:r>
      <w:r>
        <w:rPr>
          <w:rFonts w:ascii="宋体" w:hAnsi="宋体"/>
          <w:color w:val="auto"/>
        </w:rPr>
        <w:fldChar w:fldCharType="end"/>
      </w:r>
    </w:p>
    <w:p>
      <w:pPr>
        <w:tabs>
          <w:tab w:val="right" w:leader="dot" w:pos="8869"/>
        </w:tabs>
        <w:ind w:left="840" w:leftChars="4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"_Toc106794708" </w:instrText>
      </w:r>
      <w:r>
        <w:rPr>
          <w:rFonts w:ascii="Calibri" w:hAnsi="Calibri"/>
          <w:color w:val="auto"/>
        </w:rPr>
        <w:fldChar w:fldCharType="separate"/>
      </w:r>
      <w:r>
        <w:rPr>
          <w:rFonts w:hint="eastAsia" w:ascii="宋体" w:hAnsi="宋体"/>
          <w:color w:val="auto"/>
        </w:rPr>
        <w:t>一、总则</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_Toc106794708 \h </w:instrText>
      </w:r>
      <w:r>
        <w:rPr>
          <w:rFonts w:ascii="宋体" w:hAnsi="宋体"/>
          <w:color w:val="auto"/>
        </w:rPr>
        <w:fldChar w:fldCharType="separate"/>
      </w:r>
      <w:r>
        <w:rPr>
          <w:rFonts w:ascii="宋体" w:hAnsi="宋体"/>
          <w:color w:val="auto"/>
        </w:rPr>
        <w:t>15</w:t>
      </w:r>
      <w:r>
        <w:rPr>
          <w:rFonts w:ascii="宋体" w:hAnsi="宋体"/>
          <w:color w:val="auto"/>
        </w:rPr>
        <w:fldChar w:fldCharType="end"/>
      </w:r>
      <w:r>
        <w:rPr>
          <w:rFonts w:ascii="宋体" w:hAnsi="宋体"/>
          <w:color w:val="auto"/>
        </w:rPr>
        <w:fldChar w:fldCharType="end"/>
      </w:r>
    </w:p>
    <w:p>
      <w:pPr>
        <w:tabs>
          <w:tab w:val="right" w:leader="dot" w:pos="8869"/>
        </w:tabs>
        <w:ind w:left="840" w:leftChars="4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"_Toc106794709" </w:instrText>
      </w:r>
      <w:r>
        <w:rPr>
          <w:rFonts w:ascii="Calibri" w:hAnsi="Calibri"/>
          <w:color w:val="auto"/>
        </w:rPr>
        <w:fldChar w:fldCharType="separate"/>
      </w:r>
      <w:r>
        <w:rPr>
          <w:rFonts w:hint="eastAsia" w:ascii="宋体" w:hAnsi="宋体"/>
          <w:color w:val="auto"/>
        </w:rPr>
        <w:t>二、磋商文件</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_Toc106794709 \h </w:instrText>
      </w:r>
      <w:r>
        <w:rPr>
          <w:rFonts w:ascii="宋体" w:hAnsi="宋体"/>
          <w:color w:val="auto"/>
        </w:rPr>
        <w:fldChar w:fldCharType="separate"/>
      </w:r>
      <w:r>
        <w:rPr>
          <w:rFonts w:ascii="宋体" w:hAnsi="宋体"/>
          <w:color w:val="auto"/>
        </w:rPr>
        <w:t>17</w:t>
      </w:r>
      <w:r>
        <w:rPr>
          <w:rFonts w:ascii="宋体" w:hAnsi="宋体"/>
          <w:color w:val="auto"/>
        </w:rPr>
        <w:fldChar w:fldCharType="end"/>
      </w:r>
      <w:r>
        <w:rPr>
          <w:rFonts w:ascii="宋体" w:hAnsi="宋体"/>
          <w:color w:val="auto"/>
        </w:rPr>
        <w:fldChar w:fldCharType="end"/>
      </w:r>
    </w:p>
    <w:p>
      <w:pPr>
        <w:tabs>
          <w:tab w:val="right" w:leader="dot" w:pos="8869"/>
        </w:tabs>
        <w:ind w:left="840" w:leftChars="4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"_Toc106794710" </w:instrText>
      </w:r>
      <w:r>
        <w:rPr>
          <w:rFonts w:ascii="Calibri" w:hAnsi="Calibri"/>
          <w:color w:val="auto"/>
        </w:rPr>
        <w:fldChar w:fldCharType="separate"/>
      </w:r>
      <w:r>
        <w:rPr>
          <w:rFonts w:hint="eastAsia" w:ascii="宋体" w:hAnsi="宋体"/>
          <w:color w:val="auto"/>
        </w:rPr>
        <w:t>三、响应文件的编制</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_Toc106794710 \h </w:instrText>
      </w:r>
      <w:r>
        <w:rPr>
          <w:rFonts w:ascii="宋体" w:hAnsi="宋体"/>
          <w:color w:val="auto"/>
        </w:rPr>
        <w:fldChar w:fldCharType="separate"/>
      </w:r>
      <w:r>
        <w:rPr>
          <w:rFonts w:ascii="宋体" w:hAnsi="宋体"/>
          <w:color w:val="auto"/>
        </w:rPr>
        <w:t>18</w:t>
      </w:r>
      <w:r>
        <w:rPr>
          <w:rFonts w:ascii="宋体" w:hAnsi="宋体"/>
          <w:color w:val="auto"/>
        </w:rPr>
        <w:fldChar w:fldCharType="end"/>
      </w:r>
      <w:r>
        <w:rPr>
          <w:rFonts w:ascii="宋体" w:hAnsi="宋体"/>
          <w:color w:val="auto"/>
        </w:rPr>
        <w:fldChar w:fldCharType="end"/>
      </w:r>
    </w:p>
    <w:p>
      <w:pPr>
        <w:tabs>
          <w:tab w:val="right" w:leader="dot" w:pos="8869"/>
        </w:tabs>
        <w:ind w:left="840" w:leftChars="4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"_Toc106794711" </w:instrText>
      </w:r>
      <w:r>
        <w:rPr>
          <w:rFonts w:ascii="Calibri" w:hAnsi="Calibri"/>
          <w:color w:val="auto"/>
        </w:rPr>
        <w:fldChar w:fldCharType="separate"/>
      </w:r>
      <w:r>
        <w:rPr>
          <w:rFonts w:hint="eastAsia" w:ascii="宋体" w:hAnsi="宋体"/>
          <w:color w:val="auto"/>
        </w:rPr>
        <w:t>四、评审及磋商</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_Toc106794711 \h </w:instrText>
      </w:r>
      <w:r>
        <w:rPr>
          <w:rFonts w:ascii="宋体" w:hAnsi="宋体"/>
          <w:color w:val="auto"/>
        </w:rPr>
        <w:fldChar w:fldCharType="separate"/>
      </w:r>
      <w:r>
        <w:rPr>
          <w:rFonts w:ascii="宋体" w:hAnsi="宋体"/>
          <w:color w:val="auto"/>
        </w:rPr>
        <w:t>20</w:t>
      </w:r>
      <w:r>
        <w:rPr>
          <w:rFonts w:ascii="宋体" w:hAnsi="宋体"/>
          <w:color w:val="auto"/>
        </w:rPr>
        <w:fldChar w:fldCharType="end"/>
      </w:r>
      <w:r>
        <w:rPr>
          <w:rFonts w:ascii="宋体" w:hAnsi="宋体"/>
          <w:color w:val="auto"/>
        </w:rPr>
        <w:fldChar w:fldCharType="end"/>
      </w:r>
    </w:p>
    <w:p>
      <w:pPr>
        <w:tabs>
          <w:tab w:val="right" w:leader="dot" w:pos="8869"/>
        </w:tabs>
        <w:ind w:left="840" w:leftChars="4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"_Toc106794712" </w:instrText>
      </w:r>
      <w:r>
        <w:rPr>
          <w:rFonts w:ascii="Calibri" w:hAnsi="Calibri"/>
          <w:color w:val="auto"/>
        </w:rPr>
        <w:fldChar w:fldCharType="separate"/>
      </w:r>
      <w:r>
        <w:rPr>
          <w:rFonts w:hint="eastAsia" w:ascii="宋体" w:hAnsi="宋体"/>
          <w:color w:val="auto"/>
        </w:rPr>
        <w:t>五、成交及合同</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_Toc106794712 \h </w:instrText>
      </w:r>
      <w:r>
        <w:rPr>
          <w:rFonts w:ascii="宋体" w:hAnsi="宋体"/>
          <w:color w:val="auto"/>
        </w:rPr>
        <w:fldChar w:fldCharType="separate"/>
      </w:r>
      <w:r>
        <w:rPr>
          <w:rFonts w:ascii="宋体" w:hAnsi="宋体"/>
          <w:color w:val="auto"/>
        </w:rPr>
        <w:t>21</w:t>
      </w:r>
      <w:r>
        <w:rPr>
          <w:rFonts w:ascii="宋体" w:hAnsi="宋体"/>
          <w:color w:val="auto"/>
        </w:rPr>
        <w:fldChar w:fldCharType="end"/>
      </w:r>
      <w:r>
        <w:rPr>
          <w:rFonts w:ascii="宋体" w:hAnsi="宋体"/>
          <w:color w:val="auto"/>
        </w:rPr>
        <w:fldChar w:fldCharType="end"/>
      </w:r>
    </w:p>
    <w:p>
      <w:pPr>
        <w:tabs>
          <w:tab w:val="right" w:leader="dot" w:pos="8869"/>
        </w:tabs>
        <w:ind w:left="840" w:leftChars="4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"_Toc106794713" </w:instrText>
      </w:r>
      <w:r>
        <w:rPr>
          <w:rFonts w:ascii="Calibri" w:hAnsi="Calibri"/>
          <w:color w:val="auto"/>
        </w:rPr>
        <w:fldChar w:fldCharType="separate"/>
      </w:r>
      <w:r>
        <w:rPr>
          <w:rFonts w:hint="eastAsia" w:ascii="宋体" w:hAnsi="宋体"/>
          <w:color w:val="auto"/>
        </w:rPr>
        <w:t>六、验收</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_Toc106794713 \h </w:instrText>
      </w:r>
      <w:r>
        <w:rPr>
          <w:rFonts w:ascii="宋体" w:hAnsi="宋体"/>
          <w:color w:val="auto"/>
        </w:rPr>
        <w:fldChar w:fldCharType="separate"/>
      </w:r>
      <w:r>
        <w:rPr>
          <w:rFonts w:ascii="宋体" w:hAnsi="宋体"/>
          <w:color w:val="auto"/>
        </w:rPr>
        <w:t>24</w:t>
      </w:r>
      <w:r>
        <w:rPr>
          <w:rFonts w:ascii="宋体" w:hAnsi="宋体"/>
          <w:color w:val="auto"/>
        </w:rPr>
        <w:fldChar w:fldCharType="end"/>
      </w:r>
      <w:r>
        <w:rPr>
          <w:rFonts w:ascii="宋体" w:hAnsi="宋体"/>
          <w:color w:val="auto"/>
        </w:rPr>
        <w:fldChar w:fldCharType="end"/>
      </w:r>
    </w:p>
    <w:p>
      <w:pPr>
        <w:tabs>
          <w:tab w:val="right" w:leader="dot" w:pos="8869"/>
        </w:tabs>
        <w:ind w:left="840" w:leftChars="4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"_Toc106794714" </w:instrText>
      </w:r>
      <w:r>
        <w:rPr>
          <w:rFonts w:ascii="Calibri" w:hAnsi="Calibri"/>
          <w:color w:val="auto"/>
        </w:rPr>
        <w:fldChar w:fldCharType="separate"/>
      </w:r>
      <w:r>
        <w:rPr>
          <w:rFonts w:hint="eastAsia" w:ascii="宋体" w:hAnsi="宋体"/>
          <w:color w:val="auto"/>
        </w:rPr>
        <w:t>七、其他事项</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_Toc106794714 \h </w:instrText>
      </w:r>
      <w:r>
        <w:rPr>
          <w:rFonts w:ascii="宋体" w:hAnsi="宋体"/>
          <w:color w:val="auto"/>
        </w:rPr>
        <w:fldChar w:fldCharType="separate"/>
      </w:r>
      <w:r>
        <w:rPr>
          <w:rFonts w:ascii="宋体" w:hAnsi="宋体"/>
          <w:color w:val="auto"/>
        </w:rPr>
        <w:t>24</w:t>
      </w:r>
      <w:r>
        <w:rPr>
          <w:rFonts w:ascii="宋体" w:hAnsi="宋体"/>
          <w:color w:val="auto"/>
        </w:rPr>
        <w:fldChar w:fldCharType="end"/>
      </w:r>
      <w:r>
        <w:rPr>
          <w:rFonts w:ascii="宋体" w:hAnsi="宋体"/>
          <w:color w:val="auto"/>
        </w:rPr>
        <w:fldChar w:fldCharType="end"/>
      </w:r>
    </w:p>
    <w:p>
      <w:pPr>
        <w:tabs>
          <w:tab w:val="right" w:leader="dot" w:pos="8869"/>
        </w:tabs>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"_Toc106794715" </w:instrText>
      </w:r>
      <w:r>
        <w:rPr>
          <w:rFonts w:ascii="Calibri" w:hAnsi="Calibri"/>
          <w:color w:val="auto"/>
        </w:rPr>
        <w:fldChar w:fldCharType="separate"/>
      </w:r>
      <w:r>
        <w:rPr>
          <w:rFonts w:hint="eastAsia" w:ascii="宋体" w:hAnsi="宋体"/>
          <w:color w:val="auto"/>
        </w:rPr>
        <w:t>第四章评审程序、评审方法和评审标准</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_Toc106794715 \h </w:instrText>
      </w:r>
      <w:r>
        <w:rPr>
          <w:rFonts w:ascii="宋体" w:hAnsi="宋体"/>
          <w:color w:val="auto"/>
        </w:rPr>
        <w:fldChar w:fldCharType="separate"/>
      </w:r>
      <w:r>
        <w:rPr>
          <w:rFonts w:ascii="宋体" w:hAnsi="宋体"/>
          <w:color w:val="auto"/>
        </w:rPr>
        <w:t>26</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"_Toc106794716" </w:instrText>
      </w:r>
      <w:r>
        <w:rPr>
          <w:rFonts w:ascii="Calibri" w:hAnsi="Calibri"/>
          <w:color w:val="auto"/>
        </w:rPr>
        <w:fldChar w:fldCharType="separate"/>
      </w:r>
      <w:r>
        <w:rPr>
          <w:rFonts w:hint="eastAsia" w:ascii="宋体" w:hAnsi="宋体"/>
          <w:color w:val="auto"/>
        </w:rPr>
        <w:t>第一节评审程序和评审方法</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_Toc106794716 \h </w:instrText>
      </w:r>
      <w:r>
        <w:rPr>
          <w:rFonts w:ascii="宋体" w:hAnsi="宋体"/>
          <w:color w:val="auto"/>
        </w:rPr>
        <w:fldChar w:fldCharType="separate"/>
      </w:r>
      <w:r>
        <w:rPr>
          <w:rFonts w:ascii="宋体" w:hAnsi="宋体"/>
          <w:color w:val="auto"/>
        </w:rPr>
        <w:t>26</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"_Toc106794717" </w:instrText>
      </w:r>
      <w:r>
        <w:rPr>
          <w:rFonts w:ascii="Calibri" w:hAnsi="Calibri"/>
          <w:color w:val="auto"/>
        </w:rPr>
        <w:fldChar w:fldCharType="separate"/>
      </w:r>
      <w:r>
        <w:rPr>
          <w:rFonts w:hint="eastAsia" w:ascii="宋体" w:hAnsi="宋体"/>
          <w:color w:val="auto"/>
        </w:rPr>
        <w:t>第二节评标报告</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_Toc106794717 \h </w:instrText>
      </w:r>
      <w:r>
        <w:rPr>
          <w:rFonts w:ascii="宋体" w:hAnsi="宋体"/>
          <w:color w:val="auto"/>
        </w:rPr>
        <w:fldChar w:fldCharType="separate"/>
      </w:r>
      <w:r>
        <w:rPr>
          <w:rFonts w:ascii="宋体" w:hAnsi="宋体"/>
          <w:color w:val="auto"/>
        </w:rPr>
        <w:t>34</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"_Toc106794718" </w:instrText>
      </w:r>
      <w:r>
        <w:rPr>
          <w:rFonts w:ascii="Calibri" w:hAnsi="Calibri"/>
          <w:color w:val="auto"/>
        </w:rPr>
        <w:fldChar w:fldCharType="separate"/>
      </w:r>
      <w:r>
        <w:rPr>
          <w:rFonts w:hint="eastAsia" w:ascii="宋体" w:hAnsi="宋体"/>
          <w:color w:val="auto"/>
        </w:rPr>
        <w:t>第三节评审过程的保密与录像</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_Toc106794718 \h </w:instrText>
      </w:r>
      <w:r>
        <w:rPr>
          <w:rFonts w:ascii="宋体" w:hAnsi="宋体"/>
          <w:color w:val="auto"/>
        </w:rPr>
        <w:fldChar w:fldCharType="separate"/>
      </w:r>
      <w:r>
        <w:rPr>
          <w:rFonts w:ascii="宋体" w:hAnsi="宋体"/>
          <w:color w:val="auto"/>
        </w:rPr>
        <w:t>34</w:t>
      </w:r>
      <w:r>
        <w:rPr>
          <w:rFonts w:ascii="宋体" w:hAnsi="宋体"/>
          <w:color w:val="auto"/>
        </w:rPr>
        <w:fldChar w:fldCharType="end"/>
      </w:r>
      <w:r>
        <w:rPr>
          <w:rFonts w:ascii="宋体" w:hAnsi="宋体"/>
          <w:color w:val="auto"/>
        </w:rPr>
        <w:fldChar w:fldCharType="end"/>
      </w:r>
    </w:p>
    <w:p>
      <w:pPr>
        <w:tabs>
          <w:tab w:val="right" w:leader="dot" w:pos="8869"/>
        </w:tabs>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"_Toc106794719" </w:instrText>
      </w:r>
      <w:r>
        <w:rPr>
          <w:rFonts w:ascii="Calibri" w:hAnsi="Calibri"/>
          <w:color w:val="auto"/>
        </w:rPr>
        <w:fldChar w:fldCharType="separate"/>
      </w:r>
      <w:r>
        <w:rPr>
          <w:rFonts w:hint="eastAsia" w:ascii="宋体" w:hAnsi="宋体"/>
          <w:color w:val="auto"/>
        </w:rPr>
        <w:t>第五章响应文件格式</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_Toc106794719 \h </w:instrText>
      </w:r>
      <w:r>
        <w:rPr>
          <w:rFonts w:ascii="宋体" w:hAnsi="宋体"/>
          <w:color w:val="auto"/>
        </w:rPr>
        <w:fldChar w:fldCharType="separate"/>
      </w:r>
      <w:r>
        <w:rPr>
          <w:rFonts w:ascii="宋体" w:hAnsi="宋体"/>
          <w:color w:val="auto"/>
        </w:rPr>
        <w:t>35</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"_Toc106794720" </w:instrText>
      </w:r>
      <w:r>
        <w:rPr>
          <w:rFonts w:ascii="Calibri" w:hAnsi="Calibri"/>
          <w:color w:val="auto"/>
        </w:rPr>
        <w:fldChar w:fldCharType="separate"/>
      </w:r>
      <w:r>
        <w:rPr>
          <w:rFonts w:hint="eastAsia" w:ascii="宋体" w:hAnsi="宋体"/>
          <w:color w:val="auto"/>
        </w:rPr>
        <w:t>第一节封面格式</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_Toc106794720 \h </w:instrText>
      </w:r>
      <w:r>
        <w:rPr>
          <w:rFonts w:ascii="宋体" w:hAnsi="宋体"/>
          <w:color w:val="auto"/>
        </w:rPr>
        <w:fldChar w:fldCharType="separate"/>
      </w:r>
      <w:r>
        <w:rPr>
          <w:rFonts w:ascii="宋体" w:hAnsi="宋体"/>
          <w:color w:val="auto"/>
        </w:rPr>
        <w:t>36</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"_Toc106794721" </w:instrText>
      </w:r>
      <w:r>
        <w:rPr>
          <w:rFonts w:ascii="Calibri" w:hAnsi="Calibri"/>
          <w:color w:val="auto"/>
        </w:rPr>
        <w:fldChar w:fldCharType="separate"/>
      </w:r>
      <w:r>
        <w:rPr>
          <w:rFonts w:hint="eastAsia" w:ascii="宋体" w:hAnsi="宋体"/>
          <w:color w:val="auto"/>
        </w:rPr>
        <w:t>第二节资格证明文件格式</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_Toc106794721 \h </w:instrText>
      </w:r>
      <w:r>
        <w:rPr>
          <w:rFonts w:ascii="宋体" w:hAnsi="宋体"/>
          <w:color w:val="auto"/>
        </w:rPr>
        <w:fldChar w:fldCharType="separate"/>
      </w:r>
      <w:r>
        <w:rPr>
          <w:rFonts w:ascii="宋体" w:hAnsi="宋体"/>
          <w:color w:val="auto"/>
        </w:rPr>
        <w:t>37</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"_Toc106794722" </w:instrText>
      </w:r>
      <w:r>
        <w:rPr>
          <w:rFonts w:ascii="Calibri" w:hAnsi="Calibri"/>
          <w:color w:val="auto"/>
        </w:rPr>
        <w:fldChar w:fldCharType="separate"/>
      </w:r>
      <w:r>
        <w:rPr>
          <w:rFonts w:hint="eastAsia" w:ascii="宋体" w:hAnsi="宋体"/>
          <w:color w:val="auto"/>
        </w:rPr>
        <w:t>第三节商务技术文件格式</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_Toc106794722 \h </w:instrText>
      </w:r>
      <w:r>
        <w:rPr>
          <w:rFonts w:ascii="宋体" w:hAnsi="宋体"/>
          <w:color w:val="auto"/>
        </w:rPr>
        <w:fldChar w:fldCharType="separate"/>
      </w:r>
      <w:r>
        <w:rPr>
          <w:rFonts w:ascii="宋体" w:hAnsi="宋体"/>
          <w:color w:val="auto"/>
        </w:rPr>
        <w:t>45</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"_Toc106794723" </w:instrText>
      </w:r>
      <w:r>
        <w:rPr>
          <w:rFonts w:ascii="Calibri" w:hAnsi="Calibri"/>
          <w:color w:val="auto"/>
        </w:rPr>
        <w:fldChar w:fldCharType="separate"/>
      </w:r>
      <w:r>
        <w:rPr>
          <w:rFonts w:hint="eastAsia" w:ascii="宋体" w:hAnsi="宋体"/>
          <w:color w:val="auto"/>
        </w:rPr>
        <w:t>第四节报价文件格式</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_Toc106794723 \h </w:instrText>
      </w:r>
      <w:r>
        <w:rPr>
          <w:rFonts w:ascii="宋体" w:hAnsi="宋体"/>
          <w:color w:val="auto"/>
        </w:rPr>
        <w:fldChar w:fldCharType="separate"/>
      </w:r>
      <w:r>
        <w:rPr>
          <w:rFonts w:ascii="宋体" w:hAnsi="宋体"/>
          <w:color w:val="auto"/>
        </w:rPr>
        <w:t>63</w:t>
      </w:r>
      <w:r>
        <w:rPr>
          <w:rFonts w:ascii="宋体" w:hAnsi="宋体"/>
          <w:color w:val="auto"/>
        </w:rPr>
        <w:fldChar w:fldCharType="end"/>
      </w:r>
      <w:r>
        <w:rPr>
          <w:rFonts w:ascii="宋体" w:hAnsi="宋体"/>
          <w:color w:val="auto"/>
        </w:rPr>
        <w:fldChar w:fldCharType="end"/>
      </w:r>
    </w:p>
    <w:p>
      <w:pPr>
        <w:tabs>
          <w:tab w:val="right" w:leader="dot" w:pos="8296"/>
        </w:tabs>
        <w:ind w:left="420" w:leftChars="200"/>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"_Toc106794724" </w:instrText>
      </w:r>
      <w:r>
        <w:rPr>
          <w:rFonts w:ascii="Calibri" w:hAnsi="Calibri"/>
          <w:color w:val="auto"/>
        </w:rPr>
        <w:fldChar w:fldCharType="separate"/>
      </w:r>
      <w:r>
        <w:rPr>
          <w:rFonts w:hint="eastAsia" w:ascii="宋体" w:hAnsi="宋体"/>
          <w:color w:val="auto"/>
        </w:rPr>
        <w:t>第五节其他文书、文件格式</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_Toc106794724 \h </w:instrText>
      </w:r>
      <w:r>
        <w:rPr>
          <w:rFonts w:ascii="宋体" w:hAnsi="宋体"/>
          <w:color w:val="auto"/>
        </w:rPr>
        <w:fldChar w:fldCharType="separate"/>
      </w:r>
      <w:r>
        <w:rPr>
          <w:rFonts w:ascii="宋体" w:hAnsi="宋体"/>
          <w:color w:val="auto"/>
        </w:rPr>
        <w:t>70</w:t>
      </w:r>
      <w:r>
        <w:rPr>
          <w:rFonts w:ascii="宋体" w:hAnsi="宋体"/>
          <w:color w:val="auto"/>
        </w:rPr>
        <w:fldChar w:fldCharType="end"/>
      </w:r>
      <w:r>
        <w:rPr>
          <w:rFonts w:ascii="宋体" w:hAnsi="宋体"/>
          <w:color w:val="auto"/>
        </w:rPr>
        <w:fldChar w:fldCharType="end"/>
      </w:r>
    </w:p>
    <w:p>
      <w:pPr>
        <w:tabs>
          <w:tab w:val="right" w:leader="dot" w:pos="8869"/>
        </w:tabs>
        <w:rPr>
          <w:rFonts w:ascii="宋体" w:hAnsi="宋体"/>
          <w:color w:val="auto"/>
          <w:szCs w:val="22"/>
        </w:rPr>
      </w:pPr>
      <w:r>
        <w:rPr>
          <w:rFonts w:ascii="Calibri" w:hAnsi="Calibri"/>
          <w:color w:val="auto"/>
        </w:rPr>
        <w:fldChar w:fldCharType="begin"/>
      </w:r>
      <w:r>
        <w:rPr>
          <w:rFonts w:ascii="Calibri" w:hAnsi="Calibri"/>
          <w:color w:val="auto"/>
        </w:rPr>
        <w:instrText xml:space="preserve"> HYPERLINK \l "_Toc106794725" </w:instrText>
      </w:r>
      <w:r>
        <w:rPr>
          <w:rFonts w:ascii="Calibri" w:hAnsi="Calibri"/>
          <w:color w:val="auto"/>
        </w:rPr>
        <w:fldChar w:fldCharType="separate"/>
      </w:r>
      <w:r>
        <w:rPr>
          <w:rFonts w:hint="eastAsia" w:ascii="宋体" w:hAnsi="宋体"/>
          <w:color w:val="auto"/>
        </w:rPr>
        <w:t>第六章合同文本</w:t>
      </w:r>
      <w:r>
        <w:rPr>
          <w:rFonts w:ascii="宋体" w:hAnsi="宋体"/>
          <w:color w:val="auto"/>
        </w:rPr>
        <w:tab/>
      </w:r>
      <w:r>
        <w:rPr>
          <w:rFonts w:ascii="宋体" w:hAnsi="宋体"/>
          <w:color w:val="auto"/>
        </w:rPr>
        <w:fldChar w:fldCharType="begin"/>
      </w:r>
      <w:r>
        <w:rPr>
          <w:rFonts w:ascii="宋体" w:hAnsi="宋体"/>
          <w:color w:val="auto"/>
        </w:rPr>
        <w:instrText xml:space="preserve"> PAGEREF _Toc106794725 \h </w:instrText>
      </w:r>
      <w:r>
        <w:rPr>
          <w:rFonts w:ascii="宋体" w:hAnsi="宋体"/>
          <w:color w:val="auto"/>
        </w:rPr>
        <w:fldChar w:fldCharType="separate"/>
      </w:r>
      <w:r>
        <w:rPr>
          <w:rFonts w:ascii="宋体" w:hAnsi="宋体"/>
          <w:color w:val="auto"/>
        </w:rPr>
        <w:t>71</w:t>
      </w:r>
      <w:r>
        <w:rPr>
          <w:rFonts w:ascii="宋体" w:hAnsi="宋体"/>
          <w:color w:val="auto"/>
        </w:rPr>
        <w:fldChar w:fldCharType="end"/>
      </w:r>
      <w:r>
        <w:rPr>
          <w:rFonts w:ascii="宋体" w:hAnsi="宋体"/>
          <w:color w:val="auto"/>
        </w:rPr>
        <w:fldChar w:fldCharType="end"/>
      </w:r>
    </w:p>
    <w:p>
      <w:pPr>
        <w:tabs>
          <w:tab w:val="right" w:leader="dot" w:pos="8869"/>
        </w:tabs>
        <w:rPr>
          <w:rFonts w:ascii="宋体" w:hAnsi="宋体"/>
          <w:color w:val="auto"/>
          <w:szCs w:val="22"/>
        </w:rPr>
      </w:pPr>
    </w:p>
    <w:p>
      <w:pPr>
        <w:tabs>
          <w:tab w:val="right" w:leader="dot" w:pos="8296"/>
        </w:tabs>
        <w:ind w:left="420" w:leftChars="200"/>
        <w:rPr>
          <w:rFonts w:ascii="宋体" w:hAnsi="宋体"/>
          <w:color w:val="auto"/>
          <w:sz w:val="28"/>
          <w:szCs w:val="28"/>
        </w:rPr>
      </w:pPr>
      <w:r>
        <w:rPr>
          <w:rFonts w:ascii="宋体" w:hAnsi="宋体"/>
          <w:b/>
          <w:color w:val="auto"/>
          <w:sz w:val="30"/>
          <w:szCs w:val="30"/>
        </w:rPr>
        <w:fldChar w:fldCharType="end"/>
      </w:r>
    </w:p>
    <w:p>
      <w:pPr>
        <w:spacing w:line="400" w:lineRule="exact"/>
        <w:jc w:val="left"/>
        <w:rPr>
          <w:rFonts w:ascii="宋体" w:hAnsi="宋体"/>
          <w:b/>
          <w:color w:val="auto"/>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sectPr>
          <w:pgSz w:w="11906" w:h="16838"/>
          <w:pgMar w:top="1440" w:right="1440" w:bottom="1440" w:left="1587" w:header="851" w:footer="992" w:gutter="0"/>
          <w:pgNumType w:start="0"/>
          <w:cols w:space="720" w:num="1"/>
          <w:titlePg/>
          <w:docGrid w:type="lines" w:linePitch="312" w:charSpace="0"/>
        </w:sectPr>
      </w:pPr>
    </w:p>
    <w:p>
      <w:pPr>
        <w:keepNext/>
        <w:keepLines/>
        <w:spacing w:before="340" w:after="330" w:line="400" w:lineRule="exact"/>
        <w:jc w:val="center"/>
        <w:outlineLvl w:val="0"/>
        <w:rPr>
          <w:rFonts w:ascii="宋体" w:hAnsi="宋体"/>
          <w:b/>
          <w:bCs/>
          <w:kern w:val="44"/>
          <w:sz w:val="44"/>
          <w:szCs w:val="44"/>
        </w:rPr>
      </w:pPr>
      <w:bookmarkStart w:id="0" w:name="_Toc106794701"/>
      <w:r>
        <w:rPr>
          <w:rFonts w:hint="eastAsia" w:ascii="宋体" w:hAnsi="宋体"/>
          <w:b/>
          <w:bCs/>
          <w:kern w:val="44"/>
          <w:sz w:val="44"/>
          <w:szCs w:val="44"/>
        </w:rPr>
        <w:t>第一章 竞争性磋商公告</w:t>
      </w:r>
      <w:bookmarkEnd w:id="0"/>
      <w:bookmarkStart w:id="1" w:name="_Toc28359089"/>
      <w:bookmarkStart w:id="2" w:name="_Toc35393629"/>
      <w:bookmarkStart w:id="3" w:name="_Toc44229878"/>
      <w:bookmarkStart w:id="4" w:name="_Toc28359012"/>
      <w:bookmarkStart w:id="5" w:name="_Toc35393798"/>
      <w:bookmarkStart w:id="6" w:name="_Toc35393623"/>
      <w:bookmarkStart w:id="7" w:name="_Toc28359004"/>
      <w:bookmarkStart w:id="8" w:name="_Toc35393792"/>
      <w:bookmarkStart w:id="9" w:name="_Toc28359081"/>
    </w:p>
    <w:p>
      <w:pPr>
        <w:spacing w:line="360" w:lineRule="auto"/>
        <w:rPr>
          <w:rFonts w:ascii="宋体" w:hAnsi="宋体"/>
          <w:color w:val="000000"/>
          <w:szCs w:val="21"/>
        </w:rPr>
      </w:pP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b/>
          <w:color w:val="000000" w:themeColor="text1"/>
          <w:kern w:val="44"/>
          <w:sz w:val="24"/>
          <w14:textFill>
            <w14:solidFill>
              <w14:schemeClr w14:val="tx1"/>
            </w14:solidFill>
          </w14:textFill>
        </w:rPr>
      </w:pPr>
      <w:r>
        <w:rPr>
          <w:rFonts w:hint="eastAsia" w:ascii="宋体" w:hAnsi="宋体"/>
          <w:color w:val="000000"/>
          <w:szCs w:val="21"/>
          <w:u w:val="single"/>
        </w:rPr>
        <w:t>南宁</w:t>
      </w:r>
      <w:r>
        <w:rPr>
          <w:rFonts w:hint="eastAsia" w:ascii="宋体" w:hAnsi="宋体"/>
          <w:color w:val="000000" w:themeColor="text1"/>
          <w:szCs w:val="21"/>
          <w:u w:val="single"/>
          <w14:textFill>
            <w14:solidFill>
              <w14:schemeClr w14:val="tx1"/>
            </w14:solidFill>
          </w14:textFill>
        </w:rPr>
        <w:t>市体育运动学校游泳跳水馆功能训练房改造工程</w:t>
      </w:r>
      <w:r>
        <w:rPr>
          <w:rFonts w:hint="eastAsia" w:ascii="宋体" w:hAnsi="宋体"/>
          <w:color w:val="000000" w:themeColor="text1"/>
          <w:szCs w:val="21"/>
          <w14:textFill>
            <w14:solidFill>
              <w14:schemeClr w14:val="tx1"/>
            </w14:solidFill>
          </w14:textFill>
        </w:rPr>
        <w:t>项目的潜在供应商应在</w:t>
      </w:r>
      <w:r>
        <w:rPr>
          <w:rFonts w:hint="eastAsia" w:ascii="宋体" w:hAnsi="宋体"/>
          <w:color w:val="000000" w:themeColor="text1"/>
          <w:szCs w:val="21"/>
          <w:lang w:eastAsia="zh-CN"/>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https:</w:t>
      </w:r>
      <w:r>
        <w:rPr>
          <w:rFonts w:hint="eastAsia" w:ascii="宋体" w:hAnsi="宋体"/>
          <w:color w:val="000000" w:themeColor="text1"/>
          <w:szCs w:val="21"/>
          <w:u w:val="none"/>
          <w:lang w:eastAsia="zh-CN"/>
          <w14:textFill>
            <w14:solidFill>
              <w14:schemeClr w14:val="tx1"/>
            </w14:solidFill>
          </w14:textFill>
        </w:rPr>
        <w:t>//www.gcy.zfcg.gxzf.gov.cn/</w:t>
      </w:r>
      <w:r>
        <w:rPr>
          <w:rFonts w:hint="eastAsia" w:ascii="宋体" w:hAnsi="宋体"/>
          <w:color w:val="000000" w:themeColor="text1"/>
          <w:szCs w:val="21"/>
          <w:u w:val="none"/>
          <w14:textFill>
            <w14:solidFill>
              <w14:schemeClr w14:val="tx1"/>
            </w14:solidFill>
          </w14:textFill>
        </w:rPr>
        <w:t>）获取（下载）竞争性磋商文件，并于</w:t>
      </w:r>
      <w:r>
        <w:rPr>
          <w:rFonts w:ascii="宋体" w:hAnsi="宋体"/>
          <w:bCs/>
          <w:color w:val="000000" w:themeColor="text1"/>
          <w:szCs w:val="21"/>
          <w:u w:val="none"/>
          <w14:textFill>
            <w14:solidFill>
              <w14:schemeClr w14:val="tx1"/>
            </w14:solidFill>
          </w14:textFill>
        </w:rPr>
        <w:t>20</w:t>
      </w:r>
      <w:r>
        <w:rPr>
          <w:rFonts w:hint="eastAsia" w:ascii="宋体" w:hAnsi="宋体"/>
          <w:bCs/>
          <w:color w:val="000000" w:themeColor="text1"/>
          <w:szCs w:val="21"/>
          <w:u w:val="none"/>
          <w:lang w:val="en-US" w:eastAsia="zh-CN"/>
          <w14:textFill>
            <w14:solidFill>
              <w14:schemeClr w14:val="tx1"/>
            </w14:solidFill>
          </w14:textFill>
        </w:rPr>
        <w:t>25</w:t>
      </w:r>
      <w:r>
        <w:rPr>
          <w:rFonts w:hint="eastAsia" w:ascii="宋体" w:hAnsi="宋体"/>
          <w:bCs/>
          <w:color w:val="000000" w:themeColor="text1"/>
          <w:szCs w:val="21"/>
          <w:u w:val="none"/>
          <w14:textFill>
            <w14:solidFill>
              <w14:schemeClr w14:val="tx1"/>
            </w14:solidFill>
          </w14:textFill>
        </w:rPr>
        <w:t>年</w:t>
      </w:r>
      <w:r>
        <w:rPr>
          <w:rFonts w:hint="eastAsia" w:ascii="宋体" w:hAnsi="宋体"/>
          <w:bCs/>
          <w:color w:val="000000" w:themeColor="text1"/>
          <w:szCs w:val="21"/>
          <w:u w:val="none"/>
          <w:lang w:val="en-US" w:eastAsia="zh-CN"/>
          <w14:textFill>
            <w14:solidFill>
              <w14:schemeClr w14:val="tx1"/>
            </w14:solidFill>
          </w14:textFill>
        </w:rPr>
        <w:t>7</w:t>
      </w:r>
      <w:r>
        <w:rPr>
          <w:rFonts w:hint="eastAsia" w:ascii="宋体" w:hAnsi="宋体"/>
          <w:bCs/>
          <w:color w:val="000000" w:themeColor="text1"/>
          <w:szCs w:val="21"/>
          <w:u w:val="none"/>
          <w14:textFill>
            <w14:solidFill>
              <w14:schemeClr w14:val="tx1"/>
            </w14:solidFill>
          </w14:textFill>
        </w:rPr>
        <w:t>月</w:t>
      </w:r>
      <w:r>
        <w:rPr>
          <w:rFonts w:hint="eastAsia" w:ascii="宋体" w:hAnsi="宋体"/>
          <w:bCs/>
          <w:color w:val="000000" w:themeColor="text1"/>
          <w:szCs w:val="21"/>
          <w:u w:val="none"/>
          <w:lang w:val="en-US" w:eastAsia="zh-CN"/>
          <w14:textFill>
            <w14:solidFill>
              <w14:schemeClr w14:val="tx1"/>
            </w14:solidFill>
          </w14:textFill>
        </w:rPr>
        <w:t>18</w:t>
      </w:r>
      <w:r>
        <w:rPr>
          <w:rFonts w:hint="eastAsia" w:ascii="宋体" w:hAnsi="宋体"/>
          <w:bCs/>
          <w:color w:val="000000" w:themeColor="text1"/>
          <w:szCs w:val="21"/>
          <w:u w:val="none"/>
          <w14:textFill>
            <w14:solidFill>
              <w14:schemeClr w14:val="tx1"/>
            </w14:solidFill>
          </w14:textFill>
        </w:rPr>
        <w:t>日</w:t>
      </w:r>
      <w:r>
        <w:rPr>
          <w:rFonts w:hint="eastAsia" w:ascii="宋体" w:hAnsi="宋体"/>
          <w:bCs/>
          <w:color w:val="000000" w:themeColor="text1"/>
          <w:szCs w:val="21"/>
          <w:u w:val="none"/>
          <w:lang w:val="en-US" w:eastAsia="zh-CN"/>
          <w14:textFill>
            <w14:solidFill>
              <w14:schemeClr w14:val="tx1"/>
            </w14:solidFill>
          </w14:textFill>
        </w:rPr>
        <w:t>13</w:t>
      </w:r>
      <w:r>
        <w:rPr>
          <w:rFonts w:hint="eastAsia" w:ascii="宋体" w:hAnsi="宋体"/>
          <w:bCs/>
          <w:color w:val="000000" w:themeColor="text1"/>
          <w:szCs w:val="21"/>
          <w:u w:val="none"/>
          <w14:textFill>
            <w14:solidFill>
              <w14:schemeClr w14:val="tx1"/>
            </w14:solidFill>
          </w14:textFill>
        </w:rPr>
        <w:t>时</w:t>
      </w:r>
      <w:r>
        <w:rPr>
          <w:rFonts w:hint="eastAsia" w:ascii="宋体" w:hAnsi="宋体"/>
          <w:bCs/>
          <w:color w:val="000000" w:themeColor="text1"/>
          <w:szCs w:val="21"/>
          <w:u w:val="none"/>
          <w:lang w:val="en-US" w:eastAsia="zh-CN"/>
          <w14:textFill>
            <w14:solidFill>
              <w14:schemeClr w14:val="tx1"/>
            </w14:solidFill>
          </w14:textFill>
        </w:rPr>
        <w:t>0</w:t>
      </w:r>
      <w:r>
        <w:rPr>
          <w:rFonts w:ascii="宋体" w:hAnsi="宋体"/>
          <w:bCs/>
          <w:color w:val="000000" w:themeColor="text1"/>
          <w:szCs w:val="21"/>
          <w:u w:val="none"/>
          <w14:textFill>
            <w14:solidFill>
              <w14:schemeClr w14:val="tx1"/>
            </w14:solidFill>
          </w14:textFill>
        </w:rPr>
        <w:t>0</w:t>
      </w:r>
      <w:r>
        <w:rPr>
          <w:rFonts w:hint="eastAsia" w:ascii="宋体" w:hAnsi="宋体"/>
          <w:bCs/>
          <w:color w:val="000000" w:themeColor="text1"/>
          <w:szCs w:val="21"/>
          <w:u w:val="none"/>
          <w14:textFill>
            <w14:solidFill>
              <w14:schemeClr w14:val="tx1"/>
            </w14:solidFill>
          </w14:textFill>
        </w:rPr>
        <w:t>分</w:t>
      </w:r>
      <w:r>
        <w:rPr>
          <w:rFonts w:hint="eastAsia" w:ascii="宋体" w:hAnsi="宋体"/>
          <w:bCs/>
          <w:color w:val="000000" w:themeColor="text1"/>
          <w:szCs w:val="21"/>
          <w14:textFill>
            <w14:solidFill>
              <w14:schemeClr w14:val="tx1"/>
            </w14:solidFill>
          </w14:textFill>
        </w:rPr>
        <w:t>（北京时间）前提交</w:t>
      </w:r>
      <w:r>
        <w:rPr>
          <w:rFonts w:hint="eastAsia" w:ascii="宋体" w:hAnsi="宋体"/>
          <w:color w:val="000000" w:themeColor="text1"/>
          <w:szCs w:val="21"/>
          <w14:textFill>
            <w14:solidFill>
              <w14:schemeClr w14:val="tx1"/>
            </w14:solidFill>
          </w14:textFill>
        </w:rPr>
        <w:t>响应</w:t>
      </w:r>
      <w:r>
        <w:rPr>
          <w:rFonts w:hint="eastAsia" w:ascii="宋体" w:hAnsi="宋体"/>
          <w:bCs/>
          <w:color w:val="000000" w:themeColor="text1"/>
          <w:szCs w:val="21"/>
          <w14:textFill>
            <w14:solidFill>
              <w14:schemeClr w14:val="tx1"/>
            </w14:solidFill>
          </w14:textFill>
        </w:rPr>
        <w:t>文件</w:t>
      </w:r>
      <w:r>
        <w:rPr>
          <w:rFonts w:hint="eastAsia" w:ascii="宋体" w:hAnsi="宋体"/>
          <w:color w:val="000000" w:themeColor="text1"/>
          <w:szCs w:val="21"/>
          <w14:textFill>
            <w14:solidFill>
              <w14:schemeClr w14:val="tx1"/>
            </w14:solidFill>
          </w14:textFill>
        </w:rPr>
        <w:t>。</w:t>
      </w:r>
    </w:p>
    <w:p>
      <w:pPr>
        <w:spacing w:line="400" w:lineRule="exact"/>
        <w:ind w:firstLine="482" w:firstLineChars="200"/>
        <w:rPr>
          <w:rFonts w:hint="eastAsia" w:ascii="宋体" w:hAnsi="宋体" w:eastAsia="宋体" w:cs="宋体"/>
          <w:b/>
          <w:color w:val="000000" w:themeColor="text1"/>
          <w:kern w:val="44"/>
          <w:sz w:val="24"/>
          <w14:textFill>
            <w14:solidFill>
              <w14:schemeClr w14:val="tx1"/>
            </w14:solidFill>
          </w14:textFill>
        </w:rPr>
      </w:pPr>
      <w:r>
        <w:rPr>
          <w:rFonts w:hint="eastAsia" w:ascii="宋体" w:hAnsi="宋体" w:eastAsia="宋体" w:cs="宋体"/>
          <w:b/>
          <w:color w:val="000000" w:themeColor="text1"/>
          <w:kern w:val="44"/>
          <w:sz w:val="24"/>
          <w14:textFill>
            <w14:solidFill>
              <w14:schemeClr w14:val="tx1"/>
            </w14:solidFill>
          </w14:textFill>
        </w:rPr>
        <w:t>一、项目基本情况</w:t>
      </w:r>
      <w:bookmarkEnd w:id="1"/>
      <w:bookmarkEnd w:id="2"/>
      <w:bookmarkEnd w:id="3"/>
      <w:bookmarkEnd w:id="4"/>
      <w:bookmarkEnd w:id="5"/>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360" w:hanging="36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项目编号：NNZC2025-C2-990603-GXZX；采购计划文号：NNZC[2025]3597号</w:t>
      </w:r>
      <w:r>
        <w:rPr>
          <w:rFonts w:hint="eastAsia" w:ascii="宋体" w:hAnsi="宋体"/>
          <w:color w:val="000000" w:themeColor="text1"/>
          <w:szCs w:val="21"/>
          <w:lang w:val="en-US" w:eastAsia="zh-CN"/>
          <w14:textFill>
            <w14:solidFill>
              <w14:schemeClr w14:val="tx1"/>
            </w14:solidFill>
          </w14:textFill>
        </w:rPr>
        <w:t xml:space="preserve">  </w:t>
      </w:r>
    </w:p>
    <w:p>
      <w:pPr>
        <w:spacing w:line="400" w:lineRule="exact"/>
        <w:ind w:firstLine="420" w:firstLineChars="200"/>
        <w:rPr>
          <w:rFonts w:hint="eastAsia" w:ascii="宋体" w:hAnsi="宋体" w:eastAsia="宋体"/>
          <w:color w:val="000000" w:themeColor="text1"/>
          <w:szCs w:val="21"/>
          <w:u w:val="single"/>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项目名称：</w:t>
      </w:r>
      <w:r>
        <w:rPr>
          <w:rFonts w:hint="eastAsia" w:ascii="宋体" w:hAnsi="宋体"/>
          <w:color w:val="000000" w:themeColor="text1"/>
          <w:spacing w:val="-4"/>
          <w:szCs w:val="21"/>
          <w:lang w:eastAsia="zh-CN"/>
          <w14:textFill>
            <w14:solidFill>
              <w14:schemeClr w14:val="tx1"/>
            </w14:solidFill>
          </w14:textFill>
        </w:rPr>
        <w:t xml:space="preserve">南宁市体育运动学校游泳跳水馆功能训练房改造工程 </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采购方式：竞争性磋商</w:t>
      </w:r>
      <w:bookmarkStart w:id="1264" w:name="_GoBack"/>
      <w:bookmarkEnd w:id="1264"/>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预算金额：90</w:t>
      </w:r>
      <w:r>
        <w:rPr>
          <w:rFonts w:hint="eastAsia" w:ascii="宋体" w:hAnsi="宋体"/>
          <w:color w:val="000000" w:themeColor="text1"/>
          <w:szCs w:val="21"/>
          <w:lang w:val="en-US" w:eastAsia="zh-CN"/>
          <w14:textFill>
            <w14:solidFill>
              <w14:schemeClr w14:val="tx1"/>
            </w14:solidFill>
          </w14:textFill>
        </w:rPr>
        <w:t>0000</w:t>
      </w:r>
      <w:r>
        <w:rPr>
          <w:rFonts w:hint="eastAsia" w:ascii="宋体" w:hAnsi="宋体"/>
          <w:color w:val="000000" w:themeColor="text1"/>
          <w:szCs w:val="21"/>
          <w14:textFill>
            <w14:solidFill>
              <w14:schemeClr w14:val="tx1"/>
            </w14:solidFill>
          </w14:textFill>
        </w:rPr>
        <w:t>元</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最高限价：90</w:t>
      </w:r>
      <w:r>
        <w:rPr>
          <w:rFonts w:hint="eastAsia" w:ascii="宋体" w:hAnsi="宋体"/>
          <w:color w:val="000000" w:themeColor="text1"/>
          <w:szCs w:val="21"/>
          <w:lang w:val="en-US" w:eastAsia="zh-CN"/>
          <w14:textFill>
            <w14:solidFill>
              <w14:schemeClr w14:val="tx1"/>
            </w14:solidFill>
          </w14:textFill>
        </w:rPr>
        <w:t>0000</w:t>
      </w:r>
      <w:r>
        <w:rPr>
          <w:rFonts w:hint="eastAsia" w:ascii="宋体" w:hAnsi="宋体"/>
          <w:color w:val="000000" w:themeColor="text1"/>
          <w:szCs w:val="21"/>
          <w14:textFill>
            <w14:solidFill>
              <w14:schemeClr w14:val="tx1"/>
            </w14:solidFill>
          </w14:textFill>
        </w:rPr>
        <w:t>元</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采购需求：</w:t>
      </w:r>
    </w:p>
    <w:tbl>
      <w:tblPr>
        <w:tblStyle w:val="46"/>
        <w:tblW w:w="97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510"/>
        <w:gridCol w:w="1042"/>
        <w:gridCol w:w="5251"/>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510"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标的名称</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数量及单位</w:t>
            </w:r>
          </w:p>
        </w:tc>
        <w:tc>
          <w:tcPr>
            <w:tcW w:w="5251" w:type="dxa"/>
            <w:tcBorders>
              <w:top w:val="single" w:color="000000" w:sz="4" w:space="0"/>
              <w:left w:val="single" w:color="000000" w:sz="4" w:space="0"/>
              <w:bottom w:val="single" w:color="000000" w:sz="4" w:space="0"/>
              <w:right w:val="single" w:color="auto" w:sz="4" w:space="0"/>
            </w:tcBorders>
            <w:noWrap w:val="0"/>
            <w:vAlign w:val="center"/>
          </w:tcPr>
          <w:p>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简要技术需求或者服务要求</w:t>
            </w:r>
          </w:p>
        </w:tc>
        <w:tc>
          <w:tcPr>
            <w:tcW w:w="1276" w:type="dxa"/>
            <w:tcBorders>
              <w:top w:val="single" w:color="000000" w:sz="4" w:space="0"/>
              <w:left w:val="single" w:color="auto" w:sz="4" w:space="0"/>
              <w:bottom w:val="single" w:color="000000" w:sz="4" w:space="0"/>
              <w:right w:val="single" w:color="000000" w:sz="4" w:space="0"/>
            </w:tcBorders>
            <w:noWrap w:val="0"/>
            <w:vAlign w:val="center"/>
          </w:tcPr>
          <w:p>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分项最高限价（元）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400" w:lineRule="exac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1510"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pacing w:val="-4"/>
                <w:szCs w:val="21"/>
                <w:lang w:eastAsia="zh-CN"/>
                <w14:textFill>
                  <w14:solidFill>
                    <w14:schemeClr w14:val="tx1"/>
                  </w14:solidFill>
                </w14:textFill>
              </w:rPr>
              <w:t xml:space="preserve">南宁市体育运动学校游泳跳水馆功能训练房改造工程 </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1项</w:t>
            </w:r>
          </w:p>
        </w:tc>
        <w:tc>
          <w:tcPr>
            <w:tcW w:w="5251" w:type="dxa"/>
            <w:tcBorders>
              <w:top w:val="single" w:color="000000" w:sz="4" w:space="0"/>
              <w:left w:val="single" w:color="000000" w:sz="4" w:space="0"/>
              <w:bottom w:val="single" w:color="000000" w:sz="4" w:space="0"/>
              <w:right w:val="single" w:color="auto" w:sz="4" w:space="0"/>
            </w:tcBorders>
            <w:noWrap w:val="0"/>
            <w:vAlign w:val="center"/>
          </w:tcPr>
          <w:p>
            <w:pPr>
              <w:widowControl/>
              <w:spacing w:line="400" w:lineRule="exact"/>
              <w:ind w:firstLine="404" w:firstLineChars="200"/>
              <w:rPr>
                <w:rFonts w:ascii="宋体" w:hAnsi="宋体"/>
                <w:color w:val="000000" w:themeColor="text1"/>
                <w:kern w:val="0"/>
                <w:szCs w:val="21"/>
                <w14:textFill>
                  <w14:solidFill>
                    <w14:schemeClr w14:val="tx1"/>
                  </w14:solidFill>
                </w14:textFill>
              </w:rPr>
            </w:pPr>
            <w:r>
              <w:rPr>
                <w:rFonts w:hint="eastAsia" w:ascii="宋体" w:hAnsi="宋体"/>
                <w:color w:val="000000" w:themeColor="text1"/>
                <w:spacing w:val="-4"/>
                <w:szCs w:val="21"/>
                <w:lang w:eastAsia="zh-CN"/>
                <w14:textFill>
                  <w14:solidFill>
                    <w14:schemeClr w14:val="tx1"/>
                  </w14:solidFill>
                </w14:textFill>
              </w:rPr>
              <w:t>南宁市体育运动学校游泳跳水馆功能训练房改造工程，工程内容含自流平、橡胶（PVC）面层、吊顶、水电、勒木架、卫生间等安装，具体详见工程量清单和施工图纸。</w:t>
            </w:r>
          </w:p>
        </w:tc>
        <w:tc>
          <w:tcPr>
            <w:tcW w:w="1276" w:type="dxa"/>
            <w:tcBorders>
              <w:top w:val="single" w:color="000000" w:sz="4" w:space="0"/>
              <w:left w:val="single" w:color="auto" w:sz="4" w:space="0"/>
              <w:bottom w:val="single" w:color="000000" w:sz="4" w:space="0"/>
              <w:right w:val="single" w:color="000000" w:sz="4" w:space="0"/>
            </w:tcBorders>
            <w:noWrap w:val="0"/>
            <w:vAlign w:val="center"/>
          </w:tcPr>
          <w:p>
            <w:pPr>
              <w:widowControl/>
              <w:spacing w:line="400" w:lineRule="exact"/>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90</w:t>
            </w:r>
            <w:r>
              <w:rPr>
                <w:rFonts w:hint="eastAsia" w:ascii="宋体" w:hAnsi="宋体"/>
                <w:color w:val="000000" w:themeColor="text1"/>
                <w:szCs w:val="21"/>
                <w:lang w:val="en-US" w:eastAsia="zh-CN"/>
                <w14:textFill>
                  <w14:solidFill>
                    <w14:schemeClr w14:val="tx1"/>
                  </w14:solidFill>
                </w14:textFill>
              </w:rPr>
              <w:t>0000</w:t>
            </w:r>
          </w:p>
        </w:tc>
      </w:tr>
    </w:tbl>
    <w:p>
      <w:pPr>
        <w:spacing w:line="400" w:lineRule="exact"/>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7</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合同履行期限：</w:t>
      </w:r>
      <w:r>
        <w:rPr>
          <w:rFonts w:hint="eastAsia" w:ascii="宋体" w:hAnsi="宋体"/>
          <w:color w:val="000000" w:themeColor="text1"/>
          <w:szCs w:val="21"/>
          <w:lang w:val="en-US" w:eastAsia="zh-CN"/>
          <w14:textFill>
            <w14:solidFill>
              <w14:schemeClr w14:val="tx1"/>
            </w14:solidFill>
          </w14:textFill>
        </w:rPr>
        <w:t>60</w:t>
      </w:r>
      <w:r>
        <w:rPr>
          <w:rFonts w:hint="eastAsia" w:ascii="宋体" w:hAnsi="宋体"/>
          <w:color w:val="000000" w:themeColor="text1"/>
          <w:szCs w:val="21"/>
          <w14:textFill>
            <w14:solidFill>
              <w14:schemeClr w14:val="tx1"/>
            </w14:solidFill>
          </w14:textFill>
        </w:rPr>
        <w:t>日历天</w:t>
      </w:r>
    </w:p>
    <w:p>
      <w:pPr>
        <w:spacing w:line="40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8.</w:t>
      </w:r>
      <w:r>
        <w:rPr>
          <w:rFonts w:hint="eastAsia" w:ascii="宋体" w:hAnsi="宋体"/>
          <w:color w:val="000000" w:themeColor="text1"/>
          <w:szCs w:val="21"/>
          <w14:textFill>
            <w14:solidFill>
              <w14:schemeClr w14:val="tx1"/>
            </w14:solidFill>
          </w14:textFill>
        </w:rPr>
        <w:t>本项目是否接受联合体：□是，</w:t>
      </w:r>
      <w:r>
        <w:rPr>
          <w:rFonts w:ascii="宋体" w:hAnsi="宋体"/>
          <w:color w:val="000000" w:themeColor="text1"/>
          <w:szCs w:val="21"/>
          <w14:textFill>
            <w14:solidFill>
              <w14:schemeClr w14:val="tx1"/>
            </w14:solidFill>
          </w14:textFill>
        </w:rPr>
        <w:sym w:font="Wingdings 2" w:char="0052"/>
      </w:r>
      <w:r>
        <w:rPr>
          <w:rFonts w:ascii="宋体" w:hAnsi="宋体"/>
          <w:color w:val="000000" w:themeColor="text1"/>
          <w:szCs w:val="21"/>
          <w14:textFill>
            <w14:solidFill>
              <w14:schemeClr w14:val="tx1"/>
            </w14:solidFill>
          </w14:textFill>
        </w:rPr>
        <w:t>否</w:t>
      </w:r>
      <w:r>
        <w:rPr>
          <w:rFonts w:hint="eastAsia" w:ascii="宋体" w:hAnsi="宋体"/>
          <w:color w:val="000000" w:themeColor="text1"/>
          <w:szCs w:val="21"/>
          <w14:textFill>
            <w14:solidFill>
              <w14:schemeClr w14:val="tx1"/>
            </w14:solidFill>
          </w14:textFill>
        </w:rPr>
        <w:t>。</w:t>
      </w:r>
    </w:p>
    <w:p>
      <w:pPr>
        <w:spacing w:line="400" w:lineRule="exact"/>
        <w:ind w:firstLine="482" w:firstLineChars="200"/>
        <w:rPr>
          <w:rFonts w:ascii="宋体" w:hAnsi="宋体" w:cs="宋体"/>
          <w:bCs/>
          <w:color w:val="000000" w:themeColor="text1"/>
          <w:sz w:val="24"/>
          <w14:textFill>
            <w14:solidFill>
              <w14:schemeClr w14:val="tx1"/>
            </w14:solidFill>
          </w14:textFill>
        </w:rPr>
      </w:pPr>
      <w:bookmarkStart w:id="10" w:name="_Toc44229879"/>
      <w:bookmarkStart w:id="11" w:name="_Toc35393799"/>
      <w:bookmarkStart w:id="12" w:name="_Toc28359013"/>
      <w:bookmarkStart w:id="13" w:name="_Toc35393630"/>
      <w:bookmarkStart w:id="14" w:name="_Toc28359090"/>
      <w:r>
        <w:rPr>
          <w:rFonts w:hint="eastAsia" w:ascii="宋体" w:hAnsi="宋体" w:cs="宋体"/>
          <w:b/>
          <w:color w:val="000000" w:themeColor="text1"/>
          <w:kern w:val="44"/>
          <w:sz w:val="24"/>
          <w14:textFill>
            <w14:solidFill>
              <w14:schemeClr w14:val="tx1"/>
            </w14:solidFill>
          </w14:textFill>
        </w:rPr>
        <w:t>二、供应商的资格条件</w:t>
      </w:r>
      <w:bookmarkEnd w:id="10"/>
      <w:bookmarkEnd w:id="11"/>
      <w:bookmarkEnd w:id="12"/>
      <w:bookmarkEnd w:id="13"/>
      <w:bookmarkEnd w:id="14"/>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1.满足《中华人民共和国政府采购法》第二十二条规定。</w:t>
      </w:r>
    </w:p>
    <w:p>
      <w:pPr>
        <w:spacing w:line="40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.落实政府采购政策需满足的资格要求：</w:t>
      </w:r>
    </w:p>
    <w:p>
      <w:pPr>
        <w:spacing w:line="40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sym w:font="Wingdings 2" w:char="0052"/>
      </w:r>
      <w:r>
        <w:rPr>
          <w:rFonts w:hint="eastAsia" w:ascii="宋体" w:hAnsi="宋体"/>
          <w:color w:val="000000" w:themeColor="text1"/>
          <w:szCs w:val="21"/>
          <w14:textFill>
            <w14:solidFill>
              <w14:schemeClr w14:val="tx1"/>
            </w14:solidFill>
          </w14:textFill>
        </w:rPr>
        <w:t>专门面向中小企业采购的项目（供应商应为中小微企业、监狱企业、残疾人福利性单位)</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□非专门面向中小企业采购的项目</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其他要求：无</w:t>
      </w:r>
    </w:p>
    <w:p>
      <w:pPr>
        <w:numPr>
          <w:ilvl w:val="0"/>
          <w:numId w:val="0"/>
        </w:num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本项目的特定资格要求：</w:t>
      </w:r>
      <w:r>
        <w:rPr>
          <w:rFonts w:hint="eastAsia" w:ascii="宋体" w:hAnsi="宋体"/>
          <w:color w:val="000000" w:themeColor="text1"/>
          <w:szCs w:val="21"/>
          <w:u w:val="single"/>
          <w14:textFill>
            <w14:solidFill>
              <w14:schemeClr w14:val="tx1"/>
            </w14:solidFill>
          </w14:textFill>
        </w:rPr>
        <w:t>具备建筑工程施工总承包叁级（含叁级）以上或建筑装饰装修工程专业贰级（含贰级）以上资质，并在人员、设备、资金等方面具备相应的施工能力的企业，其中拟派项目经理须具备建筑工程专业贰级以上（含贰级）注册建造师资格，具备有效的安全生产考核合格证书（B类）。本项目不接受有在建、已中标未开工或已列为其他项目中标候选人第一名的建造师作为项目经理。</w:t>
      </w:r>
    </w:p>
    <w:p>
      <w:pPr>
        <w:numPr>
          <w:ilvl w:val="0"/>
          <w:numId w:val="0"/>
        </w:num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本项目的特定条件：</w:t>
      </w:r>
      <w:r>
        <w:rPr>
          <w:rFonts w:hint="eastAsia" w:ascii="宋体" w:hAnsi="宋体"/>
          <w:color w:val="000000" w:themeColor="text1"/>
          <w:szCs w:val="21"/>
          <w:u w:val="single"/>
          <w14:textFill>
            <w14:solidFill>
              <w14:schemeClr w14:val="tx1"/>
            </w14:solidFill>
          </w14:textFill>
        </w:rPr>
        <w:t>无</w:t>
      </w:r>
    </w:p>
    <w:p>
      <w:pPr>
        <w:snapToGrid w:val="0"/>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400" w:lineRule="exact"/>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三、获取竞争性磋商文件</w:t>
      </w:r>
      <w:bookmarkEnd w:id="6"/>
      <w:bookmarkEnd w:id="7"/>
      <w:bookmarkEnd w:id="8"/>
      <w:bookmarkEnd w:id="9"/>
    </w:p>
    <w:p>
      <w:pPr>
        <w:spacing w:line="400" w:lineRule="exact"/>
        <w:ind w:firstLine="420" w:firstLineChars="200"/>
        <w:rPr>
          <w:rFonts w:ascii="宋体" w:hAnsi="宋体"/>
          <w:color w:val="000000" w:themeColor="text1"/>
          <w:szCs w:val="21"/>
          <w14:textFill>
            <w14:solidFill>
              <w14:schemeClr w14:val="tx1"/>
            </w14:solidFill>
          </w14:textFill>
        </w:rPr>
      </w:pPr>
      <w:bookmarkStart w:id="15" w:name="_Toc28359082"/>
      <w:bookmarkStart w:id="16" w:name="_Toc35393793"/>
      <w:bookmarkStart w:id="17" w:name="_Toc28359005"/>
      <w:bookmarkStart w:id="18" w:name="_Toc35393624"/>
      <w:r>
        <w:rPr>
          <w:rFonts w:hint="eastAsia" w:ascii="宋体" w:hAnsi="宋体"/>
          <w:color w:val="000000" w:themeColor="text1"/>
          <w:szCs w:val="21"/>
          <w14:textFill>
            <w14:solidFill>
              <w14:schemeClr w14:val="tx1"/>
            </w14:solidFill>
          </w14:textFill>
        </w:rPr>
        <w:t>时间：2025年</w:t>
      </w:r>
      <w:r>
        <w:rPr>
          <w:rFonts w:hint="eastAsia" w:ascii="宋体" w:hAnsi="宋体"/>
          <w:color w:val="000000" w:themeColor="text1"/>
          <w:szCs w:val="21"/>
          <w:lang w:val="en-US" w:eastAsia="zh-CN"/>
          <w14:textFill>
            <w14:solidFill>
              <w14:schemeClr w14:val="tx1"/>
            </w14:solidFill>
          </w14:textFill>
        </w:rPr>
        <w:t>7</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lang w:val="en-US" w:eastAsia="zh-CN"/>
          <w14:textFill>
            <w14:solidFill>
              <w14:schemeClr w14:val="tx1"/>
            </w14:solidFill>
          </w14:textFill>
        </w:rPr>
        <w:t>7</w:t>
      </w:r>
      <w:r>
        <w:rPr>
          <w:rFonts w:hint="eastAsia" w:ascii="宋体" w:hAnsi="宋体"/>
          <w:color w:val="000000" w:themeColor="text1"/>
          <w:szCs w:val="21"/>
          <w14:textFill>
            <w14:solidFill>
              <w14:schemeClr w14:val="tx1"/>
            </w14:solidFill>
          </w14:textFill>
        </w:rPr>
        <w:t>日至2025年</w:t>
      </w:r>
      <w:r>
        <w:rPr>
          <w:rFonts w:hint="eastAsia" w:ascii="宋体" w:hAnsi="宋体"/>
          <w:color w:val="000000" w:themeColor="text1"/>
          <w:szCs w:val="21"/>
          <w:lang w:val="en-US" w:eastAsia="zh-CN"/>
          <w14:textFill>
            <w14:solidFill>
              <w14:schemeClr w14:val="tx1"/>
            </w14:solidFill>
          </w14:textFill>
        </w:rPr>
        <w:t>7</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lang w:val="en-US" w:eastAsia="zh-CN"/>
          <w14:textFill>
            <w14:solidFill>
              <w14:schemeClr w14:val="tx1"/>
            </w14:solidFill>
          </w14:textFill>
        </w:rPr>
        <w:t>18</w:t>
      </w:r>
      <w:r>
        <w:rPr>
          <w:rFonts w:hint="eastAsia" w:ascii="宋体" w:hAnsi="宋体"/>
          <w:color w:val="000000" w:themeColor="text1"/>
          <w:szCs w:val="21"/>
          <w14:textFill>
            <w14:solidFill>
              <w14:schemeClr w14:val="tx1"/>
            </w14:solidFill>
          </w14:textFill>
        </w:rPr>
        <w:t>日，每天上午0时00分至12时00分，下午12时00分至23时59分（北京时间，法定节假日除外）</w:t>
      </w:r>
    </w:p>
    <w:p>
      <w:pPr>
        <w:spacing w:line="360" w:lineRule="auto"/>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地点：</w:t>
      </w:r>
      <w:bookmarkStart w:id="19" w:name="OLE_LINK24"/>
      <w:r>
        <w:rPr>
          <w:rFonts w:hint="eastAsia" w:ascii="宋体" w:hAnsi="宋体" w:cs="宋体"/>
          <w:bCs/>
          <w:color w:val="000000" w:themeColor="text1"/>
          <w:kern w:val="0"/>
          <w:szCs w:val="21"/>
          <w14:textFill>
            <w14:solidFill>
              <w14:schemeClr w14:val="tx1"/>
            </w14:solidFill>
          </w14:textFill>
        </w:rPr>
        <w:t>广西政府采购云平台（https://www.gcy.zfcg.gxzf.gov.cn/）</w:t>
      </w:r>
    </w:p>
    <w:bookmarkEnd w:id="19"/>
    <w:p>
      <w:pPr>
        <w:spacing w:line="360" w:lineRule="auto"/>
        <w:ind w:firstLine="420" w:firstLineChars="200"/>
        <w:rPr>
          <w:rFonts w:ascii="宋体" w:hAnsi="宋体"/>
          <w:b/>
          <w:bCs/>
          <w:color w:val="000000" w:themeColor="text1"/>
          <w:sz w:val="24"/>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方式：</w:t>
      </w:r>
      <w:bookmarkStart w:id="20" w:name="OLE_LINK25"/>
      <w:r>
        <w:rPr>
          <w:rFonts w:hint="eastAsia" w:ascii="宋体" w:hAnsi="宋体" w:cs="宋体"/>
          <w:bCs/>
          <w:color w:val="000000" w:themeColor="text1"/>
          <w:kern w:val="0"/>
          <w:szCs w:val="21"/>
          <w14:textFill>
            <w14:solidFill>
              <w14:schemeClr w14:val="tx1"/>
            </w14:solidFill>
          </w14:textFill>
        </w:rPr>
        <w:t>网上下载。本项目不提供纸质文件，潜在供应商需使用账号登录或者使用CA登录</w:t>
      </w:r>
      <w:bookmarkStart w:id="21" w:name="OLE_LINK2"/>
      <w:bookmarkStart w:id="22" w:name="OLE_LINK3"/>
      <w:r>
        <w:rPr>
          <w:rFonts w:hint="eastAsia" w:ascii="宋体" w:hAnsi="宋体" w:cs="宋体"/>
          <w:bCs/>
          <w:color w:val="000000" w:themeColor="text1"/>
          <w:kern w:val="0"/>
          <w:szCs w:val="21"/>
          <w14:textFill>
            <w14:solidFill>
              <w14:schemeClr w14:val="tx1"/>
            </w14:solidFill>
          </w14:textFill>
        </w:rPr>
        <w:t>广西政府采购云</w:t>
      </w:r>
      <w:bookmarkEnd w:id="21"/>
      <w:bookmarkEnd w:id="22"/>
      <w:r>
        <w:rPr>
          <w:rFonts w:hint="eastAsia" w:ascii="宋体" w:hAnsi="宋体" w:cs="宋体"/>
          <w:bCs/>
          <w:color w:val="000000" w:themeColor="text1"/>
          <w:kern w:val="0"/>
          <w:szCs w:val="21"/>
          <w14:textFill>
            <w14:solidFill>
              <w14:schemeClr w14:val="tx1"/>
            </w14:solidFill>
          </w14:textFill>
        </w:rPr>
        <w:t>平台（https://www.gcy.zfcg.gxzf.gov.cn/）-进入“项目采购”应用，在获取采购文件菜单中选择项目，获取竞争性磋商文件。</w:t>
      </w:r>
      <w:r>
        <w:rPr>
          <w:rFonts w:hint="eastAsia" w:ascii="宋体" w:hAnsi="宋体"/>
          <w:color w:val="000000" w:themeColor="text1"/>
          <w:szCs w:val="21"/>
          <w14:textFill>
            <w14:solidFill>
              <w14:schemeClr w14:val="tx1"/>
            </w14:solidFill>
          </w14:textFill>
        </w:rPr>
        <w:t>电子</w:t>
      </w:r>
      <w:r>
        <w:rPr>
          <w:rFonts w:hint="eastAsia"/>
          <w:color w:val="000000" w:themeColor="text1"/>
          <w14:textFill>
            <w14:solidFill>
              <w14:schemeClr w14:val="tx1"/>
            </w14:solidFill>
          </w14:textFill>
        </w:rPr>
        <w:t>响应文件</w:t>
      </w:r>
      <w:r>
        <w:rPr>
          <w:rFonts w:hint="eastAsia" w:ascii="宋体" w:hAnsi="宋体"/>
          <w:color w:val="000000" w:themeColor="text1"/>
          <w:szCs w:val="21"/>
          <w14:textFill>
            <w14:solidFill>
              <w14:schemeClr w14:val="tx1"/>
            </w14:solidFill>
          </w14:textFill>
        </w:rPr>
        <w:t>制作需要基于广西政府采购云平台获取的磋商文件编制，</w:t>
      </w:r>
      <w:r>
        <w:rPr>
          <w:rFonts w:hint="eastAsia" w:ascii="宋体" w:hAnsi="宋体" w:cs="宋体"/>
          <w:bCs/>
          <w:color w:val="000000" w:themeColor="text1"/>
          <w:kern w:val="0"/>
          <w:szCs w:val="21"/>
          <w14:textFill>
            <w14:solidFill>
              <w14:schemeClr w14:val="tx1"/>
            </w14:solidFill>
          </w14:textFill>
        </w:rPr>
        <w:t>通过其他方式获取磋商文件的，将有可能导致供应商无法在广西政府采购云平台编制及上传响应文件。</w:t>
      </w:r>
      <w:bookmarkEnd w:id="20"/>
    </w:p>
    <w:p>
      <w:pPr>
        <w:snapToGrid w:val="0"/>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售价：0元。</w:t>
      </w:r>
    </w:p>
    <w:p>
      <w:pPr>
        <w:spacing w:line="400" w:lineRule="exact"/>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四、</w:t>
      </w:r>
      <w:bookmarkEnd w:id="15"/>
      <w:bookmarkEnd w:id="16"/>
      <w:bookmarkEnd w:id="17"/>
      <w:bookmarkEnd w:id="18"/>
      <w:r>
        <w:rPr>
          <w:rFonts w:hint="eastAsia" w:ascii="宋体" w:hAnsi="宋体"/>
          <w:b/>
          <w:bCs/>
          <w:color w:val="000000" w:themeColor="text1"/>
          <w:sz w:val="24"/>
          <w14:textFill>
            <w14:solidFill>
              <w14:schemeClr w14:val="tx1"/>
            </w14:solidFill>
          </w14:textFill>
        </w:rPr>
        <w:t>响应文件提交</w:t>
      </w:r>
    </w:p>
    <w:p>
      <w:pPr>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截止时间：</w:t>
      </w:r>
      <w:r>
        <w:rPr>
          <w:rFonts w:ascii="宋体" w:hAnsi="宋体"/>
          <w:bCs/>
          <w:color w:val="000000" w:themeColor="text1"/>
          <w:szCs w:val="21"/>
          <w:u w:val="none"/>
          <w14:textFill>
            <w14:solidFill>
              <w14:schemeClr w14:val="tx1"/>
            </w14:solidFill>
          </w14:textFill>
        </w:rPr>
        <w:t>202</w:t>
      </w:r>
      <w:r>
        <w:rPr>
          <w:rFonts w:hint="eastAsia" w:ascii="宋体" w:hAnsi="宋体"/>
          <w:bCs/>
          <w:color w:val="000000" w:themeColor="text1"/>
          <w:szCs w:val="21"/>
          <w:u w:val="none"/>
          <w:lang w:val="en-US" w:eastAsia="zh-CN"/>
          <w14:textFill>
            <w14:solidFill>
              <w14:schemeClr w14:val="tx1"/>
            </w14:solidFill>
          </w14:textFill>
        </w:rPr>
        <w:t>5</w:t>
      </w:r>
      <w:r>
        <w:rPr>
          <w:rFonts w:hint="eastAsia" w:ascii="宋体" w:hAnsi="宋体"/>
          <w:bCs/>
          <w:color w:val="000000" w:themeColor="text1"/>
          <w:szCs w:val="21"/>
          <w14:textFill>
            <w14:solidFill>
              <w14:schemeClr w14:val="tx1"/>
            </w14:solidFill>
          </w14:textFill>
        </w:rPr>
        <w:t>年</w:t>
      </w:r>
      <w:r>
        <w:rPr>
          <w:rFonts w:hint="eastAsia" w:ascii="宋体" w:hAnsi="宋体"/>
          <w:bCs/>
          <w:color w:val="000000" w:themeColor="text1"/>
          <w:szCs w:val="21"/>
          <w:lang w:val="en-US" w:eastAsia="zh-CN"/>
          <w14:textFill>
            <w14:solidFill>
              <w14:schemeClr w14:val="tx1"/>
            </w14:solidFill>
          </w14:textFill>
        </w:rPr>
        <w:t>7</w:t>
      </w:r>
      <w:r>
        <w:rPr>
          <w:rFonts w:hint="eastAsia" w:ascii="宋体" w:hAnsi="宋体"/>
          <w:bCs/>
          <w:color w:val="000000" w:themeColor="text1"/>
          <w:szCs w:val="21"/>
          <w14:textFill>
            <w14:solidFill>
              <w14:schemeClr w14:val="tx1"/>
            </w14:solidFill>
          </w14:textFill>
        </w:rPr>
        <w:t>月</w:t>
      </w:r>
      <w:r>
        <w:rPr>
          <w:rFonts w:hint="eastAsia" w:ascii="宋体" w:hAnsi="宋体"/>
          <w:bCs/>
          <w:color w:val="000000" w:themeColor="text1"/>
          <w:szCs w:val="21"/>
          <w:lang w:val="en-US" w:eastAsia="zh-CN"/>
          <w14:textFill>
            <w14:solidFill>
              <w14:schemeClr w14:val="tx1"/>
            </w14:solidFill>
          </w14:textFill>
        </w:rPr>
        <w:t>18</w:t>
      </w:r>
      <w:r>
        <w:rPr>
          <w:rFonts w:hint="eastAsia" w:ascii="宋体" w:hAnsi="宋体"/>
          <w:bCs/>
          <w:color w:val="000000" w:themeColor="text1"/>
          <w:szCs w:val="21"/>
          <w14:textFill>
            <w14:solidFill>
              <w14:schemeClr w14:val="tx1"/>
            </w14:solidFill>
          </w14:textFill>
        </w:rPr>
        <w:t>日</w:t>
      </w:r>
      <w:r>
        <w:rPr>
          <w:rFonts w:hint="eastAsia" w:ascii="宋体" w:hAnsi="宋体"/>
          <w:bCs/>
          <w:color w:val="000000" w:themeColor="text1"/>
          <w:szCs w:val="21"/>
          <w:u w:val="none"/>
          <w:lang w:val="en-US" w:eastAsia="zh-CN"/>
          <w14:textFill>
            <w14:solidFill>
              <w14:schemeClr w14:val="tx1"/>
            </w14:solidFill>
          </w14:textFill>
        </w:rPr>
        <w:t>13</w:t>
      </w:r>
      <w:r>
        <w:rPr>
          <w:rFonts w:hint="eastAsia" w:ascii="宋体" w:hAnsi="宋体"/>
          <w:bCs/>
          <w:color w:val="000000" w:themeColor="text1"/>
          <w:szCs w:val="21"/>
          <w:u w:val="none"/>
          <w14:textFill>
            <w14:solidFill>
              <w14:schemeClr w14:val="tx1"/>
            </w14:solidFill>
          </w14:textFill>
        </w:rPr>
        <w:t>时</w:t>
      </w:r>
      <w:r>
        <w:rPr>
          <w:rFonts w:hint="eastAsia" w:ascii="宋体" w:hAnsi="宋体"/>
          <w:bCs/>
          <w:color w:val="000000" w:themeColor="text1"/>
          <w:szCs w:val="21"/>
          <w:u w:val="none"/>
          <w:lang w:val="en-US" w:eastAsia="zh-CN"/>
          <w14:textFill>
            <w14:solidFill>
              <w14:schemeClr w14:val="tx1"/>
            </w14:solidFill>
          </w14:textFill>
        </w:rPr>
        <w:t>0</w:t>
      </w:r>
      <w:r>
        <w:rPr>
          <w:rFonts w:ascii="宋体" w:hAnsi="宋体"/>
          <w:bCs/>
          <w:color w:val="000000" w:themeColor="text1"/>
          <w:szCs w:val="21"/>
          <w:u w:val="none"/>
          <w14:textFill>
            <w14:solidFill>
              <w14:schemeClr w14:val="tx1"/>
            </w14:solidFill>
          </w14:textFill>
        </w:rPr>
        <w:t>0</w:t>
      </w:r>
      <w:r>
        <w:rPr>
          <w:rFonts w:hint="eastAsia" w:ascii="宋体" w:hAnsi="宋体"/>
          <w:bCs/>
          <w:color w:val="000000" w:themeColor="text1"/>
          <w:szCs w:val="21"/>
          <w:u w:val="none"/>
          <w14:textFill>
            <w14:solidFill>
              <w14:schemeClr w14:val="tx1"/>
            </w14:solidFill>
          </w14:textFill>
        </w:rPr>
        <w:t>分</w:t>
      </w:r>
      <w:r>
        <w:rPr>
          <w:rFonts w:hint="eastAsia" w:ascii="宋体" w:hAnsi="宋体"/>
          <w:bCs/>
          <w:color w:val="000000" w:themeColor="text1"/>
          <w:szCs w:val="21"/>
          <w14:textFill>
            <w14:solidFill>
              <w14:schemeClr w14:val="tx1"/>
            </w14:solidFill>
          </w14:textFill>
        </w:rPr>
        <w:t>（北京时间）</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地点：</w:t>
      </w:r>
      <w:r>
        <w:rPr>
          <w:rFonts w:hint="eastAsia" w:ascii="宋体" w:hAnsi="宋体"/>
          <w:color w:val="000000" w:themeColor="text1"/>
          <w:szCs w:val="21"/>
          <w:lang w:eastAsia="zh-CN"/>
          <w14:textFill>
            <w14:solidFill>
              <w14:schemeClr w14:val="tx1"/>
            </w14:solidFill>
          </w14:textFill>
        </w:rPr>
        <w:t>广西政府采购云平台</w:t>
      </w:r>
      <w:r>
        <w:rPr>
          <w:rFonts w:hint="eastAsia" w:ascii="宋体" w:hAnsi="宋体" w:cs="宋体"/>
          <w:bCs/>
          <w:color w:val="000000" w:themeColor="text1"/>
          <w:kern w:val="0"/>
          <w:szCs w:val="21"/>
          <w14:textFill>
            <w14:solidFill>
              <w14:schemeClr w14:val="tx1"/>
            </w14:solidFill>
          </w14:textFill>
        </w:rPr>
        <w:t>（</w:t>
      </w:r>
      <w:r>
        <w:rPr>
          <w:rFonts w:hint="eastAsia" w:ascii="宋体" w:hAnsi="宋体" w:cs="宋体"/>
          <w:bCs/>
          <w:color w:val="000000" w:themeColor="text1"/>
          <w:kern w:val="0"/>
          <w:szCs w:val="21"/>
          <w:lang w:eastAsia="zh-CN"/>
          <w14:textFill>
            <w14:solidFill>
              <w14:schemeClr w14:val="tx1"/>
            </w14:solidFill>
          </w14:textFill>
        </w:rPr>
        <w:t>https://www.gcy.zfcg.gxzf.gov.cn/</w:t>
      </w:r>
      <w:r>
        <w:rPr>
          <w:rFonts w:hint="eastAsia" w:ascii="宋体" w:hAnsi="宋体" w:cs="宋体"/>
          <w:bCs/>
          <w:color w:val="000000" w:themeColor="text1"/>
          <w:kern w:val="0"/>
          <w:szCs w:val="21"/>
          <w14:textFill>
            <w14:solidFill>
              <w14:schemeClr w14:val="tx1"/>
            </w14:solidFill>
          </w14:textFill>
        </w:rPr>
        <w:t>）</w:t>
      </w:r>
    </w:p>
    <w:p>
      <w:pPr>
        <w:spacing w:line="400" w:lineRule="exact"/>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五、开启</w:t>
      </w:r>
    </w:p>
    <w:p>
      <w:pPr>
        <w:spacing w:line="400" w:lineRule="exact"/>
        <w:ind w:firstLine="420" w:firstLineChars="200"/>
        <w:rPr>
          <w:rFonts w:ascii="宋体" w:hAnsi="宋体"/>
          <w:bCs/>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1</w:t>
      </w:r>
      <w:r>
        <w:rPr>
          <w:rFonts w:ascii="宋体" w:hAnsi="宋体"/>
          <w:color w:val="000000" w:themeColor="text1"/>
          <w:szCs w:val="21"/>
          <w:u w:val="none"/>
          <w14:textFill>
            <w14:solidFill>
              <w14:schemeClr w14:val="tx1"/>
            </w14:solidFill>
          </w14:textFill>
        </w:rPr>
        <w:t>.</w:t>
      </w:r>
      <w:r>
        <w:rPr>
          <w:rFonts w:hint="eastAsia" w:ascii="宋体" w:hAnsi="宋体"/>
          <w:color w:val="000000" w:themeColor="text1"/>
          <w:szCs w:val="21"/>
          <w:u w:val="none"/>
          <w14:textFill>
            <w14:solidFill>
              <w14:schemeClr w14:val="tx1"/>
            </w14:solidFill>
          </w14:textFill>
        </w:rPr>
        <w:t>时间：202</w:t>
      </w:r>
      <w:r>
        <w:rPr>
          <w:rFonts w:hint="eastAsia" w:ascii="宋体" w:hAnsi="宋体"/>
          <w:color w:val="000000" w:themeColor="text1"/>
          <w:szCs w:val="21"/>
          <w:u w:val="none"/>
          <w:lang w:val="en-US" w:eastAsia="zh-CN"/>
          <w14:textFill>
            <w14:solidFill>
              <w14:schemeClr w14:val="tx1"/>
            </w14:solidFill>
          </w14:textFill>
        </w:rPr>
        <w:t>5</w:t>
      </w:r>
      <w:r>
        <w:rPr>
          <w:rFonts w:hint="eastAsia" w:ascii="宋体" w:hAnsi="宋体"/>
          <w:color w:val="000000" w:themeColor="text1"/>
          <w:szCs w:val="21"/>
          <w:u w:val="none"/>
          <w14:textFill>
            <w14:solidFill>
              <w14:schemeClr w14:val="tx1"/>
            </w14:solidFill>
          </w14:textFill>
        </w:rPr>
        <w:t>年</w:t>
      </w:r>
      <w:r>
        <w:rPr>
          <w:rFonts w:hint="eastAsia" w:ascii="宋体" w:hAnsi="宋体"/>
          <w:color w:val="000000" w:themeColor="text1"/>
          <w:szCs w:val="21"/>
          <w:u w:val="none"/>
          <w:lang w:val="en-US" w:eastAsia="zh-CN"/>
          <w14:textFill>
            <w14:solidFill>
              <w14:schemeClr w14:val="tx1"/>
            </w14:solidFill>
          </w14:textFill>
        </w:rPr>
        <w:t>7</w:t>
      </w:r>
      <w:r>
        <w:rPr>
          <w:rFonts w:hint="eastAsia" w:ascii="宋体" w:hAnsi="宋体"/>
          <w:color w:val="000000" w:themeColor="text1"/>
          <w:szCs w:val="21"/>
          <w:u w:val="none"/>
          <w14:textFill>
            <w14:solidFill>
              <w14:schemeClr w14:val="tx1"/>
            </w14:solidFill>
          </w14:textFill>
        </w:rPr>
        <w:t>月</w:t>
      </w:r>
      <w:r>
        <w:rPr>
          <w:rFonts w:hint="eastAsia" w:ascii="宋体" w:hAnsi="宋体"/>
          <w:color w:val="000000" w:themeColor="text1"/>
          <w:szCs w:val="21"/>
          <w:u w:val="none"/>
          <w:lang w:val="en-US" w:eastAsia="zh-CN"/>
          <w14:textFill>
            <w14:solidFill>
              <w14:schemeClr w14:val="tx1"/>
            </w14:solidFill>
          </w14:textFill>
        </w:rPr>
        <w:t>18</w:t>
      </w:r>
      <w:r>
        <w:rPr>
          <w:rFonts w:hint="eastAsia" w:ascii="宋体" w:hAnsi="宋体"/>
          <w:color w:val="000000" w:themeColor="text1"/>
          <w:szCs w:val="21"/>
          <w:u w:val="none"/>
          <w14:textFill>
            <w14:solidFill>
              <w14:schemeClr w14:val="tx1"/>
            </w14:solidFill>
          </w14:textFill>
        </w:rPr>
        <w:t xml:space="preserve">日 </w:t>
      </w:r>
      <w:r>
        <w:rPr>
          <w:rFonts w:hint="eastAsia" w:ascii="宋体" w:hAnsi="宋体"/>
          <w:color w:val="000000" w:themeColor="text1"/>
          <w:szCs w:val="21"/>
          <w:u w:val="none"/>
          <w:lang w:val="en-US" w:eastAsia="zh-CN"/>
          <w14:textFill>
            <w14:solidFill>
              <w14:schemeClr w14:val="tx1"/>
            </w14:solidFill>
          </w14:textFill>
        </w:rPr>
        <w:t>13</w:t>
      </w:r>
      <w:r>
        <w:rPr>
          <w:rFonts w:hint="eastAsia" w:ascii="宋体" w:hAnsi="宋体"/>
          <w:color w:val="000000" w:themeColor="text1"/>
          <w:szCs w:val="21"/>
          <w:u w:val="none"/>
          <w14:textFill>
            <w14:solidFill>
              <w14:schemeClr w14:val="tx1"/>
            </w14:solidFill>
          </w14:textFill>
        </w:rPr>
        <w:t xml:space="preserve"> 时 </w:t>
      </w:r>
      <w:r>
        <w:rPr>
          <w:rFonts w:hint="eastAsia" w:ascii="宋体" w:hAnsi="宋体"/>
          <w:color w:val="000000" w:themeColor="text1"/>
          <w:szCs w:val="21"/>
          <w:u w:val="none"/>
          <w:lang w:val="en-US" w:eastAsia="zh-CN"/>
          <w14:textFill>
            <w14:solidFill>
              <w14:schemeClr w14:val="tx1"/>
            </w14:solidFill>
          </w14:textFill>
        </w:rPr>
        <w:t>0</w:t>
      </w:r>
      <w:r>
        <w:rPr>
          <w:rFonts w:hint="eastAsia" w:ascii="宋体" w:hAnsi="宋体"/>
          <w:color w:val="000000" w:themeColor="text1"/>
          <w:szCs w:val="21"/>
          <w:u w:val="none"/>
          <w14:textFill>
            <w14:solidFill>
              <w14:schemeClr w14:val="tx1"/>
            </w14:solidFill>
          </w14:textFill>
        </w:rPr>
        <w:t>0 分</w:t>
      </w:r>
      <w:r>
        <w:rPr>
          <w:rFonts w:hint="eastAsia" w:ascii="宋体" w:hAnsi="宋体"/>
          <w:bCs/>
          <w:color w:val="000000" w:themeColor="text1"/>
          <w:szCs w:val="21"/>
          <w:u w:val="none"/>
          <w14:textFill>
            <w14:solidFill>
              <w14:schemeClr w14:val="tx1"/>
            </w14:solidFill>
          </w14:textFill>
        </w:rPr>
        <w:t>（北京时间）</w:t>
      </w:r>
    </w:p>
    <w:p>
      <w:pPr>
        <w:spacing w:line="400" w:lineRule="exact"/>
        <w:ind w:firstLine="420" w:firstLineChars="200"/>
        <w:rPr>
          <w:rFonts w:ascii="宋体" w:hAnsi="宋体"/>
          <w:bCs/>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地点：广西政府采购云平台</w:t>
      </w:r>
      <w:r>
        <w:rPr>
          <w:rFonts w:hint="eastAsia" w:ascii="宋体" w:hAnsi="宋体" w:cs="宋体"/>
          <w:bCs/>
          <w:color w:val="000000" w:themeColor="text1"/>
          <w:kern w:val="0"/>
          <w:szCs w:val="21"/>
          <w14:textFill>
            <w14:solidFill>
              <w14:schemeClr w14:val="tx1"/>
            </w14:solidFill>
          </w14:textFill>
        </w:rPr>
        <w:t>（https://www.gcy.zfcg.gxzf.gov.cn/）</w:t>
      </w:r>
    </w:p>
    <w:p>
      <w:pPr>
        <w:spacing w:line="400" w:lineRule="exact"/>
        <w:ind w:firstLine="482" w:firstLineChars="200"/>
        <w:rPr>
          <w:rFonts w:ascii="宋体" w:hAnsi="宋体"/>
          <w:b/>
          <w:bCs/>
          <w:color w:val="000000" w:themeColor="text1"/>
          <w:sz w:val="24"/>
          <w14:textFill>
            <w14:solidFill>
              <w14:schemeClr w14:val="tx1"/>
            </w14:solidFill>
          </w14:textFill>
        </w:rPr>
      </w:pPr>
      <w:bookmarkStart w:id="23" w:name="_Toc35393625"/>
      <w:bookmarkStart w:id="24" w:name="_Toc35393794"/>
      <w:bookmarkStart w:id="25" w:name="_Toc28359084"/>
      <w:bookmarkStart w:id="26" w:name="_Toc28359007"/>
      <w:r>
        <w:rPr>
          <w:rFonts w:hint="eastAsia" w:ascii="宋体" w:hAnsi="宋体"/>
          <w:b/>
          <w:bCs/>
          <w:color w:val="000000" w:themeColor="text1"/>
          <w:sz w:val="24"/>
          <w14:textFill>
            <w14:solidFill>
              <w14:schemeClr w14:val="tx1"/>
            </w14:solidFill>
          </w14:textFill>
        </w:rPr>
        <w:t>六、公告期限</w:t>
      </w:r>
      <w:bookmarkEnd w:id="23"/>
      <w:bookmarkEnd w:id="24"/>
      <w:bookmarkEnd w:id="25"/>
      <w:bookmarkEnd w:id="26"/>
    </w:p>
    <w:p>
      <w:pPr>
        <w:spacing w:line="400" w:lineRule="exact"/>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自本公告发布之日起5个工作日。</w:t>
      </w:r>
    </w:p>
    <w:p>
      <w:pPr>
        <w:spacing w:line="400" w:lineRule="exact"/>
        <w:ind w:firstLine="482" w:firstLineChars="200"/>
        <w:rPr>
          <w:rFonts w:ascii="宋体" w:hAnsi="宋体"/>
          <w:b/>
          <w:bCs/>
          <w:color w:val="000000" w:themeColor="text1"/>
          <w:sz w:val="24"/>
          <w14:textFill>
            <w14:solidFill>
              <w14:schemeClr w14:val="tx1"/>
            </w14:solidFill>
          </w14:textFill>
        </w:rPr>
      </w:pPr>
      <w:bookmarkStart w:id="27" w:name="_Toc35393626"/>
      <w:bookmarkStart w:id="28" w:name="_Toc35393795"/>
      <w:r>
        <w:rPr>
          <w:rFonts w:hint="eastAsia" w:ascii="宋体" w:hAnsi="宋体"/>
          <w:b/>
          <w:bCs/>
          <w:color w:val="000000" w:themeColor="text1"/>
          <w:sz w:val="24"/>
          <w14:textFill>
            <w14:solidFill>
              <w14:schemeClr w14:val="tx1"/>
            </w14:solidFill>
          </w14:textFill>
        </w:rPr>
        <w:t>七、其他补充事宜</w:t>
      </w:r>
      <w:bookmarkEnd w:id="27"/>
      <w:bookmarkEnd w:id="28"/>
    </w:p>
    <w:p>
      <w:pPr>
        <w:spacing w:line="360" w:lineRule="auto"/>
        <w:ind w:firstLine="420" w:firstLineChars="200"/>
        <w:rPr>
          <w:rFonts w:hint="eastAsia" w:ascii="宋体" w:hAnsi="宋体" w:cs="宋体"/>
          <w:color w:val="000000" w:themeColor="text1"/>
          <w:kern w:val="0"/>
          <w:szCs w:val="21"/>
          <w14:textFill>
            <w14:solidFill>
              <w14:schemeClr w14:val="tx1"/>
            </w14:solidFill>
          </w14:textFill>
        </w:rPr>
      </w:pPr>
      <w:bookmarkStart w:id="29" w:name="OLE_LINK28"/>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网上查询地址</w:t>
      </w:r>
    </w:p>
    <w:p>
      <w:pPr>
        <w:spacing w:line="360" w:lineRule="auto"/>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中国政府采购网（</w:t>
      </w:r>
      <w:r>
        <w:rPr>
          <w:rFonts w:ascii="宋体" w:hAnsi="宋体" w:cs="宋体"/>
          <w:color w:val="000000" w:themeColor="text1"/>
          <w:kern w:val="0"/>
          <w:szCs w:val="21"/>
          <w14:textFill>
            <w14:solidFill>
              <w14:schemeClr w14:val="tx1"/>
            </w14:solidFill>
          </w14:textFill>
        </w:rPr>
        <w:t>http://www.ccgp.gov.cn</w:t>
      </w:r>
      <w:r>
        <w:rPr>
          <w:rFonts w:hint="eastAsia" w:ascii="宋体" w:hAnsi="宋体" w:cs="宋体"/>
          <w:color w:val="000000" w:themeColor="text1"/>
          <w:kern w:val="0"/>
          <w:szCs w:val="21"/>
          <w14:textFill>
            <w14:solidFill>
              <w14:schemeClr w14:val="tx1"/>
            </w14:solidFill>
          </w14:textFill>
        </w:rPr>
        <w:t>）、广西壮族自治区政府采购网（</w:t>
      </w:r>
      <w:r>
        <w:rPr>
          <w:rFonts w:ascii="宋体" w:hAnsi="宋体" w:cs="宋体"/>
          <w:color w:val="000000" w:themeColor="text1"/>
          <w:kern w:val="0"/>
          <w:szCs w:val="21"/>
          <w14:textFill>
            <w14:solidFill>
              <w14:schemeClr w14:val="tx1"/>
            </w14:solidFill>
          </w14:textFill>
        </w:rPr>
        <w:t>http://zfcg.gxzf.gov.cn</w:t>
      </w:r>
      <w:r>
        <w:rPr>
          <w:rFonts w:hint="eastAsia" w:ascii="宋体" w:hAnsi="宋体" w:cs="宋体"/>
          <w:color w:val="000000" w:themeColor="text1"/>
          <w:kern w:val="0"/>
          <w:szCs w:val="21"/>
          <w14:textFill>
            <w14:solidFill>
              <w14:schemeClr w14:val="tx1"/>
            </w14:solidFill>
          </w14:textFill>
        </w:rPr>
        <w:t>）</w:t>
      </w:r>
    </w:p>
    <w:p>
      <w:pPr>
        <w:spacing w:line="360" w:lineRule="auto"/>
        <w:ind w:firstLine="424" w:firstLineChars="202"/>
        <w:rPr>
          <w:rFonts w:hint="eastAsia" w:ascii="宋体" w:hAnsi="宋体" w:cs="宋体"/>
          <w:color w:val="000000" w:themeColor="text1"/>
          <w:kern w:val="0"/>
          <w:szCs w:val="21"/>
          <w14:textFill>
            <w14:solidFill>
              <w14:schemeClr w14:val="tx1"/>
            </w14:solidFill>
          </w14:textFill>
        </w:rPr>
      </w:pPr>
      <w:bookmarkStart w:id="30" w:name="_Hlk37429674"/>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本项目需要落实的政府采购政策</w:t>
      </w:r>
    </w:p>
    <w:p>
      <w:pPr>
        <w:spacing w:line="360" w:lineRule="auto"/>
        <w:ind w:firstLine="424" w:firstLineChars="20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（1）政府采购促进中小企业发展。</w:t>
      </w:r>
    </w:p>
    <w:p>
      <w:pPr>
        <w:spacing w:line="360" w:lineRule="auto"/>
        <w:ind w:firstLine="424" w:firstLineChars="20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（2）政府采购支持采用本国产品的政策。</w:t>
      </w:r>
    </w:p>
    <w:p>
      <w:pPr>
        <w:spacing w:line="360" w:lineRule="auto"/>
        <w:ind w:firstLine="424" w:firstLineChars="20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（3）强制采购节能产品；优先采购节能产品、环境标志产品。</w:t>
      </w:r>
    </w:p>
    <w:p>
      <w:pPr>
        <w:spacing w:line="360" w:lineRule="auto"/>
        <w:ind w:firstLine="424" w:firstLineChars="202"/>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（4）政府采购促进残疾人就业政策。</w:t>
      </w:r>
    </w:p>
    <w:p>
      <w:pPr>
        <w:spacing w:line="360" w:lineRule="auto"/>
        <w:ind w:firstLine="420" w:firstLineChars="200"/>
        <w:rPr>
          <w:rFonts w:hint="eastAsia" w:ascii="宋体" w:hAnsi="宋体" w:cs="宋体"/>
          <w:i/>
          <w:iCs/>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（5）政府采购支持监狱企业发展。</w:t>
      </w:r>
    </w:p>
    <w:bookmarkEnd w:id="30"/>
    <w:p>
      <w:pPr>
        <w:widowControl/>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3.供应商</w:t>
      </w:r>
      <w:r>
        <w:rPr>
          <w:rFonts w:hint="eastAsia" w:ascii="宋体" w:hAnsi="宋体"/>
          <w:color w:val="000000" w:themeColor="text1"/>
          <w:szCs w:val="21"/>
          <w14:textFill>
            <w14:solidFill>
              <w14:schemeClr w14:val="tx1"/>
            </w14:solidFill>
          </w14:textFill>
        </w:rPr>
        <w:t>竞标注意事项</w:t>
      </w:r>
    </w:p>
    <w:p>
      <w:pPr>
        <w:spacing w:line="360" w:lineRule="auto"/>
        <w:ind w:firstLine="424" w:firstLine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（1）响应文件提交方式：本项目为全流程电子化政府采购项目，通过</w:t>
      </w:r>
      <w:r>
        <w:rPr>
          <w:rFonts w:hint="eastAsia" w:ascii="宋体" w:hAnsi="宋体" w:cs="宋体"/>
          <w:bCs/>
          <w:color w:val="000000" w:themeColor="text1"/>
          <w:kern w:val="0"/>
          <w:szCs w:val="21"/>
          <w14:textFill>
            <w14:solidFill>
              <w14:schemeClr w14:val="tx1"/>
            </w14:solidFill>
          </w14:textFill>
        </w:rPr>
        <w:t>广西政府采购云</w:t>
      </w:r>
      <w:r>
        <w:rPr>
          <w:rFonts w:hint="eastAsia" w:ascii="宋体" w:hAnsi="宋体"/>
          <w:color w:val="000000" w:themeColor="text1"/>
          <w:szCs w:val="21"/>
          <w14:textFill>
            <w14:solidFill>
              <w14:schemeClr w14:val="tx1"/>
            </w14:solidFill>
          </w14:textFill>
        </w:rPr>
        <w:t>平台（https://www.gcy.zfcg.gxzf.gov.cn/）实行在线电子磋商采购，供应商应先安装“广西政府采购云电子交易客户端”（请自行前往广西政府采购云平台进行下载），并按照本项目竞争性磋商文件和广西政府采购云平台的要求编制、加密后在首次响应文件提交截止时间前通过网络上传至广西政府采购云平台，供应商在广西政府采购云平台提交电子版响应文件时，请填写参加远程开标活动经办人联系方式。</w:t>
      </w:r>
    </w:p>
    <w:p>
      <w:pPr>
        <w:spacing w:line="360" w:lineRule="auto"/>
        <w:ind w:firstLine="424" w:firstLine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（2）供应商应及时熟悉掌握电子标系统操作指南（见</w:t>
      </w:r>
      <w:r>
        <w:rPr>
          <w:rFonts w:hint="eastAsia" w:ascii="宋体" w:hAnsi="宋体" w:cs="宋体"/>
          <w:bCs/>
          <w:color w:val="000000" w:themeColor="text1"/>
          <w:kern w:val="0"/>
          <w:szCs w:val="21"/>
          <w14:textFill>
            <w14:solidFill>
              <w14:schemeClr w14:val="tx1"/>
            </w14:solidFill>
          </w14:textFill>
        </w:rPr>
        <w:t>广西政府采购云</w:t>
      </w:r>
      <w:r>
        <w:rPr>
          <w:rFonts w:hint="eastAsia" w:ascii="宋体" w:hAnsi="宋体"/>
          <w:color w:val="000000" w:themeColor="text1"/>
          <w:szCs w:val="21"/>
          <w14:textFill>
            <w14:solidFill>
              <w14:schemeClr w14:val="tx1"/>
            </w14:solidFill>
          </w14:textFill>
        </w:rPr>
        <w:t>电子卖场首页右上角—服务中心—帮助文档—项目采购）：https://service.zcygov.cn/#/knowledges/tree?tag= AG1DtGwBFdiHxlNdhY0r；及时完成CA申领和绑定（见广西壮族自治区政府采购网—办事服务—下载专区-广西政府采购云CA证书办理操作指南）。</w:t>
      </w:r>
    </w:p>
    <w:p>
      <w:pPr>
        <w:spacing w:line="360" w:lineRule="auto"/>
        <w:ind w:firstLine="424" w:firstLine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pPr>
        <w:spacing w:line="360" w:lineRule="auto"/>
        <w:ind w:firstLine="424" w:firstLine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（4）为确保网上操作合法、有效和安全，请供应商确保在电子竞争性磋商过程中能够对相关数据电文进行加密和使用电子签章，妥善保管CA数字证书并使用有效的CA数字证书参与整个采购活动。</w:t>
      </w:r>
    </w:p>
    <w:p>
      <w:pPr>
        <w:spacing w:line="360" w:lineRule="auto"/>
        <w:ind w:firstLine="424" w:firstLine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供应商应当在首次响应文件提交截止时间前完成电子响应文件的上传、提交，首次响应文件提交截止时间前可以补充、修改或者撤回响应文件。补充或者修改响应文件的，应当先行撤回原文件，补充、修改后重新上传、提交。首次响应文件提交截止时间前未完成上传、提交的，视为撤回响应文件。首次响应文件提交截止时间以后上传递交的响应文件，</w:t>
      </w:r>
      <w:r>
        <w:rPr>
          <w:rFonts w:hint="eastAsia" w:ascii="宋体" w:hAnsi="宋体" w:cs="宋体"/>
          <w:bCs/>
          <w:color w:val="000000" w:themeColor="text1"/>
          <w:kern w:val="0"/>
          <w:szCs w:val="21"/>
          <w14:textFill>
            <w14:solidFill>
              <w14:schemeClr w14:val="tx1"/>
            </w14:solidFill>
          </w14:textFill>
        </w:rPr>
        <w:t>广西政府采购云</w:t>
      </w:r>
      <w:r>
        <w:rPr>
          <w:rFonts w:hint="eastAsia" w:ascii="宋体" w:hAnsi="宋体"/>
          <w:color w:val="000000" w:themeColor="text1"/>
          <w:szCs w:val="21"/>
          <w14:textFill>
            <w14:solidFill>
              <w14:schemeClr w14:val="tx1"/>
            </w14:solidFill>
          </w14:textFill>
        </w:rPr>
        <w:t>平台将予以拒收。</w:t>
      </w:r>
    </w:p>
    <w:p>
      <w:pPr>
        <w:spacing w:line="360" w:lineRule="auto"/>
        <w:ind w:firstLine="424" w:firstLine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6.CA证书在线解密：首次响应文件开启时，须要供应商携带制作响应文件时用来加密的有效数字证书（CA认证）登录</w:t>
      </w:r>
      <w:r>
        <w:rPr>
          <w:rFonts w:hint="eastAsia" w:ascii="宋体" w:hAnsi="宋体" w:cs="宋体"/>
          <w:bCs/>
          <w:color w:val="000000" w:themeColor="text1"/>
          <w:kern w:val="0"/>
          <w:szCs w:val="21"/>
          <w14:textFill>
            <w14:solidFill>
              <w14:schemeClr w14:val="tx1"/>
            </w14:solidFill>
          </w14:textFill>
        </w:rPr>
        <w:t>广西政府采购云</w:t>
      </w:r>
      <w:r>
        <w:rPr>
          <w:rFonts w:hint="eastAsia" w:ascii="宋体" w:hAnsi="宋体"/>
          <w:color w:val="000000" w:themeColor="text1"/>
          <w:szCs w:val="21"/>
          <w14:textFill>
            <w14:solidFill>
              <w14:schemeClr w14:val="tx1"/>
            </w14:solidFill>
          </w14:textFill>
        </w:rPr>
        <w:t>电子开标大厅现场按规定时间对加密的响应文件进行解密，否则后果自负。</w:t>
      </w:r>
    </w:p>
    <w:p>
      <w:pPr>
        <w:spacing w:line="360" w:lineRule="auto"/>
        <w:ind w:firstLine="424" w:firstLine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7.供应商需要在具备有摄像头及语音功能且互联网网络状况良好的电脑登录广西政府采购云平台远程开标大厅参与本次磋商，否则后果自负。</w:t>
      </w:r>
    </w:p>
    <w:p>
      <w:pPr>
        <w:spacing w:line="360" w:lineRule="auto"/>
        <w:ind w:firstLine="424" w:firstLine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8.若对项目采购电子交易系统操作有疑问，可登录广西政府采购云平台（https://www.gcy.zfcg.gxzf.gov.cn/），请致电客服热线：95763或者0771-3381253。</w:t>
      </w:r>
    </w:p>
    <w:bookmarkEnd w:id="29"/>
    <w:p>
      <w:pPr>
        <w:spacing w:line="400" w:lineRule="exact"/>
        <w:ind w:firstLine="482" w:firstLineChars="20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kern w:val="44"/>
          <w:sz w:val="24"/>
          <w14:textFill>
            <w14:solidFill>
              <w14:schemeClr w14:val="tx1"/>
            </w14:solidFill>
          </w14:textFill>
        </w:rPr>
        <w:t>八、凡对本次采购提出询问，请按</w:t>
      </w:r>
      <w:r>
        <w:rPr>
          <w:rFonts w:ascii="宋体" w:hAnsi="宋体" w:cs="宋体"/>
          <w:b/>
          <w:color w:val="000000" w:themeColor="text1"/>
          <w:kern w:val="44"/>
          <w:sz w:val="24"/>
          <w14:textFill>
            <w14:solidFill>
              <w14:schemeClr w14:val="tx1"/>
            </w14:solidFill>
          </w14:textFill>
        </w:rPr>
        <w:t>以下方式</w:t>
      </w:r>
      <w:r>
        <w:rPr>
          <w:rFonts w:hint="eastAsia" w:ascii="宋体" w:hAnsi="宋体" w:cs="宋体"/>
          <w:b/>
          <w:color w:val="000000" w:themeColor="text1"/>
          <w:kern w:val="44"/>
          <w:sz w:val="24"/>
          <w14:textFill>
            <w14:solidFill>
              <w14:schemeClr w14:val="tx1"/>
            </w14:solidFill>
          </w14:textFill>
        </w:rPr>
        <w:t>联系</w:t>
      </w:r>
    </w:p>
    <w:p>
      <w:pPr>
        <w:spacing w:line="400" w:lineRule="exact"/>
        <w:ind w:firstLine="735" w:firstLineChars="350"/>
        <w:jc w:val="left"/>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1.采购人信息</w:t>
      </w:r>
    </w:p>
    <w:p>
      <w:pPr>
        <w:spacing w:line="400" w:lineRule="exact"/>
        <w:ind w:left="1041" w:leftChars="371" w:hanging="262" w:hangingChars="125"/>
        <w:jc w:val="left"/>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名称：</w:t>
      </w:r>
      <w:r>
        <w:rPr>
          <w:rFonts w:hint="eastAsia" w:ascii="宋体" w:hAnsi="宋体" w:cs="Arial"/>
          <w:color w:val="000000" w:themeColor="text1"/>
          <w:szCs w:val="21"/>
          <w:u w:val="none"/>
          <w:lang w:eastAsia="zh-CN"/>
          <w14:textFill>
            <w14:solidFill>
              <w14:schemeClr w14:val="tx1"/>
            </w14:solidFill>
          </w14:textFill>
        </w:rPr>
        <w:t>南宁市体育局</w:t>
      </w:r>
      <w:r>
        <w:rPr>
          <w:rFonts w:hint="eastAsia" w:ascii="宋体" w:hAnsi="宋体" w:cs="Arial"/>
          <w:color w:val="000000" w:themeColor="text1"/>
          <w:szCs w:val="21"/>
          <w:u w:val="none"/>
          <w14:textFill>
            <w14:solidFill>
              <w14:schemeClr w14:val="tx1"/>
            </w14:solidFill>
          </w14:textFill>
        </w:rPr>
        <w:t xml:space="preserve"> </w:t>
      </w:r>
    </w:p>
    <w:p>
      <w:pPr>
        <w:spacing w:line="400" w:lineRule="exact"/>
        <w:ind w:left="1041" w:leftChars="371" w:hanging="262" w:hangingChars="125"/>
        <w:jc w:val="left"/>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地址：</w:t>
      </w:r>
      <w:r>
        <w:rPr>
          <w:rFonts w:hint="eastAsia" w:cs="宋体"/>
          <w:color w:val="000000" w:themeColor="text1"/>
          <w:kern w:val="2"/>
          <w:sz w:val="21"/>
          <w:szCs w:val="21"/>
          <w:lang w:bidi="ar"/>
          <w14:textFill>
            <w14:solidFill>
              <w14:schemeClr w14:val="tx1"/>
            </w14:solidFill>
          </w14:textFill>
        </w:rPr>
        <w:t>南宁市青秀区桃源路62号　</w:t>
      </w:r>
      <w:r>
        <w:rPr>
          <w:rFonts w:hint="eastAsia" w:ascii="宋体" w:hAnsi="宋体"/>
          <w:color w:val="000000" w:themeColor="text1"/>
          <w:szCs w:val="21"/>
          <w:u w:val="none"/>
          <w14:textFill>
            <w14:solidFill>
              <w14:schemeClr w14:val="tx1"/>
            </w14:solidFill>
          </w14:textFill>
        </w:rPr>
        <w:t xml:space="preserve"> </w:t>
      </w:r>
    </w:p>
    <w:p>
      <w:pPr>
        <w:spacing w:line="400" w:lineRule="exact"/>
        <w:ind w:left="1041" w:leftChars="371" w:hanging="262" w:hangingChars="125"/>
        <w:jc w:val="left"/>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项目联系人：侯肇兴</w:t>
      </w:r>
    </w:p>
    <w:p>
      <w:pPr>
        <w:spacing w:line="400" w:lineRule="exact"/>
        <w:ind w:left="1041" w:leftChars="371" w:hanging="262" w:hangingChars="125"/>
        <w:jc w:val="left"/>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联系电话：0771-2191343</w:t>
      </w:r>
    </w:p>
    <w:p>
      <w:pPr>
        <w:spacing w:line="400" w:lineRule="exact"/>
        <w:ind w:left="1041" w:leftChars="371" w:hanging="262" w:hangingChars="125"/>
        <w:jc w:val="left"/>
        <w:rPr>
          <w:rFonts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u w:val="none"/>
          <w14:textFill>
            <w14:solidFill>
              <w14:schemeClr w14:val="tx1"/>
            </w14:solidFill>
          </w14:textFill>
        </w:rPr>
        <w:t>2.采购代理机构信息</w:t>
      </w:r>
    </w:p>
    <w:p>
      <w:pPr>
        <w:spacing w:line="400" w:lineRule="exact"/>
        <w:ind w:left="1041" w:leftChars="371" w:hanging="262" w:hangingChars="125"/>
        <w:jc w:val="left"/>
        <w:rPr>
          <w:rFonts w:hint="eastAsia" w:ascii="宋体" w:hAnsi="宋体" w:eastAsia="宋体"/>
          <w:color w:val="000000" w:themeColor="text1"/>
          <w:szCs w:val="21"/>
          <w:u w:val="single"/>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名称：</w:t>
      </w:r>
      <w:r>
        <w:rPr>
          <w:rFonts w:hint="eastAsia" w:ascii="宋体" w:hAnsi="宋体" w:cs="Arial"/>
          <w:color w:val="000000" w:themeColor="text1"/>
          <w:szCs w:val="21"/>
          <w:lang w:eastAsia="zh-CN"/>
          <w14:textFill>
            <w14:solidFill>
              <w14:schemeClr w14:val="tx1"/>
            </w14:solidFill>
          </w14:textFill>
        </w:rPr>
        <w:t>广西中信恒泰工程顾问有限公司</w:t>
      </w:r>
    </w:p>
    <w:p>
      <w:pPr>
        <w:spacing w:line="400" w:lineRule="exact"/>
        <w:ind w:left="1041" w:leftChars="371" w:hanging="262" w:hangingChars="125"/>
        <w:jc w:val="lef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地址：</w:t>
      </w:r>
      <w:r>
        <w:rPr>
          <w:rFonts w:hint="eastAsia" w:ascii="宋体" w:hAnsi="宋体" w:eastAsia="宋体" w:cs="宋体"/>
          <w:color w:val="000000" w:themeColor="text1"/>
          <w:szCs w:val="21"/>
          <w14:textFill>
            <w14:solidFill>
              <w14:schemeClr w14:val="tx1"/>
            </w14:solidFill>
          </w14:textFill>
        </w:rPr>
        <w:t>广西南宁市青秀区云景路69号南宁轨道大厦B楼</w:t>
      </w:r>
      <w:r>
        <w:rPr>
          <w:rFonts w:hint="eastAsia" w:ascii="宋体" w:hAnsi="宋体" w:eastAsia="宋体" w:cs="宋体"/>
          <w:color w:val="000000" w:themeColor="text1"/>
          <w:szCs w:val="21"/>
          <w:lang w:val="en-US" w:eastAsia="zh-CN"/>
          <w14:textFill>
            <w14:solidFill>
              <w14:schemeClr w14:val="tx1"/>
            </w14:solidFill>
          </w14:textFill>
        </w:rPr>
        <w:t>15</w:t>
      </w:r>
      <w:r>
        <w:rPr>
          <w:rFonts w:hint="eastAsia" w:ascii="宋体" w:hAnsi="宋体" w:eastAsia="宋体" w:cs="宋体"/>
          <w:color w:val="000000" w:themeColor="text1"/>
          <w:szCs w:val="21"/>
          <w14:textFill>
            <w14:solidFill>
              <w14:schemeClr w14:val="tx1"/>
            </w14:solidFill>
          </w14:textFill>
        </w:rPr>
        <w:t>层</w:t>
      </w:r>
    </w:p>
    <w:p>
      <w:pPr>
        <w:spacing w:line="400" w:lineRule="exact"/>
        <w:ind w:left="1041" w:leftChars="371" w:hanging="262" w:hangingChars="125"/>
        <w:jc w:val="lef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联系电话：</w:t>
      </w:r>
      <w:r>
        <w:rPr>
          <w:rFonts w:hint="eastAsia" w:ascii="宋体" w:hAnsi="宋体" w:eastAsia="宋体" w:cs="宋体"/>
          <w:color w:val="000000" w:themeColor="text1"/>
          <w:szCs w:val="21"/>
          <w14:textFill>
            <w14:solidFill>
              <w14:schemeClr w14:val="tx1"/>
            </w14:solidFill>
          </w14:textFill>
        </w:rPr>
        <w:t>0771-5775087</w:t>
      </w:r>
    </w:p>
    <w:p>
      <w:pPr>
        <w:spacing w:line="400" w:lineRule="exact"/>
        <w:ind w:left="1041" w:leftChars="371" w:hanging="262" w:hangingChars="125"/>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项目联系方式</w:t>
      </w:r>
    </w:p>
    <w:p>
      <w:pPr>
        <w:spacing w:line="400" w:lineRule="exact"/>
        <w:ind w:left="1041" w:leftChars="371" w:hanging="262" w:hangingChars="125"/>
        <w:jc w:val="left"/>
        <w:rPr>
          <w:rFonts w:hint="eastAsia" w:ascii="宋体" w:hAnsi="宋体" w:eastAsia="宋体"/>
          <w:color w:val="000000" w:themeColor="text1"/>
          <w:szCs w:val="21"/>
          <w:u w:val="single"/>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项目联系人：</w:t>
      </w:r>
      <w:r>
        <w:rPr>
          <w:rFonts w:hint="eastAsia" w:ascii="宋体" w:hAnsi="宋体" w:eastAsia="宋体" w:cs="宋体"/>
          <w:color w:val="000000" w:themeColor="text1"/>
          <w:szCs w:val="21"/>
          <w14:textFill>
            <w14:solidFill>
              <w14:schemeClr w14:val="tx1"/>
            </w14:solidFill>
          </w14:textFill>
        </w:rPr>
        <w:t>牟炫宇</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李佩袁</w:t>
      </w:r>
    </w:p>
    <w:p>
      <w:pPr>
        <w:spacing w:line="400" w:lineRule="exact"/>
        <w:ind w:left="1041" w:leftChars="371" w:hanging="262" w:hangingChars="125"/>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电话：</w:t>
      </w:r>
      <w:r>
        <w:rPr>
          <w:rFonts w:hint="eastAsia" w:ascii="宋体" w:hAnsi="宋体" w:eastAsia="宋体" w:cs="宋体"/>
          <w:color w:val="000000" w:themeColor="text1"/>
          <w:szCs w:val="21"/>
          <w14:textFill>
            <w14:solidFill>
              <w14:schemeClr w14:val="tx1"/>
            </w14:solidFill>
          </w14:textFill>
        </w:rPr>
        <w:t>0771-5775087</w:t>
      </w:r>
    </w:p>
    <w:p>
      <w:pPr>
        <w:spacing w:line="400" w:lineRule="exact"/>
        <w:ind w:firstLine="420" w:firstLineChars="200"/>
        <w:jc w:val="right"/>
        <w:rPr>
          <w:rFonts w:hint="eastAsia" w:ascii="宋体" w:hAnsi="宋体" w:cs="Arial"/>
          <w:color w:val="000000" w:themeColor="text1"/>
          <w:szCs w:val="21"/>
          <w:lang w:eastAsia="zh-CN"/>
          <w14:textFill>
            <w14:solidFill>
              <w14:schemeClr w14:val="tx1"/>
            </w14:solidFill>
          </w14:textFill>
        </w:rPr>
      </w:pPr>
    </w:p>
    <w:p>
      <w:pPr>
        <w:spacing w:line="400" w:lineRule="exact"/>
        <w:ind w:firstLine="420" w:firstLineChars="200"/>
        <w:jc w:val="right"/>
        <w:rPr>
          <w:rFonts w:hint="eastAsia" w:ascii="宋体" w:hAnsi="宋体" w:cs="Arial"/>
          <w:color w:val="000000" w:themeColor="text1"/>
          <w:szCs w:val="21"/>
          <w:lang w:eastAsia="zh-CN"/>
          <w14:textFill>
            <w14:solidFill>
              <w14:schemeClr w14:val="tx1"/>
            </w14:solidFill>
          </w14:textFill>
        </w:rPr>
      </w:pPr>
    </w:p>
    <w:p>
      <w:pPr>
        <w:spacing w:line="400" w:lineRule="exact"/>
        <w:ind w:firstLine="420" w:firstLineChars="200"/>
        <w:jc w:val="right"/>
        <w:rPr>
          <w:rFonts w:hint="eastAsia" w:ascii="宋体" w:hAnsi="宋体" w:eastAsia="宋体"/>
          <w:color w:val="000000" w:themeColor="text1"/>
          <w:szCs w:val="21"/>
          <w:lang w:eastAsia="zh-CN"/>
          <w14:textFill>
            <w14:solidFill>
              <w14:schemeClr w14:val="tx1"/>
            </w14:solidFill>
          </w14:textFill>
        </w:rPr>
      </w:pPr>
      <w:r>
        <w:rPr>
          <w:rFonts w:hint="eastAsia" w:ascii="宋体" w:hAnsi="宋体" w:cs="Arial"/>
          <w:color w:val="000000" w:themeColor="text1"/>
          <w:szCs w:val="21"/>
          <w:lang w:eastAsia="zh-CN"/>
          <w14:textFill>
            <w14:solidFill>
              <w14:schemeClr w14:val="tx1"/>
            </w14:solidFill>
          </w14:textFill>
        </w:rPr>
        <w:t>广西中信恒泰工程顾问有限公司</w:t>
      </w:r>
    </w:p>
    <w:p>
      <w:pPr>
        <w:spacing w:line="400" w:lineRule="exact"/>
        <w:ind w:firstLine="420" w:firstLineChars="200"/>
        <w:jc w:val="right"/>
        <w:rPr>
          <w:rFonts w:ascii="宋体" w:hAnsi="宋体"/>
          <w:sz w:val="32"/>
          <w:szCs w:val="32"/>
        </w:rPr>
      </w:pPr>
      <w:r>
        <w:rPr>
          <w:rFonts w:hint="eastAsia" w:ascii="宋体" w:hAnsi="宋体"/>
          <w:color w:val="000000" w:themeColor="text1"/>
          <w:szCs w:val="21"/>
          <w14:textFill>
            <w14:solidFill>
              <w14:schemeClr w14:val="tx1"/>
            </w14:solidFill>
          </w14:textFill>
        </w:rPr>
        <w:t>202</w:t>
      </w:r>
      <w:r>
        <w:rPr>
          <w:rFonts w:hint="eastAsia" w:ascii="宋体" w:hAnsi="宋体"/>
          <w:color w:val="auto"/>
          <w:szCs w:val="21"/>
          <w:lang w:val="en-US" w:eastAsia="zh-CN"/>
        </w:rPr>
        <w:t>5</w:t>
      </w:r>
      <w:r>
        <w:rPr>
          <w:rFonts w:hint="eastAsia" w:ascii="宋体" w:hAnsi="宋体"/>
          <w:color w:val="auto"/>
          <w:szCs w:val="21"/>
        </w:rPr>
        <w:t>年</w:t>
      </w:r>
      <w:r>
        <w:rPr>
          <w:rFonts w:hint="eastAsia" w:ascii="宋体" w:hAnsi="宋体"/>
          <w:color w:val="auto"/>
          <w:szCs w:val="21"/>
          <w:u w:val="none"/>
          <w:lang w:val="en-US" w:eastAsia="zh-CN"/>
        </w:rPr>
        <w:t>7</w:t>
      </w:r>
      <w:r>
        <w:rPr>
          <w:rFonts w:hint="eastAsia" w:ascii="宋体" w:hAnsi="宋体"/>
          <w:color w:val="auto"/>
          <w:szCs w:val="21"/>
        </w:rPr>
        <w:t>月</w:t>
      </w:r>
      <w:r>
        <w:rPr>
          <w:rFonts w:hint="eastAsia" w:ascii="宋体" w:hAnsi="宋体"/>
          <w:color w:val="auto"/>
          <w:szCs w:val="21"/>
          <w:lang w:val="en-US" w:eastAsia="zh-CN"/>
        </w:rPr>
        <w:t>7</w:t>
      </w:r>
      <w:r>
        <w:rPr>
          <w:rFonts w:hint="eastAsia" w:ascii="宋体" w:hAnsi="宋体"/>
          <w:color w:val="auto"/>
          <w:szCs w:val="21"/>
        </w:rPr>
        <w:t>日</w:t>
      </w:r>
      <w:r>
        <w:rPr>
          <w:rFonts w:ascii="宋体" w:hAnsi="宋体"/>
          <w:sz w:val="32"/>
          <w:szCs w:val="32"/>
        </w:rPr>
        <w:br w:type="page"/>
      </w:r>
    </w:p>
    <w:p>
      <w:pPr>
        <w:keepNext/>
        <w:keepLines/>
        <w:spacing w:before="340" w:after="330" w:line="578" w:lineRule="auto"/>
        <w:jc w:val="center"/>
        <w:outlineLvl w:val="0"/>
        <w:rPr>
          <w:rFonts w:ascii="宋体" w:hAnsi="宋体"/>
          <w:b/>
          <w:bCs/>
          <w:kern w:val="44"/>
          <w:sz w:val="44"/>
          <w:szCs w:val="44"/>
        </w:rPr>
      </w:pPr>
      <w:bookmarkStart w:id="31" w:name="_Toc106794702"/>
      <w:r>
        <w:rPr>
          <w:rFonts w:hint="eastAsia" w:ascii="宋体" w:hAnsi="宋体"/>
          <w:b/>
          <w:kern w:val="44"/>
          <w:sz w:val="32"/>
          <w:szCs w:val="32"/>
        </w:rPr>
        <w:t>第二章 采购需求</w:t>
      </w:r>
      <w:bookmarkEnd w:id="31"/>
    </w:p>
    <w:p>
      <w:pPr>
        <w:spacing w:line="420" w:lineRule="exact"/>
        <w:jc w:val="left"/>
        <w:rPr>
          <w:rFonts w:ascii="宋体" w:hAnsi="宋体" w:cs="宋体"/>
          <w:szCs w:val="21"/>
        </w:rPr>
      </w:pPr>
      <w:r>
        <w:rPr>
          <w:rFonts w:hint="eastAsia" w:ascii="宋体" w:hAnsi="宋体" w:cs="宋体"/>
          <w:szCs w:val="21"/>
        </w:rPr>
        <w:t>说明：</w:t>
      </w:r>
    </w:p>
    <w:p>
      <w:pPr>
        <w:spacing w:line="420" w:lineRule="exact"/>
        <w:ind w:firstLine="420" w:firstLineChars="200"/>
        <w:jc w:val="left"/>
        <w:rPr>
          <w:rFonts w:ascii="宋体" w:hAnsi="宋体" w:cs="宋体"/>
          <w:szCs w:val="21"/>
        </w:rPr>
      </w:pPr>
      <w:r>
        <w:rPr>
          <w:rFonts w:hint="eastAsia" w:ascii="宋体" w:hAnsi="宋体"/>
        </w:rPr>
        <w:t>1. 为落实政府采购政策需满足的要求</w:t>
      </w:r>
    </w:p>
    <w:p>
      <w:pPr>
        <w:spacing w:line="420" w:lineRule="exact"/>
        <w:ind w:firstLine="420" w:firstLineChars="200"/>
        <w:jc w:val="left"/>
        <w:rPr>
          <w:rFonts w:ascii="宋体" w:hAnsi="宋体" w:cs="宋体"/>
          <w:szCs w:val="21"/>
        </w:rPr>
      </w:pPr>
      <w:r>
        <w:rPr>
          <w:rFonts w:hint="eastAsia" w:ascii="宋体" w:hAnsi="宋体" w:cs="宋体"/>
          <w:szCs w:val="21"/>
        </w:rPr>
        <w:t>（1）本竞争性磋商采购文件所称中小企业必须符合《政府采购促进中小企业发展管理办法》（财库〔2020〕46号）的规定。</w:t>
      </w:r>
    </w:p>
    <w:p>
      <w:pPr>
        <w:tabs>
          <w:tab w:val="left" w:pos="180"/>
          <w:tab w:val="left" w:pos="1620"/>
        </w:tabs>
        <w:spacing w:line="420" w:lineRule="exact"/>
        <w:ind w:firstLine="420" w:firstLineChars="200"/>
        <w:rPr>
          <w:rFonts w:ascii="宋体" w:hAnsi="宋体" w:cs="宋体"/>
          <w:b/>
          <w:bCs/>
          <w:szCs w:val="21"/>
        </w:rPr>
      </w:pPr>
      <w:r>
        <w:rPr>
          <w:rFonts w:hint="eastAsia" w:ascii="宋体" w:hAnsi="宋体" w:cs="宋体"/>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pPr>
        <w:spacing w:line="420" w:lineRule="exact"/>
        <w:ind w:firstLine="420" w:firstLineChars="200"/>
        <w:jc w:val="left"/>
        <w:rPr>
          <w:rFonts w:ascii="宋体" w:hAnsi="宋体" w:cs="宋体"/>
          <w:szCs w:val="21"/>
        </w:rPr>
      </w:pPr>
      <w:r>
        <w:rPr>
          <w:rFonts w:hint="eastAsia" w:ascii="宋体" w:hAnsi="宋体" w:cs="宋体"/>
          <w:szCs w:val="21"/>
        </w:rPr>
        <w:t>（3）服务项目中包含货物的，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pPr>
        <w:spacing w:line="420" w:lineRule="exact"/>
        <w:ind w:firstLine="413" w:firstLineChars="196"/>
        <w:rPr>
          <w:rFonts w:ascii="宋体" w:hAnsi="宋体" w:cs="宋体"/>
          <w:b/>
          <w:bCs/>
          <w:szCs w:val="21"/>
        </w:rPr>
      </w:pPr>
      <w:r>
        <w:rPr>
          <w:rFonts w:hint="eastAsia" w:ascii="宋体" w:hAnsi="宋体" w:cs="宋体"/>
          <w:b/>
          <w:bCs/>
          <w:szCs w:val="21"/>
        </w:rPr>
        <w:t>2.“实质性要求”是指采购需求中带“▲”的条款或者不能负偏离的条款或者已经指明不满足按响应文件作无效处理的条款。</w:t>
      </w:r>
      <w:r>
        <w:rPr>
          <w:rFonts w:hint="eastAsia" w:ascii="宋体" w:hAnsi="宋体" w:cs="宋体"/>
          <w:b/>
          <w:szCs w:val="21"/>
        </w:rPr>
        <w:t>本项目凡标注“▲”的条款或要求不响应或不满足的，其响应文件即作无效竞标处理。</w:t>
      </w:r>
    </w:p>
    <w:p>
      <w:pPr>
        <w:spacing w:line="420" w:lineRule="exact"/>
        <w:ind w:firstLine="420" w:firstLineChars="200"/>
        <w:jc w:val="left"/>
        <w:rPr>
          <w:rFonts w:ascii="宋体" w:hAnsi="宋体"/>
        </w:rPr>
      </w:pPr>
      <w:r>
        <w:rPr>
          <w:rFonts w:hint="eastAsia" w:ascii="宋体" w:hAnsi="宋体" w:cs="宋体"/>
          <w:szCs w:val="21"/>
        </w:rPr>
        <w:t xml:space="preserve">3. </w:t>
      </w:r>
      <w:r>
        <w:rPr>
          <w:rFonts w:hint="eastAsia" w:ascii="宋体" w:hAnsi="宋体"/>
        </w:rPr>
        <w:t>如</w:t>
      </w:r>
      <w:r>
        <w:rPr>
          <w:rFonts w:hint="eastAsia" w:hAnsi="宋体" w:cs="宋体"/>
          <w:color w:val="auto"/>
          <w:sz w:val="21"/>
          <w:lang w:val="en-US" w:eastAsia="zh-CN" w:bidi="ar-SA"/>
        </w:rPr>
        <w:t>供应商</w:t>
      </w:r>
      <w:r>
        <w:rPr>
          <w:rFonts w:hint="eastAsia" w:ascii="宋体" w:hAnsi="宋体"/>
          <w:lang w:val="en-US" w:eastAsia="zh-CN"/>
        </w:rPr>
        <w:t>竞标</w:t>
      </w:r>
      <w:r>
        <w:rPr>
          <w:rFonts w:ascii="宋体" w:hAnsi="宋体"/>
        </w:rPr>
        <w:t>产品</w:t>
      </w:r>
      <w:r>
        <w:rPr>
          <w:rFonts w:hint="eastAsia" w:ascii="宋体" w:hAnsi="宋体"/>
        </w:rPr>
        <w:t>存在</w:t>
      </w:r>
      <w:r>
        <w:rPr>
          <w:rFonts w:ascii="宋体" w:hAnsi="宋体"/>
        </w:rPr>
        <w:t>侵犯</w:t>
      </w:r>
      <w:r>
        <w:rPr>
          <w:rFonts w:hint="eastAsia" w:ascii="宋体" w:hAnsi="宋体"/>
        </w:rPr>
        <w:t>他人的知识产权或者专利成果行为的，应</w:t>
      </w:r>
      <w:r>
        <w:rPr>
          <w:rFonts w:ascii="宋体" w:hAnsi="宋体"/>
        </w:rPr>
        <w:t>承担相应法律责任</w:t>
      </w:r>
      <w:r>
        <w:rPr>
          <w:rFonts w:hint="eastAsia" w:ascii="宋体" w:hAnsi="宋体"/>
        </w:rPr>
        <w:t>。</w:t>
      </w:r>
    </w:p>
    <w:p>
      <w:pPr>
        <w:tabs>
          <w:tab w:val="left" w:pos="180"/>
          <w:tab w:val="left" w:pos="1620"/>
        </w:tabs>
        <w:spacing w:line="360" w:lineRule="auto"/>
        <w:ind w:firstLine="422" w:firstLineChars="200"/>
        <w:rPr>
          <w:rFonts w:ascii="宋体" w:hAnsi="宋体" w:cs="宋体"/>
          <w:b/>
          <w:bCs/>
          <w:sz w:val="24"/>
        </w:rPr>
      </w:pPr>
      <w:r>
        <w:rPr>
          <w:rFonts w:hint="eastAsia" w:ascii="宋体" w:hAnsi="宋体" w:cs="宋体"/>
          <w:b/>
          <w:bCs/>
          <w:szCs w:val="21"/>
        </w:rPr>
        <w:br w:type="page"/>
      </w:r>
    </w:p>
    <w:tbl>
      <w:tblPr>
        <w:tblStyle w:val="46"/>
        <w:tblW w:w="100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543"/>
        <w:gridCol w:w="641"/>
        <w:gridCol w:w="4472"/>
        <w:gridCol w:w="1030"/>
        <w:gridCol w:w="12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23" w:type="dxa"/>
            <w:gridSpan w:val="7"/>
            <w:tcBorders>
              <w:top w:val="single" w:color="auto" w:sz="4" w:space="0"/>
              <w:left w:val="single" w:color="auto" w:sz="4" w:space="0"/>
              <w:right w:val="single" w:color="auto" w:sz="4" w:space="0"/>
            </w:tcBorders>
            <w:noWrap w:val="0"/>
            <w:vAlign w:val="center"/>
          </w:tcPr>
          <w:p>
            <w:pPr>
              <w:spacing w:line="400" w:lineRule="exact"/>
              <w:jc w:val="center"/>
              <w:rPr>
                <w:rFonts w:ascii="宋体" w:hAnsi="宋体" w:cs="宋体"/>
                <w:b/>
                <w:sz w:val="32"/>
                <w:szCs w:val="32"/>
              </w:rPr>
            </w:pPr>
            <w:r>
              <w:rPr>
                <w:rFonts w:hint="eastAsia" w:ascii="宋体" w:hAnsi="宋体" w:cs="Arial"/>
                <w:b/>
                <w:sz w:val="32"/>
                <w:szCs w:val="32"/>
              </w:rPr>
              <w:t>采购需求一览表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pPr>
              <w:spacing w:line="400" w:lineRule="exact"/>
              <w:jc w:val="center"/>
              <w:rPr>
                <w:rFonts w:ascii="宋体" w:hAnsi="宋体" w:cs="宋体"/>
                <w:szCs w:val="21"/>
              </w:rPr>
            </w:pPr>
            <w:r>
              <w:rPr>
                <w:rFonts w:hint="eastAsia" w:ascii="宋体" w:hAnsi="宋体" w:cs="宋体"/>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宋体" w:hAnsi="宋体" w:cs="宋体"/>
                <w:szCs w:val="21"/>
              </w:rPr>
            </w:pPr>
            <w:r>
              <w:rPr>
                <w:rFonts w:hint="eastAsia" w:ascii="宋体" w:hAnsi="宋体" w:cs="宋体"/>
                <w:szCs w:val="21"/>
              </w:rPr>
              <w:t>序号</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szCs w:val="21"/>
              </w:rPr>
            </w:pPr>
            <w:r>
              <w:rPr>
                <w:rFonts w:hint="eastAsia" w:ascii="宋体" w:hAnsi="宋体" w:cs="宋体"/>
                <w:szCs w:val="21"/>
              </w:rPr>
              <w:t>标的的名称</w:t>
            </w:r>
          </w:p>
        </w:tc>
        <w:tc>
          <w:tcPr>
            <w:tcW w:w="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Cs w:val="21"/>
                <w:lang w:val="en-US" w:eastAsia="zh-CN"/>
              </w:rPr>
            </w:pPr>
            <w:r>
              <w:rPr>
                <w:rFonts w:hint="eastAsia" w:ascii="宋体" w:hAnsi="宋体" w:cs="宋体"/>
                <w:szCs w:val="21"/>
              </w:rPr>
              <w:t>单位</w:t>
            </w:r>
            <w:r>
              <w:rPr>
                <w:rFonts w:hint="eastAsia" w:ascii="宋体" w:hAnsi="宋体" w:cs="宋体"/>
                <w:szCs w:val="21"/>
                <w:lang w:val="en-US" w:eastAsia="zh-CN"/>
              </w:rPr>
              <w:t>及</w:t>
            </w:r>
          </w:p>
          <w:p>
            <w:pPr>
              <w:spacing w:line="400" w:lineRule="exact"/>
              <w:jc w:val="center"/>
              <w:rPr>
                <w:rFonts w:ascii="宋体" w:hAnsi="宋体" w:cs="宋体"/>
                <w:szCs w:val="21"/>
              </w:rPr>
            </w:pPr>
            <w:r>
              <w:rPr>
                <w:rFonts w:hint="eastAsia" w:ascii="宋体" w:hAnsi="宋体" w:cs="宋体"/>
                <w:szCs w:val="21"/>
              </w:rPr>
              <w:t>数量</w:t>
            </w:r>
          </w:p>
        </w:tc>
        <w:tc>
          <w:tcPr>
            <w:tcW w:w="447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Cs w:val="21"/>
              </w:rPr>
            </w:pPr>
            <w:r>
              <w:rPr>
                <w:rFonts w:hint="eastAsia" w:ascii="宋体" w:hAnsi="宋体" w:eastAsia="宋体" w:cs="宋体"/>
                <w:color w:val="auto"/>
                <w:szCs w:val="21"/>
              </w:rPr>
              <w:t>工程概况及采购范围</w:t>
            </w:r>
          </w:p>
        </w:tc>
        <w:tc>
          <w:tcPr>
            <w:tcW w:w="1030" w:type="dxa"/>
            <w:tcBorders>
              <w:top w:val="single" w:color="auto" w:sz="4" w:space="0"/>
              <w:left w:val="single" w:color="auto" w:sz="4" w:space="0"/>
              <w:bottom w:val="single" w:color="auto" w:sz="4" w:space="0"/>
              <w:right w:val="single" w:color="auto" w:sz="4" w:space="0"/>
            </w:tcBorders>
            <w:noWrap w:val="0"/>
            <w:vAlign w:val="center"/>
          </w:tcPr>
          <w:p>
            <w:pPr>
              <w:spacing w:line="380" w:lineRule="atLeast"/>
              <w:jc w:val="center"/>
              <w:rPr>
                <w:rFonts w:ascii="宋体" w:hAnsi="宋体"/>
                <w:b/>
                <w:color w:val="auto"/>
                <w:szCs w:val="21"/>
              </w:rPr>
            </w:pPr>
            <w:r>
              <w:rPr>
                <w:rFonts w:hint="eastAsia" w:ascii="宋体" w:hAnsi="宋体"/>
                <w:b/>
                <w:color w:val="auto"/>
                <w:szCs w:val="21"/>
              </w:rPr>
              <w:t>分项最高限价（元）</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Cs w:val="21"/>
              </w:rPr>
            </w:pPr>
            <w:r>
              <w:rPr>
                <w:rFonts w:hint="eastAsia" w:ascii="宋体" w:hAnsi="宋体"/>
                <w:color w:val="auto"/>
                <w:szCs w:val="21"/>
              </w:rPr>
              <w:t>中小企业划分标准所属行业名称（行业名称及划分见本章附件</w:t>
            </w:r>
            <w:r>
              <w:rPr>
                <w:rFonts w:hint="eastAsia" w:ascii="宋体" w:hAnsi="宋体"/>
                <w:color w:val="auto"/>
                <w:szCs w:val="21"/>
                <w:lang w:val="en-US" w:eastAsia="zh-CN"/>
              </w:rPr>
              <w:t>1</w:t>
            </w: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pPr>
              <w:spacing w:line="400" w:lineRule="exact"/>
              <w:jc w:val="center"/>
              <w:rPr>
                <w:rFonts w:ascii="宋体" w:hAnsi="宋体"/>
                <w:b/>
                <w:bCs/>
                <w:szCs w:val="21"/>
              </w:rPr>
            </w:pPr>
          </w:p>
        </w:tc>
        <w:tc>
          <w:tcPr>
            <w:tcW w:w="54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szCs w:val="21"/>
                <w:lang w:eastAsia="zh-CN"/>
              </w:rPr>
            </w:pPr>
            <w:r>
              <w:rPr>
                <w:rFonts w:hint="eastAsia" w:ascii="宋体" w:hAnsi="宋体"/>
                <w:szCs w:val="21"/>
                <w:lang w:eastAsia="zh-CN"/>
              </w:rPr>
              <w:t xml:space="preserve">南宁市体育运动学校游泳跳水馆功能训练房改造工程 </w:t>
            </w:r>
          </w:p>
        </w:tc>
        <w:tc>
          <w:tcPr>
            <w:tcW w:w="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szCs w:val="21"/>
                <w:lang w:val="en-US" w:eastAsia="zh-CN"/>
              </w:rPr>
            </w:pPr>
            <w:r>
              <w:rPr>
                <w:rFonts w:hint="eastAsia" w:ascii="宋体" w:hAnsi="宋体"/>
                <w:szCs w:val="21"/>
                <w:lang w:val="en-US" w:eastAsia="zh-CN"/>
              </w:rPr>
              <w:t>1</w:t>
            </w:r>
            <w:r>
              <w:rPr>
                <w:rFonts w:hint="eastAsia" w:ascii="宋体" w:hAnsi="宋体"/>
                <w:szCs w:val="21"/>
                <w:lang w:eastAsia="zh-CN"/>
              </w:rPr>
              <w:t>项</w:t>
            </w:r>
          </w:p>
        </w:tc>
        <w:tc>
          <w:tcPr>
            <w:tcW w:w="4472"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20" w:firstLineChars="200"/>
              <w:rPr>
                <w:rFonts w:ascii="宋体" w:hAnsi="宋体"/>
                <w:kern w:val="0"/>
                <w:szCs w:val="21"/>
              </w:rPr>
            </w:pPr>
            <w:r>
              <w:rPr>
                <w:rFonts w:hint="eastAsia" w:ascii="宋体" w:hAnsi="宋体"/>
                <w:szCs w:val="21"/>
                <w:lang w:val="en-US" w:eastAsia="zh-CN"/>
              </w:rPr>
              <w:t>一</w:t>
            </w:r>
            <w:r>
              <w:rPr>
                <w:rFonts w:hint="eastAsia" w:ascii="宋体" w:hAnsi="宋体"/>
                <w:kern w:val="0"/>
                <w:szCs w:val="21"/>
              </w:rPr>
              <w:t>、项目概况</w:t>
            </w:r>
          </w:p>
          <w:p>
            <w:pPr>
              <w:pStyle w:val="19"/>
              <w:numPr>
                <w:ilvl w:val="0"/>
                <w:numId w:val="0"/>
              </w:numPr>
              <w:ind w:firstLine="210" w:firstLineChars="1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建设单位：</w:t>
            </w:r>
            <w:r>
              <w:rPr>
                <w:rFonts w:hint="eastAsia" w:ascii="宋体" w:hAnsi="宋体" w:cs="Arial"/>
                <w:szCs w:val="21"/>
                <w:u w:val="none"/>
                <w:lang w:eastAsia="zh-CN"/>
              </w:rPr>
              <w:t>南宁市体育局</w:t>
            </w:r>
            <w:r>
              <w:rPr>
                <w:rFonts w:hint="eastAsia" w:ascii="宋体" w:hAnsi="宋体" w:cs="Arial"/>
                <w:szCs w:val="21"/>
                <w:u w:val="none"/>
              </w:rPr>
              <w:t xml:space="preserve"> </w:t>
            </w:r>
          </w:p>
          <w:p>
            <w:pPr>
              <w:spacing w:line="300" w:lineRule="exact"/>
              <w:ind w:firstLine="210" w:firstLineChars="100"/>
              <w:rPr>
                <w:rFonts w:hint="default" w:ascii="宋体" w:hAnsi="宋体" w:eastAsia="宋体" w:cs="宋体"/>
                <w:szCs w:val="21"/>
                <w:lang w:val="en-US" w:eastAsia="zh-CN"/>
              </w:rPr>
            </w:pPr>
            <w:r>
              <w:rPr>
                <w:rFonts w:hint="eastAsia" w:ascii="宋体" w:hAnsi="宋体" w:eastAsia="宋体" w:cs="宋体"/>
                <w:szCs w:val="21"/>
              </w:rPr>
              <w:t>建设规模：南宁市体育运动学校游泳跳水馆于2023年10月建成，目前，游泳跳水馆已投入使用，主要用于学校游泳、跳水、水球及蹼泳项目日常训练、集训使用。2024年，学校购买了水上类项目训练器材，放置在馆内检修夹层通道，占地面积约730平方米，该夹层为毛坯现状，无给排水、供电及照明，导致水上类项目功能训练器材使用率低，为改善水上类项目训练环境，加强训练管理，提高水上项目运动员竞技水平，积极备战自治区第十六届运动会，现将游泳跳水馆检修夹层通道改造为功能训练房，供学校水上类项目运动队陆上训练及功能训练使用。</w:t>
            </w:r>
          </w:p>
          <w:p>
            <w:pPr>
              <w:widowControl/>
              <w:numPr>
                <w:ilvl w:val="0"/>
                <w:numId w:val="2"/>
              </w:numPr>
              <w:spacing w:line="400" w:lineRule="exact"/>
              <w:ind w:firstLine="420" w:firstLineChars="200"/>
              <w:rPr>
                <w:rFonts w:hint="eastAsia" w:ascii="宋体" w:hAnsi="宋体"/>
                <w:kern w:val="0"/>
                <w:szCs w:val="21"/>
              </w:rPr>
            </w:pPr>
            <w:r>
              <w:rPr>
                <w:rFonts w:hint="eastAsia" w:ascii="宋体" w:hAnsi="宋体"/>
                <w:kern w:val="0"/>
                <w:szCs w:val="21"/>
              </w:rPr>
              <w:t>工程地点：</w:t>
            </w:r>
            <w:r>
              <w:rPr>
                <w:rFonts w:hint="eastAsia" w:ascii="宋体" w:hAnsi="宋体" w:cs="宋体"/>
                <w:szCs w:val="21"/>
              </w:rPr>
              <w:t>位于南宁市</w:t>
            </w:r>
            <w:r>
              <w:rPr>
                <w:rFonts w:hint="eastAsia" w:ascii="宋体" w:hAnsi="宋体" w:cs="宋体"/>
                <w:szCs w:val="21"/>
                <w:lang w:val="en-US" w:eastAsia="zh-CN"/>
              </w:rPr>
              <w:t>区内</w:t>
            </w:r>
          </w:p>
          <w:p>
            <w:pPr>
              <w:widowControl/>
              <w:spacing w:line="400" w:lineRule="exact"/>
              <w:ind w:firstLine="420" w:firstLineChars="200"/>
              <w:rPr>
                <w:rFonts w:ascii="宋体" w:hAnsi="宋体"/>
                <w:color w:val="000000"/>
                <w:kern w:val="0"/>
                <w:szCs w:val="21"/>
              </w:rPr>
            </w:pPr>
            <w:r>
              <w:rPr>
                <w:rFonts w:hint="eastAsia" w:ascii="宋体" w:hAnsi="宋体"/>
                <w:color w:val="000000"/>
                <w:kern w:val="0"/>
                <w:szCs w:val="21"/>
              </w:rPr>
              <w:t>三、工期要求：</w:t>
            </w:r>
            <w:r>
              <w:rPr>
                <w:rFonts w:hint="eastAsia" w:ascii="宋体" w:hAnsi="宋体"/>
                <w:color w:val="000000"/>
                <w:kern w:val="0"/>
                <w:szCs w:val="21"/>
                <w:lang w:val="en-US" w:eastAsia="zh-CN"/>
              </w:rPr>
              <w:t>60</w:t>
            </w:r>
            <w:r>
              <w:rPr>
                <w:rFonts w:hint="eastAsia" w:ascii="宋体" w:hAnsi="宋体"/>
                <w:color w:val="000000"/>
                <w:kern w:val="0"/>
                <w:szCs w:val="21"/>
              </w:rPr>
              <w:t>日历天</w:t>
            </w:r>
          </w:p>
          <w:p>
            <w:pPr>
              <w:widowControl/>
              <w:spacing w:line="400" w:lineRule="exact"/>
              <w:ind w:firstLine="420" w:firstLineChars="200"/>
              <w:rPr>
                <w:rFonts w:hint="eastAsia" w:ascii="宋体" w:hAnsi="宋体"/>
                <w:kern w:val="0"/>
                <w:szCs w:val="21"/>
              </w:rPr>
            </w:pPr>
            <w:r>
              <w:rPr>
                <w:rFonts w:hint="eastAsia" w:ascii="宋体" w:hAnsi="宋体"/>
                <w:kern w:val="0"/>
                <w:szCs w:val="21"/>
              </w:rPr>
              <w:t>四、</w:t>
            </w:r>
            <w:r>
              <w:rPr>
                <w:rFonts w:hint="eastAsia" w:ascii="宋体" w:hAnsi="宋体"/>
                <w:kern w:val="0"/>
                <w:szCs w:val="21"/>
                <w:lang w:eastAsia="zh-CN"/>
              </w:rPr>
              <w:t>采购</w:t>
            </w:r>
            <w:r>
              <w:rPr>
                <w:rFonts w:hint="eastAsia" w:ascii="宋体" w:hAnsi="宋体"/>
                <w:kern w:val="0"/>
                <w:szCs w:val="21"/>
              </w:rPr>
              <w:t>范围：工程内容含自流平、橡胶（PVC）面层、吊顶、水电、勒木架、卫生间等安装，具体详见工程量清单和施工图纸。</w:t>
            </w:r>
          </w:p>
          <w:p>
            <w:pPr>
              <w:widowControl/>
              <w:spacing w:line="400" w:lineRule="exact"/>
              <w:ind w:firstLine="420" w:firstLineChars="200"/>
              <w:rPr>
                <w:rFonts w:ascii="宋体" w:hAnsi="宋体"/>
                <w:kern w:val="0"/>
                <w:szCs w:val="21"/>
              </w:rPr>
            </w:pPr>
            <w:r>
              <w:rPr>
                <w:rFonts w:hint="eastAsia" w:ascii="宋体" w:hAnsi="宋体"/>
                <w:kern w:val="0"/>
                <w:szCs w:val="21"/>
              </w:rPr>
              <w:t>五、质量要求：合格</w:t>
            </w:r>
          </w:p>
          <w:p>
            <w:pPr>
              <w:widowControl/>
              <w:spacing w:line="400" w:lineRule="exact"/>
              <w:ind w:firstLine="420" w:firstLineChars="200"/>
              <w:rPr>
                <w:rFonts w:ascii="宋体" w:hAnsi="宋体"/>
                <w:kern w:val="0"/>
                <w:szCs w:val="21"/>
              </w:rPr>
            </w:pPr>
            <w:r>
              <w:rPr>
                <w:rFonts w:hint="eastAsia" w:ascii="宋体" w:hAnsi="宋体"/>
                <w:kern w:val="0"/>
                <w:szCs w:val="21"/>
              </w:rPr>
              <w:t>六、人员要求：本项目项目管理机构配备人员至少为6人，其中项目经理1名，技术负责人1名、施工员1名、质检（量）员1名、专职安全员1名、材料员1名，其中项目经理具备房屋建筑工程专业二级(含)以上注册建造师执业资格；专职安全员具备有效的建筑施工企业三类人员C证；施工员、质检（量）员、材料员必需持证上岗且年检合格，项目经理和专职安全员必须具有安全考核合格证且在有效期内。</w:t>
            </w:r>
          </w:p>
        </w:tc>
        <w:tc>
          <w:tcPr>
            <w:tcW w:w="103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宋体" w:hAnsi="宋体"/>
                <w:kern w:val="0"/>
                <w:szCs w:val="21"/>
              </w:rPr>
            </w:pPr>
            <w:r>
              <w:rPr>
                <w:rFonts w:hint="eastAsia" w:ascii="宋体" w:hAnsi="宋体"/>
                <w:color w:val="auto"/>
                <w:szCs w:val="21"/>
              </w:rPr>
              <w:t>90</w:t>
            </w:r>
            <w:r>
              <w:rPr>
                <w:rFonts w:hint="eastAsia" w:ascii="宋体" w:hAnsi="宋体"/>
                <w:color w:val="auto"/>
                <w:szCs w:val="21"/>
                <w:lang w:val="en-US" w:eastAsia="zh-CN"/>
              </w:rPr>
              <w:t>0000</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建筑业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宋体" w:hAnsi="宋体"/>
                <w:szCs w:val="21"/>
              </w:rPr>
            </w:pPr>
            <w:r>
              <w:rPr>
                <w:rFonts w:hint="eastAsia" w:ascii="宋体" w:hAnsi="宋体"/>
                <w:szCs w:val="21"/>
              </w:rPr>
              <w:t>商务条款</w:t>
            </w:r>
          </w:p>
        </w:tc>
        <w:tc>
          <w:tcPr>
            <w:tcW w:w="9478" w:type="dxa"/>
            <w:gridSpan w:val="6"/>
            <w:tcBorders>
              <w:top w:val="single" w:color="auto" w:sz="4" w:space="0"/>
              <w:left w:val="single" w:color="auto" w:sz="4" w:space="0"/>
              <w:bottom w:val="single" w:color="auto" w:sz="4" w:space="0"/>
              <w:right w:val="single" w:color="auto" w:sz="4" w:space="0"/>
            </w:tcBorders>
            <w:noWrap w:val="0"/>
            <w:vAlign w:val="top"/>
          </w:tcPr>
          <w:p>
            <w:pPr>
              <w:tabs>
                <w:tab w:val="left" w:pos="1931"/>
                <w:tab w:val="left" w:pos="3490"/>
                <w:tab w:val="left" w:pos="3670"/>
                <w:tab w:val="left" w:pos="3895"/>
              </w:tabs>
              <w:rPr>
                <w:rFonts w:hint="eastAsia"/>
              </w:rPr>
            </w:pPr>
            <w:r>
              <w:rPr>
                <w:rFonts w:hint="eastAsia"/>
              </w:rPr>
              <w:t>▲一、合同签订期：自成交通知书发出之日起 25 日内（注：成交通知书发出之日起25日内必须签订合同）</w:t>
            </w:r>
          </w:p>
          <w:p>
            <w:pPr>
              <w:tabs>
                <w:tab w:val="left" w:pos="1931"/>
                <w:tab w:val="left" w:pos="3490"/>
                <w:tab w:val="left" w:pos="3670"/>
                <w:tab w:val="left" w:pos="3895"/>
              </w:tabs>
              <w:rPr>
                <w:rFonts w:hint="eastAsia"/>
              </w:rPr>
            </w:pPr>
            <w:r>
              <w:rPr>
                <w:rFonts w:hint="eastAsia"/>
              </w:rPr>
              <w:t>▲二、工期要求：</w:t>
            </w:r>
            <w:r>
              <w:rPr>
                <w:rFonts w:hint="eastAsia"/>
                <w:lang w:val="en-US" w:eastAsia="zh-CN"/>
              </w:rPr>
              <w:t>60</w:t>
            </w:r>
            <w:r>
              <w:rPr>
                <w:rFonts w:hint="eastAsia"/>
              </w:rPr>
              <w:t>日历天</w:t>
            </w:r>
          </w:p>
          <w:p>
            <w:pPr>
              <w:numPr>
                <w:ilvl w:val="0"/>
                <w:numId w:val="0"/>
              </w:numPr>
              <w:tabs>
                <w:tab w:val="left" w:pos="1931"/>
                <w:tab w:val="left" w:pos="3490"/>
                <w:tab w:val="left" w:pos="3670"/>
                <w:tab w:val="left" w:pos="3895"/>
              </w:tabs>
              <w:rPr>
                <w:rFonts w:hint="eastAsia"/>
              </w:rPr>
            </w:pPr>
            <w:r>
              <w:rPr>
                <w:rFonts w:hint="eastAsia"/>
                <w:lang w:val="en-US" w:eastAsia="zh-CN"/>
              </w:rPr>
              <w:t>三、</w:t>
            </w:r>
            <w:r>
              <w:rPr>
                <w:rFonts w:hint="eastAsia"/>
              </w:rPr>
              <w:t>验收标准、规范：项目需符合业主使用功能要求，需严格按施工图施工及验收，确保不存在质量及安全问题，达到国家施工验收规范，成交</w:t>
            </w:r>
            <w:r>
              <w:rPr>
                <w:rFonts w:hint="eastAsia"/>
                <w:lang w:val="en-US" w:eastAsia="zh-CN"/>
              </w:rPr>
              <w:t>供应商</w:t>
            </w:r>
            <w:r>
              <w:rPr>
                <w:rFonts w:hint="eastAsia"/>
              </w:rPr>
              <w:t>必须提交整套工程竣工验收报告、施工技术档案、过程资料及验收资料给采购人存档。</w:t>
            </w:r>
          </w:p>
          <w:p>
            <w:pPr>
              <w:numPr>
                <w:ilvl w:val="0"/>
                <w:numId w:val="0"/>
              </w:numPr>
              <w:tabs>
                <w:tab w:val="left" w:pos="1931"/>
                <w:tab w:val="left" w:pos="3490"/>
                <w:tab w:val="left" w:pos="3670"/>
                <w:tab w:val="left" w:pos="3895"/>
              </w:tabs>
              <w:rPr>
                <w:rFonts w:hint="eastAsia"/>
              </w:rPr>
            </w:pPr>
            <w:r>
              <w:rPr>
                <w:rFonts w:hint="eastAsia"/>
              </w:rPr>
              <w:t>▲四、项目实施服务要求：</w:t>
            </w:r>
          </w:p>
          <w:p>
            <w:pPr>
              <w:tabs>
                <w:tab w:val="left" w:pos="1931"/>
              </w:tabs>
              <w:outlineLvl w:val="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rPr>
              <w:t>项目人员</w:t>
            </w:r>
            <w:r>
              <w:rPr>
                <w:rFonts w:hint="eastAsia" w:ascii="Times New Roman" w:hAnsi="Times New Roman" w:eastAsia="宋体" w:cs="Times New Roman"/>
                <w:color w:val="auto"/>
                <w:lang w:val="en-US" w:eastAsia="zh-CN"/>
              </w:rPr>
              <w:t>最低配备</w:t>
            </w:r>
            <w:r>
              <w:rPr>
                <w:rFonts w:hint="eastAsia" w:ascii="Times New Roman" w:hAnsi="Times New Roman" w:eastAsia="宋体" w:cs="Times New Roman"/>
                <w:color w:val="auto"/>
              </w:rPr>
              <w:t>要求：本项目项目管理机构配备人员至少为6人，其中项目经理1名，技术负责人1名、施工员1名、质检（量）员1名、专职安全员1名、材料员1名，其中项目经理具备房屋建筑工程专业二级(含)以上注册建造师执业资格；专职安全员具备有效的建筑施工企业三类人员C证；施工员、质检（量）员、材料员必需持证上岗且年检合格，项目经理和专职安全员必须具有安全考核合格证且在有效期内。</w:t>
            </w:r>
          </w:p>
          <w:p>
            <w:pPr>
              <w:rPr>
                <w:rFonts w:hint="eastAsia" w:ascii="Times New Roman" w:hAnsi="Times New Roman" w:eastAsia="宋体" w:cs="Times New Roman"/>
                <w:color w:val="auto"/>
              </w:rPr>
            </w:pPr>
            <w:r>
              <w:rPr>
                <w:rFonts w:hint="eastAsia"/>
                <w:color w:val="auto"/>
                <w:lang w:val="en-US" w:eastAsia="zh-CN"/>
              </w:rPr>
              <w:t>2.</w:t>
            </w:r>
            <w:r>
              <w:rPr>
                <w:rFonts w:hint="eastAsia" w:ascii="Times New Roman" w:hAnsi="Times New Roman" w:eastAsia="宋体" w:cs="Times New Roman"/>
                <w:color w:val="auto"/>
              </w:rPr>
              <w:t>售后服务要求</w:t>
            </w:r>
          </w:p>
          <w:p>
            <w:pPr>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使用年限应符合国家建设相关要求。</w:t>
            </w:r>
          </w:p>
          <w:p>
            <w:pPr>
              <w:pStyle w:val="19"/>
              <w:numPr>
                <w:ilvl w:val="0"/>
                <w:numId w:val="0"/>
              </w:numPr>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响应时间：接到采购人处理问题通知后4小时内到达采购人指定现场，8小时内提出解决方案。在工程质量保修期期限内发生质量问题，必须在收到质保通知后的3个日历天内整改完毕。</w:t>
            </w:r>
          </w:p>
          <w:p>
            <w:pPr>
              <w:rPr>
                <w:rFonts w:hint="default"/>
                <w:lang w:val="en-US" w:eastAsia="zh-CN"/>
              </w:rPr>
            </w:pPr>
            <w:r>
              <w:rPr>
                <w:rFonts w:hint="eastAsia"/>
                <w:lang w:val="en-US" w:eastAsia="zh-CN"/>
              </w:rPr>
              <w:t>（3）</w:t>
            </w:r>
            <w:r>
              <w:rPr>
                <w:rFonts w:hint="default"/>
                <w:lang w:val="en-US" w:eastAsia="zh-CN"/>
              </w:rPr>
              <w:t>技术人员按项目管理机构人员配备。</w:t>
            </w:r>
          </w:p>
          <w:p>
            <w:pPr>
              <w:tabs>
                <w:tab w:val="left" w:pos="1931"/>
              </w:tabs>
            </w:pPr>
            <w:r>
              <w:rPr>
                <w:rFonts w:hint="eastAsia"/>
              </w:rPr>
              <w:t>▲</w:t>
            </w:r>
            <w:r>
              <w:rPr>
                <w:rFonts w:hint="eastAsia"/>
                <w:lang w:eastAsia="zh-CN"/>
              </w:rPr>
              <w:t>五</w:t>
            </w:r>
            <w:r>
              <w:rPr>
                <w:rFonts w:hint="eastAsia"/>
              </w:rPr>
              <w:t>、</w:t>
            </w:r>
            <w:r>
              <w:rPr>
                <w:rFonts w:hint="eastAsia"/>
                <w:lang w:val="en-US" w:eastAsia="zh-CN"/>
              </w:rPr>
              <w:t>报价</w:t>
            </w:r>
            <w:r>
              <w:rPr>
                <w:rFonts w:hint="eastAsia"/>
              </w:rPr>
              <w:t>要求：</w:t>
            </w:r>
          </w:p>
          <w:p>
            <w:pPr>
              <w:tabs>
                <w:tab w:val="left" w:pos="1931"/>
              </w:tabs>
              <w:outlineLvl w:val="0"/>
            </w:pPr>
            <w:bookmarkStart w:id="32" w:name="_Toc106794704"/>
            <w:r>
              <w:rPr>
                <w:rFonts w:hint="eastAsia"/>
              </w:rPr>
              <w:t>1.报价形式：固定单价</w:t>
            </w:r>
            <w:bookmarkEnd w:id="32"/>
          </w:p>
          <w:p>
            <w:pPr>
              <w:tabs>
                <w:tab w:val="left" w:pos="1931"/>
                <w:tab w:val="left" w:pos="3490"/>
                <w:tab w:val="left" w:pos="3670"/>
                <w:tab w:val="left" w:pos="3895"/>
              </w:tabs>
            </w:pPr>
            <w:r>
              <w:rPr>
                <w:rFonts w:hint="eastAsia"/>
              </w:rPr>
              <w:t>2.本项目采用工程量清单报价。供应商应结合自身因素进行报价，但不得超出</w:t>
            </w:r>
            <w:r>
              <w:rPr>
                <w:rFonts w:hint="eastAsia"/>
                <w:lang w:val="en-US" w:eastAsia="zh-CN"/>
              </w:rPr>
              <w:t>最高限价</w:t>
            </w:r>
            <w:r>
              <w:rPr>
                <w:rFonts w:hint="eastAsia"/>
              </w:rPr>
              <w:t>范围，否则报价无效。本项目报价包含实施和完成本项目的所有工作所需的劳务费、技术服务费、交通、通讯、保险、税费和利润等。</w:t>
            </w:r>
          </w:p>
          <w:p>
            <w:pPr>
              <w:tabs>
                <w:tab w:val="left" w:pos="1931"/>
                <w:tab w:val="left" w:pos="3490"/>
                <w:tab w:val="left" w:pos="3670"/>
                <w:tab w:val="left" w:pos="3895"/>
              </w:tabs>
            </w:pPr>
            <w:r>
              <w:rPr>
                <w:rFonts w:hint="eastAsia"/>
              </w:rPr>
              <w:t>3</w:t>
            </w:r>
            <w:r>
              <w:t>.</w:t>
            </w:r>
            <w:r>
              <w:rPr>
                <w:rFonts w:hint="eastAsia"/>
              </w:rPr>
              <w:t>知识产权与版权归属</w:t>
            </w:r>
          </w:p>
          <w:p>
            <w:pPr>
              <w:tabs>
                <w:tab w:val="left" w:pos="1931"/>
                <w:tab w:val="left" w:pos="3490"/>
                <w:tab w:val="left" w:pos="3670"/>
                <w:tab w:val="left" w:pos="3895"/>
              </w:tabs>
            </w:pPr>
            <w:r>
              <w:rPr>
                <w:rFonts w:hint="eastAsia"/>
              </w:rPr>
              <w:t>（1）本项目产生成果的版权归采购人所有。</w:t>
            </w:r>
          </w:p>
          <w:p>
            <w:pPr>
              <w:tabs>
                <w:tab w:val="left" w:pos="1931"/>
                <w:tab w:val="left" w:pos="3490"/>
                <w:tab w:val="left" w:pos="3670"/>
                <w:tab w:val="left" w:pos="3895"/>
              </w:tabs>
            </w:pPr>
            <w:r>
              <w:rPr>
                <w:rFonts w:hint="eastAsia"/>
              </w:rPr>
              <w:t>（2）成交人不得在向采购人交付服务期内全部服务成果之前，将成果及非专利技术泄露或转让给第三方。</w:t>
            </w:r>
          </w:p>
          <w:p>
            <w:pPr>
              <w:tabs>
                <w:tab w:val="left" w:pos="1931"/>
                <w:tab w:val="left" w:pos="3490"/>
                <w:tab w:val="left" w:pos="3670"/>
                <w:tab w:val="left" w:pos="3895"/>
              </w:tabs>
            </w:pPr>
            <w:r>
              <w:rPr>
                <w:rFonts w:hint="eastAsia"/>
              </w:rPr>
              <w:t>（3）成交人保证最终提供给采购人的服务成果不得包含任何第三方的知识产权或引起任何第三方基于该产品知识产权的指控。如有任何指控，所产生的一切经济损失和法律责任等后果均由成交人无条件承担。</w:t>
            </w:r>
          </w:p>
          <w:p>
            <w:r>
              <w:rPr>
                <w:rFonts w:hint="eastAsia"/>
              </w:rPr>
              <w:t>▲</w:t>
            </w:r>
            <w:r>
              <w:rPr>
                <w:rFonts w:hint="eastAsia"/>
                <w:lang w:eastAsia="zh-CN"/>
              </w:rPr>
              <w:t>六</w:t>
            </w:r>
            <w:r>
              <w:rPr>
                <w:rFonts w:hint="eastAsia"/>
              </w:rPr>
              <w:t xml:space="preserve">、付款方式：签订合同10个工作日内，支付合同价款50%作为工程预付款，工程施工完成并验收合格后20个工作日支付剩余合同款50%。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其他说明</w:t>
            </w:r>
          </w:p>
        </w:tc>
        <w:tc>
          <w:tcPr>
            <w:tcW w:w="9478" w:type="dxa"/>
            <w:gridSpan w:val="6"/>
            <w:tcBorders>
              <w:top w:val="single" w:color="auto" w:sz="4" w:space="0"/>
              <w:left w:val="single" w:color="auto" w:sz="4" w:space="0"/>
              <w:bottom w:val="single" w:color="auto" w:sz="4" w:space="0"/>
              <w:right w:val="single" w:color="auto" w:sz="4" w:space="0"/>
            </w:tcBorders>
            <w:noWrap w:val="0"/>
            <w:vAlign w:val="top"/>
          </w:tcPr>
          <w:p>
            <w:pPr>
              <w:widowControl/>
              <w:shd w:val="clear" w:color="auto" w:fill="FFFFFF"/>
              <w:spacing w:line="400" w:lineRule="exact"/>
              <w:rPr>
                <w:rFonts w:ascii="宋体" w:hAnsi="宋体"/>
                <w:szCs w:val="21"/>
              </w:rPr>
            </w:pPr>
            <w:r>
              <w:rPr>
                <w:rFonts w:hint="eastAsia" w:ascii="宋体" w:hAnsi="宋体"/>
                <w:szCs w:val="21"/>
              </w:rPr>
              <w:t>一、进口产品说明</w:t>
            </w:r>
          </w:p>
          <w:p>
            <w:pPr>
              <w:tabs>
                <w:tab w:val="left" w:pos="180"/>
                <w:tab w:val="left" w:pos="1620"/>
              </w:tabs>
              <w:spacing w:line="400" w:lineRule="exact"/>
              <w:ind w:firstLine="420" w:firstLineChars="200"/>
              <w:rPr>
                <w:rFonts w:ascii="宋体" w:hAnsi="宋体"/>
                <w:szCs w:val="21"/>
              </w:rPr>
            </w:pPr>
            <w:r>
              <w:rPr>
                <w:rFonts w:hint="eastAsia" w:ascii="宋体" w:hAnsi="宋体"/>
                <w:szCs w:val="21"/>
              </w:rPr>
              <w:t>本项目不涉及进口产品。</w:t>
            </w:r>
          </w:p>
          <w:p>
            <w:pPr>
              <w:widowControl/>
              <w:shd w:val="clear" w:color="auto" w:fill="FFFFFF"/>
              <w:spacing w:line="400" w:lineRule="exact"/>
              <w:rPr>
                <w:rFonts w:ascii="宋体" w:hAnsi="宋体"/>
                <w:szCs w:val="21"/>
              </w:rPr>
            </w:pPr>
            <w:r>
              <w:rPr>
                <w:rFonts w:hint="eastAsia" w:ascii="宋体" w:hAnsi="宋体"/>
                <w:szCs w:val="21"/>
              </w:rPr>
              <w:t>二、其他：无</w:t>
            </w:r>
          </w:p>
        </w:tc>
      </w:tr>
    </w:tbl>
    <w:p>
      <w:pPr>
        <w:spacing w:line="320" w:lineRule="exact"/>
        <w:rPr>
          <w:rFonts w:ascii="宋体" w:hAnsi="宋体"/>
        </w:rPr>
      </w:pPr>
    </w:p>
    <w:p>
      <w:pPr>
        <w:tabs>
          <w:tab w:val="left" w:pos="180"/>
          <w:tab w:val="left" w:pos="1620"/>
        </w:tabs>
        <w:spacing w:line="360" w:lineRule="auto"/>
        <w:rPr>
          <w:rFonts w:ascii="宋体" w:hAnsi="宋体" w:cs="宋体"/>
          <w:b/>
          <w:bCs/>
          <w:szCs w:val="21"/>
        </w:rPr>
      </w:pPr>
    </w:p>
    <w:p>
      <w:pPr>
        <w:pStyle w:val="19"/>
        <w:rPr>
          <w:rFonts w:ascii="宋体" w:hAnsi="宋体" w:cs="宋体"/>
          <w:b/>
          <w:bCs/>
          <w:szCs w:val="21"/>
        </w:rPr>
      </w:pPr>
    </w:p>
    <w:p>
      <w:pPr>
        <w:rPr>
          <w:rFonts w:ascii="宋体" w:hAnsi="宋体" w:cs="宋体"/>
          <w:b/>
          <w:bCs/>
          <w:szCs w:val="21"/>
        </w:rPr>
      </w:pPr>
    </w:p>
    <w:p>
      <w:pPr>
        <w:pStyle w:val="19"/>
        <w:rPr>
          <w:rFonts w:ascii="宋体" w:hAnsi="宋体" w:cs="宋体"/>
          <w:b/>
          <w:bCs/>
          <w:szCs w:val="21"/>
        </w:rPr>
      </w:pPr>
    </w:p>
    <w:p>
      <w:pPr>
        <w:rPr>
          <w:rFonts w:ascii="宋体" w:hAnsi="宋体" w:cs="宋体"/>
          <w:b/>
          <w:bCs/>
          <w:szCs w:val="21"/>
        </w:rPr>
      </w:pPr>
    </w:p>
    <w:p>
      <w:pPr>
        <w:pStyle w:val="19"/>
      </w:pPr>
    </w:p>
    <w:p>
      <w:pPr>
        <w:jc w:val="left"/>
        <w:rPr>
          <w:rFonts w:ascii="宋体" w:hAnsi="宋体" w:cs="Arial Unicode MS"/>
          <w:kern w:val="0"/>
          <w:sz w:val="32"/>
          <w:szCs w:val="32"/>
        </w:rPr>
      </w:pPr>
      <w:r>
        <w:rPr>
          <w:rFonts w:hint="eastAsia" w:ascii="宋体" w:hAnsi="宋体" w:cs="Arial Unicode MS"/>
          <w:kern w:val="0"/>
          <w:sz w:val="32"/>
          <w:szCs w:val="32"/>
        </w:rPr>
        <w:t>附件</w:t>
      </w:r>
      <w:r>
        <w:rPr>
          <w:rFonts w:hint="eastAsia" w:ascii="宋体" w:hAnsi="宋体" w:cs="Arial Unicode MS"/>
          <w:kern w:val="0"/>
          <w:sz w:val="32"/>
          <w:szCs w:val="32"/>
          <w:lang w:val="en-US" w:eastAsia="zh-CN"/>
        </w:rPr>
        <w:t>1</w:t>
      </w:r>
      <w:r>
        <w:rPr>
          <w:rFonts w:hint="eastAsia" w:ascii="宋体" w:hAnsi="宋体" w:cs="Arial Unicode MS"/>
          <w:kern w:val="0"/>
          <w:sz w:val="32"/>
          <w:szCs w:val="32"/>
        </w:rPr>
        <w:t>：</w:t>
      </w:r>
    </w:p>
    <w:p>
      <w:pPr>
        <w:spacing w:line="528" w:lineRule="exact"/>
        <w:jc w:val="center"/>
        <w:rPr>
          <w:rFonts w:ascii="宋体" w:hAnsi="宋体" w:cs="Arial Unicode MS"/>
          <w:sz w:val="40"/>
          <w:szCs w:val="40"/>
        </w:rPr>
      </w:pPr>
      <w:r>
        <w:rPr>
          <w:rFonts w:hint="eastAsia" w:ascii="宋体" w:hAnsi="宋体" w:cs="Arial Unicode MS"/>
          <w:sz w:val="40"/>
          <w:szCs w:val="40"/>
        </w:rPr>
        <w:t>中小微企业划型标准</w:t>
      </w:r>
    </w:p>
    <w:tbl>
      <w:tblPr>
        <w:tblStyle w:val="46"/>
        <w:tblW w:w="9497" w:type="dxa"/>
        <w:tblInd w:w="250" w:type="dxa"/>
        <w:tblLayout w:type="fixed"/>
        <w:tblCellMar>
          <w:top w:w="0" w:type="dxa"/>
          <w:left w:w="108" w:type="dxa"/>
          <w:bottom w:w="0" w:type="dxa"/>
          <w:right w:w="108" w:type="dxa"/>
        </w:tblCellMar>
      </w:tblPr>
      <w:tblGrid>
        <w:gridCol w:w="1985"/>
        <w:gridCol w:w="1984"/>
        <w:gridCol w:w="851"/>
        <w:gridCol w:w="1842"/>
        <w:gridCol w:w="1701"/>
        <w:gridCol w:w="1134"/>
      </w:tblGrid>
      <w:tr>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
                <w:kern w:val="0"/>
                <w:sz w:val="24"/>
              </w:rPr>
            </w:pPr>
            <w:r>
              <w:rPr>
                <w:rFonts w:hint="eastAsia" w:ascii="宋体" w:hAnsi="宋体" w:cs="宋体"/>
                <w:b/>
                <w:kern w:val="0"/>
                <w:sz w:val="24"/>
              </w:rPr>
              <w:t>行业名称</w:t>
            </w:r>
          </w:p>
        </w:tc>
        <w:tc>
          <w:tcPr>
            <w:tcW w:w="1984"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b/>
                <w:kern w:val="0"/>
                <w:sz w:val="24"/>
              </w:rPr>
            </w:pPr>
            <w:r>
              <w:rPr>
                <w:rFonts w:hint="eastAsia" w:ascii="宋体" w:hAnsi="宋体" w:cs="宋体"/>
                <w:b/>
                <w:kern w:val="0"/>
                <w:sz w:val="24"/>
              </w:rPr>
              <w:t>指标名称</w:t>
            </w:r>
          </w:p>
        </w:tc>
        <w:tc>
          <w:tcPr>
            <w:tcW w:w="851"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b/>
                <w:kern w:val="0"/>
                <w:sz w:val="24"/>
              </w:rPr>
            </w:pPr>
            <w:r>
              <w:rPr>
                <w:rFonts w:hint="eastAsia" w:ascii="宋体" w:hAnsi="宋体" w:cs="宋体"/>
                <w:b/>
                <w:kern w:val="0"/>
                <w:sz w:val="24"/>
              </w:rPr>
              <w:t>计量单位</w:t>
            </w:r>
          </w:p>
        </w:tc>
        <w:tc>
          <w:tcPr>
            <w:tcW w:w="1842"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b/>
                <w:kern w:val="0"/>
                <w:sz w:val="24"/>
              </w:rPr>
            </w:pPr>
            <w:r>
              <w:rPr>
                <w:rFonts w:hint="eastAsia" w:ascii="宋体" w:hAnsi="宋体" w:cs="宋体"/>
                <w:b/>
                <w:kern w:val="0"/>
                <w:sz w:val="24"/>
              </w:rPr>
              <w:t>中型</w:t>
            </w:r>
          </w:p>
        </w:tc>
        <w:tc>
          <w:tcPr>
            <w:tcW w:w="1701"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b/>
                <w:kern w:val="0"/>
                <w:sz w:val="24"/>
              </w:rPr>
            </w:pPr>
            <w:r>
              <w:rPr>
                <w:rFonts w:hint="eastAsia" w:ascii="宋体" w:hAnsi="宋体" w:cs="宋体"/>
                <w:b/>
                <w:kern w:val="0"/>
                <w:sz w:val="24"/>
              </w:rPr>
              <w:t>小型</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b/>
                <w:kern w:val="0"/>
                <w:sz w:val="24"/>
              </w:rPr>
            </w:pPr>
            <w:r>
              <w:rPr>
                <w:rFonts w:hint="eastAsia" w:ascii="宋体" w:hAnsi="宋体" w:cs="宋体"/>
                <w:b/>
                <w:kern w:val="0"/>
                <w:sz w:val="24"/>
              </w:rPr>
              <w:t>微型</w:t>
            </w:r>
          </w:p>
        </w:tc>
      </w:tr>
      <w:tr>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50≤Y＜500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2000≤Y＜40000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300≤Y＜2000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6000≤Y＜80000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300≤Y＜6000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5000≤Z＜80000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300≤Z＜5000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20≤X＜200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5≤X＜20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X＜5</w:t>
            </w:r>
          </w:p>
        </w:tc>
      </w:tr>
      <w:tr>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5000≤Y＜40000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50≤X＜300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10≤X＜50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100≤Y＜500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3000≤Y＜30000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200≤Y＜3000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100≤X＜200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20≤X＜100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100≤X＜2000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1000≤Y＜100000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50≤Y＜1000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1000≤Y＜200000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100≤X＜1000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5000≤Z＜10000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2000≤Y＜5000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500≤Y＜1000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8000≤Z＜120000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100≤Z＜8000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98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bl>
    <w:p>
      <w:pPr>
        <w:spacing w:line="560" w:lineRule="exact"/>
        <w:ind w:firstLine="525" w:firstLineChars="250"/>
        <w:rPr>
          <w:rFonts w:ascii="宋体" w:hAnsi="宋体"/>
          <w:szCs w:val="21"/>
        </w:rPr>
      </w:pPr>
      <w:r>
        <w:rPr>
          <w:rFonts w:hint="eastAsia" w:ascii="宋体" w:hAnsi="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jc w:val="center"/>
        <w:outlineLvl w:val="0"/>
        <w:rPr>
          <w:rFonts w:ascii="宋体" w:hAnsi="宋体"/>
          <w:kern w:val="0"/>
          <w:sz w:val="20"/>
          <w:szCs w:val="21"/>
        </w:rPr>
        <w:sectPr>
          <w:footerReference r:id="rId7" w:type="default"/>
          <w:pgSz w:w="11906" w:h="16838"/>
          <w:pgMar w:top="1134" w:right="1134" w:bottom="1134" w:left="1134" w:header="720" w:footer="720" w:gutter="0"/>
          <w:pgNumType w:fmt="decimal" w:start="1"/>
          <w:cols w:space="720" w:num="1"/>
          <w:docGrid w:type="lines" w:linePitch="331" w:charSpace="0"/>
        </w:sectPr>
      </w:pPr>
    </w:p>
    <w:p>
      <w:pPr>
        <w:keepNext/>
        <w:keepLines/>
        <w:spacing w:before="340" w:after="330"/>
        <w:jc w:val="center"/>
        <w:outlineLvl w:val="0"/>
        <w:rPr>
          <w:rFonts w:ascii="宋体" w:hAnsi="宋体"/>
          <w:b/>
          <w:bCs/>
          <w:kern w:val="44"/>
          <w:sz w:val="44"/>
          <w:szCs w:val="44"/>
        </w:rPr>
      </w:pPr>
      <w:bookmarkStart w:id="33" w:name="_Toc106794705"/>
      <w:r>
        <w:rPr>
          <w:rFonts w:hint="eastAsia" w:ascii="宋体" w:hAnsi="宋体"/>
          <w:b/>
          <w:kern w:val="44"/>
          <w:sz w:val="32"/>
          <w:szCs w:val="32"/>
        </w:rPr>
        <w:t>第三章 供应商须知</w:t>
      </w:r>
      <w:bookmarkEnd w:id="33"/>
    </w:p>
    <w:p>
      <w:pPr>
        <w:keepNext/>
        <w:keepLines/>
        <w:spacing w:before="260" w:after="260"/>
        <w:jc w:val="center"/>
        <w:outlineLvl w:val="1"/>
        <w:rPr>
          <w:rFonts w:ascii="宋体" w:hAnsi="宋体"/>
          <w:bCs/>
          <w:sz w:val="32"/>
          <w:szCs w:val="32"/>
        </w:rPr>
      </w:pPr>
      <w:bookmarkStart w:id="34" w:name="_Toc106794706"/>
      <w:r>
        <w:rPr>
          <w:rFonts w:hint="eastAsia" w:ascii="宋体" w:hAnsi="宋体"/>
          <w:bCs/>
          <w:sz w:val="32"/>
          <w:szCs w:val="32"/>
        </w:rPr>
        <w:t>第一节 供应商须知前附表</w:t>
      </w:r>
      <w:bookmarkEnd w:id="34"/>
    </w:p>
    <w:tbl>
      <w:tblPr>
        <w:tblStyle w:val="46"/>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2552"/>
        <w:gridCol w:w="6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59" w:type="dxa"/>
            <w:noWrap w:val="0"/>
            <w:vAlign w:val="top"/>
          </w:tcPr>
          <w:p>
            <w:pPr>
              <w:spacing w:line="360" w:lineRule="auto"/>
              <w:jc w:val="center"/>
              <w:rPr>
                <w:rFonts w:ascii="宋体" w:hAnsi="宋体" w:cs="宋体"/>
                <w:b/>
                <w:szCs w:val="21"/>
              </w:rPr>
            </w:pPr>
            <w:r>
              <w:rPr>
                <w:rFonts w:hint="eastAsia" w:ascii="宋体" w:hAnsi="宋体" w:cs="宋体"/>
                <w:b/>
                <w:szCs w:val="21"/>
              </w:rPr>
              <w:t>条款号</w:t>
            </w:r>
          </w:p>
        </w:tc>
        <w:tc>
          <w:tcPr>
            <w:tcW w:w="2552" w:type="dxa"/>
            <w:noWrap w:val="0"/>
            <w:vAlign w:val="center"/>
          </w:tcPr>
          <w:p>
            <w:pPr>
              <w:spacing w:line="360" w:lineRule="auto"/>
              <w:jc w:val="center"/>
              <w:rPr>
                <w:rFonts w:ascii="宋体" w:hAnsi="宋体" w:cs="宋体"/>
                <w:b/>
                <w:szCs w:val="21"/>
              </w:rPr>
            </w:pPr>
            <w:r>
              <w:rPr>
                <w:rFonts w:hint="eastAsia" w:ascii="宋体" w:hAnsi="宋体" w:cs="宋体"/>
                <w:b/>
                <w:szCs w:val="21"/>
              </w:rPr>
              <w:t>条款内容</w:t>
            </w:r>
          </w:p>
        </w:tc>
        <w:tc>
          <w:tcPr>
            <w:tcW w:w="6853" w:type="dxa"/>
            <w:noWrap w:val="0"/>
            <w:vAlign w:val="top"/>
          </w:tcPr>
          <w:p>
            <w:pPr>
              <w:spacing w:line="360" w:lineRule="auto"/>
              <w:jc w:val="center"/>
              <w:rPr>
                <w:rFonts w:ascii="宋体" w:hAnsi="宋体" w:cs="宋体"/>
                <w:b/>
                <w:szCs w:val="21"/>
              </w:rPr>
            </w:pPr>
            <w:r>
              <w:rPr>
                <w:rFonts w:hint="eastAsia" w:ascii="宋体" w:hAnsi="宋体" w:cs="宋体"/>
                <w:b/>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3.1</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供应商资格条件</w:t>
            </w:r>
          </w:p>
        </w:tc>
        <w:tc>
          <w:tcPr>
            <w:tcW w:w="6853" w:type="dxa"/>
            <w:noWrap w:val="0"/>
            <w:vAlign w:val="top"/>
          </w:tcPr>
          <w:p>
            <w:pPr>
              <w:spacing w:line="360" w:lineRule="auto"/>
              <w:rPr>
                <w:rFonts w:ascii="宋体" w:hAnsi="宋体"/>
                <w:szCs w:val="21"/>
              </w:rPr>
            </w:pPr>
            <w:r>
              <w:rPr>
                <w:rFonts w:hint="eastAsia" w:ascii="宋体" w:hAnsi="宋体"/>
                <w:szCs w:val="21"/>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5.1</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是否接受联合体竞标</w:t>
            </w:r>
          </w:p>
        </w:tc>
        <w:tc>
          <w:tcPr>
            <w:tcW w:w="6853" w:type="dxa"/>
            <w:noWrap w:val="0"/>
            <w:vAlign w:val="center"/>
          </w:tcPr>
          <w:p>
            <w:pPr>
              <w:spacing w:line="360" w:lineRule="auto"/>
              <w:rPr>
                <w:rFonts w:ascii="宋体" w:hAnsi="宋体" w:cs="宋体"/>
                <w:szCs w:val="21"/>
              </w:rPr>
            </w:pPr>
            <w:r>
              <w:rPr>
                <w:rFonts w:hint="eastAsia" w:ascii="宋体" w:hAnsi="宋体"/>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5</w:t>
            </w:r>
            <w:r>
              <w:rPr>
                <w:rFonts w:ascii="宋体" w:hAnsi="宋体" w:cs="宋体"/>
                <w:szCs w:val="21"/>
              </w:rPr>
              <w:t>.2</w:t>
            </w:r>
          </w:p>
        </w:tc>
        <w:tc>
          <w:tcPr>
            <w:tcW w:w="2552" w:type="dxa"/>
            <w:noWrap w:val="0"/>
            <w:vAlign w:val="center"/>
          </w:tcPr>
          <w:p>
            <w:pPr>
              <w:spacing w:line="360" w:lineRule="auto"/>
              <w:jc w:val="center"/>
              <w:rPr>
                <w:rFonts w:ascii="宋体" w:hAnsi="宋体" w:cs="宋体"/>
                <w:szCs w:val="21"/>
              </w:rPr>
            </w:pPr>
            <w:r>
              <w:rPr>
                <w:rFonts w:hint="eastAsia" w:ascii="宋体" w:hAnsi="宋体"/>
                <w:szCs w:val="21"/>
              </w:rPr>
              <w:t>联合体竞标要求</w:t>
            </w:r>
          </w:p>
        </w:tc>
        <w:tc>
          <w:tcPr>
            <w:tcW w:w="6853" w:type="dxa"/>
            <w:noWrap w:val="0"/>
            <w:vAlign w:val="center"/>
          </w:tcPr>
          <w:p>
            <w:pPr>
              <w:spacing w:line="360" w:lineRule="auto"/>
              <w:rPr>
                <w:rFonts w:ascii="宋体" w:hAnsi="宋体" w:cs="宋体"/>
                <w:szCs w:val="21"/>
              </w:rPr>
            </w:pPr>
            <w:r>
              <w:rPr>
                <w:rFonts w:hint="eastAsia" w:ascii="宋体" w:hAnsi="宋体" w:cs="宋体"/>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6.1</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是否允许分包</w:t>
            </w:r>
          </w:p>
        </w:tc>
        <w:tc>
          <w:tcPr>
            <w:tcW w:w="6853" w:type="dxa"/>
            <w:noWrap w:val="0"/>
            <w:vAlign w:val="center"/>
          </w:tcPr>
          <w:p>
            <w:pPr>
              <w:spacing w:line="360" w:lineRule="auto"/>
              <w:jc w:val="left"/>
              <w:rPr>
                <w:rFonts w:ascii="宋体" w:hAnsi="宋体"/>
                <w:szCs w:val="21"/>
              </w:rPr>
            </w:pPr>
            <w:r>
              <w:rPr>
                <w:rFonts w:ascii="宋体" w:hAnsi="宋体"/>
                <w:szCs w:val="21"/>
              </w:rPr>
              <w:sym w:font="Wingdings 2" w:char="0052"/>
            </w:r>
            <w:r>
              <w:rPr>
                <w:rFonts w:hint="eastAsia" w:ascii="宋体" w:hAnsi="宋体"/>
                <w:szCs w:val="21"/>
              </w:rPr>
              <w:t>不允许分包</w:t>
            </w:r>
          </w:p>
          <w:p>
            <w:pPr>
              <w:spacing w:line="360" w:lineRule="auto"/>
              <w:jc w:val="left"/>
              <w:rPr>
                <w:rFonts w:ascii="宋体" w:hAnsi="宋体"/>
                <w:szCs w:val="21"/>
              </w:rPr>
            </w:pPr>
            <w:r>
              <w:rPr>
                <w:rFonts w:hint="eastAsia" w:ascii="宋体" w:hAnsi="宋体"/>
                <w:szCs w:val="21"/>
              </w:rPr>
              <w:t>□允许分包</w:t>
            </w:r>
          </w:p>
          <w:p>
            <w:pPr>
              <w:spacing w:line="360" w:lineRule="auto"/>
              <w:jc w:val="left"/>
              <w:rPr>
                <w:rFonts w:ascii="宋体" w:hAnsi="宋体"/>
                <w:szCs w:val="21"/>
                <w:u w:val="single"/>
              </w:rPr>
            </w:pPr>
            <w:r>
              <w:rPr>
                <w:rFonts w:hint="eastAsia" w:ascii="宋体" w:hAnsi="宋体"/>
                <w:szCs w:val="21"/>
              </w:rPr>
              <w:t>分包内容：</w:t>
            </w:r>
            <w:r>
              <w:rPr>
                <w:rFonts w:hint="eastAsia" w:ascii="宋体" w:hAnsi="宋体"/>
                <w:szCs w:val="21"/>
                <w:u w:val="single"/>
              </w:rPr>
              <w:t xml:space="preserve">                                     。</w:t>
            </w:r>
          </w:p>
          <w:p>
            <w:pPr>
              <w:spacing w:line="360" w:lineRule="auto"/>
              <w:jc w:val="left"/>
              <w:rPr>
                <w:rFonts w:ascii="宋体" w:hAnsi="宋体" w:cs="宋体"/>
                <w:szCs w:val="21"/>
              </w:rPr>
            </w:pPr>
            <w:r>
              <w:rPr>
                <w:rFonts w:hint="eastAsia" w:ascii="宋体" w:hAnsi="宋体"/>
                <w:szCs w:val="21"/>
              </w:rPr>
              <w:t>分包金额或者比例：</w:t>
            </w:r>
            <w:r>
              <w:rPr>
                <w:rFonts w:hint="eastAsia" w:ascii="宋体" w:hAnsi="宋体"/>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12.1.</w:t>
            </w:r>
            <w:r>
              <w:rPr>
                <w:rFonts w:ascii="宋体" w:hAnsi="宋体" w:cs="宋体"/>
                <w:szCs w:val="21"/>
              </w:rPr>
              <w:t>1</w:t>
            </w:r>
          </w:p>
        </w:tc>
        <w:tc>
          <w:tcPr>
            <w:tcW w:w="2552" w:type="dxa"/>
            <w:noWrap w:val="0"/>
            <w:vAlign w:val="center"/>
          </w:tcPr>
          <w:p>
            <w:pPr>
              <w:snapToGrid w:val="0"/>
              <w:spacing w:line="360" w:lineRule="auto"/>
              <w:jc w:val="center"/>
              <w:rPr>
                <w:rFonts w:ascii="宋体" w:hAnsi="宋体" w:cs="宋体"/>
                <w:szCs w:val="21"/>
              </w:rPr>
            </w:pPr>
            <w:r>
              <w:rPr>
                <w:rFonts w:hint="eastAsia" w:ascii="宋体" w:hAnsi="宋体" w:cs="宋体"/>
                <w:b/>
                <w:szCs w:val="21"/>
              </w:rPr>
              <w:t>资格证明文件组成</w:t>
            </w:r>
          </w:p>
        </w:tc>
        <w:tc>
          <w:tcPr>
            <w:tcW w:w="6853" w:type="dxa"/>
            <w:noWrap w:val="0"/>
            <w:vAlign w:val="center"/>
          </w:tcPr>
          <w:p>
            <w:pPr>
              <w:spacing w:line="360" w:lineRule="auto"/>
              <w:jc w:val="left"/>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1.供应商为法人或者其他组织的提供其营业执照等证明文件（如营业执照或者事业单位法人证书或者执业许可证等）复印件，供应商为自然人的提供其身份证复印件；（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pPr>
              <w:snapToGrid w:val="0"/>
              <w:spacing w:line="360" w:lineRule="auto"/>
              <w:jc w:val="left"/>
              <w:rPr>
                <w:rFonts w:ascii="宋体" w:hAnsi="宋体"/>
                <w:color w:val="auto"/>
                <w:szCs w:val="21"/>
              </w:rPr>
            </w:pPr>
            <w:r>
              <w:rPr>
                <w:rFonts w:hint="eastAsia" w:ascii="宋体" w:hAnsi="宋体" w:cs="宋体"/>
                <w:szCs w:val="21"/>
              </w:rPr>
              <w:t>2、</w:t>
            </w:r>
            <w:r>
              <w:rPr>
                <w:rFonts w:hint="eastAsia" w:ascii="宋体" w:hAnsi="宋体" w:cs="宋体"/>
                <w:color w:val="auto"/>
                <w:szCs w:val="21"/>
              </w:rPr>
              <w:t>供应商依法缴纳税收的相关材料：[</w:t>
            </w:r>
            <w:r>
              <w:rPr>
                <w:rFonts w:ascii="宋体" w:hAnsi="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cs="宋体"/>
                <w:color w:val="auto"/>
                <w:szCs w:val="21"/>
              </w:rPr>
              <w:t>年</w:t>
            </w:r>
            <w:r>
              <w:rPr>
                <w:rFonts w:ascii="宋体" w:hAnsi="宋体" w:cs="宋体"/>
                <w:color w:val="auto"/>
                <w:szCs w:val="21"/>
                <w:u w:val="single"/>
              </w:rPr>
              <w:t>1</w:t>
            </w:r>
            <w:r>
              <w:rPr>
                <w:rFonts w:hint="eastAsia" w:ascii="宋体" w:hAnsi="宋体" w:cs="宋体"/>
                <w:color w:val="auto"/>
                <w:szCs w:val="21"/>
              </w:rPr>
              <w:t>月至</w:t>
            </w:r>
            <w:r>
              <w:rPr>
                <w:rFonts w:ascii="宋体" w:hAnsi="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cs="宋体"/>
                <w:color w:val="auto"/>
                <w:szCs w:val="21"/>
              </w:rPr>
              <w:t>年</w:t>
            </w:r>
            <w:r>
              <w:rPr>
                <w:rFonts w:hint="eastAsia" w:ascii="宋体" w:hAnsi="宋体" w:cs="宋体"/>
                <w:color w:val="auto"/>
                <w:szCs w:val="21"/>
                <w:u w:val="single"/>
                <w:lang w:val="en-US" w:eastAsia="zh-CN"/>
              </w:rPr>
              <w:t>6</w:t>
            </w:r>
            <w:r>
              <w:rPr>
                <w:rFonts w:hint="eastAsia" w:ascii="宋体" w:hAnsi="宋体" w:cs="宋体"/>
                <w:color w:val="auto"/>
                <w:szCs w:val="21"/>
              </w:rPr>
              <w:t>月内]连续</w:t>
            </w:r>
            <w:r>
              <w:rPr>
                <w:rFonts w:hint="eastAsia" w:ascii="宋体" w:hAnsi="宋体" w:cs="宋体"/>
                <w:color w:val="auto"/>
                <w:szCs w:val="21"/>
                <w:u w:val="single"/>
              </w:rPr>
              <w:t xml:space="preserve"> 三 </w:t>
            </w:r>
            <w:r>
              <w:rPr>
                <w:rFonts w:hint="eastAsia" w:ascii="宋体" w:hAnsi="宋体" w:cs="宋体"/>
                <w:color w:val="auto"/>
                <w:szCs w:val="21"/>
              </w:rPr>
              <w:t>个月的依法缴纳税收的凭据复印件；依</w:t>
            </w:r>
            <w:r>
              <w:rPr>
                <w:rFonts w:hint="eastAsia" w:ascii="宋体" w:hAnsi="宋体"/>
                <w:color w:val="auto"/>
                <w:szCs w:val="21"/>
              </w:rPr>
              <w:t>法免税的供应商，必须提供相应文件证明其依法免税。</w:t>
            </w:r>
            <w:r>
              <w:rPr>
                <w:rFonts w:hint="eastAsia" w:ascii="宋体" w:hAnsi="宋体" w:cs="宋体"/>
                <w:color w:val="auto"/>
                <w:szCs w:val="21"/>
              </w:rPr>
              <w:t>从取得营业执照时间起到投标文件提交截止时间为止不足要求月数的，只需提供从取得营业执照起的依法缴纳税收</w:t>
            </w:r>
            <w:r>
              <w:rPr>
                <w:rFonts w:hint="eastAsia" w:ascii="宋体" w:hAnsi="宋体"/>
                <w:color w:val="auto"/>
                <w:szCs w:val="21"/>
              </w:rPr>
              <w:t>相应证明文件</w:t>
            </w:r>
            <w:r>
              <w:rPr>
                <w:rFonts w:hint="eastAsia" w:ascii="宋体" w:hAnsi="宋体" w:cs="宋体"/>
                <w:color w:val="auto"/>
                <w:szCs w:val="21"/>
              </w:rPr>
              <w:t>）</w:t>
            </w:r>
            <w:r>
              <w:rPr>
                <w:rFonts w:hint="eastAsia" w:ascii="宋体" w:hAnsi="宋体"/>
                <w:color w:val="auto"/>
                <w:szCs w:val="21"/>
              </w:rPr>
              <w:t>；（</w:t>
            </w:r>
            <w:r>
              <w:rPr>
                <w:rFonts w:hint="eastAsia" w:ascii="宋体" w:hAnsi="宋体"/>
                <w:b/>
                <w:color w:val="auto"/>
                <w:szCs w:val="21"/>
              </w:rPr>
              <w:t>必须提供，否则作无效竞标处理</w:t>
            </w:r>
            <w:r>
              <w:rPr>
                <w:rFonts w:hint="eastAsia" w:ascii="宋体" w:hAnsi="宋体"/>
                <w:color w:val="auto"/>
                <w:szCs w:val="21"/>
              </w:rPr>
              <w:t>）</w:t>
            </w:r>
          </w:p>
          <w:p>
            <w:pPr>
              <w:snapToGrid w:val="0"/>
              <w:spacing w:line="360" w:lineRule="auto"/>
              <w:jc w:val="left"/>
              <w:rPr>
                <w:rFonts w:ascii="宋体" w:hAnsi="宋体"/>
                <w:szCs w:val="21"/>
              </w:rPr>
            </w:pPr>
            <w:r>
              <w:rPr>
                <w:rFonts w:hint="eastAsia" w:ascii="宋体" w:hAnsi="宋体" w:cs="宋体"/>
                <w:szCs w:val="21"/>
              </w:rPr>
              <w:t>3、</w:t>
            </w:r>
            <w:r>
              <w:rPr>
                <w:rFonts w:hint="eastAsia" w:ascii="宋体" w:hAnsi="宋体" w:cs="宋体"/>
                <w:color w:val="auto"/>
                <w:szCs w:val="21"/>
              </w:rPr>
              <w:t>供应商依法缴纳社会保障资金的相关材料[</w:t>
            </w:r>
            <w:r>
              <w:rPr>
                <w:rFonts w:ascii="宋体" w:hAnsi="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cs="宋体"/>
                <w:color w:val="auto"/>
                <w:szCs w:val="21"/>
              </w:rPr>
              <w:t>年</w:t>
            </w:r>
            <w:r>
              <w:rPr>
                <w:rFonts w:ascii="宋体" w:hAnsi="宋体" w:cs="宋体"/>
                <w:color w:val="auto"/>
                <w:szCs w:val="21"/>
                <w:u w:val="single"/>
              </w:rPr>
              <w:t>1</w:t>
            </w:r>
            <w:r>
              <w:rPr>
                <w:rFonts w:hint="eastAsia" w:ascii="宋体" w:hAnsi="宋体" w:cs="宋体"/>
                <w:color w:val="auto"/>
                <w:szCs w:val="21"/>
              </w:rPr>
              <w:t>月至</w:t>
            </w:r>
            <w:r>
              <w:rPr>
                <w:rFonts w:ascii="宋体" w:hAnsi="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cs="宋体"/>
                <w:color w:val="auto"/>
                <w:szCs w:val="21"/>
              </w:rPr>
              <w:t>年</w:t>
            </w:r>
            <w:r>
              <w:rPr>
                <w:rFonts w:hint="eastAsia" w:ascii="宋体" w:hAnsi="宋体" w:cs="宋体"/>
                <w:color w:val="auto"/>
                <w:szCs w:val="21"/>
                <w:u w:val="single"/>
                <w:lang w:val="en-US" w:eastAsia="zh-CN"/>
              </w:rPr>
              <w:t>6</w:t>
            </w:r>
            <w:r>
              <w:rPr>
                <w:rFonts w:hint="eastAsia" w:ascii="宋体" w:hAnsi="宋体" w:cs="宋体"/>
                <w:color w:val="auto"/>
                <w:szCs w:val="21"/>
              </w:rPr>
              <w:t>月内]连续</w:t>
            </w:r>
            <w:r>
              <w:rPr>
                <w:rFonts w:hint="eastAsia" w:ascii="宋体" w:hAnsi="宋体" w:cs="宋体"/>
                <w:color w:val="auto"/>
                <w:szCs w:val="21"/>
                <w:u w:val="single"/>
              </w:rPr>
              <w:t xml:space="preserve"> 三 </w:t>
            </w:r>
            <w:r>
              <w:rPr>
                <w:rFonts w:hint="eastAsia" w:ascii="宋体" w:hAnsi="宋体" w:cs="宋体"/>
                <w:color w:val="auto"/>
                <w:szCs w:val="21"/>
              </w:rPr>
              <w:t>个月的依法缴纳社会保障资金的缴费凭证（专用收据或者社会保险缴纳清单）复印件；</w:t>
            </w:r>
            <w:r>
              <w:rPr>
                <w:rFonts w:hint="eastAsia" w:ascii="宋体" w:hAnsi="宋体"/>
                <w:color w:val="auto"/>
                <w:szCs w:val="21"/>
              </w:rPr>
              <w:t>依法不需要缴纳社会保障资金的供应商，必须提供相应文件证明不需要缴纳社会保障资金。</w:t>
            </w:r>
            <w:r>
              <w:rPr>
                <w:rFonts w:hint="eastAsia" w:ascii="宋体" w:hAnsi="宋体" w:cs="宋体"/>
                <w:color w:val="auto"/>
                <w:szCs w:val="21"/>
              </w:rPr>
              <w:t>从取得营业执照时间起到响应文件提交截止时间为止不足要求月数的只需提供从取得营业执照起的依法缴纳社会保障资金的</w:t>
            </w:r>
            <w:r>
              <w:rPr>
                <w:rFonts w:hint="eastAsia" w:ascii="宋体" w:hAnsi="宋体"/>
                <w:color w:val="auto"/>
                <w:szCs w:val="21"/>
              </w:rPr>
              <w:t>相应证明文件</w:t>
            </w:r>
            <w:r>
              <w:rPr>
                <w:rFonts w:hint="eastAsia" w:ascii="宋体" w:hAnsi="宋体" w:cs="宋体"/>
                <w:color w:val="auto"/>
                <w:szCs w:val="21"/>
              </w:rPr>
              <w:t>]</w:t>
            </w:r>
            <w:r>
              <w:rPr>
                <w:rFonts w:hint="eastAsia" w:ascii="宋体" w:hAnsi="宋体"/>
                <w:color w:val="auto"/>
                <w:szCs w:val="21"/>
              </w:rPr>
              <w:t>；（</w:t>
            </w:r>
            <w:r>
              <w:rPr>
                <w:rFonts w:hint="eastAsia" w:ascii="宋体" w:hAnsi="宋体"/>
                <w:b/>
                <w:color w:val="auto"/>
                <w:szCs w:val="21"/>
              </w:rPr>
              <w:t>必须提供，否则作无效竞标处理</w:t>
            </w:r>
            <w:r>
              <w:rPr>
                <w:rFonts w:hint="eastAsia" w:ascii="宋体" w:hAnsi="宋体"/>
                <w:color w:val="auto"/>
                <w:szCs w:val="21"/>
              </w:rPr>
              <w:t>）</w:t>
            </w:r>
          </w:p>
          <w:p>
            <w:pPr>
              <w:snapToGrid w:val="0"/>
              <w:spacing w:line="360" w:lineRule="auto"/>
              <w:jc w:val="left"/>
              <w:rPr>
                <w:rFonts w:ascii="宋体" w:hAnsi="宋体"/>
                <w:szCs w:val="21"/>
              </w:rPr>
            </w:pPr>
            <w:r>
              <w:rPr>
                <w:rFonts w:hint="eastAsia" w:ascii="宋体" w:hAnsi="宋体" w:cs="宋体"/>
                <w:szCs w:val="21"/>
              </w:rPr>
              <w:t>4、供应商人财务状</w:t>
            </w:r>
            <w:r>
              <w:rPr>
                <w:rFonts w:hint="eastAsia" w:ascii="宋体" w:hAnsi="宋体" w:cs="宋体"/>
                <w:color w:val="auto"/>
                <w:szCs w:val="21"/>
              </w:rPr>
              <w:t>况报告</w:t>
            </w:r>
            <w:r>
              <w:rPr>
                <w:rFonts w:hint="eastAsia" w:ascii="宋体" w:hAnsi="宋体"/>
                <w:color w:val="auto"/>
                <w:szCs w:val="21"/>
              </w:rPr>
              <w:t>[</w:t>
            </w:r>
            <w:r>
              <w:rPr>
                <w:rFonts w:hint="eastAsia" w:ascii="宋体" w:hAnsi="宋体"/>
                <w:color w:val="auto"/>
                <w:szCs w:val="21"/>
                <w:u w:val="single"/>
              </w:rPr>
              <w:t>202</w:t>
            </w:r>
            <w:r>
              <w:rPr>
                <w:rFonts w:hint="eastAsia" w:ascii="宋体" w:hAnsi="宋体"/>
                <w:color w:val="auto"/>
                <w:szCs w:val="21"/>
                <w:u w:val="single"/>
                <w:lang w:val="en-US" w:eastAsia="zh-CN"/>
              </w:rPr>
              <w:t>3</w:t>
            </w:r>
            <w:r>
              <w:rPr>
                <w:rFonts w:hint="eastAsia" w:ascii="宋体" w:hAnsi="宋体"/>
                <w:color w:val="auto"/>
                <w:szCs w:val="21"/>
                <w:u w:val="single"/>
              </w:rPr>
              <w:t>年或2</w:t>
            </w:r>
            <w:r>
              <w:rPr>
                <w:rFonts w:ascii="宋体" w:hAnsi="宋体"/>
                <w:color w:val="auto"/>
                <w:szCs w:val="21"/>
                <w:u w:val="single"/>
              </w:rPr>
              <w:t>02</w:t>
            </w:r>
            <w:r>
              <w:rPr>
                <w:rFonts w:hint="eastAsia" w:ascii="宋体" w:hAnsi="宋体"/>
                <w:color w:val="auto"/>
                <w:szCs w:val="21"/>
                <w:u w:val="single"/>
                <w:lang w:val="en-US" w:eastAsia="zh-CN"/>
              </w:rPr>
              <w:t>4</w:t>
            </w:r>
            <w:r>
              <w:rPr>
                <w:rFonts w:hint="eastAsia" w:ascii="宋体" w:hAnsi="宋体"/>
                <w:color w:val="auto"/>
                <w:szCs w:val="21"/>
                <w:u w:val="single"/>
              </w:rPr>
              <w:t>年</w:t>
            </w:r>
            <w:r>
              <w:rPr>
                <w:rFonts w:hint="eastAsia" w:ascii="宋体" w:hAnsi="宋体" w:cs="宋体"/>
                <w:color w:val="auto"/>
                <w:szCs w:val="21"/>
              </w:rPr>
              <w:t>]</w:t>
            </w:r>
            <w:r>
              <w:rPr>
                <w:rFonts w:hint="eastAsia" w:ascii="宋体" w:hAnsi="宋体"/>
                <w:color w:val="auto"/>
                <w:szCs w:val="21"/>
              </w:rPr>
              <w:t>财</w:t>
            </w:r>
            <w:r>
              <w:rPr>
                <w:rFonts w:hint="eastAsia" w:ascii="宋体" w:hAnsi="宋体"/>
                <w:szCs w:val="21"/>
              </w:rPr>
              <w:t>务状况报告复印件；或者银行出具的资信证明，或者中国人民银行征信中心出具的信用报告；供应商属于成立时间在规定年度之后的法人或其他组织，需提供成立之日起至响应文件提交截止时间前的1个月报表或银行出具的资信证明或者中国人民银行征信中心出具的企业信用报告；资信证明应在有效期内，未注明有效期的，银行出具时间至响应文件提交截止时间不得超过一年）；（</w:t>
            </w:r>
            <w:r>
              <w:rPr>
                <w:rFonts w:hint="eastAsia" w:ascii="宋体" w:hAnsi="宋体"/>
                <w:b/>
                <w:szCs w:val="21"/>
              </w:rPr>
              <w:t>必须提供，否则作无效竞标处理</w:t>
            </w:r>
            <w:r>
              <w:rPr>
                <w:rFonts w:hint="eastAsia" w:ascii="宋体" w:hAnsi="宋体"/>
                <w:szCs w:val="21"/>
              </w:rPr>
              <w:t>）</w:t>
            </w:r>
          </w:p>
          <w:p>
            <w:pPr>
              <w:snapToGrid w:val="0"/>
              <w:spacing w:line="360" w:lineRule="auto"/>
              <w:jc w:val="left"/>
              <w:rPr>
                <w:rFonts w:ascii="宋体" w:hAnsi="宋体" w:cs="宋体"/>
                <w:szCs w:val="21"/>
              </w:rPr>
            </w:pPr>
            <w:r>
              <w:rPr>
                <w:rFonts w:hint="eastAsia" w:ascii="宋体" w:hAnsi="宋体" w:cs="宋体"/>
                <w:szCs w:val="21"/>
              </w:rPr>
              <w:t>5.供应商直接控股、管理关系信息表；（</w:t>
            </w:r>
            <w:r>
              <w:rPr>
                <w:rFonts w:hint="eastAsia" w:ascii="宋体" w:hAnsi="宋体" w:cs="宋体"/>
                <w:b/>
                <w:szCs w:val="21"/>
              </w:rPr>
              <w:t>必须提供，否则响应文件按无效响应处理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6.资格声明；（</w:t>
            </w:r>
            <w:r>
              <w:rPr>
                <w:rFonts w:hint="eastAsia" w:ascii="宋体" w:hAnsi="宋体" w:cs="宋体"/>
                <w:b/>
                <w:szCs w:val="21"/>
              </w:rPr>
              <w:t>必须提供，否则响应文件按无效响应处理</w:t>
            </w:r>
            <w:r>
              <w:rPr>
                <w:rFonts w:hint="eastAsia" w:ascii="宋体" w:hAnsi="宋体" w:cs="宋体"/>
                <w:szCs w:val="21"/>
              </w:rPr>
              <w:t>）</w:t>
            </w:r>
          </w:p>
          <w:p>
            <w:pPr>
              <w:snapToGrid w:val="0"/>
              <w:spacing w:line="360" w:lineRule="auto"/>
              <w:jc w:val="left"/>
              <w:rPr>
                <w:rFonts w:hint="eastAsia" w:ascii="宋体" w:hAnsi="宋体"/>
                <w:szCs w:val="21"/>
              </w:rPr>
            </w:pPr>
            <w:r>
              <w:rPr>
                <w:rFonts w:hint="eastAsia" w:ascii="宋体" w:hAnsi="宋体" w:cs="宋体"/>
                <w:szCs w:val="21"/>
                <w:lang w:val="en-US" w:eastAsia="zh-CN"/>
              </w:rPr>
              <w:t>7</w:t>
            </w:r>
            <w:r>
              <w:rPr>
                <w:rFonts w:hint="eastAsia" w:ascii="宋体" w:hAnsi="宋体" w:cs="宋体"/>
                <w:szCs w:val="21"/>
              </w:rPr>
              <w:t>.</w:t>
            </w:r>
            <w:r>
              <w:rPr>
                <w:rFonts w:hint="eastAsia" w:ascii="宋体" w:hAnsi="宋体"/>
                <w:szCs w:val="21"/>
              </w:rPr>
              <w:t>特定资格要求及特定条件设置供应商提供的资格证明材料：</w:t>
            </w:r>
          </w:p>
          <w:p>
            <w:pPr>
              <w:snapToGrid w:val="0"/>
              <w:spacing w:line="360" w:lineRule="auto"/>
              <w:jc w:val="left"/>
              <w:rPr>
                <w:rFonts w:hint="eastAsia" w:ascii="宋体" w:hAnsi="宋体"/>
                <w:b/>
                <w:szCs w:val="21"/>
              </w:rPr>
            </w:pPr>
            <w:r>
              <w:rPr>
                <w:rFonts w:hint="eastAsia" w:ascii="宋体" w:hAnsi="宋体"/>
                <w:b/>
                <w:szCs w:val="21"/>
                <w:lang w:eastAsia="zh-CN"/>
              </w:rPr>
              <w:t>（</w:t>
            </w:r>
            <w:r>
              <w:rPr>
                <w:rFonts w:hint="eastAsia" w:ascii="宋体" w:hAnsi="宋体"/>
                <w:b/>
                <w:szCs w:val="21"/>
                <w:lang w:val="en-US" w:eastAsia="zh-CN"/>
              </w:rPr>
              <w:t>1</w:t>
            </w:r>
            <w:r>
              <w:rPr>
                <w:rFonts w:hint="eastAsia" w:ascii="宋体" w:hAnsi="宋体"/>
                <w:b/>
                <w:szCs w:val="21"/>
                <w:lang w:eastAsia="zh-CN"/>
              </w:rPr>
              <w:t>）具备建筑工程施工总承包叁级（含叁级）以上或建筑装饰装修工程专业贰级（含贰级）以上资质</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pPr>
              <w:pStyle w:val="19"/>
              <w:spacing w:line="360" w:lineRule="auto"/>
              <w:rPr>
                <w:rFonts w:hint="eastAsia" w:eastAsia="宋体"/>
                <w:lang w:eastAsia="zh-CN"/>
              </w:rPr>
            </w:pPr>
            <w:r>
              <w:rPr>
                <w:rFonts w:hint="eastAsia" w:ascii="宋体" w:hAnsi="宋体"/>
                <w:b/>
                <w:szCs w:val="21"/>
                <w:lang w:eastAsia="zh-CN"/>
              </w:rPr>
              <w:t>（</w:t>
            </w:r>
            <w:r>
              <w:rPr>
                <w:rFonts w:hint="eastAsia" w:ascii="宋体" w:hAnsi="宋体"/>
                <w:b/>
                <w:szCs w:val="21"/>
                <w:lang w:val="en-US" w:eastAsia="zh-CN"/>
              </w:rPr>
              <w:t>2</w:t>
            </w:r>
            <w:r>
              <w:rPr>
                <w:rFonts w:hint="eastAsia" w:ascii="宋体" w:hAnsi="宋体"/>
                <w:b/>
                <w:szCs w:val="21"/>
                <w:lang w:eastAsia="zh-CN"/>
              </w:rPr>
              <w:t>）拟派项目经理须具备建筑工程专业贰级以上（含贰级）注册建造师资格，具备有效的安全生产考核合格证书（B类）。本项目不接受有在建、已中标未开工或已列为其他项目中标候选人第一名的建造师作为项目经理。</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pPr>
              <w:spacing w:line="360" w:lineRule="auto"/>
              <w:rPr>
                <w:rFonts w:ascii="Calibri" w:hAnsi="Calibri"/>
              </w:rPr>
            </w:pPr>
            <w:r>
              <w:rPr>
                <w:rFonts w:hint="eastAsia" w:ascii="宋体" w:hAnsi="宋体" w:eastAsia="宋体" w:cs="Times New Roman"/>
                <w:szCs w:val="21"/>
                <w:lang w:val="en-US" w:eastAsia="zh-CN"/>
              </w:rPr>
              <w:t>8</w:t>
            </w:r>
            <w:r>
              <w:rPr>
                <w:rFonts w:hint="eastAsia" w:ascii="宋体" w:hAnsi="宋体" w:eastAsia="宋体" w:cs="Times New Roman"/>
                <w:szCs w:val="21"/>
              </w:rPr>
              <w:t>.提供中小企业声明函</w:t>
            </w:r>
            <w:r>
              <w:rPr>
                <w:rFonts w:hint="eastAsia" w:ascii="宋体" w:hAnsi="宋体" w:eastAsia="宋体" w:cs="Times New Roman"/>
                <w:szCs w:val="21"/>
                <w:lang w:eastAsia="zh-CN"/>
              </w:rPr>
              <w:t>；</w:t>
            </w:r>
            <w:r>
              <w:rPr>
                <w:rFonts w:hint="eastAsia" w:ascii="宋体" w:hAnsi="宋体" w:eastAsia="宋体" w:cs="Times New Roman"/>
                <w:szCs w:val="21"/>
              </w:rPr>
              <w:t>本项目采购标的对应的中小企业划分标准所属行业为建筑业，参加本项目的供应商必须为小微企业）或监狱企业证明或残疾人福利声明函。</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pPr>
              <w:snapToGrid w:val="0"/>
              <w:spacing w:line="360" w:lineRule="auto"/>
              <w:jc w:val="left"/>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.项目经理无在建工程承诺书（格式自拟）；（</w:t>
            </w:r>
            <w:r>
              <w:rPr>
                <w:rFonts w:hint="eastAsia" w:ascii="宋体" w:hAnsi="宋体" w:cs="宋体"/>
                <w:b/>
                <w:szCs w:val="21"/>
              </w:rPr>
              <w:t>必须提供，否则响应文件按无效响应处理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lang w:val="en-US" w:eastAsia="zh-CN"/>
              </w:rPr>
              <w:t>10.</w:t>
            </w:r>
            <w:r>
              <w:rPr>
                <w:rFonts w:hint="eastAsia" w:ascii="宋体" w:hAnsi="宋体" w:cs="宋体"/>
                <w:szCs w:val="21"/>
              </w:rPr>
              <w:t>除磋商文件规定必须提供以外，供应商认为需要提供的其他证明材料。（如有请提供）</w:t>
            </w:r>
          </w:p>
          <w:p>
            <w:pPr>
              <w:snapToGrid w:val="0"/>
              <w:spacing w:line="360" w:lineRule="auto"/>
              <w:jc w:val="left"/>
              <w:rPr>
                <w:rFonts w:ascii="宋体" w:hAnsi="宋体" w:cs="宋体"/>
                <w:b/>
                <w:szCs w:val="21"/>
              </w:rPr>
            </w:pPr>
            <w:r>
              <w:rPr>
                <w:rFonts w:hint="eastAsia" w:ascii="宋体" w:hAnsi="宋体" w:cs="宋体"/>
                <w:b/>
                <w:szCs w:val="21"/>
              </w:rPr>
              <w:t>注：以上标明“必须提供”的材料属于复印件的扫描件的，必须加盖供应商电子公章，否则响应文件按无效响应处理。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vMerge w:val="restart"/>
            <w:noWrap w:val="0"/>
            <w:vAlign w:val="center"/>
          </w:tcPr>
          <w:p>
            <w:pPr>
              <w:spacing w:line="360" w:lineRule="auto"/>
              <w:jc w:val="center"/>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w:t>
            </w:r>
            <w:r>
              <w:rPr>
                <w:rFonts w:ascii="宋体" w:hAnsi="宋体" w:cs="宋体"/>
                <w:szCs w:val="21"/>
              </w:rPr>
              <w:t>2</w:t>
            </w:r>
          </w:p>
        </w:tc>
        <w:tc>
          <w:tcPr>
            <w:tcW w:w="2552" w:type="dxa"/>
            <w:noWrap w:val="0"/>
            <w:vAlign w:val="center"/>
          </w:tcPr>
          <w:p>
            <w:pPr>
              <w:spacing w:line="360" w:lineRule="auto"/>
              <w:jc w:val="center"/>
              <w:rPr>
                <w:rFonts w:ascii="宋体" w:hAnsi="宋体" w:cs="宋体"/>
                <w:b/>
                <w:bCs/>
                <w:szCs w:val="21"/>
              </w:rPr>
            </w:pPr>
            <w:r>
              <w:rPr>
                <w:rFonts w:hint="eastAsia" w:ascii="宋体" w:hAnsi="宋体" w:cs="宋体"/>
                <w:b/>
                <w:bCs/>
                <w:szCs w:val="21"/>
              </w:rPr>
              <w:t>商务文件组成</w:t>
            </w:r>
          </w:p>
        </w:tc>
        <w:tc>
          <w:tcPr>
            <w:tcW w:w="6853" w:type="dxa"/>
            <w:noWrap w:val="0"/>
            <w:vAlign w:val="center"/>
          </w:tcPr>
          <w:p>
            <w:pPr>
              <w:spacing w:line="360" w:lineRule="auto"/>
              <w:rPr>
                <w:rFonts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pPr>
              <w:spacing w:line="360" w:lineRule="auto"/>
              <w:rPr>
                <w:rFonts w:ascii="宋体" w:hAnsi="宋体" w:cs="宋体"/>
                <w:b/>
                <w:szCs w:val="21"/>
              </w:rPr>
            </w:pPr>
            <w:r>
              <w:rPr>
                <w:rFonts w:hint="eastAsia" w:ascii="宋体" w:hAnsi="宋体" w:cs="宋体"/>
                <w:szCs w:val="21"/>
              </w:rPr>
              <w:t>3.法定代表人授权委托书及委托代理人有效身份证正反面复印件；（</w:t>
            </w:r>
            <w:r>
              <w:rPr>
                <w:rFonts w:hint="eastAsia" w:ascii="宋体" w:hAnsi="宋体" w:cs="宋体"/>
                <w:b/>
                <w:szCs w:val="21"/>
              </w:rPr>
              <w:t>委托时必须提供，否则响应文件按无效响应处理</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5.竞标人情况介绍；（如有，请提供）</w:t>
            </w:r>
          </w:p>
          <w:p>
            <w:pPr>
              <w:snapToGrid w:val="0"/>
              <w:spacing w:line="360" w:lineRule="auto"/>
              <w:jc w:val="left"/>
              <w:rPr>
                <w:rFonts w:hint="eastAsia" w:ascii="宋体" w:hAnsi="宋体" w:cs="宋体"/>
                <w:b w:val="0"/>
                <w:bCs/>
                <w:color w:val="auto"/>
                <w:szCs w:val="21"/>
              </w:rPr>
            </w:pPr>
            <w:r>
              <w:rPr>
                <w:rFonts w:hint="eastAsia" w:ascii="宋体" w:hAnsi="宋体" w:cs="宋体"/>
                <w:b w:val="0"/>
                <w:bCs/>
                <w:szCs w:val="21"/>
              </w:rPr>
              <w:t>6.</w:t>
            </w:r>
            <w:r>
              <w:rPr>
                <w:rFonts w:hint="eastAsia" w:ascii="宋体" w:hAnsi="宋体" w:cs="宋体"/>
                <w:b w:val="0"/>
                <w:bCs/>
                <w:color w:val="auto"/>
                <w:szCs w:val="21"/>
              </w:rPr>
              <w:t xml:space="preserve"> 2022年</w:t>
            </w:r>
            <w:r>
              <w:rPr>
                <w:rFonts w:hint="eastAsia" w:ascii="宋体" w:hAnsi="宋体" w:cs="宋体"/>
                <w:b w:val="0"/>
                <w:bCs/>
                <w:color w:val="auto"/>
                <w:szCs w:val="21"/>
                <w:lang w:val="en-US" w:eastAsia="zh-CN"/>
              </w:rPr>
              <w:t>6</w:t>
            </w:r>
            <w:r>
              <w:rPr>
                <w:rFonts w:hint="eastAsia" w:ascii="宋体" w:hAnsi="宋体" w:cs="宋体"/>
                <w:b w:val="0"/>
                <w:bCs/>
                <w:color w:val="auto"/>
                <w:szCs w:val="21"/>
              </w:rPr>
              <w:t>月</w:t>
            </w:r>
            <w:r>
              <w:rPr>
                <w:rFonts w:hint="eastAsia" w:ascii="宋体" w:hAnsi="宋体" w:cs="宋体"/>
                <w:b w:val="0"/>
                <w:bCs/>
                <w:color w:val="auto"/>
                <w:szCs w:val="21"/>
                <w:lang w:val="en-US" w:eastAsia="zh-CN"/>
              </w:rPr>
              <w:t>1日</w:t>
            </w:r>
            <w:r>
              <w:rPr>
                <w:rFonts w:hint="eastAsia" w:ascii="宋体" w:hAnsi="宋体" w:cs="宋体"/>
                <w:b w:val="0"/>
                <w:bCs/>
                <w:color w:val="auto"/>
                <w:szCs w:val="21"/>
              </w:rPr>
              <w:t>以来</w:t>
            </w:r>
            <w:r>
              <w:rPr>
                <w:rFonts w:hint="eastAsia" w:ascii="宋体" w:hAnsi="宋体" w:eastAsia="宋体" w:cs="宋体"/>
                <w:color w:val="auto"/>
                <w:kern w:val="0"/>
                <w:sz w:val="21"/>
                <w:szCs w:val="21"/>
                <w:lang w:val="en-US" w:eastAsia="zh-CN" w:bidi="ar-SA"/>
              </w:rPr>
              <w:t>承建项目</w:t>
            </w:r>
            <w:r>
              <w:rPr>
                <w:rFonts w:hint="eastAsia" w:ascii="宋体" w:hAnsi="宋体" w:cs="宋体"/>
                <w:b w:val="0"/>
                <w:bCs/>
                <w:color w:val="auto"/>
                <w:szCs w:val="21"/>
              </w:rPr>
              <w:t>工程情况表（格式后附）；（如有，请提供）</w:t>
            </w:r>
          </w:p>
          <w:p>
            <w:pPr>
              <w:snapToGrid w:val="0"/>
              <w:spacing w:line="360" w:lineRule="auto"/>
              <w:jc w:val="left"/>
              <w:rPr>
                <w:rFonts w:hint="eastAsia" w:ascii="宋体" w:hAnsi="宋体" w:cs="宋体"/>
                <w:b w:val="0"/>
                <w:bCs/>
                <w:szCs w:val="21"/>
              </w:rPr>
            </w:pPr>
            <w:r>
              <w:rPr>
                <w:rFonts w:hint="eastAsia" w:ascii="宋体" w:hAnsi="宋体" w:cs="宋体"/>
                <w:b w:val="0"/>
                <w:bCs/>
                <w:szCs w:val="21"/>
              </w:rPr>
              <w:t>7.供应商认为需要提供的其他有关资料。 （如有，请提供）</w:t>
            </w:r>
          </w:p>
          <w:p>
            <w:pPr>
              <w:snapToGrid w:val="0"/>
              <w:spacing w:line="360" w:lineRule="auto"/>
              <w:jc w:val="left"/>
              <w:rPr>
                <w:rFonts w:ascii="宋体" w:hAnsi="宋体" w:cs="宋体"/>
                <w:b/>
                <w:szCs w:val="21"/>
              </w:rPr>
            </w:pPr>
            <w:r>
              <w:rPr>
                <w:rFonts w:hint="eastAsia" w:ascii="宋体" w:hAnsi="宋体" w:cs="宋体"/>
                <w:b/>
                <w:szCs w:val="21"/>
              </w:rPr>
              <w:t xml:space="preserve">注： </w:t>
            </w:r>
          </w:p>
          <w:p>
            <w:pPr>
              <w:snapToGrid w:val="0"/>
              <w:spacing w:line="360" w:lineRule="auto"/>
              <w:ind w:firstLine="413" w:firstLineChars="196"/>
              <w:jc w:val="left"/>
              <w:rPr>
                <w:rFonts w:ascii="宋体" w:hAnsi="宋体" w:cs="宋体"/>
                <w:b/>
                <w:szCs w:val="21"/>
              </w:rPr>
            </w:pPr>
            <w:r>
              <w:rPr>
                <w:rFonts w:hint="eastAsia" w:ascii="宋体" w:hAnsi="宋体" w:cs="宋体"/>
                <w:b/>
                <w:szCs w:val="21"/>
              </w:rPr>
              <w:t>1.法定代表人授权委托书必须由法定代表人及委托代理人签字，并加盖供应商公章，否则响应文件按无效响应处理。</w:t>
            </w:r>
          </w:p>
          <w:p>
            <w:pPr>
              <w:spacing w:line="360" w:lineRule="auto"/>
              <w:ind w:firstLine="413" w:firstLineChars="196"/>
              <w:rPr>
                <w:rFonts w:ascii="宋体" w:hAnsi="宋体" w:cs="宋体"/>
                <w:b/>
                <w:szCs w:val="21"/>
              </w:rPr>
            </w:pPr>
            <w:r>
              <w:rPr>
                <w:rFonts w:ascii="宋体" w:hAnsi="宋体" w:cs="宋体"/>
                <w:b/>
                <w:szCs w:val="21"/>
              </w:rPr>
              <w:t>2</w:t>
            </w:r>
            <w:r>
              <w:rPr>
                <w:rFonts w:hint="eastAsia" w:ascii="宋体" w:hAnsi="宋体" w:cs="宋体"/>
                <w:b/>
                <w:szCs w:val="21"/>
              </w:rPr>
              <w:t>.以上标明“必须提供”的材料属于复印件的扫描件的，必须加盖供应商电子公章，否则响应文件按无效响应处理。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vMerge w:val="continue"/>
            <w:noWrap w:val="0"/>
            <w:vAlign w:val="center"/>
          </w:tcPr>
          <w:p>
            <w:pPr>
              <w:spacing w:line="360" w:lineRule="auto"/>
              <w:jc w:val="center"/>
              <w:rPr>
                <w:rFonts w:ascii="宋体" w:hAnsi="宋体" w:cs="宋体"/>
                <w:szCs w:val="21"/>
              </w:rPr>
            </w:pPr>
          </w:p>
        </w:tc>
        <w:tc>
          <w:tcPr>
            <w:tcW w:w="2552" w:type="dxa"/>
            <w:noWrap w:val="0"/>
            <w:vAlign w:val="center"/>
          </w:tcPr>
          <w:p>
            <w:pPr>
              <w:spacing w:line="360" w:lineRule="auto"/>
              <w:jc w:val="center"/>
              <w:rPr>
                <w:rFonts w:ascii="宋体" w:hAnsi="宋体" w:cs="宋体"/>
                <w:b/>
                <w:bCs/>
                <w:szCs w:val="21"/>
              </w:rPr>
            </w:pPr>
            <w:r>
              <w:rPr>
                <w:rFonts w:hint="eastAsia" w:ascii="宋体" w:hAnsi="宋体" w:cs="宋体"/>
                <w:b/>
                <w:bCs/>
                <w:szCs w:val="21"/>
              </w:rPr>
              <w:t>技术文件组成</w:t>
            </w:r>
          </w:p>
        </w:tc>
        <w:tc>
          <w:tcPr>
            <w:tcW w:w="6853" w:type="dxa"/>
            <w:noWrap w:val="0"/>
            <w:vAlign w:val="center"/>
          </w:tcPr>
          <w:p>
            <w:pPr>
              <w:spacing w:line="400" w:lineRule="exact"/>
              <w:rPr>
                <w:rFonts w:ascii="宋体" w:hAnsi="宋体" w:cs="宋体"/>
                <w:szCs w:val="21"/>
              </w:rPr>
            </w:pPr>
            <w:r>
              <w:rPr>
                <w:rFonts w:hint="eastAsia" w:ascii="宋体" w:hAnsi="宋体" w:cs="宋体"/>
                <w:szCs w:val="21"/>
              </w:rPr>
              <w:t>1.响应技术资料表（格式后附）；（</w:t>
            </w:r>
            <w:r>
              <w:rPr>
                <w:rFonts w:hint="eastAsia" w:ascii="宋体" w:hAnsi="宋体" w:cs="宋体"/>
                <w:b/>
                <w:szCs w:val="21"/>
              </w:rPr>
              <w:t>必须提供，否则响应文件按无效响应处理</w:t>
            </w:r>
            <w:r>
              <w:rPr>
                <w:rFonts w:hint="eastAsia" w:ascii="宋体" w:hAnsi="宋体" w:cs="宋体"/>
                <w:szCs w:val="21"/>
              </w:rPr>
              <w:t>）</w:t>
            </w:r>
          </w:p>
          <w:p>
            <w:pPr>
              <w:spacing w:line="400" w:lineRule="exact"/>
              <w:rPr>
                <w:rFonts w:hint="eastAsia" w:ascii="宋体" w:hAnsi="宋体" w:cs="宋体"/>
                <w:szCs w:val="21"/>
              </w:rPr>
            </w:pPr>
            <w:r>
              <w:rPr>
                <w:rFonts w:hint="eastAsia" w:ascii="宋体" w:hAnsi="宋体" w:cs="宋体"/>
                <w:szCs w:val="21"/>
              </w:rPr>
              <w:t>2.</w:t>
            </w:r>
            <w:r>
              <w:rPr>
                <w:rFonts w:hint="eastAsia" w:ascii="宋体" w:hAnsi="宋体" w:cs="Courier New"/>
                <w:szCs w:val="21"/>
              </w:rPr>
              <w:t>施工组织设计</w:t>
            </w:r>
            <w:r>
              <w:rPr>
                <w:rFonts w:hint="eastAsia" w:ascii="宋体" w:hAnsi="宋体" w:cs="宋体"/>
                <w:szCs w:val="21"/>
              </w:rPr>
              <w:t>（格式自拟，由供应商根据磋商文件要求编制）</w:t>
            </w:r>
            <w:r>
              <w:rPr>
                <w:rFonts w:hint="eastAsia" w:ascii="宋体" w:hAnsi="宋体" w:cs="Courier New"/>
                <w:szCs w:val="21"/>
              </w:rPr>
              <w:t>；</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pPr>
              <w:spacing w:line="400" w:lineRule="exact"/>
              <w:rPr>
                <w:rFonts w:hint="eastAsia" w:ascii="宋体" w:hAnsi="宋体" w:cs="Courier New"/>
                <w:b/>
                <w:szCs w:val="21"/>
              </w:rPr>
            </w:pPr>
            <w:r>
              <w:rPr>
                <w:rFonts w:hint="eastAsia" w:ascii="宋体" w:hAnsi="宋体" w:cs="Courier New"/>
                <w:szCs w:val="21"/>
              </w:rPr>
              <w:t>3. 拟投入本工程的主要施工设备表（格式后附）；</w:t>
            </w:r>
            <w:r>
              <w:rPr>
                <w:rFonts w:hint="eastAsia" w:ascii="宋体" w:hAnsi="宋体" w:cs="Courier New"/>
                <w:b/>
                <w:szCs w:val="21"/>
              </w:rPr>
              <w:t>（必须提供，否则响应文件按无效响应处理）</w:t>
            </w:r>
          </w:p>
          <w:p>
            <w:pPr>
              <w:spacing w:line="400" w:lineRule="exact"/>
              <w:rPr>
                <w:rFonts w:hint="eastAsia" w:ascii="宋体" w:hAnsi="宋体" w:cs="宋体"/>
                <w:szCs w:val="21"/>
              </w:rPr>
            </w:pPr>
            <w:r>
              <w:rPr>
                <w:rFonts w:hint="eastAsia" w:ascii="宋体" w:hAnsi="宋体" w:cs="Courier New"/>
                <w:szCs w:val="21"/>
              </w:rPr>
              <w:t>4.</w:t>
            </w:r>
            <w:r>
              <w:rPr>
                <w:rFonts w:hint="eastAsia"/>
              </w:rPr>
              <w:t xml:space="preserve"> </w:t>
            </w:r>
            <w:r>
              <w:rPr>
                <w:rFonts w:hint="eastAsia" w:ascii="宋体" w:hAnsi="宋体" w:cs="Courier New"/>
                <w:szCs w:val="21"/>
              </w:rPr>
              <w:t>项目管理机构配备情况表及其他主要人员简历表</w:t>
            </w:r>
            <w:r>
              <w:rPr>
                <w:rFonts w:hint="eastAsia" w:ascii="宋体" w:hAnsi="宋体" w:cs="宋体"/>
                <w:szCs w:val="21"/>
              </w:rPr>
              <w:t>（格式后附）；</w:t>
            </w:r>
            <w:r>
              <w:rPr>
                <w:rFonts w:hint="eastAsia" w:ascii="宋体" w:hAnsi="宋体" w:cs="宋体"/>
                <w:b/>
                <w:szCs w:val="21"/>
              </w:rPr>
              <w:t>（必须提供，否则响应文件按无效响应处理）</w:t>
            </w:r>
          </w:p>
          <w:p>
            <w:pPr>
              <w:spacing w:line="400" w:lineRule="exact"/>
              <w:rPr>
                <w:rFonts w:ascii="宋体" w:hAnsi="宋体" w:cs="宋体"/>
                <w:szCs w:val="21"/>
              </w:rPr>
            </w:pPr>
            <w:r>
              <w:rPr>
                <w:rFonts w:hint="eastAsia" w:ascii="宋体" w:hAnsi="宋体" w:cs="宋体"/>
                <w:szCs w:val="21"/>
              </w:rPr>
              <w:t>5.建设工程项目管理承诺书（格式后附）</w:t>
            </w:r>
            <w:r>
              <w:rPr>
                <w:rFonts w:hint="eastAsia" w:ascii="宋体" w:hAnsi="宋体" w:cs="宋体"/>
                <w:b/>
                <w:szCs w:val="21"/>
              </w:rPr>
              <w:t>；（必须提供，否则响应文件按无效响应处理）</w:t>
            </w:r>
          </w:p>
          <w:p>
            <w:pPr>
              <w:spacing w:line="400" w:lineRule="exact"/>
              <w:rPr>
                <w:rFonts w:ascii="宋体" w:hAnsi="宋体" w:cs="宋体"/>
                <w:szCs w:val="21"/>
              </w:rPr>
            </w:pPr>
            <w:r>
              <w:rPr>
                <w:rFonts w:hint="eastAsia" w:ascii="宋体" w:hAnsi="宋体" w:cs="宋体"/>
                <w:szCs w:val="21"/>
              </w:rPr>
              <w:t>6.供应商认为需要提供的其他有关资料。</w:t>
            </w:r>
            <w:r>
              <w:rPr>
                <w:rFonts w:hint="eastAsia" w:ascii="宋体" w:hAnsi="宋体" w:cs="仿宋_GB2312"/>
                <w:szCs w:val="22"/>
              </w:rPr>
              <w:t>（如有，请提供）</w:t>
            </w:r>
          </w:p>
          <w:p>
            <w:pPr>
              <w:spacing w:line="360" w:lineRule="auto"/>
              <w:rPr>
                <w:rFonts w:ascii="宋体" w:hAnsi="宋体" w:cs="宋体"/>
                <w:szCs w:val="21"/>
              </w:rPr>
            </w:pPr>
            <w:r>
              <w:rPr>
                <w:rFonts w:hint="eastAsia" w:ascii="宋体" w:hAnsi="宋体" w:cs="宋体"/>
                <w:b/>
                <w:szCs w:val="21"/>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.2</w:t>
            </w:r>
          </w:p>
        </w:tc>
        <w:tc>
          <w:tcPr>
            <w:tcW w:w="2552" w:type="dxa"/>
            <w:noWrap w:val="0"/>
            <w:vAlign w:val="center"/>
          </w:tcPr>
          <w:p>
            <w:pPr>
              <w:spacing w:line="360" w:lineRule="auto"/>
              <w:jc w:val="center"/>
              <w:rPr>
                <w:rFonts w:ascii="宋体" w:hAnsi="宋体" w:cs="宋体"/>
                <w:szCs w:val="21"/>
              </w:rPr>
            </w:pPr>
            <w:r>
              <w:rPr>
                <w:rFonts w:hint="eastAsia" w:ascii="宋体" w:hAnsi="宋体" w:cs="宋体"/>
                <w:b/>
                <w:bCs/>
                <w:szCs w:val="21"/>
              </w:rPr>
              <w:t>报价文件组成</w:t>
            </w:r>
          </w:p>
        </w:tc>
        <w:tc>
          <w:tcPr>
            <w:tcW w:w="6853" w:type="dxa"/>
            <w:noWrap w:val="0"/>
            <w:vAlign w:val="center"/>
          </w:tcPr>
          <w:p>
            <w:pPr>
              <w:tabs>
                <w:tab w:val="left" w:pos="459"/>
              </w:tabs>
              <w:snapToGrid w:val="0"/>
              <w:spacing w:line="360" w:lineRule="auto"/>
              <w:jc w:val="left"/>
              <w:rPr>
                <w:rFonts w:hint="eastAsia" w:ascii="宋体" w:hAnsi="宋体" w:eastAsia="宋体" w:cs="宋体"/>
              </w:rPr>
            </w:pPr>
            <w:r>
              <w:rPr>
                <w:rFonts w:hint="eastAsia" w:ascii="宋体" w:hAnsi="宋体" w:eastAsia="宋体" w:cs="宋体"/>
              </w:rPr>
              <w:t>1.</w:t>
            </w:r>
            <w:r>
              <w:rPr>
                <w:rFonts w:hint="eastAsia" w:ascii="宋体" w:hAnsi="宋体"/>
                <w:szCs w:val="21"/>
              </w:rPr>
              <w:t>响应函及响应函附录</w:t>
            </w:r>
            <w:r>
              <w:rPr>
                <w:rFonts w:hint="eastAsia" w:ascii="宋体" w:hAnsi="宋体" w:eastAsia="宋体" w:cs="宋体"/>
              </w:rPr>
              <w:t>；</w:t>
            </w:r>
            <w:r>
              <w:rPr>
                <w:rFonts w:hint="eastAsia" w:ascii="宋体" w:hAnsi="宋体" w:eastAsia="宋体" w:cs="宋体"/>
                <w:b/>
                <w:bCs/>
              </w:rPr>
              <w:t>（必须提供，否则作无效响应处理）</w:t>
            </w:r>
          </w:p>
          <w:p>
            <w:pPr>
              <w:spacing w:line="360" w:lineRule="auto"/>
              <w:rPr>
                <w:rFonts w:hint="eastAsia" w:ascii="宋体" w:hAnsi="宋体" w:eastAsia="宋体" w:cs="宋体"/>
              </w:rPr>
            </w:pPr>
            <w:r>
              <w:rPr>
                <w:rFonts w:hint="eastAsia" w:ascii="宋体" w:hAnsi="宋体" w:eastAsia="宋体" w:cs="宋体"/>
              </w:rPr>
              <w:t>2.响应报价表；</w:t>
            </w:r>
            <w:r>
              <w:rPr>
                <w:rFonts w:hint="eastAsia" w:ascii="宋体" w:hAnsi="宋体" w:eastAsia="宋体" w:cs="宋体"/>
                <w:b/>
                <w:bCs/>
              </w:rPr>
              <w:t>（必须提供，否则响应文件按无效响应处理）</w:t>
            </w:r>
          </w:p>
          <w:p>
            <w:pPr>
              <w:pStyle w:val="19"/>
              <w:spacing w:line="360" w:lineRule="auto"/>
            </w:pPr>
            <w:r>
              <w:rPr>
                <w:rFonts w:hint="eastAsia" w:ascii="宋体" w:hAnsi="宋体" w:eastAsia="宋体" w:cs="宋体"/>
                <w:szCs w:val="21"/>
              </w:rPr>
              <w:t>3.已标价工程量清单。</w:t>
            </w:r>
            <w:r>
              <w:rPr>
                <w:rFonts w:hint="eastAsia" w:ascii="宋体" w:hAnsi="宋体" w:eastAsia="宋体" w:cs="宋体"/>
                <w:b/>
                <w:bCs/>
              </w:rPr>
              <w:t>（必须提供，否则响应文件按无效响应处理）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12.</w:t>
            </w:r>
            <w:r>
              <w:rPr>
                <w:rFonts w:ascii="宋体" w:hAnsi="宋体" w:cs="宋体"/>
                <w:szCs w:val="21"/>
              </w:rPr>
              <w:t>2</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响应文件电子版要求</w:t>
            </w:r>
          </w:p>
        </w:tc>
        <w:tc>
          <w:tcPr>
            <w:tcW w:w="6853" w:type="dxa"/>
            <w:noWrap w:val="0"/>
            <w:vAlign w:val="center"/>
          </w:tcPr>
          <w:p>
            <w:pPr>
              <w:snapToGrid w:val="0"/>
              <w:spacing w:line="360" w:lineRule="auto"/>
              <w:jc w:val="left"/>
              <w:rPr>
                <w:rFonts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.响应文件电子版密封方式：电子响应文件通过平台有效CA加密后在“政采云”平台投送。（操作方式见公告附件“</w:t>
            </w:r>
            <w:r>
              <w:rPr>
                <w:rFonts w:hint="eastAsia" w:ascii="宋体" w:hAnsi="宋体"/>
                <w:szCs w:val="21"/>
              </w:rPr>
              <w:t>电子响应文件制作与投送教程</w:t>
            </w:r>
            <w:r>
              <w:rPr>
                <w:rFonts w:hint="eastAsia" w:ascii="宋体" w:hAnsi="宋体" w:cs="Courier New"/>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15.2</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响应报价要求</w:t>
            </w:r>
          </w:p>
        </w:tc>
        <w:tc>
          <w:tcPr>
            <w:tcW w:w="6853" w:type="dxa"/>
            <w:noWrap w:val="0"/>
            <w:vAlign w:val="center"/>
          </w:tcPr>
          <w:p>
            <w:pPr>
              <w:snapToGrid w:val="0"/>
              <w:spacing w:line="360" w:lineRule="auto"/>
              <w:jc w:val="left"/>
              <w:rPr>
                <w:rFonts w:ascii="宋体" w:hAnsi="宋体" w:cs="宋体"/>
                <w:szCs w:val="21"/>
              </w:rPr>
            </w:pPr>
            <w:r>
              <w:rPr>
                <w:rFonts w:hint="eastAsia" w:ascii="宋体" w:hAnsi="宋体" w:cs="宋体"/>
                <w:szCs w:val="21"/>
              </w:rPr>
              <w:t>响应报价必须</w:t>
            </w:r>
            <w:r>
              <w:rPr>
                <w:rFonts w:hint="eastAsia" w:ascii="宋体" w:hAnsi="宋体"/>
                <w:szCs w:val="21"/>
              </w:rPr>
              <w:t>包含完成所有工程内容所需的费用。如提供服务过程中因采购人增加需求而产生的额外费用，由采购人另外结算；或通过双方协商对服务内容进行调整。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16.</w:t>
            </w:r>
            <w:r>
              <w:rPr>
                <w:rFonts w:ascii="宋体" w:hAnsi="宋体" w:cs="宋体"/>
                <w:szCs w:val="21"/>
              </w:rPr>
              <w:t>2</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竞标有效期</w:t>
            </w:r>
          </w:p>
        </w:tc>
        <w:tc>
          <w:tcPr>
            <w:tcW w:w="6853" w:type="dxa"/>
            <w:noWrap w:val="0"/>
            <w:vAlign w:val="center"/>
          </w:tcPr>
          <w:p>
            <w:pPr>
              <w:tabs>
                <w:tab w:val="left" w:pos="720"/>
                <w:tab w:val="left" w:pos="840"/>
              </w:tabs>
              <w:snapToGrid w:val="0"/>
              <w:spacing w:line="360" w:lineRule="auto"/>
              <w:ind w:left="283" w:hanging="283" w:hangingChars="135"/>
              <w:jc w:val="left"/>
              <w:rPr>
                <w:rFonts w:ascii="宋体" w:hAnsi="宋体" w:cs="宋体"/>
                <w:szCs w:val="21"/>
              </w:rPr>
            </w:pPr>
            <w:r>
              <w:rPr>
                <w:rFonts w:hint="eastAsia" w:ascii="宋体" w:hAnsi="宋体" w:cs="宋体"/>
                <w:szCs w:val="21"/>
              </w:rPr>
              <w:t>自首次响应文件提交截止之日起</w:t>
            </w:r>
            <w:r>
              <w:rPr>
                <w:rFonts w:hint="eastAsia" w:ascii="宋体" w:hAnsi="宋体" w:cs="宋体"/>
                <w:szCs w:val="21"/>
                <w:u w:val="single"/>
              </w:rPr>
              <w:t>60</w:t>
            </w:r>
            <w:r>
              <w:rPr>
                <w:rFonts w:hint="eastAsia" w:ascii="宋体" w:hAnsi="宋体" w:cs="宋体"/>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17.1</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磋商保证金</w:t>
            </w:r>
          </w:p>
        </w:tc>
        <w:tc>
          <w:tcPr>
            <w:tcW w:w="6853" w:type="dxa"/>
            <w:noWrap w:val="0"/>
            <w:vAlign w:val="center"/>
          </w:tcPr>
          <w:p>
            <w:pPr>
              <w:autoSpaceDE w:val="0"/>
              <w:autoSpaceDN w:val="0"/>
              <w:snapToGrid w:val="0"/>
              <w:spacing w:line="360" w:lineRule="auto"/>
              <w:textAlignment w:val="bottom"/>
              <w:rPr>
                <w:rFonts w:ascii="宋体" w:hAnsi="宋体"/>
                <w:szCs w:val="21"/>
              </w:rPr>
            </w:pPr>
            <w:r>
              <w:rPr>
                <w:rFonts w:hint="eastAsia" w:ascii="宋体" w:hAnsi="宋体"/>
                <w:szCs w:val="21"/>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59" w:type="dxa"/>
            <w:vMerge w:val="restart"/>
            <w:noWrap w:val="0"/>
            <w:vAlign w:val="center"/>
          </w:tcPr>
          <w:p>
            <w:pPr>
              <w:spacing w:line="360" w:lineRule="auto"/>
              <w:jc w:val="center"/>
              <w:rPr>
                <w:rFonts w:ascii="宋体" w:hAnsi="宋体" w:cs="宋体"/>
                <w:szCs w:val="21"/>
              </w:rPr>
            </w:pPr>
            <w:r>
              <w:rPr>
                <w:rFonts w:hint="eastAsia" w:ascii="宋体" w:hAnsi="宋体" w:cs="宋体"/>
                <w:szCs w:val="21"/>
              </w:rPr>
              <w:t>20.1</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首次响应文件提交截止时间</w:t>
            </w:r>
          </w:p>
        </w:tc>
        <w:tc>
          <w:tcPr>
            <w:tcW w:w="6853" w:type="dxa"/>
            <w:noWrap w:val="0"/>
            <w:vAlign w:val="center"/>
          </w:tcPr>
          <w:p>
            <w:pPr>
              <w:snapToGrid w:val="0"/>
              <w:spacing w:line="360" w:lineRule="auto"/>
              <w:jc w:val="left"/>
              <w:rPr>
                <w:rFonts w:ascii="宋体" w:hAnsi="宋体" w:cs="宋体"/>
                <w:szCs w:val="21"/>
                <w:u w:val="single"/>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59" w:type="dxa"/>
            <w:vMerge w:val="continue"/>
            <w:noWrap w:val="0"/>
            <w:vAlign w:val="center"/>
          </w:tcPr>
          <w:p>
            <w:pPr>
              <w:spacing w:line="360" w:lineRule="auto"/>
              <w:jc w:val="center"/>
              <w:rPr>
                <w:rFonts w:ascii="宋体" w:hAnsi="宋体" w:cs="宋体"/>
                <w:szCs w:val="21"/>
              </w:rPr>
            </w:pP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首次响应文件提交地点</w:t>
            </w:r>
          </w:p>
        </w:tc>
        <w:tc>
          <w:tcPr>
            <w:tcW w:w="6853" w:type="dxa"/>
            <w:noWrap w:val="0"/>
            <w:vAlign w:val="center"/>
          </w:tcPr>
          <w:p>
            <w:pPr>
              <w:snapToGrid w:val="0"/>
              <w:spacing w:line="360" w:lineRule="auto"/>
              <w:jc w:val="left"/>
              <w:rPr>
                <w:rFonts w:ascii="宋体" w:hAnsi="宋体" w:cs="宋体"/>
                <w:szCs w:val="21"/>
                <w:u w:val="single"/>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20.6</w:t>
            </w:r>
          </w:p>
        </w:tc>
        <w:tc>
          <w:tcPr>
            <w:tcW w:w="2552" w:type="dxa"/>
            <w:noWrap w:val="0"/>
            <w:vAlign w:val="center"/>
          </w:tcPr>
          <w:p>
            <w:pPr>
              <w:spacing w:line="360" w:lineRule="auto"/>
              <w:jc w:val="center"/>
              <w:rPr>
                <w:rFonts w:ascii="宋体" w:hAnsi="宋体" w:cs="宋体"/>
                <w:b/>
                <w:szCs w:val="21"/>
              </w:rPr>
            </w:pPr>
            <w:r>
              <w:rPr>
                <w:rFonts w:hint="eastAsia" w:ascii="宋体" w:hAnsi="宋体" w:cs="宋体"/>
                <w:b/>
                <w:szCs w:val="21"/>
              </w:rPr>
              <w:t>备份响应文件</w:t>
            </w:r>
          </w:p>
        </w:tc>
        <w:tc>
          <w:tcPr>
            <w:tcW w:w="6853" w:type="dxa"/>
            <w:noWrap w:val="0"/>
            <w:vAlign w:val="center"/>
          </w:tcPr>
          <w:p>
            <w:pPr>
              <w:snapToGrid w:val="0"/>
              <w:spacing w:line="360" w:lineRule="auto"/>
              <w:jc w:val="left"/>
              <w:rPr>
                <w:rFonts w:ascii="宋体" w:hAnsi="宋体" w:cs="宋体"/>
                <w:b/>
                <w:szCs w:val="21"/>
              </w:rPr>
            </w:pPr>
            <w:r>
              <w:rPr>
                <w:rFonts w:hint="eastAsia" w:ascii="宋体" w:hAnsi="宋体"/>
                <w:b/>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21</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首次响应文件的退回</w:t>
            </w:r>
          </w:p>
        </w:tc>
        <w:tc>
          <w:tcPr>
            <w:tcW w:w="6853" w:type="dxa"/>
            <w:noWrap w:val="0"/>
            <w:vAlign w:val="center"/>
          </w:tcPr>
          <w:p>
            <w:pPr>
              <w:snapToGrid w:val="0"/>
              <w:spacing w:line="360" w:lineRule="auto"/>
              <w:jc w:val="left"/>
              <w:rPr>
                <w:rFonts w:ascii="宋体" w:hAnsi="宋体"/>
                <w:szCs w:val="21"/>
              </w:rPr>
            </w:pPr>
            <w:r>
              <w:rPr>
                <w:rFonts w:hint="eastAsia" w:ascii="宋体" w:hAnsi="宋体"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59" w:type="dxa"/>
            <w:vMerge w:val="restart"/>
            <w:noWrap w:val="0"/>
            <w:vAlign w:val="center"/>
          </w:tcPr>
          <w:p>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6.2</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负偏离要求</w:t>
            </w:r>
          </w:p>
        </w:tc>
        <w:tc>
          <w:tcPr>
            <w:tcW w:w="6853" w:type="dxa"/>
            <w:noWrap w:val="0"/>
            <w:vAlign w:val="center"/>
          </w:tcPr>
          <w:p>
            <w:pPr>
              <w:snapToGrid w:val="0"/>
              <w:spacing w:line="360" w:lineRule="auto"/>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rPr>
                <w:rFonts w:ascii="宋体" w:hAnsi="宋体" w:cs="宋体"/>
                <w:szCs w:val="21"/>
              </w:rPr>
            </w:pPr>
            <w:r>
              <w:rPr>
                <w:rFonts w:hint="eastAsia" w:ascii="宋体" w:hAnsi="宋体" w:cs="宋体"/>
                <w:szCs w:val="21"/>
              </w:rPr>
              <w:t>采购需求评审中允许负偏离的条款数为</w:t>
            </w:r>
            <w:r>
              <w:rPr>
                <w:rFonts w:hint="eastAsia" w:ascii="宋体" w:hAnsi="宋体" w:cs="宋体"/>
                <w:szCs w:val="21"/>
                <w:u w:val="single"/>
                <w:lang w:val="en-US" w:eastAsia="zh-CN"/>
              </w:rPr>
              <w:t>0</w:t>
            </w:r>
            <w:r>
              <w:rPr>
                <w:rFonts w:hint="eastAsia" w:ascii="宋体" w:hAnsi="宋体" w:cs="宋体"/>
                <w:szCs w:val="21"/>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vMerge w:val="continue"/>
            <w:noWrap w:val="0"/>
            <w:vAlign w:val="center"/>
          </w:tcPr>
          <w:p>
            <w:pPr>
              <w:spacing w:line="360" w:lineRule="auto"/>
              <w:jc w:val="center"/>
              <w:rPr>
                <w:rFonts w:ascii="宋体" w:hAnsi="宋体" w:cs="宋体"/>
                <w:szCs w:val="21"/>
              </w:rPr>
            </w:pPr>
          </w:p>
        </w:tc>
        <w:tc>
          <w:tcPr>
            <w:tcW w:w="2552" w:type="dxa"/>
            <w:noWrap w:val="0"/>
            <w:vAlign w:val="center"/>
          </w:tcPr>
          <w:p>
            <w:pPr>
              <w:snapToGrid w:val="0"/>
              <w:spacing w:line="360" w:lineRule="auto"/>
              <w:jc w:val="center"/>
              <w:rPr>
                <w:rFonts w:ascii="宋体" w:hAnsi="宋体" w:cs="宋体"/>
                <w:szCs w:val="21"/>
              </w:rPr>
            </w:pPr>
            <w:r>
              <w:rPr>
                <w:rFonts w:hint="eastAsia" w:ascii="宋体" w:hAnsi="宋体" w:cs="宋体"/>
                <w:szCs w:val="21"/>
              </w:rPr>
              <w:t>磋商的顺序</w:t>
            </w:r>
          </w:p>
        </w:tc>
        <w:tc>
          <w:tcPr>
            <w:tcW w:w="6853" w:type="dxa"/>
            <w:noWrap w:val="0"/>
            <w:vAlign w:val="center"/>
          </w:tcPr>
          <w:p>
            <w:pPr>
              <w:spacing w:line="360" w:lineRule="auto"/>
              <w:jc w:val="left"/>
              <w:rPr>
                <w:rFonts w:ascii="宋体" w:hAnsi="宋体"/>
                <w:szCs w:val="21"/>
              </w:rPr>
            </w:pPr>
            <w:r>
              <w:rPr>
                <w:rFonts w:ascii="宋体" w:hAnsi="宋体"/>
                <w:szCs w:val="21"/>
              </w:rPr>
              <w:sym w:font="Wingdings 2" w:char="0052"/>
            </w:r>
            <w:r>
              <w:rPr>
                <w:rFonts w:hint="eastAsia" w:ascii="宋体" w:hAnsi="宋体"/>
                <w:szCs w:val="21"/>
              </w:rPr>
              <w:t>按照</w:t>
            </w:r>
            <w:r>
              <w:rPr>
                <w:rFonts w:hint="eastAsia" w:ascii="宋体" w:hAnsi="宋体" w:cs="宋体"/>
                <w:szCs w:val="21"/>
              </w:rPr>
              <w:t>提交首次响应文件的顺序，通知磋商时，若某供应商不在通知现场时，该供应商排序到最后磋商，按照签到的顺序由其下一位供应商先参与磋商。</w:t>
            </w:r>
          </w:p>
          <w:p>
            <w:pPr>
              <w:snapToGrid w:val="0"/>
              <w:spacing w:line="360" w:lineRule="auto"/>
              <w:rPr>
                <w:rFonts w:ascii="宋体" w:hAnsi="宋体" w:cs="宋体"/>
                <w:szCs w:val="21"/>
              </w:rPr>
            </w:pPr>
            <w:r>
              <w:rPr>
                <w:rFonts w:hint="eastAsia" w:ascii="宋体" w:hAnsi="宋体" w:cs="宋体"/>
                <w:szCs w:val="21"/>
              </w:rPr>
              <w:t>□随机排序。</w:t>
            </w:r>
          </w:p>
          <w:p>
            <w:pPr>
              <w:spacing w:line="360" w:lineRule="auto"/>
              <w:jc w:val="left"/>
              <w:rPr>
                <w:rFonts w:ascii="宋体" w:hAnsi="宋体" w:cs="宋体"/>
                <w:b/>
                <w:szCs w:val="21"/>
              </w:rPr>
            </w:pPr>
            <w:r>
              <w:rPr>
                <w:rFonts w:hint="eastAsia" w:ascii="宋体" w:hAnsi="宋体" w:cs="宋体"/>
                <w:b/>
                <w:szCs w:val="21"/>
              </w:rPr>
              <w:t>参与磋商前，供应商法定代表人或者委托代理人必须向磋商小组出示本人有效证件原件</w:t>
            </w:r>
            <w:r>
              <w:rPr>
                <w:rFonts w:ascii="宋体" w:hAnsi="宋体" w:cs="宋体"/>
                <w:b/>
                <w:szCs w:val="21"/>
              </w:rPr>
              <w:t>[</w:t>
            </w:r>
            <w:r>
              <w:rPr>
                <w:rFonts w:hint="eastAsia" w:ascii="宋体" w:hAnsi="宋体" w:cs="宋体"/>
                <w:b/>
                <w:szCs w:val="21"/>
              </w:rPr>
              <w:t>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ascii="宋体" w:hAnsi="宋体" w:cs="宋体"/>
                <w:szCs w:val="21"/>
              </w:rPr>
              <w:t>28</w:t>
            </w:r>
          </w:p>
        </w:tc>
        <w:tc>
          <w:tcPr>
            <w:tcW w:w="2552" w:type="dxa"/>
            <w:noWrap w:val="0"/>
            <w:vAlign w:val="center"/>
          </w:tcPr>
          <w:p>
            <w:pPr>
              <w:spacing w:line="360" w:lineRule="auto"/>
              <w:jc w:val="center"/>
              <w:rPr>
                <w:rFonts w:ascii="宋体" w:hAnsi="宋体" w:cs="宋体"/>
                <w:color w:val="auto"/>
                <w:szCs w:val="21"/>
              </w:rPr>
            </w:pPr>
            <w:r>
              <w:rPr>
                <w:rFonts w:hint="eastAsia" w:ascii="宋体" w:hAnsi="宋体" w:cs="宋体"/>
                <w:color w:val="auto"/>
                <w:szCs w:val="21"/>
              </w:rPr>
              <w:t>履约保证金</w:t>
            </w:r>
          </w:p>
        </w:tc>
        <w:tc>
          <w:tcPr>
            <w:tcW w:w="6853" w:type="dxa"/>
            <w:noWrap w:val="0"/>
            <w:vAlign w:val="center"/>
          </w:tcPr>
          <w:p>
            <w:pPr>
              <w:snapToGrid w:val="0"/>
              <w:spacing w:line="360" w:lineRule="auto"/>
              <w:jc w:val="both"/>
              <w:rPr>
                <w:rFonts w:ascii="宋体" w:hAnsi="宋体" w:cs="宋体"/>
                <w:color w:val="auto"/>
                <w:szCs w:val="21"/>
              </w:rPr>
            </w:pPr>
            <w:r>
              <w:rPr>
                <w:rFonts w:hint="eastAsia" w:ascii="宋体" w:hAnsi="宋体" w:eastAsia="宋体"/>
                <w:color w:val="auto"/>
                <w:sz w:val="21"/>
                <w:szCs w:val="21"/>
                <w:highlight w:val="none"/>
                <w:lang w:val="en-US" w:eastAsia="zh-CN"/>
              </w:rPr>
              <w:t>本项目不收取履约保证金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ascii="宋体" w:hAnsi="宋体" w:cs="宋体"/>
                <w:szCs w:val="21"/>
              </w:rPr>
              <w:t>29.</w:t>
            </w:r>
            <w:r>
              <w:rPr>
                <w:rFonts w:hint="eastAsia" w:ascii="宋体" w:hAnsi="宋体" w:cs="宋体"/>
                <w:szCs w:val="21"/>
              </w:rPr>
              <w:t>5</w:t>
            </w:r>
          </w:p>
        </w:tc>
        <w:tc>
          <w:tcPr>
            <w:tcW w:w="2552" w:type="dxa"/>
            <w:noWrap w:val="0"/>
            <w:vAlign w:val="center"/>
          </w:tcPr>
          <w:p>
            <w:pPr>
              <w:spacing w:line="360" w:lineRule="auto"/>
              <w:jc w:val="center"/>
              <w:rPr>
                <w:rFonts w:ascii="宋体" w:hAnsi="宋体" w:cs="宋体"/>
                <w:szCs w:val="21"/>
              </w:rPr>
            </w:pPr>
            <w:r>
              <w:rPr>
                <w:rFonts w:hint="eastAsia" w:ascii="宋体" w:hAnsi="宋体"/>
                <w:szCs w:val="21"/>
              </w:rPr>
              <w:t>签订合同携带的材料</w:t>
            </w:r>
          </w:p>
        </w:tc>
        <w:tc>
          <w:tcPr>
            <w:tcW w:w="6853" w:type="dxa"/>
            <w:noWrap w:val="0"/>
            <w:vAlign w:val="center"/>
          </w:tcPr>
          <w:p>
            <w:pPr>
              <w:snapToGrid w:val="0"/>
              <w:spacing w:line="360" w:lineRule="auto"/>
              <w:jc w:val="both"/>
              <w:rPr>
                <w:rFonts w:ascii="宋体" w:hAnsi="宋体" w:cs="宋体"/>
                <w:szCs w:val="21"/>
              </w:rPr>
            </w:pPr>
            <w:r>
              <w:rPr>
                <w:rFonts w:hint="eastAsia" w:ascii="宋体" w:hAnsi="宋体"/>
                <w:szCs w:val="21"/>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vMerge w:val="restart"/>
            <w:noWrap w:val="0"/>
            <w:vAlign w:val="center"/>
          </w:tcPr>
          <w:p>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1.2</w:t>
            </w:r>
          </w:p>
        </w:tc>
        <w:tc>
          <w:tcPr>
            <w:tcW w:w="2552" w:type="dxa"/>
            <w:noWrap w:val="0"/>
            <w:vAlign w:val="center"/>
          </w:tcPr>
          <w:p>
            <w:pPr>
              <w:spacing w:line="380" w:lineRule="exact"/>
              <w:jc w:val="center"/>
              <w:rPr>
                <w:rFonts w:ascii="宋体" w:hAnsi="宋体"/>
                <w:szCs w:val="21"/>
              </w:rPr>
            </w:pPr>
            <w:r>
              <w:rPr>
                <w:rFonts w:hint="eastAsia" w:ascii="宋体" w:hAnsi="宋体"/>
                <w:szCs w:val="21"/>
              </w:rPr>
              <w:t>接收质疑函方式</w:t>
            </w:r>
          </w:p>
        </w:tc>
        <w:tc>
          <w:tcPr>
            <w:tcW w:w="6853" w:type="dxa"/>
            <w:noWrap w:val="0"/>
            <w:vAlign w:val="center"/>
          </w:tcPr>
          <w:p>
            <w:pPr>
              <w:snapToGrid w:val="0"/>
              <w:spacing w:line="380" w:lineRule="exact"/>
              <w:rPr>
                <w:rFonts w:ascii="宋体" w:hAnsi="宋体"/>
                <w:szCs w:val="21"/>
              </w:rPr>
            </w:pPr>
            <w:r>
              <w:rPr>
                <w:rFonts w:hint="eastAsia" w:ascii="宋体" w:hAnsi="宋体"/>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vMerge w:val="continue"/>
            <w:noWrap w:val="0"/>
            <w:vAlign w:val="center"/>
          </w:tcPr>
          <w:p>
            <w:pPr>
              <w:spacing w:line="360" w:lineRule="auto"/>
              <w:jc w:val="center"/>
              <w:rPr>
                <w:rFonts w:ascii="宋体" w:hAnsi="宋体" w:cs="宋体"/>
                <w:szCs w:val="21"/>
              </w:rPr>
            </w:pPr>
          </w:p>
        </w:tc>
        <w:tc>
          <w:tcPr>
            <w:tcW w:w="2552" w:type="dxa"/>
            <w:noWrap w:val="0"/>
            <w:vAlign w:val="center"/>
          </w:tcPr>
          <w:p>
            <w:pPr>
              <w:spacing w:line="380" w:lineRule="exact"/>
              <w:jc w:val="center"/>
              <w:rPr>
                <w:rFonts w:ascii="宋体" w:hAnsi="宋体"/>
                <w:szCs w:val="21"/>
              </w:rPr>
            </w:pPr>
            <w:r>
              <w:rPr>
                <w:rFonts w:hint="eastAsia" w:ascii="宋体" w:hAnsi="宋体"/>
                <w:szCs w:val="21"/>
              </w:rPr>
              <w:t>质疑联系部门及联系方式</w:t>
            </w:r>
          </w:p>
        </w:tc>
        <w:tc>
          <w:tcPr>
            <w:tcW w:w="6853" w:type="dxa"/>
            <w:noWrap w:val="0"/>
            <w:vAlign w:val="center"/>
          </w:tcPr>
          <w:p>
            <w:pPr>
              <w:snapToGrid w:val="0"/>
              <w:spacing w:line="380" w:lineRule="exact"/>
              <w:rPr>
                <w:rFonts w:ascii="宋体" w:hAnsi="宋体"/>
                <w:szCs w:val="21"/>
              </w:rPr>
            </w:pPr>
            <w:r>
              <w:rPr>
                <w:rFonts w:hint="eastAsia" w:ascii="宋体" w:hAnsi="宋体"/>
                <w:szCs w:val="21"/>
                <w:u w:val="single"/>
              </w:rPr>
              <w:t>（1）</w:t>
            </w:r>
            <w:r>
              <w:rPr>
                <w:rFonts w:hint="eastAsia" w:ascii="宋体" w:hAnsi="宋体"/>
                <w:szCs w:val="21"/>
                <w:u w:val="single"/>
                <w:lang w:eastAsia="zh-CN"/>
              </w:rPr>
              <w:t>广西中信恒泰工程顾问有限公司</w:t>
            </w:r>
            <w:r>
              <w:rPr>
                <w:rFonts w:hint="eastAsia" w:ascii="宋体" w:hAnsi="宋体"/>
                <w:szCs w:val="21"/>
              </w:rPr>
              <w:t>；</w:t>
            </w:r>
          </w:p>
          <w:p>
            <w:pPr>
              <w:snapToGrid w:val="0"/>
              <w:spacing w:line="380" w:lineRule="exact"/>
              <w:rPr>
                <w:rFonts w:hint="default" w:ascii="宋体" w:hAnsi="宋体" w:eastAsia="宋体"/>
                <w:szCs w:val="21"/>
                <w:lang w:val="en-US" w:eastAsia="zh-CN"/>
              </w:rPr>
            </w:pPr>
            <w:r>
              <w:rPr>
                <w:rFonts w:ascii="宋体" w:hAnsi="宋体"/>
                <w:szCs w:val="21"/>
              </w:rPr>
              <w:t>联系电话</w:t>
            </w:r>
            <w:r>
              <w:rPr>
                <w:rFonts w:hint="eastAsia" w:ascii="宋体" w:hAnsi="宋体"/>
                <w:szCs w:val="21"/>
              </w:rPr>
              <w:t>：0771-</w:t>
            </w:r>
            <w:r>
              <w:rPr>
                <w:rFonts w:hint="eastAsia" w:ascii="宋体" w:hAnsi="宋体"/>
                <w:szCs w:val="21"/>
                <w:lang w:val="en-US" w:eastAsia="zh-CN"/>
              </w:rPr>
              <w:t>5775087</w:t>
            </w:r>
          </w:p>
          <w:p>
            <w:pPr>
              <w:snapToGrid w:val="0"/>
              <w:spacing w:line="380" w:lineRule="exact"/>
              <w:rPr>
                <w:rFonts w:ascii="宋体" w:hAnsi="宋体"/>
                <w:szCs w:val="21"/>
              </w:rPr>
            </w:pPr>
            <w:r>
              <w:rPr>
                <w:rFonts w:ascii="宋体" w:hAnsi="宋体"/>
                <w:szCs w:val="21"/>
              </w:rPr>
              <w:t>通讯地址</w:t>
            </w:r>
            <w:r>
              <w:rPr>
                <w:rFonts w:hint="eastAsia" w:ascii="宋体" w:hAnsi="宋体" w:cs="Helvetica"/>
                <w:szCs w:val="21"/>
              </w:rPr>
              <w:t>：</w:t>
            </w:r>
            <w:r>
              <w:rPr>
                <w:rFonts w:hint="eastAsia" w:ascii="宋体" w:hAnsi="宋体" w:eastAsia="宋体" w:cs="宋体"/>
                <w:szCs w:val="21"/>
              </w:rPr>
              <w:t>广西南宁市青秀区云景路69号南宁轨道大厦B楼</w:t>
            </w:r>
            <w:r>
              <w:rPr>
                <w:rFonts w:hint="eastAsia" w:ascii="宋体" w:hAnsi="宋体" w:eastAsia="宋体" w:cs="宋体"/>
                <w:szCs w:val="21"/>
                <w:lang w:val="en-US" w:eastAsia="zh-CN"/>
              </w:rPr>
              <w:t>15</w:t>
            </w:r>
            <w:r>
              <w:rPr>
                <w:rFonts w:hint="eastAsia" w:ascii="宋体" w:hAnsi="宋体" w:eastAsia="宋体" w:cs="宋体"/>
                <w:szCs w:val="21"/>
              </w:rPr>
              <w:t>层</w:t>
            </w:r>
          </w:p>
          <w:p>
            <w:pPr>
              <w:snapToGrid w:val="0"/>
              <w:spacing w:line="380" w:lineRule="exact"/>
              <w:rPr>
                <w:rFonts w:ascii="宋体" w:hAnsi="宋体"/>
                <w:szCs w:val="21"/>
              </w:rPr>
            </w:pPr>
            <w:r>
              <w:rPr>
                <w:rFonts w:hint="eastAsia" w:ascii="宋体" w:hAnsi="宋体"/>
                <w:szCs w:val="21"/>
                <w:u w:val="single"/>
              </w:rPr>
              <w:t>（2）</w:t>
            </w:r>
            <w:r>
              <w:rPr>
                <w:rFonts w:hint="eastAsia" w:ascii="宋体" w:hAnsi="宋体"/>
                <w:szCs w:val="21"/>
                <w:u w:val="single"/>
                <w:lang w:eastAsia="zh-CN"/>
              </w:rPr>
              <w:t>南宁市体育局</w:t>
            </w:r>
            <w:r>
              <w:rPr>
                <w:rFonts w:hint="eastAsia" w:ascii="宋体" w:hAnsi="宋体"/>
                <w:szCs w:val="21"/>
                <w:u w:val="single"/>
              </w:rPr>
              <w:t xml:space="preserve"> </w:t>
            </w:r>
            <w:r>
              <w:rPr>
                <w:rFonts w:hint="eastAsia" w:ascii="宋体" w:hAnsi="宋体"/>
                <w:szCs w:val="21"/>
              </w:rPr>
              <w:t>；</w:t>
            </w:r>
          </w:p>
          <w:p>
            <w:pPr>
              <w:snapToGrid w:val="0"/>
              <w:spacing w:line="380" w:lineRule="exact"/>
              <w:rPr>
                <w:rFonts w:ascii="宋体" w:hAnsi="宋体"/>
                <w:szCs w:val="21"/>
              </w:rPr>
            </w:pPr>
            <w:r>
              <w:rPr>
                <w:rFonts w:ascii="宋体" w:hAnsi="宋体"/>
                <w:szCs w:val="21"/>
              </w:rPr>
              <w:t>联系电话</w:t>
            </w:r>
            <w:r>
              <w:rPr>
                <w:rFonts w:hint="eastAsia" w:ascii="宋体" w:hAnsi="宋体"/>
                <w:szCs w:val="21"/>
              </w:rPr>
              <w:t>：</w:t>
            </w:r>
            <w:r>
              <w:rPr>
                <w:rFonts w:hint="eastAsia" w:ascii="宋体" w:hAnsi="宋体"/>
                <w:szCs w:val="21"/>
                <w:u w:val="none"/>
              </w:rPr>
              <w:t>0771-2191343</w:t>
            </w:r>
          </w:p>
          <w:p>
            <w:pPr>
              <w:snapToGrid w:val="0"/>
              <w:spacing w:line="380" w:lineRule="exact"/>
              <w:rPr>
                <w:rFonts w:ascii="宋体" w:hAnsi="宋体"/>
                <w:szCs w:val="21"/>
              </w:rPr>
            </w:pPr>
            <w:r>
              <w:rPr>
                <w:rFonts w:ascii="宋体" w:hAnsi="宋体"/>
                <w:szCs w:val="21"/>
              </w:rPr>
              <w:t>通讯地址</w:t>
            </w:r>
            <w:r>
              <w:rPr>
                <w:rFonts w:hint="eastAsia" w:ascii="宋体" w:hAnsi="宋体" w:cs="Helvetica"/>
                <w:szCs w:val="21"/>
              </w:rPr>
              <w:t>：南宁市青秀区桃源路62号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vMerge w:val="continue"/>
            <w:noWrap w:val="0"/>
            <w:vAlign w:val="center"/>
          </w:tcPr>
          <w:p>
            <w:pPr>
              <w:spacing w:line="360" w:lineRule="auto"/>
              <w:jc w:val="center"/>
              <w:rPr>
                <w:rFonts w:ascii="宋体" w:hAnsi="宋体" w:cs="宋体"/>
                <w:szCs w:val="21"/>
              </w:rPr>
            </w:pPr>
          </w:p>
        </w:tc>
        <w:tc>
          <w:tcPr>
            <w:tcW w:w="2552" w:type="dxa"/>
            <w:noWrap w:val="0"/>
            <w:vAlign w:val="center"/>
          </w:tcPr>
          <w:p>
            <w:pPr>
              <w:spacing w:line="380" w:lineRule="exact"/>
              <w:jc w:val="center"/>
              <w:rPr>
                <w:rFonts w:ascii="宋体" w:hAnsi="宋体"/>
                <w:szCs w:val="21"/>
              </w:rPr>
            </w:pPr>
            <w:r>
              <w:rPr>
                <w:rFonts w:hint="eastAsia" w:ascii="宋体" w:hAnsi="宋体"/>
              </w:rPr>
              <w:t>现场提交质疑办理业务时间</w:t>
            </w:r>
          </w:p>
        </w:tc>
        <w:tc>
          <w:tcPr>
            <w:tcW w:w="6853" w:type="dxa"/>
            <w:noWrap w:val="0"/>
            <w:vAlign w:val="center"/>
          </w:tcPr>
          <w:p>
            <w:pPr>
              <w:snapToGrid w:val="0"/>
              <w:spacing w:line="380" w:lineRule="exact"/>
              <w:rPr>
                <w:rFonts w:ascii="宋体" w:hAnsi="宋体"/>
                <w:szCs w:val="21"/>
              </w:rPr>
            </w:pPr>
            <w:r>
              <w:rPr>
                <w:rFonts w:hint="eastAsia" w:ascii="宋体" w:hAnsi="宋体"/>
              </w:rPr>
              <w:t>质疑期内每个工作日</w:t>
            </w:r>
            <w:r>
              <w:rPr>
                <w:rFonts w:hint="eastAsia" w:ascii="宋体" w:hAnsi="宋体"/>
                <w:u w:val="single"/>
              </w:rPr>
              <w:t>8</w:t>
            </w:r>
            <w:r>
              <w:rPr>
                <w:rFonts w:hint="eastAsia" w:ascii="宋体" w:hAnsi="宋体"/>
              </w:rPr>
              <w:t>时</w:t>
            </w:r>
            <w:r>
              <w:rPr>
                <w:rFonts w:hint="eastAsia" w:ascii="宋体" w:hAnsi="宋体"/>
                <w:u w:val="single"/>
                <w:lang w:val="en-US" w:eastAsia="zh-CN"/>
              </w:rPr>
              <w:t>30</w:t>
            </w:r>
            <w:r>
              <w:rPr>
                <w:rFonts w:hint="eastAsia" w:ascii="宋体" w:hAnsi="宋体"/>
              </w:rPr>
              <w:t>分到</w:t>
            </w:r>
            <w:r>
              <w:rPr>
                <w:rFonts w:hint="eastAsia" w:ascii="宋体" w:hAnsi="宋体"/>
                <w:u w:val="single"/>
              </w:rPr>
              <w:t>12</w:t>
            </w:r>
            <w:r>
              <w:rPr>
                <w:rFonts w:hint="eastAsia" w:ascii="宋体" w:hAnsi="宋体"/>
              </w:rPr>
              <w:t>时</w:t>
            </w:r>
            <w:r>
              <w:rPr>
                <w:rFonts w:hint="eastAsia" w:ascii="宋体" w:hAnsi="宋体"/>
                <w:u w:val="single"/>
              </w:rPr>
              <w:t>00</w:t>
            </w:r>
            <w:r>
              <w:rPr>
                <w:rFonts w:hint="eastAsia" w:ascii="宋体" w:hAnsi="宋体"/>
              </w:rPr>
              <w:t>分，</w:t>
            </w:r>
            <w:r>
              <w:rPr>
                <w:rFonts w:hint="eastAsia" w:ascii="宋体" w:hAnsi="宋体"/>
                <w:u w:val="single"/>
                <w:lang w:val="en-US" w:eastAsia="zh-CN"/>
              </w:rPr>
              <w:t>14</w:t>
            </w:r>
            <w:r>
              <w:rPr>
                <w:rFonts w:hint="eastAsia" w:ascii="宋体" w:hAnsi="宋体"/>
              </w:rPr>
              <w:t>时</w:t>
            </w:r>
            <w:r>
              <w:rPr>
                <w:rFonts w:hint="eastAsia" w:ascii="宋体" w:hAnsi="宋体"/>
                <w:u w:val="single"/>
                <w:lang w:val="en-US" w:eastAsia="zh-CN"/>
              </w:rPr>
              <w:t>30</w:t>
            </w:r>
            <w:r>
              <w:rPr>
                <w:rFonts w:hint="eastAsia" w:ascii="宋体" w:hAnsi="宋体"/>
              </w:rPr>
              <w:t>分到</w:t>
            </w:r>
            <w:r>
              <w:rPr>
                <w:rFonts w:hint="eastAsia" w:ascii="宋体" w:hAnsi="宋体"/>
                <w:u w:val="single"/>
                <w:lang w:val="en-US" w:eastAsia="zh-CN"/>
              </w:rPr>
              <w:t>17</w:t>
            </w:r>
            <w:r>
              <w:rPr>
                <w:rFonts w:hint="eastAsia" w:ascii="宋体" w:hAnsi="宋体"/>
              </w:rPr>
              <w:t>时</w:t>
            </w:r>
            <w:r>
              <w:rPr>
                <w:rFonts w:hint="eastAsia" w:ascii="宋体" w:hAnsi="宋体"/>
                <w:u w:val="single"/>
                <w:lang w:val="en-US" w:eastAsia="zh-CN"/>
              </w:rPr>
              <w:t>3</w:t>
            </w:r>
            <w:r>
              <w:rPr>
                <w:rFonts w:hint="eastAsia" w:ascii="宋体" w:hAnsi="宋体"/>
                <w:u w:val="single"/>
              </w:rPr>
              <w:t>0</w:t>
            </w:r>
            <w:r>
              <w:rPr>
                <w:rFonts w:hint="eastAsia" w:ascii="宋体" w:hAnsi="宋体"/>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31.6</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受理投诉方式</w:t>
            </w:r>
          </w:p>
        </w:tc>
        <w:tc>
          <w:tcPr>
            <w:tcW w:w="6853" w:type="dxa"/>
            <w:noWrap w:val="0"/>
            <w:vAlign w:val="center"/>
          </w:tcPr>
          <w:p>
            <w:pPr>
              <w:snapToGrid w:val="0"/>
              <w:spacing w:line="360" w:lineRule="atLeast"/>
              <w:rPr>
                <w:rFonts w:ascii="宋体" w:hAnsi="宋体"/>
                <w:szCs w:val="21"/>
              </w:rPr>
            </w:pPr>
            <w:r>
              <w:rPr>
                <w:rFonts w:hint="eastAsia" w:ascii="宋体" w:hAnsi="宋体"/>
                <w:szCs w:val="21"/>
              </w:rPr>
              <w:t>1.受理方式：纸质方式受理，投诉书正、副本（经过质疑的事项才可投诉）。</w:t>
            </w:r>
          </w:p>
          <w:p>
            <w:pPr>
              <w:snapToGrid w:val="0"/>
              <w:spacing w:line="360" w:lineRule="atLeast"/>
              <w:rPr>
                <w:rFonts w:ascii="宋体" w:hAnsi="宋体"/>
                <w:szCs w:val="21"/>
              </w:rPr>
            </w:pPr>
            <w:r>
              <w:rPr>
                <w:rFonts w:hint="eastAsia" w:ascii="宋体" w:hAnsi="宋体"/>
                <w:szCs w:val="21"/>
              </w:rPr>
              <w:t>2.邮寄地址：</w:t>
            </w:r>
          </w:p>
          <w:p>
            <w:pPr>
              <w:snapToGrid w:val="0"/>
              <w:spacing w:line="360" w:lineRule="atLeast"/>
              <w:rPr>
                <w:rFonts w:ascii="宋体" w:hAnsi="宋体"/>
                <w:szCs w:val="21"/>
              </w:rPr>
            </w:pPr>
            <w:r>
              <w:rPr>
                <w:rFonts w:hint="eastAsia" w:ascii="宋体" w:hAnsi="宋体"/>
                <w:szCs w:val="21"/>
              </w:rPr>
              <w:t>名称：南宁市财政局政府采购监督管理科</w:t>
            </w:r>
          </w:p>
          <w:p>
            <w:pPr>
              <w:snapToGrid w:val="0"/>
              <w:spacing w:line="360" w:lineRule="atLeast"/>
              <w:rPr>
                <w:rFonts w:ascii="宋体" w:hAnsi="宋体"/>
                <w:szCs w:val="21"/>
              </w:rPr>
            </w:pPr>
            <w:r>
              <w:rPr>
                <w:rFonts w:hint="eastAsia" w:ascii="宋体" w:hAnsi="宋体"/>
                <w:szCs w:val="21"/>
              </w:rPr>
              <w:t>地址：南宁市青秀区东葛路129号</w:t>
            </w:r>
          </w:p>
          <w:p>
            <w:pPr>
              <w:snapToGrid w:val="0"/>
              <w:spacing w:line="360" w:lineRule="atLeast"/>
              <w:rPr>
                <w:rFonts w:ascii="宋体" w:hAnsi="宋体" w:cs="宋体"/>
                <w:kern w:val="0"/>
                <w:szCs w:val="21"/>
              </w:rPr>
            </w:pPr>
            <w:r>
              <w:rPr>
                <w:rFonts w:hint="eastAsia" w:ascii="宋体" w:hAnsi="宋体"/>
                <w:kern w:val="0"/>
                <w:szCs w:val="21"/>
              </w:rPr>
              <w:t>联系电话：0771-2189091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ascii="宋体" w:hAnsi="宋体" w:cs="宋体"/>
                <w:szCs w:val="21"/>
              </w:rPr>
              <w:t>3</w:t>
            </w:r>
            <w:r>
              <w:rPr>
                <w:rFonts w:hint="eastAsia" w:ascii="宋体" w:hAnsi="宋体" w:cs="宋体"/>
                <w:szCs w:val="21"/>
              </w:rPr>
              <w:t>3</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采购代理费</w:t>
            </w:r>
          </w:p>
        </w:tc>
        <w:tc>
          <w:tcPr>
            <w:tcW w:w="6853" w:type="dxa"/>
            <w:noWrap w:val="0"/>
            <w:vAlign w:val="center"/>
          </w:tcPr>
          <w:p>
            <w:pPr>
              <w:snapToGrid w:val="0"/>
              <w:spacing w:line="360" w:lineRule="auto"/>
              <w:rPr>
                <w:rFonts w:ascii="宋体" w:hAnsi="宋体" w:cs="宋体"/>
                <w:kern w:val="0"/>
                <w:szCs w:val="21"/>
              </w:rPr>
            </w:pPr>
            <w:r>
              <w:rPr>
                <w:rFonts w:hint="eastAsia" w:ascii="宋体" w:hAnsi="宋体" w:cs="宋体"/>
                <w:kern w:val="0"/>
                <w:szCs w:val="21"/>
              </w:rPr>
              <w:t>1. 是否收取采购代理费：</w:t>
            </w:r>
          </w:p>
          <w:p>
            <w:pPr>
              <w:snapToGrid w:val="0"/>
              <w:spacing w:line="360" w:lineRule="auto"/>
              <w:rPr>
                <w:rFonts w:ascii="宋体" w:hAnsi="宋体" w:cs="宋体"/>
                <w:kern w:val="0"/>
                <w:szCs w:val="21"/>
              </w:rPr>
            </w:pPr>
            <w:r>
              <w:rPr>
                <w:rFonts w:ascii="宋体" w:hAnsi="宋体"/>
                <w:kern w:val="0"/>
                <w:sz w:val="20"/>
                <w:szCs w:val="21"/>
              </w:rPr>
              <w:sym w:font="Wingdings 2" w:char="0052"/>
            </w:r>
            <w:r>
              <w:rPr>
                <w:rFonts w:hint="eastAsia" w:ascii="宋体" w:hAnsi="宋体" w:cs="宋体"/>
                <w:kern w:val="0"/>
                <w:szCs w:val="21"/>
              </w:rPr>
              <w:t>是    □ 否</w:t>
            </w:r>
          </w:p>
          <w:p>
            <w:pPr>
              <w:snapToGrid w:val="0"/>
              <w:spacing w:line="360" w:lineRule="auto"/>
              <w:rPr>
                <w:rFonts w:ascii="宋体" w:hAnsi="宋体" w:cs="宋体"/>
                <w:kern w:val="0"/>
                <w:szCs w:val="21"/>
              </w:rPr>
            </w:pPr>
            <w:r>
              <w:rPr>
                <w:rFonts w:hint="eastAsia" w:ascii="宋体" w:hAnsi="宋体" w:cs="宋体"/>
                <w:kern w:val="0"/>
                <w:szCs w:val="21"/>
              </w:rPr>
              <w:t>2.采购代理费支付方式：</w:t>
            </w:r>
          </w:p>
          <w:p>
            <w:pPr>
              <w:snapToGrid w:val="0"/>
              <w:spacing w:line="360" w:lineRule="auto"/>
              <w:rPr>
                <w:rFonts w:ascii="宋体" w:hAnsi="宋体" w:cs="宋体"/>
                <w:kern w:val="0"/>
                <w:szCs w:val="21"/>
              </w:rPr>
            </w:pPr>
            <w:r>
              <w:rPr>
                <w:rFonts w:ascii="宋体" w:hAnsi="宋体"/>
                <w:kern w:val="0"/>
                <w:sz w:val="20"/>
                <w:szCs w:val="21"/>
              </w:rPr>
              <w:sym w:font="Wingdings 2" w:char="0052"/>
            </w:r>
            <w:r>
              <w:rPr>
                <w:rFonts w:hint="eastAsia" w:ascii="宋体" w:hAnsi="宋体" w:cs="宋体"/>
                <w:kern w:val="0"/>
                <w:szCs w:val="21"/>
              </w:rPr>
              <w:t>本项目代理服务费由</w:t>
            </w:r>
            <w:r>
              <w:rPr>
                <w:rFonts w:hint="eastAsia" w:ascii="宋体" w:hAnsi="宋体" w:cs="宋体"/>
                <w:kern w:val="0"/>
                <w:szCs w:val="21"/>
                <w:u w:val="single"/>
              </w:rPr>
              <w:t>成交供应商</w:t>
            </w:r>
            <w:r>
              <w:rPr>
                <w:rFonts w:hint="eastAsia" w:ascii="宋体" w:hAnsi="宋体" w:cs="宋体"/>
                <w:kern w:val="0"/>
                <w:szCs w:val="21"/>
              </w:rPr>
              <w:t>领取成交通知书前，一次性向采购代理机构支付。</w:t>
            </w:r>
          </w:p>
          <w:p>
            <w:pPr>
              <w:snapToGrid w:val="0"/>
              <w:spacing w:line="360" w:lineRule="auto"/>
              <w:rPr>
                <w:rFonts w:ascii="宋体" w:hAnsi="宋体" w:cs="宋体"/>
                <w:kern w:val="0"/>
                <w:szCs w:val="21"/>
              </w:rPr>
            </w:pPr>
            <w:r>
              <w:rPr>
                <w:rFonts w:hint="eastAsia" w:ascii="宋体" w:hAnsi="宋体" w:cs="宋体"/>
                <w:kern w:val="0"/>
                <w:szCs w:val="21"/>
              </w:rPr>
              <w:t>□采购人支付。</w:t>
            </w:r>
          </w:p>
          <w:p>
            <w:pPr>
              <w:snapToGrid w:val="0"/>
              <w:spacing w:line="360" w:lineRule="auto"/>
              <w:rPr>
                <w:rFonts w:ascii="宋体" w:hAnsi="宋体" w:cs="宋体"/>
                <w:kern w:val="0"/>
                <w:szCs w:val="21"/>
              </w:rPr>
            </w:pPr>
            <w:r>
              <w:rPr>
                <w:rFonts w:hint="eastAsia" w:ascii="宋体" w:hAnsi="宋体" w:cs="宋体"/>
                <w:kern w:val="0"/>
                <w:szCs w:val="21"/>
              </w:rPr>
              <w:t>3.采购代理费收取标准：</w:t>
            </w:r>
          </w:p>
          <w:p>
            <w:pPr>
              <w:snapToGrid w:val="0"/>
              <w:spacing w:line="360" w:lineRule="auto"/>
              <w:rPr>
                <w:rFonts w:ascii="宋体" w:hAnsi="宋体" w:cs="宋体"/>
                <w:kern w:val="0"/>
                <w:szCs w:val="21"/>
              </w:rPr>
            </w:pPr>
            <w:r>
              <w:rPr>
                <w:rFonts w:ascii="宋体" w:hAnsi="宋体"/>
                <w:kern w:val="0"/>
                <w:sz w:val="20"/>
                <w:szCs w:val="21"/>
              </w:rPr>
              <w:sym w:font="Wingdings 2" w:char="0052"/>
            </w:r>
            <w:r>
              <w:rPr>
                <w:rFonts w:hint="eastAsia" w:ascii="宋体" w:hAnsi="宋体" w:cs="宋体"/>
                <w:kern w:val="0"/>
                <w:szCs w:val="21"/>
              </w:rPr>
              <w:t>以分标（</w:t>
            </w:r>
            <w:r>
              <w:rPr>
                <w:rFonts w:ascii="宋体" w:hAnsi="宋体"/>
                <w:kern w:val="0"/>
                <w:sz w:val="20"/>
                <w:szCs w:val="21"/>
              </w:rPr>
              <w:sym w:font="Wingdings 2" w:char="0052"/>
            </w:r>
            <w:r>
              <w:rPr>
                <w:rFonts w:hint="eastAsia" w:ascii="宋体" w:hAnsi="宋体" w:cs="宋体"/>
                <w:kern w:val="0"/>
                <w:szCs w:val="21"/>
              </w:rPr>
              <w:t>成交金额/□采购预算/□暂定成交金额/□其他</w:t>
            </w:r>
            <w:r>
              <w:rPr>
                <w:rFonts w:hint="eastAsia" w:ascii="宋体" w:hAnsi="宋体" w:cs="宋体"/>
                <w:kern w:val="0"/>
                <w:szCs w:val="21"/>
                <w:u w:val="single"/>
              </w:rPr>
              <w:t xml:space="preserve"> /</w:t>
            </w:r>
            <w:r>
              <w:rPr>
                <w:rFonts w:hint="eastAsia" w:ascii="宋体" w:hAnsi="宋体" w:cs="宋体"/>
                <w:kern w:val="0"/>
                <w:szCs w:val="21"/>
              </w:rPr>
              <w:t>）为计费额，按</w:t>
            </w:r>
            <w:r>
              <w:rPr>
                <w:rFonts w:hint="eastAsia" w:ascii="宋体" w:hAnsi="宋体" w:cs="宋体"/>
                <w:kern w:val="0"/>
                <w:szCs w:val="21"/>
                <w:lang w:eastAsia="zh-CN"/>
              </w:rPr>
              <w:t>工程</w:t>
            </w:r>
            <w:r>
              <w:rPr>
                <w:rFonts w:hint="eastAsia" w:ascii="宋体" w:hAnsi="宋体" w:cs="宋体"/>
                <w:kern w:val="0"/>
                <w:szCs w:val="21"/>
              </w:rPr>
              <w:t>类采用差额定率累进法计算出收费基准价格，采购代理收费以（</w:t>
            </w:r>
            <w:r>
              <w:rPr>
                <w:rFonts w:hint="eastAsia" w:ascii="宋体" w:hAnsi="宋体" w:cs="宋体"/>
                <w:kern w:val="0"/>
                <w:szCs w:val="21"/>
              </w:rPr>
              <w:sym w:font="Wingdings 2" w:char="0052"/>
            </w:r>
            <w:r>
              <w:rPr>
                <w:rFonts w:hint="eastAsia" w:ascii="宋体" w:hAnsi="宋体" w:cs="宋体"/>
                <w:kern w:val="0"/>
                <w:szCs w:val="21"/>
              </w:rPr>
              <w:t>收费基准价格/□收费基准价格下浮</w:t>
            </w:r>
            <w:r>
              <w:rPr>
                <w:rFonts w:hint="eastAsia" w:ascii="宋体" w:hAnsi="宋体" w:cs="宋体"/>
                <w:kern w:val="0"/>
                <w:szCs w:val="21"/>
                <w:u w:val="single"/>
              </w:rPr>
              <w:t xml:space="preserve"> </w:t>
            </w:r>
            <w:r>
              <w:rPr>
                <w:rFonts w:ascii="宋体" w:hAnsi="宋体" w:cs="宋体"/>
                <w:kern w:val="0"/>
                <w:szCs w:val="21"/>
                <w:u w:val="single"/>
              </w:rPr>
              <w:t>/</w:t>
            </w:r>
            <w:r>
              <w:rPr>
                <w:rFonts w:hint="eastAsia" w:ascii="宋体" w:hAnsi="宋体" w:cs="宋体"/>
                <w:kern w:val="0"/>
                <w:szCs w:val="21"/>
                <w:u w:val="single"/>
                <w:lang w:val="en-US" w:eastAsia="zh-CN"/>
              </w:rPr>
              <w:t xml:space="preserve"> </w:t>
            </w:r>
            <w:r>
              <w:rPr>
                <w:rFonts w:hint="eastAsia" w:ascii="宋体" w:hAnsi="宋体" w:cs="宋体"/>
                <w:kern w:val="0"/>
                <w:szCs w:val="21"/>
              </w:rPr>
              <w:t>□收费基准价格上浮</w:t>
            </w:r>
            <w:r>
              <w:rPr>
                <w:rFonts w:hint="eastAsia" w:ascii="宋体" w:hAnsi="宋体" w:cs="宋体"/>
                <w:kern w:val="0"/>
                <w:szCs w:val="21"/>
                <w:u w:val="single"/>
              </w:rPr>
              <w:t xml:space="preserve"> /%</w:t>
            </w:r>
            <w:r>
              <w:rPr>
                <w:rFonts w:hint="eastAsia" w:ascii="宋体" w:hAnsi="宋体" w:cs="宋体"/>
                <w:kern w:val="0"/>
                <w:szCs w:val="21"/>
              </w:rPr>
              <w:t>）收取。</w:t>
            </w:r>
          </w:p>
          <w:p>
            <w:pPr>
              <w:snapToGrid w:val="0"/>
              <w:spacing w:line="360" w:lineRule="auto"/>
              <w:rPr>
                <w:rFonts w:ascii="宋体" w:hAnsi="宋体" w:cs="宋体"/>
                <w:kern w:val="0"/>
                <w:szCs w:val="21"/>
                <w:u w:val="single"/>
              </w:rPr>
            </w:pPr>
            <w:r>
              <w:rPr>
                <w:rFonts w:hint="eastAsia" w:ascii="宋体" w:hAnsi="宋体" w:cs="宋体"/>
                <w:kern w:val="0"/>
                <w:szCs w:val="21"/>
              </w:rPr>
              <w:t>□固定采购代理收费</w:t>
            </w:r>
            <w:r>
              <w:rPr>
                <w:rFonts w:hint="eastAsia" w:ascii="宋体" w:hAnsi="宋体" w:cs="宋体"/>
                <w:kern w:val="0"/>
                <w:szCs w:val="21"/>
                <w:u w:val="single"/>
              </w:rPr>
              <w:t xml:space="preserve">              。</w:t>
            </w:r>
          </w:p>
          <w:p>
            <w:pPr>
              <w:snapToGrid w:val="0"/>
              <w:spacing w:line="360" w:lineRule="auto"/>
              <w:rPr>
                <w:rFonts w:ascii="宋体" w:hAnsi="宋体" w:cs="宋体"/>
                <w:kern w:val="0"/>
                <w:szCs w:val="21"/>
              </w:rPr>
            </w:pPr>
            <w:r>
              <w:rPr>
                <w:rFonts w:hint="eastAsia" w:ascii="宋体" w:hAnsi="宋体" w:cs="宋体"/>
                <w:kern w:val="0"/>
                <w:szCs w:val="21"/>
              </w:rPr>
              <w:t>4.采购代理费收取银行账户</w:t>
            </w:r>
          </w:p>
          <w:p>
            <w:pPr>
              <w:snapToGrid w:val="0"/>
              <w:spacing w:line="360" w:lineRule="auto"/>
              <w:rPr>
                <w:rFonts w:hint="eastAsia" w:ascii="宋体" w:hAnsi="宋体" w:cs="宋体"/>
                <w:kern w:val="0"/>
                <w:szCs w:val="21"/>
              </w:rPr>
            </w:pPr>
            <w:r>
              <w:rPr>
                <w:rFonts w:hint="eastAsia" w:ascii="宋体" w:hAnsi="宋体" w:cs="宋体"/>
                <w:kern w:val="0"/>
                <w:szCs w:val="21"/>
              </w:rPr>
              <w:t>开户名称：广西中信恒泰工程顾问有限公司</w:t>
            </w:r>
          </w:p>
          <w:p>
            <w:pPr>
              <w:snapToGrid w:val="0"/>
              <w:spacing w:line="360" w:lineRule="auto"/>
              <w:rPr>
                <w:rFonts w:hint="eastAsia" w:ascii="宋体" w:hAnsi="宋体" w:cs="宋体"/>
                <w:kern w:val="0"/>
                <w:szCs w:val="21"/>
              </w:rPr>
            </w:pPr>
            <w:r>
              <w:rPr>
                <w:rFonts w:hint="eastAsia" w:ascii="宋体" w:hAnsi="宋体" w:cs="宋体"/>
                <w:kern w:val="0"/>
                <w:szCs w:val="21"/>
              </w:rPr>
              <w:t>开户银行：建行南宁市金湖广场支行</w:t>
            </w:r>
          </w:p>
          <w:p>
            <w:pPr>
              <w:snapToGrid w:val="0"/>
              <w:spacing w:line="360" w:lineRule="auto"/>
              <w:rPr>
                <w:rFonts w:ascii="宋体" w:hAnsi="宋体" w:cs="宋体"/>
                <w:kern w:val="0"/>
                <w:szCs w:val="21"/>
              </w:rPr>
            </w:pPr>
            <w:r>
              <w:rPr>
                <w:rFonts w:hint="eastAsia" w:ascii="宋体" w:hAnsi="宋体" w:cs="宋体"/>
                <w:kern w:val="0"/>
                <w:szCs w:val="21"/>
              </w:rPr>
              <w:t>银行账号：4500 1604 2660 5250 2851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34</w:t>
            </w:r>
            <w:r>
              <w:rPr>
                <w:rFonts w:ascii="宋体" w:hAnsi="宋体" w:cs="宋体"/>
                <w:szCs w:val="21"/>
              </w:rPr>
              <w:t>.1</w:t>
            </w:r>
          </w:p>
        </w:tc>
        <w:tc>
          <w:tcPr>
            <w:tcW w:w="2552" w:type="dxa"/>
            <w:noWrap w:val="0"/>
            <w:vAlign w:val="center"/>
          </w:tcPr>
          <w:p>
            <w:pPr>
              <w:spacing w:line="360" w:lineRule="auto"/>
              <w:jc w:val="center"/>
              <w:rPr>
                <w:rFonts w:ascii="宋体" w:hAnsi="宋体" w:cs="宋体"/>
                <w:szCs w:val="21"/>
              </w:rPr>
            </w:pPr>
            <w:r>
              <w:rPr>
                <w:rFonts w:hint="eastAsia" w:ascii="宋体" w:hAnsi="宋体"/>
              </w:rPr>
              <w:t>解释</w:t>
            </w:r>
          </w:p>
        </w:tc>
        <w:tc>
          <w:tcPr>
            <w:tcW w:w="6853" w:type="dxa"/>
            <w:noWrap w:val="0"/>
            <w:vAlign w:val="center"/>
          </w:tcPr>
          <w:p>
            <w:pPr>
              <w:snapToGrid w:val="0"/>
              <w:spacing w:line="360" w:lineRule="auto"/>
              <w:rPr>
                <w:rFonts w:ascii="宋体" w:hAnsi="宋体" w:cs="宋体"/>
                <w:b/>
                <w:kern w:val="0"/>
                <w:szCs w:val="21"/>
              </w:rPr>
            </w:pPr>
            <w:r>
              <w:rPr>
                <w:rFonts w:hint="eastAsia" w:ascii="宋体" w:hAnsi="宋体" w:cs="宋体"/>
                <w:b/>
                <w:kern w:val="0"/>
                <w:szCs w:val="21"/>
              </w:rPr>
              <w:t>解释权：</w:t>
            </w:r>
            <w:r>
              <w:rPr>
                <w:rFonts w:ascii="宋体" w:hAnsi="宋体" w:cs="宋体"/>
                <w:kern w:val="0"/>
                <w:szCs w:val="21"/>
              </w:rPr>
              <w:t>构成本</w:t>
            </w:r>
            <w:r>
              <w:rPr>
                <w:rFonts w:hint="eastAsia" w:ascii="宋体" w:hAnsi="宋体" w:cs="宋体"/>
                <w:kern w:val="0"/>
                <w:szCs w:val="21"/>
              </w:rPr>
              <w:t>磋商文件</w:t>
            </w:r>
            <w:r>
              <w:rPr>
                <w:rFonts w:ascii="宋体" w:hAnsi="宋体" w:cs="宋体"/>
                <w:kern w:val="0"/>
                <w:szCs w:val="21"/>
              </w:rPr>
              <w:t>的各个组成文件应互为解释，互为说明；除</w:t>
            </w:r>
            <w:r>
              <w:rPr>
                <w:rFonts w:hint="eastAsia" w:ascii="宋体" w:hAnsi="宋体" w:cs="宋体"/>
                <w:kern w:val="0"/>
                <w:szCs w:val="21"/>
              </w:rPr>
              <w:t>磋商文件</w:t>
            </w:r>
            <w:r>
              <w:rPr>
                <w:rFonts w:ascii="宋体" w:hAnsi="宋体" w:cs="宋体"/>
                <w:kern w:val="0"/>
                <w:szCs w:val="21"/>
              </w:rPr>
              <w:t>中有特别规定外，仅适用于</w:t>
            </w:r>
            <w:r>
              <w:rPr>
                <w:rFonts w:hint="eastAsia" w:ascii="宋体" w:hAnsi="宋体" w:cs="宋体"/>
                <w:kern w:val="0"/>
                <w:szCs w:val="21"/>
              </w:rPr>
              <w:t>竞标</w:t>
            </w:r>
            <w:r>
              <w:rPr>
                <w:rFonts w:ascii="宋体" w:hAnsi="宋体" w:cs="宋体"/>
                <w:kern w:val="0"/>
                <w:szCs w:val="21"/>
              </w:rPr>
              <w:t>阶段的规定，按</w:t>
            </w:r>
            <w:r>
              <w:rPr>
                <w:rFonts w:hint="eastAsia" w:ascii="宋体" w:hAnsi="宋体" w:cs="宋体"/>
                <w:kern w:val="0"/>
                <w:szCs w:val="21"/>
              </w:rPr>
              <w:t>更正公告（澄清公告）</w:t>
            </w:r>
            <w:r>
              <w:rPr>
                <w:rFonts w:ascii="宋体" w:hAnsi="宋体" w:cs="宋体"/>
                <w:kern w:val="0"/>
                <w:szCs w:val="21"/>
              </w:rPr>
              <w:t>、</w:t>
            </w:r>
            <w:r>
              <w:rPr>
                <w:rFonts w:hint="eastAsia" w:ascii="宋体" w:hAnsi="宋体" w:cs="宋体"/>
                <w:kern w:val="0"/>
                <w:szCs w:val="21"/>
              </w:rPr>
              <w:t>竞争性磋商</w:t>
            </w:r>
            <w:r>
              <w:rPr>
                <w:rFonts w:ascii="宋体" w:hAnsi="宋体" w:cs="宋体"/>
                <w:kern w:val="0"/>
                <w:szCs w:val="21"/>
              </w:rPr>
              <w:t>公告、</w:t>
            </w:r>
            <w:r>
              <w:rPr>
                <w:rFonts w:hint="eastAsia" w:ascii="宋体" w:hAnsi="宋体" w:cs="宋体"/>
                <w:kern w:val="0"/>
                <w:szCs w:val="21"/>
              </w:rPr>
              <w:t>供应商</w:t>
            </w:r>
            <w:r>
              <w:rPr>
                <w:rFonts w:ascii="宋体" w:hAnsi="宋体" w:cs="宋体"/>
                <w:kern w:val="0"/>
                <w:szCs w:val="21"/>
              </w:rPr>
              <w:t>须知</w:t>
            </w:r>
            <w:r>
              <w:rPr>
                <w:rFonts w:hint="eastAsia" w:ascii="宋体" w:hAnsi="宋体" w:cs="宋体"/>
                <w:kern w:val="0"/>
                <w:szCs w:val="21"/>
              </w:rPr>
              <w:t>、采购需求</w:t>
            </w:r>
            <w:r>
              <w:rPr>
                <w:rFonts w:ascii="宋体" w:hAnsi="宋体" w:cs="宋体"/>
                <w:kern w:val="0"/>
                <w:szCs w:val="21"/>
              </w:rPr>
              <w:t>、</w:t>
            </w:r>
            <w:r>
              <w:rPr>
                <w:rFonts w:hint="eastAsia" w:ascii="宋体" w:hAnsi="宋体" w:cs="宋体"/>
                <w:kern w:val="0"/>
                <w:szCs w:val="21"/>
              </w:rPr>
              <w:t>评审程序、评审方法和评审标准</w:t>
            </w:r>
            <w:r>
              <w:rPr>
                <w:rFonts w:ascii="宋体" w:hAnsi="宋体" w:cs="宋体"/>
                <w:kern w:val="0"/>
                <w:szCs w:val="21"/>
              </w:rPr>
              <w:t>、</w:t>
            </w:r>
            <w:r>
              <w:rPr>
                <w:rFonts w:hint="eastAsia" w:ascii="宋体" w:hAnsi="宋体" w:cs="宋体"/>
                <w:kern w:val="0"/>
                <w:szCs w:val="21"/>
              </w:rPr>
              <w:t>响应</w:t>
            </w:r>
            <w:r>
              <w:rPr>
                <w:rFonts w:ascii="宋体" w:hAnsi="宋体" w:cs="宋体"/>
                <w:kern w:val="0"/>
                <w:szCs w:val="21"/>
              </w:rPr>
              <w:t>文件格式</w:t>
            </w:r>
            <w:r>
              <w:rPr>
                <w:rFonts w:hint="eastAsia" w:ascii="宋体" w:hAnsi="宋体" w:cs="宋体"/>
                <w:kern w:val="0"/>
                <w:szCs w:val="21"/>
              </w:rPr>
              <w:t>、合同文本</w:t>
            </w:r>
            <w:r>
              <w:rPr>
                <w:rFonts w:ascii="宋体" w:hAnsi="宋体" w:cs="宋体"/>
                <w:kern w:val="0"/>
                <w:szCs w:val="21"/>
              </w:rPr>
              <w:t>的先后顺序解释；同一组成文件中就同一事项的规定或者约定不一致的，以编排顺序在后者为准；同一组成文件不同版本之间有不一致的，以形成时间在后者为准；</w:t>
            </w:r>
            <w:r>
              <w:rPr>
                <w:rFonts w:hint="eastAsia" w:ascii="宋体" w:hAnsi="宋体" w:cs="宋体"/>
                <w:kern w:val="0"/>
                <w:szCs w:val="21"/>
              </w:rPr>
              <w:t>更正公告（澄清公告）</w:t>
            </w:r>
            <w:r>
              <w:rPr>
                <w:rFonts w:ascii="宋体" w:hAnsi="宋体" w:cs="宋体"/>
                <w:kern w:val="0"/>
                <w:szCs w:val="21"/>
              </w:rPr>
              <w:t>与同步更新的</w:t>
            </w:r>
            <w:r>
              <w:rPr>
                <w:rFonts w:hint="eastAsia" w:ascii="宋体" w:hAnsi="宋体" w:cs="宋体"/>
                <w:kern w:val="0"/>
                <w:szCs w:val="21"/>
              </w:rPr>
              <w:t>磋商文件</w:t>
            </w:r>
            <w:r>
              <w:rPr>
                <w:rFonts w:ascii="宋体" w:hAnsi="宋体" w:cs="宋体"/>
                <w:kern w:val="0"/>
                <w:szCs w:val="21"/>
              </w:rPr>
              <w:t>不一致时以</w:t>
            </w:r>
            <w:r>
              <w:rPr>
                <w:rFonts w:hint="eastAsia" w:ascii="宋体" w:hAnsi="宋体" w:cs="宋体"/>
                <w:kern w:val="0"/>
                <w:szCs w:val="21"/>
              </w:rPr>
              <w:t>更正公告（澄清公告）</w:t>
            </w:r>
            <w:r>
              <w:rPr>
                <w:rFonts w:ascii="宋体" w:hAnsi="宋体" w:cs="宋体"/>
                <w:kern w:val="0"/>
                <w:szCs w:val="21"/>
              </w:rPr>
              <w:t>为准。按本款前述规定仍不能形成结论的，</w:t>
            </w:r>
            <w:r>
              <w:rPr>
                <w:rFonts w:ascii="宋体" w:hAnsi="宋体" w:cs="宋体"/>
                <w:b/>
                <w:kern w:val="0"/>
                <w:szCs w:val="21"/>
              </w:rPr>
              <w:t>由</w:t>
            </w:r>
            <w:r>
              <w:rPr>
                <w:rFonts w:hint="eastAsia" w:ascii="宋体" w:hAnsi="宋体" w:cs="宋体"/>
                <w:b/>
                <w:kern w:val="0"/>
                <w:szCs w:val="21"/>
              </w:rPr>
              <w:t>采购</w:t>
            </w:r>
            <w:r>
              <w:rPr>
                <w:rFonts w:ascii="宋体" w:hAnsi="宋体" w:cs="宋体"/>
                <w:b/>
                <w:kern w:val="0"/>
                <w:szCs w:val="21"/>
              </w:rPr>
              <w:t>人</w:t>
            </w:r>
            <w:r>
              <w:rPr>
                <w:rFonts w:hint="eastAsia" w:ascii="宋体" w:hAnsi="宋体" w:cs="宋体"/>
                <w:b/>
                <w:kern w:val="0"/>
                <w:szCs w:val="21"/>
              </w:rPr>
              <w:t>或者采购代理机构</w:t>
            </w:r>
            <w:r>
              <w:rPr>
                <w:rFonts w:ascii="宋体" w:hAnsi="宋体" w:cs="宋体"/>
                <w:b/>
                <w:kern w:val="0"/>
                <w:szCs w:val="21"/>
              </w:rPr>
              <w:t>负责解释。</w:t>
            </w:r>
          </w:p>
          <w:p>
            <w:pPr>
              <w:snapToGrid w:val="0"/>
              <w:spacing w:line="360" w:lineRule="auto"/>
              <w:rPr>
                <w:rFonts w:ascii="宋体" w:hAnsi="宋体" w:cs="宋体"/>
                <w:b/>
                <w:kern w:val="0"/>
                <w:szCs w:val="21"/>
              </w:rPr>
            </w:pPr>
            <w:r>
              <w:rPr>
                <w:rFonts w:hint="eastAsia" w:ascii="宋体" w:hAnsi="宋体" w:cs="宋体"/>
                <w:b/>
                <w:kern w:val="0"/>
                <w:szCs w:val="21"/>
              </w:rPr>
              <w:t>法律责任：</w:t>
            </w:r>
          </w:p>
          <w:p>
            <w:pPr>
              <w:snapToGrid w:val="0"/>
              <w:spacing w:line="360" w:lineRule="auto"/>
              <w:rPr>
                <w:rFonts w:ascii="宋体" w:hAnsi="宋体" w:cs="宋体"/>
                <w:kern w:val="0"/>
                <w:szCs w:val="21"/>
              </w:rPr>
            </w:pPr>
            <w:r>
              <w:rPr>
                <w:rFonts w:hint="eastAsia" w:ascii="宋体" w:hAnsi="宋体" w:cs="宋体"/>
                <w:b/>
                <w:kern w:val="0"/>
                <w:szCs w:val="21"/>
              </w:rPr>
              <w:t>1.</w:t>
            </w:r>
            <w:r>
              <w:rPr>
                <w:rFonts w:hint="eastAsia" w:ascii="宋体" w:hAnsi="宋体" w:cs="宋体"/>
                <w:kern w:val="0"/>
                <w:szCs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snapToGrid w:val="0"/>
              <w:spacing w:line="360" w:lineRule="auto"/>
              <w:rPr>
                <w:rFonts w:ascii="宋体" w:hAnsi="宋体" w:cs="宋体"/>
                <w:szCs w:val="21"/>
              </w:rPr>
            </w:pPr>
            <w:r>
              <w:rPr>
                <w:rFonts w:hint="eastAsia" w:ascii="宋体" w:hAnsi="宋体" w:cs="宋体"/>
                <w:b/>
                <w:kern w:val="0"/>
                <w:szCs w:val="21"/>
              </w:rPr>
              <w:t>2.</w:t>
            </w:r>
            <w:r>
              <w:rPr>
                <w:rFonts w:hint="eastAsia" w:ascii="宋体" w:hAnsi="宋体"/>
                <w:b/>
                <w:kern w:val="0"/>
                <w:szCs w:val="21"/>
              </w:rPr>
              <w:t xml:space="preserve"> 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center"/>
          </w:tcPr>
          <w:p>
            <w:pPr>
              <w:spacing w:line="360" w:lineRule="auto"/>
              <w:jc w:val="center"/>
              <w:rPr>
                <w:rFonts w:ascii="宋体" w:hAnsi="宋体" w:cs="宋体"/>
                <w:szCs w:val="21"/>
              </w:rPr>
            </w:pPr>
            <w:r>
              <w:rPr>
                <w:rFonts w:hint="eastAsia" w:ascii="宋体" w:hAnsi="宋体" w:cs="宋体"/>
                <w:szCs w:val="21"/>
              </w:rPr>
              <w:t>34</w:t>
            </w:r>
            <w:r>
              <w:rPr>
                <w:rFonts w:ascii="宋体" w:hAnsi="宋体" w:cs="宋体"/>
                <w:szCs w:val="21"/>
              </w:rPr>
              <w:t>.2</w:t>
            </w:r>
          </w:p>
        </w:tc>
        <w:tc>
          <w:tcPr>
            <w:tcW w:w="2552" w:type="dxa"/>
            <w:noWrap w:val="0"/>
            <w:vAlign w:val="center"/>
          </w:tcPr>
          <w:p>
            <w:pPr>
              <w:spacing w:line="360" w:lineRule="auto"/>
              <w:jc w:val="center"/>
              <w:rPr>
                <w:rFonts w:ascii="宋体" w:hAnsi="宋体" w:cs="宋体"/>
                <w:szCs w:val="21"/>
              </w:rPr>
            </w:pPr>
            <w:r>
              <w:rPr>
                <w:rFonts w:hint="eastAsia" w:ascii="宋体" w:hAnsi="宋体" w:cs="宋体"/>
                <w:szCs w:val="21"/>
              </w:rPr>
              <w:t>其他</w:t>
            </w:r>
          </w:p>
        </w:tc>
        <w:tc>
          <w:tcPr>
            <w:tcW w:w="6853" w:type="dxa"/>
            <w:noWrap w:val="0"/>
            <w:vAlign w:val="center"/>
          </w:tcPr>
          <w:p>
            <w:pPr>
              <w:snapToGrid w:val="0"/>
              <w:spacing w:line="360" w:lineRule="auto"/>
              <w:rPr>
                <w:rFonts w:ascii="宋体" w:hAnsi="宋体" w:cs="宋体"/>
                <w:kern w:val="0"/>
                <w:szCs w:val="21"/>
              </w:rPr>
            </w:pPr>
            <w:r>
              <w:rPr>
                <w:rFonts w:hint="eastAsia" w:ascii="宋体" w:hAnsi="宋体" w:cs="宋体"/>
                <w:kern w:val="0"/>
                <w:szCs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snapToGrid w:val="0"/>
              <w:spacing w:line="360" w:lineRule="auto"/>
              <w:rPr>
                <w:rFonts w:ascii="宋体" w:hAnsi="宋体" w:cs="宋体"/>
                <w:kern w:val="0"/>
                <w:szCs w:val="21"/>
              </w:rPr>
            </w:pPr>
            <w:r>
              <w:rPr>
                <w:rFonts w:hint="eastAsia" w:ascii="宋体" w:hAnsi="宋体" w:cs="宋体"/>
                <w:kern w:val="0"/>
                <w:szCs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napToGrid w:val="0"/>
              <w:spacing w:line="360" w:lineRule="auto"/>
              <w:rPr>
                <w:rFonts w:ascii="宋体" w:hAnsi="宋体" w:cs="宋体"/>
                <w:kern w:val="0"/>
                <w:szCs w:val="21"/>
              </w:rPr>
            </w:pPr>
            <w:r>
              <w:rPr>
                <w:rFonts w:ascii="宋体" w:hAnsi="宋体" w:cs="宋体"/>
                <w:kern w:val="0"/>
                <w:szCs w:val="21"/>
              </w:rPr>
              <w:t>3.</w:t>
            </w:r>
            <w:r>
              <w:rPr>
                <w:rFonts w:hint="eastAsia" w:ascii="宋体" w:hAnsi="宋体" w:cs="宋体"/>
                <w:kern w:val="0"/>
                <w:szCs w:val="21"/>
              </w:rPr>
              <w:t>本磋商文件中描述供应商的“签字”是指供应商的法定代表人或者委托代理人亲自在文件规定签署处亲笔写上个人的名字的行为，私章、签字章、印鉴、影印等其他形式均不能代替亲笔签字。</w:t>
            </w:r>
          </w:p>
          <w:p>
            <w:pPr>
              <w:snapToGrid w:val="0"/>
              <w:spacing w:line="360" w:lineRule="auto"/>
              <w:rPr>
                <w:rFonts w:ascii="宋体" w:hAnsi="宋体" w:cs="宋体"/>
                <w:kern w:val="0"/>
                <w:szCs w:val="21"/>
              </w:rPr>
            </w:pPr>
            <w:r>
              <w:rPr>
                <w:rFonts w:ascii="宋体" w:hAnsi="宋体" w:cs="宋体"/>
                <w:kern w:val="0"/>
                <w:szCs w:val="21"/>
              </w:rPr>
              <w:t>4.</w:t>
            </w:r>
            <w:r>
              <w:rPr>
                <w:rFonts w:hint="eastAsia" w:ascii="宋体" w:hAnsi="宋体" w:cs="宋体"/>
                <w:kern w:val="0"/>
                <w:szCs w:val="21"/>
              </w:rPr>
              <w:t>自然人竞标的，磋商文件规定盖公章处由自然人摁手指指印。</w:t>
            </w:r>
          </w:p>
          <w:p>
            <w:pPr>
              <w:snapToGrid w:val="0"/>
              <w:spacing w:line="360" w:lineRule="auto"/>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本磋商文件所称的“以上”“以下”“以内”“届满”，包括本数；所称的“不满”“超过”“以外”，不包括本数。</w:t>
            </w:r>
          </w:p>
        </w:tc>
      </w:tr>
    </w:tbl>
    <w:p>
      <w:pPr>
        <w:keepNext/>
        <w:keepLines/>
        <w:spacing w:before="260" w:after="260" w:line="420" w:lineRule="exact"/>
        <w:jc w:val="center"/>
        <w:outlineLvl w:val="1"/>
        <w:rPr>
          <w:rFonts w:ascii="宋体" w:hAnsi="宋体"/>
          <w:bCs/>
          <w:sz w:val="32"/>
          <w:szCs w:val="32"/>
        </w:rPr>
      </w:pPr>
      <w:r>
        <w:rPr>
          <w:rFonts w:ascii="宋体" w:hAnsi="宋体"/>
          <w:bCs/>
          <w:sz w:val="32"/>
          <w:szCs w:val="32"/>
        </w:rPr>
        <w:br w:type="page"/>
      </w:r>
      <w:bookmarkStart w:id="35" w:name="_Toc106794707"/>
      <w:r>
        <w:rPr>
          <w:rFonts w:hint="eastAsia" w:ascii="宋体" w:hAnsi="宋体"/>
          <w:bCs/>
          <w:sz w:val="32"/>
          <w:szCs w:val="32"/>
        </w:rPr>
        <w:t>第二节 供应商须知正文</w:t>
      </w:r>
      <w:bookmarkEnd w:id="35"/>
    </w:p>
    <w:p>
      <w:pPr>
        <w:keepNext/>
        <w:keepLines/>
        <w:spacing w:line="360" w:lineRule="auto"/>
        <w:ind w:firstLine="640" w:firstLineChars="200"/>
        <w:outlineLvl w:val="2"/>
        <w:rPr>
          <w:rFonts w:ascii="宋体" w:hAnsi="宋体"/>
          <w:bCs/>
          <w:sz w:val="32"/>
          <w:szCs w:val="32"/>
        </w:rPr>
      </w:pPr>
      <w:bookmarkStart w:id="36" w:name="_Toc106794708"/>
      <w:r>
        <w:rPr>
          <w:rFonts w:hint="eastAsia" w:ascii="宋体" w:hAnsi="宋体"/>
          <w:bCs/>
          <w:sz w:val="32"/>
          <w:szCs w:val="32"/>
        </w:rPr>
        <w:t>一、总则</w:t>
      </w:r>
      <w:bookmarkEnd w:id="36"/>
    </w:p>
    <w:p>
      <w:pPr>
        <w:spacing w:line="360" w:lineRule="auto"/>
        <w:ind w:firstLine="482" w:firstLineChars="200"/>
        <w:rPr>
          <w:rFonts w:ascii="宋体" w:hAnsi="宋体" w:cs="宋体"/>
          <w:b/>
          <w:bCs/>
          <w:sz w:val="24"/>
        </w:rPr>
      </w:pPr>
      <w:r>
        <w:rPr>
          <w:rFonts w:hint="eastAsia" w:ascii="宋体" w:hAnsi="宋体" w:cs="宋体"/>
          <w:b/>
          <w:bCs/>
          <w:sz w:val="24"/>
        </w:rPr>
        <w:t>1.适用范围</w:t>
      </w:r>
    </w:p>
    <w:p>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pPr>
        <w:spacing w:line="360" w:lineRule="auto"/>
        <w:ind w:firstLine="482" w:firstLineChars="200"/>
        <w:rPr>
          <w:rFonts w:ascii="宋体" w:hAnsi="宋体" w:cs="宋体"/>
          <w:b/>
          <w:bCs/>
          <w:sz w:val="24"/>
        </w:rPr>
      </w:pPr>
      <w:r>
        <w:rPr>
          <w:rFonts w:hint="eastAsia" w:ascii="宋体" w:hAnsi="宋体" w:cs="宋体"/>
          <w:b/>
          <w:bCs/>
          <w:sz w:val="24"/>
        </w:rPr>
        <w:t>2.定义</w:t>
      </w:r>
    </w:p>
    <w:p>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szCs w:val="21"/>
        </w:rPr>
        <w:t>2.4“工程”是指政府采购工程。</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“响应文件”</w:t>
      </w:r>
      <w:r>
        <w:rPr>
          <w:rFonts w:hint="eastAsia" w:ascii="宋体" w:hAnsi="宋体" w:cs="宋体"/>
          <w:spacing w:val="-6"/>
          <w:szCs w:val="21"/>
        </w:rPr>
        <w:t>是指：供应商根据本磋商文件要求，编制包含资格证明、报价商务技术等所有内容的文件。</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“实质性要求”是指磋商文件中已经指明不满足则响应文件按无效响应处理的条款，或者不能负偏离的条款，或者采购需求中带“▲”的条款。</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“正偏离”，是指响应文件对磋商文件“采购需求”中有关条款作出的响应优于条款要求并有利于采购人的情形。</w:t>
      </w:r>
    </w:p>
    <w:p>
      <w:pPr>
        <w:spacing w:line="360" w:lineRule="auto"/>
        <w:ind w:firstLine="420" w:firstLineChars="200"/>
        <w:rPr>
          <w:rFonts w:ascii="宋体" w:hAnsi="宋体" w:cs="宋体"/>
          <w:szCs w:val="21"/>
        </w:rPr>
      </w:pPr>
      <w:r>
        <w:rPr>
          <w:rFonts w:ascii="宋体" w:hAnsi="宋体" w:cs="宋体"/>
          <w:szCs w:val="21"/>
        </w:rPr>
        <w:t>2.9</w:t>
      </w:r>
      <w:r>
        <w:rPr>
          <w:rFonts w:hint="eastAsia" w:ascii="宋体" w:hAnsi="宋体" w:cs="宋体"/>
          <w:szCs w:val="21"/>
        </w:rPr>
        <w:t>“负偏离”，是指响应文件对磋商文件“采购需求”中有关条款作出的响应不满足条款要求，导致采购人要求不能得到满足的情形。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2.10“允许负偏离的条款”是指采购需求中的不属于“实质性要求”的条款。</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11</w:t>
      </w:r>
      <w:r>
        <w:rPr>
          <w:rFonts w:hint="eastAsia" w:ascii="宋体" w:hAnsi="宋体" w:cs="宋体"/>
          <w:szCs w:val="21"/>
        </w:rPr>
        <w:t>“书面形式”是指合同书、信件和数据电文（包括电报、电传、传真、电子数据交换和电子邮件）等可以有形地表现所载内容的形式。</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12</w:t>
      </w:r>
      <w:r>
        <w:rPr>
          <w:rFonts w:hint="eastAsia" w:ascii="宋体" w:hAnsi="宋体" w:cs="宋体"/>
          <w:szCs w:val="21"/>
        </w:rPr>
        <w:t>“首次报价”是指供应商提交的首次响应文件中的报价。</w:t>
      </w:r>
    </w:p>
    <w:p>
      <w:pPr>
        <w:spacing w:line="360" w:lineRule="auto"/>
        <w:ind w:firstLine="420" w:firstLineChars="200"/>
        <w:rPr>
          <w:rFonts w:ascii="宋体" w:hAnsi="宋体" w:cs="宋体"/>
          <w:szCs w:val="21"/>
        </w:rPr>
      </w:pPr>
      <w:r>
        <w:rPr>
          <w:rFonts w:hint="eastAsia" w:ascii="宋体" w:hAnsi="宋体" w:cs="宋体"/>
          <w:szCs w:val="21"/>
        </w:rPr>
        <w:t>2.1</w:t>
      </w:r>
      <w:r>
        <w:rPr>
          <w:rFonts w:ascii="宋体" w:hAnsi="宋体" w:cs="宋体"/>
          <w:szCs w:val="21"/>
        </w:rPr>
        <w:t>3</w:t>
      </w:r>
      <w:r>
        <w:rPr>
          <w:rFonts w:hint="eastAsia" w:ascii="宋体" w:hAnsi="宋体" w:cs="宋体"/>
          <w:szCs w:val="21"/>
        </w:rPr>
        <w:t>“评审报价”是指供应商提交的最后报价并经修正（如有）和政策功能价格扣除（如有）后的价格。</w:t>
      </w:r>
    </w:p>
    <w:p>
      <w:pPr>
        <w:spacing w:line="360" w:lineRule="auto"/>
        <w:ind w:firstLine="482" w:firstLineChars="200"/>
        <w:rPr>
          <w:rFonts w:ascii="宋体" w:hAnsi="宋体" w:cs="宋体"/>
          <w:b/>
          <w:bCs/>
          <w:sz w:val="24"/>
        </w:rPr>
      </w:pPr>
      <w:r>
        <w:rPr>
          <w:rFonts w:hint="eastAsia" w:ascii="宋体" w:hAnsi="宋体" w:cs="宋体"/>
          <w:b/>
          <w:bCs/>
          <w:sz w:val="24"/>
        </w:rPr>
        <w:t>3.供应商的资格条件</w:t>
      </w:r>
    </w:p>
    <w:p>
      <w:pPr>
        <w:spacing w:line="360" w:lineRule="auto"/>
        <w:ind w:firstLine="420" w:firstLineChars="200"/>
        <w:rPr>
          <w:rFonts w:ascii="宋体" w:hAnsi="宋体" w:cs="宋体"/>
          <w:szCs w:val="21"/>
        </w:rPr>
      </w:pPr>
      <w:r>
        <w:rPr>
          <w:rFonts w:hint="eastAsia" w:ascii="宋体" w:hAnsi="宋体" w:cs="宋体"/>
          <w:szCs w:val="21"/>
        </w:rPr>
        <w:t>供应商的资格条件详见“供应商须知前附表”。</w:t>
      </w:r>
    </w:p>
    <w:p>
      <w:pPr>
        <w:spacing w:line="360" w:lineRule="auto"/>
        <w:ind w:firstLine="482" w:firstLineChars="200"/>
        <w:rPr>
          <w:rFonts w:ascii="宋体" w:hAnsi="宋体" w:cs="宋体"/>
          <w:b/>
          <w:bCs/>
          <w:sz w:val="24"/>
        </w:rPr>
      </w:pPr>
      <w:r>
        <w:rPr>
          <w:rFonts w:hint="eastAsia" w:ascii="宋体" w:hAnsi="宋体" w:cs="宋体"/>
          <w:b/>
          <w:bCs/>
          <w:sz w:val="24"/>
        </w:rPr>
        <w:t>4.磋商费用</w:t>
      </w:r>
    </w:p>
    <w:p>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ascii="宋体" w:hAnsi="宋体" w:cs="宋体"/>
          <w:b/>
          <w:bCs/>
          <w:sz w:val="24"/>
        </w:rPr>
      </w:pPr>
      <w:r>
        <w:rPr>
          <w:rFonts w:hint="eastAsia" w:ascii="宋体" w:hAnsi="宋体" w:cs="宋体"/>
          <w:b/>
          <w:bCs/>
          <w:sz w:val="24"/>
        </w:rPr>
        <w:t>5.联合体竞标</w:t>
      </w:r>
    </w:p>
    <w:p>
      <w:pPr>
        <w:spacing w:line="360" w:lineRule="auto"/>
        <w:ind w:firstLine="420" w:firstLineChars="200"/>
        <w:rPr>
          <w:rFonts w:ascii="宋体" w:hAnsi="宋体" w:cs="宋体"/>
          <w:szCs w:val="21"/>
        </w:rPr>
      </w:pPr>
      <w:r>
        <w:rPr>
          <w:rFonts w:hint="eastAsia" w:ascii="宋体" w:hAnsi="宋体" w:cs="宋体"/>
          <w:szCs w:val="21"/>
        </w:rPr>
        <w:t>5.1本项目是否接受联合体竞标，详见“供应商须知前附表”。</w:t>
      </w:r>
    </w:p>
    <w:p>
      <w:pPr>
        <w:spacing w:line="360" w:lineRule="auto"/>
        <w:ind w:firstLine="420" w:firstLineChars="200"/>
        <w:rPr>
          <w:rFonts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pPr>
        <w:spacing w:line="360" w:lineRule="auto"/>
        <w:ind w:firstLine="420" w:firstLineChars="200"/>
        <w:rPr>
          <w:rFonts w:ascii="宋体" w:hAnsi="宋体"/>
          <w:bCs/>
          <w:szCs w:val="21"/>
        </w:rPr>
      </w:pPr>
      <w:r>
        <w:rPr>
          <w:rFonts w:hint="eastAsia" w:ascii="宋体" w:hAnsi="宋体" w:cs="宋体"/>
          <w:szCs w:val="21"/>
        </w:rPr>
        <w:t>5.3</w:t>
      </w:r>
      <w:r>
        <w:rPr>
          <w:rFonts w:hint="eastAsia" w:ascii="宋体" w:hAnsi="宋体"/>
          <w:bCs/>
          <w:szCs w:val="21"/>
        </w:rPr>
        <w:t>根据《政府采购促进中小企业发展管理办法》（财库[2020]46号）</w:t>
      </w:r>
      <w:r>
        <w:rPr>
          <w:rFonts w:ascii="宋体" w:hAnsi="宋体"/>
          <w:bCs/>
          <w:szCs w:val="21"/>
        </w:rPr>
        <w:t>第九条</w:t>
      </w:r>
      <w:r>
        <w:rPr>
          <w:rFonts w:hint="eastAsia" w:ascii="宋体" w:hAnsi="宋体"/>
          <w:bCs/>
          <w:szCs w:val="21"/>
        </w:rPr>
        <w:t>规定，</w:t>
      </w:r>
      <w:r>
        <w:rPr>
          <w:rFonts w:ascii="宋体" w:hAnsi="宋体"/>
          <w:bCs/>
          <w:szCs w:val="21"/>
        </w:rPr>
        <w:t>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ascii="宋体" w:hAnsi="宋体" w:cs="宋体"/>
          <w:b/>
          <w:bCs/>
          <w:sz w:val="24"/>
        </w:rPr>
      </w:pPr>
      <w:r>
        <w:rPr>
          <w:rFonts w:hint="eastAsia" w:ascii="宋体" w:hAnsi="宋体" w:cs="宋体"/>
          <w:b/>
          <w:bCs/>
          <w:sz w:val="24"/>
        </w:rPr>
        <w:t xml:space="preserve">6.转包与分包             </w:t>
      </w:r>
    </w:p>
    <w:p>
      <w:pPr>
        <w:spacing w:line="360" w:lineRule="auto"/>
        <w:ind w:firstLine="420" w:firstLineChars="200"/>
        <w:rPr>
          <w:rFonts w:ascii="宋体" w:hAnsi="宋体" w:cs="宋体"/>
          <w:szCs w:val="21"/>
        </w:rPr>
      </w:pPr>
      <w:r>
        <w:rPr>
          <w:rFonts w:hint="eastAsia" w:ascii="宋体" w:hAnsi="宋体" w:cs="宋体"/>
          <w:szCs w:val="21"/>
        </w:rPr>
        <w:t>6.1本项目是否允许分包详见“供应商须知前附表”，本项目不允许违法分包。</w:t>
      </w:r>
    </w:p>
    <w:p>
      <w:pPr>
        <w:spacing w:line="360" w:lineRule="auto"/>
        <w:ind w:firstLine="420" w:firstLineChars="200"/>
        <w:rPr>
          <w:rFonts w:ascii="宋体" w:hAnsi="宋体" w:cs="宋体"/>
          <w:szCs w:val="21"/>
        </w:rPr>
      </w:pPr>
      <w:r>
        <w:rPr>
          <w:rFonts w:hint="eastAsia" w:ascii="宋体" w:hAnsi="宋体" w:cs="宋体"/>
          <w:szCs w:val="21"/>
        </w:rPr>
        <w:t>6.2</w:t>
      </w:r>
      <w:r>
        <w:rPr>
          <w:rFonts w:hint="eastAsia" w:ascii="宋体" w:hAnsi="宋体"/>
          <w:bCs/>
          <w:szCs w:val="21"/>
        </w:rPr>
        <w:t>根据《政府采购促进中小企业发展管理办法》（财库[2020]46号）</w:t>
      </w:r>
      <w:r>
        <w:rPr>
          <w:rFonts w:ascii="宋体" w:hAnsi="宋体"/>
          <w:bCs/>
          <w:szCs w:val="21"/>
        </w:rPr>
        <w:t>第九条</w:t>
      </w:r>
      <w:r>
        <w:rPr>
          <w:rFonts w:hint="eastAsia" w:ascii="宋体" w:hAnsi="宋体"/>
          <w:bCs/>
          <w:szCs w:val="21"/>
        </w:rPr>
        <w:t>规定，</w:t>
      </w:r>
      <w:r>
        <w:rPr>
          <w:rFonts w:ascii="宋体" w:hAnsi="宋体"/>
          <w:bCs/>
          <w:szCs w:val="21"/>
        </w:rPr>
        <w:t>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pPr>
        <w:spacing w:line="360" w:lineRule="auto"/>
        <w:ind w:firstLine="482" w:firstLineChars="200"/>
        <w:rPr>
          <w:rFonts w:ascii="宋体" w:hAnsi="宋体" w:cs="宋体"/>
          <w:b/>
          <w:bCs/>
          <w:sz w:val="24"/>
        </w:rPr>
      </w:pPr>
      <w:bookmarkStart w:id="37" w:name="_Toc254970673"/>
      <w:bookmarkStart w:id="38" w:name="_Toc254970532"/>
      <w:r>
        <w:rPr>
          <w:rFonts w:hint="eastAsia" w:ascii="宋体" w:hAnsi="宋体" w:cs="宋体"/>
          <w:b/>
          <w:bCs/>
          <w:sz w:val="24"/>
        </w:rPr>
        <w:t>7.特别说明</w:t>
      </w:r>
      <w:bookmarkEnd w:id="37"/>
      <w:bookmarkEnd w:id="38"/>
    </w:p>
    <w:p>
      <w:pPr>
        <w:spacing w:line="360" w:lineRule="auto"/>
        <w:ind w:firstLine="420" w:firstLineChars="200"/>
        <w:rPr>
          <w:rFonts w:ascii="宋体" w:hAnsi="宋体" w:cs="宋体"/>
          <w:szCs w:val="21"/>
        </w:rPr>
      </w:pPr>
      <w:bookmarkStart w:id="39" w:name="_8.1提供相同品牌产品且通过资格审查、符合性审查的不同投标人参加同一合"/>
      <w:bookmarkEnd w:id="39"/>
      <w:r>
        <w:rPr>
          <w:rFonts w:hint="eastAsia" w:ascii="宋体" w:hAnsi="宋体" w:cs="宋体"/>
          <w:szCs w:val="21"/>
        </w:rPr>
        <w:t>7.</w:t>
      </w:r>
      <w:r>
        <w:rPr>
          <w:rFonts w:ascii="宋体" w:hAnsi="宋体" w:cs="宋体"/>
          <w:szCs w:val="21"/>
        </w:rPr>
        <w:t>1</w:t>
      </w:r>
      <w:bookmarkStart w:id="40"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40"/>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2</w:t>
      </w:r>
      <w:r>
        <w:rPr>
          <w:rFonts w:hint="eastAsia" w:ascii="宋体" w:hAnsi="宋体" w:cs="宋体"/>
          <w:szCs w:val="21"/>
        </w:rPr>
        <w:t>供应商应仔细阅读磋商文件的所有内容，按照磋商文件的要求提交响应文件，并对所提供的全部资料的真实性承担法律责任。</w:t>
      </w:r>
    </w:p>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3</w:t>
      </w:r>
      <w:r>
        <w:rPr>
          <w:rFonts w:hint="eastAsia" w:ascii="宋体" w:hAnsi="宋体" w:cs="宋体"/>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pPr>
        <w:spacing w:line="360" w:lineRule="auto"/>
        <w:ind w:firstLine="420" w:firstLineChars="200"/>
        <w:rPr>
          <w:rFonts w:ascii="宋体" w:hAnsi="宋体" w:cs="宋体"/>
          <w:szCs w:val="21"/>
        </w:rPr>
      </w:pPr>
      <w:r>
        <w:rPr>
          <w:rFonts w:hint="eastAsia" w:ascii="宋体" w:hAnsi="宋体" w:cs="宋体"/>
          <w:szCs w:val="21"/>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pPr>
        <w:tabs>
          <w:tab w:val="left" w:pos="6931"/>
        </w:tabs>
        <w:spacing w:line="360" w:lineRule="auto"/>
        <w:ind w:firstLine="420" w:firstLineChars="200"/>
        <w:rPr>
          <w:rFonts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供应商有下列情形之一的，属于恶意串通行为，将报同级监督管理部门：</w:t>
      </w:r>
    </w:p>
    <w:p>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pPr>
        <w:keepNext/>
        <w:keepLines/>
        <w:spacing w:line="360" w:lineRule="auto"/>
        <w:ind w:firstLine="640" w:firstLineChars="200"/>
        <w:outlineLvl w:val="2"/>
        <w:rPr>
          <w:rFonts w:ascii="宋体" w:hAnsi="宋体"/>
          <w:sz w:val="32"/>
          <w:szCs w:val="32"/>
        </w:rPr>
      </w:pPr>
      <w:bookmarkStart w:id="41" w:name="_Toc254970534"/>
      <w:bookmarkStart w:id="42" w:name="_Toc106794709"/>
      <w:bookmarkStart w:id="43" w:name="_Toc254970675"/>
      <w:r>
        <w:rPr>
          <w:rFonts w:hint="eastAsia" w:ascii="宋体" w:hAnsi="宋体"/>
          <w:sz w:val="32"/>
          <w:szCs w:val="32"/>
        </w:rPr>
        <w:t>二、磋商文件</w:t>
      </w:r>
      <w:bookmarkEnd w:id="41"/>
      <w:bookmarkEnd w:id="42"/>
      <w:bookmarkEnd w:id="43"/>
    </w:p>
    <w:p>
      <w:pPr>
        <w:spacing w:line="360" w:lineRule="auto"/>
        <w:ind w:firstLine="482" w:firstLineChars="200"/>
        <w:rPr>
          <w:rFonts w:ascii="宋体" w:hAnsi="宋体" w:cs="宋体"/>
          <w:b/>
          <w:bCs/>
          <w:sz w:val="24"/>
        </w:rPr>
      </w:pPr>
      <w:r>
        <w:rPr>
          <w:rFonts w:hint="eastAsia" w:ascii="宋体" w:hAnsi="宋体" w:cs="宋体"/>
          <w:b/>
          <w:bCs/>
          <w:sz w:val="24"/>
        </w:rPr>
        <w:t>8.磋商文件的构成</w:t>
      </w:r>
    </w:p>
    <w:p>
      <w:pPr>
        <w:spacing w:line="360" w:lineRule="auto"/>
        <w:ind w:firstLine="420" w:firstLineChars="200"/>
        <w:jc w:val="left"/>
        <w:rPr>
          <w:rFonts w:ascii="宋体" w:hAnsi="宋体"/>
          <w:szCs w:val="21"/>
        </w:rPr>
      </w:pPr>
      <w:r>
        <w:rPr>
          <w:rFonts w:hint="eastAsia" w:ascii="宋体" w:hAnsi="宋体"/>
          <w:szCs w:val="21"/>
        </w:rPr>
        <w:t>第一章 竞争性磋商公告；</w:t>
      </w:r>
    </w:p>
    <w:p>
      <w:pPr>
        <w:spacing w:line="360" w:lineRule="auto"/>
        <w:ind w:firstLine="420" w:firstLineChars="200"/>
        <w:jc w:val="left"/>
        <w:rPr>
          <w:rFonts w:ascii="宋体" w:hAnsi="宋体"/>
          <w:szCs w:val="21"/>
        </w:rPr>
      </w:pPr>
      <w:r>
        <w:rPr>
          <w:rFonts w:hint="eastAsia" w:ascii="宋体" w:hAnsi="宋体"/>
          <w:szCs w:val="21"/>
        </w:rPr>
        <w:t>第二章 采购需求；</w:t>
      </w:r>
    </w:p>
    <w:p>
      <w:pPr>
        <w:spacing w:line="360" w:lineRule="auto"/>
        <w:ind w:firstLine="420" w:firstLineChars="200"/>
        <w:jc w:val="left"/>
        <w:rPr>
          <w:rFonts w:ascii="宋体" w:hAnsi="宋体"/>
          <w:szCs w:val="21"/>
        </w:rPr>
      </w:pPr>
      <w:r>
        <w:rPr>
          <w:rFonts w:hint="eastAsia" w:ascii="宋体" w:hAnsi="宋体"/>
          <w:szCs w:val="21"/>
        </w:rPr>
        <w:t xml:space="preserve">第三章 供应商须知； </w:t>
      </w:r>
    </w:p>
    <w:p>
      <w:pPr>
        <w:spacing w:line="360" w:lineRule="auto"/>
        <w:ind w:firstLine="420" w:firstLineChars="200"/>
        <w:jc w:val="left"/>
        <w:rPr>
          <w:rFonts w:ascii="宋体" w:hAnsi="宋体"/>
          <w:szCs w:val="21"/>
        </w:rPr>
      </w:pPr>
      <w:r>
        <w:rPr>
          <w:rFonts w:hint="eastAsia" w:ascii="宋体" w:hAnsi="宋体"/>
          <w:szCs w:val="21"/>
        </w:rPr>
        <w:t>第四章 评审程序、评审方法和评审标准；</w:t>
      </w:r>
    </w:p>
    <w:p>
      <w:pPr>
        <w:spacing w:line="360" w:lineRule="auto"/>
        <w:ind w:firstLine="420" w:firstLineChars="200"/>
        <w:jc w:val="left"/>
        <w:rPr>
          <w:rFonts w:ascii="宋体" w:hAnsi="宋体"/>
          <w:szCs w:val="21"/>
        </w:rPr>
      </w:pPr>
      <w:r>
        <w:rPr>
          <w:rFonts w:hint="eastAsia" w:ascii="宋体" w:hAnsi="宋体"/>
          <w:szCs w:val="21"/>
        </w:rPr>
        <w:t>第五章 响应文件格式；</w:t>
      </w:r>
    </w:p>
    <w:p>
      <w:pPr>
        <w:spacing w:line="360" w:lineRule="auto"/>
        <w:ind w:firstLine="420" w:firstLineChars="200"/>
        <w:jc w:val="left"/>
        <w:rPr>
          <w:rFonts w:ascii="宋体" w:hAnsi="宋体"/>
          <w:szCs w:val="21"/>
        </w:rPr>
      </w:pPr>
      <w:r>
        <w:rPr>
          <w:rFonts w:hint="eastAsia" w:ascii="宋体" w:hAnsi="宋体"/>
          <w:szCs w:val="21"/>
        </w:rPr>
        <w:t>第六章 合同文本；</w:t>
      </w:r>
    </w:p>
    <w:p>
      <w:pPr>
        <w:spacing w:line="360" w:lineRule="auto"/>
        <w:ind w:firstLine="420" w:firstLineChars="200"/>
        <w:jc w:val="left"/>
        <w:rPr>
          <w:rFonts w:ascii="宋体" w:hAnsi="宋体"/>
          <w:szCs w:val="21"/>
        </w:rPr>
      </w:pPr>
      <w:r>
        <w:rPr>
          <w:rFonts w:hint="eastAsia" w:ascii="宋体" w:hAnsi="宋体"/>
          <w:szCs w:val="21"/>
        </w:rPr>
        <w:t>第七章 质疑、投诉材料格式。</w:t>
      </w:r>
    </w:p>
    <w:p>
      <w:pPr>
        <w:spacing w:line="360" w:lineRule="auto"/>
        <w:ind w:firstLine="482" w:firstLineChars="200"/>
        <w:rPr>
          <w:rFonts w:ascii="宋体" w:hAnsi="宋体" w:cs="宋体"/>
          <w:b/>
          <w:bCs/>
          <w:sz w:val="24"/>
        </w:rPr>
      </w:pPr>
      <w:r>
        <w:rPr>
          <w:rFonts w:hint="eastAsia" w:ascii="宋体" w:hAnsi="宋体" w:cs="宋体"/>
          <w:b/>
          <w:bCs/>
          <w:sz w:val="24"/>
        </w:rPr>
        <w:t>9.供应商的询问</w:t>
      </w:r>
    </w:p>
    <w:p>
      <w:pPr>
        <w:spacing w:line="360" w:lineRule="auto"/>
        <w:ind w:firstLine="420" w:firstLineChars="200"/>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供应商应认真阅读磋商文件的采购需求，如供应商对磋商文件有疑问的，如要求采购人作出澄清或者修改的，供应商尽应在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pPr>
        <w:spacing w:line="360" w:lineRule="auto"/>
        <w:ind w:firstLine="482" w:firstLineChars="200"/>
        <w:rPr>
          <w:rFonts w:ascii="宋体" w:hAnsi="宋体" w:cs="宋体"/>
          <w:b/>
          <w:bCs/>
          <w:sz w:val="24"/>
        </w:rPr>
      </w:pPr>
      <w:r>
        <w:rPr>
          <w:rFonts w:hint="eastAsia" w:ascii="宋体" w:hAnsi="宋体" w:cs="宋体"/>
          <w:b/>
          <w:bCs/>
          <w:sz w:val="24"/>
        </w:rPr>
        <w:t>10.磋商文件的澄清和修改</w:t>
      </w:r>
    </w:p>
    <w:p>
      <w:pPr>
        <w:spacing w:line="360" w:lineRule="auto"/>
        <w:ind w:firstLine="420" w:firstLineChars="200"/>
        <w:rPr>
          <w:rFonts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3</w:t>
      </w:r>
      <w:r>
        <w:rPr>
          <w:rFonts w:ascii="宋体" w:hAnsi="宋体"/>
          <w:szCs w:val="21"/>
        </w:rPr>
        <w:t>提交首次响应文件截止之日前，采购人、采购代理机构或者</w:t>
      </w:r>
      <w:r>
        <w:rPr>
          <w:rFonts w:hint="eastAsia" w:ascii="宋体" w:hAnsi="宋体"/>
          <w:szCs w:val="21"/>
        </w:rPr>
        <w:t>磋商</w:t>
      </w:r>
      <w:r>
        <w:rPr>
          <w:rFonts w:ascii="宋体" w:hAnsi="宋体"/>
          <w:szCs w:val="21"/>
        </w:rPr>
        <w:t>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hint="eastAsia" w:ascii="宋体" w:hAnsi="宋体"/>
          <w:szCs w:val="21"/>
        </w:rPr>
        <w:t>3</w:t>
      </w:r>
      <w:r>
        <w:rPr>
          <w:rFonts w:ascii="宋体" w:hAnsi="宋体"/>
          <w:szCs w:val="21"/>
        </w:rPr>
        <w:t>个工作日前，以</w:t>
      </w:r>
      <w:r>
        <w:rPr>
          <w:rFonts w:hint="eastAsia" w:ascii="宋体" w:hAnsi="宋体"/>
          <w:szCs w:val="21"/>
        </w:rPr>
        <w:t>书面</w:t>
      </w:r>
      <w:r>
        <w:rPr>
          <w:rFonts w:ascii="宋体" w:hAnsi="宋体"/>
          <w:szCs w:val="21"/>
        </w:rPr>
        <w:t>形式</w:t>
      </w:r>
      <w:r>
        <w:rPr>
          <w:rFonts w:hint="eastAsia" w:ascii="宋体" w:hAnsi="宋体"/>
          <w:szCs w:val="21"/>
        </w:rPr>
        <w:t>（目前为网上公告和系统短信等形式）</w:t>
      </w:r>
      <w:r>
        <w:rPr>
          <w:rFonts w:ascii="宋体" w:hAnsi="宋体"/>
          <w:szCs w:val="21"/>
        </w:rPr>
        <w:t>通知所有</w:t>
      </w:r>
      <w:r>
        <w:rPr>
          <w:rFonts w:hint="eastAsia" w:ascii="宋体" w:hAnsi="宋体"/>
          <w:szCs w:val="21"/>
        </w:rPr>
        <w:t>获取</w:t>
      </w:r>
      <w:r>
        <w:rPr>
          <w:rFonts w:ascii="宋体" w:hAnsi="宋体"/>
          <w:szCs w:val="21"/>
        </w:rPr>
        <w:t>磋商文件的供应商，不足</w:t>
      </w:r>
      <w:r>
        <w:rPr>
          <w:rFonts w:hint="eastAsia" w:ascii="宋体" w:hAnsi="宋体"/>
          <w:szCs w:val="21"/>
        </w:rPr>
        <w:t>3</w:t>
      </w:r>
      <w:r>
        <w:rPr>
          <w:rFonts w:ascii="宋体" w:hAnsi="宋体"/>
          <w:szCs w:val="21"/>
        </w:rPr>
        <w:t>个工作日的，应当顺延提交首次响应文件截止之日。</w:t>
      </w:r>
    </w:p>
    <w:p>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4</w:t>
      </w:r>
      <w:r>
        <w:rPr>
          <w:rFonts w:ascii="宋体" w:hAnsi="宋体" w:cs="Arial"/>
          <w:shd w:val="clear" w:color="auto" w:fill="FFFFFF"/>
        </w:rPr>
        <w:t>采购信息更正公告的内容应当包括采购人和采购代理机构名称、地址、联系方式，原</w:t>
      </w:r>
      <w:r>
        <w:rPr>
          <w:rFonts w:ascii="宋体" w:hAnsi="宋体"/>
          <w:szCs w:val="21"/>
        </w:rPr>
        <w:t>公告的采购项目名称及首次公告日期，更正事项、内容及日期，采购项目联系人和电话。</w:t>
      </w:r>
    </w:p>
    <w:p>
      <w:pPr>
        <w:spacing w:line="360" w:lineRule="auto"/>
        <w:ind w:firstLine="420" w:firstLineChars="200"/>
        <w:rPr>
          <w:rFonts w:ascii="宋体" w:hAnsi="宋体"/>
          <w:szCs w:val="21"/>
        </w:rPr>
      </w:pPr>
      <w:r>
        <w:rPr>
          <w:rFonts w:hint="eastAsia" w:ascii="宋体" w:hAnsi="宋体"/>
          <w:szCs w:val="21"/>
        </w:rPr>
        <w:t>10.5 采购人和采购代理机构可以视采购具体情况，变更</w:t>
      </w:r>
      <w:r>
        <w:rPr>
          <w:rFonts w:ascii="宋体" w:hAnsi="宋体"/>
          <w:szCs w:val="21"/>
        </w:rPr>
        <w:t>提交首次响应文件</w:t>
      </w:r>
      <w:r>
        <w:rPr>
          <w:rFonts w:hint="eastAsia" w:ascii="宋体" w:hAnsi="宋体"/>
          <w:szCs w:val="21"/>
        </w:rPr>
        <w:t>截止时间和竞谈时间，将变更时间将在“采购文件公告</w:t>
      </w:r>
      <w:r>
        <w:rPr>
          <w:rFonts w:ascii="宋体" w:hAnsi="宋体"/>
          <w:szCs w:val="21"/>
        </w:rPr>
        <w:t>”</w:t>
      </w:r>
      <w:r>
        <w:rPr>
          <w:rFonts w:hint="eastAsia" w:ascii="宋体" w:hAnsi="宋体"/>
          <w:szCs w:val="21"/>
        </w:rPr>
        <w:t>中“七、其他补充事宜3.网上查询地址”规定的政府采购信息发布媒体上发布更正公告。</w:t>
      </w:r>
    </w:p>
    <w:p>
      <w:pPr>
        <w:spacing w:line="360" w:lineRule="auto"/>
        <w:ind w:firstLine="420" w:firstLineChars="200"/>
        <w:rPr>
          <w:rFonts w:ascii="宋体" w:hAnsi="宋体"/>
          <w:kern w:val="0"/>
          <w:szCs w:val="21"/>
        </w:rPr>
      </w:pPr>
      <w:r>
        <w:rPr>
          <w:rFonts w:hint="eastAsia" w:ascii="宋体" w:hAnsi="宋体"/>
          <w:kern w:val="0"/>
          <w:szCs w:val="21"/>
        </w:rPr>
        <w:t>▲</w:t>
      </w:r>
      <w:r>
        <w:rPr>
          <w:rFonts w:hint="eastAsia" w:ascii="宋体" w:hAnsi="宋体"/>
          <w:b/>
          <w:kern w:val="0"/>
          <w:szCs w:val="21"/>
        </w:rPr>
        <w:t>响应文件未按磋商文件的澄清、修改的内容编制，又不符合实质性要求的，其响应文件作无效处理。</w:t>
      </w:r>
    </w:p>
    <w:p>
      <w:pPr>
        <w:keepNext/>
        <w:keepLines/>
        <w:spacing w:line="360" w:lineRule="auto"/>
        <w:ind w:firstLine="640" w:firstLineChars="200"/>
        <w:outlineLvl w:val="2"/>
        <w:rPr>
          <w:rFonts w:ascii="宋体" w:hAnsi="宋体"/>
          <w:sz w:val="32"/>
          <w:szCs w:val="32"/>
        </w:rPr>
      </w:pPr>
      <w:bookmarkStart w:id="44" w:name="_Toc106794710"/>
      <w:r>
        <w:rPr>
          <w:rFonts w:hint="eastAsia" w:ascii="宋体" w:hAnsi="宋体"/>
          <w:sz w:val="32"/>
          <w:szCs w:val="32"/>
        </w:rPr>
        <w:t>三、响应文件的编制</w:t>
      </w:r>
      <w:bookmarkEnd w:id="44"/>
    </w:p>
    <w:p>
      <w:pPr>
        <w:spacing w:line="360" w:lineRule="auto"/>
        <w:ind w:firstLine="482" w:firstLineChars="200"/>
        <w:rPr>
          <w:rFonts w:ascii="宋体" w:hAnsi="宋体" w:cs="宋体"/>
          <w:b/>
          <w:bCs/>
          <w:sz w:val="24"/>
        </w:rPr>
      </w:pPr>
      <w:r>
        <w:rPr>
          <w:rFonts w:hint="eastAsia" w:ascii="宋体" w:hAnsi="宋体" w:cs="宋体"/>
          <w:b/>
          <w:bCs/>
          <w:sz w:val="24"/>
        </w:rPr>
        <w:t>11.响应文件的编制原则</w:t>
      </w:r>
    </w:p>
    <w:p>
      <w:pPr>
        <w:spacing w:line="360" w:lineRule="auto"/>
        <w:ind w:firstLine="420" w:firstLineChars="200"/>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宋体" w:hAnsi="宋体" w:cs="宋体"/>
          <w:b/>
          <w:bCs/>
          <w:sz w:val="24"/>
        </w:rPr>
      </w:pPr>
      <w:r>
        <w:rPr>
          <w:rFonts w:hint="eastAsia" w:ascii="宋体" w:hAnsi="宋体" w:cs="宋体"/>
          <w:b/>
          <w:bCs/>
          <w:sz w:val="24"/>
        </w:rPr>
        <w:t>12.响应文件的组成</w:t>
      </w:r>
    </w:p>
    <w:p>
      <w:pPr>
        <w:spacing w:line="360" w:lineRule="auto"/>
        <w:ind w:firstLine="420" w:firstLineChars="200"/>
        <w:rPr>
          <w:rFonts w:ascii="宋体" w:hAnsi="宋体" w:cs="宋体"/>
          <w:szCs w:val="21"/>
        </w:rPr>
      </w:pPr>
      <w:r>
        <w:rPr>
          <w:rFonts w:hint="eastAsia" w:ascii="宋体" w:hAnsi="宋体" w:cs="宋体"/>
          <w:szCs w:val="21"/>
        </w:rPr>
        <w:t>12.1响应文件由资格证明文件、报价文件、商务和技术文件三部分组成。</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ascii="宋体" w:hAnsi="宋体" w:cs="宋体"/>
          <w:szCs w:val="21"/>
        </w:rPr>
        <w:t>2.1.1</w:t>
      </w:r>
      <w:r>
        <w:rPr>
          <w:rFonts w:hint="eastAsia" w:ascii="宋体" w:hAnsi="宋体" w:cs="宋体"/>
          <w:szCs w:val="21"/>
        </w:rPr>
        <w:t>资格证明文件：详见须知前附表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12.1.2商务技术文件：详见须知前附表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ascii="宋体" w:hAnsi="宋体" w:cs="宋体"/>
          <w:szCs w:val="21"/>
        </w:rPr>
        <w:t>2.1.</w:t>
      </w:r>
      <w:r>
        <w:rPr>
          <w:rFonts w:hint="eastAsia" w:ascii="宋体" w:hAnsi="宋体" w:cs="宋体"/>
          <w:szCs w:val="21"/>
        </w:rPr>
        <w:t>3报价文件：详见须知前附表</w:t>
      </w:r>
    </w:p>
    <w:p>
      <w:pPr>
        <w:spacing w:line="360" w:lineRule="auto"/>
        <w:ind w:firstLine="420" w:firstLineChars="200"/>
        <w:rPr>
          <w:rFonts w:ascii="宋体" w:hAnsi="宋体" w:cs="宋体"/>
          <w:szCs w:val="21"/>
        </w:rPr>
      </w:pPr>
      <w:r>
        <w:rPr>
          <w:rFonts w:hint="eastAsia" w:ascii="宋体" w:hAnsi="宋体" w:cs="宋体"/>
          <w:szCs w:val="21"/>
        </w:rPr>
        <w:t>12.</w:t>
      </w:r>
      <w:r>
        <w:rPr>
          <w:rFonts w:ascii="宋体" w:hAnsi="宋体" w:cs="宋体"/>
          <w:szCs w:val="21"/>
        </w:rPr>
        <w:t>2</w:t>
      </w:r>
      <w:r>
        <w:rPr>
          <w:rFonts w:hint="eastAsia" w:ascii="宋体" w:hAnsi="宋体" w:cs="宋体"/>
          <w:szCs w:val="21"/>
        </w:rPr>
        <w:t>响应文件电子版：详见须知前附表</w:t>
      </w:r>
    </w:p>
    <w:p>
      <w:pPr>
        <w:spacing w:line="360" w:lineRule="auto"/>
        <w:ind w:firstLine="482" w:firstLineChars="200"/>
        <w:rPr>
          <w:rFonts w:ascii="宋体" w:hAnsi="宋体" w:cs="宋体"/>
          <w:b/>
          <w:bCs/>
          <w:sz w:val="24"/>
        </w:rPr>
      </w:pPr>
      <w:r>
        <w:rPr>
          <w:rFonts w:hint="eastAsia" w:ascii="宋体" w:hAnsi="宋体" w:cs="宋体"/>
          <w:b/>
          <w:bCs/>
          <w:sz w:val="24"/>
        </w:rPr>
        <w:t>13.计量单位</w:t>
      </w:r>
    </w:p>
    <w:p>
      <w:pPr>
        <w:spacing w:line="360" w:lineRule="auto"/>
        <w:ind w:firstLine="420" w:firstLineChars="200"/>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宋体" w:hAnsi="宋体" w:cs="宋体"/>
          <w:b/>
          <w:bCs/>
          <w:sz w:val="24"/>
        </w:rPr>
      </w:pPr>
      <w:r>
        <w:rPr>
          <w:rFonts w:hint="eastAsia" w:ascii="宋体" w:hAnsi="宋体" w:cs="宋体"/>
          <w:b/>
          <w:bCs/>
          <w:sz w:val="24"/>
        </w:rPr>
        <w:t>14.竞标的风险</w:t>
      </w:r>
    </w:p>
    <w:p>
      <w:pPr>
        <w:spacing w:line="360" w:lineRule="auto"/>
        <w:ind w:firstLine="420" w:firstLineChars="200"/>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宋体" w:hAnsi="宋体" w:cs="宋体"/>
          <w:b/>
          <w:bCs/>
          <w:sz w:val="24"/>
        </w:rPr>
      </w:pPr>
      <w:r>
        <w:rPr>
          <w:rFonts w:hint="eastAsia" w:ascii="宋体" w:hAnsi="宋体" w:cs="宋体"/>
          <w:b/>
          <w:bCs/>
          <w:sz w:val="24"/>
        </w:rPr>
        <w:t>15.响应报价要求和构成</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15.1响应报价应按“第五章 响应文件格式”中“响应报价表”格式填写。</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15.2响应报价的价格构成见“供应商须知前附表”。</w:t>
      </w:r>
    </w:p>
    <w:p>
      <w:pPr>
        <w:spacing w:line="360" w:lineRule="auto"/>
        <w:ind w:firstLine="420" w:firstLineChars="200"/>
        <w:rPr>
          <w:rFonts w:ascii="宋体" w:hAnsi="宋体" w:cs="宋体"/>
          <w:szCs w:val="21"/>
        </w:rPr>
      </w:pPr>
      <w:r>
        <w:rPr>
          <w:rFonts w:hint="eastAsia" w:ascii="宋体" w:hAnsi="宋体" w:cs="宋体"/>
          <w:szCs w:val="21"/>
        </w:rPr>
        <w:t>15.3响应报价要求</w:t>
      </w:r>
    </w:p>
    <w:p>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供应商的响应报价应符合以下要求，否则响应文件按无效响应处理：</w:t>
      </w:r>
    </w:p>
    <w:p>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pPr>
        <w:spacing w:line="360" w:lineRule="auto"/>
        <w:ind w:firstLine="420" w:firstLineChars="200"/>
        <w:rPr>
          <w:rFonts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响应报价（包含首次报价、最后报价）超过所竞标分标规定的采购预算金额或者最高限价的，其响应文件将作无效处理。</w:t>
      </w:r>
    </w:p>
    <w:p>
      <w:pPr>
        <w:spacing w:line="360" w:lineRule="auto"/>
        <w:ind w:firstLine="420" w:firstLineChars="200"/>
        <w:rPr>
          <w:rFonts w:ascii="宋体" w:hAnsi="宋体" w:cs="宋体"/>
          <w:szCs w:val="21"/>
        </w:rPr>
      </w:pPr>
      <w:r>
        <w:rPr>
          <w:rFonts w:hint="eastAsia" w:ascii="宋体" w:hAnsi="宋体" w:cs="宋体"/>
          <w:szCs w:val="21"/>
        </w:rPr>
        <w:t>15.3.</w:t>
      </w:r>
      <w:r>
        <w:rPr>
          <w:rFonts w:ascii="宋体" w:hAnsi="宋体" w:cs="宋体"/>
          <w:szCs w:val="21"/>
        </w:rPr>
        <w:t>3</w:t>
      </w:r>
      <w:bookmarkStart w:id="45" w:name="_Hlk42592874"/>
      <w:r>
        <w:rPr>
          <w:rFonts w:hint="eastAsia" w:ascii="宋体" w:hAnsi="宋体" w:cs="宋体"/>
          <w:szCs w:val="21"/>
        </w:rPr>
        <w:t>响应报价（包含首次报价、最后报价）超过分项采购预算金额或者最高限价的，其响应文件将作无效处理。</w:t>
      </w:r>
    </w:p>
    <w:bookmarkEnd w:id="45"/>
    <w:p>
      <w:pPr>
        <w:spacing w:line="360" w:lineRule="auto"/>
        <w:ind w:firstLine="482" w:firstLineChars="200"/>
        <w:rPr>
          <w:rFonts w:ascii="宋体" w:hAnsi="宋体" w:cs="宋体"/>
          <w:b/>
          <w:bCs/>
          <w:sz w:val="24"/>
        </w:rPr>
      </w:pPr>
      <w:r>
        <w:rPr>
          <w:rFonts w:hint="eastAsia" w:ascii="宋体" w:hAnsi="宋体" w:cs="宋体"/>
          <w:b/>
          <w:bCs/>
          <w:sz w:val="24"/>
        </w:rPr>
        <w:t>16.竞标有效期</w:t>
      </w:r>
    </w:p>
    <w:p>
      <w:pPr>
        <w:spacing w:line="360" w:lineRule="auto"/>
        <w:ind w:firstLine="420" w:firstLineChars="20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cs="宋体"/>
          <w:szCs w:val="21"/>
        </w:rPr>
      </w:pPr>
      <w:r>
        <w:rPr>
          <w:rFonts w:hint="eastAsia" w:ascii="宋体" w:hAnsi="宋体" w:cs="宋体"/>
          <w:szCs w:val="21"/>
        </w:rPr>
        <w:t>16.2 竞标有效期应由供应商按“供应商须知前附表”规定的期限作出响应。</w:t>
      </w:r>
    </w:p>
    <w:p>
      <w:pPr>
        <w:spacing w:line="360" w:lineRule="auto"/>
        <w:ind w:firstLine="420" w:firstLineChars="200"/>
        <w:rPr>
          <w:rFonts w:ascii="宋体" w:hAnsi="宋体" w:cs="宋体"/>
          <w:szCs w:val="21"/>
        </w:rPr>
      </w:pPr>
      <w:r>
        <w:rPr>
          <w:rFonts w:hint="eastAsia" w:ascii="宋体" w:hAnsi="宋体" w:cs="宋体"/>
          <w:szCs w:val="21"/>
        </w:rPr>
        <w:t>16.3供应商的响应文件在竞标有效期内均保持有效。</w:t>
      </w:r>
    </w:p>
    <w:p>
      <w:pPr>
        <w:spacing w:line="360" w:lineRule="auto"/>
        <w:ind w:firstLine="482" w:firstLineChars="200"/>
        <w:rPr>
          <w:rFonts w:ascii="宋体" w:hAnsi="宋体" w:cs="宋体"/>
          <w:b/>
          <w:bCs/>
          <w:sz w:val="24"/>
        </w:rPr>
      </w:pPr>
      <w:r>
        <w:rPr>
          <w:rFonts w:hint="eastAsia" w:ascii="宋体" w:hAnsi="宋体" w:cs="宋体"/>
          <w:b/>
          <w:bCs/>
          <w:sz w:val="24"/>
        </w:rPr>
        <w:t>17.磋商保证金</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宋体" w:hAnsi="宋体" w:cs="宋体"/>
          <w:b/>
          <w:bCs/>
          <w:sz w:val="24"/>
        </w:rPr>
      </w:pPr>
      <w:r>
        <w:rPr>
          <w:rFonts w:hint="eastAsia" w:ascii="宋体" w:hAnsi="宋体" w:cs="宋体"/>
          <w:b/>
          <w:bCs/>
          <w:sz w:val="24"/>
        </w:rPr>
        <w:t>18.响应文件编制的要求</w:t>
      </w:r>
    </w:p>
    <w:p>
      <w:pPr>
        <w:spacing w:line="360" w:lineRule="auto"/>
        <w:ind w:firstLine="420" w:firstLineChars="200"/>
        <w:rPr>
          <w:rFonts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pPr>
        <w:spacing w:line="360" w:lineRule="auto"/>
        <w:ind w:firstLine="420" w:firstLineChars="200"/>
        <w:rPr>
          <w:rFonts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pPr>
        <w:spacing w:line="360" w:lineRule="auto"/>
        <w:ind w:firstLine="420" w:firstLineChars="200"/>
        <w:rPr>
          <w:rFonts w:ascii="宋体" w:hAnsi="宋体" w:cs="宋体"/>
          <w:szCs w:val="21"/>
        </w:rPr>
      </w:pPr>
      <w:r>
        <w:rPr>
          <w:rFonts w:hint="eastAsia" w:ascii="宋体" w:hAnsi="宋体" w:cs="宋体"/>
          <w:szCs w:val="21"/>
        </w:rPr>
        <w:t>18.</w:t>
      </w:r>
      <w:bookmarkStart w:id="46"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6"/>
      <w:r>
        <w:rPr>
          <w:rFonts w:hint="eastAsia" w:ascii="宋体" w:hAnsi="宋体" w:cs="宋体"/>
          <w:szCs w:val="21"/>
        </w:rPr>
        <w:t>，否则其响应文件按无效响应处理。骑缝盖公章不视为在规定位置盖章。</w:t>
      </w:r>
    </w:p>
    <w:p>
      <w:pPr>
        <w:spacing w:line="360" w:lineRule="auto"/>
        <w:ind w:firstLine="420" w:firstLineChars="200"/>
        <w:rPr>
          <w:rFonts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18.5响应文件应避免涂改、行间插字或者删除，否则其响应文件按无效响应处理。</w:t>
      </w:r>
    </w:p>
    <w:p>
      <w:pPr>
        <w:spacing w:line="360" w:lineRule="auto"/>
        <w:ind w:firstLine="482" w:firstLineChars="200"/>
        <w:rPr>
          <w:rFonts w:ascii="宋体" w:hAnsi="宋体" w:cs="宋体"/>
          <w:b/>
          <w:bCs/>
          <w:sz w:val="24"/>
        </w:rPr>
      </w:pPr>
      <w:r>
        <w:rPr>
          <w:rFonts w:hint="eastAsia" w:ascii="宋体" w:hAnsi="宋体" w:cs="宋体"/>
          <w:b/>
          <w:bCs/>
          <w:sz w:val="24"/>
        </w:rPr>
        <w:t>19.响应文件的密封和标记</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19.2使用“政采云电子交易客户端”需要提前申领CA数字证书，申领流程见该项目采购公告附件。</w:t>
      </w:r>
    </w:p>
    <w:p>
      <w:pPr>
        <w:spacing w:line="360" w:lineRule="auto"/>
        <w:ind w:firstLine="420" w:firstLineChars="200"/>
        <w:rPr>
          <w:rFonts w:ascii="宋体" w:hAnsi="宋体" w:cs="仿宋_GB2312"/>
          <w:kern w:val="0"/>
          <w:szCs w:val="21"/>
        </w:rPr>
      </w:pPr>
      <w:r>
        <w:rPr>
          <w:rFonts w:hint="eastAsia" w:ascii="宋体" w:hAnsi="宋体" w:cs="仿宋_GB2312"/>
          <w:kern w:val="0"/>
          <w:szCs w:val="21"/>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ascii="宋体" w:hAnsi="宋体" w:cs="宋体"/>
          <w:b/>
          <w:bCs/>
          <w:sz w:val="24"/>
        </w:rPr>
      </w:pPr>
      <w:r>
        <w:rPr>
          <w:rFonts w:hint="eastAsia" w:ascii="宋体" w:hAnsi="宋体" w:cs="宋体"/>
          <w:b/>
          <w:bCs/>
          <w:sz w:val="24"/>
        </w:rPr>
        <w:t>20.响应文件的提交</w:t>
      </w:r>
    </w:p>
    <w:p>
      <w:pPr>
        <w:spacing w:line="360" w:lineRule="auto"/>
        <w:ind w:firstLine="420" w:firstLineChars="200"/>
        <w:rPr>
          <w:rFonts w:ascii="宋体" w:hAnsi="宋体" w:cs="宋体"/>
          <w:szCs w:val="21"/>
        </w:rPr>
      </w:pPr>
      <w:r>
        <w:rPr>
          <w:rFonts w:hint="eastAsia" w:ascii="宋体" w:hAnsi="宋体" w:cs="宋体"/>
          <w:szCs w:val="21"/>
        </w:rPr>
        <w:t>20.1供应商必须在“供应商须知前附表”规定的时间和地点提交响应文件。</w:t>
      </w:r>
    </w:p>
    <w:p>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宋体" w:hAnsi="宋体"/>
          <w:szCs w:val="21"/>
        </w:rPr>
      </w:pPr>
      <w:r>
        <w:rPr>
          <w:rFonts w:hint="eastAsia" w:ascii="宋体" w:hAnsi="宋体"/>
          <w:szCs w:val="21"/>
        </w:rPr>
        <w:t>20.5 采购机构不可视情况延长提交响应文件的截止时间。</w:t>
      </w:r>
    </w:p>
    <w:p>
      <w:pPr>
        <w:spacing w:line="360" w:lineRule="auto"/>
        <w:ind w:firstLine="420" w:firstLineChars="200"/>
        <w:rPr>
          <w:rFonts w:ascii="宋体" w:hAnsi="宋体"/>
          <w:sz w:val="24"/>
        </w:rPr>
      </w:pPr>
      <w:r>
        <w:rPr>
          <w:rFonts w:hint="eastAsia" w:ascii="宋体" w:hAnsi="宋体"/>
          <w:szCs w:val="21"/>
        </w:rPr>
        <w:t>20.6备份响应文件。</w:t>
      </w:r>
      <w:r>
        <w:rPr>
          <w:rFonts w:hint="eastAsia" w:ascii="宋体" w:hAnsi="宋体"/>
          <w:bCs/>
          <w:szCs w:val="21"/>
        </w:rPr>
        <w:t>详见在“供应商须知前附表”。</w:t>
      </w:r>
    </w:p>
    <w:p>
      <w:pPr>
        <w:spacing w:line="360" w:lineRule="auto"/>
        <w:ind w:firstLine="482" w:firstLineChars="200"/>
        <w:rPr>
          <w:rFonts w:ascii="宋体" w:hAnsi="宋体" w:cs="宋体"/>
          <w:b/>
          <w:bCs/>
          <w:sz w:val="24"/>
        </w:rPr>
      </w:pPr>
      <w:r>
        <w:rPr>
          <w:rFonts w:hint="eastAsia" w:ascii="宋体" w:hAnsi="宋体" w:cs="宋体"/>
          <w:b/>
          <w:bCs/>
          <w:sz w:val="24"/>
        </w:rPr>
        <w:t>21.首次响应文件的补充、修改与撤回</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宋体" w:hAnsi="宋体" w:cs="宋体"/>
          <w:b/>
          <w:bCs/>
          <w:sz w:val="24"/>
        </w:rPr>
      </w:pPr>
      <w:bookmarkStart w:id="47" w:name="_Hlk45702405"/>
      <w:r>
        <w:rPr>
          <w:rFonts w:hint="eastAsia" w:ascii="宋体" w:hAnsi="宋体" w:cs="宋体"/>
          <w:b/>
          <w:bCs/>
          <w:sz w:val="24"/>
        </w:rPr>
        <w:t>22. 首次响应文件的退回</w:t>
      </w:r>
    </w:p>
    <w:p>
      <w:pPr>
        <w:spacing w:line="360" w:lineRule="auto"/>
        <w:ind w:firstLine="420" w:firstLineChars="200"/>
        <w:rPr>
          <w:rFonts w:ascii="宋体" w:hAnsi="宋体" w:cs="宋体"/>
          <w:szCs w:val="21"/>
        </w:rPr>
      </w:pPr>
      <w:r>
        <w:rPr>
          <w:rFonts w:hint="eastAsia" w:ascii="宋体" w:hAnsi="宋体" w:cs="宋体"/>
          <w:szCs w:val="21"/>
        </w:rPr>
        <w:t>在首次响应文件提交截止时间止提交响应文件的供应商不足3家时电子响应文件由代理机构在“政采云”平台操作退回，除此之外采购人和采购代理机构对已提交的电子响应文件概不退回。</w:t>
      </w:r>
    </w:p>
    <w:p>
      <w:pPr>
        <w:spacing w:line="360" w:lineRule="auto"/>
        <w:ind w:firstLine="482" w:firstLineChars="200"/>
        <w:rPr>
          <w:rFonts w:ascii="宋体" w:hAnsi="宋体" w:cs="宋体"/>
          <w:b/>
          <w:bCs/>
          <w:sz w:val="24"/>
        </w:rPr>
      </w:pPr>
      <w:r>
        <w:rPr>
          <w:rFonts w:hint="eastAsia" w:ascii="宋体" w:hAnsi="宋体" w:cs="宋体"/>
          <w:b/>
          <w:bCs/>
          <w:sz w:val="24"/>
        </w:rPr>
        <w:t>23. 截止时间后的撤回</w:t>
      </w:r>
    </w:p>
    <w:p>
      <w:pPr>
        <w:spacing w:line="360" w:lineRule="auto"/>
        <w:ind w:firstLine="420" w:firstLineChars="200"/>
        <w:rPr>
          <w:rFonts w:ascii="宋体" w:hAnsi="宋体"/>
          <w:szCs w:val="21"/>
        </w:rPr>
      </w:pPr>
      <w:r>
        <w:rPr>
          <w:rFonts w:hint="eastAsia" w:ascii="宋体" w:hAnsi="宋体" w:cs="宋体"/>
          <w:szCs w:val="21"/>
        </w:rPr>
        <w:t>本项目不收取磋商保证金，供应商在首次响应文件提交截止时间后可向采购人、采购代理机构书面申请撤回电子响应文件。</w:t>
      </w:r>
      <w:bookmarkEnd w:id="47"/>
    </w:p>
    <w:p>
      <w:pPr>
        <w:keepNext/>
        <w:keepLines/>
        <w:spacing w:line="360" w:lineRule="auto"/>
        <w:ind w:firstLine="640" w:firstLineChars="200"/>
        <w:outlineLvl w:val="2"/>
        <w:rPr>
          <w:rFonts w:ascii="宋体" w:hAnsi="宋体"/>
          <w:sz w:val="32"/>
          <w:szCs w:val="32"/>
        </w:rPr>
      </w:pPr>
      <w:bookmarkStart w:id="48" w:name="_Toc106794711"/>
      <w:r>
        <w:rPr>
          <w:rFonts w:hint="eastAsia" w:ascii="宋体" w:hAnsi="宋体"/>
          <w:sz w:val="32"/>
          <w:szCs w:val="32"/>
        </w:rPr>
        <w:t>四、评审及磋商</w:t>
      </w:r>
      <w:bookmarkEnd w:id="48"/>
    </w:p>
    <w:p>
      <w:pPr>
        <w:spacing w:line="360" w:lineRule="auto"/>
        <w:ind w:firstLine="482" w:firstLineChars="200"/>
        <w:rPr>
          <w:rFonts w:ascii="宋体" w:hAnsi="宋体" w:cs="宋体"/>
          <w:b/>
          <w:bCs/>
          <w:sz w:val="24"/>
        </w:rPr>
      </w:pPr>
      <w:r>
        <w:rPr>
          <w:rFonts w:hint="eastAsia" w:ascii="宋体" w:hAnsi="宋体" w:cs="宋体"/>
          <w:b/>
          <w:bCs/>
          <w:sz w:val="24"/>
        </w:rPr>
        <w:t>24.磋商小组成立</w:t>
      </w:r>
    </w:p>
    <w:p>
      <w:pPr>
        <w:spacing w:line="360" w:lineRule="auto"/>
        <w:ind w:firstLine="420" w:firstLineChars="200"/>
        <w:rPr>
          <w:rFonts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宋体" w:hAnsi="宋体" w:cs="宋体"/>
          <w:b/>
          <w:bCs/>
          <w:sz w:val="24"/>
        </w:rPr>
      </w:pPr>
      <w:r>
        <w:rPr>
          <w:rFonts w:ascii="宋体" w:hAnsi="宋体" w:cs="宋体"/>
          <w:b/>
          <w:bCs/>
          <w:sz w:val="24"/>
        </w:rPr>
        <w:t>25.</w:t>
      </w:r>
      <w:r>
        <w:rPr>
          <w:rFonts w:hint="eastAsia" w:ascii="宋体" w:hAnsi="宋体" w:cs="宋体"/>
          <w:b/>
          <w:bCs/>
          <w:sz w:val="24"/>
        </w:rPr>
        <w:t>首次响应文件的开启</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5.1</w:t>
      </w:r>
      <w:r>
        <w:rPr>
          <w:rFonts w:hint="eastAsia" w:ascii="宋体" w:hAnsi="宋体" w:cs="宋体"/>
          <w:szCs w:val="21"/>
        </w:rPr>
        <w:t>首次响应文件由磋商小组或者采购代理机构在“供应商须知前附表”规定的时间开启。</w:t>
      </w:r>
    </w:p>
    <w:p>
      <w:pPr>
        <w:spacing w:line="360" w:lineRule="auto"/>
        <w:ind w:firstLine="420" w:firstLineChars="200"/>
        <w:rPr>
          <w:rFonts w:ascii="宋体" w:hAnsi="宋体"/>
          <w:bCs/>
          <w:kern w:val="0"/>
          <w:szCs w:val="21"/>
        </w:rPr>
      </w:pPr>
      <w:r>
        <w:rPr>
          <w:rFonts w:ascii="宋体" w:hAnsi="宋体" w:cs="宋体"/>
          <w:kern w:val="0"/>
          <w:szCs w:val="21"/>
        </w:rPr>
        <w:t xml:space="preserve">25.2 </w:t>
      </w:r>
      <w:r>
        <w:rPr>
          <w:rFonts w:hint="eastAsia" w:ascii="宋体" w:hAnsi="宋体"/>
          <w:bCs/>
          <w:kern w:val="0"/>
          <w:szCs w:val="21"/>
        </w:rPr>
        <w:t>响应文件解密</w:t>
      </w:r>
    </w:p>
    <w:p>
      <w:pPr>
        <w:snapToGrid w:val="0"/>
        <w:spacing w:line="360" w:lineRule="auto"/>
        <w:ind w:firstLine="420" w:firstLineChars="200"/>
        <w:rPr>
          <w:rFonts w:ascii="宋体" w:hAnsi="宋体"/>
          <w:kern w:val="0"/>
          <w:szCs w:val="21"/>
        </w:rPr>
      </w:pPr>
      <w:r>
        <w:rPr>
          <w:rFonts w:hint="eastAsia" w:ascii="宋体" w:hAnsi="宋体"/>
          <w:bCs/>
          <w:kern w:val="0"/>
          <w:szCs w:val="21"/>
        </w:rPr>
        <w:t>采购代理机构将在“供应商须知前附表”规定的时</w:t>
      </w:r>
      <w:r>
        <w:rPr>
          <w:rFonts w:hint="eastAsia" w:ascii="宋体" w:hAnsi="宋体"/>
          <w:kern w:val="0"/>
          <w:szCs w:val="21"/>
        </w:rPr>
        <w:t>间通过电子交易平台组织响应文件开启，采购机构依托电子交易平台发起开始解密指令，供应商的法定代表人或其委托代理人</w:t>
      </w:r>
      <w:r>
        <w:rPr>
          <w:rFonts w:hint="eastAsia" w:ascii="宋体" w:hAnsi="宋体"/>
          <w:b/>
          <w:kern w:val="0"/>
          <w:szCs w:val="21"/>
        </w:rPr>
        <w:t>须携带加密时所用的CA锁按平台提示和采购文件的规定登录到“政采云”平台电子开标大厅签到并在发起解密指令之时起30分钟内完成对电子响应文件在线解密</w:t>
      </w:r>
      <w:r>
        <w:rPr>
          <w:rFonts w:hint="eastAsia" w:ascii="宋体" w:hAnsi="宋体"/>
          <w:kern w:val="0"/>
          <w:szCs w:val="21"/>
        </w:rPr>
        <w:t>。发起解密指令之时起5分钟内供应商还未进行解密的，代理机构要通知供应商，供应商没预留联系方式或预留联系方式无效，导致代理机构无法联系到供应商进行解密的，</w:t>
      </w:r>
      <w:r>
        <w:rPr>
          <w:rFonts w:hint="eastAsia" w:ascii="宋体" w:hAnsi="宋体"/>
          <w:b/>
          <w:kern w:val="0"/>
          <w:szCs w:val="21"/>
        </w:rPr>
        <w:t>视为响应文件无效。</w:t>
      </w:r>
      <w:r>
        <w:rPr>
          <w:rFonts w:hint="eastAsia" w:ascii="宋体" w:hAnsi="宋体"/>
          <w:kern w:val="0"/>
          <w:szCs w:val="21"/>
        </w:rPr>
        <w:t>（解密</w:t>
      </w:r>
      <w:r>
        <w:rPr>
          <w:rFonts w:hint="eastAsia" w:ascii="宋体" w:hAnsi="宋体"/>
          <w:bCs/>
          <w:kern w:val="0"/>
          <w:szCs w:val="21"/>
        </w:rPr>
        <w:t>异常情况处理：详见本章</w:t>
      </w:r>
      <w:r>
        <w:rPr>
          <w:rFonts w:hint="eastAsia" w:ascii="宋体" w:hAnsi="宋体"/>
          <w:kern w:val="0"/>
          <w:szCs w:val="21"/>
        </w:rPr>
        <w:t>26.3 电子交易活动的中止。）</w:t>
      </w:r>
    </w:p>
    <w:p>
      <w:pPr>
        <w:spacing w:line="360" w:lineRule="auto"/>
        <w:ind w:firstLine="420" w:firstLineChars="200"/>
        <w:rPr>
          <w:rFonts w:ascii="宋体" w:hAnsi="宋体"/>
          <w:kern w:val="0"/>
          <w:szCs w:val="21"/>
        </w:rPr>
      </w:pPr>
      <w:r>
        <w:rPr>
          <w:rFonts w:hint="eastAsia" w:ascii="宋体" w:hAnsi="宋体"/>
          <w:kern w:val="0"/>
          <w:szCs w:val="21"/>
        </w:rPr>
        <w:t>如</w:t>
      </w:r>
      <w:r>
        <w:rPr>
          <w:rFonts w:hint="eastAsia" w:ascii="宋体" w:hAnsi="宋体"/>
          <w:bCs/>
          <w:kern w:val="0"/>
          <w:szCs w:val="21"/>
        </w:rPr>
        <w:t>供应商成功解密响应文件，但未在“政采云”电子开标大厅参加谈判的，视同认可谈判过程和结果，</w:t>
      </w:r>
      <w:r>
        <w:rPr>
          <w:rFonts w:hint="eastAsia" w:ascii="宋体" w:hAnsi="宋体"/>
          <w:kern w:val="0"/>
          <w:szCs w:val="21"/>
        </w:rPr>
        <w:t>由此产生的后果由供应商自行负责。 参与谈判的供应商不足3家的，不得谈判。</w:t>
      </w:r>
    </w:p>
    <w:p>
      <w:pPr>
        <w:spacing w:line="360" w:lineRule="auto"/>
        <w:ind w:firstLine="482" w:firstLineChars="200"/>
        <w:rPr>
          <w:rFonts w:ascii="宋体" w:hAnsi="宋体" w:cs="宋体"/>
          <w:b/>
          <w:bCs/>
          <w:sz w:val="24"/>
        </w:rPr>
      </w:pPr>
      <w:r>
        <w:rPr>
          <w:rFonts w:ascii="宋体" w:hAnsi="宋体" w:cs="宋体"/>
          <w:b/>
          <w:bCs/>
          <w:sz w:val="24"/>
        </w:rPr>
        <w:t>26</w:t>
      </w:r>
      <w:r>
        <w:rPr>
          <w:rFonts w:hint="eastAsia" w:ascii="宋体" w:hAnsi="宋体" w:cs="宋体"/>
          <w:b/>
          <w:bCs/>
          <w:sz w:val="24"/>
        </w:rPr>
        <w:t>.评审程序、评审方法和评审标准</w:t>
      </w:r>
    </w:p>
    <w:p>
      <w:pPr>
        <w:spacing w:line="360" w:lineRule="auto"/>
        <w:ind w:firstLine="420" w:firstLineChars="200"/>
        <w:rPr>
          <w:rFonts w:ascii="宋体" w:hAnsi="宋体" w:cs="宋体"/>
          <w:szCs w:val="21"/>
        </w:rPr>
      </w:pPr>
      <w:r>
        <w:rPr>
          <w:rFonts w:ascii="宋体" w:hAnsi="宋体" w:cs="宋体"/>
          <w:szCs w:val="21"/>
        </w:rPr>
        <w:t>26.1</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pPr>
        <w:spacing w:line="360" w:lineRule="auto"/>
        <w:ind w:firstLine="420" w:firstLineChars="200"/>
        <w:rPr>
          <w:rFonts w:ascii="宋体" w:hAnsi="宋体"/>
          <w:szCs w:val="21"/>
        </w:rPr>
      </w:pPr>
      <w:r>
        <w:rPr>
          <w:rFonts w:hint="eastAsia" w:ascii="宋体" w:hAnsi="宋体"/>
          <w:szCs w:val="21"/>
        </w:rPr>
        <w:t>26.2 磋商文件内容违反国家有关强制性规定的，磋商小组应当停止评审并向采购人或者采购代理机构说明情况，并在评审报告中书面体现。</w:t>
      </w:r>
    </w:p>
    <w:p>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6.3 </w:t>
      </w:r>
      <w:r>
        <w:rPr>
          <w:rFonts w:hint="eastAsia" w:ascii="宋体" w:hAnsi="宋体"/>
          <w:szCs w:val="21"/>
        </w:rPr>
        <w:t>采购需求负偏离要求及磋商顺序详见“供应商须知前附表”。</w:t>
      </w:r>
    </w:p>
    <w:p>
      <w:pPr>
        <w:spacing w:line="360" w:lineRule="auto"/>
        <w:ind w:firstLine="420" w:firstLineChars="200"/>
        <w:rPr>
          <w:rFonts w:ascii="宋体" w:hAnsi="宋体"/>
        </w:rPr>
      </w:pPr>
      <w:r>
        <w:rPr>
          <w:rFonts w:hint="eastAsia" w:ascii="宋体" w:hAnsi="宋体"/>
        </w:rPr>
        <w:t>2</w:t>
      </w:r>
      <w:r>
        <w:rPr>
          <w:rFonts w:ascii="宋体" w:hAnsi="宋体"/>
        </w:rPr>
        <w:t>6.4</w:t>
      </w:r>
      <w:r>
        <w:rPr>
          <w:rFonts w:hint="eastAsia" w:ascii="宋体" w:hAnsi="宋体"/>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rPr>
      </w:pPr>
      <w:r>
        <w:rPr>
          <w:rFonts w:hint="eastAsia" w:ascii="宋体" w:hAnsi="宋体"/>
        </w:rPr>
        <w:t xml:space="preserve">（1）电子交易平台发生故障而无法登录访问的； </w:t>
      </w:r>
    </w:p>
    <w:p>
      <w:pPr>
        <w:spacing w:line="360" w:lineRule="auto"/>
        <w:ind w:firstLine="420" w:firstLineChars="200"/>
        <w:rPr>
          <w:rFonts w:ascii="宋体" w:hAnsi="宋体"/>
        </w:rPr>
      </w:pPr>
      <w:r>
        <w:rPr>
          <w:rFonts w:hint="eastAsia" w:ascii="宋体" w:hAnsi="宋体"/>
        </w:rPr>
        <w:t>（2）电子交易平台应用或数据库出现错误，不能进行正常操作的；</w:t>
      </w:r>
    </w:p>
    <w:p>
      <w:pPr>
        <w:spacing w:line="360" w:lineRule="auto"/>
        <w:ind w:firstLine="420" w:firstLineChars="200"/>
        <w:rPr>
          <w:rFonts w:ascii="宋体" w:hAnsi="宋体"/>
        </w:rPr>
      </w:pPr>
      <w:r>
        <w:rPr>
          <w:rFonts w:hint="eastAsia" w:ascii="宋体" w:hAnsi="宋体"/>
        </w:rPr>
        <w:t>（3）电子交易平台发现严重安全漏洞，有潜在泄密危险的；</w:t>
      </w:r>
    </w:p>
    <w:p>
      <w:pPr>
        <w:spacing w:line="360" w:lineRule="auto"/>
        <w:ind w:firstLine="420" w:firstLineChars="200"/>
        <w:rPr>
          <w:rFonts w:ascii="宋体" w:hAnsi="宋体"/>
        </w:rPr>
      </w:pPr>
      <w:r>
        <w:rPr>
          <w:rFonts w:hint="eastAsia" w:ascii="宋体" w:hAnsi="宋体"/>
        </w:rPr>
        <w:t xml:space="preserve">（4）病毒发作导致不能进行正常操作的； </w:t>
      </w:r>
    </w:p>
    <w:p>
      <w:pPr>
        <w:spacing w:line="360" w:lineRule="auto"/>
        <w:ind w:firstLine="420" w:firstLineChars="200"/>
        <w:rPr>
          <w:rFonts w:ascii="宋体" w:hAnsi="宋体"/>
        </w:rPr>
      </w:pPr>
      <w:r>
        <w:rPr>
          <w:rFonts w:hint="eastAsia" w:ascii="宋体" w:hAnsi="宋体"/>
        </w:rPr>
        <w:t>（5）其他无法保证电子交易的公平、公正和安全的情况。</w:t>
      </w:r>
    </w:p>
    <w:p>
      <w:pPr>
        <w:spacing w:line="360" w:lineRule="auto"/>
        <w:ind w:firstLine="420" w:firstLineChars="200"/>
        <w:rPr>
          <w:rFonts w:ascii="宋体" w:hAnsi="宋体"/>
        </w:rPr>
      </w:pPr>
      <w:r>
        <w:rPr>
          <w:rFonts w:hint="eastAsia" w:ascii="宋体" w:hAnsi="宋体"/>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keepNext/>
        <w:keepLines/>
        <w:spacing w:line="360" w:lineRule="auto"/>
        <w:ind w:firstLine="480" w:firstLineChars="150"/>
        <w:outlineLvl w:val="2"/>
        <w:rPr>
          <w:rFonts w:ascii="宋体" w:hAnsi="宋体"/>
          <w:sz w:val="32"/>
          <w:szCs w:val="32"/>
        </w:rPr>
      </w:pPr>
      <w:bookmarkStart w:id="49" w:name="_Toc106794712"/>
      <w:r>
        <w:rPr>
          <w:rFonts w:hint="eastAsia" w:ascii="宋体" w:hAnsi="宋体"/>
          <w:sz w:val="32"/>
          <w:szCs w:val="32"/>
        </w:rPr>
        <w:t>五、成交及合同</w:t>
      </w:r>
      <w:bookmarkEnd w:id="49"/>
    </w:p>
    <w:p>
      <w:pPr>
        <w:spacing w:line="360" w:lineRule="auto"/>
        <w:ind w:firstLine="482" w:firstLineChars="200"/>
        <w:rPr>
          <w:rFonts w:ascii="宋体" w:hAnsi="宋体" w:cs="宋体"/>
          <w:b/>
          <w:bCs/>
          <w:sz w:val="24"/>
        </w:rPr>
      </w:pPr>
      <w:r>
        <w:rPr>
          <w:rFonts w:ascii="宋体" w:hAnsi="宋体" w:cs="宋体"/>
          <w:b/>
          <w:bCs/>
          <w:sz w:val="24"/>
        </w:rPr>
        <w:t>27</w:t>
      </w:r>
      <w:r>
        <w:rPr>
          <w:rFonts w:hint="eastAsia" w:ascii="宋体" w:hAnsi="宋体" w:cs="宋体"/>
          <w:b/>
          <w:bCs/>
          <w:sz w:val="24"/>
        </w:rPr>
        <w:t>.确定成交供应商及结果公告</w:t>
      </w:r>
    </w:p>
    <w:p>
      <w:pPr>
        <w:spacing w:line="360" w:lineRule="auto"/>
        <w:ind w:firstLine="420" w:firstLineChars="200"/>
        <w:rPr>
          <w:rFonts w:ascii="宋体" w:hAnsi="宋体" w:cs="宋体"/>
          <w:szCs w:val="21"/>
        </w:rPr>
      </w:pPr>
      <w:r>
        <w:rPr>
          <w:rFonts w:ascii="宋体" w:hAnsi="宋体" w:cs="宋体"/>
          <w:szCs w:val="21"/>
        </w:rPr>
        <w:t>27</w:t>
      </w:r>
      <w:r>
        <w:rPr>
          <w:rFonts w:hint="eastAsia" w:ascii="宋体" w:hAnsi="宋体" w:cs="宋体"/>
          <w:szCs w:val="21"/>
        </w:rPr>
        <w:t>.1确定成交供应商。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pPr>
        <w:spacing w:line="360" w:lineRule="auto"/>
        <w:ind w:firstLine="420" w:firstLineChars="200"/>
        <w:rPr>
          <w:rFonts w:ascii="宋体" w:hAnsi="宋体" w:cs="宋体"/>
          <w:szCs w:val="21"/>
        </w:rPr>
      </w:pPr>
      <w:r>
        <w:rPr>
          <w:rFonts w:ascii="宋体" w:hAnsi="宋体" w:cs="宋体"/>
          <w:szCs w:val="21"/>
        </w:rPr>
        <w:t>27</w:t>
      </w:r>
      <w:r>
        <w:rPr>
          <w:rFonts w:hint="eastAsia" w:ascii="宋体" w:hAnsi="宋体" w:cs="宋体"/>
          <w:szCs w:val="21"/>
        </w:rPr>
        <w:t>.2成交通知及成交结果公告。成交供应商确定后2个工作日内，在省级以上财政部门指定的媒体上公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同时向成交供应商发出成交通知书，成交通知书规定签订合同的时间不得超过25日。</w:t>
      </w:r>
    </w:p>
    <w:p>
      <w:pPr>
        <w:spacing w:line="360" w:lineRule="auto"/>
        <w:ind w:firstLine="420" w:firstLineChars="200"/>
        <w:rPr>
          <w:rFonts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szCs w:val="21"/>
        </w:rPr>
      </w:pPr>
      <w:r>
        <w:rPr>
          <w:rFonts w:ascii="宋体" w:hAnsi="宋体"/>
          <w:bCs/>
          <w:szCs w:val="21"/>
        </w:rPr>
        <w:t>27.</w:t>
      </w:r>
      <w:r>
        <w:rPr>
          <w:rFonts w:hint="eastAsia" w:ascii="宋体" w:hAnsi="宋体"/>
          <w:bCs/>
          <w:szCs w:val="21"/>
        </w:rPr>
        <w:t>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pPr>
        <w:spacing w:line="360" w:lineRule="auto"/>
        <w:ind w:firstLine="482" w:firstLineChars="200"/>
        <w:rPr>
          <w:rFonts w:ascii="宋体" w:hAnsi="宋体" w:cs="宋体"/>
          <w:b/>
          <w:bCs/>
          <w:sz w:val="24"/>
        </w:rPr>
      </w:pPr>
      <w:r>
        <w:rPr>
          <w:rFonts w:ascii="宋体" w:hAnsi="宋体" w:cs="宋体"/>
          <w:b/>
          <w:bCs/>
          <w:sz w:val="24"/>
        </w:rPr>
        <w:t>28</w:t>
      </w:r>
      <w:r>
        <w:rPr>
          <w:rFonts w:hint="eastAsia" w:ascii="宋体" w:hAnsi="宋体" w:cs="宋体"/>
          <w:b/>
          <w:bCs/>
          <w:sz w:val="24"/>
        </w:rPr>
        <w:t>.履约保证金</w:t>
      </w:r>
    </w:p>
    <w:p>
      <w:pPr>
        <w:spacing w:line="360" w:lineRule="auto"/>
        <w:ind w:firstLine="420" w:firstLineChars="200"/>
        <w:rPr>
          <w:rFonts w:ascii="宋体" w:hAnsi="宋体" w:cs="宋体"/>
          <w:b/>
          <w:bCs/>
          <w:sz w:val="24"/>
        </w:rPr>
      </w:pPr>
      <w:r>
        <w:rPr>
          <w:rFonts w:hint="eastAsia" w:ascii="宋体" w:hAnsi="宋体" w:cs="宋体"/>
          <w:szCs w:val="21"/>
        </w:rPr>
        <w:t>详见 “供应商须知前附表”</w:t>
      </w:r>
    </w:p>
    <w:p>
      <w:pPr>
        <w:spacing w:line="360" w:lineRule="auto"/>
        <w:ind w:firstLine="482" w:firstLineChars="200"/>
        <w:rPr>
          <w:rFonts w:ascii="宋体" w:hAnsi="宋体" w:cs="宋体"/>
          <w:b/>
          <w:bCs/>
          <w:sz w:val="24"/>
        </w:rPr>
      </w:pPr>
      <w:r>
        <w:rPr>
          <w:rFonts w:ascii="宋体" w:hAnsi="宋体" w:cs="宋体"/>
          <w:b/>
          <w:bCs/>
          <w:sz w:val="24"/>
        </w:rPr>
        <w:t>29</w:t>
      </w:r>
      <w:r>
        <w:rPr>
          <w:rFonts w:hint="eastAsia" w:ascii="宋体" w:hAnsi="宋体" w:cs="宋体"/>
          <w:b/>
          <w:bCs/>
          <w:sz w:val="24"/>
        </w:rPr>
        <w:t>.签订合同</w:t>
      </w:r>
    </w:p>
    <w:p>
      <w:pPr>
        <w:adjustRightInd w:val="0"/>
        <w:snapToGrid w:val="0"/>
        <w:spacing w:line="360" w:lineRule="auto"/>
        <w:ind w:firstLine="420" w:firstLineChars="200"/>
        <w:rPr>
          <w:rFonts w:ascii="宋体" w:hAnsi="宋体"/>
          <w:kern w:val="0"/>
          <w:szCs w:val="21"/>
          <w:lang w:val="zh-CN"/>
        </w:rPr>
      </w:pPr>
      <w:r>
        <w:rPr>
          <w:rFonts w:ascii="宋体" w:hAnsi="宋体" w:cs="宋体"/>
          <w:kern w:val="0"/>
          <w:szCs w:val="21"/>
        </w:rPr>
        <w:t>29.1</w:t>
      </w:r>
      <w:r>
        <w:rPr>
          <w:rFonts w:hint="eastAsia" w:ascii="宋体" w:hAnsi="宋体"/>
          <w:kern w:val="0"/>
          <w:szCs w:val="21"/>
        </w:rPr>
        <w:t>采购人与成交供应商应当在</w:t>
      </w:r>
      <w:r>
        <w:rPr>
          <w:rFonts w:hint="eastAsia" w:ascii="宋体" w:hAnsi="宋体" w:cs="宋体"/>
          <w:kern w:val="0"/>
          <w:szCs w:val="21"/>
        </w:rPr>
        <w:t>成交通知书规定的时间内</w:t>
      </w:r>
      <w:r>
        <w:rPr>
          <w:rFonts w:hint="eastAsia" w:ascii="宋体" w:hAnsi="宋体"/>
          <w:kern w:val="0"/>
          <w:szCs w:val="21"/>
        </w:rPr>
        <w:t>，按照磋商文件确定的合同文本以及采购标的、服务技术、采购金额、采购数量、技术和服务要求等事项签订政府采购合同。</w:t>
      </w:r>
      <w:r>
        <w:rPr>
          <w:rFonts w:hint="eastAsia" w:ascii="宋体" w:hAnsi="宋体"/>
          <w:kern w:val="0"/>
          <w:szCs w:val="21"/>
          <w:lang w:val="zh-CN"/>
        </w:rPr>
        <w:t>如成交供应商为联合体的，由联合体成员各方法定代表人或其授权代表与采购人代表签订合同。</w:t>
      </w:r>
    </w:p>
    <w:p>
      <w:pPr>
        <w:spacing w:line="360" w:lineRule="auto"/>
        <w:ind w:firstLine="420" w:firstLineChars="200"/>
        <w:rPr>
          <w:rFonts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ascii="宋体" w:hAnsi="宋体"/>
          <w:szCs w:val="21"/>
        </w:rPr>
      </w:pPr>
      <w:r>
        <w:rPr>
          <w:rFonts w:hint="eastAsia" w:ascii="宋体" w:hAnsi="宋体"/>
          <w:szCs w:val="21"/>
        </w:rPr>
        <w:t>29.3成交供应商拒绝签订政府采购合同的，</w:t>
      </w:r>
      <w:r>
        <w:rPr>
          <w:rFonts w:hint="eastAsia" w:ascii="宋体" w:hAnsi="宋体" w:cs="宋体"/>
          <w:szCs w:val="21"/>
        </w:rPr>
        <w:t>采购人可以按照评审报告推荐的成交候选人名单排序，确定下一候选人为成交供应商</w:t>
      </w:r>
      <w:r>
        <w:rPr>
          <w:rFonts w:hint="eastAsia" w:ascii="宋体" w:hAnsi="宋体"/>
          <w:szCs w:val="21"/>
        </w:rPr>
        <w:t>，也可以重新开展采购活动。拒绝签订政府采购合同的成交供应商不得参加对该项目重新开展的采购活动。</w:t>
      </w:r>
    </w:p>
    <w:p>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pPr>
        <w:adjustRightInd w:val="0"/>
        <w:spacing w:line="360" w:lineRule="auto"/>
        <w:ind w:firstLine="420" w:firstLineChars="200"/>
        <w:rPr>
          <w:rFonts w:ascii="宋体" w:hAnsi="宋体" w:cs="宋体"/>
          <w:kern w:val="0"/>
          <w:sz w:val="24"/>
          <w:szCs w:val="21"/>
        </w:rPr>
      </w:pPr>
      <w:r>
        <w:rPr>
          <w:rFonts w:hint="eastAsia" w:ascii="宋体" w:hAnsi="宋体" w:cs="仿宋_GB2312"/>
          <w:kern w:val="0"/>
          <w:szCs w:val="21"/>
        </w:rPr>
        <w:t>29</w:t>
      </w:r>
      <w:r>
        <w:rPr>
          <w:rFonts w:ascii="宋体" w:hAnsi="宋体" w:cs="仿宋_GB2312"/>
          <w:kern w:val="0"/>
          <w:szCs w:val="21"/>
        </w:rPr>
        <w:t>.5采购合同由采购人与</w:t>
      </w:r>
      <w:r>
        <w:rPr>
          <w:rFonts w:hint="eastAsia" w:ascii="宋体" w:hAnsi="宋体" w:cs="仿宋_GB2312"/>
          <w:kern w:val="0"/>
          <w:szCs w:val="21"/>
        </w:rPr>
        <w:t>成交</w:t>
      </w:r>
      <w:r>
        <w:rPr>
          <w:rFonts w:ascii="宋体" w:hAnsi="宋体" w:cs="仿宋_GB2312"/>
          <w:kern w:val="0"/>
          <w:szCs w:val="21"/>
        </w:rPr>
        <w:t>供应商根据</w:t>
      </w:r>
      <w:r>
        <w:rPr>
          <w:rFonts w:hint="eastAsia" w:ascii="宋体" w:hAnsi="宋体"/>
          <w:kern w:val="0"/>
          <w:szCs w:val="21"/>
        </w:rPr>
        <w:t>磋商文件</w:t>
      </w:r>
      <w:r>
        <w:rPr>
          <w:rFonts w:hint="eastAsia" w:ascii="宋体" w:hAnsi="宋体" w:cs="仿宋_GB2312"/>
          <w:kern w:val="0"/>
          <w:szCs w:val="21"/>
        </w:rPr>
        <w:t>、响应文件等内容通过政府采购电子交易平台在线签订，自动备案，在线签订须携带的材料见“供应商须</w:t>
      </w:r>
      <w:r>
        <w:rPr>
          <w:rFonts w:hint="eastAsia" w:ascii="宋体" w:hAnsi="宋体"/>
          <w:kern w:val="0"/>
          <w:szCs w:val="21"/>
        </w:rPr>
        <w:t>知前附表</w:t>
      </w:r>
      <w:r>
        <w:rPr>
          <w:rFonts w:hint="eastAsia" w:ascii="宋体" w:hAnsi="宋体" w:cs="仿宋_GB2312"/>
          <w:kern w:val="0"/>
          <w:szCs w:val="21"/>
        </w:rPr>
        <w:t>”。</w:t>
      </w:r>
    </w:p>
    <w:p>
      <w:pPr>
        <w:spacing w:line="360" w:lineRule="auto"/>
        <w:ind w:firstLine="482" w:firstLineChars="200"/>
        <w:rPr>
          <w:rFonts w:ascii="宋体" w:hAnsi="宋体" w:cs="宋体"/>
          <w:b/>
          <w:bCs/>
          <w:sz w:val="24"/>
        </w:rPr>
      </w:pPr>
      <w:r>
        <w:rPr>
          <w:rFonts w:ascii="宋体" w:hAnsi="宋体" w:cs="宋体"/>
          <w:b/>
          <w:bCs/>
          <w:sz w:val="24"/>
        </w:rPr>
        <w:t>30</w:t>
      </w:r>
      <w:r>
        <w:rPr>
          <w:rFonts w:hint="eastAsia" w:ascii="宋体" w:hAnsi="宋体" w:cs="宋体"/>
          <w:b/>
          <w:bCs/>
          <w:sz w:val="24"/>
        </w:rPr>
        <w:t>.政府采购合同公告</w:t>
      </w:r>
    </w:p>
    <w:p>
      <w:pPr>
        <w:spacing w:line="360" w:lineRule="auto"/>
        <w:ind w:firstLine="420" w:firstLineChars="200"/>
        <w:rPr>
          <w:rFonts w:ascii="宋体" w:hAnsi="宋体"/>
        </w:rPr>
      </w:pPr>
      <w:r>
        <w:rPr>
          <w:rFonts w:hint="eastAsia" w:ascii="宋体" w:hAnsi="宋体"/>
        </w:rPr>
        <w:t>采购人或者受托采购代理机构应当自政府采购合同签订之日起2个工作日内，将政府采购合同</w:t>
      </w:r>
      <w:r>
        <w:rPr>
          <w:rFonts w:hint="eastAsia" w:ascii="宋体" w:hAnsi="宋体"/>
          <w:bCs/>
        </w:rPr>
        <w:t>在以下媒体上发布</w:t>
      </w:r>
      <w:r>
        <w:rPr>
          <w:rFonts w:hint="eastAsia" w:ascii="宋体" w:hAnsi="宋体" w:cs="宋体"/>
          <w:kern w:val="0"/>
          <w:szCs w:val="21"/>
        </w:rPr>
        <w:t xml:space="preserve"> “广西政府采购网”（http://zfcg.gxzf.gov.cn）</w:t>
      </w:r>
      <w:r>
        <w:rPr>
          <w:rFonts w:hint="eastAsia" w:ascii="宋体" w:hAnsi="宋体"/>
        </w:rPr>
        <w:t>上公告，</w:t>
      </w:r>
      <w:r>
        <w:rPr>
          <w:rFonts w:ascii="宋体" w:hAnsi="宋体"/>
        </w:rPr>
        <w:t>但政府采购合同中涉及国家秘密、商业秘密的内容除外。</w:t>
      </w:r>
    </w:p>
    <w:p>
      <w:pPr>
        <w:spacing w:line="360" w:lineRule="auto"/>
        <w:ind w:firstLine="482" w:firstLineChars="200"/>
        <w:rPr>
          <w:rFonts w:ascii="宋体" w:hAnsi="宋体" w:cs="宋体"/>
          <w:b/>
          <w:bCs/>
          <w:sz w:val="24"/>
        </w:rPr>
      </w:pPr>
      <w:r>
        <w:rPr>
          <w:rFonts w:ascii="宋体" w:hAnsi="宋体" w:cs="宋体"/>
          <w:b/>
          <w:bCs/>
          <w:sz w:val="24"/>
        </w:rPr>
        <w:t>31</w:t>
      </w:r>
      <w:r>
        <w:rPr>
          <w:rFonts w:hint="eastAsia" w:ascii="宋体" w:hAnsi="宋体" w:cs="宋体"/>
          <w:b/>
          <w:bCs/>
          <w:sz w:val="24"/>
        </w:rPr>
        <w:t>. 询问、质疑和投诉</w:t>
      </w:r>
    </w:p>
    <w:p>
      <w:pPr>
        <w:spacing w:line="360" w:lineRule="auto"/>
        <w:ind w:firstLine="420" w:firstLineChars="200"/>
        <w:rPr>
          <w:rFonts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ascii="宋体" w:hAnsi="宋体"/>
          <w:b/>
          <w:szCs w:val="21"/>
        </w:rPr>
      </w:pPr>
      <w:r>
        <w:rPr>
          <w:rFonts w:hint="eastAsia" w:ascii="宋体" w:hAnsi="宋体" w:cs="宋体"/>
        </w:rPr>
        <w:t>3</w:t>
      </w:r>
      <w:r>
        <w:rPr>
          <w:rFonts w:ascii="宋体" w:hAnsi="宋体" w:cs="宋体"/>
        </w:rPr>
        <w:t>1</w:t>
      </w:r>
      <w:r>
        <w:rPr>
          <w:rFonts w:hint="eastAsia" w:ascii="宋体" w:hAnsi="宋体" w:cs="宋体"/>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hint="eastAsia" w:ascii="宋体" w:hAnsi="宋体" w:cs="Arial"/>
          <w:shd w:val="clear" w:color="auto" w:fill="FFFFFF"/>
        </w:rPr>
        <w:t>详见</w:t>
      </w:r>
      <w:r>
        <w:rPr>
          <w:rFonts w:hint="eastAsia" w:ascii="宋体" w:hAnsi="宋体" w:cs="宋体"/>
          <w:szCs w:val="21"/>
        </w:rPr>
        <w:t>“供应商须知前附表”</w:t>
      </w:r>
      <w:r>
        <w:rPr>
          <w:rFonts w:hint="eastAsia" w:ascii="宋体" w:hAnsi="宋体" w:cs="宋体"/>
        </w:rPr>
        <w:t>。</w:t>
      </w:r>
      <w:r>
        <w:rPr>
          <w:rFonts w:hint="eastAsia" w:ascii="宋体" w:hAnsi="宋体"/>
          <w:b/>
          <w:szCs w:val="21"/>
        </w:rPr>
        <w:t xml:space="preserve">具体质疑起算时间及处理方式如下： </w:t>
      </w:r>
    </w:p>
    <w:p>
      <w:pPr>
        <w:spacing w:line="360" w:lineRule="auto"/>
        <w:ind w:firstLine="420" w:firstLineChars="200"/>
        <w:rPr>
          <w:rFonts w:ascii="宋体" w:hAnsi="宋体"/>
          <w:bCs/>
        </w:rPr>
      </w:pPr>
      <w:r>
        <w:rPr>
          <w:rFonts w:hint="eastAsia" w:ascii="宋体" w:hAnsi="宋体"/>
          <w:bCs/>
        </w:rPr>
        <w:t>（1）潜在供应商依法获取采购文件后，认为采购文件使自己的权益受到损害的，应当在竞争性磋商采购文件公告期限届满之日起7个工作日内提出质疑。</w:t>
      </w:r>
      <w:r>
        <w:rPr>
          <w:rFonts w:hint="eastAsia" w:ascii="宋体" w:hAnsi="宋体"/>
        </w:rPr>
        <w:t>委托代理协议无特殊约定的，</w:t>
      </w:r>
      <w:r>
        <w:rPr>
          <w:rFonts w:hint="eastAsia" w:ascii="宋体" w:hAnsi="宋体"/>
          <w:bCs/>
        </w:rPr>
        <w:t>对竞争性磋商文件中采购需求（含资格要求、采购预算和评分办法）的质疑由采购人受理并负责答复；对竞争性磋商文件中的采购执行程序的质疑由采购代理机构受理并负责答复。</w:t>
      </w:r>
    </w:p>
    <w:p>
      <w:pPr>
        <w:spacing w:line="360" w:lineRule="auto"/>
        <w:ind w:firstLine="420" w:firstLineChars="200"/>
        <w:rPr>
          <w:rFonts w:ascii="宋体" w:hAnsi="宋体"/>
          <w:bCs/>
        </w:rPr>
      </w:pPr>
      <w:r>
        <w:rPr>
          <w:rFonts w:hint="eastAsia" w:ascii="宋体" w:hAnsi="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宋体" w:hAnsi="宋体" w:cs="宋体"/>
        </w:rPr>
      </w:pPr>
      <w:r>
        <w:rPr>
          <w:rFonts w:hint="eastAsia" w:ascii="宋体" w:hAnsi="宋体"/>
          <w:bCs/>
        </w:rPr>
        <w:t>（3）供应商认为成交结果使自己的权益受到损害的，应当在成交结果公告期限届满之日起7个工作日内提出质疑，由采购人受理并负责答复</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ascii="宋体" w:hAnsi="宋体"/>
          <w:bCs/>
        </w:rPr>
        <w:t>（质疑函格式后附）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pPr>
        <w:spacing w:line="360" w:lineRule="auto"/>
        <w:ind w:firstLine="420" w:firstLineChars="200"/>
        <w:rPr>
          <w:rFonts w:ascii="宋体" w:hAnsi="宋体" w:cs="宋体"/>
        </w:rPr>
      </w:pPr>
      <w:r>
        <w:rPr>
          <w:rFonts w:hint="eastAsia" w:ascii="宋体" w:hAnsi="宋体" w:cs="宋体"/>
        </w:rPr>
        <w:t>（2）质疑项目的名称、编号；</w:t>
      </w:r>
    </w:p>
    <w:p>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（5）必要的法律依据；</w:t>
      </w:r>
    </w:p>
    <w:p>
      <w:pPr>
        <w:spacing w:line="360" w:lineRule="auto"/>
        <w:ind w:firstLine="420" w:firstLineChars="200"/>
        <w:rPr>
          <w:rFonts w:ascii="宋体" w:hAnsi="宋体" w:cs="宋体"/>
        </w:rPr>
      </w:pPr>
      <w:r>
        <w:rPr>
          <w:rFonts w:hint="eastAsia" w:ascii="宋体" w:hAnsi="宋体" w:cs="宋体"/>
        </w:rPr>
        <w:t>（6）提出质疑的日期。</w:t>
      </w:r>
    </w:p>
    <w:p>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rPr>
      </w:pPr>
      <w:r>
        <w:rPr>
          <w:rFonts w:hint="eastAsia" w:ascii="宋体" w:hAnsi="宋体" w:cs="宋体"/>
        </w:rPr>
        <w:t>质疑答复导致成交结果改变的，采购人或者采购代理机构应当将有关情况书面报告本级财政部门。</w:t>
      </w:r>
    </w:p>
    <w:p>
      <w:pPr>
        <w:spacing w:line="360" w:lineRule="auto"/>
        <w:ind w:firstLine="420" w:firstLineChars="200"/>
        <w:rPr>
          <w:rFonts w:ascii="宋体" w:hAnsi="宋体" w:cs="宋体"/>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0" w:name="_Toc80205930"/>
    </w:p>
    <w:p>
      <w:pPr>
        <w:keepNext/>
        <w:keepLines/>
        <w:spacing w:line="360" w:lineRule="auto"/>
        <w:ind w:firstLine="315" w:firstLineChars="98"/>
        <w:outlineLvl w:val="2"/>
        <w:rPr>
          <w:rFonts w:ascii="宋体" w:hAnsi="宋体"/>
          <w:bCs/>
          <w:sz w:val="32"/>
          <w:szCs w:val="32"/>
        </w:rPr>
      </w:pPr>
      <w:bookmarkStart w:id="51" w:name="_Toc106794713"/>
      <w:r>
        <w:rPr>
          <w:rFonts w:hint="eastAsia" w:ascii="宋体" w:hAnsi="宋体"/>
          <w:b/>
          <w:bCs/>
          <w:sz w:val="32"/>
          <w:szCs w:val="32"/>
        </w:rPr>
        <w:t>六</w:t>
      </w:r>
      <w:r>
        <w:rPr>
          <w:rFonts w:hint="eastAsia" w:ascii="宋体" w:hAnsi="宋体"/>
          <w:bCs/>
          <w:sz w:val="32"/>
          <w:szCs w:val="32"/>
        </w:rPr>
        <w:t>、验收</w:t>
      </w:r>
      <w:bookmarkEnd w:id="50"/>
      <w:bookmarkEnd w:id="51"/>
    </w:p>
    <w:p>
      <w:pPr>
        <w:tabs>
          <w:tab w:val="left" w:pos="0"/>
        </w:tabs>
        <w:spacing w:line="360" w:lineRule="auto"/>
        <w:ind w:firstLine="482" w:firstLineChars="200"/>
        <w:rPr>
          <w:rFonts w:ascii="宋体" w:hAnsi="宋体" w:cs="宋体"/>
          <w:b/>
          <w:bCs/>
          <w:sz w:val="24"/>
        </w:rPr>
      </w:pPr>
      <w:r>
        <w:rPr>
          <w:rFonts w:hint="eastAsia" w:ascii="宋体" w:hAnsi="宋体" w:cs="宋体"/>
          <w:b/>
          <w:bCs/>
          <w:sz w:val="24"/>
        </w:rPr>
        <w:t>32.验收</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20" w:firstLineChars="200"/>
        <w:rPr>
          <w:rFonts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keepLines/>
        <w:spacing w:line="360" w:lineRule="auto"/>
        <w:ind w:firstLine="320" w:firstLineChars="100"/>
        <w:outlineLvl w:val="2"/>
        <w:rPr>
          <w:rFonts w:ascii="宋体" w:hAnsi="宋体"/>
          <w:sz w:val="32"/>
          <w:szCs w:val="32"/>
        </w:rPr>
      </w:pPr>
      <w:bookmarkStart w:id="52" w:name="_Toc106794714"/>
      <w:r>
        <w:rPr>
          <w:rFonts w:hint="eastAsia" w:ascii="宋体" w:hAnsi="宋体"/>
          <w:sz w:val="32"/>
          <w:szCs w:val="32"/>
        </w:rPr>
        <w:t>七、其他事项</w:t>
      </w:r>
      <w:bookmarkEnd w:id="52"/>
    </w:p>
    <w:p>
      <w:pPr>
        <w:spacing w:line="360" w:lineRule="auto"/>
        <w:ind w:firstLine="482" w:firstLineChars="200"/>
        <w:rPr>
          <w:rFonts w:ascii="宋体" w:hAnsi="宋体" w:cs="宋体"/>
          <w:b/>
          <w:bCs/>
          <w:sz w:val="24"/>
        </w:rPr>
      </w:pPr>
      <w:r>
        <w:rPr>
          <w:rFonts w:ascii="宋体" w:hAnsi="宋体" w:cs="宋体"/>
          <w:b/>
          <w:bCs/>
          <w:sz w:val="24"/>
        </w:rPr>
        <w:t>3</w:t>
      </w:r>
      <w:r>
        <w:rPr>
          <w:rFonts w:hint="eastAsia" w:ascii="宋体" w:hAnsi="宋体" w:cs="宋体"/>
          <w:b/>
          <w:bCs/>
          <w:sz w:val="24"/>
        </w:rPr>
        <w:t>3.代理服务费</w:t>
      </w:r>
    </w:p>
    <w:p>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pPr>
        <w:spacing w:line="360" w:lineRule="auto"/>
        <w:ind w:firstLine="482" w:firstLineChars="200"/>
        <w:rPr>
          <w:rFonts w:ascii="宋体" w:hAnsi="宋体" w:cs="宋体"/>
          <w:b/>
          <w:bCs/>
          <w:sz w:val="24"/>
        </w:rPr>
      </w:pPr>
      <w:r>
        <w:rPr>
          <w:rFonts w:hint="eastAsia" w:ascii="宋体" w:hAnsi="宋体" w:cs="宋体"/>
          <w:b/>
          <w:bCs/>
          <w:sz w:val="24"/>
        </w:rPr>
        <w:t>34</w:t>
      </w:r>
      <w:r>
        <w:rPr>
          <w:rFonts w:ascii="宋体" w:hAnsi="宋体" w:cs="宋体"/>
          <w:b/>
          <w:bCs/>
          <w:sz w:val="24"/>
        </w:rPr>
        <w:t>.需要补充的其他内容</w:t>
      </w:r>
    </w:p>
    <w:p>
      <w:pPr>
        <w:spacing w:line="360" w:lineRule="auto"/>
        <w:ind w:firstLine="420" w:firstLineChars="200"/>
        <w:textAlignment w:val="center"/>
        <w:rPr>
          <w:rFonts w:ascii="宋体" w:hAnsi="宋体" w:cs="宋体"/>
          <w:szCs w:val="21"/>
        </w:rPr>
      </w:pPr>
      <w:r>
        <w:rPr>
          <w:rFonts w:hint="eastAsia" w:ascii="宋体" w:hAnsi="宋体" w:cs="宋体"/>
          <w:szCs w:val="21"/>
        </w:rPr>
        <w:t>34</w:t>
      </w:r>
      <w:r>
        <w:rPr>
          <w:rFonts w:ascii="宋体" w:hAnsi="宋体" w:cs="宋体"/>
          <w:szCs w:val="21"/>
        </w:rPr>
        <w:t>.1</w:t>
      </w:r>
      <w:r>
        <w:rPr>
          <w:rFonts w:hint="eastAsia" w:ascii="宋体" w:hAnsi="宋体" w:cs="宋体"/>
          <w:szCs w:val="21"/>
        </w:rPr>
        <w:t>本磋商文件解释规则详见“供应商须知前附表”。</w:t>
      </w:r>
    </w:p>
    <w:p>
      <w:pPr>
        <w:spacing w:line="360" w:lineRule="auto"/>
        <w:ind w:firstLine="420" w:firstLineChars="200"/>
        <w:textAlignment w:val="center"/>
        <w:rPr>
          <w:rFonts w:ascii="宋体" w:hAnsi="宋体" w:cs="宋体"/>
          <w:szCs w:val="21"/>
        </w:rPr>
      </w:pPr>
      <w:r>
        <w:rPr>
          <w:rFonts w:ascii="宋体" w:hAnsi="宋体" w:cs="宋体"/>
          <w:szCs w:val="21"/>
        </w:rPr>
        <w:t>3</w:t>
      </w:r>
      <w:r>
        <w:rPr>
          <w:rFonts w:hint="eastAsia" w:ascii="宋体" w:hAnsi="宋体" w:cs="宋体"/>
          <w:szCs w:val="21"/>
        </w:rPr>
        <w:t>4</w:t>
      </w:r>
      <w:r>
        <w:rPr>
          <w:rFonts w:ascii="宋体" w:hAnsi="宋体" w:cs="宋体"/>
          <w:szCs w:val="21"/>
        </w:rPr>
        <w:t>.2</w:t>
      </w:r>
      <w:r>
        <w:rPr>
          <w:rFonts w:hint="eastAsia" w:ascii="宋体" w:hAnsi="宋体" w:cs="宋体"/>
          <w:szCs w:val="21"/>
        </w:rPr>
        <w:t xml:space="preserve"> 其他事项详见“供应商须知前附表”。</w:t>
      </w:r>
    </w:p>
    <w:p>
      <w:pPr>
        <w:spacing w:line="360" w:lineRule="auto"/>
        <w:ind w:firstLine="420" w:firstLineChars="200"/>
        <w:textAlignment w:val="center"/>
        <w:rPr>
          <w:rFonts w:ascii="宋体" w:hAnsi="宋体" w:cs="宋体"/>
          <w:szCs w:val="21"/>
        </w:rPr>
      </w:pPr>
      <w:r>
        <w:rPr>
          <w:rFonts w:hint="eastAsia" w:ascii="宋体" w:hAnsi="宋体" w:cs="宋体"/>
          <w:szCs w:val="21"/>
        </w:rPr>
        <w:t>34</w:t>
      </w:r>
      <w:r>
        <w:rPr>
          <w:rFonts w:ascii="宋体" w:hAnsi="宋体" w:cs="宋体"/>
          <w:szCs w:val="21"/>
        </w:rPr>
        <w:t>.3</w:t>
      </w:r>
      <w:r>
        <w:rPr>
          <w:rFonts w:hint="eastAsia" w:ascii="宋体" w:hAnsi="宋体" w:cs="宋体"/>
          <w:szCs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kern w:val="0"/>
          <w:szCs w:val="21"/>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cs="宋体"/>
          <w:szCs w:val="21"/>
        </w:rPr>
        <w:t>，享受本文件规定的中小企业扶持政策。</w:t>
      </w:r>
    </w:p>
    <w:p>
      <w:pPr>
        <w:spacing w:line="360" w:lineRule="auto"/>
        <w:ind w:firstLine="420" w:firstLineChars="200"/>
        <w:textAlignment w:val="center"/>
        <w:rPr>
          <w:rFonts w:ascii="宋体" w:hAnsi="宋体" w:cs="宋体"/>
          <w:szCs w:val="21"/>
        </w:rPr>
      </w:pPr>
      <w:r>
        <w:rPr>
          <w:rFonts w:hint="eastAsia" w:ascii="宋体" w:hAnsi="宋体" w:cs="宋体"/>
          <w:szCs w:val="21"/>
        </w:rPr>
        <w:t>以联合体形式参加政府采购活动，联合体各方均为中小企业的，联合体视同中小企业。其中，联合体各方均为小微企业的，联合体视同小微企业。</w:t>
      </w:r>
    </w:p>
    <w:p>
      <w:pPr>
        <w:spacing w:line="360" w:lineRule="auto"/>
        <w:ind w:firstLine="420" w:firstLineChars="200"/>
        <w:textAlignment w:val="center"/>
        <w:rPr>
          <w:rFonts w:ascii="宋体" w:hAnsi="宋体" w:cs="宋体"/>
          <w:szCs w:val="21"/>
        </w:rPr>
      </w:pPr>
      <w:r>
        <w:rPr>
          <w:rFonts w:hint="eastAsia" w:ascii="宋体" w:hAnsi="宋体" w:cs="宋体"/>
          <w:szCs w:val="21"/>
        </w:rPr>
        <w:t>依据本文件规定享受扶持政策获得政府采购合同的，小微企业不得将合同分包给大中型企业，中型企业不得将合同分包给大型企业。</w:t>
      </w:r>
    </w:p>
    <w:p>
      <w:pPr>
        <w:spacing w:line="360" w:lineRule="auto"/>
        <w:ind w:firstLine="480" w:firstLineChars="200"/>
        <w:rPr>
          <w:rFonts w:ascii="宋体" w:hAnsi="宋体"/>
          <w:sz w:val="24"/>
        </w:rPr>
      </w:pPr>
      <w:r>
        <w:rPr>
          <w:rFonts w:hint="eastAsia" w:ascii="宋体" w:hAnsi="宋体"/>
          <w:sz w:val="24"/>
        </w:rPr>
        <w:t>35. 政采贷相关说明</w:t>
      </w:r>
    </w:p>
    <w:p>
      <w:pPr>
        <w:spacing w:line="360" w:lineRule="auto"/>
        <w:ind w:firstLine="420" w:firstLineChars="200"/>
        <w:textAlignment w:val="center"/>
        <w:rPr>
          <w:rFonts w:ascii="宋体" w:hAnsi="宋体"/>
          <w:kern w:val="0"/>
          <w:sz w:val="20"/>
          <w:szCs w:val="21"/>
        </w:rPr>
      </w:pPr>
      <w:r>
        <w:rPr>
          <w:rFonts w:hint="eastAsia" w:ascii="宋体" w:hAnsi="宋体"/>
          <w:kern w:val="0"/>
          <w:szCs w:val="21"/>
        </w:rPr>
        <w:t>为优化政府采购营商环境，缓解供应商资金难题，南宁市政府采购试行政府采购信用融资制度，中标供应商如有融资需求，可凭政府采购合同在“南宁市公共资源交易中心”官网（网址：http://www.nnggzy.org.cn）“交易信息-政府采购-政府采购信用融资”中融资银行和南宁市企业融资服务中心专栏信息申请政府采购信用融资。</w:t>
      </w:r>
      <w:r>
        <w:rPr>
          <w:rFonts w:ascii="宋体" w:hAnsi="宋体"/>
          <w:b/>
          <w:kern w:val="0"/>
          <w:sz w:val="20"/>
          <w:szCs w:val="21"/>
        </w:rPr>
        <w:br w:type="page"/>
      </w:r>
    </w:p>
    <w:p>
      <w:pPr>
        <w:keepNext/>
        <w:keepLines/>
        <w:spacing w:before="340" w:after="330" w:line="578" w:lineRule="auto"/>
        <w:jc w:val="center"/>
        <w:outlineLvl w:val="0"/>
        <w:rPr>
          <w:rFonts w:ascii="宋体" w:hAnsi="宋体"/>
          <w:b/>
          <w:bCs/>
          <w:kern w:val="44"/>
          <w:sz w:val="44"/>
          <w:szCs w:val="44"/>
        </w:rPr>
      </w:pPr>
      <w:bookmarkStart w:id="53" w:name="_Toc106794715"/>
      <w:r>
        <w:rPr>
          <w:rFonts w:hint="eastAsia" w:ascii="宋体" w:hAnsi="宋体"/>
          <w:b/>
          <w:bCs/>
          <w:kern w:val="44"/>
          <w:sz w:val="44"/>
          <w:szCs w:val="44"/>
        </w:rPr>
        <w:t>第四章  评审程序、评审方法和评审标准</w:t>
      </w:r>
      <w:bookmarkEnd w:id="53"/>
    </w:p>
    <w:p>
      <w:pPr>
        <w:keepNext/>
        <w:keepLines/>
        <w:spacing w:before="260" w:after="260" w:line="416" w:lineRule="auto"/>
        <w:jc w:val="center"/>
        <w:outlineLvl w:val="1"/>
        <w:rPr>
          <w:rFonts w:ascii="宋体" w:hAnsi="宋体"/>
          <w:bCs/>
          <w:sz w:val="32"/>
          <w:szCs w:val="32"/>
        </w:rPr>
      </w:pPr>
      <w:bookmarkStart w:id="54" w:name="_Toc106794716"/>
      <w:r>
        <w:rPr>
          <w:rFonts w:hint="eastAsia" w:ascii="宋体" w:hAnsi="宋体"/>
          <w:bCs/>
          <w:sz w:val="32"/>
          <w:szCs w:val="32"/>
        </w:rPr>
        <w:t>第一节 评审程序和评审方法</w:t>
      </w:r>
      <w:bookmarkEnd w:id="54"/>
    </w:p>
    <w:p>
      <w:pPr>
        <w:spacing w:line="360" w:lineRule="auto"/>
        <w:ind w:firstLine="482" w:firstLineChars="200"/>
        <w:rPr>
          <w:rFonts w:ascii="宋体" w:hAnsi="宋体" w:cs="宋体"/>
          <w:b/>
          <w:bCs/>
          <w:sz w:val="24"/>
        </w:rPr>
      </w:pPr>
      <w:r>
        <w:rPr>
          <w:rFonts w:ascii="宋体" w:hAnsi="宋体" w:cs="宋体"/>
          <w:b/>
          <w:bCs/>
          <w:sz w:val="24"/>
        </w:rPr>
        <w:t>1</w:t>
      </w:r>
      <w:r>
        <w:rPr>
          <w:rFonts w:hint="eastAsia" w:ascii="宋体" w:hAnsi="宋体" w:cs="宋体"/>
          <w:b/>
          <w:bCs/>
          <w:sz w:val="24"/>
        </w:rPr>
        <w:t>.确认磋商文件</w:t>
      </w:r>
    </w:p>
    <w:p>
      <w:pPr>
        <w:spacing w:line="360" w:lineRule="auto"/>
        <w:ind w:firstLine="420" w:firstLineChars="200"/>
        <w:rPr>
          <w:rFonts w:ascii="宋体" w:hAnsi="宋体" w:cs="宋体"/>
          <w:szCs w:val="21"/>
        </w:rPr>
      </w:pPr>
      <w:r>
        <w:rPr>
          <w:rFonts w:hint="eastAsia" w:ascii="宋体" w:hAnsi="宋体" w:cs="宋体"/>
          <w:szCs w:val="21"/>
        </w:rPr>
        <w:t>由磋商小组确认磋商文件。</w:t>
      </w:r>
    </w:p>
    <w:p>
      <w:pPr>
        <w:spacing w:line="360" w:lineRule="auto"/>
        <w:ind w:firstLine="482" w:firstLineChars="200"/>
        <w:rPr>
          <w:rFonts w:ascii="宋体" w:hAnsi="宋体" w:cs="宋体"/>
          <w:b/>
          <w:bCs/>
          <w:sz w:val="24"/>
        </w:rPr>
      </w:pPr>
      <w:r>
        <w:rPr>
          <w:rFonts w:hint="eastAsia" w:ascii="宋体" w:hAnsi="宋体" w:cs="宋体"/>
          <w:b/>
          <w:bCs/>
          <w:sz w:val="24"/>
        </w:rPr>
        <w:t>2.资格审查</w:t>
      </w:r>
    </w:p>
    <w:p>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pPr>
        <w:snapToGrid w:val="0"/>
        <w:spacing w:line="360" w:lineRule="auto"/>
        <w:ind w:firstLine="420" w:firstLineChars="200"/>
        <w:rPr>
          <w:rFonts w:ascii="宋体" w:hAnsi="宋体" w:cs="宋体"/>
          <w:color w:val="auto"/>
          <w:szCs w:val="21"/>
        </w:rPr>
      </w:pPr>
      <w:r>
        <w:rPr>
          <w:rFonts w:hint="eastAsia" w:ascii="宋体" w:hAnsi="宋体" w:cs="宋体"/>
          <w:szCs w:val="21"/>
        </w:rPr>
        <w:t>注：采购人代表或者采购代理机构在资</w:t>
      </w:r>
      <w:r>
        <w:rPr>
          <w:rFonts w:hint="eastAsia" w:ascii="宋体" w:hAnsi="宋体" w:cs="宋体"/>
          <w:color w:val="auto"/>
          <w:szCs w:val="21"/>
        </w:rPr>
        <w:t>格审查结束前，对供应商进行信用查询。</w:t>
      </w:r>
    </w:p>
    <w:p>
      <w:pPr>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（1）查询渠道：“政采云”平台“信用中国”网站(</w:t>
      </w:r>
      <w:r>
        <w:rPr>
          <w:rFonts w:ascii="Calibri" w:hAnsi="Calibri"/>
          <w:color w:val="auto"/>
        </w:rPr>
        <w:fldChar w:fldCharType="begin"/>
      </w:r>
      <w:r>
        <w:rPr>
          <w:rFonts w:ascii="Calibri" w:hAnsi="Calibri"/>
          <w:color w:val="auto"/>
        </w:rPr>
        <w:instrText xml:space="preserve"> HYPERLINK "http://www.creditchina.gov.cn" </w:instrText>
      </w:r>
      <w:r>
        <w:rPr>
          <w:rFonts w:ascii="Calibri" w:hAnsi="Calibri"/>
          <w:color w:val="auto"/>
        </w:rPr>
        <w:fldChar w:fldCharType="separate"/>
      </w:r>
      <w:r>
        <w:rPr>
          <w:rFonts w:hint="eastAsia" w:ascii="宋体" w:hAnsi="宋体" w:cs="宋体"/>
          <w:color w:val="auto"/>
        </w:rPr>
        <w:t>www.creditchina.gov.cn</w:t>
      </w:r>
      <w:r>
        <w:rPr>
          <w:rFonts w:ascii="宋体" w:hAnsi="宋体" w:cs="宋体"/>
          <w:color w:val="auto"/>
        </w:rPr>
        <w:fldChar w:fldCharType="end"/>
      </w:r>
      <w:r>
        <w:rPr>
          <w:rFonts w:hint="eastAsia" w:ascii="宋体" w:hAnsi="宋体" w:cs="宋体"/>
          <w:color w:val="auto"/>
          <w:szCs w:val="21"/>
        </w:rPr>
        <w:t>)、中国政府采购网(</w:t>
      </w:r>
      <w:r>
        <w:rPr>
          <w:rFonts w:ascii="Calibri" w:hAnsi="Calibri"/>
          <w:color w:val="auto"/>
        </w:rPr>
        <w:fldChar w:fldCharType="begin"/>
      </w:r>
      <w:r>
        <w:rPr>
          <w:rFonts w:ascii="Calibri" w:hAnsi="Calibri"/>
          <w:color w:val="auto"/>
        </w:rPr>
        <w:instrText xml:space="preserve"> HYPERLINK "http://www.ccgp.gov.cn" </w:instrText>
      </w:r>
      <w:r>
        <w:rPr>
          <w:rFonts w:ascii="Calibri" w:hAnsi="Calibri"/>
          <w:color w:val="auto"/>
        </w:rPr>
        <w:fldChar w:fldCharType="separate"/>
      </w:r>
      <w:r>
        <w:rPr>
          <w:rFonts w:hint="eastAsia" w:ascii="宋体" w:hAnsi="宋体" w:cs="宋体"/>
          <w:color w:val="auto"/>
        </w:rPr>
        <w:t>www.ccgp.gov.cn</w:t>
      </w:r>
      <w:r>
        <w:rPr>
          <w:rFonts w:ascii="宋体" w:hAnsi="宋体" w:cs="宋体"/>
          <w:color w:val="auto"/>
        </w:rPr>
        <w:fldChar w:fldCharType="end"/>
      </w:r>
      <w:r>
        <w:rPr>
          <w:rFonts w:hint="eastAsia" w:ascii="宋体" w:hAnsi="宋体" w:cs="宋体"/>
          <w:color w:val="auto"/>
          <w:szCs w:val="21"/>
        </w:rPr>
        <w:t>)链接入口。</w:t>
      </w:r>
    </w:p>
    <w:p>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pPr>
        <w:spacing w:line="360" w:lineRule="auto"/>
        <w:ind w:firstLine="420" w:firstLineChars="200"/>
        <w:rPr>
          <w:rFonts w:hint="eastAsia" w:ascii="宋体" w:hAnsi="宋体" w:cs="宋体"/>
          <w:szCs w:val="21"/>
        </w:rPr>
      </w:pPr>
      <w:r>
        <w:rPr>
          <w:rFonts w:hint="eastAsia" w:ascii="宋体" w:hAnsi="宋体" w:cs="宋体"/>
          <w:szCs w:val="21"/>
        </w:rPr>
        <w:t>（3）信用信息使用规则：</w:t>
      </w:r>
      <w:r>
        <w:rPr>
          <w:rFonts w:hint="eastAsia"/>
        </w:rPr>
        <w:t>对在“信用中国”网站(www.creditchina.gov.cn)、中国政府采购网(www.ccgp.gov.cn)等渠道列入失信被执行人、重大税收违法失信主体、政府采购严重违法失信行为记录名单的供应商，资格审查不通过，不得参与政府采购活动</w:t>
      </w:r>
      <w:r>
        <w:rPr>
          <w:rFonts w:hint="eastAsia" w:ascii="宋体" w:hAnsi="宋体" w:cs="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hint="eastAsia" w:ascii="宋体" w:hAnsi="宋体" w:cs="宋体"/>
          <w:szCs w:val="21"/>
        </w:rPr>
      </w:pPr>
      <w:r>
        <w:rPr>
          <w:rFonts w:hint="eastAsia" w:ascii="宋体" w:hAnsi="宋体" w:cs="宋体"/>
          <w:szCs w:val="21"/>
        </w:rPr>
        <w:t>2.3供应商有下列情形之一的，资格审查不通过，其响应文件按无效响应处理：</w:t>
      </w:r>
    </w:p>
    <w:p>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）响应文件未提供任一项“供应商须知前附表”资格证明文件规定的“必须提供”的文件资料的；</w:t>
      </w:r>
    </w:p>
    <w:p>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cs="宋体"/>
          <w:szCs w:val="21"/>
        </w:rPr>
      </w:pPr>
      <w:bookmarkStart w:id="55" w:name="_Hlk68601553"/>
      <w:r>
        <w:rPr>
          <w:rFonts w:hint="eastAsia" w:ascii="宋体" w:hAnsi="宋体" w:cs="宋体"/>
          <w:szCs w:val="21"/>
        </w:rPr>
        <w:t>（4）同一合同项下的不同供应商，单位负责人为同一人或者存在直接控股、管理关系的；为本项目提供过整体设计、规范编制或者项目管理、监理、检测等服务的。</w:t>
      </w:r>
      <w:bookmarkEnd w:id="55"/>
    </w:p>
    <w:p>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pPr>
        <w:spacing w:line="360" w:lineRule="auto"/>
        <w:ind w:firstLine="482" w:firstLineChars="200"/>
        <w:rPr>
          <w:rFonts w:ascii="宋体" w:hAnsi="宋体" w:cs="宋体"/>
          <w:b/>
          <w:bCs/>
          <w:sz w:val="24"/>
        </w:rPr>
      </w:pPr>
      <w:r>
        <w:rPr>
          <w:rFonts w:hint="eastAsia" w:ascii="宋体" w:hAnsi="宋体" w:cs="宋体"/>
          <w:b/>
          <w:bCs/>
          <w:sz w:val="24"/>
        </w:rPr>
        <w:t>3.符合性审查</w:t>
      </w:r>
    </w:p>
    <w:p>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spacing w:val="-6"/>
          <w:szCs w:val="21"/>
        </w:rPr>
      </w:pPr>
      <w:r>
        <w:rPr>
          <w:rFonts w:hint="eastAsia" w:ascii="宋体" w:hAnsi="宋体" w:cs="宋体"/>
          <w:szCs w:val="21"/>
        </w:rPr>
        <w:t>3.</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pPr>
        <w:spacing w:line="360" w:lineRule="auto"/>
        <w:ind w:firstLine="396" w:firstLineChars="200"/>
        <w:rPr>
          <w:rFonts w:ascii="宋体" w:hAnsi="宋体" w:cs="宋体"/>
          <w:szCs w:val="21"/>
        </w:rPr>
      </w:pPr>
      <w:r>
        <w:rPr>
          <w:rFonts w:hint="eastAsia" w:ascii="宋体" w:hAnsi="宋体" w:cs="宋体"/>
          <w:spacing w:val="-6"/>
          <w:szCs w:val="21"/>
        </w:rPr>
        <w:t>3</w:t>
      </w:r>
      <w:r>
        <w:rPr>
          <w:rFonts w:ascii="宋体" w:hAnsi="宋体" w:cs="宋体"/>
          <w:spacing w:val="-6"/>
          <w:szCs w:val="21"/>
        </w:rPr>
        <w:t>.4</w:t>
      </w:r>
      <w:r>
        <w:rPr>
          <w:rFonts w:hint="eastAsia" w:ascii="宋体" w:hAnsi="宋体" w:cs="宋体"/>
          <w:szCs w:val="21"/>
        </w:rPr>
        <w:t xml:space="preserve">首次响应文件报价出现前后不一致的，按照下列规定修正： </w:t>
      </w:r>
    </w:p>
    <w:p>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5</w:t>
      </w:r>
      <w:r>
        <w:rPr>
          <w:rFonts w:hint="eastAsia" w:ascii="宋体" w:hAnsi="宋体" w:cs="宋体"/>
          <w:szCs w:val="21"/>
        </w:rPr>
        <w:t>商务技术、报价评审</w:t>
      </w:r>
    </w:p>
    <w:p>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pPr>
        <w:spacing w:line="360" w:lineRule="auto"/>
        <w:ind w:firstLine="420" w:firstLineChars="200"/>
        <w:rPr>
          <w:rFonts w:ascii="宋体" w:hAnsi="宋体" w:cs="宋体"/>
          <w:szCs w:val="21"/>
        </w:rPr>
      </w:pPr>
      <w:r>
        <w:rPr>
          <w:rFonts w:hint="eastAsia" w:ascii="宋体" w:hAnsi="宋体" w:cs="宋体"/>
          <w:szCs w:val="21"/>
        </w:rPr>
        <w:t>（1）商务技术评审</w:t>
      </w:r>
    </w:p>
    <w:p>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pPr>
        <w:spacing w:line="360" w:lineRule="auto"/>
        <w:ind w:firstLine="420" w:firstLineChars="200"/>
        <w:rPr>
          <w:rFonts w:ascii="宋体" w:hAnsi="宋体" w:cs="宋体"/>
          <w:szCs w:val="21"/>
        </w:rPr>
      </w:pPr>
      <w:r>
        <w:rPr>
          <w:rFonts w:hint="eastAsia" w:ascii="宋体" w:hAnsi="宋体" w:cs="宋体"/>
          <w:szCs w:val="21"/>
        </w:rPr>
        <w:t>5）未对竞标有效期作出响应或者响应文件承诺的竞标有效期不满足磋商文件要求；</w:t>
      </w:r>
    </w:p>
    <w:p>
      <w:pPr>
        <w:spacing w:line="360" w:lineRule="auto"/>
        <w:ind w:firstLine="420" w:firstLineChars="200"/>
        <w:rPr>
          <w:rFonts w:ascii="宋体" w:hAnsi="宋体" w:cs="宋体"/>
          <w:szCs w:val="21"/>
        </w:rPr>
      </w:pPr>
      <w:r>
        <w:rPr>
          <w:rFonts w:hint="eastAsia" w:ascii="宋体" w:hAnsi="宋体" w:cs="宋体"/>
          <w:szCs w:val="21"/>
        </w:rPr>
        <w:t>6）响应文件的实质性内容未使用中文表述、使用计量单位不符合磋商文件要求；</w:t>
      </w:r>
    </w:p>
    <w:p>
      <w:pPr>
        <w:spacing w:line="360" w:lineRule="auto"/>
        <w:ind w:firstLine="420" w:firstLineChars="200"/>
        <w:rPr>
          <w:rFonts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rPr>
        <w:t>8）响应文件含有采购人不能接受的附加条件；</w:t>
      </w:r>
    </w:p>
    <w:p>
      <w:pPr>
        <w:spacing w:line="360" w:lineRule="auto"/>
        <w:ind w:firstLine="420" w:firstLineChars="200"/>
        <w:rPr>
          <w:rFonts w:ascii="宋体" w:hAnsi="宋体" w:cs="宋体"/>
          <w:szCs w:val="21"/>
        </w:rPr>
      </w:pPr>
      <w:r>
        <w:rPr>
          <w:rFonts w:hint="eastAsia" w:ascii="宋体" w:hAnsi="宋体" w:cs="宋体"/>
          <w:szCs w:val="21"/>
        </w:rPr>
        <w:t>9）属于“供应商须知正文”第7.</w:t>
      </w:r>
      <w:r>
        <w:rPr>
          <w:rFonts w:ascii="宋体" w:hAnsi="宋体" w:cs="宋体"/>
          <w:szCs w:val="21"/>
        </w:rPr>
        <w:t>5</w:t>
      </w:r>
      <w:r>
        <w:rPr>
          <w:rFonts w:hint="eastAsia" w:ascii="宋体" w:hAnsi="宋体" w:cs="宋体"/>
          <w:szCs w:val="21"/>
        </w:rPr>
        <w:t>条情形；</w:t>
      </w:r>
    </w:p>
    <w:p>
      <w:pPr>
        <w:spacing w:line="360" w:lineRule="auto"/>
        <w:ind w:firstLine="420" w:firstLineChars="200"/>
        <w:rPr>
          <w:rFonts w:ascii="宋体" w:hAnsi="宋体" w:cs="宋体"/>
          <w:szCs w:val="21"/>
        </w:rPr>
      </w:pPr>
      <w:r>
        <w:rPr>
          <w:rFonts w:hint="eastAsia" w:ascii="宋体" w:hAnsi="宋体" w:cs="宋体"/>
          <w:szCs w:val="21"/>
        </w:rPr>
        <w:t>10）技术需求允许负偏离的条款数超过“供应商须知前附表”规定项数；</w:t>
      </w:r>
    </w:p>
    <w:p>
      <w:pPr>
        <w:spacing w:line="360" w:lineRule="auto"/>
        <w:ind w:firstLine="420" w:firstLineChars="200"/>
        <w:rPr>
          <w:rFonts w:ascii="宋体" w:hAnsi="宋体" w:cs="宋体"/>
          <w:szCs w:val="21"/>
        </w:rPr>
      </w:pPr>
      <w:r>
        <w:rPr>
          <w:rFonts w:hint="eastAsia" w:ascii="宋体" w:hAnsi="宋体" w:cs="宋体"/>
          <w:szCs w:val="21"/>
        </w:rPr>
        <w:t>11）虚假竞标，或者出现其他情形而导致被磋商小组认定无效；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pPr>
        <w:spacing w:line="360" w:lineRule="auto"/>
        <w:ind w:firstLine="420" w:firstLineChars="200"/>
        <w:rPr>
          <w:rFonts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pPr>
        <w:spacing w:line="360" w:lineRule="auto"/>
        <w:ind w:firstLine="420" w:firstLineChars="200"/>
        <w:rPr>
          <w:rFonts w:ascii="宋体" w:hAnsi="宋体" w:cs="宋体"/>
          <w:szCs w:val="21"/>
        </w:rPr>
      </w:pPr>
      <w:r>
        <w:rPr>
          <w:rFonts w:hint="eastAsia" w:ascii="宋体" w:hAnsi="宋体" w:cs="宋体"/>
          <w:szCs w:val="21"/>
        </w:rPr>
        <w:t>15）法律、法规和磋商文件规定的其他无效情形。</w:t>
      </w:r>
    </w:p>
    <w:p>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pPr>
        <w:spacing w:line="360" w:lineRule="auto"/>
        <w:ind w:firstLine="420" w:firstLineChars="200"/>
        <w:rPr>
          <w:rFonts w:ascii="宋体" w:hAnsi="宋体" w:cs="宋体"/>
          <w:szCs w:val="21"/>
        </w:rPr>
      </w:pPr>
      <w:r>
        <w:rPr>
          <w:rFonts w:hint="eastAsia" w:ascii="宋体" w:hAnsi="宋体" w:cs="宋体"/>
          <w:szCs w:val="21"/>
        </w:rPr>
        <w:t>1)响应文件未提供“供应商须知前附表” 报价文件中规定的“响应报价表”；</w:t>
      </w:r>
    </w:p>
    <w:p>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pPr>
        <w:spacing w:line="360" w:lineRule="auto"/>
        <w:ind w:firstLine="420" w:firstLineChars="200"/>
        <w:rPr>
          <w:rFonts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.7</w:t>
      </w:r>
      <w:r>
        <w:rPr>
          <w:rFonts w:hint="eastAsia" w:ascii="宋体" w:hAnsi="宋体" w:cs="宋体"/>
          <w:szCs w:val="21"/>
        </w:rPr>
        <w:t>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482" w:firstLineChars="200"/>
        <w:rPr>
          <w:rFonts w:ascii="宋体" w:hAnsi="宋体" w:cs="宋体"/>
          <w:b/>
          <w:bCs/>
          <w:sz w:val="24"/>
        </w:rPr>
      </w:pPr>
      <w:r>
        <w:rPr>
          <w:rFonts w:hint="eastAsia" w:ascii="宋体" w:hAnsi="宋体" w:cs="宋体"/>
          <w:b/>
          <w:bCs/>
          <w:sz w:val="24"/>
        </w:rPr>
        <w:t>4.磋商程序</w:t>
      </w:r>
    </w:p>
    <w:p>
      <w:pPr>
        <w:spacing w:line="360" w:lineRule="auto"/>
        <w:ind w:firstLine="420" w:firstLineChars="200"/>
        <w:rPr>
          <w:rFonts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磋商小组按照“供应商须知前附表”确定的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对磋商文件作出的实质性变动是磋商文件的有效组成部分，由磋商小组及时以电子澄清函形式同时通知所有参加磋商的供应商。</w:t>
      </w:r>
    </w:p>
    <w:p>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.4</w:t>
      </w:r>
      <w:r>
        <w:rPr>
          <w:rFonts w:hint="eastAsia" w:ascii="宋体" w:hAnsi="宋体" w:cs="宋体"/>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宋体" w:hAnsi="宋体" w:cs="仿宋_GB2312"/>
          <w:b/>
        </w:rPr>
      </w:pPr>
      <w:r>
        <w:rPr>
          <w:rFonts w:hint="eastAsia" w:ascii="宋体" w:hAnsi="宋体" w:cs="宋体"/>
          <w:szCs w:val="21"/>
        </w:rPr>
        <w:t>4</w:t>
      </w:r>
      <w:r>
        <w:rPr>
          <w:rFonts w:ascii="宋体" w:hAnsi="宋体" w:cs="宋体"/>
          <w:szCs w:val="21"/>
        </w:rPr>
        <w:t>.6</w:t>
      </w:r>
      <w:r>
        <w:rPr>
          <w:rFonts w:hint="eastAsia" w:ascii="宋体" w:hAnsi="宋体" w:cs="宋体"/>
          <w:szCs w:val="21"/>
        </w:rPr>
        <w:t>磋商小组应对磋商过程和重要磋商内容进行记录，作为评标报告一部分，磋商小组在记录上签字确认。</w:t>
      </w:r>
      <w:r>
        <w:rPr>
          <w:rFonts w:hint="eastAsia" w:ascii="宋体" w:hAnsi="宋体" w:cs="仿宋_GB2312"/>
          <w:b/>
        </w:rPr>
        <w:t>主要内容包括：</w:t>
      </w:r>
    </w:p>
    <w:p>
      <w:pPr>
        <w:adjustRightInd w:val="0"/>
        <w:spacing w:line="360" w:lineRule="auto"/>
        <w:ind w:firstLine="396" w:firstLineChars="200"/>
        <w:rPr>
          <w:rFonts w:ascii="宋体" w:hAnsi="宋体" w:cs="宋体"/>
          <w:spacing w:val="-6"/>
          <w:szCs w:val="21"/>
        </w:rPr>
      </w:pPr>
      <w:r>
        <w:rPr>
          <w:rFonts w:hint="eastAsia" w:ascii="宋体" w:hAnsi="宋体" w:cs="宋体"/>
          <w:spacing w:val="-6"/>
          <w:szCs w:val="21"/>
        </w:rPr>
        <w:t>（1）按照相关规定进行公示的，公示情况说明；</w:t>
      </w:r>
    </w:p>
    <w:p>
      <w:pPr>
        <w:adjustRightInd w:val="0"/>
        <w:spacing w:line="360" w:lineRule="auto"/>
        <w:ind w:firstLine="396" w:firstLineChars="200"/>
        <w:rPr>
          <w:rFonts w:ascii="宋体" w:hAnsi="宋体" w:cs="宋体"/>
          <w:spacing w:val="-6"/>
          <w:szCs w:val="21"/>
        </w:rPr>
      </w:pPr>
      <w:r>
        <w:rPr>
          <w:rFonts w:hint="eastAsia" w:ascii="宋体" w:hAnsi="宋体" w:cs="宋体"/>
          <w:spacing w:val="-6"/>
          <w:szCs w:val="21"/>
        </w:rPr>
        <w:t>（2）磋商日期和地点，磋商人员名单；</w:t>
      </w:r>
    </w:p>
    <w:p>
      <w:pPr>
        <w:adjustRightInd w:val="0"/>
        <w:spacing w:line="360" w:lineRule="auto"/>
        <w:ind w:firstLine="396" w:firstLineChars="200"/>
        <w:rPr>
          <w:rFonts w:ascii="宋体" w:hAnsi="宋体" w:cs="宋体"/>
          <w:spacing w:val="-6"/>
          <w:szCs w:val="21"/>
        </w:rPr>
      </w:pPr>
      <w:r>
        <w:rPr>
          <w:rFonts w:hint="eastAsia" w:ascii="宋体" w:hAnsi="宋体" w:cs="宋体"/>
          <w:spacing w:val="-6"/>
          <w:szCs w:val="21"/>
        </w:rPr>
        <w:t>（3）合同主要条款及价格商定情况。</w:t>
      </w:r>
    </w:p>
    <w:p>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7</w:t>
      </w:r>
      <w:r>
        <w:rPr>
          <w:rFonts w:hint="eastAsia" w:ascii="宋体" w:hAnsi="宋体" w:cs="宋体"/>
          <w:szCs w:val="21"/>
        </w:rPr>
        <w:t>磋商过程中重新提交的响应文件，供应商可以在开启前补充、修改。</w:t>
      </w:r>
    </w:p>
    <w:p>
      <w:pPr>
        <w:tabs>
          <w:tab w:val="left" w:pos="2835"/>
        </w:tabs>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pPr>
        <w:ind w:firstLine="200"/>
        <w:rPr>
          <w:rFonts w:ascii="宋体" w:hAnsi="宋体" w:cs="宋体"/>
          <w:szCs w:val="21"/>
        </w:rPr>
      </w:pPr>
      <w:r>
        <w:rPr>
          <w:rFonts w:hint="eastAsia" w:ascii="宋体" w:hAnsi="宋体" w:cs="宋体"/>
          <w:b/>
          <w:bCs/>
          <w:sz w:val="24"/>
        </w:rPr>
        <w:t>5</w:t>
      </w:r>
      <w:r>
        <w:rPr>
          <w:rFonts w:ascii="宋体" w:hAnsi="宋体" w:cs="宋体"/>
          <w:b/>
          <w:bCs/>
          <w:sz w:val="24"/>
        </w:rPr>
        <w:t>.</w:t>
      </w:r>
      <w:r>
        <w:rPr>
          <w:rFonts w:hint="eastAsia" w:ascii="宋体" w:hAnsi="宋体" w:cs="宋体"/>
          <w:b/>
          <w:bCs/>
          <w:sz w:val="24"/>
        </w:rPr>
        <w:t xml:space="preserve"> 最后报价</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.1</w:t>
      </w:r>
      <w:r>
        <w:rPr>
          <w:rFonts w:hint="eastAsia" w:ascii="宋体" w:hAnsi="宋体" w:cs="宋体"/>
          <w:szCs w:val="21"/>
        </w:rPr>
        <w:t>磋商文件能够详细列明采购标的的技术、服务要求的，磋商结束后，由磋商小组要求所有继续参加磋商的供应商在规定时间内密封提交最后报价，除本章第5</w:t>
      </w:r>
      <w:r>
        <w:rPr>
          <w:rFonts w:ascii="宋体" w:hAnsi="宋体" w:cs="宋体"/>
          <w:szCs w:val="21"/>
        </w:rPr>
        <w:t>.3</w:t>
      </w:r>
      <w:r>
        <w:rPr>
          <w:rFonts w:hint="eastAsia" w:ascii="宋体" w:hAnsi="宋体" w:cs="宋体"/>
          <w:szCs w:val="21"/>
        </w:rPr>
        <w:t>条外，提交最后报价的供应商不得少于3家，否则必须重新采购。</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r>
        <w:rPr>
          <w:rFonts w:hint="eastAsia" w:ascii="宋体" w:hAnsi="宋体" w:cs="宋体"/>
          <w:b/>
          <w:color w:val="000000"/>
          <w:szCs w:val="21"/>
        </w:rPr>
        <w:t>如果供应商的最后报价与首次报价不一致的，必须同时提供“已标价工程量清单”，否则做无效响应处理。</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.4</w:t>
      </w:r>
      <w:r>
        <w:rPr>
          <w:rFonts w:hint="eastAsia" w:ascii="宋体" w:hAnsi="宋体" w:cs="宋体"/>
          <w:szCs w:val="21"/>
        </w:rPr>
        <w:t>已经提交响应文件的供应商，在提交最后报价之前，可以根据磋商情况退出磋商，退出磋商的供应商的响应文件按无效响应处理。</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.5</w:t>
      </w:r>
      <w:r>
        <w:rPr>
          <w:rFonts w:hint="eastAsia" w:ascii="宋体" w:hAnsi="宋体" w:cs="宋体"/>
          <w:szCs w:val="21"/>
        </w:rPr>
        <w:t>供应商未在规定时间内提交最后报价的，视同退出磋商。</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.6</w:t>
      </w:r>
      <w:r>
        <w:rPr>
          <w:rFonts w:hint="eastAsia" w:ascii="宋体" w:hAnsi="宋体" w:cs="宋体"/>
          <w:szCs w:val="21"/>
        </w:rPr>
        <w:t>磋商小组收齐某一分标最后报价后统一开启，磋商小组对最后报价进行有效性、完整性和响应程度的审查。</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.7</w:t>
      </w:r>
      <w:r>
        <w:rPr>
          <w:rFonts w:hint="eastAsia" w:ascii="宋体" w:hAnsi="宋体" w:cs="宋体"/>
          <w:szCs w:val="21"/>
        </w:rPr>
        <w:t>最终响应文件的报价出现前后不一致的，按照本章第3</w:t>
      </w:r>
      <w:r>
        <w:rPr>
          <w:rFonts w:ascii="宋体" w:hAnsi="宋体" w:cs="宋体"/>
          <w:szCs w:val="21"/>
        </w:rPr>
        <w:t>.4</w:t>
      </w:r>
      <w:r>
        <w:rPr>
          <w:rFonts w:hint="eastAsia" w:ascii="宋体" w:hAnsi="宋体" w:cs="宋体"/>
          <w:szCs w:val="21"/>
        </w:rPr>
        <w:t xml:space="preserve">条的规定修正。 </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.8</w:t>
      </w:r>
      <w:r>
        <w:rPr>
          <w:rFonts w:hint="eastAsia" w:ascii="宋体" w:hAnsi="宋体" w:cs="宋体"/>
          <w:szCs w:val="21"/>
        </w:rPr>
        <w:t>修正后的最终报价出现下列情形的，按无效响应处理：</w:t>
      </w:r>
    </w:p>
    <w:p>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.9</w:t>
      </w:r>
      <w:r>
        <w:rPr>
          <w:rFonts w:hint="eastAsia" w:ascii="宋体" w:hAnsi="宋体" w:cs="宋体"/>
          <w:szCs w:val="21"/>
        </w:rPr>
        <w:t>经供应商确认修正后的最后报价作为评审及签订合同的依据。</w:t>
      </w:r>
    </w:p>
    <w:p>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pPr>
        <w:spacing w:line="360" w:lineRule="auto"/>
        <w:ind w:firstLine="420" w:firstLineChars="200"/>
        <w:rPr>
          <w:rFonts w:ascii="宋体" w:hAnsi="宋体" w:cs="宋体"/>
          <w:szCs w:val="21"/>
        </w:rPr>
      </w:pPr>
      <w:r>
        <w:rPr>
          <w:rFonts w:ascii="宋体" w:hAnsi="宋体" w:cs="宋体"/>
          <w:szCs w:val="21"/>
        </w:rPr>
        <w:t>5.1</w:t>
      </w:r>
      <w:r>
        <w:rPr>
          <w:rFonts w:hint="eastAsia" w:ascii="宋体" w:hAnsi="宋体" w:cs="宋体"/>
          <w:szCs w:val="21"/>
        </w:rPr>
        <w:t>1最后报价结束后，磋商小组不得再与供应商进行任何形式的商谈。</w:t>
      </w:r>
    </w:p>
    <w:p>
      <w:pPr>
        <w:ind w:firstLine="200"/>
        <w:rPr>
          <w:rFonts w:ascii="宋体" w:hAnsi="宋体" w:cs="宋体"/>
          <w:b/>
          <w:bCs/>
          <w:sz w:val="24"/>
        </w:rPr>
      </w:pPr>
      <w:r>
        <w:rPr>
          <w:rFonts w:hint="eastAsia" w:ascii="宋体" w:hAnsi="宋体" w:cs="宋体"/>
          <w:b/>
          <w:bCs/>
          <w:sz w:val="24"/>
        </w:rPr>
        <w:t>6</w:t>
      </w:r>
      <w:r>
        <w:rPr>
          <w:rFonts w:ascii="宋体" w:hAnsi="宋体" w:cs="宋体"/>
          <w:b/>
          <w:bCs/>
          <w:sz w:val="24"/>
        </w:rPr>
        <w:t>.</w:t>
      </w:r>
      <w:r>
        <w:rPr>
          <w:rFonts w:hint="eastAsia" w:ascii="宋体" w:hAnsi="宋体" w:cs="宋体"/>
          <w:b/>
          <w:bCs/>
          <w:sz w:val="24"/>
        </w:rPr>
        <w:t>比较与评价</w:t>
      </w:r>
    </w:p>
    <w:p>
      <w:pPr>
        <w:spacing w:line="360" w:lineRule="auto"/>
        <w:ind w:firstLine="420" w:firstLineChars="200"/>
        <w:rPr>
          <w:rFonts w:ascii="宋体" w:hAnsi="宋体" w:cs="宋体"/>
          <w:szCs w:val="21"/>
        </w:rPr>
      </w:pPr>
      <w:r>
        <w:rPr>
          <w:rFonts w:hint="eastAsia" w:ascii="宋体" w:hAnsi="宋体" w:cs="宋体"/>
          <w:szCs w:val="21"/>
        </w:rPr>
        <w:t>6</w:t>
      </w:r>
      <w:r>
        <w:rPr>
          <w:rFonts w:ascii="宋体" w:hAnsi="宋体" w:cs="宋体"/>
          <w:szCs w:val="21"/>
        </w:rPr>
        <w:t>.1</w:t>
      </w:r>
      <w:r>
        <w:rPr>
          <w:rFonts w:hint="eastAsia" w:ascii="宋体" w:hAnsi="宋体" w:cs="宋体"/>
          <w:szCs w:val="21"/>
        </w:rPr>
        <w:t>评审方法：综合评分法。</w:t>
      </w:r>
    </w:p>
    <w:p>
      <w:pPr>
        <w:spacing w:line="360" w:lineRule="auto"/>
        <w:ind w:firstLine="420" w:firstLineChars="200"/>
        <w:rPr>
          <w:rFonts w:ascii="宋体" w:hAnsi="宋体" w:cs="宋体"/>
          <w:szCs w:val="21"/>
        </w:rPr>
      </w:pPr>
      <w:r>
        <w:rPr>
          <w:rFonts w:ascii="宋体" w:hAnsi="宋体" w:cs="宋体"/>
          <w:szCs w:val="21"/>
        </w:rPr>
        <w:t>6.2</w:t>
      </w:r>
      <w:r>
        <w:rPr>
          <w:rFonts w:hint="eastAsia" w:ascii="宋体" w:hAnsi="宋体" w:cs="宋体"/>
          <w:szCs w:val="21"/>
        </w:rPr>
        <w:t>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宋体" w:hAnsi="宋体" w:cs="宋体"/>
          <w:szCs w:val="21"/>
        </w:rPr>
      </w:pPr>
      <w:r>
        <w:rPr>
          <w:rFonts w:ascii="宋体" w:hAnsi="宋体" w:cs="宋体"/>
          <w:szCs w:val="21"/>
        </w:rPr>
        <w:t>6.3</w:t>
      </w:r>
      <w:r>
        <w:rPr>
          <w:rFonts w:hint="eastAsia" w:ascii="宋体" w:hAnsi="宋体" w:cs="宋体"/>
          <w:szCs w:val="21"/>
        </w:rPr>
        <w:t>评审时，磋商小组各成员应当独立对每个有效响应的文件进行评价、打分，然后汇总每个供应商每项评分因素的得分。</w:t>
      </w:r>
    </w:p>
    <w:p>
      <w:pPr>
        <w:spacing w:line="360" w:lineRule="auto"/>
        <w:ind w:firstLine="420" w:firstLineChars="200"/>
        <w:rPr>
          <w:rFonts w:ascii="宋体" w:hAnsi="宋体" w:cs="宋体"/>
          <w:szCs w:val="21"/>
        </w:rPr>
      </w:pPr>
      <w:r>
        <w:rPr>
          <w:rFonts w:hint="eastAsia" w:ascii="宋体" w:hAnsi="宋体"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cs="宋体"/>
          <w:szCs w:val="21"/>
        </w:rPr>
      </w:pPr>
      <w:r>
        <w:rPr>
          <w:rFonts w:hint="eastAsia" w:ascii="宋体" w:hAnsi="宋体" w:cs="宋体"/>
          <w:szCs w:val="21"/>
        </w:rPr>
        <w:t>（3）各供应商的得分为磋商小组所有成员的有效评分的算术平均数。</w:t>
      </w:r>
    </w:p>
    <w:p>
      <w:pPr>
        <w:spacing w:line="360" w:lineRule="auto"/>
        <w:ind w:firstLine="420" w:firstLineChars="200"/>
        <w:rPr>
          <w:rFonts w:ascii="宋体" w:hAnsi="宋体" w:cs="宋体"/>
          <w:szCs w:val="21"/>
        </w:rPr>
      </w:pPr>
      <w:r>
        <w:rPr>
          <w:rFonts w:ascii="宋体" w:hAnsi="宋体" w:cs="宋体"/>
          <w:szCs w:val="21"/>
        </w:rPr>
        <w:t>6.4</w:t>
      </w:r>
      <w:r>
        <w:rPr>
          <w:rFonts w:hint="eastAsia" w:ascii="宋体" w:hAnsi="宋体" w:cs="宋体"/>
          <w:szCs w:val="21"/>
        </w:rPr>
        <w:t>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宋体" w:hAnsi="宋体"/>
          <w:kern w:val="0"/>
          <w:szCs w:val="21"/>
        </w:rPr>
      </w:pPr>
      <w:r>
        <w:rPr>
          <w:rFonts w:ascii="宋体" w:hAnsi="宋体" w:cs="宋体"/>
          <w:szCs w:val="21"/>
        </w:rPr>
        <w:t>6.5</w:t>
      </w:r>
      <w:r>
        <w:rPr>
          <w:rFonts w:hint="eastAsia" w:ascii="宋体" w:hAnsi="宋体" w:cs="宋体"/>
          <w:szCs w:val="21"/>
        </w:rPr>
        <w:t>由磋商小组根据综合评分情况，按照评审得分由高到低顺序推荐3名以上成交候选供应商，并编写评</w:t>
      </w:r>
      <w:r>
        <w:rPr>
          <w:rFonts w:hint="eastAsia" w:ascii="宋体" w:hAnsi="宋体"/>
          <w:kern w:val="0"/>
          <w:szCs w:val="21"/>
        </w:rPr>
        <w:t>审报告。符合本章第</w:t>
      </w:r>
      <w:r>
        <w:rPr>
          <w:rFonts w:ascii="宋体" w:hAnsi="宋体"/>
          <w:kern w:val="0"/>
          <w:szCs w:val="21"/>
        </w:rPr>
        <w:t>5.3</w:t>
      </w:r>
      <w:r>
        <w:rPr>
          <w:rFonts w:hint="eastAsia" w:ascii="宋体" w:hAnsi="宋体"/>
          <w:kern w:val="0"/>
          <w:szCs w:val="21"/>
        </w:rPr>
        <w:t>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宋体" w:hAnsi="宋体"/>
          <w:kern w:val="0"/>
          <w:szCs w:val="21"/>
        </w:rPr>
      </w:pPr>
      <w:r>
        <w:rPr>
          <w:rFonts w:ascii="宋体" w:hAnsi="宋体"/>
          <w:kern w:val="0"/>
          <w:szCs w:val="21"/>
        </w:rPr>
        <w:t>6.6</w:t>
      </w:r>
      <w:r>
        <w:rPr>
          <w:rFonts w:hint="eastAsia" w:ascii="宋体" w:hAnsi="宋体"/>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200"/>
        <w:rPr>
          <w:rFonts w:ascii="宋体" w:hAnsi="宋体" w:cs="宋体"/>
          <w:b/>
          <w:bCs/>
          <w:sz w:val="24"/>
        </w:rPr>
      </w:pPr>
      <w:r>
        <w:rPr>
          <w:rFonts w:hint="eastAsia" w:ascii="宋体" w:hAnsi="宋体" w:cs="宋体"/>
          <w:b/>
          <w:bCs/>
          <w:sz w:val="24"/>
        </w:rPr>
        <w:t>7</w:t>
      </w:r>
      <w:r>
        <w:rPr>
          <w:rFonts w:ascii="宋体" w:hAnsi="宋体" w:cs="宋体"/>
          <w:b/>
          <w:bCs/>
          <w:sz w:val="24"/>
        </w:rPr>
        <w:t>.</w:t>
      </w:r>
      <w:r>
        <w:rPr>
          <w:rFonts w:hint="eastAsia" w:ascii="宋体" w:hAnsi="宋体" w:cs="宋体"/>
          <w:b/>
          <w:bCs/>
          <w:sz w:val="24"/>
        </w:rPr>
        <w:t>评审复核</w:t>
      </w:r>
    </w:p>
    <w:p>
      <w:pPr>
        <w:spacing w:line="360" w:lineRule="auto"/>
        <w:ind w:firstLine="420" w:firstLineChars="200"/>
        <w:rPr>
          <w:rFonts w:ascii="宋体" w:hAnsi="宋体"/>
          <w:szCs w:val="21"/>
        </w:rPr>
      </w:pPr>
      <w:r>
        <w:rPr>
          <w:rFonts w:hint="eastAsia" w:ascii="宋体" w:hAnsi="宋体"/>
          <w:szCs w:val="21"/>
        </w:rPr>
        <w:t>7.1评审报告签署前，评审委员会要对评审结果进行复核，复核意见要体现在评审报告中。</w:t>
      </w:r>
    </w:p>
    <w:p>
      <w:pPr>
        <w:widowControl/>
        <w:spacing w:line="360" w:lineRule="auto"/>
        <w:ind w:firstLine="420" w:firstLineChars="200"/>
        <w:jc w:val="left"/>
        <w:rPr>
          <w:rFonts w:ascii="宋体" w:hAnsi="宋体" w:cs="宋体"/>
          <w:szCs w:val="21"/>
        </w:rPr>
      </w:pPr>
      <w:r>
        <w:rPr>
          <w:rFonts w:hint="eastAsia" w:ascii="宋体" w:hAnsi="宋体" w:cs="宋体"/>
          <w:kern w:val="0"/>
          <w:szCs w:val="21"/>
        </w:rPr>
        <w:t>7.2</w:t>
      </w:r>
      <w:r>
        <w:rPr>
          <w:rFonts w:ascii="宋体" w:hAnsi="宋体" w:cs="宋体"/>
          <w:kern w:val="0"/>
          <w:szCs w:val="21"/>
        </w:rPr>
        <w:t>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ind w:firstLine="200"/>
        <w:rPr>
          <w:rFonts w:ascii="宋体" w:hAnsi="宋体" w:cs="宋体"/>
          <w:b/>
          <w:bCs/>
          <w:sz w:val="24"/>
        </w:rPr>
      </w:pPr>
      <w:r>
        <w:rPr>
          <w:rFonts w:ascii="宋体" w:hAnsi="宋体" w:cs="宋体"/>
          <w:b/>
          <w:bCs/>
          <w:sz w:val="24"/>
        </w:rPr>
        <w:t>8.</w:t>
      </w:r>
      <w:r>
        <w:rPr>
          <w:rFonts w:hint="eastAsia" w:ascii="宋体" w:hAnsi="宋体" w:cs="宋体"/>
          <w:b/>
          <w:bCs/>
          <w:sz w:val="24"/>
        </w:rPr>
        <w:t>评审标准</w:t>
      </w:r>
    </w:p>
    <w:p>
      <w:pPr>
        <w:spacing w:line="360" w:lineRule="auto"/>
        <w:ind w:firstLine="422" w:firstLineChars="200"/>
        <w:rPr>
          <w:rFonts w:ascii="宋体" w:hAnsi="宋体"/>
          <w:bCs/>
          <w:szCs w:val="21"/>
        </w:rPr>
      </w:pPr>
      <w:r>
        <w:rPr>
          <w:rFonts w:ascii="宋体" w:hAnsi="宋体"/>
          <w:b/>
        </w:rPr>
        <w:t>8</w:t>
      </w:r>
      <w:r>
        <w:rPr>
          <w:rFonts w:hint="eastAsia" w:ascii="宋体" w:hAnsi="宋体"/>
          <w:b/>
        </w:rPr>
        <w:t>.</w:t>
      </w:r>
      <w:r>
        <w:rPr>
          <w:rFonts w:hint="eastAsia" w:ascii="宋体" w:hAnsi="宋体"/>
          <w:bCs/>
          <w:szCs w:val="21"/>
        </w:rPr>
        <w:t>1评审依据：磋商小组将以磋商响应文件为评审依据，对供应商的报价、技术、商务等方面内容按百分制打分。（计分方法按四舍五入取至百分位）</w:t>
      </w:r>
    </w:p>
    <w:tbl>
      <w:tblPr>
        <w:tblStyle w:val="46"/>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910"/>
        <w:gridCol w:w="6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pPr>
              <w:pStyle w:val="275"/>
              <w:keepNext w:val="0"/>
              <w:keepLines w:val="0"/>
              <w:pageBreakBefore w:val="0"/>
              <w:widowControl/>
              <w:kinsoku/>
              <w:wordWrap/>
              <w:overflowPunct/>
              <w:topLinePunct w:val="0"/>
              <w:autoSpaceDE/>
              <w:autoSpaceDN/>
              <w:bidi w:val="0"/>
              <w:snapToGrid/>
              <w:spacing w:line="400" w:lineRule="exact"/>
              <w:jc w:val="left"/>
              <w:rPr>
                <w:rFonts w:hint="eastAsia" w:ascii="黑体" w:hAnsi="黑体" w:eastAsia="黑体" w:cs="黑体"/>
                <w:b/>
                <w:bCs/>
                <w:color w:val="auto"/>
                <w:kern w:val="0"/>
                <w:szCs w:val="21"/>
                <w:lang w:bidi="ar-SA"/>
              </w:rPr>
            </w:pPr>
            <w:r>
              <w:rPr>
                <w:rFonts w:hint="eastAsia" w:ascii="黑体" w:hAnsi="黑体" w:eastAsia="黑体" w:cs="黑体"/>
                <w:b/>
                <w:bCs/>
                <w:color w:val="auto"/>
                <w:kern w:val="0"/>
                <w:szCs w:val="21"/>
                <w:lang w:val="en-US" w:eastAsia="zh-CN" w:bidi="ar-SA"/>
              </w:rPr>
              <w:t xml:space="preserve"> </w:t>
            </w:r>
            <w:r>
              <w:rPr>
                <w:rFonts w:hint="eastAsia" w:ascii="黑体" w:hAnsi="黑体" w:eastAsia="黑体" w:cs="黑体"/>
                <w:b/>
                <w:bCs/>
                <w:color w:val="auto"/>
                <w:kern w:val="0"/>
                <w:szCs w:val="21"/>
                <w:lang w:bidi="ar-SA"/>
              </w:rPr>
              <w:t>序号</w:t>
            </w:r>
          </w:p>
        </w:tc>
        <w:tc>
          <w:tcPr>
            <w:tcW w:w="1910" w:type="dxa"/>
            <w:noWrap w:val="0"/>
            <w:vAlign w:val="center"/>
          </w:tcPr>
          <w:p>
            <w:pPr>
              <w:pStyle w:val="277"/>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b/>
                <w:bCs/>
                <w:color w:val="auto"/>
                <w:kern w:val="0"/>
                <w:szCs w:val="21"/>
                <w:lang w:bidi="ar-SA"/>
              </w:rPr>
            </w:pPr>
            <w:r>
              <w:rPr>
                <w:rFonts w:hint="eastAsia" w:ascii="黑体" w:hAnsi="黑体" w:eastAsia="黑体" w:cs="黑体"/>
                <w:b/>
                <w:bCs/>
                <w:color w:val="auto"/>
                <w:kern w:val="0"/>
                <w:szCs w:val="21"/>
                <w:lang w:bidi="ar-SA"/>
              </w:rPr>
              <w:t>评审因素</w:t>
            </w:r>
          </w:p>
        </w:tc>
        <w:tc>
          <w:tcPr>
            <w:tcW w:w="6917" w:type="dxa"/>
            <w:noWrap w:val="0"/>
            <w:vAlign w:val="center"/>
          </w:tcPr>
          <w:p>
            <w:pPr>
              <w:pStyle w:val="279"/>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b/>
                <w:bCs/>
                <w:color w:val="auto"/>
                <w:kern w:val="0"/>
                <w:szCs w:val="21"/>
                <w:lang w:bidi="ar-SA"/>
              </w:rPr>
            </w:pPr>
            <w:r>
              <w:rPr>
                <w:rFonts w:hint="eastAsia" w:ascii="黑体" w:hAnsi="黑体" w:eastAsia="黑体" w:cs="黑体"/>
                <w:b/>
                <w:bCs/>
                <w:color w:val="auto"/>
                <w:kern w:val="0"/>
                <w:szCs w:val="21"/>
                <w:lang w:bidi="ar-SA"/>
              </w:rPr>
              <w:t>评审因素具体内容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dxa"/>
            <w:noWrap w:val="0"/>
            <w:vAlign w:val="center"/>
          </w:tcPr>
          <w:p>
            <w:pPr>
              <w:pStyle w:val="281"/>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color w:val="auto"/>
                <w:kern w:val="0"/>
                <w:szCs w:val="21"/>
                <w:lang w:bidi="ar-SA"/>
              </w:rPr>
            </w:pPr>
            <w:r>
              <w:rPr>
                <w:rFonts w:hint="eastAsia" w:ascii="黑体" w:hAnsi="黑体" w:eastAsia="黑体" w:cs="黑体"/>
                <w:color w:val="auto"/>
                <w:kern w:val="0"/>
                <w:szCs w:val="21"/>
                <w:lang w:bidi="ar-SA"/>
              </w:rPr>
              <w:t>1</w:t>
            </w:r>
          </w:p>
        </w:tc>
        <w:tc>
          <w:tcPr>
            <w:tcW w:w="1910" w:type="dxa"/>
            <w:noWrap w:val="0"/>
            <w:vAlign w:val="center"/>
          </w:tcPr>
          <w:p>
            <w:pPr>
              <w:pStyle w:val="283"/>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b/>
                <w:bCs/>
                <w:color w:val="auto"/>
                <w:kern w:val="0"/>
                <w:szCs w:val="21"/>
                <w:lang w:bidi="ar-SA"/>
              </w:rPr>
            </w:pPr>
            <w:r>
              <w:rPr>
                <w:rFonts w:hint="eastAsia" w:ascii="黑体" w:hAnsi="黑体" w:eastAsia="黑体" w:cs="黑体"/>
                <w:b/>
                <w:bCs/>
                <w:color w:val="auto"/>
                <w:kern w:val="0"/>
                <w:szCs w:val="21"/>
                <w:lang w:bidi="ar-SA"/>
              </w:rPr>
              <w:t>价格分（满分</w:t>
            </w:r>
            <w:r>
              <w:rPr>
                <w:rFonts w:hint="eastAsia" w:ascii="黑体" w:hAnsi="黑体" w:eastAsia="黑体" w:cs="黑体"/>
                <w:b/>
                <w:bCs/>
                <w:color w:val="auto"/>
                <w:kern w:val="0"/>
                <w:szCs w:val="21"/>
                <w:lang w:val="en-US" w:eastAsia="zh-CN" w:bidi="ar-SA"/>
              </w:rPr>
              <w:t>1</w:t>
            </w:r>
            <w:r>
              <w:rPr>
                <w:rFonts w:hint="eastAsia" w:ascii="黑体" w:hAnsi="黑体" w:eastAsia="黑体" w:cs="黑体"/>
                <w:b/>
                <w:bCs/>
                <w:color w:val="auto"/>
                <w:kern w:val="0"/>
                <w:szCs w:val="21"/>
                <w:lang w:bidi="ar-SA"/>
              </w:rPr>
              <w:t>0分）</w:t>
            </w:r>
          </w:p>
        </w:tc>
        <w:tc>
          <w:tcPr>
            <w:tcW w:w="6917" w:type="dxa"/>
            <w:noWrap w:val="0"/>
            <w:vAlign w:val="top"/>
          </w:tcPr>
          <w:p>
            <w:pPr>
              <w:pStyle w:val="285"/>
              <w:keepNext w:val="0"/>
              <w:keepLines w:val="0"/>
              <w:pageBreakBefore w:val="0"/>
              <w:kinsoku/>
              <w:wordWrap/>
              <w:overflowPunct/>
              <w:topLinePunct w:val="0"/>
              <w:autoSpaceDE/>
              <w:autoSpaceDN/>
              <w:bidi w:val="0"/>
              <w:snapToGrid/>
              <w:spacing w:line="400" w:lineRule="exact"/>
              <w:rPr>
                <w:rFonts w:hint="eastAsia" w:ascii="宋体" w:hAnsi="宋体" w:eastAsia="宋体" w:cs="宋体"/>
                <w:color w:val="auto"/>
                <w:sz w:val="21"/>
                <w:lang w:bidi="ar-SA"/>
              </w:rPr>
            </w:pPr>
            <w:r>
              <w:rPr>
                <w:rFonts w:hint="eastAsia" w:ascii="宋体" w:hAnsi="宋体" w:eastAsia="宋体" w:cs="宋体"/>
                <w:color w:val="auto"/>
                <w:sz w:val="21"/>
                <w:lang w:bidi="ar-SA"/>
              </w:rPr>
              <w:t>（1）本项目为专门面向中小企业采购的项目，按照《政府采购促进中小企业发展管理办法》（财库〔2020〕46号）的规定，对</w:t>
            </w:r>
            <w:r>
              <w:rPr>
                <w:rFonts w:hint="eastAsia" w:hAnsi="宋体" w:cs="宋体"/>
                <w:color w:val="auto"/>
                <w:sz w:val="21"/>
                <w:lang w:val="en-US" w:eastAsia="zh-CN" w:bidi="ar-SA"/>
              </w:rPr>
              <w:t>供应商</w:t>
            </w:r>
            <w:r>
              <w:rPr>
                <w:rFonts w:hint="eastAsia" w:ascii="宋体" w:hAnsi="宋体" w:eastAsia="宋体" w:cs="宋体"/>
                <w:color w:val="auto"/>
                <w:sz w:val="21"/>
                <w:lang w:bidi="ar-SA"/>
              </w:rPr>
              <w:t>的</w:t>
            </w:r>
            <w:r>
              <w:rPr>
                <w:rFonts w:hint="eastAsia" w:hAnsi="宋体" w:cs="宋体"/>
                <w:color w:val="auto"/>
                <w:sz w:val="21"/>
                <w:lang w:val="en-US" w:eastAsia="zh-CN" w:bidi="ar-SA"/>
              </w:rPr>
              <w:t>磋商报</w:t>
            </w:r>
            <w:r>
              <w:rPr>
                <w:rFonts w:hint="eastAsia" w:ascii="宋体" w:hAnsi="宋体" w:eastAsia="宋体" w:cs="宋体"/>
                <w:color w:val="auto"/>
                <w:sz w:val="21"/>
                <w:lang w:bidi="ar-SA"/>
              </w:rPr>
              <w:t>价不再执行价格评审优惠的扶持政策。</w:t>
            </w:r>
          </w:p>
          <w:p>
            <w:pPr>
              <w:pStyle w:val="285"/>
              <w:keepNext w:val="0"/>
              <w:keepLines w:val="0"/>
              <w:pageBreakBefore w:val="0"/>
              <w:kinsoku/>
              <w:wordWrap/>
              <w:overflowPunct/>
              <w:topLinePunct w:val="0"/>
              <w:autoSpaceDE/>
              <w:autoSpaceDN/>
              <w:bidi w:val="0"/>
              <w:snapToGrid/>
              <w:spacing w:line="400" w:lineRule="exact"/>
              <w:rPr>
                <w:rFonts w:hint="eastAsia" w:ascii="宋体" w:hAnsi="宋体" w:eastAsia="宋体" w:cs="宋体"/>
                <w:color w:val="auto"/>
                <w:sz w:val="21"/>
                <w:lang w:bidi="ar-SA"/>
              </w:rPr>
            </w:pPr>
            <w:r>
              <w:rPr>
                <w:rFonts w:hint="eastAsia" w:ascii="宋体" w:hAnsi="宋体" w:eastAsia="宋体" w:cs="宋体"/>
                <w:color w:val="auto"/>
                <w:sz w:val="21"/>
                <w:lang w:bidi="ar-SA"/>
              </w:rPr>
              <w:t>（2）</w:t>
            </w:r>
            <w:r>
              <w:rPr>
                <w:rFonts w:hint="eastAsia" w:hAnsi="宋体" w:cs="宋体"/>
                <w:color w:val="auto"/>
                <w:sz w:val="21"/>
                <w:lang w:val="en-US" w:eastAsia="zh-CN" w:bidi="ar-SA"/>
              </w:rPr>
              <w:t>评审</w:t>
            </w:r>
            <w:r>
              <w:rPr>
                <w:rFonts w:hint="eastAsia" w:ascii="宋体" w:hAnsi="宋体" w:eastAsia="宋体" w:cs="宋体"/>
                <w:color w:val="auto"/>
                <w:sz w:val="21"/>
                <w:lang w:bidi="ar-SA"/>
              </w:rPr>
              <w:t>报价为</w:t>
            </w:r>
            <w:r>
              <w:rPr>
                <w:rFonts w:hint="eastAsia" w:hAnsi="宋体" w:cs="宋体"/>
                <w:color w:val="auto"/>
                <w:sz w:val="21"/>
                <w:lang w:val="en-US" w:eastAsia="zh-CN" w:bidi="ar-SA"/>
              </w:rPr>
              <w:t>供应商</w:t>
            </w:r>
            <w:r>
              <w:rPr>
                <w:rFonts w:hint="eastAsia" w:ascii="宋体" w:hAnsi="宋体" w:eastAsia="宋体" w:cs="宋体"/>
                <w:color w:val="auto"/>
                <w:sz w:val="21"/>
                <w:lang w:bidi="ar-SA"/>
              </w:rPr>
              <w:t>的</w:t>
            </w:r>
            <w:r>
              <w:rPr>
                <w:rFonts w:hint="eastAsia" w:hAnsi="宋体" w:cs="宋体"/>
                <w:color w:val="auto"/>
                <w:sz w:val="21"/>
                <w:lang w:val="en-US" w:eastAsia="zh-CN" w:bidi="ar-SA"/>
              </w:rPr>
              <w:t>磋商</w:t>
            </w:r>
            <w:r>
              <w:rPr>
                <w:rFonts w:hint="eastAsia" w:ascii="宋体" w:hAnsi="宋体" w:eastAsia="宋体" w:cs="宋体"/>
                <w:color w:val="auto"/>
                <w:sz w:val="21"/>
                <w:lang w:bidi="ar-SA"/>
              </w:rPr>
              <w:t>报价，</w:t>
            </w:r>
            <w:r>
              <w:rPr>
                <w:rFonts w:hint="eastAsia" w:hAnsi="宋体" w:cs="宋体"/>
                <w:color w:val="auto"/>
                <w:sz w:val="21"/>
                <w:lang w:val="en-US" w:eastAsia="zh-CN" w:bidi="ar-SA"/>
              </w:rPr>
              <w:t>评审</w:t>
            </w:r>
            <w:r>
              <w:rPr>
                <w:rFonts w:hint="eastAsia" w:ascii="宋体" w:hAnsi="宋体" w:eastAsia="宋体" w:cs="宋体"/>
                <w:color w:val="auto"/>
                <w:sz w:val="21"/>
                <w:lang w:bidi="ar-SA"/>
              </w:rPr>
              <w:t>报价只是作为评审时使用。最终中标人的中标金额等于</w:t>
            </w:r>
            <w:r>
              <w:rPr>
                <w:rFonts w:hint="eastAsia" w:hAnsi="宋体" w:cs="宋体"/>
                <w:color w:val="auto"/>
                <w:sz w:val="21"/>
                <w:lang w:val="en-US" w:eastAsia="zh-CN" w:bidi="ar-SA"/>
              </w:rPr>
              <w:t>磋商</w:t>
            </w:r>
            <w:r>
              <w:rPr>
                <w:rFonts w:hint="eastAsia" w:ascii="宋体" w:hAnsi="宋体" w:eastAsia="宋体" w:cs="宋体"/>
                <w:color w:val="auto"/>
                <w:sz w:val="21"/>
                <w:lang w:bidi="ar-SA"/>
              </w:rPr>
              <w:t>报价。</w:t>
            </w:r>
          </w:p>
          <w:p>
            <w:pPr>
              <w:pStyle w:val="285"/>
              <w:keepNext w:val="0"/>
              <w:keepLines w:val="0"/>
              <w:pageBreakBefore w:val="0"/>
              <w:kinsoku/>
              <w:wordWrap/>
              <w:overflowPunct/>
              <w:topLinePunct w:val="0"/>
              <w:autoSpaceDE/>
              <w:autoSpaceDN/>
              <w:bidi w:val="0"/>
              <w:snapToGrid/>
              <w:spacing w:line="400" w:lineRule="exact"/>
              <w:rPr>
                <w:rFonts w:hint="eastAsia" w:ascii="宋体" w:hAnsi="宋体" w:eastAsia="宋体" w:cs="宋体"/>
                <w:color w:val="auto"/>
                <w:sz w:val="21"/>
                <w:lang w:bidi="ar-SA"/>
              </w:rPr>
            </w:pPr>
            <w:r>
              <w:rPr>
                <w:rFonts w:hint="eastAsia" w:ascii="宋体" w:hAnsi="宋体" w:eastAsia="宋体" w:cs="宋体"/>
                <w:color w:val="auto"/>
                <w:sz w:val="21"/>
                <w:lang w:bidi="ar-SA"/>
              </w:rPr>
              <w:t>（3）满足</w:t>
            </w:r>
            <w:r>
              <w:rPr>
                <w:rFonts w:hint="eastAsia" w:hAnsi="宋体" w:cs="宋体"/>
                <w:color w:val="auto"/>
                <w:sz w:val="21"/>
                <w:lang w:val="en-US" w:eastAsia="zh-CN" w:bidi="ar-SA"/>
              </w:rPr>
              <w:t>采购</w:t>
            </w:r>
            <w:r>
              <w:rPr>
                <w:rFonts w:hint="eastAsia" w:ascii="宋体" w:hAnsi="宋体" w:eastAsia="宋体" w:cs="宋体"/>
                <w:color w:val="auto"/>
                <w:sz w:val="21"/>
                <w:lang w:bidi="ar-SA"/>
              </w:rPr>
              <w:t>文件要求且</w:t>
            </w:r>
            <w:r>
              <w:rPr>
                <w:rFonts w:hint="eastAsia" w:hAnsi="宋体" w:cs="宋体"/>
                <w:color w:val="auto"/>
                <w:sz w:val="21"/>
                <w:lang w:val="en-US" w:eastAsia="zh-CN" w:bidi="ar-SA"/>
              </w:rPr>
              <w:t>评审</w:t>
            </w:r>
            <w:r>
              <w:rPr>
                <w:rFonts w:hint="eastAsia" w:ascii="宋体" w:hAnsi="宋体" w:eastAsia="宋体" w:cs="宋体"/>
                <w:color w:val="auto"/>
                <w:sz w:val="21"/>
                <w:lang w:bidi="ar-SA"/>
              </w:rPr>
              <w:t>报价最低的</w:t>
            </w:r>
            <w:r>
              <w:rPr>
                <w:rFonts w:hint="eastAsia" w:hAnsi="宋体" w:cs="宋体"/>
                <w:color w:val="auto"/>
                <w:sz w:val="21"/>
                <w:lang w:val="en-US" w:eastAsia="zh-CN" w:bidi="ar-SA"/>
              </w:rPr>
              <w:t>评审</w:t>
            </w:r>
            <w:r>
              <w:rPr>
                <w:rFonts w:hint="eastAsia" w:ascii="宋体" w:hAnsi="宋体" w:eastAsia="宋体" w:cs="宋体"/>
                <w:color w:val="auto"/>
                <w:sz w:val="21"/>
                <w:lang w:bidi="ar-SA"/>
              </w:rPr>
              <w:t>报价为评标基准价，基准价得分为10分。</w:t>
            </w:r>
          </w:p>
          <w:p>
            <w:pPr>
              <w:pStyle w:val="285"/>
              <w:keepNext w:val="0"/>
              <w:keepLines w:val="0"/>
              <w:pageBreakBefore w:val="0"/>
              <w:kinsoku/>
              <w:wordWrap/>
              <w:overflowPunct/>
              <w:topLinePunct w:val="0"/>
              <w:autoSpaceDE/>
              <w:autoSpaceDN/>
              <w:bidi w:val="0"/>
              <w:snapToGrid/>
              <w:spacing w:line="400" w:lineRule="exact"/>
              <w:rPr>
                <w:rFonts w:hint="eastAsia" w:ascii="宋体" w:hAnsi="宋体" w:eastAsia="宋体" w:cs="宋体"/>
                <w:color w:val="auto"/>
                <w:sz w:val="21"/>
                <w:lang w:bidi="ar-SA"/>
              </w:rPr>
            </w:pPr>
            <w:r>
              <w:rPr>
                <w:rFonts w:hint="eastAsia" w:ascii="宋体" w:hAnsi="宋体" w:eastAsia="宋体" w:cs="宋体"/>
                <w:color w:val="auto"/>
                <w:sz w:val="21"/>
                <w:lang w:bidi="ar-SA"/>
              </w:rPr>
              <w:t>（4）价格分计算公式：</w:t>
            </w:r>
          </w:p>
          <w:p>
            <w:pPr>
              <w:pStyle w:val="285"/>
              <w:keepNext w:val="0"/>
              <w:keepLines w:val="0"/>
              <w:pageBreakBefore w:val="0"/>
              <w:kinsoku/>
              <w:wordWrap/>
              <w:overflowPunct/>
              <w:topLinePunct w:val="0"/>
              <w:autoSpaceDE/>
              <w:autoSpaceDN/>
              <w:bidi w:val="0"/>
              <w:snapToGrid/>
              <w:spacing w:line="400" w:lineRule="exact"/>
              <w:rPr>
                <w:rFonts w:hint="eastAsia" w:ascii="宋体" w:hAnsi="宋体" w:eastAsia="宋体" w:cs="宋体"/>
                <w:color w:val="auto"/>
                <w:sz w:val="21"/>
                <w:lang w:bidi="ar-SA"/>
              </w:rPr>
            </w:pPr>
            <w:r>
              <w:rPr>
                <w:rFonts w:hint="eastAsia" w:ascii="宋体" w:hAnsi="宋体" w:eastAsia="宋体" w:cs="宋体"/>
                <w:color w:val="auto"/>
                <w:sz w:val="21"/>
                <w:lang w:bidi="ar-SA"/>
              </w:rPr>
              <w:t>价格分=(</w:t>
            </w:r>
            <w:r>
              <w:rPr>
                <w:rFonts w:hint="eastAsia" w:hAnsi="宋体" w:cs="宋体"/>
                <w:color w:val="auto"/>
                <w:sz w:val="21"/>
                <w:lang w:val="en-US" w:eastAsia="zh-CN" w:bidi="ar-SA"/>
              </w:rPr>
              <w:t>评审</w:t>
            </w:r>
            <w:r>
              <w:rPr>
                <w:rFonts w:hint="eastAsia" w:ascii="宋体" w:hAnsi="宋体" w:eastAsia="宋体" w:cs="宋体"/>
                <w:color w:val="auto"/>
                <w:sz w:val="21"/>
                <w:lang w:bidi="ar-SA"/>
              </w:rPr>
              <w:t>基准价／</w:t>
            </w:r>
            <w:r>
              <w:rPr>
                <w:rFonts w:hint="eastAsia" w:hAnsi="宋体" w:cs="宋体"/>
                <w:color w:val="auto"/>
                <w:sz w:val="21"/>
                <w:lang w:val="en-US" w:eastAsia="zh-CN" w:bidi="ar-SA"/>
              </w:rPr>
              <w:t>评审</w:t>
            </w:r>
            <w:r>
              <w:rPr>
                <w:rFonts w:hint="eastAsia" w:ascii="宋体" w:hAnsi="宋体" w:eastAsia="宋体" w:cs="宋体"/>
                <w:color w:val="auto"/>
                <w:sz w:val="21"/>
                <w:lang w:bidi="ar-SA"/>
              </w:rPr>
              <w:t>报价)×10分</w:t>
            </w:r>
          </w:p>
          <w:p>
            <w:pPr>
              <w:pStyle w:val="285"/>
              <w:keepNext w:val="0"/>
              <w:keepLines w:val="0"/>
              <w:pageBreakBefore w:val="0"/>
              <w:kinsoku/>
              <w:wordWrap/>
              <w:overflowPunct/>
              <w:topLinePunct w:val="0"/>
              <w:autoSpaceDE/>
              <w:autoSpaceDN/>
              <w:bidi w:val="0"/>
              <w:snapToGrid/>
              <w:spacing w:line="400" w:lineRule="exact"/>
              <w:rPr>
                <w:rFonts w:hint="eastAsia" w:ascii="黑体" w:hAnsi="黑体" w:eastAsia="黑体" w:cs="黑体"/>
                <w:color w:val="auto"/>
                <w:sz w:val="21"/>
                <w:lang w:bidi="ar-SA"/>
              </w:rPr>
            </w:pPr>
            <w:r>
              <w:rPr>
                <w:rFonts w:hint="eastAsia" w:hAnsi="宋体" w:cs="宋体"/>
                <w:color w:val="auto"/>
                <w:sz w:val="21"/>
                <w:lang w:val="en-US" w:eastAsia="zh-CN" w:bidi="ar-SA"/>
              </w:rPr>
              <w:t>磋商小组</w:t>
            </w:r>
            <w:r>
              <w:rPr>
                <w:rFonts w:hint="eastAsia" w:ascii="宋体" w:hAnsi="宋体" w:eastAsia="宋体" w:cs="宋体"/>
                <w:color w:val="auto"/>
                <w:sz w:val="21"/>
                <w:lang w:bidi="ar-SA"/>
              </w:rPr>
              <w:t>认为</w:t>
            </w:r>
            <w:r>
              <w:rPr>
                <w:rFonts w:hint="eastAsia" w:hAnsi="宋体" w:cs="宋体"/>
                <w:color w:val="auto"/>
                <w:sz w:val="21"/>
                <w:lang w:val="en-US" w:eastAsia="zh-CN" w:bidi="ar-SA"/>
              </w:rPr>
              <w:t>供应商</w:t>
            </w:r>
            <w:r>
              <w:rPr>
                <w:rFonts w:hint="eastAsia" w:ascii="宋体" w:hAnsi="宋体" w:eastAsia="宋体" w:cs="宋体"/>
                <w:color w:val="auto"/>
                <w:sz w:val="21"/>
                <w:lang w:bidi="ar-SA"/>
              </w:rPr>
              <w:t>的报价明显低于其他通过符合性审查</w:t>
            </w:r>
            <w:r>
              <w:rPr>
                <w:rFonts w:hint="eastAsia" w:hAnsi="宋体" w:cs="宋体"/>
                <w:color w:val="auto"/>
                <w:sz w:val="21"/>
                <w:lang w:val="en-US" w:eastAsia="zh-CN" w:bidi="ar-SA"/>
              </w:rPr>
              <w:t>供应商</w:t>
            </w:r>
            <w:r>
              <w:rPr>
                <w:rFonts w:hint="eastAsia" w:ascii="宋体" w:hAnsi="宋体" w:eastAsia="宋体" w:cs="宋体"/>
                <w:color w:val="auto"/>
                <w:sz w:val="21"/>
                <w:lang w:bidi="ar-SA"/>
              </w:rPr>
              <w:t>的报价，有可能影响产品质量或者不能诚信履约的，应当要求其在</w:t>
            </w:r>
            <w:r>
              <w:rPr>
                <w:rFonts w:hint="eastAsia" w:hAnsi="宋体" w:cs="宋体"/>
                <w:color w:val="auto"/>
                <w:sz w:val="21"/>
                <w:lang w:val="en-US" w:eastAsia="zh-CN" w:bidi="ar-SA"/>
              </w:rPr>
              <w:t>评审</w:t>
            </w:r>
            <w:r>
              <w:rPr>
                <w:rFonts w:hint="eastAsia" w:ascii="宋体" w:hAnsi="宋体" w:eastAsia="宋体" w:cs="宋体"/>
                <w:color w:val="auto"/>
                <w:sz w:val="21"/>
                <w:lang w:bidi="ar-SA"/>
              </w:rPr>
              <w:t>现场合理的时间内提供书面说明，必要时提交相关证明材料；</w:t>
            </w:r>
            <w:r>
              <w:rPr>
                <w:rFonts w:hint="eastAsia" w:hAnsi="宋体" w:cs="宋体"/>
                <w:color w:val="auto"/>
                <w:sz w:val="21"/>
                <w:lang w:val="en-US" w:eastAsia="zh-CN" w:bidi="ar-SA"/>
              </w:rPr>
              <w:t>供应商</w:t>
            </w:r>
            <w:r>
              <w:rPr>
                <w:rFonts w:hint="eastAsia" w:ascii="宋体" w:hAnsi="宋体" w:eastAsia="宋体" w:cs="宋体"/>
                <w:color w:val="auto"/>
                <w:sz w:val="21"/>
                <w:lang w:bidi="ar-SA"/>
              </w:rPr>
              <w:t>不能证明其报价合理性的，</w:t>
            </w:r>
            <w:r>
              <w:rPr>
                <w:rFonts w:hint="eastAsia" w:hAnsi="宋体" w:cs="宋体"/>
                <w:color w:val="auto"/>
                <w:sz w:val="21"/>
                <w:lang w:val="en-US" w:eastAsia="zh-CN" w:bidi="ar-SA"/>
              </w:rPr>
              <w:t>磋商小组</w:t>
            </w:r>
            <w:r>
              <w:rPr>
                <w:rFonts w:hint="eastAsia" w:ascii="宋体" w:hAnsi="宋体" w:eastAsia="宋体" w:cs="宋体"/>
                <w:color w:val="auto"/>
                <w:sz w:val="21"/>
                <w:lang w:bidi="ar-SA"/>
              </w:rPr>
              <w:t>应当将其作为无效</w:t>
            </w:r>
            <w:r>
              <w:rPr>
                <w:rFonts w:hint="eastAsia" w:hAnsi="宋体" w:cs="宋体"/>
                <w:color w:val="auto"/>
                <w:sz w:val="21"/>
                <w:lang w:val="en-US" w:eastAsia="zh-CN" w:bidi="ar-SA"/>
              </w:rPr>
              <w:t>响应</w:t>
            </w:r>
            <w:r>
              <w:rPr>
                <w:rFonts w:hint="eastAsia" w:ascii="宋体" w:hAnsi="宋体" w:eastAsia="宋体" w:cs="宋体"/>
                <w:color w:val="auto"/>
                <w:sz w:val="21"/>
                <w:lang w:bidi="ar-SA"/>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pPr>
              <w:pStyle w:val="287"/>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color w:val="auto"/>
                <w:kern w:val="0"/>
                <w:szCs w:val="21"/>
                <w:lang w:bidi="ar-SA"/>
              </w:rPr>
            </w:pPr>
            <w:r>
              <w:rPr>
                <w:rFonts w:hint="eastAsia" w:ascii="黑体" w:hAnsi="黑体" w:eastAsia="黑体" w:cs="黑体"/>
                <w:bCs/>
                <w:color w:val="auto"/>
                <w:kern w:val="0"/>
                <w:szCs w:val="21"/>
                <w:lang w:bidi="ar-SA"/>
              </w:rPr>
              <w:t>2</w:t>
            </w:r>
          </w:p>
        </w:tc>
        <w:tc>
          <w:tcPr>
            <w:tcW w:w="1910" w:type="dxa"/>
            <w:noWrap w:val="0"/>
            <w:vAlign w:val="center"/>
          </w:tcPr>
          <w:p>
            <w:pPr>
              <w:pStyle w:val="289"/>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b/>
                <w:bCs/>
                <w:color w:val="auto"/>
                <w:kern w:val="0"/>
                <w:szCs w:val="21"/>
                <w:lang w:bidi="ar-SA"/>
              </w:rPr>
            </w:pPr>
            <w:r>
              <w:rPr>
                <w:rFonts w:hint="eastAsia" w:ascii="黑体" w:hAnsi="黑体" w:eastAsia="黑体" w:cs="黑体"/>
                <w:b/>
                <w:bCs/>
                <w:color w:val="auto"/>
                <w:kern w:val="0"/>
                <w:szCs w:val="21"/>
                <w:lang w:bidi="ar-SA"/>
              </w:rPr>
              <w:t>技术分（满分</w:t>
            </w:r>
            <w:r>
              <w:rPr>
                <w:rFonts w:hint="eastAsia" w:ascii="黑体" w:hAnsi="黑体" w:eastAsia="黑体" w:cs="黑体"/>
                <w:b/>
                <w:bCs/>
                <w:color w:val="auto"/>
                <w:kern w:val="0"/>
                <w:szCs w:val="21"/>
                <w:lang w:val="en-US" w:eastAsia="zh-CN" w:bidi="ar-SA"/>
              </w:rPr>
              <w:t>60</w:t>
            </w:r>
            <w:r>
              <w:rPr>
                <w:rFonts w:hint="eastAsia" w:ascii="黑体" w:hAnsi="黑体" w:eastAsia="黑体" w:cs="黑体"/>
                <w:b/>
                <w:bCs/>
                <w:color w:val="auto"/>
                <w:kern w:val="0"/>
                <w:szCs w:val="21"/>
                <w:lang w:bidi="ar-SA"/>
              </w:rPr>
              <w:t>分）</w:t>
            </w:r>
          </w:p>
        </w:tc>
        <w:tc>
          <w:tcPr>
            <w:tcW w:w="6917" w:type="dxa"/>
            <w:noWrap w:val="0"/>
            <w:vAlign w:val="center"/>
          </w:tcPr>
          <w:p>
            <w:pPr>
              <w:pStyle w:val="291"/>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color w:val="auto"/>
                <w:kern w:val="0"/>
                <w:szCs w:val="21"/>
                <w:lang w:bidi="ar-SA"/>
              </w:rPr>
            </w:pPr>
            <w:r>
              <w:rPr>
                <w:rFonts w:hint="eastAsia" w:ascii="黑体" w:hAnsi="黑体" w:eastAsia="黑体" w:cs="黑体"/>
                <w:color w:val="auto"/>
                <w:kern w:val="0"/>
                <w:szCs w:val="21"/>
                <w:lang w:bidi="ar-SA"/>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594" w:type="dxa"/>
            <w:noWrap w:val="0"/>
            <w:vAlign w:val="center"/>
          </w:tcPr>
          <w:p>
            <w:pPr>
              <w:pStyle w:val="293"/>
              <w:keepNext w:val="0"/>
              <w:keepLines w:val="0"/>
              <w:pageBreakBefore w:val="0"/>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黑体" w:hAnsi="黑体" w:eastAsia="黑体" w:cs="黑体"/>
                <w:bCs/>
                <w:color w:val="auto"/>
                <w:kern w:val="0"/>
                <w:szCs w:val="21"/>
                <w:lang w:val="en-US" w:eastAsia="zh-CN" w:bidi="ar-SA"/>
              </w:rPr>
            </w:pPr>
            <w:r>
              <w:rPr>
                <w:rFonts w:hint="eastAsia" w:ascii="黑体" w:hAnsi="黑体" w:eastAsia="黑体" w:cs="黑体"/>
                <w:bCs/>
                <w:color w:val="auto"/>
                <w:kern w:val="0"/>
                <w:szCs w:val="21"/>
                <w:lang w:bidi="ar-SA"/>
              </w:rPr>
              <w:t>2.</w:t>
            </w:r>
            <w:r>
              <w:rPr>
                <w:rFonts w:hint="eastAsia" w:ascii="黑体" w:hAnsi="黑体" w:eastAsia="黑体" w:cs="黑体"/>
                <w:bCs/>
                <w:color w:val="auto"/>
                <w:kern w:val="0"/>
                <w:szCs w:val="21"/>
                <w:lang w:val="en-US" w:eastAsia="zh-CN" w:bidi="ar-SA"/>
              </w:rPr>
              <w:t>1</w:t>
            </w:r>
          </w:p>
        </w:tc>
        <w:tc>
          <w:tcPr>
            <w:tcW w:w="1910"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center"/>
              <w:rPr>
                <w:rFonts w:hint="eastAsia" w:ascii="黑体" w:hAnsi="黑体" w:eastAsia="黑体" w:cs="黑体"/>
                <w:b/>
                <w:bCs/>
                <w:color w:val="auto"/>
                <w:szCs w:val="21"/>
                <w:highlight w:val="none"/>
                <w:lang w:bidi="ar-SA"/>
              </w:rPr>
            </w:pPr>
            <w:r>
              <w:rPr>
                <w:rFonts w:ascii="宋体" w:hAnsi="宋体" w:eastAsia="宋体" w:cs="Times New Roman"/>
                <w:kern w:val="0"/>
                <w:szCs w:val="21"/>
              </w:rPr>
              <w:t>主要施工方法</w:t>
            </w:r>
          </w:p>
        </w:tc>
        <w:tc>
          <w:tcPr>
            <w:tcW w:w="6917" w:type="dxa"/>
            <w:noWrap w:val="0"/>
            <w:vAlign w:val="center"/>
          </w:tcPr>
          <w:p>
            <w:pPr>
              <w:pStyle w:val="40"/>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both"/>
              <w:rPr>
                <w:rFonts w:hint="eastAsia" w:eastAsia="宋体" w:cs="Times New Roman"/>
                <w:sz w:val="21"/>
                <w:szCs w:val="21"/>
              </w:rPr>
            </w:pPr>
            <w:r>
              <w:rPr>
                <w:rFonts w:hint="eastAsia" w:eastAsia="宋体" w:cs="Times New Roman"/>
                <w:sz w:val="21"/>
                <w:szCs w:val="21"/>
              </w:rPr>
              <w:t>各主要分部施工方法符合项目实际，须有详尽的施工技术方案，工艺先进、方法科学合理、可行，能指导具体施工并确保</w:t>
            </w:r>
            <w:r>
              <w:rPr>
                <w:rFonts w:hint="eastAsia" w:eastAsia="宋体" w:cs="Times New Roman"/>
                <w:sz w:val="21"/>
                <w:szCs w:val="21"/>
                <w:lang w:eastAsia="zh-CN"/>
              </w:rPr>
              <w:t>安</w:t>
            </w:r>
            <w:r>
              <w:rPr>
                <w:rFonts w:hint="eastAsia" w:eastAsia="宋体" w:cs="Times New Roman"/>
                <w:sz w:val="21"/>
                <w:szCs w:val="21"/>
              </w:rPr>
              <w:t>全。</w:t>
            </w:r>
          </w:p>
          <w:p>
            <w:pPr>
              <w:pStyle w:val="40"/>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both"/>
              <w:rPr>
                <w:rFonts w:hint="eastAsia" w:eastAsia="宋体" w:cs="Times New Roman"/>
                <w:sz w:val="21"/>
                <w:szCs w:val="21"/>
              </w:rPr>
            </w:pPr>
            <w:r>
              <w:rPr>
                <w:rFonts w:hint="eastAsia" w:eastAsia="宋体" w:cs="Times New Roman"/>
                <w:sz w:val="21"/>
                <w:szCs w:val="21"/>
              </w:rPr>
              <w:t xml:space="preserve">优（15分）：各主要分部施工方法符合项目实际，须有详尽的施工技术方案，工艺先进、方法科学合理、可行，能指导具体施工并确保安全。 </w:t>
            </w:r>
          </w:p>
          <w:p>
            <w:pPr>
              <w:pStyle w:val="40"/>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both"/>
              <w:rPr>
                <w:rFonts w:hint="eastAsia" w:eastAsia="宋体" w:cs="Times New Roman"/>
                <w:sz w:val="21"/>
                <w:szCs w:val="21"/>
              </w:rPr>
            </w:pPr>
            <w:r>
              <w:rPr>
                <w:rFonts w:hint="eastAsia" w:eastAsia="宋体" w:cs="Times New Roman"/>
                <w:sz w:val="21"/>
                <w:szCs w:val="21"/>
              </w:rPr>
              <w:t>良（11分）：各主要分部施工方法符合项目实际，须有详尽的施工技术方案，工艺一般、方法可行，能指导具体施工并确保安全。</w:t>
            </w:r>
          </w:p>
          <w:p>
            <w:pPr>
              <w:pStyle w:val="40"/>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right="0"/>
              <w:jc w:val="both"/>
              <w:rPr>
                <w:rFonts w:hint="eastAsia" w:eastAsia="宋体" w:cs="Times New Roman"/>
                <w:sz w:val="21"/>
                <w:szCs w:val="21"/>
              </w:rPr>
            </w:pPr>
            <w:r>
              <w:rPr>
                <w:rFonts w:hint="eastAsia" w:eastAsia="宋体" w:cs="Times New Roman"/>
                <w:sz w:val="21"/>
                <w:szCs w:val="21"/>
              </w:rPr>
              <w:t>中（7分）：各主要分部施工方法基本符合项目实际，有施工技术方案，工艺一般、方法勉强可行，勉强能指导具体施工并确保安全。</w:t>
            </w:r>
          </w:p>
          <w:p>
            <w:pPr>
              <w:pStyle w:val="40"/>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both"/>
              <w:rPr>
                <w:rFonts w:hint="eastAsia" w:ascii="黑体" w:hAnsi="黑体" w:eastAsia="黑体" w:cs="黑体"/>
                <w:color w:val="auto"/>
                <w:szCs w:val="21"/>
                <w:highlight w:val="none"/>
                <w:lang w:bidi="ar-SA"/>
              </w:rPr>
            </w:pPr>
            <w:r>
              <w:rPr>
                <w:rFonts w:hint="eastAsia" w:eastAsia="宋体" w:cs="Times New Roman"/>
                <w:sz w:val="21"/>
                <w:szCs w:val="21"/>
              </w:rPr>
              <w:t>差（3分）：各主要分部施工方法不符合项目实际，无详尽的施工技术方案，不能指导具体施工并确保安全。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94" w:type="dxa"/>
            <w:noWrap w:val="0"/>
            <w:vAlign w:val="center"/>
          </w:tcPr>
          <w:p>
            <w:pPr>
              <w:pStyle w:val="294"/>
              <w:keepNext w:val="0"/>
              <w:keepLines w:val="0"/>
              <w:pageBreakBefore w:val="0"/>
              <w:kinsoku/>
              <w:wordWrap/>
              <w:overflowPunct/>
              <w:topLinePunct w:val="0"/>
              <w:autoSpaceDE/>
              <w:autoSpaceDN/>
              <w:bidi w:val="0"/>
              <w:adjustRightInd w:val="0"/>
              <w:snapToGrid/>
              <w:spacing w:line="400" w:lineRule="exact"/>
              <w:ind w:left="-105" w:leftChars="-50" w:right="-105" w:rightChars="-50"/>
              <w:jc w:val="center"/>
              <w:textAlignment w:val="baseline"/>
              <w:rPr>
                <w:rFonts w:hint="default" w:ascii="黑体" w:hAnsi="黑体" w:eastAsia="黑体" w:cs="黑体"/>
                <w:bCs/>
                <w:color w:val="auto"/>
                <w:kern w:val="0"/>
                <w:szCs w:val="21"/>
                <w:lang w:val="en-US" w:eastAsia="zh-CN" w:bidi="ar-SA"/>
              </w:rPr>
            </w:pPr>
            <w:r>
              <w:rPr>
                <w:rFonts w:hint="eastAsia" w:ascii="黑体" w:hAnsi="黑体" w:eastAsia="黑体" w:cs="黑体"/>
                <w:bCs/>
                <w:color w:val="auto"/>
                <w:kern w:val="0"/>
                <w:szCs w:val="21"/>
                <w:lang w:val="en-US" w:eastAsia="zh-CN" w:bidi="ar-SA"/>
              </w:rPr>
              <w:t>2.2</w:t>
            </w:r>
          </w:p>
        </w:tc>
        <w:tc>
          <w:tcPr>
            <w:tcW w:w="1910"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center"/>
              <w:rPr>
                <w:rFonts w:hint="default" w:ascii="黑体" w:hAnsi="黑体" w:eastAsia="黑体" w:cs="黑体"/>
                <w:b/>
                <w:bCs/>
                <w:color w:val="auto"/>
                <w:szCs w:val="21"/>
                <w:lang w:val="en-US" w:eastAsia="zh-CN" w:bidi="ar-SA"/>
              </w:rPr>
            </w:pPr>
            <w:r>
              <w:rPr>
                <w:rFonts w:ascii="宋体" w:hAnsi="宋体" w:eastAsia="宋体" w:cs="宋体"/>
                <w:kern w:val="0"/>
                <w:szCs w:val="24"/>
                <w:lang w:bidi="ar"/>
              </w:rPr>
              <w:t>拟投入的主要施工机械、设备计划</w:t>
            </w:r>
          </w:p>
        </w:tc>
        <w:tc>
          <w:tcPr>
            <w:tcW w:w="69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宋体" w:cs="Times New Roman"/>
              </w:rPr>
            </w:pPr>
            <w:r>
              <w:rPr>
                <w:rFonts w:hint="eastAsia" w:ascii="Times New Roman" w:hAnsi="Times New Roman" w:eastAsia="宋体" w:cs="Times New Roman"/>
              </w:rPr>
              <w:t>投入的施工机械、设备、机具有详细的组织计划且计划周密，设备数量、选型配置、进场时间安排合理，满足施工需要。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宋体" w:cs="Times New Roman"/>
              </w:rPr>
            </w:pPr>
            <w:r>
              <w:rPr>
                <w:rFonts w:hint="eastAsia" w:ascii="Times New Roman" w:hAnsi="Times New Roman" w:eastAsia="宋体" w:cs="Times New Roman"/>
              </w:rPr>
              <w:t>优（10 分）：投入的施工机械、设备、机具有详细的组织计划且计划周密，设备数量、选型配置、进场时间安排合理，完全满足施工需要。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宋体" w:cs="Times New Roman"/>
              </w:rPr>
            </w:pPr>
            <w:r>
              <w:rPr>
                <w:rFonts w:hint="eastAsia" w:ascii="Times New Roman" w:hAnsi="Times New Roman" w:eastAsia="宋体" w:cs="Times New Roman"/>
              </w:rPr>
              <w:t xml:space="preserve">良（7分）：投入的施工机械、设备、机具有组织计划且计划与进度计划呼应，设备数量、选型配置、进场时间安排合理，基本满足施工需要。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宋体" w:cs="Times New Roman"/>
              </w:rPr>
            </w:pPr>
            <w:r>
              <w:rPr>
                <w:rFonts w:hint="eastAsia" w:ascii="Times New Roman" w:hAnsi="Times New Roman" w:eastAsia="宋体" w:cs="Times New Roman"/>
              </w:rPr>
              <w:t>中（4分）：投入的施工机械、设备、机具有组织计划且计划一般，设备数量、选型配置、进场时间勉强满足施工需要。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textAlignment w:val="auto"/>
              <w:rPr>
                <w:rFonts w:hint="default"/>
                <w:lang w:val="en-US" w:eastAsia="zh-CN"/>
              </w:rPr>
            </w:pPr>
            <w:r>
              <w:rPr>
                <w:rFonts w:hint="eastAsia" w:ascii="Times New Roman" w:hAnsi="Times New Roman" w:eastAsia="宋体" w:cs="Times New Roman"/>
              </w:rPr>
              <w:t>差（1分）：投入的施工机械、设备、机具无详细的组织计划，设备数量、选型配置、进场时间安排不合理，不能满足施工需要。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94" w:type="dxa"/>
            <w:noWrap w:val="0"/>
            <w:vAlign w:val="center"/>
          </w:tcPr>
          <w:p>
            <w:pPr>
              <w:pStyle w:val="294"/>
              <w:keepNext w:val="0"/>
              <w:keepLines w:val="0"/>
              <w:pageBreakBefore w:val="0"/>
              <w:kinsoku/>
              <w:wordWrap/>
              <w:overflowPunct/>
              <w:topLinePunct w:val="0"/>
              <w:autoSpaceDE/>
              <w:autoSpaceDN/>
              <w:bidi w:val="0"/>
              <w:adjustRightInd w:val="0"/>
              <w:snapToGrid/>
              <w:spacing w:line="400" w:lineRule="exact"/>
              <w:ind w:left="-105" w:leftChars="-50" w:right="-105" w:rightChars="-50"/>
              <w:jc w:val="center"/>
              <w:textAlignment w:val="baseline"/>
              <w:rPr>
                <w:rFonts w:hint="default" w:ascii="黑体" w:hAnsi="黑体" w:eastAsia="黑体" w:cs="黑体"/>
                <w:bCs/>
                <w:color w:val="auto"/>
                <w:kern w:val="0"/>
                <w:szCs w:val="21"/>
                <w:lang w:val="en-US" w:eastAsia="zh-CN" w:bidi="ar-SA"/>
              </w:rPr>
            </w:pPr>
            <w:r>
              <w:rPr>
                <w:rFonts w:hint="eastAsia" w:ascii="黑体" w:hAnsi="黑体" w:eastAsia="黑体" w:cs="黑体"/>
                <w:bCs/>
                <w:color w:val="auto"/>
                <w:kern w:val="0"/>
                <w:szCs w:val="21"/>
                <w:lang w:val="en-US" w:eastAsia="zh-CN" w:bidi="ar-SA"/>
              </w:rPr>
              <w:t>2.3</w:t>
            </w:r>
          </w:p>
        </w:tc>
        <w:tc>
          <w:tcPr>
            <w:tcW w:w="1910"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center"/>
              <w:rPr>
                <w:rFonts w:ascii="宋体" w:hAnsi="宋体" w:eastAsia="宋体" w:cs="宋体"/>
                <w:kern w:val="0"/>
                <w:szCs w:val="24"/>
                <w:lang w:bidi="ar"/>
              </w:rPr>
            </w:pPr>
            <w:r>
              <w:rPr>
                <w:rFonts w:ascii="微软雅黑" w:hAnsi="Times New Roman" w:eastAsia="宋体" w:cs="微软雅黑"/>
                <w:szCs w:val="21"/>
              </w:rPr>
              <w:t>确保工程质量的技术组织措施</w:t>
            </w:r>
          </w:p>
        </w:tc>
        <w:tc>
          <w:tcPr>
            <w:tcW w:w="69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 xml:space="preserve">应有专门的质量技术管理班子和制度，且人员配备合理，制度健全。主要工序应有质量技术保证措施和手段，自控体系完整，能有效保证技术质量，达到承诺的质量标准。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优（1</w:t>
            </w:r>
            <w:r>
              <w:rPr>
                <w:rFonts w:hint="eastAsia" w:ascii="宋体" w:hAnsi="宋体" w:eastAsia="宋体" w:cs="宋体"/>
                <w:sz w:val="21"/>
                <w:szCs w:val="21"/>
                <w:lang w:val="en-US" w:eastAsia="zh-CN"/>
              </w:rPr>
              <w:t>5</w:t>
            </w:r>
            <w:r>
              <w:rPr>
                <w:rFonts w:hint="eastAsia" w:ascii="宋体" w:hAnsi="宋体" w:eastAsia="宋体" w:cs="宋体"/>
                <w:sz w:val="21"/>
                <w:szCs w:val="21"/>
              </w:rPr>
              <w:t>分）：有专门的质量技术管理班子和制度，且人员配备合理，制度健全、完整。主要工序质量技术保证措施和手段科学合理，自控体系完整，完全能有效保证技术质量，达到承诺的质量标准。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良（</w:t>
            </w:r>
            <w:r>
              <w:rPr>
                <w:rFonts w:hint="eastAsia" w:ascii="宋体" w:hAnsi="宋体" w:eastAsia="宋体" w:cs="宋体"/>
                <w:sz w:val="21"/>
                <w:szCs w:val="21"/>
                <w:lang w:val="en-US" w:eastAsia="zh-CN"/>
              </w:rPr>
              <w:t>11</w:t>
            </w:r>
            <w:r>
              <w:rPr>
                <w:rFonts w:hint="eastAsia" w:ascii="宋体" w:hAnsi="宋体" w:eastAsia="宋体" w:cs="宋体"/>
                <w:sz w:val="21"/>
                <w:szCs w:val="21"/>
              </w:rPr>
              <w:t xml:space="preserve">分）：有专门的质量技术管理班子和制度，且人员配备合理，制度健全。主要工序的质量技术保证措施和手段一般，自控体系一般，基本保证技术质量，基本达到承诺的质量标准。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中（</w:t>
            </w:r>
            <w:r>
              <w:rPr>
                <w:rFonts w:hint="eastAsia" w:ascii="宋体" w:hAnsi="宋体" w:eastAsia="宋体" w:cs="宋体"/>
                <w:sz w:val="21"/>
                <w:szCs w:val="21"/>
                <w:lang w:val="en-US" w:eastAsia="zh-CN"/>
              </w:rPr>
              <w:t>7</w:t>
            </w:r>
            <w:r>
              <w:rPr>
                <w:rFonts w:hint="eastAsia" w:ascii="宋体" w:hAnsi="宋体" w:eastAsia="宋体" w:cs="宋体"/>
                <w:sz w:val="21"/>
                <w:szCs w:val="21"/>
              </w:rPr>
              <w:t>分）：有专门的质量技术管理班子和制度，且人员配备勉强合理，制度勉强健全。主要工序的质量技术保证措施和手段一般，自控体系勉强完整，勉强保证技术质量，勉强到承诺的质量标准。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textAlignment w:val="auto"/>
              <w:rPr>
                <w:rFonts w:hint="eastAsia" w:ascii="Times New Roman" w:hAnsi="Times New Roman" w:eastAsia="宋体" w:cs="Times New Roman"/>
              </w:rPr>
            </w:pPr>
            <w:r>
              <w:rPr>
                <w:rFonts w:hint="eastAsia" w:ascii="宋体" w:hAnsi="宋体" w:eastAsia="宋体" w:cs="宋体"/>
                <w:sz w:val="21"/>
                <w:szCs w:val="21"/>
              </w:rPr>
              <w:t>差（</w:t>
            </w:r>
            <w:r>
              <w:rPr>
                <w:rFonts w:hint="eastAsia" w:ascii="宋体" w:hAnsi="宋体" w:eastAsia="宋体" w:cs="宋体"/>
                <w:sz w:val="21"/>
                <w:szCs w:val="21"/>
                <w:lang w:val="en-US" w:eastAsia="zh-CN"/>
              </w:rPr>
              <w:t>3</w:t>
            </w:r>
            <w:r>
              <w:rPr>
                <w:rFonts w:hint="eastAsia" w:ascii="宋体" w:hAnsi="宋体" w:eastAsia="宋体" w:cs="宋体"/>
                <w:sz w:val="21"/>
                <w:szCs w:val="21"/>
              </w:rPr>
              <w:t>分）：质量技术管理班子和制度不完整，人员配备不合理，制度不健全。主要工序无质量技术保证措施和手段，自控体系不完整，不能有效保证技术质量，达不到承诺的质量标准。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94" w:type="dxa"/>
            <w:noWrap w:val="0"/>
            <w:vAlign w:val="center"/>
          </w:tcPr>
          <w:p>
            <w:pPr>
              <w:pStyle w:val="294"/>
              <w:keepNext w:val="0"/>
              <w:keepLines w:val="0"/>
              <w:pageBreakBefore w:val="0"/>
              <w:kinsoku/>
              <w:wordWrap/>
              <w:overflowPunct/>
              <w:topLinePunct w:val="0"/>
              <w:autoSpaceDE/>
              <w:autoSpaceDN/>
              <w:bidi w:val="0"/>
              <w:adjustRightInd w:val="0"/>
              <w:snapToGrid/>
              <w:spacing w:line="400" w:lineRule="exact"/>
              <w:ind w:left="-105" w:leftChars="-50" w:right="-105" w:rightChars="-50"/>
              <w:jc w:val="center"/>
              <w:textAlignment w:val="baseline"/>
              <w:rPr>
                <w:rFonts w:hint="default" w:ascii="黑体" w:hAnsi="黑体" w:eastAsia="黑体" w:cs="黑体"/>
                <w:bCs/>
                <w:color w:val="auto"/>
                <w:kern w:val="0"/>
                <w:szCs w:val="21"/>
                <w:lang w:val="en-US" w:eastAsia="zh-CN" w:bidi="ar-SA"/>
              </w:rPr>
            </w:pPr>
            <w:r>
              <w:rPr>
                <w:rFonts w:hint="eastAsia" w:ascii="黑体" w:hAnsi="黑体" w:eastAsia="黑体" w:cs="黑体"/>
                <w:bCs/>
                <w:color w:val="auto"/>
                <w:kern w:val="0"/>
                <w:szCs w:val="21"/>
                <w:lang w:val="en-US" w:eastAsia="zh-CN" w:bidi="ar-SA"/>
              </w:rPr>
              <w:t>2.4</w:t>
            </w:r>
          </w:p>
        </w:tc>
        <w:tc>
          <w:tcPr>
            <w:tcW w:w="1910"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both"/>
              <w:rPr>
                <w:rFonts w:ascii="宋体" w:hAnsi="宋体" w:eastAsia="宋体" w:cs="宋体"/>
                <w:kern w:val="0"/>
                <w:szCs w:val="24"/>
                <w:lang w:bidi="ar"/>
              </w:rPr>
            </w:pPr>
            <w:r>
              <w:rPr>
                <w:rFonts w:ascii="Calibri" w:hAnsi="Calibri" w:eastAsia="宋体" w:cs="Times New Roman"/>
              </w:rPr>
              <w:t>确保安全生产的技术组织措施</w:t>
            </w:r>
          </w:p>
        </w:tc>
        <w:tc>
          <w:tcPr>
            <w:tcW w:w="69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ascii="Calibri" w:hAnsi="Calibri" w:eastAsia="宋体" w:cs="Times New Roman"/>
              </w:rPr>
            </w:pPr>
            <w:r>
              <w:rPr>
                <w:rFonts w:ascii="Calibri" w:hAnsi="Calibri" w:eastAsia="宋体" w:cs="Times New Roman"/>
              </w:rPr>
              <w:t xml:space="preserve">应有专门的安全管理人员和制度，且人员配备合理，制度健全，各道工序安全技术措施针对性强，符合实际且满足有关安全技术标准要求；现场防火、应急救援、社会治安安全措施得力。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ascii="Calibri" w:hAnsi="Calibri" w:eastAsia="宋体" w:cs="Times New Roman"/>
              </w:rPr>
            </w:pPr>
            <w:r>
              <w:rPr>
                <w:rFonts w:ascii="Calibri" w:hAnsi="Calibri" w:eastAsia="宋体" w:cs="Times New Roman"/>
              </w:rPr>
              <w:t>优（10 分）：有专门的安全管理人员和制度，且人员配备合理，制度健全，各道工序安全技术措施针对性强，确保工程质量的技术组织措施完全符合实际且全部满足有关安全技术标准要求。现场防火、应急救援、社会治安安全措施得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ascii="Calibri" w:hAnsi="Calibri" w:eastAsia="宋体" w:cs="Times New Roman"/>
              </w:rPr>
            </w:pPr>
            <w:r>
              <w:rPr>
                <w:rFonts w:hint="eastAsia" w:ascii="Calibri" w:hAnsi="Calibri" w:eastAsia="宋体" w:cs="Times New Roman"/>
              </w:rPr>
              <w:t>良</w:t>
            </w:r>
            <w:r>
              <w:rPr>
                <w:rFonts w:ascii="Calibri" w:hAnsi="Calibri" w:eastAsia="宋体" w:cs="Times New Roman"/>
              </w:rPr>
              <w:t>（</w:t>
            </w:r>
            <w:r>
              <w:rPr>
                <w:rFonts w:hint="eastAsia" w:ascii="Calibri" w:hAnsi="Calibri" w:eastAsia="宋体" w:cs="Times New Roman"/>
                <w:lang w:val="en-US" w:eastAsia="zh-CN"/>
              </w:rPr>
              <w:t>7</w:t>
            </w:r>
            <w:r>
              <w:rPr>
                <w:rFonts w:ascii="Calibri" w:hAnsi="Calibri" w:eastAsia="宋体" w:cs="Times New Roman"/>
              </w:rPr>
              <w:t>分）：有专门的安全管理人员和制度，且人员配备合理，制度健全，各道工序安全技术措施针对性一般，确保工程质量的技术组织措施符合实际且基本满足有关安全技术标准要求。现场防火、应急救援、社会治安安全措施一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中（4分）：</w:t>
            </w:r>
            <w:r>
              <w:rPr>
                <w:rFonts w:ascii="Times New Roman" w:hAnsi="Times New Roman" w:eastAsia="宋体" w:cs="Times New Roman"/>
              </w:rPr>
              <w:t>有专门的安全管理人员和制度，且人员配备勉强合理，制度勉强健全，各道工序安全技术措施针对性较差，确保工程质量的技术组织措施勉强符合实际且勉强满足有关安全技术标准要求。现场防火、应急救援、社会治安安全措施一般。</w:t>
            </w:r>
          </w:p>
          <w:p>
            <w:pPr>
              <w:pStyle w:val="40"/>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both"/>
              <w:rPr>
                <w:rFonts w:hint="eastAsia" w:ascii="Times New Roman" w:hAnsi="Times New Roman" w:eastAsia="宋体" w:cs="Times New Roman"/>
              </w:rPr>
            </w:pPr>
            <w:r>
              <w:rPr>
                <w:rFonts w:ascii="Times New Roman" w:hAnsi="Times New Roman" w:eastAsia="宋体" w:cs="Times New Roman"/>
                <w:kern w:val="2"/>
                <w:sz w:val="21"/>
                <w:szCs w:val="22"/>
                <w:lang w:val="en-US" w:eastAsia="zh-CN" w:bidi="ar-SA"/>
              </w:rPr>
              <w:t>差（</w:t>
            </w:r>
            <w:r>
              <w:rPr>
                <w:rFonts w:hint="eastAsia" w:ascii="Times New Roman" w:hAnsi="Times New Roman" w:eastAsia="宋体" w:cs="Times New Roman"/>
                <w:kern w:val="2"/>
                <w:sz w:val="21"/>
                <w:szCs w:val="22"/>
                <w:lang w:val="en-US" w:eastAsia="zh-CN" w:bidi="ar-SA"/>
              </w:rPr>
              <w:t>1</w:t>
            </w:r>
            <w:r>
              <w:rPr>
                <w:rFonts w:ascii="Times New Roman" w:hAnsi="Times New Roman" w:eastAsia="宋体" w:cs="Times New Roman"/>
                <w:kern w:val="2"/>
                <w:sz w:val="21"/>
                <w:szCs w:val="22"/>
                <w:lang w:val="en-US" w:eastAsia="zh-CN" w:bidi="ar-SA"/>
              </w:rPr>
              <w:t>分）：安全管理人员和制度不完善，人员配备不合理，制度不健全，各道工序安全技术措施无针对性，不满足有关安全技术标准要求。现场防火、应急救援、社会治安安全措施不得力。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94" w:type="dxa"/>
            <w:noWrap w:val="0"/>
            <w:vAlign w:val="center"/>
          </w:tcPr>
          <w:p>
            <w:pPr>
              <w:pStyle w:val="294"/>
              <w:keepNext w:val="0"/>
              <w:keepLines w:val="0"/>
              <w:pageBreakBefore w:val="0"/>
              <w:kinsoku/>
              <w:wordWrap/>
              <w:overflowPunct/>
              <w:topLinePunct w:val="0"/>
              <w:autoSpaceDE/>
              <w:autoSpaceDN/>
              <w:bidi w:val="0"/>
              <w:adjustRightInd w:val="0"/>
              <w:snapToGrid/>
              <w:spacing w:line="400" w:lineRule="exact"/>
              <w:ind w:left="-105" w:leftChars="-50" w:right="-105" w:rightChars="-50"/>
              <w:jc w:val="center"/>
              <w:textAlignment w:val="baseline"/>
              <w:rPr>
                <w:rFonts w:hint="default" w:ascii="黑体" w:hAnsi="黑体" w:eastAsia="黑体" w:cs="黑体"/>
                <w:bCs/>
                <w:color w:val="auto"/>
                <w:kern w:val="0"/>
                <w:szCs w:val="21"/>
                <w:lang w:val="en-US" w:eastAsia="zh-CN" w:bidi="ar-SA"/>
              </w:rPr>
            </w:pPr>
            <w:r>
              <w:rPr>
                <w:rFonts w:hint="eastAsia" w:ascii="黑体" w:hAnsi="黑体" w:eastAsia="黑体" w:cs="黑体"/>
                <w:bCs/>
                <w:color w:val="auto"/>
                <w:kern w:val="0"/>
                <w:szCs w:val="21"/>
                <w:lang w:val="en-US" w:eastAsia="zh-CN" w:bidi="ar-SA"/>
              </w:rPr>
              <w:t>2.5</w:t>
            </w:r>
          </w:p>
        </w:tc>
        <w:tc>
          <w:tcPr>
            <w:tcW w:w="1910"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center"/>
              <w:rPr>
                <w:rFonts w:ascii="宋体" w:hAnsi="宋体" w:eastAsia="宋体" w:cs="宋体"/>
                <w:kern w:val="0"/>
                <w:szCs w:val="24"/>
                <w:lang w:bidi="ar"/>
              </w:rPr>
            </w:pPr>
            <w:r>
              <w:rPr>
                <w:rFonts w:ascii="宋体" w:hAnsi="宋体" w:eastAsia="宋体" w:cs="宋体"/>
                <w:kern w:val="0"/>
                <w:szCs w:val="24"/>
                <w:lang w:bidi="ar"/>
              </w:rPr>
              <w:t>确保工期的技术组织措施</w:t>
            </w:r>
          </w:p>
        </w:tc>
        <w:tc>
          <w:tcPr>
            <w:tcW w:w="69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ascii="Calibri" w:hAnsi="Calibri" w:eastAsia="宋体" w:cs="Times New Roman"/>
              </w:rPr>
            </w:pPr>
            <w:r>
              <w:rPr>
                <w:rFonts w:ascii="Calibri" w:hAnsi="Calibri" w:eastAsia="宋体" w:cs="Times New Roman"/>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ascii="Calibri" w:hAnsi="Calibri" w:eastAsia="宋体" w:cs="Times New Roman"/>
              </w:rPr>
            </w:pPr>
            <w:r>
              <w:rPr>
                <w:rFonts w:ascii="Calibri" w:hAnsi="Calibri" w:eastAsia="宋体" w:cs="Times New Roman"/>
              </w:rPr>
              <w:t>优（10分）：在施工工艺、施工方法、材料选用、劳动力安排、技术等方面有保证工期的具体措施且措施得当。有控制工期的施工进度计划。有施工总进度表或施工网络图，各项计划图表编制完善，安排科学合理，完全能确保工期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ascii="Calibri" w:hAnsi="Calibri" w:eastAsia="宋体" w:cs="Times New Roman"/>
              </w:rPr>
            </w:pPr>
            <w:r>
              <w:rPr>
                <w:rFonts w:hint="eastAsia" w:ascii="Calibri" w:hAnsi="Calibri" w:eastAsia="宋体" w:cs="Times New Roman"/>
              </w:rPr>
              <w:t>良</w:t>
            </w:r>
            <w:r>
              <w:rPr>
                <w:rFonts w:ascii="Calibri" w:hAnsi="Calibri" w:eastAsia="宋体" w:cs="Times New Roman"/>
              </w:rPr>
              <w:t>（</w:t>
            </w:r>
            <w:r>
              <w:rPr>
                <w:rFonts w:hint="eastAsia" w:ascii="Calibri" w:hAnsi="Calibri" w:eastAsia="宋体" w:cs="Times New Roman"/>
                <w:lang w:val="en-US" w:eastAsia="zh-CN"/>
              </w:rPr>
              <w:t>7</w:t>
            </w:r>
            <w:r>
              <w:rPr>
                <w:rFonts w:ascii="Calibri" w:hAnsi="Calibri" w:eastAsia="宋体" w:cs="Times New Roman"/>
              </w:rPr>
              <w:t xml:space="preserve">分）：在施工工艺、施工方法、材料选用、劳动力安排、 技术等方面有保证工期的措施但措施一般。有控制工期的施工进度计划。有施工总进度表或施工网络图，各项计划图表编制一般，安排合理，基本能确保工期要求。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中（4分）：在施工工艺、施工方法、材料选用、劳动力安排、技术等方面有保证工期的措施但措施一般。有控制工期的施工进度计划。有施工总进度表或施工网络图，各项计划图表编制较差，安排勉强合理，勉强符合本项目施工实际要求。</w:t>
            </w:r>
          </w:p>
          <w:p>
            <w:pPr>
              <w:pStyle w:val="40"/>
              <w:keepNext w:val="0"/>
              <w:keepLines w:val="0"/>
              <w:pageBreakBefore w:val="0"/>
              <w:widowControl w:val="0"/>
              <w:suppressLineNumbers w:val="0"/>
              <w:kinsoku/>
              <w:wordWrap/>
              <w:overflowPunct/>
              <w:topLinePunct w:val="0"/>
              <w:autoSpaceDE/>
              <w:autoSpaceDN/>
              <w:bidi w:val="0"/>
              <w:snapToGrid/>
              <w:spacing w:before="0" w:beforeAutospacing="0" w:after="0" w:afterAutospacing="0" w:line="400" w:lineRule="exact"/>
              <w:ind w:left="0" w:leftChars="0" w:right="0" w:rightChars="0"/>
              <w:jc w:val="both"/>
              <w:rPr>
                <w:rFonts w:hint="eastAsia" w:ascii="Times New Roman" w:hAnsi="Times New Roman" w:eastAsia="宋体" w:cs="Times New Roman"/>
              </w:rPr>
            </w:pPr>
            <w:r>
              <w:rPr>
                <w:rFonts w:hint="eastAsia" w:ascii="Times New Roman" w:hAnsi="Times New Roman" w:eastAsia="宋体" w:cs="Times New Roman"/>
                <w:kern w:val="2"/>
                <w:sz w:val="21"/>
                <w:szCs w:val="22"/>
                <w:lang w:val="en-US" w:eastAsia="zh-CN" w:bidi="ar-SA"/>
              </w:rPr>
              <w:t>差（1分）：在施工工艺、施工方法、材料选用、劳动力安排、技术等方面无保证工期的措施。无控制工期的施工进度计划。无施工总进度表或施工网络图，不能确保工期要求。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noWrap w:val="0"/>
            <w:vAlign w:val="center"/>
          </w:tcPr>
          <w:p>
            <w:pPr>
              <w:pStyle w:val="295"/>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color w:val="auto"/>
                <w:kern w:val="0"/>
                <w:szCs w:val="21"/>
                <w:lang w:bidi="ar-SA"/>
              </w:rPr>
            </w:pPr>
            <w:r>
              <w:rPr>
                <w:rFonts w:hint="eastAsia" w:ascii="黑体" w:hAnsi="黑体" w:eastAsia="黑体" w:cs="黑体"/>
                <w:color w:val="auto"/>
                <w:kern w:val="0"/>
                <w:szCs w:val="21"/>
                <w:lang w:bidi="ar-SA"/>
              </w:rPr>
              <w:t>3</w:t>
            </w:r>
          </w:p>
        </w:tc>
        <w:tc>
          <w:tcPr>
            <w:tcW w:w="1910" w:type="dxa"/>
            <w:noWrap w:val="0"/>
            <w:vAlign w:val="center"/>
          </w:tcPr>
          <w:p>
            <w:pPr>
              <w:pStyle w:val="296"/>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bCs/>
                <w:color w:val="auto"/>
                <w:szCs w:val="21"/>
                <w:lang w:bidi="ar-SA"/>
              </w:rPr>
            </w:pPr>
            <w:r>
              <w:rPr>
                <w:rFonts w:hint="eastAsia" w:ascii="黑体" w:hAnsi="黑体" w:eastAsia="黑体" w:cs="黑体"/>
                <w:b/>
                <w:color w:val="auto"/>
                <w:szCs w:val="21"/>
                <w:lang w:bidi="ar-SA"/>
              </w:rPr>
              <w:t>商务分</w:t>
            </w:r>
            <w:r>
              <w:rPr>
                <w:rFonts w:hint="eastAsia" w:ascii="黑体" w:hAnsi="黑体" w:eastAsia="黑体" w:cs="黑体"/>
                <w:b/>
                <w:color w:val="auto"/>
                <w:kern w:val="0"/>
                <w:szCs w:val="21"/>
                <w:lang w:bidi="ar-SA"/>
              </w:rPr>
              <w:t>（满</w:t>
            </w:r>
            <w:r>
              <w:rPr>
                <w:rFonts w:hint="eastAsia" w:ascii="黑体" w:hAnsi="黑体" w:eastAsia="黑体" w:cs="黑体"/>
                <w:b/>
                <w:color w:val="auto"/>
                <w:kern w:val="0"/>
                <w:szCs w:val="21"/>
                <w:lang w:val="en-US" w:eastAsia="zh-CN" w:bidi="ar-SA"/>
              </w:rPr>
              <w:t>分3</w:t>
            </w:r>
            <w:r>
              <w:rPr>
                <w:rFonts w:hint="eastAsia" w:ascii="黑体" w:hAnsi="黑体" w:eastAsia="黑体" w:cs="黑体"/>
                <w:b/>
                <w:color w:val="auto"/>
                <w:kern w:val="0"/>
                <w:szCs w:val="21"/>
                <w:lang w:bidi="ar-SA"/>
              </w:rPr>
              <w:t>0分）</w:t>
            </w:r>
          </w:p>
        </w:tc>
        <w:tc>
          <w:tcPr>
            <w:tcW w:w="6917" w:type="dxa"/>
            <w:noWrap w:val="0"/>
            <w:vAlign w:val="center"/>
          </w:tcPr>
          <w:p>
            <w:pPr>
              <w:pStyle w:val="297"/>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color w:val="auto"/>
                <w:kern w:val="0"/>
                <w:szCs w:val="21"/>
                <w:lang w:bidi="ar-SA"/>
              </w:rPr>
            </w:pPr>
            <w:r>
              <w:rPr>
                <w:rFonts w:hint="eastAsia" w:ascii="黑体" w:hAnsi="黑体" w:eastAsia="黑体" w:cs="黑体"/>
                <w:color w:val="auto"/>
                <w:kern w:val="0"/>
                <w:szCs w:val="21"/>
                <w:lang w:bidi="ar-SA"/>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594" w:type="dxa"/>
            <w:noWrap w:val="0"/>
            <w:vAlign w:val="center"/>
          </w:tcPr>
          <w:p>
            <w:pPr>
              <w:pStyle w:val="298"/>
              <w:keepNext w:val="0"/>
              <w:keepLines w:val="0"/>
              <w:pageBreakBefore w:val="0"/>
              <w:widowControl/>
              <w:kinsoku/>
              <w:wordWrap/>
              <w:overflowPunct/>
              <w:topLinePunct w:val="0"/>
              <w:autoSpaceDE/>
              <w:autoSpaceDN/>
              <w:bidi w:val="0"/>
              <w:snapToGrid/>
              <w:spacing w:line="400" w:lineRule="exact"/>
              <w:jc w:val="center"/>
              <w:rPr>
                <w:rFonts w:hint="default" w:ascii="黑体" w:hAnsi="黑体" w:eastAsia="黑体" w:cs="黑体"/>
                <w:color w:val="auto"/>
                <w:kern w:val="0"/>
                <w:szCs w:val="21"/>
                <w:lang w:val="en-US" w:eastAsia="zh-CN" w:bidi="ar-SA"/>
              </w:rPr>
            </w:pPr>
            <w:r>
              <w:rPr>
                <w:rFonts w:hint="eastAsia" w:ascii="黑体" w:hAnsi="黑体" w:eastAsia="黑体" w:cs="黑体"/>
                <w:color w:val="auto"/>
                <w:kern w:val="0"/>
                <w:szCs w:val="21"/>
                <w:lang w:val="en-US" w:eastAsia="zh-CN" w:bidi="ar-SA"/>
              </w:rPr>
              <w:t>3.1</w:t>
            </w:r>
          </w:p>
        </w:tc>
        <w:tc>
          <w:tcPr>
            <w:tcW w:w="1910" w:type="dxa"/>
            <w:noWrap w:val="0"/>
            <w:vAlign w:val="center"/>
          </w:tcPr>
          <w:p>
            <w:pPr>
              <w:pStyle w:val="299"/>
              <w:keepNext w:val="0"/>
              <w:keepLines w:val="0"/>
              <w:pageBreakBefore w:val="0"/>
              <w:widowControl/>
              <w:kinsoku/>
              <w:wordWrap/>
              <w:overflowPunct/>
              <w:topLinePunct w:val="0"/>
              <w:autoSpaceDE/>
              <w:autoSpaceDN/>
              <w:bidi w:val="0"/>
              <w:snapToGrid/>
              <w:spacing w:line="400" w:lineRule="exact"/>
              <w:jc w:val="center"/>
              <w:rPr>
                <w:rFonts w:hint="default" w:ascii="宋体" w:hAnsi="宋体" w:eastAsia="宋体" w:cs="Times New Roman"/>
                <w:color w:val="auto"/>
                <w:kern w:val="0"/>
                <w:sz w:val="21"/>
                <w:szCs w:val="21"/>
                <w:lang w:val="en-US" w:eastAsia="zh-CN" w:bidi="ar-SA"/>
              </w:rPr>
            </w:pPr>
            <w:r>
              <w:rPr>
                <w:rFonts w:hint="eastAsia" w:ascii="宋体" w:hAnsi="宋体" w:eastAsia="宋体" w:cs="Times New Roman"/>
                <w:color w:val="auto"/>
                <w:kern w:val="0"/>
                <w:sz w:val="21"/>
                <w:szCs w:val="21"/>
                <w:lang w:val="en-US" w:eastAsia="zh-CN" w:bidi="ar-SA"/>
              </w:rPr>
              <w:t>类似业绩</w:t>
            </w:r>
          </w:p>
        </w:tc>
        <w:tc>
          <w:tcPr>
            <w:tcW w:w="6917" w:type="dxa"/>
            <w:noWrap w:val="0"/>
            <w:vAlign w:val="top"/>
          </w:tcPr>
          <w:p>
            <w:pPr>
              <w:pStyle w:val="300"/>
              <w:keepNext w:val="0"/>
              <w:keepLines w:val="0"/>
              <w:pageBreakBefore w:val="0"/>
              <w:kinsoku/>
              <w:wordWrap/>
              <w:overflowPunct/>
              <w:topLinePunct w:val="0"/>
              <w:autoSpaceDE/>
              <w:autoSpaceDN/>
              <w:bidi w:val="0"/>
              <w:snapToGrid/>
              <w:spacing w:line="400" w:lineRule="exact"/>
              <w:ind w:firstLine="420" w:firstLineChars="200"/>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供应商在2022年6月1日至磋商截止时间前，完成或承接过房屋建筑工程施工项目，每个得3分，满分12分。（附成交通知书复印件或合同复印件，复印件加盖单位公章）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94" w:type="dxa"/>
            <w:noWrap w:val="0"/>
            <w:vAlign w:val="center"/>
          </w:tcPr>
          <w:p>
            <w:pPr>
              <w:pStyle w:val="298"/>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color w:val="auto"/>
                <w:kern w:val="0"/>
                <w:szCs w:val="21"/>
                <w:lang w:eastAsia="zh-CN" w:bidi="ar-SA"/>
              </w:rPr>
            </w:pPr>
            <w:r>
              <w:rPr>
                <w:rFonts w:hint="eastAsia" w:ascii="黑体" w:hAnsi="黑体" w:eastAsia="黑体" w:cs="黑体"/>
                <w:color w:val="auto"/>
                <w:kern w:val="0"/>
                <w:szCs w:val="21"/>
                <w:lang w:bidi="ar-SA"/>
              </w:rPr>
              <w:t>3.</w:t>
            </w:r>
            <w:r>
              <w:rPr>
                <w:rFonts w:hint="eastAsia" w:ascii="黑体" w:hAnsi="黑体" w:eastAsia="黑体" w:cs="黑体"/>
                <w:color w:val="auto"/>
                <w:kern w:val="0"/>
                <w:szCs w:val="21"/>
                <w:lang w:val="en-US" w:eastAsia="zh-CN" w:bidi="ar-SA"/>
              </w:rPr>
              <w:t>2</w:t>
            </w:r>
          </w:p>
        </w:tc>
        <w:tc>
          <w:tcPr>
            <w:tcW w:w="1910"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00" w:lineRule="exact"/>
              <w:ind w:left="0" w:right="0"/>
              <w:jc w:val="center"/>
              <w:rPr>
                <w:rFonts w:ascii="宋体" w:hAnsi="宋体" w:eastAsia="宋体" w:cs="宋体"/>
                <w:szCs w:val="21"/>
              </w:rPr>
            </w:pPr>
            <w:r>
              <w:rPr>
                <w:rFonts w:hint="eastAsia" w:ascii="宋体" w:hAnsi="宋体" w:eastAsia="宋体" w:cs="宋体"/>
                <w:szCs w:val="21"/>
              </w:rPr>
              <w:t>主要管理</w:t>
            </w:r>
            <w:r>
              <w:rPr>
                <w:rFonts w:ascii="宋体" w:hAnsi="宋体" w:eastAsia="宋体" w:cs="宋体"/>
                <w:szCs w:val="21"/>
              </w:rPr>
              <w:t>人员</w:t>
            </w:r>
          </w:p>
          <w:p>
            <w:pPr>
              <w:pStyle w:val="299"/>
              <w:keepNext w:val="0"/>
              <w:keepLines w:val="0"/>
              <w:pageBreakBefore w:val="0"/>
              <w:widowControl/>
              <w:kinsoku/>
              <w:wordWrap/>
              <w:overflowPunct/>
              <w:topLinePunct w:val="0"/>
              <w:autoSpaceDE/>
              <w:autoSpaceDN/>
              <w:bidi w:val="0"/>
              <w:snapToGrid/>
              <w:spacing w:line="400" w:lineRule="exact"/>
              <w:jc w:val="center"/>
              <w:rPr>
                <w:rFonts w:hint="eastAsia" w:ascii="黑体" w:hAnsi="黑体" w:eastAsia="黑体" w:cs="黑体"/>
                <w:b/>
                <w:bCs/>
                <w:color w:val="auto"/>
                <w:kern w:val="0"/>
                <w:szCs w:val="21"/>
                <w:lang w:bidi="ar-SA"/>
              </w:rPr>
            </w:pPr>
            <w:r>
              <w:rPr>
                <w:rFonts w:hint="eastAsia" w:ascii="宋体" w:hAnsi="宋体" w:eastAsia="宋体" w:cs="宋体"/>
                <w:szCs w:val="21"/>
              </w:rPr>
              <w:t>配备</w:t>
            </w:r>
            <w:r>
              <w:rPr>
                <w:rFonts w:ascii="宋体" w:hAnsi="宋体" w:eastAsia="宋体" w:cs="宋体"/>
                <w:szCs w:val="21"/>
              </w:rPr>
              <w:t>情况</w:t>
            </w:r>
          </w:p>
        </w:tc>
        <w:tc>
          <w:tcPr>
            <w:tcW w:w="6917" w:type="dxa"/>
            <w:noWrap w:val="0"/>
            <w:vAlign w:val="top"/>
          </w:tcPr>
          <w:p>
            <w:pPr>
              <w:pStyle w:val="7"/>
              <w:keepNext w:val="0"/>
              <w:keepLines w:val="0"/>
              <w:pageBreakBefore w:val="0"/>
              <w:kinsoku/>
              <w:wordWrap/>
              <w:overflowPunct/>
              <w:topLinePunct w:val="0"/>
              <w:autoSpaceDE/>
              <w:autoSpaceDN/>
              <w:bidi w:val="0"/>
              <w:snapToGrid/>
              <w:spacing w:line="400" w:lineRule="exact"/>
              <w:rPr>
                <w:rFonts w:hint="eastAsia"/>
                <w:lang w:eastAsia="zh-CN"/>
              </w:rPr>
            </w:pPr>
            <w:r>
              <w:rPr>
                <w:rFonts w:hint="eastAsia"/>
                <w:lang w:eastAsia="zh-CN"/>
              </w:rPr>
              <w:t>优（18分）：拟投入主要管理人员8人（含）以上（包含至少1名施工员、1名质量员、1名材料员、1名安全员，不包含项目经理及技术负责人）。</w:t>
            </w:r>
          </w:p>
          <w:p>
            <w:pPr>
              <w:pStyle w:val="7"/>
              <w:keepNext w:val="0"/>
              <w:keepLines w:val="0"/>
              <w:pageBreakBefore w:val="0"/>
              <w:kinsoku/>
              <w:wordWrap/>
              <w:overflowPunct/>
              <w:topLinePunct w:val="0"/>
              <w:autoSpaceDE/>
              <w:autoSpaceDN/>
              <w:bidi w:val="0"/>
              <w:snapToGrid/>
              <w:spacing w:line="400" w:lineRule="exact"/>
              <w:rPr>
                <w:rFonts w:hint="eastAsia"/>
                <w:lang w:eastAsia="zh-CN"/>
              </w:rPr>
            </w:pPr>
            <w:r>
              <w:rPr>
                <w:rFonts w:hint="eastAsia"/>
                <w:lang w:eastAsia="zh-CN"/>
              </w:rPr>
              <w:t>良（13分）：拟投入主要管理人员7人（包含至少1名施工员、1名质量员、1名材料员、1名安全员，不包含项目经理及技术负责人）。</w:t>
            </w:r>
          </w:p>
          <w:p>
            <w:pPr>
              <w:pStyle w:val="7"/>
              <w:keepNext w:val="0"/>
              <w:keepLines w:val="0"/>
              <w:pageBreakBefore w:val="0"/>
              <w:kinsoku/>
              <w:wordWrap/>
              <w:overflowPunct/>
              <w:topLinePunct w:val="0"/>
              <w:autoSpaceDE/>
              <w:autoSpaceDN/>
              <w:bidi w:val="0"/>
              <w:snapToGrid/>
              <w:spacing w:line="400" w:lineRule="exact"/>
              <w:rPr>
                <w:rFonts w:hint="eastAsia"/>
                <w:lang w:eastAsia="zh-CN"/>
              </w:rPr>
            </w:pPr>
            <w:r>
              <w:rPr>
                <w:rFonts w:hint="eastAsia"/>
                <w:lang w:eastAsia="zh-CN"/>
              </w:rPr>
              <w:t>中（8分）：拟投入主要管理人员6人（包含至少1名施工员、1名质量员、1名材料员、1名安全员，不包含项目经理及技术负责人）。</w:t>
            </w:r>
          </w:p>
          <w:p>
            <w:pPr>
              <w:pStyle w:val="7"/>
              <w:keepNext w:val="0"/>
              <w:keepLines w:val="0"/>
              <w:pageBreakBefore w:val="0"/>
              <w:kinsoku/>
              <w:wordWrap/>
              <w:overflowPunct/>
              <w:topLinePunct w:val="0"/>
              <w:autoSpaceDE/>
              <w:autoSpaceDN/>
              <w:bidi w:val="0"/>
              <w:snapToGrid/>
              <w:spacing w:line="400" w:lineRule="exact"/>
              <w:rPr>
                <w:rFonts w:hint="eastAsia"/>
                <w:color w:val="auto"/>
                <w:lang w:eastAsia="zh-CN"/>
              </w:rPr>
            </w:pPr>
            <w:r>
              <w:rPr>
                <w:rFonts w:hint="eastAsia"/>
                <w:color w:val="auto"/>
                <w:lang w:eastAsia="zh-CN"/>
              </w:rPr>
              <w:t>差（3分）：拟投入主要管理人员5人（含）以下（不包含项目经理及技术负责人）或不满足至少1名施工员、1名质量员、1名材料员、1名安全员，人员配备不满足施工需要，管理人员配备不齐全。</w:t>
            </w:r>
          </w:p>
          <w:p>
            <w:pPr>
              <w:pStyle w:val="7"/>
              <w:keepNext w:val="0"/>
              <w:keepLines w:val="0"/>
              <w:pageBreakBefore w:val="0"/>
              <w:kinsoku/>
              <w:wordWrap/>
              <w:overflowPunct/>
              <w:topLinePunct w:val="0"/>
              <w:autoSpaceDE/>
              <w:autoSpaceDN/>
              <w:bidi w:val="0"/>
              <w:snapToGrid/>
              <w:spacing w:line="400" w:lineRule="exact"/>
              <w:rPr>
                <w:rFonts w:hint="eastAsia"/>
              </w:rPr>
            </w:pPr>
            <w:r>
              <w:rPr>
                <w:rFonts w:hint="eastAsia"/>
                <w:color w:val="auto"/>
                <w:lang w:eastAsia="zh-CN"/>
              </w:rPr>
              <w:t>备注：附所有拟投入人员近半年内（2025年1月-2025年</w:t>
            </w:r>
            <w:r>
              <w:rPr>
                <w:rFonts w:hint="eastAsia"/>
                <w:color w:val="auto"/>
                <w:lang w:val="en-US" w:eastAsia="zh-CN"/>
              </w:rPr>
              <w:t>6</w:t>
            </w:r>
            <w:r>
              <w:rPr>
                <w:rFonts w:hint="eastAsia"/>
                <w:color w:val="auto"/>
                <w:lang w:eastAsia="zh-CN"/>
              </w:rPr>
              <w:t>月）</w:t>
            </w:r>
            <w:r>
              <w:rPr>
                <w:rFonts w:hint="eastAsia"/>
                <w:color w:val="auto"/>
                <w:lang w:val="en-US" w:eastAsia="zh-CN"/>
              </w:rPr>
              <w:t>连续</w:t>
            </w:r>
            <w:r>
              <w:rPr>
                <w:rFonts w:hint="eastAsia"/>
                <w:color w:val="auto"/>
                <w:lang w:eastAsia="zh-CN"/>
              </w:rPr>
              <w:t>三个月社会保险缴纳情况（已退休未满65岁的但应附退休证明</w:t>
            </w:r>
            <w:r>
              <w:rPr>
                <w:rFonts w:hint="eastAsia"/>
                <w:lang w:eastAsia="zh-CN"/>
              </w:rPr>
              <w:t>材料，拟投入人员注册单位与竞标单位一致及加盖竞标单位公章聘用书证明材料），否则不得分。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1" w:type="dxa"/>
            <w:gridSpan w:val="3"/>
            <w:noWrap w:val="0"/>
            <w:vAlign w:val="top"/>
          </w:tcPr>
          <w:p>
            <w:pPr>
              <w:pStyle w:val="25"/>
              <w:keepNext w:val="0"/>
              <w:keepLines w:val="0"/>
              <w:pageBreakBefore w:val="0"/>
              <w:kinsoku/>
              <w:wordWrap/>
              <w:overflowPunct/>
              <w:topLinePunct w:val="0"/>
              <w:autoSpaceDE/>
              <w:autoSpaceDN/>
              <w:bidi w:val="0"/>
              <w:snapToGrid/>
              <w:spacing w:line="400" w:lineRule="exact"/>
              <w:ind w:firstLine="420" w:firstLineChars="200"/>
              <w:rPr>
                <w:rFonts w:hint="eastAsia" w:ascii="黑体" w:hAnsi="黑体" w:eastAsia="黑体" w:cs="黑体"/>
                <w:bCs/>
                <w:color w:val="auto"/>
                <w:kern w:val="2"/>
                <w:sz w:val="21"/>
                <w:lang w:bidi="ar-SA"/>
              </w:rPr>
            </w:pPr>
            <w:r>
              <w:rPr>
                <w:rFonts w:hint="eastAsia" w:ascii="黑体" w:hAnsi="黑体" w:eastAsia="黑体" w:cs="黑体"/>
                <w:bCs/>
                <w:color w:val="auto"/>
                <w:kern w:val="2"/>
                <w:sz w:val="21"/>
                <w:lang w:bidi="ar-SA"/>
              </w:rPr>
              <w:t>总得分＝1＋2＋3</w:t>
            </w:r>
          </w:p>
        </w:tc>
      </w:tr>
    </w:tbl>
    <w:p>
      <w:pPr>
        <w:spacing w:line="360" w:lineRule="auto"/>
        <w:ind w:firstLine="420" w:firstLineChars="200"/>
        <w:rPr>
          <w:rFonts w:ascii="宋体" w:hAnsi="宋体" w:cs="宋体"/>
        </w:rPr>
      </w:pPr>
      <w:bookmarkStart w:id="56" w:name="_Toc80205935"/>
      <w:r>
        <w:rPr>
          <w:rFonts w:hint="eastAsia" w:ascii="宋体" w:hAnsi="宋体" w:cs="宋体"/>
        </w:rPr>
        <w:t>8.2商务技术评审因素为客观评分项的，应在评分项目或评分标准中予以标注为“客观分”。对供应商的客观评分项目，各评审专家评分应当一致。</w:t>
      </w:r>
    </w:p>
    <w:p>
      <w:pPr>
        <w:spacing w:line="360" w:lineRule="auto"/>
        <w:ind w:firstLine="420" w:firstLineChars="200"/>
        <w:rPr>
          <w:rFonts w:ascii="宋体" w:hAnsi="宋体" w:cs="宋体"/>
        </w:rPr>
      </w:pPr>
      <w:r>
        <w:rPr>
          <w:rFonts w:hint="eastAsia" w:ascii="宋体" w:hAnsi="宋体" w:cs="宋体"/>
        </w:rPr>
        <w:t>8.3.终止竞争性磋商采购活动</w:t>
      </w:r>
    </w:p>
    <w:p>
      <w:pPr>
        <w:spacing w:line="360" w:lineRule="auto"/>
        <w:ind w:firstLine="420" w:firstLineChars="200"/>
        <w:rPr>
          <w:rFonts w:ascii="宋体" w:hAnsi="宋体" w:cs="宋体"/>
        </w:rPr>
      </w:pPr>
      <w:r>
        <w:rPr>
          <w:rFonts w:hint="eastAsia" w:ascii="宋体" w:hAnsi="宋体" w:cs="宋体"/>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keepNext/>
        <w:keepLines/>
        <w:spacing w:line="360" w:lineRule="auto"/>
        <w:ind w:firstLine="640" w:firstLineChars="200"/>
        <w:jc w:val="center"/>
        <w:outlineLvl w:val="1"/>
        <w:rPr>
          <w:rFonts w:ascii="宋体" w:hAnsi="宋体"/>
          <w:bCs/>
          <w:sz w:val="32"/>
          <w:szCs w:val="32"/>
        </w:rPr>
      </w:pPr>
    </w:p>
    <w:p>
      <w:pPr>
        <w:keepNext/>
        <w:keepLines/>
        <w:spacing w:line="360" w:lineRule="auto"/>
        <w:ind w:firstLine="640" w:firstLineChars="200"/>
        <w:jc w:val="center"/>
        <w:outlineLvl w:val="1"/>
        <w:rPr>
          <w:rFonts w:ascii="宋体" w:hAnsi="宋体"/>
          <w:bCs/>
          <w:sz w:val="32"/>
          <w:szCs w:val="32"/>
        </w:rPr>
      </w:pPr>
      <w:bookmarkStart w:id="57" w:name="_Toc106794717"/>
      <w:r>
        <w:rPr>
          <w:rFonts w:hint="eastAsia" w:ascii="宋体" w:hAnsi="宋体"/>
          <w:bCs/>
          <w:sz w:val="32"/>
          <w:szCs w:val="32"/>
        </w:rPr>
        <w:t>第二节 评标报告</w:t>
      </w:r>
      <w:bookmarkEnd w:id="56"/>
      <w:bookmarkEnd w:id="57"/>
    </w:p>
    <w:p>
      <w:pPr>
        <w:spacing w:line="360" w:lineRule="auto"/>
        <w:ind w:firstLine="480" w:firstLineChars="200"/>
        <w:rPr>
          <w:rFonts w:ascii="宋体" w:hAnsi="宋体" w:cs="宋体"/>
          <w:sz w:val="24"/>
          <w:szCs w:val="32"/>
        </w:rPr>
      </w:pPr>
      <w:r>
        <w:rPr>
          <w:rFonts w:hint="eastAsia" w:ascii="宋体" w:hAnsi="宋体" w:cs="宋体"/>
          <w:sz w:val="24"/>
          <w:szCs w:val="32"/>
        </w:rPr>
        <w:t>1.成交标准</w:t>
      </w:r>
    </w:p>
    <w:p>
      <w:pPr>
        <w:spacing w:line="360" w:lineRule="auto"/>
        <w:ind w:firstLine="420" w:firstLineChars="200"/>
        <w:rPr>
          <w:rFonts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rPr>
        <w:t>,并在线编写电子评审报告</w:t>
      </w:r>
      <w:r>
        <w:rPr>
          <w:rFonts w:hint="eastAsia" w:ascii="宋体" w:hAnsi="宋体"/>
          <w:bCs/>
          <w:szCs w:val="21"/>
        </w:rPr>
        <w:t>。符合本章第一节第5</w:t>
      </w:r>
      <w:r>
        <w:rPr>
          <w:rFonts w:ascii="宋体" w:hAnsi="宋体"/>
          <w:bCs/>
          <w:szCs w:val="21"/>
        </w:rPr>
        <w:t>.3</w:t>
      </w:r>
      <w:r>
        <w:rPr>
          <w:rFonts w:hint="eastAsia" w:ascii="宋体" w:hAnsi="宋体"/>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评审得分、最后报价（不计算价格折扣）、技术得分均相同的，由磋商小组随机抽取推荐。</w:t>
      </w:r>
    </w:p>
    <w:p>
      <w:pPr>
        <w:spacing w:line="360" w:lineRule="auto"/>
        <w:ind w:firstLine="480" w:firstLineChars="200"/>
        <w:rPr>
          <w:rFonts w:ascii="宋体" w:hAnsi="宋体" w:cs="宋体"/>
          <w:sz w:val="24"/>
          <w:szCs w:val="32"/>
        </w:rPr>
      </w:pPr>
      <w:r>
        <w:rPr>
          <w:rFonts w:hint="eastAsia" w:ascii="宋体" w:hAnsi="宋体" w:cs="宋体"/>
          <w:sz w:val="24"/>
          <w:szCs w:val="32"/>
        </w:rPr>
        <w:t>2.评标争议</w:t>
      </w:r>
      <w:r>
        <w:rPr>
          <w:rFonts w:ascii="宋体" w:hAnsi="宋体" w:cs="宋体"/>
          <w:sz w:val="24"/>
          <w:szCs w:val="32"/>
        </w:rPr>
        <w:t>事项</w:t>
      </w:r>
      <w:r>
        <w:rPr>
          <w:rFonts w:hint="eastAsia" w:ascii="宋体" w:hAnsi="宋体" w:cs="宋体"/>
          <w:sz w:val="24"/>
          <w:szCs w:val="32"/>
        </w:rPr>
        <w:t>处理</w:t>
      </w:r>
    </w:p>
    <w:p>
      <w:pPr>
        <w:adjustRightInd w:val="0"/>
        <w:spacing w:line="360" w:lineRule="auto"/>
        <w:ind w:firstLine="420" w:firstLineChars="200"/>
        <w:rPr>
          <w:rFonts w:ascii="宋体" w:hAnsi="宋体" w:cs="宋体"/>
        </w:rPr>
      </w:pPr>
      <w:r>
        <w:rPr>
          <w:rFonts w:hint="eastAsia" w:ascii="宋体" w:hAnsi="宋体" w:cs="宋体"/>
        </w:rPr>
        <w:t>磋商小组</w:t>
      </w:r>
      <w:r>
        <w:rPr>
          <w:rFonts w:ascii="宋体" w:hAnsi="宋体" w:cs="宋体"/>
        </w:rPr>
        <w:t>成员对需要共同认定的事项存在争议的，应当按照少数服从多数的原则作出结论。持不同意见的</w:t>
      </w:r>
      <w:r>
        <w:rPr>
          <w:rFonts w:hint="eastAsia" w:ascii="宋体" w:hAnsi="宋体" w:cs="宋体"/>
        </w:rPr>
        <w:t>磋商小组</w:t>
      </w:r>
      <w:r>
        <w:rPr>
          <w:rFonts w:ascii="宋体" w:hAnsi="宋体" w:cs="宋体"/>
        </w:rPr>
        <w:t>成员应当在评标报告上签署不同意见及理由，否则视为同意评标报告。</w:t>
      </w:r>
    </w:p>
    <w:p>
      <w:pPr>
        <w:keepNext/>
        <w:keepLines/>
        <w:spacing w:line="360" w:lineRule="auto"/>
        <w:ind w:firstLine="640" w:firstLineChars="200"/>
        <w:jc w:val="center"/>
        <w:outlineLvl w:val="1"/>
        <w:rPr>
          <w:rFonts w:ascii="宋体" w:hAnsi="宋体"/>
          <w:bCs/>
          <w:sz w:val="32"/>
          <w:szCs w:val="32"/>
        </w:rPr>
      </w:pPr>
      <w:bookmarkStart w:id="58" w:name="_Toc80205936"/>
      <w:bookmarkStart w:id="59" w:name="_Toc106794718"/>
      <w:r>
        <w:rPr>
          <w:rFonts w:hint="eastAsia" w:ascii="宋体" w:hAnsi="宋体"/>
          <w:bCs/>
          <w:sz w:val="32"/>
          <w:szCs w:val="32"/>
        </w:rPr>
        <w:t>第三节 评审过程的保密与录像</w:t>
      </w:r>
      <w:bookmarkEnd w:id="58"/>
      <w:bookmarkEnd w:id="59"/>
    </w:p>
    <w:p>
      <w:pPr>
        <w:spacing w:line="360" w:lineRule="auto"/>
        <w:ind w:firstLine="480" w:firstLineChars="200"/>
        <w:rPr>
          <w:rFonts w:ascii="宋体" w:hAnsi="宋体" w:cs="宋体"/>
          <w:sz w:val="24"/>
          <w:szCs w:val="32"/>
        </w:rPr>
      </w:pPr>
      <w:r>
        <w:rPr>
          <w:rFonts w:hint="eastAsia" w:ascii="宋体" w:hAnsi="宋体" w:cs="宋体"/>
          <w:sz w:val="24"/>
          <w:szCs w:val="32"/>
        </w:rPr>
        <w:t>1.保密。</w:t>
      </w:r>
    </w:p>
    <w:p>
      <w:pPr>
        <w:widowControl/>
        <w:spacing w:line="360" w:lineRule="auto"/>
        <w:ind w:firstLine="420" w:firstLineChars="200"/>
        <w:rPr>
          <w:rFonts w:ascii="宋体" w:hAnsi="宋体" w:cs="宋体"/>
        </w:rPr>
      </w:pPr>
      <w:r>
        <w:rPr>
          <w:rFonts w:ascii="宋体" w:hAnsi="宋体" w:cs="宋体"/>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ascii="宋体" w:hAnsi="宋体" w:cs="宋体"/>
          <w:sz w:val="24"/>
          <w:szCs w:val="32"/>
        </w:rPr>
      </w:pPr>
      <w:r>
        <w:rPr>
          <w:rFonts w:hint="eastAsia" w:ascii="宋体" w:hAnsi="宋体" w:cs="宋体"/>
          <w:sz w:val="24"/>
          <w:szCs w:val="32"/>
        </w:rPr>
        <w:t>2.录音录像。</w:t>
      </w:r>
    </w:p>
    <w:p>
      <w:pPr>
        <w:spacing w:line="360" w:lineRule="auto"/>
        <w:ind w:firstLine="420" w:firstLineChars="200"/>
        <w:rPr>
          <w:rFonts w:ascii="宋体" w:hAnsi="宋体"/>
        </w:rPr>
      </w:pPr>
      <w:r>
        <w:rPr>
          <w:rFonts w:hint="eastAsia" w:ascii="宋体" w:hAnsi="宋体" w:cs="宋体"/>
        </w:rPr>
        <w:t>采购代理机构对评审工作现场及操作屏幕进行全过程录音录像，录音录像资料作为采购项目文件随其他文件一并存档。</w:t>
      </w:r>
    </w:p>
    <w:p>
      <w:pPr>
        <w:keepNext/>
        <w:keepLines/>
        <w:spacing w:before="260" w:after="260" w:line="416" w:lineRule="auto"/>
        <w:jc w:val="center"/>
        <w:outlineLvl w:val="1"/>
        <w:rPr>
          <w:rFonts w:ascii="宋体" w:hAnsi="宋体"/>
          <w:b/>
          <w:bCs/>
          <w:sz w:val="32"/>
          <w:szCs w:val="32"/>
        </w:rPr>
      </w:pPr>
      <w:r>
        <w:rPr>
          <w:rFonts w:ascii="宋体" w:hAnsi="宋体"/>
          <w:b/>
          <w:bCs/>
          <w:sz w:val="32"/>
          <w:szCs w:val="32"/>
        </w:rPr>
        <w:br w:type="page"/>
      </w:r>
    </w:p>
    <w:p>
      <w:pPr>
        <w:keepNext/>
        <w:keepLines/>
        <w:spacing w:before="260" w:after="260" w:line="416" w:lineRule="auto"/>
        <w:jc w:val="center"/>
        <w:outlineLvl w:val="1"/>
        <w:rPr>
          <w:rFonts w:ascii="宋体" w:hAnsi="宋体"/>
          <w:b/>
          <w:bCs/>
          <w:sz w:val="32"/>
          <w:szCs w:val="32"/>
        </w:rPr>
      </w:pPr>
    </w:p>
    <w:p>
      <w:pPr>
        <w:keepNext/>
        <w:keepLines/>
        <w:spacing w:before="260" w:after="260" w:line="416" w:lineRule="auto"/>
        <w:jc w:val="center"/>
        <w:outlineLvl w:val="1"/>
        <w:rPr>
          <w:rFonts w:ascii="宋体" w:hAnsi="宋体"/>
          <w:b/>
          <w:bCs/>
          <w:sz w:val="32"/>
          <w:szCs w:val="32"/>
        </w:rPr>
      </w:pPr>
    </w:p>
    <w:p>
      <w:pPr>
        <w:keepNext/>
        <w:keepLines/>
        <w:spacing w:before="260" w:after="260" w:line="416" w:lineRule="auto"/>
        <w:jc w:val="center"/>
        <w:outlineLvl w:val="1"/>
        <w:rPr>
          <w:rFonts w:ascii="宋体" w:hAnsi="宋体"/>
          <w:b/>
          <w:bCs/>
          <w:sz w:val="32"/>
          <w:szCs w:val="32"/>
        </w:rPr>
      </w:pPr>
    </w:p>
    <w:p>
      <w:pPr>
        <w:keepNext/>
        <w:keepLines/>
        <w:spacing w:before="260" w:after="260" w:line="416" w:lineRule="auto"/>
        <w:jc w:val="center"/>
        <w:outlineLvl w:val="1"/>
        <w:rPr>
          <w:rFonts w:ascii="宋体" w:hAnsi="宋体"/>
          <w:b/>
          <w:bCs/>
          <w:sz w:val="32"/>
          <w:szCs w:val="32"/>
        </w:rPr>
      </w:pPr>
    </w:p>
    <w:p>
      <w:pPr>
        <w:keepNext/>
        <w:keepLines/>
        <w:spacing w:before="260" w:after="260" w:line="416" w:lineRule="auto"/>
        <w:jc w:val="center"/>
        <w:outlineLvl w:val="1"/>
        <w:rPr>
          <w:rFonts w:ascii="宋体" w:hAnsi="宋体"/>
          <w:b/>
          <w:bCs/>
          <w:sz w:val="32"/>
          <w:szCs w:val="32"/>
        </w:rPr>
      </w:pPr>
    </w:p>
    <w:p>
      <w:pPr>
        <w:keepNext/>
        <w:keepLines/>
        <w:spacing w:before="340" w:after="330" w:line="578" w:lineRule="auto"/>
        <w:jc w:val="center"/>
        <w:outlineLvl w:val="0"/>
        <w:rPr>
          <w:rFonts w:ascii="宋体" w:hAnsi="宋体"/>
          <w:b/>
          <w:bCs/>
          <w:kern w:val="44"/>
          <w:sz w:val="44"/>
          <w:szCs w:val="44"/>
        </w:rPr>
        <w:sectPr>
          <w:footerReference r:id="rId9" w:type="first"/>
          <w:footerReference r:id="rId8" w:type="default"/>
          <w:pgSz w:w="11910" w:h="16840"/>
          <w:pgMar w:top="1340" w:right="1500" w:bottom="280" w:left="1680" w:header="720" w:footer="720" w:gutter="0"/>
          <w:pgNumType w:fmt="decimal"/>
          <w:cols w:space="720" w:num="1"/>
        </w:sectPr>
      </w:pPr>
      <w:bookmarkStart w:id="60" w:name="_Toc106794719"/>
      <w:r>
        <w:rPr>
          <w:rFonts w:hint="eastAsia" w:ascii="宋体" w:hAnsi="宋体"/>
          <w:b/>
          <w:bCs/>
          <w:kern w:val="44"/>
          <w:sz w:val="44"/>
          <w:szCs w:val="44"/>
        </w:rPr>
        <w:t>第五章 响应文件格式</w:t>
      </w:r>
      <w:bookmarkEnd w:id="60"/>
    </w:p>
    <w:p>
      <w:pPr>
        <w:keepNext/>
        <w:keepLines/>
        <w:spacing w:before="260" w:after="260" w:line="416" w:lineRule="auto"/>
        <w:jc w:val="center"/>
        <w:outlineLvl w:val="1"/>
        <w:rPr>
          <w:rFonts w:ascii="宋体" w:hAnsi="宋体"/>
          <w:bCs/>
          <w:sz w:val="32"/>
          <w:szCs w:val="32"/>
        </w:rPr>
      </w:pPr>
      <w:bookmarkStart w:id="61" w:name="_Toc106794720"/>
      <w:bookmarkStart w:id="62" w:name="_Toc80205938"/>
      <w:r>
        <w:rPr>
          <w:rFonts w:hint="eastAsia" w:ascii="宋体" w:hAnsi="宋体"/>
          <w:bCs/>
          <w:sz w:val="32"/>
          <w:szCs w:val="32"/>
        </w:rPr>
        <w:t>第一节 封面格式</w:t>
      </w:r>
      <w:bookmarkEnd w:id="61"/>
      <w:bookmarkEnd w:id="62"/>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响  应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20" w:beforeLines="50" w:after="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snapToGrid w:val="0"/>
        <w:spacing w:before="120" w:beforeLines="50" w:after="50"/>
        <w:rPr>
          <w:rFonts w:ascii="宋体" w:hAnsi="宋体" w:cs="仿宋_GB2312"/>
          <w:bCs/>
          <w:sz w:val="32"/>
          <w:szCs w:val="32"/>
        </w:rPr>
      </w:pPr>
    </w:p>
    <w:p>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20" w:beforeLines="50" w:after="50"/>
        <w:ind w:firstLine="5440" w:firstLineChars="1700"/>
        <w:jc w:val="center"/>
        <w:rPr>
          <w:rFonts w:ascii="宋体" w:hAnsi="宋体" w:cs="仿宋_GB2312"/>
          <w:bCs/>
          <w:sz w:val="32"/>
          <w:szCs w:val="32"/>
        </w:rPr>
      </w:pPr>
    </w:p>
    <w:p>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rPr>
          <w:rFonts w:ascii="宋体" w:hAnsi="宋体"/>
        </w:rPr>
        <w:sectPr>
          <w:pgSz w:w="11910" w:h="16840"/>
          <w:pgMar w:top="1340" w:right="1500" w:bottom="280" w:left="1680" w:header="720" w:footer="720" w:gutter="0"/>
          <w:pgNumType w:fmt="decimal"/>
          <w:cols w:space="720" w:num="1"/>
        </w:sectPr>
      </w:pPr>
    </w:p>
    <w:p>
      <w:pPr>
        <w:keepNext/>
        <w:keepLines/>
        <w:spacing w:before="260" w:after="260" w:line="416" w:lineRule="auto"/>
        <w:jc w:val="center"/>
        <w:outlineLvl w:val="1"/>
        <w:rPr>
          <w:rFonts w:ascii="宋体" w:hAnsi="宋体"/>
          <w:b/>
          <w:sz w:val="32"/>
          <w:szCs w:val="32"/>
        </w:rPr>
      </w:pPr>
      <w:bookmarkStart w:id="63" w:name="_Toc80205939"/>
      <w:bookmarkStart w:id="64" w:name="_Toc106794721"/>
      <w:r>
        <w:rPr>
          <w:rFonts w:hint="eastAsia" w:ascii="宋体" w:hAnsi="宋体"/>
          <w:b/>
          <w:sz w:val="32"/>
          <w:szCs w:val="32"/>
        </w:rPr>
        <w:t>第二节 资格证明文件格式</w:t>
      </w:r>
      <w:bookmarkEnd w:id="63"/>
      <w:bookmarkEnd w:id="64"/>
    </w:p>
    <w:p>
      <w:pPr>
        <w:snapToGrid w:val="0"/>
        <w:spacing w:before="120" w:beforeLines="50" w:after="50"/>
        <w:rPr>
          <w:rFonts w:ascii="宋体" w:hAnsi="宋体"/>
          <w:bCs/>
          <w:sz w:val="32"/>
          <w:szCs w:val="20"/>
        </w:rPr>
      </w:pP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资  格  证  明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20" w:beforeLines="50" w:after="50"/>
        <w:ind w:firstLine="720" w:firstLineChars="225"/>
        <w:rPr>
          <w:rFonts w:ascii="宋体" w:hAnsi="宋体" w:cs="仿宋_GB2312"/>
          <w:bCs/>
          <w:sz w:val="32"/>
          <w:szCs w:val="32"/>
        </w:rPr>
      </w:pPr>
    </w:p>
    <w:p>
      <w:pPr>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pPr>
        <w:snapToGrid w:val="0"/>
        <w:spacing w:before="50" w:after="50"/>
        <w:ind w:firstLine="720" w:firstLineChars="225"/>
        <w:rPr>
          <w:rFonts w:ascii="宋体" w:hAnsi="宋体" w:cs="仿宋_GB2312"/>
          <w:bCs/>
          <w:sz w:val="32"/>
          <w:szCs w:val="32"/>
        </w:rPr>
      </w:pPr>
    </w:p>
    <w:p>
      <w:pPr>
        <w:snapToGrid w:val="0"/>
        <w:spacing w:before="50" w:after="50"/>
        <w:ind w:firstLine="720" w:firstLineChars="225"/>
        <w:rPr>
          <w:rFonts w:ascii="宋体" w:hAnsi="宋体" w:cs="仿宋_GB2312"/>
          <w:bCs/>
          <w:sz w:val="32"/>
          <w:szCs w:val="32"/>
        </w:rPr>
      </w:pPr>
    </w:p>
    <w:p>
      <w:pPr>
        <w:snapToGrid w:val="0"/>
        <w:spacing w:before="50" w:after="50"/>
        <w:ind w:firstLine="720" w:firstLineChars="225"/>
        <w:rPr>
          <w:rFonts w:ascii="宋体" w:hAnsi="宋体" w:cs="仿宋_GB2312"/>
          <w:bCs/>
          <w:sz w:val="32"/>
          <w:szCs w:val="32"/>
        </w:rPr>
      </w:pPr>
    </w:p>
    <w:p>
      <w:pPr>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jc w:val="left"/>
        <w:rPr>
          <w:rFonts w:ascii="宋体" w:hAnsi="宋体"/>
          <w:b/>
          <w:bCs/>
          <w:sz w:val="32"/>
          <w:szCs w:val="32"/>
        </w:rPr>
      </w:pPr>
      <w:r>
        <w:rPr>
          <w:rFonts w:ascii="宋体" w:hAnsi="宋体"/>
          <w:sz w:val="24"/>
        </w:rPr>
        <w:br w:type="page"/>
      </w:r>
    </w:p>
    <w:p>
      <w:pPr>
        <w:jc w:val="center"/>
        <w:rPr>
          <w:rFonts w:ascii="宋体" w:hAnsi="宋体" w:cs="仿宋_GB2312"/>
          <w:b/>
          <w:kern w:val="0"/>
          <w:sz w:val="36"/>
          <w:szCs w:val="36"/>
        </w:rPr>
      </w:pPr>
      <w:r>
        <w:rPr>
          <w:rFonts w:hint="eastAsia" w:ascii="宋体" w:hAnsi="宋体" w:cs="仿宋_GB2312"/>
          <w:b/>
          <w:kern w:val="0"/>
          <w:sz w:val="36"/>
          <w:szCs w:val="36"/>
        </w:rPr>
        <w:t>资格证明文件目录</w:t>
      </w:r>
    </w:p>
    <w:p>
      <w:pPr>
        <w:snapToGrid w:val="0"/>
        <w:spacing w:line="360" w:lineRule="auto"/>
        <w:rPr>
          <w:rFonts w:ascii="宋体" w:hAnsi="宋体" w:cs="仿宋_GB2312"/>
          <w:kern w:val="0"/>
          <w:sz w:val="24"/>
        </w:rPr>
      </w:pPr>
    </w:p>
    <w:p>
      <w:pPr>
        <w:spacing w:line="520" w:lineRule="exact"/>
        <w:jc w:val="center"/>
        <w:rPr>
          <w:rFonts w:hint="eastAsia" w:ascii="仿宋_GB2312" w:hAnsi="宋体" w:eastAsia="仿宋_GB2312" w:cs="宋体"/>
          <w:color w:val="000000"/>
          <w:sz w:val="30"/>
          <w:szCs w:val="30"/>
        </w:rPr>
      </w:pPr>
      <w:r>
        <w:rPr>
          <w:rFonts w:hint="eastAsia" w:ascii="仿宋_GB2312" w:hAnsi="宋体" w:eastAsia="仿宋_GB2312" w:cs="宋体"/>
          <w:color w:val="000000"/>
          <w:sz w:val="30"/>
          <w:szCs w:val="30"/>
        </w:rPr>
        <w:t>根据磋商文件规定及供应商提供的材料自行编写目录</w:t>
      </w:r>
    </w:p>
    <w:p>
      <w:pPr>
        <w:spacing w:line="520" w:lineRule="exact"/>
        <w:jc w:val="center"/>
        <w:rPr>
          <w:rFonts w:hint="eastAsia" w:ascii="仿宋_GB2312" w:hAnsi="宋体" w:eastAsia="仿宋_GB2312" w:cs="宋体"/>
          <w:color w:val="000000"/>
          <w:sz w:val="30"/>
          <w:szCs w:val="30"/>
        </w:rPr>
      </w:pPr>
      <w:r>
        <w:rPr>
          <w:rFonts w:hint="eastAsia" w:ascii="仿宋_GB2312" w:hAnsi="宋体" w:eastAsia="仿宋_GB2312" w:cs="宋体"/>
          <w:color w:val="000000"/>
          <w:sz w:val="30"/>
          <w:szCs w:val="30"/>
        </w:rPr>
        <w:t xml:space="preserve">（部分格式后附） </w:t>
      </w:r>
    </w:p>
    <w:p>
      <w:pPr>
        <w:snapToGrid w:val="0"/>
        <w:spacing w:before="120" w:beforeLines="50" w:after="50" w:line="360" w:lineRule="auto"/>
        <w:ind w:left="142" w:firstLine="420" w:firstLineChars="200"/>
        <w:jc w:val="left"/>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rPr>
          <w:rFonts w:ascii="Calibri" w:hAnsi="Calibri"/>
        </w:rPr>
      </w:pPr>
      <w:r>
        <w:rPr>
          <w:rFonts w:ascii="宋体" w:hAnsi="宋体"/>
          <w:kern w:val="0"/>
          <w:sz w:val="20"/>
          <w:szCs w:val="21"/>
        </w:rPr>
        <w:br w:type="page"/>
      </w:r>
    </w:p>
    <w:p>
      <w:pPr>
        <w:spacing w:line="360" w:lineRule="auto"/>
        <w:contextualSpacing/>
        <w:jc w:val="center"/>
        <w:rPr>
          <w:rFonts w:ascii="宋体" w:hAnsi="宋体" w:cs="仿宋_GB2312"/>
          <w:b/>
          <w:kern w:val="0"/>
          <w:sz w:val="30"/>
          <w:szCs w:val="30"/>
        </w:rPr>
      </w:pPr>
      <w:r>
        <w:rPr>
          <w:rFonts w:hint="eastAsia" w:ascii="宋体" w:hAnsi="宋体" w:cs="仿宋_GB2312"/>
          <w:b/>
          <w:kern w:val="0"/>
          <w:sz w:val="30"/>
          <w:szCs w:val="30"/>
        </w:rPr>
        <w:t>供应商直接控股股东信息</w:t>
      </w:r>
    </w:p>
    <w:p>
      <w:pPr>
        <w:spacing w:line="360" w:lineRule="auto"/>
        <w:contextualSpacing/>
        <w:jc w:val="center"/>
        <w:rPr>
          <w:rFonts w:ascii="宋体" w:hAnsi="宋体"/>
          <w:b/>
          <w:sz w:val="24"/>
        </w:rPr>
      </w:pPr>
    </w:p>
    <w:tbl>
      <w:tblPr>
        <w:tblStyle w:val="46"/>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r>
    </w:tbl>
    <w:p>
      <w:pPr>
        <w:spacing w:line="360" w:lineRule="auto"/>
        <w:contextualSpacing/>
        <w:jc w:val="left"/>
        <w:rPr>
          <w:rFonts w:hint="eastAsia" w:ascii="宋体" w:hAnsi="宋体" w:eastAsia="宋体" w:cs="宋体"/>
          <w:kern w:val="0"/>
          <w:sz w:val="24"/>
        </w:rPr>
      </w:pPr>
      <w:r>
        <w:rPr>
          <w:rFonts w:hint="eastAsia" w:ascii="宋体" w:hAnsi="宋体" w:eastAsia="宋体" w:cs="宋体"/>
          <w:kern w:val="0"/>
          <w:sz w:val="24"/>
        </w:rPr>
        <w:t>注：</w:t>
      </w:r>
    </w:p>
    <w:p>
      <w:pPr>
        <w:spacing w:line="360" w:lineRule="auto"/>
        <w:ind w:firstLine="480" w:firstLineChars="200"/>
        <w:contextualSpacing/>
        <w:jc w:val="left"/>
        <w:rPr>
          <w:rFonts w:hint="eastAsia" w:ascii="宋体" w:hAnsi="宋体" w:eastAsia="宋体" w:cs="宋体"/>
          <w:kern w:val="0"/>
          <w:sz w:val="24"/>
        </w:rPr>
      </w:pPr>
      <w:r>
        <w:rPr>
          <w:rFonts w:hint="eastAsia" w:ascii="宋体" w:hAnsi="宋体" w:eastAsia="宋体" w:cs="宋体"/>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contextualSpacing/>
        <w:jc w:val="left"/>
        <w:rPr>
          <w:rFonts w:hint="eastAsia" w:ascii="宋体" w:hAnsi="宋体" w:eastAsia="宋体" w:cs="宋体"/>
          <w:kern w:val="0"/>
          <w:sz w:val="24"/>
        </w:rPr>
      </w:pPr>
      <w:r>
        <w:rPr>
          <w:rFonts w:hint="eastAsia" w:ascii="宋体" w:hAnsi="宋体" w:eastAsia="宋体" w:cs="宋体"/>
          <w:kern w:val="0"/>
          <w:sz w:val="24"/>
        </w:rPr>
        <w:t>2.本表所指的控股关系仅限于直接控股关系，不包括间接的控股关系。公司实际控制人与公司之间的关系不属于本表所指的直接控股关系。</w:t>
      </w:r>
    </w:p>
    <w:p>
      <w:pPr>
        <w:spacing w:line="360" w:lineRule="auto"/>
        <w:ind w:firstLine="480" w:firstLineChars="200"/>
        <w:contextualSpacing/>
        <w:jc w:val="left"/>
        <w:rPr>
          <w:rFonts w:hint="eastAsia" w:ascii="宋体" w:hAnsi="宋体" w:eastAsia="宋体" w:cs="宋体"/>
          <w:kern w:val="0"/>
          <w:sz w:val="24"/>
        </w:rPr>
      </w:pPr>
      <w:r>
        <w:rPr>
          <w:rFonts w:hint="eastAsia" w:ascii="宋体" w:hAnsi="宋体" w:eastAsia="宋体" w:cs="宋体"/>
          <w:kern w:val="0"/>
          <w:sz w:val="24"/>
        </w:rPr>
        <w:t>3.供应商不存在直接控股股东的，则填“无”。</w:t>
      </w:r>
    </w:p>
    <w:p>
      <w:pPr>
        <w:snapToGrid w:val="0"/>
        <w:spacing w:line="360" w:lineRule="auto"/>
        <w:jc w:val="left"/>
        <w:rPr>
          <w:rFonts w:hint="eastAsia" w:ascii="宋体" w:hAnsi="宋体" w:eastAsia="宋体" w:cs="宋体"/>
          <w:sz w:val="24"/>
        </w:rPr>
      </w:pPr>
    </w:p>
    <w:p>
      <w:pPr>
        <w:snapToGrid w:val="0"/>
        <w:spacing w:line="360" w:lineRule="auto"/>
        <w:jc w:val="left"/>
        <w:rPr>
          <w:rFonts w:hint="eastAsia" w:ascii="宋体" w:hAnsi="宋体" w:eastAsia="宋体" w:cs="宋体"/>
          <w:sz w:val="24"/>
        </w:rPr>
      </w:pPr>
    </w:p>
    <w:p>
      <w:pPr>
        <w:snapToGrid w:val="0"/>
        <w:spacing w:line="360" w:lineRule="auto"/>
        <w:jc w:val="left"/>
        <w:rPr>
          <w:rFonts w:hint="eastAsia" w:ascii="宋体" w:hAnsi="宋体" w:eastAsia="宋体" w:cs="宋体"/>
          <w:sz w:val="24"/>
        </w:rPr>
      </w:pPr>
    </w:p>
    <w:p>
      <w:pPr>
        <w:autoSpaceDE w:val="0"/>
        <w:autoSpaceDN w:val="0"/>
        <w:spacing w:line="360" w:lineRule="auto"/>
        <w:ind w:left="4365" w:leftChars="1850" w:hanging="480" w:hangingChars="200"/>
        <w:rPr>
          <w:rFonts w:hint="eastAsia" w:ascii="宋体" w:hAnsi="宋体" w:eastAsia="宋体" w:cs="宋体"/>
          <w:kern w:val="0"/>
          <w:sz w:val="24"/>
        </w:rPr>
      </w:pPr>
      <w:r>
        <w:rPr>
          <w:rFonts w:hint="eastAsia" w:ascii="宋体" w:hAnsi="宋体" w:eastAsia="宋体" w:cs="宋体"/>
          <w:kern w:val="0"/>
          <w:sz w:val="24"/>
        </w:rPr>
        <w:t>供应商名称（电子签章）：</w:t>
      </w:r>
    </w:p>
    <w:p>
      <w:pPr>
        <w:autoSpaceDE w:val="0"/>
        <w:autoSpaceDN w:val="0"/>
        <w:spacing w:line="360" w:lineRule="auto"/>
        <w:ind w:firstLine="6120" w:firstLineChars="2550"/>
        <w:rPr>
          <w:rFonts w:hint="eastAsia" w:ascii="宋体" w:hAnsi="宋体" w:eastAsia="宋体" w:cs="宋体"/>
          <w:b/>
          <w:bCs/>
          <w:sz w:val="24"/>
        </w:rPr>
      </w:pPr>
      <w:r>
        <w:rPr>
          <w:rFonts w:hint="eastAsia" w:ascii="宋体" w:hAnsi="宋体" w:eastAsia="宋体" w:cs="宋体"/>
          <w:kern w:val="0"/>
          <w:sz w:val="24"/>
          <w:lang w:val="zh-CN"/>
        </w:rPr>
        <w:t>日期：  年  月   日</w:t>
      </w:r>
    </w:p>
    <w:p>
      <w:pPr>
        <w:snapToGrid w:val="0"/>
        <w:rPr>
          <w:rFonts w:ascii="宋体" w:hAnsi="宋体" w:cs="仿宋_GB2312"/>
          <w:b/>
          <w:kern w:val="0"/>
          <w:sz w:val="30"/>
          <w:szCs w:val="30"/>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snapToGrid w:val="0"/>
        <w:ind w:firstLine="596" w:firstLineChars="198"/>
        <w:jc w:val="center"/>
        <w:rPr>
          <w:rFonts w:ascii="宋体" w:hAnsi="宋体" w:cs="仿宋_GB2312"/>
          <w:b/>
          <w:kern w:val="0"/>
          <w:sz w:val="30"/>
          <w:szCs w:val="30"/>
        </w:rPr>
      </w:pPr>
      <w:r>
        <w:rPr>
          <w:rFonts w:hint="eastAsia" w:ascii="宋体" w:hAnsi="宋体" w:cs="仿宋_GB2312"/>
          <w:b/>
          <w:kern w:val="0"/>
          <w:sz w:val="30"/>
          <w:szCs w:val="30"/>
        </w:rPr>
        <w:t>供应商直接管理关系信息表</w:t>
      </w:r>
    </w:p>
    <w:p>
      <w:pPr>
        <w:snapToGrid w:val="0"/>
        <w:spacing w:line="360" w:lineRule="auto"/>
        <w:jc w:val="center"/>
        <w:rPr>
          <w:rFonts w:ascii="宋体" w:hAnsi="宋体"/>
          <w:b/>
          <w:sz w:val="24"/>
        </w:rPr>
      </w:pPr>
    </w:p>
    <w:tbl>
      <w:tblPr>
        <w:tblStyle w:val="46"/>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pacing w:line="360" w:lineRule="auto"/>
              <w:contextualSpacing/>
              <w:jc w:val="center"/>
              <w:rPr>
                <w:rFonts w:ascii="宋体" w:hAnsi="宋体" w:cs="宋体"/>
                <w:kern w:val="0"/>
                <w:sz w:val="24"/>
              </w:rPr>
            </w:pPr>
          </w:p>
        </w:tc>
      </w:tr>
    </w:tbl>
    <w:p>
      <w:pPr>
        <w:spacing w:line="360" w:lineRule="auto"/>
        <w:ind w:firstLine="480" w:firstLineChars="200"/>
        <w:contextualSpacing/>
        <w:jc w:val="left"/>
        <w:rPr>
          <w:rFonts w:ascii="宋体" w:hAnsi="宋体" w:cs="仿宋_GB2312"/>
          <w:kern w:val="0"/>
          <w:sz w:val="24"/>
        </w:rPr>
      </w:pPr>
      <w:r>
        <w:rPr>
          <w:rFonts w:hint="eastAsia" w:ascii="宋体" w:hAnsi="宋体" w:cs="仿宋_GB2312"/>
          <w:kern w:val="0"/>
          <w:sz w:val="24"/>
        </w:rPr>
        <w:t>注：</w:t>
      </w:r>
    </w:p>
    <w:p>
      <w:pPr>
        <w:spacing w:line="360" w:lineRule="auto"/>
        <w:ind w:firstLine="480" w:firstLineChars="200"/>
        <w:contextualSpacing/>
        <w:jc w:val="left"/>
        <w:rPr>
          <w:rFonts w:ascii="宋体" w:hAnsi="宋体" w:cs="仿宋_GB2312"/>
          <w:kern w:val="0"/>
          <w:sz w:val="24"/>
        </w:rPr>
      </w:pPr>
      <w:r>
        <w:rPr>
          <w:rFonts w:hint="eastAsia" w:ascii="宋体" w:hAnsi="宋体" w:cs="仿宋_GB2312"/>
          <w:kern w:val="0"/>
          <w:sz w:val="24"/>
        </w:rPr>
        <w:t>1.管理关系：是指不具有出资持股关系的其他单位之间存在的管理与被管理关系，如一些上下级关系的事业单位和团体组织。</w:t>
      </w:r>
    </w:p>
    <w:p>
      <w:pPr>
        <w:spacing w:line="360" w:lineRule="auto"/>
        <w:ind w:firstLine="480" w:firstLineChars="200"/>
        <w:contextualSpacing/>
        <w:jc w:val="left"/>
        <w:rPr>
          <w:rFonts w:ascii="宋体" w:hAnsi="宋体" w:cs="仿宋_GB2312"/>
          <w:kern w:val="0"/>
          <w:sz w:val="24"/>
        </w:rPr>
      </w:pPr>
      <w:r>
        <w:rPr>
          <w:rFonts w:hint="eastAsia" w:ascii="宋体" w:hAnsi="宋体" w:cs="仿宋_GB2312"/>
          <w:kern w:val="0"/>
          <w:sz w:val="24"/>
        </w:rPr>
        <w:t>2.本表所指的管理关系仅限于直接管理关系，不包括间接的管理关系。</w:t>
      </w:r>
    </w:p>
    <w:p>
      <w:pPr>
        <w:spacing w:line="360" w:lineRule="auto"/>
        <w:ind w:firstLine="480" w:firstLineChars="200"/>
        <w:contextualSpacing/>
        <w:jc w:val="left"/>
        <w:rPr>
          <w:rFonts w:ascii="宋体" w:hAnsi="宋体" w:cs="仿宋_GB2312"/>
          <w:kern w:val="0"/>
          <w:sz w:val="24"/>
        </w:rPr>
      </w:pPr>
      <w:r>
        <w:rPr>
          <w:rFonts w:hint="eastAsia" w:ascii="宋体" w:hAnsi="宋体" w:cs="仿宋_GB2312"/>
          <w:kern w:val="0"/>
          <w:sz w:val="24"/>
        </w:rPr>
        <w:t>3.供应商不存在直接管理关系的，则填“无”。</w:t>
      </w:r>
    </w:p>
    <w:p>
      <w:pPr>
        <w:spacing w:line="360" w:lineRule="auto"/>
        <w:contextualSpacing/>
        <w:jc w:val="left"/>
        <w:rPr>
          <w:rFonts w:ascii="宋体" w:hAnsi="宋体"/>
          <w:sz w:val="24"/>
        </w:rPr>
      </w:pPr>
    </w:p>
    <w:p>
      <w:pPr>
        <w:autoSpaceDE w:val="0"/>
        <w:autoSpaceDN w:val="0"/>
        <w:spacing w:line="360" w:lineRule="auto"/>
        <w:ind w:left="4365" w:leftChars="1850" w:hanging="480" w:hangingChars="2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firstLine="6120" w:firstLineChars="2550"/>
        <w:rPr>
          <w:rFonts w:ascii="宋体" w:hAnsi="宋体" w:cs="仿宋_GB2312"/>
          <w:b/>
          <w:bCs/>
          <w:sz w:val="24"/>
        </w:rPr>
      </w:pPr>
      <w:r>
        <w:rPr>
          <w:rFonts w:hint="eastAsia" w:ascii="宋体" w:hAnsi="宋体" w:cs="仿宋_GB2312"/>
          <w:kern w:val="0"/>
          <w:sz w:val="24"/>
          <w:lang w:val="zh-CN"/>
        </w:rPr>
        <w:t>日期：  年  月   日</w:t>
      </w:r>
    </w:p>
    <w:p>
      <w:pPr>
        <w:spacing w:line="360" w:lineRule="auto"/>
        <w:ind w:right="480" w:firstLine="280" w:firstLineChars="100"/>
        <w:contextualSpacing/>
        <w:jc w:val="center"/>
        <w:rPr>
          <w:rFonts w:ascii="宋体" w:hAnsi="宋体"/>
          <w:sz w:val="28"/>
          <w:szCs w:val="28"/>
        </w:rPr>
      </w:pPr>
    </w:p>
    <w:p>
      <w:pPr>
        <w:autoSpaceDE w:val="0"/>
        <w:autoSpaceDN w:val="0"/>
        <w:spacing w:line="360" w:lineRule="auto"/>
        <w:jc w:val="center"/>
        <w:rPr>
          <w:rFonts w:hint="eastAsia" w:ascii="宋体" w:hAnsi="宋体"/>
          <w:b/>
          <w:sz w:val="32"/>
          <w:szCs w:val="32"/>
        </w:rPr>
      </w:pPr>
      <w:r>
        <w:rPr>
          <w:rFonts w:ascii="宋体" w:hAnsi="宋体"/>
          <w:sz w:val="28"/>
          <w:szCs w:val="28"/>
        </w:rPr>
        <w:br w:type="page"/>
      </w:r>
      <w:r>
        <w:rPr>
          <w:rFonts w:hint="eastAsia" w:ascii="宋体" w:hAnsi="宋体"/>
          <w:b/>
          <w:sz w:val="32"/>
          <w:szCs w:val="32"/>
        </w:rPr>
        <w:t>资格声明函</w:t>
      </w:r>
    </w:p>
    <w:p>
      <w:pPr>
        <w:spacing w:line="320" w:lineRule="exact"/>
        <w:jc w:val="center"/>
        <w:rPr>
          <w:rFonts w:hint="eastAsia" w:ascii="宋体" w:hAnsi="宋体"/>
          <w:sz w:val="24"/>
          <w:szCs w:val="20"/>
        </w:rPr>
      </w:pPr>
    </w:p>
    <w:p>
      <w:pPr>
        <w:spacing w:line="360" w:lineRule="auto"/>
        <w:contextualSpacing/>
        <w:rPr>
          <w:rFonts w:hint="eastAsia"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（采购代理机构名称）</w:t>
      </w:r>
      <w:r>
        <w:rPr>
          <w:rFonts w:hint="eastAsia" w:ascii="宋体" w:hAnsi="宋体" w:cs="宋体"/>
          <w:sz w:val="24"/>
          <w:szCs w:val="24"/>
        </w:rPr>
        <w:t>：</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u w:val="single"/>
        </w:rPr>
        <w:t>（供应商名称）</w:t>
      </w:r>
      <w:r>
        <w:rPr>
          <w:rFonts w:hint="eastAsia" w:ascii="宋体" w:hAnsi="宋体" w:cs="宋体"/>
          <w:sz w:val="24"/>
          <w:szCs w:val="24"/>
        </w:rPr>
        <w:t>系中华人民共和国合法供应商，经营地址</w:t>
      </w:r>
      <w:r>
        <w:rPr>
          <w:rFonts w:hint="eastAsia" w:ascii="宋体" w:hAnsi="宋体" w:cs="宋体"/>
          <w:sz w:val="24"/>
          <w:szCs w:val="24"/>
          <w:u w:val="single"/>
        </w:rPr>
        <w:t xml:space="preserve">                           </w:t>
      </w:r>
      <w:r>
        <w:rPr>
          <w:rFonts w:hint="eastAsia" w:ascii="宋体" w:hAnsi="宋体" w:cs="宋体"/>
          <w:sz w:val="24"/>
          <w:szCs w:val="24"/>
        </w:rPr>
        <w:t>。</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我方愿意参加贵方组织的</w:t>
      </w:r>
      <w:r>
        <w:rPr>
          <w:rFonts w:hint="eastAsia" w:ascii="宋体" w:hAnsi="宋体" w:cs="宋体"/>
          <w:sz w:val="24"/>
          <w:szCs w:val="24"/>
          <w:u w:val="single"/>
        </w:rPr>
        <w:t>（项目名称）</w:t>
      </w:r>
      <w:r>
        <w:rPr>
          <w:rFonts w:hint="eastAsia" w:ascii="宋体" w:hAnsi="宋体" w:cs="宋体"/>
          <w:sz w:val="24"/>
          <w:szCs w:val="24"/>
        </w:rPr>
        <w:t>项目的竞标，为便于贵方公正、择优地确定成交供应商及其竞标产品和服务，我方就本次竞标有关事项郑重声明如下：</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1.我方向贵方提交的所有响应文件、资料都是准确的和真实的。</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3.在此，我方宣布同意如下：</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（1）将按磋商文件的约定履行合同责任和义务；</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（2）已详细审查全部磋商文件，包括澄清或者更正公告（如有）；</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（3）同意提供按照贵方可能要求的与磋商有关的一切数据或者资料；</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（4）响应磋商文件规定的竞标有效期。</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4.我方承诺符合《中华人民共和国政府采购法》第二十二条规定：</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（1）具有独立承担民事责任的能力；</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（2）具有良好的商业信誉和健全的财务会计制度；</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（3）具有履行合同所必需的人员、设备、资金和专业技术能力；</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（4）有依法缴纳税收和社会保障资金的良好记录；</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（5）参加政府采购活动前三年内，在经营活动中没有重大违法记录；</w:t>
      </w:r>
    </w:p>
    <w:p>
      <w:pPr>
        <w:spacing w:line="500" w:lineRule="exact"/>
        <w:ind w:firstLine="480" w:firstLineChars="200"/>
        <w:rPr>
          <w:rFonts w:hint="eastAsia" w:ascii="宋体" w:hAnsi="宋体" w:cs="宋体"/>
          <w:sz w:val="24"/>
          <w:szCs w:val="24"/>
        </w:rPr>
      </w:pPr>
      <w:r>
        <w:rPr>
          <w:rFonts w:hint="eastAsia" w:ascii="宋体" w:hAnsi="宋体" w:cs="宋体"/>
          <w:sz w:val="24"/>
          <w:szCs w:val="24"/>
        </w:rPr>
        <w:t>（6）法律、行政法规规定的其他条件。</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□我方本次响应文件</w:t>
      </w:r>
      <w:r>
        <w:rPr>
          <w:rFonts w:hint="eastAsia" w:ascii="宋体" w:hAnsi="宋体" w:cs="宋体"/>
          <w:kern w:val="0"/>
          <w:sz w:val="24"/>
          <w:szCs w:val="24"/>
        </w:rPr>
        <w:t>内容中</w:t>
      </w:r>
      <w:r>
        <w:rPr>
          <w:rFonts w:hint="eastAsia" w:ascii="宋体" w:hAnsi="宋体" w:cs="宋体"/>
          <w:sz w:val="24"/>
          <w:szCs w:val="24"/>
        </w:rPr>
        <w:t>未</w:t>
      </w:r>
      <w:r>
        <w:rPr>
          <w:rFonts w:hint="eastAsia" w:ascii="宋体" w:hAnsi="宋体" w:cs="宋体"/>
          <w:kern w:val="0"/>
          <w:sz w:val="24"/>
          <w:szCs w:val="24"/>
        </w:rPr>
        <w:t>涉及商业秘密；</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□我方本次响应文件</w:t>
      </w:r>
      <w:r>
        <w:rPr>
          <w:rFonts w:hint="eastAsia" w:ascii="宋体" w:hAnsi="宋体" w:cs="宋体"/>
          <w:kern w:val="0"/>
          <w:sz w:val="24"/>
          <w:szCs w:val="24"/>
        </w:rPr>
        <w:t>涉及商业秘密的内容有：</w:t>
      </w:r>
      <w:r>
        <w:rPr>
          <w:rFonts w:hint="eastAsia" w:ascii="宋体" w:hAnsi="宋体" w:cs="宋体"/>
          <w:kern w:val="0"/>
          <w:sz w:val="24"/>
          <w:szCs w:val="24"/>
          <w:u w:val="single"/>
        </w:rPr>
        <w:t xml:space="preserve">                         </w:t>
      </w:r>
      <w:r>
        <w:rPr>
          <w:rFonts w:hint="eastAsia" w:ascii="宋体" w:hAnsi="宋体" w:cs="宋体"/>
          <w:kern w:val="0"/>
          <w:sz w:val="24"/>
          <w:szCs w:val="24"/>
        </w:rPr>
        <w:t>；</w:t>
      </w:r>
    </w:p>
    <w:p>
      <w:pPr>
        <w:pStyle w:val="25"/>
        <w:spacing w:line="360" w:lineRule="auto"/>
        <w:ind w:firstLine="480" w:firstLineChars="200"/>
        <w:contextualSpacing/>
        <w:rPr>
          <w:rFonts w:hint="eastAsia" w:hAnsi="宋体" w:cs="宋体"/>
          <w:sz w:val="24"/>
          <w:szCs w:val="24"/>
          <w:u w:val="single"/>
        </w:rPr>
      </w:pPr>
      <w:r>
        <w:rPr>
          <w:rFonts w:hint="eastAsia" w:hAnsi="宋体" w:cs="宋体"/>
          <w:sz w:val="24"/>
          <w:szCs w:val="24"/>
        </w:rPr>
        <w:t>7.与本磋商有关的一切正式往来信函请寄：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pPr>
        <w:pStyle w:val="25"/>
        <w:spacing w:line="360" w:lineRule="auto"/>
        <w:ind w:firstLine="480" w:firstLineChars="200"/>
        <w:contextualSpacing/>
        <w:rPr>
          <w:rFonts w:hint="eastAsia"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电子函件：</w:t>
      </w:r>
      <w:r>
        <w:rPr>
          <w:rFonts w:hint="eastAsia" w:hAnsi="宋体" w:cs="宋体"/>
          <w:sz w:val="24"/>
          <w:szCs w:val="24"/>
          <w:u w:val="single"/>
        </w:rPr>
        <w:t xml:space="preserve">                            </w:t>
      </w:r>
      <w:r>
        <w:rPr>
          <w:rFonts w:hint="eastAsia" w:hAnsi="宋体" w:cs="宋体"/>
          <w:sz w:val="24"/>
          <w:szCs w:val="24"/>
        </w:rPr>
        <w:t xml:space="preserve">    </w:t>
      </w:r>
    </w:p>
    <w:p>
      <w:pPr>
        <w:pStyle w:val="21"/>
        <w:tabs>
          <w:tab w:val="left" w:pos="939"/>
        </w:tabs>
        <w:spacing w:line="360" w:lineRule="auto"/>
        <w:ind w:left="141" w:leftChars="67" w:firstLine="360" w:firstLineChars="150"/>
        <w:rPr>
          <w:rFonts w:hint="eastAsia" w:ascii="宋体" w:hAnsi="宋体" w:cs="宋体"/>
          <w:sz w:val="24"/>
          <w:szCs w:val="24"/>
        </w:rPr>
      </w:pPr>
      <w:r>
        <w:rPr>
          <w:rFonts w:hint="eastAsia" w:ascii="宋体" w:hAnsi="宋体" w:cs="宋体"/>
          <w:sz w:val="24"/>
          <w:szCs w:val="24"/>
        </w:rPr>
        <w:t>开户银行：</w:t>
      </w:r>
      <w:r>
        <w:rPr>
          <w:rFonts w:hint="eastAsia" w:ascii="宋体" w:hAnsi="宋体" w:cs="宋体"/>
          <w:sz w:val="24"/>
          <w:szCs w:val="24"/>
          <w:u w:val="single"/>
        </w:rPr>
        <w:t xml:space="preserve">                         </w:t>
      </w:r>
      <w:r>
        <w:rPr>
          <w:rFonts w:hint="eastAsia" w:ascii="宋体" w:hAnsi="宋体" w:cs="宋体"/>
          <w:sz w:val="24"/>
          <w:szCs w:val="24"/>
        </w:rPr>
        <w:t xml:space="preserve">  账号：</w:t>
      </w:r>
      <w:r>
        <w:rPr>
          <w:rFonts w:hint="eastAsia" w:ascii="宋体" w:hAnsi="宋体" w:cs="宋体"/>
          <w:sz w:val="24"/>
          <w:szCs w:val="24"/>
          <w:u w:val="single"/>
        </w:rPr>
        <w:t xml:space="preserve">                               </w:t>
      </w:r>
    </w:p>
    <w:p>
      <w:pPr>
        <w:pStyle w:val="21"/>
        <w:numPr>
          <w:ilvl w:val="0"/>
          <w:numId w:val="3"/>
        </w:numPr>
        <w:tabs>
          <w:tab w:val="left" w:pos="939"/>
          <w:tab w:val="clear" w:pos="312"/>
        </w:tabs>
        <w:spacing w:line="360" w:lineRule="auto"/>
        <w:ind w:left="0" w:leftChars="0" w:firstLine="480" w:firstLineChars="200"/>
        <w:rPr>
          <w:rFonts w:hint="eastAsia" w:ascii="宋体" w:hAnsi="宋体" w:cs="宋体"/>
          <w:sz w:val="24"/>
          <w:szCs w:val="24"/>
        </w:rPr>
      </w:pPr>
      <w:r>
        <w:rPr>
          <w:rFonts w:hint="eastAsia" w:ascii="宋体" w:hAnsi="宋体" w:cs="宋体"/>
          <w:sz w:val="24"/>
          <w:szCs w:val="24"/>
        </w:rPr>
        <w:t>以上事项如有虚假或者隐瞒，我方愿意承担一切后果，并不再寻求任何旨在减轻或者免除法律责任的辩解。</w:t>
      </w:r>
    </w:p>
    <w:p>
      <w:pPr>
        <w:pStyle w:val="21"/>
        <w:tabs>
          <w:tab w:val="left" w:pos="939"/>
        </w:tabs>
        <w:spacing w:line="360" w:lineRule="auto"/>
        <w:ind w:left="420" w:firstLine="0" w:firstLineChars="0"/>
        <w:rPr>
          <w:rFonts w:hint="eastAsia" w:ascii="宋体" w:hAnsi="宋体" w:cs="宋体"/>
          <w:sz w:val="24"/>
          <w:szCs w:val="24"/>
        </w:rPr>
      </w:pPr>
      <w:r>
        <w:rPr>
          <w:rFonts w:hint="eastAsia" w:ascii="宋体" w:hAnsi="宋体" w:cs="宋体"/>
          <w:sz w:val="24"/>
          <w:szCs w:val="24"/>
        </w:rPr>
        <w:t>注：如为联合体竞标，盖章处须加盖联合体各方公章并由联合体各方法定代表人签署，否则其响应文件按无效响应处理。</w:t>
      </w:r>
    </w:p>
    <w:p>
      <w:pPr>
        <w:pStyle w:val="21"/>
        <w:tabs>
          <w:tab w:val="left" w:pos="939"/>
        </w:tabs>
        <w:spacing w:line="360" w:lineRule="auto"/>
        <w:ind w:left="420" w:firstLine="0" w:firstLineChars="0"/>
        <w:rPr>
          <w:rFonts w:hint="eastAsia" w:ascii="宋体" w:hAnsi="宋体" w:cs="宋体"/>
          <w:sz w:val="24"/>
          <w:szCs w:val="24"/>
        </w:rPr>
      </w:pPr>
    </w:p>
    <w:p>
      <w:pPr>
        <w:pStyle w:val="21"/>
        <w:tabs>
          <w:tab w:val="left" w:pos="939"/>
        </w:tabs>
        <w:spacing w:line="360" w:lineRule="auto"/>
        <w:ind w:left="141" w:leftChars="67" w:firstLine="360" w:firstLineChars="150"/>
        <w:rPr>
          <w:rFonts w:hint="eastAsia" w:ascii="宋体" w:hAnsi="宋体" w:cs="宋体"/>
          <w:sz w:val="24"/>
          <w:szCs w:val="24"/>
        </w:rPr>
      </w:pPr>
      <w:r>
        <w:rPr>
          <w:rFonts w:hint="eastAsia" w:ascii="宋体" w:hAnsi="宋体" w:cs="宋体"/>
          <w:sz w:val="24"/>
          <w:szCs w:val="24"/>
        </w:rPr>
        <w:t>特此承诺。</w:t>
      </w:r>
    </w:p>
    <w:p>
      <w:pPr>
        <w:autoSpaceDE w:val="0"/>
        <w:autoSpaceDN w:val="0"/>
        <w:spacing w:line="360" w:lineRule="auto"/>
        <w:ind w:left="4365" w:leftChars="1850" w:hanging="480" w:hangingChars="200"/>
        <w:rPr>
          <w:rFonts w:hint="eastAsia" w:ascii="宋体" w:hAnsi="宋体" w:cs="仿宋_GB2312"/>
          <w:kern w:val="0"/>
          <w:sz w:val="24"/>
          <w:szCs w:val="24"/>
        </w:rPr>
      </w:pPr>
    </w:p>
    <w:p>
      <w:pPr>
        <w:autoSpaceDE w:val="0"/>
        <w:autoSpaceDN w:val="0"/>
        <w:spacing w:line="360" w:lineRule="auto"/>
        <w:ind w:left="4365" w:leftChars="1850" w:hanging="480" w:hangingChars="200"/>
        <w:rPr>
          <w:rFonts w:hint="eastAsia" w:ascii="宋体" w:hAnsi="宋体" w:cs="仿宋_GB2312"/>
          <w:kern w:val="0"/>
          <w:sz w:val="24"/>
          <w:szCs w:val="24"/>
        </w:rPr>
      </w:pPr>
    </w:p>
    <w:p>
      <w:pPr>
        <w:autoSpaceDE w:val="0"/>
        <w:autoSpaceDN w:val="0"/>
        <w:spacing w:line="360" w:lineRule="auto"/>
        <w:ind w:left="4365" w:leftChars="1850" w:hanging="480" w:hangingChars="200"/>
        <w:rPr>
          <w:rFonts w:ascii="宋体" w:hAnsi="宋体" w:cs="仿宋_GB2312"/>
          <w:kern w:val="0"/>
          <w:sz w:val="24"/>
          <w:szCs w:val="24"/>
        </w:rPr>
      </w:pPr>
      <w:r>
        <w:rPr>
          <w:rFonts w:hint="eastAsia" w:ascii="宋体" w:hAnsi="宋体" w:cs="仿宋_GB2312"/>
          <w:kern w:val="0"/>
          <w:sz w:val="24"/>
          <w:szCs w:val="24"/>
        </w:rPr>
        <w:t>供应商名称（电子签章）：</w:t>
      </w:r>
    </w:p>
    <w:p>
      <w:pPr>
        <w:autoSpaceDE w:val="0"/>
        <w:autoSpaceDN w:val="0"/>
        <w:spacing w:line="360" w:lineRule="auto"/>
        <w:ind w:firstLine="6120" w:firstLineChars="2550"/>
        <w:rPr>
          <w:rFonts w:ascii="宋体" w:hAnsi="宋体" w:cs="仿宋_GB2312"/>
          <w:kern w:val="0"/>
          <w:sz w:val="24"/>
          <w:lang w:val="zh-CN"/>
        </w:rPr>
      </w:pPr>
      <w:r>
        <w:rPr>
          <w:rFonts w:hint="eastAsia" w:ascii="宋体" w:hAnsi="宋体" w:cs="仿宋_GB2312"/>
          <w:kern w:val="0"/>
          <w:sz w:val="24"/>
          <w:szCs w:val="24"/>
          <w:lang w:val="zh-CN"/>
        </w:rPr>
        <w:t xml:space="preserve">日期：  年  月 </w:t>
      </w:r>
    </w:p>
    <w:p>
      <w:pPr>
        <w:autoSpaceDE w:val="0"/>
        <w:autoSpaceDN w:val="0"/>
        <w:spacing w:line="360" w:lineRule="auto"/>
        <w:rPr>
          <w:rFonts w:ascii="宋体" w:hAnsi="宋体" w:cs="仿宋_GB2312"/>
          <w:kern w:val="0"/>
          <w:sz w:val="24"/>
          <w:lang w:val="zh-CN"/>
        </w:rPr>
      </w:pPr>
    </w:p>
    <w:p>
      <w:pPr>
        <w:autoSpaceDE w:val="0"/>
        <w:autoSpaceDN w:val="0"/>
        <w:spacing w:line="360" w:lineRule="auto"/>
        <w:ind w:firstLine="6120" w:firstLineChars="2550"/>
        <w:rPr>
          <w:rFonts w:ascii="宋体" w:hAnsi="宋体" w:cs="仿宋_GB2312"/>
          <w:kern w:val="0"/>
          <w:sz w:val="24"/>
          <w:lang w:val="zh-CN"/>
        </w:rPr>
      </w:pPr>
    </w:p>
    <w:p>
      <w:pPr>
        <w:autoSpaceDE w:val="0"/>
        <w:autoSpaceDN w:val="0"/>
        <w:spacing w:line="360" w:lineRule="auto"/>
        <w:ind w:firstLine="8132" w:firstLineChars="2700"/>
        <w:rPr>
          <w:rFonts w:hint="eastAsia" w:ascii="宋体" w:hAnsi="宋体" w:cs="仿宋_GB2312"/>
          <w:b/>
          <w:sz w:val="30"/>
          <w:szCs w:val="30"/>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rPr>
          <w:rFonts w:ascii="Calibri" w:hAnsi="Calibri"/>
          <w:lang w:val="zh-CN"/>
        </w:rPr>
      </w:pPr>
    </w:p>
    <w:p>
      <w:pPr>
        <w:autoSpaceDE w:val="0"/>
        <w:autoSpaceDN w:val="0"/>
        <w:spacing w:line="360" w:lineRule="auto"/>
        <w:jc w:val="center"/>
        <w:rPr>
          <w:rFonts w:hint="eastAsia" w:ascii="宋体" w:hAnsi="宋体"/>
          <w:b/>
          <w:sz w:val="32"/>
          <w:szCs w:val="32"/>
        </w:rPr>
      </w:pPr>
      <w:r>
        <w:rPr>
          <w:rFonts w:hint="eastAsia" w:ascii="宋体" w:hAnsi="宋体"/>
          <w:b/>
          <w:sz w:val="32"/>
          <w:szCs w:val="32"/>
        </w:rPr>
        <w:t>中小企业声明函（工程）</w:t>
      </w:r>
    </w:p>
    <w:p>
      <w:pPr>
        <w:pStyle w:val="19"/>
        <w:rPr>
          <w:rFonts w:ascii="宋体" w:hAnsi="宋体"/>
        </w:rPr>
      </w:pPr>
    </w:p>
    <w:p>
      <w:pPr>
        <w:pStyle w:val="19"/>
        <w:spacing w:after="0" w:line="360" w:lineRule="auto"/>
        <w:ind w:right="142" w:firstLine="480" w:firstLineChars="200"/>
        <w:contextualSpacing/>
        <w:rPr>
          <w:rFonts w:ascii="宋体" w:hAnsi="宋体"/>
          <w:sz w:val="24"/>
        </w:rPr>
      </w:pPr>
      <w:r>
        <w:rPr>
          <w:rFonts w:hint="eastAsia" w:ascii="宋体" w:hAnsi="宋体"/>
          <w:sz w:val="24"/>
        </w:rPr>
        <w:t>本公司</w:t>
      </w:r>
      <w:r>
        <w:rPr>
          <w:rFonts w:hint="eastAsia" w:ascii="宋体" w:hAnsi="宋体"/>
          <w:sz w:val="24"/>
          <w:u w:val="single"/>
        </w:rPr>
        <w:t xml:space="preserve"> （供应商）</w:t>
      </w:r>
      <w:r>
        <w:rPr>
          <w:rFonts w:hint="eastAsia" w:ascii="宋体" w:hAnsi="宋体"/>
          <w:sz w:val="24"/>
        </w:rPr>
        <w:t>郑重声明，根据《政府采购促进中小企业发展管理办法》（财库﹝2020﹞46号）的规定，本公司</w:t>
      </w:r>
      <w:r>
        <w:rPr>
          <w:rFonts w:hint="eastAsia" w:ascii="宋体" w:hAnsi="宋体"/>
          <w:sz w:val="24"/>
          <w:u w:val="single"/>
        </w:rPr>
        <w:t>（供应商）</w:t>
      </w:r>
      <w:r>
        <w:rPr>
          <w:rFonts w:hint="eastAsia" w:ascii="宋体" w:hAnsi="宋体"/>
          <w:sz w:val="24"/>
        </w:rPr>
        <w:t>参加</w:t>
      </w:r>
      <w:r>
        <w:rPr>
          <w:rFonts w:hint="eastAsia" w:ascii="宋体" w:hAnsi="宋体"/>
          <w:sz w:val="24"/>
          <w:u w:val="single"/>
        </w:rPr>
        <w:t xml:space="preserve">（采购人） </w:t>
      </w:r>
      <w:r>
        <w:rPr>
          <w:rFonts w:hint="eastAsia" w:ascii="宋体" w:hAnsi="宋体"/>
          <w:sz w:val="24"/>
        </w:rPr>
        <w:t>的</w:t>
      </w:r>
      <w:r>
        <w:rPr>
          <w:rFonts w:hint="eastAsia" w:ascii="宋体" w:hAnsi="宋体"/>
          <w:sz w:val="24"/>
          <w:u w:val="single"/>
        </w:rPr>
        <w:t xml:space="preserve">（项目名称） </w:t>
      </w:r>
      <w:r>
        <w:rPr>
          <w:rFonts w:hint="eastAsia" w:ascii="宋体" w:hAnsi="宋体"/>
          <w:sz w:val="24"/>
        </w:rPr>
        <w:t>采购活动，工程的施工单位全部为符合政策要求的中小企业承接。相关企业（含联合体中的中小企业、签订分包意向协议的中小企业）的具体情况如下：</w:t>
      </w:r>
    </w:p>
    <w:p>
      <w:pPr>
        <w:tabs>
          <w:tab w:val="left" w:pos="1065"/>
          <w:tab w:val="left" w:pos="6477"/>
        </w:tabs>
        <w:spacing w:line="360" w:lineRule="auto"/>
        <w:ind w:right="-58" w:firstLine="480" w:firstLineChars="200"/>
        <w:contextualSpacing/>
        <w:rPr>
          <w:rFonts w:ascii="宋体" w:hAnsi="宋体"/>
          <w:sz w:val="24"/>
        </w:rPr>
      </w:pPr>
      <w:r>
        <w:rPr>
          <w:rFonts w:ascii="宋体" w:hAnsi="宋体"/>
          <w:sz w:val="24"/>
        </w:rPr>
        <w:t>1.</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w:t>
      </w:r>
      <w:r>
        <w:rPr>
          <w:rFonts w:ascii="宋体" w:hAnsi="宋体"/>
          <w:sz w:val="24"/>
          <w:u w:val="single"/>
        </w:rPr>
        <w:t>业）</w:t>
      </w:r>
      <w:r>
        <w:rPr>
          <w:rFonts w:ascii="宋体" w:hAnsi="宋体"/>
          <w:sz w:val="24"/>
        </w:rPr>
        <w:t>；</w:t>
      </w:r>
      <w:r>
        <w:rPr>
          <w:rFonts w:hint="eastAsia" w:ascii="宋体" w:hAnsi="宋体"/>
          <w:sz w:val="24"/>
        </w:rPr>
        <w:t>承建企业为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 xml:space="preserve">人，营业收入为 </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w:t>
      </w:r>
      <w:r>
        <w:rPr>
          <w:rFonts w:hint="eastAsia" w:ascii="宋体" w:hAnsi="宋体" w:cs="宋体"/>
          <w:sz w:val="24"/>
          <w:u w:val="single"/>
        </w:rPr>
        <w:t>□</w:t>
      </w:r>
      <w:r>
        <w:rPr>
          <w:rFonts w:ascii="宋体" w:hAnsi="宋体"/>
          <w:sz w:val="24"/>
          <w:u w:val="single"/>
        </w:rPr>
        <w:t>中型企业、</w:t>
      </w:r>
      <w:r>
        <w:rPr>
          <w:rFonts w:hint="eastAsia" w:ascii="宋体" w:hAnsi="宋体" w:cs="宋体"/>
          <w:sz w:val="24"/>
          <w:u w:val="single"/>
        </w:rPr>
        <w:t>□</w:t>
      </w:r>
      <w:r>
        <w:rPr>
          <w:rFonts w:hint="eastAsia" w:ascii="宋体" w:hAnsi="宋体"/>
          <w:sz w:val="24"/>
          <w:u w:val="single"/>
        </w:rPr>
        <w:t>小型企业、</w:t>
      </w:r>
      <w:r>
        <w:rPr>
          <w:rFonts w:hint="eastAsia" w:ascii="宋体" w:hAnsi="宋体" w:cs="宋体"/>
          <w:sz w:val="24"/>
          <w:u w:val="single"/>
        </w:rPr>
        <w:t>□</w:t>
      </w:r>
      <w:r>
        <w:rPr>
          <w:rFonts w:hint="eastAsia" w:ascii="宋体" w:hAnsi="宋体"/>
          <w:sz w:val="24"/>
          <w:u w:val="single"/>
        </w:rPr>
        <w:t>微型企业）</w:t>
      </w:r>
      <w:r>
        <w:rPr>
          <w:rFonts w:hint="eastAsia" w:ascii="宋体" w:hAnsi="宋体"/>
          <w:sz w:val="24"/>
        </w:rPr>
        <w:t>；</w:t>
      </w:r>
    </w:p>
    <w:p>
      <w:pPr>
        <w:tabs>
          <w:tab w:val="left" w:pos="1065"/>
          <w:tab w:val="left" w:pos="6477"/>
        </w:tabs>
        <w:spacing w:line="360" w:lineRule="auto"/>
        <w:ind w:right="-58" w:firstLine="480" w:firstLineChars="200"/>
        <w:contextualSpacing/>
        <w:rPr>
          <w:rFonts w:ascii="宋体" w:hAnsi="宋体"/>
          <w:sz w:val="24"/>
        </w:rPr>
      </w:pPr>
      <w:r>
        <w:rPr>
          <w:rFonts w:ascii="宋体" w:hAnsi="宋体"/>
          <w:sz w:val="24"/>
        </w:rPr>
        <w:t>2.</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行业</w:t>
      </w:r>
      <w:r>
        <w:rPr>
          <w:rFonts w:ascii="宋体" w:hAnsi="宋体"/>
          <w:sz w:val="24"/>
          <w:u w:val="single"/>
        </w:rPr>
        <w:t>）</w:t>
      </w:r>
      <w:r>
        <w:rPr>
          <w:rFonts w:ascii="宋体" w:hAnsi="宋体"/>
          <w:sz w:val="24"/>
        </w:rPr>
        <w:t>；</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w:t>
      </w:r>
      <w:r>
        <w:rPr>
          <w:rFonts w:hint="eastAsia" w:ascii="宋体" w:hAnsi="宋体" w:cs="宋体"/>
          <w:sz w:val="24"/>
          <w:u w:val="single"/>
        </w:rPr>
        <w:t>□</w:t>
      </w:r>
      <w:r>
        <w:rPr>
          <w:rFonts w:ascii="宋体" w:hAnsi="宋体"/>
          <w:sz w:val="24"/>
          <w:u w:val="single"/>
        </w:rPr>
        <w:t>中型企业、</w:t>
      </w:r>
      <w:r>
        <w:rPr>
          <w:rFonts w:hint="eastAsia" w:ascii="宋体" w:hAnsi="宋体" w:cs="宋体"/>
          <w:sz w:val="24"/>
          <w:u w:val="single"/>
        </w:rPr>
        <w:t>□</w:t>
      </w:r>
      <w:r>
        <w:rPr>
          <w:rFonts w:hint="eastAsia" w:ascii="宋体" w:hAnsi="宋体"/>
          <w:sz w:val="24"/>
          <w:u w:val="single"/>
        </w:rPr>
        <w:t>小型企业、</w:t>
      </w:r>
      <w:r>
        <w:rPr>
          <w:rFonts w:hint="eastAsia" w:ascii="宋体" w:hAnsi="宋体" w:cs="宋体"/>
          <w:sz w:val="24"/>
          <w:u w:val="single"/>
        </w:rPr>
        <w:t>□</w:t>
      </w:r>
      <w:r>
        <w:rPr>
          <w:rFonts w:hint="eastAsia" w:ascii="宋体" w:hAnsi="宋体"/>
          <w:sz w:val="24"/>
          <w:u w:val="single"/>
        </w:rPr>
        <w:t>微型企业））</w:t>
      </w:r>
      <w:r>
        <w:rPr>
          <w:rFonts w:hint="eastAsia" w:ascii="宋体" w:hAnsi="宋体"/>
          <w:sz w:val="24"/>
        </w:rPr>
        <w:t>；</w:t>
      </w:r>
    </w:p>
    <w:p>
      <w:pPr>
        <w:pStyle w:val="19"/>
        <w:spacing w:after="0" w:line="360" w:lineRule="auto"/>
        <w:ind w:right="142"/>
        <w:contextualSpacing/>
        <w:rPr>
          <w:rFonts w:ascii="宋体" w:hAnsi="宋体"/>
          <w:sz w:val="24"/>
        </w:rPr>
      </w:pPr>
      <w:r>
        <w:rPr>
          <w:rFonts w:hint="eastAsia" w:ascii="宋体" w:hAnsi="宋体"/>
          <w:sz w:val="24"/>
        </w:rPr>
        <w:t xml:space="preserve">…… </w:t>
      </w:r>
    </w:p>
    <w:p>
      <w:pPr>
        <w:pStyle w:val="19"/>
        <w:spacing w:after="0" w:line="360" w:lineRule="auto"/>
        <w:ind w:right="142" w:firstLine="480" w:firstLineChars="200"/>
        <w:contextualSpacing/>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pStyle w:val="19"/>
        <w:spacing w:after="0" w:line="360" w:lineRule="auto"/>
        <w:ind w:right="142" w:firstLine="480" w:firstLineChars="200"/>
        <w:contextualSpacing/>
        <w:rPr>
          <w:rFonts w:ascii="宋体" w:hAnsi="宋体"/>
          <w:sz w:val="24"/>
        </w:rPr>
      </w:pPr>
      <w:r>
        <w:rPr>
          <w:rFonts w:hint="eastAsia" w:ascii="宋体" w:hAnsi="宋体"/>
          <w:sz w:val="24"/>
        </w:rPr>
        <w:t>本企业对上述声明内容的真实性负责。如有虚假，将依法承担相应责任。</w:t>
      </w:r>
    </w:p>
    <w:p>
      <w:pPr>
        <w:pStyle w:val="19"/>
        <w:spacing w:after="0" w:line="360" w:lineRule="auto"/>
        <w:ind w:right="1808"/>
        <w:contextualSpacing/>
        <w:rPr>
          <w:rFonts w:ascii="宋体" w:hAnsi="宋体"/>
          <w:sz w:val="24"/>
        </w:rPr>
      </w:pPr>
    </w:p>
    <w:p>
      <w:pPr>
        <w:autoSpaceDE w:val="0"/>
        <w:autoSpaceDN w:val="0"/>
        <w:spacing w:line="360" w:lineRule="auto"/>
        <w:ind w:firstLine="6480" w:firstLineChars="27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firstLine="6480" w:firstLineChars="2700"/>
        <w:rPr>
          <w:rFonts w:ascii="宋体" w:hAnsi="宋体" w:cs="仿宋_GB2312"/>
          <w:kern w:val="0"/>
          <w:sz w:val="24"/>
          <w:lang w:val="zh-CN"/>
        </w:rPr>
      </w:pPr>
      <w:r>
        <w:rPr>
          <w:rFonts w:hint="eastAsia" w:ascii="宋体" w:hAnsi="宋体" w:cs="仿宋_GB2312"/>
          <w:kern w:val="0"/>
          <w:sz w:val="24"/>
          <w:lang w:val="zh-CN"/>
        </w:rPr>
        <w:t>日期：  年  月   日</w:t>
      </w:r>
    </w:p>
    <w:p>
      <w:pPr>
        <w:pStyle w:val="19"/>
        <w:spacing w:after="0" w:line="360" w:lineRule="auto"/>
        <w:ind w:left="5250" w:right="1808"/>
        <w:contextualSpacing/>
        <w:rPr>
          <w:rFonts w:ascii="宋体" w:hAnsi="宋体"/>
          <w:sz w:val="24"/>
        </w:rPr>
      </w:pPr>
    </w:p>
    <w:p>
      <w:pPr>
        <w:spacing w:line="520" w:lineRule="exact"/>
        <w:rPr>
          <w:rFonts w:hint="eastAsia" w:ascii="宋体" w:hAnsi="宋体" w:cs="宋体"/>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r>
        <w:rPr>
          <w:rFonts w:ascii="宋体" w:hAnsi="宋体" w:cs="宋体"/>
          <w:sz w:val="24"/>
        </w:rPr>
        <w:br w:type="page"/>
      </w:r>
    </w:p>
    <w:p>
      <w:pPr>
        <w:spacing w:line="520" w:lineRule="exact"/>
        <w:jc w:val="center"/>
        <w:rPr>
          <w:rFonts w:hint="eastAsia" w:ascii="宋体" w:hAnsi="宋体" w:cs="宋体"/>
          <w:sz w:val="32"/>
          <w:szCs w:val="32"/>
        </w:rPr>
      </w:pPr>
      <w:r>
        <w:rPr>
          <w:rFonts w:hint="eastAsia" w:ascii="宋体" w:hAnsi="宋体" w:cs="宋体"/>
          <w:sz w:val="44"/>
          <w:szCs w:val="44"/>
        </w:rPr>
        <w:t>残疾人福利性单位声明函</w:t>
      </w:r>
    </w:p>
    <w:p>
      <w:pPr>
        <w:spacing w:line="520" w:lineRule="exact"/>
        <w:rPr>
          <w:rFonts w:hint="eastAsia" w:ascii="宋体" w:hAnsi="宋体" w:cs="宋体"/>
          <w:sz w:val="32"/>
          <w:szCs w:val="32"/>
        </w:rPr>
      </w:pPr>
    </w:p>
    <w:p>
      <w:pPr>
        <w:spacing w:line="360"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项目采购活动由本单位提供服务。</w:t>
      </w:r>
    </w:p>
    <w:p>
      <w:pPr>
        <w:spacing w:line="360"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ind w:firstLine="2400" w:firstLineChars="1000"/>
        <w:rPr>
          <w:rFonts w:hint="eastAsia" w:ascii="宋体" w:hAnsi="宋体" w:cs="宋体"/>
          <w:sz w:val="24"/>
        </w:rPr>
      </w:pPr>
      <w:r>
        <w:rPr>
          <w:rFonts w:hint="eastAsia" w:ascii="宋体" w:hAnsi="宋体" w:cs="宋体"/>
          <w:sz w:val="24"/>
        </w:rPr>
        <w:t>供应商名称（电子签章）：</w:t>
      </w:r>
    </w:p>
    <w:p>
      <w:pPr>
        <w:spacing w:line="360" w:lineRule="auto"/>
        <w:ind w:firstLine="4320" w:firstLineChars="1800"/>
        <w:rPr>
          <w:rFonts w:hint="eastAsia" w:ascii="宋体" w:hAnsi="宋体" w:cs="宋体"/>
          <w:sz w:val="24"/>
        </w:rPr>
      </w:pPr>
      <w:r>
        <w:rPr>
          <w:rFonts w:hint="eastAsia" w:ascii="宋体" w:hAnsi="宋体" w:cs="宋体"/>
          <w:sz w:val="24"/>
        </w:rPr>
        <w:t>日  期：     年   月   日</w: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520" w:lineRule="exact"/>
        <w:jc w:val="center"/>
        <w:rPr>
          <w:rFonts w:ascii="宋体" w:hAnsi="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p>
    <w:p>
      <w:pPr>
        <w:rPr>
          <w:rFonts w:ascii="Calibri" w:hAnsi="Calibri"/>
          <w:lang w:val="zh-CN"/>
        </w:rPr>
        <w:sectPr>
          <w:pgSz w:w="11910" w:h="16840"/>
          <w:pgMar w:top="1340" w:right="1500" w:bottom="280" w:left="1680" w:header="720" w:footer="720" w:gutter="0"/>
          <w:pgNumType w:fmt="decimal"/>
          <w:cols w:space="720" w:num="1"/>
        </w:sectPr>
      </w:pPr>
    </w:p>
    <w:p>
      <w:pPr>
        <w:keepNext/>
        <w:keepLines/>
        <w:spacing w:before="260" w:after="260" w:line="416" w:lineRule="auto"/>
        <w:jc w:val="center"/>
        <w:outlineLvl w:val="1"/>
        <w:rPr>
          <w:rFonts w:ascii="宋体" w:hAnsi="宋体"/>
          <w:bCs/>
          <w:sz w:val="32"/>
          <w:szCs w:val="32"/>
        </w:rPr>
      </w:pPr>
      <w:bookmarkStart w:id="65" w:name="_Toc106794722"/>
      <w:bookmarkStart w:id="66" w:name="_Toc80205940"/>
      <w:r>
        <w:rPr>
          <w:rFonts w:hint="eastAsia" w:ascii="宋体" w:hAnsi="宋体"/>
          <w:sz w:val="32"/>
          <w:szCs w:val="32"/>
        </w:rPr>
        <w:t xml:space="preserve">第三节 </w:t>
      </w:r>
      <w:r>
        <w:rPr>
          <w:rFonts w:hint="eastAsia" w:ascii="宋体" w:hAnsi="宋体"/>
          <w:bCs/>
          <w:sz w:val="32"/>
          <w:szCs w:val="32"/>
        </w:rPr>
        <w:t>商务技术文件格式</w:t>
      </w:r>
      <w:bookmarkEnd w:id="65"/>
      <w:bookmarkEnd w:id="66"/>
    </w:p>
    <w:p>
      <w:pPr>
        <w:snapToGrid w:val="0"/>
        <w:spacing w:before="120" w:beforeLines="50" w:after="50"/>
        <w:rPr>
          <w:rFonts w:ascii="宋体" w:hAnsi="宋体"/>
          <w:bCs/>
          <w:sz w:val="32"/>
          <w:szCs w:val="20"/>
        </w:rPr>
      </w:pP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商  务  技  术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eastAsia" w:ascii="宋体" w:hAnsi="宋体" w:eastAsia="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val="en-US" w:eastAsia="zh-CN"/>
        </w:rPr>
        <w:t xml:space="preserve">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hint="eastAsia" w:ascii="宋体" w:hAnsi="宋体" w:eastAsia="宋体" w:cs="仿宋_GB2312"/>
          <w:bCs/>
          <w:sz w:val="32"/>
          <w:szCs w:val="32"/>
          <w:lang w:eastAsia="zh-CN"/>
        </w:rPr>
      </w:pPr>
      <w:r>
        <w:rPr>
          <w:rFonts w:hint="eastAsia" w:ascii="宋体" w:hAnsi="宋体" w:cs="仿宋_GB2312"/>
          <w:bCs/>
          <w:sz w:val="32"/>
          <w:szCs w:val="32"/>
        </w:rPr>
        <w:t>项目编号：</w:t>
      </w:r>
      <w:r>
        <w:rPr>
          <w:rFonts w:hint="eastAsia" w:ascii="宋体" w:hAnsi="宋体" w:cs="仿宋_GB2312"/>
          <w:bCs/>
          <w:sz w:val="32"/>
          <w:szCs w:val="32"/>
          <w:lang w:val="en-US" w:eastAsia="zh-CN"/>
        </w:rPr>
        <w:t xml:space="preserve">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20" w:beforeLines="50" w:after="50"/>
        <w:ind w:firstLine="720" w:firstLineChars="225"/>
        <w:rPr>
          <w:rFonts w:ascii="宋体" w:hAnsi="宋体" w:cs="仿宋_GB2312"/>
          <w:bCs/>
          <w:sz w:val="32"/>
          <w:szCs w:val="32"/>
        </w:rPr>
      </w:pPr>
    </w:p>
    <w:p>
      <w:pPr>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snapToGrid w:val="0"/>
        <w:spacing w:before="50" w:after="50"/>
        <w:ind w:firstLine="720" w:firstLineChars="225"/>
        <w:rPr>
          <w:rFonts w:ascii="宋体" w:hAnsi="宋体" w:cs="仿宋_GB2312"/>
          <w:bCs/>
          <w:sz w:val="32"/>
          <w:szCs w:val="32"/>
        </w:rPr>
      </w:pPr>
    </w:p>
    <w:p>
      <w:pPr>
        <w:snapToGrid w:val="0"/>
        <w:spacing w:before="50" w:after="50"/>
        <w:ind w:firstLine="720" w:firstLineChars="225"/>
        <w:rPr>
          <w:rFonts w:ascii="宋体" w:hAnsi="宋体" w:cs="仿宋_GB2312"/>
          <w:bCs/>
          <w:sz w:val="32"/>
          <w:szCs w:val="32"/>
        </w:rPr>
      </w:pPr>
    </w:p>
    <w:p>
      <w:pPr>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ind w:left="142" w:firstLine="643" w:firstLineChars="200"/>
        <w:jc w:val="left"/>
        <w:rPr>
          <w:rFonts w:ascii="宋体" w:hAnsi="宋体"/>
          <w:b/>
          <w:bCs/>
          <w:sz w:val="32"/>
          <w:szCs w:val="32"/>
        </w:rPr>
        <w:sectPr>
          <w:pgSz w:w="11910" w:h="16840"/>
          <w:pgMar w:top="1340" w:right="1500" w:bottom="280" w:left="1680" w:header="720" w:footer="720" w:gutter="0"/>
          <w:pgNumType w:fmt="decimal"/>
          <w:cols w:space="720" w:num="1"/>
        </w:sectPr>
      </w:pPr>
    </w:p>
    <w:p>
      <w:pPr>
        <w:jc w:val="center"/>
        <w:rPr>
          <w:rFonts w:ascii="宋体" w:hAnsi="宋体" w:cs="仿宋_GB2312"/>
          <w:b/>
          <w:kern w:val="0"/>
          <w:sz w:val="28"/>
          <w:szCs w:val="28"/>
        </w:rPr>
      </w:pPr>
      <w:r>
        <w:rPr>
          <w:rFonts w:hint="eastAsia" w:ascii="宋体" w:hAnsi="宋体" w:cs="仿宋_GB2312"/>
          <w:b/>
          <w:kern w:val="0"/>
          <w:sz w:val="28"/>
          <w:szCs w:val="28"/>
        </w:rPr>
        <w:t>商务技术文件目录</w:t>
      </w:r>
    </w:p>
    <w:p>
      <w:pPr>
        <w:jc w:val="center"/>
        <w:rPr>
          <w:rFonts w:ascii="宋体" w:hAnsi="宋体" w:cs="仿宋_GB2312"/>
          <w:b/>
          <w:kern w:val="0"/>
          <w:sz w:val="28"/>
          <w:szCs w:val="28"/>
        </w:rPr>
      </w:pPr>
    </w:p>
    <w:p>
      <w:pPr>
        <w:spacing w:line="520" w:lineRule="exact"/>
        <w:jc w:val="center"/>
        <w:rPr>
          <w:rFonts w:hint="eastAsia" w:ascii="仿宋_GB2312" w:hAnsi="宋体" w:eastAsia="仿宋_GB2312" w:cs="宋体"/>
          <w:color w:val="000000"/>
          <w:sz w:val="30"/>
          <w:szCs w:val="30"/>
        </w:rPr>
      </w:pPr>
      <w:r>
        <w:rPr>
          <w:rFonts w:hint="eastAsia" w:ascii="仿宋_GB2312" w:hAnsi="宋体" w:eastAsia="仿宋_GB2312" w:cs="宋体"/>
          <w:color w:val="000000"/>
          <w:sz w:val="30"/>
          <w:szCs w:val="30"/>
        </w:rPr>
        <w:t>根据磋商文件规定及供应商提供的材料自行编写目录</w:t>
      </w:r>
    </w:p>
    <w:p>
      <w:pPr>
        <w:spacing w:line="520" w:lineRule="exact"/>
        <w:jc w:val="center"/>
        <w:rPr>
          <w:rFonts w:hint="eastAsia" w:ascii="仿宋_GB2312" w:hAnsi="宋体" w:eastAsia="仿宋_GB2312" w:cs="宋体"/>
          <w:color w:val="000000"/>
          <w:sz w:val="30"/>
          <w:szCs w:val="30"/>
        </w:rPr>
      </w:pPr>
      <w:r>
        <w:rPr>
          <w:rFonts w:hint="eastAsia" w:ascii="仿宋_GB2312" w:hAnsi="宋体" w:eastAsia="仿宋_GB2312" w:cs="宋体"/>
          <w:color w:val="000000"/>
          <w:sz w:val="30"/>
          <w:szCs w:val="30"/>
        </w:rPr>
        <w:t xml:space="preserve">（部分格式后附） </w:t>
      </w:r>
    </w:p>
    <w:p>
      <w:pPr>
        <w:spacing w:line="400" w:lineRule="exact"/>
        <w:rPr>
          <w:rFonts w:ascii="宋体" w:hAnsi="宋体" w:cs="仿宋_GB2312"/>
          <w:sz w:val="32"/>
          <w:szCs w:val="32"/>
        </w:rPr>
      </w:pPr>
    </w:p>
    <w:p>
      <w:pPr>
        <w:spacing w:line="520" w:lineRule="exact"/>
        <w:ind w:firstLine="880" w:firstLineChars="200"/>
        <w:rPr>
          <w:rFonts w:ascii="宋体" w:hAnsi="宋体" w:cs="方正小标宋简体"/>
          <w:sz w:val="44"/>
          <w:szCs w:val="44"/>
        </w:rPr>
      </w:pPr>
      <w:r>
        <w:rPr>
          <w:rFonts w:hint="eastAsia" w:ascii="宋体" w:hAnsi="宋体" w:cs="方正小标宋简体"/>
          <w:sz w:val="44"/>
          <w:szCs w:val="44"/>
        </w:rPr>
        <w:br w:type="page"/>
      </w:r>
      <w:r>
        <w:rPr>
          <w:rFonts w:hint="eastAsia" w:ascii="宋体" w:hAnsi="宋体" w:cs="仿宋_GB2312"/>
          <w:b/>
          <w:sz w:val="30"/>
          <w:szCs w:val="30"/>
        </w:rPr>
        <w:t>一、无串标行为承诺函</w:t>
      </w:r>
    </w:p>
    <w:p>
      <w:pPr>
        <w:spacing w:line="520" w:lineRule="exact"/>
        <w:jc w:val="center"/>
        <w:rPr>
          <w:rFonts w:ascii="宋体" w:hAnsi="宋体" w:cs="方正小标宋简体"/>
          <w:sz w:val="44"/>
          <w:szCs w:val="44"/>
        </w:rPr>
      </w:pPr>
    </w:p>
    <w:p>
      <w:pPr>
        <w:spacing w:line="520" w:lineRule="exact"/>
        <w:jc w:val="center"/>
        <w:rPr>
          <w:rFonts w:ascii="宋体" w:hAnsi="宋体" w:cs="仿宋_GB2312"/>
          <w:sz w:val="32"/>
          <w:szCs w:val="32"/>
        </w:rPr>
      </w:pPr>
      <w:r>
        <w:rPr>
          <w:rFonts w:hint="eastAsia" w:ascii="宋体" w:hAnsi="宋体" w:cs="方正小标宋简体"/>
          <w:sz w:val="44"/>
          <w:szCs w:val="44"/>
        </w:rPr>
        <w:t>无串通竞标行为的承诺函</w:t>
      </w:r>
    </w:p>
    <w:p>
      <w:pPr>
        <w:spacing w:line="520" w:lineRule="exact"/>
        <w:ind w:firstLine="640" w:firstLineChars="200"/>
        <w:rPr>
          <w:rFonts w:ascii="宋体" w:hAnsi="宋体" w:cs="仿宋_GB2312"/>
          <w:sz w:val="32"/>
          <w:szCs w:val="32"/>
        </w:rPr>
      </w:pPr>
    </w:p>
    <w:p>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一、我方承诺无下列相互串通竞标的情形：</w:t>
      </w:r>
    </w:p>
    <w:p>
      <w:pPr>
        <w:spacing w:line="360" w:lineRule="auto"/>
        <w:ind w:firstLine="480" w:firstLineChars="200"/>
        <w:contextualSpacing/>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sz w:val="24"/>
        </w:rPr>
        <w:t>或者不同供应商报名的IP地址一致的；或者编制响应文件硬件设备CPU编号、硬盘编号、网卡地址一致的情况。</w:t>
      </w:r>
    </w:p>
    <w:p>
      <w:pPr>
        <w:spacing w:line="360" w:lineRule="auto"/>
        <w:ind w:firstLine="480" w:firstLineChars="200"/>
        <w:contextualSpacing/>
        <w:rPr>
          <w:rFonts w:ascii="宋体" w:hAnsi="宋体" w:cs="仿宋_GB2312"/>
          <w:sz w:val="24"/>
        </w:rPr>
      </w:pPr>
      <w:r>
        <w:rPr>
          <w:rFonts w:hint="eastAsia" w:ascii="宋体" w:hAnsi="宋体" w:cs="仿宋_GB2312"/>
          <w:sz w:val="24"/>
        </w:rPr>
        <w:t>2.不同供应商委托同一单位或者个人办理竞标事宜；</w:t>
      </w:r>
    </w:p>
    <w:p>
      <w:pPr>
        <w:spacing w:line="360" w:lineRule="auto"/>
        <w:ind w:firstLine="480" w:firstLineChars="200"/>
        <w:contextualSpacing/>
        <w:rPr>
          <w:rFonts w:ascii="宋体" w:hAnsi="宋体" w:cs="仿宋_GB2312"/>
          <w:sz w:val="24"/>
        </w:rPr>
      </w:pPr>
      <w:r>
        <w:rPr>
          <w:rFonts w:hint="eastAsia" w:ascii="宋体" w:hAnsi="宋体" w:cs="仿宋_GB2312"/>
          <w:sz w:val="24"/>
        </w:rPr>
        <w:t>3.不同供应商的响应文件载明的项目管理员为同一个人；</w:t>
      </w:r>
    </w:p>
    <w:p>
      <w:pPr>
        <w:spacing w:line="360" w:lineRule="auto"/>
        <w:ind w:firstLine="480" w:firstLineChars="200"/>
        <w:contextualSpacing/>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pPr>
        <w:spacing w:line="360" w:lineRule="auto"/>
        <w:ind w:firstLine="480" w:firstLineChars="200"/>
        <w:contextualSpacing/>
        <w:rPr>
          <w:rFonts w:ascii="宋体" w:hAnsi="宋体" w:cs="仿宋_GB2312"/>
          <w:sz w:val="24"/>
        </w:rPr>
      </w:pPr>
      <w:r>
        <w:rPr>
          <w:rFonts w:hint="eastAsia" w:ascii="宋体" w:hAnsi="宋体" w:cs="仿宋_GB2312"/>
          <w:sz w:val="24"/>
        </w:rPr>
        <w:t>5.不同供应商的响应文件相互混装；</w:t>
      </w:r>
    </w:p>
    <w:p>
      <w:pPr>
        <w:spacing w:line="360" w:lineRule="auto"/>
        <w:ind w:firstLine="480" w:firstLineChars="200"/>
        <w:contextualSpacing/>
        <w:rPr>
          <w:rFonts w:ascii="宋体" w:hAnsi="宋体" w:cs="仿宋_GB2312"/>
          <w:sz w:val="24"/>
        </w:rPr>
      </w:pPr>
      <w:r>
        <w:rPr>
          <w:rFonts w:hint="eastAsia" w:ascii="宋体" w:hAnsi="宋体" w:cs="仿宋_GB2312"/>
          <w:sz w:val="24"/>
        </w:rPr>
        <w:t>6.不同供应商的磋商保证金从同一单位或者个人账户转出。</w:t>
      </w:r>
    </w:p>
    <w:p>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二、我方承诺无下列恶意串通的情形：</w:t>
      </w:r>
    </w:p>
    <w:p>
      <w:pPr>
        <w:spacing w:line="360" w:lineRule="auto"/>
        <w:ind w:firstLine="480" w:firstLineChars="200"/>
        <w:contextualSpacing/>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pPr>
        <w:spacing w:line="360" w:lineRule="auto"/>
        <w:ind w:firstLine="480" w:firstLineChars="200"/>
        <w:contextualSpacing/>
        <w:rPr>
          <w:rFonts w:ascii="宋体" w:hAnsi="宋体" w:cs="仿宋_GB2312"/>
          <w:sz w:val="24"/>
        </w:rPr>
      </w:pPr>
      <w:r>
        <w:rPr>
          <w:rFonts w:hint="eastAsia" w:ascii="宋体" w:hAnsi="宋体" w:cs="仿宋_GB2312"/>
          <w:sz w:val="24"/>
        </w:rPr>
        <w:t>2.供应商按照采购人或者采购代理机构的授意撤换、修改响应文件；</w:t>
      </w:r>
    </w:p>
    <w:p>
      <w:pPr>
        <w:spacing w:line="360" w:lineRule="auto"/>
        <w:ind w:firstLine="480" w:firstLineChars="200"/>
        <w:contextualSpacing/>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pPr>
        <w:spacing w:line="360" w:lineRule="auto"/>
        <w:ind w:firstLine="480" w:firstLineChars="200"/>
        <w:contextualSpacing/>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pPr>
        <w:spacing w:line="360" w:lineRule="auto"/>
        <w:ind w:firstLine="480" w:firstLineChars="200"/>
        <w:contextualSpacing/>
        <w:rPr>
          <w:rFonts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contextualSpacing/>
        <w:rPr>
          <w:rFonts w:ascii="宋体" w:hAnsi="宋体" w:cs="仿宋_GB2312"/>
          <w:sz w:val="24"/>
        </w:rPr>
      </w:pPr>
      <w:r>
        <w:rPr>
          <w:rFonts w:hint="eastAsia" w:ascii="宋体" w:hAnsi="宋体" w:cs="仿宋_GB2312"/>
          <w:sz w:val="24"/>
        </w:rPr>
        <w:t>6.供应商之间商定部分供应商放弃参加政府采购活动或者放弃成交；</w:t>
      </w:r>
    </w:p>
    <w:p>
      <w:pPr>
        <w:spacing w:line="360" w:lineRule="auto"/>
        <w:ind w:firstLine="480" w:firstLineChars="200"/>
        <w:contextualSpacing/>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spacing w:line="520" w:lineRule="exact"/>
        <w:ind w:left="239" w:leftChars="114" w:firstLine="6120" w:firstLineChars="2550"/>
        <w:jc w:val="left"/>
        <w:rPr>
          <w:rFonts w:ascii="宋体" w:hAnsi="宋体" w:cs="方正小标宋简体"/>
          <w:bCs/>
          <w:sz w:val="44"/>
          <w:szCs w:val="44"/>
        </w:rPr>
      </w:pPr>
      <w:r>
        <w:rPr>
          <w:rFonts w:hint="eastAsia" w:ascii="宋体" w:hAnsi="宋体" w:cs="仿宋_GB2312"/>
          <w:kern w:val="0"/>
          <w:sz w:val="24"/>
          <w:lang w:val="zh-CN"/>
        </w:rPr>
        <w:t xml:space="preserve">日期：  年  月   日    </w:t>
      </w:r>
      <w:r>
        <w:rPr>
          <w:rFonts w:ascii="宋体" w:hAnsi="宋体"/>
          <w:b/>
          <w:bCs/>
          <w:sz w:val="32"/>
          <w:szCs w:val="32"/>
        </w:rPr>
        <w:br w:type="page"/>
      </w:r>
      <w:r>
        <w:rPr>
          <w:rFonts w:hint="eastAsia" w:ascii="宋体" w:hAnsi="宋体" w:cs="仿宋_GB2312"/>
          <w:b/>
          <w:sz w:val="30"/>
          <w:szCs w:val="30"/>
        </w:rPr>
        <w:t>二、法定代表人身份证明及法定代表人有效身份证正反面复印件</w:t>
      </w:r>
    </w:p>
    <w:p>
      <w:pPr>
        <w:spacing w:line="520" w:lineRule="exact"/>
        <w:jc w:val="center"/>
        <w:rPr>
          <w:rFonts w:ascii="宋体" w:hAnsi="宋体" w:cs="仿宋_GB2312"/>
          <w:sz w:val="32"/>
          <w:szCs w:val="32"/>
        </w:rPr>
      </w:pPr>
      <w:r>
        <w:rPr>
          <w:rFonts w:hint="eastAsia" w:ascii="宋体" w:hAnsi="宋体" w:cs="方正小标宋简体"/>
          <w:bCs/>
          <w:sz w:val="44"/>
          <w:szCs w:val="44"/>
        </w:rPr>
        <w:t>法定代表人证明书</w:t>
      </w:r>
    </w:p>
    <w:p>
      <w:pPr>
        <w:spacing w:line="360" w:lineRule="auto"/>
        <w:ind w:left="540"/>
        <w:contextualSpacing/>
        <w:rPr>
          <w:rFonts w:ascii="宋体" w:hAnsi="宋体"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p>
    <w:p>
      <w:pPr>
        <w:spacing w:line="360" w:lineRule="auto"/>
        <w:ind w:left="540"/>
        <w:contextualSpacing/>
        <w:rPr>
          <w:rFonts w:ascii="宋体" w:hAnsi="宋体" w:cs="仿宋_GB2312"/>
          <w:sz w:val="24"/>
        </w:rPr>
      </w:pPr>
      <w:r>
        <w:rPr>
          <w:rFonts w:hint="eastAsia" w:ascii="宋体" w:hAnsi="宋体" w:cs="仿宋_GB2312"/>
          <w:sz w:val="24"/>
        </w:rPr>
        <w:t>地    址：</w:t>
      </w:r>
    </w:p>
    <w:p>
      <w:pPr>
        <w:spacing w:line="360" w:lineRule="auto"/>
        <w:ind w:left="540"/>
        <w:contextualSpacing/>
        <w:rPr>
          <w:rFonts w:ascii="宋体" w:hAnsi="宋体" w:cs="仿宋_GB2312"/>
          <w:sz w:val="24"/>
        </w:rPr>
      </w:pPr>
      <w:r>
        <w:rPr>
          <w:rFonts w:hint="eastAsia" w:ascii="宋体" w:hAnsi="宋体" w:cs="仿宋_GB2312"/>
          <w:sz w:val="24"/>
        </w:rPr>
        <w:t>姓    名：性     别：</w:t>
      </w:r>
    </w:p>
    <w:p>
      <w:pPr>
        <w:spacing w:line="360" w:lineRule="auto"/>
        <w:ind w:left="540"/>
        <w:contextualSpacing/>
        <w:rPr>
          <w:rFonts w:ascii="宋体" w:hAnsi="宋体" w:cs="仿宋_GB2312"/>
          <w:sz w:val="24"/>
          <w:u w:val="single"/>
        </w:rPr>
      </w:pPr>
      <w:r>
        <w:rPr>
          <w:rFonts w:hint="eastAsia" w:ascii="宋体" w:hAnsi="宋体" w:cs="仿宋_GB2312"/>
          <w:sz w:val="24"/>
        </w:rPr>
        <w:t>年    龄：职     务：</w:t>
      </w:r>
    </w:p>
    <w:p>
      <w:pPr>
        <w:spacing w:line="360" w:lineRule="auto"/>
        <w:ind w:left="540"/>
        <w:contextualSpacing/>
        <w:rPr>
          <w:rFonts w:ascii="宋体" w:hAnsi="宋体" w:cs="仿宋_GB2312"/>
          <w:sz w:val="24"/>
        </w:rPr>
      </w:pPr>
      <w:r>
        <w:rPr>
          <w:rFonts w:hint="eastAsia" w:ascii="宋体" w:hAnsi="宋体" w:cs="仿宋_GB2312"/>
          <w:sz w:val="24"/>
        </w:rPr>
        <w:t>身份证号码：</w:t>
      </w:r>
    </w:p>
    <w:p>
      <w:pPr>
        <w:spacing w:line="360" w:lineRule="auto"/>
        <w:ind w:firstLine="480" w:firstLineChars="200"/>
        <w:contextualSpacing/>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pPr>
        <w:spacing w:line="360" w:lineRule="auto"/>
        <w:ind w:left="540"/>
        <w:contextualSpacing/>
        <w:rPr>
          <w:rFonts w:ascii="宋体" w:hAnsi="宋体" w:cs="仿宋_GB2312"/>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spacing w:line="360" w:lineRule="auto"/>
        <w:contextualSpacing/>
        <w:jc w:val="center"/>
        <w:rPr>
          <w:rFonts w:ascii="宋体" w:hAnsi="宋体" w:cs="仿宋_GB2312"/>
          <w:b/>
          <w:sz w:val="24"/>
        </w:rPr>
      </w:pPr>
      <w:r>
        <w:rPr>
          <w:rFonts w:hint="eastAsia" w:ascii="宋体" w:hAnsi="宋体" w:cs="仿宋_GB2312"/>
          <w:kern w:val="0"/>
          <w:sz w:val="24"/>
          <w:lang w:val="zh-CN"/>
        </w:rPr>
        <w:t xml:space="preserve">                                                   日期：  年  月   日</w:t>
      </w:r>
    </w:p>
    <w:p>
      <w:pPr>
        <w:spacing w:line="360" w:lineRule="auto"/>
        <w:contextualSpacing/>
        <w:jc w:val="left"/>
        <w:rPr>
          <w:rFonts w:ascii="宋体" w:hAnsi="宋体" w:cs="仿宋_GB2312"/>
          <w:sz w:val="24"/>
        </w:rPr>
      </w:pPr>
    </w:p>
    <w:p>
      <w:pPr>
        <w:spacing w:line="360" w:lineRule="auto"/>
        <w:contextualSpacing/>
        <w:jc w:val="left"/>
        <w:rPr>
          <w:rFonts w:ascii="宋体" w:hAnsi="宋体" w:cs="仿宋_GB2312"/>
          <w:sz w:val="24"/>
        </w:rPr>
      </w:pPr>
      <w:r>
        <w:rPr>
          <w:rFonts w:hint="eastAsia" w:ascii="宋体" w:hAnsi="宋体" w:cs="仿宋_GB2312"/>
          <w:sz w:val="24"/>
        </w:rPr>
        <w:t>注：1</w:t>
      </w:r>
      <w:r>
        <w:rPr>
          <w:rFonts w:ascii="宋体" w:hAnsi="宋体" w:cs="仿宋_GB2312"/>
          <w:sz w:val="24"/>
        </w:rPr>
        <w:t>.</w:t>
      </w:r>
      <w:r>
        <w:rPr>
          <w:rFonts w:hint="eastAsia" w:ascii="宋体" w:hAnsi="宋体" w:cs="仿宋_GB2312"/>
          <w:sz w:val="24"/>
        </w:rPr>
        <w:t>自然人竞标的无需提供，联合体竞标的只需牵头人出具。</w:t>
      </w:r>
    </w:p>
    <w:p>
      <w:pPr>
        <w:spacing w:line="360" w:lineRule="auto"/>
        <w:ind w:firstLine="480" w:firstLineChars="200"/>
        <w:contextualSpacing/>
        <w:jc w:val="left"/>
        <w:rPr>
          <w:rFonts w:ascii="宋体" w:hAnsi="宋体" w:cs="仿宋_GB2312"/>
          <w:sz w:val="24"/>
        </w:rPr>
        <w:sectPr>
          <w:pgSz w:w="11910" w:h="16840"/>
          <w:pgMar w:top="1340" w:right="1500" w:bottom="280" w:left="1680" w:header="720" w:footer="720" w:gutter="0"/>
          <w:pgNumType w:fmt="decimal"/>
          <w:cols w:space="720" w:num="1"/>
        </w:sectPr>
      </w:pPr>
      <w:r>
        <w:rPr>
          <w:rFonts w:hint="eastAsia" w:ascii="宋体" w:hAnsi="宋体" w:cs="仿宋_GB2312"/>
          <w:sz w:val="24"/>
        </w:rPr>
        <w:t>2</w:t>
      </w:r>
      <w:r>
        <w:rPr>
          <w:rFonts w:ascii="宋体" w:hAnsi="宋体" w:cs="仿宋_GB2312"/>
          <w:sz w:val="24"/>
        </w:rPr>
        <w:t>.</w:t>
      </w:r>
      <w:r>
        <w:rPr>
          <w:rFonts w:hint="eastAsia" w:ascii="宋体" w:hAnsi="宋体" w:cs="仿宋_GB2312"/>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46"/>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pPr>
              <w:spacing w:line="360" w:lineRule="auto"/>
              <w:rPr>
                <w:rFonts w:ascii="宋体" w:hAnsi="宋体"/>
                <w:b/>
                <w:sz w:val="24"/>
              </w:rPr>
            </w:pPr>
          </w:p>
          <w:p>
            <w:pPr>
              <w:spacing w:line="360" w:lineRule="auto"/>
              <w:rPr>
                <w:rFonts w:ascii="宋体" w:hAnsi="宋体"/>
                <w:b/>
                <w:sz w:val="24"/>
              </w:rPr>
            </w:pPr>
            <w:r>
              <w:rPr>
                <w:rFonts w:hint="eastAsia" w:ascii="宋体" w:hAnsi="宋体"/>
                <w:b/>
                <w:sz w:val="24"/>
              </w:rPr>
              <w:t>法定代表身份证复印件粘帖处（正、反面）</w:t>
            </w:r>
          </w:p>
        </w:tc>
      </w:tr>
    </w:tbl>
    <w:p>
      <w:pPr>
        <w:spacing w:line="360" w:lineRule="auto"/>
        <w:ind w:firstLine="482" w:firstLineChars="200"/>
        <w:contextualSpacing/>
        <w:jc w:val="left"/>
        <w:rPr>
          <w:rFonts w:ascii="宋体" w:hAnsi="宋体" w:cs="仿宋_GB2312"/>
          <w:b/>
          <w:sz w:val="32"/>
          <w:szCs w:val="32"/>
        </w:rPr>
      </w:pPr>
      <w:r>
        <w:rPr>
          <w:rFonts w:hint="eastAsia" w:ascii="宋体" w:hAnsi="宋体"/>
          <w:b/>
          <w:sz w:val="24"/>
        </w:rPr>
        <w:t>附件：</w:t>
      </w:r>
    </w:p>
    <w:p>
      <w:pPr>
        <w:adjustRightInd w:val="0"/>
        <w:snapToGrid w:val="0"/>
        <w:spacing w:line="300" w:lineRule="auto"/>
        <w:jc w:val="left"/>
        <w:rPr>
          <w:rFonts w:ascii="宋体" w:hAnsi="宋体"/>
          <w:b/>
          <w:szCs w:val="21"/>
        </w:rPr>
      </w:pPr>
    </w:p>
    <w:p>
      <w:pPr>
        <w:spacing w:line="520" w:lineRule="exact"/>
        <w:ind w:firstLine="880"/>
        <w:jc w:val="left"/>
        <w:rPr>
          <w:rFonts w:ascii="宋体" w:hAnsi="宋体" w:cs="方正小标宋简体"/>
          <w:bCs/>
          <w:sz w:val="44"/>
          <w:szCs w:val="44"/>
        </w:rPr>
      </w:pPr>
      <w:r>
        <w:rPr>
          <w:rFonts w:hint="eastAsia" w:ascii="宋体" w:hAnsi="宋体" w:cs="方正小标宋简体"/>
          <w:sz w:val="44"/>
          <w:szCs w:val="44"/>
        </w:rPr>
        <w:br w:type="page"/>
      </w:r>
      <w:r>
        <w:rPr>
          <w:rFonts w:hint="eastAsia" w:ascii="宋体" w:hAnsi="宋体" w:cs="仿宋_GB2312"/>
          <w:b/>
          <w:sz w:val="30"/>
          <w:szCs w:val="30"/>
        </w:rPr>
        <w:t>三、法定代表人授权委托书</w:t>
      </w:r>
    </w:p>
    <w:p>
      <w:pPr>
        <w:spacing w:line="500" w:lineRule="exact"/>
        <w:jc w:val="center"/>
        <w:rPr>
          <w:rFonts w:ascii="宋体" w:hAnsi="宋体" w:cs="方正小标宋简体"/>
          <w:sz w:val="44"/>
          <w:szCs w:val="44"/>
        </w:rPr>
      </w:pPr>
    </w:p>
    <w:p>
      <w:pPr>
        <w:spacing w:line="520" w:lineRule="exact"/>
        <w:jc w:val="center"/>
        <w:rPr>
          <w:rFonts w:ascii="宋体" w:hAnsi="宋体" w:cs="方正小标宋简体"/>
          <w:sz w:val="44"/>
          <w:szCs w:val="44"/>
        </w:rPr>
      </w:pPr>
      <w:r>
        <w:rPr>
          <w:rFonts w:hint="eastAsia" w:ascii="宋体" w:hAnsi="宋体" w:cs="方正小标宋简体"/>
          <w:sz w:val="44"/>
          <w:szCs w:val="44"/>
        </w:rPr>
        <w:t>授权委托书（非联合体竞标格式）</w:t>
      </w:r>
    </w:p>
    <w:p>
      <w:pPr>
        <w:spacing w:line="520" w:lineRule="exact"/>
        <w:jc w:val="center"/>
        <w:rPr>
          <w:rFonts w:ascii="宋体" w:hAnsi="宋体" w:cs="方正小标宋简体"/>
          <w:sz w:val="44"/>
          <w:szCs w:val="44"/>
        </w:rPr>
      </w:pPr>
      <w:r>
        <w:rPr>
          <w:rFonts w:hint="eastAsia" w:ascii="宋体" w:hAnsi="宋体" w:cs="方正小标宋简体"/>
          <w:sz w:val="44"/>
          <w:szCs w:val="44"/>
        </w:rPr>
        <w:t>（如有委托时）</w:t>
      </w:r>
    </w:p>
    <w:p>
      <w:pPr>
        <w:spacing w:line="520" w:lineRule="exact"/>
        <w:rPr>
          <w:rFonts w:ascii="宋体" w:hAnsi="宋体" w:cs="仿宋_GB2312"/>
          <w:sz w:val="32"/>
          <w:szCs w:val="32"/>
        </w:rPr>
      </w:pPr>
    </w:p>
    <w:p>
      <w:pPr>
        <w:spacing w:line="360" w:lineRule="auto"/>
        <w:rPr>
          <w:rFonts w:ascii="宋体" w:hAnsi="宋体" w:cs="仿宋_GB2312"/>
          <w:sz w:val="24"/>
        </w:rPr>
      </w:pPr>
      <w:r>
        <w:rPr>
          <w:rFonts w:hint="eastAsia" w:ascii="宋体" w:hAnsi="宋体" w:cs="仿宋_GB2312"/>
          <w:sz w:val="24"/>
        </w:rPr>
        <w:t>致：</w:t>
      </w:r>
      <w:r>
        <w:rPr>
          <w:rFonts w:hint="eastAsia" w:ascii="宋体" w:hAnsi="宋体" w:eastAsia="宋体" w:cs="宋体"/>
          <w:sz w:val="24"/>
          <w:u w:val="single"/>
        </w:rPr>
        <w:t>（采购人名称）</w:t>
      </w: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eastAsia="宋体" w:cs="宋体"/>
          <w:sz w:val="24"/>
          <w:u w:val="single"/>
        </w:rPr>
        <w:t>（项目名称</w:t>
      </w:r>
      <w:r>
        <w:rPr>
          <w:rFonts w:hint="eastAsia" w:ascii="宋体" w:hAnsi="宋体" w:cs="宋体"/>
          <w:sz w:val="24"/>
          <w:u w:val="single"/>
        </w:rPr>
        <w:t>）</w:t>
      </w:r>
      <w:r>
        <w:rPr>
          <w:rFonts w:hint="eastAsia" w:ascii="宋体" w:hAnsi="宋体" w:cs="仿宋_GB2312"/>
          <w:sz w:val="24"/>
        </w:rPr>
        <w:t>项目的竞标活动，并代表我方全权办理针对上述项目的所有采购程序和环节的具体事务和签署相关文件。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rPr>
      </w:pPr>
      <w:r>
        <w:rPr>
          <w:rFonts w:hint="eastAsia" w:ascii="宋体" w:hAnsi="宋体" w:cs="仿宋_GB2312"/>
          <w:sz w:val="24"/>
        </w:rPr>
        <w:t>附：法定代表人身份证明书及委托代理人有效身份证正反面复印件</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pPr>
        <w:spacing w:line="360" w:lineRule="auto"/>
        <w:rPr>
          <w:rFonts w:ascii="宋体" w:hAnsi="宋体" w:cs="仿宋_GB2312"/>
          <w:sz w:val="24"/>
        </w:rPr>
      </w:pPr>
      <w:r>
        <w:rPr>
          <w:rFonts w:hint="eastAsia" w:ascii="宋体" w:hAnsi="宋体" w:cs="仿宋_GB2312"/>
          <w:sz w:val="24"/>
        </w:rPr>
        <w:t xml:space="preserve">委托代理人身份证号码：                              </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kern w:val="0"/>
          <w:sz w:val="24"/>
        </w:rPr>
        <w:t>供应商名称（电子签章）：</w:t>
      </w:r>
    </w:p>
    <w:p>
      <w:pPr>
        <w:spacing w:line="360" w:lineRule="auto"/>
        <w:contextualSpacing/>
        <w:jc w:val="center"/>
        <w:rPr>
          <w:rFonts w:ascii="宋体" w:hAnsi="宋体" w:cs="仿宋_GB2312"/>
          <w:b/>
          <w:sz w:val="24"/>
        </w:rPr>
      </w:pPr>
      <w:r>
        <w:rPr>
          <w:rFonts w:hint="eastAsia" w:ascii="宋体" w:hAnsi="宋体" w:cs="仿宋_GB2312"/>
          <w:kern w:val="0"/>
          <w:sz w:val="24"/>
          <w:lang w:val="zh-CN"/>
        </w:rPr>
        <w:t xml:space="preserve">                                                   日期：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pPr>
        <w:spacing w:line="360" w:lineRule="auto"/>
        <w:ind w:firstLine="480" w:firstLineChars="200"/>
        <w:jc w:val="left"/>
        <w:rPr>
          <w:rFonts w:ascii="宋体" w:hAnsi="宋体" w:cs="仿宋_GB2312"/>
          <w:sz w:val="24"/>
        </w:rPr>
      </w:pPr>
      <w:r>
        <w:rPr>
          <w:rFonts w:ascii="宋体" w:hAnsi="宋体" w:cs="仿宋_GB2312"/>
          <w:sz w:val="24"/>
        </w:rPr>
        <w:t>2.</w:t>
      </w:r>
      <w:r>
        <w:rPr>
          <w:rFonts w:hint="eastAsia" w:ascii="宋体" w:hAnsi="宋体" w:cs="仿宋_GB2312"/>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宋体" w:hAnsi="宋体" w:cs="仿宋_GB2312"/>
          <w:szCs w:val="21"/>
        </w:rPr>
      </w:pPr>
      <w:r>
        <w:rPr>
          <w:rFonts w:hint="eastAsia" w:ascii="宋体" w:hAnsi="宋体" w:cs="仿宋_GB2312"/>
          <w:sz w:val="24"/>
        </w:rPr>
        <w:t>3</w:t>
      </w:r>
      <w:r>
        <w:rPr>
          <w:rFonts w:ascii="宋体" w:hAnsi="宋体" w:cs="仿宋_GB2312"/>
          <w:sz w:val="24"/>
        </w:rPr>
        <w:t>.</w:t>
      </w:r>
      <w:r>
        <w:rPr>
          <w:rFonts w:hint="eastAsia" w:ascii="宋体" w:hAnsi="宋体" w:cs="仿宋_GB2312"/>
          <w:sz w:val="24"/>
        </w:rPr>
        <w:t xml:space="preserve"> 法人、其他组织竞标时“我方”是指“我单位”，自然人竞标时“我方”是指“本人”。</w:t>
      </w:r>
    </w:p>
    <w:p>
      <w:pPr>
        <w:spacing w:line="520" w:lineRule="exact"/>
        <w:jc w:val="left"/>
        <w:rPr>
          <w:rFonts w:ascii="宋体" w:hAnsi="宋体" w:cs="仿宋_GB2312"/>
          <w:b/>
          <w:sz w:val="30"/>
          <w:szCs w:val="30"/>
        </w:rPr>
      </w:pPr>
      <w:r>
        <w:rPr>
          <w:rFonts w:ascii="宋体" w:hAnsi="宋体" w:cs="仿宋_GB2312"/>
          <w:szCs w:val="21"/>
        </w:rPr>
        <w:br w:type="page"/>
      </w:r>
      <w:r>
        <w:rPr>
          <w:rFonts w:hint="eastAsia" w:ascii="宋体" w:hAnsi="宋体" w:cs="仿宋_GB2312"/>
          <w:b/>
          <w:sz w:val="30"/>
          <w:szCs w:val="30"/>
        </w:rPr>
        <w:t>四、商务条款偏离表</w:t>
      </w:r>
    </w:p>
    <w:p>
      <w:pPr>
        <w:spacing w:line="520" w:lineRule="exact"/>
        <w:ind w:firstLine="602" w:firstLineChars="200"/>
        <w:jc w:val="left"/>
        <w:rPr>
          <w:rFonts w:ascii="宋体" w:hAnsi="宋体" w:cs="仿宋_GB2312"/>
          <w:b/>
          <w:sz w:val="30"/>
          <w:szCs w:val="30"/>
        </w:rPr>
      </w:pPr>
    </w:p>
    <w:p>
      <w:pPr>
        <w:spacing w:line="500" w:lineRule="exact"/>
        <w:jc w:val="center"/>
        <w:rPr>
          <w:rFonts w:ascii="宋体" w:hAnsi="宋体" w:cs="方正小标宋简体"/>
          <w:bCs/>
          <w:sz w:val="44"/>
          <w:szCs w:val="44"/>
        </w:rPr>
      </w:pPr>
      <w:r>
        <w:rPr>
          <w:rFonts w:hint="eastAsia" w:ascii="宋体" w:hAnsi="宋体" w:cs="方正小标宋简体"/>
          <w:bCs/>
          <w:sz w:val="44"/>
          <w:szCs w:val="44"/>
        </w:rPr>
        <w:t>商务条款偏离表</w:t>
      </w:r>
    </w:p>
    <w:p>
      <w:pPr>
        <w:spacing w:line="520" w:lineRule="exact"/>
        <w:rPr>
          <w:rFonts w:ascii="宋体" w:hAnsi="宋体" w:cs="仿宋_GB2312"/>
          <w:sz w:val="32"/>
          <w:szCs w:val="32"/>
        </w:rPr>
      </w:pPr>
    </w:p>
    <w:p>
      <w:pPr>
        <w:spacing w:line="360" w:lineRule="auto"/>
        <w:contextualSpacing/>
        <w:rPr>
          <w:rFonts w:ascii="宋体" w:hAnsi="宋体" w:cs="仿宋_GB2312"/>
          <w:sz w:val="24"/>
          <w:u w:val="single"/>
        </w:rPr>
      </w:pPr>
      <w:r>
        <w:rPr>
          <w:rFonts w:hint="eastAsia" w:ascii="宋体" w:hAnsi="宋体" w:cs="仿宋_GB2312"/>
          <w:sz w:val="24"/>
        </w:rPr>
        <w:t>采购项目编号：</w:t>
      </w:r>
    </w:p>
    <w:p>
      <w:pPr>
        <w:spacing w:line="360" w:lineRule="auto"/>
        <w:contextualSpacing/>
        <w:rPr>
          <w:rFonts w:ascii="宋体" w:hAnsi="宋体" w:cs="仿宋_GB2312"/>
          <w:sz w:val="24"/>
        </w:rPr>
      </w:pPr>
      <w:r>
        <w:rPr>
          <w:rFonts w:hint="eastAsia" w:ascii="宋体" w:hAnsi="宋体" w:cs="仿宋_GB2312"/>
          <w:sz w:val="24"/>
        </w:rPr>
        <w:t>采购项目名称：</w:t>
      </w:r>
    </w:p>
    <w:p>
      <w:pPr>
        <w:spacing w:line="360" w:lineRule="auto"/>
        <w:contextualSpacing/>
        <w:rPr>
          <w:rFonts w:ascii="宋体" w:hAnsi="宋体" w:cs="仿宋_GB2312"/>
          <w:sz w:val="24"/>
          <w:u w:val="single"/>
        </w:rPr>
      </w:pPr>
      <w:r>
        <w:rPr>
          <w:rFonts w:hint="eastAsia" w:ascii="宋体" w:hAnsi="宋体" w:cs="仿宋_GB2312"/>
          <w:sz w:val="24"/>
        </w:rPr>
        <w:t>分标号</w:t>
      </w:r>
      <w:r>
        <w:rPr>
          <w:rFonts w:hint="eastAsia" w:ascii="宋体" w:hAnsi="宋体"/>
          <w:szCs w:val="21"/>
        </w:rPr>
        <w:t>（此处有分标时填写具体分标号，无分标时填写“无”）</w:t>
      </w:r>
      <w:r>
        <w:rPr>
          <w:rFonts w:hint="eastAsia" w:ascii="宋体" w:hAnsi="宋体" w:cs="仿宋_GB2312"/>
          <w:sz w:val="24"/>
        </w:rPr>
        <w:t>：</w:t>
      </w:r>
    </w:p>
    <w:tbl>
      <w:tblPr>
        <w:tblStyle w:val="46"/>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宋体" w:hAnsi="宋体"/>
                <w:szCs w:val="21"/>
              </w:rPr>
            </w:pPr>
            <w:r>
              <w:rPr>
                <w:rFonts w:hint="eastAsia" w:ascii="宋体" w:hAnsi="宋体"/>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宋体" w:hAnsi="宋体"/>
                <w:szCs w:val="21"/>
              </w:rPr>
            </w:pPr>
            <w:r>
              <w:rPr>
                <w:rFonts w:hint="eastAsia" w:ascii="宋体" w:hAnsi="宋体"/>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pacing w:line="360" w:lineRule="atLeast"/>
              <w:rPr>
                <w:rFonts w:ascii="宋体" w:hAnsi="宋体"/>
                <w:sz w:val="22"/>
                <w:szCs w:val="22"/>
              </w:rPr>
            </w:pPr>
            <w:r>
              <w:rPr>
                <w:rFonts w:hint="eastAsia" w:ascii="宋体" w:hAnsi="宋体"/>
                <w:sz w:val="22"/>
                <w:szCs w:val="22"/>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pacing w:line="360" w:lineRule="atLeast"/>
              <w:rPr>
                <w:rFonts w:ascii="宋体" w:hAnsi="宋体"/>
                <w:sz w:val="22"/>
                <w:szCs w:val="22"/>
              </w:rPr>
            </w:pPr>
            <w:r>
              <w:rPr>
                <w:rFonts w:hint="eastAsia" w:ascii="宋体" w:hAnsi="宋体"/>
                <w:sz w:val="22"/>
                <w:szCs w:val="22"/>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pacing w:line="360" w:lineRule="atLeast"/>
              <w:rPr>
                <w:rFonts w:ascii="宋体" w:hAnsi="宋体"/>
                <w:sz w:val="22"/>
                <w:szCs w:val="22"/>
              </w:rPr>
            </w:pPr>
            <w:r>
              <w:rPr>
                <w:rFonts w:hint="eastAsia" w:ascii="宋体" w:hAnsi="宋体"/>
                <w:sz w:val="22"/>
                <w:szCs w:val="22"/>
              </w:rPr>
              <w:t>正偏离（负偏离或无偏离）</w:t>
            </w:r>
          </w:p>
        </w:tc>
      </w:tr>
    </w:tbl>
    <w:p>
      <w:pPr>
        <w:spacing w:line="400" w:lineRule="exact"/>
        <w:contextualSpacing/>
        <w:rPr>
          <w:rFonts w:ascii="宋体" w:hAnsi="宋体" w:cs="仿宋_GB2312"/>
          <w:kern w:val="0"/>
          <w:szCs w:val="21"/>
        </w:rPr>
      </w:pPr>
      <w:r>
        <w:rPr>
          <w:rFonts w:hint="eastAsia" w:ascii="宋体" w:hAnsi="宋体" w:cs="仿宋_GB2312"/>
          <w:kern w:val="0"/>
          <w:szCs w:val="21"/>
        </w:rPr>
        <w:t>注：</w:t>
      </w:r>
    </w:p>
    <w:p>
      <w:pPr>
        <w:spacing w:line="400" w:lineRule="exact"/>
        <w:contextualSpacing/>
        <w:rPr>
          <w:rFonts w:ascii="宋体" w:hAnsi="宋体" w:cs="仿宋_GB2312"/>
          <w:kern w:val="0"/>
          <w:szCs w:val="21"/>
        </w:rPr>
      </w:pPr>
      <w:r>
        <w:rPr>
          <w:rFonts w:hint="eastAsia" w:ascii="宋体" w:hAnsi="宋体" w:cs="仿宋_GB2312"/>
          <w:kern w:val="0"/>
          <w:szCs w:val="21"/>
        </w:rPr>
        <w:t>1.说明：应对照磋商文件“第二章 采购需求”中的商务条款逐条作出明确响应，并作出偏离说明。</w:t>
      </w:r>
    </w:p>
    <w:p>
      <w:pPr>
        <w:spacing w:line="400" w:lineRule="exact"/>
        <w:contextualSpacing/>
        <w:rPr>
          <w:rFonts w:ascii="宋体" w:hAnsi="宋体" w:cs="仿宋_GB2312"/>
          <w:kern w:val="0"/>
          <w:szCs w:val="21"/>
        </w:rPr>
      </w:pPr>
      <w:r>
        <w:rPr>
          <w:rFonts w:hint="eastAsia" w:ascii="宋体" w:hAnsi="宋体" w:cs="仿宋_GB2312"/>
          <w:kern w:val="0"/>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pPr>
        <w:spacing w:line="400" w:lineRule="exact"/>
        <w:rPr>
          <w:rFonts w:ascii="宋体" w:hAnsi="宋体" w:cs="仿宋_GB2312"/>
          <w:kern w:val="0"/>
          <w:szCs w:val="21"/>
        </w:rPr>
      </w:pPr>
      <w:r>
        <w:rPr>
          <w:rFonts w:hint="eastAsia" w:ascii="宋体" w:hAnsi="宋体" w:cs="仿宋_GB2312"/>
          <w:kern w:val="0"/>
          <w:szCs w:val="21"/>
        </w:rPr>
        <w:t>3</w:t>
      </w:r>
      <w:r>
        <w:rPr>
          <w:rFonts w:ascii="宋体" w:hAnsi="宋体" w:cs="仿宋_GB2312"/>
          <w:kern w:val="0"/>
          <w:szCs w:val="21"/>
        </w:rPr>
        <w:t>.</w:t>
      </w:r>
      <w:r>
        <w:rPr>
          <w:rFonts w:hint="eastAsia" w:ascii="宋体" w:hAnsi="宋体" w:cs="仿宋_GB2312"/>
          <w:kern w:val="0"/>
          <w:szCs w:val="21"/>
        </w:rPr>
        <w:t>表格内容均需按要求填写，不得留空，否则按竞标无效处理。</w:t>
      </w:r>
    </w:p>
    <w:p>
      <w:pPr>
        <w:spacing w:line="400" w:lineRule="exact"/>
        <w:contextualSpacing/>
        <w:rPr>
          <w:rFonts w:ascii="宋体" w:hAnsi="宋体" w:cs="仿宋_GB2312"/>
          <w:kern w:val="0"/>
          <w:szCs w:val="21"/>
        </w:rPr>
      </w:pPr>
      <w:r>
        <w:rPr>
          <w:rFonts w:hint="eastAsia" w:ascii="宋体" w:hAnsi="宋体" w:cs="仿宋_GB2312"/>
          <w:kern w:val="0"/>
          <w:szCs w:val="21"/>
        </w:rPr>
        <w:t>4</w:t>
      </w:r>
      <w:r>
        <w:rPr>
          <w:rFonts w:ascii="宋体" w:hAnsi="宋体" w:cs="仿宋_GB2312"/>
          <w:kern w:val="0"/>
          <w:szCs w:val="21"/>
        </w:rPr>
        <w:t>.</w:t>
      </w:r>
      <w:r>
        <w:rPr>
          <w:rFonts w:hint="eastAsia" w:ascii="宋体" w:hAnsi="宋体" w:cs="仿宋_GB2312"/>
          <w:kern w:val="0"/>
          <w:szCs w:val="21"/>
        </w:rPr>
        <w:t>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spacing w:line="400" w:lineRule="exact"/>
        <w:contextualSpacing/>
        <w:rPr>
          <w:rFonts w:ascii="宋体" w:hAnsi="宋体" w:cs="仿宋_GB2312"/>
          <w:kern w:val="0"/>
          <w:szCs w:val="21"/>
        </w:rPr>
      </w:pPr>
    </w:p>
    <w:p>
      <w:pPr>
        <w:spacing w:line="360" w:lineRule="auto"/>
        <w:ind w:firstLine="3840" w:firstLineChars="1600"/>
        <w:rPr>
          <w:rFonts w:ascii="宋体" w:hAnsi="宋体" w:cs="仿宋_GB2312"/>
          <w:sz w:val="24"/>
        </w:rPr>
      </w:pPr>
      <w:r>
        <w:rPr>
          <w:rFonts w:hint="eastAsia" w:ascii="宋体" w:hAnsi="宋体" w:cs="仿宋_GB2312"/>
          <w:kern w:val="0"/>
          <w:sz w:val="24"/>
        </w:rPr>
        <w:t>供应商名称（电子签章）：</w:t>
      </w:r>
    </w:p>
    <w:p>
      <w:pPr>
        <w:spacing w:line="360" w:lineRule="auto"/>
        <w:contextualSpacing/>
        <w:jc w:val="center"/>
        <w:rPr>
          <w:rFonts w:ascii="宋体" w:hAnsi="宋体" w:cs="仿宋_GB2312"/>
          <w:kern w:val="0"/>
          <w:sz w:val="24"/>
          <w:lang w:val="zh-CN"/>
        </w:rPr>
      </w:pPr>
      <w:r>
        <w:rPr>
          <w:rFonts w:hint="eastAsia" w:ascii="宋体" w:hAnsi="宋体" w:cs="仿宋_GB2312"/>
          <w:kern w:val="0"/>
          <w:sz w:val="24"/>
          <w:lang w:val="zh-CN"/>
        </w:rPr>
        <w:t xml:space="preserve">                                                   日期：  年  月   日</w:t>
      </w:r>
    </w:p>
    <w:p>
      <w:pPr>
        <w:spacing w:line="360" w:lineRule="auto"/>
        <w:contextualSpacing/>
        <w:jc w:val="center"/>
        <w:rPr>
          <w:rFonts w:ascii="宋体" w:hAnsi="宋体" w:cs="仿宋_GB2312"/>
          <w:b/>
          <w:sz w:val="24"/>
        </w:rPr>
      </w:pPr>
    </w:p>
    <w:p>
      <w:pPr>
        <w:snapToGrid w:val="0"/>
        <w:spacing w:line="360" w:lineRule="auto"/>
        <w:ind w:firstLine="602" w:firstLineChars="200"/>
        <w:rPr>
          <w:rFonts w:ascii="宋体" w:hAnsi="宋体" w:cs="仿宋_GB2312"/>
          <w:b/>
          <w:sz w:val="30"/>
          <w:szCs w:val="30"/>
        </w:rPr>
      </w:pPr>
      <w:r>
        <w:rPr>
          <w:rFonts w:hint="eastAsia" w:ascii="宋体" w:hAnsi="宋体" w:cs="仿宋_GB2312"/>
          <w:b/>
          <w:sz w:val="30"/>
          <w:szCs w:val="30"/>
        </w:rPr>
        <w:t>五、竞标人情况介绍</w:t>
      </w:r>
    </w:p>
    <w:p>
      <w:pPr>
        <w:snapToGrid w:val="0"/>
        <w:spacing w:line="360" w:lineRule="auto"/>
        <w:ind w:firstLine="602" w:firstLineChars="200"/>
        <w:rPr>
          <w:rFonts w:ascii="宋体" w:hAnsi="宋体" w:cs="仿宋_GB2312"/>
          <w:b/>
          <w:sz w:val="30"/>
          <w:szCs w:val="30"/>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firstLine="6480" w:firstLineChars="2700"/>
        <w:rPr>
          <w:rFonts w:ascii="宋体" w:hAnsi="宋体" w:cs="仿宋_GB2312"/>
          <w:b/>
          <w:bCs/>
          <w:sz w:val="24"/>
        </w:rPr>
      </w:pPr>
      <w:r>
        <w:rPr>
          <w:rFonts w:hint="eastAsia" w:ascii="宋体" w:hAnsi="宋体" w:cs="仿宋_GB2312"/>
          <w:kern w:val="0"/>
          <w:sz w:val="24"/>
          <w:lang w:val="zh-CN"/>
        </w:rPr>
        <w:t>日期：  年  月   日</w:t>
      </w:r>
    </w:p>
    <w:p>
      <w:pPr>
        <w:snapToGrid w:val="0"/>
        <w:spacing w:before="120" w:beforeLines="50" w:after="50"/>
        <w:ind w:firstLine="602" w:firstLineChars="200"/>
        <w:rPr>
          <w:rFonts w:hint="eastAsia" w:ascii="宋体" w:hAnsi="宋体" w:cs="宋体"/>
          <w:b/>
          <w:sz w:val="30"/>
          <w:szCs w:val="30"/>
        </w:rPr>
      </w:pPr>
      <w:r>
        <w:rPr>
          <w:rFonts w:hint="eastAsia" w:ascii="宋体" w:hAnsi="宋体" w:cs="仿宋_GB2312"/>
          <w:b/>
          <w:sz w:val="30"/>
          <w:szCs w:val="30"/>
        </w:rPr>
        <w:t>六、</w:t>
      </w:r>
      <w:r>
        <w:rPr>
          <w:rFonts w:hint="eastAsia" w:ascii="宋体" w:hAnsi="宋体" w:cs="宋体"/>
          <w:b/>
          <w:sz w:val="30"/>
          <w:szCs w:val="30"/>
        </w:rPr>
        <w:t>2022年</w:t>
      </w:r>
      <w:r>
        <w:rPr>
          <w:rFonts w:hint="eastAsia" w:ascii="宋体" w:hAnsi="宋体" w:cs="宋体"/>
          <w:b/>
          <w:sz w:val="30"/>
          <w:szCs w:val="30"/>
          <w:lang w:val="en-US" w:eastAsia="zh-CN"/>
        </w:rPr>
        <w:t>6</w:t>
      </w:r>
      <w:r>
        <w:rPr>
          <w:rFonts w:hint="eastAsia" w:ascii="宋体" w:hAnsi="宋体" w:cs="宋体"/>
          <w:b/>
          <w:sz w:val="30"/>
          <w:szCs w:val="30"/>
        </w:rPr>
        <w:t>月</w:t>
      </w:r>
      <w:r>
        <w:rPr>
          <w:rFonts w:hint="eastAsia" w:ascii="宋体" w:hAnsi="宋体" w:cs="宋体"/>
          <w:b/>
          <w:sz w:val="30"/>
          <w:szCs w:val="30"/>
          <w:lang w:val="en-US" w:eastAsia="zh-CN"/>
        </w:rPr>
        <w:t>1日</w:t>
      </w:r>
      <w:r>
        <w:rPr>
          <w:rFonts w:hint="eastAsia" w:ascii="宋体" w:hAnsi="宋体" w:cs="宋体"/>
          <w:b/>
          <w:sz w:val="30"/>
          <w:szCs w:val="30"/>
        </w:rPr>
        <w:t>以来承建项目工程情况表</w:t>
      </w:r>
    </w:p>
    <w:p>
      <w:pPr>
        <w:spacing w:line="480" w:lineRule="exact"/>
        <w:jc w:val="center"/>
        <w:rPr>
          <w:rFonts w:hint="eastAsia" w:ascii="宋体" w:hAnsi="宋体" w:cs="宋体"/>
          <w:sz w:val="32"/>
        </w:rPr>
      </w:pPr>
      <w:r>
        <w:rPr>
          <w:rFonts w:hint="eastAsia" w:ascii="宋体" w:hAnsi="宋体" w:cs="宋体"/>
          <w:b/>
          <w:bCs/>
          <w:sz w:val="24"/>
        </w:rPr>
        <w:t>(如有，附中标（或成交）通知书或施工合同或竣工验收证明等扫描件，字迹模糊不清的扫描件无效)</w:t>
      </w:r>
    </w:p>
    <w:p>
      <w:pPr>
        <w:jc w:val="center"/>
        <w:rPr>
          <w:rFonts w:hint="eastAsia" w:ascii="宋体" w:hAnsi="宋体" w:cs="宋体"/>
        </w:rPr>
      </w:pPr>
    </w:p>
    <w:tbl>
      <w:tblPr>
        <w:tblStyle w:val="46"/>
        <w:tblW w:w="9663" w:type="dxa"/>
        <w:jc w:val="center"/>
        <w:tblLayout w:type="fixed"/>
        <w:tblCellMar>
          <w:top w:w="0" w:type="dxa"/>
          <w:left w:w="0" w:type="dxa"/>
          <w:bottom w:w="0" w:type="dxa"/>
          <w:right w:w="0" w:type="dxa"/>
        </w:tblCellMar>
      </w:tblPr>
      <w:tblGrid>
        <w:gridCol w:w="1480"/>
        <w:gridCol w:w="1335"/>
        <w:gridCol w:w="1406"/>
        <w:gridCol w:w="1414"/>
        <w:gridCol w:w="1590"/>
        <w:gridCol w:w="1217"/>
        <w:gridCol w:w="1221"/>
      </w:tblGrid>
      <w:tr>
        <w:tblPrEx>
          <w:tblCellMar>
            <w:top w:w="0" w:type="dxa"/>
            <w:left w:w="0" w:type="dxa"/>
            <w:bottom w:w="0" w:type="dxa"/>
            <w:right w:w="0" w:type="dxa"/>
          </w:tblCellMar>
        </w:tblPrEx>
        <w:trPr>
          <w:trHeight w:val="623"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4"/>
              </w:rPr>
            </w:pPr>
            <w:r>
              <w:rPr>
                <w:rFonts w:hint="eastAsia" w:ascii="宋体" w:hAnsi="宋体" w:cs="宋体"/>
                <w:sz w:val="24"/>
              </w:rPr>
              <w:t>建设单位</w:t>
            </w: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4"/>
              </w:rPr>
            </w:pPr>
            <w:r>
              <w:rPr>
                <w:rFonts w:hint="eastAsia" w:ascii="宋体" w:hAnsi="宋体" w:cs="宋体"/>
                <w:sz w:val="24"/>
              </w:rPr>
              <w:t>项目名称</w:t>
            </w: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4"/>
              </w:rPr>
            </w:pPr>
            <w:r>
              <w:rPr>
                <w:rFonts w:hint="eastAsia" w:ascii="宋体" w:hAnsi="宋体" w:cs="宋体"/>
                <w:sz w:val="24"/>
              </w:rPr>
              <w:t>结构类型及跨度</w:t>
            </w: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4"/>
              </w:rPr>
            </w:pPr>
            <w:r>
              <w:rPr>
                <w:rFonts w:hint="eastAsia" w:ascii="宋体" w:hAnsi="宋体" w:cs="宋体"/>
                <w:sz w:val="24"/>
              </w:rPr>
              <w:t>建筑面积</w:t>
            </w: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4"/>
              </w:rPr>
            </w:pPr>
            <w:r>
              <w:rPr>
                <w:rFonts w:hint="eastAsia" w:ascii="宋体" w:hAnsi="宋体" w:cs="宋体"/>
                <w:sz w:val="24"/>
              </w:rPr>
              <w:t>开、竣工日期</w:t>
            </w: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4"/>
              </w:rPr>
            </w:pPr>
            <w:r>
              <w:rPr>
                <w:rFonts w:hint="eastAsia" w:ascii="宋体" w:hAnsi="宋体" w:cs="宋体"/>
                <w:sz w:val="24"/>
              </w:rPr>
              <w:t>合同价款</w:t>
            </w: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4"/>
              </w:rPr>
            </w:pPr>
            <w:r>
              <w:rPr>
                <w:rFonts w:hint="eastAsia" w:ascii="宋体" w:hAnsi="宋体" w:cs="宋体"/>
                <w:sz w:val="24"/>
              </w:rPr>
              <w:t>质量等级</w:t>
            </w: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rPr>
            </w:pPr>
          </w:p>
        </w:tc>
      </w:tr>
      <w:tr>
        <w:tblPrEx>
          <w:tblCellMar>
            <w:top w:w="0" w:type="dxa"/>
            <w:left w:w="0" w:type="dxa"/>
            <w:bottom w:w="0" w:type="dxa"/>
            <w:right w:w="0" w:type="dxa"/>
          </w:tblCellMar>
        </w:tblPrEx>
        <w:trPr>
          <w:trHeight w:val="500" w:hRule="exact"/>
          <w:jc w:val="center"/>
        </w:trPr>
        <w:tc>
          <w:tcPr>
            <w:tcW w:w="1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sz w:val="32"/>
              </w:rPr>
            </w:pPr>
          </w:p>
        </w:tc>
        <w:tc>
          <w:tcPr>
            <w:tcW w:w="133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sz w:val="32"/>
              </w:rPr>
            </w:pPr>
          </w:p>
        </w:tc>
        <w:tc>
          <w:tcPr>
            <w:tcW w:w="140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sz w:val="32"/>
              </w:rPr>
            </w:pPr>
          </w:p>
        </w:tc>
        <w:tc>
          <w:tcPr>
            <w:tcW w:w="14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sz w:val="32"/>
              </w:rPr>
            </w:pPr>
          </w:p>
        </w:tc>
        <w:tc>
          <w:tcPr>
            <w:tcW w:w="15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sz w:val="32"/>
              </w:rPr>
            </w:pPr>
          </w:p>
        </w:tc>
        <w:tc>
          <w:tcPr>
            <w:tcW w:w="12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sz w:val="32"/>
              </w:rPr>
            </w:pPr>
          </w:p>
        </w:tc>
        <w:tc>
          <w:tcPr>
            <w:tcW w:w="122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宋体" w:hAnsi="宋体" w:cs="宋体"/>
                <w:sz w:val="32"/>
              </w:rPr>
            </w:pPr>
          </w:p>
        </w:tc>
      </w:tr>
    </w:tbl>
    <w:p>
      <w:pPr>
        <w:spacing w:line="520" w:lineRule="exact"/>
        <w:jc w:val="left"/>
        <w:rPr>
          <w:rFonts w:hint="eastAsia"/>
          <w:szCs w:val="20"/>
        </w:rPr>
      </w:pPr>
      <w:r>
        <w:rPr>
          <w:rFonts w:hint="eastAsia"/>
          <w:szCs w:val="20"/>
        </w:rPr>
        <w:t>注：</w:t>
      </w:r>
      <w:r>
        <w:rPr>
          <w:rFonts w:hint="eastAsia"/>
          <w:szCs w:val="20"/>
          <w:lang w:val="en-US" w:eastAsia="zh-CN"/>
        </w:rPr>
        <w:t>供应商</w:t>
      </w:r>
      <w:r>
        <w:rPr>
          <w:rFonts w:hint="eastAsia"/>
          <w:szCs w:val="20"/>
        </w:rPr>
        <w:t>可按上述的格式自行编制。</w:t>
      </w:r>
    </w:p>
    <w:p>
      <w:pPr>
        <w:spacing w:line="520" w:lineRule="exact"/>
        <w:jc w:val="left"/>
        <w:rPr>
          <w:rFonts w:ascii="宋体" w:hAnsi="宋体"/>
          <w:kern w:val="0"/>
          <w:szCs w:val="21"/>
        </w:rPr>
      </w:pPr>
    </w:p>
    <w:p>
      <w:pPr>
        <w:widowControl/>
        <w:tabs>
          <w:tab w:val="center" w:pos="4153"/>
          <w:tab w:val="right" w:pos="8306"/>
        </w:tabs>
        <w:snapToGrid w:val="0"/>
        <w:jc w:val="left"/>
        <w:rPr>
          <w:rFonts w:ascii="宋体" w:hAnsi="宋体"/>
          <w:kern w:val="0"/>
          <w:szCs w:val="21"/>
        </w:rPr>
      </w:pPr>
    </w:p>
    <w:p>
      <w:pPr>
        <w:spacing w:line="360" w:lineRule="auto"/>
        <w:ind w:firstLine="3360" w:firstLineChars="1600"/>
        <w:jc w:val="right"/>
        <w:rPr>
          <w:rFonts w:ascii="宋体" w:hAnsi="宋体" w:cs="仿宋_GB2312"/>
          <w:kern w:val="0"/>
          <w:szCs w:val="21"/>
        </w:rPr>
      </w:pPr>
      <w:r>
        <w:rPr>
          <w:rFonts w:hint="eastAsia" w:ascii="宋体" w:hAnsi="宋体" w:cs="仿宋_GB2312"/>
          <w:kern w:val="0"/>
          <w:szCs w:val="21"/>
        </w:rPr>
        <w:t>供应商名称（电子签章）：</w:t>
      </w:r>
    </w:p>
    <w:p>
      <w:pPr>
        <w:snapToGrid w:val="0"/>
        <w:spacing w:line="360" w:lineRule="auto"/>
        <w:ind w:firstLine="420" w:firstLineChars="200"/>
        <w:jc w:val="right"/>
        <w:rPr>
          <w:rFonts w:hint="eastAsia" w:ascii="宋体" w:hAnsi="宋体" w:cs="仿宋_GB2312"/>
          <w:kern w:val="0"/>
          <w:szCs w:val="21"/>
        </w:rPr>
      </w:pPr>
      <w:r>
        <w:rPr>
          <w:rFonts w:hint="eastAsia" w:ascii="宋体" w:hAnsi="宋体" w:cs="仿宋_GB2312"/>
          <w:kern w:val="0"/>
          <w:szCs w:val="21"/>
        </w:rPr>
        <w:t>日期：  年  月   日</w:t>
      </w:r>
    </w:p>
    <w:p>
      <w:pPr>
        <w:snapToGrid w:val="0"/>
        <w:spacing w:line="360" w:lineRule="auto"/>
        <w:ind w:firstLine="602" w:firstLineChars="200"/>
        <w:rPr>
          <w:rFonts w:hint="eastAsia" w:ascii="宋体" w:hAnsi="宋体" w:cs="仿宋_GB2312"/>
          <w:b/>
          <w:sz w:val="30"/>
          <w:szCs w:val="30"/>
        </w:rPr>
      </w:pPr>
    </w:p>
    <w:p>
      <w:pPr>
        <w:snapToGrid w:val="0"/>
        <w:spacing w:line="360" w:lineRule="auto"/>
        <w:ind w:firstLine="602" w:firstLineChars="200"/>
        <w:rPr>
          <w:rFonts w:ascii="宋体" w:hAnsi="宋体"/>
          <w:b/>
          <w:bCs/>
          <w:sz w:val="32"/>
          <w:szCs w:val="32"/>
        </w:rPr>
      </w:pPr>
      <w:r>
        <w:rPr>
          <w:rFonts w:hint="eastAsia" w:ascii="宋体" w:hAnsi="宋体" w:cs="仿宋_GB2312"/>
          <w:b/>
          <w:sz w:val="30"/>
          <w:szCs w:val="30"/>
        </w:rPr>
        <w:t>七、</w:t>
      </w:r>
      <w:r>
        <w:rPr>
          <w:rFonts w:hint="eastAsia" w:ascii="宋体" w:hAnsi="宋体"/>
          <w:b/>
          <w:bCs/>
          <w:sz w:val="32"/>
          <w:szCs w:val="32"/>
        </w:rPr>
        <w:t>响应技术资料表</w:t>
      </w:r>
    </w:p>
    <w:p>
      <w:pPr>
        <w:spacing w:line="500" w:lineRule="exact"/>
        <w:jc w:val="center"/>
        <w:rPr>
          <w:rFonts w:hint="eastAsia" w:ascii="方正小标宋简体" w:hAnsi="方正小标宋简体" w:eastAsia="方正小标宋简体" w:cs="方正小标宋简体"/>
          <w:bCs/>
          <w:sz w:val="30"/>
          <w:szCs w:val="30"/>
        </w:rPr>
      </w:pPr>
    </w:p>
    <w:p>
      <w:pPr>
        <w:autoSpaceDE w:val="0"/>
        <w:autoSpaceDN w:val="0"/>
        <w:spacing w:line="360" w:lineRule="auto"/>
        <w:jc w:val="center"/>
        <w:rPr>
          <w:rFonts w:hint="eastAsia" w:ascii="宋体" w:hAnsi="宋体"/>
          <w:b/>
          <w:sz w:val="32"/>
          <w:szCs w:val="32"/>
        </w:rPr>
      </w:pPr>
      <w:r>
        <w:rPr>
          <w:rFonts w:hint="eastAsia" w:ascii="宋体" w:hAnsi="宋体"/>
          <w:b/>
          <w:sz w:val="32"/>
          <w:szCs w:val="32"/>
        </w:rPr>
        <w:t>响应技术资料表（格式）</w:t>
      </w:r>
    </w:p>
    <w:p>
      <w:pPr>
        <w:spacing w:line="500" w:lineRule="exact"/>
        <w:jc w:val="center"/>
        <w:rPr>
          <w:rFonts w:hint="eastAsia" w:ascii="宋体" w:hAnsi="宋体"/>
          <w:sz w:val="24"/>
        </w:rPr>
      </w:pPr>
      <w:r>
        <w:rPr>
          <w:rFonts w:hint="eastAsia" w:ascii="宋体" w:hAnsi="宋体"/>
          <w:bCs/>
          <w:sz w:val="24"/>
        </w:rPr>
        <w:t>(注：按采购需求具体条款修改)</w:t>
      </w:r>
    </w:p>
    <w:p>
      <w:pPr>
        <w:pStyle w:val="25"/>
        <w:spacing w:line="360" w:lineRule="auto"/>
        <w:contextualSpacing/>
        <w:rPr>
          <w:rFonts w:hint="eastAsia" w:hAnsi="宋体" w:cs="仿宋_GB2312"/>
          <w:sz w:val="24"/>
          <w:szCs w:val="24"/>
        </w:rPr>
      </w:pPr>
      <w:r>
        <w:rPr>
          <w:rFonts w:hint="eastAsia" w:hAnsi="宋体" w:cs="仿宋_GB2312"/>
          <w:sz w:val="24"/>
          <w:szCs w:val="24"/>
        </w:rPr>
        <w:t>所竞分标：</w:t>
      </w:r>
      <w:r>
        <w:rPr>
          <w:rFonts w:hint="eastAsia" w:hAnsi="宋体" w:cs="仿宋_GB2312"/>
          <w:sz w:val="24"/>
          <w:szCs w:val="24"/>
          <w:u w:val="single"/>
        </w:rPr>
        <w:t xml:space="preserve">              </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00"/>
        <w:gridCol w:w="1184"/>
        <w:gridCol w:w="1557"/>
        <w:gridCol w:w="1497"/>
        <w:gridCol w:w="1296"/>
        <w:gridCol w:w="1186"/>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rPr>
              <w:t>项号</w:t>
            </w:r>
          </w:p>
        </w:tc>
        <w:tc>
          <w:tcPr>
            <w:tcW w:w="4241"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rPr>
              <w:t>竞争性磋商采购文件需求</w:t>
            </w:r>
          </w:p>
        </w:tc>
        <w:tc>
          <w:tcPr>
            <w:tcW w:w="3979"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rPr>
              <w:t>响应文件承诺</w:t>
            </w:r>
          </w:p>
        </w:tc>
        <w:tc>
          <w:tcPr>
            <w:tcW w:w="723" w:type="dxa"/>
            <w:vMerge w:val="restart"/>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1500"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采购项目名称</w:t>
            </w:r>
          </w:p>
        </w:tc>
        <w:tc>
          <w:tcPr>
            <w:tcW w:w="1184" w:type="dxa"/>
            <w:tcBorders>
              <w:top w:val="single" w:color="auto" w:sz="4" w:space="0"/>
              <w:left w:val="nil"/>
              <w:bottom w:val="single" w:color="auto" w:sz="4" w:space="0"/>
              <w:right w:val="single" w:color="auto" w:sz="4" w:space="0"/>
            </w:tcBorders>
            <w:noWrap w:val="0"/>
            <w:vAlign w:val="center"/>
          </w:tcPr>
          <w:p>
            <w:pPr>
              <w:rPr>
                <w:rFonts w:hint="eastAsia" w:ascii="宋体" w:hAnsi="宋体"/>
                <w:szCs w:val="21"/>
              </w:rPr>
            </w:pPr>
            <w:r>
              <w:rPr>
                <w:rFonts w:hint="eastAsia" w:ascii="宋体" w:hAnsi="宋体"/>
              </w:rPr>
              <w:t>数量/单位</w:t>
            </w:r>
          </w:p>
        </w:tc>
        <w:tc>
          <w:tcPr>
            <w:tcW w:w="1557"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采购内容</w:t>
            </w:r>
          </w:p>
        </w:tc>
        <w:tc>
          <w:tcPr>
            <w:tcW w:w="1497"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采购项目名称</w:t>
            </w:r>
          </w:p>
        </w:tc>
        <w:tc>
          <w:tcPr>
            <w:tcW w:w="1296"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数量/单位</w:t>
            </w:r>
          </w:p>
        </w:tc>
        <w:tc>
          <w:tcPr>
            <w:tcW w:w="1186"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采购内容</w:t>
            </w:r>
          </w:p>
        </w:tc>
        <w:tc>
          <w:tcPr>
            <w:tcW w:w="7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rPr>
              <w:t>1</w:t>
            </w:r>
          </w:p>
        </w:tc>
        <w:tc>
          <w:tcPr>
            <w:tcW w:w="1500"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184"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557"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1  ……</w:t>
            </w:r>
          </w:p>
          <w:p>
            <w:pPr>
              <w:rPr>
                <w:rFonts w:hint="eastAsia" w:ascii="宋体" w:hAnsi="宋体"/>
              </w:rPr>
            </w:pPr>
            <w:r>
              <w:rPr>
                <w:rFonts w:hint="eastAsia" w:ascii="宋体" w:hAnsi="宋体"/>
              </w:rPr>
              <w:t>2  ……</w:t>
            </w:r>
          </w:p>
          <w:p>
            <w:pPr>
              <w:rPr>
                <w:rFonts w:hint="eastAsia" w:ascii="宋体" w:hAnsi="宋体"/>
              </w:rPr>
            </w:pPr>
            <w:r>
              <w:rPr>
                <w:rFonts w:hint="eastAsia" w:ascii="宋体" w:hAnsi="宋体"/>
              </w:rPr>
              <w:t>3  ……</w:t>
            </w:r>
          </w:p>
          <w:p>
            <w:pPr>
              <w:rPr>
                <w:rFonts w:ascii="宋体" w:hAnsi="宋体"/>
                <w:szCs w:val="21"/>
              </w:rPr>
            </w:pPr>
            <w:r>
              <w:rPr>
                <w:rFonts w:hint="eastAsia" w:ascii="宋体" w:hAnsi="宋体"/>
              </w:rPr>
              <w:t>……</w:t>
            </w:r>
          </w:p>
        </w:tc>
        <w:tc>
          <w:tcPr>
            <w:tcW w:w="1497"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296"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186"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1  ……</w:t>
            </w:r>
          </w:p>
          <w:p>
            <w:pPr>
              <w:rPr>
                <w:rFonts w:hint="eastAsia" w:ascii="宋体" w:hAnsi="宋体"/>
              </w:rPr>
            </w:pPr>
            <w:r>
              <w:rPr>
                <w:rFonts w:hint="eastAsia" w:ascii="宋体" w:hAnsi="宋体"/>
              </w:rPr>
              <w:t>2  ……</w:t>
            </w:r>
          </w:p>
          <w:p>
            <w:pPr>
              <w:rPr>
                <w:rFonts w:hint="eastAsia" w:ascii="宋体" w:hAnsi="宋体"/>
              </w:rPr>
            </w:pPr>
            <w:r>
              <w:rPr>
                <w:rFonts w:hint="eastAsia" w:ascii="宋体" w:hAnsi="宋体"/>
              </w:rPr>
              <w:t>3  ……</w:t>
            </w:r>
          </w:p>
          <w:p>
            <w:pPr>
              <w:rPr>
                <w:rFonts w:ascii="宋体" w:hAnsi="宋体"/>
                <w:szCs w:val="21"/>
              </w:rPr>
            </w:pPr>
            <w:r>
              <w:rPr>
                <w:rFonts w:hint="eastAsia" w:ascii="宋体" w:hAnsi="宋体"/>
              </w:rPr>
              <w:t>……</w:t>
            </w:r>
          </w:p>
        </w:tc>
        <w:tc>
          <w:tcPr>
            <w:tcW w:w="723"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rPr>
              <w:t>2</w:t>
            </w:r>
          </w:p>
        </w:tc>
        <w:tc>
          <w:tcPr>
            <w:tcW w:w="1500"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184"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557"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1  ……</w:t>
            </w:r>
          </w:p>
          <w:p>
            <w:pPr>
              <w:rPr>
                <w:rFonts w:hint="eastAsia" w:ascii="宋体" w:hAnsi="宋体"/>
              </w:rPr>
            </w:pPr>
            <w:r>
              <w:rPr>
                <w:rFonts w:hint="eastAsia" w:ascii="宋体" w:hAnsi="宋体"/>
              </w:rPr>
              <w:t>2  ……</w:t>
            </w:r>
          </w:p>
          <w:p>
            <w:pPr>
              <w:rPr>
                <w:rFonts w:hint="eastAsia" w:ascii="宋体" w:hAnsi="宋体"/>
              </w:rPr>
            </w:pPr>
            <w:r>
              <w:rPr>
                <w:rFonts w:hint="eastAsia" w:ascii="宋体" w:hAnsi="宋体"/>
              </w:rPr>
              <w:t>3  ……</w:t>
            </w:r>
          </w:p>
          <w:p>
            <w:pPr>
              <w:rPr>
                <w:rFonts w:ascii="宋体" w:hAnsi="宋体"/>
                <w:szCs w:val="21"/>
              </w:rPr>
            </w:pPr>
            <w:r>
              <w:rPr>
                <w:rFonts w:hint="eastAsia" w:ascii="宋体" w:hAnsi="宋体"/>
              </w:rPr>
              <w:t>……</w:t>
            </w:r>
          </w:p>
        </w:tc>
        <w:tc>
          <w:tcPr>
            <w:tcW w:w="1497"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296"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186"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rPr>
              <w:t>1  ……</w:t>
            </w:r>
          </w:p>
          <w:p>
            <w:pPr>
              <w:rPr>
                <w:rFonts w:hint="eastAsia" w:ascii="宋体" w:hAnsi="宋体"/>
              </w:rPr>
            </w:pPr>
            <w:r>
              <w:rPr>
                <w:rFonts w:hint="eastAsia" w:ascii="宋体" w:hAnsi="宋体"/>
              </w:rPr>
              <w:t>2  ……</w:t>
            </w:r>
          </w:p>
          <w:p>
            <w:pPr>
              <w:rPr>
                <w:rFonts w:hint="eastAsia" w:ascii="宋体" w:hAnsi="宋体"/>
              </w:rPr>
            </w:pPr>
            <w:r>
              <w:rPr>
                <w:rFonts w:hint="eastAsia" w:ascii="宋体" w:hAnsi="宋体"/>
              </w:rPr>
              <w:t>3  ……</w:t>
            </w:r>
          </w:p>
          <w:p>
            <w:pPr>
              <w:rPr>
                <w:rFonts w:ascii="宋体" w:hAnsi="宋体"/>
                <w:szCs w:val="21"/>
              </w:rPr>
            </w:pPr>
            <w:r>
              <w:rPr>
                <w:rFonts w:hint="eastAsia" w:ascii="宋体" w:hAnsi="宋体"/>
              </w:rPr>
              <w:t>……</w:t>
            </w:r>
          </w:p>
        </w:tc>
        <w:tc>
          <w:tcPr>
            <w:tcW w:w="723"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rPr>
              <w:t>...</w:t>
            </w:r>
          </w:p>
        </w:tc>
        <w:tc>
          <w:tcPr>
            <w:tcW w:w="1500"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c>
          <w:tcPr>
            <w:tcW w:w="1184"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c>
          <w:tcPr>
            <w:tcW w:w="1557"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c>
          <w:tcPr>
            <w:tcW w:w="1497"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c>
          <w:tcPr>
            <w:tcW w:w="1296"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c>
          <w:tcPr>
            <w:tcW w:w="1186"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c>
          <w:tcPr>
            <w:tcW w:w="723" w:type="dxa"/>
            <w:tcBorders>
              <w:top w:val="single" w:color="auto" w:sz="4" w:space="0"/>
              <w:left w:val="nil"/>
              <w:bottom w:val="single" w:color="auto" w:sz="4" w:space="0"/>
              <w:right w:val="single" w:color="auto" w:sz="4" w:space="0"/>
            </w:tcBorders>
            <w:noWrap w:val="0"/>
            <w:vAlign w:val="center"/>
          </w:tcPr>
          <w:p>
            <w:pPr>
              <w:rPr>
                <w:rFonts w:ascii="宋体" w:hAnsi="宋体"/>
                <w:szCs w:val="21"/>
              </w:rPr>
            </w:pPr>
          </w:p>
        </w:tc>
      </w:tr>
    </w:tbl>
    <w:p>
      <w:pPr>
        <w:pStyle w:val="18"/>
        <w:spacing w:after="0" w:line="360" w:lineRule="auto"/>
        <w:contextualSpacing/>
        <w:rPr>
          <w:rFonts w:hint="eastAsia" w:ascii="宋体" w:hAnsi="宋体"/>
          <w:kern w:val="0"/>
          <w:sz w:val="21"/>
          <w:szCs w:val="21"/>
        </w:rPr>
      </w:pPr>
      <w:r>
        <w:rPr>
          <w:rFonts w:hint="eastAsia" w:ascii="宋体" w:hAnsi="宋体"/>
          <w:kern w:val="0"/>
          <w:sz w:val="21"/>
          <w:szCs w:val="21"/>
        </w:rPr>
        <w:t>注：</w:t>
      </w:r>
    </w:p>
    <w:p>
      <w:pPr>
        <w:pStyle w:val="18"/>
        <w:spacing w:after="0" w:line="360" w:lineRule="auto"/>
        <w:contextualSpacing/>
        <w:rPr>
          <w:rFonts w:hint="eastAsia" w:ascii="宋体" w:hAnsi="宋体" w:cs="仿宋_GB2312"/>
          <w:kern w:val="0"/>
          <w:sz w:val="21"/>
          <w:szCs w:val="21"/>
        </w:rPr>
      </w:pPr>
      <w:r>
        <w:rPr>
          <w:rFonts w:hint="eastAsia" w:ascii="宋体" w:hAnsi="宋体" w:cs="仿宋_GB2312"/>
          <w:kern w:val="0"/>
          <w:sz w:val="21"/>
          <w:szCs w:val="21"/>
        </w:rPr>
        <w:t>1.说明：应对照磋商文件“第二章  采购需求”的采购内容条款逐条作出明确响应，并作出偏离说明。</w:t>
      </w:r>
    </w:p>
    <w:p>
      <w:pPr>
        <w:pStyle w:val="20"/>
        <w:spacing w:line="400" w:lineRule="exact"/>
        <w:ind w:firstLine="0" w:firstLineChars="0"/>
        <w:contextualSpacing/>
        <w:rPr>
          <w:rFonts w:hint="eastAsia" w:ascii="宋体" w:hAnsi="宋体" w:eastAsia="宋体" w:cs="仿宋_GB2312"/>
          <w:sz w:val="21"/>
          <w:szCs w:val="21"/>
        </w:rPr>
      </w:pPr>
      <w:r>
        <w:rPr>
          <w:rFonts w:hint="eastAsia" w:ascii="宋体" w:eastAsia="宋体" w:cs="仿宋_GB2312"/>
          <w:sz w:val="21"/>
          <w:szCs w:val="21"/>
        </w:rPr>
        <w:t>2.供应商应根据自身的承诺，对照磋商文件要求，在“偏离说明”中注明“正偏离”、“负偏离”或者“无偏离”。既不属于“正偏离”也不属于“负偏离”即为“无偏离”。当响应文件的商务内容低于竞争性磋商采购文件要求时，竞标人应当如实写明“负偏离”，否则视为虚假应标</w:t>
      </w:r>
    </w:p>
    <w:p>
      <w:pPr>
        <w:spacing w:line="400" w:lineRule="exact"/>
        <w:rPr>
          <w:rFonts w:hint="eastAsia" w:ascii="宋体" w:hAnsi="宋体" w:cs="仿宋_GB2312"/>
          <w:kern w:val="0"/>
          <w:szCs w:val="21"/>
        </w:rPr>
      </w:pPr>
      <w:r>
        <w:rPr>
          <w:rFonts w:hint="eastAsia" w:ascii="宋体" w:hAnsi="宋体" w:cs="仿宋_GB2312"/>
          <w:kern w:val="0"/>
        </w:rPr>
        <w:t>3.表格内容均需按要求填写并盖章，不得留空，否则按竞标无效处理。</w:t>
      </w:r>
    </w:p>
    <w:p>
      <w:pPr>
        <w:pStyle w:val="25"/>
        <w:spacing w:line="400" w:lineRule="exact"/>
        <w:contextualSpacing/>
        <w:rPr>
          <w:rFonts w:hint="eastAsia" w:hAnsi="宋体" w:cs="仿宋_GB2312"/>
          <w:sz w:val="21"/>
        </w:rPr>
      </w:pPr>
      <w:r>
        <w:rPr>
          <w:rFonts w:hint="eastAsia" w:hAnsi="宋体" w:cs="仿宋_GB2312"/>
          <w:sz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pPr>
        <w:pStyle w:val="20"/>
        <w:spacing w:line="360" w:lineRule="auto"/>
        <w:ind w:firstLine="0" w:firstLineChars="0"/>
        <w:contextualSpacing/>
        <w:rPr>
          <w:rFonts w:hint="eastAsia" w:ascii="宋体" w:eastAsia="宋体" w:cs="仿宋_GB2312"/>
          <w:sz w:val="21"/>
          <w:szCs w:val="21"/>
        </w:rPr>
      </w:pPr>
      <w:r>
        <w:rPr>
          <w:rFonts w:hint="eastAsia" w:ascii="宋体" w:eastAsia="宋体" w:cs="仿宋_GB2312"/>
          <w:sz w:val="21"/>
          <w:szCs w:val="21"/>
        </w:rPr>
        <w:t>5. 如技术偏离表中的竞标响应与佐证材料不一致的，以佐证材料为准。</w:t>
      </w:r>
    </w:p>
    <w:p>
      <w:pPr>
        <w:pStyle w:val="20"/>
        <w:spacing w:line="360" w:lineRule="auto"/>
        <w:ind w:firstLine="0" w:firstLineChars="0"/>
        <w:contextualSpacing/>
        <w:rPr>
          <w:rFonts w:hint="eastAsia" w:ascii="仿宋" w:hAnsi="仿宋" w:eastAsia="仿宋" w:cs="仿宋_GB2312"/>
          <w:b/>
          <w:sz w:val="30"/>
          <w:szCs w:val="30"/>
        </w:rPr>
      </w:pPr>
    </w:p>
    <w:p>
      <w:pPr>
        <w:autoSpaceDE w:val="0"/>
        <w:autoSpaceDN w:val="0"/>
        <w:spacing w:line="360" w:lineRule="auto"/>
        <w:ind w:left="4305" w:leftChars="1950" w:hanging="210" w:hangingChars="100"/>
        <w:rPr>
          <w:rFonts w:hint="eastAsia" w:ascii="宋体" w:hAnsi="宋体"/>
          <w:kern w:val="0"/>
          <w:szCs w:val="21"/>
        </w:rPr>
      </w:pPr>
      <w:r>
        <w:rPr>
          <w:rFonts w:hint="eastAsia" w:ascii="宋体" w:hAnsi="宋体"/>
          <w:kern w:val="0"/>
          <w:szCs w:val="21"/>
        </w:rPr>
        <w:t>供应商名称（电子签章）：</w:t>
      </w:r>
    </w:p>
    <w:p>
      <w:pPr>
        <w:autoSpaceDE w:val="0"/>
        <w:autoSpaceDN w:val="0"/>
        <w:spacing w:line="360" w:lineRule="auto"/>
        <w:ind w:firstLine="5670" w:firstLineChars="2700"/>
        <w:rPr>
          <w:rFonts w:hint="eastAsia" w:ascii="宋体" w:hAnsi="宋体"/>
          <w:szCs w:val="21"/>
        </w:rPr>
        <w:sectPr>
          <w:pgSz w:w="11905" w:h="16838"/>
          <w:pgMar w:top="1134" w:right="1134" w:bottom="1134" w:left="1134" w:header="510" w:footer="510" w:gutter="0"/>
          <w:pgNumType w:fmt="decimal"/>
          <w:cols w:space="720" w:num="1"/>
          <w:docGrid w:type="lines" w:linePitch="331" w:charSpace="0"/>
        </w:sectPr>
      </w:pPr>
      <w:r>
        <w:rPr>
          <w:rFonts w:hint="eastAsia" w:ascii="宋体" w:hAnsi="宋体"/>
          <w:kern w:val="0"/>
          <w:szCs w:val="21"/>
        </w:rPr>
        <w:t>日期：  年  月   日</w:t>
      </w:r>
    </w:p>
    <w:p>
      <w:pPr>
        <w:adjustRightInd w:val="0"/>
        <w:snapToGrid w:val="0"/>
        <w:spacing w:line="520" w:lineRule="exact"/>
        <w:jc w:val="center"/>
        <w:rPr>
          <w:rFonts w:ascii="宋体" w:hAnsi="宋体" w:cs="方正小标宋简体"/>
          <w:bCs/>
          <w:sz w:val="44"/>
          <w:szCs w:val="44"/>
        </w:rPr>
      </w:pPr>
    </w:p>
    <w:p>
      <w:pPr>
        <w:snapToGrid w:val="0"/>
        <w:spacing w:line="360" w:lineRule="auto"/>
        <w:ind w:firstLine="602" w:firstLineChars="200"/>
        <w:rPr>
          <w:rFonts w:ascii="宋体" w:hAnsi="宋体" w:cs="仿宋_GB2312"/>
          <w:b/>
          <w:sz w:val="30"/>
          <w:szCs w:val="30"/>
        </w:rPr>
      </w:pPr>
      <w:r>
        <w:rPr>
          <w:rFonts w:hint="eastAsia" w:ascii="宋体" w:hAnsi="宋体" w:cs="仿宋_GB2312"/>
          <w:b/>
          <w:sz w:val="30"/>
          <w:szCs w:val="30"/>
        </w:rPr>
        <w:t>八、施工组织设计</w:t>
      </w:r>
    </w:p>
    <w:p>
      <w:pPr>
        <w:autoSpaceDE w:val="0"/>
        <w:autoSpaceDN w:val="0"/>
        <w:spacing w:line="360" w:lineRule="auto"/>
        <w:jc w:val="center"/>
        <w:rPr>
          <w:rFonts w:ascii="宋体" w:hAnsi="宋体" w:cs="仿宋_GB2312"/>
          <w:sz w:val="24"/>
        </w:rPr>
      </w:pPr>
      <w:r>
        <w:rPr>
          <w:rFonts w:hint="eastAsia" w:ascii="宋体" w:hAnsi="宋体" w:cs="仿宋_GB2312"/>
          <w:sz w:val="24"/>
        </w:rPr>
        <w:t>（由供应商根据采购需求及采购文件要求编制）</w:t>
      </w:r>
    </w:p>
    <w:p>
      <w:pPr>
        <w:snapToGrid w:val="0"/>
        <w:spacing w:before="120" w:beforeLines="50" w:after="50"/>
        <w:ind w:left="143" w:leftChars="68" w:firstLine="420" w:firstLineChars="200"/>
        <w:rPr>
          <w:rFonts w:ascii="宋体" w:hAnsi="宋体"/>
          <w:color w:val="FF0000"/>
        </w:rPr>
      </w:pPr>
      <w:r>
        <w:rPr>
          <w:rFonts w:hint="eastAsia" w:ascii="宋体" w:hAnsi="宋体"/>
          <w:color w:val="FF0000"/>
        </w:rPr>
        <w:t>（格式自拟）</w:t>
      </w:r>
    </w:p>
    <w:p>
      <w:pPr>
        <w:spacing w:line="500" w:lineRule="exact"/>
        <w:rPr>
          <w:rFonts w:ascii="宋体" w:hAnsi="宋体" w:cs="仿宋_GB2312"/>
          <w:sz w:val="32"/>
          <w:szCs w:val="32"/>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firstLine="6480" w:firstLineChars="2700"/>
        <w:rPr>
          <w:rFonts w:ascii="宋体" w:hAnsi="宋体" w:cs="仿宋_GB2312"/>
          <w:b/>
          <w:bCs/>
          <w:sz w:val="24"/>
        </w:rPr>
      </w:pPr>
      <w:r>
        <w:rPr>
          <w:rFonts w:hint="eastAsia" w:ascii="宋体" w:hAnsi="宋体" w:cs="仿宋_GB2312"/>
          <w:kern w:val="0"/>
          <w:sz w:val="24"/>
          <w:lang w:val="zh-CN"/>
        </w:rPr>
        <w:t>日期：  年  月   日</w:t>
      </w:r>
    </w:p>
    <w:p>
      <w:pPr>
        <w:pStyle w:val="43"/>
        <w:ind w:left="63" w:right="63" w:firstLine="210"/>
        <w:rPr>
          <w:rFonts w:hint="eastAsia" w:ascii="宋体" w:hAnsi="宋体" w:cs="仿宋_GB2312"/>
          <w:b/>
          <w:sz w:val="30"/>
          <w:szCs w:val="30"/>
        </w:rPr>
      </w:pPr>
    </w:p>
    <w:p>
      <w:pPr>
        <w:pStyle w:val="43"/>
        <w:ind w:left="63" w:right="63" w:firstLine="210"/>
        <w:rPr>
          <w:rFonts w:hint="eastAsia" w:ascii="宋体" w:hAnsi="宋体"/>
          <w:b/>
          <w:sz w:val="32"/>
          <w:szCs w:val="32"/>
        </w:rPr>
      </w:pPr>
      <w:r>
        <w:rPr>
          <w:rFonts w:hint="eastAsia" w:ascii="宋体" w:hAnsi="宋体" w:cs="仿宋_GB2312"/>
          <w:b/>
          <w:sz w:val="30"/>
          <w:szCs w:val="30"/>
        </w:rPr>
        <w:br w:type="page"/>
      </w:r>
      <w:r>
        <w:rPr>
          <w:rFonts w:hint="eastAsia" w:ascii="宋体" w:hAnsi="宋体" w:cs="仿宋_GB2312"/>
          <w:b/>
          <w:sz w:val="30"/>
          <w:szCs w:val="30"/>
        </w:rPr>
        <w:t>九、</w:t>
      </w:r>
      <w:r>
        <w:rPr>
          <w:rFonts w:hint="eastAsia" w:ascii="宋体" w:hAnsi="宋体"/>
          <w:b/>
          <w:sz w:val="32"/>
          <w:szCs w:val="32"/>
        </w:rPr>
        <w:t>拟投入本工程的主要施工设备表</w:t>
      </w:r>
    </w:p>
    <w:p>
      <w:pPr>
        <w:rPr>
          <w:rFonts w:hint="eastAsia" w:ascii="宋体" w:hAnsi="宋体" w:cs="宋体"/>
          <w:sz w:val="24"/>
        </w:rPr>
      </w:pPr>
    </w:p>
    <w:p>
      <w:pPr>
        <w:numPr>
          <w:ilvl w:val="0"/>
          <w:numId w:val="4"/>
        </w:numPr>
        <w:jc w:val="center"/>
        <w:rPr>
          <w:rFonts w:hint="eastAsia" w:ascii="宋体" w:hAnsi="宋体" w:cs="宋体"/>
          <w:sz w:val="24"/>
          <w:lang w:bidi="ar"/>
        </w:rPr>
      </w:pPr>
      <w:r>
        <w:rPr>
          <w:rFonts w:hint="eastAsia" w:ascii="宋体" w:hAnsi="宋体" w:cs="宋体"/>
          <w:sz w:val="24"/>
          <w:lang w:bidi="ar"/>
        </w:rPr>
        <w:t>拟投入本工程的主要施工设备表</w:t>
      </w:r>
    </w:p>
    <w:p>
      <w:pPr>
        <w:adjustRightInd w:val="0"/>
        <w:spacing w:after="120" w:line="360" w:lineRule="atLeast"/>
        <w:ind w:left="63" w:leftChars="30" w:right="63" w:rightChars="30" w:firstLine="210" w:firstLineChars="100"/>
        <w:jc w:val="center"/>
        <w:textAlignment w:val="baseline"/>
        <w:rPr>
          <w:rFonts w:hint="eastAsia" w:ascii="Calibri" w:hAnsi="Calibri"/>
          <w:szCs w:val="22"/>
          <w:lang w:bidi="ar"/>
        </w:rPr>
      </w:pPr>
    </w:p>
    <w:tbl>
      <w:tblPr>
        <w:tblStyle w:val="46"/>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5"/>
        <w:gridCol w:w="992"/>
        <w:gridCol w:w="113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序号</w:t>
            </w:r>
          </w:p>
        </w:tc>
        <w:tc>
          <w:tcPr>
            <w:tcW w:w="12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设备名称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型号</w:t>
            </w:r>
          </w:p>
          <w:p>
            <w:pPr>
              <w:jc w:val="center"/>
              <w:rPr>
                <w:rFonts w:hint="eastAsia" w:ascii="宋体" w:hAnsi="宋体" w:cs="宋体"/>
                <w:sz w:val="24"/>
              </w:rPr>
            </w:pPr>
            <w:r>
              <w:rPr>
                <w:rFonts w:hint="eastAsia" w:ascii="宋体" w:hAnsi="宋体" w:cs="宋体"/>
                <w:sz w:val="24"/>
                <w:lang w:bidi="ar"/>
              </w:rPr>
              <w:t>规格</w:t>
            </w:r>
          </w:p>
        </w:tc>
        <w:tc>
          <w:tcPr>
            <w:tcW w:w="7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数量</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国别</w:t>
            </w:r>
          </w:p>
          <w:p>
            <w:pPr>
              <w:jc w:val="center"/>
              <w:rPr>
                <w:rFonts w:hint="eastAsia" w:ascii="宋体" w:hAnsi="宋体" w:cs="宋体"/>
                <w:sz w:val="24"/>
              </w:rPr>
            </w:pPr>
            <w:r>
              <w:rPr>
                <w:rFonts w:hint="eastAsia" w:ascii="宋体" w:hAnsi="宋体" w:cs="宋体"/>
                <w:sz w:val="24"/>
                <w:lang w:bidi="ar"/>
              </w:rPr>
              <w:t>产地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制造</w:t>
            </w:r>
          </w:p>
          <w:p>
            <w:pPr>
              <w:jc w:val="center"/>
              <w:rPr>
                <w:rFonts w:hint="eastAsia" w:ascii="宋体" w:hAnsi="宋体" w:cs="宋体"/>
                <w:sz w:val="24"/>
              </w:rPr>
            </w:pPr>
            <w:r>
              <w:rPr>
                <w:rFonts w:hint="eastAsia" w:ascii="宋体" w:hAnsi="宋体" w:cs="宋体"/>
                <w:sz w:val="24"/>
                <w:lang w:bidi="ar"/>
              </w:rPr>
              <w:t>年份</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额定功率</w:t>
            </w:r>
          </w:p>
          <w:p>
            <w:pPr>
              <w:pStyle w:val="17"/>
              <w:rPr>
                <w:rFonts w:hint="eastAsia" w:ascii="宋体" w:hAnsi="宋体" w:cs="宋体"/>
                <w:sz w:val="24"/>
                <w:lang w:val="en-US" w:eastAsia="zh-CN"/>
              </w:rPr>
            </w:pPr>
            <w:r>
              <w:rPr>
                <w:rFonts w:hint="eastAsia" w:ascii="宋体" w:hAnsi="宋体" w:cs="宋体"/>
                <w:sz w:val="24"/>
                <w:lang w:val="en-US" w:eastAsia="zh-CN" w:bidi="ar"/>
              </w:rPr>
              <w:t>（</w:t>
            </w:r>
            <w:r>
              <w:rPr>
                <w:rFonts w:hint="eastAsia"/>
                <w:lang w:val="en-US" w:eastAsia="zh-CN"/>
              </w:rPr>
              <w:t>kW</w:t>
            </w:r>
            <w:r>
              <w:rPr>
                <w:rFonts w:hint="eastAsia" w:ascii="宋体" w:hAnsi="宋体" w:cs="宋体"/>
                <w:sz w:val="24"/>
                <w:lang w:val="en-US" w:eastAsia="zh-CN" w:bidi="ar"/>
              </w:rPr>
              <w:t>）</w:t>
            </w: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生产</w:t>
            </w:r>
          </w:p>
          <w:p>
            <w:pPr>
              <w:jc w:val="center"/>
              <w:rPr>
                <w:rFonts w:hint="eastAsia" w:ascii="宋体" w:hAnsi="宋体" w:cs="宋体"/>
                <w:sz w:val="24"/>
              </w:rPr>
            </w:pPr>
            <w:r>
              <w:rPr>
                <w:rFonts w:hint="eastAsia" w:ascii="宋体" w:hAnsi="宋体" w:cs="宋体"/>
                <w:sz w:val="24"/>
                <w:lang w:bidi="ar"/>
              </w:rPr>
              <w:t>能力</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用于施</w:t>
            </w:r>
          </w:p>
          <w:p>
            <w:pPr>
              <w:jc w:val="center"/>
              <w:rPr>
                <w:rFonts w:hint="eastAsia" w:ascii="宋体" w:hAnsi="宋体" w:cs="宋体"/>
                <w:sz w:val="24"/>
              </w:rPr>
            </w:pPr>
            <w:r>
              <w:rPr>
                <w:rFonts w:hint="eastAsia" w:ascii="宋体" w:hAnsi="宋体" w:cs="宋体"/>
                <w:sz w:val="24"/>
                <w:lang w:bidi="ar"/>
              </w:rPr>
              <w:t>工部位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cs="宋体"/>
                <w:color w:val="000000"/>
                <w:szCs w:val="21"/>
              </w:rPr>
              <w:t>进场、退场时间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226"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firstLine="480" w:firstLineChars="200"/>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2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2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cs="宋体"/>
                <w:sz w:val="24"/>
              </w:rPr>
            </w:pPr>
          </w:p>
        </w:tc>
      </w:tr>
    </w:tbl>
    <w:p>
      <w:pPr>
        <w:rPr>
          <w:rFonts w:hint="eastAsia" w:ascii="宋体" w:hAnsi="宋体" w:cs="宋体"/>
          <w:sz w:val="24"/>
        </w:rPr>
      </w:pPr>
    </w:p>
    <w:p>
      <w:pPr>
        <w:rPr>
          <w:rFonts w:hint="eastAsia" w:ascii="宋体" w:hAnsi="宋体" w:cs="宋体"/>
          <w:sz w:val="24"/>
        </w:rPr>
      </w:pPr>
    </w:p>
    <w:p>
      <w:pPr>
        <w:jc w:val="center"/>
        <w:rPr>
          <w:rFonts w:hint="eastAsia" w:ascii="宋体" w:hAnsi="宋体" w:cs="宋体"/>
          <w:sz w:val="24"/>
          <w:lang w:bidi="ar"/>
        </w:rPr>
      </w:pPr>
    </w:p>
    <w:p>
      <w:pPr>
        <w:jc w:val="center"/>
        <w:rPr>
          <w:rFonts w:hint="eastAsia" w:ascii="宋体" w:hAnsi="宋体" w:cs="宋体"/>
          <w:sz w:val="24"/>
          <w:lang w:bidi="ar"/>
        </w:rPr>
      </w:pPr>
      <w:r>
        <w:rPr>
          <w:rFonts w:hint="eastAsia" w:ascii="宋体" w:hAnsi="宋体" w:cs="宋体"/>
          <w:sz w:val="24"/>
          <w:lang w:bidi="ar"/>
        </w:rPr>
        <w:t>2、拟配备本工程的试验和检测仪器设备表</w:t>
      </w:r>
    </w:p>
    <w:p>
      <w:pPr>
        <w:adjustRightInd w:val="0"/>
        <w:spacing w:after="120" w:line="360" w:lineRule="atLeast"/>
        <w:ind w:left="63" w:leftChars="30" w:right="63" w:rightChars="30" w:firstLine="210" w:firstLineChars="100"/>
        <w:jc w:val="center"/>
        <w:textAlignment w:val="baseline"/>
        <w:rPr>
          <w:rFonts w:hint="eastAsia" w:ascii="Calibri" w:hAnsi="Calibri"/>
          <w:szCs w:val="22"/>
          <w:lang w:bidi="ar"/>
        </w:rPr>
      </w:pPr>
    </w:p>
    <w:tbl>
      <w:tblPr>
        <w:tblStyle w:val="46"/>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223"/>
        <w:gridCol w:w="851"/>
        <w:gridCol w:w="708"/>
        <w:gridCol w:w="709"/>
        <w:gridCol w:w="1135"/>
        <w:gridCol w:w="1276"/>
        <w:gridCol w:w="11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序号</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仪器设备名称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型号</w:t>
            </w:r>
          </w:p>
          <w:p>
            <w:pPr>
              <w:jc w:val="center"/>
              <w:rPr>
                <w:rFonts w:hint="eastAsia" w:ascii="宋体" w:hAnsi="宋体" w:cs="宋体"/>
                <w:sz w:val="24"/>
              </w:rPr>
            </w:pPr>
            <w:r>
              <w:rPr>
                <w:rFonts w:hint="eastAsia" w:ascii="宋体" w:hAnsi="宋体" w:cs="宋体"/>
                <w:sz w:val="24"/>
                <w:lang w:bidi="ar"/>
              </w:rPr>
              <w:t>规格</w:t>
            </w:r>
          </w:p>
        </w:tc>
        <w:tc>
          <w:tcPr>
            <w:tcW w:w="7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数量</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国别</w:t>
            </w:r>
          </w:p>
          <w:p>
            <w:pPr>
              <w:jc w:val="center"/>
              <w:rPr>
                <w:rFonts w:hint="eastAsia" w:ascii="宋体" w:hAnsi="宋体" w:cs="宋体"/>
                <w:sz w:val="24"/>
              </w:rPr>
            </w:pPr>
            <w:r>
              <w:rPr>
                <w:rFonts w:hint="eastAsia" w:ascii="宋体" w:hAnsi="宋体" w:cs="宋体"/>
                <w:sz w:val="24"/>
                <w:lang w:bidi="ar"/>
              </w:rPr>
              <w:t>产地</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制造年份</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已使用</w:t>
            </w:r>
          </w:p>
          <w:p>
            <w:pPr>
              <w:jc w:val="center"/>
              <w:rPr>
                <w:rFonts w:hint="eastAsia" w:ascii="宋体" w:hAnsi="宋体" w:cs="宋体"/>
                <w:sz w:val="24"/>
              </w:rPr>
            </w:pPr>
            <w:r>
              <w:rPr>
                <w:rFonts w:hint="eastAsia" w:ascii="宋体" w:hAnsi="宋体" w:cs="宋体"/>
                <w:sz w:val="24"/>
                <w:lang w:bidi="ar"/>
              </w:rPr>
              <w:t>台时数</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用途</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hint="eastAsia" w:ascii="宋体" w:hAnsi="宋体" w:cs="宋体"/>
                <w:sz w:val="24"/>
              </w:rPr>
            </w:pPr>
          </w:p>
        </w:tc>
      </w:tr>
    </w:tbl>
    <w:p>
      <w:pPr>
        <w:rPr>
          <w:rFonts w:hint="eastAsia" w:ascii="宋体" w:hAnsi="宋体" w:cs="宋体"/>
          <w:sz w:val="24"/>
          <w:lang w:bidi="ar"/>
        </w:rPr>
      </w:pPr>
    </w:p>
    <w:p>
      <w:pPr>
        <w:adjustRightInd w:val="0"/>
        <w:spacing w:after="120" w:line="360" w:lineRule="atLeast"/>
        <w:ind w:left="63" w:leftChars="30" w:right="63" w:rightChars="30" w:firstLine="210" w:firstLineChars="100"/>
        <w:jc w:val="center"/>
        <w:textAlignment w:val="baseline"/>
        <w:rPr>
          <w:rFonts w:hint="eastAsia" w:ascii="Calibri" w:hAnsi="Calibri"/>
          <w:szCs w:val="22"/>
        </w:rPr>
      </w:pPr>
    </w:p>
    <w:p>
      <w:pPr>
        <w:snapToGrid w:val="0"/>
        <w:spacing w:line="360" w:lineRule="auto"/>
        <w:ind w:firstLine="5355" w:firstLineChars="2550"/>
        <w:rPr>
          <w:rFonts w:ascii="宋体" w:hAnsi="宋体" w:cs="仿宋_GB2312"/>
          <w:kern w:val="0"/>
          <w:sz w:val="24"/>
          <w:lang w:val="zh-CN"/>
        </w:rPr>
      </w:pPr>
      <w:r>
        <w:br w:type="page"/>
      </w:r>
    </w:p>
    <w:p>
      <w:pPr>
        <w:snapToGrid w:val="0"/>
        <w:spacing w:line="360" w:lineRule="auto"/>
        <w:ind w:firstLine="602" w:firstLineChars="200"/>
        <w:rPr>
          <w:rFonts w:ascii="宋体" w:hAnsi="宋体" w:cs="仿宋_GB2312"/>
          <w:b/>
          <w:sz w:val="30"/>
          <w:szCs w:val="30"/>
        </w:rPr>
      </w:pPr>
    </w:p>
    <w:p>
      <w:pPr>
        <w:pStyle w:val="19"/>
        <w:rPr>
          <w:rFonts w:hint="eastAsia"/>
        </w:rPr>
      </w:pPr>
      <w:r>
        <w:rPr>
          <w:rFonts w:hint="eastAsia" w:ascii="宋体" w:hAnsi="宋体" w:cs="仿宋_GB2312"/>
          <w:b/>
          <w:sz w:val="30"/>
          <w:szCs w:val="30"/>
        </w:rPr>
        <w:t>十、</w:t>
      </w:r>
      <w:r>
        <w:rPr>
          <w:rFonts w:hint="eastAsia" w:ascii="宋体" w:hAnsi="宋体"/>
          <w:b/>
          <w:sz w:val="32"/>
          <w:szCs w:val="32"/>
        </w:rPr>
        <w:t>项目管理机构配备情况表及其他主要人员简历表</w:t>
      </w:r>
    </w:p>
    <w:p>
      <w:pPr>
        <w:autoSpaceDE w:val="0"/>
        <w:autoSpaceDN w:val="0"/>
        <w:spacing w:line="360" w:lineRule="auto"/>
        <w:jc w:val="center"/>
        <w:rPr>
          <w:rFonts w:hint="eastAsia" w:ascii="宋体" w:hAnsi="宋体"/>
          <w:b/>
          <w:sz w:val="32"/>
          <w:szCs w:val="32"/>
        </w:rPr>
      </w:pPr>
      <w:bookmarkStart w:id="67" w:name="_Toc28474"/>
      <w:bookmarkStart w:id="68" w:name="_Toc31872"/>
      <w:bookmarkStart w:id="69" w:name="_Toc28346"/>
      <w:bookmarkStart w:id="70" w:name="_Toc24575"/>
      <w:r>
        <w:rPr>
          <w:rFonts w:hint="eastAsia" w:ascii="宋体" w:hAnsi="宋体"/>
          <w:b/>
          <w:sz w:val="32"/>
          <w:szCs w:val="32"/>
        </w:rPr>
        <w:t>（一）项目管理机构配备情况表</w:t>
      </w:r>
      <w:bookmarkEnd w:id="67"/>
      <w:bookmarkEnd w:id="68"/>
      <w:bookmarkEnd w:id="69"/>
      <w:bookmarkEnd w:id="70"/>
    </w:p>
    <w:p>
      <w:pPr>
        <w:rPr>
          <w:rFonts w:hint="eastAsia"/>
        </w:r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275"/>
        <w:gridCol w:w="1169"/>
        <w:gridCol w:w="1488"/>
        <w:gridCol w:w="1488"/>
        <w:gridCol w:w="1488"/>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960" w:type="dxa"/>
            <w:vMerge w:val="restart"/>
            <w:noWrap w:val="0"/>
            <w:vAlign w:val="center"/>
          </w:tcPr>
          <w:p>
            <w:pPr>
              <w:spacing w:after="50" w:line="400" w:lineRule="exact"/>
              <w:jc w:val="center"/>
              <w:rPr>
                <w:rFonts w:hint="eastAsia" w:ascii="宋体" w:hAnsi="宋体" w:cs="宋体"/>
              </w:rPr>
            </w:pPr>
            <w:r>
              <w:rPr>
                <w:rFonts w:hint="eastAsia" w:ascii="宋体" w:hAnsi="宋体" w:cs="宋体"/>
              </w:rPr>
              <w:t>岗位</w:t>
            </w:r>
          </w:p>
        </w:tc>
        <w:tc>
          <w:tcPr>
            <w:tcW w:w="1275" w:type="dxa"/>
            <w:vMerge w:val="restart"/>
            <w:noWrap w:val="0"/>
            <w:vAlign w:val="center"/>
          </w:tcPr>
          <w:p>
            <w:pPr>
              <w:spacing w:after="50" w:line="400" w:lineRule="exact"/>
              <w:jc w:val="center"/>
              <w:rPr>
                <w:rFonts w:hint="eastAsia" w:ascii="宋体" w:hAnsi="宋体" w:cs="宋体"/>
              </w:rPr>
            </w:pPr>
            <w:r>
              <w:rPr>
                <w:rFonts w:hint="eastAsia" w:ascii="宋体" w:hAnsi="宋体" w:cs="宋体"/>
              </w:rPr>
              <w:t>姓名</w:t>
            </w:r>
          </w:p>
        </w:tc>
        <w:tc>
          <w:tcPr>
            <w:tcW w:w="1169" w:type="dxa"/>
            <w:vMerge w:val="restart"/>
            <w:noWrap w:val="0"/>
            <w:vAlign w:val="center"/>
          </w:tcPr>
          <w:p>
            <w:pPr>
              <w:spacing w:after="50" w:line="400" w:lineRule="exact"/>
              <w:jc w:val="center"/>
              <w:rPr>
                <w:rFonts w:hint="eastAsia" w:ascii="宋体" w:hAnsi="宋体" w:cs="宋体"/>
              </w:rPr>
            </w:pPr>
            <w:r>
              <w:rPr>
                <w:rFonts w:hint="eastAsia" w:ascii="宋体" w:hAnsi="宋体" w:cs="宋体"/>
              </w:rPr>
              <w:t>职称</w:t>
            </w:r>
          </w:p>
        </w:tc>
        <w:tc>
          <w:tcPr>
            <w:tcW w:w="5996" w:type="dxa"/>
            <w:gridSpan w:val="4"/>
            <w:noWrap w:val="0"/>
            <w:vAlign w:val="center"/>
          </w:tcPr>
          <w:p>
            <w:pPr>
              <w:spacing w:after="50" w:line="400" w:lineRule="exact"/>
              <w:jc w:val="center"/>
              <w:rPr>
                <w:rFonts w:hint="eastAsia" w:ascii="宋体" w:hAnsi="宋体" w:cs="宋体"/>
              </w:rPr>
            </w:pPr>
            <w:r>
              <w:rPr>
                <w:rFonts w:hint="eastAsia" w:ascii="宋体" w:hAnsi="宋体" w:cs="宋体"/>
              </w:rPr>
              <w:t>执业或职业资格证明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trPr>
        <w:tc>
          <w:tcPr>
            <w:tcW w:w="960" w:type="dxa"/>
            <w:vMerge w:val="continue"/>
            <w:noWrap w:val="0"/>
            <w:vAlign w:val="center"/>
          </w:tcPr>
          <w:p>
            <w:pPr>
              <w:spacing w:after="50" w:line="400" w:lineRule="exact"/>
              <w:jc w:val="center"/>
              <w:rPr>
                <w:rFonts w:hint="eastAsia" w:ascii="宋体" w:hAnsi="宋体" w:cs="宋体"/>
              </w:rPr>
            </w:pPr>
          </w:p>
        </w:tc>
        <w:tc>
          <w:tcPr>
            <w:tcW w:w="1275" w:type="dxa"/>
            <w:vMerge w:val="continue"/>
            <w:noWrap w:val="0"/>
            <w:vAlign w:val="center"/>
          </w:tcPr>
          <w:p>
            <w:pPr>
              <w:spacing w:after="50" w:line="400" w:lineRule="exact"/>
              <w:jc w:val="center"/>
              <w:rPr>
                <w:rFonts w:hint="eastAsia" w:ascii="宋体" w:hAnsi="宋体" w:cs="宋体"/>
              </w:rPr>
            </w:pPr>
          </w:p>
        </w:tc>
        <w:tc>
          <w:tcPr>
            <w:tcW w:w="1169" w:type="dxa"/>
            <w:vMerge w:val="continue"/>
            <w:noWrap w:val="0"/>
            <w:vAlign w:val="center"/>
          </w:tcPr>
          <w:p>
            <w:pPr>
              <w:spacing w:after="50" w:line="400" w:lineRule="exact"/>
              <w:jc w:val="center"/>
              <w:rPr>
                <w:rFonts w:hint="eastAsia" w:ascii="宋体" w:hAnsi="宋体" w:cs="宋体"/>
              </w:rPr>
            </w:pPr>
          </w:p>
        </w:tc>
        <w:tc>
          <w:tcPr>
            <w:tcW w:w="1488" w:type="dxa"/>
            <w:noWrap w:val="0"/>
            <w:vAlign w:val="center"/>
          </w:tcPr>
          <w:p>
            <w:pPr>
              <w:spacing w:after="50" w:line="400" w:lineRule="exact"/>
              <w:jc w:val="center"/>
              <w:rPr>
                <w:rFonts w:hint="eastAsia" w:ascii="宋体" w:hAnsi="宋体" w:cs="宋体"/>
              </w:rPr>
            </w:pPr>
            <w:r>
              <w:rPr>
                <w:rFonts w:hint="eastAsia" w:ascii="宋体" w:hAnsi="宋体" w:cs="宋体"/>
              </w:rPr>
              <w:t>证书名称</w:t>
            </w:r>
          </w:p>
        </w:tc>
        <w:tc>
          <w:tcPr>
            <w:tcW w:w="1488" w:type="dxa"/>
            <w:noWrap w:val="0"/>
            <w:vAlign w:val="center"/>
          </w:tcPr>
          <w:p>
            <w:pPr>
              <w:spacing w:after="50" w:line="400" w:lineRule="exact"/>
              <w:jc w:val="center"/>
              <w:rPr>
                <w:rFonts w:hint="eastAsia" w:ascii="宋体" w:hAnsi="宋体" w:cs="宋体"/>
              </w:rPr>
            </w:pPr>
            <w:r>
              <w:rPr>
                <w:rFonts w:hint="eastAsia" w:ascii="宋体" w:hAnsi="宋体" w:cs="宋体"/>
              </w:rPr>
              <w:t>级别</w:t>
            </w:r>
          </w:p>
        </w:tc>
        <w:tc>
          <w:tcPr>
            <w:tcW w:w="1488" w:type="dxa"/>
            <w:noWrap w:val="0"/>
            <w:vAlign w:val="center"/>
          </w:tcPr>
          <w:p>
            <w:pPr>
              <w:spacing w:after="50" w:line="400" w:lineRule="exact"/>
              <w:jc w:val="center"/>
              <w:rPr>
                <w:rFonts w:hint="eastAsia" w:ascii="宋体" w:hAnsi="宋体" w:cs="宋体"/>
              </w:rPr>
            </w:pPr>
            <w:r>
              <w:rPr>
                <w:rFonts w:hint="eastAsia" w:ascii="宋体" w:hAnsi="宋体" w:cs="宋体"/>
              </w:rPr>
              <w:t>证号</w:t>
            </w:r>
          </w:p>
        </w:tc>
        <w:tc>
          <w:tcPr>
            <w:tcW w:w="1532" w:type="dxa"/>
            <w:noWrap w:val="0"/>
            <w:vAlign w:val="center"/>
          </w:tcPr>
          <w:p>
            <w:pPr>
              <w:spacing w:after="50" w:line="400" w:lineRule="exact"/>
              <w:jc w:val="center"/>
              <w:rPr>
                <w:rFonts w:hint="eastAsia" w:ascii="宋体" w:hAnsi="宋体" w:cs="宋体"/>
              </w:rPr>
            </w:pPr>
            <w:r>
              <w:rPr>
                <w:rFonts w:hint="eastAsia" w:ascii="宋体" w:hAnsi="宋体" w:cs="宋体"/>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trPr>
        <w:tc>
          <w:tcPr>
            <w:tcW w:w="960" w:type="dxa"/>
            <w:noWrap w:val="0"/>
            <w:vAlign w:val="top"/>
          </w:tcPr>
          <w:p>
            <w:pPr>
              <w:spacing w:after="50" w:line="400" w:lineRule="exact"/>
              <w:rPr>
                <w:rFonts w:hint="eastAsia" w:ascii="宋体" w:hAnsi="宋体" w:cs="宋体"/>
                <w:sz w:val="24"/>
              </w:rPr>
            </w:pPr>
            <w:r>
              <w:rPr>
                <w:rFonts w:hint="eastAsia" w:ascii="宋体" w:hAnsi="宋体" w:cs="宋体"/>
                <w:sz w:val="24"/>
              </w:rPr>
              <w:t>1、项目经理</w:t>
            </w:r>
          </w:p>
        </w:tc>
        <w:tc>
          <w:tcPr>
            <w:tcW w:w="1275" w:type="dxa"/>
            <w:noWrap w:val="0"/>
            <w:vAlign w:val="top"/>
          </w:tcPr>
          <w:p>
            <w:pPr>
              <w:spacing w:after="50" w:line="400" w:lineRule="exact"/>
              <w:rPr>
                <w:rFonts w:hint="eastAsia" w:ascii="宋体" w:hAnsi="宋体" w:cs="宋体"/>
              </w:rPr>
            </w:pPr>
          </w:p>
        </w:tc>
        <w:tc>
          <w:tcPr>
            <w:tcW w:w="1169"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532" w:type="dxa"/>
            <w:noWrap w:val="0"/>
            <w:vAlign w:val="top"/>
          </w:tcPr>
          <w:p>
            <w:pPr>
              <w:spacing w:after="50" w:line="400" w:lineRule="exact"/>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960" w:type="dxa"/>
            <w:noWrap w:val="0"/>
            <w:vAlign w:val="top"/>
          </w:tcPr>
          <w:p>
            <w:pPr>
              <w:spacing w:after="50" w:line="400" w:lineRule="exact"/>
              <w:rPr>
                <w:rFonts w:hint="eastAsia" w:ascii="宋体" w:hAnsi="宋体" w:cs="宋体"/>
                <w:sz w:val="24"/>
              </w:rPr>
            </w:pPr>
            <w:r>
              <w:rPr>
                <w:rFonts w:hint="eastAsia" w:ascii="宋体" w:hAnsi="宋体" w:cs="宋体"/>
                <w:sz w:val="24"/>
              </w:rPr>
              <w:t>2、技术负责人</w:t>
            </w:r>
          </w:p>
        </w:tc>
        <w:tc>
          <w:tcPr>
            <w:tcW w:w="1275" w:type="dxa"/>
            <w:noWrap w:val="0"/>
            <w:vAlign w:val="top"/>
          </w:tcPr>
          <w:p>
            <w:pPr>
              <w:spacing w:after="50" w:line="400" w:lineRule="exact"/>
              <w:rPr>
                <w:rFonts w:hint="eastAsia" w:ascii="宋体" w:hAnsi="宋体" w:cs="宋体"/>
              </w:rPr>
            </w:pPr>
          </w:p>
        </w:tc>
        <w:tc>
          <w:tcPr>
            <w:tcW w:w="1169"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532" w:type="dxa"/>
            <w:noWrap w:val="0"/>
            <w:vAlign w:val="top"/>
          </w:tcPr>
          <w:p>
            <w:pPr>
              <w:spacing w:after="50" w:line="400" w:lineRule="exact"/>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960" w:type="dxa"/>
            <w:noWrap w:val="0"/>
            <w:vAlign w:val="top"/>
          </w:tcPr>
          <w:p>
            <w:pPr>
              <w:spacing w:after="50" w:line="400" w:lineRule="exact"/>
              <w:rPr>
                <w:rFonts w:hint="eastAsia" w:ascii="宋体" w:hAnsi="宋体" w:cs="宋体"/>
                <w:sz w:val="24"/>
              </w:rPr>
            </w:pPr>
            <w:r>
              <w:rPr>
                <w:rFonts w:hint="eastAsia" w:ascii="宋体" w:hAnsi="宋体" w:cs="宋体"/>
                <w:sz w:val="24"/>
              </w:rPr>
              <w:t>3、安全员</w:t>
            </w:r>
          </w:p>
        </w:tc>
        <w:tc>
          <w:tcPr>
            <w:tcW w:w="1275" w:type="dxa"/>
            <w:noWrap w:val="0"/>
            <w:vAlign w:val="top"/>
          </w:tcPr>
          <w:p>
            <w:pPr>
              <w:spacing w:after="50" w:line="400" w:lineRule="exact"/>
              <w:rPr>
                <w:rFonts w:hint="eastAsia" w:ascii="宋体" w:hAnsi="宋体" w:cs="宋体"/>
              </w:rPr>
            </w:pPr>
          </w:p>
        </w:tc>
        <w:tc>
          <w:tcPr>
            <w:tcW w:w="1169"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532" w:type="dxa"/>
            <w:noWrap w:val="0"/>
            <w:vAlign w:val="top"/>
          </w:tcPr>
          <w:p>
            <w:pPr>
              <w:spacing w:after="50" w:line="400" w:lineRule="exact"/>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960" w:type="dxa"/>
            <w:noWrap w:val="0"/>
            <w:vAlign w:val="top"/>
          </w:tcPr>
          <w:p>
            <w:pPr>
              <w:spacing w:after="50" w:line="400" w:lineRule="exact"/>
              <w:rPr>
                <w:rFonts w:hint="eastAsia" w:ascii="宋体" w:hAnsi="宋体" w:cs="宋体"/>
                <w:sz w:val="24"/>
              </w:rPr>
            </w:pPr>
            <w:r>
              <w:rPr>
                <w:rFonts w:hint="eastAsia" w:ascii="宋体" w:hAnsi="宋体" w:cs="宋体"/>
                <w:sz w:val="24"/>
              </w:rPr>
              <w:t>4、质量员</w:t>
            </w:r>
          </w:p>
        </w:tc>
        <w:tc>
          <w:tcPr>
            <w:tcW w:w="1275" w:type="dxa"/>
            <w:noWrap w:val="0"/>
            <w:vAlign w:val="top"/>
          </w:tcPr>
          <w:p>
            <w:pPr>
              <w:spacing w:after="50" w:line="400" w:lineRule="exact"/>
              <w:rPr>
                <w:rFonts w:hint="eastAsia" w:ascii="宋体" w:hAnsi="宋体" w:cs="宋体"/>
              </w:rPr>
            </w:pPr>
          </w:p>
        </w:tc>
        <w:tc>
          <w:tcPr>
            <w:tcW w:w="1169"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532" w:type="dxa"/>
            <w:noWrap w:val="0"/>
            <w:vAlign w:val="top"/>
          </w:tcPr>
          <w:p>
            <w:pPr>
              <w:spacing w:after="50" w:line="400" w:lineRule="exact"/>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960" w:type="dxa"/>
            <w:noWrap w:val="0"/>
            <w:vAlign w:val="top"/>
          </w:tcPr>
          <w:p>
            <w:pPr>
              <w:spacing w:after="50" w:line="400" w:lineRule="exact"/>
              <w:rPr>
                <w:rFonts w:hint="eastAsia" w:ascii="宋体" w:hAnsi="宋体" w:cs="宋体"/>
                <w:sz w:val="24"/>
              </w:rPr>
            </w:pPr>
            <w:r>
              <w:rPr>
                <w:rFonts w:hint="eastAsia" w:ascii="宋体" w:hAnsi="宋体" w:cs="宋体"/>
                <w:sz w:val="24"/>
              </w:rPr>
              <w:t>5、材料员</w:t>
            </w:r>
          </w:p>
        </w:tc>
        <w:tc>
          <w:tcPr>
            <w:tcW w:w="1275" w:type="dxa"/>
            <w:noWrap w:val="0"/>
            <w:vAlign w:val="top"/>
          </w:tcPr>
          <w:p>
            <w:pPr>
              <w:spacing w:after="50" w:line="400" w:lineRule="exact"/>
              <w:rPr>
                <w:rFonts w:hint="eastAsia" w:ascii="宋体" w:hAnsi="宋体" w:cs="宋体"/>
              </w:rPr>
            </w:pPr>
          </w:p>
        </w:tc>
        <w:tc>
          <w:tcPr>
            <w:tcW w:w="1169"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532" w:type="dxa"/>
            <w:noWrap w:val="0"/>
            <w:vAlign w:val="top"/>
          </w:tcPr>
          <w:p>
            <w:pPr>
              <w:spacing w:after="50" w:line="400" w:lineRule="exact"/>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960" w:type="dxa"/>
            <w:noWrap w:val="0"/>
            <w:vAlign w:val="top"/>
          </w:tcPr>
          <w:p>
            <w:pPr>
              <w:spacing w:after="50" w:line="400" w:lineRule="exact"/>
              <w:rPr>
                <w:rFonts w:hint="eastAsia" w:ascii="宋体" w:hAnsi="宋体" w:cs="宋体"/>
                <w:sz w:val="24"/>
              </w:rPr>
            </w:pPr>
            <w:r>
              <w:rPr>
                <w:rFonts w:hint="eastAsia" w:ascii="宋体" w:hAnsi="宋体" w:cs="宋体"/>
                <w:sz w:val="24"/>
              </w:rPr>
              <w:t>6、</w:t>
            </w:r>
            <w:r>
              <w:rPr>
                <w:rFonts w:hint="eastAsia"/>
              </w:rPr>
              <w:t>施工员</w:t>
            </w:r>
          </w:p>
        </w:tc>
        <w:tc>
          <w:tcPr>
            <w:tcW w:w="1275" w:type="dxa"/>
            <w:noWrap w:val="0"/>
            <w:vAlign w:val="top"/>
          </w:tcPr>
          <w:p>
            <w:pPr>
              <w:spacing w:after="50" w:line="400" w:lineRule="exact"/>
              <w:rPr>
                <w:rFonts w:hint="eastAsia" w:ascii="宋体" w:hAnsi="宋体" w:cs="宋体"/>
              </w:rPr>
            </w:pPr>
          </w:p>
        </w:tc>
        <w:tc>
          <w:tcPr>
            <w:tcW w:w="1169"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532" w:type="dxa"/>
            <w:noWrap w:val="0"/>
            <w:vAlign w:val="top"/>
          </w:tcPr>
          <w:p>
            <w:pPr>
              <w:spacing w:after="50" w:line="400" w:lineRule="exact"/>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960" w:type="dxa"/>
            <w:noWrap w:val="0"/>
            <w:vAlign w:val="top"/>
          </w:tcPr>
          <w:p>
            <w:pPr>
              <w:spacing w:after="50" w:line="400" w:lineRule="exact"/>
              <w:rPr>
                <w:rFonts w:hint="eastAsia" w:ascii="宋体" w:hAnsi="宋体" w:cs="宋体"/>
                <w:sz w:val="24"/>
              </w:rPr>
            </w:pPr>
            <w:r>
              <w:rPr>
                <w:rFonts w:hint="eastAsia" w:ascii="宋体" w:hAnsi="宋体" w:cs="宋体"/>
                <w:sz w:val="24"/>
              </w:rPr>
              <w:t>……</w:t>
            </w:r>
          </w:p>
        </w:tc>
        <w:tc>
          <w:tcPr>
            <w:tcW w:w="1275" w:type="dxa"/>
            <w:noWrap w:val="0"/>
            <w:vAlign w:val="top"/>
          </w:tcPr>
          <w:p>
            <w:pPr>
              <w:spacing w:after="50" w:line="400" w:lineRule="exact"/>
              <w:rPr>
                <w:rFonts w:hint="eastAsia" w:ascii="宋体" w:hAnsi="宋体" w:cs="宋体"/>
              </w:rPr>
            </w:pPr>
          </w:p>
        </w:tc>
        <w:tc>
          <w:tcPr>
            <w:tcW w:w="1169"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532" w:type="dxa"/>
            <w:noWrap w:val="0"/>
            <w:vAlign w:val="top"/>
          </w:tcPr>
          <w:p>
            <w:pPr>
              <w:spacing w:after="50" w:line="400" w:lineRule="exact"/>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960" w:type="dxa"/>
            <w:noWrap w:val="0"/>
            <w:vAlign w:val="top"/>
          </w:tcPr>
          <w:p>
            <w:pPr>
              <w:spacing w:after="50" w:line="400" w:lineRule="exact"/>
              <w:rPr>
                <w:rFonts w:hint="eastAsia" w:ascii="宋体" w:hAnsi="宋体" w:cs="宋体"/>
              </w:rPr>
            </w:pPr>
          </w:p>
        </w:tc>
        <w:tc>
          <w:tcPr>
            <w:tcW w:w="1275" w:type="dxa"/>
            <w:noWrap w:val="0"/>
            <w:vAlign w:val="top"/>
          </w:tcPr>
          <w:p>
            <w:pPr>
              <w:spacing w:after="50" w:line="400" w:lineRule="exact"/>
              <w:rPr>
                <w:rFonts w:hint="eastAsia" w:ascii="宋体" w:hAnsi="宋体" w:cs="宋体"/>
              </w:rPr>
            </w:pPr>
          </w:p>
        </w:tc>
        <w:tc>
          <w:tcPr>
            <w:tcW w:w="1169"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488" w:type="dxa"/>
            <w:noWrap w:val="0"/>
            <w:vAlign w:val="top"/>
          </w:tcPr>
          <w:p>
            <w:pPr>
              <w:spacing w:after="50" w:line="400" w:lineRule="exact"/>
              <w:rPr>
                <w:rFonts w:hint="eastAsia" w:ascii="宋体" w:hAnsi="宋体" w:cs="宋体"/>
              </w:rPr>
            </w:pPr>
          </w:p>
        </w:tc>
        <w:tc>
          <w:tcPr>
            <w:tcW w:w="1532" w:type="dxa"/>
            <w:noWrap w:val="0"/>
            <w:vAlign w:val="top"/>
          </w:tcPr>
          <w:p>
            <w:pPr>
              <w:spacing w:after="50" w:line="400" w:lineRule="exact"/>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9400" w:type="dxa"/>
            <w:gridSpan w:val="7"/>
            <w:noWrap w:val="0"/>
            <w:vAlign w:val="top"/>
          </w:tcPr>
          <w:p>
            <w:pPr>
              <w:spacing w:after="50" w:line="400" w:lineRule="exact"/>
              <w:rPr>
                <w:rFonts w:hint="eastAsia" w:ascii="宋体" w:hAnsi="宋体" w:cs="宋体"/>
              </w:rPr>
            </w:pPr>
            <w:r>
              <w:rPr>
                <w:rFonts w:hint="eastAsia" w:ascii="宋体" w:hAnsi="宋体" w:cs="宋体"/>
                <w:sz w:val="24"/>
              </w:rPr>
              <w:t>一旦我单位成交，将实行项目经理负责制，我方保证并配备上述项目管理机构。上述填报内容真实，若不真实，愿按有关规定接受处理。</w:t>
            </w:r>
          </w:p>
        </w:tc>
      </w:tr>
    </w:tbl>
    <w:p>
      <w:pPr>
        <w:spacing w:after="50" w:line="400" w:lineRule="exact"/>
        <w:rPr>
          <w:rFonts w:hint="eastAsia" w:ascii="宋体" w:hAnsi="宋体" w:cs="宋体"/>
        </w:rPr>
      </w:pPr>
    </w:p>
    <w:p>
      <w:pPr>
        <w:rPr>
          <w:rFonts w:ascii="宋体" w:hAnsi="宋体"/>
          <w:b/>
          <w:szCs w:val="21"/>
        </w:rPr>
      </w:pPr>
      <w:r>
        <w:rPr>
          <w:rFonts w:hint="eastAsia" w:ascii="宋体" w:hAnsi="宋体"/>
          <w:b/>
          <w:szCs w:val="21"/>
        </w:rPr>
        <w:t>注：1.</w:t>
      </w:r>
      <w:r>
        <w:rPr>
          <w:rFonts w:hint="eastAsia"/>
        </w:rPr>
        <w:t xml:space="preserve"> </w:t>
      </w:r>
      <w:r>
        <w:rPr>
          <w:rFonts w:hint="eastAsia" w:ascii="宋体" w:hAnsi="宋体"/>
          <w:b/>
          <w:szCs w:val="21"/>
        </w:rPr>
        <w:t>本表所列岗位的所有管理人员的情况均应如实填写。可按以上格式扩展为多页填写。并按采购需求及评审标准要求提供实施人员相关资格证件和其他证明文件。</w:t>
      </w:r>
    </w:p>
    <w:p>
      <w:pPr>
        <w:pStyle w:val="301"/>
        <w:ind w:firstLine="480"/>
        <w:rPr>
          <w:rFonts w:hint="eastAsia" w:hAnsi="宋体" w:cs="宋体"/>
        </w:rPr>
      </w:pPr>
    </w:p>
    <w:p>
      <w:pPr>
        <w:autoSpaceDE w:val="0"/>
        <w:autoSpaceDN w:val="0"/>
        <w:spacing w:line="360" w:lineRule="auto"/>
        <w:ind w:left="4305" w:leftChars="1950" w:hanging="210" w:hangingChars="100"/>
        <w:rPr>
          <w:rFonts w:ascii="宋体" w:hAnsi="宋体" w:cs="仿宋_GB2312"/>
          <w:kern w:val="0"/>
          <w:szCs w:val="21"/>
        </w:rPr>
      </w:pPr>
      <w:r>
        <w:rPr>
          <w:rFonts w:hint="eastAsia" w:ascii="宋体" w:hAnsi="宋体" w:cs="仿宋_GB2312"/>
          <w:kern w:val="0"/>
          <w:szCs w:val="21"/>
        </w:rPr>
        <w:t>供应商名称（电子签章）：</w:t>
      </w:r>
    </w:p>
    <w:p>
      <w:pPr>
        <w:snapToGrid w:val="0"/>
        <w:spacing w:line="360" w:lineRule="auto"/>
        <w:ind w:firstLine="420" w:firstLineChars="200"/>
        <w:jc w:val="right"/>
        <w:rPr>
          <w:rFonts w:ascii="宋体" w:hAnsi="宋体" w:cs="仿宋_GB2312"/>
          <w:kern w:val="0"/>
          <w:szCs w:val="21"/>
          <w:lang w:val="zh-CN"/>
        </w:rPr>
      </w:pPr>
      <w:r>
        <w:rPr>
          <w:rFonts w:hint="eastAsia" w:ascii="宋体" w:hAnsi="宋体" w:cs="仿宋_GB2312"/>
          <w:kern w:val="0"/>
          <w:szCs w:val="21"/>
          <w:lang w:val="zh-CN"/>
        </w:rPr>
        <w:t>日期：  年  月   日</w:t>
      </w:r>
    </w:p>
    <w:p>
      <w:pPr>
        <w:rPr>
          <w:rFonts w:hint="eastAsia" w:ascii="宋体" w:hAnsi="宋体" w:cs="宋体"/>
        </w:rPr>
      </w:pPr>
    </w:p>
    <w:p>
      <w:pPr>
        <w:pStyle w:val="301"/>
        <w:ind w:firstLine="480"/>
        <w:rPr>
          <w:rFonts w:hint="eastAsia" w:hAnsi="宋体" w:cs="宋体"/>
        </w:rPr>
      </w:pPr>
    </w:p>
    <w:p>
      <w:pPr>
        <w:rPr>
          <w:rFonts w:hint="eastAsia" w:ascii="宋体" w:hAnsi="宋体" w:cs="宋体"/>
        </w:rPr>
      </w:pPr>
      <w:r>
        <w:rPr>
          <w:rFonts w:ascii="宋体" w:hAnsi="宋体" w:cs="宋体"/>
        </w:rPr>
        <w:br w:type="page"/>
      </w:r>
    </w:p>
    <w:p>
      <w:pPr>
        <w:autoSpaceDE w:val="0"/>
        <w:autoSpaceDN w:val="0"/>
        <w:spacing w:line="360" w:lineRule="auto"/>
        <w:jc w:val="center"/>
        <w:rPr>
          <w:rFonts w:hint="eastAsia" w:ascii="宋体" w:hAnsi="宋体"/>
          <w:b/>
          <w:sz w:val="32"/>
          <w:szCs w:val="32"/>
        </w:rPr>
      </w:pPr>
      <w:bookmarkStart w:id="71" w:name="_Toc3508"/>
      <w:bookmarkStart w:id="72" w:name="_Toc31665"/>
      <w:bookmarkStart w:id="73" w:name="_Toc2688"/>
      <w:bookmarkStart w:id="74" w:name="_Toc24267"/>
      <w:r>
        <w:rPr>
          <w:rFonts w:hint="eastAsia" w:ascii="宋体" w:hAnsi="宋体"/>
          <w:b/>
          <w:sz w:val="32"/>
          <w:szCs w:val="32"/>
        </w:rPr>
        <w:t>（二）</w:t>
      </w:r>
      <w:r>
        <w:rPr>
          <w:rFonts w:hint="eastAsia" w:ascii="宋体" w:hAnsi="宋体" w:cs="宋体"/>
          <w:b/>
          <w:sz w:val="32"/>
        </w:rPr>
        <w:t>拟投入的其他主要人员简历表</w:t>
      </w:r>
    </w:p>
    <w:p>
      <w:pPr>
        <w:autoSpaceDE w:val="0"/>
        <w:autoSpaceDN w:val="0"/>
        <w:spacing w:line="360" w:lineRule="auto"/>
        <w:jc w:val="center"/>
        <w:rPr>
          <w:rFonts w:hint="eastAsia" w:ascii="宋体" w:hAnsi="宋体"/>
          <w:b/>
          <w:sz w:val="32"/>
          <w:szCs w:val="32"/>
        </w:rPr>
      </w:pPr>
      <w:r>
        <w:rPr>
          <w:rFonts w:hint="eastAsia" w:ascii="宋体" w:hAnsi="宋体"/>
          <w:b/>
          <w:sz w:val="32"/>
          <w:szCs w:val="32"/>
        </w:rPr>
        <w:t>1、项目经理简历表</w:t>
      </w:r>
      <w:bookmarkEnd w:id="71"/>
      <w:bookmarkEnd w:id="72"/>
      <w:bookmarkEnd w:id="73"/>
      <w:bookmarkEnd w:id="74"/>
    </w:p>
    <w:p>
      <w:pPr>
        <w:rPr>
          <w:szCs w:val="21"/>
        </w:rPr>
      </w:pPr>
      <w:r>
        <w:rPr>
          <w:szCs w:val="21"/>
          <w:u w:val="single"/>
        </w:rPr>
        <w:t xml:space="preserve">            </w:t>
      </w:r>
      <w:r>
        <w:rPr>
          <w:rFonts w:hint="eastAsia" w:cs="宋体"/>
          <w:szCs w:val="21"/>
          <w:u w:val="single"/>
        </w:rPr>
        <w:t>（工程项目名称）</w:t>
      </w:r>
      <w:r>
        <w:rPr>
          <w:szCs w:val="21"/>
          <w:u w:val="single"/>
        </w:rPr>
        <w:t xml:space="preserve">        </w:t>
      </w:r>
      <w:r>
        <w:rPr>
          <w:szCs w:val="21"/>
        </w:rPr>
        <w:t xml:space="preserve"> </w:t>
      </w:r>
      <w:r>
        <w:rPr>
          <w:rFonts w:hint="eastAsia" w:cs="宋体"/>
          <w:szCs w:val="21"/>
        </w:rPr>
        <w:t>工程</w:t>
      </w:r>
    </w:p>
    <w:tbl>
      <w:tblPr>
        <w:tblStyle w:val="46"/>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6"/>
        <w:gridCol w:w="77"/>
        <w:gridCol w:w="388"/>
        <w:gridCol w:w="775"/>
        <w:gridCol w:w="114"/>
        <w:gridCol w:w="661"/>
        <w:gridCol w:w="329"/>
        <w:gridCol w:w="234"/>
        <w:gridCol w:w="66"/>
        <w:gridCol w:w="1211"/>
        <w:gridCol w:w="142"/>
        <w:gridCol w:w="243"/>
        <w:gridCol w:w="1089"/>
        <w:gridCol w:w="88"/>
        <w:gridCol w:w="410"/>
        <w:gridCol w:w="1110"/>
        <w:gridCol w:w="36"/>
        <w:gridCol w:w="79"/>
        <w:gridCol w:w="419"/>
        <w:gridCol w:w="988"/>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47" w:hRule="atLeast"/>
          <w:jc w:val="center"/>
        </w:trPr>
        <w:tc>
          <w:tcPr>
            <w:tcW w:w="1156" w:type="dxa"/>
            <w:noWrap w:val="0"/>
            <w:vAlign w:val="center"/>
          </w:tcPr>
          <w:p>
            <w:pPr>
              <w:jc w:val="center"/>
              <w:rPr>
                <w:szCs w:val="21"/>
              </w:rPr>
            </w:pPr>
            <w:r>
              <w:rPr>
                <w:rFonts w:hint="eastAsia" w:cs="宋体"/>
                <w:szCs w:val="21"/>
              </w:rPr>
              <w:t>姓名</w:t>
            </w:r>
          </w:p>
        </w:tc>
        <w:tc>
          <w:tcPr>
            <w:tcW w:w="2344" w:type="dxa"/>
            <w:gridSpan w:val="6"/>
            <w:noWrap w:val="0"/>
            <w:vAlign w:val="center"/>
          </w:tcPr>
          <w:p>
            <w:pPr>
              <w:jc w:val="center"/>
              <w:rPr>
                <w:szCs w:val="21"/>
              </w:rPr>
            </w:pPr>
          </w:p>
        </w:tc>
        <w:tc>
          <w:tcPr>
            <w:tcW w:w="1896" w:type="dxa"/>
            <w:gridSpan w:val="5"/>
            <w:noWrap w:val="0"/>
            <w:vAlign w:val="center"/>
          </w:tcPr>
          <w:p>
            <w:pPr>
              <w:jc w:val="center"/>
              <w:rPr>
                <w:szCs w:val="21"/>
              </w:rPr>
            </w:pPr>
            <w:r>
              <w:rPr>
                <w:rFonts w:hint="eastAsia" w:cs="宋体"/>
                <w:szCs w:val="21"/>
              </w:rPr>
              <w:t>性别</w:t>
            </w:r>
          </w:p>
        </w:tc>
        <w:tc>
          <w:tcPr>
            <w:tcW w:w="1587" w:type="dxa"/>
            <w:gridSpan w:val="3"/>
            <w:noWrap w:val="0"/>
            <w:vAlign w:val="center"/>
          </w:tcPr>
          <w:p>
            <w:pPr>
              <w:jc w:val="center"/>
              <w:rPr>
                <w:szCs w:val="21"/>
              </w:rPr>
            </w:pPr>
          </w:p>
        </w:tc>
        <w:tc>
          <w:tcPr>
            <w:tcW w:w="1110" w:type="dxa"/>
            <w:noWrap w:val="0"/>
            <w:vAlign w:val="center"/>
          </w:tcPr>
          <w:p>
            <w:pPr>
              <w:jc w:val="center"/>
              <w:rPr>
                <w:szCs w:val="21"/>
              </w:rPr>
            </w:pPr>
            <w:r>
              <w:rPr>
                <w:rFonts w:hint="eastAsia" w:cs="宋体"/>
                <w:szCs w:val="21"/>
              </w:rPr>
              <w:t>年龄</w:t>
            </w:r>
          </w:p>
        </w:tc>
        <w:tc>
          <w:tcPr>
            <w:tcW w:w="1533"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68" w:hRule="atLeast"/>
          <w:jc w:val="center"/>
        </w:trPr>
        <w:tc>
          <w:tcPr>
            <w:tcW w:w="1156" w:type="dxa"/>
            <w:noWrap w:val="0"/>
            <w:vAlign w:val="center"/>
          </w:tcPr>
          <w:p>
            <w:pPr>
              <w:jc w:val="center"/>
              <w:rPr>
                <w:szCs w:val="21"/>
              </w:rPr>
            </w:pPr>
            <w:r>
              <w:rPr>
                <w:rFonts w:hint="eastAsia" w:cs="宋体"/>
                <w:szCs w:val="21"/>
              </w:rPr>
              <w:t>岗位</w:t>
            </w:r>
          </w:p>
        </w:tc>
        <w:tc>
          <w:tcPr>
            <w:tcW w:w="2344" w:type="dxa"/>
            <w:gridSpan w:val="6"/>
            <w:noWrap w:val="0"/>
            <w:vAlign w:val="center"/>
          </w:tcPr>
          <w:p>
            <w:pPr>
              <w:jc w:val="center"/>
              <w:rPr>
                <w:szCs w:val="21"/>
              </w:rPr>
            </w:pPr>
            <w:r>
              <w:rPr>
                <w:rFonts w:hint="eastAsia"/>
                <w:szCs w:val="21"/>
              </w:rPr>
              <w:t>项目经理</w:t>
            </w:r>
          </w:p>
        </w:tc>
        <w:tc>
          <w:tcPr>
            <w:tcW w:w="1896" w:type="dxa"/>
            <w:gridSpan w:val="5"/>
            <w:noWrap w:val="0"/>
            <w:vAlign w:val="center"/>
          </w:tcPr>
          <w:p>
            <w:pPr>
              <w:jc w:val="center"/>
              <w:rPr>
                <w:szCs w:val="21"/>
              </w:rPr>
            </w:pPr>
            <w:r>
              <w:rPr>
                <w:rFonts w:hint="eastAsia" w:cs="宋体"/>
                <w:szCs w:val="21"/>
              </w:rPr>
              <w:t>职称</w:t>
            </w:r>
          </w:p>
        </w:tc>
        <w:tc>
          <w:tcPr>
            <w:tcW w:w="1587" w:type="dxa"/>
            <w:gridSpan w:val="3"/>
            <w:noWrap w:val="0"/>
            <w:vAlign w:val="center"/>
          </w:tcPr>
          <w:p>
            <w:pPr>
              <w:jc w:val="center"/>
              <w:rPr>
                <w:szCs w:val="21"/>
              </w:rPr>
            </w:pPr>
          </w:p>
        </w:tc>
        <w:tc>
          <w:tcPr>
            <w:tcW w:w="1110" w:type="dxa"/>
            <w:noWrap w:val="0"/>
            <w:vAlign w:val="center"/>
          </w:tcPr>
          <w:p>
            <w:pPr>
              <w:jc w:val="center"/>
              <w:rPr>
                <w:szCs w:val="21"/>
              </w:rPr>
            </w:pPr>
            <w:r>
              <w:rPr>
                <w:rFonts w:hint="eastAsia" w:cs="宋体"/>
                <w:szCs w:val="21"/>
              </w:rPr>
              <w:t>学历</w:t>
            </w:r>
          </w:p>
        </w:tc>
        <w:tc>
          <w:tcPr>
            <w:tcW w:w="1533"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68" w:hRule="atLeast"/>
          <w:jc w:val="center"/>
        </w:trPr>
        <w:tc>
          <w:tcPr>
            <w:tcW w:w="1156" w:type="dxa"/>
            <w:noWrap w:val="0"/>
            <w:vAlign w:val="center"/>
          </w:tcPr>
          <w:p>
            <w:pPr>
              <w:jc w:val="center"/>
              <w:rPr>
                <w:rFonts w:cs="宋体"/>
                <w:szCs w:val="21"/>
              </w:rPr>
            </w:pPr>
            <w:r>
              <w:rPr>
                <w:rFonts w:hint="eastAsia" w:cs="宋体"/>
                <w:szCs w:val="21"/>
              </w:rPr>
              <w:t>从业开始时间</w:t>
            </w:r>
          </w:p>
        </w:tc>
        <w:tc>
          <w:tcPr>
            <w:tcW w:w="2344" w:type="dxa"/>
            <w:gridSpan w:val="6"/>
            <w:noWrap w:val="0"/>
            <w:vAlign w:val="center"/>
          </w:tcPr>
          <w:p>
            <w:pPr>
              <w:jc w:val="center"/>
              <w:rPr>
                <w:szCs w:val="21"/>
              </w:rPr>
            </w:pPr>
          </w:p>
        </w:tc>
        <w:tc>
          <w:tcPr>
            <w:tcW w:w="1896" w:type="dxa"/>
            <w:gridSpan w:val="5"/>
            <w:noWrap w:val="0"/>
            <w:vAlign w:val="center"/>
          </w:tcPr>
          <w:p>
            <w:pPr>
              <w:jc w:val="center"/>
              <w:rPr>
                <w:rFonts w:cs="宋体"/>
                <w:szCs w:val="21"/>
              </w:rPr>
            </w:pPr>
            <w:r>
              <w:rPr>
                <w:rFonts w:hint="eastAsia" w:cs="宋体"/>
                <w:szCs w:val="21"/>
              </w:rPr>
              <w:t>职称</w:t>
            </w:r>
            <w:r>
              <w:rPr>
                <w:rFonts w:cs="宋体"/>
                <w:szCs w:val="21"/>
              </w:rPr>
              <w:t>获</w:t>
            </w:r>
            <w:r>
              <w:rPr>
                <w:rFonts w:hint="eastAsia" w:cs="宋体"/>
                <w:szCs w:val="21"/>
              </w:rPr>
              <w:t>得</w:t>
            </w:r>
            <w:r>
              <w:rPr>
                <w:rFonts w:cs="宋体"/>
                <w:szCs w:val="21"/>
              </w:rPr>
              <w:t>时间</w:t>
            </w:r>
          </w:p>
        </w:tc>
        <w:tc>
          <w:tcPr>
            <w:tcW w:w="1587" w:type="dxa"/>
            <w:gridSpan w:val="3"/>
            <w:noWrap w:val="0"/>
            <w:vAlign w:val="center"/>
          </w:tcPr>
          <w:p>
            <w:pPr>
              <w:jc w:val="center"/>
              <w:rPr>
                <w:szCs w:val="21"/>
              </w:rPr>
            </w:pPr>
          </w:p>
        </w:tc>
        <w:tc>
          <w:tcPr>
            <w:tcW w:w="1110" w:type="dxa"/>
            <w:noWrap w:val="0"/>
            <w:vAlign w:val="center"/>
          </w:tcPr>
          <w:p>
            <w:pPr>
              <w:jc w:val="center"/>
              <w:rPr>
                <w:rFonts w:cs="宋体"/>
                <w:szCs w:val="21"/>
              </w:rPr>
            </w:pPr>
            <w:r>
              <w:rPr>
                <w:rFonts w:hint="eastAsia" w:cs="宋体"/>
                <w:szCs w:val="21"/>
              </w:rPr>
              <w:t>毕业时间</w:t>
            </w:r>
          </w:p>
        </w:tc>
        <w:tc>
          <w:tcPr>
            <w:tcW w:w="1533"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47" w:hRule="atLeast"/>
          <w:jc w:val="center"/>
        </w:trPr>
        <w:tc>
          <w:tcPr>
            <w:tcW w:w="1233" w:type="dxa"/>
            <w:gridSpan w:val="2"/>
            <w:noWrap w:val="0"/>
            <w:vAlign w:val="center"/>
          </w:tcPr>
          <w:p>
            <w:pPr>
              <w:jc w:val="center"/>
              <w:rPr>
                <w:szCs w:val="21"/>
              </w:rPr>
            </w:pPr>
            <w:r>
              <w:rPr>
                <w:rFonts w:hint="eastAsia" w:cs="宋体"/>
                <w:szCs w:val="21"/>
              </w:rPr>
              <w:t>担任项目经理年限</w:t>
            </w:r>
          </w:p>
        </w:tc>
        <w:tc>
          <w:tcPr>
            <w:tcW w:w="1163" w:type="dxa"/>
            <w:gridSpan w:val="2"/>
            <w:noWrap w:val="0"/>
            <w:vAlign w:val="center"/>
          </w:tcPr>
          <w:p>
            <w:pPr>
              <w:jc w:val="center"/>
              <w:rPr>
                <w:szCs w:val="21"/>
              </w:rPr>
            </w:pPr>
          </w:p>
        </w:tc>
        <w:tc>
          <w:tcPr>
            <w:tcW w:w="1404" w:type="dxa"/>
            <w:gridSpan w:val="5"/>
            <w:noWrap w:val="0"/>
            <w:vAlign w:val="center"/>
          </w:tcPr>
          <w:p>
            <w:pPr>
              <w:jc w:val="center"/>
              <w:rPr>
                <w:szCs w:val="21"/>
              </w:rPr>
            </w:pPr>
            <w:r>
              <w:rPr>
                <w:rFonts w:hint="eastAsia"/>
                <w:szCs w:val="21"/>
              </w:rPr>
              <w:t>身份</w:t>
            </w:r>
            <w:r>
              <w:rPr>
                <w:szCs w:val="21"/>
              </w:rPr>
              <w:t>证号码</w:t>
            </w:r>
          </w:p>
        </w:tc>
        <w:tc>
          <w:tcPr>
            <w:tcW w:w="1211" w:type="dxa"/>
            <w:noWrap w:val="0"/>
            <w:vAlign w:val="center"/>
          </w:tcPr>
          <w:p>
            <w:pPr>
              <w:jc w:val="center"/>
              <w:rPr>
                <w:szCs w:val="21"/>
              </w:rPr>
            </w:pPr>
          </w:p>
        </w:tc>
        <w:tc>
          <w:tcPr>
            <w:tcW w:w="3616" w:type="dxa"/>
            <w:gridSpan w:val="9"/>
            <w:noWrap w:val="0"/>
            <w:vAlign w:val="center"/>
          </w:tcPr>
          <w:p>
            <w:pPr>
              <w:jc w:val="center"/>
              <w:rPr>
                <w:szCs w:val="21"/>
              </w:rPr>
            </w:pPr>
            <w:r>
              <w:rPr>
                <w:rFonts w:hint="eastAsia"/>
                <w:szCs w:val="21"/>
              </w:rPr>
              <w:t>社保所附证明材料索引号</w:t>
            </w:r>
          </w:p>
        </w:tc>
        <w:tc>
          <w:tcPr>
            <w:tcW w:w="1000" w:type="dxa"/>
            <w:gridSpan w:val="2"/>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47" w:hRule="atLeast"/>
          <w:jc w:val="center"/>
        </w:trPr>
        <w:tc>
          <w:tcPr>
            <w:tcW w:w="1233" w:type="dxa"/>
            <w:gridSpan w:val="2"/>
            <w:noWrap w:val="0"/>
            <w:vAlign w:val="center"/>
          </w:tcPr>
          <w:p>
            <w:pPr>
              <w:jc w:val="center"/>
              <w:rPr>
                <w:szCs w:val="21"/>
              </w:rPr>
            </w:pPr>
            <w:r>
              <w:rPr>
                <w:rFonts w:hint="eastAsia"/>
                <w:szCs w:val="21"/>
              </w:rPr>
              <w:t>证书名称</w:t>
            </w:r>
          </w:p>
        </w:tc>
        <w:tc>
          <w:tcPr>
            <w:tcW w:w="1277" w:type="dxa"/>
            <w:gridSpan w:val="3"/>
            <w:noWrap w:val="0"/>
            <w:vAlign w:val="center"/>
          </w:tcPr>
          <w:p>
            <w:pPr>
              <w:jc w:val="center"/>
              <w:rPr>
                <w:szCs w:val="21"/>
              </w:rPr>
            </w:pPr>
            <w:r>
              <w:rPr>
                <w:rFonts w:hint="eastAsia"/>
                <w:szCs w:val="21"/>
              </w:rPr>
              <w:t>注册专业</w:t>
            </w:r>
          </w:p>
        </w:tc>
        <w:tc>
          <w:tcPr>
            <w:tcW w:w="1224" w:type="dxa"/>
            <w:gridSpan w:val="3"/>
            <w:noWrap w:val="0"/>
            <w:vAlign w:val="center"/>
          </w:tcPr>
          <w:p>
            <w:pPr>
              <w:jc w:val="center"/>
              <w:rPr>
                <w:szCs w:val="21"/>
              </w:rPr>
            </w:pPr>
            <w:r>
              <w:rPr>
                <w:szCs w:val="21"/>
              </w:rPr>
              <w:t>级别</w:t>
            </w:r>
          </w:p>
        </w:tc>
        <w:tc>
          <w:tcPr>
            <w:tcW w:w="1419" w:type="dxa"/>
            <w:gridSpan w:val="3"/>
            <w:noWrap w:val="0"/>
            <w:vAlign w:val="center"/>
          </w:tcPr>
          <w:p>
            <w:pPr>
              <w:jc w:val="center"/>
              <w:rPr>
                <w:szCs w:val="21"/>
              </w:rPr>
            </w:pPr>
            <w:r>
              <w:rPr>
                <w:rFonts w:hint="eastAsia" w:cs="宋体"/>
                <w:szCs w:val="21"/>
              </w:rPr>
              <w:t>证书编号</w:t>
            </w:r>
          </w:p>
        </w:tc>
        <w:tc>
          <w:tcPr>
            <w:tcW w:w="1420" w:type="dxa"/>
            <w:gridSpan w:val="3"/>
            <w:noWrap w:val="0"/>
            <w:vAlign w:val="center"/>
          </w:tcPr>
          <w:p>
            <w:pPr>
              <w:jc w:val="center"/>
              <w:rPr>
                <w:szCs w:val="21"/>
              </w:rPr>
            </w:pPr>
            <w:r>
              <w:rPr>
                <w:rFonts w:hint="eastAsia"/>
                <w:szCs w:val="21"/>
              </w:rPr>
              <w:t>注册时间</w:t>
            </w:r>
          </w:p>
        </w:tc>
        <w:tc>
          <w:tcPr>
            <w:tcW w:w="1635" w:type="dxa"/>
            <w:gridSpan w:val="4"/>
            <w:noWrap w:val="0"/>
            <w:vAlign w:val="center"/>
          </w:tcPr>
          <w:p>
            <w:pPr>
              <w:jc w:val="center"/>
              <w:rPr>
                <w:szCs w:val="21"/>
              </w:rPr>
            </w:pPr>
            <w:r>
              <w:rPr>
                <w:rFonts w:hint="eastAsia"/>
                <w:szCs w:val="21"/>
              </w:rPr>
              <w:t>注册单位</w:t>
            </w:r>
          </w:p>
        </w:tc>
        <w:tc>
          <w:tcPr>
            <w:tcW w:w="1418" w:type="dxa"/>
            <w:gridSpan w:val="3"/>
            <w:noWrap w:val="0"/>
            <w:vAlign w:val="center"/>
          </w:tcPr>
          <w:p>
            <w:pPr>
              <w:jc w:val="center"/>
              <w:rPr>
                <w:szCs w:val="21"/>
              </w:rPr>
            </w:pPr>
            <w:r>
              <w:rPr>
                <w:rFonts w:hint="eastAsia"/>
                <w:szCs w:val="21"/>
              </w:rPr>
              <w:t>注册有效期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47" w:hRule="atLeast"/>
          <w:jc w:val="center"/>
        </w:trPr>
        <w:tc>
          <w:tcPr>
            <w:tcW w:w="1233" w:type="dxa"/>
            <w:gridSpan w:val="2"/>
            <w:noWrap w:val="0"/>
            <w:vAlign w:val="center"/>
          </w:tcPr>
          <w:p>
            <w:pPr>
              <w:jc w:val="center"/>
              <w:rPr>
                <w:szCs w:val="21"/>
              </w:rPr>
            </w:pPr>
          </w:p>
        </w:tc>
        <w:tc>
          <w:tcPr>
            <w:tcW w:w="1277" w:type="dxa"/>
            <w:gridSpan w:val="3"/>
            <w:noWrap w:val="0"/>
            <w:vAlign w:val="center"/>
          </w:tcPr>
          <w:p>
            <w:pPr>
              <w:jc w:val="center"/>
              <w:rPr>
                <w:szCs w:val="21"/>
              </w:rPr>
            </w:pPr>
          </w:p>
        </w:tc>
        <w:tc>
          <w:tcPr>
            <w:tcW w:w="1224" w:type="dxa"/>
            <w:gridSpan w:val="3"/>
            <w:noWrap w:val="0"/>
            <w:vAlign w:val="center"/>
          </w:tcPr>
          <w:p>
            <w:pPr>
              <w:jc w:val="center"/>
              <w:rPr>
                <w:rFonts w:cs="宋体"/>
                <w:szCs w:val="21"/>
              </w:rPr>
            </w:pPr>
          </w:p>
        </w:tc>
        <w:tc>
          <w:tcPr>
            <w:tcW w:w="1419" w:type="dxa"/>
            <w:gridSpan w:val="3"/>
            <w:noWrap w:val="0"/>
            <w:vAlign w:val="center"/>
          </w:tcPr>
          <w:p>
            <w:pPr>
              <w:jc w:val="center"/>
              <w:rPr>
                <w:szCs w:val="21"/>
              </w:rPr>
            </w:pPr>
          </w:p>
        </w:tc>
        <w:tc>
          <w:tcPr>
            <w:tcW w:w="1420" w:type="dxa"/>
            <w:gridSpan w:val="3"/>
            <w:noWrap w:val="0"/>
            <w:vAlign w:val="center"/>
          </w:tcPr>
          <w:p>
            <w:pPr>
              <w:jc w:val="center"/>
              <w:rPr>
                <w:szCs w:val="21"/>
              </w:rPr>
            </w:pPr>
          </w:p>
        </w:tc>
        <w:tc>
          <w:tcPr>
            <w:tcW w:w="1635" w:type="dxa"/>
            <w:gridSpan w:val="4"/>
            <w:noWrap w:val="0"/>
            <w:vAlign w:val="center"/>
          </w:tcPr>
          <w:p>
            <w:pPr>
              <w:jc w:val="center"/>
              <w:rPr>
                <w:szCs w:val="21"/>
              </w:rPr>
            </w:pPr>
          </w:p>
        </w:tc>
        <w:tc>
          <w:tcPr>
            <w:tcW w:w="1418"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47" w:hRule="atLeast"/>
          <w:jc w:val="center"/>
        </w:trPr>
        <w:tc>
          <w:tcPr>
            <w:tcW w:w="1233" w:type="dxa"/>
            <w:gridSpan w:val="2"/>
            <w:noWrap w:val="0"/>
            <w:vAlign w:val="center"/>
          </w:tcPr>
          <w:p>
            <w:pPr>
              <w:jc w:val="center"/>
              <w:rPr>
                <w:szCs w:val="21"/>
              </w:rPr>
            </w:pPr>
            <w:r>
              <w:rPr>
                <w:rFonts w:hint="eastAsia"/>
                <w:szCs w:val="21"/>
              </w:rPr>
              <w:t>安全生产考核合格证书</w:t>
            </w:r>
          </w:p>
        </w:tc>
        <w:tc>
          <w:tcPr>
            <w:tcW w:w="1277" w:type="dxa"/>
            <w:gridSpan w:val="3"/>
            <w:noWrap w:val="0"/>
            <w:vAlign w:val="center"/>
          </w:tcPr>
          <w:p>
            <w:pPr>
              <w:jc w:val="center"/>
              <w:rPr>
                <w:szCs w:val="21"/>
              </w:rPr>
            </w:pPr>
          </w:p>
        </w:tc>
        <w:tc>
          <w:tcPr>
            <w:tcW w:w="1224" w:type="dxa"/>
            <w:gridSpan w:val="3"/>
            <w:noWrap w:val="0"/>
            <w:vAlign w:val="center"/>
          </w:tcPr>
          <w:p>
            <w:pPr>
              <w:jc w:val="center"/>
              <w:rPr>
                <w:rFonts w:cs="宋体"/>
                <w:szCs w:val="21"/>
              </w:rPr>
            </w:pPr>
            <w:r>
              <w:rPr>
                <w:rFonts w:hint="eastAsia"/>
                <w:szCs w:val="21"/>
              </w:rPr>
              <w:t>B类</w:t>
            </w:r>
          </w:p>
        </w:tc>
        <w:tc>
          <w:tcPr>
            <w:tcW w:w="1419" w:type="dxa"/>
            <w:gridSpan w:val="3"/>
            <w:noWrap w:val="0"/>
            <w:vAlign w:val="center"/>
          </w:tcPr>
          <w:p>
            <w:pPr>
              <w:jc w:val="center"/>
              <w:rPr>
                <w:szCs w:val="21"/>
              </w:rPr>
            </w:pPr>
          </w:p>
        </w:tc>
        <w:tc>
          <w:tcPr>
            <w:tcW w:w="1420" w:type="dxa"/>
            <w:gridSpan w:val="3"/>
            <w:noWrap w:val="0"/>
            <w:vAlign w:val="center"/>
          </w:tcPr>
          <w:p>
            <w:pPr>
              <w:jc w:val="center"/>
              <w:rPr>
                <w:szCs w:val="21"/>
              </w:rPr>
            </w:pPr>
          </w:p>
        </w:tc>
        <w:tc>
          <w:tcPr>
            <w:tcW w:w="1635" w:type="dxa"/>
            <w:gridSpan w:val="4"/>
            <w:noWrap w:val="0"/>
            <w:vAlign w:val="center"/>
          </w:tcPr>
          <w:p>
            <w:pPr>
              <w:jc w:val="center"/>
              <w:rPr>
                <w:szCs w:val="21"/>
              </w:rPr>
            </w:pPr>
          </w:p>
        </w:tc>
        <w:tc>
          <w:tcPr>
            <w:tcW w:w="1418"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65" w:hRule="atLeast"/>
          <w:jc w:val="center"/>
        </w:trPr>
        <w:tc>
          <w:tcPr>
            <w:tcW w:w="9626" w:type="dxa"/>
            <w:gridSpan w:val="21"/>
            <w:noWrap w:val="0"/>
            <w:vAlign w:val="center"/>
          </w:tcPr>
          <w:p>
            <w:pPr>
              <w:jc w:val="center"/>
              <w:rPr>
                <w:szCs w:val="21"/>
              </w:rPr>
            </w:pPr>
            <w:r>
              <w:rPr>
                <w:rFonts w:hint="eastAsia" w:cs="宋体"/>
                <w:szCs w:val="21"/>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47" w:hRule="atLeast"/>
          <w:jc w:val="center"/>
        </w:trPr>
        <w:tc>
          <w:tcPr>
            <w:tcW w:w="1629" w:type="dxa"/>
            <w:gridSpan w:val="4"/>
            <w:noWrap w:val="0"/>
            <w:vAlign w:val="center"/>
          </w:tcPr>
          <w:p>
            <w:pPr>
              <w:jc w:val="center"/>
              <w:rPr>
                <w:szCs w:val="21"/>
              </w:rPr>
            </w:pPr>
          </w:p>
        </w:tc>
        <w:tc>
          <w:tcPr>
            <w:tcW w:w="1550" w:type="dxa"/>
            <w:gridSpan w:val="3"/>
            <w:noWrap w:val="0"/>
            <w:vAlign w:val="center"/>
          </w:tcPr>
          <w:p>
            <w:pPr>
              <w:jc w:val="center"/>
              <w:rPr>
                <w:szCs w:val="21"/>
              </w:rPr>
            </w:pPr>
            <w:r>
              <w:rPr>
                <w:rFonts w:hint="eastAsia"/>
                <w:szCs w:val="21"/>
              </w:rPr>
              <w:t>项目1</w:t>
            </w:r>
          </w:p>
        </w:tc>
        <w:tc>
          <w:tcPr>
            <w:tcW w:w="1840" w:type="dxa"/>
            <w:gridSpan w:val="4"/>
            <w:noWrap w:val="0"/>
            <w:vAlign w:val="center"/>
          </w:tcPr>
          <w:p>
            <w:pPr>
              <w:jc w:val="center"/>
              <w:rPr>
                <w:szCs w:val="21"/>
              </w:rPr>
            </w:pPr>
            <w:r>
              <w:rPr>
                <w:rFonts w:hint="eastAsia"/>
                <w:szCs w:val="21"/>
              </w:rPr>
              <w:t>项目2</w:t>
            </w:r>
          </w:p>
        </w:tc>
        <w:tc>
          <w:tcPr>
            <w:tcW w:w="1474" w:type="dxa"/>
            <w:gridSpan w:val="3"/>
            <w:noWrap w:val="0"/>
            <w:vAlign w:val="center"/>
          </w:tcPr>
          <w:p>
            <w:pPr>
              <w:jc w:val="center"/>
              <w:rPr>
                <w:szCs w:val="21"/>
              </w:rPr>
            </w:pPr>
            <w:r>
              <w:rPr>
                <w:rFonts w:hint="eastAsia"/>
                <w:szCs w:val="21"/>
              </w:rPr>
              <w:t>项目3</w:t>
            </w:r>
          </w:p>
        </w:tc>
        <w:tc>
          <w:tcPr>
            <w:tcW w:w="1644" w:type="dxa"/>
            <w:gridSpan w:val="4"/>
            <w:noWrap w:val="0"/>
            <w:vAlign w:val="center"/>
          </w:tcPr>
          <w:p>
            <w:pPr>
              <w:jc w:val="center"/>
              <w:rPr>
                <w:szCs w:val="21"/>
              </w:rPr>
            </w:pPr>
            <w:r>
              <w:rPr>
                <w:rFonts w:hint="eastAsia"/>
                <w:szCs w:val="21"/>
              </w:rPr>
              <w:t>项目4</w:t>
            </w:r>
          </w:p>
        </w:tc>
        <w:tc>
          <w:tcPr>
            <w:tcW w:w="1486" w:type="dxa"/>
            <w:gridSpan w:val="3"/>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47" w:hRule="atLeast"/>
          <w:jc w:val="center"/>
        </w:trPr>
        <w:tc>
          <w:tcPr>
            <w:tcW w:w="1629" w:type="dxa"/>
            <w:gridSpan w:val="4"/>
            <w:noWrap w:val="0"/>
            <w:vAlign w:val="center"/>
          </w:tcPr>
          <w:p>
            <w:pPr>
              <w:jc w:val="center"/>
              <w:rPr>
                <w:szCs w:val="21"/>
              </w:rPr>
            </w:pPr>
            <w:r>
              <w:rPr>
                <w:rFonts w:hint="eastAsia" w:cs="宋体"/>
                <w:szCs w:val="21"/>
              </w:rPr>
              <w:t>建设单位</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47" w:hRule="atLeast"/>
          <w:jc w:val="center"/>
        </w:trPr>
        <w:tc>
          <w:tcPr>
            <w:tcW w:w="1629" w:type="dxa"/>
            <w:gridSpan w:val="4"/>
            <w:noWrap w:val="0"/>
            <w:vAlign w:val="center"/>
          </w:tcPr>
          <w:p>
            <w:pPr>
              <w:jc w:val="center"/>
              <w:rPr>
                <w:szCs w:val="21"/>
              </w:rPr>
            </w:pPr>
            <w:r>
              <w:rPr>
                <w:rFonts w:hint="eastAsia" w:cs="宋体"/>
                <w:szCs w:val="21"/>
              </w:rPr>
              <w:t>建设规模</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93" w:hRule="atLeast"/>
          <w:jc w:val="center"/>
        </w:trPr>
        <w:tc>
          <w:tcPr>
            <w:tcW w:w="1629" w:type="dxa"/>
            <w:gridSpan w:val="4"/>
            <w:noWrap w:val="0"/>
            <w:vAlign w:val="center"/>
          </w:tcPr>
          <w:p>
            <w:pPr>
              <w:jc w:val="center"/>
              <w:rPr>
                <w:rFonts w:ascii="宋体" w:hAnsi="宋体" w:cs="宋体"/>
                <w:sz w:val="27"/>
                <w:szCs w:val="27"/>
                <w:lang w:bidi="ar"/>
              </w:rPr>
            </w:pPr>
            <w:r>
              <w:rPr>
                <w:rFonts w:hint="eastAsia" w:cs="宋体"/>
                <w:szCs w:val="21"/>
              </w:rPr>
              <w:t>开工日期</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93" w:hRule="atLeast"/>
          <w:jc w:val="center"/>
        </w:trPr>
        <w:tc>
          <w:tcPr>
            <w:tcW w:w="1629" w:type="dxa"/>
            <w:gridSpan w:val="4"/>
            <w:noWrap w:val="0"/>
            <w:vAlign w:val="center"/>
          </w:tcPr>
          <w:p>
            <w:pPr>
              <w:jc w:val="center"/>
              <w:rPr>
                <w:szCs w:val="21"/>
              </w:rPr>
            </w:pPr>
            <w:r>
              <w:rPr>
                <w:rFonts w:hint="eastAsia" w:cs="宋体"/>
                <w:szCs w:val="21"/>
              </w:rPr>
              <w:t>竣工日期</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93" w:hRule="atLeast"/>
          <w:jc w:val="center"/>
        </w:trPr>
        <w:tc>
          <w:tcPr>
            <w:tcW w:w="1629" w:type="dxa"/>
            <w:gridSpan w:val="4"/>
            <w:noWrap w:val="0"/>
            <w:vAlign w:val="center"/>
          </w:tcPr>
          <w:p>
            <w:pPr>
              <w:jc w:val="center"/>
              <w:rPr>
                <w:rFonts w:cs="宋体"/>
                <w:szCs w:val="21"/>
              </w:rPr>
            </w:pPr>
            <w:r>
              <w:rPr>
                <w:rFonts w:hint="eastAsia" w:cs="宋体"/>
                <w:szCs w:val="21"/>
              </w:rPr>
              <w:t>企业角色</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93" w:hRule="atLeast"/>
          <w:jc w:val="center"/>
        </w:trPr>
        <w:tc>
          <w:tcPr>
            <w:tcW w:w="1629" w:type="dxa"/>
            <w:gridSpan w:val="4"/>
            <w:noWrap w:val="0"/>
            <w:vAlign w:val="center"/>
          </w:tcPr>
          <w:p>
            <w:pPr>
              <w:jc w:val="center"/>
              <w:rPr>
                <w:rFonts w:cs="宋体"/>
                <w:szCs w:val="21"/>
              </w:rPr>
            </w:pPr>
            <w:r>
              <w:rPr>
                <w:rFonts w:hint="eastAsia" w:cs="宋体"/>
                <w:szCs w:val="21"/>
              </w:rPr>
              <w:t>企业名称</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93" w:hRule="atLeast"/>
          <w:jc w:val="center"/>
        </w:trPr>
        <w:tc>
          <w:tcPr>
            <w:tcW w:w="1629" w:type="dxa"/>
            <w:gridSpan w:val="4"/>
            <w:noWrap w:val="0"/>
            <w:vAlign w:val="center"/>
          </w:tcPr>
          <w:p>
            <w:pPr>
              <w:jc w:val="center"/>
              <w:rPr>
                <w:rFonts w:cs="宋体"/>
                <w:szCs w:val="21"/>
              </w:rPr>
            </w:pPr>
            <w:r>
              <w:rPr>
                <w:rFonts w:hint="eastAsia" w:cs="宋体"/>
                <w:szCs w:val="21"/>
              </w:rPr>
              <w:t>人员角色</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93" w:hRule="atLeast"/>
          <w:jc w:val="center"/>
        </w:trPr>
        <w:tc>
          <w:tcPr>
            <w:tcW w:w="1629" w:type="dxa"/>
            <w:gridSpan w:val="4"/>
            <w:noWrap w:val="0"/>
            <w:vAlign w:val="center"/>
          </w:tcPr>
          <w:p>
            <w:pPr>
              <w:jc w:val="center"/>
              <w:rPr>
                <w:rFonts w:cs="宋体"/>
                <w:szCs w:val="21"/>
              </w:rPr>
            </w:pPr>
            <w:r>
              <w:rPr>
                <w:rFonts w:hint="eastAsia" w:cs="宋体"/>
                <w:szCs w:val="21"/>
              </w:rPr>
              <w:t>在建或已完</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93" w:hRule="atLeast"/>
          <w:jc w:val="center"/>
        </w:trPr>
        <w:tc>
          <w:tcPr>
            <w:tcW w:w="1629" w:type="dxa"/>
            <w:gridSpan w:val="4"/>
            <w:noWrap w:val="0"/>
            <w:vAlign w:val="center"/>
          </w:tcPr>
          <w:p>
            <w:pPr>
              <w:jc w:val="center"/>
              <w:rPr>
                <w:rFonts w:cs="宋体"/>
                <w:szCs w:val="21"/>
              </w:rPr>
            </w:pPr>
            <w:r>
              <w:rPr>
                <w:rFonts w:hint="eastAsia" w:cs="宋体"/>
                <w:szCs w:val="21"/>
              </w:rPr>
              <w:t>工程质量</w:t>
            </w:r>
          </w:p>
        </w:tc>
        <w:tc>
          <w:tcPr>
            <w:tcW w:w="1550" w:type="dxa"/>
            <w:gridSpan w:val="3"/>
            <w:noWrap w:val="0"/>
            <w:vAlign w:val="center"/>
          </w:tcPr>
          <w:p>
            <w:pPr>
              <w:jc w:val="center"/>
              <w:rPr>
                <w:szCs w:val="21"/>
              </w:rPr>
            </w:pPr>
          </w:p>
        </w:tc>
        <w:tc>
          <w:tcPr>
            <w:tcW w:w="1840" w:type="dxa"/>
            <w:gridSpan w:val="4"/>
            <w:noWrap w:val="0"/>
            <w:vAlign w:val="center"/>
          </w:tcPr>
          <w:p>
            <w:pPr>
              <w:jc w:val="center"/>
              <w:rPr>
                <w:szCs w:val="21"/>
              </w:rPr>
            </w:pPr>
          </w:p>
        </w:tc>
        <w:tc>
          <w:tcPr>
            <w:tcW w:w="1474" w:type="dxa"/>
            <w:gridSpan w:val="3"/>
            <w:noWrap w:val="0"/>
            <w:vAlign w:val="center"/>
          </w:tcPr>
          <w:p>
            <w:pPr>
              <w:jc w:val="center"/>
              <w:rPr>
                <w:szCs w:val="21"/>
              </w:rPr>
            </w:pPr>
          </w:p>
        </w:tc>
        <w:tc>
          <w:tcPr>
            <w:tcW w:w="1644" w:type="dxa"/>
            <w:gridSpan w:val="4"/>
            <w:noWrap w:val="0"/>
            <w:vAlign w:val="center"/>
          </w:tcPr>
          <w:p>
            <w:pPr>
              <w:jc w:val="center"/>
              <w:rPr>
                <w:szCs w:val="21"/>
              </w:rPr>
            </w:pPr>
          </w:p>
        </w:tc>
        <w:tc>
          <w:tcPr>
            <w:tcW w:w="1486" w:type="dxa"/>
            <w:gridSpan w:val="3"/>
            <w:noWrap w:val="0"/>
            <w:vAlign w:val="center"/>
          </w:tcPr>
          <w:p>
            <w:pPr>
              <w:jc w:val="center"/>
              <w:rPr>
                <w:szCs w:val="21"/>
              </w:rPr>
            </w:pPr>
          </w:p>
        </w:tc>
      </w:tr>
    </w:tbl>
    <w:p>
      <w:pPr>
        <w:spacing w:line="400" w:lineRule="exact"/>
        <w:rPr>
          <w:rFonts w:hint="eastAsia" w:ascii="宋体" w:hAnsi="宋体" w:cs="宋体"/>
          <w:b/>
          <w:szCs w:val="21"/>
        </w:rPr>
      </w:pPr>
    </w:p>
    <w:p>
      <w:pPr>
        <w:rPr>
          <w:rFonts w:ascii="宋体" w:hAnsi="宋体"/>
          <w:b/>
          <w:szCs w:val="21"/>
        </w:rPr>
      </w:pPr>
      <w:r>
        <w:rPr>
          <w:rFonts w:hint="eastAsia" w:ascii="宋体" w:hAnsi="宋体"/>
          <w:b/>
          <w:szCs w:val="21"/>
        </w:rPr>
        <w:t>附：本表后附有效的项目经理（建造师）注册建造师资格证书及有效的安全生产考核合格证，本表所列证书复印件并加盖供应商电子签章。</w:t>
      </w:r>
    </w:p>
    <w:p>
      <w:pPr>
        <w:autoSpaceDE w:val="0"/>
        <w:autoSpaceDN w:val="0"/>
        <w:spacing w:line="360" w:lineRule="auto"/>
        <w:ind w:left="4305" w:leftChars="1950" w:hanging="210" w:hangingChars="100"/>
        <w:rPr>
          <w:rFonts w:ascii="宋体" w:hAnsi="宋体" w:cs="仿宋_GB2312"/>
          <w:kern w:val="0"/>
          <w:szCs w:val="21"/>
        </w:rPr>
      </w:pPr>
      <w:r>
        <w:rPr>
          <w:rFonts w:hint="eastAsia" w:ascii="宋体" w:hAnsi="宋体" w:cs="仿宋_GB2312"/>
          <w:kern w:val="0"/>
          <w:szCs w:val="21"/>
        </w:rPr>
        <w:t>供应商名称（电子签章）：</w:t>
      </w:r>
    </w:p>
    <w:p>
      <w:pPr>
        <w:widowControl/>
        <w:tabs>
          <w:tab w:val="center" w:pos="4153"/>
          <w:tab w:val="right" w:pos="8306"/>
        </w:tabs>
        <w:snapToGrid w:val="0"/>
        <w:jc w:val="right"/>
        <w:rPr>
          <w:rFonts w:hint="eastAsia" w:ascii="宋体" w:hAnsi="宋体" w:cs="仿宋_GB2312"/>
          <w:kern w:val="0"/>
          <w:szCs w:val="21"/>
          <w:lang w:val="zh-CN"/>
        </w:rPr>
      </w:pPr>
      <w:r>
        <w:rPr>
          <w:rFonts w:hint="eastAsia" w:ascii="宋体" w:hAnsi="宋体" w:cs="仿宋_GB2312"/>
          <w:kern w:val="0"/>
          <w:szCs w:val="21"/>
          <w:lang w:val="zh-CN"/>
        </w:rPr>
        <w:t>日期：  年  月   日</w:t>
      </w:r>
    </w:p>
    <w:p>
      <w:pPr>
        <w:jc w:val="center"/>
        <w:rPr>
          <w:rFonts w:cs="宋体"/>
          <w:b/>
          <w:sz w:val="32"/>
          <w:szCs w:val="32"/>
        </w:rPr>
      </w:pPr>
      <w:r>
        <w:rPr>
          <w:rFonts w:hint="eastAsia" w:cs="宋体"/>
          <w:b/>
          <w:bCs/>
          <w:sz w:val="28"/>
          <w:szCs w:val="28"/>
        </w:rPr>
        <w:t>2、</w:t>
      </w:r>
      <w:r>
        <w:rPr>
          <w:rFonts w:hint="eastAsia" w:cs="宋体"/>
          <w:b/>
          <w:sz w:val="32"/>
          <w:szCs w:val="32"/>
        </w:rPr>
        <w:t>项目技术负责人简历表</w:t>
      </w:r>
    </w:p>
    <w:p>
      <w:pPr>
        <w:rPr>
          <w:szCs w:val="21"/>
          <w:u w:val="single"/>
        </w:rPr>
      </w:pPr>
    </w:p>
    <w:p>
      <w:pPr>
        <w:rPr>
          <w:szCs w:val="21"/>
        </w:rPr>
      </w:pPr>
      <w:r>
        <w:rPr>
          <w:szCs w:val="21"/>
          <w:u w:val="single"/>
        </w:rPr>
        <w:t xml:space="preserve">            </w:t>
      </w:r>
      <w:r>
        <w:rPr>
          <w:rFonts w:hint="eastAsia" w:cs="宋体"/>
          <w:szCs w:val="21"/>
          <w:u w:val="single"/>
        </w:rPr>
        <w:t>（工程项目名称）</w:t>
      </w:r>
      <w:r>
        <w:rPr>
          <w:szCs w:val="21"/>
          <w:u w:val="single"/>
        </w:rPr>
        <w:t xml:space="preserve">        </w:t>
      </w:r>
      <w:r>
        <w:rPr>
          <w:szCs w:val="21"/>
        </w:rPr>
        <w:t xml:space="preserve"> </w:t>
      </w:r>
      <w:r>
        <w:rPr>
          <w:rFonts w:hint="eastAsia" w:cs="宋体"/>
          <w:szCs w:val="21"/>
        </w:rPr>
        <w:t>工程</w:t>
      </w:r>
    </w:p>
    <w:tbl>
      <w:tblPr>
        <w:tblStyle w:val="4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pPr>
              <w:jc w:val="center"/>
              <w:rPr>
                <w:szCs w:val="21"/>
              </w:rPr>
            </w:pPr>
            <w:r>
              <w:rPr>
                <w:rFonts w:hint="eastAsia" w:cs="宋体"/>
                <w:szCs w:val="21"/>
              </w:rPr>
              <w:t>姓名</w:t>
            </w:r>
          </w:p>
        </w:tc>
        <w:tc>
          <w:tcPr>
            <w:tcW w:w="2340" w:type="dxa"/>
            <w:gridSpan w:val="6"/>
            <w:noWrap w:val="0"/>
            <w:vAlign w:val="center"/>
          </w:tcPr>
          <w:p>
            <w:pPr>
              <w:jc w:val="center"/>
              <w:rPr>
                <w:szCs w:val="21"/>
              </w:rPr>
            </w:pPr>
          </w:p>
        </w:tc>
        <w:tc>
          <w:tcPr>
            <w:tcW w:w="1893" w:type="dxa"/>
            <w:gridSpan w:val="5"/>
            <w:noWrap w:val="0"/>
            <w:vAlign w:val="center"/>
          </w:tcPr>
          <w:p>
            <w:pPr>
              <w:jc w:val="center"/>
              <w:rPr>
                <w:szCs w:val="21"/>
              </w:rPr>
            </w:pPr>
            <w:r>
              <w:rPr>
                <w:rFonts w:hint="eastAsia" w:cs="宋体"/>
                <w:szCs w:val="21"/>
              </w:rPr>
              <w:t>性别</w:t>
            </w:r>
          </w:p>
        </w:tc>
        <w:tc>
          <w:tcPr>
            <w:tcW w:w="1585" w:type="dxa"/>
            <w:gridSpan w:val="3"/>
            <w:noWrap w:val="0"/>
            <w:vAlign w:val="center"/>
          </w:tcPr>
          <w:p>
            <w:pPr>
              <w:jc w:val="center"/>
              <w:rPr>
                <w:szCs w:val="21"/>
              </w:rPr>
            </w:pPr>
          </w:p>
        </w:tc>
        <w:tc>
          <w:tcPr>
            <w:tcW w:w="1108" w:type="dxa"/>
            <w:noWrap w:val="0"/>
            <w:vAlign w:val="center"/>
          </w:tcPr>
          <w:p>
            <w:pPr>
              <w:jc w:val="center"/>
              <w:rPr>
                <w:szCs w:val="21"/>
              </w:rPr>
            </w:pPr>
            <w:r>
              <w:rPr>
                <w:rFonts w:hint="eastAsia" w:cs="宋体"/>
                <w:szCs w:val="21"/>
              </w:rPr>
              <w:t>年龄</w:t>
            </w:r>
          </w:p>
        </w:tc>
        <w:tc>
          <w:tcPr>
            <w:tcW w:w="1531"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pPr>
              <w:jc w:val="center"/>
              <w:rPr>
                <w:szCs w:val="21"/>
              </w:rPr>
            </w:pPr>
            <w:r>
              <w:rPr>
                <w:rFonts w:hint="eastAsia" w:cs="宋体"/>
                <w:szCs w:val="21"/>
              </w:rPr>
              <w:t>岗位</w:t>
            </w:r>
          </w:p>
        </w:tc>
        <w:tc>
          <w:tcPr>
            <w:tcW w:w="2340" w:type="dxa"/>
            <w:gridSpan w:val="6"/>
            <w:noWrap w:val="0"/>
            <w:vAlign w:val="center"/>
          </w:tcPr>
          <w:p>
            <w:pPr>
              <w:jc w:val="center"/>
              <w:rPr>
                <w:szCs w:val="21"/>
              </w:rPr>
            </w:pPr>
            <w:r>
              <w:rPr>
                <w:rFonts w:hint="eastAsia"/>
                <w:szCs w:val="21"/>
              </w:rPr>
              <w:t>项目技术负责人</w:t>
            </w:r>
          </w:p>
        </w:tc>
        <w:tc>
          <w:tcPr>
            <w:tcW w:w="1893" w:type="dxa"/>
            <w:gridSpan w:val="5"/>
            <w:noWrap w:val="0"/>
            <w:vAlign w:val="center"/>
          </w:tcPr>
          <w:p>
            <w:pPr>
              <w:jc w:val="center"/>
              <w:rPr>
                <w:szCs w:val="21"/>
              </w:rPr>
            </w:pPr>
            <w:r>
              <w:rPr>
                <w:rFonts w:hint="eastAsia" w:cs="宋体"/>
                <w:szCs w:val="21"/>
              </w:rPr>
              <w:t>职称</w:t>
            </w:r>
          </w:p>
        </w:tc>
        <w:tc>
          <w:tcPr>
            <w:tcW w:w="1585" w:type="dxa"/>
            <w:gridSpan w:val="3"/>
            <w:noWrap w:val="0"/>
            <w:vAlign w:val="center"/>
          </w:tcPr>
          <w:p>
            <w:pPr>
              <w:jc w:val="center"/>
              <w:rPr>
                <w:szCs w:val="21"/>
              </w:rPr>
            </w:pPr>
          </w:p>
        </w:tc>
        <w:tc>
          <w:tcPr>
            <w:tcW w:w="1108" w:type="dxa"/>
            <w:noWrap w:val="0"/>
            <w:vAlign w:val="center"/>
          </w:tcPr>
          <w:p>
            <w:pPr>
              <w:jc w:val="center"/>
              <w:rPr>
                <w:szCs w:val="21"/>
              </w:rPr>
            </w:pPr>
            <w:r>
              <w:rPr>
                <w:rFonts w:hint="eastAsia" w:cs="宋体"/>
                <w:szCs w:val="21"/>
              </w:rPr>
              <w:t>学历</w:t>
            </w:r>
          </w:p>
        </w:tc>
        <w:tc>
          <w:tcPr>
            <w:tcW w:w="1531"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pPr>
              <w:jc w:val="center"/>
              <w:rPr>
                <w:rFonts w:cs="宋体"/>
                <w:szCs w:val="21"/>
              </w:rPr>
            </w:pPr>
            <w:r>
              <w:rPr>
                <w:rFonts w:hint="eastAsia" w:cs="宋体"/>
                <w:szCs w:val="21"/>
              </w:rPr>
              <w:t>从业开始时间</w:t>
            </w:r>
          </w:p>
        </w:tc>
        <w:tc>
          <w:tcPr>
            <w:tcW w:w="2340" w:type="dxa"/>
            <w:gridSpan w:val="6"/>
            <w:noWrap w:val="0"/>
            <w:vAlign w:val="center"/>
          </w:tcPr>
          <w:p>
            <w:pPr>
              <w:jc w:val="center"/>
              <w:rPr>
                <w:szCs w:val="21"/>
              </w:rPr>
            </w:pPr>
          </w:p>
        </w:tc>
        <w:tc>
          <w:tcPr>
            <w:tcW w:w="1893" w:type="dxa"/>
            <w:gridSpan w:val="5"/>
            <w:noWrap w:val="0"/>
            <w:vAlign w:val="center"/>
          </w:tcPr>
          <w:p>
            <w:pPr>
              <w:jc w:val="center"/>
              <w:rPr>
                <w:rFonts w:cs="宋体"/>
                <w:szCs w:val="21"/>
              </w:rPr>
            </w:pPr>
            <w:r>
              <w:rPr>
                <w:rFonts w:hint="eastAsia" w:cs="宋体"/>
                <w:szCs w:val="21"/>
              </w:rPr>
              <w:t>职称</w:t>
            </w:r>
            <w:r>
              <w:rPr>
                <w:rFonts w:cs="宋体"/>
                <w:szCs w:val="21"/>
              </w:rPr>
              <w:t>获</w:t>
            </w:r>
            <w:r>
              <w:rPr>
                <w:rFonts w:hint="eastAsia" w:cs="宋体"/>
                <w:szCs w:val="21"/>
              </w:rPr>
              <w:t>得</w:t>
            </w:r>
            <w:r>
              <w:rPr>
                <w:rFonts w:cs="宋体"/>
                <w:szCs w:val="21"/>
              </w:rPr>
              <w:t>时间</w:t>
            </w:r>
          </w:p>
        </w:tc>
        <w:tc>
          <w:tcPr>
            <w:tcW w:w="1585" w:type="dxa"/>
            <w:gridSpan w:val="3"/>
            <w:noWrap w:val="0"/>
            <w:vAlign w:val="center"/>
          </w:tcPr>
          <w:p>
            <w:pPr>
              <w:jc w:val="center"/>
              <w:rPr>
                <w:szCs w:val="21"/>
              </w:rPr>
            </w:pPr>
          </w:p>
        </w:tc>
        <w:tc>
          <w:tcPr>
            <w:tcW w:w="1108" w:type="dxa"/>
            <w:noWrap w:val="0"/>
            <w:vAlign w:val="center"/>
          </w:tcPr>
          <w:p>
            <w:pPr>
              <w:jc w:val="center"/>
              <w:rPr>
                <w:rFonts w:cs="宋体"/>
                <w:szCs w:val="21"/>
              </w:rPr>
            </w:pPr>
            <w:r>
              <w:rPr>
                <w:rFonts w:hint="eastAsia" w:cs="宋体"/>
                <w:szCs w:val="21"/>
              </w:rPr>
              <w:t>毕业时间</w:t>
            </w:r>
          </w:p>
        </w:tc>
        <w:tc>
          <w:tcPr>
            <w:tcW w:w="1531"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pPr>
              <w:jc w:val="center"/>
              <w:rPr>
                <w:szCs w:val="21"/>
              </w:rPr>
            </w:pPr>
            <w:r>
              <w:rPr>
                <w:rFonts w:hint="eastAsia" w:cs="宋体"/>
                <w:szCs w:val="21"/>
              </w:rPr>
              <w:t>担任</w:t>
            </w:r>
            <w:r>
              <w:rPr>
                <w:rFonts w:hint="eastAsia"/>
                <w:szCs w:val="21"/>
              </w:rPr>
              <w:t>……</w:t>
            </w:r>
            <w:r>
              <w:rPr>
                <w:rFonts w:hint="eastAsia" w:cs="宋体"/>
                <w:szCs w:val="21"/>
              </w:rPr>
              <w:t>年限</w:t>
            </w:r>
          </w:p>
        </w:tc>
        <w:tc>
          <w:tcPr>
            <w:tcW w:w="1074" w:type="dxa"/>
            <w:gridSpan w:val="2"/>
            <w:noWrap w:val="0"/>
            <w:vAlign w:val="center"/>
          </w:tcPr>
          <w:p>
            <w:pPr>
              <w:jc w:val="center"/>
              <w:rPr>
                <w:szCs w:val="21"/>
              </w:rPr>
            </w:pPr>
          </w:p>
        </w:tc>
        <w:tc>
          <w:tcPr>
            <w:tcW w:w="1402" w:type="dxa"/>
            <w:gridSpan w:val="5"/>
            <w:noWrap w:val="0"/>
            <w:vAlign w:val="center"/>
          </w:tcPr>
          <w:p>
            <w:pPr>
              <w:jc w:val="center"/>
              <w:rPr>
                <w:szCs w:val="21"/>
              </w:rPr>
            </w:pPr>
            <w:r>
              <w:rPr>
                <w:rFonts w:hint="eastAsia"/>
                <w:szCs w:val="21"/>
              </w:rPr>
              <w:t>身份</w:t>
            </w:r>
            <w:r>
              <w:rPr>
                <w:szCs w:val="21"/>
              </w:rPr>
              <w:t>证号码</w:t>
            </w:r>
          </w:p>
        </w:tc>
        <w:tc>
          <w:tcPr>
            <w:tcW w:w="1209" w:type="dxa"/>
            <w:noWrap w:val="0"/>
            <w:vAlign w:val="center"/>
          </w:tcPr>
          <w:p>
            <w:pPr>
              <w:jc w:val="center"/>
              <w:rPr>
                <w:szCs w:val="21"/>
              </w:rPr>
            </w:pPr>
          </w:p>
        </w:tc>
        <w:tc>
          <w:tcPr>
            <w:tcW w:w="3610" w:type="dxa"/>
            <w:gridSpan w:val="9"/>
            <w:noWrap w:val="0"/>
            <w:vAlign w:val="center"/>
          </w:tcPr>
          <w:p>
            <w:pPr>
              <w:jc w:val="center"/>
              <w:rPr>
                <w:szCs w:val="21"/>
              </w:rPr>
            </w:pPr>
            <w:r>
              <w:rPr>
                <w:rFonts w:hint="eastAsia"/>
                <w:szCs w:val="21"/>
              </w:rPr>
              <w:t>社保所附证明材料索引号</w:t>
            </w:r>
          </w:p>
        </w:tc>
        <w:tc>
          <w:tcPr>
            <w:tcW w:w="998" w:type="dxa"/>
            <w:gridSpan w:val="2"/>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pPr>
              <w:jc w:val="center"/>
              <w:rPr>
                <w:szCs w:val="21"/>
              </w:rPr>
            </w:pPr>
            <w:r>
              <w:rPr>
                <w:rFonts w:hint="eastAsia"/>
                <w:szCs w:val="21"/>
              </w:rPr>
              <w:t>证书名称</w:t>
            </w:r>
          </w:p>
        </w:tc>
        <w:tc>
          <w:tcPr>
            <w:tcW w:w="1188" w:type="dxa"/>
            <w:gridSpan w:val="3"/>
            <w:noWrap w:val="0"/>
            <w:vAlign w:val="center"/>
          </w:tcPr>
          <w:p>
            <w:pPr>
              <w:jc w:val="center"/>
              <w:rPr>
                <w:szCs w:val="21"/>
              </w:rPr>
            </w:pPr>
            <w:r>
              <w:rPr>
                <w:rFonts w:hint="eastAsia"/>
                <w:szCs w:val="21"/>
              </w:rPr>
              <w:t>注册专业</w:t>
            </w:r>
          </w:p>
        </w:tc>
        <w:tc>
          <w:tcPr>
            <w:tcW w:w="1222" w:type="dxa"/>
            <w:gridSpan w:val="3"/>
            <w:noWrap w:val="0"/>
            <w:vAlign w:val="center"/>
          </w:tcPr>
          <w:p>
            <w:pPr>
              <w:jc w:val="center"/>
              <w:rPr>
                <w:szCs w:val="21"/>
              </w:rPr>
            </w:pPr>
            <w:r>
              <w:rPr>
                <w:szCs w:val="21"/>
              </w:rPr>
              <w:t>级别</w:t>
            </w:r>
          </w:p>
        </w:tc>
        <w:tc>
          <w:tcPr>
            <w:tcW w:w="1417" w:type="dxa"/>
            <w:gridSpan w:val="3"/>
            <w:noWrap w:val="0"/>
            <w:vAlign w:val="center"/>
          </w:tcPr>
          <w:p>
            <w:pPr>
              <w:jc w:val="center"/>
              <w:rPr>
                <w:szCs w:val="21"/>
              </w:rPr>
            </w:pPr>
            <w:r>
              <w:rPr>
                <w:rFonts w:hint="eastAsia" w:cs="宋体"/>
                <w:szCs w:val="21"/>
              </w:rPr>
              <w:t>证书编号</w:t>
            </w:r>
          </w:p>
        </w:tc>
        <w:tc>
          <w:tcPr>
            <w:tcW w:w="1418" w:type="dxa"/>
            <w:gridSpan w:val="3"/>
            <w:noWrap w:val="0"/>
            <w:vAlign w:val="center"/>
          </w:tcPr>
          <w:p>
            <w:pPr>
              <w:jc w:val="center"/>
              <w:rPr>
                <w:szCs w:val="21"/>
              </w:rPr>
            </w:pPr>
            <w:r>
              <w:rPr>
                <w:rFonts w:hint="eastAsia"/>
                <w:szCs w:val="21"/>
              </w:rPr>
              <w:t>注册时间</w:t>
            </w:r>
          </w:p>
        </w:tc>
        <w:tc>
          <w:tcPr>
            <w:tcW w:w="1632" w:type="dxa"/>
            <w:gridSpan w:val="4"/>
            <w:noWrap w:val="0"/>
            <w:vAlign w:val="center"/>
          </w:tcPr>
          <w:p>
            <w:pPr>
              <w:jc w:val="center"/>
              <w:rPr>
                <w:szCs w:val="21"/>
              </w:rPr>
            </w:pPr>
            <w:r>
              <w:rPr>
                <w:rFonts w:hint="eastAsia"/>
                <w:szCs w:val="21"/>
              </w:rPr>
              <w:t>注册单位</w:t>
            </w:r>
          </w:p>
        </w:tc>
        <w:tc>
          <w:tcPr>
            <w:tcW w:w="1416" w:type="dxa"/>
            <w:gridSpan w:val="3"/>
            <w:noWrap w:val="0"/>
            <w:vAlign w:val="center"/>
          </w:tcPr>
          <w:p>
            <w:pPr>
              <w:jc w:val="center"/>
              <w:rPr>
                <w:szCs w:val="21"/>
              </w:rPr>
            </w:pPr>
            <w:r>
              <w:rPr>
                <w:rFonts w:hint="eastAsia"/>
                <w:szCs w:val="21"/>
              </w:rPr>
              <w:t>注册有效期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pPr>
              <w:jc w:val="center"/>
              <w:rPr>
                <w:szCs w:val="21"/>
              </w:rPr>
            </w:pPr>
          </w:p>
        </w:tc>
        <w:tc>
          <w:tcPr>
            <w:tcW w:w="1188" w:type="dxa"/>
            <w:gridSpan w:val="3"/>
            <w:noWrap w:val="0"/>
            <w:vAlign w:val="center"/>
          </w:tcPr>
          <w:p>
            <w:pPr>
              <w:jc w:val="center"/>
              <w:rPr>
                <w:szCs w:val="21"/>
              </w:rPr>
            </w:pPr>
          </w:p>
        </w:tc>
        <w:tc>
          <w:tcPr>
            <w:tcW w:w="1222" w:type="dxa"/>
            <w:gridSpan w:val="3"/>
            <w:noWrap w:val="0"/>
            <w:vAlign w:val="center"/>
          </w:tcPr>
          <w:p>
            <w:pPr>
              <w:jc w:val="center"/>
              <w:rPr>
                <w:rFonts w:cs="宋体"/>
                <w:szCs w:val="21"/>
              </w:rPr>
            </w:pPr>
          </w:p>
        </w:tc>
        <w:tc>
          <w:tcPr>
            <w:tcW w:w="1417" w:type="dxa"/>
            <w:gridSpan w:val="3"/>
            <w:noWrap w:val="0"/>
            <w:vAlign w:val="center"/>
          </w:tcPr>
          <w:p>
            <w:pPr>
              <w:jc w:val="center"/>
              <w:rPr>
                <w:szCs w:val="21"/>
              </w:rPr>
            </w:pPr>
          </w:p>
        </w:tc>
        <w:tc>
          <w:tcPr>
            <w:tcW w:w="1418" w:type="dxa"/>
            <w:gridSpan w:val="3"/>
            <w:noWrap w:val="0"/>
            <w:vAlign w:val="center"/>
          </w:tcPr>
          <w:p>
            <w:pPr>
              <w:jc w:val="center"/>
              <w:rPr>
                <w:szCs w:val="21"/>
              </w:rPr>
            </w:pPr>
          </w:p>
        </w:tc>
        <w:tc>
          <w:tcPr>
            <w:tcW w:w="1632" w:type="dxa"/>
            <w:gridSpan w:val="4"/>
            <w:noWrap w:val="0"/>
            <w:vAlign w:val="center"/>
          </w:tcPr>
          <w:p>
            <w:pPr>
              <w:jc w:val="center"/>
              <w:rPr>
                <w:szCs w:val="21"/>
              </w:rPr>
            </w:pPr>
          </w:p>
        </w:tc>
        <w:tc>
          <w:tcPr>
            <w:tcW w:w="141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pPr>
              <w:jc w:val="center"/>
              <w:rPr>
                <w:szCs w:val="21"/>
              </w:rPr>
            </w:pPr>
            <w:r>
              <w:rPr>
                <w:rFonts w:hint="eastAsia" w:cs="宋体"/>
                <w:szCs w:val="21"/>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pPr>
              <w:jc w:val="center"/>
              <w:rPr>
                <w:szCs w:val="21"/>
              </w:rPr>
            </w:pPr>
          </w:p>
        </w:tc>
        <w:tc>
          <w:tcPr>
            <w:tcW w:w="1548" w:type="dxa"/>
            <w:gridSpan w:val="3"/>
            <w:noWrap w:val="0"/>
            <w:vAlign w:val="center"/>
          </w:tcPr>
          <w:p>
            <w:pPr>
              <w:jc w:val="center"/>
              <w:rPr>
                <w:szCs w:val="21"/>
              </w:rPr>
            </w:pPr>
            <w:r>
              <w:rPr>
                <w:rFonts w:hint="eastAsia"/>
                <w:szCs w:val="21"/>
              </w:rPr>
              <w:t>项目1</w:t>
            </w:r>
          </w:p>
        </w:tc>
        <w:tc>
          <w:tcPr>
            <w:tcW w:w="1837" w:type="dxa"/>
            <w:gridSpan w:val="4"/>
            <w:noWrap w:val="0"/>
            <w:vAlign w:val="center"/>
          </w:tcPr>
          <w:p>
            <w:pPr>
              <w:jc w:val="center"/>
              <w:rPr>
                <w:szCs w:val="21"/>
              </w:rPr>
            </w:pPr>
            <w:r>
              <w:rPr>
                <w:rFonts w:hint="eastAsia"/>
                <w:szCs w:val="21"/>
              </w:rPr>
              <w:t>项目2</w:t>
            </w:r>
          </w:p>
        </w:tc>
        <w:tc>
          <w:tcPr>
            <w:tcW w:w="1472" w:type="dxa"/>
            <w:gridSpan w:val="3"/>
            <w:noWrap w:val="0"/>
            <w:vAlign w:val="center"/>
          </w:tcPr>
          <w:p>
            <w:pPr>
              <w:jc w:val="center"/>
              <w:rPr>
                <w:szCs w:val="21"/>
              </w:rPr>
            </w:pPr>
            <w:r>
              <w:rPr>
                <w:rFonts w:hint="eastAsia"/>
                <w:szCs w:val="21"/>
              </w:rPr>
              <w:t>项目3</w:t>
            </w:r>
          </w:p>
        </w:tc>
        <w:tc>
          <w:tcPr>
            <w:tcW w:w="1641" w:type="dxa"/>
            <w:gridSpan w:val="4"/>
            <w:noWrap w:val="0"/>
            <w:vAlign w:val="center"/>
          </w:tcPr>
          <w:p>
            <w:pPr>
              <w:jc w:val="center"/>
              <w:rPr>
                <w:szCs w:val="21"/>
              </w:rPr>
            </w:pPr>
            <w:r>
              <w:rPr>
                <w:rFonts w:hint="eastAsia"/>
                <w:szCs w:val="21"/>
              </w:rPr>
              <w:t>项目4</w:t>
            </w:r>
          </w:p>
        </w:tc>
        <w:tc>
          <w:tcPr>
            <w:tcW w:w="1484" w:type="dxa"/>
            <w:gridSpan w:val="3"/>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pPr>
              <w:jc w:val="center"/>
              <w:rPr>
                <w:szCs w:val="21"/>
              </w:rPr>
            </w:pPr>
            <w:r>
              <w:rPr>
                <w:rFonts w:hint="eastAsia"/>
                <w:szCs w:val="21"/>
              </w:rPr>
              <w:t>项目名称</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szCs w:val="21"/>
              </w:rPr>
            </w:pPr>
            <w:r>
              <w:rPr>
                <w:rFonts w:hint="eastAsia" w:cs="宋体"/>
                <w:szCs w:val="21"/>
              </w:rPr>
              <w:t>建设单位</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szCs w:val="21"/>
              </w:rPr>
            </w:pPr>
            <w:r>
              <w:rPr>
                <w:rFonts w:hint="eastAsia" w:cs="宋体"/>
                <w:szCs w:val="21"/>
              </w:rPr>
              <w:t>建设规模</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rFonts w:ascii="宋体" w:hAnsi="宋体" w:cs="宋体"/>
                <w:sz w:val="27"/>
                <w:szCs w:val="27"/>
                <w:lang w:bidi="ar"/>
              </w:rPr>
            </w:pPr>
            <w:r>
              <w:rPr>
                <w:rFonts w:hint="eastAsia" w:cs="宋体"/>
                <w:szCs w:val="21"/>
              </w:rPr>
              <w:t>开工日期</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pPr>
              <w:jc w:val="center"/>
              <w:rPr>
                <w:szCs w:val="21"/>
              </w:rPr>
            </w:pPr>
            <w:r>
              <w:rPr>
                <w:rFonts w:hint="eastAsia" w:cs="宋体"/>
                <w:szCs w:val="21"/>
              </w:rPr>
              <w:t>竣工日期</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pPr>
              <w:jc w:val="center"/>
              <w:rPr>
                <w:rFonts w:cs="宋体"/>
                <w:szCs w:val="21"/>
              </w:rPr>
            </w:pPr>
            <w:r>
              <w:rPr>
                <w:rFonts w:hint="eastAsia" w:cs="宋体"/>
                <w:szCs w:val="21"/>
              </w:rPr>
              <w:t>企业角色</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pPr>
              <w:jc w:val="center"/>
              <w:rPr>
                <w:rFonts w:cs="宋体"/>
                <w:szCs w:val="21"/>
              </w:rPr>
            </w:pPr>
            <w:r>
              <w:rPr>
                <w:rFonts w:hint="eastAsia" w:cs="宋体"/>
                <w:szCs w:val="21"/>
              </w:rPr>
              <w:t>企业名称</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pPr>
              <w:jc w:val="center"/>
              <w:rPr>
                <w:rFonts w:cs="宋体"/>
                <w:szCs w:val="21"/>
              </w:rPr>
            </w:pPr>
            <w:r>
              <w:rPr>
                <w:rFonts w:hint="eastAsia" w:cs="宋体"/>
                <w:szCs w:val="21"/>
              </w:rPr>
              <w:t>人员角色</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pPr>
              <w:jc w:val="center"/>
              <w:rPr>
                <w:rFonts w:cs="宋体"/>
                <w:szCs w:val="21"/>
              </w:rPr>
            </w:pPr>
            <w:r>
              <w:rPr>
                <w:rFonts w:hint="eastAsia" w:cs="宋体"/>
                <w:szCs w:val="21"/>
              </w:rPr>
              <w:t>在建或已完</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pPr>
              <w:jc w:val="center"/>
              <w:rPr>
                <w:rFonts w:cs="宋体"/>
                <w:szCs w:val="21"/>
              </w:rPr>
            </w:pPr>
            <w:r>
              <w:rPr>
                <w:rFonts w:hint="eastAsia" w:cs="宋体"/>
                <w:szCs w:val="21"/>
              </w:rPr>
              <w:t>工程质量</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bl>
    <w:p>
      <w:pPr>
        <w:spacing w:line="360" w:lineRule="auto"/>
        <w:rPr>
          <w:szCs w:val="21"/>
        </w:rPr>
      </w:pPr>
    </w:p>
    <w:p>
      <w:pPr>
        <w:rPr>
          <w:rFonts w:hint="eastAsia" w:ascii="宋体" w:hAnsi="宋体"/>
          <w:b/>
          <w:sz w:val="24"/>
        </w:rPr>
      </w:pPr>
      <w:r>
        <w:rPr>
          <w:rFonts w:hint="eastAsia" w:ascii="宋体" w:hAnsi="宋体"/>
          <w:b/>
          <w:szCs w:val="21"/>
        </w:rPr>
        <w:t>注：</w:t>
      </w:r>
      <w:r>
        <w:rPr>
          <w:rFonts w:hint="eastAsia" w:ascii="宋体" w:hAnsi="宋体"/>
          <w:b/>
          <w:sz w:val="24"/>
        </w:rPr>
        <w:t>1.项目数可以根据需要增加。</w:t>
      </w:r>
    </w:p>
    <w:p>
      <w:pPr>
        <w:rPr>
          <w:rFonts w:ascii="宋体" w:hAnsi="宋体"/>
          <w:b/>
          <w:sz w:val="24"/>
        </w:rPr>
      </w:pPr>
      <w:r>
        <w:rPr>
          <w:rFonts w:hint="eastAsia" w:ascii="宋体" w:hAnsi="宋体"/>
          <w:b/>
          <w:sz w:val="24"/>
        </w:rPr>
        <w:t>2.本表后附项目技术负责人的职称证、本表所列证书复印件并加盖供应商电子签章。</w:t>
      </w:r>
    </w:p>
    <w:p>
      <w:pPr>
        <w:rPr>
          <w:rFonts w:ascii="宋体" w:hAnsi="宋体"/>
          <w:b/>
          <w:szCs w:val="21"/>
        </w:rPr>
      </w:pPr>
    </w:p>
    <w:p>
      <w:pPr>
        <w:autoSpaceDE w:val="0"/>
        <w:autoSpaceDN w:val="0"/>
        <w:spacing w:line="360" w:lineRule="auto"/>
        <w:ind w:left="4305" w:leftChars="1950" w:hanging="210" w:hangingChars="100"/>
        <w:rPr>
          <w:rFonts w:ascii="宋体" w:hAnsi="宋体" w:cs="仿宋_GB2312"/>
          <w:kern w:val="0"/>
          <w:szCs w:val="21"/>
        </w:rPr>
      </w:pPr>
      <w:r>
        <w:rPr>
          <w:rFonts w:hint="eastAsia" w:ascii="宋体" w:hAnsi="宋体" w:cs="仿宋_GB2312"/>
          <w:kern w:val="0"/>
          <w:szCs w:val="21"/>
        </w:rPr>
        <w:t>供应商名称（电子签章）：</w:t>
      </w:r>
    </w:p>
    <w:p>
      <w:pPr>
        <w:spacing w:line="360" w:lineRule="auto"/>
        <w:ind w:firstLine="3990" w:firstLineChars="1900"/>
        <w:rPr>
          <w:rFonts w:eastAsia="楷体_GB2312"/>
          <w:szCs w:val="21"/>
        </w:rPr>
      </w:pPr>
      <w:r>
        <w:rPr>
          <w:rFonts w:hint="eastAsia" w:ascii="宋体" w:hAnsi="宋体" w:cs="仿宋_GB2312"/>
          <w:kern w:val="0"/>
          <w:szCs w:val="21"/>
          <w:lang w:val="zh-CN"/>
        </w:rPr>
        <w:t>日期：  年  月   日</w:t>
      </w:r>
    </w:p>
    <w:p>
      <w:pPr>
        <w:spacing w:line="360" w:lineRule="auto"/>
        <w:ind w:firstLine="420" w:firstLineChars="200"/>
        <w:jc w:val="center"/>
        <w:rPr>
          <w:szCs w:val="21"/>
          <w:u w:val="single"/>
        </w:rPr>
      </w:pPr>
      <w:r>
        <w:rPr>
          <w:rFonts w:eastAsia="楷体_GB2312"/>
          <w:szCs w:val="21"/>
        </w:rPr>
        <w:br w:type="page"/>
      </w:r>
      <w:r>
        <w:rPr>
          <w:rFonts w:hint="eastAsia" w:cs="宋体"/>
          <w:b/>
          <w:sz w:val="32"/>
          <w:szCs w:val="32"/>
        </w:rPr>
        <w:t>3、专职安全生产管理人员</w:t>
      </w:r>
    </w:p>
    <w:p>
      <w:pPr>
        <w:rPr>
          <w:szCs w:val="21"/>
        </w:rPr>
      </w:pPr>
      <w:r>
        <w:rPr>
          <w:szCs w:val="21"/>
          <w:u w:val="single"/>
        </w:rPr>
        <w:t xml:space="preserve">            </w:t>
      </w:r>
      <w:r>
        <w:rPr>
          <w:rFonts w:hint="eastAsia" w:cs="宋体"/>
          <w:szCs w:val="21"/>
          <w:u w:val="single"/>
        </w:rPr>
        <w:t>（工程项目名称）</w:t>
      </w:r>
      <w:r>
        <w:rPr>
          <w:szCs w:val="21"/>
          <w:u w:val="single"/>
        </w:rPr>
        <w:t xml:space="preserve">        </w:t>
      </w:r>
      <w:r>
        <w:rPr>
          <w:szCs w:val="21"/>
        </w:rPr>
        <w:t xml:space="preserve"> </w:t>
      </w:r>
      <w:r>
        <w:rPr>
          <w:rFonts w:hint="eastAsia" w:cs="宋体"/>
          <w:szCs w:val="21"/>
        </w:rPr>
        <w:t>工程</w:t>
      </w:r>
    </w:p>
    <w:tbl>
      <w:tblPr>
        <w:tblStyle w:val="4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pPr>
              <w:jc w:val="center"/>
              <w:rPr>
                <w:szCs w:val="21"/>
              </w:rPr>
            </w:pPr>
            <w:r>
              <w:rPr>
                <w:rFonts w:hint="eastAsia" w:cs="宋体"/>
                <w:szCs w:val="21"/>
              </w:rPr>
              <w:t>姓名</w:t>
            </w:r>
          </w:p>
        </w:tc>
        <w:tc>
          <w:tcPr>
            <w:tcW w:w="2340" w:type="dxa"/>
            <w:gridSpan w:val="6"/>
            <w:noWrap w:val="0"/>
            <w:vAlign w:val="center"/>
          </w:tcPr>
          <w:p>
            <w:pPr>
              <w:jc w:val="center"/>
              <w:rPr>
                <w:szCs w:val="21"/>
              </w:rPr>
            </w:pPr>
          </w:p>
        </w:tc>
        <w:tc>
          <w:tcPr>
            <w:tcW w:w="1893" w:type="dxa"/>
            <w:gridSpan w:val="5"/>
            <w:noWrap w:val="0"/>
            <w:vAlign w:val="center"/>
          </w:tcPr>
          <w:p>
            <w:pPr>
              <w:jc w:val="center"/>
              <w:rPr>
                <w:szCs w:val="21"/>
              </w:rPr>
            </w:pPr>
            <w:r>
              <w:rPr>
                <w:rFonts w:hint="eastAsia" w:cs="宋体"/>
                <w:szCs w:val="21"/>
              </w:rPr>
              <w:t>性别</w:t>
            </w:r>
          </w:p>
        </w:tc>
        <w:tc>
          <w:tcPr>
            <w:tcW w:w="1585" w:type="dxa"/>
            <w:gridSpan w:val="3"/>
            <w:noWrap w:val="0"/>
            <w:vAlign w:val="center"/>
          </w:tcPr>
          <w:p>
            <w:pPr>
              <w:jc w:val="center"/>
              <w:rPr>
                <w:szCs w:val="21"/>
              </w:rPr>
            </w:pPr>
          </w:p>
        </w:tc>
        <w:tc>
          <w:tcPr>
            <w:tcW w:w="1108" w:type="dxa"/>
            <w:noWrap w:val="0"/>
            <w:vAlign w:val="center"/>
          </w:tcPr>
          <w:p>
            <w:pPr>
              <w:jc w:val="center"/>
              <w:rPr>
                <w:szCs w:val="21"/>
              </w:rPr>
            </w:pPr>
            <w:r>
              <w:rPr>
                <w:rFonts w:hint="eastAsia" w:cs="宋体"/>
                <w:szCs w:val="21"/>
              </w:rPr>
              <w:t>年龄</w:t>
            </w:r>
          </w:p>
        </w:tc>
        <w:tc>
          <w:tcPr>
            <w:tcW w:w="1531"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pPr>
              <w:jc w:val="center"/>
              <w:rPr>
                <w:szCs w:val="21"/>
              </w:rPr>
            </w:pPr>
            <w:r>
              <w:rPr>
                <w:rFonts w:hint="eastAsia" w:cs="宋体"/>
                <w:szCs w:val="21"/>
              </w:rPr>
              <w:t>岗位</w:t>
            </w:r>
          </w:p>
        </w:tc>
        <w:tc>
          <w:tcPr>
            <w:tcW w:w="2340" w:type="dxa"/>
            <w:gridSpan w:val="6"/>
            <w:noWrap w:val="0"/>
            <w:vAlign w:val="center"/>
          </w:tcPr>
          <w:p>
            <w:pPr>
              <w:jc w:val="center"/>
              <w:rPr>
                <w:szCs w:val="21"/>
              </w:rPr>
            </w:pPr>
            <w:r>
              <w:rPr>
                <w:rFonts w:hint="eastAsia"/>
                <w:szCs w:val="21"/>
              </w:rPr>
              <w:t>专职安全生产管理人员</w:t>
            </w:r>
          </w:p>
        </w:tc>
        <w:tc>
          <w:tcPr>
            <w:tcW w:w="1893" w:type="dxa"/>
            <w:gridSpan w:val="5"/>
            <w:noWrap w:val="0"/>
            <w:vAlign w:val="center"/>
          </w:tcPr>
          <w:p>
            <w:pPr>
              <w:jc w:val="center"/>
              <w:rPr>
                <w:szCs w:val="21"/>
              </w:rPr>
            </w:pPr>
            <w:r>
              <w:rPr>
                <w:rFonts w:hint="eastAsia" w:cs="宋体"/>
                <w:szCs w:val="21"/>
              </w:rPr>
              <w:t>职称</w:t>
            </w:r>
          </w:p>
        </w:tc>
        <w:tc>
          <w:tcPr>
            <w:tcW w:w="1585" w:type="dxa"/>
            <w:gridSpan w:val="3"/>
            <w:noWrap w:val="0"/>
            <w:vAlign w:val="center"/>
          </w:tcPr>
          <w:p>
            <w:pPr>
              <w:jc w:val="center"/>
              <w:rPr>
                <w:szCs w:val="21"/>
              </w:rPr>
            </w:pPr>
          </w:p>
        </w:tc>
        <w:tc>
          <w:tcPr>
            <w:tcW w:w="1108" w:type="dxa"/>
            <w:noWrap w:val="0"/>
            <w:vAlign w:val="center"/>
          </w:tcPr>
          <w:p>
            <w:pPr>
              <w:jc w:val="center"/>
              <w:rPr>
                <w:szCs w:val="21"/>
              </w:rPr>
            </w:pPr>
            <w:r>
              <w:rPr>
                <w:rFonts w:hint="eastAsia" w:cs="宋体"/>
                <w:szCs w:val="21"/>
              </w:rPr>
              <w:t>学历</w:t>
            </w:r>
          </w:p>
        </w:tc>
        <w:tc>
          <w:tcPr>
            <w:tcW w:w="1531"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pPr>
              <w:jc w:val="center"/>
              <w:rPr>
                <w:rFonts w:cs="宋体"/>
                <w:szCs w:val="21"/>
              </w:rPr>
            </w:pPr>
            <w:r>
              <w:rPr>
                <w:rFonts w:hint="eastAsia" w:cs="宋体"/>
                <w:szCs w:val="21"/>
              </w:rPr>
              <w:t>从业开始时间</w:t>
            </w:r>
          </w:p>
        </w:tc>
        <w:tc>
          <w:tcPr>
            <w:tcW w:w="2340" w:type="dxa"/>
            <w:gridSpan w:val="6"/>
            <w:noWrap w:val="0"/>
            <w:vAlign w:val="center"/>
          </w:tcPr>
          <w:p>
            <w:pPr>
              <w:jc w:val="center"/>
              <w:rPr>
                <w:szCs w:val="21"/>
              </w:rPr>
            </w:pPr>
          </w:p>
        </w:tc>
        <w:tc>
          <w:tcPr>
            <w:tcW w:w="1893" w:type="dxa"/>
            <w:gridSpan w:val="5"/>
            <w:noWrap w:val="0"/>
            <w:vAlign w:val="center"/>
          </w:tcPr>
          <w:p>
            <w:pPr>
              <w:jc w:val="center"/>
              <w:rPr>
                <w:rFonts w:cs="宋体"/>
                <w:szCs w:val="21"/>
              </w:rPr>
            </w:pPr>
            <w:r>
              <w:rPr>
                <w:rFonts w:hint="eastAsia" w:cs="宋体"/>
                <w:szCs w:val="21"/>
              </w:rPr>
              <w:t>职称</w:t>
            </w:r>
            <w:r>
              <w:rPr>
                <w:rFonts w:cs="宋体"/>
                <w:szCs w:val="21"/>
              </w:rPr>
              <w:t>获</w:t>
            </w:r>
            <w:r>
              <w:rPr>
                <w:rFonts w:hint="eastAsia" w:cs="宋体"/>
                <w:szCs w:val="21"/>
              </w:rPr>
              <w:t>得</w:t>
            </w:r>
            <w:r>
              <w:rPr>
                <w:rFonts w:cs="宋体"/>
                <w:szCs w:val="21"/>
              </w:rPr>
              <w:t>时间</w:t>
            </w:r>
          </w:p>
        </w:tc>
        <w:tc>
          <w:tcPr>
            <w:tcW w:w="1585" w:type="dxa"/>
            <w:gridSpan w:val="3"/>
            <w:noWrap w:val="0"/>
            <w:vAlign w:val="center"/>
          </w:tcPr>
          <w:p>
            <w:pPr>
              <w:jc w:val="center"/>
              <w:rPr>
                <w:szCs w:val="21"/>
              </w:rPr>
            </w:pPr>
          </w:p>
        </w:tc>
        <w:tc>
          <w:tcPr>
            <w:tcW w:w="1108" w:type="dxa"/>
            <w:noWrap w:val="0"/>
            <w:vAlign w:val="center"/>
          </w:tcPr>
          <w:p>
            <w:pPr>
              <w:jc w:val="center"/>
              <w:rPr>
                <w:rFonts w:cs="宋体"/>
                <w:szCs w:val="21"/>
              </w:rPr>
            </w:pPr>
            <w:r>
              <w:rPr>
                <w:rFonts w:hint="eastAsia" w:cs="宋体"/>
                <w:szCs w:val="21"/>
              </w:rPr>
              <w:t>毕业时间</w:t>
            </w:r>
          </w:p>
        </w:tc>
        <w:tc>
          <w:tcPr>
            <w:tcW w:w="1531" w:type="dxa"/>
            <w:gridSpan w:val="5"/>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pPr>
              <w:jc w:val="center"/>
              <w:rPr>
                <w:szCs w:val="21"/>
              </w:rPr>
            </w:pPr>
            <w:r>
              <w:rPr>
                <w:rFonts w:hint="eastAsia" w:cs="宋体"/>
                <w:szCs w:val="21"/>
              </w:rPr>
              <w:t>担任……年限</w:t>
            </w:r>
          </w:p>
        </w:tc>
        <w:tc>
          <w:tcPr>
            <w:tcW w:w="1161" w:type="dxa"/>
            <w:gridSpan w:val="2"/>
            <w:noWrap w:val="0"/>
            <w:vAlign w:val="center"/>
          </w:tcPr>
          <w:p>
            <w:pPr>
              <w:jc w:val="center"/>
              <w:rPr>
                <w:szCs w:val="21"/>
              </w:rPr>
            </w:pPr>
          </w:p>
        </w:tc>
        <w:tc>
          <w:tcPr>
            <w:tcW w:w="1402" w:type="dxa"/>
            <w:gridSpan w:val="5"/>
            <w:noWrap w:val="0"/>
            <w:vAlign w:val="center"/>
          </w:tcPr>
          <w:p>
            <w:pPr>
              <w:jc w:val="center"/>
              <w:rPr>
                <w:szCs w:val="21"/>
              </w:rPr>
            </w:pPr>
            <w:r>
              <w:rPr>
                <w:rFonts w:hint="eastAsia"/>
                <w:szCs w:val="21"/>
              </w:rPr>
              <w:t>身份</w:t>
            </w:r>
            <w:r>
              <w:rPr>
                <w:szCs w:val="21"/>
              </w:rPr>
              <w:t>证号码</w:t>
            </w:r>
          </w:p>
        </w:tc>
        <w:tc>
          <w:tcPr>
            <w:tcW w:w="1209" w:type="dxa"/>
            <w:noWrap w:val="0"/>
            <w:vAlign w:val="center"/>
          </w:tcPr>
          <w:p>
            <w:pPr>
              <w:jc w:val="center"/>
              <w:rPr>
                <w:szCs w:val="21"/>
              </w:rPr>
            </w:pPr>
          </w:p>
        </w:tc>
        <w:tc>
          <w:tcPr>
            <w:tcW w:w="3610" w:type="dxa"/>
            <w:gridSpan w:val="9"/>
            <w:noWrap w:val="0"/>
            <w:vAlign w:val="center"/>
          </w:tcPr>
          <w:p>
            <w:pPr>
              <w:jc w:val="center"/>
              <w:rPr>
                <w:szCs w:val="21"/>
              </w:rPr>
            </w:pPr>
            <w:r>
              <w:rPr>
                <w:rFonts w:hint="eastAsia"/>
                <w:szCs w:val="21"/>
              </w:rPr>
              <w:t>社保所附证明材料索引号</w:t>
            </w:r>
          </w:p>
        </w:tc>
        <w:tc>
          <w:tcPr>
            <w:tcW w:w="998" w:type="dxa"/>
            <w:gridSpan w:val="2"/>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pPr>
              <w:jc w:val="center"/>
              <w:rPr>
                <w:szCs w:val="21"/>
              </w:rPr>
            </w:pPr>
            <w:r>
              <w:rPr>
                <w:rFonts w:hint="eastAsia"/>
                <w:szCs w:val="21"/>
              </w:rPr>
              <w:t>证书名称</w:t>
            </w:r>
          </w:p>
        </w:tc>
        <w:tc>
          <w:tcPr>
            <w:tcW w:w="1275" w:type="dxa"/>
            <w:gridSpan w:val="3"/>
            <w:noWrap w:val="0"/>
            <w:vAlign w:val="center"/>
          </w:tcPr>
          <w:p>
            <w:pPr>
              <w:jc w:val="center"/>
              <w:rPr>
                <w:szCs w:val="21"/>
              </w:rPr>
            </w:pPr>
            <w:r>
              <w:rPr>
                <w:rFonts w:hint="eastAsia"/>
                <w:szCs w:val="21"/>
              </w:rPr>
              <w:t>注册专业</w:t>
            </w:r>
          </w:p>
        </w:tc>
        <w:tc>
          <w:tcPr>
            <w:tcW w:w="1222" w:type="dxa"/>
            <w:gridSpan w:val="3"/>
            <w:noWrap w:val="0"/>
            <w:vAlign w:val="center"/>
          </w:tcPr>
          <w:p>
            <w:pPr>
              <w:jc w:val="center"/>
              <w:rPr>
                <w:szCs w:val="21"/>
              </w:rPr>
            </w:pPr>
            <w:r>
              <w:rPr>
                <w:szCs w:val="21"/>
              </w:rPr>
              <w:t>级别</w:t>
            </w:r>
          </w:p>
        </w:tc>
        <w:tc>
          <w:tcPr>
            <w:tcW w:w="1417" w:type="dxa"/>
            <w:gridSpan w:val="3"/>
            <w:noWrap w:val="0"/>
            <w:vAlign w:val="center"/>
          </w:tcPr>
          <w:p>
            <w:pPr>
              <w:jc w:val="center"/>
              <w:rPr>
                <w:szCs w:val="21"/>
              </w:rPr>
            </w:pPr>
            <w:r>
              <w:rPr>
                <w:rFonts w:hint="eastAsia" w:cs="宋体"/>
                <w:szCs w:val="21"/>
              </w:rPr>
              <w:t>证书编号</w:t>
            </w:r>
          </w:p>
        </w:tc>
        <w:tc>
          <w:tcPr>
            <w:tcW w:w="1418" w:type="dxa"/>
            <w:gridSpan w:val="3"/>
            <w:noWrap w:val="0"/>
            <w:vAlign w:val="center"/>
          </w:tcPr>
          <w:p>
            <w:pPr>
              <w:jc w:val="center"/>
              <w:rPr>
                <w:szCs w:val="21"/>
              </w:rPr>
            </w:pPr>
            <w:r>
              <w:rPr>
                <w:rFonts w:hint="eastAsia"/>
                <w:szCs w:val="21"/>
              </w:rPr>
              <w:t>注册时间</w:t>
            </w:r>
          </w:p>
        </w:tc>
        <w:tc>
          <w:tcPr>
            <w:tcW w:w="1632" w:type="dxa"/>
            <w:gridSpan w:val="4"/>
            <w:noWrap w:val="0"/>
            <w:vAlign w:val="center"/>
          </w:tcPr>
          <w:p>
            <w:pPr>
              <w:jc w:val="center"/>
              <w:rPr>
                <w:szCs w:val="21"/>
              </w:rPr>
            </w:pPr>
            <w:r>
              <w:rPr>
                <w:rFonts w:hint="eastAsia"/>
                <w:szCs w:val="21"/>
              </w:rPr>
              <w:t>注册单位</w:t>
            </w:r>
          </w:p>
        </w:tc>
        <w:tc>
          <w:tcPr>
            <w:tcW w:w="1416" w:type="dxa"/>
            <w:gridSpan w:val="3"/>
            <w:noWrap w:val="0"/>
            <w:vAlign w:val="center"/>
          </w:tcPr>
          <w:p>
            <w:pPr>
              <w:jc w:val="center"/>
              <w:rPr>
                <w:szCs w:val="21"/>
              </w:rPr>
            </w:pPr>
            <w:r>
              <w:rPr>
                <w:rFonts w:hint="eastAsia"/>
                <w:szCs w:val="21"/>
              </w:rPr>
              <w:t>注册有效期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pPr>
              <w:jc w:val="center"/>
              <w:rPr>
                <w:szCs w:val="21"/>
              </w:rPr>
            </w:pPr>
            <w:r>
              <w:rPr>
                <w:rFonts w:hint="eastAsia"/>
                <w:szCs w:val="21"/>
              </w:rPr>
              <w:t>安全生产考核合格证书</w:t>
            </w:r>
          </w:p>
        </w:tc>
        <w:tc>
          <w:tcPr>
            <w:tcW w:w="1275" w:type="dxa"/>
            <w:gridSpan w:val="3"/>
            <w:noWrap w:val="0"/>
            <w:vAlign w:val="center"/>
          </w:tcPr>
          <w:p>
            <w:pPr>
              <w:jc w:val="center"/>
              <w:rPr>
                <w:szCs w:val="21"/>
              </w:rPr>
            </w:pPr>
          </w:p>
        </w:tc>
        <w:tc>
          <w:tcPr>
            <w:tcW w:w="1222" w:type="dxa"/>
            <w:gridSpan w:val="3"/>
            <w:noWrap w:val="0"/>
            <w:vAlign w:val="center"/>
          </w:tcPr>
          <w:p>
            <w:pPr>
              <w:jc w:val="center"/>
              <w:rPr>
                <w:rFonts w:cs="宋体"/>
                <w:szCs w:val="21"/>
              </w:rPr>
            </w:pPr>
            <w:r>
              <w:rPr>
                <w:rFonts w:hint="eastAsia" w:cs="宋体"/>
                <w:szCs w:val="21"/>
              </w:rPr>
              <w:t>C类</w:t>
            </w:r>
          </w:p>
        </w:tc>
        <w:tc>
          <w:tcPr>
            <w:tcW w:w="1417" w:type="dxa"/>
            <w:gridSpan w:val="3"/>
            <w:noWrap w:val="0"/>
            <w:vAlign w:val="center"/>
          </w:tcPr>
          <w:p>
            <w:pPr>
              <w:jc w:val="center"/>
              <w:rPr>
                <w:szCs w:val="21"/>
              </w:rPr>
            </w:pPr>
          </w:p>
        </w:tc>
        <w:tc>
          <w:tcPr>
            <w:tcW w:w="1418" w:type="dxa"/>
            <w:gridSpan w:val="3"/>
            <w:noWrap w:val="0"/>
            <w:vAlign w:val="center"/>
          </w:tcPr>
          <w:p>
            <w:pPr>
              <w:jc w:val="center"/>
              <w:rPr>
                <w:szCs w:val="21"/>
              </w:rPr>
            </w:pPr>
          </w:p>
        </w:tc>
        <w:tc>
          <w:tcPr>
            <w:tcW w:w="1632" w:type="dxa"/>
            <w:gridSpan w:val="4"/>
            <w:noWrap w:val="0"/>
            <w:vAlign w:val="center"/>
          </w:tcPr>
          <w:p>
            <w:pPr>
              <w:jc w:val="center"/>
              <w:rPr>
                <w:szCs w:val="21"/>
              </w:rPr>
            </w:pPr>
          </w:p>
        </w:tc>
        <w:tc>
          <w:tcPr>
            <w:tcW w:w="1416"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pPr>
              <w:jc w:val="center"/>
              <w:rPr>
                <w:szCs w:val="21"/>
              </w:rPr>
            </w:pPr>
            <w:r>
              <w:rPr>
                <w:rFonts w:hint="eastAsia" w:cs="宋体"/>
                <w:szCs w:val="21"/>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pPr>
              <w:jc w:val="center"/>
              <w:rPr>
                <w:szCs w:val="21"/>
              </w:rPr>
            </w:pPr>
          </w:p>
        </w:tc>
        <w:tc>
          <w:tcPr>
            <w:tcW w:w="1548" w:type="dxa"/>
            <w:gridSpan w:val="3"/>
            <w:noWrap w:val="0"/>
            <w:vAlign w:val="center"/>
          </w:tcPr>
          <w:p>
            <w:pPr>
              <w:jc w:val="center"/>
              <w:rPr>
                <w:szCs w:val="21"/>
              </w:rPr>
            </w:pPr>
            <w:r>
              <w:rPr>
                <w:rFonts w:hint="eastAsia"/>
                <w:szCs w:val="21"/>
              </w:rPr>
              <w:t>项目1</w:t>
            </w:r>
          </w:p>
        </w:tc>
        <w:tc>
          <w:tcPr>
            <w:tcW w:w="1837" w:type="dxa"/>
            <w:gridSpan w:val="4"/>
            <w:noWrap w:val="0"/>
            <w:vAlign w:val="center"/>
          </w:tcPr>
          <w:p>
            <w:pPr>
              <w:jc w:val="center"/>
              <w:rPr>
                <w:szCs w:val="21"/>
              </w:rPr>
            </w:pPr>
            <w:r>
              <w:rPr>
                <w:rFonts w:hint="eastAsia"/>
                <w:szCs w:val="21"/>
              </w:rPr>
              <w:t>项目2</w:t>
            </w:r>
          </w:p>
        </w:tc>
        <w:tc>
          <w:tcPr>
            <w:tcW w:w="1472" w:type="dxa"/>
            <w:gridSpan w:val="3"/>
            <w:noWrap w:val="0"/>
            <w:vAlign w:val="center"/>
          </w:tcPr>
          <w:p>
            <w:pPr>
              <w:jc w:val="center"/>
              <w:rPr>
                <w:szCs w:val="21"/>
              </w:rPr>
            </w:pPr>
            <w:r>
              <w:rPr>
                <w:rFonts w:hint="eastAsia"/>
                <w:szCs w:val="21"/>
              </w:rPr>
              <w:t>项目3</w:t>
            </w:r>
          </w:p>
        </w:tc>
        <w:tc>
          <w:tcPr>
            <w:tcW w:w="1641" w:type="dxa"/>
            <w:gridSpan w:val="4"/>
            <w:noWrap w:val="0"/>
            <w:vAlign w:val="center"/>
          </w:tcPr>
          <w:p>
            <w:pPr>
              <w:jc w:val="center"/>
              <w:rPr>
                <w:szCs w:val="21"/>
              </w:rPr>
            </w:pPr>
            <w:r>
              <w:rPr>
                <w:rFonts w:hint="eastAsia"/>
                <w:szCs w:val="21"/>
              </w:rPr>
              <w:t>项目4</w:t>
            </w:r>
          </w:p>
        </w:tc>
        <w:tc>
          <w:tcPr>
            <w:tcW w:w="1484" w:type="dxa"/>
            <w:gridSpan w:val="3"/>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pPr>
              <w:jc w:val="center"/>
              <w:rPr>
                <w:szCs w:val="21"/>
              </w:rPr>
            </w:pPr>
            <w:r>
              <w:rPr>
                <w:rFonts w:hint="eastAsia" w:cs="宋体"/>
                <w:szCs w:val="21"/>
              </w:rPr>
              <w:t>建设单位</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pPr>
              <w:jc w:val="center"/>
              <w:rPr>
                <w:szCs w:val="21"/>
              </w:rPr>
            </w:pPr>
            <w:r>
              <w:rPr>
                <w:rFonts w:hint="eastAsia" w:cs="宋体"/>
                <w:szCs w:val="21"/>
              </w:rPr>
              <w:t>建设规模</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rFonts w:ascii="宋体" w:hAnsi="宋体" w:cs="宋体"/>
                <w:sz w:val="27"/>
                <w:szCs w:val="27"/>
                <w:lang w:bidi="ar"/>
              </w:rPr>
            </w:pPr>
            <w:r>
              <w:rPr>
                <w:rFonts w:hint="eastAsia" w:cs="宋体"/>
                <w:szCs w:val="21"/>
              </w:rPr>
              <w:t>开工日期</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szCs w:val="21"/>
              </w:rPr>
            </w:pPr>
            <w:r>
              <w:rPr>
                <w:rFonts w:hint="eastAsia" w:cs="宋体"/>
                <w:szCs w:val="21"/>
              </w:rPr>
              <w:t>竣工日期</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rFonts w:cs="宋体"/>
                <w:szCs w:val="21"/>
              </w:rPr>
            </w:pPr>
            <w:r>
              <w:rPr>
                <w:rFonts w:hint="eastAsia" w:cs="宋体"/>
                <w:szCs w:val="21"/>
              </w:rPr>
              <w:t>企业角色</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rFonts w:cs="宋体"/>
                <w:szCs w:val="21"/>
              </w:rPr>
            </w:pPr>
            <w:r>
              <w:rPr>
                <w:rFonts w:hint="eastAsia" w:cs="宋体"/>
                <w:szCs w:val="21"/>
              </w:rPr>
              <w:t>企业名称</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rFonts w:cs="宋体"/>
                <w:szCs w:val="21"/>
              </w:rPr>
            </w:pPr>
            <w:r>
              <w:rPr>
                <w:rFonts w:hint="eastAsia" w:cs="宋体"/>
                <w:szCs w:val="21"/>
              </w:rPr>
              <w:t>人员角色</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rFonts w:cs="宋体"/>
                <w:szCs w:val="21"/>
              </w:rPr>
            </w:pPr>
            <w:r>
              <w:rPr>
                <w:rFonts w:hint="eastAsia" w:cs="宋体"/>
                <w:szCs w:val="21"/>
              </w:rPr>
              <w:t>在建或已完</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pPr>
              <w:jc w:val="center"/>
              <w:rPr>
                <w:rFonts w:cs="宋体"/>
                <w:szCs w:val="21"/>
              </w:rPr>
            </w:pPr>
            <w:r>
              <w:rPr>
                <w:rFonts w:hint="eastAsia" w:cs="宋体"/>
                <w:szCs w:val="21"/>
              </w:rPr>
              <w:t>工程质量</w:t>
            </w:r>
          </w:p>
        </w:tc>
        <w:tc>
          <w:tcPr>
            <w:tcW w:w="1548" w:type="dxa"/>
            <w:gridSpan w:val="3"/>
            <w:noWrap w:val="0"/>
            <w:vAlign w:val="center"/>
          </w:tcPr>
          <w:p>
            <w:pPr>
              <w:jc w:val="center"/>
              <w:rPr>
                <w:szCs w:val="21"/>
              </w:rPr>
            </w:pPr>
          </w:p>
        </w:tc>
        <w:tc>
          <w:tcPr>
            <w:tcW w:w="1837" w:type="dxa"/>
            <w:gridSpan w:val="4"/>
            <w:noWrap w:val="0"/>
            <w:vAlign w:val="center"/>
          </w:tcPr>
          <w:p>
            <w:pPr>
              <w:jc w:val="center"/>
              <w:rPr>
                <w:szCs w:val="21"/>
              </w:rPr>
            </w:pPr>
          </w:p>
        </w:tc>
        <w:tc>
          <w:tcPr>
            <w:tcW w:w="1472" w:type="dxa"/>
            <w:gridSpan w:val="3"/>
            <w:noWrap w:val="0"/>
            <w:vAlign w:val="center"/>
          </w:tcPr>
          <w:p>
            <w:pPr>
              <w:jc w:val="center"/>
              <w:rPr>
                <w:szCs w:val="21"/>
              </w:rPr>
            </w:pPr>
          </w:p>
        </w:tc>
        <w:tc>
          <w:tcPr>
            <w:tcW w:w="1641" w:type="dxa"/>
            <w:gridSpan w:val="4"/>
            <w:noWrap w:val="0"/>
            <w:vAlign w:val="center"/>
          </w:tcPr>
          <w:p>
            <w:pPr>
              <w:jc w:val="center"/>
              <w:rPr>
                <w:szCs w:val="21"/>
              </w:rPr>
            </w:pPr>
          </w:p>
        </w:tc>
        <w:tc>
          <w:tcPr>
            <w:tcW w:w="1484" w:type="dxa"/>
            <w:gridSpan w:val="3"/>
            <w:noWrap w:val="0"/>
            <w:vAlign w:val="center"/>
          </w:tcPr>
          <w:p>
            <w:pPr>
              <w:jc w:val="center"/>
              <w:rPr>
                <w:szCs w:val="21"/>
              </w:rPr>
            </w:pPr>
          </w:p>
        </w:tc>
      </w:tr>
    </w:tbl>
    <w:p>
      <w:pPr>
        <w:spacing w:line="360" w:lineRule="auto"/>
        <w:rPr>
          <w:szCs w:val="21"/>
        </w:rPr>
      </w:pPr>
    </w:p>
    <w:p>
      <w:pPr>
        <w:rPr>
          <w:rFonts w:hint="eastAsia" w:ascii="宋体" w:hAnsi="宋体"/>
          <w:b/>
          <w:sz w:val="24"/>
        </w:rPr>
      </w:pPr>
      <w:r>
        <w:rPr>
          <w:rFonts w:hint="eastAsia" w:ascii="宋体" w:hAnsi="宋体"/>
          <w:b/>
          <w:sz w:val="24"/>
        </w:rPr>
        <w:t>注：1.供应商可以根据项目情况增减表格内容，项目数可以根据需要增加。</w:t>
      </w:r>
    </w:p>
    <w:p>
      <w:pPr>
        <w:rPr>
          <w:rFonts w:ascii="宋体" w:hAnsi="宋体"/>
          <w:b/>
          <w:sz w:val="24"/>
        </w:rPr>
      </w:pPr>
      <w:r>
        <w:rPr>
          <w:rFonts w:hint="eastAsia" w:ascii="宋体" w:hAnsi="宋体"/>
          <w:b/>
          <w:sz w:val="24"/>
        </w:rPr>
        <w:t>2.本表后附专职安全生产管理人员的学历证、安全生产考核合格证（C 类）、本表所列证书复印件并加盖供应商电子签章。</w:t>
      </w:r>
    </w:p>
    <w:p>
      <w:pPr>
        <w:rPr>
          <w:rFonts w:hint="eastAsia" w:ascii="宋体" w:hAnsi="宋体" w:cs="宋体"/>
          <w:b/>
          <w:bCs/>
          <w:sz w:val="28"/>
          <w:szCs w:val="36"/>
        </w:rPr>
      </w:pPr>
    </w:p>
    <w:p>
      <w:pPr>
        <w:autoSpaceDE w:val="0"/>
        <w:autoSpaceDN w:val="0"/>
        <w:spacing w:line="360" w:lineRule="auto"/>
        <w:ind w:left="4305" w:leftChars="1950" w:hanging="210" w:hangingChars="100"/>
        <w:rPr>
          <w:rFonts w:ascii="宋体" w:hAnsi="宋体" w:cs="仿宋_GB2312"/>
          <w:kern w:val="0"/>
          <w:szCs w:val="21"/>
        </w:rPr>
      </w:pPr>
      <w:r>
        <w:rPr>
          <w:rFonts w:hint="eastAsia" w:ascii="宋体" w:hAnsi="宋体" w:cs="仿宋_GB2312"/>
          <w:kern w:val="0"/>
          <w:szCs w:val="21"/>
        </w:rPr>
        <w:t>供应商名称（电子签章）：</w:t>
      </w:r>
    </w:p>
    <w:p>
      <w:pPr>
        <w:snapToGrid w:val="0"/>
        <w:spacing w:line="360" w:lineRule="auto"/>
        <w:ind w:firstLine="420" w:firstLineChars="200"/>
        <w:rPr>
          <w:rFonts w:hint="eastAsia" w:ascii="宋体" w:hAnsi="宋体" w:cs="仿宋_GB2312"/>
          <w:b/>
          <w:sz w:val="30"/>
          <w:szCs w:val="30"/>
        </w:rPr>
      </w:pPr>
      <w:r>
        <w:rPr>
          <w:rFonts w:hint="eastAsia" w:ascii="宋体" w:hAnsi="宋体" w:cs="仿宋_GB2312"/>
          <w:kern w:val="0"/>
          <w:szCs w:val="21"/>
          <w:lang w:val="zh-CN"/>
        </w:rPr>
        <w:t>日期：  年  月   日</w:t>
      </w:r>
      <w:r>
        <w:rPr>
          <w:rFonts w:eastAsia="楷体_GB2312"/>
          <w:szCs w:val="21"/>
        </w:rPr>
        <w:br w:type="page"/>
      </w:r>
    </w:p>
    <w:p>
      <w:pPr>
        <w:spacing w:line="360" w:lineRule="auto"/>
        <w:rPr>
          <w:rFonts w:ascii="宋体" w:hAnsi="宋体" w:cs="仿宋_GB2312"/>
          <w:b/>
          <w:sz w:val="30"/>
          <w:szCs w:val="30"/>
        </w:rPr>
      </w:pPr>
      <w:r>
        <w:rPr>
          <w:rFonts w:hint="eastAsia" w:ascii="宋体" w:hAnsi="宋体" w:cs="仿宋_GB2312"/>
          <w:b/>
          <w:sz w:val="30"/>
          <w:szCs w:val="30"/>
          <w:lang w:val="en-US" w:eastAsia="zh-CN"/>
        </w:rPr>
        <w:t>十一、</w:t>
      </w:r>
      <w:r>
        <w:rPr>
          <w:rFonts w:hint="eastAsia" w:ascii="宋体" w:hAnsi="宋体" w:cs="仿宋_GB2312"/>
          <w:b/>
          <w:sz w:val="30"/>
          <w:szCs w:val="30"/>
        </w:rPr>
        <w:t>建设工程项目管理承诺书：</w:t>
      </w:r>
    </w:p>
    <w:p>
      <w:pPr>
        <w:rPr>
          <w:rFonts w:cs="宋体"/>
          <w:b/>
          <w:bCs/>
          <w:sz w:val="28"/>
          <w:szCs w:val="28"/>
        </w:rPr>
      </w:pPr>
    </w:p>
    <w:p>
      <w:pPr>
        <w:autoSpaceDE w:val="0"/>
        <w:autoSpaceDN w:val="0"/>
        <w:spacing w:line="360" w:lineRule="auto"/>
        <w:jc w:val="center"/>
        <w:rPr>
          <w:rFonts w:ascii="宋体" w:hAnsi="宋体"/>
          <w:b/>
          <w:sz w:val="32"/>
          <w:szCs w:val="32"/>
        </w:rPr>
      </w:pPr>
      <w:r>
        <w:rPr>
          <w:rFonts w:hint="eastAsia" w:ascii="宋体" w:hAnsi="宋体"/>
          <w:b/>
          <w:sz w:val="32"/>
          <w:szCs w:val="32"/>
        </w:rPr>
        <w:t>建设工程项目管理承诺书</w:t>
      </w:r>
    </w:p>
    <w:p>
      <w:pPr>
        <w:spacing w:line="400" w:lineRule="exact"/>
        <w:rPr>
          <w:rFonts w:ascii="宋体" w:hAnsi="宋体"/>
          <w:sz w:val="24"/>
          <w:szCs w:val="22"/>
        </w:rPr>
      </w:pPr>
    </w:p>
    <w:p>
      <w:pPr>
        <w:spacing w:line="400" w:lineRule="exact"/>
        <w:rPr>
          <w:rFonts w:ascii="宋体" w:hAnsi="宋体"/>
          <w:szCs w:val="21"/>
        </w:rPr>
      </w:pPr>
      <w:r>
        <w:rPr>
          <w:rFonts w:hint="eastAsia" w:ascii="宋体" w:hAnsi="宋体" w:cs="宋体"/>
          <w:szCs w:val="21"/>
        </w:rPr>
        <w:t>致</w:t>
      </w:r>
      <w:r>
        <w:rPr>
          <w:rFonts w:ascii="宋体" w:hAnsi="宋体"/>
          <w:szCs w:val="21"/>
          <w:u w:val="single"/>
        </w:rPr>
        <w:t xml:space="preserve">                        </w:t>
      </w:r>
      <w:r>
        <w:rPr>
          <w:rFonts w:hint="eastAsia" w:ascii="宋体" w:hAnsi="宋体" w:cs="宋体"/>
          <w:szCs w:val="21"/>
        </w:rPr>
        <w:t>（采购人名称）：</w:t>
      </w:r>
    </w:p>
    <w:p>
      <w:pPr>
        <w:spacing w:line="400" w:lineRule="exact"/>
        <w:ind w:firstLine="420" w:firstLineChars="200"/>
        <w:rPr>
          <w:rFonts w:ascii="宋体" w:hAnsi="宋体"/>
          <w:szCs w:val="21"/>
        </w:rPr>
      </w:pPr>
      <w:r>
        <w:rPr>
          <w:rFonts w:hint="eastAsia" w:ascii="宋体" w:hAnsi="宋体" w:cs="宋体"/>
          <w:szCs w:val="21"/>
        </w:rPr>
        <w:t>作为参与</w:t>
      </w:r>
      <w:r>
        <w:rPr>
          <w:rFonts w:ascii="宋体" w:hAnsi="宋体"/>
          <w:szCs w:val="21"/>
          <w:u w:val="single"/>
        </w:rPr>
        <w:t xml:space="preserve">                  </w:t>
      </w:r>
      <w:r>
        <w:rPr>
          <w:rFonts w:hint="eastAsia" w:ascii="宋体" w:hAnsi="宋体" w:cs="宋体"/>
          <w:szCs w:val="21"/>
        </w:rPr>
        <w:t>（项目名称）项目的供应商，根据国家、自治区相关文件规定，我方在此向采购人承诺：</w:t>
      </w:r>
    </w:p>
    <w:p>
      <w:pPr>
        <w:spacing w:line="400" w:lineRule="exact"/>
        <w:ind w:firstLine="420" w:firstLineChars="200"/>
        <w:rPr>
          <w:rFonts w:ascii="宋体" w:hAnsi="宋体"/>
          <w:szCs w:val="21"/>
        </w:rPr>
      </w:pPr>
      <w:r>
        <w:rPr>
          <w:rFonts w:ascii="宋体" w:hAnsi="宋体"/>
          <w:szCs w:val="21"/>
        </w:rPr>
        <w:t>1、一旦</w:t>
      </w:r>
      <w:r>
        <w:rPr>
          <w:rFonts w:hint="eastAsia" w:ascii="宋体" w:hAnsi="宋体"/>
          <w:szCs w:val="21"/>
        </w:rPr>
        <w:t>成交</w:t>
      </w:r>
      <w:r>
        <w:rPr>
          <w:rFonts w:ascii="宋体" w:hAnsi="宋体"/>
          <w:szCs w:val="21"/>
        </w:rPr>
        <w:t>，我方保证按照政府相关部门的规定，</w:t>
      </w:r>
      <w:r>
        <w:rPr>
          <w:rFonts w:hint="eastAsia" w:ascii="宋体" w:hAnsi="宋体"/>
          <w:szCs w:val="21"/>
        </w:rPr>
        <w:t>在成交后7个工作日内，按照《保障农民工工资支付条例》规定及广西壮族自治区有关规定开设农民工工资专用账户，并按</w:t>
      </w:r>
      <w:r>
        <w:rPr>
          <w:rFonts w:hint="eastAsia" w:ascii="宋体" w:hAnsi="宋体"/>
          <w:szCs w:val="21"/>
          <w:u w:val="single"/>
        </w:rPr>
        <w:t>要求</w:t>
      </w:r>
      <w:r>
        <w:rPr>
          <w:rFonts w:hint="eastAsia" w:ascii="宋体" w:hAnsi="宋体"/>
          <w:szCs w:val="21"/>
        </w:rPr>
        <w:t>比例将农民工工资保证金存入账户，专项用于支付本工程提供劳动的农民工被拖欠的工资。</w:t>
      </w:r>
      <w:r>
        <w:rPr>
          <w:rFonts w:ascii="宋体" w:hAnsi="宋体"/>
          <w:szCs w:val="21"/>
        </w:rPr>
        <w:t>按照与农民工依法约定的工资支付周期和具体支付日期支付工资</w:t>
      </w:r>
      <w:r>
        <w:rPr>
          <w:rFonts w:hint="eastAsia" w:ascii="宋体" w:hAnsi="宋体"/>
          <w:szCs w:val="21"/>
        </w:rPr>
        <w:t>，保证</w:t>
      </w:r>
      <w:r>
        <w:rPr>
          <w:rFonts w:ascii="宋体" w:hAnsi="宋体"/>
          <w:szCs w:val="21"/>
        </w:rPr>
        <w:t>每月至少向农民工足额支付一次工资。</w:t>
      </w:r>
    </w:p>
    <w:p>
      <w:pPr>
        <w:spacing w:line="400" w:lineRule="exact"/>
        <w:ind w:firstLine="420" w:firstLineChars="200"/>
        <w:rPr>
          <w:rFonts w:ascii="宋体" w:hAnsi="宋体"/>
          <w:szCs w:val="21"/>
        </w:rPr>
      </w:pPr>
      <w:r>
        <w:rPr>
          <w:rFonts w:ascii="宋体" w:hAnsi="宋体"/>
          <w:szCs w:val="21"/>
        </w:rPr>
        <w:t>2、一旦成交，我方保证在施工过程中，严格执行《广西壮族自治区建筑工程安全文明施工费使用管理细则》（桂建质〔20</w:t>
      </w:r>
      <w:r>
        <w:rPr>
          <w:rFonts w:hint="eastAsia" w:ascii="宋体" w:hAnsi="宋体"/>
          <w:szCs w:val="21"/>
        </w:rPr>
        <w:t>15</w:t>
      </w:r>
      <w:r>
        <w:rPr>
          <w:rFonts w:ascii="宋体" w:hAnsi="宋体"/>
          <w:szCs w:val="21"/>
        </w:rPr>
        <w:t>〕</w:t>
      </w:r>
      <w:r>
        <w:rPr>
          <w:rFonts w:hint="eastAsia" w:ascii="宋体" w:hAnsi="宋体"/>
          <w:szCs w:val="21"/>
        </w:rPr>
        <w:t>16</w:t>
      </w:r>
      <w:r>
        <w:rPr>
          <w:rFonts w:ascii="宋体" w:hAnsi="宋体"/>
          <w:szCs w:val="21"/>
        </w:rPr>
        <w:t>号）的有关规定，确保建设工程各项安全防护、文明施工措施落实到位。如我方在该项目的承包中出现未按桂建质〔20</w:t>
      </w:r>
      <w:r>
        <w:rPr>
          <w:rFonts w:hint="eastAsia" w:ascii="宋体" w:hAnsi="宋体"/>
          <w:szCs w:val="21"/>
        </w:rPr>
        <w:t>15</w:t>
      </w:r>
      <w:r>
        <w:rPr>
          <w:rFonts w:ascii="宋体" w:hAnsi="宋体"/>
          <w:szCs w:val="21"/>
        </w:rPr>
        <w:t>〕</w:t>
      </w:r>
      <w:r>
        <w:rPr>
          <w:rFonts w:hint="eastAsia" w:ascii="宋体" w:hAnsi="宋体"/>
          <w:szCs w:val="21"/>
        </w:rPr>
        <w:t>16</w:t>
      </w:r>
      <w:r>
        <w:rPr>
          <w:rFonts w:ascii="宋体" w:hAnsi="宋体"/>
          <w:szCs w:val="21"/>
        </w:rPr>
        <w:t>号文附件一规定执行的情形，我方愿意按照相关规定接受建设单位及有关主管部门的处罚。</w:t>
      </w:r>
    </w:p>
    <w:p>
      <w:pPr>
        <w:spacing w:line="400" w:lineRule="exact"/>
        <w:ind w:firstLine="420" w:firstLineChars="200"/>
        <w:rPr>
          <w:rFonts w:ascii="宋体" w:hAnsi="宋体"/>
          <w:szCs w:val="21"/>
        </w:rPr>
      </w:pPr>
      <w:r>
        <w:rPr>
          <w:rFonts w:ascii="宋体" w:hAnsi="宋体"/>
          <w:szCs w:val="21"/>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spacing w:line="400" w:lineRule="exact"/>
        <w:ind w:firstLine="420" w:firstLineChars="200"/>
        <w:rPr>
          <w:rFonts w:ascii="宋体" w:hAnsi="宋体"/>
          <w:szCs w:val="21"/>
        </w:rPr>
      </w:pPr>
      <w:r>
        <w:rPr>
          <w:rFonts w:hint="eastAsia" w:ascii="宋体" w:hAnsi="宋体"/>
          <w:szCs w:val="21"/>
        </w:rPr>
        <w:t>4、一旦成交，我方保证在施工过程中，严格执行《关于禁止使用不符合规范要求的竹脚手架的通知》（</w:t>
      </w:r>
      <w:r>
        <w:rPr>
          <w:rFonts w:ascii="宋体" w:hAnsi="宋体"/>
          <w:szCs w:val="21"/>
        </w:rPr>
        <w:t>桂建</w:t>
      </w:r>
      <w:r>
        <w:rPr>
          <w:rFonts w:hint="eastAsia" w:ascii="宋体" w:hAnsi="宋体"/>
          <w:szCs w:val="21"/>
        </w:rPr>
        <w:t>管字</w:t>
      </w:r>
      <w:r>
        <w:rPr>
          <w:rFonts w:ascii="宋体" w:hAnsi="宋体"/>
          <w:szCs w:val="21"/>
        </w:rPr>
        <w:t>〔200</w:t>
      </w:r>
      <w:r>
        <w:rPr>
          <w:rFonts w:hint="eastAsia" w:ascii="宋体" w:hAnsi="宋体"/>
          <w:szCs w:val="21"/>
        </w:rPr>
        <w:t>3</w:t>
      </w:r>
      <w:r>
        <w:rPr>
          <w:rFonts w:ascii="宋体" w:hAnsi="宋体"/>
          <w:szCs w:val="21"/>
        </w:rPr>
        <w:t>〕</w:t>
      </w:r>
      <w:r>
        <w:rPr>
          <w:rFonts w:hint="eastAsia" w:ascii="宋体" w:hAnsi="宋体"/>
          <w:szCs w:val="21"/>
        </w:rPr>
        <w:t>40</w:t>
      </w:r>
      <w:r>
        <w:rPr>
          <w:rFonts w:ascii="宋体" w:hAnsi="宋体"/>
          <w:szCs w:val="21"/>
        </w:rPr>
        <w:t>号</w:t>
      </w:r>
      <w:r>
        <w:rPr>
          <w:rFonts w:hint="eastAsia" w:ascii="宋体" w:hAnsi="宋体"/>
          <w:szCs w:val="21"/>
        </w:rPr>
        <w:t>）的有关规定，不使用竹脚手架。如我方在该</w:t>
      </w:r>
      <w:r>
        <w:rPr>
          <w:rFonts w:ascii="宋体" w:hAnsi="宋体"/>
          <w:szCs w:val="21"/>
        </w:rPr>
        <w:t>项目的承包中出现未按规定执行的情形，我方愿意按照相关规定接受建设单位及有关主管部门的处罚。</w:t>
      </w:r>
    </w:p>
    <w:p>
      <w:pPr>
        <w:spacing w:line="400" w:lineRule="exact"/>
        <w:ind w:firstLine="420" w:firstLineChars="200"/>
        <w:rPr>
          <w:rFonts w:ascii="宋体" w:hAnsi="宋体"/>
          <w:szCs w:val="21"/>
        </w:rPr>
      </w:pPr>
      <w:r>
        <w:rPr>
          <w:rFonts w:hint="eastAsia" w:ascii="宋体" w:hAnsi="宋体"/>
          <w:szCs w:val="21"/>
        </w:rPr>
        <w:t>5、一旦成交，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pPr>
        <w:spacing w:line="400" w:lineRule="exact"/>
        <w:ind w:firstLine="420" w:firstLineChars="200"/>
        <w:rPr>
          <w:rFonts w:ascii="宋体" w:hAnsi="宋体"/>
          <w:szCs w:val="21"/>
        </w:rPr>
      </w:pPr>
    </w:p>
    <w:p>
      <w:pPr>
        <w:spacing w:line="400" w:lineRule="exact"/>
        <w:ind w:firstLine="2520" w:firstLineChars="1200"/>
        <w:rPr>
          <w:rFonts w:ascii="宋体" w:hAnsi="宋体" w:cs="宋体"/>
          <w:szCs w:val="21"/>
        </w:rPr>
      </w:pPr>
    </w:p>
    <w:p>
      <w:pPr>
        <w:autoSpaceDE w:val="0"/>
        <w:autoSpaceDN w:val="0"/>
        <w:spacing w:line="360" w:lineRule="auto"/>
        <w:ind w:left="4305" w:leftChars="1950" w:hanging="210" w:hangingChars="100"/>
        <w:rPr>
          <w:rFonts w:ascii="宋体" w:hAnsi="宋体" w:cs="仿宋_GB2312"/>
          <w:kern w:val="0"/>
          <w:szCs w:val="21"/>
        </w:rPr>
      </w:pPr>
      <w:r>
        <w:rPr>
          <w:rFonts w:hint="eastAsia" w:ascii="宋体" w:hAnsi="宋体" w:cs="仿宋_GB2312"/>
          <w:kern w:val="0"/>
          <w:szCs w:val="21"/>
        </w:rPr>
        <w:t>供应商名称（电子签章）：</w:t>
      </w:r>
    </w:p>
    <w:p>
      <w:pPr>
        <w:autoSpaceDE w:val="0"/>
        <w:autoSpaceDN w:val="0"/>
        <w:spacing w:line="360" w:lineRule="auto"/>
        <w:ind w:firstLine="5670" w:firstLineChars="2700"/>
        <w:rPr>
          <w:rFonts w:ascii="宋体" w:hAnsi="宋体" w:cs="仿宋_GB2312"/>
          <w:b/>
          <w:bCs/>
          <w:szCs w:val="21"/>
        </w:rPr>
      </w:pPr>
      <w:r>
        <w:rPr>
          <w:rFonts w:hint="eastAsia" w:ascii="宋体" w:hAnsi="宋体" w:cs="仿宋_GB2312"/>
          <w:kern w:val="0"/>
          <w:szCs w:val="21"/>
          <w:lang w:val="zh-CN"/>
        </w:rPr>
        <w:t>日期：  年  月   日</w:t>
      </w:r>
    </w:p>
    <w:p>
      <w:pPr>
        <w:spacing w:line="400" w:lineRule="exact"/>
        <w:ind w:firstLine="420" w:firstLineChars="200"/>
        <w:jc w:val="center"/>
        <w:rPr>
          <w:rFonts w:ascii="宋体" w:hAnsi="宋体" w:cs="宋体"/>
          <w:sz w:val="24"/>
          <w:szCs w:val="22"/>
        </w:rPr>
      </w:pPr>
      <w:r>
        <w:rPr>
          <w:szCs w:val="21"/>
        </w:rPr>
        <w:br w:type="page"/>
      </w:r>
      <w:r>
        <w:rPr>
          <w:rFonts w:hint="eastAsia" w:ascii="宋体" w:hAnsi="宋体" w:cs="宋体"/>
          <w:b/>
          <w:bCs/>
          <w:sz w:val="24"/>
          <w:szCs w:val="22"/>
        </w:rPr>
        <w:t>广西壮族自治区建筑工程安全文明施工措施项目清单内容</w:t>
      </w:r>
    </w:p>
    <w:p>
      <w:pPr>
        <w:jc w:val="center"/>
        <w:rPr>
          <w:rFonts w:ascii="宋体" w:hAnsi="宋体" w:cs="宋体"/>
          <w:sz w:val="24"/>
          <w:szCs w:val="22"/>
        </w:rPr>
      </w:pPr>
      <w:r>
        <w:rPr>
          <w:rFonts w:hint="eastAsia" w:ascii="宋体" w:hAnsi="宋体" w:cs="宋体"/>
          <w:sz w:val="24"/>
          <w:szCs w:val="22"/>
        </w:rPr>
        <w:t>（桂建质〔2015〕16号文附件一）</w:t>
      </w:r>
    </w:p>
    <w:p>
      <w:pPr>
        <w:jc w:val="center"/>
        <w:rPr>
          <w:rFonts w:ascii="宋体" w:hAnsi="宋体" w:cs="宋体"/>
          <w:b/>
          <w:bCs/>
          <w:sz w:val="24"/>
          <w:szCs w:val="22"/>
        </w:rPr>
      </w:pPr>
      <w:r>
        <w:rPr>
          <w:rFonts w:hint="eastAsia" w:ascii="宋体" w:hAnsi="宋体" w:cs="宋体"/>
          <w:b/>
          <w:bCs/>
          <w:sz w:val="24"/>
          <w:szCs w:val="22"/>
        </w:rPr>
        <w:t>广西壮族自治区</w:t>
      </w:r>
    </w:p>
    <w:p>
      <w:pPr>
        <w:jc w:val="center"/>
        <w:rPr>
          <w:rFonts w:ascii="宋体" w:hAnsi="宋体" w:cs="宋体"/>
          <w:b/>
          <w:bCs/>
          <w:w w:val="90"/>
          <w:sz w:val="24"/>
          <w:szCs w:val="22"/>
        </w:rPr>
      </w:pPr>
      <w:r>
        <w:rPr>
          <w:rFonts w:hint="eastAsia" w:ascii="宋体" w:hAnsi="宋体" w:cs="宋体"/>
          <w:b/>
          <w:bCs/>
          <w:w w:val="90"/>
          <w:sz w:val="24"/>
          <w:szCs w:val="22"/>
        </w:rPr>
        <w:t>建设工程安全文明施工措施项目清单内容</w:t>
      </w:r>
    </w:p>
    <w:p>
      <w:pPr>
        <w:rPr>
          <w:rFonts w:ascii="宋体" w:hAnsi="宋体" w:cs="宋体"/>
          <w:b/>
          <w:bCs/>
          <w:w w:val="90"/>
          <w:sz w:val="24"/>
          <w:szCs w:val="22"/>
        </w:rPr>
      </w:pPr>
    </w:p>
    <w:tbl>
      <w:tblPr>
        <w:tblStyle w:val="46"/>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pPr>
              <w:rPr>
                <w:rFonts w:ascii="宋体" w:hAnsi="宋体" w:cs="宋体"/>
                <w:b/>
                <w:bCs/>
                <w:szCs w:val="21"/>
              </w:rPr>
            </w:pPr>
            <w:r>
              <w:rPr>
                <w:rFonts w:hint="eastAsia" w:ascii="宋体" w:hAnsi="宋体" w:cs="宋体"/>
                <w:b/>
                <w:bCs/>
                <w:szCs w:val="21"/>
              </w:rPr>
              <w:t>类别</w:t>
            </w:r>
          </w:p>
        </w:tc>
        <w:tc>
          <w:tcPr>
            <w:tcW w:w="2070" w:type="dxa"/>
            <w:gridSpan w:val="2"/>
            <w:tcBorders>
              <w:top w:val="single" w:color="auto" w:sz="12" w:space="0"/>
            </w:tcBorders>
            <w:noWrap w:val="0"/>
            <w:vAlign w:val="center"/>
          </w:tcPr>
          <w:p>
            <w:pPr>
              <w:rPr>
                <w:rFonts w:ascii="宋体" w:hAnsi="宋体" w:cs="宋体"/>
                <w:b/>
                <w:bCs/>
                <w:szCs w:val="21"/>
              </w:rPr>
            </w:pPr>
            <w:r>
              <w:rPr>
                <w:rFonts w:hint="eastAsia" w:ascii="宋体" w:hAnsi="宋体" w:cs="宋体"/>
                <w:b/>
                <w:bCs/>
                <w:szCs w:val="21"/>
              </w:rPr>
              <w:t>项目名称</w:t>
            </w:r>
          </w:p>
        </w:tc>
        <w:tc>
          <w:tcPr>
            <w:tcW w:w="6645" w:type="dxa"/>
            <w:tcBorders>
              <w:top w:val="single" w:color="auto" w:sz="12" w:space="0"/>
            </w:tcBorders>
            <w:noWrap w:val="0"/>
            <w:vAlign w:val="center"/>
          </w:tcPr>
          <w:p>
            <w:pPr>
              <w:rPr>
                <w:rFonts w:ascii="宋体" w:hAnsi="宋体" w:cs="宋体"/>
                <w:b/>
                <w:bCs/>
                <w:szCs w:val="21"/>
              </w:rPr>
            </w:pPr>
            <w:r>
              <w:rPr>
                <w:rFonts w:hint="eastAsia" w:ascii="宋体" w:hAnsi="宋体" w:cs="宋体"/>
                <w:b/>
                <w:bCs/>
                <w:szCs w:val="21"/>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rPr>
                <w:rFonts w:ascii="宋体" w:hAnsi="宋体" w:cs="宋体"/>
                <w:szCs w:val="21"/>
              </w:rPr>
            </w:pPr>
            <w:r>
              <w:rPr>
                <w:rFonts w:hint="eastAsia" w:ascii="宋体" w:hAnsi="宋体" w:cs="宋体"/>
                <w:szCs w:val="21"/>
              </w:rPr>
              <w:t>文明</w:t>
            </w:r>
          </w:p>
          <w:p>
            <w:pPr>
              <w:rPr>
                <w:rFonts w:ascii="宋体" w:hAnsi="宋体" w:cs="宋体"/>
                <w:szCs w:val="21"/>
              </w:rPr>
            </w:pPr>
            <w:r>
              <w:rPr>
                <w:rFonts w:hint="eastAsia" w:ascii="宋体" w:hAnsi="宋体" w:cs="宋体"/>
                <w:szCs w:val="21"/>
              </w:rPr>
              <w:t>施工</w:t>
            </w:r>
          </w:p>
          <w:p>
            <w:pPr>
              <w:rPr>
                <w:rFonts w:ascii="宋体" w:hAnsi="宋体" w:cs="宋体"/>
                <w:szCs w:val="21"/>
              </w:rPr>
            </w:pPr>
            <w:r>
              <w:rPr>
                <w:rFonts w:hint="eastAsia" w:ascii="宋体" w:hAnsi="宋体" w:cs="宋体"/>
                <w:szCs w:val="21"/>
              </w:rPr>
              <w:t>与</w:t>
            </w:r>
          </w:p>
          <w:p>
            <w:pPr>
              <w:rPr>
                <w:rFonts w:ascii="宋体" w:hAnsi="宋体" w:cs="宋体"/>
                <w:szCs w:val="21"/>
              </w:rPr>
            </w:pPr>
            <w:r>
              <w:rPr>
                <w:rFonts w:hint="eastAsia" w:ascii="宋体" w:hAnsi="宋体" w:cs="宋体"/>
                <w:szCs w:val="21"/>
              </w:rPr>
              <w:t>环境</w:t>
            </w:r>
          </w:p>
          <w:p>
            <w:pPr>
              <w:rPr>
                <w:rFonts w:ascii="宋体" w:hAnsi="宋体" w:cs="宋体"/>
                <w:szCs w:val="21"/>
              </w:rPr>
            </w:pPr>
            <w:r>
              <w:rPr>
                <w:rFonts w:hint="eastAsia" w:ascii="宋体" w:hAnsi="宋体" w:cs="宋体"/>
                <w:szCs w:val="21"/>
              </w:rPr>
              <w:t>保护</w:t>
            </w:r>
          </w:p>
        </w:tc>
        <w:tc>
          <w:tcPr>
            <w:tcW w:w="2070" w:type="dxa"/>
            <w:gridSpan w:val="2"/>
            <w:noWrap w:val="0"/>
            <w:vAlign w:val="center"/>
          </w:tcPr>
          <w:p>
            <w:pPr>
              <w:rPr>
                <w:rFonts w:ascii="宋体" w:hAnsi="宋体" w:cs="宋体"/>
                <w:szCs w:val="21"/>
              </w:rPr>
            </w:pPr>
            <w:r>
              <w:rPr>
                <w:rFonts w:hint="eastAsia" w:ascii="宋体" w:hAnsi="宋体" w:cs="宋体"/>
                <w:szCs w:val="21"/>
              </w:rPr>
              <w:t>安全警示</w:t>
            </w:r>
          </w:p>
          <w:p>
            <w:pPr>
              <w:rPr>
                <w:rFonts w:ascii="宋体" w:hAnsi="宋体" w:cs="宋体"/>
                <w:szCs w:val="21"/>
              </w:rPr>
            </w:pPr>
            <w:r>
              <w:rPr>
                <w:rFonts w:hint="eastAsia" w:ascii="宋体" w:hAnsi="宋体" w:cs="宋体"/>
                <w:szCs w:val="21"/>
              </w:rPr>
              <w:t>标志牌</w:t>
            </w:r>
          </w:p>
        </w:tc>
        <w:tc>
          <w:tcPr>
            <w:tcW w:w="6645" w:type="dxa"/>
            <w:noWrap w:val="0"/>
            <w:vAlign w:val="center"/>
          </w:tcPr>
          <w:p>
            <w:pPr>
              <w:rPr>
                <w:rFonts w:ascii="宋体" w:hAnsi="宋体" w:cs="宋体"/>
                <w:szCs w:val="21"/>
              </w:rPr>
            </w:pPr>
            <w:r>
              <w:rPr>
                <w:rFonts w:hint="eastAsia" w:ascii="宋体" w:hAnsi="宋体" w:cs="宋体"/>
                <w:szCs w:val="21"/>
              </w:rPr>
              <w:t>在易发伤亡事故（或危险）处设置明显的、符合国家标准要求的安全警示标志牌。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现场围挡</w:t>
            </w:r>
          </w:p>
        </w:tc>
        <w:tc>
          <w:tcPr>
            <w:tcW w:w="6645" w:type="dxa"/>
            <w:noWrap w:val="0"/>
            <w:vAlign w:val="center"/>
          </w:tcPr>
          <w:p>
            <w:pPr>
              <w:rPr>
                <w:rFonts w:ascii="宋体" w:hAnsi="宋体" w:cs="宋体"/>
                <w:szCs w:val="21"/>
              </w:rPr>
            </w:pPr>
            <w:r>
              <w:rPr>
                <w:rFonts w:hint="eastAsia" w:ascii="宋体" w:hAnsi="宋体" w:cs="宋体"/>
                <w:szCs w:val="21"/>
              </w:rPr>
              <w:t>1. 现场采用封闭围挡，高度不小于1.8m。</w:t>
            </w:r>
          </w:p>
          <w:p>
            <w:pPr>
              <w:rPr>
                <w:rFonts w:ascii="宋体" w:hAnsi="宋体" w:cs="宋体"/>
                <w:szCs w:val="21"/>
              </w:rPr>
            </w:pPr>
            <w:r>
              <w:rPr>
                <w:rFonts w:hint="eastAsia" w:ascii="宋体" w:hAnsi="宋体" w:cs="宋体"/>
                <w:szCs w:val="21"/>
              </w:rPr>
              <w:t>2. 围挡材料可用彩色、定型钢板，砌块等墙体。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七牌二图</w:t>
            </w:r>
          </w:p>
        </w:tc>
        <w:tc>
          <w:tcPr>
            <w:tcW w:w="6645" w:type="dxa"/>
            <w:noWrap w:val="0"/>
            <w:vAlign w:val="center"/>
          </w:tcPr>
          <w:p>
            <w:pPr>
              <w:rPr>
                <w:rFonts w:ascii="宋体" w:hAnsi="宋体" w:cs="宋体"/>
                <w:szCs w:val="21"/>
              </w:rPr>
            </w:pPr>
            <w:r>
              <w:rPr>
                <w:rFonts w:hint="eastAsia" w:ascii="宋体" w:hAnsi="宋体" w:cs="宋体"/>
                <w:szCs w:val="21"/>
              </w:rPr>
              <w:t>在进门处悬挂工程概况、现场出入制度、管理人员名单及监督电话、安全生产规定、文明施工、消防保卫、节能公示等七牌以及施工现场总平面图、工程效果图。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企业标志</w:t>
            </w:r>
          </w:p>
        </w:tc>
        <w:tc>
          <w:tcPr>
            <w:tcW w:w="6645" w:type="dxa"/>
            <w:noWrap w:val="0"/>
            <w:vAlign w:val="center"/>
          </w:tcPr>
          <w:p>
            <w:pPr>
              <w:rPr>
                <w:rFonts w:ascii="宋体" w:hAnsi="宋体" w:cs="宋体"/>
                <w:szCs w:val="21"/>
              </w:rPr>
            </w:pPr>
            <w:r>
              <w:rPr>
                <w:rFonts w:hint="eastAsia" w:ascii="宋体" w:hAnsi="宋体" w:cs="宋体"/>
                <w:szCs w:val="21"/>
              </w:rPr>
              <w:t>现场出入的大门应设有本企业标志或企业标识。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场容场貌</w:t>
            </w:r>
          </w:p>
        </w:tc>
        <w:tc>
          <w:tcPr>
            <w:tcW w:w="6645" w:type="dxa"/>
            <w:noWrap w:val="0"/>
            <w:vAlign w:val="center"/>
          </w:tcPr>
          <w:p>
            <w:pPr>
              <w:rPr>
                <w:rFonts w:ascii="宋体" w:hAnsi="宋体" w:cs="宋体"/>
                <w:szCs w:val="21"/>
              </w:rPr>
            </w:pPr>
            <w:r>
              <w:rPr>
                <w:rFonts w:hint="eastAsia" w:ascii="宋体" w:hAnsi="宋体" w:cs="宋体"/>
                <w:szCs w:val="21"/>
              </w:rPr>
              <w:t>1. 道路畅通。</w:t>
            </w:r>
          </w:p>
          <w:p>
            <w:pPr>
              <w:rPr>
                <w:rFonts w:ascii="宋体" w:hAnsi="宋体" w:cs="宋体"/>
                <w:szCs w:val="21"/>
              </w:rPr>
            </w:pPr>
            <w:r>
              <w:rPr>
                <w:rFonts w:hint="eastAsia" w:ascii="宋体" w:hAnsi="宋体" w:cs="宋体"/>
                <w:szCs w:val="21"/>
              </w:rPr>
              <w:t>2. 排水设施齐全畅通。</w:t>
            </w:r>
          </w:p>
          <w:p>
            <w:pPr>
              <w:rPr>
                <w:rFonts w:ascii="宋体" w:hAnsi="宋体" w:cs="宋体"/>
                <w:szCs w:val="21"/>
              </w:rPr>
            </w:pPr>
            <w:r>
              <w:rPr>
                <w:rFonts w:hint="eastAsia" w:ascii="宋体" w:hAnsi="宋体" w:cs="宋体"/>
                <w:szCs w:val="21"/>
              </w:rPr>
              <w:t>3. 工地地面硬化处理（办公区、生活区、现场道路、材料堆放、混凝土搅拌、砂浆搅拌、钢筋加工等场地和外脚手架基础等）。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材料堆放</w:t>
            </w:r>
          </w:p>
        </w:tc>
        <w:tc>
          <w:tcPr>
            <w:tcW w:w="6645" w:type="dxa"/>
            <w:noWrap w:val="0"/>
            <w:vAlign w:val="center"/>
          </w:tcPr>
          <w:p>
            <w:pPr>
              <w:rPr>
                <w:rFonts w:ascii="宋体" w:hAnsi="宋体" w:cs="宋体"/>
                <w:szCs w:val="21"/>
              </w:rPr>
            </w:pPr>
            <w:r>
              <w:rPr>
                <w:rFonts w:hint="eastAsia" w:ascii="宋体" w:hAnsi="宋体" w:cs="宋体"/>
                <w:szCs w:val="21"/>
              </w:rPr>
              <w:t>材料、构件、料具等堆放时，应有名称、品种、规格等标牌。</w:t>
            </w:r>
          </w:p>
          <w:p>
            <w:pPr>
              <w:rPr>
                <w:rFonts w:ascii="宋体" w:hAnsi="宋体" w:cs="宋体"/>
                <w:szCs w:val="21"/>
              </w:rPr>
            </w:pPr>
            <w:r>
              <w:rPr>
                <w:rFonts w:hint="eastAsia" w:ascii="宋体" w:hAnsi="宋体" w:cs="宋体"/>
                <w:szCs w:val="21"/>
              </w:rPr>
              <w:t>2. 水泥和其它易飞扬细颗粒建筑材料应封闭存放或采取覆盖等措施。</w:t>
            </w:r>
          </w:p>
          <w:p>
            <w:pPr>
              <w:rPr>
                <w:rFonts w:ascii="宋体" w:hAnsi="宋体" w:cs="宋体"/>
                <w:szCs w:val="21"/>
              </w:rPr>
            </w:pPr>
            <w:r>
              <w:rPr>
                <w:rFonts w:hint="eastAsia" w:ascii="宋体" w:hAnsi="宋体" w:cs="宋体"/>
                <w:szCs w:val="21"/>
              </w:rPr>
              <w:t>3. 易燃、易爆和有毒有害物品分类存放。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现场防火</w:t>
            </w:r>
          </w:p>
        </w:tc>
        <w:tc>
          <w:tcPr>
            <w:tcW w:w="6645" w:type="dxa"/>
            <w:noWrap w:val="0"/>
            <w:vAlign w:val="center"/>
          </w:tcPr>
          <w:p>
            <w:pPr>
              <w:rPr>
                <w:rFonts w:ascii="宋体" w:hAnsi="宋体" w:cs="宋体"/>
                <w:szCs w:val="21"/>
              </w:rPr>
            </w:pPr>
            <w:r>
              <w:rPr>
                <w:rFonts w:hint="eastAsia" w:ascii="宋体" w:hAnsi="宋体" w:cs="宋体"/>
                <w:szCs w:val="21"/>
              </w:rPr>
              <w:t>消防器材配置合理，符合消防要求。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垃圾清运</w:t>
            </w:r>
          </w:p>
        </w:tc>
        <w:tc>
          <w:tcPr>
            <w:tcW w:w="6645" w:type="dxa"/>
            <w:noWrap w:val="0"/>
            <w:vAlign w:val="center"/>
          </w:tcPr>
          <w:p>
            <w:pPr>
              <w:rPr>
                <w:rFonts w:ascii="宋体" w:hAnsi="宋体" w:cs="宋体"/>
                <w:szCs w:val="21"/>
              </w:rPr>
            </w:pPr>
            <w:r>
              <w:rPr>
                <w:rFonts w:hint="eastAsia" w:ascii="宋体" w:hAnsi="宋体" w:cs="宋体"/>
                <w:szCs w:val="21"/>
              </w:rPr>
              <w:t>1. 施工现场应设置密闭式垃圾站，施工垃圾、生活垃圾应分类存放。</w:t>
            </w:r>
          </w:p>
          <w:p>
            <w:pPr>
              <w:rPr>
                <w:rFonts w:ascii="宋体" w:hAnsi="宋体" w:cs="宋体"/>
                <w:szCs w:val="21"/>
              </w:rPr>
            </w:pPr>
            <w:r>
              <w:rPr>
                <w:rFonts w:hint="eastAsia" w:ascii="宋体" w:hAnsi="宋体" w:cs="宋体"/>
                <w:szCs w:val="21"/>
              </w:rPr>
              <w:t>2. 施工垃圾必须采用相应容器或管道运输。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宣传栏、环保及不扰民措施</w:t>
            </w:r>
          </w:p>
        </w:tc>
        <w:tc>
          <w:tcPr>
            <w:tcW w:w="6645" w:type="dxa"/>
            <w:noWrap w:val="0"/>
            <w:vAlign w:val="center"/>
          </w:tcPr>
          <w:p>
            <w:pPr>
              <w:rPr>
                <w:rFonts w:ascii="宋体" w:hAnsi="宋体" w:cs="宋体"/>
                <w:szCs w:val="21"/>
              </w:rPr>
            </w:pPr>
            <w:r>
              <w:rPr>
                <w:rFonts w:hint="eastAsia" w:ascii="宋体" w:hAnsi="宋体" w:cs="宋体"/>
                <w:szCs w:val="21"/>
              </w:rPr>
              <w:t>宣传栏、安全宣传标语等，洗车（防止污染市区道路）、粉尘、噪声控制和排污（污水、废气）措施等。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rPr>
                <w:rFonts w:ascii="宋体" w:hAnsi="宋体" w:cs="宋体"/>
                <w:szCs w:val="21"/>
              </w:rPr>
            </w:pPr>
            <w:r>
              <w:rPr>
                <w:rFonts w:hint="eastAsia" w:ascii="宋体" w:hAnsi="宋体" w:cs="宋体"/>
                <w:szCs w:val="21"/>
              </w:rPr>
              <w:t>临时设施</w:t>
            </w:r>
          </w:p>
        </w:tc>
        <w:tc>
          <w:tcPr>
            <w:tcW w:w="2070" w:type="dxa"/>
            <w:gridSpan w:val="2"/>
            <w:noWrap w:val="0"/>
            <w:vAlign w:val="center"/>
          </w:tcPr>
          <w:p>
            <w:pPr>
              <w:rPr>
                <w:rFonts w:ascii="宋体" w:hAnsi="宋体" w:cs="宋体"/>
                <w:szCs w:val="21"/>
              </w:rPr>
            </w:pPr>
            <w:r>
              <w:rPr>
                <w:rFonts w:hint="eastAsia" w:ascii="宋体" w:hAnsi="宋体" w:cs="宋体"/>
                <w:szCs w:val="21"/>
              </w:rPr>
              <w:t>现场办公</w:t>
            </w:r>
          </w:p>
          <w:p>
            <w:pPr>
              <w:rPr>
                <w:rFonts w:ascii="宋体" w:hAnsi="宋体" w:cs="宋体"/>
                <w:szCs w:val="21"/>
              </w:rPr>
            </w:pPr>
            <w:r>
              <w:rPr>
                <w:rFonts w:hint="eastAsia" w:ascii="宋体" w:hAnsi="宋体" w:cs="宋体"/>
                <w:szCs w:val="21"/>
              </w:rPr>
              <w:t>生活设施</w:t>
            </w:r>
          </w:p>
        </w:tc>
        <w:tc>
          <w:tcPr>
            <w:tcW w:w="6645" w:type="dxa"/>
            <w:noWrap w:val="0"/>
            <w:vAlign w:val="center"/>
          </w:tcPr>
          <w:p>
            <w:pPr>
              <w:rPr>
                <w:rFonts w:ascii="宋体" w:hAnsi="宋体" w:cs="宋体"/>
                <w:szCs w:val="21"/>
              </w:rPr>
            </w:pPr>
            <w:r>
              <w:rPr>
                <w:rFonts w:hint="eastAsia" w:ascii="宋体" w:hAnsi="宋体" w:cs="宋体"/>
                <w:szCs w:val="21"/>
              </w:rPr>
              <w:t>1. 施工现场办公、生活区与作业区分开设置，保持安全距离。</w:t>
            </w:r>
          </w:p>
          <w:p>
            <w:pPr>
              <w:rPr>
                <w:rFonts w:ascii="宋体" w:hAnsi="宋体" w:cs="宋体"/>
                <w:szCs w:val="21"/>
              </w:rPr>
            </w:pPr>
            <w:r>
              <w:rPr>
                <w:rFonts w:hint="eastAsia" w:ascii="宋体" w:hAnsi="宋体" w:cs="宋体"/>
                <w:szCs w:val="21"/>
              </w:rPr>
              <w:t>2. 工地办公室、现场宿舍、食堂、厕所、饮水、沐浴、休息场所等符合卫生、消防安全要求。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restart"/>
            <w:noWrap w:val="0"/>
            <w:vAlign w:val="center"/>
          </w:tcPr>
          <w:p>
            <w:pPr>
              <w:rPr>
                <w:rFonts w:ascii="宋体" w:hAnsi="宋体" w:cs="宋体"/>
                <w:szCs w:val="21"/>
              </w:rPr>
            </w:pPr>
            <w:r>
              <w:rPr>
                <w:rFonts w:hint="eastAsia" w:ascii="宋体" w:hAnsi="宋体" w:cs="宋体"/>
                <w:szCs w:val="21"/>
              </w:rPr>
              <w:t>施工现场</w:t>
            </w:r>
          </w:p>
          <w:p>
            <w:pPr>
              <w:rPr>
                <w:rFonts w:ascii="宋体" w:hAnsi="宋体" w:cs="宋体"/>
                <w:szCs w:val="21"/>
              </w:rPr>
            </w:pPr>
            <w:r>
              <w:rPr>
                <w:rFonts w:hint="eastAsia" w:ascii="宋体" w:hAnsi="宋体" w:cs="宋体"/>
                <w:szCs w:val="21"/>
              </w:rPr>
              <w:t>临时用电</w:t>
            </w:r>
          </w:p>
        </w:tc>
        <w:tc>
          <w:tcPr>
            <w:tcW w:w="1545" w:type="dxa"/>
            <w:noWrap w:val="0"/>
            <w:vAlign w:val="center"/>
          </w:tcPr>
          <w:p>
            <w:pPr>
              <w:rPr>
                <w:rFonts w:ascii="宋体" w:hAnsi="宋体" w:cs="宋体"/>
                <w:szCs w:val="21"/>
              </w:rPr>
            </w:pPr>
            <w:r>
              <w:rPr>
                <w:rFonts w:hint="eastAsia" w:ascii="宋体" w:hAnsi="宋体" w:cs="宋体"/>
                <w:szCs w:val="21"/>
              </w:rPr>
              <w:t>配电线路</w:t>
            </w:r>
          </w:p>
        </w:tc>
        <w:tc>
          <w:tcPr>
            <w:tcW w:w="6645" w:type="dxa"/>
            <w:noWrap w:val="0"/>
            <w:vAlign w:val="center"/>
          </w:tcPr>
          <w:p>
            <w:pPr>
              <w:rPr>
                <w:rFonts w:ascii="宋体" w:hAnsi="宋体" w:cs="宋体"/>
                <w:szCs w:val="21"/>
              </w:rPr>
            </w:pPr>
            <w:r>
              <w:rPr>
                <w:rFonts w:hint="eastAsia" w:ascii="宋体" w:hAnsi="宋体" w:cs="宋体"/>
                <w:szCs w:val="21"/>
              </w:rPr>
              <w:t>1. 按照TN-S系统要求配备五芯电缆、四芯电缆和三芯电缆。</w:t>
            </w:r>
          </w:p>
          <w:p>
            <w:pPr>
              <w:rPr>
                <w:rFonts w:ascii="宋体" w:hAnsi="宋体" w:cs="宋体"/>
                <w:szCs w:val="21"/>
              </w:rPr>
            </w:pPr>
            <w:r>
              <w:rPr>
                <w:rFonts w:hint="eastAsia" w:ascii="宋体" w:hAnsi="宋体" w:cs="宋体"/>
                <w:szCs w:val="21"/>
              </w:rPr>
              <w:t>2. 按要求架设临时用电线路的电杆、横担、瓷夹、瓷瓶等，或电缆埋地的地沟。</w:t>
            </w:r>
          </w:p>
          <w:p>
            <w:pPr>
              <w:rPr>
                <w:rFonts w:ascii="宋体" w:hAnsi="宋体" w:cs="宋体"/>
                <w:szCs w:val="21"/>
              </w:rPr>
            </w:pPr>
            <w:r>
              <w:rPr>
                <w:rFonts w:hint="eastAsia" w:ascii="宋体" w:hAnsi="宋体" w:cs="宋体"/>
                <w:szCs w:val="21"/>
              </w:rPr>
              <w:t>3. 对靠近施工现场的外电线路，设置木质、塑料等绝缘体的防护设施。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配电箱</w:t>
            </w:r>
          </w:p>
          <w:p>
            <w:pPr>
              <w:rPr>
                <w:rFonts w:ascii="宋体" w:hAnsi="宋体" w:cs="宋体"/>
                <w:szCs w:val="21"/>
              </w:rPr>
            </w:pPr>
            <w:r>
              <w:rPr>
                <w:rFonts w:hint="eastAsia" w:ascii="宋体" w:hAnsi="宋体" w:cs="宋体"/>
                <w:szCs w:val="21"/>
              </w:rPr>
              <w:t>开关箱</w:t>
            </w:r>
          </w:p>
        </w:tc>
        <w:tc>
          <w:tcPr>
            <w:tcW w:w="6645" w:type="dxa"/>
            <w:noWrap w:val="0"/>
            <w:vAlign w:val="center"/>
          </w:tcPr>
          <w:p>
            <w:pPr>
              <w:rPr>
                <w:rFonts w:ascii="宋体" w:hAnsi="宋体" w:cs="宋体"/>
                <w:szCs w:val="21"/>
              </w:rPr>
            </w:pPr>
            <w:r>
              <w:rPr>
                <w:rFonts w:hint="eastAsia" w:ascii="宋体" w:hAnsi="宋体" w:cs="宋体"/>
                <w:szCs w:val="21"/>
              </w:rPr>
              <w:t>1. 按三级配电要求，配备总配电箱、分配电箱、开关箱三类（铁质）标准电箱，开关箱应符合“一机、一箱、一闸、一漏”，三类电箱中的各类电器应是合格品。</w:t>
            </w:r>
          </w:p>
          <w:p>
            <w:pPr>
              <w:rPr>
                <w:rFonts w:ascii="宋体" w:hAnsi="宋体" w:cs="宋体"/>
                <w:szCs w:val="21"/>
              </w:rPr>
            </w:pPr>
            <w:r>
              <w:rPr>
                <w:rFonts w:hint="eastAsia" w:ascii="宋体" w:hAnsi="宋体" w:cs="宋体"/>
                <w:szCs w:val="21"/>
              </w:rPr>
              <w:t>2. 按两级保护的要求，选取符合容量要求和质量合格的总配电箱和开关箱中的漏电保护器。</w:t>
            </w:r>
          </w:p>
          <w:p>
            <w:pPr>
              <w:rPr>
                <w:rFonts w:ascii="宋体" w:hAnsi="宋体" w:cs="宋体"/>
                <w:szCs w:val="21"/>
              </w:rPr>
            </w:pPr>
            <w:r>
              <w:rPr>
                <w:rFonts w:hint="eastAsia" w:ascii="宋体" w:hAnsi="宋体" w:cs="宋体"/>
                <w:szCs w:val="21"/>
              </w:rPr>
              <w:t>3. 对大型、落地式分配电箱、开关箱设置防护棚和通透式围挡。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接地装置</w:t>
            </w:r>
          </w:p>
        </w:tc>
        <w:tc>
          <w:tcPr>
            <w:tcW w:w="6645" w:type="dxa"/>
            <w:noWrap w:val="0"/>
            <w:vAlign w:val="center"/>
          </w:tcPr>
          <w:p>
            <w:pPr>
              <w:rPr>
                <w:rFonts w:ascii="宋体" w:hAnsi="宋体" w:cs="宋体"/>
                <w:szCs w:val="21"/>
              </w:rPr>
            </w:pPr>
            <w:r>
              <w:rPr>
                <w:rFonts w:hint="eastAsia" w:ascii="宋体" w:hAnsi="宋体" w:cs="宋体"/>
                <w:szCs w:val="21"/>
              </w:rPr>
              <w:t>施工现场应设置不少于三处的重复接地装置。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现场变配电装置</w:t>
            </w:r>
          </w:p>
        </w:tc>
        <w:tc>
          <w:tcPr>
            <w:tcW w:w="6645" w:type="dxa"/>
            <w:noWrap w:val="0"/>
            <w:vAlign w:val="center"/>
          </w:tcPr>
          <w:p>
            <w:pPr>
              <w:rPr>
                <w:rFonts w:ascii="宋体" w:hAnsi="宋体" w:cs="宋体"/>
                <w:szCs w:val="21"/>
              </w:rPr>
            </w:pPr>
            <w:r>
              <w:rPr>
                <w:rFonts w:hint="eastAsia" w:ascii="宋体" w:hAnsi="宋体" w:cs="宋体"/>
                <w:szCs w:val="21"/>
              </w:rPr>
              <w:t>总配电房建筑材料必须达到消防防火要求，室内做硬地坪、电缆沟。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pPr>
              <w:rPr>
                <w:rFonts w:ascii="宋体" w:hAnsi="宋体" w:cs="宋体"/>
                <w:b/>
                <w:bCs/>
                <w:szCs w:val="21"/>
              </w:rPr>
            </w:pPr>
            <w:r>
              <w:rPr>
                <w:rFonts w:hint="eastAsia" w:ascii="宋体" w:hAnsi="宋体" w:cs="宋体"/>
                <w:b/>
                <w:bCs/>
                <w:szCs w:val="21"/>
              </w:rPr>
              <w:t>类别</w:t>
            </w:r>
          </w:p>
        </w:tc>
        <w:tc>
          <w:tcPr>
            <w:tcW w:w="2070" w:type="dxa"/>
            <w:gridSpan w:val="2"/>
            <w:noWrap w:val="0"/>
            <w:vAlign w:val="center"/>
          </w:tcPr>
          <w:p>
            <w:pPr>
              <w:rPr>
                <w:rFonts w:ascii="宋体" w:hAnsi="宋体" w:cs="宋体"/>
                <w:b/>
                <w:bCs/>
                <w:szCs w:val="21"/>
              </w:rPr>
            </w:pPr>
            <w:r>
              <w:rPr>
                <w:rFonts w:hint="eastAsia" w:ascii="宋体" w:hAnsi="宋体" w:cs="宋体"/>
                <w:b/>
                <w:bCs/>
                <w:szCs w:val="21"/>
              </w:rPr>
              <w:t>项目名称</w:t>
            </w:r>
          </w:p>
        </w:tc>
        <w:tc>
          <w:tcPr>
            <w:tcW w:w="6645" w:type="dxa"/>
            <w:noWrap w:val="0"/>
            <w:vAlign w:val="center"/>
          </w:tcPr>
          <w:p>
            <w:pPr>
              <w:rPr>
                <w:rFonts w:ascii="宋体" w:hAnsi="宋体" w:cs="宋体"/>
                <w:b/>
                <w:bCs/>
                <w:szCs w:val="21"/>
              </w:rPr>
            </w:pPr>
            <w:r>
              <w:rPr>
                <w:rFonts w:hint="eastAsia" w:ascii="宋体" w:hAnsi="宋体" w:cs="宋体"/>
                <w:b/>
                <w:bCs/>
                <w:szCs w:val="21"/>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rPr>
                <w:rFonts w:ascii="宋体" w:hAnsi="宋体" w:cs="宋体"/>
                <w:szCs w:val="21"/>
              </w:rPr>
            </w:pPr>
            <w:r>
              <w:rPr>
                <w:rFonts w:hint="eastAsia" w:ascii="宋体" w:hAnsi="宋体" w:cs="宋体"/>
                <w:szCs w:val="21"/>
              </w:rPr>
              <w:t>安全施工</w:t>
            </w:r>
          </w:p>
        </w:tc>
        <w:tc>
          <w:tcPr>
            <w:tcW w:w="525" w:type="dxa"/>
            <w:vMerge w:val="restart"/>
            <w:noWrap w:val="0"/>
            <w:vAlign w:val="center"/>
          </w:tcPr>
          <w:p>
            <w:pPr>
              <w:rPr>
                <w:rFonts w:ascii="宋体" w:hAnsi="宋体" w:cs="宋体"/>
                <w:szCs w:val="21"/>
              </w:rPr>
            </w:pPr>
            <w:r>
              <w:rPr>
                <w:rFonts w:hint="eastAsia" w:ascii="宋体" w:hAnsi="宋体" w:cs="宋体"/>
                <w:szCs w:val="21"/>
              </w:rPr>
              <w:t>高处作业防护</w:t>
            </w:r>
          </w:p>
        </w:tc>
        <w:tc>
          <w:tcPr>
            <w:tcW w:w="1545" w:type="dxa"/>
            <w:noWrap w:val="0"/>
            <w:vAlign w:val="center"/>
          </w:tcPr>
          <w:p>
            <w:pPr>
              <w:rPr>
                <w:rFonts w:ascii="宋体" w:hAnsi="宋体" w:cs="宋体"/>
                <w:szCs w:val="21"/>
              </w:rPr>
            </w:pPr>
            <w:r>
              <w:rPr>
                <w:rFonts w:hint="eastAsia" w:ascii="宋体" w:hAnsi="宋体" w:cs="宋体"/>
                <w:szCs w:val="21"/>
              </w:rPr>
              <w:t>楼层、屋面、阳台等临边</w:t>
            </w:r>
          </w:p>
        </w:tc>
        <w:tc>
          <w:tcPr>
            <w:tcW w:w="6645" w:type="dxa"/>
            <w:noWrap w:val="0"/>
            <w:vAlign w:val="center"/>
          </w:tcPr>
          <w:p>
            <w:pPr>
              <w:rPr>
                <w:rFonts w:ascii="宋体" w:hAnsi="宋体" w:cs="宋体"/>
                <w:szCs w:val="21"/>
              </w:rPr>
            </w:pPr>
            <w:r>
              <w:rPr>
                <w:rFonts w:hint="eastAsia" w:ascii="宋体" w:hAnsi="宋体" w:cs="宋体"/>
                <w:szCs w:val="21"/>
              </w:rPr>
              <w:t>设两道防护栏杆和18cm高的踢脚板，用密目式安全立网全封闭。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通道口</w:t>
            </w:r>
          </w:p>
        </w:tc>
        <w:tc>
          <w:tcPr>
            <w:tcW w:w="6645" w:type="dxa"/>
            <w:noWrap w:val="0"/>
            <w:vAlign w:val="center"/>
          </w:tcPr>
          <w:p>
            <w:pPr>
              <w:rPr>
                <w:rFonts w:ascii="宋体" w:hAnsi="宋体" w:cs="宋体"/>
                <w:szCs w:val="21"/>
              </w:rPr>
            </w:pPr>
            <w:r>
              <w:rPr>
                <w:rFonts w:hint="eastAsia" w:ascii="宋体" w:hAnsi="宋体" w:cs="宋体"/>
                <w:szCs w:val="21"/>
              </w:rPr>
              <w:t>设防护棚，防护棚应为不小于5cm厚的木板或两道相距50cm的竹笆。两侧应沿栏杆架用密目式安全网封闭。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预留洞口</w:t>
            </w:r>
          </w:p>
        </w:tc>
        <w:tc>
          <w:tcPr>
            <w:tcW w:w="6645" w:type="dxa"/>
            <w:noWrap w:val="0"/>
            <w:vAlign w:val="center"/>
          </w:tcPr>
          <w:p>
            <w:pPr>
              <w:rPr>
                <w:rFonts w:ascii="宋体" w:hAnsi="宋体" w:cs="宋体"/>
                <w:szCs w:val="21"/>
              </w:rPr>
            </w:pPr>
            <w:r>
              <w:rPr>
                <w:rFonts w:hint="eastAsia" w:ascii="宋体" w:hAnsi="宋体" w:cs="宋体"/>
                <w:szCs w:val="21"/>
              </w:rPr>
              <w:t>用硬质材料全封闭，短边超过1.5m长的洞口，除封闭外四周还应设有防护栏杆。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电梯井口</w:t>
            </w:r>
          </w:p>
        </w:tc>
        <w:tc>
          <w:tcPr>
            <w:tcW w:w="6645" w:type="dxa"/>
            <w:noWrap w:val="0"/>
            <w:vAlign w:val="center"/>
          </w:tcPr>
          <w:p>
            <w:pPr>
              <w:rPr>
                <w:rFonts w:ascii="宋体" w:hAnsi="宋体" w:cs="宋体"/>
                <w:szCs w:val="21"/>
              </w:rPr>
            </w:pPr>
            <w:r>
              <w:rPr>
                <w:rFonts w:hint="eastAsia" w:ascii="宋体" w:hAnsi="宋体" w:cs="宋体"/>
                <w:szCs w:val="21"/>
              </w:rPr>
              <w:t>设置定型化、工具化的防护门，在电梯井内每隔2层（不大于10m）设置一道水平防护。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楼梯边</w:t>
            </w:r>
          </w:p>
        </w:tc>
        <w:tc>
          <w:tcPr>
            <w:tcW w:w="6645" w:type="dxa"/>
            <w:noWrap w:val="0"/>
            <w:vAlign w:val="center"/>
          </w:tcPr>
          <w:p>
            <w:pPr>
              <w:rPr>
                <w:rFonts w:ascii="宋体" w:hAnsi="宋体" w:cs="宋体"/>
                <w:szCs w:val="21"/>
              </w:rPr>
            </w:pPr>
            <w:r>
              <w:rPr>
                <w:rFonts w:hint="eastAsia" w:ascii="宋体" w:hAnsi="宋体" w:cs="宋体"/>
                <w:szCs w:val="21"/>
              </w:rPr>
              <w:t>设1.2m高的定型化、工具化的防护栏，18cm高的踢脚板。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垂直方向交叉作业</w:t>
            </w:r>
          </w:p>
        </w:tc>
        <w:tc>
          <w:tcPr>
            <w:tcW w:w="6645" w:type="dxa"/>
            <w:noWrap w:val="0"/>
            <w:vAlign w:val="center"/>
          </w:tcPr>
          <w:p>
            <w:pPr>
              <w:rPr>
                <w:rFonts w:ascii="宋体" w:hAnsi="宋体" w:cs="宋体"/>
                <w:szCs w:val="21"/>
              </w:rPr>
            </w:pPr>
            <w:r>
              <w:rPr>
                <w:rFonts w:hint="eastAsia" w:ascii="宋体" w:hAnsi="宋体" w:cs="宋体"/>
                <w:szCs w:val="21"/>
              </w:rPr>
              <w:t>设置防护隔离棚或其它设施。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高处作业</w:t>
            </w:r>
          </w:p>
        </w:tc>
        <w:tc>
          <w:tcPr>
            <w:tcW w:w="6645" w:type="dxa"/>
            <w:noWrap w:val="0"/>
            <w:vAlign w:val="center"/>
          </w:tcPr>
          <w:p>
            <w:pPr>
              <w:rPr>
                <w:rFonts w:ascii="宋体" w:hAnsi="宋体" w:cs="宋体"/>
                <w:szCs w:val="21"/>
              </w:rPr>
            </w:pPr>
            <w:r>
              <w:rPr>
                <w:rFonts w:hint="eastAsia" w:ascii="宋体" w:hAnsi="宋体" w:cs="宋体"/>
                <w:szCs w:val="21"/>
              </w:rPr>
              <w:t>有悬挂安全带的悬索或其它设施，有操作平台，有上下的梯子或其它形式的通道。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基坑、物料平台</w:t>
            </w:r>
          </w:p>
        </w:tc>
        <w:tc>
          <w:tcPr>
            <w:tcW w:w="6645" w:type="dxa"/>
            <w:noWrap w:val="0"/>
            <w:vAlign w:val="center"/>
          </w:tcPr>
          <w:p>
            <w:pPr>
              <w:rPr>
                <w:rFonts w:ascii="宋体" w:hAnsi="宋体" w:cs="宋体"/>
                <w:szCs w:val="21"/>
              </w:rPr>
            </w:pPr>
            <w:r>
              <w:rPr>
                <w:rFonts w:hint="eastAsia" w:ascii="宋体" w:hAnsi="宋体" w:cs="宋体"/>
                <w:szCs w:val="21"/>
              </w:rPr>
              <w:t>设1.2m高标准化的防护栏，用密目式安全立网封闭，悬挂标识。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安全防护用品</w:t>
            </w:r>
          </w:p>
        </w:tc>
        <w:tc>
          <w:tcPr>
            <w:tcW w:w="6645" w:type="dxa"/>
            <w:noWrap w:val="0"/>
            <w:vAlign w:val="center"/>
          </w:tcPr>
          <w:p>
            <w:pPr>
              <w:rPr>
                <w:rFonts w:ascii="宋体" w:hAnsi="宋体" w:cs="宋体"/>
                <w:szCs w:val="21"/>
              </w:rPr>
            </w:pPr>
            <w:r>
              <w:rPr>
                <w:rFonts w:hint="eastAsia" w:ascii="宋体" w:hAnsi="宋体" w:cs="宋体"/>
                <w:szCs w:val="21"/>
              </w:rPr>
              <w:t>安全帽、安全带、特种作业人员（电工、焊工、架子工等）防护服装、用品等。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pPr>
              <w:rPr>
                <w:rFonts w:ascii="宋体" w:hAnsi="宋体" w:cs="宋体"/>
                <w:szCs w:val="21"/>
              </w:rPr>
            </w:pPr>
            <w:r>
              <w:rPr>
                <w:rFonts w:hint="eastAsia" w:ascii="宋体" w:hAnsi="宋体" w:cs="宋体"/>
                <w:szCs w:val="21"/>
              </w:rPr>
              <w:t>其它</w:t>
            </w:r>
          </w:p>
        </w:tc>
        <w:tc>
          <w:tcPr>
            <w:tcW w:w="525" w:type="dxa"/>
            <w:vMerge w:val="restart"/>
            <w:noWrap w:val="0"/>
            <w:vAlign w:val="center"/>
          </w:tcPr>
          <w:p>
            <w:pPr>
              <w:rPr>
                <w:rFonts w:ascii="宋体" w:hAnsi="宋体" w:cs="宋体"/>
                <w:szCs w:val="21"/>
              </w:rPr>
            </w:pPr>
            <w:r>
              <w:rPr>
                <w:rFonts w:hint="eastAsia" w:ascii="宋体" w:hAnsi="宋体" w:cs="宋体"/>
                <w:szCs w:val="21"/>
              </w:rPr>
              <w:t>机械设备防护</w:t>
            </w:r>
          </w:p>
        </w:tc>
        <w:tc>
          <w:tcPr>
            <w:tcW w:w="1545" w:type="dxa"/>
            <w:noWrap w:val="0"/>
            <w:vAlign w:val="center"/>
          </w:tcPr>
          <w:p>
            <w:pPr>
              <w:rPr>
                <w:rFonts w:ascii="宋体" w:hAnsi="宋体" w:cs="宋体"/>
                <w:szCs w:val="21"/>
              </w:rPr>
            </w:pPr>
            <w:r>
              <w:rPr>
                <w:rFonts w:hint="eastAsia" w:ascii="宋体" w:hAnsi="宋体" w:cs="宋体"/>
                <w:szCs w:val="21"/>
              </w:rPr>
              <w:t>中小型机械</w:t>
            </w:r>
          </w:p>
        </w:tc>
        <w:tc>
          <w:tcPr>
            <w:tcW w:w="6645" w:type="dxa"/>
            <w:noWrap w:val="0"/>
            <w:vAlign w:val="center"/>
          </w:tcPr>
          <w:p>
            <w:pPr>
              <w:rPr>
                <w:rFonts w:ascii="宋体" w:hAnsi="宋体" w:cs="宋体"/>
                <w:szCs w:val="21"/>
              </w:rPr>
            </w:pPr>
            <w:r>
              <w:rPr>
                <w:rFonts w:hint="eastAsia" w:ascii="宋体" w:hAnsi="宋体" w:cs="宋体"/>
                <w:szCs w:val="21"/>
              </w:rPr>
              <w:t>设防护棚（同通道口防护并有防雨措施）。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ascii="宋体" w:hAnsi="宋体" w:cs="宋体"/>
                <w:szCs w:val="21"/>
              </w:rPr>
            </w:pPr>
          </w:p>
        </w:tc>
        <w:tc>
          <w:tcPr>
            <w:tcW w:w="525" w:type="dxa"/>
            <w:vMerge w:val="continue"/>
            <w:noWrap w:val="0"/>
            <w:vAlign w:val="center"/>
          </w:tcPr>
          <w:p>
            <w:pPr>
              <w:rPr>
                <w:rFonts w:ascii="宋体" w:hAnsi="宋体" w:cs="宋体"/>
                <w:szCs w:val="21"/>
              </w:rPr>
            </w:pPr>
          </w:p>
        </w:tc>
        <w:tc>
          <w:tcPr>
            <w:tcW w:w="1545" w:type="dxa"/>
            <w:noWrap w:val="0"/>
            <w:vAlign w:val="center"/>
          </w:tcPr>
          <w:p>
            <w:pPr>
              <w:rPr>
                <w:rFonts w:ascii="宋体" w:hAnsi="宋体" w:cs="宋体"/>
                <w:szCs w:val="21"/>
              </w:rPr>
            </w:pPr>
            <w:r>
              <w:rPr>
                <w:rFonts w:hint="eastAsia" w:ascii="宋体" w:hAnsi="宋体" w:cs="宋体"/>
                <w:szCs w:val="21"/>
              </w:rPr>
              <w:t>垂直运输设备</w:t>
            </w:r>
          </w:p>
        </w:tc>
        <w:tc>
          <w:tcPr>
            <w:tcW w:w="6645" w:type="dxa"/>
            <w:noWrap w:val="0"/>
            <w:vAlign w:val="center"/>
          </w:tcPr>
          <w:p>
            <w:pPr>
              <w:rPr>
                <w:rFonts w:ascii="宋体" w:hAnsi="宋体" w:cs="宋体"/>
                <w:szCs w:val="21"/>
              </w:rPr>
            </w:pPr>
            <w:r>
              <w:rPr>
                <w:rFonts w:hint="eastAsia" w:ascii="宋体" w:hAnsi="宋体" w:cs="宋体"/>
                <w:szCs w:val="21"/>
              </w:rPr>
              <w:t>1. 垂直运输设备检测、检验、日常维护、保养等。</w:t>
            </w:r>
          </w:p>
          <w:p>
            <w:pPr>
              <w:rPr>
                <w:rFonts w:ascii="宋体" w:hAnsi="宋体" w:cs="宋体"/>
                <w:szCs w:val="21"/>
              </w:rPr>
            </w:pPr>
            <w:r>
              <w:rPr>
                <w:rFonts w:hint="eastAsia" w:ascii="宋体" w:hAnsi="宋体" w:cs="宋体"/>
                <w:szCs w:val="21"/>
              </w:rPr>
              <w:t>2. 物料提升机、施工电梯等物料平台搭设、外侧用密目式安全立网全封闭，有安全通道、安全防护门、防护棚等。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专家论证审查</w:t>
            </w:r>
          </w:p>
        </w:tc>
        <w:tc>
          <w:tcPr>
            <w:tcW w:w="6645" w:type="dxa"/>
            <w:noWrap w:val="0"/>
            <w:vAlign w:val="center"/>
          </w:tcPr>
          <w:p>
            <w:pPr>
              <w:rPr>
                <w:rFonts w:ascii="宋体" w:hAnsi="宋体" w:cs="宋体"/>
                <w:szCs w:val="21"/>
              </w:rPr>
            </w:pPr>
            <w:r>
              <w:rPr>
                <w:rFonts w:hint="eastAsia" w:ascii="宋体" w:hAnsi="宋体" w:cs="宋体"/>
                <w:szCs w:val="21"/>
              </w:rPr>
              <w:t>超过一定规模的危险性较大分部分项工程专家论证审查。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ascii="宋体" w:hAnsi="宋体" w:cs="宋体"/>
                <w:szCs w:val="21"/>
              </w:rPr>
            </w:pPr>
          </w:p>
        </w:tc>
        <w:tc>
          <w:tcPr>
            <w:tcW w:w="2070" w:type="dxa"/>
            <w:gridSpan w:val="2"/>
            <w:noWrap w:val="0"/>
            <w:vAlign w:val="center"/>
          </w:tcPr>
          <w:p>
            <w:pPr>
              <w:rPr>
                <w:rFonts w:ascii="宋体" w:hAnsi="宋体" w:cs="宋体"/>
                <w:szCs w:val="21"/>
              </w:rPr>
            </w:pPr>
            <w:r>
              <w:rPr>
                <w:rFonts w:hint="eastAsia" w:ascii="宋体" w:hAnsi="宋体" w:cs="宋体"/>
                <w:szCs w:val="21"/>
              </w:rPr>
              <w:t>应急救援预案</w:t>
            </w:r>
          </w:p>
        </w:tc>
        <w:tc>
          <w:tcPr>
            <w:tcW w:w="6645" w:type="dxa"/>
            <w:noWrap w:val="0"/>
            <w:vAlign w:val="center"/>
          </w:tcPr>
          <w:p>
            <w:pPr>
              <w:rPr>
                <w:rFonts w:ascii="宋体" w:hAnsi="宋体" w:cs="宋体"/>
                <w:szCs w:val="21"/>
              </w:rPr>
            </w:pPr>
            <w:r>
              <w:rPr>
                <w:rFonts w:hint="eastAsia" w:ascii="宋体" w:hAnsi="宋体" w:cs="宋体"/>
                <w:szCs w:val="21"/>
              </w:rPr>
              <w:t>救援器材准备及演练等。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pPr>
              <w:rPr>
                <w:rFonts w:ascii="宋体" w:hAnsi="宋体" w:cs="宋体"/>
                <w:szCs w:val="21"/>
              </w:rPr>
            </w:pPr>
          </w:p>
        </w:tc>
        <w:tc>
          <w:tcPr>
            <w:tcW w:w="2070" w:type="dxa"/>
            <w:gridSpan w:val="2"/>
            <w:tcBorders>
              <w:bottom w:val="single" w:color="auto" w:sz="12" w:space="0"/>
            </w:tcBorders>
            <w:noWrap w:val="0"/>
            <w:vAlign w:val="center"/>
          </w:tcPr>
          <w:p>
            <w:pPr>
              <w:rPr>
                <w:rFonts w:ascii="宋体" w:hAnsi="宋体" w:cs="宋体"/>
                <w:szCs w:val="21"/>
              </w:rPr>
            </w:pPr>
            <w:r>
              <w:rPr>
                <w:rFonts w:hint="eastAsia" w:ascii="宋体" w:hAnsi="宋体" w:cs="宋体"/>
                <w:szCs w:val="21"/>
              </w:rPr>
              <w:t>非正常情况施工</w:t>
            </w:r>
          </w:p>
        </w:tc>
        <w:tc>
          <w:tcPr>
            <w:tcW w:w="6645" w:type="dxa"/>
            <w:tcBorders>
              <w:bottom w:val="single" w:color="auto" w:sz="12" w:space="0"/>
            </w:tcBorders>
            <w:noWrap w:val="0"/>
            <w:vAlign w:val="center"/>
          </w:tcPr>
          <w:p>
            <w:pPr>
              <w:rPr>
                <w:rFonts w:ascii="宋体" w:hAnsi="宋体" w:cs="宋体"/>
                <w:szCs w:val="21"/>
              </w:rPr>
            </w:pPr>
            <w:r>
              <w:rPr>
                <w:rFonts w:hint="eastAsia" w:ascii="宋体" w:hAnsi="宋体" w:cs="宋体"/>
                <w:szCs w:val="21"/>
              </w:rPr>
              <w:t>其它特殊情况下的防护费用，如：城市主干道、人流密集、河边等处施工及文物、古建筑、古树保护等。</w:t>
            </w:r>
          </w:p>
        </w:tc>
      </w:tr>
    </w:tbl>
    <w:p>
      <w:pPr>
        <w:rPr>
          <w:rFonts w:ascii="宋体" w:hAnsi="宋体" w:cs="宋体"/>
          <w:b/>
          <w:bCs/>
          <w:w w:val="90"/>
          <w:szCs w:val="21"/>
        </w:rPr>
      </w:pPr>
    </w:p>
    <w:p>
      <w:pPr>
        <w:rPr>
          <w:rFonts w:ascii="宋体" w:hAnsi="宋体" w:cs="宋体"/>
          <w:b/>
          <w:szCs w:val="21"/>
        </w:rPr>
      </w:pPr>
      <w:r>
        <w:rPr>
          <w:rFonts w:hint="eastAsia" w:ascii="宋体" w:hAnsi="宋体" w:cs="宋体"/>
          <w:szCs w:val="21"/>
        </w:rPr>
        <w:t>注：本表所列建筑工程安全文明施工费，是依据现行法律法规及标准规范确定的。如法律法规和标准规范修订，本表所列项目应按照修订后的法律法规和标准规范进行调整。</w:t>
      </w:r>
    </w:p>
    <w:p>
      <w:pPr>
        <w:spacing w:line="300" w:lineRule="auto"/>
        <w:rPr>
          <w:rFonts w:ascii="宋体" w:hAnsi="宋体" w:eastAsia="等线"/>
          <w:b/>
          <w:bCs/>
          <w:sz w:val="24"/>
          <w:szCs w:val="22"/>
        </w:rPr>
      </w:pPr>
    </w:p>
    <w:p>
      <w:pPr>
        <w:snapToGrid w:val="0"/>
        <w:spacing w:line="360" w:lineRule="auto"/>
        <w:ind w:firstLine="602" w:firstLineChars="200"/>
        <w:rPr>
          <w:rFonts w:hint="eastAsia" w:ascii="宋体" w:hAnsi="宋体" w:cs="仿宋_GB2312"/>
          <w:b/>
          <w:sz w:val="30"/>
          <w:szCs w:val="30"/>
          <w:lang w:val="en-US" w:eastAsia="zh-CN"/>
        </w:rPr>
      </w:pPr>
    </w:p>
    <w:p>
      <w:pPr>
        <w:snapToGrid w:val="0"/>
        <w:spacing w:line="360" w:lineRule="auto"/>
        <w:ind w:firstLine="602" w:firstLineChars="200"/>
        <w:rPr>
          <w:rFonts w:ascii="宋体" w:hAnsi="宋体" w:cs="仿宋_GB2312"/>
          <w:b/>
          <w:sz w:val="30"/>
          <w:szCs w:val="30"/>
        </w:rPr>
      </w:pPr>
      <w:r>
        <w:rPr>
          <w:rFonts w:hint="eastAsia" w:ascii="宋体" w:hAnsi="宋体" w:cs="仿宋_GB2312"/>
          <w:b/>
          <w:sz w:val="30"/>
          <w:szCs w:val="30"/>
          <w:lang w:val="en-US" w:eastAsia="zh-CN"/>
        </w:rPr>
        <w:t>十二、</w:t>
      </w:r>
      <w:r>
        <w:rPr>
          <w:rFonts w:hint="eastAsia" w:ascii="宋体" w:hAnsi="宋体" w:cs="仿宋_GB2312"/>
          <w:b/>
          <w:sz w:val="30"/>
          <w:szCs w:val="30"/>
        </w:rPr>
        <w:t>采购需求、商务条款要求提供的其他材料</w:t>
      </w: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firstLine="6480" w:firstLineChars="2700"/>
        <w:rPr>
          <w:rFonts w:ascii="宋体" w:hAnsi="宋体" w:cs="仿宋_GB2312"/>
          <w:kern w:val="0"/>
          <w:sz w:val="24"/>
          <w:lang w:val="zh-CN"/>
        </w:rPr>
      </w:pPr>
      <w:r>
        <w:rPr>
          <w:rFonts w:hint="eastAsia" w:ascii="宋体" w:hAnsi="宋体" w:cs="仿宋_GB2312"/>
          <w:kern w:val="0"/>
          <w:sz w:val="24"/>
          <w:lang w:val="zh-CN"/>
        </w:rPr>
        <w:t>日期：  年  月   日</w:t>
      </w:r>
    </w:p>
    <w:p>
      <w:pPr>
        <w:autoSpaceDE w:val="0"/>
        <w:autoSpaceDN w:val="0"/>
        <w:spacing w:line="360" w:lineRule="auto"/>
        <w:ind w:firstLine="6505" w:firstLineChars="2700"/>
        <w:rPr>
          <w:rFonts w:ascii="宋体" w:hAnsi="宋体" w:cs="仿宋_GB2312"/>
          <w:b/>
          <w:bCs/>
          <w:sz w:val="24"/>
        </w:rPr>
        <w:sectPr>
          <w:pgSz w:w="11910" w:h="16840"/>
          <w:pgMar w:top="1340" w:right="1500" w:bottom="280" w:left="1680" w:header="720" w:footer="720" w:gutter="0"/>
          <w:pgNumType w:fmt="decimal"/>
          <w:cols w:space="720" w:num="1"/>
        </w:sectPr>
      </w:pPr>
    </w:p>
    <w:p>
      <w:pPr>
        <w:autoSpaceDE w:val="0"/>
        <w:autoSpaceDN w:val="0"/>
        <w:spacing w:line="360" w:lineRule="auto"/>
        <w:ind w:firstLine="6505" w:firstLineChars="2700"/>
        <w:rPr>
          <w:rFonts w:ascii="宋体" w:hAnsi="宋体" w:cs="仿宋_GB2312"/>
          <w:b/>
          <w:bCs/>
          <w:sz w:val="24"/>
        </w:rPr>
      </w:pPr>
    </w:p>
    <w:p>
      <w:pPr>
        <w:keepNext/>
        <w:keepLines/>
        <w:spacing w:before="260" w:after="260" w:line="416" w:lineRule="auto"/>
        <w:jc w:val="center"/>
        <w:outlineLvl w:val="1"/>
        <w:rPr>
          <w:rFonts w:ascii="宋体" w:hAnsi="宋体"/>
          <w:b/>
          <w:bCs/>
          <w:sz w:val="32"/>
          <w:szCs w:val="32"/>
        </w:rPr>
      </w:pPr>
      <w:bookmarkStart w:id="75" w:name="_Toc106794723"/>
      <w:bookmarkStart w:id="76" w:name="_Toc80205941"/>
      <w:r>
        <w:rPr>
          <w:rFonts w:hint="eastAsia" w:ascii="宋体" w:hAnsi="宋体"/>
          <w:b/>
          <w:bCs/>
          <w:sz w:val="32"/>
          <w:szCs w:val="32"/>
        </w:rPr>
        <w:t>第四节 报价文件格式</w:t>
      </w:r>
      <w:bookmarkEnd w:id="75"/>
      <w:bookmarkEnd w:id="76"/>
    </w:p>
    <w:p>
      <w:pPr>
        <w:snapToGrid w:val="0"/>
        <w:spacing w:before="120" w:beforeLines="50" w:after="50"/>
        <w:rPr>
          <w:rFonts w:ascii="宋体" w:hAnsi="宋体"/>
          <w:bCs/>
          <w:sz w:val="32"/>
          <w:szCs w:val="20"/>
        </w:rPr>
      </w:pP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报 价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20" w:beforeLines="50" w:after="50"/>
        <w:ind w:firstLine="720" w:firstLineChars="225"/>
        <w:rPr>
          <w:rFonts w:ascii="宋体" w:hAnsi="宋体" w:cs="仿宋_GB2312"/>
          <w:bCs/>
          <w:sz w:val="32"/>
          <w:szCs w:val="32"/>
        </w:rPr>
      </w:pPr>
    </w:p>
    <w:p>
      <w:pPr>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snapToGrid w:val="0"/>
        <w:spacing w:before="50" w:after="50"/>
        <w:ind w:firstLine="720" w:firstLineChars="225"/>
        <w:rPr>
          <w:rFonts w:ascii="宋体" w:hAnsi="宋体" w:cs="仿宋_GB2312"/>
          <w:bCs/>
          <w:sz w:val="32"/>
          <w:szCs w:val="32"/>
        </w:rPr>
      </w:pPr>
    </w:p>
    <w:p>
      <w:pPr>
        <w:snapToGrid w:val="0"/>
        <w:spacing w:before="50" w:after="50"/>
        <w:ind w:firstLine="720" w:firstLineChars="225"/>
        <w:rPr>
          <w:rFonts w:ascii="宋体" w:hAnsi="宋体" w:cs="仿宋_GB2312"/>
          <w:bCs/>
          <w:sz w:val="32"/>
          <w:szCs w:val="32"/>
        </w:rPr>
      </w:pPr>
    </w:p>
    <w:p>
      <w:pPr>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400" w:lineRule="exact"/>
        <w:jc w:val="center"/>
        <w:rPr>
          <w:rFonts w:ascii="宋体" w:hAnsi="宋体"/>
          <w:b/>
          <w:bCs/>
          <w:sz w:val="32"/>
          <w:szCs w:val="32"/>
        </w:rPr>
      </w:pPr>
      <w:r>
        <w:rPr>
          <w:rFonts w:ascii="宋体" w:hAnsi="宋体"/>
          <w:sz w:val="24"/>
        </w:rPr>
        <w:br w:type="page"/>
      </w:r>
      <w:r>
        <w:rPr>
          <w:rFonts w:hint="eastAsia" w:ascii="宋体" w:hAnsi="宋体"/>
          <w:b/>
          <w:bCs/>
          <w:sz w:val="32"/>
          <w:szCs w:val="32"/>
        </w:rPr>
        <w:t>报价文件目录</w:t>
      </w:r>
    </w:p>
    <w:p>
      <w:pPr>
        <w:rPr>
          <w:rFonts w:ascii="宋体" w:hAnsi="宋体" w:cs="宋体"/>
        </w:rPr>
      </w:pPr>
    </w:p>
    <w:p>
      <w:pPr>
        <w:pStyle w:val="301"/>
        <w:ind w:firstLine="600"/>
        <w:jc w:val="center"/>
        <w:rPr>
          <w:rFonts w:hint="eastAsia" w:ascii="仿宋_GB2312" w:hAnsi="仿宋" w:eastAsia="仿宋_GB2312" w:cs="仿宋_GB2312"/>
          <w:sz w:val="30"/>
          <w:szCs w:val="30"/>
        </w:rPr>
      </w:pPr>
      <w:r>
        <w:rPr>
          <w:rFonts w:hint="eastAsia" w:ascii="仿宋_GB2312" w:hAnsi="仿宋" w:eastAsia="仿宋_GB2312" w:cs="仿宋_GB2312"/>
          <w:sz w:val="30"/>
          <w:szCs w:val="30"/>
        </w:rPr>
        <w:t>根据磋商文件规定及供应商提供的材料自行编写目录</w:t>
      </w:r>
    </w:p>
    <w:p>
      <w:pPr>
        <w:pStyle w:val="301"/>
        <w:ind w:firstLine="600"/>
        <w:jc w:val="center"/>
        <w:rPr>
          <w:rFonts w:hint="eastAsia" w:eastAsia="仿宋_GB2312"/>
          <w:sz w:val="30"/>
          <w:szCs w:val="30"/>
        </w:rPr>
      </w:pPr>
      <w:r>
        <w:rPr>
          <w:rFonts w:hint="eastAsia" w:ascii="仿宋_GB2312" w:hAnsi="仿宋" w:eastAsia="仿宋_GB2312" w:cs="仿宋_GB2312"/>
          <w:sz w:val="30"/>
          <w:szCs w:val="30"/>
        </w:rPr>
        <w:t>（部分格式后附）</w:t>
      </w:r>
    </w:p>
    <w:p>
      <w:pPr>
        <w:snapToGrid w:val="0"/>
        <w:spacing w:before="120" w:beforeLines="50" w:after="50" w:line="360" w:lineRule="auto"/>
        <w:ind w:left="142" w:firstLine="640" w:firstLineChars="200"/>
        <w:jc w:val="left"/>
        <w:rPr>
          <w:rFonts w:ascii="宋体" w:hAnsi="宋体" w:cs="仿宋_GB2312"/>
          <w:sz w:val="32"/>
          <w:szCs w:val="32"/>
        </w:rPr>
      </w:pPr>
    </w:p>
    <w:p>
      <w:pPr>
        <w:snapToGrid w:val="0"/>
        <w:spacing w:before="120" w:beforeLines="50" w:after="50" w:line="360" w:lineRule="auto"/>
        <w:ind w:left="142" w:firstLine="480" w:firstLineChars="200"/>
        <w:jc w:val="left"/>
        <w:rPr>
          <w:rFonts w:ascii="宋体" w:hAnsi="宋体" w:cs="仿宋_GB2312"/>
          <w:sz w:val="24"/>
        </w:rPr>
      </w:pPr>
      <w:r>
        <w:rPr>
          <w:rFonts w:ascii="宋体" w:hAnsi="宋体" w:cs="仿宋_GB2312"/>
          <w:sz w:val="24"/>
        </w:rPr>
        <w:br w:type="page"/>
      </w:r>
      <w:r>
        <w:rPr>
          <w:rFonts w:hint="eastAsia" w:ascii="宋体" w:hAnsi="宋体"/>
          <w:b/>
          <w:bCs/>
          <w:sz w:val="32"/>
          <w:szCs w:val="32"/>
        </w:rPr>
        <w:t>一、响应函</w:t>
      </w:r>
    </w:p>
    <w:p>
      <w:pPr>
        <w:autoSpaceDE w:val="0"/>
        <w:autoSpaceDN w:val="0"/>
        <w:spacing w:line="360" w:lineRule="auto"/>
        <w:jc w:val="center"/>
        <w:rPr>
          <w:rFonts w:ascii="宋体" w:hAnsi="宋体"/>
          <w:b/>
          <w:sz w:val="32"/>
          <w:szCs w:val="32"/>
        </w:rPr>
      </w:pPr>
      <w:r>
        <w:rPr>
          <w:rFonts w:hint="eastAsia" w:ascii="宋体" w:hAnsi="宋体"/>
          <w:b/>
          <w:sz w:val="32"/>
          <w:szCs w:val="32"/>
        </w:rPr>
        <w:t>响应函</w:t>
      </w:r>
    </w:p>
    <w:p>
      <w:pPr>
        <w:pStyle w:val="25"/>
        <w:spacing w:line="440" w:lineRule="exact"/>
        <w:rPr>
          <w:rFonts w:hint="eastAsia"/>
          <w:sz w:val="21"/>
        </w:rPr>
      </w:pPr>
      <w:r>
        <w:rPr>
          <w:rFonts w:hint="eastAsia"/>
          <w:sz w:val="21"/>
        </w:rPr>
        <w:t>致：</w:t>
      </w:r>
      <w:r>
        <w:rPr>
          <w:rFonts w:hint="eastAsia"/>
          <w:sz w:val="21"/>
          <w:u w:val="single"/>
        </w:rPr>
        <w:t xml:space="preserve">    （采购单位名称）  </w:t>
      </w:r>
    </w:p>
    <w:p>
      <w:pPr>
        <w:pStyle w:val="25"/>
        <w:spacing w:line="440" w:lineRule="exact"/>
        <w:ind w:firstLine="420" w:firstLineChars="200"/>
        <w:rPr>
          <w:rFonts w:ascii="Times New Roman" w:hAnsi="Times New Roman"/>
          <w:sz w:val="21"/>
        </w:rPr>
      </w:pPr>
      <w:r>
        <w:rPr>
          <w:rFonts w:hint="eastAsia"/>
          <w:sz w:val="21"/>
        </w:rPr>
        <w:t>我方已仔细阅读了贵方组织的</w:t>
      </w:r>
      <w:r>
        <w:rPr>
          <w:rFonts w:hint="eastAsia"/>
          <w:sz w:val="21"/>
          <w:u w:val="single"/>
        </w:rPr>
        <w:t xml:space="preserve">                </w:t>
      </w:r>
      <w:r>
        <w:rPr>
          <w:rFonts w:hint="eastAsia"/>
          <w:sz w:val="21"/>
        </w:rPr>
        <w:t>项目（项目编号：</w:t>
      </w:r>
      <w:r>
        <w:rPr>
          <w:rFonts w:hint="eastAsia" w:hAnsi="宋体"/>
          <w:sz w:val="21"/>
          <w:u w:val="single"/>
        </w:rPr>
        <w:t xml:space="preserve">             </w:t>
      </w:r>
      <w:r>
        <w:rPr>
          <w:rFonts w:hint="eastAsia"/>
          <w:sz w:val="21"/>
        </w:rPr>
        <w:t xml:space="preserve">）的竞争性磋商采购文件的全部内容，现正式递交下述文件参加贵方组织的本次政府采购活动： </w:t>
      </w:r>
    </w:p>
    <w:p>
      <w:pPr>
        <w:pStyle w:val="25"/>
        <w:spacing w:line="440" w:lineRule="exact"/>
        <w:ind w:firstLine="420" w:firstLineChars="200"/>
        <w:rPr>
          <w:rFonts w:hint="eastAsia"/>
          <w:sz w:val="21"/>
        </w:rPr>
      </w:pPr>
      <w:r>
        <w:rPr>
          <w:rFonts w:hint="eastAsia"/>
          <w:sz w:val="21"/>
        </w:rPr>
        <w:t>一、资格证明文件电子版</w:t>
      </w:r>
      <w:r>
        <w:rPr>
          <w:rFonts w:hint="eastAsia"/>
          <w:sz w:val="21"/>
          <w:u w:val="single"/>
        </w:rPr>
        <w:t xml:space="preserve">   </w:t>
      </w:r>
      <w:r>
        <w:rPr>
          <w:rFonts w:hint="eastAsia"/>
          <w:sz w:val="21"/>
        </w:rPr>
        <w:t>份（包含按“第三章 供应商须知”提交的全部文件）；</w:t>
      </w:r>
    </w:p>
    <w:p>
      <w:pPr>
        <w:pStyle w:val="25"/>
        <w:spacing w:line="440" w:lineRule="exact"/>
        <w:ind w:firstLine="420" w:firstLineChars="200"/>
        <w:rPr>
          <w:rFonts w:ascii="Times New Roman" w:hAnsi="Times New Roman"/>
          <w:sz w:val="21"/>
        </w:rPr>
      </w:pPr>
      <w:r>
        <w:rPr>
          <w:rFonts w:hint="eastAsia"/>
          <w:sz w:val="21"/>
        </w:rPr>
        <w:t>二、首次报价文件电子版</w:t>
      </w:r>
      <w:r>
        <w:rPr>
          <w:rFonts w:hint="eastAsia"/>
          <w:sz w:val="21"/>
          <w:u w:val="single"/>
        </w:rPr>
        <w:t xml:space="preserve">   </w:t>
      </w:r>
      <w:r>
        <w:rPr>
          <w:rFonts w:hint="eastAsia"/>
          <w:sz w:val="21"/>
        </w:rPr>
        <w:t>份（包含按“第三章 供应商须知”提交的全部文件）；</w:t>
      </w:r>
    </w:p>
    <w:p>
      <w:pPr>
        <w:pStyle w:val="25"/>
        <w:spacing w:line="440" w:lineRule="exact"/>
        <w:ind w:firstLine="420" w:firstLineChars="200"/>
        <w:rPr>
          <w:rFonts w:ascii="Times New Roman" w:hAnsi="Times New Roman"/>
          <w:sz w:val="21"/>
        </w:rPr>
      </w:pPr>
      <w:r>
        <w:rPr>
          <w:rFonts w:hint="eastAsia" w:hAnsi="宋体"/>
          <w:sz w:val="21"/>
        </w:rPr>
        <w:t>三、技术</w:t>
      </w:r>
      <w:r>
        <w:rPr>
          <w:rFonts w:hint="eastAsia"/>
          <w:sz w:val="21"/>
        </w:rPr>
        <w:t>文件电子版</w:t>
      </w:r>
      <w:r>
        <w:rPr>
          <w:rFonts w:hint="eastAsia"/>
          <w:sz w:val="21"/>
          <w:u w:val="single"/>
        </w:rPr>
        <w:t xml:space="preserve">   </w:t>
      </w:r>
      <w:r>
        <w:rPr>
          <w:rFonts w:hint="eastAsia"/>
          <w:sz w:val="21"/>
        </w:rPr>
        <w:t>份（包含按“第三章 供应商须知”提交的全部文件）；商务</w:t>
      </w:r>
      <w:r>
        <w:rPr>
          <w:rFonts w:hint="eastAsia" w:hAnsi="宋体"/>
          <w:sz w:val="21"/>
        </w:rPr>
        <w:t>文件</w:t>
      </w:r>
      <w:r>
        <w:rPr>
          <w:rFonts w:hint="eastAsia"/>
          <w:sz w:val="21"/>
        </w:rPr>
        <w:t>电子版</w:t>
      </w:r>
      <w:r>
        <w:rPr>
          <w:rFonts w:hint="eastAsia"/>
          <w:sz w:val="21"/>
          <w:u w:val="single"/>
        </w:rPr>
        <w:t xml:space="preserve">   </w:t>
      </w:r>
      <w:r>
        <w:rPr>
          <w:rFonts w:hint="eastAsia"/>
          <w:sz w:val="21"/>
        </w:rPr>
        <w:t>份（包含按“第三章 供应商须知”提交的全部文件）；（商务技术文件已合并装订成册）</w:t>
      </w:r>
    </w:p>
    <w:p>
      <w:pPr>
        <w:pStyle w:val="25"/>
        <w:spacing w:line="440" w:lineRule="exact"/>
        <w:ind w:firstLine="420" w:firstLineChars="200"/>
        <w:rPr>
          <w:rFonts w:ascii="Times New Roman" w:hAnsi="Times New Roman"/>
          <w:sz w:val="21"/>
        </w:rPr>
      </w:pPr>
      <w:r>
        <w:rPr>
          <w:rFonts w:hint="eastAsia"/>
          <w:sz w:val="21"/>
        </w:rPr>
        <w:t>据此函，签字人兹宣布：</w:t>
      </w:r>
    </w:p>
    <w:p>
      <w:pPr>
        <w:pStyle w:val="25"/>
        <w:spacing w:line="440" w:lineRule="exact"/>
        <w:ind w:firstLine="482"/>
        <w:rPr>
          <w:rFonts w:ascii="Times New Roman" w:hAnsi="Times New Roman"/>
          <w:sz w:val="21"/>
        </w:rPr>
      </w:pPr>
      <w:r>
        <w:rPr>
          <w:rFonts w:hint="eastAsia"/>
          <w:sz w:val="21"/>
        </w:rPr>
        <w:t>1、我方愿意以（大写）人民币</w:t>
      </w:r>
      <w:r>
        <w:rPr>
          <w:rFonts w:hint="eastAsia"/>
          <w:sz w:val="21"/>
          <w:u w:val="single"/>
        </w:rPr>
        <w:t xml:space="preserve">              </w:t>
      </w:r>
      <w:r>
        <w:rPr>
          <w:rFonts w:hint="eastAsia"/>
          <w:sz w:val="21"/>
        </w:rPr>
        <w:t>（</w:t>
      </w:r>
      <w:r>
        <w:rPr>
          <w:sz w:val="21"/>
        </w:rPr>
        <w:t>¥</w:t>
      </w:r>
      <w:r>
        <w:rPr>
          <w:rFonts w:hint="eastAsia"/>
          <w:sz w:val="21"/>
        </w:rPr>
        <w:t xml:space="preserve"> </w:t>
      </w:r>
      <w:r>
        <w:rPr>
          <w:rFonts w:hint="eastAsia"/>
          <w:sz w:val="21"/>
          <w:u w:val="single"/>
        </w:rPr>
        <w:t xml:space="preserve">         </w:t>
      </w:r>
      <w:r>
        <w:rPr>
          <w:rFonts w:hint="eastAsia"/>
          <w:sz w:val="21"/>
        </w:rPr>
        <w:t>元)的竞标总报价，</w:t>
      </w:r>
      <w:r>
        <w:rPr>
          <w:rFonts w:hint="eastAsia" w:hAnsi="宋体"/>
          <w:sz w:val="21"/>
        </w:rPr>
        <w:t>合同履行期限（工期）</w:t>
      </w:r>
      <w:r>
        <w:rPr>
          <w:rFonts w:hint="eastAsia"/>
          <w:sz w:val="21"/>
        </w:rPr>
        <w:t>（无分标时填写）：</w:t>
      </w:r>
      <w:r>
        <w:rPr>
          <w:rFonts w:hint="eastAsia"/>
          <w:sz w:val="21"/>
          <w:u w:val="single"/>
        </w:rPr>
        <w:t xml:space="preserve">            </w:t>
      </w:r>
      <w:r>
        <w:rPr>
          <w:rFonts w:hint="eastAsia"/>
          <w:sz w:val="21"/>
        </w:rPr>
        <w:t>，</w:t>
      </w:r>
      <w:r>
        <w:rPr>
          <w:rFonts w:hint="eastAsia" w:hAnsi="宋体" w:cs="宋体"/>
          <w:sz w:val="21"/>
        </w:rPr>
        <w:t>我方保证工程质量达到</w:t>
      </w:r>
      <w:r>
        <w:rPr>
          <w:rFonts w:hint="eastAsia" w:hAnsi="宋体" w:cs="宋体"/>
          <w:sz w:val="21"/>
          <w:u w:val="single"/>
        </w:rPr>
        <w:t xml:space="preserve">       </w:t>
      </w:r>
      <w:r>
        <w:rPr>
          <w:rFonts w:hint="eastAsia" w:hAnsi="宋体" w:cs="宋体"/>
          <w:sz w:val="21"/>
        </w:rPr>
        <w:t>等级</w:t>
      </w:r>
      <w:r>
        <w:rPr>
          <w:rFonts w:hint="eastAsia"/>
          <w:sz w:val="21"/>
        </w:rPr>
        <w:t>，提供本项目竞争性磋商采购文件第二章“采购需求”中相应的采购内容。</w:t>
      </w:r>
    </w:p>
    <w:p>
      <w:pPr>
        <w:pStyle w:val="25"/>
        <w:spacing w:line="440" w:lineRule="exact"/>
        <w:ind w:firstLine="482"/>
        <w:rPr>
          <w:rFonts w:ascii="Times New Roman" w:hAnsi="Times New Roman"/>
          <w:sz w:val="21"/>
        </w:rPr>
      </w:pPr>
      <w:r>
        <w:rPr>
          <w:rFonts w:hint="eastAsia"/>
          <w:sz w:val="21"/>
        </w:rPr>
        <w:t>其中（有分标时填写）：</w:t>
      </w:r>
    </w:p>
    <w:p>
      <w:pPr>
        <w:pStyle w:val="25"/>
        <w:spacing w:line="440" w:lineRule="exact"/>
        <w:ind w:firstLine="482"/>
        <w:rPr>
          <w:rFonts w:ascii="Times New Roman" w:hAnsi="Times New Roman"/>
          <w:sz w:val="21"/>
        </w:rPr>
      </w:pPr>
      <w:r>
        <w:rPr>
          <w:rFonts w:hint="eastAsia"/>
          <w:sz w:val="21"/>
          <w:u w:val="single"/>
        </w:rPr>
        <w:t xml:space="preserve">    </w:t>
      </w:r>
      <w:r>
        <w:rPr>
          <w:rFonts w:hint="eastAsia"/>
          <w:sz w:val="21"/>
        </w:rPr>
        <w:t>分标报价为（大写）人民币</w:t>
      </w:r>
      <w:r>
        <w:rPr>
          <w:rFonts w:hint="eastAsia"/>
          <w:sz w:val="21"/>
          <w:u w:val="single"/>
        </w:rPr>
        <w:t xml:space="preserve">               </w:t>
      </w:r>
      <w:r>
        <w:rPr>
          <w:rFonts w:hint="eastAsia"/>
          <w:sz w:val="21"/>
        </w:rPr>
        <w:t xml:space="preserve"> (¥</w:t>
      </w:r>
      <w:r>
        <w:rPr>
          <w:rFonts w:hint="eastAsia"/>
          <w:sz w:val="21"/>
          <w:u w:val="single"/>
        </w:rPr>
        <w:t xml:space="preserve">           </w:t>
      </w:r>
      <w:r>
        <w:rPr>
          <w:rFonts w:hint="eastAsia"/>
          <w:sz w:val="21"/>
        </w:rPr>
        <w:t>元)，</w:t>
      </w:r>
      <w:r>
        <w:rPr>
          <w:rFonts w:hint="eastAsia" w:hAnsi="宋体"/>
          <w:sz w:val="21"/>
        </w:rPr>
        <w:t>合同履行期限（工期）</w:t>
      </w:r>
      <w:r>
        <w:rPr>
          <w:rFonts w:hint="eastAsia"/>
          <w:sz w:val="21"/>
        </w:rPr>
        <w:t>：</w:t>
      </w:r>
      <w:r>
        <w:rPr>
          <w:rFonts w:hint="eastAsia"/>
          <w:sz w:val="21"/>
          <w:u w:val="single"/>
        </w:rPr>
        <w:t xml:space="preserve">          </w:t>
      </w:r>
      <w:r>
        <w:rPr>
          <w:rFonts w:hint="eastAsia"/>
          <w:sz w:val="21"/>
        </w:rPr>
        <w:t>，</w:t>
      </w:r>
      <w:r>
        <w:rPr>
          <w:rFonts w:hint="eastAsia" w:hAnsi="宋体" w:cs="宋体"/>
          <w:sz w:val="21"/>
        </w:rPr>
        <w:t>我方保证工程质量达到</w:t>
      </w:r>
      <w:r>
        <w:rPr>
          <w:rFonts w:hint="eastAsia" w:hAnsi="宋体" w:cs="宋体"/>
          <w:sz w:val="21"/>
          <w:u w:val="single"/>
        </w:rPr>
        <w:t xml:space="preserve">       </w:t>
      </w:r>
      <w:r>
        <w:rPr>
          <w:rFonts w:hint="eastAsia" w:hAnsi="宋体" w:cs="宋体"/>
          <w:sz w:val="21"/>
        </w:rPr>
        <w:t>等级</w:t>
      </w:r>
      <w:r>
        <w:rPr>
          <w:rFonts w:hint="eastAsia"/>
          <w:sz w:val="21"/>
        </w:rPr>
        <w:t>；</w:t>
      </w:r>
    </w:p>
    <w:p>
      <w:pPr>
        <w:pStyle w:val="25"/>
        <w:spacing w:line="440" w:lineRule="exact"/>
        <w:ind w:firstLine="482"/>
        <w:rPr>
          <w:rFonts w:ascii="Times New Roman" w:hAnsi="Times New Roman"/>
          <w:sz w:val="21"/>
        </w:rPr>
      </w:pPr>
      <w:r>
        <w:rPr>
          <w:rFonts w:hint="eastAsia"/>
          <w:sz w:val="21"/>
          <w:u w:val="single"/>
        </w:rPr>
        <w:t xml:space="preserve">    </w:t>
      </w:r>
      <w:r>
        <w:rPr>
          <w:rFonts w:hint="eastAsia"/>
          <w:sz w:val="21"/>
        </w:rPr>
        <w:t>分标报价为（大写）人民币</w:t>
      </w:r>
      <w:r>
        <w:rPr>
          <w:rFonts w:hint="eastAsia"/>
          <w:sz w:val="21"/>
          <w:u w:val="single"/>
        </w:rPr>
        <w:t xml:space="preserve">               </w:t>
      </w:r>
      <w:r>
        <w:rPr>
          <w:rFonts w:hint="eastAsia"/>
          <w:sz w:val="21"/>
        </w:rPr>
        <w:t xml:space="preserve"> (¥</w:t>
      </w:r>
      <w:r>
        <w:rPr>
          <w:rFonts w:hint="eastAsia"/>
          <w:sz w:val="21"/>
          <w:u w:val="single"/>
        </w:rPr>
        <w:t xml:space="preserve">           </w:t>
      </w:r>
      <w:r>
        <w:rPr>
          <w:rFonts w:hint="eastAsia"/>
          <w:sz w:val="21"/>
        </w:rPr>
        <w:t>元)，</w:t>
      </w:r>
      <w:r>
        <w:rPr>
          <w:rFonts w:hint="eastAsia" w:hAnsi="宋体"/>
          <w:sz w:val="21"/>
        </w:rPr>
        <w:t>合同履行期限（工期）</w:t>
      </w:r>
      <w:r>
        <w:rPr>
          <w:rFonts w:hint="eastAsia"/>
          <w:sz w:val="21"/>
        </w:rPr>
        <w:t>：</w:t>
      </w:r>
      <w:r>
        <w:rPr>
          <w:rFonts w:hint="eastAsia"/>
          <w:sz w:val="21"/>
          <w:u w:val="single"/>
        </w:rPr>
        <w:t xml:space="preserve">          </w:t>
      </w:r>
      <w:r>
        <w:rPr>
          <w:rFonts w:hint="eastAsia"/>
          <w:sz w:val="21"/>
        </w:rPr>
        <w:t>，</w:t>
      </w:r>
      <w:r>
        <w:rPr>
          <w:rFonts w:hint="eastAsia" w:hAnsi="宋体" w:cs="宋体"/>
          <w:sz w:val="21"/>
        </w:rPr>
        <w:t>我方保证工程质量达到</w:t>
      </w:r>
      <w:r>
        <w:rPr>
          <w:rFonts w:hint="eastAsia" w:hAnsi="宋体" w:cs="宋体"/>
          <w:sz w:val="21"/>
          <w:u w:val="single"/>
        </w:rPr>
        <w:t xml:space="preserve">       </w:t>
      </w:r>
      <w:r>
        <w:rPr>
          <w:rFonts w:hint="eastAsia" w:hAnsi="宋体" w:cs="宋体"/>
          <w:sz w:val="21"/>
        </w:rPr>
        <w:t>等级</w:t>
      </w:r>
      <w:r>
        <w:rPr>
          <w:rFonts w:hint="eastAsia"/>
          <w:sz w:val="21"/>
        </w:rPr>
        <w:t>；</w:t>
      </w:r>
    </w:p>
    <w:p>
      <w:pPr>
        <w:pStyle w:val="25"/>
        <w:spacing w:line="440" w:lineRule="exact"/>
        <w:ind w:firstLine="482"/>
        <w:rPr>
          <w:rFonts w:ascii="Times New Roman" w:hAnsi="Times New Roman"/>
          <w:sz w:val="21"/>
        </w:rPr>
      </w:pPr>
      <w:r>
        <w:rPr>
          <w:rFonts w:hint="eastAsia"/>
          <w:sz w:val="21"/>
        </w:rPr>
        <w:t>......</w:t>
      </w:r>
    </w:p>
    <w:p>
      <w:pPr>
        <w:pStyle w:val="25"/>
        <w:spacing w:line="440" w:lineRule="exact"/>
        <w:ind w:firstLine="482"/>
        <w:rPr>
          <w:sz w:val="21"/>
        </w:rPr>
      </w:pPr>
      <w:r>
        <w:rPr>
          <w:rFonts w:hint="eastAsia"/>
          <w:sz w:val="21"/>
        </w:rPr>
        <w:t>2、我方同意自本项目竞争性磋商采购文件采购公告规定的递交响应文件截止时间起遵循</w:t>
      </w:r>
      <w:r>
        <w:rPr>
          <w:rFonts w:hint="eastAsia" w:hAnsi="宋体"/>
          <w:sz w:val="21"/>
        </w:rPr>
        <w:t>本响应函</w:t>
      </w:r>
      <w:r>
        <w:rPr>
          <w:rFonts w:hint="eastAsia"/>
          <w:sz w:val="21"/>
        </w:rPr>
        <w:t>，并承诺在“第三章 供应商须知”规定的响应有效期内不修改、撤销响应文件。</w:t>
      </w:r>
    </w:p>
    <w:p>
      <w:pPr>
        <w:pStyle w:val="25"/>
        <w:spacing w:line="440" w:lineRule="exact"/>
        <w:ind w:firstLine="482"/>
        <w:rPr>
          <w:sz w:val="21"/>
        </w:rPr>
      </w:pPr>
      <w:r>
        <w:rPr>
          <w:rFonts w:hint="eastAsia"/>
          <w:sz w:val="21"/>
        </w:rPr>
        <w:t>3、我方在此声明，所递交的响应文件及有关资料内容完整、真实和准确。</w:t>
      </w:r>
    </w:p>
    <w:p>
      <w:pPr>
        <w:pStyle w:val="25"/>
        <w:spacing w:line="440" w:lineRule="exact"/>
        <w:ind w:firstLine="482"/>
        <w:rPr>
          <w:sz w:val="21"/>
        </w:rPr>
      </w:pPr>
      <w:r>
        <w:rPr>
          <w:rFonts w:hint="eastAsia"/>
          <w:sz w:val="21"/>
        </w:rPr>
        <w:t>4、如本项目采购内容涉及须符合国家强制规定的，我方承诺我方本次竞标均符合国家有关强制规定。</w:t>
      </w:r>
    </w:p>
    <w:p>
      <w:pPr>
        <w:pStyle w:val="25"/>
        <w:spacing w:line="440" w:lineRule="exact"/>
        <w:ind w:firstLine="482"/>
        <w:rPr>
          <w:sz w:val="21"/>
        </w:rPr>
      </w:pPr>
      <w:r>
        <w:rPr>
          <w:rFonts w:hint="eastAsia"/>
          <w:sz w:val="21"/>
        </w:rPr>
        <w:t>5、我方承诺未被列入失信被执行人、重大税收违法失信主体、政府采购严重违法失信行为记录名单，并已经具备《中华人民共和国政府采购法》中规定的参加政府采购活动的供应商应当具备的条件：</w:t>
      </w:r>
    </w:p>
    <w:p>
      <w:pPr>
        <w:pStyle w:val="25"/>
        <w:numPr>
          <w:ilvl w:val="0"/>
          <w:numId w:val="5"/>
        </w:numPr>
        <w:tabs>
          <w:tab w:val="left" w:pos="945"/>
          <w:tab w:val="left" w:pos="1140"/>
        </w:tabs>
        <w:spacing w:line="440" w:lineRule="exact"/>
        <w:rPr>
          <w:sz w:val="21"/>
        </w:rPr>
      </w:pPr>
      <w:r>
        <w:rPr>
          <w:rFonts w:hint="eastAsia"/>
          <w:sz w:val="21"/>
        </w:rPr>
        <w:t>具有独立承担民事责任的能力；</w:t>
      </w:r>
    </w:p>
    <w:p>
      <w:pPr>
        <w:pStyle w:val="25"/>
        <w:numPr>
          <w:ilvl w:val="0"/>
          <w:numId w:val="5"/>
        </w:numPr>
        <w:tabs>
          <w:tab w:val="left" w:pos="945"/>
          <w:tab w:val="left" w:pos="1140"/>
        </w:tabs>
        <w:spacing w:line="440" w:lineRule="exact"/>
        <w:rPr>
          <w:sz w:val="21"/>
        </w:rPr>
      </w:pPr>
      <w:r>
        <w:rPr>
          <w:rFonts w:hint="eastAsia"/>
          <w:sz w:val="21"/>
        </w:rPr>
        <w:t>具有良好的商业信誉和健全的财务会计制度；</w:t>
      </w:r>
    </w:p>
    <w:p>
      <w:pPr>
        <w:pStyle w:val="25"/>
        <w:numPr>
          <w:ilvl w:val="0"/>
          <w:numId w:val="5"/>
        </w:numPr>
        <w:tabs>
          <w:tab w:val="left" w:pos="945"/>
          <w:tab w:val="left" w:pos="1140"/>
        </w:tabs>
        <w:spacing w:line="440" w:lineRule="exact"/>
        <w:rPr>
          <w:sz w:val="21"/>
        </w:rPr>
      </w:pPr>
      <w:r>
        <w:rPr>
          <w:rFonts w:hint="eastAsia" w:hAnsi="宋体" w:cs="宋体"/>
          <w:sz w:val="21"/>
        </w:rPr>
        <w:t>具有履行合同所必需的人员、设备、资金和专业技术能力</w:t>
      </w:r>
      <w:r>
        <w:rPr>
          <w:rFonts w:hint="eastAsia"/>
          <w:sz w:val="21"/>
        </w:rPr>
        <w:t>；</w:t>
      </w:r>
    </w:p>
    <w:p>
      <w:pPr>
        <w:pStyle w:val="25"/>
        <w:numPr>
          <w:ilvl w:val="0"/>
          <w:numId w:val="5"/>
        </w:numPr>
        <w:tabs>
          <w:tab w:val="left" w:pos="945"/>
          <w:tab w:val="left" w:pos="1140"/>
        </w:tabs>
        <w:spacing w:line="440" w:lineRule="exact"/>
        <w:rPr>
          <w:sz w:val="21"/>
        </w:rPr>
      </w:pPr>
      <w:r>
        <w:rPr>
          <w:rFonts w:hint="eastAsia"/>
          <w:sz w:val="21"/>
        </w:rPr>
        <w:t>有依法缴纳税收和社会保障资金的良好记录；</w:t>
      </w:r>
    </w:p>
    <w:p>
      <w:pPr>
        <w:pStyle w:val="25"/>
        <w:numPr>
          <w:ilvl w:val="0"/>
          <w:numId w:val="5"/>
        </w:numPr>
        <w:tabs>
          <w:tab w:val="left" w:pos="945"/>
          <w:tab w:val="left" w:pos="1140"/>
        </w:tabs>
        <w:spacing w:line="440" w:lineRule="exact"/>
        <w:rPr>
          <w:sz w:val="21"/>
        </w:rPr>
      </w:pPr>
      <w:r>
        <w:rPr>
          <w:rFonts w:hint="eastAsia"/>
          <w:sz w:val="21"/>
        </w:rPr>
        <w:t>参加政府采购活动前三年内，在经营活动中没有重大违法记录；</w:t>
      </w:r>
    </w:p>
    <w:p>
      <w:pPr>
        <w:pStyle w:val="25"/>
        <w:numPr>
          <w:ilvl w:val="0"/>
          <w:numId w:val="5"/>
        </w:numPr>
        <w:tabs>
          <w:tab w:val="left" w:pos="945"/>
          <w:tab w:val="left" w:pos="1140"/>
        </w:tabs>
        <w:spacing w:line="440" w:lineRule="exact"/>
        <w:rPr>
          <w:sz w:val="21"/>
        </w:rPr>
      </w:pPr>
      <w:r>
        <w:rPr>
          <w:rFonts w:hint="eastAsia"/>
          <w:sz w:val="21"/>
        </w:rPr>
        <w:t>法律、行政法规规定的其他条件。</w:t>
      </w:r>
    </w:p>
    <w:p>
      <w:pPr>
        <w:pStyle w:val="25"/>
        <w:spacing w:line="440" w:lineRule="exact"/>
        <w:ind w:firstLine="482"/>
        <w:rPr>
          <w:sz w:val="21"/>
        </w:rPr>
      </w:pPr>
      <w:r>
        <w:rPr>
          <w:rFonts w:hint="eastAsia"/>
          <w:sz w:val="21"/>
        </w:rPr>
        <w:t>6、如我方成交，我方承诺在收到成交通知书后，在成交通知书规定的期限内，</w:t>
      </w:r>
      <w:r>
        <w:rPr>
          <w:rFonts w:hint="eastAsia" w:hAnsi="宋体"/>
          <w:sz w:val="21"/>
        </w:rPr>
        <w:t>根据竞争性磋商采购文件、我方的响应文件及有关澄清承诺书的要求按第六章“合同文本”与采购人订立书面合同，并按照合同约定</w:t>
      </w:r>
      <w:r>
        <w:rPr>
          <w:rFonts w:hint="eastAsia"/>
          <w:sz w:val="21"/>
        </w:rPr>
        <w:t>承担完成合同的责任和义务。</w:t>
      </w:r>
    </w:p>
    <w:p>
      <w:pPr>
        <w:pStyle w:val="25"/>
        <w:spacing w:line="440" w:lineRule="exact"/>
        <w:ind w:firstLine="482"/>
        <w:rPr>
          <w:sz w:val="21"/>
        </w:rPr>
      </w:pPr>
      <w:r>
        <w:rPr>
          <w:rFonts w:hint="eastAsia"/>
          <w:sz w:val="21"/>
        </w:rPr>
        <w:t>7、我方已详细审核竞争性磋商采购文件，我方知道必须放弃提出含糊不清或误解问题的权利。</w:t>
      </w:r>
    </w:p>
    <w:p>
      <w:pPr>
        <w:pStyle w:val="25"/>
        <w:spacing w:line="440" w:lineRule="exact"/>
        <w:ind w:firstLine="482"/>
        <w:rPr>
          <w:sz w:val="21"/>
        </w:rPr>
      </w:pPr>
      <w:r>
        <w:rPr>
          <w:rFonts w:hint="eastAsia"/>
          <w:sz w:val="21"/>
        </w:rPr>
        <w:t>8、我方承诺满足竞争性磋商采购文件</w:t>
      </w:r>
      <w:r>
        <w:rPr>
          <w:rFonts w:hint="eastAsia" w:hAnsi="宋体"/>
          <w:sz w:val="21"/>
        </w:rPr>
        <w:t>第六章“合同文本”</w:t>
      </w:r>
      <w:r>
        <w:rPr>
          <w:rFonts w:hint="eastAsia"/>
          <w:sz w:val="21"/>
        </w:rPr>
        <w:t>的条款，承担完成合同的责任和义务。</w:t>
      </w:r>
    </w:p>
    <w:p>
      <w:pPr>
        <w:pStyle w:val="25"/>
        <w:spacing w:line="440" w:lineRule="exact"/>
        <w:ind w:firstLine="482"/>
        <w:rPr>
          <w:sz w:val="21"/>
        </w:rPr>
      </w:pPr>
      <w:r>
        <w:rPr>
          <w:rFonts w:hint="eastAsia"/>
          <w:sz w:val="21"/>
        </w:rPr>
        <w:t>9、我方同意应贵方要求提供与本竞标有关的任何数据或资料。若贵方需要，我方愿意提供我方作出的一切承诺的证明材料。</w:t>
      </w:r>
    </w:p>
    <w:p>
      <w:pPr>
        <w:pStyle w:val="25"/>
        <w:spacing w:line="440" w:lineRule="exact"/>
        <w:ind w:firstLine="482"/>
        <w:rPr>
          <w:sz w:val="21"/>
        </w:rPr>
      </w:pPr>
      <w:r>
        <w:rPr>
          <w:rFonts w:hint="eastAsia"/>
          <w:sz w:val="21"/>
        </w:rPr>
        <w:t>10、我方完全理解贵方不一定接受响应报价最低的竞标人为成交供应商的行为。</w:t>
      </w:r>
    </w:p>
    <w:p>
      <w:pPr>
        <w:pStyle w:val="25"/>
        <w:spacing w:line="440" w:lineRule="exact"/>
        <w:ind w:firstLine="482"/>
        <w:rPr>
          <w:sz w:val="21"/>
        </w:rPr>
      </w:pPr>
      <w:r>
        <w:rPr>
          <w:rFonts w:hint="eastAsia"/>
          <w:sz w:val="21"/>
        </w:rPr>
        <w:t>11、我方将严格遵守《中华人民共和国政府采购法》第七十七条的规定，即供应商有下列情形之一的，处以采购金额千分之五以上千分之十</w:t>
      </w:r>
      <w:r>
        <w:rPr>
          <w:rFonts w:hint="eastAsia" w:hAnsi="宋体"/>
          <w:sz w:val="21"/>
        </w:rPr>
        <w:t>以下的罚款，列入不良行为记录名单，在一至三年内禁止参加政府采购活动，有违法所得的，并处没收违法所得，情节严重的，由工商行政管理机关吊销营业执照；构成犯罪的，依法追究刑事责任：</w:t>
      </w:r>
    </w:p>
    <w:p>
      <w:pPr>
        <w:pStyle w:val="25"/>
        <w:numPr>
          <w:ilvl w:val="0"/>
          <w:numId w:val="6"/>
        </w:numPr>
        <w:tabs>
          <w:tab w:val="left" w:pos="945"/>
        </w:tabs>
        <w:spacing w:line="440" w:lineRule="exact"/>
        <w:rPr>
          <w:rFonts w:hAnsi="宋体"/>
          <w:sz w:val="21"/>
        </w:rPr>
      </w:pPr>
      <w:r>
        <w:rPr>
          <w:rFonts w:hint="eastAsia" w:hAnsi="宋体"/>
          <w:sz w:val="21"/>
        </w:rPr>
        <w:t>提供虚假材料谋取中标、成交的；</w:t>
      </w:r>
    </w:p>
    <w:p>
      <w:pPr>
        <w:pStyle w:val="25"/>
        <w:numPr>
          <w:ilvl w:val="0"/>
          <w:numId w:val="6"/>
        </w:numPr>
        <w:tabs>
          <w:tab w:val="left" w:pos="945"/>
        </w:tabs>
        <w:spacing w:line="440" w:lineRule="exact"/>
        <w:rPr>
          <w:rFonts w:hAnsi="宋体"/>
          <w:sz w:val="21"/>
        </w:rPr>
      </w:pPr>
      <w:r>
        <w:rPr>
          <w:rFonts w:hint="eastAsia" w:hAnsi="宋体"/>
          <w:sz w:val="21"/>
        </w:rPr>
        <w:t>采取不正当手段诋毁、排挤其他供应商的；</w:t>
      </w:r>
    </w:p>
    <w:p>
      <w:pPr>
        <w:pStyle w:val="25"/>
        <w:numPr>
          <w:ilvl w:val="0"/>
          <w:numId w:val="6"/>
        </w:numPr>
        <w:tabs>
          <w:tab w:val="left" w:pos="945"/>
        </w:tabs>
        <w:spacing w:line="440" w:lineRule="exact"/>
        <w:rPr>
          <w:sz w:val="21"/>
        </w:rPr>
      </w:pPr>
      <w:r>
        <w:rPr>
          <w:rFonts w:hint="eastAsia" w:hAnsi="宋体"/>
          <w:sz w:val="21"/>
        </w:rPr>
        <w:t>与采购人、其他供应商或者采购代理机构恶意串通的；</w:t>
      </w:r>
    </w:p>
    <w:p>
      <w:pPr>
        <w:pStyle w:val="25"/>
        <w:numPr>
          <w:ilvl w:val="0"/>
          <w:numId w:val="6"/>
        </w:numPr>
        <w:tabs>
          <w:tab w:val="left" w:pos="945"/>
        </w:tabs>
        <w:spacing w:line="440" w:lineRule="exact"/>
        <w:rPr>
          <w:sz w:val="21"/>
        </w:rPr>
      </w:pPr>
      <w:r>
        <w:rPr>
          <w:rFonts w:hint="eastAsia" w:hAnsi="宋体"/>
          <w:sz w:val="21"/>
        </w:rPr>
        <w:t>向采购人、采购代理机构行贿或者提供其他不正当利益的；</w:t>
      </w:r>
    </w:p>
    <w:p>
      <w:pPr>
        <w:pStyle w:val="25"/>
        <w:numPr>
          <w:ilvl w:val="0"/>
          <w:numId w:val="6"/>
        </w:numPr>
        <w:tabs>
          <w:tab w:val="left" w:pos="945"/>
        </w:tabs>
        <w:spacing w:line="440" w:lineRule="exact"/>
        <w:rPr>
          <w:sz w:val="21"/>
        </w:rPr>
      </w:pPr>
      <w:r>
        <w:rPr>
          <w:rFonts w:hint="eastAsia" w:hAnsi="宋体"/>
          <w:sz w:val="21"/>
        </w:rPr>
        <w:t>在采购过程中与采购人进行协商谈判的；</w:t>
      </w:r>
    </w:p>
    <w:p>
      <w:pPr>
        <w:pStyle w:val="25"/>
        <w:numPr>
          <w:ilvl w:val="0"/>
          <w:numId w:val="6"/>
        </w:numPr>
        <w:tabs>
          <w:tab w:val="left" w:pos="945"/>
        </w:tabs>
        <w:spacing w:line="440" w:lineRule="exact"/>
        <w:rPr>
          <w:rFonts w:hint="eastAsia"/>
          <w:sz w:val="21"/>
        </w:rPr>
      </w:pPr>
      <w:r>
        <w:rPr>
          <w:rFonts w:hint="eastAsia" w:hAnsi="宋体"/>
          <w:sz w:val="21"/>
        </w:rPr>
        <w:t>拒绝有关部门监督检查或提供虚假情况的。</w:t>
      </w:r>
    </w:p>
    <w:p>
      <w:pPr>
        <w:pStyle w:val="25"/>
        <w:spacing w:line="360" w:lineRule="auto"/>
        <w:ind w:firstLine="420"/>
        <w:rPr>
          <w:sz w:val="21"/>
        </w:rPr>
      </w:pPr>
      <w:r>
        <w:rPr>
          <w:rFonts w:hint="eastAsia" w:hAnsi="宋体" w:cs="宋体"/>
          <w:sz w:val="21"/>
        </w:rPr>
        <w:t>12.与本磋商有关的一切正式往来信函请寄</w:t>
      </w:r>
      <w:r>
        <w:rPr>
          <w:rFonts w:hint="eastAsia"/>
          <w:sz w:val="21"/>
        </w:rPr>
        <w:t>：</w:t>
      </w:r>
      <w:r>
        <w:rPr>
          <w:rFonts w:hint="eastAsia"/>
          <w:sz w:val="21"/>
          <w:u w:val="single"/>
        </w:rPr>
        <w:t xml:space="preserve">                 </w:t>
      </w:r>
    </w:p>
    <w:p>
      <w:pPr>
        <w:pStyle w:val="25"/>
        <w:spacing w:line="360" w:lineRule="auto"/>
        <w:ind w:firstLine="420"/>
        <w:rPr>
          <w:rFonts w:hint="eastAsia"/>
          <w:sz w:val="21"/>
        </w:rPr>
      </w:pPr>
      <w:r>
        <w:rPr>
          <w:rFonts w:hint="eastAsia"/>
          <w:sz w:val="21"/>
        </w:rPr>
        <w:t>地址：</w:t>
      </w:r>
      <w:r>
        <w:rPr>
          <w:rFonts w:hint="eastAsia"/>
          <w:sz w:val="21"/>
          <w:u w:val="single"/>
        </w:rPr>
        <w:t xml:space="preserve">                                                        </w:t>
      </w:r>
      <w:r>
        <w:rPr>
          <w:rFonts w:hint="eastAsia"/>
          <w:sz w:val="21"/>
        </w:rPr>
        <w:t xml:space="preserve"> </w:t>
      </w:r>
    </w:p>
    <w:p>
      <w:pPr>
        <w:pStyle w:val="25"/>
        <w:spacing w:line="360" w:lineRule="auto"/>
        <w:ind w:firstLine="420"/>
        <w:rPr>
          <w:rFonts w:hint="eastAsia"/>
          <w:sz w:val="21"/>
          <w:u w:val="single"/>
        </w:rPr>
      </w:pPr>
      <w:r>
        <w:rPr>
          <w:rFonts w:hint="eastAsia"/>
          <w:sz w:val="21"/>
        </w:rPr>
        <w:t>电话：</w:t>
      </w:r>
      <w:r>
        <w:rPr>
          <w:rFonts w:hint="eastAsia"/>
          <w:sz w:val="21"/>
          <w:u w:val="single"/>
        </w:rPr>
        <w:t xml:space="preserve">                                      　　　　　　　　　</w:t>
      </w:r>
    </w:p>
    <w:p>
      <w:pPr>
        <w:pStyle w:val="25"/>
        <w:spacing w:line="360" w:lineRule="auto"/>
        <w:ind w:firstLine="420"/>
        <w:rPr>
          <w:rFonts w:hint="eastAsia"/>
          <w:sz w:val="21"/>
        </w:rPr>
      </w:pPr>
      <w:r>
        <w:rPr>
          <w:rFonts w:hint="eastAsia"/>
          <w:sz w:val="21"/>
        </w:rPr>
        <w:t>传真：</w:t>
      </w:r>
      <w:r>
        <w:rPr>
          <w:rFonts w:hint="eastAsia"/>
          <w:sz w:val="21"/>
          <w:u w:val="single"/>
        </w:rPr>
        <w:t>　　　　　　　　　　　　　　　　　　　　　　　　　　　　</w:t>
      </w:r>
    </w:p>
    <w:p>
      <w:pPr>
        <w:pStyle w:val="25"/>
        <w:spacing w:line="360" w:lineRule="auto"/>
        <w:ind w:firstLine="420"/>
        <w:rPr>
          <w:rFonts w:hint="eastAsia"/>
          <w:sz w:val="21"/>
          <w:u w:val="single"/>
        </w:rPr>
      </w:pPr>
      <w:r>
        <w:rPr>
          <w:rFonts w:hint="eastAsia"/>
          <w:sz w:val="21"/>
        </w:rPr>
        <w:t>邮政编码：</w:t>
      </w:r>
      <w:r>
        <w:rPr>
          <w:rFonts w:hint="eastAsia"/>
          <w:sz w:val="21"/>
          <w:u w:val="single"/>
        </w:rPr>
        <w:t xml:space="preserve">                                                    </w:t>
      </w:r>
    </w:p>
    <w:p>
      <w:pPr>
        <w:pStyle w:val="25"/>
        <w:spacing w:line="360" w:lineRule="auto"/>
        <w:ind w:firstLine="420"/>
        <w:rPr>
          <w:rFonts w:hint="eastAsia"/>
          <w:sz w:val="21"/>
          <w:u w:val="single"/>
        </w:rPr>
      </w:pPr>
      <w:r>
        <w:rPr>
          <w:rFonts w:hint="eastAsia"/>
          <w:sz w:val="21"/>
        </w:rPr>
        <w:t>开户名称：</w:t>
      </w:r>
      <w:r>
        <w:rPr>
          <w:rFonts w:hint="eastAsia"/>
          <w:sz w:val="21"/>
          <w:u w:val="single"/>
        </w:rPr>
        <w:t xml:space="preserve">                                                    </w:t>
      </w:r>
    </w:p>
    <w:p>
      <w:pPr>
        <w:pStyle w:val="25"/>
        <w:spacing w:line="360" w:lineRule="auto"/>
        <w:ind w:firstLine="420"/>
        <w:rPr>
          <w:rFonts w:hint="eastAsia"/>
          <w:sz w:val="21"/>
          <w:u w:val="single"/>
        </w:rPr>
      </w:pPr>
      <w:r>
        <w:rPr>
          <w:rFonts w:hint="eastAsia"/>
          <w:sz w:val="21"/>
        </w:rPr>
        <w:t>开户银行：</w:t>
      </w:r>
      <w:r>
        <w:rPr>
          <w:rFonts w:hint="eastAsia"/>
          <w:sz w:val="21"/>
          <w:u w:val="single"/>
        </w:rPr>
        <w:t xml:space="preserve">                                                    </w:t>
      </w:r>
    </w:p>
    <w:p>
      <w:pPr>
        <w:pStyle w:val="25"/>
        <w:spacing w:line="360" w:lineRule="auto"/>
        <w:ind w:firstLine="420"/>
        <w:rPr>
          <w:rFonts w:hint="eastAsia"/>
          <w:sz w:val="21"/>
          <w:u w:val="single"/>
        </w:rPr>
      </w:pPr>
      <w:r>
        <w:rPr>
          <w:rFonts w:hint="eastAsia"/>
          <w:sz w:val="21"/>
        </w:rPr>
        <w:t>银行账号：</w:t>
      </w:r>
      <w:r>
        <w:rPr>
          <w:rFonts w:hint="eastAsia"/>
          <w:sz w:val="21"/>
          <w:u w:val="single"/>
        </w:rPr>
        <w:t xml:space="preserve">                                                    </w:t>
      </w:r>
    </w:p>
    <w:p>
      <w:pPr>
        <w:pStyle w:val="21"/>
        <w:tabs>
          <w:tab w:val="left" w:pos="939"/>
        </w:tabs>
        <w:spacing w:line="360" w:lineRule="auto"/>
        <w:ind w:left="141" w:leftChars="67" w:firstLine="315" w:firstLineChars="150"/>
        <w:rPr>
          <w:rFonts w:hint="eastAsia" w:ascii="宋体" w:hAnsi="宋体" w:cs="宋体"/>
          <w:szCs w:val="21"/>
        </w:rPr>
      </w:pPr>
      <w:r>
        <w:rPr>
          <w:rFonts w:hint="eastAsia" w:ascii="宋体" w:hAnsi="宋体" w:cs="宋体"/>
          <w:szCs w:val="21"/>
        </w:rPr>
        <w:t>特此承诺。</w:t>
      </w:r>
    </w:p>
    <w:p>
      <w:pPr>
        <w:spacing w:line="360" w:lineRule="auto"/>
        <w:contextualSpacing/>
        <w:jc w:val="left"/>
        <w:rPr>
          <w:rFonts w:hint="eastAsia" w:ascii="宋体" w:hAnsi="宋体" w:cs="宋体"/>
          <w:szCs w:val="21"/>
        </w:rPr>
      </w:pPr>
    </w:p>
    <w:p>
      <w:pPr>
        <w:autoSpaceDE w:val="0"/>
        <w:autoSpaceDN w:val="0"/>
        <w:spacing w:line="360" w:lineRule="auto"/>
        <w:ind w:left="4305" w:leftChars="1950" w:hanging="210" w:hangingChars="100"/>
        <w:rPr>
          <w:rFonts w:hint="eastAsia" w:ascii="宋体" w:hAnsi="宋体" w:cs="宋体"/>
          <w:kern w:val="0"/>
          <w:szCs w:val="21"/>
        </w:rPr>
      </w:pPr>
      <w:r>
        <w:rPr>
          <w:rFonts w:hint="eastAsia" w:ascii="宋体" w:hAnsi="宋体" w:cs="宋体"/>
          <w:kern w:val="0"/>
          <w:szCs w:val="21"/>
        </w:rPr>
        <w:t>供应商名称（电子签章）：</w:t>
      </w:r>
    </w:p>
    <w:p>
      <w:pPr>
        <w:pStyle w:val="301"/>
        <w:ind w:firstLine="4200" w:firstLineChars="2000"/>
        <w:rPr>
          <w:rFonts w:hint="eastAsia" w:hAnsi="宋体" w:cs="宋体"/>
          <w:sz w:val="21"/>
          <w:szCs w:val="21"/>
          <w:lang w:val="zh-CN"/>
        </w:rPr>
      </w:pPr>
      <w:r>
        <w:rPr>
          <w:rFonts w:hint="eastAsia" w:hAnsi="宋体" w:cs="宋体"/>
          <w:sz w:val="21"/>
          <w:szCs w:val="21"/>
          <w:lang w:val="zh-CN"/>
        </w:rPr>
        <w:t>日期：  年  月   日</w:t>
      </w:r>
    </w:p>
    <w:p>
      <w:pPr>
        <w:pStyle w:val="25"/>
        <w:spacing w:line="360" w:lineRule="auto"/>
        <w:ind w:firstLine="420"/>
      </w:pPr>
    </w:p>
    <w:p>
      <w:pPr>
        <w:spacing w:line="520" w:lineRule="exact"/>
        <w:ind w:firstLine="420" w:firstLineChars="200"/>
        <w:sectPr>
          <w:pgSz w:w="11905" w:h="16838"/>
          <w:pgMar w:top="1134" w:right="1134" w:bottom="1134" w:left="1134" w:header="510" w:footer="510" w:gutter="0"/>
          <w:pgNumType w:fmt="decimal"/>
          <w:cols w:space="720" w:num="1"/>
          <w:docGrid w:type="lines" w:linePitch="331" w:charSpace="0"/>
        </w:sectPr>
      </w:pPr>
    </w:p>
    <w:p>
      <w:pPr>
        <w:autoSpaceDE w:val="0"/>
        <w:autoSpaceDN w:val="0"/>
        <w:spacing w:line="360" w:lineRule="auto"/>
        <w:jc w:val="center"/>
        <w:rPr>
          <w:rFonts w:hint="eastAsia" w:ascii="宋体" w:cs="宋体"/>
          <w:kern w:val="0"/>
          <w:sz w:val="32"/>
          <w:szCs w:val="32"/>
        </w:rPr>
      </w:pPr>
      <w:r>
        <w:rPr>
          <w:rFonts w:hint="eastAsia" w:ascii="宋体" w:cs="宋体"/>
          <w:kern w:val="0"/>
          <w:sz w:val="32"/>
          <w:szCs w:val="32"/>
        </w:rPr>
        <w:t>响应函附录</w:t>
      </w:r>
    </w:p>
    <w:p>
      <w:pPr>
        <w:ind w:firstLine="514" w:firstLineChars="245"/>
        <w:rPr>
          <w:szCs w:val="21"/>
        </w:rPr>
      </w:pPr>
      <w:r>
        <w:rPr>
          <w:rFonts w:hint="eastAsia" w:cs="宋体"/>
          <w:szCs w:val="21"/>
        </w:rPr>
        <w:t>项目名称：</w:t>
      </w:r>
      <w:r>
        <w:rPr>
          <w:szCs w:val="21"/>
          <w:u w:val="single"/>
        </w:rPr>
        <w:t xml:space="preserve">                                               </w:t>
      </w:r>
      <w:r>
        <w:rPr>
          <w:rFonts w:hint="eastAsia" w:cs="宋体"/>
          <w:szCs w:val="21"/>
          <w:u w:val="single"/>
        </w:rPr>
        <w:t>项目编号：</w:t>
      </w:r>
    </w:p>
    <w:tbl>
      <w:tblPr>
        <w:tblStyle w:val="46"/>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rFonts w:hint="eastAsia" w:cs="宋体"/>
                <w:szCs w:val="21"/>
              </w:rPr>
              <w:t>序</w:t>
            </w:r>
            <w:r>
              <w:rPr>
                <w:szCs w:val="21"/>
              </w:rPr>
              <w:t xml:space="preserve"> </w:t>
            </w:r>
            <w:r>
              <w:rPr>
                <w:rFonts w:hint="eastAsia" w:cs="宋体"/>
                <w:szCs w:val="21"/>
              </w:rPr>
              <w:t>号</w:t>
            </w:r>
          </w:p>
        </w:tc>
        <w:tc>
          <w:tcPr>
            <w:tcW w:w="1985" w:type="dxa"/>
            <w:noWrap w:val="0"/>
            <w:vAlign w:val="center"/>
          </w:tcPr>
          <w:p>
            <w:pPr>
              <w:jc w:val="center"/>
              <w:rPr>
                <w:szCs w:val="21"/>
              </w:rPr>
            </w:pPr>
            <w:r>
              <w:rPr>
                <w:rFonts w:hint="eastAsia" w:cs="宋体"/>
                <w:szCs w:val="21"/>
              </w:rPr>
              <w:t>条款内容</w:t>
            </w:r>
          </w:p>
        </w:tc>
        <w:tc>
          <w:tcPr>
            <w:tcW w:w="2126" w:type="dxa"/>
            <w:noWrap w:val="0"/>
            <w:vAlign w:val="center"/>
          </w:tcPr>
          <w:p>
            <w:pPr>
              <w:jc w:val="center"/>
              <w:rPr>
                <w:szCs w:val="21"/>
              </w:rPr>
            </w:pPr>
            <w:r>
              <w:rPr>
                <w:rFonts w:hint="eastAsia" w:cs="宋体"/>
                <w:szCs w:val="21"/>
              </w:rPr>
              <w:t>合同条款号</w:t>
            </w:r>
          </w:p>
        </w:tc>
        <w:tc>
          <w:tcPr>
            <w:tcW w:w="1984" w:type="dxa"/>
            <w:noWrap w:val="0"/>
            <w:vAlign w:val="center"/>
          </w:tcPr>
          <w:p>
            <w:pPr>
              <w:jc w:val="center"/>
              <w:rPr>
                <w:szCs w:val="21"/>
              </w:rPr>
            </w:pPr>
            <w:r>
              <w:rPr>
                <w:rFonts w:hint="eastAsia" w:cs="宋体"/>
                <w:szCs w:val="21"/>
              </w:rPr>
              <w:t>约定内容</w:t>
            </w:r>
          </w:p>
        </w:tc>
        <w:tc>
          <w:tcPr>
            <w:tcW w:w="1843" w:type="dxa"/>
            <w:noWrap w:val="0"/>
            <w:vAlign w:val="center"/>
          </w:tcPr>
          <w:p>
            <w:pPr>
              <w:jc w:val="center"/>
              <w:rPr>
                <w:szCs w:val="21"/>
              </w:rPr>
            </w:pPr>
            <w:r>
              <w:rPr>
                <w:rFonts w:hint="eastAsia" w:cs="宋体"/>
                <w:szCs w:val="21"/>
              </w:rPr>
              <w:t>供应商响应情况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1</w:t>
            </w:r>
          </w:p>
        </w:tc>
        <w:tc>
          <w:tcPr>
            <w:tcW w:w="1985" w:type="dxa"/>
            <w:noWrap w:val="0"/>
            <w:vAlign w:val="center"/>
          </w:tcPr>
          <w:p>
            <w:pPr>
              <w:rPr>
                <w:szCs w:val="21"/>
              </w:rPr>
            </w:pPr>
            <w:r>
              <w:rPr>
                <w:rFonts w:hint="eastAsia" w:cs="宋体"/>
                <w:szCs w:val="21"/>
              </w:rPr>
              <w:t>项目经理</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rPr>
                <w:szCs w:val="21"/>
              </w:rPr>
            </w:pPr>
            <w:r>
              <w:rPr>
                <w:rFonts w:hint="eastAsia" w:cs="宋体"/>
                <w:szCs w:val="21"/>
              </w:rPr>
              <w:t>姓名：</w:t>
            </w:r>
            <w:r>
              <w:rPr>
                <w:szCs w:val="21"/>
                <w:u w:val="single"/>
              </w:rPr>
              <w:t xml:space="preserve">          </w:t>
            </w: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2</w:t>
            </w:r>
          </w:p>
        </w:tc>
        <w:tc>
          <w:tcPr>
            <w:tcW w:w="1985" w:type="dxa"/>
            <w:noWrap w:val="0"/>
            <w:vAlign w:val="center"/>
          </w:tcPr>
          <w:p>
            <w:pPr>
              <w:rPr>
                <w:szCs w:val="21"/>
              </w:rPr>
            </w:pPr>
            <w:r>
              <w:rPr>
                <w:rFonts w:hint="eastAsia" w:cs="宋体"/>
                <w:szCs w:val="21"/>
              </w:rPr>
              <w:t>投标有效期</w:t>
            </w:r>
          </w:p>
        </w:tc>
        <w:tc>
          <w:tcPr>
            <w:tcW w:w="2126" w:type="dxa"/>
            <w:noWrap w:val="0"/>
            <w:tcMar>
              <w:left w:w="170" w:type="dxa"/>
            </w:tcMar>
            <w:vAlign w:val="center"/>
          </w:tcPr>
          <w:p>
            <w:pPr>
              <w:rPr>
                <w:szCs w:val="21"/>
              </w:rPr>
            </w:pPr>
          </w:p>
        </w:tc>
        <w:tc>
          <w:tcPr>
            <w:tcW w:w="1984" w:type="dxa"/>
            <w:noWrap w:val="0"/>
            <w:vAlign w:val="center"/>
          </w:tcPr>
          <w:p>
            <w:pPr>
              <w:jc w:val="center"/>
              <w:rPr>
                <w:szCs w:val="21"/>
                <w:u w:val="single"/>
              </w:rPr>
            </w:pPr>
            <w:r>
              <w:rPr>
                <w:szCs w:val="21"/>
                <w:u w:val="single"/>
              </w:rPr>
              <w:t xml:space="preserve">          </w:t>
            </w:r>
            <w:r>
              <w:rPr>
                <w:rFonts w:hint="eastAsia" w:cs="宋体"/>
                <w:szCs w:val="21"/>
              </w:rPr>
              <w:t>日历天</w:t>
            </w: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3</w:t>
            </w:r>
          </w:p>
        </w:tc>
        <w:tc>
          <w:tcPr>
            <w:tcW w:w="1985" w:type="dxa"/>
            <w:noWrap w:val="0"/>
            <w:vAlign w:val="center"/>
          </w:tcPr>
          <w:p>
            <w:pPr>
              <w:rPr>
                <w:szCs w:val="21"/>
              </w:rPr>
            </w:pPr>
            <w:r>
              <w:rPr>
                <w:rFonts w:hint="eastAsia" w:cs="宋体"/>
                <w:szCs w:val="21"/>
              </w:rPr>
              <w:t>工期</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jc w:val="center"/>
              <w:rPr>
                <w:szCs w:val="21"/>
              </w:rPr>
            </w:pPr>
            <w:r>
              <w:rPr>
                <w:szCs w:val="21"/>
                <w:u w:val="single"/>
              </w:rPr>
              <w:t xml:space="preserve">          </w:t>
            </w:r>
            <w:r>
              <w:rPr>
                <w:rFonts w:hint="eastAsia" w:cs="宋体"/>
                <w:szCs w:val="21"/>
              </w:rPr>
              <w:t>日历天</w:t>
            </w: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4</w:t>
            </w:r>
          </w:p>
        </w:tc>
        <w:tc>
          <w:tcPr>
            <w:tcW w:w="1985" w:type="dxa"/>
            <w:noWrap w:val="0"/>
            <w:vAlign w:val="center"/>
          </w:tcPr>
          <w:p>
            <w:pPr>
              <w:rPr>
                <w:szCs w:val="21"/>
              </w:rPr>
            </w:pPr>
            <w:r>
              <w:rPr>
                <w:rFonts w:hint="eastAsia" w:cs="宋体"/>
                <w:szCs w:val="21"/>
              </w:rPr>
              <w:t>缺陷责任期</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jc w:val="cente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5</w:t>
            </w:r>
          </w:p>
        </w:tc>
        <w:tc>
          <w:tcPr>
            <w:tcW w:w="1985" w:type="dxa"/>
            <w:noWrap w:val="0"/>
            <w:vAlign w:val="center"/>
          </w:tcPr>
          <w:p>
            <w:pPr>
              <w:rPr>
                <w:szCs w:val="21"/>
              </w:rPr>
            </w:pPr>
            <w:r>
              <w:rPr>
                <w:rFonts w:hint="eastAsia" w:cs="宋体"/>
                <w:szCs w:val="21"/>
              </w:rPr>
              <w:t>发包人支付担保</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jc w:val="cente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6</w:t>
            </w:r>
          </w:p>
        </w:tc>
        <w:tc>
          <w:tcPr>
            <w:tcW w:w="1985" w:type="dxa"/>
            <w:noWrap w:val="0"/>
            <w:vAlign w:val="center"/>
          </w:tcPr>
          <w:p>
            <w:pPr>
              <w:rPr>
                <w:szCs w:val="21"/>
              </w:rPr>
            </w:pPr>
            <w:r>
              <w:rPr>
                <w:rFonts w:hint="eastAsia" w:cs="宋体"/>
                <w:szCs w:val="21"/>
              </w:rPr>
              <w:t>承包人履约担保金额</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jc w:val="cente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7</w:t>
            </w:r>
          </w:p>
        </w:tc>
        <w:tc>
          <w:tcPr>
            <w:tcW w:w="1985" w:type="dxa"/>
            <w:noWrap w:val="0"/>
            <w:vAlign w:val="center"/>
          </w:tcPr>
          <w:p>
            <w:pPr>
              <w:rPr>
                <w:szCs w:val="21"/>
              </w:rPr>
            </w:pPr>
            <w:r>
              <w:rPr>
                <w:rFonts w:hint="eastAsia" w:cs="宋体"/>
                <w:szCs w:val="21"/>
              </w:rPr>
              <w:t>逾期竣工违约金</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8</w:t>
            </w:r>
          </w:p>
        </w:tc>
        <w:tc>
          <w:tcPr>
            <w:tcW w:w="1985" w:type="dxa"/>
            <w:noWrap w:val="0"/>
            <w:vAlign w:val="center"/>
          </w:tcPr>
          <w:p>
            <w:pPr>
              <w:rPr>
                <w:szCs w:val="21"/>
              </w:rPr>
            </w:pPr>
            <w:r>
              <w:rPr>
                <w:rFonts w:hint="eastAsia" w:cs="宋体"/>
                <w:szCs w:val="21"/>
              </w:rPr>
              <w:t>逾期竣工违约金最高限额</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9</w:t>
            </w:r>
          </w:p>
        </w:tc>
        <w:tc>
          <w:tcPr>
            <w:tcW w:w="1985" w:type="dxa"/>
            <w:noWrap w:val="0"/>
            <w:vAlign w:val="center"/>
          </w:tcPr>
          <w:p>
            <w:pPr>
              <w:rPr>
                <w:szCs w:val="21"/>
              </w:rPr>
            </w:pPr>
            <w:r>
              <w:rPr>
                <w:rFonts w:hint="eastAsia" w:cs="宋体"/>
                <w:szCs w:val="21"/>
              </w:rPr>
              <w:t>质量标准</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jc w:val="cente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10</w:t>
            </w:r>
          </w:p>
        </w:tc>
        <w:tc>
          <w:tcPr>
            <w:tcW w:w="1985" w:type="dxa"/>
            <w:noWrap w:val="0"/>
            <w:vAlign w:val="center"/>
          </w:tcPr>
          <w:p>
            <w:pPr>
              <w:rPr>
                <w:szCs w:val="21"/>
              </w:rPr>
            </w:pPr>
            <w:r>
              <w:rPr>
                <w:rFonts w:hint="eastAsia" w:cs="宋体"/>
                <w:szCs w:val="21"/>
              </w:rPr>
              <w:t>预付款额度</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jc w:val="cente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11</w:t>
            </w:r>
          </w:p>
        </w:tc>
        <w:tc>
          <w:tcPr>
            <w:tcW w:w="1985" w:type="dxa"/>
            <w:noWrap w:val="0"/>
            <w:vAlign w:val="center"/>
          </w:tcPr>
          <w:p>
            <w:pPr>
              <w:rPr>
                <w:szCs w:val="21"/>
              </w:rPr>
            </w:pPr>
            <w:r>
              <w:rPr>
                <w:rFonts w:hint="eastAsia" w:cs="宋体"/>
                <w:szCs w:val="21"/>
              </w:rPr>
              <w:t>预付款保函金额</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jc w:val="cente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12</w:t>
            </w:r>
          </w:p>
        </w:tc>
        <w:tc>
          <w:tcPr>
            <w:tcW w:w="1985" w:type="dxa"/>
            <w:noWrap w:val="0"/>
            <w:vAlign w:val="center"/>
          </w:tcPr>
          <w:p>
            <w:pPr>
              <w:rPr>
                <w:szCs w:val="21"/>
              </w:rPr>
            </w:pPr>
            <w:r>
              <w:rPr>
                <w:rFonts w:hint="eastAsia" w:cs="宋体"/>
                <w:szCs w:val="21"/>
              </w:rPr>
              <w:t>质量保证金额度</w:t>
            </w:r>
          </w:p>
        </w:tc>
        <w:tc>
          <w:tcPr>
            <w:tcW w:w="2126" w:type="dxa"/>
            <w:noWrap w:val="0"/>
            <w:tcMar>
              <w:left w:w="170" w:type="dxa"/>
            </w:tcMar>
            <w:vAlign w:val="center"/>
          </w:tcPr>
          <w:p>
            <w:pPr>
              <w:jc w:val="center"/>
              <w:rPr>
                <w:szCs w:val="21"/>
              </w:rPr>
            </w:pPr>
            <w:r>
              <w:rPr>
                <w:rFonts w:hint="eastAsia" w:cs="宋体"/>
                <w:szCs w:val="21"/>
              </w:rPr>
              <w:t>专用条款</w:t>
            </w:r>
          </w:p>
        </w:tc>
        <w:tc>
          <w:tcPr>
            <w:tcW w:w="1984" w:type="dxa"/>
            <w:noWrap w:val="0"/>
            <w:vAlign w:val="center"/>
          </w:tcPr>
          <w:p>
            <w:pPr>
              <w:jc w:val="center"/>
              <w:rPr>
                <w:szCs w:val="21"/>
              </w:rPr>
            </w:pPr>
            <w:r>
              <w:rPr>
                <w:szCs w:val="21"/>
              </w:rPr>
              <w:t xml:space="preserve"> </w:t>
            </w:r>
            <w:r>
              <w:rPr>
                <w:szCs w:val="21"/>
                <w:u w:val="single"/>
              </w:rPr>
              <w:t xml:space="preserve"> </w:t>
            </w: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w:t>
            </w:r>
          </w:p>
        </w:tc>
        <w:tc>
          <w:tcPr>
            <w:tcW w:w="1985" w:type="dxa"/>
            <w:noWrap w:val="0"/>
            <w:vAlign w:val="center"/>
          </w:tcPr>
          <w:p>
            <w:pPr>
              <w:jc w:val="center"/>
              <w:rPr>
                <w:szCs w:val="21"/>
              </w:rPr>
            </w:pPr>
            <w:r>
              <w:rPr>
                <w:szCs w:val="21"/>
              </w:rPr>
              <w:t>……</w:t>
            </w:r>
          </w:p>
        </w:tc>
        <w:tc>
          <w:tcPr>
            <w:tcW w:w="2126" w:type="dxa"/>
            <w:noWrap w:val="0"/>
            <w:tcMar>
              <w:left w:w="170" w:type="dxa"/>
            </w:tcMar>
            <w:vAlign w:val="center"/>
          </w:tcPr>
          <w:p>
            <w:pPr>
              <w:jc w:val="center"/>
              <w:rPr>
                <w:szCs w:val="21"/>
              </w:rPr>
            </w:pPr>
          </w:p>
        </w:tc>
        <w:tc>
          <w:tcPr>
            <w:tcW w:w="1984" w:type="dxa"/>
            <w:noWrap w:val="0"/>
            <w:vAlign w:val="center"/>
          </w:tcPr>
          <w:p>
            <w:pPr>
              <w:jc w:val="cente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pPr>
              <w:jc w:val="center"/>
              <w:rPr>
                <w:szCs w:val="21"/>
              </w:rPr>
            </w:pPr>
            <w:r>
              <w:rPr>
                <w:szCs w:val="21"/>
              </w:rPr>
              <w:t>……</w:t>
            </w:r>
          </w:p>
        </w:tc>
        <w:tc>
          <w:tcPr>
            <w:tcW w:w="1985" w:type="dxa"/>
            <w:noWrap w:val="0"/>
            <w:vAlign w:val="center"/>
          </w:tcPr>
          <w:p>
            <w:pPr>
              <w:jc w:val="center"/>
              <w:rPr>
                <w:szCs w:val="21"/>
              </w:rPr>
            </w:pPr>
            <w:r>
              <w:rPr>
                <w:szCs w:val="21"/>
              </w:rPr>
              <w:t>……</w:t>
            </w:r>
          </w:p>
        </w:tc>
        <w:tc>
          <w:tcPr>
            <w:tcW w:w="2126" w:type="dxa"/>
            <w:noWrap w:val="0"/>
            <w:tcMar>
              <w:left w:w="170" w:type="dxa"/>
            </w:tcMar>
            <w:vAlign w:val="center"/>
          </w:tcPr>
          <w:p>
            <w:pPr>
              <w:rPr>
                <w:szCs w:val="21"/>
              </w:rPr>
            </w:pPr>
          </w:p>
        </w:tc>
        <w:tc>
          <w:tcPr>
            <w:tcW w:w="1984" w:type="dxa"/>
            <w:noWrap w:val="0"/>
            <w:vAlign w:val="center"/>
          </w:tcPr>
          <w:p>
            <w:pPr>
              <w:jc w:val="center"/>
              <w:rPr>
                <w:szCs w:val="21"/>
              </w:rPr>
            </w:pPr>
          </w:p>
        </w:tc>
        <w:tc>
          <w:tcPr>
            <w:tcW w:w="1843"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pPr>
              <w:spacing w:line="360" w:lineRule="auto"/>
              <w:rPr>
                <w:szCs w:val="21"/>
              </w:rPr>
            </w:pPr>
            <w:r>
              <w:rPr>
                <w:rFonts w:hint="eastAsia" w:cs="宋体"/>
                <w:szCs w:val="21"/>
              </w:rPr>
              <w:t>说明：</w:t>
            </w:r>
            <w:r>
              <w:rPr>
                <w:rFonts w:hint="eastAsia" w:hAnsi="宋体" w:cs="宋体"/>
                <w:color w:val="auto"/>
                <w:sz w:val="21"/>
                <w:lang w:val="en-US" w:eastAsia="zh-CN" w:bidi="ar-SA"/>
              </w:rPr>
              <w:t>供应商</w:t>
            </w:r>
            <w:r>
              <w:rPr>
                <w:rFonts w:hint="eastAsia" w:cs="宋体"/>
                <w:szCs w:val="21"/>
              </w:rPr>
              <w:t>在响应</w:t>
            </w:r>
            <w:r>
              <w:rPr>
                <w:rFonts w:hint="eastAsia" w:cs="宋体"/>
                <w:szCs w:val="21"/>
                <w:lang w:val="en-US" w:eastAsia="zh-CN"/>
              </w:rPr>
              <w:t>采购</w:t>
            </w:r>
            <w:r>
              <w:rPr>
                <w:rFonts w:hint="eastAsia" w:cs="宋体"/>
                <w:szCs w:val="21"/>
              </w:rPr>
              <w:t>文件中规定的实质性要求和条件的基础上，可做出其他有利于</w:t>
            </w:r>
            <w:r>
              <w:rPr>
                <w:rFonts w:hint="eastAsia" w:cs="宋体"/>
                <w:szCs w:val="21"/>
                <w:lang w:val="en-US" w:eastAsia="zh-CN"/>
              </w:rPr>
              <w:t>采购人</w:t>
            </w:r>
            <w:r>
              <w:rPr>
                <w:rFonts w:hint="eastAsia" w:cs="宋体"/>
                <w:szCs w:val="21"/>
              </w:rPr>
              <w:t>的承诺。此类承诺可在本表中予以补充填写。</w:t>
            </w:r>
          </w:p>
        </w:tc>
      </w:tr>
    </w:tbl>
    <w:p>
      <w:pPr>
        <w:autoSpaceDE w:val="0"/>
        <w:autoSpaceDN w:val="0"/>
        <w:spacing w:line="360" w:lineRule="auto"/>
        <w:ind w:left="4305" w:leftChars="1950" w:hanging="210" w:hangingChars="100"/>
        <w:rPr>
          <w:rFonts w:hint="eastAsia" w:ascii="宋体" w:hAnsi="宋体" w:cs="宋体"/>
          <w:kern w:val="0"/>
          <w:szCs w:val="21"/>
        </w:rPr>
      </w:pPr>
    </w:p>
    <w:p>
      <w:pPr>
        <w:autoSpaceDE w:val="0"/>
        <w:autoSpaceDN w:val="0"/>
        <w:spacing w:line="360" w:lineRule="auto"/>
        <w:ind w:left="4305" w:leftChars="1950" w:hanging="210" w:hangingChars="100"/>
        <w:rPr>
          <w:rFonts w:hint="eastAsia" w:ascii="宋体" w:hAnsi="宋体" w:cs="宋体"/>
          <w:kern w:val="0"/>
          <w:szCs w:val="21"/>
        </w:rPr>
      </w:pPr>
    </w:p>
    <w:p>
      <w:pPr>
        <w:autoSpaceDE w:val="0"/>
        <w:autoSpaceDN w:val="0"/>
        <w:spacing w:line="360" w:lineRule="auto"/>
        <w:ind w:left="4305" w:leftChars="1950" w:hanging="210" w:hangingChars="100"/>
        <w:rPr>
          <w:rFonts w:hint="eastAsia" w:ascii="宋体" w:hAnsi="宋体" w:cs="宋体"/>
          <w:kern w:val="0"/>
          <w:szCs w:val="21"/>
        </w:rPr>
      </w:pPr>
      <w:r>
        <w:rPr>
          <w:rFonts w:hint="eastAsia" w:ascii="宋体" w:hAnsi="宋体" w:cs="宋体"/>
          <w:kern w:val="0"/>
          <w:szCs w:val="21"/>
        </w:rPr>
        <w:t>供应商名称（电子签章）：</w:t>
      </w:r>
    </w:p>
    <w:p>
      <w:pPr>
        <w:pStyle w:val="301"/>
        <w:ind w:firstLine="4200" w:firstLineChars="2000"/>
        <w:rPr>
          <w:rFonts w:hint="eastAsia" w:hAnsi="宋体" w:cs="宋体"/>
          <w:sz w:val="21"/>
          <w:szCs w:val="21"/>
          <w:lang w:val="zh-CN"/>
        </w:rPr>
      </w:pPr>
      <w:r>
        <w:rPr>
          <w:rFonts w:hint="eastAsia" w:hAnsi="宋体" w:cs="宋体"/>
          <w:sz w:val="21"/>
          <w:szCs w:val="21"/>
          <w:lang w:val="zh-CN"/>
        </w:rPr>
        <w:t>日期：  年  月   日</w:t>
      </w:r>
    </w:p>
    <w:p>
      <w:pPr>
        <w:spacing w:line="480" w:lineRule="exact"/>
        <w:ind w:firstLine="420" w:firstLineChars="200"/>
        <w:rPr>
          <w:szCs w:val="21"/>
        </w:rPr>
      </w:pPr>
    </w:p>
    <w:p>
      <w:pPr>
        <w:rPr>
          <w:rFonts w:ascii="宋体" w:hAnsi="宋体"/>
          <w:lang w:val="zh-CN"/>
        </w:rPr>
      </w:pPr>
    </w:p>
    <w:p>
      <w:pPr>
        <w:pStyle w:val="19"/>
        <w:rPr>
          <w:rFonts w:ascii="宋体" w:hAnsi="宋体"/>
          <w:lang w:val="zh-CN"/>
        </w:rPr>
      </w:pPr>
    </w:p>
    <w:p>
      <w:pPr>
        <w:rPr>
          <w:rFonts w:ascii="宋体" w:hAnsi="宋体"/>
          <w:lang w:val="zh-CN"/>
        </w:rPr>
      </w:pPr>
    </w:p>
    <w:p>
      <w:pPr>
        <w:pStyle w:val="19"/>
        <w:rPr>
          <w:lang w:val="zh-CN"/>
        </w:rPr>
      </w:pPr>
    </w:p>
    <w:p>
      <w:pPr>
        <w:spacing w:line="520" w:lineRule="exact"/>
        <w:ind w:firstLine="643" w:firstLineChars="200"/>
        <w:rPr>
          <w:rFonts w:ascii="宋体" w:hAnsi="宋体"/>
          <w:b/>
          <w:bCs/>
          <w:sz w:val="32"/>
          <w:szCs w:val="32"/>
        </w:rPr>
      </w:pPr>
      <w:r>
        <w:rPr>
          <w:rFonts w:hint="eastAsia" w:ascii="宋体" w:hAnsi="宋体"/>
          <w:b/>
          <w:bCs/>
          <w:sz w:val="32"/>
          <w:szCs w:val="32"/>
        </w:rPr>
        <w:t>二、响应报价表</w:t>
      </w:r>
    </w:p>
    <w:p>
      <w:pPr>
        <w:snapToGrid w:val="0"/>
        <w:spacing w:before="50" w:after="50" w:line="360" w:lineRule="auto"/>
        <w:rPr>
          <w:rFonts w:ascii="宋体" w:hAnsi="宋体"/>
          <w:sz w:val="24"/>
          <w:u w:val="single"/>
        </w:rPr>
      </w:pPr>
      <w:r>
        <w:rPr>
          <w:rFonts w:hint="eastAsia" w:ascii="宋体" w:hAnsi="宋体"/>
          <w:sz w:val="24"/>
        </w:rPr>
        <w:t>项目名称：</w:t>
      </w:r>
      <w:r>
        <w:rPr>
          <w:rFonts w:hint="eastAsia" w:ascii="宋体" w:hAnsi="宋体"/>
          <w:sz w:val="24"/>
          <w:u w:val="single"/>
          <w:lang w:val="en-US" w:eastAsia="zh-CN"/>
        </w:rPr>
        <w:t xml:space="preserve">           </w:t>
      </w:r>
      <w:r>
        <w:rPr>
          <w:rFonts w:hint="eastAsia" w:ascii="宋体" w:hAnsi="宋体"/>
          <w:sz w:val="24"/>
        </w:rPr>
        <w:t>项目编号：</w:t>
      </w:r>
      <w:r>
        <w:rPr>
          <w:rFonts w:hint="eastAsia" w:ascii="宋体" w:hAnsi="宋体"/>
          <w:sz w:val="24"/>
          <w:u w:val="single"/>
          <w:lang w:val="en-US" w:eastAsia="zh-CN"/>
        </w:rPr>
        <w:t xml:space="preserve">             </w:t>
      </w:r>
      <w:r>
        <w:rPr>
          <w:rFonts w:hint="eastAsia" w:ascii="宋体" w:hAnsi="宋体"/>
          <w:sz w:val="24"/>
        </w:rPr>
        <w:t xml:space="preserve">        分标：</w:t>
      </w:r>
    </w:p>
    <w:p>
      <w:pPr>
        <w:snapToGrid w:val="0"/>
        <w:spacing w:before="50" w:after="50" w:line="360" w:lineRule="auto"/>
        <w:rPr>
          <w:rFonts w:ascii="宋体" w:hAnsi="宋体"/>
          <w:sz w:val="24"/>
          <w:u w:val="single"/>
        </w:rPr>
      </w:pPr>
      <w:r>
        <w:rPr>
          <w:rFonts w:hint="eastAsia" w:ascii="宋体" w:hAnsi="宋体"/>
          <w:sz w:val="24"/>
        </w:rPr>
        <w:t>供应商名称：</w:t>
      </w:r>
    </w:p>
    <w:tbl>
      <w:tblPr>
        <w:tblStyle w:val="46"/>
        <w:tblW w:w="98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260"/>
        <w:gridCol w:w="2064"/>
        <w:gridCol w:w="2728"/>
        <w:gridCol w:w="992"/>
        <w:gridCol w:w="1134"/>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5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r>
              <w:rPr>
                <w:rFonts w:hint="eastAsia" w:ascii="宋体" w:hAnsi="宋体"/>
                <w:szCs w:val="22"/>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r>
              <w:rPr>
                <w:rFonts w:hint="eastAsia" w:ascii="宋体" w:hAnsi="宋体"/>
                <w:szCs w:val="22"/>
              </w:rPr>
              <w:t>工程名称</w:t>
            </w:r>
          </w:p>
        </w:tc>
        <w:tc>
          <w:tcPr>
            <w:tcW w:w="20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2"/>
              </w:rPr>
            </w:pPr>
            <w:r>
              <w:rPr>
                <w:rFonts w:hint="eastAsia" w:ascii="宋体" w:hAnsi="宋体"/>
                <w:szCs w:val="22"/>
              </w:rPr>
              <w:t>具体工程内容</w:t>
            </w:r>
          </w:p>
        </w:tc>
        <w:tc>
          <w:tcPr>
            <w:tcW w:w="272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2"/>
              </w:rPr>
            </w:pPr>
            <w:r>
              <w:rPr>
                <w:rFonts w:hint="eastAsia" w:ascii="宋体" w:hAnsi="宋体"/>
                <w:szCs w:val="22"/>
              </w:rPr>
              <w:t>投标报价(元）</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r>
              <w:rPr>
                <w:rFonts w:hint="eastAsia" w:ascii="宋体" w:hAnsi="宋体"/>
                <w:szCs w:val="22"/>
              </w:rPr>
              <w:t>工期</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r>
              <w:rPr>
                <w:rFonts w:hint="eastAsia" w:ascii="宋体" w:hAnsi="宋体"/>
                <w:szCs w:val="22"/>
              </w:rPr>
              <w:t>工程质量</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2"/>
              </w:rPr>
            </w:pPr>
            <w:r>
              <w:rPr>
                <w:rFonts w:hint="eastAsia" w:ascii="宋体" w:hAnsi="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5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r>
              <w:rPr>
                <w:rFonts w:ascii="宋体" w:hAnsi="宋体"/>
                <w:szCs w:val="22"/>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szCs w:val="22"/>
                <w:lang w:eastAsia="zh-CN"/>
              </w:rPr>
            </w:pPr>
            <w:r>
              <w:rPr>
                <w:rFonts w:hint="eastAsia" w:ascii="宋体" w:hAnsi="宋体"/>
                <w:szCs w:val="22"/>
                <w:lang w:eastAsia="zh-CN"/>
              </w:rPr>
              <w:t xml:space="preserve">南宁市体育运动学校游泳跳水馆功能训练房改造工程 </w:t>
            </w:r>
          </w:p>
        </w:tc>
        <w:tc>
          <w:tcPr>
            <w:tcW w:w="2064"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r>
              <w:rPr>
                <w:rFonts w:hint="eastAsia" w:ascii="宋体" w:hAnsi="宋体"/>
                <w:szCs w:val="22"/>
              </w:rPr>
              <w:t>详见已标价工程量清单</w:t>
            </w:r>
          </w:p>
        </w:tc>
        <w:tc>
          <w:tcPr>
            <w:tcW w:w="272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2"/>
              </w:rPr>
            </w:pPr>
          </w:p>
        </w:tc>
        <w:tc>
          <w:tcPr>
            <w:tcW w:w="916"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2"/>
              </w:rPr>
            </w:pPr>
          </w:p>
        </w:tc>
      </w:tr>
    </w:tbl>
    <w:p>
      <w:pPr>
        <w:snapToGrid w:val="0"/>
        <w:spacing w:before="50" w:after="50"/>
        <w:ind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注： </w:t>
      </w:r>
    </w:p>
    <w:p>
      <w:pPr>
        <w:snapToGrid w:val="0"/>
        <w:spacing w:before="50" w:after="50"/>
        <w:ind w:firstLine="480" w:firstLineChars="200"/>
        <w:jc w:val="left"/>
        <w:rPr>
          <w:rFonts w:ascii="宋体" w:hAnsi="宋体" w:cs="仿宋_GB2312"/>
          <w:kern w:val="0"/>
          <w:sz w:val="24"/>
          <w:lang w:val="zh-CN"/>
        </w:rPr>
      </w:pPr>
      <w:r>
        <w:rPr>
          <w:rFonts w:hint="eastAsia" w:ascii="宋体" w:hAnsi="宋体" w:cs="仿宋_GB2312"/>
          <w:kern w:val="0"/>
          <w:sz w:val="24"/>
          <w:lang w:val="zh-CN"/>
        </w:rPr>
        <w:t>1、 供应商需按本表格式填写，不得自行更改，也不得留空, 如有多分标，按分标分别提供响应报价表</w:t>
      </w:r>
      <w:r>
        <w:rPr>
          <w:rFonts w:hint="eastAsia" w:ascii="宋体" w:hAnsi="宋体" w:cs="仿宋_GB2312"/>
          <w:b/>
          <w:kern w:val="0"/>
          <w:sz w:val="24"/>
          <w:lang w:val="zh-CN"/>
        </w:rPr>
        <w:t>。</w:t>
      </w:r>
    </w:p>
    <w:p>
      <w:pPr>
        <w:snapToGrid w:val="0"/>
        <w:spacing w:before="50" w:after="50"/>
        <w:ind w:firstLine="480" w:firstLineChars="200"/>
        <w:jc w:val="left"/>
        <w:rPr>
          <w:rFonts w:ascii="宋体" w:hAnsi="宋体" w:cs="仿宋_GB2312"/>
          <w:b/>
          <w:kern w:val="0"/>
          <w:sz w:val="24"/>
          <w:lang w:val="zh-CN"/>
        </w:rPr>
      </w:pPr>
      <w:r>
        <w:rPr>
          <w:rFonts w:hint="eastAsia" w:ascii="宋体" w:hAnsi="宋体" w:cs="仿宋_GB2312"/>
          <w:kern w:val="0"/>
          <w:sz w:val="24"/>
          <w:lang w:val="zh-CN"/>
        </w:rPr>
        <w:t>2、如为联合体响应的，“供应商名称”处必须列明联合体各方名称，并标注联合体牵头人名称，且盖章处须加盖联合体各方公章，</w:t>
      </w:r>
      <w:r>
        <w:rPr>
          <w:rFonts w:hint="eastAsia" w:ascii="宋体" w:hAnsi="宋体" w:cs="仿宋_GB2312"/>
          <w:b/>
          <w:kern w:val="0"/>
          <w:sz w:val="24"/>
          <w:lang w:val="zh-CN"/>
        </w:rPr>
        <w:t>否则其响应作无效响应处理。</w:t>
      </w:r>
    </w:p>
    <w:p>
      <w:pPr>
        <w:snapToGrid w:val="0"/>
        <w:ind w:firstLine="480" w:firstLineChars="200"/>
        <w:jc w:val="left"/>
        <w:rPr>
          <w:rFonts w:ascii="宋体" w:hAnsi="宋体" w:cs="仿宋_GB2312"/>
          <w:kern w:val="0"/>
          <w:sz w:val="24"/>
          <w:lang w:val="zh-CN"/>
        </w:rPr>
      </w:pPr>
      <w:r>
        <w:rPr>
          <w:rFonts w:hint="eastAsia" w:ascii="宋体" w:hAnsi="宋体" w:cs="仿宋_GB2312"/>
          <w:kern w:val="0"/>
          <w:sz w:val="24"/>
          <w:lang w:val="zh-CN"/>
        </w:rPr>
        <w:t>3、特别提示：采购机构将对项目名称和项目编号，成交供应商名称、地址和成交金额，主要成交标的的名称、规格型号、数量、单价、服务要求等予以公示。</w:t>
      </w:r>
    </w:p>
    <w:p>
      <w:pPr>
        <w:snapToGrid w:val="0"/>
        <w:ind w:firstLine="480" w:firstLineChars="200"/>
        <w:jc w:val="left"/>
        <w:rPr>
          <w:rFonts w:ascii="宋体" w:hAnsi="宋体" w:cs="仿宋_GB2312"/>
          <w:kern w:val="0"/>
          <w:sz w:val="24"/>
          <w:lang w:val="zh-CN"/>
        </w:rPr>
      </w:pPr>
      <w:r>
        <w:rPr>
          <w:rFonts w:hint="eastAsia" w:ascii="宋体" w:hAnsi="宋体" w:cs="仿宋_GB2312"/>
          <w:kern w:val="0"/>
          <w:sz w:val="24"/>
          <w:szCs w:val="22"/>
          <w:lang w:val="en-US" w:eastAsia="zh-CN"/>
        </w:rPr>
        <w:t>4</w:t>
      </w:r>
      <w:r>
        <w:rPr>
          <w:rFonts w:hint="eastAsia" w:ascii="宋体" w:hAnsi="宋体" w:cs="仿宋_GB2312"/>
          <w:kern w:val="0"/>
          <w:sz w:val="24"/>
          <w:szCs w:val="22"/>
          <w:lang w:val="zh-CN"/>
        </w:rPr>
        <w:t>、</w:t>
      </w:r>
      <w:r>
        <w:rPr>
          <w:rFonts w:hint="eastAsia" w:ascii="宋体" w:hAnsi="宋体" w:cs="仿宋_GB2312"/>
          <w:kern w:val="0"/>
          <w:sz w:val="24"/>
          <w:lang w:val="zh-CN"/>
        </w:rPr>
        <w:t>符合采购文件中列明的可享受中小企业扶持政策的供应商，请填写中小企业声明函。注：供应商</w:t>
      </w:r>
      <w:r>
        <w:rPr>
          <w:rFonts w:ascii="宋体" w:hAnsi="宋体" w:cs="仿宋_GB2312"/>
          <w:kern w:val="0"/>
          <w:sz w:val="24"/>
          <w:lang w:val="zh-CN"/>
        </w:rPr>
        <w:t>提供</w:t>
      </w:r>
      <w:r>
        <w:rPr>
          <w:rFonts w:hint="eastAsia" w:ascii="宋体" w:hAnsi="宋体" w:cs="仿宋_GB2312"/>
          <w:kern w:val="0"/>
          <w:sz w:val="24"/>
          <w:lang w:val="zh-CN"/>
        </w:rPr>
        <w:t>的中小企业</w:t>
      </w:r>
      <w:r>
        <w:rPr>
          <w:rFonts w:ascii="宋体" w:hAnsi="宋体" w:cs="仿宋_GB2312"/>
          <w:kern w:val="0"/>
          <w:sz w:val="24"/>
          <w:lang w:val="zh-CN"/>
        </w:rPr>
        <w:t>声明函内容不实的，属于提供虚假材料谋取中标、成交，依照《中华人民共和国政府采购法》等国家有关规定追究相应责任。</w:t>
      </w: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spacing w:line="500" w:lineRule="exact"/>
        <w:ind w:firstLine="6360" w:firstLineChars="2650"/>
        <w:rPr>
          <w:rFonts w:ascii="宋体" w:hAnsi="宋体" w:cs="仿宋_GB2312"/>
          <w:kern w:val="0"/>
          <w:sz w:val="24"/>
          <w:szCs w:val="21"/>
          <w:lang w:val="zh-CN"/>
        </w:rPr>
      </w:pPr>
      <w:r>
        <w:rPr>
          <w:rFonts w:hint="eastAsia" w:ascii="宋体" w:hAnsi="宋体" w:cs="仿宋_GB2312"/>
          <w:kern w:val="0"/>
          <w:sz w:val="24"/>
          <w:szCs w:val="21"/>
          <w:lang w:val="zh-CN"/>
        </w:rPr>
        <w:t>日期：  年  月   日</w:t>
      </w:r>
    </w:p>
    <w:p>
      <w:pPr>
        <w:spacing w:line="500" w:lineRule="exact"/>
        <w:ind w:firstLine="6360" w:firstLineChars="2650"/>
        <w:rPr>
          <w:rFonts w:ascii="宋体" w:hAnsi="宋体" w:cs="仿宋_GB2312"/>
          <w:kern w:val="0"/>
          <w:sz w:val="24"/>
          <w:szCs w:val="21"/>
          <w:lang w:val="zh-CN"/>
        </w:rPr>
      </w:pPr>
    </w:p>
    <w:p>
      <w:pPr>
        <w:autoSpaceDE w:val="0"/>
        <w:autoSpaceDN w:val="0"/>
        <w:spacing w:line="360" w:lineRule="auto"/>
        <w:jc w:val="center"/>
        <w:rPr>
          <w:rFonts w:hint="eastAsia" w:ascii="宋体" w:hAnsi="宋体"/>
          <w:b/>
          <w:sz w:val="32"/>
          <w:szCs w:val="32"/>
        </w:rPr>
      </w:pPr>
      <w:r>
        <w:rPr>
          <w:rFonts w:hint="eastAsia" w:ascii="宋体" w:hAnsi="宋体"/>
          <w:b/>
          <w:sz w:val="32"/>
          <w:szCs w:val="32"/>
        </w:rPr>
        <w:br w:type="page"/>
      </w:r>
      <w:r>
        <w:rPr>
          <w:rFonts w:hint="eastAsia" w:ascii="宋体" w:hAnsi="宋体"/>
          <w:b/>
          <w:sz w:val="32"/>
          <w:szCs w:val="32"/>
        </w:rPr>
        <w:t>三、已标价工程量清单</w:t>
      </w:r>
    </w:p>
    <w:p>
      <w:pPr>
        <w:pStyle w:val="19"/>
        <w:spacing w:after="0" w:line="400" w:lineRule="exact"/>
        <w:jc w:val="center"/>
        <w:rPr>
          <w:rFonts w:hint="eastAsia"/>
        </w:rPr>
      </w:pPr>
      <w:r>
        <w:rPr>
          <w:rFonts w:hint="eastAsia"/>
        </w:rPr>
        <w:t xml:space="preserve"> </w:t>
      </w:r>
    </w:p>
    <w:p>
      <w:pPr>
        <w:spacing w:line="360" w:lineRule="auto"/>
        <w:ind w:firstLine="1050" w:firstLineChars="500"/>
        <w:contextualSpacing/>
        <w:jc w:val="left"/>
        <w:rPr>
          <w:rFonts w:hint="eastAsia" w:ascii="宋体" w:hAnsi="宋体" w:cs="宋体"/>
          <w:color w:val="000000"/>
        </w:rPr>
      </w:pPr>
      <w:r>
        <w:rPr>
          <w:rFonts w:hint="eastAsia" w:ascii="宋体" w:hAnsi="宋体" w:cs="宋体"/>
          <w:color w:val="000000"/>
        </w:rPr>
        <w:t>供应商应按照第五章“工程量清单及图纸”的要求逐项填报工程量清单。</w:t>
      </w:r>
    </w:p>
    <w:p>
      <w:pPr>
        <w:pStyle w:val="19"/>
        <w:spacing w:after="0" w:line="400" w:lineRule="exact"/>
        <w:jc w:val="center"/>
        <w:rPr>
          <w:rFonts w:hint="eastAsia"/>
        </w:rPr>
      </w:pPr>
    </w:p>
    <w:p>
      <w:pPr>
        <w:pStyle w:val="19"/>
        <w:spacing w:after="0" w:line="400" w:lineRule="exact"/>
        <w:jc w:val="center"/>
        <w:rPr>
          <w:rFonts w:hint="eastAsia"/>
        </w:rPr>
      </w:pPr>
      <w:r>
        <w:rPr>
          <w:rFonts w:hint="eastAsia"/>
        </w:rPr>
        <w:t>备注：</w:t>
      </w:r>
      <w:r>
        <w:rPr>
          <w:rFonts w:hint="eastAsia"/>
          <w:b/>
        </w:rPr>
        <w:t>供应商在上传竞标报价文件时应上传纸质投标总价封面的原件扫描件。竞标总价封面必须经供应商盖章，并由法定代表人（或其授权人）签字（或盖章），同时由编制人签字盖专用章。</w:t>
      </w:r>
    </w:p>
    <w:p>
      <w:pPr>
        <w:rPr>
          <w:rFonts w:hint="eastAsia"/>
        </w:rPr>
      </w:pPr>
    </w:p>
    <w:p>
      <w:pPr>
        <w:spacing w:line="500" w:lineRule="exact"/>
        <w:ind w:firstLine="6360" w:firstLineChars="2650"/>
        <w:rPr>
          <w:rFonts w:ascii="宋体" w:hAnsi="宋体" w:cs="仿宋_GB2312"/>
          <w:kern w:val="0"/>
          <w:sz w:val="24"/>
          <w:szCs w:val="21"/>
          <w:lang w:val="zh-CN"/>
        </w:rPr>
      </w:pPr>
    </w:p>
    <w:p>
      <w:pPr>
        <w:keepNext/>
        <w:keepLines/>
        <w:spacing w:before="260" w:after="260" w:line="416" w:lineRule="auto"/>
        <w:jc w:val="center"/>
        <w:outlineLvl w:val="1"/>
        <w:rPr>
          <w:rFonts w:ascii="宋体" w:hAnsi="宋体"/>
          <w:bCs/>
          <w:sz w:val="32"/>
          <w:szCs w:val="32"/>
        </w:rPr>
      </w:pPr>
      <w:bookmarkStart w:id="77" w:name="_Toc106794724"/>
      <w:bookmarkStart w:id="78" w:name="_Toc80205942"/>
      <w:r>
        <w:rPr>
          <w:rFonts w:hint="eastAsia" w:ascii="宋体" w:hAnsi="宋体"/>
          <w:b/>
          <w:bCs/>
          <w:sz w:val="32"/>
          <w:szCs w:val="32"/>
        </w:rPr>
        <w:br w:type="page"/>
      </w:r>
      <w:r>
        <w:rPr>
          <w:rFonts w:hint="eastAsia" w:ascii="宋体" w:hAnsi="宋体"/>
          <w:b/>
          <w:bCs/>
          <w:sz w:val="32"/>
          <w:szCs w:val="32"/>
        </w:rPr>
        <w:t>第五节 其他文书、文件格式</w:t>
      </w:r>
      <w:bookmarkEnd w:id="77"/>
      <w:bookmarkEnd w:id="78"/>
    </w:p>
    <w:p>
      <w:pPr>
        <w:jc w:val="center"/>
        <w:rPr>
          <w:rFonts w:ascii="宋体" w:hAnsi="宋体" w:cs="宋体"/>
          <w:b/>
          <w:bCs/>
          <w:sz w:val="32"/>
          <w:szCs w:val="32"/>
        </w:rPr>
      </w:pPr>
    </w:p>
    <w:p>
      <w:pPr>
        <w:jc w:val="center"/>
        <w:rPr>
          <w:rFonts w:ascii="宋体" w:hAnsi="宋体" w:cs="宋体"/>
          <w:b/>
          <w:bCs/>
          <w:sz w:val="28"/>
          <w:szCs w:val="28"/>
        </w:rPr>
      </w:pPr>
      <w:r>
        <w:rPr>
          <w:rFonts w:hint="eastAsia" w:ascii="宋体" w:hAnsi="宋体" w:cs="宋体"/>
          <w:b/>
          <w:bCs/>
          <w:sz w:val="28"/>
          <w:szCs w:val="28"/>
        </w:rPr>
        <w:t>知识产权合规性声明</w:t>
      </w:r>
    </w:p>
    <w:p>
      <w:pPr>
        <w:rPr>
          <w:rFonts w:ascii="宋体" w:hAnsi="宋体" w:cs="仿宋_GB2312"/>
          <w:sz w:val="30"/>
          <w:szCs w:val="30"/>
        </w:rPr>
      </w:pPr>
    </w:p>
    <w:p>
      <w:pPr>
        <w:spacing w:line="500" w:lineRule="exact"/>
        <w:rPr>
          <w:rFonts w:ascii="宋体" w:hAnsi="宋体" w:cs="仿宋_GB2312"/>
          <w:szCs w:val="21"/>
        </w:rPr>
      </w:pPr>
      <w:r>
        <w:rPr>
          <w:rFonts w:hint="eastAsia" w:ascii="宋体" w:hAnsi="宋体" w:cs="仿宋_GB2312"/>
          <w:szCs w:val="21"/>
        </w:rPr>
        <w:t xml:space="preserve">    本企业（单位）自愿参与政府投资政府采购的（</w:t>
      </w:r>
      <w:r>
        <w:rPr>
          <w:rFonts w:hint="eastAsia" w:ascii="宋体" w:hAnsi="宋体" w:cs="仿宋_GB2312"/>
          <w:szCs w:val="21"/>
          <w:u w:val="single"/>
        </w:rPr>
        <w:t xml:space="preserve">项目名称） </w:t>
      </w:r>
      <w:r>
        <w:rPr>
          <w:rFonts w:hint="eastAsia" w:ascii="宋体" w:hAnsi="宋体" w:cs="仿宋_GB2312"/>
          <w:szCs w:val="21"/>
        </w:rPr>
        <w:t>项目，</w:t>
      </w:r>
      <w:r>
        <w:rPr>
          <w:rFonts w:hint="eastAsia" w:ascii="宋体" w:hAnsi="宋体" w:cs="仿宋_GB2312"/>
          <w:b/>
          <w:bCs/>
          <w:szCs w:val="21"/>
        </w:rPr>
        <w:t>在此郑重承诺：</w:t>
      </w:r>
      <w:r>
        <w:rPr>
          <w:rFonts w:hint="eastAsia" w:ascii="宋体" w:hAnsi="宋体" w:cs="仿宋_GB2312"/>
          <w:szCs w:val="21"/>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500" w:lineRule="exact"/>
        <w:ind w:left="5385" w:leftChars="1736" w:hanging="1739" w:hangingChars="825"/>
        <w:rPr>
          <w:rFonts w:ascii="宋体" w:hAnsi="宋体"/>
          <w:b/>
          <w:szCs w:val="21"/>
        </w:rPr>
      </w:pPr>
    </w:p>
    <w:p>
      <w:pPr>
        <w:snapToGrid w:val="0"/>
        <w:spacing w:line="360" w:lineRule="auto"/>
        <w:ind w:left="5385" w:leftChars="1736" w:hanging="1739" w:hangingChars="825"/>
        <w:rPr>
          <w:rFonts w:ascii="宋体" w:hAnsi="宋体"/>
          <w:b/>
          <w:szCs w:val="21"/>
        </w:rPr>
      </w:pPr>
    </w:p>
    <w:p>
      <w:pPr>
        <w:snapToGrid w:val="0"/>
        <w:spacing w:line="360" w:lineRule="auto"/>
        <w:ind w:left="5385" w:leftChars="1736" w:hanging="1739" w:hangingChars="825"/>
        <w:rPr>
          <w:rFonts w:ascii="宋体" w:hAnsi="宋体"/>
          <w:b/>
          <w:szCs w:val="21"/>
        </w:rPr>
      </w:pPr>
    </w:p>
    <w:p>
      <w:pPr>
        <w:snapToGrid w:val="0"/>
        <w:spacing w:line="360" w:lineRule="auto"/>
        <w:ind w:left="5385" w:leftChars="1736" w:hanging="1739" w:hangingChars="825"/>
        <w:rPr>
          <w:rFonts w:ascii="宋体" w:hAnsi="宋体"/>
          <w:b/>
          <w:szCs w:val="21"/>
        </w:rPr>
      </w:pPr>
    </w:p>
    <w:p>
      <w:pPr>
        <w:autoSpaceDE w:val="0"/>
        <w:autoSpaceDN w:val="0"/>
        <w:spacing w:line="360" w:lineRule="auto"/>
        <w:ind w:left="4305" w:leftChars="1950" w:hanging="210" w:hangingChars="100"/>
        <w:rPr>
          <w:rFonts w:ascii="宋体" w:hAnsi="宋体" w:cs="仿宋_GB2312"/>
          <w:kern w:val="0"/>
          <w:szCs w:val="21"/>
        </w:rPr>
      </w:pPr>
      <w:r>
        <w:rPr>
          <w:rFonts w:hint="eastAsia" w:ascii="宋体" w:hAnsi="宋体" w:cs="仿宋_GB2312"/>
          <w:kern w:val="0"/>
          <w:szCs w:val="21"/>
        </w:rPr>
        <w:t>供应商名称（电子签章）：</w:t>
      </w:r>
    </w:p>
    <w:p>
      <w:pPr>
        <w:spacing w:line="500" w:lineRule="exact"/>
        <w:ind w:firstLine="5565" w:firstLineChars="2650"/>
        <w:rPr>
          <w:rFonts w:ascii="宋体" w:hAnsi="宋体" w:cs="仿宋_GB2312"/>
          <w:szCs w:val="21"/>
        </w:rPr>
      </w:pPr>
      <w:r>
        <w:rPr>
          <w:rFonts w:hint="eastAsia" w:ascii="宋体" w:hAnsi="宋体" w:cs="仿宋_GB2312"/>
          <w:szCs w:val="21"/>
          <w:lang w:val="zh-CN"/>
        </w:rPr>
        <w:t>日期</w:t>
      </w:r>
      <w:r>
        <w:rPr>
          <w:rFonts w:hint="eastAsia" w:ascii="宋体" w:hAnsi="宋体" w:cs="仿宋_GB2312"/>
          <w:szCs w:val="21"/>
        </w:rPr>
        <w:t xml:space="preserve">：  </w:t>
      </w:r>
      <w:r>
        <w:rPr>
          <w:rFonts w:hint="eastAsia" w:ascii="宋体" w:hAnsi="宋体" w:cs="仿宋_GB2312"/>
          <w:szCs w:val="21"/>
          <w:lang w:val="zh-CN"/>
        </w:rPr>
        <w:t>年</w:t>
      </w:r>
      <w:r>
        <w:rPr>
          <w:rFonts w:hint="eastAsia" w:ascii="宋体" w:hAnsi="宋体" w:cs="仿宋_GB2312"/>
          <w:szCs w:val="21"/>
        </w:rPr>
        <w:t xml:space="preserve">  </w:t>
      </w:r>
      <w:r>
        <w:rPr>
          <w:rFonts w:hint="eastAsia" w:ascii="宋体" w:hAnsi="宋体" w:cs="仿宋_GB2312"/>
          <w:szCs w:val="21"/>
          <w:lang w:val="zh-CN"/>
        </w:rPr>
        <w:t>月</w:t>
      </w:r>
      <w:r>
        <w:rPr>
          <w:rFonts w:hint="eastAsia" w:ascii="宋体" w:hAnsi="宋体" w:cs="仿宋_GB2312"/>
          <w:szCs w:val="21"/>
        </w:rPr>
        <w:t xml:space="preserve">   </w:t>
      </w:r>
      <w:r>
        <w:rPr>
          <w:rFonts w:hint="eastAsia" w:ascii="宋体" w:hAnsi="宋体" w:cs="仿宋_GB2312"/>
          <w:szCs w:val="21"/>
          <w:lang w:val="zh-CN"/>
        </w:rPr>
        <w:t>日</w:t>
      </w:r>
    </w:p>
    <w:p>
      <w:pPr>
        <w:spacing w:line="520" w:lineRule="exact"/>
        <w:jc w:val="center"/>
        <w:rPr>
          <w:rFonts w:ascii="宋体" w:hAnsi="宋体"/>
          <w:sz w:val="24"/>
        </w:rPr>
      </w:pPr>
    </w:p>
    <w:p>
      <w:pPr>
        <w:spacing w:line="520" w:lineRule="exact"/>
        <w:rPr>
          <w:rFonts w:ascii="宋体" w:hAnsi="宋体" w:cs="仿宋_GB2312"/>
          <w:sz w:val="24"/>
        </w:rPr>
      </w:pPr>
    </w:p>
    <w:p>
      <w:pPr>
        <w:spacing w:line="520" w:lineRule="exact"/>
        <w:rPr>
          <w:rFonts w:ascii="宋体" w:hAnsi="宋体" w:cs="仿宋_GB2312"/>
          <w:sz w:val="24"/>
        </w:rPr>
      </w:pPr>
      <w:r>
        <w:rPr>
          <w:rFonts w:ascii="宋体" w:hAnsi="宋体" w:cs="仿宋_GB2312"/>
          <w:sz w:val="24"/>
        </w:rPr>
        <w:br w:type="page"/>
      </w: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both"/>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pageBreakBefore w:val="0"/>
        <w:kinsoku/>
        <w:overflowPunct/>
        <w:topLinePunct w:val="0"/>
        <w:bidi w:val="0"/>
        <w:spacing w:line="360" w:lineRule="auto"/>
        <w:jc w:val="center"/>
        <w:rPr>
          <w:rFonts w:hint="eastAsia" w:ascii="宋体" w:hAnsi="宋体" w:eastAsia="宋体"/>
          <w:color w:val="auto"/>
          <w:sz w:val="24"/>
          <w:highlight w:val="none"/>
        </w:rPr>
      </w:pPr>
      <w:bookmarkStart w:id="79" w:name="_Toc106794725"/>
      <w:r>
        <w:rPr>
          <w:rFonts w:hint="eastAsia" w:ascii="宋体" w:hAnsi="宋体"/>
          <w:kern w:val="44"/>
          <w:sz w:val="44"/>
          <w:szCs w:val="44"/>
        </w:rPr>
        <w:t>第六章 合同文本</w:t>
      </w:r>
      <w:bookmarkEnd w:id="79"/>
      <w:r>
        <w:rPr>
          <w:rFonts w:ascii="宋体" w:hAnsi="宋体"/>
          <w:kern w:val="44"/>
          <w:sz w:val="44"/>
          <w:szCs w:val="44"/>
        </w:rPr>
        <w:br w:type="page"/>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广西政府采购云平台</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合同编号：</w:t>
      </w:r>
    </w:p>
    <w:p>
      <w:pPr>
        <w:pStyle w:val="30"/>
        <w:rPr>
          <w:rFonts w:hint="eastAsia"/>
          <w:color w:val="auto"/>
          <w:highlight w:val="none"/>
        </w:rPr>
      </w:pPr>
    </w:p>
    <w:p>
      <w:pPr>
        <w:pageBreakBefore w:val="0"/>
        <w:kinsoku/>
        <w:overflowPunct/>
        <w:topLinePunct w:val="0"/>
        <w:bidi w:val="0"/>
        <w:spacing w:line="360" w:lineRule="auto"/>
        <w:jc w:val="center"/>
        <w:rPr>
          <w:rFonts w:hint="eastAsia" w:ascii="宋体" w:hAnsi="宋体" w:eastAsia="宋体"/>
          <w:b/>
          <w:bCs/>
          <w:color w:val="auto"/>
          <w:sz w:val="52"/>
          <w:highlight w:val="none"/>
        </w:rPr>
      </w:pPr>
      <w:r>
        <w:rPr>
          <w:rFonts w:hint="eastAsia" w:ascii="宋体" w:hAnsi="宋体" w:eastAsia="宋体"/>
          <w:b/>
          <w:bCs/>
          <w:color w:val="auto"/>
          <w:sz w:val="52"/>
          <w:highlight w:val="none"/>
        </w:rPr>
        <w:t>南 宁 市 政 府 采 购</w:t>
      </w:r>
    </w:p>
    <w:p>
      <w:pPr>
        <w:pageBreakBefore w:val="0"/>
        <w:kinsoku/>
        <w:overflowPunct/>
        <w:topLinePunct w:val="0"/>
        <w:bidi w:val="0"/>
        <w:spacing w:line="360" w:lineRule="auto"/>
        <w:ind w:firstLine="420" w:firstLineChars="200"/>
        <w:rPr>
          <w:rFonts w:hint="eastAsia" w:ascii="宋体" w:hAnsi="宋体" w:eastAsia="宋体"/>
          <w:color w:val="auto"/>
          <w:highlight w:val="none"/>
        </w:rPr>
      </w:pPr>
    </w:p>
    <w:p>
      <w:pPr>
        <w:pageBreakBefore w:val="0"/>
        <w:kinsoku/>
        <w:overflowPunct/>
        <w:topLinePunct w:val="0"/>
        <w:bidi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 xml:space="preserve">                                                 </w:t>
      </w:r>
    </w:p>
    <w:p>
      <w:pPr>
        <w:pageBreakBefore w:val="0"/>
        <w:kinsoku/>
        <w:overflowPunct/>
        <w:topLinePunct w:val="0"/>
        <w:bidi w:val="0"/>
        <w:spacing w:line="360" w:lineRule="auto"/>
        <w:jc w:val="center"/>
        <w:rPr>
          <w:rFonts w:hint="eastAsia" w:ascii="宋体" w:hAnsi="宋体" w:eastAsia="宋体"/>
          <w:b/>
          <w:bCs/>
          <w:color w:val="auto"/>
          <w:sz w:val="44"/>
          <w:highlight w:val="none"/>
          <w:u w:val="single"/>
          <w:lang w:eastAsia="zh-CN"/>
        </w:rPr>
      </w:pPr>
      <w:r>
        <w:rPr>
          <w:rFonts w:hint="eastAsia" w:ascii="宋体" w:hAnsi="宋体"/>
          <w:b/>
          <w:bCs/>
          <w:color w:val="auto"/>
          <w:sz w:val="44"/>
          <w:highlight w:val="none"/>
          <w:u w:val="single"/>
          <w:lang w:val="en-US" w:eastAsia="zh-CN"/>
        </w:rPr>
        <w:t xml:space="preserve">          </w:t>
      </w:r>
      <w:r>
        <w:rPr>
          <w:rFonts w:hint="eastAsia" w:ascii="宋体" w:hAnsi="宋体" w:eastAsia="宋体"/>
          <w:b/>
          <w:bCs/>
          <w:color w:val="auto"/>
          <w:sz w:val="44"/>
          <w:highlight w:val="none"/>
        </w:rPr>
        <w:t>合同</w:t>
      </w:r>
    </w:p>
    <w:p>
      <w:pPr>
        <w:pageBreakBefore w:val="0"/>
        <w:kinsoku/>
        <w:overflowPunct/>
        <w:topLinePunct w:val="0"/>
        <w:bidi w:val="0"/>
        <w:spacing w:line="360" w:lineRule="auto"/>
        <w:jc w:val="center"/>
        <w:rPr>
          <w:rFonts w:hint="eastAsia" w:ascii="宋体" w:hAnsi="宋体" w:eastAsia="宋体"/>
          <w:b/>
          <w:bCs/>
          <w:color w:val="auto"/>
          <w:sz w:val="44"/>
          <w:highlight w:val="none"/>
        </w:rPr>
      </w:pPr>
    </w:p>
    <w:p>
      <w:pPr>
        <w:pageBreakBefore w:val="0"/>
        <w:kinsoku/>
        <w:overflowPunct/>
        <w:topLinePunct w:val="0"/>
        <w:bidi w:val="0"/>
        <w:spacing w:line="360" w:lineRule="auto"/>
        <w:ind w:firstLine="3507" w:firstLineChars="794"/>
        <w:rPr>
          <w:rFonts w:hint="eastAsia" w:ascii="宋体" w:hAnsi="宋体" w:eastAsia="宋体"/>
          <w:b/>
          <w:bCs/>
          <w:color w:val="auto"/>
          <w:sz w:val="44"/>
          <w:highlight w:val="none"/>
        </w:rPr>
      </w:pPr>
    </w:p>
    <w:p>
      <w:pPr>
        <w:pageBreakBefore w:val="0"/>
        <w:kinsoku/>
        <w:overflowPunct/>
        <w:topLinePunct w:val="0"/>
        <w:bidi w:val="0"/>
        <w:spacing w:line="360" w:lineRule="auto"/>
        <w:ind w:firstLine="3507" w:firstLineChars="794"/>
        <w:rPr>
          <w:rFonts w:hint="eastAsia" w:ascii="宋体" w:hAnsi="宋体" w:eastAsia="宋体"/>
          <w:b/>
          <w:bCs/>
          <w:color w:val="auto"/>
          <w:sz w:val="44"/>
          <w:highlight w:val="none"/>
        </w:rPr>
      </w:pPr>
    </w:p>
    <w:p>
      <w:pPr>
        <w:pageBreakBefore w:val="0"/>
        <w:kinsoku/>
        <w:overflowPunct/>
        <w:topLinePunct w:val="0"/>
        <w:bidi w:val="0"/>
        <w:spacing w:line="360" w:lineRule="auto"/>
        <w:ind w:firstLine="1995" w:firstLineChars="552"/>
        <w:rPr>
          <w:rFonts w:hint="default" w:ascii="宋体" w:hAnsi="宋体" w:eastAsia="宋体"/>
          <w:b/>
          <w:color w:val="auto"/>
          <w:sz w:val="36"/>
          <w:szCs w:val="36"/>
          <w:highlight w:val="none"/>
          <w:lang w:val="en-US"/>
        </w:rPr>
      </w:pPr>
      <w:r>
        <w:rPr>
          <w:rFonts w:hint="eastAsia" w:ascii="宋体" w:hAnsi="宋体" w:eastAsia="宋体"/>
          <w:b/>
          <w:color w:val="auto"/>
          <w:sz w:val="36"/>
          <w:szCs w:val="36"/>
          <w:highlight w:val="none"/>
        </w:rPr>
        <w:t>采购</w:t>
      </w:r>
      <w:r>
        <w:rPr>
          <w:rFonts w:hint="eastAsia" w:ascii="宋体" w:hAnsi="宋体" w:eastAsia="宋体"/>
          <w:b/>
          <w:color w:val="auto"/>
          <w:sz w:val="36"/>
          <w:szCs w:val="36"/>
          <w:highlight w:val="none"/>
          <w:lang w:eastAsia="zh-CN"/>
        </w:rPr>
        <w:t>项目编号：</w:t>
      </w:r>
      <w:r>
        <w:rPr>
          <w:rFonts w:hint="eastAsia" w:ascii="宋体" w:hAnsi="宋体"/>
          <w:b/>
          <w:color w:val="auto"/>
          <w:sz w:val="36"/>
          <w:szCs w:val="36"/>
          <w:highlight w:val="none"/>
          <w:u w:val="single"/>
          <w:lang w:val="en-US" w:eastAsia="zh-CN"/>
        </w:rPr>
        <w:t xml:space="preserve">         </w:t>
      </w:r>
    </w:p>
    <w:p>
      <w:pPr>
        <w:pageBreakBefore w:val="0"/>
        <w:kinsoku/>
        <w:overflowPunct/>
        <w:topLinePunct w:val="0"/>
        <w:bidi w:val="0"/>
        <w:spacing w:line="360" w:lineRule="auto"/>
        <w:ind w:firstLine="1995" w:firstLineChars="552"/>
        <w:rPr>
          <w:rFonts w:hint="eastAsia" w:ascii="宋体" w:hAnsi="宋体" w:eastAsia="宋体"/>
          <w:b/>
          <w:color w:val="auto"/>
          <w:sz w:val="36"/>
          <w:szCs w:val="36"/>
          <w:highlight w:val="none"/>
        </w:rPr>
      </w:pPr>
      <w:r>
        <w:rPr>
          <w:rFonts w:hint="eastAsia" w:ascii="宋体" w:hAnsi="宋体" w:eastAsia="宋体"/>
          <w:b/>
          <w:color w:val="auto"/>
          <w:sz w:val="36"/>
          <w:szCs w:val="36"/>
          <w:highlight w:val="none"/>
        </w:rPr>
        <w:t>采购计划编号：</w:t>
      </w:r>
      <w:r>
        <w:rPr>
          <w:rFonts w:hint="eastAsia" w:ascii="宋体" w:hAnsi="宋体" w:eastAsia="宋体"/>
          <w:b/>
          <w:color w:val="auto"/>
          <w:sz w:val="36"/>
          <w:szCs w:val="36"/>
          <w:highlight w:val="none"/>
          <w:u w:val="single"/>
          <w:lang w:val="en-US" w:eastAsia="zh-CN"/>
        </w:rPr>
        <w:t xml:space="preserve">        </w:t>
      </w:r>
      <w:r>
        <w:rPr>
          <w:rFonts w:hint="eastAsia" w:ascii="宋体" w:hAnsi="宋体" w:eastAsia="宋体"/>
          <w:b/>
          <w:color w:val="auto"/>
          <w:sz w:val="36"/>
          <w:szCs w:val="36"/>
          <w:highlight w:val="none"/>
          <w:u w:val="single"/>
        </w:rPr>
        <w:t xml:space="preserve"> </w:t>
      </w:r>
    </w:p>
    <w:p>
      <w:pPr>
        <w:pageBreakBefore w:val="0"/>
        <w:kinsoku/>
        <w:overflowPunct/>
        <w:topLinePunct w:val="0"/>
        <w:bidi w:val="0"/>
        <w:spacing w:line="360" w:lineRule="auto"/>
        <w:ind w:firstLine="1308" w:firstLineChars="545"/>
        <w:rPr>
          <w:rFonts w:hint="eastAsia" w:ascii="宋体" w:hAnsi="宋体" w:eastAsia="宋体"/>
          <w:color w:val="auto"/>
          <w:sz w:val="24"/>
          <w:highlight w:val="none"/>
        </w:rPr>
      </w:pPr>
    </w:p>
    <w:p>
      <w:pPr>
        <w:pageBreakBefore w:val="0"/>
        <w:kinsoku/>
        <w:overflowPunct/>
        <w:topLinePunct w:val="0"/>
        <w:bidi w:val="0"/>
        <w:spacing w:line="360" w:lineRule="auto"/>
        <w:ind w:firstLine="1995" w:firstLineChars="552"/>
        <w:rPr>
          <w:rFonts w:hint="eastAsia" w:ascii="宋体" w:hAnsi="宋体" w:eastAsia="宋体"/>
          <w:b/>
          <w:color w:val="auto"/>
          <w:sz w:val="36"/>
          <w:szCs w:val="36"/>
          <w:highlight w:val="none"/>
          <w:u w:val="single"/>
        </w:rPr>
      </w:pPr>
    </w:p>
    <w:p>
      <w:pPr>
        <w:pageBreakBefore w:val="0"/>
        <w:kinsoku/>
        <w:overflowPunct/>
        <w:topLinePunct w:val="0"/>
        <w:bidi w:val="0"/>
        <w:spacing w:line="360" w:lineRule="auto"/>
        <w:ind w:firstLine="1995" w:firstLineChars="552"/>
        <w:rPr>
          <w:rFonts w:hint="eastAsia" w:ascii="宋体" w:hAnsi="宋体" w:eastAsia="宋体"/>
          <w:b/>
          <w:color w:val="auto"/>
          <w:sz w:val="36"/>
          <w:szCs w:val="36"/>
          <w:highlight w:val="none"/>
          <w:u w:val="single"/>
        </w:rPr>
      </w:pPr>
    </w:p>
    <w:p>
      <w:pPr>
        <w:pageBreakBefore w:val="0"/>
        <w:tabs>
          <w:tab w:val="left" w:pos="7200"/>
        </w:tabs>
        <w:kinsoku/>
        <w:overflowPunct/>
        <w:topLinePunct w:val="0"/>
        <w:bidi w:val="0"/>
        <w:spacing w:line="360" w:lineRule="auto"/>
        <w:ind w:firstLine="1995" w:firstLineChars="552"/>
        <w:rPr>
          <w:rFonts w:hint="eastAsia" w:ascii="宋体" w:hAnsi="宋体" w:eastAsia="宋体"/>
          <w:b/>
          <w:color w:val="auto"/>
          <w:sz w:val="36"/>
          <w:szCs w:val="36"/>
          <w:highlight w:val="none"/>
        </w:rPr>
      </w:pPr>
      <w:r>
        <w:rPr>
          <w:rFonts w:hint="eastAsia" w:ascii="宋体" w:hAnsi="宋体" w:eastAsia="宋体"/>
          <w:b/>
          <w:color w:val="auto"/>
          <w:sz w:val="36"/>
          <w:szCs w:val="36"/>
          <w:highlight w:val="none"/>
        </w:rPr>
        <w:t>采购人：</w:t>
      </w:r>
      <w:r>
        <w:rPr>
          <w:rFonts w:hint="eastAsia" w:ascii="宋体" w:hAnsi="宋体" w:eastAsia="宋体"/>
          <w:b/>
          <w:color w:val="auto"/>
          <w:sz w:val="36"/>
          <w:szCs w:val="36"/>
          <w:highlight w:val="none"/>
          <w:u w:val="single"/>
        </w:rPr>
        <w:t xml:space="preserve">                       </w:t>
      </w:r>
    </w:p>
    <w:p>
      <w:pPr>
        <w:pageBreakBefore w:val="0"/>
        <w:tabs>
          <w:tab w:val="left" w:pos="7380"/>
        </w:tabs>
        <w:kinsoku/>
        <w:overflowPunct/>
        <w:topLinePunct w:val="0"/>
        <w:bidi w:val="0"/>
        <w:spacing w:line="360" w:lineRule="auto"/>
        <w:ind w:firstLine="1995" w:firstLineChars="552"/>
        <w:rPr>
          <w:rFonts w:hint="eastAsia" w:ascii="宋体" w:hAnsi="宋体" w:eastAsia="宋体"/>
          <w:b/>
          <w:color w:val="auto"/>
          <w:sz w:val="36"/>
          <w:szCs w:val="36"/>
          <w:highlight w:val="none"/>
          <w:lang w:val="en-US" w:eastAsia="zh-CN"/>
        </w:rPr>
      </w:pPr>
      <w:r>
        <w:rPr>
          <w:rFonts w:hint="eastAsia" w:ascii="宋体" w:hAnsi="宋体" w:eastAsia="宋体"/>
          <w:b/>
          <w:color w:val="auto"/>
          <w:sz w:val="36"/>
          <w:szCs w:val="36"/>
          <w:highlight w:val="none"/>
          <w:lang w:val="en-US" w:eastAsia="zh-CN"/>
        </w:rPr>
        <w:t>中标</w:t>
      </w:r>
      <w:r>
        <w:rPr>
          <w:rFonts w:hint="eastAsia" w:ascii="宋体" w:hAnsi="宋体" w:eastAsia="宋体"/>
          <w:b/>
          <w:color w:val="auto"/>
          <w:sz w:val="36"/>
          <w:szCs w:val="36"/>
          <w:highlight w:val="none"/>
        </w:rPr>
        <w:t>供应商：</w:t>
      </w:r>
      <w:r>
        <w:rPr>
          <w:rFonts w:hint="eastAsia" w:ascii="宋体" w:hAnsi="宋体" w:eastAsia="宋体"/>
          <w:b/>
          <w:color w:val="auto"/>
          <w:sz w:val="36"/>
          <w:szCs w:val="36"/>
          <w:highlight w:val="none"/>
          <w:u w:val="single"/>
        </w:rPr>
        <w:t xml:space="preserve">                   </w:t>
      </w:r>
    </w:p>
    <w:p>
      <w:pPr>
        <w:pageBreakBefore w:val="0"/>
        <w:tabs>
          <w:tab w:val="left" w:pos="7380"/>
        </w:tabs>
        <w:kinsoku/>
        <w:overflowPunct/>
        <w:topLinePunct w:val="0"/>
        <w:bidi w:val="0"/>
        <w:spacing w:line="360" w:lineRule="auto"/>
        <w:rPr>
          <w:rFonts w:hint="eastAsia" w:ascii="宋体" w:hAnsi="宋体" w:eastAsia="宋体"/>
          <w:b/>
          <w:bCs/>
          <w:color w:val="auto"/>
          <w:sz w:val="44"/>
          <w:highlight w:val="none"/>
        </w:rPr>
      </w:pPr>
    </w:p>
    <w:p>
      <w:pPr>
        <w:keepNext/>
        <w:keepLines/>
        <w:pageBreakBefore w:val="0"/>
        <w:kinsoku/>
        <w:overflowPunct/>
        <w:topLinePunct w:val="0"/>
        <w:bidi w:val="0"/>
        <w:spacing w:line="360" w:lineRule="auto"/>
        <w:jc w:val="center"/>
        <w:outlineLvl w:val="0"/>
        <w:rPr>
          <w:rFonts w:hint="eastAsia" w:ascii="宋体" w:hAnsi="宋体" w:eastAsia="宋体"/>
          <w:b/>
          <w:bCs/>
          <w:color w:val="auto"/>
          <w:sz w:val="44"/>
          <w:highlight w:val="none"/>
        </w:rPr>
      </w:pPr>
      <w:r>
        <w:rPr>
          <w:rFonts w:hint="eastAsia" w:ascii="宋体" w:hAnsi="宋体" w:eastAsia="宋体"/>
          <w:b/>
          <w:bCs/>
          <w:color w:val="auto"/>
          <w:sz w:val="44"/>
          <w:highlight w:val="none"/>
        </w:rPr>
        <w:br w:type="page"/>
      </w:r>
      <w:bookmarkStart w:id="80" w:name="_Toc30461"/>
      <w:bookmarkStart w:id="81" w:name="_Toc13579"/>
      <w:bookmarkStart w:id="82" w:name="_Toc21412"/>
      <w:r>
        <w:rPr>
          <w:rFonts w:hint="eastAsia" w:ascii="宋体" w:hAnsi="宋体" w:eastAsia="宋体"/>
          <w:b/>
          <w:color w:val="auto"/>
          <w:sz w:val="24"/>
          <w:highlight w:val="none"/>
        </w:rPr>
        <w:t>第一部分 协议书</w:t>
      </w:r>
      <w:bookmarkEnd w:id="80"/>
      <w:bookmarkEnd w:id="81"/>
      <w:bookmarkEnd w:id="82"/>
    </w:p>
    <w:p>
      <w:pPr>
        <w:pageBreakBefore w:val="0"/>
        <w:kinsoku/>
        <w:overflowPunct/>
        <w:topLinePunct w:val="0"/>
        <w:bidi w:val="0"/>
        <w:spacing w:line="360" w:lineRule="auto"/>
        <w:ind w:firstLine="475"/>
        <w:rPr>
          <w:rFonts w:hint="eastAsia" w:ascii="宋体" w:hAnsi="宋体" w:eastAsia="宋体"/>
          <w:color w:val="auto"/>
          <w:highlight w:val="none"/>
        </w:rPr>
      </w:pPr>
    </w:p>
    <w:p>
      <w:pPr>
        <w:pageBreakBefore w:val="0"/>
        <w:kinsoku/>
        <w:overflowPunct/>
        <w:topLinePunct w:val="0"/>
        <w:bidi w:val="0"/>
        <w:spacing w:line="360" w:lineRule="auto"/>
        <w:ind w:firstLine="475"/>
        <w:rPr>
          <w:rFonts w:hint="eastAsia" w:ascii="宋体" w:hAnsi="宋体" w:eastAsia="宋体"/>
          <w:color w:val="auto"/>
          <w:highlight w:val="none"/>
        </w:rPr>
      </w:pPr>
      <w:r>
        <w:rPr>
          <w:rFonts w:hint="eastAsia" w:ascii="宋体" w:hAnsi="宋体" w:eastAsia="宋体"/>
          <w:color w:val="auto"/>
          <w:highlight w:val="none"/>
        </w:rPr>
        <w:t>发包人（全称）：</w:t>
      </w:r>
      <w:r>
        <w:rPr>
          <w:rFonts w:hint="eastAsia" w:ascii="宋体" w:hAnsi="宋体" w:eastAsia="宋体"/>
          <w:color w:val="auto"/>
          <w:highlight w:val="none"/>
          <w:u w:val="single"/>
        </w:rPr>
        <w:t xml:space="preserve">                              </w:t>
      </w:r>
    </w:p>
    <w:p>
      <w:pPr>
        <w:pageBreakBefore w:val="0"/>
        <w:kinsoku/>
        <w:overflowPunct/>
        <w:topLinePunct w:val="0"/>
        <w:bidi w:val="0"/>
        <w:spacing w:line="360" w:lineRule="auto"/>
        <w:ind w:firstLine="475"/>
        <w:rPr>
          <w:rFonts w:hint="eastAsia" w:ascii="宋体" w:hAnsi="宋体" w:eastAsia="宋体"/>
          <w:color w:val="auto"/>
          <w:highlight w:val="none"/>
        </w:rPr>
      </w:pPr>
      <w:r>
        <w:rPr>
          <w:rFonts w:hint="eastAsia" w:ascii="宋体" w:hAnsi="宋体" w:eastAsia="宋体"/>
          <w:color w:val="auto"/>
          <w:highlight w:val="none"/>
        </w:rPr>
        <w:t>承包人（全称）：</w:t>
      </w:r>
      <w:r>
        <w:rPr>
          <w:rFonts w:hint="eastAsia" w:ascii="宋体" w:hAnsi="宋体" w:eastAsia="宋体"/>
          <w:color w:val="auto"/>
          <w:highlight w:val="none"/>
          <w:u w:val="single"/>
        </w:rPr>
        <w:t xml:space="preserve">                              </w:t>
      </w:r>
    </w:p>
    <w:p>
      <w:pPr>
        <w:pageBreakBefore w:val="0"/>
        <w:kinsoku/>
        <w:overflowPunct/>
        <w:topLinePunct w:val="0"/>
        <w:bidi w:val="0"/>
        <w:spacing w:line="360" w:lineRule="auto"/>
        <w:ind w:firstLine="475"/>
        <w:rPr>
          <w:rFonts w:hint="eastAsia" w:ascii="宋体" w:hAnsi="宋体" w:eastAsia="宋体"/>
          <w:color w:val="auto"/>
          <w:highlight w:val="none"/>
        </w:rPr>
      </w:pPr>
      <w:r>
        <w:rPr>
          <w:rFonts w:hint="eastAsia" w:ascii="宋体" w:hAnsi="宋体" w:eastAsia="宋体"/>
          <w:color w:val="auto"/>
          <w:highlight w:val="none"/>
        </w:rPr>
        <w:t>依照《中华人民共和国民法典》、《中华人民共和国建筑法》及其他有关法律、行政法规，遵循平等、自愿、公平和诚实信用的原则，双方就</w:t>
      </w:r>
      <w:r>
        <w:rPr>
          <w:rFonts w:hint="eastAsia" w:ascii="宋体" w:hAnsi="宋体" w:eastAsia="宋体"/>
          <w:color w:val="auto"/>
          <w:highlight w:val="none"/>
          <w:u w:val="single"/>
        </w:rPr>
        <w:t xml:space="preserve">                           </w:t>
      </w:r>
      <w:r>
        <w:rPr>
          <w:rFonts w:hint="eastAsia" w:ascii="宋体" w:hAnsi="宋体" w:eastAsia="宋体"/>
          <w:color w:val="auto"/>
          <w:highlight w:val="none"/>
        </w:rPr>
        <w:t>施工事项协商一致，订立本合同。</w:t>
      </w:r>
    </w:p>
    <w:p>
      <w:pPr>
        <w:pageBreakBefore w:val="0"/>
        <w:kinsoku/>
        <w:overflowPunct/>
        <w:topLinePunct w:val="0"/>
        <w:bidi w:val="0"/>
        <w:spacing w:line="360" w:lineRule="auto"/>
        <w:ind w:firstLine="510"/>
        <w:outlineLvl w:val="1"/>
        <w:rPr>
          <w:rFonts w:hint="eastAsia" w:ascii="宋体" w:hAnsi="宋体" w:eastAsia="宋体"/>
          <w:b/>
          <w:color w:val="auto"/>
          <w:highlight w:val="none"/>
        </w:rPr>
      </w:pPr>
      <w:bookmarkStart w:id="83" w:name="_Toc22379"/>
      <w:bookmarkStart w:id="84" w:name="_Toc14476"/>
      <w:bookmarkStart w:id="85" w:name="_Toc10710"/>
      <w:r>
        <w:rPr>
          <w:rFonts w:hint="eastAsia" w:ascii="宋体" w:hAnsi="宋体" w:eastAsia="宋体"/>
          <w:b/>
          <w:color w:val="auto"/>
          <w:highlight w:val="none"/>
        </w:rPr>
        <w:t>一、工程概况</w:t>
      </w:r>
      <w:bookmarkEnd w:id="83"/>
      <w:bookmarkEnd w:id="84"/>
      <w:bookmarkEnd w:id="85"/>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工程名称：</w:t>
      </w:r>
      <w:r>
        <w:rPr>
          <w:rFonts w:hint="eastAsia" w:ascii="宋体" w:hAnsi="宋体" w:eastAsia="宋体"/>
          <w:color w:val="auto"/>
          <w:highlight w:val="none"/>
          <w:u w:val="single"/>
        </w:rPr>
        <w:t xml:space="preserve">                            </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工程地点：</w:t>
      </w:r>
      <w:r>
        <w:rPr>
          <w:rFonts w:hint="eastAsia" w:ascii="宋体" w:hAnsi="宋体" w:eastAsia="宋体"/>
          <w:color w:val="auto"/>
          <w:highlight w:val="none"/>
          <w:u w:val="single"/>
        </w:rPr>
        <w:t xml:space="preserve">                             </w:t>
      </w:r>
      <w:r>
        <w:rPr>
          <w:rFonts w:hint="eastAsia" w:ascii="宋体" w:hAnsi="宋体" w:eastAsia="宋体"/>
          <w:color w:val="auto"/>
          <w:highlight w:val="none"/>
        </w:rPr>
        <w:t xml:space="preserve">   </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 xml:space="preserve">工程内容： </w:t>
      </w:r>
      <w:r>
        <w:rPr>
          <w:rFonts w:hint="eastAsia" w:ascii="宋体" w:hAnsi="宋体" w:eastAsia="宋体"/>
          <w:color w:val="auto"/>
          <w:highlight w:val="none"/>
          <w:u w:val="single"/>
        </w:rPr>
        <w:t xml:space="preserve">                             </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群体工程应附承包人承揽工程项目一览表（附件1）</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工程立项批准文号：</w:t>
      </w:r>
      <w:r>
        <w:rPr>
          <w:rFonts w:hint="eastAsia" w:ascii="宋体" w:hAnsi="宋体" w:eastAsia="宋体"/>
          <w:color w:val="auto"/>
          <w:highlight w:val="none"/>
          <w:u w:val="single"/>
        </w:rPr>
        <w:t xml:space="preserve">              </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资金来源：</w:t>
      </w:r>
      <w:r>
        <w:rPr>
          <w:rFonts w:hint="eastAsia" w:ascii="宋体" w:hAnsi="宋体" w:eastAsia="宋体"/>
          <w:color w:val="auto"/>
          <w:highlight w:val="none"/>
          <w:u w:val="single"/>
        </w:rPr>
        <w:t xml:space="preserve">              </w:t>
      </w:r>
    </w:p>
    <w:p>
      <w:pPr>
        <w:pageBreakBefore w:val="0"/>
        <w:kinsoku/>
        <w:overflowPunct/>
        <w:topLinePunct w:val="0"/>
        <w:bidi w:val="0"/>
        <w:spacing w:line="360" w:lineRule="auto"/>
        <w:ind w:firstLine="506"/>
        <w:outlineLvl w:val="1"/>
        <w:rPr>
          <w:rFonts w:hint="eastAsia" w:ascii="宋体" w:hAnsi="宋体" w:eastAsia="宋体"/>
          <w:b/>
          <w:color w:val="auto"/>
          <w:highlight w:val="none"/>
        </w:rPr>
      </w:pPr>
      <w:bookmarkStart w:id="86" w:name="_Toc30171"/>
      <w:bookmarkStart w:id="87" w:name="_Toc29050"/>
      <w:bookmarkStart w:id="88" w:name="_Toc5729"/>
      <w:r>
        <w:rPr>
          <w:rFonts w:hint="eastAsia" w:ascii="宋体" w:hAnsi="宋体" w:eastAsia="宋体"/>
          <w:b/>
          <w:color w:val="auto"/>
          <w:highlight w:val="none"/>
        </w:rPr>
        <w:t>二、工程承包范围</w:t>
      </w:r>
      <w:bookmarkEnd w:id="86"/>
      <w:bookmarkEnd w:id="87"/>
      <w:bookmarkEnd w:id="88"/>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承包范围：</w:t>
      </w:r>
      <w:r>
        <w:rPr>
          <w:rFonts w:hint="eastAsia" w:ascii="宋体" w:hAnsi="宋体" w:eastAsia="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eastAsia="宋体"/>
          <w:color w:val="auto"/>
          <w:highlight w:val="none"/>
          <w:u w:val="single"/>
        </w:rPr>
        <w:t xml:space="preserve">。  </w:t>
      </w:r>
    </w:p>
    <w:p>
      <w:pPr>
        <w:pageBreakBefore w:val="0"/>
        <w:kinsoku/>
        <w:overflowPunct/>
        <w:topLinePunct w:val="0"/>
        <w:bidi w:val="0"/>
        <w:spacing w:line="360" w:lineRule="auto"/>
        <w:ind w:firstLine="510"/>
        <w:outlineLvl w:val="1"/>
        <w:rPr>
          <w:rFonts w:hint="eastAsia" w:ascii="宋体" w:hAnsi="宋体" w:eastAsia="宋体"/>
          <w:b/>
          <w:color w:val="auto"/>
          <w:highlight w:val="none"/>
        </w:rPr>
      </w:pPr>
      <w:bookmarkStart w:id="89" w:name="_Toc8174"/>
      <w:bookmarkStart w:id="90" w:name="_Toc19562"/>
      <w:bookmarkStart w:id="91" w:name="_Toc19275"/>
      <w:r>
        <w:rPr>
          <w:rFonts w:hint="eastAsia" w:ascii="宋体" w:hAnsi="宋体" w:eastAsia="宋体"/>
          <w:b/>
          <w:color w:val="auto"/>
          <w:highlight w:val="none"/>
        </w:rPr>
        <w:t>三、合同工期</w:t>
      </w:r>
      <w:bookmarkEnd w:id="89"/>
      <w:bookmarkEnd w:id="90"/>
      <w:bookmarkEnd w:id="91"/>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开工日期：</w:t>
      </w:r>
      <w:r>
        <w:rPr>
          <w:rFonts w:hint="eastAsia" w:ascii="宋体" w:hAnsi="宋体" w:eastAsia="宋体"/>
          <w:color w:val="auto"/>
          <w:highlight w:val="none"/>
          <w:u w:val="single"/>
          <w:lang w:val="en-US" w:eastAsia="zh-CN"/>
        </w:rPr>
        <w:t xml:space="preserve">    </w:t>
      </w:r>
      <w:r>
        <w:rPr>
          <w:rFonts w:hint="eastAsia" w:ascii="宋体" w:hAnsi="宋体" w:eastAsia="宋体"/>
          <w:color w:val="auto"/>
          <w:highlight w:val="none"/>
        </w:rPr>
        <w:t>年</w:t>
      </w:r>
      <w:r>
        <w:rPr>
          <w:rFonts w:hint="eastAsia" w:ascii="宋体" w:hAnsi="宋体" w:eastAsia="宋体"/>
          <w:color w:val="auto"/>
          <w:highlight w:val="none"/>
          <w:u w:val="single"/>
          <w:lang w:val="en-US" w:eastAsia="zh-CN"/>
        </w:rPr>
        <w:t xml:space="preserve">    </w:t>
      </w:r>
      <w:r>
        <w:rPr>
          <w:rFonts w:hint="eastAsia" w:ascii="宋体" w:hAnsi="宋体" w:eastAsia="宋体"/>
          <w:color w:val="auto"/>
          <w:highlight w:val="none"/>
        </w:rPr>
        <w:t>月</w:t>
      </w:r>
      <w:r>
        <w:rPr>
          <w:rFonts w:hint="eastAsia" w:ascii="宋体" w:hAnsi="宋体" w:eastAsia="宋体"/>
          <w:color w:val="auto"/>
          <w:highlight w:val="none"/>
          <w:u w:val="single"/>
        </w:rPr>
        <w:t xml:space="preserve">   </w:t>
      </w:r>
      <w:r>
        <w:rPr>
          <w:rFonts w:hint="eastAsia" w:ascii="宋体" w:hAnsi="宋体" w:eastAsia="宋体"/>
          <w:color w:val="auto"/>
          <w:highlight w:val="none"/>
        </w:rPr>
        <w:t>日</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竣工日期：</w:t>
      </w:r>
      <w:r>
        <w:rPr>
          <w:rFonts w:hint="eastAsia" w:ascii="宋体" w:hAnsi="宋体" w:eastAsia="宋体"/>
          <w:color w:val="auto"/>
          <w:highlight w:val="none"/>
          <w:u w:val="single"/>
          <w:lang w:val="en-US" w:eastAsia="zh-CN"/>
        </w:rPr>
        <w:t xml:space="preserve">    </w:t>
      </w:r>
      <w:r>
        <w:rPr>
          <w:rFonts w:hint="eastAsia" w:ascii="宋体" w:hAnsi="宋体" w:eastAsia="宋体"/>
          <w:color w:val="auto"/>
          <w:highlight w:val="none"/>
        </w:rPr>
        <w:t>年</w:t>
      </w:r>
      <w:r>
        <w:rPr>
          <w:rFonts w:hint="eastAsia" w:ascii="宋体" w:hAnsi="宋体" w:eastAsia="宋体"/>
          <w:color w:val="auto"/>
          <w:highlight w:val="none"/>
          <w:u w:val="single"/>
          <w:lang w:val="en-US" w:eastAsia="zh-CN"/>
        </w:rPr>
        <w:t xml:space="preserve">    </w:t>
      </w:r>
      <w:r>
        <w:rPr>
          <w:rFonts w:hint="eastAsia" w:ascii="宋体" w:hAnsi="宋体" w:eastAsia="宋体"/>
          <w:color w:val="auto"/>
          <w:highlight w:val="none"/>
        </w:rPr>
        <w:t>月</w:t>
      </w:r>
      <w:r>
        <w:rPr>
          <w:rFonts w:hint="eastAsia" w:ascii="宋体" w:hAnsi="宋体" w:eastAsia="宋体"/>
          <w:color w:val="auto"/>
          <w:highlight w:val="none"/>
          <w:u w:val="single"/>
        </w:rPr>
        <w:t xml:space="preserve">   </w:t>
      </w:r>
      <w:r>
        <w:rPr>
          <w:rFonts w:hint="eastAsia" w:ascii="宋体" w:hAnsi="宋体" w:eastAsia="宋体"/>
          <w:color w:val="auto"/>
          <w:highlight w:val="none"/>
        </w:rPr>
        <w:t>日</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合同工期总日历天数_____天。</w:t>
      </w:r>
    </w:p>
    <w:p>
      <w:pPr>
        <w:pageBreakBefore w:val="0"/>
        <w:kinsoku/>
        <w:overflowPunct/>
        <w:topLinePunct w:val="0"/>
        <w:bidi w:val="0"/>
        <w:spacing w:line="360" w:lineRule="auto"/>
        <w:ind w:firstLine="520"/>
        <w:outlineLvl w:val="1"/>
        <w:rPr>
          <w:rFonts w:hint="eastAsia" w:ascii="宋体" w:hAnsi="宋体" w:eastAsia="宋体"/>
          <w:b/>
          <w:color w:val="auto"/>
          <w:highlight w:val="none"/>
        </w:rPr>
      </w:pPr>
      <w:bookmarkStart w:id="92" w:name="_Toc6218"/>
      <w:bookmarkStart w:id="93" w:name="_Toc10476"/>
      <w:bookmarkStart w:id="94" w:name="_Toc25092"/>
      <w:r>
        <w:rPr>
          <w:rFonts w:hint="eastAsia" w:ascii="宋体" w:hAnsi="宋体" w:eastAsia="宋体"/>
          <w:b/>
          <w:color w:val="auto"/>
          <w:highlight w:val="none"/>
        </w:rPr>
        <w:t>四、质量标准</w:t>
      </w:r>
      <w:bookmarkEnd w:id="92"/>
      <w:bookmarkEnd w:id="93"/>
      <w:bookmarkEnd w:id="94"/>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工程质量标准：</w:t>
      </w:r>
      <w:r>
        <w:rPr>
          <w:rFonts w:hint="eastAsia" w:ascii="宋体" w:hAnsi="宋体" w:eastAsia="宋体"/>
          <w:color w:val="auto"/>
          <w:highlight w:val="none"/>
          <w:u w:val="single"/>
        </w:rPr>
        <w:t>合格。</w:t>
      </w:r>
    </w:p>
    <w:p>
      <w:pPr>
        <w:pageBreakBefore w:val="0"/>
        <w:kinsoku/>
        <w:overflowPunct/>
        <w:topLinePunct w:val="0"/>
        <w:bidi w:val="0"/>
        <w:spacing w:line="360" w:lineRule="auto"/>
        <w:ind w:firstLine="510"/>
        <w:outlineLvl w:val="1"/>
        <w:rPr>
          <w:rFonts w:hint="eastAsia" w:ascii="宋体" w:hAnsi="宋体" w:eastAsia="宋体"/>
          <w:b/>
          <w:color w:val="auto"/>
          <w:highlight w:val="none"/>
        </w:rPr>
      </w:pPr>
      <w:bookmarkStart w:id="95" w:name="_Toc13757"/>
      <w:bookmarkStart w:id="96" w:name="_Toc2250"/>
      <w:bookmarkStart w:id="97" w:name="_Toc5866"/>
      <w:r>
        <w:rPr>
          <w:rFonts w:hint="eastAsia" w:ascii="宋体" w:hAnsi="宋体" w:eastAsia="宋体"/>
          <w:b/>
          <w:color w:val="auto"/>
          <w:highlight w:val="none"/>
        </w:rPr>
        <w:t>五、合同价款</w:t>
      </w:r>
      <w:bookmarkEnd w:id="95"/>
      <w:bookmarkEnd w:id="96"/>
      <w:bookmarkEnd w:id="97"/>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金额（大写）：_________________________元（人民币）</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 xml:space="preserve">         ￥：_________________________元</w:t>
      </w:r>
    </w:p>
    <w:p>
      <w:pPr>
        <w:pageBreakBefore w:val="0"/>
        <w:kinsoku/>
        <w:overflowPunct/>
        <w:topLinePunct w:val="0"/>
        <w:bidi w:val="0"/>
        <w:spacing w:line="360" w:lineRule="auto"/>
        <w:ind w:firstLine="510"/>
        <w:outlineLvl w:val="1"/>
        <w:rPr>
          <w:rFonts w:hint="eastAsia" w:ascii="宋体" w:hAnsi="宋体" w:eastAsia="宋体"/>
          <w:b/>
          <w:color w:val="auto"/>
          <w:highlight w:val="none"/>
        </w:rPr>
      </w:pPr>
      <w:bookmarkStart w:id="98" w:name="_Toc21697"/>
      <w:bookmarkStart w:id="99" w:name="_Toc5700"/>
      <w:bookmarkStart w:id="100" w:name="_Toc29099"/>
      <w:r>
        <w:rPr>
          <w:rFonts w:hint="eastAsia" w:ascii="宋体" w:hAnsi="宋体" w:eastAsia="宋体"/>
          <w:b/>
          <w:color w:val="auto"/>
          <w:highlight w:val="none"/>
        </w:rPr>
        <w:t>六、组成合同的文件</w:t>
      </w:r>
      <w:bookmarkEnd w:id="98"/>
      <w:bookmarkEnd w:id="99"/>
      <w:bookmarkEnd w:id="100"/>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组成本合同的文件包括：</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1、本合同协议书</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2、成交通知书</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3、响应文件及其附件</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4、本合同专用条款</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5、本合同通用条款</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6、标准、规范及有关技术文件</w:t>
      </w:r>
    </w:p>
    <w:p>
      <w:pPr>
        <w:pageBreakBefore w:val="0"/>
        <w:kinsoku/>
        <w:overflowPunct/>
        <w:topLinePunct w:val="0"/>
        <w:autoSpaceDE w:val="0"/>
        <w:autoSpaceDN w:val="0"/>
        <w:bidi w:val="0"/>
        <w:spacing w:line="360" w:lineRule="auto"/>
        <w:ind w:firstLine="420" w:firstLineChars="200"/>
        <w:jc w:val="left"/>
        <w:rPr>
          <w:rFonts w:hint="eastAsia" w:ascii="宋体" w:hAnsi="宋体" w:eastAsia="宋体"/>
          <w:color w:val="auto"/>
          <w:highlight w:val="none"/>
        </w:rPr>
      </w:pPr>
      <w:r>
        <w:rPr>
          <w:rFonts w:hint="eastAsia" w:ascii="宋体" w:hAnsi="宋体" w:eastAsia="宋体"/>
          <w:color w:val="auto"/>
          <w:highlight w:val="none"/>
        </w:rPr>
        <w:t>7、工程量清单</w:t>
      </w:r>
    </w:p>
    <w:p>
      <w:pPr>
        <w:pageBreakBefore w:val="0"/>
        <w:kinsoku/>
        <w:overflowPunct/>
        <w:topLinePunct w:val="0"/>
        <w:autoSpaceDE w:val="0"/>
        <w:autoSpaceDN w:val="0"/>
        <w:bidi w:val="0"/>
        <w:spacing w:line="360" w:lineRule="auto"/>
        <w:ind w:firstLine="420" w:firstLineChars="200"/>
        <w:jc w:val="left"/>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其他合同文件：</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双方有关工程听洽商、变更等书面协议或文件视为本合同的组成部分。</w:t>
      </w:r>
    </w:p>
    <w:p>
      <w:pPr>
        <w:pageBreakBefore w:val="0"/>
        <w:kinsoku/>
        <w:overflowPunct/>
        <w:topLinePunct w:val="0"/>
        <w:bidi w:val="0"/>
        <w:spacing w:line="360" w:lineRule="auto"/>
        <w:ind w:firstLine="520"/>
        <w:rPr>
          <w:rFonts w:hint="eastAsia" w:ascii="宋体" w:hAnsi="宋体" w:eastAsia="宋体"/>
          <w:color w:val="auto"/>
          <w:highlight w:val="none"/>
        </w:rPr>
      </w:pPr>
      <w:r>
        <w:rPr>
          <w:rFonts w:hint="eastAsia" w:ascii="宋体" w:hAnsi="宋体" w:eastAsia="宋体"/>
          <w:color w:val="auto"/>
          <w:highlight w:val="none"/>
        </w:rPr>
        <w:t>七、本协议书中有关词语定义与本合同第二部分《通用条款》中分别赋予它们的定义相同。</w:t>
      </w:r>
    </w:p>
    <w:p>
      <w:pPr>
        <w:pageBreakBefore w:val="0"/>
        <w:kinsoku/>
        <w:overflowPunct/>
        <w:topLinePunct w:val="0"/>
        <w:bidi w:val="0"/>
        <w:spacing w:line="360" w:lineRule="auto"/>
        <w:ind w:firstLine="520"/>
        <w:rPr>
          <w:rFonts w:hint="eastAsia" w:ascii="宋体" w:hAnsi="宋体" w:eastAsia="宋体"/>
          <w:color w:val="auto"/>
          <w:highlight w:val="none"/>
        </w:rPr>
      </w:pPr>
      <w:r>
        <w:rPr>
          <w:rFonts w:hint="eastAsia" w:ascii="宋体" w:hAnsi="宋体" w:eastAsia="宋体"/>
          <w:color w:val="auto"/>
          <w:highlight w:val="none"/>
        </w:rPr>
        <w:t>八、承包人向发包人承诺按照合同约定进行施工、竣工并在质量保修期内承担工程质量保修责任。</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九、发包人向承包人承诺按照合同约定的期限和方式支付合同价款及其他应当支付的款项。</w:t>
      </w:r>
    </w:p>
    <w:p>
      <w:pPr>
        <w:pageBreakBefore w:val="0"/>
        <w:kinsoku/>
        <w:overflowPunct/>
        <w:topLinePunct w:val="0"/>
        <w:bidi w:val="0"/>
        <w:spacing w:line="360" w:lineRule="auto"/>
        <w:ind w:firstLine="510"/>
        <w:outlineLvl w:val="1"/>
        <w:rPr>
          <w:rFonts w:hint="eastAsia" w:ascii="宋体" w:hAnsi="宋体" w:eastAsia="宋体"/>
          <w:color w:val="auto"/>
          <w:highlight w:val="none"/>
        </w:rPr>
      </w:pPr>
      <w:bookmarkStart w:id="101" w:name="_Toc12490"/>
      <w:bookmarkStart w:id="102" w:name="_Toc9119"/>
      <w:bookmarkStart w:id="103" w:name="_Toc25193"/>
      <w:r>
        <w:rPr>
          <w:rFonts w:hint="eastAsia" w:ascii="宋体" w:hAnsi="宋体" w:eastAsia="宋体"/>
          <w:color w:val="auto"/>
          <w:highlight w:val="none"/>
        </w:rPr>
        <w:t>十、合同生效</w:t>
      </w:r>
      <w:bookmarkEnd w:id="101"/>
      <w:bookmarkEnd w:id="102"/>
      <w:bookmarkEnd w:id="103"/>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合同订立时间：________年________月________日</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合同订立地点：__</w:t>
      </w:r>
      <w:r>
        <w:rPr>
          <w:rFonts w:hint="eastAsia" w:ascii="宋体" w:hAnsi="宋体" w:eastAsia="宋体"/>
          <w:color w:val="auto"/>
          <w:highlight w:val="none"/>
          <w:u w:val="single"/>
        </w:rPr>
        <w:t xml:space="preserve">          </w:t>
      </w:r>
      <w:r>
        <w:rPr>
          <w:rFonts w:hint="eastAsia" w:ascii="宋体" w:hAnsi="宋体" w:eastAsia="宋体"/>
          <w:color w:val="auto"/>
          <w:highlight w:val="none"/>
        </w:rPr>
        <w:t>___</w:t>
      </w:r>
    </w:p>
    <w:p>
      <w:pPr>
        <w:pageBreakBefore w:val="0"/>
        <w:kinsoku/>
        <w:overflowPunct/>
        <w:topLinePunct w:val="0"/>
        <w:bidi w:val="0"/>
        <w:spacing w:line="360" w:lineRule="auto"/>
        <w:ind w:firstLine="510"/>
        <w:rPr>
          <w:rFonts w:hint="eastAsia" w:ascii="宋体" w:hAnsi="宋体" w:eastAsia="宋体"/>
          <w:color w:val="auto"/>
          <w:highlight w:val="none"/>
        </w:rPr>
      </w:pPr>
      <w:r>
        <w:rPr>
          <w:rFonts w:hint="eastAsia" w:ascii="宋体" w:hAnsi="宋体" w:eastAsia="宋体"/>
          <w:color w:val="auto"/>
          <w:highlight w:val="none"/>
        </w:rPr>
        <w:t>本合同双方约定__</w:t>
      </w:r>
      <w:r>
        <w:rPr>
          <w:rFonts w:hint="eastAsia" w:ascii="宋体" w:hAnsi="宋体" w:eastAsia="宋体"/>
          <w:color w:val="auto"/>
          <w:highlight w:val="none"/>
          <w:u w:val="single"/>
        </w:rPr>
        <w:t>双方法定代表人或其授权代理人签字或盖章并加盖单位公章</w:t>
      </w:r>
      <w:r>
        <w:rPr>
          <w:rFonts w:hint="eastAsia" w:ascii="宋体" w:hAnsi="宋体" w:eastAsia="宋体"/>
          <w:color w:val="auto"/>
          <w:highlight w:val="none"/>
        </w:rPr>
        <w:t>后生效。</w:t>
      </w:r>
    </w:p>
    <w:p>
      <w:pPr>
        <w:pageBreakBefore w:val="0"/>
        <w:kinsoku/>
        <w:overflowPunct/>
        <w:topLinePunct w:val="0"/>
        <w:bidi w:val="0"/>
        <w:spacing w:line="360" w:lineRule="auto"/>
        <w:ind w:firstLine="520"/>
        <w:rPr>
          <w:rFonts w:hint="eastAsia" w:ascii="宋体" w:hAnsi="宋体" w:eastAsia="宋体"/>
          <w:color w:val="auto"/>
          <w:highlight w:val="none"/>
        </w:rPr>
      </w:pPr>
    </w:p>
    <w:p>
      <w:pPr>
        <w:pageBreakBefore w:val="0"/>
        <w:kinsoku/>
        <w:overflowPunct/>
        <w:topLinePunct w:val="0"/>
        <w:bidi w:val="0"/>
        <w:spacing w:line="360" w:lineRule="auto"/>
        <w:ind w:firstLine="520"/>
        <w:rPr>
          <w:rFonts w:hint="eastAsia" w:ascii="宋体" w:hAnsi="宋体" w:eastAsia="宋体"/>
          <w:color w:val="auto"/>
          <w:highlight w:val="none"/>
        </w:rPr>
      </w:pPr>
      <w:r>
        <w:rPr>
          <w:rFonts w:hint="eastAsia" w:ascii="宋体" w:hAnsi="宋体" w:eastAsia="宋体"/>
          <w:color w:val="auto"/>
          <w:highlight w:val="none"/>
        </w:rPr>
        <w:t>发  包  人：（公章）                承  包  人：（公章）</w:t>
      </w:r>
    </w:p>
    <w:p>
      <w:pPr>
        <w:pageBreakBefore w:val="0"/>
        <w:kinsoku/>
        <w:overflowPunct/>
        <w:topLinePunct w:val="0"/>
        <w:bidi w:val="0"/>
        <w:spacing w:line="360" w:lineRule="auto"/>
        <w:ind w:firstLine="520"/>
        <w:rPr>
          <w:rFonts w:hint="eastAsia" w:ascii="宋体" w:hAnsi="宋体" w:eastAsia="宋体"/>
          <w:color w:val="auto"/>
          <w:highlight w:val="none"/>
        </w:rPr>
      </w:pPr>
      <w:r>
        <w:rPr>
          <w:rFonts w:hint="eastAsia" w:ascii="宋体" w:hAnsi="宋体" w:eastAsia="宋体"/>
          <w:color w:val="auto"/>
          <w:highlight w:val="none"/>
        </w:rPr>
        <w:t>住    所：                         住    所：</w:t>
      </w:r>
    </w:p>
    <w:p>
      <w:pPr>
        <w:pageBreakBefore w:val="0"/>
        <w:kinsoku/>
        <w:overflowPunct/>
        <w:topLinePunct w:val="0"/>
        <w:bidi w:val="0"/>
        <w:spacing w:line="360" w:lineRule="auto"/>
        <w:ind w:firstLine="520"/>
        <w:rPr>
          <w:rFonts w:hint="eastAsia" w:ascii="宋体" w:hAnsi="宋体" w:eastAsia="宋体"/>
          <w:color w:val="auto"/>
          <w:highlight w:val="none"/>
        </w:rPr>
      </w:pPr>
      <w:r>
        <w:rPr>
          <w:rFonts w:hint="eastAsia" w:ascii="宋体" w:hAnsi="宋体" w:eastAsia="宋体"/>
          <w:color w:val="auto"/>
          <w:highlight w:val="none"/>
        </w:rPr>
        <w:t>法定代表人：                       法定代表人：</w:t>
      </w:r>
    </w:p>
    <w:p>
      <w:pPr>
        <w:pageBreakBefore w:val="0"/>
        <w:kinsoku/>
        <w:overflowPunct/>
        <w:topLinePunct w:val="0"/>
        <w:bidi w:val="0"/>
        <w:spacing w:line="360" w:lineRule="auto"/>
        <w:ind w:firstLine="520"/>
        <w:rPr>
          <w:rFonts w:hint="eastAsia" w:ascii="宋体" w:hAnsi="宋体" w:eastAsia="宋体"/>
          <w:color w:val="auto"/>
          <w:highlight w:val="none"/>
        </w:rPr>
      </w:pPr>
      <w:r>
        <w:rPr>
          <w:rFonts w:hint="eastAsia" w:ascii="宋体" w:hAnsi="宋体" w:eastAsia="宋体"/>
          <w:color w:val="auto"/>
          <w:highlight w:val="none"/>
        </w:rPr>
        <w:t>委托代理人：                       委托代理人：</w:t>
      </w:r>
    </w:p>
    <w:p>
      <w:pPr>
        <w:pageBreakBefore w:val="0"/>
        <w:kinsoku/>
        <w:overflowPunct/>
        <w:topLinePunct w:val="0"/>
        <w:bidi w:val="0"/>
        <w:spacing w:line="360" w:lineRule="auto"/>
        <w:ind w:firstLine="520"/>
        <w:rPr>
          <w:rFonts w:hint="eastAsia" w:ascii="宋体" w:hAnsi="宋体" w:eastAsia="宋体"/>
          <w:color w:val="auto"/>
          <w:highlight w:val="none"/>
        </w:rPr>
      </w:pPr>
      <w:r>
        <w:rPr>
          <w:rFonts w:hint="eastAsia" w:ascii="宋体" w:hAnsi="宋体" w:eastAsia="宋体"/>
          <w:color w:val="auto"/>
          <w:highlight w:val="none"/>
        </w:rPr>
        <w:t xml:space="preserve">电      话：                       电      话：   </w:t>
      </w:r>
    </w:p>
    <w:p>
      <w:pPr>
        <w:pageBreakBefore w:val="0"/>
        <w:kinsoku/>
        <w:overflowPunct/>
        <w:topLinePunct w:val="0"/>
        <w:bidi w:val="0"/>
        <w:spacing w:line="360" w:lineRule="auto"/>
        <w:ind w:firstLine="520"/>
        <w:rPr>
          <w:rFonts w:hint="eastAsia" w:ascii="宋体" w:hAnsi="宋体" w:eastAsia="宋体"/>
          <w:color w:val="auto"/>
          <w:highlight w:val="none"/>
        </w:rPr>
      </w:pPr>
      <w:r>
        <w:rPr>
          <w:rFonts w:hint="eastAsia" w:ascii="宋体" w:hAnsi="宋体" w:eastAsia="宋体"/>
          <w:color w:val="auto"/>
          <w:highlight w:val="none"/>
        </w:rPr>
        <w:t>传      真：                       传      真：</w:t>
      </w:r>
    </w:p>
    <w:p>
      <w:pPr>
        <w:pageBreakBefore w:val="0"/>
        <w:kinsoku/>
        <w:overflowPunct/>
        <w:topLinePunct w:val="0"/>
        <w:bidi w:val="0"/>
        <w:spacing w:line="360" w:lineRule="auto"/>
        <w:ind w:firstLine="520"/>
        <w:rPr>
          <w:rFonts w:hint="eastAsia" w:ascii="宋体" w:hAnsi="宋体" w:eastAsia="宋体"/>
          <w:color w:val="auto"/>
          <w:spacing w:val="-12"/>
          <w:highlight w:val="none"/>
        </w:rPr>
      </w:pPr>
      <w:r>
        <w:rPr>
          <w:rFonts w:hint="eastAsia" w:ascii="宋体" w:hAnsi="宋体" w:eastAsia="宋体"/>
          <w:color w:val="auto"/>
          <w:spacing w:val="-12"/>
          <w:highlight w:val="none"/>
        </w:rPr>
        <w:t xml:space="preserve">开 户 银 行：                              开 户 银 行：   </w:t>
      </w:r>
    </w:p>
    <w:p>
      <w:pPr>
        <w:pageBreakBefore w:val="0"/>
        <w:kinsoku/>
        <w:overflowPunct/>
        <w:topLinePunct w:val="0"/>
        <w:bidi w:val="0"/>
        <w:spacing w:line="360" w:lineRule="auto"/>
        <w:ind w:firstLine="520"/>
        <w:rPr>
          <w:rFonts w:hint="eastAsia" w:ascii="宋体" w:hAnsi="宋体" w:eastAsia="宋体"/>
          <w:color w:val="auto"/>
          <w:spacing w:val="-12"/>
          <w:highlight w:val="none"/>
        </w:rPr>
      </w:pPr>
      <w:r>
        <w:rPr>
          <w:rFonts w:hint="eastAsia" w:ascii="宋体" w:hAnsi="宋体" w:eastAsia="宋体"/>
          <w:color w:val="auto"/>
          <w:spacing w:val="-12"/>
          <w:highlight w:val="none"/>
        </w:rPr>
        <w:t>账       号：                               账        号：</w:t>
      </w:r>
    </w:p>
    <w:p>
      <w:pPr>
        <w:pageBreakBefore w:val="0"/>
        <w:kinsoku/>
        <w:overflowPunct/>
        <w:topLinePunct w:val="0"/>
        <w:bidi w:val="0"/>
        <w:spacing w:line="360" w:lineRule="auto"/>
        <w:ind w:firstLine="520"/>
        <w:rPr>
          <w:rFonts w:hint="eastAsia" w:ascii="宋体" w:hAnsi="宋体" w:eastAsia="宋体"/>
          <w:color w:val="auto"/>
          <w:spacing w:val="-12"/>
          <w:highlight w:val="none"/>
        </w:rPr>
      </w:pPr>
      <w:r>
        <w:rPr>
          <w:rFonts w:hint="eastAsia" w:ascii="宋体" w:hAnsi="宋体" w:eastAsia="宋体"/>
          <w:color w:val="auto"/>
          <w:spacing w:val="-12"/>
          <w:highlight w:val="none"/>
        </w:rPr>
        <w:t xml:space="preserve">邮 政 编 号：                               邮 政 编 号：          </w:t>
      </w:r>
      <w:r>
        <w:rPr>
          <w:rFonts w:hint="eastAsia" w:ascii="宋体" w:hAnsi="宋体" w:eastAsia="宋体"/>
          <w:color w:val="auto"/>
          <w:spacing w:val="-12"/>
          <w:sz w:val="24"/>
          <w:highlight w:val="none"/>
        </w:rPr>
        <w:t xml:space="preserve">                      </w:t>
      </w:r>
    </w:p>
    <w:p>
      <w:pPr>
        <w:keepNext/>
        <w:keepLines/>
        <w:pageBreakBefore w:val="0"/>
        <w:kinsoku/>
        <w:overflowPunct/>
        <w:topLinePunct w:val="0"/>
        <w:bidi w:val="0"/>
        <w:spacing w:line="360" w:lineRule="auto"/>
        <w:jc w:val="center"/>
        <w:rPr>
          <w:rFonts w:hint="eastAsia" w:ascii="宋体" w:hAnsi="宋体" w:eastAsia="宋体"/>
          <w:b/>
          <w:color w:val="auto"/>
          <w:sz w:val="24"/>
          <w:highlight w:val="none"/>
        </w:rPr>
      </w:pPr>
      <w:r>
        <w:rPr>
          <w:rFonts w:hint="eastAsia" w:ascii="宋体" w:hAnsi="宋体" w:eastAsia="宋体"/>
          <w:b/>
          <w:color w:val="auto"/>
          <w:sz w:val="24"/>
          <w:highlight w:val="none"/>
        </w:rPr>
        <w:br w:type="page"/>
      </w:r>
    </w:p>
    <w:p>
      <w:pPr>
        <w:keepNext/>
        <w:keepLines/>
        <w:pageBreakBefore w:val="0"/>
        <w:kinsoku/>
        <w:overflowPunct/>
        <w:topLinePunct w:val="0"/>
        <w:bidi w:val="0"/>
        <w:spacing w:line="360" w:lineRule="auto"/>
        <w:jc w:val="center"/>
        <w:outlineLvl w:val="0"/>
        <w:rPr>
          <w:rFonts w:hint="eastAsia" w:ascii="宋体" w:hAnsi="宋体" w:eastAsia="宋体"/>
          <w:b/>
          <w:color w:val="auto"/>
          <w:sz w:val="24"/>
          <w:highlight w:val="none"/>
        </w:rPr>
      </w:pPr>
      <w:bookmarkStart w:id="104" w:name="_Toc27851"/>
      <w:bookmarkStart w:id="105" w:name="_Toc31600"/>
      <w:bookmarkStart w:id="106" w:name="_Toc21469"/>
      <w:r>
        <w:rPr>
          <w:rFonts w:hint="eastAsia" w:ascii="宋体" w:hAnsi="宋体" w:eastAsia="宋体"/>
          <w:b/>
          <w:color w:val="auto"/>
          <w:sz w:val="24"/>
          <w:highlight w:val="none"/>
        </w:rPr>
        <w:t>第二部分：合同通用条款</w:t>
      </w:r>
      <w:bookmarkEnd w:id="104"/>
      <w:bookmarkEnd w:id="105"/>
      <w:bookmarkEnd w:id="106"/>
    </w:p>
    <w:p>
      <w:pPr>
        <w:pageBreakBefore w:val="0"/>
        <w:kinsoku/>
        <w:overflowPunct/>
        <w:topLinePunct w:val="0"/>
        <w:bidi w:val="0"/>
        <w:snapToGrid w:val="0"/>
        <w:spacing w:line="360" w:lineRule="auto"/>
        <w:rPr>
          <w:rFonts w:hint="eastAsia" w:ascii="宋体" w:hAnsi="宋体" w:eastAsia="宋体"/>
          <w:b/>
          <w:color w:val="auto"/>
          <w:sz w:val="36"/>
          <w:highlight w:val="none"/>
        </w:rPr>
      </w:pPr>
    </w:p>
    <w:p>
      <w:pPr>
        <w:pageBreakBefore w:val="0"/>
        <w:kinsoku/>
        <w:overflowPunct/>
        <w:topLinePunct w:val="0"/>
        <w:bidi w:val="0"/>
        <w:snapToGrid w:val="0"/>
        <w:spacing w:line="360" w:lineRule="auto"/>
        <w:rPr>
          <w:rFonts w:hint="eastAsia" w:ascii="宋体" w:hAnsi="宋体" w:eastAsia="宋体"/>
          <w:b/>
          <w:color w:val="auto"/>
          <w:sz w:val="24"/>
          <w:highlight w:val="none"/>
        </w:rPr>
      </w:pPr>
      <w:r>
        <w:rPr>
          <w:rFonts w:hint="eastAsia" w:ascii="宋体" w:hAnsi="宋体" w:eastAsia="宋体"/>
          <w:b/>
          <w:color w:val="auto"/>
          <w:sz w:val="24"/>
          <w:highlight w:val="none"/>
        </w:rPr>
        <w:t xml:space="preserve">  </w:t>
      </w:r>
      <w:r>
        <w:rPr>
          <w:rFonts w:hint="eastAsia" w:ascii="宋体" w:hAnsi="宋体" w:eastAsia="宋体"/>
          <w:color w:val="auto"/>
          <w:highlight w:val="none"/>
        </w:rPr>
        <w:t xml:space="preserve">  本项目《建设工程施工竞争性磋商文件》的“合同通用条款”，</w:t>
      </w:r>
      <w:r>
        <w:rPr>
          <w:rFonts w:hint="eastAsia" w:ascii="宋体" w:hAnsi="宋体" w:eastAsia="宋体"/>
          <w:color w:val="auto"/>
          <w:szCs w:val="21"/>
          <w:highlight w:val="none"/>
        </w:rPr>
        <w:t>采用国家工商行政管理局和建设部颁发的《建设工程施工合同（示范文本）》（GF-2017-0201）的“合同通用条款”</w:t>
      </w:r>
      <w:r>
        <w:rPr>
          <w:rFonts w:hint="eastAsia" w:ascii="宋体" w:hAnsi="宋体" w:eastAsia="宋体"/>
          <w:color w:val="auto"/>
          <w:sz w:val="24"/>
          <w:highlight w:val="none"/>
        </w:rPr>
        <w:t>。</w:t>
      </w:r>
    </w:p>
    <w:p>
      <w:pPr>
        <w:pageBreakBefore w:val="0"/>
        <w:kinsoku/>
        <w:overflowPunct/>
        <w:topLinePunct w:val="0"/>
        <w:bidi w:val="0"/>
        <w:spacing w:line="360" w:lineRule="auto"/>
        <w:ind w:firstLine="198"/>
        <w:rPr>
          <w:rFonts w:hint="eastAsia" w:ascii="宋体" w:hAnsi="宋体" w:eastAsia="宋体"/>
          <w:color w:val="auto"/>
          <w:highlight w:val="none"/>
        </w:rPr>
      </w:pPr>
    </w:p>
    <w:p>
      <w:pPr>
        <w:pageBreakBefore w:val="0"/>
        <w:kinsoku/>
        <w:overflowPunct/>
        <w:topLinePunct w:val="0"/>
        <w:bidi w:val="0"/>
        <w:spacing w:line="360" w:lineRule="auto"/>
        <w:ind w:firstLine="198"/>
        <w:rPr>
          <w:rFonts w:hint="eastAsia" w:ascii="宋体" w:hAnsi="宋体" w:eastAsia="宋体"/>
          <w:color w:val="auto"/>
          <w:highlight w:val="none"/>
        </w:rPr>
      </w:pPr>
      <w:r>
        <w:rPr>
          <w:rFonts w:hint="eastAsia" w:ascii="宋体" w:hAnsi="宋体" w:eastAsia="宋体"/>
          <w:color w:val="auto"/>
          <w:highlight w:val="none"/>
        </w:rPr>
        <w:br w:type="page"/>
      </w:r>
    </w:p>
    <w:p>
      <w:pPr>
        <w:keepNext/>
        <w:keepLines/>
        <w:pageBreakBefore w:val="0"/>
        <w:kinsoku/>
        <w:overflowPunct/>
        <w:topLinePunct w:val="0"/>
        <w:bidi w:val="0"/>
        <w:spacing w:line="360" w:lineRule="auto"/>
        <w:jc w:val="center"/>
        <w:outlineLvl w:val="0"/>
        <w:rPr>
          <w:rFonts w:hint="eastAsia" w:ascii="宋体" w:hAnsi="宋体" w:eastAsia="宋体"/>
          <w:b/>
          <w:color w:val="auto"/>
          <w:sz w:val="24"/>
          <w:highlight w:val="none"/>
        </w:rPr>
      </w:pPr>
      <w:bookmarkStart w:id="107" w:name="_Toc22750"/>
      <w:bookmarkStart w:id="108" w:name="_Toc20645"/>
      <w:bookmarkStart w:id="109" w:name="_Toc24010"/>
      <w:r>
        <w:rPr>
          <w:rFonts w:hint="eastAsia" w:ascii="宋体" w:hAnsi="宋体" w:eastAsia="宋体"/>
          <w:b/>
          <w:color w:val="auto"/>
          <w:sz w:val="24"/>
          <w:highlight w:val="none"/>
        </w:rPr>
        <w:t>第三部分：合同专用条款</w:t>
      </w:r>
      <w:bookmarkEnd w:id="107"/>
      <w:bookmarkEnd w:id="108"/>
      <w:bookmarkEnd w:id="109"/>
    </w:p>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110" w:name="_Toc373478339"/>
      <w:bookmarkEnd w:id="110"/>
      <w:bookmarkStart w:id="111" w:name="_Toc373227692"/>
      <w:bookmarkEnd w:id="111"/>
      <w:bookmarkStart w:id="112" w:name="_Toc351203633"/>
      <w:bookmarkEnd w:id="112"/>
      <w:bookmarkStart w:id="113" w:name="_Toc389065258"/>
      <w:bookmarkEnd w:id="113"/>
      <w:bookmarkStart w:id="114" w:name="_Toc15810"/>
      <w:bookmarkEnd w:id="114"/>
      <w:bookmarkStart w:id="115" w:name="_Toc11241"/>
      <w:bookmarkStart w:id="116" w:name="_Toc23685"/>
      <w:bookmarkStart w:id="117" w:name="_Toc2560"/>
      <w:bookmarkStart w:id="118" w:name="_Toc296347155"/>
      <w:bookmarkStart w:id="119" w:name="_Toc292559361"/>
      <w:bookmarkStart w:id="120" w:name="_Toc297048342"/>
      <w:bookmarkStart w:id="121" w:name="_Toc292559866"/>
      <w:bookmarkStart w:id="122" w:name="_Toc296346657"/>
      <w:bookmarkStart w:id="123" w:name="_Toc296944495"/>
      <w:bookmarkStart w:id="124" w:name="_Toc296891196"/>
      <w:bookmarkStart w:id="125" w:name="_Toc296503156"/>
      <w:bookmarkStart w:id="126" w:name="_Toc297120456"/>
      <w:bookmarkStart w:id="127" w:name="_Toc296890984"/>
      <w:r>
        <w:rPr>
          <w:rFonts w:hint="eastAsia" w:ascii="宋体" w:hAnsi="宋体" w:eastAsia="宋体"/>
          <w:color w:val="auto"/>
          <w:sz w:val="21"/>
          <w:szCs w:val="21"/>
          <w:highlight w:val="none"/>
        </w:rPr>
        <w:t>1. 一般约定</w:t>
      </w:r>
      <w:bookmarkEnd w:id="115"/>
      <w:bookmarkEnd w:id="116"/>
      <w:bookmarkEnd w:id="117"/>
    </w:p>
    <w:bookmarkEnd w:id="118"/>
    <w:bookmarkEnd w:id="119"/>
    <w:bookmarkEnd w:id="120"/>
    <w:bookmarkEnd w:id="121"/>
    <w:bookmarkEnd w:id="122"/>
    <w:bookmarkEnd w:id="123"/>
    <w:bookmarkEnd w:id="124"/>
    <w:bookmarkEnd w:id="125"/>
    <w:bookmarkEnd w:id="126"/>
    <w:bookmarkEnd w:id="127"/>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28" w:name="_Toc19922"/>
      <w:bookmarkEnd w:id="128"/>
      <w:bookmarkStart w:id="129" w:name="_Toc373478340"/>
      <w:bookmarkEnd w:id="129"/>
      <w:bookmarkStart w:id="130" w:name="_Toc389065259"/>
      <w:bookmarkEnd w:id="130"/>
      <w:bookmarkStart w:id="131" w:name="_Toc373227693"/>
      <w:bookmarkEnd w:id="131"/>
      <w:bookmarkStart w:id="132" w:name="_Toc26877"/>
      <w:bookmarkStart w:id="133" w:name="_Toc1580"/>
      <w:bookmarkStart w:id="134" w:name="_Toc559"/>
      <w:r>
        <w:rPr>
          <w:rFonts w:hint="eastAsia" w:ascii="宋体" w:hAnsi="宋体" w:eastAsia="宋体"/>
          <w:color w:val="auto"/>
          <w:sz w:val="21"/>
          <w:szCs w:val="21"/>
          <w:highlight w:val="none"/>
        </w:rPr>
        <w:t>1.1 词语定义</w:t>
      </w:r>
      <w:bookmarkEnd w:id="132"/>
      <w:bookmarkEnd w:id="133"/>
      <w:bookmarkEnd w:id="134"/>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1.1.1 合同</w:t>
      </w:r>
    </w:p>
    <w:p>
      <w:pPr>
        <w:pageBreakBefore w:val="0"/>
        <w:kinsoku/>
        <w:overflowPunct/>
        <w:topLinePunct w:val="0"/>
        <w:bidi w:val="0"/>
        <w:spacing w:line="360" w:lineRule="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1.1.1.10 其他合同文件包括：</w:t>
      </w:r>
      <w:r>
        <w:rPr>
          <w:rFonts w:hint="eastAsia" w:ascii="宋体" w:hAnsi="宋体" w:eastAsia="宋体"/>
          <w:color w:val="auto"/>
          <w:sz w:val="21"/>
          <w:szCs w:val="21"/>
          <w:highlight w:val="none"/>
          <w:u w:val="single"/>
        </w:rPr>
        <w:t>（1）本合同协议书；（2）中标通知书；（3）投标函及其附录；（4）专用合同条款及其附件；（5）本通用合同条款；（6）技术标准和要求；（7）图纸会审记录、施工组织设计及施工方案、设计变更、发包人和监理工程师通知及指令、现场签证、工程技术联系单、发承包人确认的相关文件资料等有关工程洽商、变更等书面协议；（8）工程报告单及预算书；（9）</w:t>
      </w:r>
      <w:r>
        <w:rPr>
          <w:rFonts w:hint="eastAsia" w:ascii="宋体" w:hAnsi="宋体" w:eastAsia="宋体"/>
          <w:color w:val="auto"/>
          <w:sz w:val="21"/>
          <w:szCs w:val="21"/>
          <w:highlight w:val="none"/>
          <w:u w:val="single"/>
          <w:lang w:eastAsia="zh-CN"/>
        </w:rPr>
        <w:t>采购文件</w:t>
      </w:r>
      <w:r>
        <w:rPr>
          <w:rFonts w:hint="eastAsia" w:ascii="宋体" w:hAnsi="宋体" w:eastAsia="宋体"/>
          <w:color w:val="auto"/>
          <w:sz w:val="21"/>
          <w:szCs w:val="21"/>
          <w:highlight w:val="none"/>
          <w:u w:val="single"/>
        </w:rPr>
        <w:t xml:space="preserve">及其附件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1.1.2 合同当事人及其他相关方</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1.1.2.4 监理人：</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名    称：</w:t>
      </w:r>
      <w:r>
        <w:rPr>
          <w:rFonts w:hint="eastAsia" w:ascii="宋体" w:hAnsi="宋体" w:eastAsia="宋体"/>
          <w:color w:val="auto"/>
          <w:sz w:val="21"/>
          <w:szCs w:val="21"/>
          <w:highlight w:val="none"/>
          <w:u w:val="single"/>
        </w:rPr>
        <w:t xml:space="preserve">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资质类别和等级：</w:t>
      </w:r>
      <w:r>
        <w:rPr>
          <w:rFonts w:hint="eastAsia" w:ascii="宋体" w:hAnsi="宋体" w:eastAsia="宋体"/>
          <w:color w:val="auto"/>
          <w:sz w:val="21"/>
          <w:szCs w:val="21"/>
          <w:highlight w:val="none"/>
          <w:u w:val="single"/>
        </w:rPr>
        <w:t>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电子信箱：</w:t>
      </w:r>
      <w:r>
        <w:rPr>
          <w:rFonts w:hint="eastAsia" w:ascii="宋体" w:hAnsi="宋体" w:eastAsia="宋体"/>
          <w:color w:val="auto"/>
          <w:sz w:val="21"/>
          <w:szCs w:val="21"/>
          <w:highlight w:val="none"/>
          <w:u w:val="single"/>
        </w:rPr>
        <w:t>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通信地址：</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1.1.2.5 设计人：</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名    称：</w:t>
      </w:r>
      <w:r>
        <w:rPr>
          <w:rFonts w:hint="eastAsia" w:ascii="宋体" w:hAnsi="宋体" w:eastAsia="宋体"/>
          <w:color w:val="auto"/>
          <w:sz w:val="21"/>
          <w:szCs w:val="21"/>
          <w:highlight w:val="none"/>
          <w:u w:val="single"/>
        </w:rPr>
        <w:t xml:space="preserve">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资质类别和等级：</w:t>
      </w:r>
      <w:r>
        <w:rPr>
          <w:rFonts w:hint="eastAsia" w:ascii="宋体" w:hAnsi="宋体" w:eastAsia="宋体"/>
          <w:color w:val="auto"/>
          <w:sz w:val="21"/>
          <w:szCs w:val="21"/>
          <w:highlight w:val="none"/>
          <w:u w:val="single"/>
        </w:rPr>
        <w:t>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u w:val="single"/>
        </w:rPr>
        <w:t>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电子信箱：</w:t>
      </w:r>
      <w:r>
        <w:rPr>
          <w:rFonts w:hint="eastAsia" w:ascii="宋体" w:hAnsi="宋体" w:eastAsia="宋体"/>
          <w:color w:val="auto"/>
          <w:sz w:val="21"/>
          <w:szCs w:val="21"/>
          <w:highlight w:val="none"/>
          <w:u w:val="single"/>
        </w:rPr>
        <w:t xml:space="preserve">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通信地址：</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1.1.3 工程和设备</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1.1.3.7 作为施工现场组成部分的其他场所包括：</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u w:val="single"/>
        </w:rPr>
        <w:t xml:space="preserve">永久占地和临时占地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1.1.3.9 永久占地包括：</w:t>
      </w:r>
      <w:r>
        <w:rPr>
          <w:rFonts w:hint="eastAsia" w:ascii="宋体" w:hAnsi="宋体" w:eastAsia="宋体"/>
          <w:color w:val="auto"/>
          <w:sz w:val="21"/>
          <w:szCs w:val="21"/>
          <w:highlight w:val="none"/>
          <w:u w:val="single"/>
        </w:rPr>
        <w:t xml:space="preserve">  通用条款1.1.3.9 执行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1.1.3.10 临时占地包括：</w:t>
      </w:r>
      <w:r>
        <w:rPr>
          <w:rFonts w:hint="eastAsia" w:ascii="宋体" w:hAnsi="宋体" w:eastAsia="宋体"/>
          <w:color w:val="auto"/>
          <w:sz w:val="21"/>
          <w:szCs w:val="21"/>
          <w:highlight w:val="none"/>
          <w:u w:val="single"/>
        </w:rPr>
        <w:t xml:space="preserve">    通用条款1.1.3.</w:t>
      </w:r>
      <w:r>
        <w:rPr>
          <w:rFonts w:hint="eastAsia" w:ascii="宋体" w:hAnsi="宋体" w:eastAsia="宋体"/>
          <w:color w:val="auto"/>
          <w:sz w:val="21"/>
          <w:szCs w:val="21"/>
          <w:highlight w:val="none"/>
          <w:u w:val="single"/>
          <w:lang w:val="en-US" w:eastAsia="zh-CN"/>
        </w:rPr>
        <w:t>10</w:t>
      </w:r>
      <w:r>
        <w:rPr>
          <w:rFonts w:hint="eastAsia" w:ascii="宋体" w:hAnsi="宋体" w:eastAsia="宋体"/>
          <w:color w:val="auto"/>
          <w:sz w:val="21"/>
          <w:szCs w:val="21"/>
          <w:highlight w:val="none"/>
          <w:u w:val="single"/>
        </w:rPr>
        <w:t xml:space="preserve"> 执行 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35" w:name="_Toc5337"/>
      <w:bookmarkEnd w:id="135"/>
      <w:bookmarkStart w:id="136" w:name="_Toc373227694"/>
      <w:bookmarkEnd w:id="136"/>
      <w:bookmarkStart w:id="137" w:name="_Toc373478341"/>
      <w:bookmarkEnd w:id="137"/>
      <w:bookmarkStart w:id="138" w:name="_Toc389065260"/>
      <w:bookmarkEnd w:id="138"/>
      <w:bookmarkStart w:id="139" w:name="_Toc24414"/>
      <w:bookmarkStart w:id="140" w:name="_Toc4509"/>
      <w:bookmarkStart w:id="141" w:name="_Toc20230"/>
      <w:r>
        <w:rPr>
          <w:rFonts w:hint="eastAsia" w:ascii="宋体" w:hAnsi="宋体" w:eastAsia="宋体"/>
          <w:color w:val="auto"/>
          <w:sz w:val="21"/>
          <w:szCs w:val="21"/>
          <w:highlight w:val="none"/>
        </w:rPr>
        <w:t>1.3 法律</w:t>
      </w:r>
      <w:bookmarkEnd w:id="139"/>
      <w:bookmarkEnd w:id="140"/>
      <w:bookmarkEnd w:id="141"/>
    </w:p>
    <w:p>
      <w:pPr>
        <w:pageBreakBefore w:val="0"/>
        <w:kinsoku/>
        <w:overflowPunct/>
        <w:topLinePunct w:val="0"/>
        <w:autoSpaceDE w:val="0"/>
        <w:autoSpaceDN w:val="0"/>
        <w:bidi w:val="0"/>
        <w:spacing w:line="360" w:lineRule="auto"/>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适用于合同的其他规范性文件：</w:t>
      </w:r>
      <w:r>
        <w:rPr>
          <w:rFonts w:hint="eastAsia" w:ascii="宋体" w:hAnsi="宋体" w:eastAsia="宋体"/>
          <w:color w:val="auto"/>
          <w:sz w:val="21"/>
          <w:szCs w:val="21"/>
          <w:highlight w:val="none"/>
          <w:u w:val="single"/>
        </w:rPr>
        <w:t xml:space="preserve">按通用条款1.3条执行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42" w:name="_Toc373478342"/>
      <w:bookmarkEnd w:id="142"/>
      <w:bookmarkStart w:id="143" w:name="_Toc373227695"/>
      <w:bookmarkEnd w:id="143"/>
      <w:bookmarkStart w:id="144" w:name="_Toc12820"/>
      <w:bookmarkEnd w:id="144"/>
      <w:bookmarkStart w:id="145" w:name="_Toc389065261"/>
      <w:bookmarkEnd w:id="145"/>
      <w:bookmarkStart w:id="146" w:name="_Toc22365"/>
      <w:bookmarkStart w:id="147" w:name="_Toc19020"/>
      <w:bookmarkStart w:id="148" w:name="_Toc27458"/>
      <w:r>
        <w:rPr>
          <w:rFonts w:hint="eastAsia" w:ascii="宋体" w:hAnsi="宋体" w:eastAsia="宋体"/>
          <w:color w:val="auto"/>
          <w:sz w:val="21"/>
          <w:szCs w:val="21"/>
          <w:highlight w:val="none"/>
        </w:rPr>
        <w:t>1.4 标准和规范</w:t>
      </w:r>
      <w:bookmarkEnd w:id="146"/>
      <w:bookmarkEnd w:id="147"/>
      <w:bookmarkEnd w:id="148"/>
    </w:p>
    <w:p>
      <w:pPr>
        <w:pageBreakBefore w:val="0"/>
        <w:kinsoku/>
        <w:overflowPunct/>
        <w:topLinePunct w:val="0"/>
        <w:bidi w:val="0"/>
        <w:spacing w:line="360" w:lineRule="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1.4.1 适用于工程的标准规范包括：</w:t>
      </w:r>
      <w:r>
        <w:rPr>
          <w:rFonts w:hint="eastAsia" w:ascii="宋体" w:hAnsi="宋体" w:eastAsia="宋体"/>
          <w:color w:val="auto"/>
          <w:sz w:val="21"/>
          <w:szCs w:val="21"/>
          <w:highlight w:val="none"/>
          <w:u w:val="single"/>
        </w:rPr>
        <w:t xml:space="preserve">按通用条款1.4.1条执行____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1.4.2 发包人提供国外标准、规范的名称：</w:t>
      </w:r>
      <w:r>
        <w:rPr>
          <w:rFonts w:hint="eastAsia" w:ascii="宋体" w:hAnsi="宋体" w:eastAsia="宋体"/>
          <w:color w:val="auto"/>
          <w:sz w:val="21"/>
          <w:szCs w:val="21"/>
          <w:highlight w:val="none"/>
          <w:u w:val="single"/>
        </w:rPr>
        <w:t xml:space="preserve">无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发包人提供国外标准、规范的份数：</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发包人提供国外标准、规范的名称：</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1.4.3 发包人对工程的技术标准和功能要求的特殊要求：</w:t>
      </w:r>
      <w:r>
        <w:rPr>
          <w:rFonts w:hint="eastAsia" w:ascii="宋体" w:hAnsi="宋体" w:eastAsia="宋体"/>
          <w:color w:val="auto"/>
          <w:sz w:val="21"/>
          <w:szCs w:val="21"/>
          <w:highlight w:val="none"/>
          <w:u w:val="single"/>
        </w:rPr>
        <w:t xml:space="preserve">无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49" w:name="_Toc15264"/>
      <w:bookmarkEnd w:id="149"/>
      <w:bookmarkStart w:id="150" w:name="_Toc373227696"/>
      <w:bookmarkEnd w:id="150"/>
      <w:bookmarkStart w:id="151" w:name="_Toc389065262"/>
      <w:bookmarkEnd w:id="151"/>
      <w:bookmarkStart w:id="152" w:name="_Toc373478343"/>
      <w:bookmarkEnd w:id="152"/>
      <w:bookmarkStart w:id="153" w:name="_Toc8523"/>
      <w:bookmarkStart w:id="154" w:name="_Toc24205"/>
      <w:bookmarkStart w:id="155" w:name="_Toc19058"/>
      <w:r>
        <w:rPr>
          <w:rFonts w:hint="eastAsia" w:ascii="宋体" w:hAnsi="宋体" w:eastAsia="宋体"/>
          <w:color w:val="auto"/>
          <w:sz w:val="21"/>
          <w:szCs w:val="21"/>
          <w:highlight w:val="none"/>
        </w:rPr>
        <w:t>1.5 合同文件的优先顺序</w:t>
      </w:r>
      <w:bookmarkEnd w:id="153"/>
      <w:bookmarkEnd w:id="154"/>
      <w:bookmarkEnd w:id="155"/>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合同文件组成及优先顺序为：</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（1）合同协议书；</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成交</w:t>
      </w:r>
      <w:r>
        <w:rPr>
          <w:rFonts w:hint="eastAsia" w:ascii="宋体" w:hAnsi="宋体" w:eastAsia="宋体"/>
          <w:color w:val="auto"/>
          <w:sz w:val="21"/>
          <w:szCs w:val="21"/>
          <w:highlight w:val="none"/>
        </w:rPr>
        <w:t>通知书（如有）；</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（3）投标函及其附录（如有）；</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（4）专用合同条款及其附件；</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（5）通用合同条款；</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w:t>
      </w:r>
      <w:r>
        <w:rPr>
          <w:rFonts w:hint="eastAsia" w:ascii="宋体" w:hAnsi="宋体" w:eastAsia="宋体"/>
          <w:color w:val="auto"/>
          <w:sz w:val="21"/>
          <w:szCs w:val="21"/>
          <w:highlight w:val="none"/>
          <w:u w:val="single"/>
        </w:rPr>
        <w:t xml:space="preserve">  技术标准和要求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w:t>
      </w:r>
      <w:r>
        <w:rPr>
          <w:rFonts w:hint="eastAsia" w:ascii="宋体" w:hAnsi="宋体" w:eastAsia="宋体"/>
          <w:color w:val="auto"/>
          <w:sz w:val="21"/>
          <w:szCs w:val="21"/>
          <w:highlight w:val="none"/>
          <w:u w:val="single"/>
        </w:rPr>
        <w:t xml:space="preserve">  图纸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w:t>
      </w:r>
      <w:r>
        <w:rPr>
          <w:rFonts w:hint="eastAsia" w:ascii="宋体" w:hAnsi="宋体" w:eastAsia="宋体"/>
          <w:color w:val="auto"/>
          <w:sz w:val="21"/>
          <w:szCs w:val="21"/>
          <w:highlight w:val="none"/>
          <w:u w:val="single"/>
        </w:rPr>
        <w:t xml:space="preserve">  已标价工程量清单</w:t>
      </w:r>
      <w:r>
        <w:rPr>
          <w:rFonts w:hint="eastAsia" w:ascii="宋体" w:hAnsi="宋体" w:eastAsia="宋体"/>
          <w:color w:val="auto"/>
          <w:sz w:val="21"/>
          <w:szCs w:val="21"/>
          <w:highlight w:val="none"/>
        </w:rPr>
        <w:t xml:space="preserve">  ；</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9）《建设工程工程量清单计价规范（GB5050-2013）》及其广西实施细则及《关于建筑业实施营业税改征增值税后广西壮族自治区建设工程计价依据调整的通知》（桂建标〔2016〕17号）、《建设工程工程量清单计算规范（GB5854~50862-2013）》及其广西实施细则（修订本） (适用于实行工程量清单计价的项目) ；</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(10)</w:t>
      </w:r>
      <w:r>
        <w:rPr>
          <w:rFonts w:hint="eastAsia" w:ascii="宋体" w:hAnsi="宋体" w:eastAsia="宋体"/>
          <w:color w:val="auto"/>
          <w:sz w:val="21"/>
          <w:szCs w:val="21"/>
          <w:highlight w:val="none"/>
          <w:u w:val="single"/>
        </w:rPr>
        <w:t xml:space="preserve">其他合同文件：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上述各项合同文件包括合同当事人就该项合同文件所作出的补充和修改，属于同一类内容的文件，应以最新签署的为准（违反</w:t>
      </w:r>
      <w:r>
        <w:rPr>
          <w:rFonts w:hint="eastAsia" w:ascii="宋体" w:hAnsi="宋体" w:eastAsia="宋体"/>
          <w:color w:val="auto"/>
          <w:sz w:val="21"/>
          <w:szCs w:val="21"/>
          <w:highlight w:val="none"/>
          <w:lang w:eastAsia="zh-CN"/>
        </w:rPr>
        <w:t>采购文件</w:t>
      </w:r>
      <w:r>
        <w:rPr>
          <w:rFonts w:hint="eastAsia" w:ascii="宋体" w:hAnsi="宋体" w:eastAsia="宋体"/>
          <w:color w:val="auto"/>
          <w:sz w:val="21"/>
          <w:szCs w:val="21"/>
          <w:highlight w:val="none"/>
        </w:rPr>
        <w:t>实质性内容的约定除外）。专用合同条款及其附件须经合同当事人签字或盖章。</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说明：（6）、（7）、（8）、（10）填空内容分别限于技术标准和要求、图纸、已标价工程量清单或预算书、其他合同文件四者之一，其优先顺序可根据采取的不同合同方式由双方约定。</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56" w:name="_Toc389065263"/>
      <w:bookmarkEnd w:id="156"/>
      <w:bookmarkStart w:id="157" w:name="_Toc373227697"/>
      <w:bookmarkEnd w:id="157"/>
      <w:bookmarkStart w:id="158" w:name="_Toc373478344"/>
      <w:bookmarkEnd w:id="158"/>
      <w:bookmarkStart w:id="159" w:name="_Toc4783"/>
      <w:bookmarkEnd w:id="159"/>
      <w:bookmarkStart w:id="160" w:name="_Toc19872"/>
      <w:bookmarkStart w:id="161" w:name="_Toc7348"/>
      <w:bookmarkStart w:id="162" w:name="_Toc3849"/>
      <w:r>
        <w:rPr>
          <w:rFonts w:hint="eastAsia" w:ascii="宋体" w:hAnsi="宋体" w:eastAsia="宋体"/>
          <w:color w:val="auto"/>
          <w:sz w:val="21"/>
          <w:szCs w:val="21"/>
          <w:highlight w:val="none"/>
        </w:rPr>
        <w:t>1.6 图纸和承包人文件</w:t>
      </w:r>
      <w:bookmarkEnd w:id="160"/>
      <w:bookmarkEnd w:id="161"/>
      <w:bookmarkEnd w:id="162"/>
      <w:r>
        <w:rPr>
          <w:rFonts w:hint="eastAsia" w:ascii="宋体" w:hAnsi="宋体" w:eastAsia="宋体"/>
          <w:color w:val="auto"/>
          <w:sz w:val="21"/>
          <w:szCs w:val="21"/>
          <w:highlight w:val="none"/>
        </w:rPr>
        <w:tab/>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1.6.1 图纸的提供</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发包人向承包人提供图纸的期限：</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val="en-US" w:eastAsia="zh-CN"/>
        </w:rPr>
        <w:t>/</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发包人向承包人提供图纸的数量：</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val="en-US" w:eastAsia="zh-CN"/>
        </w:rPr>
        <w:t>/</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发包人向承包人提供图纸的内容：</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val="en-US" w:eastAsia="zh-CN"/>
        </w:rPr>
        <w:t>/</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1.6.4 承包人文件</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需要由承包人提供的文件，包括：</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eastAsia="zh-CN"/>
        </w:rPr>
        <w:t>（</w:t>
      </w:r>
      <w:r>
        <w:rPr>
          <w:rFonts w:hint="eastAsia" w:ascii="宋体" w:hAnsi="宋体" w:eastAsia="宋体"/>
          <w:color w:val="auto"/>
          <w:sz w:val="21"/>
          <w:szCs w:val="21"/>
          <w:highlight w:val="none"/>
          <w:u w:val="single"/>
        </w:rPr>
        <w:t>1）提交施工组织设计（施工方案）；（2）提交符合规定的工程总进度计划；（3）提交分年、分季、分月的进度计划和相应的进度统计报表</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承包人提供的文件的期限为：</w:t>
      </w:r>
      <w:r>
        <w:rPr>
          <w:rFonts w:hint="eastAsia" w:ascii="宋体" w:hAnsi="宋体" w:eastAsia="宋体"/>
          <w:color w:val="auto"/>
          <w:sz w:val="21"/>
          <w:szCs w:val="21"/>
          <w:highlight w:val="none"/>
          <w:u w:val="single"/>
        </w:rPr>
        <w:t>（1）收到发包人全部设计图纸后3天内提供；（2）在开工前7天；月报表每月25日前提交，季报表每季度第一个月</w:t>
      </w:r>
      <w:r>
        <w:rPr>
          <w:rFonts w:hint="eastAsia" w:ascii="宋体" w:hAnsi="宋体" w:eastAsia="宋体"/>
          <w:color w:val="auto"/>
          <w:sz w:val="21"/>
          <w:szCs w:val="21"/>
          <w:highlight w:val="none"/>
          <w:u w:val="single"/>
          <w:lang w:val="en-US" w:eastAsia="zh-CN"/>
        </w:rPr>
        <w:t>25</w:t>
      </w:r>
      <w:r>
        <w:rPr>
          <w:rFonts w:hint="eastAsia" w:ascii="宋体" w:hAnsi="宋体" w:eastAsia="宋体"/>
          <w:color w:val="auto"/>
          <w:sz w:val="21"/>
          <w:szCs w:val="21"/>
          <w:highlight w:val="none"/>
          <w:u w:val="single"/>
        </w:rPr>
        <w:t>日前提交，年报表每年最后月</w:t>
      </w:r>
      <w:r>
        <w:rPr>
          <w:rFonts w:hint="eastAsia" w:ascii="宋体" w:hAnsi="宋体" w:eastAsia="宋体"/>
          <w:color w:val="auto"/>
          <w:sz w:val="21"/>
          <w:szCs w:val="21"/>
          <w:highlight w:val="none"/>
          <w:u w:val="single"/>
          <w:lang w:val="en-US" w:eastAsia="zh-CN"/>
        </w:rPr>
        <w:t>25</w:t>
      </w:r>
      <w:r>
        <w:rPr>
          <w:rFonts w:hint="eastAsia" w:ascii="宋体" w:hAnsi="宋体" w:eastAsia="宋体"/>
          <w:color w:val="auto"/>
          <w:sz w:val="21"/>
          <w:szCs w:val="21"/>
          <w:highlight w:val="none"/>
          <w:u w:val="single"/>
        </w:rPr>
        <w:t>日前提交</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承包人提供的文件的数量为：</w:t>
      </w:r>
      <w:r>
        <w:rPr>
          <w:rFonts w:hint="eastAsia" w:ascii="宋体" w:hAnsi="宋体" w:eastAsia="宋体"/>
          <w:color w:val="auto"/>
          <w:sz w:val="21"/>
          <w:szCs w:val="21"/>
          <w:highlight w:val="none"/>
          <w:u w:val="single"/>
          <w:lang w:val="en-US" w:eastAsia="zh-CN"/>
        </w:rPr>
        <w:t>一式贰</w:t>
      </w:r>
      <w:r>
        <w:rPr>
          <w:rFonts w:hint="eastAsia" w:ascii="宋体" w:hAnsi="宋体" w:eastAsia="宋体"/>
          <w:color w:val="auto"/>
          <w:sz w:val="21"/>
          <w:szCs w:val="21"/>
          <w:highlight w:val="none"/>
          <w:u w:val="single"/>
        </w:rPr>
        <w:t>套</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承包人提供的文件的形式为：</w:t>
      </w:r>
      <w:r>
        <w:rPr>
          <w:rFonts w:hint="eastAsia" w:ascii="宋体" w:hAnsi="宋体" w:eastAsia="宋体"/>
          <w:color w:val="auto"/>
          <w:sz w:val="21"/>
          <w:szCs w:val="21"/>
          <w:highlight w:val="none"/>
          <w:u w:val="single"/>
        </w:rPr>
        <w:t>书面材料</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发包人审批承包人文件的期限：</w:t>
      </w:r>
      <w:r>
        <w:rPr>
          <w:rFonts w:hint="eastAsia" w:ascii="宋体" w:hAnsi="宋体" w:eastAsia="宋体"/>
          <w:color w:val="auto"/>
          <w:sz w:val="21"/>
          <w:szCs w:val="21"/>
          <w:highlight w:val="none"/>
          <w:u w:val="single"/>
        </w:rPr>
        <w:t>收到后7</w:t>
      </w:r>
      <w:r>
        <w:rPr>
          <w:rFonts w:hint="eastAsia" w:ascii="宋体" w:hAnsi="宋体" w:eastAsia="宋体"/>
          <w:color w:val="auto"/>
          <w:sz w:val="21"/>
          <w:szCs w:val="21"/>
          <w:highlight w:val="none"/>
          <w:u w:val="single"/>
          <w:lang w:val="en-US" w:eastAsia="zh-CN"/>
        </w:rPr>
        <w:t>个工作日</w:t>
      </w:r>
      <w:r>
        <w:rPr>
          <w:rFonts w:hint="eastAsia" w:ascii="宋体" w:hAnsi="宋体" w:eastAsia="宋体"/>
          <w:color w:val="auto"/>
          <w:sz w:val="21"/>
          <w:szCs w:val="21"/>
          <w:highlight w:val="none"/>
          <w:u w:val="single"/>
        </w:rPr>
        <w:t>内确认批复</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1.6.5 现场图纸准备</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关于现场图纸准备的约定：</w:t>
      </w:r>
      <w:r>
        <w:rPr>
          <w:rFonts w:hint="eastAsia" w:ascii="宋体" w:hAnsi="宋体" w:eastAsia="宋体"/>
          <w:color w:val="auto"/>
          <w:sz w:val="21"/>
          <w:szCs w:val="21"/>
          <w:highlight w:val="none"/>
          <w:u w:val="single"/>
        </w:rPr>
        <w:t>按通用条款1.6.5条执行</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63" w:name="_Toc373227698"/>
      <w:bookmarkEnd w:id="163"/>
      <w:bookmarkStart w:id="164" w:name="_Toc373478345"/>
      <w:bookmarkEnd w:id="164"/>
      <w:bookmarkStart w:id="165" w:name="_Toc11291"/>
      <w:bookmarkEnd w:id="165"/>
      <w:bookmarkStart w:id="166" w:name="_Toc389065264"/>
      <w:bookmarkEnd w:id="166"/>
      <w:bookmarkStart w:id="167" w:name="_Toc17935"/>
      <w:bookmarkStart w:id="168" w:name="_Toc31209"/>
      <w:bookmarkStart w:id="169" w:name="_Toc15341"/>
      <w:r>
        <w:rPr>
          <w:rFonts w:hint="eastAsia" w:ascii="宋体" w:hAnsi="宋体" w:eastAsia="宋体"/>
          <w:color w:val="auto"/>
          <w:sz w:val="21"/>
          <w:szCs w:val="21"/>
          <w:highlight w:val="none"/>
        </w:rPr>
        <w:t>1.7 联络</w:t>
      </w:r>
      <w:bookmarkEnd w:id="167"/>
      <w:bookmarkEnd w:id="168"/>
      <w:bookmarkEnd w:id="169"/>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1.7.1发包人和承包人应当在</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val="en-US" w:eastAsia="zh-CN"/>
        </w:rPr>
        <w:t>3</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天内将与合同有关的通知、批准、证明、证书、指示、指令、要求、请求、同意、意见、确定和决定等书面函件送达对方当事人。</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1.7.2 发包人接收文件的地点：</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val="en-US" w:eastAsia="zh-CN"/>
        </w:rPr>
        <w:t>发包人指定地点</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发包人指定的接收人为：</w:t>
      </w:r>
      <w:r>
        <w:rPr>
          <w:rFonts w:hint="eastAsia" w:ascii="宋体" w:hAnsi="宋体" w:eastAsia="宋体"/>
          <w:color w:val="auto"/>
          <w:sz w:val="21"/>
          <w:szCs w:val="21"/>
          <w:highlight w:val="none"/>
          <w:u w:val="single"/>
        </w:rPr>
        <w:t>业主代表（现场）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承包人接收文件的地点：</w:t>
      </w:r>
      <w:r>
        <w:rPr>
          <w:rFonts w:hint="eastAsia" w:ascii="宋体" w:hAnsi="宋体" w:eastAsia="宋体"/>
          <w:color w:val="auto"/>
          <w:sz w:val="21"/>
          <w:szCs w:val="21"/>
          <w:highlight w:val="none"/>
          <w:u w:val="single"/>
        </w:rPr>
        <w:t>承包人施工场地管理机构的办公地点</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承包人指定的接收人为：</w:t>
      </w:r>
      <w:r>
        <w:rPr>
          <w:rFonts w:hint="eastAsia" w:ascii="宋体" w:hAnsi="宋体" w:eastAsia="宋体"/>
          <w:color w:val="auto"/>
          <w:sz w:val="21"/>
          <w:szCs w:val="21"/>
          <w:highlight w:val="none"/>
          <w:u w:val="single"/>
        </w:rPr>
        <w:t>项目经理或资料员</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监理人接收文件的地点：</w:t>
      </w:r>
      <w:r>
        <w:rPr>
          <w:rFonts w:hint="eastAsia" w:ascii="宋体" w:hAnsi="宋体" w:eastAsia="宋体"/>
          <w:color w:val="auto"/>
          <w:sz w:val="21"/>
          <w:szCs w:val="21"/>
          <w:highlight w:val="none"/>
          <w:u w:val="single"/>
        </w:rPr>
        <w:t>施工现场监理人办公地点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监理人指定的接收人为：</w:t>
      </w:r>
      <w:r>
        <w:rPr>
          <w:rFonts w:hint="eastAsia" w:ascii="宋体" w:hAnsi="宋体" w:eastAsia="宋体"/>
          <w:color w:val="auto"/>
          <w:sz w:val="21"/>
          <w:szCs w:val="21"/>
          <w:highlight w:val="none"/>
          <w:u w:val="single"/>
        </w:rPr>
        <w:t>总监理工程师或总监代表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70" w:name="_Toc373478346"/>
      <w:bookmarkEnd w:id="170"/>
      <w:bookmarkStart w:id="171" w:name="_Toc389065265"/>
      <w:bookmarkEnd w:id="171"/>
      <w:bookmarkStart w:id="172" w:name="_Toc22269"/>
      <w:bookmarkEnd w:id="172"/>
      <w:bookmarkStart w:id="173" w:name="_Toc373227699"/>
      <w:bookmarkEnd w:id="173"/>
      <w:bookmarkStart w:id="174" w:name="_Toc15372"/>
      <w:bookmarkStart w:id="175" w:name="_Toc8744"/>
      <w:bookmarkStart w:id="176" w:name="_Toc22258"/>
      <w:r>
        <w:rPr>
          <w:rFonts w:hint="eastAsia" w:ascii="宋体" w:hAnsi="宋体" w:eastAsia="宋体"/>
          <w:color w:val="auto"/>
          <w:sz w:val="21"/>
          <w:szCs w:val="21"/>
          <w:highlight w:val="none"/>
        </w:rPr>
        <w:t>1.10 交通运输</w:t>
      </w:r>
      <w:bookmarkEnd w:id="174"/>
      <w:bookmarkEnd w:id="175"/>
      <w:bookmarkEnd w:id="176"/>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bookmarkStart w:id="177" w:name="_Toc318581155"/>
      <w:bookmarkStart w:id="178" w:name="_Toc312677986"/>
      <w:bookmarkStart w:id="179" w:name="_Toc304295521"/>
      <w:bookmarkStart w:id="180" w:name="_Toc303539100"/>
      <w:bookmarkStart w:id="181" w:name="_Toc300934943"/>
      <w:r>
        <w:rPr>
          <w:rFonts w:hint="eastAsia" w:ascii="宋体" w:hAnsi="宋体" w:eastAsia="宋体"/>
          <w:color w:val="auto"/>
          <w:sz w:val="21"/>
          <w:szCs w:val="21"/>
          <w:highlight w:val="none"/>
        </w:rPr>
        <w:t>1.10.1 出入现场的权利</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关于出入现场的权利的约定：</w:t>
      </w:r>
      <w:r>
        <w:rPr>
          <w:rFonts w:hint="eastAsia" w:ascii="宋体" w:hAnsi="宋体" w:eastAsia="宋体"/>
          <w:color w:val="auto"/>
          <w:sz w:val="21"/>
          <w:szCs w:val="21"/>
          <w:highlight w:val="none"/>
          <w:u w:val="single"/>
        </w:rPr>
        <w:t>与施工无关的人员需出入现场须经承发包双方同意</w:t>
      </w:r>
      <w:r>
        <w:rPr>
          <w:rFonts w:hint="eastAsia" w:ascii="宋体" w:hAnsi="宋体" w:eastAsia="宋体"/>
          <w:color w:val="auto"/>
          <w:sz w:val="21"/>
          <w:szCs w:val="21"/>
          <w:highlight w:val="none"/>
        </w:rPr>
        <w:t>。</w:t>
      </w:r>
    </w:p>
    <w:bookmarkEnd w:id="177"/>
    <w:bookmarkEnd w:id="178"/>
    <w:bookmarkEnd w:id="179"/>
    <w:bookmarkEnd w:id="180"/>
    <w:bookmarkEnd w:id="181"/>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182" w:name="_Toc304295522"/>
      <w:bookmarkStart w:id="183" w:name="_Toc303539101"/>
      <w:bookmarkStart w:id="184" w:name="_Toc312677987"/>
      <w:bookmarkStart w:id="185" w:name="_Toc300934944"/>
      <w:bookmarkStart w:id="186" w:name="_Toc318581156"/>
      <w:r>
        <w:rPr>
          <w:rFonts w:hint="eastAsia" w:ascii="宋体" w:hAnsi="宋体" w:eastAsia="宋体"/>
          <w:color w:val="auto"/>
          <w:sz w:val="21"/>
          <w:szCs w:val="21"/>
          <w:highlight w:val="none"/>
        </w:rPr>
        <w:t>1.10.3 场内交通</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关于场外交通和场内交通的边界的约定：</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val="en-US" w:eastAsia="zh-CN"/>
        </w:rPr>
        <w:t xml:space="preserve"> /  </w:t>
      </w:r>
      <w:r>
        <w:rPr>
          <w:rFonts w:hint="eastAsia" w:ascii="宋体" w:hAnsi="宋体" w:eastAsia="宋体"/>
          <w:color w:val="auto"/>
          <w:sz w:val="21"/>
          <w:szCs w:val="21"/>
          <w:highlight w:val="none"/>
        </w:rPr>
        <w:t>。</w:t>
      </w:r>
    </w:p>
    <w:bookmarkEnd w:id="182"/>
    <w:bookmarkEnd w:id="183"/>
    <w:bookmarkEnd w:id="184"/>
    <w:bookmarkEnd w:id="185"/>
    <w:bookmarkEnd w:id="186"/>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187" w:name="_Toc318581157"/>
      <w:r>
        <w:rPr>
          <w:rFonts w:hint="eastAsia" w:ascii="宋体" w:hAnsi="宋体" w:eastAsia="宋体"/>
          <w:color w:val="auto"/>
          <w:sz w:val="21"/>
          <w:szCs w:val="21"/>
          <w:highlight w:val="none"/>
        </w:rPr>
        <w:t>关于发包人向承包人免费提供满足工程施工需要的场内道路和交通设施的约定：</w:t>
      </w:r>
      <w:r>
        <w:rPr>
          <w:rFonts w:hint="eastAsia" w:ascii="宋体" w:hAnsi="宋体" w:eastAsia="宋体"/>
          <w:color w:val="auto"/>
          <w:sz w:val="21"/>
          <w:szCs w:val="21"/>
          <w:highlight w:val="none"/>
          <w:u w:val="single"/>
        </w:rPr>
        <w:t xml:space="preserve">由承包人根据现场实际自行考虑，费用自理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1.10.4 超大件和超重件的运输</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运输超大件或超重件所需的道路和桥梁临时加固改造费用和其他有关费用由</w:t>
      </w:r>
      <w:r>
        <w:rPr>
          <w:rFonts w:hint="eastAsia" w:ascii="宋体" w:hAnsi="宋体" w:eastAsia="宋体"/>
          <w:color w:val="auto"/>
          <w:sz w:val="21"/>
          <w:szCs w:val="21"/>
          <w:highlight w:val="none"/>
          <w:u w:val="single"/>
        </w:rPr>
        <w:t xml:space="preserve"> 承包人 </w:t>
      </w:r>
      <w:r>
        <w:rPr>
          <w:rFonts w:hint="eastAsia" w:ascii="宋体" w:hAnsi="宋体" w:eastAsia="宋体"/>
          <w:color w:val="auto"/>
          <w:sz w:val="21"/>
          <w:szCs w:val="21"/>
          <w:highlight w:val="none"/>
        </w:rPr>
        <w:t>承担。</w:t>
      </w:r>
    </w:p>
    <w:bookmarkEnd w:id="187"/>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88" w:name="_Toc373227700"/>
      <w:bookmarkEnd w:id="188"/>
      <w:bookmarkStart w:id="189" w:name="_Toc389065266"/>
      <w:bookmarkEnd w:id="189"/>
      <w:bookmarkStart w:id="190" w:name="_Toc14351"/>
      <w:bookmarkEnd w:id="190"/>
      <w:bookmarkStart w:id="191" w:name="_Toc373478347"/>
      <w:bookmarkEnd w:id="191"/>
      <w:bookmarkStart w:id="192" w:name="_Toc10058"/>
      <w:bookmarkStart w:id="193" w:name="_Toc28933"/>
      <w:bookmarkStart w:id="194" w:name="_Toc7765"/>
      <w:r>
        <w:rPr>
          <w:rFonts w:hint="eastAsia" w:ascii="宋体" w:hAnsi="宋体" w:eastAsia="宋体"/>
          <w:color w:val="auto"/>
          <w:sz w:val="21"/>
          <w:szCs w:val="21"/>
          <w:highlight w:val="none"/>
        </w:rPr>
        <w:t>1.11 知识产权</w:t>
      </w:r>
      <w:bookmarkEnd w:id="192"/>
      <w:bookmarkEnd w:id="193"/>
      <w:bookmarkEnd w:id="194"/>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eastAsia="宋体"/>
          <w:color w:val="auto"/>
          <w:sz w:val="21"/>
          <w:szCs w:val="21"/>
          <w:highlight w:val="none"/>
          <w:u w:val="single"/>
        </w:rPr>
        <w:t xml:space="preserve">属于发包人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关于发包人提供的上述文件的使用限制的要求：</w:t>
      </w:r>
      <w:r>
        <w:rPr>
          <w:rFonts w:hint="eastAsia" w:ascii="宋体" w:hAnsi="宋体" w:eastAsia="宋体"/>
          <w:color w:val="auto"/>
          <w:sz w:val="21"/>
          <w:szCs w:val="21"/>
          <w:highlight w:val="none"/>
          <w:u w:val="single"/>
        </w:rPr>
        <w:t xml:space="preserve">  承包人可以为实现本合同目的而复制、使用此类文件，但不能用于与合同无关的其他事项，未经发包人同意，承包人不得为了合同以外的目的而复制、使用上述文件或将之提供给任何第三方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1.11.2 关于承包人为实施工程所编制文件的著作权的归属：</w:t>
      </w:r>
      <w:r>
        <w:rPr>
          <w:rFonts w:hint="eastAsia" w:ascii="宋体" w:hAnsi="宋体" w:eastAsia="宋体"/>
          <w:color w:val="auto"/>
          <w:sz w:val="21"/>
          <w:szCs w:val="21"/>
          <w:highlight w:val="none"/>
          <w:u w:val="single"/>
        </w:rPr>
        <w:t xml:space="preserve"> 属于承包人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关于承包人提供的上述文件的使用限制的要求：</w:t>
      </w:r>
      <w:r>
        <w:rPr>
          <w:rFonts w:hint="eastAsia" w:ascii="宋体" w:hAnsi="宋体" w:eastAsia="宋体"/>
          <w:color w:val="auto"/>
          <w:sz w:val="21"/>
          <w:szCs w:val="21"/>
          <w:highlight w:val="none"/>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1.11.4 承包人在施工过程中所采用的专利、专有技术、技术秘密的使用费的承担方式：</w:t>
      </w:r>
      <w:r>
        <w:rPr>
          <w:rFonts w:hint="eastAsia" w:ascii="宋体" w:hAnsi="宋体" w:eastAsia="宋体"/>
          <w:color w:val="auto"/>
          <w:sz w:val="21"/>
          <w:szCs w:val="21"/>
          <w:highlight w:val="none"/>
          <w:u w:val="single"/>
        </w:rPr>
        <w:t xml:space="preserve">承包人在合同签订前和签订时已确定采用的专利、专有技术、技术秘密的使用费已包含在签约合同价中。（由承包人承担）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95" w:name="_Toc389065267"/>
      <w:bookmarkEnd w:id="195"/>
      <w:bookmarkStart w:id="196" w:name="_Toc373478348"/>
      <w:bookmarkEnd w:id="196"/>
      <w:bookmarkStart w:id="197" w:name="_Toc23074"/>
      <w:bookmarkEnd w:id="197"/>
      <w:bookmarkStart w:id="198" w:name="_Toc373227701"/>
      <w:bookmarkEnd w:id="198"/>
      <w:bookmarkStart w:id="199" w:name="_Toc242"/>
      <w:bookmarkStart w:id="200" w:name="_Toc17974"/>
      <w:bookmarkStart w:id="201" w:name="_Toc21453"/>
      <w:r>
        <w:rPr>
          <w:rFonts w:hint="eastAsia" w:ascii="宋体" w:hAnsi="宋体" w:eastAsia="宋体"/>
          <w:color w:val="auto"/>
          <w:sz w:val="21"/>
          <w:szCs w:val="21"/>
          <w:highlight w:val="none"/>
        </w:rPr>
        <w:t>1.13工程量清单错误的修正</w:t>
      </w:r>
      <w:bookmarkEnd w:id="199"/>
      <w:bookmarkEnd w:id="200"/>
      <w:bookmarkEnd w:id="201"/>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出现工程量清单工程量偏差时，是否调整合同价格：</w:t>
      </w:r>
      <w:r>
        <w:rPr>
          <w:rFonts w:hint="eastAsia" w:ascii="宋体" w:hAnsi="宋体" w:eastAsia="宋体"/>
          <w:color w:val="auto"/>
          <w:sz w:val="21"/>
          <w:szCs w:val="21"/>
          <w:highlight w:val="none"/>
          <w:u w:val="single"/>
        </w:rPr>
        <w:t xml:space="preserve">□是     </w:t>
      </w:r>
      <w:r>
        <w:rPr>
          <w:rFonts w:hint="eastAsia" w:ascii="宋体" w:hAnsi="宋体" w:eastAsia="宋体"/>
          <w:color w:val="auto"/>
          <w:sz w:val="21"/>
          <w:szCs w:val="21"/>
          <w:highlight w:val="none"/>
          <w:u w:val="single"/>
        </w:rPr>
        <w:sym w:font="Wingdings 2" w:char="0052"/>
      </w:r>
      <w:r>
        <w:rPr>
          <w:rFonts w:hint="eastAsia" w:ascii="宋体" w:hAnsi="宋体" w:eastAsia="宋体"/>
          <w:color w:val="auto"/>
          <w:sz w:val="21"/>
          <w:szCs w:val="21"/>
          <w:highlight w:val="none"/>
          <w:u w:val="single"/>
        </w:rPr>
        <w:t>否</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允许调整合同价格的工程量偏差范围及其调整办法：</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u w:val="single"/>
        </w:rPr>
        <w:t xml:space="preserve"> 除严重不平衡报价外，无论分部分项工程量清单项目中的工程量变化多少均不调整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u w:val="single"/>
        </w:rPr>
        <w:t>承包人实际完成的某单项清单项目工程量与招标工程量清单工程量偏差超过    %且该单项清单造价超过合同总价  %以上的，超过后增加部分工程量或减少后剩余部分工程量的综合单价按以下方法调整：                                    。</w:t>
      </w:r>
    </w:p>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202" w:name="_Toc389065268"/>
      <w:bookmarkEnd w:id="202"/>
      <w:bookmarkStart w:id="203" w:name="_Toc373478349"/>
      <w:bookmarkEnd w:id="203"/>
      <w:bookmarkStart w:id="204" w:name="_Toc351203634"/>
      <w:bookmarkEnd w:id="204"/>
      <w:bookmarkStart w:id="205" w:name="_Toc9409"/>
      <w:bookmarkEnd w:id="205"/>
      <w:bookmarkStart w:id="206" w:name="_Toc373227702"/>
      <w:bookmarkEnd w:id="206"/>
      <w:bookmarkStart w:id="207" w:name="_Toc20458"/>
      <w:bookmarkStart w:id="208" w:name="_Toc14851"/>
      <w:bookmarkStart w:id="209" w:name="_Toc6159"/>
      <w:bookmarkStart w:id="210" w:name="_Toc296891197"/>
      <w:bookmarkStart w:id="211" w:name="_Toc296346658"/>
      <w:bookmarkStart w:id="212" w:name="_Toc296890985"/>
      <w:bookmarkStart w:id="213" w:name="_Toc297120457"/>
      <w:bookmarkStart w:id="214" w:name="_Toc296503157"/>
      <w:bookmarkStart w:id="215" w:name="_Toc296347156"/>
      <w:bookmarkStart w:id="216" w:name="_Toc292559362"/>
      <w:bookmarkStart w:id="217" w:name="_Toc297048343"/>
      <w:bookmarkStart w:id="218" w:name="_Toc296944496"/>
      <w:bookmarkStart w:id="219" w:name="_Toc292559867"/>
      <w:r>
        <w:rPr>
          <w:rFonts w:hint="eastAsia" w:ascii="宋体" w:hAnsi="宋体" w:eastAsia="宋体"/>
          <w:color w:val="auto"/>
          <w:sz w:val="21"/>
          <w:szCs w:val="21"/>
          <w:highlight w:val="none"/>
        </w:rPr>
        <w:t>2. 发包人</w:t>
      </w:r>
      <w:bookmarkEnd w:id="207"/>
      <w:bookmarkEnd w:id="208"/>
      <w:bookmarkEnd w:id="209"/>
    </w:p>
    <w:bookmarkEnd w:id="210"/>
    <w:bookmarkEnd w:id="211"/>
    <w:bookmarkEnd w:id="212"/>
    <w:bookmarkEnd w:id="213"/>
    <w:bookmarkEnd w:id="214"/>
    <w:bookmarkEnd w:id="215"/>
    <w:bookmarkEnd w:id="216"/>
    <w:bookmarkEnd w:id="217"/>
    <w:bookmarkEnd w:id="218"/>
    <w:bookmarkEnd w:id="219"/>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220" w:name="_Toc373227703"/>
      <w:bookmarkEnd w:id="220"/>
      <w:bookmarkStart w:id="221" w:name="_Toc373478350"/>
      <w:bookmarkEnd w:id="221"/>
      <w:bookmarkStart w:id="222" w:name="_Toc28751"/>
      <w:bookmarkEnd w:id="222"/>
      <w:bookmarkStart w:id="223" w:name="_Toc389065269"/>
      <w:bookmarkEnd w:id="223"/>
      <w:bookmarkStart w:id="224" w:name="_Toc24787"/>
      <w:bookmarkStart w:id="225" w:name="_Toc31863"/>
      <w:bookmarkStart w:id="226" w:name="_Toc2239"/>
      <w:r>
        <w:rPr>
          <w:rFonts w:hint="eastAsia" w:ascii="宋体" w:hAnsi="宋体" w:eastAsia="宋体"/>
          <w:color w:val="auto"/>
          <w:sz w:val="21"/>
          <w:szCs w:val="21"/>
          <w:highlight w:val="none"/>
        </w:rPr>
        <w:t>2.2 发包人代表</w:t>
      </w:r>
      <w:bookmarkEnd w:id="224"/>
      <w:bookmarkEnd w:id="225"/>
      <w:bookmarkEnd w:id="226"/>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发包人代表：</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姓    名：</w:t>
      </w:r>
      <w:r>
        <w:rPr>
          <w:rFonts w:hint="eastAsia" w:ascii="宋体" w:hAnsi="宋体" w:eastAsia="宋体"/>
          <w:color w:val="auto"/>
          <w:sz w:val="21"/>
          <w:szCs w:val="21"/>
          <w:highlight w:val="none"/>
          <w:u w:val="single"/>
        </w:rPr>
        <w:t>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身份证号：</w:t>
      </w:r>
      <w:r>
        <w:rPr>
          <w:rFonts w:hint="eastAsia" w:ascii="宋体" w:hAnsi="宋体" w:eastAsia="宋体"/>
          <w:color w:val="auto"/>
          <w:sz w:val="21"/>
          <w:szCs w:val="21"/>
          <w:highlight w:val="none"/>
          <w:u w:val="single"/>
        </w:rPr>
        <w:t>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职    务：</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u w:val="single"/>
        </w:rPr>
        <w:t>  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电子信箱：</w:t>
      </w:r>
      <w:r>
        <w:rPr>
          <w:rFonts w:hint="eastAsia" w:ascii="宋体" w:hAnsi="宋体" w:eastAsia="宋体"/>
          <w:color w:val="auto"/>
          <w:sz w:val="21"/>
          <w:szCs w:val="21"/>
          <w:highlight w:val="none"/>
          <w:u w:val="single"/>
        </w:rPr>
        <w:t>  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通信地址：</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发包人对发包人代表的授权范围如下：</w:t>
      </w:r>
      <w:r>
        <w:rPr>
          <w:rFonts w:hint="eastAsia" w:ascii="宋体" w:hAnsi="宋体" w:eastAsia="宋体"/>
          <w:color w:val="auto"/>
          <w:sz w:val="21"/>
          <w:szCs w:val="21"/>
          <w:highlight w:val="none"/>
          <w:u w:val="single"/>
        </w:rPr>
        <w:t>负责处理合同履行过程中与发包人有关的事宜：对本工程质量、工期、进度、安全、文明施工及材料和设备进场进行监督检查；对涉及工期延长、设计变更、现场收方及签证、已完工程量报告、竣工结算报告等影响工程造价的相关事项作出处理；办理中间交工、工程验收手续；审核工程进度报表、督促监理工程师行使职权以及协调施工现场各方面的关系</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227" w:name="_Toc373478351"/>
      <w:bookmarkEnd w:id="227"/>
      <w:bookmarkStart w:id="228" w:name="_Toc4499"/>
      <w:bookmarkEnd w:id="228"/>
      <w:bookmarkStart w:id="229" w:name="_Toc389065270"/>
      <w:bookmarkEnd w:id="229"/>
      <w:bookmarkStart w:id="230" w:name="_Toc373227704"/>
      <w:bookmarkEnd w:id="230"/>
      <w:bookmarkStart w:id="231" w:name="_Toc28869"/>
      <w:bookmarkStart w:id="232" w:name="_Toc18941"/>
      <w:bookmarkStart w:id="233" w:name="_Toc13449"/>
      <w:r>
        <w:rPr>
          <w:rFonts w:hint="eastAsia" w:ascii="宋体" w:hAnsi="宋体" w:eastAsia="宋体"/>
          <w:color w:val="auto"/>
          <w:sz w:val="21"/>
          <w:szCs w:val="21"/>
          <w:highlight w:val="none"/>
        </w:rPr>
        <w:t>2.4 施工现场、施工条件和基础资料的提供</w:t>
      </w:r>
      <w:bookmarkEnd w:id="231"/>
      <w:bookmarkEnd w:id="232"/>
      <w:bookmarkEnd w:id="233"/>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2.4.1 提供施工现场</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关于发包人移交施工现场的期限要求：</w:t>
      </w:r>
      <w:r>
        <w:rPr>
          <w:rFonts w:hint="eastAsia" w:ascii="宋体" w:hAnsi="宋体" w:eastAsia="宋体"/>
          <w:color w:val="auto"/>
          <w:sz w:val="21"/>
          <w:szCs w:val="21"/>
          <w:highlight w:val="none"/>
          <w:u w:val="single"/>
        </w:rPr>
        <w:t xml:space="preserve">无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2.4.2 提供施工条件</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关于发包人应负责提供施工所需要的条件，包括：</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234" w:name="_Toc20337"/>
      <w:bookmarkEnd w:id="234"/>
      <w:bookmarkStart w:id="235" w:name="_Toc373227705"/>
      <w:bookmarkEnd w:id="235"/>
      <w:bookmarkStart w:id="236" w:name="_Toc373478352"/>
      <w:bookmarkEnd w:id="236"/>
      <w:bookmarkStart w:id="237" w:name="_Toc389065271"/>
      <w:bookmarkEnd w:id="237"/>
      <w:bookmarkStart w:id="238" w:name="_Toc6093"/>
      <w:bookmarkStart w:id="239" w:name="_Toc30686"/>
      <w:bookmarkStart w:id="240" w:name="_Toc24876"/>
      <w:r>
        <w:rPr>
          <w:rFonts w:hint="eastAsia" w:ascii="宋体" w:hAnsi="宋体" w:eastAsia="宋体"/>
          <w:color w:val="auto"/>
          <w:sz w:val="21"/>
          <w:szCs w:val="21"/>
          <w:highlight w:val="none"/>
        </w:rPr>
        <w:t>2.5 资金来源证明及支付担保</w:t>
      </w:r>
      <w:bookmarkEnd w:id="238"/>
      <w:bookmarkEnd w:id="239"/>
      <w:bookmarkEnd w:id="240"/>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发包人提供资金来源证明的期限要求：</w:t>
      </w:r>
      <w:r>
        <w:rPr>
          <w:rFonts w:hint="eastAsia" w:ascii="宋体" w:hAnsi="宋体" w:eastAsia="宋体"/>
          <w:color w:val="auto"/>
          <w:sz w:val="21"/>
          <w:szCs w:val="21"/>
          <w:highlight w:val="none"/>
          <w:u w:val="single"/>
        </w:rPr>
        <w:t xml:space="preserve">无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发包人是否提供支付担保：</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val="en-US" w:eastAsia="zh-CN"/>
        </w:rPr>
        <w:t>否</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发包人提供支付担保的形式：</w:t>
      </w:r>
      <w:r>
        <w:rPr>
          <w:rFonts w:hint="eastAsia" w:ascii="宋体" w:hAnsi="宋体" w:eastAsia="宋体"/>
          <w:color w:val="auto"/>
          <w:sz w:val="21"/>
          <w:szCs w:val="21"/>
          <w:highlight w:val="none"/>
          <w:u w:val="single"/>
        </w:rPr>
        <w:t>无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发包人提供的支付担保格式见合同附件9。</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u w:val="single"/>
        </w:rPr>
      </w:pPr>
    </w:p>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241" w:name="_Toc389065272"/>
      <w:bookmarkEnd w:id="241"/>
      <w:bookmarkStart w:id="242" w:name="_Toc373478353"/>
      <w:bookmarkEnd w:id="242"/>
      <w:bookmarkStart w:id="243" w:name="_Toc373227706"/>
      <w:bookmarkEnd w:id="243"/>
      <w:bookmarkStart w:id="244" w:name="_Toc26761"/>
      <w:bookmarkEnd w:id="244"/>
      <w:bookmarkStart w:id="245" w:name="_Toc351203635"/>
      <w:bookmarkEnd w:id="245"/>
      <w:bookmarkStart w:id="246" w:name="_Toc22925"/>
      <w:bookmarkStart w:id="247" w:name="_Toc27532"/>
      <w:bookmarkStart w:id="248" w:name="_Toc13941"/>
      <w:bookmarkStart w:id="249" w:name="_Toc296503158"/>
      <w:bookmarkStart w:id="250" w:name="_Toc297120458"/>
      <w:bookmarkStart w:id="251" w:name="_Toc296890986"/>
      <w:bookmarkStart w:id="252" w:name="_Toc296891198"/>
      <w:bookmarkStart w:id="253" w:name="_Toc296347157"/>
      <w:bookmarkStart w:id="254" w:name="_Toc296944497"/>
      <w:bookmarkStart w:id="255" w:name="_Toc292559868"/>
      <w:bookmarkStart w:id="256" w:name="_Toc296346659"/>
      <w:bookmarkStart w:id="257" w:name="_Toc292559363"/>
      <w:bookmarkStart w:id="258" w:name="_Toc297048344"/>
      <w:r>
        <w:rPr>
          <w:rFonts w:hint="eastAsia" w:ascii="宋体" w:hAnsi="宋体" w:eastAsia="宋体"/>
          <w:color w:val="auto"/>
          <w:sz w:val="21"/>
          <w:szCs w:val="21"/>
          <w:highlight w:val="none"/>
        </w:rPr>
        <w:t>3. 承包人</w:t>
      </w:r>
      <w:bookmarkEnd w:id="246"/>
      <w:bookmarkEnd w:id="247"/>
      <w:bookmarkEnd w:id="248"/>
    </w:p>
    <w:bookmarkEnd w:id="249"/>
    <w:bookmarkEnd w:id="250"/>
    <w:bookmarkEnd w:id="251"/>
    <w:bookmarkEnd w:id="252"/>
    <w:bookmarkEnd w:id="253"/>
    <w:bookmarkEnd w:id="254"/>
    <w:bookmarkEnd w:id="255"/>
    <w:bookmarkEnd w:id="256"/>
    <w:bookmarkEnd w:id="257"/>
    <w:bookmarkEnd w:id="258"/>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259" w:name="_Toc373227707"/>
      <w:bookmarkEnd w:id="259"/>
      <w:bookmarkStart w:id="260" w:name="_Toc373478354"/>
      <w:bookmarkEnd w:id="260"/>
      <w:bookmarkStart w:id="261" w:name="_Toc15899"/>
      <w:bookmarkEnd w:id="261"/>
      <w:bookmarkStart w:id="262" w:name="_Toc389065273"/>
      <w:bookmarkEnd w:id="262"/>
      <w:bookmarkStart w:id="263" w:name="_Toc13143"/>
      <w:bookmarkStart w:id="264" w:name="_Toc22481"/>
      <w:bookmarkStart w:id="265" w:name="_Toc11326"/>
      <w:r>
        <w:rPr>
          <w:rFonts w:hint="eastAsia" w:ascii="宋体" w:hAnsi="宋体" w:eastAsia="宋体"/>
          <w:color w:val="auto"/>
          <w:sz w:val="21"/>
          <w:szCs w:val="21"/>
          <w:highlight w:val="none"/>
        </w:rPr>
        <w:t>3.1 承包人的一般义务</w:t>
      </w:r>
      <w:bookmarkEnd w:id="263"/>
      <w:bookmarkEnd w:id="264"/>
      <w:bookmarkEnd w:id="265"/>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（9）承包人提交的竣工资料的内容：</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u w:val="single"/>
        </w:rPr>
        <w:t xml:space="preserve">  按照法律规定和合同约定编制的竣工资料，符合工程所在地建设行政主管部门和（或）城市建设档案管理机构有关施工资料的要求，并立卷及归档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承包人需要提交的竣工资料套数：</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壹式</w:t>
      </w:r>
      <w:r>
        <w:rPr>
          <w:rFonts w:hint="eastAsia" w:ascii="宋体" w:hAnsi="宋体" w:eastAsia="宋体"/>
          <w:color w:val="auto"/>
          <w:sz w:val="21"/>
          <w:szCs w:val="21"/>
          <w:highlight w:val="none"/>
          <w:u w:val="single"/>
        </w:rPr>
        <w:t xml:space="preserve">肆套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left="424" w:leftChars="202"/>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承包人提交的竣工资料的费用承担：</w:t>
      </w:r>
      <w:r>
        <w:rPr>
          <w:rFonts w:hint="eastAsia" w:ascii="宋体" w:hAnsi="宋体" w:eastAsia="宋体"/>
          <w:color w:val="auto"/>
          <w:sz w:val="21"/>
          <w:szCs w:val="21"/>
          <w:highlight w:val="none"/>
          <w:u w:val="single"/>
        </w:rPr>
        <w:t xml:space="preserve">  由承包人承担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left="424" w:leftChars="202"/>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承包人提交的竣工资料移交时间：</w:t>
      </w:r>
      <w:r>
        <w:rPr>
          <w:rFonts w:hint="eastAsia" w:ascii="宋体" w:hAnsi="宋体" w:eastAsia="宋体"/>
          <w:color w:val="auto"/>
          <w:sz w:val="21"/>
          <w:szCs w:val="21"/>
          <w:highlight w:val="none"/>
          <w:u w:val="single"/>
        </w:rPr>
        <w:t xml:space="preserve">  经过验收合格后</w:t>
      </w:r>
      <w:r>
        <w:rPr>
          <w:rFonts w:hint="eastAsia" w:ascii="宋体" w:hAnsi="宋体" w:eastAsia="宋体"/>
          <w:color w:val="auto"/>
          <w:sz w:val="21"/>
          <w:szCs w:val="21"/>
          <w:highlight w:val="none"/>
          <w:u w:val="single"/>
          <w:lang w:val="en-US" w:eastAsia="zh-CN"/>
        </w:rPr>
        <w:t>30日历天</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承包人提交的竣工资料形式要求：</w:t>
      </w:r>
      <w:r>
        <w:rPr>
          <w:rFonts w:hint="eastAsia" w:ascii="宋体" w:hAnsi="宋体" w:eastAsia="宋体"/>
          <w:color w:val="auto"/>
          <w:sz w:val="21"/>
          <w:szCs w:val="21"/>
          <w:highlight w:val="none"/>
          <w:u w:val="single"/>
        </w:rPr>
        <w:t xml:space="preserve">  书面及电子文档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left="424" w:leftChars="202"/>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（10）承包人应履行的其他义务：</w:t>
      </w:r>
    </w:p>
    <w:p>
      <w:pPr>
        <w:pageBreakBefore w:val="0"/>
        <w:kinsoku/>
        <w:overflowPunct/>
        <w:topLinePunct w:val="0"/>
        <w:bidi w:val="0"/>
        <w:spacing w:line="360" w:lineRule="auto"/>
        <w:ind w:left="424" w:leftChars="202"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266" w:name="_Toc373227708"/>
      <w:bookmarkEnd w:id="266"/>
      <w:bookmarkStart w:id="267" w:name="_Toc20483"/>
      <w:bookmarkEnd w:id="267"/>
      <w:bookmarkStart w:id="268" w:name="_Toc373478355"/>
      <w:bookmarkEnd w:id="268"/>
      <w:bookmarkStart w:id="269" w:name="_Toc389065274"/>
      <w:bookmarkEnd w:id="269"/>
      <w:bookmarkStart w:id="270" w:name="_Toc25546"/>
      <w:bookmarkStart w:id="271" w:name="_Toc4613"/>
      <w:bookmarkStart w:id="272" w:name="_Toc7141"/>
      <w:r>
        <w:rPr>
          <w:rFonts w:hint="eastAsia" w:ascii="宋体" w:hAnsi="宋体" w:eastAsia="宋体"/>
          <w:color w:val="auto"/>
          <w:sz w:val="21"/>
          <w:szCs w:val="21"/>
          <w:highlight w:val="none"/>
        </w:rPr>
        <w:t>3.2 项目经理</w:t>
      </w:r>
      <w:bookmarkEnd w:id="270"/>
      <w:bookmarkEnd w:id="271"/>
      <w:bookmarkEnd w:id="272"/>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3.2.1 项目经理：</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姓    名：</w:t>
      </w:r>
      <w:r>
        <w:rPr>
          <w:rFonts w:hint="eastAsia" w:ascii="宋体" w:hAnsi="宋体" w:eastAsia="宋体"/>
          <w:color w:val="auto"/>
          <w:sz w:val="21"/>
          <w:szCs w:val="21"/>
          <w:highlight w:val="none"/>
          <w:u w:val="single"/>
        </w:rPr>
        <w:t>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身份证号：</w:t>
      </w:r>
      <w:r>
        <w:rPr>
          <w:rFonts w:hint="eastAsia" w:ascii="宋体" w:hAnsi="宋体" w:eastAsia="宋体"/>
          <w:color w:val="auto"/>
          <w:sz w:val="21"/>
          <w:szCs w:val="21"/>
          <w:highlight w:val="none"/>
          <w:u w:val="single"/>
        </w:rPr>
        <w:t>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建造师执业资格等级：</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建造师注册证书号：</w:t>
      </w:r>
      <w:r>
        <w:rPr>
          <w:rFonts w:hint="eastAsia" w:ascii="宋体" w:hAnsi="宋体" w:eastAsia="宋体"/>
          <w:color w:val="auto"/>
          <w:sz w:val="21"/>
          <w:szCs w:val="21"/>
          <w:highlight w:val="none"/>
          <w:u w:val="single"/>
        </w:rPr>
        <w:t>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建造师执业印章号：</w:t>
      </w:r>
      <w:r>
        <w:rPr>
          <w:rFonts w:hint="eastAsia" w:ascii="宋体" w:hAnsi="宋体" w:eastAsia="宋体"/>
          <w:color w:val="auto"/>
          <w:sz w:val="21"/>
          <w:szCs w:val="21"/>
          <w:highlight w:val="none"/>
          <w:u w:val="single"/>
        </w:rPr>
        <w:t>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安全生产考核合格证书号：</w:t>
      </w:r>
      <w:r>
        <w:rPr>
          <w:rFonts w:hint="eastAsia" w:ascii="宋体" w:hAnsi="宋体" w:eastAsia="宋体"/>
          <w:color w:val="auto"/>
          <w:sz w:val="21"/>
          <w:szCs w:val="21"/>
          <w:highlight w:val="none"/>
          <w:u w:val="single"/>
        </w:rPr>
        <w:t>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u w:val="single"/>
        </w:rPr>
        <w:t>  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电子信箱：</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通信地址：</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承包人对项目经理的授权范围如下：  </w:t>
      </w:r>
      <w:r>
        <w:rPr>
          <w:rFonts w:hint="eastAsia" w:ascii="宋体" w:hAnsi="宋体" w:eastAsia="宋体"/>
          <w:color w:val="auto"/>
          <w:sz w:val="21"/>
          <w:szCs w:val="21"/>
          <w:highlight w:val="none"/>
          <w:u w:val="single"/>
        </w:rPr>
        <w:t xml:space="preserve">  全面负责施工前期准备和施工过程中的安全、质量、进度管理及相关技术文件的确认。项目经理和项目部管理人员未经承包人书面授权及委托的不得以承包人名义向外赊购材料、借款、租用建筑周转材料、雇佣劳动力、签订分包合同等一切为承包人创设债权或债务的行为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关于项目经理每月在施工现场的时间要求：</w:t>
      </w:r>
      <w:r>
        <w:rPr>
          <w:rFonts w:hint="eastAsia" w:ascii="宋体" w:hAnsi="宋体" w:eastAsia="宋体"/>
          <w:color w:val="auto"/>
          <w:sz w:val="21"/>
          <w:szCs w:val="21"/>
          <w:highlight w:val="none"/>
          <w:u w:val="single"/>
        </w:rPr>
        <w:t xml:space="preserve"> 不得少于施工时间的80%</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承包人未提交劳动合同，以及没有为项目经理缴纳社会保险证明的违约责任：</w:t>
      </w:r>
    </w:p>
    <w:p>
      <w:pPr>
        <w:pageBreakBefore w:val="0"/>
        <w:kinsoku/>
        <w:overflowPunct/>
        <w:topLinePunct w:val="0"/>
        <w:bidi w:val="0"/>
        <w:spacing w:line="360" w:lineRule="auto"/>
        <w:outlineLvl w:val="9"/>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u w:val="single"/>
        </w:rPr>
        <w:t xml:space="preserve">承包人应向发包人支付 5 万元的违约金，发包人有权责令承包人限期提交劳动合同并补缴社会保险，如逾期不提交劳动合同或不补缴社会保险的，视为承包人违约，承包人应从发包人责令其提交合同或补缴社会保险（以先出现的时间为准）之日起，按 10000 元/天的标准向发包人支付违约金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项目经理未经批准，擅自离开施工现场的违约责任：</w:t>
      </w:r>
      <w:r>
        <w:rPr>
          <w:rFonts w:hint="eastAsia" w:ascii="宋体" w:hAnsi="宋体" w:eastAsia="宋体"/>
          <w:color w:val="auto"/>
          <w:sz w:val="21"/>
          <w:szCs w:val="21"/>
          <w:highlight w:val="none"/>
          <w:u w:val="single"/>
        </w:rPr>
        <w:t xml:space="preserve">项目经理每月在岗带班时间不得少于当月施工时间的80%。未经发包人同意或正当理由，项目经理每月在岗带班时间少于当月施工时间80%的，少在岗带班一天，发包人有权处违约金 </w:t>
      </w:r>
      <w:r>
        <w:rPr>
          <w:rFonts w:hint="eastAsia" w:ascii="宋体" w:hAnsi="宋体" w:eastAsia="宋体"/>
          <w:color w:val="auto"/>
          <w:sz w:val="21"/>
          <w:szCs w:val="21"/>
          <w:highlight w:val="none"/>
          <w:u w:val="single"/>
          <w:lang w:val="en-US" w:eastAsia="zh-CN"/>
        </w:rPr>
        <w:t>500.00</w:t>
      </w:r>
      <w:r>
        <w:rPr>
          <w:rFonts w:hint="eastAsia" w:ascii="宋体" w:hAnsi="宋体" w:eastAsia="宋体"/>
          <w:color w:val="auto"/>
          <w:sz w:val="21"/>
          <w:szCs w:val="21"/>
          <w:highlight w:val="none"/>
          <w:u w:val="single"/>
        </w:rPr>
        <w:t xml:space="preserve"> 元/日（人民币）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3.2.3 承包人擅自更换项目经理的违约责任：</w:t>
      </w:r>
      <w:r>
        <w:rPr>
          <w:rFonts w:hint="eastAsia" w:ascii="宋体" w:hAnsi="宋体" w:eastAsia="宋体"/>
          <w:color w:val="auto"/>
          <w:sz w:val="21"/>
          <w:szCs w:val="21"/>
          <w:highlight w:val="none"/>
          <w:u w:val="single"/>
        </w:rPr>
        <w:t>承包人项目经理必须与承包人投标时所承诺的人员一致，并在（开工日期）  前到任。在监理人向承包人颁发竣工验收合格证书（竣工证明材料名称）前，项目经理不得同时兼任其他任何项目的项目经理（符合桂建管﹝2013﹞17号和桂建管﹝2014﹞25号文除外）。未经发包人书面同意，承包人擅自更换项目经理的视为违约，发包人有权上报建设行政主管部门并报有关规规定处罚</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3.2.4 承包人无正当理由拒绝更换项目经理的违约责任：</w:t>
      </w:r>
      <w:r>
        <w:rPr>
          <w:rFonts w:hint="eastAsia" w:ascii="宋体" w:hAnsi="宋体" w:eastAsia="宋体"/>
          <w:color w:val="auto"/>
          <w:sz w:val="21"/>
          <w:szCs w:val="21"/>
          <w:highlight w:val="none"/>
          <w:u w:val="single"/>
        </w:rPr>
        <w:t>因承包人项目经理不称职，发包人要求调换而未及时调换的，视为承包人违约，发包人有权上报建设行政主管部门并报有关规规定处罚</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273" w:name="_Toc17124"/>
      <w:bookmarkEnd w:id="273"/>
      <w:bookmarkStart w:id="274" w:name="_Toc373478356"/>
      <w:bookmarkEnd w:id="274"/>
      <w:bookmarkStart w:id="275" w:name="_Toc373227709"/>
      <w:bookmarkEnd w:id="275"/>
      <w:bookmarkStart w:id="276" w:name="_Toc389065275"/>
      <w:bookmarkEnd w:id="276"/>
      <w:bookmarkStart w:id="277" w:name="_Toc17088"/>
      <w:bookmarkStart w:id="278" w:name="_Toc2091"/>
      <w:bookmarkStart w:id="279" w:name="_Toc26864"/>
      <w:r>
        <w:rPr>
          <w:rFonts w:hint="eastAsia" w:ascii="宋体" w:hAnsi="宋体" w:eastAsia="宋体"/>
          <w:color w:val="auto"/>
          <w:sz w:val="21"/>
          <w:szCs w:val="21"/>
          <w:highlight w:val="none"/>
        </w:rPr>
        <w:t>3.3 承包人人员</w:t>
      </w:r>
      <w:bookmarkEnd w:id="277"/>
      <w:bookmarkEnd w:id="278"/>
      <w:bookmarkEnd w:id="279"/>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3.3.1 承包人提交项目管理机构及施工现场管理人员安排报告（格式见合同附件5）的期限：</w:t>
      </w:r>
      <w:r>
        <w:rPr>
          <w:rFonts w:hint="eastAsia" w:ascii="宋体" w:hAnsi="宋体" w:eastAsia="宋体"/>
          <w:color w:val="auto"/>
          <w:sz w:val="21"/>
          <w:szCs w:val="21"/>
          <w:highlight w:val="none"/>
          <w:u w:val="single"/>
        </w:rPr>
        <w:t xml:space="preserve"> 拟投入本项目管理机构及施工现场管理人员必须与承包人投标时所承诺的人员一致，开工前</w:t>
      </w:r>
      <w:r>
        <w:rPr>
          <w:rFonts w:hint="eastAsia" w:ascii="宋体" w:hAnsi="宋体" w:eastAsia="宋体"/>
          <w:color w:val="auto"/>
          <w:sz w:val="21"/>
          <w:szCs w:val="21"/>
          <w:highlight w:val="none"/>
          <w:u w:val="single"/>
          <w:lang w:val="en-US" w:eastAsia="zh-CN"/>
        </w:rPr>
        <w:t>7个工作日</w:t>
      </w:r>
      <w:r>
        <w:rPr>
          <w:rFonts w:hint="eastAsia" w:ascii="宋体" w:hAnsi="宋体" w:eastAsia="宋体"/>
          <w:color w:val="auto"/>
          <w:sz w:val="21"/>
          <w:szCs w:val="21"/>
          <w:highlight w:val="none"/>
          <w:u w:val="single"/>
        </w:rPr>
        <w:t xml:space="preserve">提交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3.3.3 承包人无正当理由拒绝撤换主要施工管理人员的违约责任：</w:t>
      </w:r>
      <w:r>
        <w:rPr>
          <w:rFonts w:hint="eastAsia" w:ascii="宋体" w:hAnsi="宋体" w:eastAsia="宋体"/>
          <w:color w:val="auto"/>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ascii="宋体" w:hAnsi="宋体" w:eastAsia="宋体"/>
          <w:color w:val="auto"/>
          <w:sz w:val="21"/>
          <w:szCs w:val="21"/>
          <w:highlight w:val="none"/>
          <w:u w:val="single"/>
          <w:lang w:val="en-US" w:eastAsia="zh-CN"/>
        </w:rPr>
        <w:t>1000.00</w:t>
      </w:r>
      <w:r>
        <w:rPr>
          <w:rFonts w:hint="eastAsia" w:ascii="宋体" w:hAnsi="宋体" w:eastAsia="宋体"/>
          <w:color w:val="auto"/>
          <w:sz w:val="21"/>
          <w:szCs w:val="21"/>
          <w:highlight w:val="none"/>
          <w:u w:val="single"/>
        </w:rPr>
        <w:t>元/人•次（人民币）；专业工程师</w:t>
      </w:r>
      <w:r>
        <w:rPr>
          <w:rFonts w:hint="eastAsia" w:ascii="宋体" w:hAnsi="宋体" w:eastAsia="宋体"/>
          <w:color w:val="auto"/>
          <w:sz w:val="21"/>
          <w:szCs w:val="21"/>
          <w:highlight w:val="none"/>
          <w:u w:val="single"/>
          <w:lang w:val="en-US" w:eastAsia="zh-CN"/>
        </w:rPr>
        <w:t>800.00</w:t>
      </w:r>
      <w:r>
        <w:rPr>
          <w:rFonts w:hint="eastAsia" w:ascii="宋体" w:hAnsi="宋体" w:eastAsia="宋体"/>
          <w:color w:val="auto"/>
          <w:sz w:val="21"/>
          <w:szCs w:val="21"/>
          <w:highlight w:val="none"/>
          <w:u w:val="single"/>
        </w:rPr>
        <w:t>元/人•次（人民币）</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3.3.4 承包人主要施工管理人员离开施工现场的批准要求：</w:t>
      </w:r>
      <w:r>
        <w:rPr>
          <w:rFonts w:hint="eastAsia" w:ascii="宋体" w:hAnsi="宋体" w:eastAsia="宋体"/>
          <w:color w:val="auto"/>
          <w:sz w:val="21"/>
          <w:szCs w:val="21"/>
          <w:highlight w:val="none"/>
          <w:u w:val="single"/>
        </w:rPr>
        <w:t xml:space="preserve">  经项目业主批准同意方能离开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3.3.5 承包人擅自更换主要施工管理人员的违约责任：</w:t>
      </w:r>
      <w:r>
        <w:rPr>
          <w:rFonts w:hint="eastAsia" w:ascii="宋体" w:hAnsi="宋体" w:eastAsia="宋体"/>
          <w:color w:val="auto"/>
          <w:sz w:val="21"/>
          <w:szCs w:val="21"/>
          <w:highlight w:val="none"/>
          <w:u w:val="single"/>
        </w:rPr>
        <w:t>项目技术负责人、专职安全员及其承诺的其它在场管理人员未经发包人书面同意不准擅自更换，擅自更换项目技术负责人处10000元/人•次（人民币）违约金；擅自更换专职安全员处1000元/人•次（人民币）违约金；擅自更换其它在场管理人员处500元/人•次（人民币）违约金</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承包人主要施工管理人员擅自离开施工现场的违约责任：</w:t>
      </w:r>
      <w:r>
        <w:rPr>
          <w:rFonts w:hint="eastAsia" w:ascii="宋体" w:hAnsi="宋体" w:eastAsia="宋体"/>
          <w:color w:val="auto"/>
          <w:sz w:val="21"/>
          <w:szCs w:val="21"/>
          <w:highlight w:val="none"/>
          <w:u w:val="single"/>
        </w:rPr>
        <w:t>未经发包人同意，项目技术负责人擅自离岗的，视为承包人违约，发包人有权上报建设行政主管部门并报有关规规定处罚；未经发包人同意，专职安全员擅自离岗的，视为承包人违约，发包人有权上报建设行政主管部门并报有关规规定处罚；其它在场管理人员擅自离岗的，视为承包人违约，发包人有权上报建设行政主管部门并报有关规规定处罚</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280" w:name="_Toc373478357"/>
      <w:bookmarkEnd w:id="280"/>
      <w:bookmarkStart w:id="281" w:name="_Toc389065276"/>
      <w:bookmarkEnd w:id="281"/>
      <w:bookmarkStart w:id="282" w:name="_Toc373227710"/>
      <w:bookmarkEnd w:id="282"/>
      <w:bookmarkStart w:id="283" w:name="_Toc3880"/>
      <w:bookmarkEnd w:id="283"/>
      <w:bookmarkStart w:id="284" w:name="_Toc9212"/>
      <w:bookmarkStart w:id="285" w:name="_Toc27723"/>
      <w:bookmarkStart w:id="286" w:name="_Toc23100"/>
      <w:bookmarkStart w:id="287" w:name="_Toc292559364"/>
      <w:bookmarkStart w:id="288" w:name="_Toc296346660"/>
      <w:bookmarkStart w:id="289" w:name="_Toc312677988"/>
      <w:bookmarkStart w:id="290" w:name="_Toc297123492"/>
      <w:bookmarkStart w:id="291" w:name="_Toc296890987"/>
      <w:bookmarkStart w:id="292" w:name="_Toc297120459"/>
      <w:bookmarkStart w:id="293" w:name="_Toc297048345"/>
      <w:bookmarkStart w:id="294" w:name="_Toc300934945"/>
      <w:bookmarkStart w:id="295" w:name="_Toc292559869"/>
      <w:bookmarkStart w:id="296" w:name="_Toc297216151"/>
      <w:bookmarkStart w:id="297" w:name="_Toc296891199"/>
      <w:bookmarkStart w:id="298" w:name="_Toc304295523"/>
      <w:bookmarkStart w:id="299" w:name="_Toc303539102"/>
      <w:bookmarkStart w:id="300" w:name="_Toc296503159"/>
      <w:bookmarkStart w:id="301" w:name="_Toc296347158"/>
      <w:bookmarkStart w:id="302" w:name="_Toc296944498"/>
      <w:r>
        <w:rPr>
          <w:rFonts w:hint="eastAsia" w:ascii="宋体" w:hAnsi="宋体" w:eastAsia="宋体"/>
          <w:color w:val="auto"/>
          <w:sz w:val="21"/>
          <w:szCs w:val="21"/>
          <w:highlight w:val="none"/>
        </w:rPr>
        <w:t>3.5 分包</w:t>
      </w:r>
      <w:bookmarkEnd w:id="284"/>
      <w:bookmarkEnd w:id="285"/>
      <w:bookmarkEnd w:id="286"/>
    </w:p>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bookmarkStart w:id="303" w:name="_Toc318581158"/>
      <w:bookmarkStart w:id="304" w:name="_Toc296347159"/>
      <w:bookmarkStart w:id="305" w:name="_Toc297216152"/>
      <w:bookmarkStart w:id="306" w:name="_Toc296503160"/>
      <w:bookmarkStart w:id="307" w:name="_Toc297120460"/>
      <w:bookmarkStart w:id="308" w:name="_Toc312677989"/>
      <w:bookmarkStart w:id="309" w:name="_Toc296891200"/>
      <w:bookmarkStart w:id="310" w:name="_Toc296890988"/>
      <w:bookmarkStart w:id="311" w:name="_Toc292559365"/>
      <w:bookmarkStart w:id="312" w:name="_Toc296346661"/>
      <w:bookmarkStart w:id="313" w:name="_Toc304295524"/>
      <w:bookmarkStart w:id="314" w:name="_Toc303539103"/>
      <w:bookmarkStart w:id="315" w:name="_Toc296944499"/>
      <w:bookmarkStart w:id="316" w:name="_Toc297123493"/>
      <w:bookmarkStart w:id="317" w:name="_Toc300934946"/>
      <w:bookmarkStart w:id="318" w:name="_Toc292559870"/>
      <w:bookmarkStart w:id="319" w:name="_Toc297048346"/>
      <w:r>
        <w:rPr>
          <w:rFonts w:hint="eastAsia" w:ascii="宋体" w:hAnsi="宋体" w:eastAsia="宋体"/>
          <w:color w:val="auto"/>
          <w:sz w:val="21"/>
          <w:szCs w:val="21"/>
          <w:highlight w:val="none"/>
        </w:rPr>
        <w:t>3.5.1 分包的一般约定</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禁止分包的工程包括：</w:t>
      </w:r>
      <w:r>
        <w:rPr>
          <w:rFonts w:hint="eastAsia" w:ascii="宋体" w:hAnsi="宋体" w:eastAsia="宋体"/>
          <w:color w:val="auto"/>
          <w:sz w:val="21"/>
          <w:szCs w:val="21"/>
          <w:highlight w:val="none"/>
          <w:u w:val="single"/>
        </w:rPr>
        <w:t xml:space="preserve">本工程禁止分包   </w:t>
      </w:r>
      <w:r>
        <w:rPr>
          <w:rFonts w:hint="eastAsia" w:ascii="宋体" w:hAnsi="宋体" w:eastAsia="宋体"/>
          <w:color w:val="auto"/>
          <w:sz w:val="21"/>
          <w:szCs w:val="21"/>
          <w:highlight w:val="none"/>
        </w:rPr>
        <w:t>。</w:t>
      </w:r>
    </w:p>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主体结构、关键性工作的范围：</w:t>
      </w:r>
      <w:r>
        <w:rPr>
          <w:rFonts w:hint="eastAsia" w:ascii="宋体" w:hAnsi="宋体" w:eastAsia="宋体"/>
          <w:color w:val="auto"/>
          <w:sz w:val="21"/>
          <w:szCs w:val="21"/>
          <w:highlight w:val="none"/>
          <w:u w:val="single"/>
        </w:rPr>
        <w:t xml:space="preserve">本工程不允许违法分包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320" w:name="_Toc312677990"/>
      <w:bookmarkStart w:id="321" w:name="_Toc318581159"/>
      <w:r>
        <w:rPr>
          <w:rFonts w:hint="eastAsia" w:ascii="宋体" w:hAnsi="宋体" w:eastAsia="宋体"/>
          <w:color w:val="auto"/>
          <w:sz w:val="21"/>
          <w:szCs w:val="21"/>
          <w:highlight w:val="none"/>
        </w:rPr>
        <w:t>3.5.2 分包的确定</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允许分包的专业工程包括：</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val="en-US" w:eastAsia="zh-CN"/>
        </w:rPr>
        <w:t>/</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其他关于分包的约定：</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6。</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（2）在相关分包合同签订并报送有关建设行政主管部门备案后7天内，承包人应当将一份副本提交给监理人，承包人应保障分包工作不得再次分包。</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（3）未经承包人和监理人审批同意的分包工程和分包人，承包人有权拒绝验收分包工程和支付相应款项，由此引起的发包人费用增加和(或)延误的工期由发包人承担。</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（4）承包人有以下情况之一者，发包人有权解除合同：</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①个人承包工程，包括本人单位及外单位人员承包，发包人不承认其个人拥有任何资质等级及营业许可资格。</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②几个人联合承包工程，就地组织暗分包队伍，不具备完成本工程的技术、机械能力，被发包人判定为没有能力履行的承包人。</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③就地转包全部的工程，以谋取高额转让费、管理费的承包人。</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④承包人有部分分包现象（其中包括冒充承包人下属单位的挂勾单位，凭口头协议参与施工的分包人及其他暗分包个体户），一经发现核实，发包人将采取驱逐该暗分包人措施。</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3.5.4 分包合同价款</w:t>
      </w:r>
    </w:p>
    <w:bookmarkEnd w:id="320"/>
    <w:bookmarkEnd w:id="321"/>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bookmarkStart w:id="322" w:name="_Toc373478358"/>
      <w:bookmarkStart w:id="323" w:name="_Toc389065277"/>
      <w:bookmarkStart w:id="324" w:name="_Toc373227711"/>
      <w:r>
        <w:rPr>
          <w:rFonts w:hint="eastAsia" w:ascii="宋体" w:hAnsi="宋体" w:eastAsia="宋体"/>
          <w:color w:val="auto"/>
          <w:sz w:val="21"/>
          <w:szCs w:val="21"/>
          <w:highlight w:val="none"/>
        </w:rPr>
        <w:t>关于分包合同价款支付的约定：</w:t>
      </w:r>
      <w:r>
        <w:rPr>
          <w:rFonts w:hint="eastAsia" w:ascii="宋体" w:hAnsi="宋体" w:eastAsia="宋体"/>
          <w:color w:val="auto"/>
          <w:sz w:val="21"/>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bookmarkEnd w:id="322"/>
    <w:bookmarkEnd w:id="323"/>
    <w:bookmarkEnd w:id="324"/>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325" w:name="_Toc8082"/>
      <w:bookmarkEnd w:id="325"/>
      <w:bookmarkStart w:id="326" w:name="_Toc14267"/>
      <w:bookmarkStart w:id="327" w:name="_Toc12716"/>
      <w:bookmarkStart w:id="328" w:name="_Toc13523"/>
      <w:r>
        <w:rPr>
          <w:rFonts w:hint="eastAsia" w:ascii="宋体" w:hAnsi="宋体" w:eastAsia="宋体"/>
          <w:color w:val="auto"/>
          <w:sz w:val="21"/>
          <w:szCs w:val="21"/>
          <w:highlight w:val="none"/>
        </w:rPr>
        <w:t>3.6 工程照管与成品、半成品保护</w:t>
      </w:r>
      <w:bookmarkEnd w:id="326"/>
      <w:bookmarkEnd w:id="327"/>
      <w:bookmarkEnd w:id="328"/>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承包人负责照管工程及工程相关的材料、工程设备的起始时间：</w:t>
      </w:r>
      <w:r>
        <w:rPr>
          <w:rFonts w:hint="eastAsia" w:ascii="宋体" w:hAnsi="宋体" w:eastAsia="宋体"/>
          <w:color w:val="auto"/>
          <w:sz w:val="21"/>
          <w:szCs w:val="21"/>
          <w:highlight w:val="none"/>
          <w:u w:val="single"/>
        </w:rPr>
        <w:t xml:space="preserve">  签订合同之日起，完成工程移交之日止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329" w:name="_Toc373478359"/>
      <w:bookmarkEnd w:id="329"/>
      <w:bookmarkStart w:id="330" w:name="_Toc389065278"/>
      <w:bookmarkEnd w:id="330"/>
      <w:bookmarkStart w:id="331" w:name="_Toc8926"/>
      <w:bookmarkEnd w:id="331"/>
      <w:bookmarkStart w:id="332" w:name="_Toc373227712"/>
      <w:bookmarkEnd w:id="332"/>
      <w:bookmarkStart w:id="333" w:name="_Toc4453"/>
      <w:bookmarkStart w:id="334" w:name="_Toc6917"/>
      <w:bookmarkStart w:id="335" w:name="_Toc625"/>
      <w:r>
        <w:rPr>
          <w:rFonts w:hint="eastAsia" w:ascii="宋体" w:hAnsi="宋体" w:eastAsia="宋体"/>
          <w:color w:val="auto"/>
          <w:sz w:val="21"/>
          <w:szCs w:val="21"/>
          <w:highlight w:val="none"/>
        </w:rPr>
        <w:t>3.7 履约保证金</w:t>
      </w:r>
      <w:bookmarkEnd w:id="333"/>
      <w:bookmarkEnd w:id="334"/>
      <w:bookmarkEnd w:id="335"/>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bookmarkStart w:id="336" w:name="_Toc373478360"/>
      <w:bookmarkStart w:id="337" w:name="_Toc351203636"/>
      <w:bookmarkStart w:id="338" w:name="_Toc373227713"/>
      <w:bookmarkStart w:id="339" w:name="_Toc389065279"/>
      <w:r>
        <w:rPr>
          <w:rFonts w:hint="eastAsia" w:ascii="宋体" w:hAnsi="宋体" w:eastAsia="宋体"/>
          <w:color w:val="auto"/>
          <w:sz w:val="21"/>
          <w:szCs w:val="21"/>
          <w:highlight w:val="none"/>
        </w:rPr>
        <w:t>承包人提供履约担保的形式、金额及期限的：</w:t>
      </w:r>
      <w:r>
        <w:rPr>
          <w:rFonts w:hint="eastAsia" w:ascii="宋体" w:hAnsi="宋体" w:eastAsia="宋体"/>
          <w:color w:val="auto"/>
          <w:sz w:val="21"/>
          <w:szCs w:val="21"/>
          <w:highlight w:val="none"/>
          <w:lang w:val="en-US" w:eastAsia="zh-CN"/>
        </w:rPr>
        <w:t>本项目不收取履约保证金</w:t>
      </w:r>
    </w:p>
    <w:bookmarkEnd w:id="336"/>
    <w:bookmarkEnd w:id="337"/>
    <w:bookmarkEnd w:id="338"/>
    <w:bookmarkEnd w:id="339"/>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340" w:name="_Toc296944501"/>
      <w:bookmarkEnd w:id="340"/>
      <w:bookmarkStart w:id="341" w:name="_Toc296346663"/>
      <w:bookmarkEnd w:id="341"/>
      <w:bookmarkStart w:id="342" w:name="_Toc297120462"/>
      <w:bookmarkEnd w:id="342"/>
      <w:bookmarkStart w:id="343" w:name="_Toc296891202"/>
      <w:bookmarkEnd w:id="343"/>
      <w:bookmarkStart w:id="344" w:name="_Toc292559366"/>
      <w:bookmarkEnd w:id="344"/>
      <w:bookmarkStart w:id="345" w:name="_Toc297048348"/>
      <w:bookmarkEnd w:id="345"/>
      <w:bookmarkStart w:id="346" w:name="_Toc267251413"/>
      <w:bookmarkEnd w:id="346"/>
      <w:bookmarkStart w:id="347" w:name="_Toc296890990"/>
      <w:bookmarkEnd w:id="347"/>
      <w:bookmarkStart w:id="348" w:name="_Toc32460"/>
      <w:bookmarkEnd w:id="348"/>
      <w:bookmarkStart w:id="349" w:name="_Toc292559871"/>
      <w:bookmarkEnd w:id="349"/>
      <w:bookmarkStart w:id="350" w:name="_Toc296503162"/>
      <w:bookmarkEnd w:id="350"/>
      <w:bookmarkStart w:id="351" w:name="_Toc296347161"/>
      <w:bookmarkEnd w:id="351"/>
      <w:bookmarkStart w:id="352" w:name="_Toc21029"/>
      <w:bookmarkStart w:id="353" w:name="_Toc3588"/>
      <w:bookmarkStart w:id="354" w:name="_Toc16655"/>
      <w:r>
        <w:rPr>
          <w:rFonts w:hint="eastAsia" w:ascii="宋体" w:hAnsi="宋体" w:eastAsia="宋体"/>
          <w:color w:val="auto"/>
          <w:sz w:val="21"/>
          <w:szCs w:val="21"/>
          <w:highlight w:val="none"/>
        </w:rPr>
        <w:t>4. 监理人</w:t>
      </w:r>
      <w:bookmarkEnd w:id="352"/>
      <w:bookmarkEnd w:id="353"/>
      <w:bookmarkEnd w:id="354"/>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355" w:name="_Toc373227714"/>
      <w:bookmarkEnd w:id="355"/>
      <w:bookmarkStart w:id="356" w:name="_Toc389065280"/>
      <w:bookmarkEnd w:id="356"/>
      <w:bookmarkStart w:id="357" w:name="_Toc373478361"/>
      <w:bookmarkEnd w:id="357"/>
      <w:bookmarkStart w:id="358" w:name="_Toc28478"/>
      <w:bookmarkEnd w:id="358"/>
      <w:bookmarkStart w:id="359" w:name="_Toc28366"/>
      <w:bookmarkStart w:id="360" w:name="_Toc18943"/>
      <w:bookmarkStart w:id="361" w:name="_Toc28127"/>
      <w:r>
        <w:rPr>
          <w:rFonts w:hint="eastAsia" w:ascii="宋体" w:hAnsi="宋体" w:eastAsia="宋体"/>
          <w:color w:val="auto"/>
          <w:sz w:val="21"/>
          <w:szCs w:val="21"/>
          <w:highlight w:val="none"/>
        </w:rPr>
        <w:t>4.1 监理人的一般规定</w:t>
      </w:r>
      <w:bookmarkEnd w:id="359"/>
      <w:bookmarkEnd w:id="360"/>
      <w:bookmarkEnd w:id="361"/>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关于监理人的监理内容：</w:t>
      </w:r>
      <w:r>
        <w:rPr>
          <w:rFonts w:hint="eastAsia" w:ascii="宋体" w:hAnsi="宋体" w:eastAsia="宋体"/>
          <w:color w:val="auto"/>
          <w:sz w:val="21"/>
          <w:szCs w:val="21"/>
          <w:highlight w:val="none"/>
          <w:u w:val="single"/>
        </w:rPr>
        <w:t xml:space="preserve">  根据发包人与监理人签订的《监理合同》及工程实际需要</w:t>
      </w:r>
      <w:r>
        <w:rPr>
          <w:rFonts w:hint="eastAsia" w:ascii="宋体" w:hAnsi="宋体" w:eastAsia="宋体"/>
          <w:color w:val="auto"/>
          <w:sz w:val="21"/>
          <w:szCs w:val="21"/>
          <w:highlight w:val="none"/>
          <w:u w:val="single"/>
          <w:lang w:val="en-US" w:eastAsia="zh-CN"/>
        </w:rPr>
        <w:t>确定</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关于监理人的监理权限：</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根据监理合同、施工承包合同和法律法规规定的事项代表发包人进行工程前期协调、施工现场协调、工程监理 </w:t>
      </w:r>
      <w:r>
        <w:rPr>
          <w:rFonts w:hint="eastAsia" w:ascii="宋体" w:hAnsi="宋体" w:eastAsia="宋体"/>
          <w:color w:val="auto"/>
          <w:sz w:val="21"/>
          <w:szCs w:val="21"/>
          <w:highlight w:val="none"/>
        </w:rPr>
        <w:t xml:space="preserve">。 </w:t>
      </w:r>
    </w:p>
    <w:p>
      <w:pPr>
        <w:pageBreakBefore w:val="0"/>
        <w:kinsoku/>
        <w:overflowPunct/>
        <w:topLinePunct w:val="0"/>
        <w:bidi w:val="0"/>
        <w:spacing w:line="360" w:lineRule="auto"/>
        <w:outlineLvl w:val="9"/>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rPr>
        <w:t>关于监理人在施工现场的办公场所、生活场所的提供和费用承担的约定：</w:t>
      </w:r>
      <w:r>
        <w:rPr>
          <w:rFonts w:hint="eastAsia" w:ascii="宋体" w:hAnsi="宋体" w:eastAsia="宋体"/>
          <w:color w:val="auto"/>
          <w:sz w:val="21"/>
          <w:szCs w:val="21"/>
          <w:highlight w:val="none"/>
          <w:u w:val="single"/>
        </w:rPr>
        <w:t xml:space="preserve">  监理人在施工现场的办公场所、生活场所由承包人提供，所发生的费用由承包人承担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362" w:name="_Toc373227715"/>
      <w:bookmarkEnd w:id="362"/>
      <w:bookmarkStart w:id="363" w:name="_Toc373478362"/>
      <w:bookmarkEnd w:id="363"/>
      <w:bookmarkStart w:id="364" w:name="_Toc389065281"/>
      <w:bookmarkEnd w:id="364"/>
      <w:bookmarkStart w:id="365" w:name="_Toc12326"/>
      <w:bookmarkEnd w:id="365"/>
      <w:bookmarkStart w:id="366" w:name="_Toc5432"/>
      <w:bookmarkStart w:id="367" w:name="_Toc13684"/>
      <w:bookmarkStart w:id="368" w:name="_Toc6678"/>
      <w:r>
        <w:rPr>
          <w:rFonts w:hint="eastAsia" w:ascii="宋体" w:hAnsi="宋体" w:eastAsia="宋体"/>
          <w:color w:val="auto"/>
          <w:sz w:val="21"/>
          <w:szCs w:val="21"/>
          <w:highlight w:val="none"/>
        </w:rPr>
        <w:t>4.2 监理人员</w:t>
      </w:r>
      <w:bookmarkEnd w:id="366"/>
      <w:bookmarkEnd w:id="367"/>
      <w:bookmarkEnd w:id="368"/>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总监理工程师：</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姓    名：</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职    务：</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监理工程师执业资格证书号：</w:t>
      </w:r>
      <w:r>
        <w:rPr>
          <w:rFonts w:hint="eastAsia" w:ascii="宋体" w:hAnsi="宋体" w:eastAsia="宋体"/>
          <w:color w:val="auto"/>
          <w:sz w:val="21"/>
          <w:szCs w:val="21"/>
          <w:highlight w:val="none"/>
          <w:u w:val="single"/>
        </w:rPr>
        <w:t>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电子信箱：</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通信地址：</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关于监理人的其他约定：</w:t>
      </w:r>
      <w:r>
        <w:rPr>
          <w:rFonts w:hint="eastAsia" w:ascii="宋体" w:hAnsi="宋体" w:eastAsia="宋体"/>
          <w:color w:val="auto"/>
          <w:sz w:val="21"/>
          <w:szCs w:val="21"/>
          <w:highlight w:val="none"/>
          <w:u w:val="single"/>
        </w:rPr>
        <w:t>  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369" w:name="_Toc6626"/>
      <w:bookmarkEnd w:id="369"/>
      <w:bookmarkStart w:id="370" w:name="_Toc389065282"/>
      <w:bookmarkEnd w:id="370"/>
      <w:bookmarkStart w:id="371" w:name="_Toc373227716"/>
      <w:bookmarkEnd w:id="371"/>
      <w:bookmarkStart w:id="372" w:name="_Toc373478363"/>
      <w:bookmarkEnd w:id="372"/>
      <w:bookmarkStart w:id="373" w:name="_Toc3519"/>
      <w:bookmarkStart w:id="374" w:name="_Toc13365"/>
      <w:bookmarkStart w:id="375" w:name="_Toc4358"/>
      <w:r>
        <w:rPr>
          <w:rFonts w:hint="eastAsia" w:ascii="宋体" w:hAnsi="宋体" w:eastAsia="宋体"/>
          <w:color w:val="auto"/>
          <w:sz w:val="21"/>
          <w:szCs w:val="21"/>
          <w:highlight w:val="none"/>
        </w:rPr>
        <w:t>4.4 商定或确定</w:t>
      </w:r>
      <w:bookmarkEnd w:id="373"/>
      <w:bookmarkEnd w:id="374"/>
      <w:bookmarkEnd w:id="375"/>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bookmarkStart w:id="376" w:name="_Toc267251418"/>
      <w:r>
        <w:rPr>
          <w:rFonts w:hint="eastAsia" w:ascii="宋体" w:hAnsi="宋体" w:eastAsia="宋体"/>
          <w:color w:val="auto"/>
          <w:sz w:val="21"/>
          <w:szCs w:val="21"/>
          <w:highlight w:val="none"/>
        </w:rPr>
        <w:t>在发包人和承包人不能通过协商达成一致意见时，发包人授权监理人对以下事项进行确定：</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bookmarkEnd w:id="376"/>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377" w:name="_Toc373478364"/>
      <w:bookmarkEnd w:id="377"/>
      <w:bookmarkStart w:id="378" w:name="_Toc389065283"/>
      <w:bookmarkEnd w:id="378"/>
      <w:bookmarkStart w:id="379" w:name="_Toc28100"/>
      <w:bookmarkEnd w:id="379"/>
      <w:bookmarkStart w:id="380" w:name="_Toc373227717"/>
      <w:bookmarkEnd w:id="380"/>
      <w:bookmarkStart w:id="381" w:name="_Toc351203637"/>
      <w:bookmarkEnd w:id="381"/>
      <w:bookmarkStart w:id="382" w:name="_Toc32265"/>
      <w:bookmarkStart w:id="383" w:name="_Toc22183"/>
      <w:bookmarkStart w:id="384" w:name="_Toc16073"/>
      <w:bookmarkStart w:id="385" w:name="_Toc296891203"/>
      <w:bookmarkStart w:id="386" w:name="_Toc296346664"/>
      <w:bookmarkStart w:id="387" w:name="_Toc296347162"/>
      <w:bookmarkStart w:id="388" w:name="_Toc296944502"/>
      <w:bookmarkStart w:id="389" w:name="_Toc296890991"/>
      <w:bookmarkStart w:id="390" w:name="_Toc297048349"/>
      <w:bookmarkStart w:id="391" w:name="_Toc296503163"/>
      <w:bookmarkStart w:id="392" w:name="_Toc297120463"/>
      <w:bookmarkStart w:id="393" w:name="_Toc292559872"/>
      <w:bookmarkStart w:id="394" w:name="_Toc292559367"/>
      <w:r>
        <w:rPr>
          <w:rFonts w:hint="eastAsia" w:ascii="宋体" w:hAnsi="宋体" w:eastAsia="宋体"/>
          <w:color w:val="auto"/>
          <w:sz w:val="21"/>
          <w:szCs w:val="21"/>
          <w:highlight w:val="none"/>
        </w:rPr>
        <w:t>5. 工程质量</w:t>
      </w:r>
      <w:bookmarkEnd w:id="382"/>
      <w:bookmarkEnd w:id="383"/>
      <w:bookmarkEnd w:id="384"/>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395" w:name="_Toc389065284"/>
      <w:bookmarkEnd w:id="395"/>
      <w:bookmarkStart w:id="396" w:name="_Toc373478365"/>
      <w:bookmarkEnd w:id="396"/>
      <w:bookmarkStart w:id="397" w:name="_Toc15241"/>
      <w:bookmarkEnd w:id="397"/>
      <w:bookmarkStart w:id="398" w:name="_Toc373227718"/>
      <w:bookmarkEnd w:id="398"/>
      <w:bookmarkStart w:id="399" w:name="_Toc2043"/>
      <w:bookmarkStart w:id="400" w:name="_Toc30110"/>
      <w:bookmarkStart w:id="401" w:name="_Toc25910"/>
      <w:r>
        <w:rPr>
          <w:rFonts w:hint="eastAsia" w:ascii="宋体" w:hAnsi="宋体" w:eastAsia="宋体"/>
          <w:color w:val="auto"/>
          <w:sz w:val="21"/>
          <w:szCs w:val="21"/>
          <w:highlight w:val="none"/>
        </w:rPr>
        <w:t>5.1 质量要求</w:t>
      </w:r>
      <w:bookmarkEnd w:id="399"/>
      <w:bookmarkEnd w:id="400"/>
      <w:bookmarkEnd w:id="401"/>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402" w:name="_Toc297216155"/>
      <w:bookmarkStart w:id="403" w:name="_Toc318581164"/>
      <w:bookmarkStart w:id="404" w:name="_Toc300934949"/>
      <w:bookmarkStart w:id="405" w:name="_Toc312677997"/>
      <w:bookmarkStart w:id="406" w:name="_Toc297123496"/>
      <w:bookmarkStart w:id="407" w:name="_Toc304295527"/>
      <w:bookmarkStart w:id="408" w:name="_Toc303539106"/>
      <w:r>
        <w:rPr>
          <w:rFonts w:hint="eastAsia" w:ascii="宋体" w:hAnsi="宋体" w:eastAsia="宋体"/>
          <w:color w:val="auto"/>
          <w:sz w:val="21"/>
          <w:szCs w:val="21"/>
          <w:highlight w:val="none"/>
        </w:rPr>
        <w:t>5.1.1 特殊质量标准和要求：</w:t>
      </w:r>
      <w:r>
        <w:rPr>
          <w:rFonts w:hint="eastAsia" w:ascii="宋体" w:hAnsi="宋体" w:eastAsia="宋体"/>
          <w:color w:val="auto"/>
          <w:sz w:val="21"/>
          <w:szCs w:val="21"/>
          <w:highlight w:val="none"/>
          <w:u w:val="single"/>
        </w:rPr>
        <w:t>严格执行广西壮族自治区住房和城乡建设厅《关于严格实行房屋建筑和市政基础设施工程质量终身责任承诺、永久性质量责任标牌、终身责任信息档案等制度的通知》(桂建管[2014]96号)和南宁市城乡建设委员会《关于落实建设工程质量终身责任，加强工程质量管理的通知》（南建质安[2014]155号）要求，落实建设工程质量终身责任。</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关于工程奖项的约定：</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根据《研究市政工程质量提升工作专题会议纪要（市人民政府工作专题会议纪要【2019】69 号）》文件精神，政府投资工程的工程质量等级最低应为市优工程。</w:t>
      </w:r>
    </w:p>
    <w:p>
      <w:pPr>
        <w:pageBreakBefore w:val="0"/>
        <w:kinsoku/>
        <w:overflowPunct/>
        <w:topLinePunct w:val="0"/>
        <w:bidi w:val="0"/>
        <w:spacing w:line="360" w:lineRule="auto"/>
        <w:ind w:firstLine="420" w:firstLineChars="200"/>
        <w:jc w:val="left"/>
        <w:outlineLvl w:val="2"/>
        <w:rPr>
          <w:rFonts w:hint="eastAsia" w:ascii="宋体" w:hAnsi="宋体" w:eastAsia="宋体"/>
          <w:color w:val="auto"/>
          <w:sz w:val="21"/>
          <w:szCs w:val="21"/>
          <w:highlight w:val="none"/>
        </w:rPr>
      </w:pPr>
      <w:bookmarkStart w:id="409" w:name="_Toc7807"/>
      <w:bookmarkStart w:id="410" w:name="_Toc27772"/>
      <w:bookmarkStart w:id="411" w:name="_Toc24673"/>
      <w:r>
        <w:rPr>
          <w:rFonts w:hint="eastAsia" w:ascii="宋体" w:hAnsi="宋体" w:eastAsia="宋体"/>
          <w:color w:val="auto"/>
          <w:sz w:val="21"/>
          <w:szCs w:val="21"/>
          <w:highlight w:val="none"/>
        </w:rPr>
        <w:t>5.3 隐蔽工程检查</w:t>
      </w:r>
      <w:bookmarkEnd w:id="409"/>
      <w:bookmarkEnd w:id="410"/>
      <w:bookmarkEnd w:id="411"/>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5.3.2承包人提前通知监理人隐蔽工程检查的期限的约定：</w:t>
      </w:r>
      <w:r>
        <w:rPr>
          <w:rFonts w:hint="eastAsia" w:ascii="宋体" w:hAnsi="宋体" w:eastAsia="宋体"/>
          <w:bCs/>
          <w:color w:val="auto"/>
          <w:sz w:val="21"/>
          <w:szCs w:val="21"/>
          <w:highlight w:val="none"/>
        </w:rPr>
        <w:t>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监理人不能按时进行检查时，应提前</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24</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小时提交书面延期要求。</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关于延期最长不得超过：</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48</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小时。</w:t>
      </w:r>
    </w:p>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412" w:name="_Toc389065285"/>
      <w:bookmarkEnd w:id="412"/>
      <w:bookmarkStart w:id="413" w:name="_Toc351203638"/>
      <w:bookmarkEnd w:id="413"/>
      <w:bookmarkStart w:id="414" w:name="_Toc373478366"/>
      <w:bookmarkEnd w:id="414"/>
      <w:bookmarkStart w:id="415" w:name="_Toc373227719"/>
      <w:bookmarkEnd w:id="415"/>
      <w:bookmarkStart w:id="416" w:name="_Toc16364"/>
      <w:bookmarkEnd w:id="416"/>
      <w:bookmarkStart w:id="417" w:name="_Toc2176"/>
      <w:bookmarkStart w:id="418" w:name="_Toc8304"/>
      <w:bookmarkStart w:id="419" w:name="_Toc2552"/>
      <w:r>
        <w:rPr>
          <w:rFonts w:hint="eastAsia" w:ascii="宋体" w:hAnsi="宋体" w:eastAsia="宋体"/>
          <w:color w:val="auto"/>
          <w:sz w:val="21"/>
          <w:szCs w:val="21"/>
          <w:highlight w:val="none"/>
        </w:rPr>
        <w:t>6. 安全文明施工与环境保护</w:t>
      </w:r>
      <w:bookmarkEnd w:id="417"/>
      <w:bookmarkEnd w:id="418"/>
      <w:bookmarkEnd w:id="419"/>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420" w:name="_Toc373478367"/>
      <w:bookmarkEnd w:id="420"/>
      <w:bookmarkStart w:id="421" w:name="_Toc389065286"/>
      <w:bookmarkEnd w:id="421"/>
      <w:bookmarkStart w:id="422" w:name="_Toc19419"/>
      <w:bookmarkEnd w:id="422"/>
      <w:bookmarkStart w:id="423" w:name="_Toc373227720"/>
      <w:bookmarkEnd w:id="423"/>
      <w:bookmarkStart w:id="424" w:name="_Toc31431"/>
      <w:bookmarkStart w:id="425" w:name="_Toc28368"/>
      <w:bookmarkStart w:id="426" w:name="_Toc16558"/>
      <w:r>
        <w:rPr>
          <w:rFonts w:hint="eastAsia" w:ascii="宋体" w:hAnsi="宋体" w:eastAsia="宋体"/>
          <w:color w:val="auto"/>
          <w:sz w:val="21"/>
          <w:szCs w:val="21"/>
          <w:highlight w:val="none"/>
        </w:rPr>
        <w:t>6.1 安全文明施工</w:t>
      </w:r>
      <w:bookmarkEnd w:id="424"/>
      <w:bookmarkEnd w:id="425"/>
      <w:bookmarkEnd w:id="426"/>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6.1.1 项目安全生产的达标目标及相应事项的约定：</w:t>
      </w:r>
      <w:r>
        <w:rPr>
          <w:rFonts w:hint="eastAsia" w:ascii="宋体" w:hAnsi="宋体" w:eastAsia="宋体"/>
          <w:color w:val="auto"/>
          <w:sz w:val="21"/>
          <w:szCs w:val="21"/>
          <w:highlight w:val="none"/>
          <w:u w:val="single"/>
        </w:rPr>
        <w:t xml:space="preserve">   按合同通用条款 6.1.1 款执行 。</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关于安全文明施工奖项的约定：</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6.1.4 关于治安保卫的特别约定：</w:t>
      </w:r>
      <w:r>
        <w:rPr>
          <w:rFonts w:hint="eastAsia" w:ascii="宋体" w:hAnsi="宋体" w:eastAsia="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关于编制施工场地治安管理计划的约定：</w:t>
      </w:r>
      <w:r>
        <w:rPr>
          <w:rFonts w:hint="eastAsia" w:ascii="宋体" w:hAnsi="宋体" w:eastAsia="宋体"/>
          <w:color w:val="auto"/>
          <w:sz w:val="21"/>
          <w:szCs w:val="21"/>
          <w:highlight w:val="none"/>
          <w:u w:val="single"/>
        </w:rPr>
        <w:t xml:space="preserve">       按通用条款 6.1.4 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6.1.5 文明施工</w:t>
      </w:r>
    </w:p>
    <w:p>
      <w:pPr>
        <w:pStyle w:val="256"/>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合同当事人对文明施工的要求：</w:t>
      </w:r>
      <w:r>
        <w:rPr>
          <w:rFonts w:hint="eastAsia" w:ascii="宋体" w:hAnsi="宋体" w:eastAsia="宋体"/>
          <w:bCs/>
          <w:color w:val="auto"/>
          <w:sz w:val="21"/>
          <w:szCs w:val="21"/>
          <w:highlight w:val="none"/>
        </w:rPr>
        <w:t>严格执行《大气污染防治法》（主席令第三十一号）、《南宁市建设工程质量和安全生产管理办法》（南宁市人民政府令 第46号）、《南宁市建设工程质量安全标准化图集》、《南宁市建设工程施工现场管理若干规定》（南宁市人民政府令 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p>
    <w:p>
      <w:pPr>
        <w:pStyle w:val="256"/>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427" w:name="_Toc373478368"/>
      <w:bookmarkStart w:id="428" w:name="_Toc373227721"/>
      <w:bookmarkStart w:id="429" w:name="_Toc389065287"/>
      <w:r>
        <w:rPr>
          <w:rFonts w:hint="eastAsia" w:ascii="宋体" w:hAnsi="宋体" w:eastAsia="宋体"/>
          <w:color w:val="auto"/>
          <w:sz w:val="21"/>
          <w:szCs w:val="21"/>
          <w:highlight w:val="none"/>
        </w:rPr>
        <w:t>6.1.6 关于安全文明施工费支付比例和支付期限的约定：</w:t>
      </w:r>
    </w:p>
    <w:p>
      <w:pPr>
        <w:pStyle w:val="256"/>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（1）本合同价款已包含安全文明施工费</w:t>
      </w:r>
      <w:r>
        <w:rPr>
          <w:rFonts w:hint="eastAsia" w:ascii="宋体" w:hAnsi="宋体" w:eastAsia="宋体"/>
          <w:color w:val="auto"/>
          <w:kern w:val="0"/>
          <w:sz w:val="21"/>
          <w:szCs w:val="21"/>
          <w:highlight w:val="none"/>
          <w:u w:val="single"/>
        </w:rPr>
        <w:t xml:space="preserve">           </w:t>
      </w:r>
      <w:r>
        <w:rPr>
          <w:rFonts w:hint="eastAsia" w:ascii="宋体" w:hAnsi="宋体" w:eastAsia="宋体"/>
          <w:color w:val="auto"/>
          <w:kern w:val="0"/>
          <w:sz w:val="21"/>
          <w:szCs w:val="21"/>
          <w:highlight w:val="none"/>
        </w:rPr>
        <w:t>元。</w:t>
      </w:r>
    </w:p>
    <w:p>
      <w:pPr>
        <w:pStyle w:val="256"/>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（2）使用要求：专款专用。具体按</w:t>
      </w:r>
      <w:r>
        <w:rPr>
          <w:rFonts w:hint="eastAsia" w:ascii="宋体" w:hAnsi="宋体" w:eastAsia="宋体"/>
          <w:color w:val="auto"/>
          <w:kern w:val="0"/>
          <w:sz w:val="21"/>
          <w:szCs w:val="21"/>
          <w:highlight w:val="none"/>
          <w:u w:val="single"/>
        </w:rPr>
        <w:t>《广西壮族自治区建设工程安全文明施工费使用管理细则》（桂建质〔2015〕16号）</w:t>
      </w:r>
      <w:r>
        <w:rPr>
          <w:rFonts w:hint="eastAsia" w:ascii="宋体" w:hAnsi="宋体" w:eastAsia="宋体"/>
          <w:color w:val="auto"/>
          <w:kern w:val="0"/>
          <w:sz w:val="21"/>
          <w:szCs w:val="21"/>
          <w:highlight w:val="none"/>
        </w:rPr>
        <w:t>相关规定执行。</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（3）支付约定：在本合同签订后    个工作日内，预付安全文明施工费总额的     （30-50 %），其余部分与进度款同期支付，安全文明施工费预付款在工程进度款累计金额超过合同价的   %时开始起扣，每月从支付给承包商的工程款内按安全文明预付款占合同总价的同一百分比扣回。</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（4）建设单位按规定将安全生产费用转入施工单位设立的安全生产费用专户。</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（5）工程施工完成后安全生产费用尚有结余的，结余部分由建设单位收回。</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（6）施工单位将安全生产费用使用情况定期报告建设单位和监理单位，并提供相应的材料接受建设行政主管部门对此事项监管。</w:t>
      </w:r>
    </w:p>
    <w:p>
      <w:pPr>
        <w:pStyle w:val="256"/>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（7）安全生产费用专户：       安全生产费用专户。     账号：        。</w:t>
      </w:r>
    </w:p>
    <w:bookmarkEnd w:id="427"/>
    <w:bookmarkEnd w:id="428"/>
    <w:bookmarkEnd w:id="429"/>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430" w:name="_Toc30263"/>
      <w:bookmarkEnd w:id="430"/>
      <w:bookmarkStart w:id="431" w:name="_Toc14464"/>
      <w:bookmarkStart w:id="432" w:name="_Toc17107"/>
      <w:bookmarkStart w:id="433" w:name="_Toc18977"/>
      <w:r>
        <w:rPr>
          <w:rFonts w:hint="eastAsia" w:ascii="宋体" w:hAnsi="宋体" w:eastAsia="宋体"/>
          <w:color w:val="auto"/>
          <w:sz w:val="21"/>
          <w:szCs w:val="21"/>
          <w:highlight w:val="none"/>
        </w:rPr>
        <w:t xml:space="preserve">6.3 </w:t>
      </w:r>
      <w:r>
        <w:rPr>
          <w:rFonts w:hint="eastAsia" w:ascii="宋体" w:hAnsi="宋体" w:eastAsia="宋体"/>
          <w:b w:val="0"/>
          <w:bCs w:val="0"/>
          <w:color w:val="auto"/>
          <w:kern w:val="0"/>
          <w:sz w:val="21"/>
          <w:szCs w:val="21"/>
          <w:highlight w:val="none"/>
        </w:rPr>
        <w:t>环境保护</w:t>
      </w:r>
      <w:bookmarkEnd w:id="431"/>
      <w:bookmarkEnd w:id="432"/>
      <w:bookmarkEnd w:id="433"/>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因施工需要，经发包人批准，由承包人办理有关施工场地交通、环卫和施工噪音管理等手续，费用由承包人负责。</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经过城市道路的施工车辆，必须按交警、城管、运输等部门相关规定执行。由于施工车辆造成的道路、环境等污染，其责任和费用均由承包人承担。</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u w:val="single"/>
        </w:rPr>
        <w:t>根据《南宁市挥发性有机物污染防治实施方案（2019-2020年）》（南环委办〔2019〕166号）文件精神，宜优先使用低VOCs含量的涂料、油漆和有机溶剂。</w:t>
      </w:r>
    </w:p>
    <w:bookmarkEnd w:id="402"/>
    <w:bookmarkEnd w:id="403"/>
    <w:bookmarkEnd w:id="404"/>
    <w:bookmarkEnd w:id="405"/>
    <w:bookmarkEnd w:id="406"/>
    <w:bookmarkEnd w:id="407"/>
    <w:bookmarkEnd w:id="408"/>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434" w:name="_Toc389065288"/>
      <w:bookmarkEnd w:id="434"/>
      <w:bookmarkStart w:id="435" w:name="_Toc351203639"/>
      <w:bookmarkEnd w:id="435"/>
      <w:bookmarkStart w:id="436" w:name="_Toc373227722"/>
      <w:bookmarkEnd w:id="436"/>
      <w:bookmarkStart w:id="437" w:name="_Toc373478369"/>
      <w:bookmarkEnd w:id="437"/>
      <w:bookmarkStart w:id="438" w:name="_Toc89"/>
      <w:bookmarkEnd w:id="438"/>
      <w:bookmarkStart w:id="439" w:name="_Toc3316"/>
      <w:bookmarkStart w:id="440" w:name="_Toc20437"/>
      <w:bookmarkStart w:id="441" w:name="_Toc4436"/>
      <w:r>
        <w:rPr>
          <w:rFonts w:hint="eastAsia" w:ascii="宋体" w:hAnsi="宋体" w:eastAsia="宋体"/>
          <w:color w:val="auto"/>
          <w:sz w:val="21"/>
          <w:szCs w:val="21"/>
          <w:highlight w:val="none"/>
        </w:rPr>
        <w:t>7. 工期和进度</w:t>
      </w:r>
      <w:bookmarkEnd w:id="439"/>
      <w:bookmarkEnd w:id="440"/>
      <w:bookmarkEnd w:id="441"/>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442" w:name="_Toc11077"/>
      <w:bookmarkEnd w:id="442"/>
      <w:bookmarkStart w:id="443" w:name="_Toc373227723"/>
      <w:bookmarkEnd w:id="443"/>
      <w:bookmarkStart w:id="444" w:name="_Toc389065289"/>
      <w:bookmarkEnd w:id="444"/>
      <w:bookmarkStart w:id="445" w:name="_Toc373478370"/>
      <w:bookmarkEnd w:id="445"/>
      <w:bookmarkStart w:id="446" w:name="_Toc8650"/>
      <w:bookmarkStart w:id="447" w:name="_Toc7071"/>
      <w:bookmarkStart w:id="448" w:name="_Toc3558"/>
      <w:r>
        <w:rPr>
          <w:rFonts w:hint="eastAsia" w:ascii="宋体" w:hAnsi="宋体" w:eastAsia="宋体"/>
          <w:color w:val="auto"/>
          <w:sz w:val="21"/>
          <w:szCs w:val="21"/>
          <w:highlight w:val="none"/>
        </w:rPr>
        <w:t>7.1 施工组织设计</w:t>
      </w:r>
      <w:bookmarkEnd w:id="446"/>
      <w:bookmarkEnd w:id="447"/>
      <w:bookmarkEnd w:id="448"/>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7.1.1 合同当事人约定的施工组织设计应包括的其他内容：</w:t>
      </w:r>
      <w:r>
        <w:rPr>
          <w:rFonts w:hint="eastAsia" w:ascii="宋体" w:hAnsi="宋体" w:eastAsia="宋体"/>
          <w:color w:val="auto"/>
          <w:sz w:val="21"/>
          <w:szCs w:val="21"/>
          <w:highlight w:val="none"/>
          <w:u w:val="single"/>
        </w:rPr>
        <w:t xml:space="preserve"> 按有关规定执行  </w:t>
      </w:r>
      <w:r>
        <w:rPr>
          <w:rFonts w:hint="eastAsia" w:ascii="宋体" w:hAnsi="宋体" w:eastAsia="宋体"/>
          <w:color w:val="auto"/>
          <w:sz w:val="21"/>
          <w:szCs w:val="21"/>
          <w:highlight w:val="none"/>
        </w:rPr>
        <w:t>。</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7.1.2 施工组织设计的提交和修改</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承包人提交详细施工组织设计的期限的约定：</w:t>
      </w:r>
      <w:r>
        <w:rPr>
          <w:rFonts w:hint="eastAsia" w:ascii="宋体" w:hAnsi="宋体" w:eastAsia="宋体"/>
          <w:color w:val="auto"/>
          <w:sz w:val="21"/>
          <w:szCs w:val="21"/>
          <w:highlight w:val="none"/>
          <w:u w:val="single"/>
        </w:rPr>
        <w:t xml:space="preserve">  工程开工前</w:t>
      </w:r>
      <w:r>
        <w:rPr>
          <w:rFonts w:hint="eastAsia" w:ascii="宋体" w:hAnsi="宋体" w:eastAsia="宋体"/>
          <w:color w:val="auto"/>
          <w:sz w:val="21"/>
          <w:szCs w:val="21"/>
          <w:highlight w:val="none"/>
          <w:u w:val="single"/>
          <w:lang w:val="en-US" w:eastAsia="zh-CN"/>
        </w:rPr>
        <w:t>7个工作日</w:t>
      </w:r>
      <w:r>
        <w:rPr>
          <w:rFonts w:hint="eastAsia" w:ascii="宋体" w:hAnsi="宋体" w:eastAsia="宋体"/>
          <w:color w:val="auto"/>
          <w:sz w:val="21"/>
          <w:szCs w:val="21"/>
          <w:highlight w:val="none"/>
          <w:u w:val="single"/>
        </w:rPr>
        <w:t xml:space="preserve">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发包人和监理人在收到详细的施工组织设计后确认或提出修改意见的期限：</w:t>
      </w:r>
      <w:r>
        <w:rPr>
          <w:rFonts w:hint="eastAsia" w:ascii="宋体" w:hAnsi="宋体" w:eastAsia="宋体"/>
          <w:color w:val="auto"/>
          <w:sz w:val="21"/>
          <w:szCs w:val="21"/>
          <w:highlight w:val="none"/>
          <w:u w:val="single"/>
        </w:rPr>
        <w:t xml:space="preserve">  从收到承包人提供的施工组织设计（施工方案）之日起七天内予以确认，如有重大异议必须在收到上述资料之日起五天内以书面形式送达承包人，逾期不确认也不提出书面意见的，视为同意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449" w:name="_Toc373478371"/>
      <w:bookmarkEnd w:id="449"/>
      <w:bookmarkStart w:id="450" w:name="_Toc389065290"/>
      <w:bookmarkEnd w:id="450"/>
      <w:bookmarkStart w:id="451" w:name="_Toc24506"/>
      <w:bookmarkEnd w:id="451"/>
      <w:bookmarkStart w:id="452" w:name="_Toc373227724"/>
      <w:bookmarkEnd w:id="452"/>
      <w:bookmarkStart w:id="453" w:name="_Toc14852"/>
      <w:bookmarkStart w:id="454" w:name="_Toc27845"/>
      <w:bookmarkStart w:id="455" w:name="_Toc30210"/>
      <w:bookmarkStart w:id="456" w:name="_Toc297123514"/>
      <w:bookmarkStart w:id="457" w:name="_Toc297216173"/>
      <w:bookmarkStart w:id="458" w:name="_Toc300934966"/>
      <w:bookmarkStart w:id="459" w:name="_Toc303539123"/>
      <w:bookmarkStart w:id="460" w:name="_Toc312678005"/>
      <w:bookmarkStart w:id="461" w:name="_Toc312677479"/>
      <w:bookmarkStart w:id="462" w:name="_Toc304295541"/>
      <w:r>
        <w:rPr>
          <w:rFonts w:hint="eastAsia" w:ascii="宋体" w:hAnsi="宋体" w:eastAsia="宋体"/>
          <w:color w:val="auto"/>
          <w:sz w:val="21"/>
          <w:szCs w:val="21"/>
          <w:highlight w:val="none"/>
        </w:rPr>
        <w:t>7.2 施工进度计划</w:t>
      </w:r>
      <w:bookmarkEnd w:id="453"/>
      <w:bookmarkEnd w:id="454"/>
      <w:bookmarkEnd w:id="455"/>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7.2.2 施工进度计划的修订</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发包人和监理人在收到修订的施工进度计划后确认或提出修改意见的期限：  </w:t>
      </w:r>
      <w:r>
        <w:rPr>
          <w:rFonts w:hint="eastAsia" w:ascii="宋体" w:hAnsi="宋体" w:eastAsia="宋体"/>
          <w:color w:val="auto"/>
          <w:sz w:val="21"/>
          <w:szCs w:val="21"/>
          <w:highlight w:val="none"/>
          <w:u w:val="single"/>
        </w:rPr>
        <w:t xml:space="preserve">收到之后3 </w:t>
      </w:r>
      <w:r>
        <w:rPr>
          <w:rFonts w:hint="eastAsia" w:ascii="宋体" w:hAnsi="宋体" w:eastAsia="宋体"/>
          <w:color w:val="auto"/>
          <w:sz w:val="21"/>
          <w:szCs w:val="21"/>
          <w:highlight w:val="none"/>
          <w:u w:val="single"/>
          <w:lang w:val="en-US" w:eastAsia="zh-CN"/>
        </w:rPr>
        <w:t>个工作</w:t>
      </w:r>
      <w:r>
        <w:rPr>
          <w:rFonts w:hint="eastAsia" w:ascii="宋体" w:hAnsi="宋体" w:eastAsia="宋体"/>
          <w:color w:val="auto"/>
          <w:sz w:val="21"/>
          <w:szCs w:val="21"/>
          <w:highlight w:val="none"/>
          <w:u w:val="single"/>
        </w:rPr>
        <w:t xml:space="preserve">日内 </w:t>
      </w:r>
      <w:r>
        <w:rPr>
          <w:rFonts w:hint="eastAsia" w:ascii="宋体" w:hAnsi="宋体" w:eastAsia="宋体"/>
          <w:color w:val="auto"/>
          <w:sz w:val="21"/>
          <w:szCs w:val="21"/>
          <w:highlight w:val="none"/>
        </w:rPr>
        <w:t xml:space="preserve">   。</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463" w:name="_Toc12066"/>
      <w:bookmarkEnd w:id="463"/>
      <w:bookmarkStart w:id="464" w:name="_Toc373478372"/>
      <w:bookmarkEnd w:id="464"/>
      <w:bookmarkStart w:id="465" w:name="_Toc373227725"/>
      <w:bookmarkEnd w:id="465"/>
      <w:bookmarkStart w:id="466" w:name="_Toc389065291"/>
      <w:bookmarkEnd w:id="466"/>
      <w:bookmarkStart w:id="467" w:name="_Toc11015"/>
      <w:bookmarkStart w:id="468" w:name="_Toc18234"/>
      <w:bookmarkStart w:id="469" w:name="_Toc28465"/>
      <w:r>
        <w:rPr>
          <w:rFonts w:hint="eastAsia" w:ascii="宋体" w:hAnsi="宋体" w:eastAsia="宋体"/>
          <w:color w:val="auto"/>
          <w:sz w:val="21"/>
          <w:szCs w:val="21"/>
          <w:highlight w:val="none"/>
        </w:rPr>
        <w:t>7.3 开工</w:t>
      </w:r>
      <w:bookmarkEnd w:id="467"/>
      <w:bookmarkEnd w:id="468"/>
      <w:bookmarkEnd w:id="469"/>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7.3.1 开工准备</w:t>
      </w:r>
    </w:p>
    <w:p>
      <w:pPr>
        <w:pageBreakBefore w:val="0"/>
        <w:kinsoku/>
        <w:overflowPunct/>
        <w:topLinePunct w:val="0"/>
        <w:bidi w:val="0"/>
        <w:spacing w:line="360" w:lineRule="auto"/>
        <w:ind w:firstLine="426"/>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关于承包人提交工程开工报审表的期限：</w:t>
      </w:r>
      <w:r>
        <w:rPr>
          <w:rFonts w:hint="eastAsia" w:ascii="宋体" w:hAnsi="宋体" w:eastAsia="宋体"/>
          <w:color w:val="auto"/>
          <w:sz w:val="21"/>
          <w:szCs w:val="21"/>
          <w:highlight w:val="none"/>
          <w:u w:val="single"/>
        </w:rPr>
        <w:t xml:space="preserve">  承包人在图纸会审和设计交底之日起 7 </w:t>
      </w:r>
      <w:r>
        <w:rPr>
          <w:rFonts w:hint="eastAsia" w:ascii="宋体" w:hAnsi="宋体" w:eastAsia="宋体"/>
          <w:color w:val="auto"/>
          <w:sz w:val="21"/>
          <w:szCs w:val="21"/>
          <w:highlight w:val="none"/>
          <w:u w:val="single"/>
          <w:lang w:val="en-US" w:eastAsia="zh-CN"/>
        </w:rPr>
        <w:t>个工作日</w:t>
      </w:r>
      <w:r>
        <w:rPr>
          <w:rFonts w:hint="eastAsia" w:ascii="宋体" w:hAnsi="宋体" w:eastAsia="宋体"/>
          <w:color w:val="auto"/>
          <w:sz w:val="21"/>
          <w:szCs w:val="21"/>
          <w:highlight w:val="none"/>
          <w:u w:val="single"/>
        </w:rPr>
        <w:t xml:space="preserve">内报送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6"/>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关于发包人应完成的其他开工准备工作及期限：</w:t>
      </w:r>
      <w:r>
        <w:rPr>
          <w:rFonts w:hint="eastAsia" w:ascii="宋体" w:hAnsi="宋体" w:eastAsia="宋体"/>
          <w:color w:val="auto"/>
          <w:sz w:val="21"/>
          <w:szCs w:val="21"/>
          <w:highlight w:val="none"/>
          <w:u w:val="single"/>
        </w:rPr>
        <w:t xml:space="preserve">  签订合同后 14 天内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关于承包人应完成的其他开工准备工作及期限：</w:t>
      </w:r>
      <w:r>
        <w:rPr>
          <w:rFonts w:hint="eastAsia" w:ascii="宋体" w:hAnsi="宋体" w:eastAsia="宋体"/>
          <w:color w:val="auto"/>
          <w:sz w:val="21"/>
          <w:szCs w:val="21"/>
          <w:highlight w:val="none"/>
          <w:u w:val="single"/>
        </w:rPr>
        <w:t xml:space="preserve">  签订合同后 14 天内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7.3.2 开工通知</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因发包人原因造成监理人未能在计划开工日期之日起</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90</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天内发出开工通知的，承包人有权提出价格调整要求，或者解除合同。</w:t>
      </w:r>
    </w:p>
    <w:bookmarkEnd w:id="456"/>
    <w:bookmarkEnd w:id="457"/>
    <w:bookmarkEnd w:id="458"/>
    <w:bookmarkEnd w:id="459"/>
    <w:bookmarkEnd w:id="460"/>
    <w:bookmarkEnd w:id="461"/>
    <w:bookmarkEnd w:id="462"/>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470" w:name="_Toc373227726"/>
      <w:bookmarkEnd w:id="470"/>
      <w:bookmarkStart w:id="471" w:name="_Toc5444"/>
      <w:bookmarkEnd w:id="471"/>
      <w:bookmarkStart w:id="472" w:name="_Toc389065292"/>
      <w:bookmarkEnd w:id="472"/>
      <w:bookmarkStart w:id="473" w:name="_Toc373478373"/>
      <w:bookmarkEnd w:id="473"/>
      <w:bookmarkStart w:id="474" w:name="_Toc29829"/>
      <w:bookmarkStart w:id="475" w:name="_Toc20372"/>
      <w:bookmarkStart w:id="476" w:name="_Toc1821"/>
      <w:r>
        <w:rPr>
          <w:rFonts w:hint="eastAsia" w:ascii="宋体" w:hAnsi="宋体" w:eastAsia="宋体"/>
          <w:color w:val="auto"/>
          <w:sz w:val="21"/>
          <w:szCs w:val="21"/>
          <w:highlight w:val="none"/>
        </w:rPr>
        <w:t>7.4 测量放线</w:t>
      </w:r>
      <w:bookmarkEnd w:id="474"/>
      <w:bookmarkEnd w:id="475"/>
      <w:bookmarkEnd w:id="476"/>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7.4.1发包人通过监理人向承包人提供测量基准点、基准线和水准点及其书面资料的期限：</w:t>
      </w:r>
    </w:p>
    <w:p>
      <w:pPr>
        <w:pageBreakBefore w:val="0"/>
        <w:kinsoku/>
        <w:overflowPunct/>
        <w:topLinePunct w:val="0"/>
        <w:bidi w:val="0"/>
        <w:spacing w:line="360" w:lineRule="auto"/>
        <w:jc w:val="left"/>
        <w:outlineLvl w:val="9"/>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u w:val="single"/>
        </w:rPr>
        <w:t xml:space="preserve">  《开工通知》标明的开工日期前七天内，以书面形式交给承包人，双方现场进行交验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477" w:name="_Toc373227727"/>
      <w:bookmarkEnd w:id="477"/>
      <w:bookmarkStart w:id="478" w:name="_Toc21949"/>
      <w:bookmarkEnd w:id="478"/>
      <w:bookmarkStart w:id="479" w:name="_Toc373478374"/>
      <w:bookmarkEnd w:id="479"/>
      <w:bookmarkStart w:id="480" w:name="_Toc389065293"/>
      <w:bookmarkEnd w:id="480"/>
      <w:bookmarkStart w:id="481" w:name="_Toc14467"/>
      <w:bookmarkStart w:id="482" w:name="_Toc27227"/>
      <w:bookmarkStart w:id="483" w:name="_Toc23221"/>
      <w:bookmarkStart w:id="484" w:name="_Toc304295546"/>
      <w:bookmarkStart w:id="485" w:name="_Toc312678010"/>
      <w:bookmarkStart w:id="486" w:name="_Toc297216175"/>
      <w:bookmarkStart w:id="487" w:name="_Toc312677484"/>
      <w:bookmarkStart w:id="488" w:name="_Toc297123516"/>
      <w:bookmarkStart w:id="489" w:name="_Toc300934968"/>
      <w:bookmarkStart w:id="490" w:name="_Toc303539125"/>
      <w:r>
        <w:rPr>
          <w:rFonts w:hint="eastAsia" w:ascii="宋体" w:hAnsi="宋体" w:eastAsia="宋体"/>
          <w:color w:val="auto"/>
          <w:sz w:val="21"/>
          <w:szCs w:val="21"/>
          <w:highlight w:val="none"/>
        </w:rPr>
        <w:t>7.5 工期延误</w:t>
      </w:r>
      <w:bookmarkEnd w:id="481"/>
      <w:bookmarkEnd w:id="482"/>
      <w:bookmarkEnd w:id="483"/>
    </w:p>
    <w:bookmarkEnd w:id="484"/>
    <w:bookmarkEnd w:id="485"/>
    <w:bookmarkEnd w:id="486"/>
    <w:bookmarkEnd w:id="487"/>
    <w:bookmarkEnd w:id="488"/>
    <w:bookmarkEnd w:id="489"/>
    <w:bookmarkEnd w:id="490"/>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7.5.1 因发包人原因导致工期延误</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（7）因发包人原因导致工期延误的其他情形：</w:t>
      </w:r>
      <w:r>
        <w:rPr>
          <w:rFonts w:hint="eastAsia" w:ascii="宋体" w:hAnsi="宋体" w:eastAsia="宋体"/>
          <w:color w:val="auto"/>
          <w:sz w:val="21"/>
          <w:szCs w:val="21"/>
          <w:highlight w:val="none"/>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olor w:val="auto"/>
          <w:sz w:val="21"/>
          <w:szCs w:val="21"/>
          <w:highlight w:val="none"/>
        </w:rPr>
        <w:t xml:space="preserve"> 。</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491" w:name="_Toc312677486"/>
      <w:bookmarkStart w:id="492" w:name="_Toc318581169"/>
      <w:bookmarkStart w:id="493" w:name="_Toc312678012"/>
      <w:bookmarkStart w:id="494" w:name="_Toc300934970"/>
      <w:bookmarkStart w:id="495" w:name="_Toc303539127"/>
      <w:bookmarkStart w:id="496" w:name="_Toc297123518"/>
      <w:bookmarkStart w:id="497" w:name="_Toc304295548"/>
      <w:bookmarkStart w:id="498" w:name="_Toc297216177"/>
      <w:r>
        <w:rPr>
          <w:rFonts w:hint="eastAsia" w:ascii="宋体" w:hAnsi="宋体" w:eastAsia="宋体"/>
          <w:color w:val="auto"/>
          <w:sz w:val="21"/>
          <w:szCs w:val="21"/>
          <w:highlight w:val="none"/>
        </w:rPr>
        <w:t>7.5.2 因承包人原因导致工期延误</w:t>
      </w:r>
    </w:p>
    <w:bookmarkEnd w:id="491"/>
    <w:bookmarkEnd w:id="492"/>
    <w:bookmarkEnd w:id="493"/>
    <w:p>
      <w:pPr>
        <w:pStyle w:val="302"/>
        <w:pageBreakBefore w:val="0"/>
        <w:kinsoku/>
        <w:overflowPunct/>
        <w:topLinePunct w:val="0"/>
        <w:bidi w:val="0"/>
        <w:spacing w:line="360" w:lineRule="auto"/>
        <w:ind w:firstLine="420" w:firstLineChars="200"/>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 xml:space="preserve">双方约定经监理工程师确认，工期相应顺延的情况： </w:t>
      </w:r>
      <w:r>
        <w:rPr>
          <w:rFonts w:hint="eastAsia" w:ascii="宋体" w:hAnsi="宋体" w:eastAsia="宋体"/>
          <w:color w:val="auto"/>
          <w:kern w:val="0"/>
          <w:sz w:val="21"/>
          <w:szCs w:val="21"/>
          <w:highlight w:val="none"/>
          <w:u w:val="single"/>
        </w:rPr>
        <w:t xml:space="preserve"> 满足专用条款第 7.5.1 条 及专用条款 7.7 条及当地政府指令性要求（包括规划调整、征地等）原因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bookmarkEnd w:id="494"/>
    <w:bookmarkEnd w:id="495"/>
    <w:bookmarkEnd w:id="496"/>
    <w:bookmarkEnd w:id="497"/>
    <w:bookmarkEnd w:id="498"/>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499" w:name="_Toc318581170"/>
      <w:bookmarkEnd w:id="499"/>
      <w:bookmarkStart w:id="500" w:name="_Toc312677487"/>
      <w:bookmarkEnd w:id="500"/>
      <w:bookmarkStart w:id="501" w:name="_Toc312678013"/>
      <w:bookmarkEnd w:id="501"/>
      <w:bookmarkStart w:id="502" w:name="_Toc312678014"/>
      <w:bookmarkStart w:id="503" w:name="_Toc318581171"/>
      <w:r>
        <w:rPr>
          <w:rFonts w:hint="eastAsia" w:ascii="宋体" w:hAnsi="宋体" w:eastAsia="宋体"/>
          <w:color w:val="auto"/>
          <w:sz w:val="21"/>
          <w:szCs w:val="21"/>
          <w:highlight w:val="none"/>
        </w:rPr>
        <w:t>因承包人原因造成工期延误，逾期竣工违约金的计算方法为：</w:t>
      </w:r>
      <w:r>
        <w:rPr>
          <w:rFonts w:hint="eastAsia" w:ascii="宋体" w:hAnsi="宋体" w:eastAsia="宋体"/>
          <w:color w:val="auto"/>
          <w:sz w:val="21"/>
          <w:szCs w:val="21"/>
          <w:highlight w:val="none"/>
          <w:u w:val="single"/>
        </w:rPr>
        <w:t>如不能在规定时间内完成交付的，每逾期一日，成交供应商应按合同款的 3 %向采购人支付违约金，逾期达10日的，采购人有权解除合同，成交供应商须按合同总价的 20 %向采购人支付解约违约金。误期时间从规定竣工日期起直到实际竣工日期的天数（扣除发包人批准顺延的工期）。</w:t>
      </w:r>
      <w:r>
        <w:rPr>
          <w:rFonts w:hint="eastAsia" w:ascii="宋体" w:hAnsi="宋体" w:eastAsia="宋体"/>
          <w:color w:val="auto"/>
          <w:sz w:val="21"/>
          <w:szCs w:val="21"/>
          <w:highlight w:val="none"/>
        </w:rPr>
        <w:t>因承包人原因造成工期延误，逾期竣工违约金的上限：</w:t>
      </w:r>
      <w:r>
        <w:rPr>
          <w:rFonts w:hint="eastAsia" w:ascii="宋体" w:hAnsi="宋体" w:eastAsia="宋体"/>
          <w:color w:val="auto"/>
          <w:sz w:val="21"/>
          <w:szCs w:val="21"/>
          <w:highlight w:val="none"/>
          <w:u w:val="single"/>
        </w:rPr>
        <w:t>逾期竣工的单位工程合同价的</w:t>
      </w:r>
      <w:r>
        <w:rPr>
          <w:rFonts w:hint="eastAsia" w:ascii="宋体" w:hAnsi="宋体"/>
          <w:color w:val="auto"/>
          <w:sz w:val="21"/>
          <w:szCs w:val="21"/>
          <w:highlight w:val="none"/>
          <w:u w:val="single"/>
          <w:lang w:val="en-US" w:eastAsia="zh-CN"/>
        </w:rPr>
        <w:t>20</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eastAsia="zh-CN"/>
        </w:rPr>
        <w:t>；</w:t>
      </w:r>
      <w:r>
        <w:rPr>
          <w:rFonts w:hint="eastAsia" w:ascii="宋体" w:hAnsi="宋体" w:eastAsia="宋体"/>
          <w:color w:val="auto"/>
          <w:sz w:val="21"/>
          <w:szCs w:val="21"/>
          <w:highlight w:val="none"/>
          <w:u w:val="single"/>
          <w:lang w:val="en-US" w:eastAsia="zh-CN"/>
        </w:rPr>
        <w:t>如实际损失高于该上线的，应以实际损失进行赔偿</w:t>
      </w:r>
      <w:r>
        <w:rPr>
          <w:rFonts w:hint="eastAsia" w:ascii="宋体" w:hAnsi="宋体" w:eastAsia="宋体"/>
          <w:color w:val="auto"/>
          <w:sz w:val="21"/>
          <w:szCs w:val="21"/>
          <w:highlight w:val="none"/>
        </w:rPr>
        <w:t>。</w:t>
      </w:r>
    </w:p>
    <w:bookmarkEnd w:id="502"/>
    <w:bookmarkEnd w:id="503"/>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504" w:name="_Toc373227728"/>
      <w:bookmarkEnd w:id="504"/>
      <w:bookmarkStart w:id="505" w:name="_Toc297216178"/>
      <w:bookmarkEnd w:id="505"/>
      <w:bookmarkStart w:id="506" w:name="_Toc11238"/>
      <w:bookmarkEnd w:id="506"/>
      <w:bookmarkStart w:id="507" w:name="_Toc297123519"/>
      <w:bookmarkEnd w:id="507"/>
      <w:bookmarkStart w:id="508" w:name="_Toc389065294"/>
      <w:bookmarkEnd w:id="508"/>
      <w:bookmarkStart w:id="509" w:name="_Toc312678015"/>
      <w:bookmarkEnd w:id="509"/>
      <w:bookmarkStart w:id="510" w:name="_Toc303539128"/>
      <w:bookmarkEnd w:id="510"/>
      <w:bookmarkStart w:id="511" w:name="_Toc304295549"/>
      <w:bookmarkEnd w:id="511"/>
      <w:bookmarkStart w:id="512" w:name="_Toc300934971"/>
      <w:bookmarkEnd w:id="512"/>
      <w:bookmarkStart w:id="513" w:name="_Toc373478375"/>
      <w:bookmarkEnd w:id="513"/>
      <w:bookmarkStart w:id="514" w:name="_Toc24402"/>
      <w:bookmarkStart w:id="515" w:name="_Toc495"/>
      <w:bookmarkStart w:id="516" w:name="_Toc12747"/>
      <w:r>
        <w:rPr>
          <w:rFonts w:hint="eastAsia" w:ascii="宋体" w:hAnsi="宋体" w:eastAsia="宋体"/>
          <w:color w:val="auto"/>
          <w:sz w:val="21"/>
          <w:szCs w:val="21"/>
          <w:highlight w:val="none"/>
        </w:rPr>
        <w:t>7.6 不利物质条件</w:t>
      </w:r>
      <w:bookmarkEnd w:id="514"/>
      <w:bookmarkEnd w:id="515"/>
      <w:bookmarkEnd w:id="516"/>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517" w:name="_Toc300934972"/>
      <w:bookmarkStart w:id="518" w:name="_Toc297123520"/>
      <w:bookmarkStart w:id="519" w:name="_Toc304295550"/>
      <w:bookmarkStart w:id="520" w:name="_Toc297216179"/>
      <w:bookmarkStart w:id="521" w:name="_Toc303539129"/>
      <w:bookmarkStart w:id="522" w:name="_Toc312678016"/>
      <w:bookmarkStart w:id="523" w:name="_Toc318581172"/>
      <w:r>
        <w:rPr>
          <w:rFonts w:hint="eastAsia" w:ascii="宋体" w:hAnsi="宋体" w:eastAsia="宋体"/>
          <w:color w:val="auto"/>
          <w:sz w:val="21"/>
          <w:szCs w:val="21"/>
          <w:highlight w:val="none"/>
        </w:rPr>
        <w:t>不利物质条件的其他情形和有关约定：</w:t>
      </w:r>
      <w:r>
        <w:rPr>
          <w:rFonts w:hint="eastAsia" w:ascii="宋体" w:hAnsi="宋体" w:eastAsia="宋体"/>
          <w:color w:val="auto"/>
          <w:sz w:val="21"/>
          <w:szCs w:val="21"/>
          <w:highlight w:val="none"/>
          <w:u w:val="single"/>
        </w:rPr>
        <w:t xml:space="preserve"> 以有关部门发布的文告或文件为准  </w:t>
      </w:r>
      <w:r>
        <w:rPr>
          <w:rFonts w:hint="eastAsia" w:ascii="宋体" w:hAnsi="宋体" w:eastAsia="宋体"/>
          <w:color w:val="auto"/>
          <w:sz w:val="21"/>
          <w:szCs w:val="21"/>
          <w:highlight w:val="none"/>
        </w:rPr>
        <w:t>。</w:t>
      </w:r>
    </w:p>
    <w:bookmarkEnd w:id="517"/>
    <w:bookmarkEnd w:id="518"/>
    <w:bookmarkEnd w:id="519"/>
    <w:bookmarkEnd w:id="520"/>
    <w:bookmarkEnd w:id="521"/>
    <w:bookmarkEnd w:id="522"/>
    <w:bookmarkEnd w:id="523"/>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524" w:name="_Toc373478376"/>
      <w:bookmarkEnd w:id="524"/>
      <w:bookmarkStart w:id="525" w:name="_Toc21019"/>
      <w:bookmarkEnd w:id="525"/>
      <w:bookmarkStart w:id="526" w:name="_Toc389065295"/>
      <w:bookmarkEnd w:id="526"/>
      <w:bookmarkStart w:id="527" w:name="_Toc373227729"/>
      <w:bookmarkEnd w:id="527"/>
      <w:bookmarkStart w:id="528" w:name="_Toc21703"/>
      <w:bookmarkStart w:id="529" w:name="_Toc14958"/>
      <w:bookmarkStart w:id="530" w:name="_Toc2817"/>
      <w:bookmarkStart w:id="531" w:name="_Toc303539130"/>
      <w:bookmarkStart w:id="532" w:name="_Toc297123521"/>
      <w:bookmarkStart w:id="533" w:name="_Toc312678017"/>
      <w:bookmarkStart w:id="534" w:name="_Toc304295551"/>
      <w:bookmarkStart w:id="535" w:name="_Toc300934973"/>
      <w:bookmarkStart w:id="536" w:name="_Toc297216180"/>
      <w:r>
        <w:rPr>
          <w:rFonts w:hint="eastAsia" w:ascii="宋体" w:hAnsi="宋体" w:eastAsia="宋体"/>
          <w:color w:val="auto"/>
          <w:sz w:val="21"/>
          <w:szCs w:val="21"/>
          <w:highlight w:val="none"/>
        </w:rPr>
        <w:t>7.7 异常恶劣的气候条件</w:t>
      </w:r>
      <w:bookmarkEnd w:id="528"/>
      <w:bookmarkEnd w:id="529"/>
      <w:bookmarkEnd w:id="530"/>
    </w:p>
    <w:bookmarkEnd w:id="531"/>
    <w:bookmarkEnd w:id="532"/>
    <w:bookmarkEnd w:id="533"/>
    <w:bookmarkEnd w:id="534"/>
    <w:bookmarkEnd w:id="535"/>
    <w:bookmarkEnd w:id="536"/>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发包人和承包人同意以下情形视为异常恶劣的气候条件：</w:t>
      </w:r>
    </w:p>
    <w:p>
      <w:pPr>
        <w:pStyle w:val="302"/>
        <w:pageBreakBefore w:val="0"/>
        <w:kinsoku/>
        <w:overflowPunct/>
        <w:topLinePunct w:val="0"/>
        <w:bidi w:val="0"/>
        <w:spacing w:line="360" w:lineRule="auto"/>
        <w:jc w:val="left"/>
        <w:outlineLvl w:val="9"/>
        <w:rPr>
          <w:rFonts w:hint="eastAsia" w:ascii="宋体" w:hAnsi="宋体" w:eastAsia="宋体"/>
          <w:color w:val="auto"/>
          <w:kern w:val="0"/>
          <w:sz w:val="21"/>
          <w:szCs w:val="21"/>
          <w:highlight w:val="none"/>
        </w:rPr>
      </w:pPr>
      <w:bookmarkStart w:id="537" w:name="_Toc389065296"/>
      <w:bookmarkStart w:id="538" w:name="_Toc373227730"/>
      <w:bookmarkStart w:id="539" w:name="_Toc22298"/>
      <w:bookmarkStart w:id="540" w:name="_Toc373478377"/>
      <w:r>
        <w:rPr>
          <w:rFonts w:hint="eastAsia" w:ascii="宋体" w:hAnsi="宋体" w:eastAsia="宋体"/>
          <w:color w:val="auto"/>
          <w:kern w:val="0"/>
          <w:sz w:val="21"/>
          <w:szCs w:val="21"/>
          <w:highlight w:val="none"/>
        </w:rPr>
        <w:t>（1）</w:t>
      </w:r>
      <w:r>
        <w:rPr>
          <w:rFonts w:hint="eastAsia" w:ascii="宋体" w:hAnsi="宋体" w:eastAsia="宋体"/>
          <w:color w:val="auto"/>
          <w:kern w:val="0"/>
          <w:sz w:val="21"/>
          <w:szCs w:val="21"/>
          <w:highlight w:val="none"/>
          <w:u w:val="single"/>
        </w:rPr>
        <w:t xml:space="preserve"> 6 级以上地震 ； </w:t>
      </w:r>
    </w:p>
    <w:p>
      <w:pPr>
        <w:pStyle w:val="302"/>
        <w:pageBreakBefore w:val="0"/>
        <w:kinsoku/>
        <w:overflowPunct/>
        <w:topLinePunct w:val="0"/>
        <w:bidi w:val="0"/>
        <w:spacing w:line="360" w:lineRule="auto"/>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 xml:space="preserve">（2） </w:t>
      </w:r>
      <w:r>
        <w:rPr>
          <w:rFonts w:hint="eastAsia" w:ascii="宋体" w:hAnsi="宋体" w:eastAsia="宋体"/>
          <w:color w:val="auto"/>
          <w:kern w:val="0"/>
          <w:sz w:val="21"/>
          <w:szCs w:val="21"/>
          <w:highlight w:val="none"/>
          <w:u w:val="single"/>
        </w:rPr>
        <w:t xml:space="preserve">10 级以上持续 1 天的大风 ； </w:t>
      </w:r>
    </w:p>
    <w:p>
      <w:pPr>
        <w:pStyle w:val="302"/>
        <w:pageBreakBefore w:val="0"/>
        <w:kinsoku/>
        <w:overflowPunct/>
        <w:topLinePunct w:val="0"/>
        <w:bidi w:val="0"/>
        <w:spacing w:line="360" w:lineRule="auto"/>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 xml:space="preserve">（3） </w:t>
      </w:r>
      <w:r>
        <w:rPr>
          <w:rFonts w:hint="eastAsia" w:ascii="宋体" w:hAnsi="宋体" w:eastAsia="宋体"/>
          <w:color w:val="auto"/>
          <w:kern w:val="0"/>
          <w:sz w:val="21"/>
          <w:szCs w:val="21"/>
          <w:highlight w:val="none"/>
          <w:u w:val="single"/>
        </w:rPr>
        <w:t>日气温低于零摄氏度的严寒大于 3 天；</w:t>
      </w:r>
      <w:r>
        <w:rPr>
          <w:rFonts w:hint="eastAsia" w:ascii="宋体" w:hAnsi="宋体" w:eastAsia="宋体"/>
          <w:color w:val="auto"/>
          <w:kern w:val="0"/>
          <w:sz w:val="21"/>
          <w:szCs w:val="21"/>
          <w:highlight w:val="none"/>
        </w:rPr>
        <w:t xml:space="preserve"> </w:t>
      </w:r>
    </w:p>
    <w:p>
      <w:pPr>
        <w:pStyle w:val="302"/>
        <w:pageBreakBefore w:val="0"/>
        <w:kinsoku/>
        <w:overflowPunct/>
        <w:topLinePunct w:val="0"/>
        <w:bidi w:val="0"/>
        <w:spacing w:line="360" w:lineRule="auto"/>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 xml:space="preserve">（4） </w:t>
      </w:r>
      <w:r>
        <w:rPr>
          <w:rFonts w:hint="eastAsia" w:ascii="宋体" w:hAnsi="宋体" w:eastAsia="宋体"/>
          <w:color w:val="auto"/>
          <w:kern w:val="0"/>
          <w:sz w:val="21"/>
          <w:szCs w:val="21"/>
          <w:highlight w:val="none"/>
          <w:u w:val="single"/>
        </w:rPr>
        <w:t xml:space="preserve">日气温超过 40 摄氏度的高温大于 3 天； </w:t>
      </w:r>
    </w:p>
    <w:p>
      <w:pPr>
        <w:pStyle w:val="302"/>
        <w:pageBreakBefore w:val="0"/>
        <w:kinsoku/>
        <w:overflowPunct/>
        <w:topLinePunct w:val="0"/>
        <w:bidi w:val="0"/>
        <w:spacing w:line="360" w:lineRule="auto"/>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 xml:space="preserve">（5） </w:t>
      </w:r>
      <w:r>
        <w:rPr>
          <w:rFonts w:hint="eastAsia" w:ascii="宋体" w:hAnsi="宋体" w:eastAsia="宋体"/>
          <w:color w:val="auto"/>
          <w:kern w:val="0"/>
          <w:sz w:val="21"/>
          <w:szCs w:val="21"/>
          <w:highlight w:val="none"/>
          <w:u w:val="single"/>
        </w:rPr>
        <w:t xml:space="preserve">一日内降雨达 200mm 的暴雨（以气象部门公布的为准） </w:t>
      </w:r>
      <w:r>
        <w:rPr>
          <w:rFonts w:hint="eastAsia" w:ascii="宋体" w:hAnsi="宋体" w:eastAsia="宋体"/>
          <w:color w:val="auto"/>
          <w:kern w:val="0"/>
          <w:sz w:val="21"/>
          <w:szCs w:val="21"/>
          <w:highlight w:val="none"/>
        </w:rPr>
        <w:t>；</w:t>
      </w:r>
    </w:p>
    <w:p>
      <w:pPr>
        <w:pStyle w:val="302"/>
        <w:pageBreakBefore w:val="0"/>
        <w:kinsoku/>
        <w:overflowPunct/>
        <w:topLinePunct w:val="0"/>
        <w:bidi w:val="0"/>
        <w:spacing w:line="360" w:lineRule="auto"/>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（6）</w:t>
      </w:r>
      <w:r>
        <w:rPr>
          <w:rFonts w:hint="eastAsia" w:ascii="宋体" w:hAnsi="宋体" w:eastAsia="宋体"/>
          <w:color w:val="auto"/>
          <w:kern w:val="0"/>
          <w:sz w:val="21"/>
          <w:szCs w:val="21"/>
          <w:highlight w:val="none"/>
          <w:u w:val="single"/>
        </w:rPr>
        <w:t>造成的工程损坏的冰雹和大雪灾害；其它异常恶劣气候灾害（以气象部门公布的为准）</w:t>
      </w:r>
      <w:r>
        <w:rPr>
          <w:rFonts w:hint="eastAsia" w:ascii="宋体" w:hAnsi="宋体" w:eastAsia="宋体"/>
          <w:color w:val="auto"/>
          <w:kern w:val="0"/>
          <w:sz w:val="21"/>
          <w:szCs w:val="21"/>
          <w:highlight w:val="none"/>
        </w:rPr>
        <w:t>。</w:t>
      </w:r>
    </w:p>
    <w:bookmarkEnd w:id="537"/>
    <w:bookmarkEnd w:id="538"/>
    <w:bookmarkEnd w:id="539"/>
    <w:bookmarkEnd w:id="540"/>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541" w:name="_Toc12713"/>
      <w:bookmarkStart w:id="542" w:name="_Toc11864"/>
      <w:bookmarkStart w:id="543" w:name="_Toc9733"/>
      <w:r>
        <w:rPr>
          <w:rFonts w:hint="eastAsia" w:ascii="宋体" w:hAnsi="宋体" w:eastAsia="宋体"/>
          <w:color w:val="auto"/>
          <w:sz w:val="21"/>
          <w:szCs w:val="21"/>
          <w:highlight w:val="none"/>
        </w:rPr>
        <w:t>7.9 提前竣工</w:t>
      </w:r>
      <w:bookmarkEnd w:id="541"/>
      <w:bookmarkEnd w:id="542"/>
      <w:bookmarkEnd w:id="543"/>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7.9.2提前竣工（赶工）增加费的计算方法：</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544" w:name="_Toc389065297"/>
      <w:bookmarkEnd w:id="544"/>
      <w:bookmarkStart w:id="545" w:name="_Toc351203640"/>
      <w:bookmarkEnd w:id="545"/>
      <w:bookmarkStart w:id="546" w:name="_Toc373478378"/>
      <w:bookmarkEnd w:id="546"/>
      <w:bookmarkStart w:id="547" w:name="_Toc373227731"/>
      <w:bookmarkEnd w:id="547"/>
      <w:bookmarkStart w:id="548" w:name="_Toc19507"/>
      <w:bookmarkEnd w:id="548"/>
      <w:bookmarkStart w:id="549" w:name="_Toc10071"/>
      <w:bookmarkStart w:id="550" w:name="_Toc32198"/>
      <w:bookmarkStart w:id="551" w:name="_Toc20839"/>
      <w:r>
        <w:rPr>
          <w:rFonts w:hint="eastAsia" w:ascii="宋体" w:hAnsi="宋体" w:eastAsia="宋体"/>
          <w:color w:val="auto"/>
          <w:sz w:val="21"/>
          <w:szCs w:val="21"/>
          <w:highlight w:val="none"/>
        </w:rPr>
        <w:t>8. 材料与设备</w:t>
      </w:r>
      <w:bookmarkEnd w:id="549"/>
      <w:bookmarkEnd w:id="550"/>
      <w:bookmarkEnd w:id="551"/>
    </w:p>
    <w:bookmarkEnd w:id="385"/>
    <w:bookmarkEnd w:id="386"/>
    <w:bookmarkEnd w:id="387"/>
    <w:bookmarkEnd w:id="388"/>
    <w:bookmarkEnd w:id="389"/>
    <w:bookmarkEnd w:id="390"/>
    <w:bookmarkEnd w:id="391"/>
    <w:bookmarkEnd w:id="392"/>
    <w:bookmarkEnd w:id="393"/>
    <w:bookmarkEnd w:id="394"/>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552" w:name="_Toc24535"/>
      <w:bookmarkEnd w:id="552"/>
      <w:bookmarkStart w:id="553" w:name="_Toc389065298"/>
      <w:bookmarkEnd w:id="553"/>
      <w:bookmarkStart w:id="554" w:name="_Toc373227732"/>
      <w:bookmarkEnd w:id="554"/>
      <w:bookmarkStart w:id="555" w:name="_Toc373478379"/>
      <w:bookmarkEnd w:id="555"/>
      <w:bookmarkStart w:id="556" w:name="_Toc5662"/>
      <w:bookmarkStart w:id="557" w:name="_Toc30550"/>
      <w:bookmarkStart w:id="558" w:name="_Toc5216"/>
      <w:r>
        <w:rPr>
          <w:rFonts w:hint="eastAsia" w:ascii="宋体" w:hAnsi="宋体" w:eastAsia="宋体"/>
          <w:color w:val="auto"/>
          <w:sz w:val="21"/>
          <w:szCs w:val="21"/>
          <w:highlight w:val="none"/>
        </w:rPr>
        <w:t>8.2 承包人采购材料与工程设备</w:t>
      </w:r>
      <w:bookmarkEnd w:id="556"/>
      <w:bookmarkEnd w:id="557"/>
      <w:bookmarkEnd w:id="558"/>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除已标价工程量清单《发包人提供主要材料和工程设备一览表》（表-21）中明确的材料、工程设备外，由承包人负责材料和工程设备的采购、运输和保管，承包人所采购的材料和工程设施各类技术参数，必须满足或优于施工图的技术参数要求，如发现不符合施工图技术参数要求的，发包人可拒绝验收，一切损失及造成的后果由承包人承担。《承包人提供主要材料和工程设备一览表》（表-22）见已标价工程量清单。</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bookmarkStart w:id="559" w:name="_Toc373478380"/>
      <w:bookmarkStart w:id="560" w:name="_Toc389065299"/>
      <w:bookmarkStart w:id="561" w:name="_Toc373227733"/>
      <w:r>
        <w:rPr>
          <w:rFonts w:hint="eastAsia" w:ascii="宋体" w:hAnsi="宋体" w:eastAsia="宋体"/>
          <w:color w:val="auto"/>
          <w:sz w:val="21"/>
          <w:szCs w:val="21"/>
          <w:highlight w:val="none"/>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满足南宁市城乡建设委员会南宁市工业和信息化委员会关于重新印发《南宁市城乡建设委员会和南宁市工业和信息化委员会关于推广应用高性能混凝土的通知》的通知（南建规【2016】1号）要求的，本工程必须使用高性能混凝土。 </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满足南宁市人民政府印发的《南宁市人民政府关于推广使用预拌砂浆的实施意见》（南府规〔2016〕12 号）要求的，本工程必须使用预拌砂浆。</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满足《南宁市松材线虫病防控工作领导小组工作制度》要求，要求涉木产品供货商对应施检疫的产品提供《植物检疫证书》；涉及松木质包装材料的，积极配合林业部门做好检疫工作。</w:t>
      </w:r>
    </w:p>
    <w:bookmarkEnd w:id="559"/>
    <w:bookmarkEnd w:id="560"/>
    <w:bookmarkEnd w:id="561"/>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562" w:name="_Toc3731"/>
      <w:bookmarkEnd w:id="562"/>
      <w:bookmarkStart w:id="563" w:name="_Toc28207"/>
      <w:bookmarkStart w:id="564" w:name="_Toc27353"/>
      <w:bookmarkStart w:id="565" w:name="_Toc18128"/>
      <w:bookmarkStart w:id="566" w:name="_Toc297123527"/>
      <w:bookmarkStart w:id="567" w:name="_Toc297216186"/>
      <w:bookmarkStart w:id="568" w:name="_Toc292559372"/>
      <w:bookmarkStart w:id="569" w:name="_Toc297048353"/>
      <w:bookmarkStart w:id="570" w:name="_Toc296890995"/>
      <w:bookmarkStart w:id="571" w:name="_Toc296346668"/>
      <w:bookmarkStart w:id="572" w:name="_Toc303539136"/>
      <w:bookmarkStart w:id="573" w:name="_Toc297120467"/>
      <w:bookmarkStart w:id="574" w:name="_Toc296503167"/>
      <w:bookmarkStart w:id="575" w:name="_Toc296891207"/>
      <w:bookmarkStart w:id="576" w:name="_Toc312678019"/>
      <w:bookmarkStart w:id="577" w:name="_Toc292559877"/>
      <w:bookmarkStart w:id="578" w:name="_Toc296347166"/>
      <w:bookmarkStart w:id="579" w:name="_Toc300934979"/>
      <w:bookmarkStart w:id="580" w:name="_Toc280868654"/>
      <w:bookmarkStart w:id="581" w:name="_Toc304295556"/>
      <w:bookmarkStart w:id="582" w:name="_Toc312677493"/>
      <w:bookmarkStart w:id="583" w:name="_Toc296944506"/>
      <w:bookmarkStart w:id="584" w:name="_Toc267251424"/>
      <w:bookmarkStart w:id="585" w:name="_Toc280868655"/>
      <w:bookmarkStart w:id="586" w:name="_Toc280868656"/>
      <w:r>
        <w:rPr>
          <w:rFonts w:hint="eastAsia" w:ascii="宋体" w:hAnsi="宋体" w:eastAsia="宋体"/>
          <w:color w:val="auto"/>
          <w:sz w:val="21"/>
          <w:szCs w:val="21"/>
          <w:highlight w:val="none"/>
        </w:rPr>
        <w:t>8.4 材料与工程设备的保管与使用</w:t>
      </w:r>
      <w:bookmarkEnd w:id="563"/>
      <w:bookmarkEnd w:id="564"/>
      <w:bookmarkEnd w:id="565"/>
    </w:p>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Pr>
        <w:pStyle w:val="302"/>
        <w:pageBreakBefore w:val="0"/>
        <w:kinsoku/>
        <w:overflowPunct/>
        <w:topLinePunct w:val="0"/>
        <w:bidi w:val="0"/>
        <w:spacing w:line="360" w:lineRule="auto"/>
        <w:ind w:firstLine="420" w:firstLineChars="200"/>
        <w:jc w:val="left"/>
        <w:outlineLvl w:val="9"/>
        <w:rPr>
          <w:rFonts w:hint="eastAsia" w:ascii="宋体" w:hAnsi="宋体" w:eastAsia="宋体"/>
          <w:color w:val="auto"/>
          <w:kern w:val="0"/>
          <w:sz w:val="21"/>
          <w:szCs w:val="21"/>
          <w:highlight w:val="none"/>
        </w:rPr>
      </w:pPr>
      <w:bookmarkStart w:id="587" w:name="_Toc292559373"/>
      <w:bookmarkStart w:id="588" w:name="_Toc292559878"/>
      <w:bookmarkStart w:id="589" w:name="_Toc297048354"/>
      <w:bookmarkStart w:id="590" w:name="_Toc312678020"/>
      <w:bookmarkStart w:id="591" w:name="_Toc296891208"/>
      <w:bookmarkStart w:id="592" w:name="_Toc312677494"/>
      <w:bookmarkStart w:id="593" w:name="_Toc296346669"/>
      <w:bookmarkStart w:id="594" w:name="_Toc297123528"/>
      <w:bookmarkStart w:id="595" w:name="_Toc297216187"/>
      <w:bookmarkStart w:id="596" w:name="_Toc304295557"/>
      <w:bookmarkStart w:id="597" w:name="_Toc318581173"/>
      <w:bookmarkStart w:id="598" w:name="_Toc297120468"/>
      <w:bookmarkStart w:id="599" w:name="_Toc296890996"/>
      <w:bookmarkStart w:id="600" w:name="_Toc303539137"/>
      <w:bookmarkStart w:id="601" w:name="_Toc296347167"/>
      <w:bookmarkStart w:id="602" w:name="_Toc296503168"/>
      <w:bookmarkStart w:id="603" w:name="_Toc300934980"/>
      <w:bookmarkStart w:id="604" w:name="_Toc296944507"/>
      <w:r>
        <w:rPr>
          <w:rFonts w:hint="eastAsia" w:ascii="宋体" w:hAnsi="宋体" w:eastAsia="宋体"/>
          <w:color w:val="auto"/>
          <w:kern w:val="0"/>
          <w:sz w:val="21"/>
          <w:szCs w:val="21"/>
          <w:highlight w:val="none"/>
        </w:rPr>
        <w:t>8.4.1发包人供应的材料设备的保管费用的承担：</w:t>
      </w:r>
      <w:r>
        <w:rPr>
          <w:rFonts w:hint="eastAsia" w:ascii="宋体" w:hAnsi="宋体" w:eastAsia="宋体"/>
          <w:color w:val="auto"/>
          <w:kern w:val="0"/>
          <w:sz w:val="21"/>
          <w:szCs w:val="21"/>
          <w:highlight w:val="none"/>
          <w:u w:val="single"/>
        </w:rPr>
        <w:t xml:space="preserve"> 材料设备堆放至发包人指定的存放地点后，所发生的一切保管、运输费用均由承包人承担，因保管不力所造成的损失由承包人负责。移交承包人之前由发包人承担  </w:t>
      </w:r>
      <w:r>
        <w:rPr>
          <w:rFonts w:hint="eastAsia" w:ascii="宋体" w:hAnsi="宋体" w:eastAsia="宋体"/>
          <w:color w:val="auto"/>
          <w:sz w:val="21"/>
          <w:szCs w:val="21"/>
          <w:highlight w:val="none"/>
        </w:rPr>
        <w:t>。</w:t>
      </w:r>
    </w:p>
    <w:bookmarkEnd w:id="587"/>
    <w:bookmarkEnd w:id="588"/>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605" w:name="_Toc373478381"/>
      <w:bookmarkEnd w:id="605"/>
      <w:bookmarkStart w:id="606" w:name="_Toc373227734"/>
      <w:bookmarkEnd w:id="606"/>
      <w:bookmarkStart w:id="607" w:name="_Toc389065300"/>
      <w:bookmarkEnd w:id="607"/>
      <w:bookmarkStart w:id="608" w:name="_Toc15900"/>
      <w:bookmarkEnd w:id="608"/>
      <w:bookmarkStart w:id="609" w:name="_Toc26748"/>
      <w:bookmarkStart w:id="610" w:name="_Toc7321"/>
      <w:bookmarkStart w:id="611" w:name="_Toc32233"/>
      <w:r>
        <w:rPr>
          <w:rFonts w:hint="eastAsia" w:ascii="宋体" w:hAnsi="宋体" w:eastAsia="宋体"/>
          <w:color w:val="auto"/>
          <w:sz w:val="21"/>
          <w:szCs w:val="21"/>
          <w:highlight w:val="none"/>
        </w:rPr>
        <w:t>8.6 样品</w:t>
      </w:r>
      <w:bookmarkEnd w:id="609"/>
      <w:bookmarkEnd w:id="610"/>
      <w:bookmarkEnd w:id="611"/>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8.6.1 样品的报送与封存</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需要承包人报送样品的材料或工程设备，样品的种类、名称、规格、数量要求：</w:t>
      </w:r>
      <w:r>
        <w:rPr>
          <w:rFonts w:hint="eastAsia" w:ascii="宋体" w:hAnsi="宋体" w:eastAsia="宋体"/>
          <w:color w:val="auto"/>
          <w:sz w:val="21"/>
          <w:szCs w:val="21"/>
          <w:highlight w:val="none"/>
          <w:u w:val="single"/>
        </w:rPr>
        <w:t>主要材料涉及品种、款式、颜色等方面内容的，承包人应提交准备合格的材料样品送发包人选定。</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612" w:name="_Toc21051"/>
      <w:bookmarkEnd w:id="612"/>
      <w:bookmarkStart w:id="613" w:name="_Toc389065301"/>
      <w:bookmarkEnd w:id="613"/>
      <w:bookmarkStart w:id="614" w:name="_Toc373227735"/>
      <w:bookmarkEnd w:id="614"/>
      <w:bookmarkStart w:id="615" w:name="_Toc373478382"/>
      <w:bookmarkEnd w:id="615"/>
      <w:bookmarkStart w:id="616" w:name="_Toc24516"/>
      <w:bookmarkStart w:id="617" w:name="_Toc27650"/>
      <w:bookmarkStart w:id="618" w:name="_Toc7931"/>
      <w:r>
        <w:rPr>
          <w:rFonts w:hint="eastAsia" w:ascii="宋体" w:hAnsi="宋体" w:eastAsia="宋体"/>
          <w:color w:val="auto"/>
          <w:sz w:val="21"/>
          <w:szCs w:val="21"/>
          <w:highlight w:val="none"/>
        </w:rPr>
        <w:t>8.8 施工设备和临时设施</w:t>
      </w:r>
      <w:bookmarkEnd w:id="616"/>
      <w:bookmarkEnd w:id="617"/>
      <w:bookmarkEnd w:id="618"/>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8.8.1 承包人提供的施工设备和临时设施</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4。</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关于修建临时设施费用承担的约定：</w:t>
      </w:r>
      <w:r>
        <w:rPr>
          <w:rFonts w:hint="eastAsia" w:ascii="宋体" w:hAnsi="宋体" w:eastAsia="宋体"/>
          <w:color w:val="auto"/>
          <w:sz w:val="21"/>
          <w:szCs w:val="21"/>
          <w:highlight w:val="none"/>
          <w:u w:val="single"/>
        </w:rPr>
        <w:t xml:space="preserve"> 由承包人</w:t>
      </w:r>
      <w:r>
        <w:rPr>
          <w:rFonts w:hint="eastAsia" w:ascii="宋体" w:hAnsi="宋体" w:eastAsia="宋体"/>
          <w:color w:val="auto"/>
          <w:sz w:val="21"/>
          <w:szCs w:val="21"/>
          <w:highlight w:val="none"/>
          <w:u w:val="single"/>
          <w:lang w:val="en-US" w:eastAsia="zh-CN"/>
        </w:rPr>
        <w:t>自行承担</w:t>
      </w:r>
      <w:r>
        <w:rPr>
          <w:rFonts w:hint="eastAsia" w:ascii="宋体" w:hAnsi="宋体" w:eastAsia="宋体"/>
          <w:color w:val="auto"/>
          <w:sz w:val="21"/>
          <w:szCs w:val="21"/>
          <w:highlight w:val="none"/>
          <w:u w:val="single"/>
        </w:rPr>
        <w:t xml:space="preserve">         </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8.8.2 发包人提供的施工设备和临时设施</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发包人提供的施工设备和临时设施：</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发包人提供的施工设备和临时设施的运行、维护、拆除、清运费用的承担人：</w:t>
      </w:r>
      <w:r>
        <w:rPr>
          <w:rFonts w:hint="eastAsia" w:ascii="宋体" w:hAnsi="宋体" w:eastAsia="宋体"/>
          <w:color w:val="auto"/>
          <w:sz w:val="21"/>
          <w:szCs w:val="21"/>
          <w:highlight w:val="none"/>
          <w:u w:val="single"/>
        </w:rPr>
        <w:t xml:space="preserve"> 承包人   </w:t>
      </w:r>
      <w:r>
        <w:rPr>
          <w:rFonts w:hint="eastAsia" w:ascii="宋体" w:hAnsi="宋体" w:eastAsia="宋体"/>
          <w:color w:val="auto"/>
          <w:sz w:val="21"/>
          <w:szCs w:val="21"/>
          <w:highlight w:val="none"/>
        </w:rPr>
        <w:t>。</w:t>
      </w:r>
    </w:p>
    <w:bookmarkEnd w:id="584"/>
    <w:bookmarkEnd w:id="585"/>
    <w:bookmarkEnd w:id="586"/>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619" w:name="_Toc389065302"/>
      <w:bookmarkEnd w:id="619"/>
      <w:bookmarkStart w:id="620" w:name="_Toc27616"/>
      <w:bookmarkEnd w:id="620"/>
      <w:bookmarkStart w:id="621" w:name="_Toc351203641"/>
      <w:bookmarkEnd w:id="621"/>
      <w:bookmarkStart w:id="622" w:name="_Toc373478383"/>
      <w:bookmarkEnd w:id="622"/>
      <w:bookmarkStart w:id="623" w:name="_Toc373227736"/>
      <w:bookmarkEnd w:id="623"/>
      <w:bookmarkStart w:id="624" w:name="_Toc1399"/>
      <w:bookmarkStart w:id="625" w:name="_Toc23229"/>
      <w:bookmarkStart w:id="626" w:name="_Toc25914"/>
      <w:bookmarkStart w:id="627" w:name="_Toc297123533"/>
      <w:bookmarkStart w:id="628" w:name="_Toc312677495"/>
      <w:bookmarkStart w:id="629" w:name="_Toc304295559"/>
      <w:bookmarkStart w:id="630" w:name="_Toc297216192"/>
      <w:bookmarkStart w:id="631" w:name="_Toc300934982"/>
      <w:bookmarkStart w:id="632" w:name="_Toc303539139"/>
      <w:bookmarkStart w:id="633" w:name="_Toc312678021"/>
      <w:bookmarkStart w:id="634" w:name="_Toc296346674"/>
      <w:bookmarkStart w:id="635" w:name="_Toc296503173"/>
      <w:bookmarkStart w:id="636" w:name="_Toc267251427"/>
      <w:bookmarkStart w:id="637" w:name="_Toc296891001"/>
      <w:bookmarkStart w:id="638" w:name="_Toc297048359"/>
      <w:bookmarkStart w:id="639" w:name="_Toc296347172"/>
      <w:bookmarkStart w:id="640" w:name="_Toc296891213"/>
      <w:bookmarkStart w:id="641" w:name="_Toc267251428"/>
      <w:bookmarkStart w:id="642" w:name="_Toc297120473"/>
      <w:bookmarkStart w:id="643" w:name="_Toc292559883"/>
      <w:bookmarkStart w:id="644" w:name="_Toc292559378"/>
      <w:bookmarkStart w:id="645" w:name="_Toc296944512"/>
      <w:r>
        <w:rPr>
          <w:rFonts w:hint="eastAsia" w:ascii="宋体" w:hAnsi="宋体" w:eastAsia="宋体"/>
          <w:color w:val="auto"/>
          <w:sz w:val="21"/>
          <w:szCs w:val="21"/>
          <w:highlight w:val="none"/>
        </w:rPr>
        <w:t>9. 试验与检验</w:t>
      </w:r>
      <w:bookmarkEnd w:id="624"/>
      <w:bookmarkEnd w:id="625"/>
      <w:bookmarkEnd w:id="626"/>
    </w:p>
    <w:bookmarkEnd w:id="627"/>
    <w:bookmarkEnd w:id="628"/>
    <w:bookmarkEnd w:id="629"/>
    <w:bookmarkEnd w:id="630"/>
    <w:bookmarkEnd w:id="631"/>
    <w:bookmarkEnd w:id="632"/>
    <w:bookmarkEnd w:id="633"/>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646" w:name="_Toc389065303"/>
      <w:bookmarkEnd w:id="646"/>
      <w:bookmarkStart w:id="647" w:name="_Toc373227737"/>
      <w:bookmarkEnd w:id="647"/>
      <w:bookmarkStart w:id="648" w:name="_Toc373478384"/>
      <w:bookmarkEnd w:id="648"/>
      <w:bookmarkStart w:id="649" w:name="_Toc8792"/>
      <w:bookmarkEnd w:id="649"/>
      <w:bookmarkStart w:id="650" w:name="_Toc11150"/>
      <w:bookmarkStart w:id="651" w:name="_Toc31080"/>
      <w:bookmarkStart w:id="652" w:name="_Toc18921"/>
      <w:bookmarkStart w:id="653" w:name="_Toc297216193"/>
      <w:bookmarkStart w:id="654" w:name="_Toc297123534"/>
      <w:bookmarkStart w:id="655" w:name="_Toc312677496"/>
      <w:bookmarkStart w:id="656" w:name="_Toc300934983"/>
      <w:bookmarkStart w:id="657" w:name="_Toc304295560"/>
      <w:bookmarkStart w:id="658" w:name="_Toc312678022"/>
      <w:bookmarkStart w:id="659" w:name="_Toc303539140"/>
      <w:r>
        <w:rPr>
          <w:rFonts w:hint="eastAsia" w:ascii="宋体" w:hAnsi="宋体" w:eastAsia="宋体"/>
          <w:color w:val="auto"/>
          <w:sz w:val="21"/>
          <w:szCs w:val="21"/>
          <w:highlight w:val="none"/>
        </w:rPr>
        <w:t>9.1 试验设备与试验人员</w:t>
      </w:r>
      <w:bookmarkEnd w:id="650"/>
      <w:bookmarkEnd w:id="651"/>
      <w:bookmarkEnd w:id="652"/>
    </w:p>
    <w:bookmarkEnd w:id="653"/>
    <w:bookmarkEnd w:id="654"/>
    <w:bookmarkEnd w:id="655"/>
    <w:bookmarkEnd w:id="656"/>
    <w:bookmarkEnd w:id="657"/>
    <w:bookmarkEnd w:id="658"/>
    <w:bookmarkEnd w:id="659"/>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660" w:name="_Toc297216194"/>
      <w:bookmarkStart w:id="661" w:name="_Toc304295561"/>
      <w:bookmarkStart w:id="662" w:name="_Toc297123535"/>
      <w:bookmarkStart w:id="663" w:name="_Toc300934984"/>
      <w:bookmarkStart w:id="664" w:name="_Toc303539141"/>
      <w:bookmarkStart w:id="665" w:name="_Toc312678023"/>
      <w:bookmarkStart w:id="666" w:name="_Toc312677497"/>
      <w:bookmarkStart w:id="667" w:name="_Toc318581174"/>
      <w:r>
        <w:rPr>
          <w:rFonts w:hint="eastAsia" w:ascii="宋体" w:hAnsi="宋体" w:eastAsia="宋体"/>
          <w:color w:val="auto"/>
          <w:sz w:val="21"/>
          <w:szCs w:val="21"/>
          <w:highlight w:val="none"/>
        </w:rPr>
        <w:t>9.1.2 试验设备</w:t>
      </w:r>
    </w:p>
    <w:bookmarkEnd w:id="660"/>
    <w:bookmarkEnd w:id="661"/>
    <w:bookmarkEnd w:id="662"/>
    <w:bookmarkEnd w:id="663"/>
    <w:bookmarkEnd w:id="664"/>
    <w:bookmarkEnd w:id="665"/>
    <w:bookmarkEnd w:id="666"/>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668" w:name="_Toc300934985"/>
      <w:bookmarkStart w:id="669" w:name="_Toc303539142"/>
      <w:bookmarkStart w:id="670" w:name="_Toc312678024"/>
      <w:bookmarkStart w:id="671" w:name="_Toc297216195"/>
      <w:bookmarkStart w:id="672" w:name="_Toc304295562"/>
      <w:bookmarkStart w:id="673" w:name="_Toc297123536"/>
      <w:bookmarkStart w:id="674" w:name="_Toc312677498"/>
      <w:r>
        <w:rPr>
          <w:rFonts w:hint="eastAsia" w:ascii="宋体" w:hAnsi="宋体" w:eastAsia="宋体"/>
          <w:color w:val="auto"/>
          <w:sz w:val="21"/>
          <w:szCs w:val="21"/>
          <w:highlight w:val="none"/>
        </w:rPr>
        <w:t>施工现场需要配置的试验场所：</w:t>
      </w:r>
      <w:r>
        <w:rPr>
          <w:rFonts w:hint="eastAsia" w:ascii="宋体" w:hAnsi="宋体" w:eastAsia="宋体"/>
          <w:color w:val="auto"/>
          <w:sz w:val="21"/>
          <w:szCs w:val="21"/>
          <w:highlight w:val="none"/>
          <w:u w:val="single"/>
        </w:rPr>
        <w:t xml:space="preserve">    由承包人自理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施工现场需要配备的试验设备：</w:t>
      </w:r>
      <w:r>
        <w:rPr>
          <w:rFonts w:hint="eastAsia" w:ascii="宋体" w:hAnsi="宋体" w:eastAsia="宋体"/>
          <w:color w:val="auto"/>
          <w:sz w:val="21"/>
          <w:szCs w:val="21"/>
          <w:highlight w:val="none"/>
          <w:u w:val="single"/>
        </w:rPr>
        <w:t xml:space="preserve">   由承包人自理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施工现场需要具备的其他试验条件：</w:t>
      </w:r>
      <w:r>
        <w:rPr>
          <w:rFonts w:hint="eastAsia" w:ascii="宋体" w:hAnsi="宋体" w:eastAsia="宋体"/>
          <w:color w:val="auto"/>
          <w:sz w:val="21"/>
          <w:szCs w:val="21"/>
          <w:highlight w:val="none"/>
          <w:u w:val="single"/>
        </w:rPr>
        <w:t xml:space="preserve">  由承包人自理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675" w:name="_Toc389065304"/>
      <w:bookmarkEnd w:id="675"/>
      <w:bookmarkStart w:id="676" w:name="_Toc373227738"/>
      <w:bookmarkEnd w:id="676"/>
      <w:bookmarkStart w:id="677" w:name="_Toc9320"/>
      <w:bookmarkEnd w:id="677"/>
      <w:bookmarkStart w:id="678" w:name="_Toc373478385"/>
      <w:bookmarkEnd w:id="678"/>
      <w:bookmarkStart w:id="679" w:name="_Toc22274"/>
      <w:bookmarkStart w:id="680" w:name="_Toc23264"/>
      <w:bookmarkStart w:id="681" w:name="_Toc1623"/>
      <w:r>
        <w:rPr>
          <w:rFonts w:hint="eastAsia" w:ascii="宋体" w:hAnsi="宋体" w:eastAsia="宋体"/>
          <w:color w:val="auto"/>
          <w:sz w:val="21"/>
          <w:szCs w:val="21"/>
          <w:highlight w:val="none"/>
        </w:rPr>
        <w:t>9.4 现场工艺试验</w:t>
      </w:r>
      <w:bookmarkEnd w:id="679"/>
      <w:bookmarkEnd w:id="680"/>
      <w:bookmarkEnd w:id="681"/>
      <w:r>
        <w:rPr>
          <w:rFonts w:hint="eastAsia" w:ascii="宋体" w:hAnsi="宋体" w:eastAsia="宋体"/>
          <w:color w:val="auto"/>
          <w:sz w:val="21"/>
          <w:szCs w:val="21"/>
          <w:highlight w:val="none"/>
        </w:rPr>
        <w:t xml:space="preserve"> </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现场工艺试验的有关约定：</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682" w:name="_Toc24256"/>
      <w:bookmarkEnd w:id="682"/>
      <w:bookmarkStart w:id="683" w:name="_Toc14797"/>
      <w:bookmarkStart w:id="684" w:name="_Toc31073"/>
      <w:bookmarkStart w:id="685" w:name="_Toc16828"/>
      <w:bookmarkStart w:id="686" w:name="OLE_LINK1"/>
      <w:r>
        <w:rPr>
          <w:rFonts w:hint="eastAsia" w:ascii="宋体" w:hAnsi="宋体" w:eastAsia="宋体"/>
          <w:color w:val="auto"/>
          <w:sz w:val="21"/>
          <w:szCs w:val="21"/>
          <w:highlight w:val="none"/>
        </w:rPr>
        <w:t>9.5 检验费用</w:t>
      </w:r>
      <w:bookmarkEnd w:id="683"/>
      <w:bookmarkEnd w:id="684"/>
      <w:bookmarkEnd w:id="685"/>
    </w:p>
    <w:p>
      <w:pPr>
        <w:pageBreakBefore w:val="0"/>
        <w:kinsoku/>
        <w:overflowPunct/>
        <w:topLinePunct w:val="0"/>
        <w:bidi w:val="0"/>
        <w:spacing w:line="360" w:lineRule="auto"/>
        <w:ind w:firstLine="411" w:firstLineChars="196"/>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根据《建设工程质量检测管理办法》（建设部令第141号）以及</w:t>
      </w:r>
      <w:r>
        <w:rPr>
          <w:rFonts w:hint="eastAsia" w:ascii="宋体" w:hAnsi="宋体" w:eastAsia="宋体"/>
          <w:bCs/>
          <w:color w:val="auto"/>
          <w:sz w:val="21"/>
          <w:szCs w:val="21"/>
          <w:highlight w:val="none"/>
        </w:rPr>
        <w:t>《广西壮族自治区建设工程质量检测管理规定》（桂建管〔2013〕11号）</w:t>
      </w:r>
      <w:r>
        <w:rPr>
          <w:rFonts w:hint="eastAsia" w:ascii="宋体" w:hAnsi="宋体" w:eastAsia="宋体"/>
          <w:color w:val="auto"/>
          <w:sz w:val="21"/>
          <w:szCs w:val="21"/>
          <w:highlight w:val="none"/>
        </w:rPr>
        <w:t>规定，工程质量检测业务由发包人委托有相应资质的检测机构检测。费用从发包人的项目建设经费中支出并直接支付给检测机构，不计入合同价款内。</w:t>
      </w:r>
    </w:p>
    <w:bookmarkEnd w:id="634"/>
    <w:bookmarkEnd w:id="635"/>
    <w:bookmarkEnd w:id="636"/>
    <w:bookmarkEnd w:id="637"/>
    <w:bookmarkEnd w:id="638"/>
    <w:bookmarkEnd w:id="639"/>
    <w:bookmarkEnd w:id="640"/>
    <w:bookmarkEnd w:id="641"/>
    <w:bookmarkEnd w:id="642"/>
    <w:bookmarkEnd w:id="643"/>
    <w:bookmarkEnd w:id="644"/>
    <w:bookmarkEnd w:id="645"/>
    <w:bookmarkEnd w:id="667"/>
    <w:bookmarkEnd w:id="668"/>
    <w:bookmarkEnd w:id="669"/>
    <w:bookmarkEnd w:id="670"/>
    <w:bookmarkEnd w:id="671"/>
    <w:bookmarkEnd w:id="672"/>
    <w:bookmarkEnd w:id="673"/>
    <w:bookmarkEnd w:id="674"/>
    <w:bookmarkEnd w:id="686"/>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687" w:name="_Toc296346694"/>
      <w:bookmarkEnd w:id="687"/>
      <w:bookmarkStart w:id="688" w:name="_Toc351203642"/>
      <w:bookmarkEnd w:id="688"/>
      <w:bookmarkStart w:id="689" w:name="_Toc296891021"/>
      <w:bookmarkEnd w:id="689"/>
      <w:bookmarkStart w:id="690" w:name="_Toc297123540"/>
      <w:bookmarkEnd w:id="690"/>
      <w:bookmarkStart w:id="691" w:name="_Toc6988"/>
      <w:bookmarkEnd w:id="691"/>
      <w:bookmarkStart w:id="692" w:name="_Toc296944532"/>
      <w:bookmarkEnd w:id="692"/>
      <w:bookmarkStart w:id="693" w:name="_Toc297048379"/>
      <w:bookmarkEnd w:id="693"/>
      <w:bookmarkStart w:id="694" w:name="_Toc296503193"/>
      <w:bookmarkEnd w:id="694"/>
      <w:bookmarkStart w:id="695" w:name="_Toc300934989"/>
      <w:bookmarkEnd w:id="695"/>
      <w:bookmarkStart w:id="696" w:name="_Toc373227739"/>
      <w:bookmarkEnd w:id="696"/>
      <w:bookmarkStart w:id="697" w:name="_Toc296347192"/>
      <w:bookmarkEnd w:id="697"/>
      <w:bookmarkStart w:id="698" w:name="_Toc389065305"/>
      <w:bookmarkEnd w:id="698"/>
      <w:bookmarkStart w:id="699" w:name="_Toc373478386"/>
      <w:bookmarkEnd w:id="699"/>
      <w:bookmarkStart w:id="700" w:name="_Toc297216199"/>
      <w:bookmarkEnd w:id="700"/>
      <w:bookmarkStart w:id="701" w:name="_Toc297120493"/>
      <w:bookmarkEnd w:id="701"/>
      <w:bookmarkStart w:id="702" w:name="_Toc296891233"/>
      <w:bookmarkEnd w:id="702"/>
      <w:bookmarkStart w:id="703" w:name="_Toc292559903"/>
      <w:bookmarkEnd w:id="703"/>
      <w:bookmarkStart w:id="704" w:name="_Toc304295566"/>
      <w:bookmarkEnd w:id="704"/>
      <w:bookmarkStart w:id="705" w:name="_Toc303539146"/>
      <w:bookmarkEnd w:id="705"/>
      <w:bookmarkStart w:id="706" w:name="_Toc292559398"/>
      <w:bookmarkEnd w:id="706"/>
      <w:bookmarkStart w:id="707" w:name="_Toc15955"/>
      <w:bookmarkStart w:id="708" w:name="_Toc25943"/>
      <w:bookmarkStart w:id="709" w:name="_Toc21373"/>
      <w:bookmarkStart w:id="710" w:name="_Toc312678025"/>
      <w:bookmarkStart w:id="711" w:name="_Toc312677499"/>
      <w:bookmarkStart w:id="712" w:name="_Toc267251441"/>
      <w:bookmarkStart w:id="713" w:name="_Toc267251439"/>
      <w:bookmarkStart w:id="714" w:name="_Toc267251437"/>
      <w:bookmarkStart w:id="715" w:name="_Toc267251435"/>
      <w:bookmarkStart w:id="716" w:name="_Toc267251440"/>
      <w:bookmarkStart w:id="717" w:name="_Toc267251433"/>
      <w:bookmarkStart w:id="718" w:name="_Toc267251442"/>
      <w:r>
        <w:rPr>
          <w:rFonts w:hint="eastAsia" w:ascii="宋体" w:hAnsi="宋体" w:eastAsia="宋体"/>
          <w:color w:val="auto"/>
          <w:sz w:val="21"/>
          <w:szCs w:val="21"/>
          <w:highlight w:val="none"/>
        </w:rPr>
        <w:t>10. 变更</w:t>
      </w:r>
      <w:bookmarkEnd w:id="707"/>
      <w:bookmarkEnd w:id="708"/>
      <w:bookmarkEnd w:id="709"/>
    </w:p>
    <w:bookmarkEnd w:id="710"/>
    <w:bookmarkEnd w:id="711"/>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719" w:name="_Toc373227740"/>
      <w:bookmarkEnd w:id="719"/>
      <w:bookmarkStart w:id="720" w:name="_Toc23389"/>
      <w:bookmarkEnd w:id="720"/>
      <w:bookmarkStart w:id="721" w:name="_Toc389065306"/>
      <w:bookmarkEnd w:id="721"/>
      <w:bookmarkStart w:id="722" w:name="_Toc373478387"/>
      <w:bookmarkEnd w:id="722"/>
      <w:bookmarkStart w:id="723" w:name="_Toc7388"/>
      <w:bookmarkStart w:id="724" w:name="_Toc4747"/>
      <w:bookmarkStart w:id="725" w:name="_Toc20584"/>
      <w:bookmarkStart w:id="726" w:name="_Toc297120494"/>
      <w:bookmarkStart w:id="727" w:name="_Toc297123541"/>
      <w:bookmarkStart w:id="728" w:name="_Toc296891022"/>
      <w:bookmarkStart w:id="729" w:name="_Toc296503194"/>
      <w:bookmarkStart w:id="730" w:name="_Toc312677500"/>
      <w:bookmarkStart w:id="731" w:name="_Toc296944533"/>
      <w:bookmarkStart w:id="732" w:name="_Toc303539147"/>
      <w:bookmarkStart w:id="733" w:name="_Toc296347193"/>
      <w:bookmarkStart w:id="734" w:name="_Toc296891234"/>
      <w:bookmarkStart w:id="735" w:name="_Toc297048380"/>
      <w:bookmarkStart w:id="736" w:name="_Toc312678026"/>
      <w:bookmarkStart w:id="737" w:name="_Toc300934990"/>
      <w:bookmarkStart w:id="738" w:name="_Toc292559399"/>
      <w:bookmarkStart w:id="739" w:name="_Toc297216200"/>
      <w:bookmarkStart w:id="740" w:name="_Toc292559904"/>
      <w:bookmarkStart w:id="741" w:name="_Toc304295567"/>
      <w:bookmarkStart w:id="742" w:name="_Toc296346695"/>
      <w:r>
        <w:rPr>
          <w:rFonts w:hint="eastAsia" w:ascii="宋体" w:hAnsi="宋体" w:eastAsia="宋体"/>
          <w:color w:val="auto"/>
          <w:sz w:val="21"/>
          <w:szCs w:val="21"/>
          <w:highlight w:val="none"/>
        </w:rPr>
        <w:t>10.1 变更的范围</w:t>
      </w:r>
      <w:bookmarkEnd w:id="723"/>
      <w:bookmarkEnd w:id="724"/>
      <w:bookmarkEnd w:id="725"/>
    </w:p>
    <w:p>
      <w:pPr>
        <w:pStyle w:val="302"/>
        <w:pageBreakBefore w:val="0"/>
        <w:kinsoku/>
        <w:overflowPunct/>
        <w:topLinePunct w:val="0"/>
        <w:bidi w:val="0"/>
        <w:spacing w:line="360" w:lineRule="auto"/>
        <w:ind w:firstLine="426"/>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关于变更的范围的约定：</w:t>
      </w:r>
      <w:r>
        <w:rPr>
          <w:rFonts w:hint="eastAsia" w:ascii="宋体" w:hAnsi="宋体" w:eastAsia="宋体"/>
          <w:color w:val="auto"/>
          <w:sz w:val="21"/>
          <w:szCs w:val="21"/>
          <w:highlight w:val="none"/>
          <w:u w:val="single"/>
        </w:rPr>
        <w:t xml:space="preserve">   除通用合同条款约定的范围外，发包人有权根据本工程的实际提出其他的变更事项。凡涉及合同价款增减变化的变更事项，必须以发包人代表及总监理工程师共同签字并经发包人盖章确认后的书面文件为准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743" w:name="_Toc373478388"/>
      <w:bookmarkEnd w:id="743"/>
      <w:bookmarkStart w:id="744" w:name="_Toc20664"/>
      <w:bookmarkEnd w:id="744"/>
      <w:bookmarkStart w:id="745" w:name="_Toc389065307"/>
      <w:bookmarkEnd w:id="745"/>
      <w:bookmarkStart w:id="746" w:name="_Toc373227741"/>
      <w:bookmarkEnd w:id="746"/>
      <w:bookmarkStart w:id="747" w:name="_Toc9613"/>
      <w:bookmarkStart w:id="748" w:name="_Toc24428"/>
      <w:bookmarkStart w:id="749" w:name="_Toc18909"/>
      <w:r>
        <w:rPr>
          <w:rFonts w:hint="eastAsia" w:ascii="宋体" w:hAnsi="宋体" w:eastAsia="宋体"/>
          <w:color w:val="auto"/>
          <w:sz w:val="21"/>
          <w:szCs w:val="21"/>
          <w:highlight w:val="none"/>
        </w:rPr>
        <w:t>10.3 变更程序</w:t>
      </w:r>
      <w:bookmarkEnd w:id="747"/>
      <w:bookmarkEnd w:id="748"/>
      <w:bookmarkEnd w:id="749"/>
    </w:p>
    <w:p>
      <w:pPr>
        <w:pStyle w:val="303"/>
        <w:pageBreakBefore w:val="0"/>
        <w:kinsoku/>
        <w:overflowPunct/>
        <w:topLinePunct w:val="0"/>
        <w:bidi w:val="0"/>
        <w:spacing w:line="360" w:lineRule="auto"/>
        <w:ind w:firstLine="441" w:firstLineChars="210"/>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10.3.1国有投资项目：</w:t>
      </w:r>
    </w:p>
    <w:p>
      <w:pPr>
        <w:pStyle w:val="303"/>
        <w:pageBreakBefore w:val="0"/>
        <w:kinsoku/>
        <w:overflowPunct/>
        <w:topLinePunct w:val="0"/>
        <w:bidi w:val="0"/>
        <w:spacing w:line="360" w:lineRule="auto"/>
        <w:ind w:firstLine="441" w:firstLineChars="210"/>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⑴设计变更和工程签证，按南宁市政府或相关部门的规定办理。属不可抗力（自然灾害、突发事件等）造成变更的，按特事特办原则予以办理。</w:t>
      </w:r>
    </w:p>
    <w:p>
      <w:pPr>
        <w:pStyle w:val="303"/>
        <w:pageBreakBefore w:val="0"/>
        <w:kinsoku/>
        <w:overflowPunct/>
        <w:topLinePunct w:val="0"/>
        <w:bidi w:val="0"/>
        <w:spacing w:line="360" w:lineRule="auto"/>
        <w:ind w:firstLine="441" w:firstLineChars="210"/>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⑵建设单位在实施项目过程中，若发生单价变动，由建设单位、监理单位、施工单位及其他相关单位共同商定并签字确认，并按规定办理相关手续。</w:t>
      </w:r>
    </w:p>
    <w:p>
      <w:pPr>
        <w:pageBreakBefore w:val="0"/>
        <w:kinsoku/>
        <w:overflowPunct/>
        <w:topLinePunct w:val="0"/>
        <w:bidi w:val="0"/>
        <w:spacing w:line="360" w:lineRule="auto"/>
        <w:ind w:firstLine="420" w:firstLineChars="200"/>
        <w:jc w:val="left"/>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pPr>
        <w:pageBreakBefore w:val="0"/>
        <w:kinsoku/>
        <w:overflowPunct/>
        <w:topLinePunct w:val="0"/>
        <w:bidi w:val="0"/>
        <w:spacing w:line="360" w:lineRule="auto"/>
        <w:ind w:firstLine="420" w:firstLineChars="200"/>
        <w:jc w:val="left"/>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 xml:space="preserve">10.3.2 非国有投资项目： </w:t>
      </w:r>
    </w:p>
    <w:p>
      <w:pPr>
        <w:pageBreakBefore w:val="0"/>
        <w:kinsoku/>
        <w:overflowPunct/>
        <w:topLinePunct w:val="0"/>
        <w:bidi w:val="0"/>
        <w:spacing w:line="360" w:lineRule="auto"/>
        <w:jc w:val="left"/>
        <w:outlineLvl w:val="9"/>
        <w:rPr>
          <w:rFonts w:hint="eastAsia" w:ascii="宋体" w:hAnsi="宋体" w:eastAsia="宋体"/>
          <w:bCs/>
          <w:color w:val="auto"/>
          <w:sz w:val="21"/>
          <w:szCs w:val="21"/>
          <w:highlight w:val="none"/>
          <w:u w:val="single"/>
        </w:rPr>
      </w:pPr>
      <w:r>
        <w:rPr>
          <w:rFonts w:hint="eastAsia" w:ascii="宋体" w:hAnsi="宋体" w:eastAsia="宋体"/>
          <w:bCs/>
          <w:color w:val="auto"/>
          <w:sz w:val="21"/>
          <w:szCs w:val="21"/>
          <w:highlight w:val="none"/>
          <w:u w:val="single"/>
        </w:rPr>
        <w:t xml:space="preserve">   </w:t>
      </w:r>
      <w:r>
        <w:rPr>
          <w:rFonts w:hint="eastAsia" w:ascii="宋体" w:hAnsi="宋体" w:eastAsia="宋体"/>
          <w:bCs/>
          <w:color w:val="auto"/>
          <w:sz w:val="21"/>
          <w:szCs w:val="21"/>
          <w:highlight w:val="none"/>
          <w:u w:val="single"/>
          <w:lang w:val="en-US" w:eastAsia="zh-CN"/>
        </w:rPr>
        <w:t>无</w:t>
      </w:r>
      <w:r>
        <w:rPr>
          <w:rFonts w:hint="eastAsia" w:ascii="宋体" w:hAnsi="宋体" w:eastAsia="宋体"/>
          <w:bCs/>
          <w:color w:val="auto"/>
          <w:sz w:val="21"/>
          <w:szCs w:val="21"/>
          <w:highlight w:val="none"/>
          <w:u w:val="single"/>
        </w:rPr>
        <w:t xml:space="preserve">  </w:t>
      </w:r>
      <w:r>
        <w:rPr>
          <w:rFonts w:hint="eastAsia" w:ascii="宋体" w:hAnsi="宋体" w:eastAsia="宋体"/>
          <w:bCs/>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750" w:name="_Toc373478389"/>
      <w:bookmarkEnd w:id="750"/>
      <w:bookmarkStart w:id="751" w:name="_Toc389065308"/>
      <w:bookmarkEnd w:id="751"/>
      <w:bookmarkStart w:id="752" w:name="_Toc373227742"/>
      <w:bookmarkEnd w:id="752"/>
      <w:bookmarkStart w:id="753" w:name="_Toc19438"/>
      <w:bookmarkEnd w:id="753"/>
      <w:bookmarkStart w:id="754" w:name="_Toc25205"/>
      <w:bookmarkStart w:id="755" w:name="_Toc31484"/>
      <w:bookmarkStart w:id="756" w:name="_Toc17437"/>
      <w:r>
        <w:rPr>
          <w:rFonts w:hint="eastAsia" w:ascii="宋体" w:hAnsi="宋体" w:eastAsia="宋体"/>
          <w:color w:val="auto"/>
          <w:sz w:val="21"/>
          <w:szCs w:val="21"/>
          <w:highlight w:val="none"/>
        </w:rPr>
        <w:t>10.4 变更估价</w:t>
      </w:r>
      <w:bookmarkEnd w:id="754"/>
      <w:bookmarkEnd w:id="755"/>
      <w:bookmarkEnd w:id="756"/>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10.4.1 变更估价原则</w:t>
      </w:r>
    </w:p>
    <w:p>
      <w:pPr>
        <w:pStyle w:val="302"/>
        <w:pageBreakBefore w:val="0"/>
        <w:kinsoku/>
        <w:overflowPunct/>
        <w:topLinePunct w:val="0"/>
        <w:bidi w:val="0"/>
        <w:spacing w:line="360" w:lineRule="auto"/>
        <w:ind w:firstLine="426"/>
        <w:jc w:val="left"/>
        <w:outlineLvl w:val="9"/>
        <w:rPr>
          <w:rFonts w:hint="eastAsia" w:ascii="宋体" w:hAnsi="宋体" w:eastAsia="宋体"/>
          <w:color w:val="auto"/>
          <w:sz w:val="21"/>
          <w:szCs w:val="21"/>
          <w:highlight w:val="none"/>
          <w:u w:val="single"/>
        </w:rPr>
      </w:pPr>
      <w:bookmarkStart w:id="757" w:name="_Toc251051742"/>
      <w:bookmarkEnd w:id="757"/>
      <w:r>
        <w:rPr>
          <w:rFonts w:hint="eastAsia" w:ascii="宋体" w:hAnsi="宋体" w:eastAsia="宋体"/>
          <w:color w:val="auto"/>
          <w:sz w:val="21"/>
          <w:szCs w:val="21"/>
          <w:highlight w:val="none"/>
        </w:rPr>
        <w:t xml:space="preserve">关于变更估价的约定: </w:t>
      </w:r>
      <w:r>
        <w:rPr>
          <w:rFonts w:hint="eastAsia" w:ascii="宋体" w:hAnsi="宋体" w:eastAsia="宋体"/>
          <w:color w:val="auto"/>
          <w:sz w:val="21"/>
          <w:szCs w:val="21"/>
          <w:highlight w:val="none"/>
          <w:u w:val="single"/>
        </w:rPr>
        <w:t>本合同实施期间因工程量清单漏项、工程变更及相关签证引起工程项目、工程量变化的,其工程量按实际发生并监理工程师及发包人确认，变更合同价款按下列方法进行：（1） 合同中已有相同清单项目的，按合同该清单项目价格进行计算；（2） 合同中只有类似清单项目的，参照该类似清单项目价格进行计算；（3）合同中没有适用或类似子目的价格计算方法：有定额的套定额（土石方工程除外），并乘以下浮系数（中标价/公布的工程招标控制价）计算，其中材料价格按施工期间的《南宁建设工程造价信息》相应价格信息进行计算；《南宁建设工程造价信息》没有相应价格信息的按市场价计算不下浮；无定额可套的，根据市场价格协商确定综合价格不下浮；新增项目的单价必须经南宁市政府财政评审中心审定。</w:t>
      </w:r>
    </w:p>
    <w:p>
      <w:pPr>
        <w:pStyle w:val="302"/>
        <w:pageBreakBefore w:val="0"/>
        <w:kinsoku/>
        <w:overflowPunct/>
        <w:topLinePunct w:val="0"/>
        <w:bidi w:val="0"/>
        <w:spacing w:line="360" w:lineRule="auto"/>
        <w:ind w:firstLine="426"/>
        <w:jc w:val="left"/>
        <w:outlineLvl w:val="9"/>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u w:val="single"/>
        </w:rPr>
        <w:t>工程变更导致实际完成的变更工程量与已标价清单或预算书中列明的该项目工程量有偏差时，其综合单价的确定按专用条款“1.13 工程量清单错误的修正”执行。</w:t>
      </w:r>
    </w:p>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758" w:name="_Toc296503197"/>
      <w:bookmarkEnd w:id="758"/>
      <w:bookmarkStart w:id="759" w:name="_Toc5293"/>
      <w:bookmarkEnd w:id="759"/>
      <w:bookmarkStart w:id="760" w:name="_Toc297216203"/>
      <w:bookmarkEnd w:id="760"/>
      <w:bookmarkStart w:id="761" w:name="_Toc303539150"/>
      <w:bookmarkEnd w:id="761"/>
      <w:bookmarkStart w:id="762" w:name="_Toc296891025"/>
      <w:bookmarkEnd w:id="762"/>
      <w:bookmarkStart w:id="763" w:name="_Toc292559907"/>
      <w:bookmarkEnd w:id="763"/>
      <w:bookmarkStart w:id="764" w:name="_Toc373478390"/>
      <w:bookmarkEnd w:id="764"/>
      <w:bookmarkStart w:id="765" w:name="_Toc292559402"/>
      <w:bookmarkEnd w:id="765"/>
      <w:bookmarkStart w:id="766" w:name="_Toc373227743"/>
      <w:bookmarkEnd w:id="766"/>
      <w:bookmarkStart w:id="767" w:name="_Toc296944536"/>
      <w:bookmarkEnd w:id="767"/>
      <w:bookmarkStart w:id="768" w:name="_Toc300934993"/>
      <w:bookmarkEnd w:id="768"/>
      <w:bookmarkStart w:id="769" w:name="_Toc296346698"/>
      <w:bookmarkEnd w:id="769"/>
      <w:bookmarkStart w:id="770" w:name="_Toc296891237"/>
      <w:bookmarkEnd w:id="770"/>
      <w:bookmarkStart w:id="771" w:name="_Toc296347196"/>
      <w:bookmarkEnd w:id="771"/>
      <w:bookmarkStart w:id="772" w:name="_Toc297123544"/>
      <w:bookmarkEnd w:id="772"/>
      <w:bookmarkStart w:id="773" w:name="_Toc297048383"/>
      <w:bookmarkEnd w:id="773"/>
      <w:bookmarkStart w:id="774" w:name="_Toc297120497"/>
      <w:bookmarkEnd w:id="774"/>
      <w:bookmarkStart w:id="775" w:name="_Toc389065309"/>
      <w:bookmarkEnd w:id="775"/>
      <w:bookmarkStart w:id="776" w:name="_Toc11001"/>
      <w:bookmarkStart w:id="777" w:name="_Toc4692"/>
      <w:bookmarkStart w:id="778" w:name="_Toc31807"/>
      <w:bookmarkStart w:id="779" w:name="_Toc296346704"/>
      <w:bookmarkStart w:id="780" w:name="_Toc292559408"/>
      <w:bookmarkStart w:id="781" w:name="_Toc312678029"/>
      <w:bookmarkStart w:id="782" w:name="_Toc312677503"/>
      <w:bookmarkStart w:id="783" w:name="_Toc296503203"/>
      <w:bookmarkStart w:id="784" w:name="_Toc304295570"/>
      <w:bookmarkStart w:id="785" w:name="_Toc296944542"/>
      <w:bookmarkStart w:id="786" w:name="_Toc297123545"/>
      <w:bookmarkStart w:id="787" w:name="_Toc303539151"/>
      <w:bookmarkStart w:id="788" w:name="_Toc296891031"/>
      <w:bookmarkStart w:id="789" w:name="_Toc297048389"/>
      <w:bookmarkStart w:id="790" w:name="_Toc297120503"/>
      <w:bookmarkStart w:id="791" w:name="_Toc300934994"/>
      <w:bookmarkStart w:id="792" w:name="_Toc296347202"/>
      <w:bookmarkStart w:id="793" w:name="_Toc292559913"/>
      <w:bookmarkStart w:id="794" w:name="_Toc297216204"/>
      <w:bookmarkStart w:id="795" w:name="_Toc296891243"/>
      <w:r>
        <w:rPr>
          <w:rFonts w:hint="eastAsia" w:ascii="宋体" w:hAnsi="宋体" w:eastAsia="宋体"/>
          <w:color w:val="auto"/>
          <w:sz w:val="21"/>
          <w:szCs w:val="21"/>
          <w:highlight w:val="none"/>
        </w:rPr>
        <w:t>10.5 承包人的合理化建议</w:t>
      </w:r>
      <w:bookmarkEnd w:id="776"/>
      <w:bookmarkEnd w:id="777"/>
      <w:bookmarkEnd w:id="778"/>
    </w:p>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监理人审查承包人合理化建议的期限：</w:t>
      </w:r>
      <w:r>
        <w:rPr>
          <w:rFonts w:hint="eastAsia" w:ascii="宋体" w:hAnsi="宋体" w:eastAsia="宋体"/>
          <w:color w:val="auto"/>
          <w:sz w:val="21"/>
          <w:szCs w:val="21"/>
          <w:highlight w:val="none"/>
          <w:u w:val="single"/>
        </w:rPr>
        <w:t xml:space="preserve"> 按通用条款 10.5 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发包人审批承包人合理化建议的期限：</w:t>
      </w:r>
      <w:r>
        <w:rPr>
          <w:rFonts w:hint="eastAsia" w:ascii="宋体" w:hAnsi="宋体" w:eastAsia="宋体"/>
          <w:color w:val="auto"/>
          <w:sz w:val="21"/>
          <w:szCs w:val="21"/>
          <w:highlight w:val="none"/>
          <w:u w:val="single"/>
        </w:rPr>
        <w:t xml:space="preserve"> 按通用条款 10.5 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796" w:name="_Toc296944543"/>
      <w:bookmarkStart w:id="797" w:name="_Toc318581175"/>
      <w:bookmarkStart w:id="798" w:name="_Toc297216205"/>
      <w:bookmarkStart w:id="799" w:name="_Toc292559914"/>
      <w:bookmarkStart w:id="800" w:name="_Toc312678030"/>
      <w:bookmarkStart w:id="801" w:name="_Toc296347203"/>
      <w:bookmarkStart w:id="802" w:name="_Toc296503204"/>
      <w:bookmarkStart w:id="803" w:name="_Toc296891032"/>
      <w:bookmarkStart w:id="804" w:name="_Toc300934995"/>
      <w:bookmarkStart w:id="805" w:name="_Toc303539152"/>
      <w:bookmarkStart w:id="806" w:name="_Toc292559409"/>
      <w:bookmarkStart w:id="807" w:name="_Toc297120504"/>
      <w:bookmarkStart w:id="808" w:name="_Toc296891244"/>
      <w:bookmarkStart w:id="809" w:name="_Toc304295571"/>
      <w:bookmarkStart w:id="810" w:name="_Toc296346705"/>
      <w:bookmarkStart w:id="811" w:name="_Toc297048390"/>
      <w:bookmarkStart w:id="812" w:name="_Toc312677504"/>
      <w:bookmarkStart w:id="813" w:name="_Toc297123546"/>
      <w:r>
        <w:rPr>
          <w:rFonts w:hint="eastAsia" w:ascii="宋体" w:hAnsi="宋体" w:eastAsia="宋体"/>
          <w:color w:val="auto"/>
          <w:sz w:val="21"/>
          <w:szCs w:val="21"/>
          <w:highlight w:val="none"/>
        </w:rPr>
        <w:t>承包人提出的合理化建议降低了合同价格或者提高了工程经济效益的奖励的方法和金额为：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814" w:name="_Toc373227744"/>
      <w:bookmarkEnd w:id="814"/>
      <w:bookmarkStart w:id="815" w:name="_Toc373478391"/>
      <w:bookmarkEnd w:id="815"/>
      <w:bookmarkStart w:id="816" w:name="_Toc389065310"/>
      <w:bookmarkEnd w:id="816"/>
      <w:bookmarkStart w:id="817" w:name="_Toc26302"/>
      <w:bookmarkEnd w:id="817"/>
      <w:bookmarkStart w:id="818" w:name="_Toc2223"/>
      <w:bookmarkStart w:id="819" w:name="_Toc30455"/>
      <w:bookmarkStart w:id="820" w:name="_Toc4816"/>
      <w:bookmarkStart w:id="821" w:name="_Toc297123548"/>
      <w:bookmarkStart w:id="822" w:name="_Toc296347198"/>
      <w:bookmarkStart w:id="823" w:name="_Toc296346700"/>
      <w:bookmarkStart w:id="824" w:name="_Toc296944538"/>
      <w:bookmarkStart w:id="825" w:name="_Toc297216207"/>
      <w:bookmarkStart w:id="826" w:name="_Toc292559404"/>
      <w:bookmarkStart w:id="827" w:name="_Toc303539154"/>
      <w:bookmarkStart w:id="828" w:name="_Toc296503199"/>
      <w:bookmarkStart w:id="829" w:name="_Toc312677507"/>
      <w:bookmarkStart w:id="830" w:name="_Toc297120499"/>
      <w:bookmarkStart w:id="831" w:name="_Toc304295574"/>
      <w:bookmarkStart w:id="832" w:name="_Toc312678033"/>
      <w:bookmarkStart w:id="833" w:name="_Toc296891027"/>
      <w:bookmarkStart w:id="834" w:name="_Toc300934997"/>
      <w:bookmarkStart w:id="835" w:name="_Toc297048385"/>
      <w:bookmarkStart w:id="836" w:name="_Toc292559909"/>
      <w:bookmarkStart w:id="837" w:name="_Toc296891239"/>
      <w:r>
        <w:rPr>
          <w:rFonts w:hint="eastAsia" w:ascii="宋体" w:hAnsi="宋体" w:eastAsia="宋体"/>
          <w:color w:val="auto"/>
          <w:sz w:val="21"/>
          <w:szCs w:val="21"/>
          <w:highlight w:val="none"/>
        </w:rPr>
        <w:t>10.7 暂估价</w:t>
      </w:r>
      <w:bookmarkEnd w:id="818"/>
      <w:bookmarkEnd w:id="819"/>
      <w:bookmarkEnd w:id="820"/>
    </w:p>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838" w:name="_Toc312678034"/>
      <w:bookmarkStart w:id="839" w:name="_Toc318581176"/>
      <w:bookmarkStart w:id="840" w:name="_Toc312677508"/>
      <w:r>
        <w:rPr>
          <w:rFonts w:hint="eastAsia" w:ascii="宋体" w:hAnsi="宋体" w:eastAsia="宋体"/>
          <w:color w:val="auto"/>
          <w:sz w:val="21"/>
          <w:szCs w:val="21"/>
          <w:highlight w:val="none"/>
        </w:rPr>
        <w:t>暂估价材料和工程设备的明细详见已标价工程量清单《材料（工程设备）暂估价格及调整表》（表12-2）和《专业工程暂估价表》（表12-3）。</w:t>
      </w:r>
    </w:p>
    <w:bookmarkEnd w:id="838"/>
    <w:bookmarkEnd w:id="839"/>
    <w:bookmarkEnd w:id="840"/>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841" w:name="_Toc312677509"/>
      <w:bookmarkStart w:id="842" w:name="_Toc318581177"/>
      <w:bookmarkStart w:id="843" w:name="_Toc312678035"/>
      <w:r>
        <w:rPr>
          <w:rFonts w:hint="eastAsia" w:ascii="宋体" w:hAnsi="宋体" w:eastAsia="宋体"/>
          <w:color w:val="auto"/>
          <w:sz w:val="21"/>
          <w:szCs w:val="21"/>
          <w:highlight w:val="none"/>
        </w:rPr>
        <w:t>10.7.1 依法必须招标的暂估价项目</w:t>
      </w:r>
    </w:p>
    <w:bookmarkEnd w:id="841"/>
    <w:bookmarkEnd w:id="842"/>
    <w:bookmarkEnd w:id="843"/>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对于依法必须招标的暂估价项目的确认和批准采取第</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种方式确定。</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10.7.2 不属于依法必须招标的暂估价项目</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对于不属于依法必须招标的暂估价项目的确认和批准采取第</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 xml:space="preserve"> 种方式确定。</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第3种方式：承包人直接实施的暂估价项目</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承包人直接实施的暂估价项目的约定：</w:t>
      </w:r>
      <w:r>
        <w:rPr>
          <w:rFonts w:hint="eastAsia" w:ascii="宋体" w:hAnsi="宋体" w:eastAsia="宋体"/>
          <w:color w:val="auto"/>
          <w:sz w:val="21"/>
          <w:szCs w:val="21"/>
          <w:highlight w:val="none"/>
          <w:u w:val="single"/>
        </w:rPr>
        <w:t xml:space="preserve">  报经发包人同意之后方可实施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844" w:name="_Toc373478392"/>
      <w:bookmarkEnd w:id="844"/>
      <w:bookmarkStart w:id="845" w:name="_Toc6476"/>
      <w:bookmarkEnd w:id="845"/>
      <w:bookmarkStart w:id="846" w:name="_Toc389065311"/>
      <w:bookmarkEnd w:id="846"/>
      <w:bookmarkStart w:id="847" w:name="_Toc373227745"/>
      <w:bookmarkEnd w:id="847"/>
      <w:bookmarkStart w:id="848" w:name="_Toc21894"/>
      <w:bookmarkStart w:id="849" w:name="_Toc20106"/>
      <w:bookmarkStart w:id="850" w:name="_Toc19723"/>
      <w:r>
        <w:rPr>
          <w:rFonts w:hint="eastAsia" w:ascii="宋体" w:hAnsi="宋体" w:eastAsia="宋体"/>
          <w:color w:val="auto"/>
          <w:sz w:val="21"/>
          <w:szCs w:val="21"/>
          <w:highlight w:val="none"/>
        </w:rPr>
        <w:t>10.8 暂列金额</w:t>
      </w:r>
      <w:bookmarkEnd w:id="848"/>
      <w:bookmarkEnd w:id="849"/>
      <w:bookmarkEnd w:id="850"/>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合同当事人关于暂列金额使用的约定：</w:t>
      </w:r>
      <w:r>
        <w:rPr>
          <w:rFonts w:hint="eastAsia" w:ascii="宋体" w:hAnsi="宋体" w:eastAsia="宋体"/>
          <w:color w:val="auto"/>
          <w:sz w:val="21"/>
          <w:szCs w:val="21"/>
          <w:highlight w:val="none"/>
          <w:u w:val="single"/>
        </w:rPr>
        <w:t xml:space="preserve"> 以发包人要求为准，内容详见工程量清单  </w:t>
      </w:r>
      <w:r>
        <w:rPr>
          <w:rFonts w:hint="eastAsia" w:ascii="宋体" w:hAnsi="宋体" w:eastAsia="宋体"/>
          <w:color w:val="auto"/>
          <w:sz w:val="21"/>
          <w:szCs w:val="21"/>
          <w:highlight w:val="none"/>
        </w:rPr>
        <w:t>。</w:t>
      </w:r>
    </w:p>
    <w:p>
      <w:pPr>
        <w:pageBreakBefore w:val="0"/>
        <w:numPr>
          <w:ilvl w:val="0"/>
          <w:numId w:val="7"/>
        </w:numPr>
        <w:kinsoku/>
        <w:overflowPunct/>
        <w:topLinePunct w:val="0"/>
        <w:bidi w:val="0"/>
        <w:spacing w:line="360" w:lineRule="auto"/>
        <w:outlineLvl w:val="1"/>
        <w:rPr>
          <w:rFonts w:hint="eastAsia" w:ascii="宋体" w:hAnsi="宋体" w:eastAsia="宋体"/>
          <w:color w:val="auto"/>
          <w:sz w:val="21"/>
          <w:szCs w:val="21"/>
          <w:highlight w:val="none"/>
        </w:rPr>
      </w:pPr>
      <w:bookmarkStart w:id="851" w:name="_Toc373227746"/>
      <w:bookmarkEnd w:id="851"/>
      <w:bookmarkStart w:id="852" w:name="_Toc15950"/>
      <w:bookmarkEnd w:id="852"/>
      <w:bookmarkStart w:id="853" w:name="_Toc389065312"/>
      <w:bookmarkEnd w:id="853"/>
      <w:bookmarkStart w:id="854" w:name="_Toc373478393"/>
      <w:bookmarkEnd w:id="854"/>
      <w:bookmarkStart w:id="855" w:name="_Toc351203643"/>
      <w:bookmarkEnd w:id="855"/>
      <w:bookmarkStart w:id="856" w:name="_Toc14806"/>
      <w:bookmarkStart w:id="857" w:name="_Toc23697"/>
      <w:bookmarkStart w:id="858" w:name="_Toc25020"/>
      <w:r>
        <w:rPr>
          <w:rFonts w:hint="eastAsia" w:ascii="宋体" w:hAnsi="宋体" w:eastAsia="宋体"/>
          <w:color w:val="auto"/>
          <w:sz w:val="21"/>
          <w:szCs w:val="21"/>
          <w:highlight w:val="none"/>
        </w:rPr>
        <w:t>价格调整</w:t>
      </w:r>
      <w:bookmarkEnd w:id="856"/>
      <w:bookmarkEnd w:id="857"/>
      <w:bookmarkEnd w:id="858"/>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①法律变化引起的调整；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②工程变更、项目特征不符、工程量清单缺项、工程量偏差引起的调整；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③计日工引起的调整。</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859" w:name="_Toc13425"/>
      <w:bookmarkEnd w:id="859"/>
      <w:bookmarkStart w:id="860" w:name="_Toc373227747"/>
      <w:bookmarkEnd w:id="860"/>
      <w:bookmarkStart w:id="861" w:name="_Toc389065313"/>
      <w:bookmarkEnd w:id="861"/>
      <w:bookmarkStart w:id="862" w:name="_Toc373478394"/>
      <w:bookmarkEnd w:id="862"/>
      <w:bookmarkStart w:id="863" w:name="_Toc31079"/>
      <w:bookmarkStart w:id="864" w:name="_Toc23740"/>
      <w:bookmarkStart w:id="865" w:name="_Toc30952"/>
      <w:bookmarkStart w:id="866" w:name="_Toc292559911"/>
      <w:bookmarkStart w:id="867" w:name="_Toc297048387"/>
      <w:bookmarkStart w:id="868" w:name="_Toc303539157"/>
      <w:bookmarkStart w:id="869" w:name="_Toc296347200"/>
      <w:bookmarkStart w:id="870" w:name="_Toc296891241"/>
      <w:bookmarkStart w:id="871" w:name="_Toc304295577"/>
      <w:bookmarkStart w:id="872" w:name="_Toc312678039"/>
      <w:bookmarkStart w:id="873" w:name="_Toc296944540"/>
      <w:bookmarkStart w:id="874" w:name="_Toc297120501"/>
      <w:bookmarkStart w:id="875" w:name="_Toc296346702"/>
      <w:bookmarkStart w:id="876" w:name="_Toc297216209"/>
      <w:bookmarkStart w:id="877" w:name="_Toc300935000"/>
      <w:bookmarkStart w:id="878" w:name="_Toc297123550"/>
      <w:bookmarkStart w:id="879" w:name="_Toc292559406"/>
      <w:bookmarkStart w:id="880" w:name="_Toc296503201"/>
      <w:bookmarkStart w:id="881" w:name="_Toc296891029"/>
      <w:r>
        <w:rPr>
          <w:rFonts w:hint="eastAsia" w:ascii="宋体" w:hAnsi="宋体" w:eastAsia="宋体"/>
          <w:color w:val="auto"/>
          <w:sz w:val="21"/>
          <w:szCs w:val="21"/>
          <w:highlight w:val="none"/>
        </w:rPr>
        <w:t>11.1 市场价格波动引起的调整</w:t>
      </w:r>
      <w:bookmarkEnd w:id="863"/>
      <w:bookmarkEnd w:id="864"/>
      <w:bookmarkEnd w:id="865"/>
    </w:p>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市场价格波动是否调整合同价格的约定：</w:t>
      </w:r>
      <w:r>
        <w:rPr>
          <w:rFonts w:hint="eastAsia" w:ascii="宋体" w:hAnsi="宋体" w:eastAsia="宋体"/>
          <w:color w:val="auto"/>
          <w:sz w:val="21"/>
          <w:szCs w:val="21"/>
          <w:highlight w:val="none"/>
          <w:u w:val="single"/>
        </w:rPr>
        <w:t xml:space="preserve"> 第三种方式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因市场价格波动调整合同价格，采用以下第</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3</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种方式对合同价格进行调整：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第1种方式：采用价格指数进行价格调整。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关于各可调因子、定值和变值权重，以及基本价格指数及其来源的约定：</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 xml:space="preserve">；  </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第2种方式：采用造价信息进行价格调整。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（1）允许调整的主要材料和设备、基期价格、风险系数、投标报价：详见《承包人提供主要材料和设备一览表》,价差调整部分仅计算税金，除此表列明的材料、设备外，其余材料设备价差原则上不予调整。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（2）主要材料和设备确认价：</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按施工期间《</w:t>
      </w:r>
      <w:r>
        <w:rPr>
          <w:rFonts w:hint="eastAsia" w:ascii="宋体" w:hAnsi="宋体" w:eastAsia="宋体"/>
          <w:color w:val="auto"/>
          <w:sz w:val="21"/>
          <w:szCs w:val="21"/>
          <w:highlight w:val="none"/>
          <w:u w:val="single"/>
        </w:rPr>
        <w:t xml:space="preserve"> 南宁 </w:t>
      </w:r>
      <w:r>
        <w:rPr>
          <w:rFonts w:hint="eastAsia" w:ascii="宋体" w:hAnsi="宋体" w:eastAsia="宋体"/>
          <w:color w:val="auto"/>
          <w:sz w:val="21"/>
          <w:szCs w:val="21"/>
          <w:highlight w:val="none"/>
        </w:rPr>
        <w:t>市建设工程造价信息》加权平均计算，信息价没有的按通用条款规定确定。</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（3）价差计算方法：</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单价*（1+风险系数），价格下跌价差=确认价-投标报价*（1+风险系数）。</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③承包人在《承包人提供主要材料和设备一览表》中载明的材料和设备单价等于基准单价的：合同履行期间材料和设备单价涨跌幅以基准单价为基础超过约定的风险范围时，其超过部分据实调整。价差计算公式：上涨或下跌价差=确认价-基准单价*（1+风险系数）</w:t>
      </w:r>
    </w:p>
    <w:p>
      <w:pPr>
        <w:pageBreakBefore w:val="0"/>
        <w:kinsoku/>
        <w:overflowPunct/>
        <w:topLinePunct w:val="0"/>
        <w:bidi w:val="0"/>
        <w:spacing w:line="360" w:lineRule="auto"/>
        <w:ind w:firstLine="645"/>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第3种方式：</w:t>
      </w:r>
      <w:r>
        <w:rPr>
          <w:rFonts w:hint="eastAsia" w:ascii="宋体" w:hAnsi="宋体" w:eastAsia="宋体"/>
          <w:color w:val="auto"/>
          <w:sz w:val="21"/>
          <w:szCs w:val="21"/>
          <w:highlight w:val="none"/>
          <w:u w:val="single"/>
        </w:rPr>
        <w:t xml:space="preserve">  其他价格调整方式：除合同约定可以调整的主要材料外，材料单价在合同实施期间不因市场价格变化因素而变动，因征地拆迁影响及重大设计变更 等发包人的原因，在招标后延迟开工或中途停建重新复工的施工工期内，主要材料涨跌的调整幅度按南重点办【2014】29 号文执行。    </w:t>
      </w:r>
      <w:r>
        <w:rPr>
          <w:rFonts w:hint="eastAsia" w:ascii="宋体" w:hAnsi="宋体" w:eastAsia="宋体"/>
          <w:color w:val="auto"/>
          <w:sz w:val="21"/>
          <w:szCs w:val="21"/>
          <w:highlight w:val="none"/>
        </w:rPr>
        <w:t xml:space="preserve"> 。</w:t>
      </w:r>
    </w:p>
    <w:bookmarkEnd w:id="712"/>
    <w:bookmarkEnd w:id="713"/>
    <w:bookmarkEnd w:id="714"/>
    <w:bookmarkEnd w:id="715"/>
    <w:bookmarkEnd w:id="716"/>
    <w:bookmarkEnd w:id="717"/>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882" w:name="_Toc296891033"/>
      <w:bookmarkEnd w:id="882"/>
      <w:bookmarkStart w:id="883" w:name="_Toc292559915"/>
      <w:bookmarkEnd w:id="883"/>
      <w:bookmarkStart w:id="884" w:name="_Toc373478395"/>
      <w:bookmarkEnd w:id="884"/>
      <w:bookmarkStart w:id="885" w:name="_Toc351203644"/>
      <w:bookmarkEnd w:id="885"/>
      <w:bookmarkStart w:id="886" w:name="_Toc296503205"/>
      <w:bookmarkEnd w:id="886"/>
      <w:bookmarkStart w:id="887" w:name="_Toc297048391"/>
      <w:bookmarkEnd w:id="887"/>
      <w:bookmarkStart w:id="888" w:name="_Toc296891245"/>
      <w:bookmarkEnd w:id="888"/>
      <w:bookmarkStart w:id="889" w:name="_Toc296346706"/>
      <w:bookmarkEnd w:id="889"/>
      <w:bookmarkStart w:id="890" w:name="_Toc4351"/>
      <w:bookmarkEnd w:id="890"/>
      <w:bookmarkStart w:id="891" w:name="_Toc296347204"/>
      <w:bookmarkEnd w:id="891"/>
      <w:bookmarkStart w:id="892" w:name="_Toc297120505"/>
      <w:bookmarkEnd w:id="892"/>
      <w:bookmarkStart w:id="893" w:name="_Toc373227748"/>
      <w:bookmarkEnd w:id="893"/>
      <w:bookmarkStart w:id="894" w:name="_Toc292559410"/>
      <w:bookmarkEnd w:id="894"/>
      <w:bookmarkStart w:id="895" w:name="_Toc296944544"/>
      <w:bookmarkEnd w:id="895"/>
      <w:bookmarkStart w:id="896" w:name="_Toc664"/>
      <w:bookmarkStart w:id="897" w:name="_Toc17658"/>
      <w:bookmarkStart w:id="898" w:name="_Toc24081"/>
      <w:bookmarkStart w:id="899" w:name="_Toc312678040"/>
      <w:bookmarkStart w:id="900" w:name="_Toc297216211"/>
      <w:bookmarkStart w:id="901" w:name="_Toc304295579"/>
      <w:bookmarkStart w:id="902" w:name="_Toc297123552"/>
      <w:bookmarkStart w:id="903" w:name="_Toc300935002"/>
      <w:bookmarkStart w:id="904" w:name="_Toc303539159"/>
      <w:r>
        <w:rPr>
          <w:rFonts w:hint="eastAsia" w:ascii="宋体" w:hAnsi="宋体" w:eastAsia="宋体"/>
          <w:color w:val="auto"/>
          <w:sz w:val="21"/>
          <w:szCs w:val="21"/>
          <w:highlight w:val="none"/>
        </w:rPr>
        <w:t>12. 合同价格、计量与支付</w:t>
      </w:r>
      <w:bookmarkEnd w:id="896"/>
      <w:bookmarkEnd w:id="897"/>
      <w:bookmarkEnd w:id="898"/>
    </w:p>
    <w:bookmarkEnd w:id="899"/>
    <w:bookmarkEnd w:id="900"/>
    <w:bookmarkEnd w:id="901"/>
    <w:bookmarkEnd w:id="902"/>
    <w:bookmarkEnd w:id="903"/>
    <w:bookmarkEnd w:id="904"/>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905" w:name="_Toc296891246"/>
      <w:bookmarkEnd w:id="905"/>
      <w:bookmarkStart w:id="906" w:name="_Toc296944545"/>
      <w:bookmarkEnd w:id="906"/>
      <w:bookmarkStart w:id="907" w:name="_Toc292559916"/>
      <w:bookmarkEnd w:id="907"/>
      <w:bookmarkStart w:id="908" w:name="_Toc296891034"/>
      <w:bookmarkEnd w:id="908"/>
      <w:bookmarkStart w:id="909" w:name="_Toc297048392"/>
      <w:bookmarkEnd w:id="909"/>
      <w:bookmarkStart w:id="910" w:name="_Toc389065314"/>
      <w:bookmarkEnd w:id="910"/>
      <w:bookmarkStart w:id="911" w:name="_Toc13093"/>
      <w:bookmarkEnd w:id="911"/>
      <w:bookmarkStart w:id="912" w:name="_Toc373478396"/>
      <w:bookmarkEnd w:id="912"/>
      <w:bookmarkStart w:id="913" w:name="_Toc292559411"/>
      <w:bookmarkEnd w:id="913"/>
      <w:bookmarkStart w:id="914" w:name="_Toc296346707"/>
      <w:bookmarkEnd w:id="914"/>
      <w:bookmarkStart w:id="915" w:name="_Toc296503206"/>
      <w:bookmarkEnd w:id="915"/>
      <w:bookmarkStart w:id="916" w:name="_Toc267251461"/>
      <w:bookmarkEnd w:id="916"/>
      <w:bookmarkStart w:id="917" w:name="_Toc373227749"/>
      <w:bookmarkEnd w:id="917"/>
      <w:bookmarkStart w:id="918" w:name="_Toc297120506"/>
      <w:bookmarkEnd w:id="918"/>
      <w:bookmarkStart w:id="919" w:name="_Toc296347205"/>
      <w:bookmarkEnd w:id="919"/>
      <w:bookmarkStart w:id="920" w:name="_Toc6175"/>
      <w:bookmarkStart w:id="921" w:name="_Toc15108"/>
      <w:bookmarkStart w:id="922" w:name="_Toc19227"/>
      <w:bookmarkStart w:id="923" w:name="_Toc297123553"/>
      <w:bookmarkStart w:id="924" w:name="_Toc297216212"/>
      <w:bookmarkStart w:id="925" w:name="_Toc300935003"/>
      <w:bookmarkStart w:id="926" w:name="_Toc304295580"/>
      <w:bookmarkStart w:id="927" w:name="_Toc312678041"/>
      <w:bookmarkStart w:id="928" w:name="_Toc303539160"/>
      <w:r>
        <w:rPr>
          <w:rFonts w:hint="eastAsia" w:ascii="宋体" w:hAnsi="宋体" w:eastAsia="宋体"/>
          <w:color w:val="auto"/>
          <w:sz w:val="21"/>
          <w:szCs w:val="21"/>
          <w:highlight w:val="none"/>
        </w:rPr>
        <w:t>12.1 合同价格形式</w:t>
      </w:r>
      <w:bookmarkEnd w:id="920"/>
      <w:bookmarkEnd w:id="921"/>
      <w:bookmarkEnd w:id="922"/>
    </w:p>
    <w:bookmarkEnd w:id="923"/>
    <w:bookmarkEnd w:id="924"/>
    <w:bookmarkEnd w:id="925"/>
    <w:bookmarkEnd w:id="926"/>
    <w:bookmarkEnd w:id="927"/>
    <w:bookmarkEnd w:id="928"/>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929" w:name="_Toc389065315"/>
      <w:bookmarkStart w:id="930" w:name="_Toc373478397"/>
      <w:bookmarkStart w:id="931" w:name="_Toc373227750"/>
      <w:bookmarkStart w:id="932" w:name="_Toc297123554"/>
      <w:bookmarkStart w:id="933" w:name="_Toc312678042"/>
      <w:bookmarkStart w:id="934" w:name="_Toc297216213"/>
      <w:bookmarkStart w:id="935" w:name="_Toc300935004"/>
      <w:bookmarkStart w:id="936" w:name="_Toc303539161"/>
      <w:bookmarkStart w:id="937" w:name="_Toc304295581"/>
      <w:bookmarkStart w:id="938" w:name="_Toc296347206"/>
      <w:bookmarkStart w:id="939" w:name="_Toc297120507"/>
      <w:bookmarkStart w:id="940" w:name="_Toc292559412"/>
      <w:bookmarkStart w:id="941" w:name="_Toc296346708"/>
      <w:bookmarkStart w:id="942" w:name="_Toc296891247"/>
      <w:bookmarkStart w:id="943" w:name="_Toc297048393"/>
      <w:bookmarkStart w:id="944" w:name="_Toc296944546"/>
      <w:bookmarkStart w:id="945" w:name="_Toc292559917"/>
      <w:bookmarkStart w:id="946" w:name="_Toc296503207"/>
      <w:bookmarkStart w:id="947" w:name="_Toc296891035"/>
      <w:r>
        <w:rPr>
          <w:rFonts w:hint="eastAsia" w:ascii="宋体" w:hAnsi="宋体" w:eastAsia="宋体"/>
          <w:color w:val="auto"/>
          <w:sz w:val="21"/>
          <w:szCs w:val="21"/>
          <w:highlight w:val="none"/>
        </w:rPr>
        <w:t>本工程采用</w:t>
      </w:r>
      <w:r>
        <w:rPr>
          <w:rFonts w:hint="eastAsia" w:ascii="宋体" w:hAnsi="宋体" w:eastAsia="宋体"/>
          <w:color w:val="auto"/>
          <w:sz w:val="21"/>
          <w:szCs w:val="21"/>
          <w:highlight w:val="none"/>
          <w:u w:val="single"/>
        </w:rPr>
        <w:t xml:space="preserve">   固定</w:t>
      </w:r>
      <w:r>
        <w:rPr>
          <w:rFonts w:hint="eastAsia" w:ascii="宋体" w:hAnsi="宋体" w:eastAsia="宋体"/>
          <w:color w:val="auto"/>
          <w:sz w:val="21"/>
          <w:szCs w:val="21"/>
          <w:highlight w:val="none"/>
          <w:u w:val="single"/>
          <w:lang w:val="en-US" w:eastAsia="zh-CN"/>
        </w:rPr>
        <w:t>综合单价</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合同价格形式，合同价格包含增值税，本工程计价时采用的增值税计税方法为：</w:t>
      </w:r>
      <w:r>
        <w:rPr>
          <w:rFonts w:hint="eastAsia" w:ascii="宋体" w:hAnsi="宋体" w:eastAsia="宋体"/>
          <w:color w:val="auto"/>
          <w:sz w:val="21"/>
          <w:szCs w:val="21"/>
          <w:highlight w:val="none"/>
        </w:rPr>
        <w:sym w:font="Wingdings 2" w:char="0052"/>
      </w:r>
      <w:r>
        <w:rPr>
          <w:rFonts w:hint="eastAsia" w:ascii="宋体" w:hAnsi="宋体" w:eastAsia="宋体"/>
          <w:color w:val="auto"/>
          <w:sz w:val="21"/>
          <w:szCs w:val="21"/>
          <w:highlight w:val="none"/>
        </w:rPr>
        <w:t>一般计税法   □简易计税法。</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（1）单价合同。</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采用综合单价合同方式时，工程量按建设单位、监理单位、施工单位三方确认的竣工图结算。</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综合单价包含的风险范围：</w:t>
      </w:r>
      <w:r>
        <w:rPr>
          <w:rFonts w:hint="eastAsia" w:ascii="宋体" w:hAnsi="宋体" w:eastAsia="宋体"/>
          <w:color w:val="auto"/>
          <w:sz w:val="21"/>
          <w:szCs w:val="21"/>
          <w:highlight w:val="none"/>
          <w:u w:val="single"/>
        </w:rPr>
        <w:t>除工程变更、项目特征不符、工程量清单缺项、工程量偏差、政策性调整、本工程《承包人提供主要材料和设备一览表》中约定的材料和设备价格变动风险以外的其他风险因素。</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风险范围以外合同价格的调整方法：</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①工程变更、项目特征不符、工程量清单缺项：按10.4.1变更估价原则的约定调整。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②工程量偏差：按1.13工程量清单错误修正的约定调整。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③政策性调整：按自治区住房城乡建设厅或工程所在地住房城乡建设主管部门颁布的文件执行。</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④材料价格风险：按11.1的约定调整。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⑤其它：</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（2）总价合同。</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总价包含的风险范围：包含除工程变更、政策性调整、</w:t>
      </w:r>
      <w:r>
        <w:rPr>
          <w:rFonts w:hint="eastAsia" w:ascii="宋体" w:hAnsi="宋体" w:eastAsia="宋体"/>
          <w:color w:val="auto"/>
          <w:sz w:val="21"/>
          <w:szCs w:val="21"/>
          <w:highlight w:val="none"/>
          <w:u w:val="single"/>
        </w:rPr>
        <w:t xml:space="preserve">本工程《承包人提供主要材料和设备一览表》中约定的材料和设备价格变动风险以外的其他风险。除工程变更外，结算时不再对招标施工图对应的工程量重新计量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风险范围以外合同价格的调整方法：</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①工程变更：按10.4.1变更估价原则的约定调整。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②政策性调整：按自治区住房城乡建设厅或工程所在地住房城乡建设主管部门颁布的文件执行。</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③材料价格风险：按11.1的约定调整。</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fldChar w:fldCharType="begin"/>
      </w:r>
      <w:r>
        <w:rPr>
          <w:rFonts w:hint="eastAsia" w:ascii="宋体" w:hAnsi="宋体" w:eastAsia="宋体"/>
          <w:color w:val="auto"/>
          <w:sz w:val="21"/>
          <w:szCs w:val="21"/>
          <w:highlight w:val="none"/>
        </w:rPr>
        <w:instrText xml:space="preserve"> = 4 \* GB3 </w:instrText>
      </w:r>
      <w:r>
        <w:rPr>
          <w:rFonts w:hint="eastAsia" w:ascii="宋体" w:hAnsi="宋体" w:eastAsia="宋体"/>
          <w:color w:val="auto"/>
          <w:sz w:val="21"/>
          <w:szCs w:val="21"/>
          <w:highlight w:val="none"/>
        </w:rPr>
        <w:fldChar w:fldCharType="separate"/>
      </w:r>
      <w:r>
        <w:rPr>
          <w:rFonts w:hint="eastAsia" w:ascii="宋体" w:hAnsi="宋体" w:eastAsia="宋体"/>
          <w:color w:val="auto"/>
          <w:sz w:val="21"/>
          <w:szCs w:val="21"/>
          <w:highlight w:val="none"/>
        </w:rPr>
        <w:t>④</w:t>
      </w:r>
      <w:r>
        <w:rPr>
          <w:rFonts w:hint="eastAsia" w:ascii="宋体" w:hAnsi="宋体" w:eastAsia="宋体"/>
          <w:color w:val="auto"/>
          <w:sz w:val="21"/>
          <w:szCs w:val="21"/>
          <w:highlight w:val="none"/>
        </w:rPr>
        <w:fldChar w:fldCharType="end"/>
      </w:r>
      <w:r>
        <w:rPr>
          <w:rFonts w:hint="eastAsia" w:ascii="宋体" w:hAnsi="宋体" w:eastAsia="宋体"/>
          <w:color w:val="auto"/>
          <w:sz w:val="21"/>
          <w:szCs w:val="21"/>
          <w:highlight w:val="none"/>
        </w:rPr>
        <w:t>其它：</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（3）其他价格方式：</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bookmarkEnd w:id="929"/>
    <w:bookmarkEnd w:id="930"/>
    <w:bookmarkEnd w:id="931"/>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948" w:name="_Toc1843"/>
      <w:bookmarkEnd w:id="948"/>
      <w:bookmarkStart w:id="949" w:name="_Toc6539"/>
      <w:bookmarkStart w:id="950" w:name="_Toc16129"/>
      <w:bookmarkStart w:id="951" w:name="_Toc31694"/>
      <w:r>
        <w:rPr>
          <w:rFonts w:hint="eastAsia" w:ascii="宋体" w:hAnsi="宋体" w:eastAsia="宋体"/>
          <w:color w:val="auto"/>
          <w:sz w:val="21"/>
          <w:szCs w:val="21"/>
          <w:highlight w:val="none"/>
        </w:rPr>
        <w:t>12.2 预付款</w:t>
      </w:r>
      <w:bookmarkEnd w:id="949"/>
      <w:bookmarkEnd w:id="950"/>
      <w:bookmarkEnd w:id="951"/>
    </w:p>
    <w:bookmarkEnd w:id="932"/>
    <w:bookmarkEnd w:id="933"/>
    <w:bookmarkEnd w:id="934"/>
    <w:bookmarkEnd w:id="935"/>
    <w:bookmarkEnd w:id="936"/>
    <w:bookmarkEnd w:id="937"/>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12.2.1 预付款的支付</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yellow"/>
        </w:rPr>
        <w:t>预付款支付比例或金额：</w:t>
      </w:r>
      <w:r>
        <w:rPr>
          <w:rFonts w:hint="eastAsia" w:ascii="宋体" w:hAnsi="宋体" w:eastAsia="宋体"/>
          <w:color w:val="auto"/>
          <w:sz w:val="21"/>
          <w:szCs w:val="21"/>
          <w:highlight w:val="yellow"/>
          <w:u w:val="single"/>
          <w:lang w:val="en-US" w:eastAsia="zh-CN"/>
        </w:rPr>
        <w:t xml:space="preserve">    合同价款</w:t>
      </w:r>
      <w:r>
        <w:rPr>
          <w:rFonts w:hint="eastAsia" w:ascii="宋体" w:hAnsi="宋体"/>
          <w:color w:val="auto"/>
          <w:sz w:val="21"/>
          <w:szCs w:val="21"/>
          <w:highlight w:val="yellow"/>
          <w:u w:val="single"/>
          <w:lang w:val="en-US" w:eastAsia="zh-CN"/>
        </w:rPr>
        <w:t>5</w:t>
      </w:r>
      <w:r>
        <w:rPr>
          <w:rFonts w:hint="eastAsia" w:ascii="宋体" w:hAnsi="宋体" w:eastAsia="宋体"/>
          <w:color w:val="auto"/>
          <w:sz w:val="21"/>
          <w:szCs w:val="21"/>
          <w:highlight w:val="yellow"/>
          <w:u w:val="single"/>
          <w:lang w:val="en-US" w:eastAsia="zh-CN"/>
        </w:rPr>
        <w:t xml:space="preserve">0%      </w:t>
      </w:r>
      <w:r>
        <w:rPr>
          <w:rFonts w:hint="eastAsia" w:ascii="宋体" w:hAnsi="宋体" w:eastAsia="宋体"/>
          <w:color w:val="auto"/>
          <w:sz w:val="21"/>
          <w:szCs w:val="21"/>
          <w:highlight w:val="yellow"/>
          <w:u w:val="single"/>
        </w:rPr>
        <w:t xml:space="preserve"> </w:t>
      </w:r>
      <w:r>
        <w:rPr>
          <w:rFonts w:hint="eastAsia" w:ascii="宋体" w:hAnsi="宋体" w:eastAsia="宋体"/>
          <w:color w:val="auto"/>
          <w:sz w:val="21"/>
          <w:szCs w:val="21"/>
          <w:highlight w:val="yellow"/>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预付款支付期限：</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签订合同10个工作日内</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预付款扣回的方式：</w:t>
      </w:r>
      <w:r>
        <w:rPr>
          <w:rFonts w:hint="eastAsia" w:ascii="宋体" w:hAnsi="宋体" w:eastAsia="宋体"/>
          <w:color w:val="auto"/>
          <w:sz w:val="21"/>
          <w:szCs w:val="21"/>
          <w:highlight w:val="none"/>
          <w:u w:val="single"/>
        </w:rPr>
        <w:t xml:space="preserve"> </w:t>
      </w:r>
      <w:r>
        <w:rPr>
          <w:rStyle w:val="304"/>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rPr>
        <w:t xml:space="preserve"> </w:t>
      </w:r>
      <w:r>
        <w:rPr>
          <w:rStyle w:val="304"/>
          <w:rFonts w:hint="eastAsia" w:ascii="宋体" w:hAnsi="宋体" w:eastAsia="宋体"/>
          <w:color w:val="auto"/>
          <w:sz w:val="21"/>
          <w:szCs w:val="21"/>
          <w:highlight w:val="none"/>
          <w:u w:val="single"/>
        </w:rPr>
        <w:t xml:space="preserve"> </w:t>
      </w:r>
      <w:r>
        <w:rPr>
          <w:rStyle w:val="304"/>
          <w:rFonts w:hint="eastAsia" w:ascii="宋体" w:hAnsi="宋体" w:eastAsia="宋体"/>
          <w:color w:val="auto"/>
          <w:sz w:val="21"/>
          <w:szCs w:val="21"/>
          <w:highlight w:val="none"/>
          <w:u w:val="single"/>
          <w:lang w:val="en-US" w:eastAsia="zh-CN"/>
        </w:rPr>
        <w:t xml:space="preserve">  </w:t>
      </w:r>
      <w:r>
        <w:rPr>
          <w:rStyle w:val="304"/>
          <w:rFonts w:hint="eastAsia" w:ascii="宋体" w:hAnsi="宋体" w:eastAsia="宋体"/>
          <w:color w:val="auto"/>
          <w:sz w:val="21"/>
          <w:szCs w:val="21"/>
          <w:highlight w:val="none"/>
          <w:u w:val="single"/>
        </w:rPr>
        <w:t xml:space="preserve">               </w:t>
      </w:r>
      <w:r>
        <w:rPr>
          <w:rStyle w:val="304"/>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12.2.2 预付款担保</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承包人提交预付款担保的期限：</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预付款担保的形式为：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bookmarkEnd w:id="938"/>
    <w:bookmarkEnd w:id="939"/>
    <w:bookmarkEnd w:id="940"/>
    <w:bookmarkEnd w:id="941"/>
    <w:bookmarkEnd w:id="942"/>
    <w:bookmarkEnd w:id="943"/>
    <w:bookmarkEnd w:id="944"/>
    <w:bookmarkEnd w:id="945"/>
    <w:bookmarkEnd w:id="946"/>
    <w:bookmarkEnd w:id="947"/>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952" w:name="_Toc373478398"/>
      <w:bookmarkStart w:id="953" w:name="_Toc373227751"/>
      <w:bookmarkStart w:id="954" w:name="_Toc389065316"/>
      <w:r>
        <w:rPr>
          <w:rFonts w:hint="eastAsia" w:ascii="宋体" w:hAnsi="宋体" w:eastAsia="宋体"/>
          <w:color w:val="auto"/>
          <w:sz w:val="21"/>
          <w:szCs w:val="21"/>
          <w:highlight w:val="none"/>
        </w:rPr>
        <w:t>预付款担保格式见合同附件8。预付款支付申请（核准）表见合同附件10。</w:t>
      </w:r>
    </w:p>
    <w:bookmarkEnd w:id="952"/>
    <w:bookmarkEnd w:id="953"/>
    <w:bookmarkEnd w:id="954"/>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955" w:name="_Toc30134"/>
      <w:bookmarkEnd w:id="955"/>
      <w:bookmarkStart w:id="956" w:name="_Toc23964"/>
      <w:bookmarkStart w:id="957" w:name="_Toc23094"/>
      <w:bookmarkStart w:id="958" w:name="_Toc6981"/>
      <w:r>
        <w:rPr>
          <w:rFonts w:hint="eastAsia" w:ascii="宋体" w:hAnsi="宋体" w:eastAsia="宋体"/>
          <w:color w:val="auto"/>
          <w:sz w:val="21"/>
          <w:szCs w:val="21"/>
          <w:highlight w:val="none"/>
        </w:rPr>
        <w:t>12.3 计量</w:t>
      </w:r>
      <w:bookmarkEnd w:id="956"/>
      <w:bookmarkEnd w:id="957"/>
      <w:bookmarkEnd w:id="958"/>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12.3.1 计量原则</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工程量计算规则：</w:t>
      </w:r>
      <w:r>
        <w:rPr>
          <w:rFonts w:hint="eastAsia" w:ascii="宋体" w:hAnsi="宋体" w:eastAsia="宋体"/>
          <w:color w:val="auto"/>
          <w:sz w:val="21"/>
          <w:szCs w:val="21"/>
          <w:highlight w:val="none"/>
          <w:u w:val="single"/>
        </w:rPr>
        <w:t>工程的计量均以《建设工程工程量清单计价规范》（GB50500－2013）和及其广西壮族自治区实施细则、《建设工程工程量清单计算规范》（GB50854~50862－2013）及其广西实施细则、本工程补充项目清单为准。</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12.3.2 计量周期</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关于计量周期的约定：</w:t>
      </w:r>
      <w:r>
        <w:rPr>
          <w:rFonts w:hint="eastAsia" w:ascii="宋体" w:hAnsi="宋体" w:eastAsia="宋体"/>
          <w:color w:val="auto"/>
          <w:sz w:val="21"/>
          <w:szCs w:val="21"/>
          <w:highlight w:val="none"/>
          <w:u w:val="single"/>
        </w:rPr>
        <w:t>每月25日前</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12.3.3 单价合同的计量</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关于单价合同计量的约定：</w:t>
      </w:r>
    </w:p>
    <w:p>
      <w:pPr>
        <w:pageBreakBefore w:val="0"/>
        <w:kinsoku/>
        <w:overflowPunct/>
        <w:topLinePunct w:val="0"/>
        <w:bidi w:val="0"/>
        <w:spacing w:line="360" w:lineRule="auto"/>
        <w:ind w:firstLine="441" w:firstLineChars="21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 工程量清单所列的工程量，不能作为承包人按合同履行其责任依据，实际施工中发生的工程量增加或减少并不影响承包人履行合同的责任，工程结算以完成的实际工程量为准。</w:t>
      </w:r>
    </w:p>
    <w:p>
      <w:pPr>
        <w:pageBreakBefore w:val="0"/>
        <w:kinsoku/>
        <w:overflowPunct/>
        <w:topLinePunct w:val="0"/>
        <w:bidi w:val="0"/>
        <w:spacing w:line="360" w:lineRule="auto"/>
        <w:ind w:firstLine="441" w:firstLineChars="21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 除另有规定外，工程师应按照合同通过计量来核实确定已完成的工程量和价款，承包人应得到该价款扣除保留金后的金额。当工程师要对已完工的工程量进行计量时，应适时地通知承包人参加。</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12.3.4 总价合同的计量</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（1）总价合同计量约定：进度款按支付分解表支付，支付分解表在招标完成后签合同之前制定，具体详见本专用合同条款12.4.6。</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12.3.6 其他价格形式合同的计量</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其他价格形式的计量方式和程序：</w:t>
      </w:r>
      <w:r>
        <w:rPr>
          <w:rFonts w:hint="eastAsia" w:ascii="宋体" w:hAnsi="宋体" w:eastAsia="宋体"/>
          <w:color w:val="auto"/>
          <w:sz w:val="21"/>
          <w:szCs w:val="21"/>
          <w:highlight w:val="none"/>
          <w:u w:val="single"/>
          <w:lang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959" w:name="_Toc389065317"/>
      <w:bookmarkEnd w:id="959"/>
      <w:bookmarkStart w:id="960" w:name="_Toc373478399"/>
      <w:bookmarkEnd w:id="960"/>
      <w:bookmarkStart w:id="961" w:name="_Toc23445"/>
      <w:bookmarkEnd w:id="961"/>
      <w:bookmarkStart w:id="962" w:name="_Toc373227752"/>
      <w:bookmarkEnd w:id="962"/>
      <w:bookmarkStart w:id="963" w:name="_Toc11124"/>
      <w:bookmarkStart w:id="964" w:name="_Toc32743"/>
      <w:bookmarkStart w:id="965" w:name="_Toc1500"/>
      <w:r>
        <w:rPr>
          <w:rFonts w:hint="eastAsia" w:ascii="宋体" w:hAnsi="宋体" w:eastAsia="宋体"/>
          <w:color w:val="auto"/>
          <w:sz w:val="21"/>
          <w:szCs w:val="21"/>
          <w:highlight w:val="none"/>
        </w:rPr>
        <w:t>12.4 工程进度款支付</w:t>
      </w:r>
      <w:bookmarkEnd w:id="963"/>
      <w:bookmarkEnd w:id="964"/>
      <w:bookmarkEnd w:id="965"/>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966" w:name="_Toc297123556"/>
      <w:bookmarkStart w:id="967" w:name="_Toc303539163"/>
      <w:bookmarkStart w:id="968" w:name="_Toc296347210"/>
      <w:bookmarkStart w:id="969" w:name="_Toc297048397"/>
      <w:bookmarkStart w:id="970" w:name="_Toc296346712"/>
      <w:bookmarkStart w:id="971" w:name="_Toc296891251"/>
      <w:bookmarkStart w:id="972" w:name="_Toc296891039"/>
      <w:bookmarkStart w:id="973" w:name="_Toc292559921"/>
      <w:bookmarkStart w:id="974" w:name="_Toc297216215"/>
      <w:bookmarkStart w:id="975" w:name="_Toc296503211"/>
      <w:bookmarkStart w:id="976" w:name="_Toc292559416"/>
      <w:bookmarkStart w:id="977" w:name="_Toc297120511"/>
      <w:bookmarkStart w:id="978" w:name="_Toc300935006"/>
      <w:bookmarkStart w:id="979" w:name="_Toc296944550"/>
      <w:r>
        <w:rPr>
          <w:rFonts w:hint="eastAsia" w:ascii="宋体" w:hAnsi="宋体" w:eastAsia="宋体"/>
          <w:color w:val="auto"/>
          <w:sz w:val="21"/>
          <w:szCs w:val="21"/>
          <w:highlight w:val="none"/>
        </w:rPr>
        <w:t>12.4.1 付款方式及条件：</w:t>
      </w:r>
      <w:r>
        <w:rPr>
          <w:rFonts w:hint="eastAsia" w:ascii="宋体" w:hAnsi="宋体" w:eastAsia="宋体"/>
          <w:color w:val="auto"/>
          <w:sz w:val="21"/>
          <w:szCs w:val="21"/>
          <w:highlight w:val="none"/>
          <w:u w:val="single"/>
          <w:lang w:val="en-US" w:eastAsia="zh-CN"/>
        </w:rPr>
        <w:t xml:space="preserve"> 签订合同10个工作日内，支付合同价款</w:t>
      </w:r>
      <w:r>
        <w:rPr>
          <w:rFonts w:hint="eastAsia" w:ascii="宋体" w:hAnsi="宋体"/>
          <w:color w:val="auto"/>
          <w:sz w:val="21"/>
          <w:szCs w:val="21"/>
          <w:highlight w:val="none"/>
          <w:u w:val="single"/>
          <w:lang w:val="en-US" w:eastAsia="zh-CN"/>
        </w:rPr>
        <w:t>5</w:t>
      </w:r>
      <w:r>
        <w:rPr>
          <w:rFonts w:hint="eastAsia" w:ascii="宋体" w:hAnsi="宋体" w:eastAsia="宋体"/>
          <w:color w:val="auto"/>
          <w:sz w:val="21"/>
          <w:szCs w:val="21"/>
          <w:highlight w:val="none"/>
          <w:u w:val="single"/>
          <w:lang w:val="en-US" w:eastAsia="zh-CN"/>
        </w:rPr>
        <w:t>0%作为工程预付款，工程施工完成并验收合格后20个工作日支付剩余合同款</w:t>
      </w:r>
      <w:r>
        <w:rPr>
          <w:rFonts w:hint="eastAsia" w:ascii="宋体" w:hAnsi="宋体"/>
          <w:color w:val="auto"/>
          <w:sz w:val="21"/>
          <w:szCs w:val="21"/>
          <w:highlight w:val="none"/>
          <w:u w:val="single"/>
          <w:lang w:val="en-US" w:eastAsia="zh-CN"/>
        </w:rPr>
        <w:t>5</w:t>
      </w:r>
      <w:r>
        <w:rPr>
          <w:rFonts w:hint="eastAsia" w:ascii="宋体" w:hAnsi="宋体" w:eastAsia="宋体"/>
          <w:color w:val="auto"/>
          <w:sz w:val="21"/>
          <w:szCs w:val="21"/>
          <w:highlight w:val="none"/>
          <w:u w:val="single"/>
          <w:lang w:val="en-US" w:eastAsia="zh-CN"/>
        </w:rPr>
        <w:t>0%</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12.4.2 进度付款申请单的编制</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关于进度付款申请单编制的约定：</w:t>
      </w:r>
      <w:r>
        <w:rPr>
          <w:rFonts w:hint="eastAsia" w:ascii="宋体" w:hAnsi="宋体" w:eastAsia="宋体"/>
          <w:color w:val="auto"/>
          <w:sz w:val="21"/>
          <w:szCs w:val="21"/>
          <w:highlight w:val="none"/>
          <w:u w:val="single"/>
        </w:rPr>
        <w:t xml:space="preserve">  按通用条款12.4.2执行   </w:t>
      </w:r>
      <w:r>
        <w:rPr>
          <w:rFonts w:hint="eastAsia" w:ascii="宋体" w:hAnsi="宋体" w:eastAsia="宋体"/>
          <w:color w:val="auto"/>
          <w:sz w:val="21"/>
          <w:szCs w:val="21"/>
          <w:highlight w:val="none"/>
        </w:rPr>
        <w:t>。</w:t>
      </w:r>
    </w:p>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12.4.3 进度付款申请单的提交</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（1）单价合同进度付款申请单提交的约定：</w:t>
      </w:r>
    </w:p>
    <w:p>
      <w:pPr>
        <w:pageBreakBefore w:val="0"/>
        <w:kinsoku/>
        <w:overflowPunct/>
        <w:topLinePunct w:val="0"/>
        <w:bidi w:val="0"/>
        <w:spacing w:line="360" w:lineRule="auto"/>
        <w:jc w:val="left"/>
        <w:outlineLvl w:val="9"/>
        <w:rPr>
          <w:rFonts w:hint="eastAsia" w:ascii="宋体" w:hAnsi="宋体" w:eastAsia="宋体"/>
          <w:bCs/>
          <w:color w:val="auto"/>
          <w:sz w:val="21"/>
          <w:szCs w:val="21"/>
          <w:highlight w:val="none"/>
          <w:u w:val="single"/>
        </w:rPr>
      </w:pPr>
      <w:r>
        <w:rPr>
          <w:rFonts w:hint="eastAsia" w:ascii="宋体" w:hAnsi="宋体" w:eastAsia="宋体"/>
          <w:bCs/>
          <w:color w:val="auto"/>
          <w:sz w:val="21"/>
          <w:szCs w:val="21"/>
          <w:highlight w:val="none"/>
          <w:u w:val="single"/>
        </w:rPr>
        <w:t xml:space="preserve">   承包人申请工程进度款时，承包人向发包人提供以下资料：①《工程用款支付证书》；②《财政性资金投资项目用款核定通知书》；③工程量计量报表（格式按财政局业务科室具体要求）</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（2）总价合同进度付款申请单提交的约定：</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（3）其他价格形式合同进度付款申请单提交的约定：</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12.4.4 进度款审核和支付</w:t>
      </w:r>
    </w:p>
    <w:p>
      <w:pPr>
        <w:pStyle w:val="302"/>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（1）监理人审查并报送发包人的期限：</w:t>
      </w:r>
      <w:r>
        <w:rPr>
          <w:rFonts w:hint="eastAsia" w:ascii="宋体" w:hAnsi="宋体" w:eastAsia="宋体" w:cs="Times New Roman"/>
          <w:color w:val="auto"/>
          <w:kern w:val="2"/>
          <w:sz w:val="21"/>
          <w:szCs w:val="21"/>
          <w:highlight w:val="none"/>
          <w:u w:val="single"/>
          <w:lang w:val="en-US" w:eastAsia="zh-CN" w:bidi="ar-SA"/>
        </w:rPr>
        <w:t xml:space="preserve"> 监理人应在收到承包人进度付款申请 单以及相关资料后 7 个工作人内完成审查并报送发包人   。</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发包人完成审批并签发进度款支付证书的期限：</w:t>
      </w:r>
      <w:r>
        <w:rPr>
          <w:rFonts w:hint="eastAsia" w:ascii="宋体" w:hAnsi="宋体" w:eastAsia="宋体"/>
          <w:color w:val="auto"/>
          <w:sz w:val="21"/>
          <w:szCs w:val="21"/>
          <w:highlight w:val="none"/>
          <w:u w:val="single"/>
        </w:rPr>
        <w:t xml:space="preserve"> 发包人应在收到后 7 </w:t>
      </w:r>
      <w:r>
        <w:rPr>
          <w:rFonts w:hint="eastAsia" w:ascii="宋体" w:hAnsi="宋体" w:eastAsia="宋体"/>
          <w:color w:val="auto"/>
          <w:sz w:val="21"/>
          <w:szCs w:val="21"/>
          <w:highlight w:val="none"/>
          <w:u w:val="single"/>
          <w:lang w:val="en-US" w:eastAsia="zh-CN"/>
        </w:rPr>
        <w:t>个工作日</w:t>
      </w:r>
      <w:r>
        <w:rPr>
          <w:rFonts w:hint="eastAsia" w:ascii="宋体" w:hAnsi="宋体" w:eastAsia="宋体"/>
          <w:color w:val="auto"/>
          <w:sz w:val="21"/>
          <w:szCs w:val="21"/>
          <w:highlight w:val="none"/>
          <w:u w:val="single"/>
        </w:rPr>
        <w:t xml:space="preserve">内完成审批并签发进度款支付证书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（2）发包人支付进度款的期限：</w:t>
      </w:r>
      <w:r>
        <w:rPr>
          <w:rFonts w:hint="eastAsia" w:ascii="宋体" w:hAnsi="宋体" w:eastAsia="宋体"/>
          <w:color w:val="auto"/>
          <w:sz w:val="21"/>
          <w:szCs w:val="21"/>
          <w:highlight w:val="none"/>
          <w:u w:val="single"/>
        </w:rPr>
        <w:t xml:space="preserve">  自收到承包人递交的申请单起15天内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发包人逾期支付进度款的违约金的计算方式：</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进度款支付方式：</w:t>
      </w:r>
      <w:r>
        <w:rPr>
          <w:rFonts w:hint="eastAsia" w:ascii="宋体" w:hAnsi="宋体" w:eastAsia="宋体"/>
          <w:color w:val="auto"/>
          <w:sz w:val="21"/>
          <w:szCs w:val="21"/>
          <w:highlight w:val="none"/>
          <w:u w:val="single"/>
        </w:rPr>
        <w:t>银行转账</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 农民工工资支付</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农民工工资应与其它工程进度款分帐管理。承包人向发包人申请工程进度款时必须把工人工资部分单独列明，如果未单独列明，监理单位不得签支付证书等支付工程款的手续，发包人单位不得审批和支付工程款。发包人必须把工程款分帐出来的农民工工资转入承包人工人工资支付专用账户专户，转入专户环节必须有银行流水凭证。</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   %，其余工程进度款项由发包人支付到承包人的单位基本户。</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%。其余分包工程进度款项由承包人支付到分包人的单位基本户。</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4）凡未向付款单位提供农民工工资专户的，或者请款单位在申请工程进度款时未将人工费单列的，付款单位有权拒绝支付工程进度款。</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5）农民工工资使用要求：专款专用，除发放工人工资外，不得用于其他用途。</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6）承包人将农民工工资支付情况定期报告发包人和监理单位，并提供相应的材料接受建设行政主管部门和劳动保障行政主管部门对此事项监管。</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（4）农民工工资支付专用账户：××××公司农民工工资支付专用账户 。账号：                   。</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12.4.6 支付分解表的编制</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 总价合同支付分解表的编制与审批：</w:t>
      </w:r>
      <w:r>
        <w:rPr>
          <w:rFonts w:hint="eastAsia" w:ascii="宋体" w:hAnsi="宋体" w:eastAsia="宋体"/>
          <w:color w:val="auto"/>
          <w:sz w:val="21"/>
          <w:szCs w:val="21"/>
          <w:highlight w:val="none"/>
          <w:u w:val="single"/>
        </w:rPr>
        <w:t xml:space="preserve">  总价合同支付分分解表在招标完成后由发包人和承包人共同编制，发包人审批，并作为本合同内容，具体详见合同附件14。</w:t>
      </w:r>
    </w:p>
    <w:p>
      <w:pPr>
        <w:pageBreakBefore w:val="0"/>
        <w:kinsoku/>
        <w:overflowPunct/>
        <w:topLinePunct w:val="0"/>
        <w:bidi w:val="0"/>
        <w:spacing w:line="360" w:lineRule="auto"/>
        <w:ind w:firstLine="525" w:firstLineChars="2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（2）单价合同的总价项目支付分解表的编制与审批：总价项目不采用支付分解表的方式计算，而按《建设工程工程量清单计价规范（GB50500-2013）广西壮族自治区实施细则》的规定执行。</w:t>
      </w:r>
    </w:p>
    <w:bookmarkEnd w:id="718"/>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980" w:name="_Toc351203645"/>
      <w:bookmarkEnd w:id="980"/>
      <w:bookmarkStart w:id="981" w:name="_Toc373478400"/>
      <w:bookmarkEnd w:id="981"/>
      <w:bookmarkStart w:id="982" w:name="_Toc372"/>
      <w:bookmarkEnd w:id="982"/>
      <w:bookmarkStart w:id="983" w:name="_Toc389065318"/>
      <w:bookmarkEnd w:id="983"/>
      <w:bookmarkStart w:id="984" w:name="_Toc373227753"/>
      <w:bookmarkEnd w:id="984"/>
      <w:bookmarkStart w:id="985" w:name="_Toc24500"/>
      <w:bookmarkStart w:id="986" w:name="_Toc23199"/>
      <w:bookmarkStart w:id="987" w:name="_Toc21701"/>
      <w:bookmarkStart w:id="988" w:name="_Toc312678053"/>
      <w:bookmarkStart w:id="989" w:name="_Toc303539172"/>
      <w:bookmarkStart w:id="990" w:name="_Toc292559929"/>
      <w:bookmarkStart w:id="991" w:name="_Toc296346720"/>
      <w:bookmarkStart w:id="992" w:name="_Toc296891047"/>
      <w:bookmarkStart w:id="993" w:name="_Toc304295593"/>
      <w:bookmarkStart w:id="994" w:name="_Toc297123564"/>
      <w:bookmarkStart w:id="995" w:name="_Toc296503219"/>
      <w:bookmarkStart w:id="996" w:name="_Toc297048405"/>
      <w:bookmarkStart w:id="997" w:name="_Toc296891259"/>
      <w:bookmarkStart w:id="998" w:name="_Toc296944558"/>
      <w:bookmarkStart w:id="999" w:name="_Toc297120519"/>
      <w:bookmarkStart w:id="1000" w:name="_Toc297216223"/>
      <w:bookmarkStart w:id="1001" w:name="_Toc296347218"/>
      <w:bookmarkStart w:id="1002" w:name="_Toc300935015"/>
      <w:bookmarkStart w:id="1003" w:name="_Toc292559424"/>
      <w:r>
        <w:rPr>
          <w:rFonts w:hint="eastAsia" w:ascii="宋体" w:hAnsi="宋体" w:eastAsia="宋体"/>
          <w:color w:val="auto"/>
          <w:sz w:val="21"/>
          <w:szCs w:val="21"/>
          <w:highlight w:val="none"/>
        </w:rPr>
        <w:t>13. 验收和工程试车</w:t>
      </w:r>
      <w:bookmarkEnd w:id="985"/>
      <w:bookmarkEnd w:id="986"/>
      <w:bookmarkEnd w:id="987"/>
    </w:p>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004" w:name="_Toc1622"/>
      <w:bookmarkEnd w:id="1004"/>
      <w:bookmarkStart w:id="1005" w:name="_Toc389065319"/>
      <w:bookmarkEnd w:id="1005"/>
      <w:bookmarkStart w:id="1006" w:name="_Toc373478401"/>
      <w:bookmarkEnd w:id="1006"/>
      <w:bookmarkStart w:id="1007" w:name="_Toc373227754"/>
      <w:bookmarkEnd w:id="1007"/>
      <w:bookmarkStart w:id="1008" w:name="_Toc503"/>
      <w:bookmarkStart w:id="1009" w:name="_Toc10825"/>
      <w:bookmarkStart w:id="1010" w:name="_Toc2686"/>
      <w:r>
        <w:rPr>
          <w:rFonts w:hint="eastAsia" w:ascii="宋体" w:hAnsi="宋体" w:eastAsia="宋体"/>
          <w:color w:val="auto"/>
          <w:sz w:val="21"/>
          <w:szCs w:val="21"/>
          <w:highlight w:val="none"/>
        </w:rPr>
        <w:t>13.1 分部分项工程验收</w:t>
      </w:r>
      <w:bookmarkEnd w:id="1008"/>
      <w:bookmarkEnd w:id="1009"/>
      <w:bookmarkEnd w:id="1010"/>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13.1.2监理人不能按时进行验收时，应提前</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24</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小时提交书面延期要求。</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关于延期最长不得超过：</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48</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小时。</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011" w:name="_Toc389065320"/>
      <w:bookmarkEnd w:id="1011"/>
      <w:bookmarkStart w:id="1012" w:name="_Toc373478402"/>
      <w:bookmarkEnd w:id="1012"/>
      <w:bookmarkStart w:id="1013" w:name="_Toc373227755"/>
      <w:bookmarkEnd w:id="1013"/>
      <w:bookmarkStart w:id="1014" w:name="_Toc23904"/>
      <w:bookmarkEnd w:id="1014"/>
      <w:bookmarkStart w:id="1015" w:name="_Toc12441"/>
      <w:bookmarkStart w:id="1016" w:name="_Toc4508"/>
      <w:bookmarkStart w:id="1017" w:name="_Toc31636"/>
      <w:bookmarkStart w:id="1018" w:name="_Toc296347222"/>
      <w:bookmarkStart w:id="1019" w:name="_Toc297048409"/>
      <w:bookmarkStart w:id="1020" w:name="_Toc292559933"/>
      <w:bookmarkStart w:id="1021" w:name="_Toc296891051"/>
      <w:bookmarkStart w:id="1022" w:name="_Toc312678056"/>
      <w:bookmarkStart w:id="1023" w:name="_Toc297120523"/>
      <w:bookmarkStart w:id="1024" w:name="_Toc296944562"/>
      <w:bookmarkStart w:id="1025" w:name="_Toc304295596"/>
      <w:bookmarkStart w:id="1026" w:name="_Toc296891263"/>
      <w:bookmarkStart w:id="1027" w:name="_Toc292559428"/>
      <w:bookmarkStart w:id="1028" w:name="_Toc297123565"/>
      <w:bookmarkStart w:id="1029" w:name="_Toc296346724"/>
      <w:bookmarkStart w:id="1030" w:name="_Toc296503223"/>
      <w:bookmarkStart w:id="1031" w:name="_Toc300935016"/>
      <w:bookmarkStart w:id="1032" w:name="_Toc303539173"/>
      <w:bookmarkStart w:id="1033" w:name="_Toc297216224"/>
      <w:bookmarkStart w:id="1034" w:name="_Toc267251471"/>
      <w:bookmarkStart w:id="1035" w:name="_Toc267251472"/>
      <w:bookmarkStart w:id="1036" w:name="_Toc267251476"/>
      <w:bookmarkStart w:id="1037" w:name="_Toc267251474"/>
      <w:bookmarkStart w:id="1038" w:name="_Toc267251475"/>
      <w:bookmarkStart w:id="1039" w:name="_Toc267251470"/>
      <w:bookmarkStart w:id="1040" w:name="_Toc267251473"/>
      <w:r>
        <w:rPr>
          <w:rFonts w:hint="eastAsia" w:ascii="宋体" w:hAnsi="宋体" w:eastAsia="宋体"/>
          <w:color w:val="auto"/>
          <w:sz w:val="21"/>
          <w:szCs w:val="21"/>
          <w:highlight w:val="none"/>
        </w:rPr>
        <w:t>13.2 竣工验收</w:t>
      </w:r>
      <w:bookmarkEnd w:id="1015"/>
      <w:bookmarkEnd w:id="1016"/>
      <w:bookmarkEnd w:id="1017"/>
    </w:p>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1041" w:name="_Toc280868704"/>
      <w:bookmarkStart w:id="1042" w:name="_Toc280868705"/>
      <w:bookmarkStart w:id="1043" w:name="_Toc280868706"/>
      <w:bookmarkStart w:id="1044" w:name="_Toc280868707"/>
      <w:bookmarkStart w:id="1045" w:name="_Toc280868708"/>
      <w:bookmarkStart w:id="1046" w:name="_Toc280868709"/>
      <w:r>
        <w:rPr>
          <w:rFonts w:hint="eastAsia" w:ascii="宋体" w:hAnsi="宋体" w:eastAsia="宋体"/>
          <w:color w:val="auto"/>
          <w:sz w:val="21"/>
          <w:szCs w:val="21"/>
          <w:highlight w:val="none"/>
        </w:rPr>
        <w:t>13.2.1竣工验收条件</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竣工验收资料的份数：</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承包人提供竣工图的约定：</w:t>
      </w:r>
      <w:r>
        <w:rPr>
          <w:rFonts w:hint="eastAsia" w:ascii="宋体" w:hAnsi="宋体" w:eastAsia="宋体"/>
          <w:bCs/>
          <w:color w:val="auto"/>
          <w:sz w:val="21"/>
          <w:szCs w:val="21"/>
          <w:highlight w:val="none"/>
          <w:u w:val="single"/>
        </w:rPr>
        <w:t>竣工验收正式通过后5天（工程造价在500万元以下含500万元）、10天（工程造价在500万元至1000万元之间含1000万元）、15天（工程造价在1000万元以上），提供竣工图的数量分别为2套、4套、6套。</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13.2.2竣工验收程序</w:t>
      </w:r>
    </w:p>
    <w:bookmarkEnd w:id="1041"/>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关于竣工验收程序的约定：</w:t>
      </w:r>
      <w:r>
        <w:rPr>
          <w:rFonts w:hint="eastAsia" w:ascii="宋体" w:hAnsi="宋体" w:eastAsia="宋体"/>
          <w:color w:val="auto"/>
          <w:sz w:val="21"/>
          <w:szCs w:val="21"/>
          <w:highlight w:val="none"/>
          <w:u w:val="single"/>
        </w:rPr>
        <w:t xml:space="preserve">   按通用条款 13.2.2 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发包人不按照本项约定组织竣工验收、颁发工程接收证书的违约金的计算方法：</w:t>
      </w:r>
      <w:r>
        <w:rPr>
          <w:rFonts w:hint="eastAsia" w:ascii="宋体" w:hAnsi="宋体" w:eastAsia="宋体"/>
          <w:color w:val="auto"/>
          <w:sz w:val="21"/>
          <w:szCs w:val="21"/>
          <w:highlight w:val="none"/>
          <w:u w:val="single"/>
        </w:rPr>
        <w:t xml:space="preserve">         </w:t>
      </w:r>
    </w:p>
    <w:p>
      <w:pPr>
        <w:pageBreakBefore w:val="0"/>
        <w:kinsoku/>
        <w:overflowPunct/>
        <w:topLinePunct w:val="0"/>
        <w:bidi w:val="0"/>
        <w:spacing w:line="360" w:lineRule="auto"/>
        <w:jc w:val="left"/>
        <w:outlineLvl w:val="9"/>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bookmarkEnd w:id="1042"/>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13.2.5移交、接收全部与部分工程</w:t>
      </w:r>
    </w:p>
    <w:bookmarkEnd w:id="1043"/>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承包人向发包人移交工程的期限：</w:t>
      </w:r>
      <w:r>
        <w:rPr>
          <w:rFonts w:hint="eastAsia" w:ascii="宋体" w:hAnsi="宋体" w:eastAsia="宋体"/>
          <w:color w:val="auto"/>
          <w:sz w:val="21"/>
          <w:szCs w:val="21"/>
          <w:highlight w:val="none"/>
          <w:u w:val="single"/>
        </w:rPr>
        <w:t xml:space="preserve"> 颁发工程接收证书后 7 </w:t>
      </w:r>
      <w:r>
        <w:rPr>
          <w:rFonts w:hint="eastAsia" w:ascii="宋体" w:hAnsi="宋体" w:eastAsia="宋体"/>
          <w:color w:val="auto"/>
          <w:sz w:val="21"/>
          <w:szCs w:val="21"/>
          <w:highlight w:val="none"/>
          <w:u w:val="single"/>
          <w:lang w:val="en-US" w:eastAsia="zh-CN"/>
        </w:rPr>
        <w:t>个工作日</w:t>
      </w:r>
      <w:r>
        <w:rPr>
          <w:rFonts w:hint="eastAsia" w:ascii="宋体" w:hAnsi="宋体" w:eastAsia="宋体"/>
          <w:color w:val="auto"/>
          <w:sz w:val="21"/>
          <w:szCs w:val="21"/>
          <w:highlight w:val="none"/>
          <w:u w:val="single"/>
        </w:rPr>
        <w:t xml:space="preserve">内完成工程的移交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发包人未按本合同约定接收全部或部分工程的，违约金的计算方法为：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bookmarkEnd w:id="1044"/>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承包人未按时移交工程的，违约金的计算方法为：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047" w:name="_Toc389065321"/>
      <w:bookmarkEnd w:id="1047"/>
      <w:bookmarkStart w:id="1048" w:name="_Toc2983"/>
      <w:bookmarkEnd w:id="1048"/>
      <w:bookmarkStart w:id="1049" w:name="_Toc373478403"/>
      <w:bookmarkEnd w:id="1049"/>
      <w:bookmarkStart w:id="1050" w:name="_Toc373227756"/>
      <w:bookmarkEnd w:id="1050"/>
      <w:bookmarkStart w:id="1051" w:name="_Toc11553"/>
      <w:bookmarkStart w:id="1052" w:name="_Toc26527"/>
      <w:bookmarkStart w:id="1053" w:name="_Toc5246"/>
      <w:r>
        <w:rPr>
          <w:rFonts w:hint="eastAsia" w:ascii="宋体" w:hAnsi="宋体" w:eastAsia="宋体"/>
          <w:color w:val="auto"/>
          <w:sz w:val="21"/>
          <w:szCs w:val="21"/>
          <w:highlight w:val="none"/>
        </w:rPr>
        <w:t>13.3 工程试车</w:t>
      </w:r>
      <w:bookmarkEnd w:id="1051"/>
      <w:bookmarkEnd w:id="1052"/>
      <w:bookmarkEnd w:id="1053"/>
    </w:p>
    <w:bookmarkEnd w:id="1045"/>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13.3.1 试车程序</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工程试车内容：</w:t>
      </w:r>
      <w:r>
        <w:rPr>
          <w:rFonts w:hint="eastAsia" w:ascii="宋体" w:hAnsi="宋体" w:eastAsia="宋体"/>
          <w:color w:val="auto"/>
          <w:sz w:val="21"/>
          <w:szCs w:val="21"/>
          <w:highlight w:val="none"/>
          <w:u w:val="single"/>
        </w:rPr>
        <w:t xml:space="preserve">    按通用条款 13.3.1 条执行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（1）单机无负荷试车费用由</w:t>
      </w:r>
      <w:r>
        <w:rPr>
          <w:rFonts w:hint="eastAsia" w:ascii="宋体" w:hAnsi="宋体" w:eastAsia="宋体"/>
          <w:color w:val="auto"/>
          <w:sz w:val="21"/>
          <w:szCs w:val="21"/>
          <w:highlight w:val="none"/>
          <w:u w:val="single"/>
        </w:rPr>
        <w:t xml:space="preserve">   承包人        </w:t>
      </w:r>
      <w:r>
        <w:rPr>
          <w:rFonts w:hint="eastAsia" w:ascii="宋体" w:hAnsi="宋体" w:eastAsia="宋体"/>
          <w:color w:val="auto"/>
          <w:sz w:val="21"/>
          <w:szCs w:val="21"/>
          <w:highlight w:val="none"/>
        </w:rPr>
        <w:t>承担；</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（2）无负荷联动试车费用由</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承包人        </w:t>
      </w:r>
      <w:r>
        <w:rPr>
          <w:rFonts w:hint="eastAsia" w:ascii="宋体" w:hAnsi="宋体" w:eastAsia="宋体"/>
          <w:color w:val="auto"/>
          <w:sz w:val="21"/>
          <w:szCs w:val="21"/>
          <w:highlight w:val="none"/>
        </w:rPr>
        <w:t>承担。</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13.3.3 投料试车</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关于投料试车相关事项的约定：</w:t>
      </w:r>
      <w:r>
        <w:rPr>
          <w:rFonts w:hint="eastAsia" w:ascii="宋体" w:hAnsi="宋体" w:eastAsia="宋体"/>
          <w:color w:val="auto"/>
          <w:sz w:val="21"/>
          <w:szCs w:val="21"/>
          <w:highlight w:val="none"/>
          <w:u w:val="single"/>
        </w:rPr>
        <w:t xml:space="preserve">  投料试运行应在工程竣工验收后由发包人负责，如发包人要求在工程竣工验收前进行或需要承包人配合时，应征得承包人同意，另行签订补充协议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054" w:name="_Toc389065322"/>
      <w:bookmarkEnd w:id="1054"/>
      <w:bookmarkStart w:id="1055" w:name="_Toc31058"/>
      <w:bookmarkEnd w:id="1055"/>
      <w:bookmarkStart w:id="1056" w:name="_Toc373478404"/>
      <w:bookmarkEnd w:id="1056"/>
      <w:bookmarkStart w:id="1057" w:name="_Toc373227757"/>
      <w:bookmarkEnd w:id="1057"/>
      <w:bookmarkStart w:id="1058" w:name="_Toc30483"/>
      <w:bookmarkStart w:id="1059" w:name="_Toc17256"/>
      <w:bookmarkStart w:id="1060" w:name="_Toc31468"/>
      <w:r>
        <w:rPr>
          <w:rFonts w:hint="eastAsia" w:ascii="宋体" w:hAnsi="宋体" w:eastAsia="宋体"/>
          <w:color w:val="auto"/>
          <w:sz w:val="21"/>
          <w:szCs w:val="21"/>
          <w:highlight w:val="none"/>
        </w:rPr>
        <w:t>13.6 竣工退场</w:t>
      </w:r>
      <w:bookmarkEnd w:id="1058"/>
      <w:bookmarkEnd w:id="1059"/>
      <w:bookmarkEnd w:id="1060"/>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13.6.1 竣工退场</w:t>
      </w:r>
    </w:p>
    <w:p>
      <w:pPr>
        <w:pStyle w:val="302"/>
        <w:pageBreakBefore w:val="0"/>
        <w:kinsoku/>
        <w:overflowPunct/>
        <w:topLinePunct w:val="0"/>
        <w:bidi w:val="0"/>
        <w:spacing w:line="360" w:lineRule="auto"/>
        <w:ind w:firstLine="420" w:firstLineChars="200"/>
        <w:jc w:val="left"/>
        <w:outlineLvl w:val="9"/>
        <w:rPr>
          <w:rFonts w:hint="eastAsia" w:ascii="宋体" w:hAnsi="宋体" w:eastAsia="宋体"/>
          <w:color w:val="auto"/>
          <w:kern w:val="0"/>
          <w:sz w:val="21"/>
          <w:szCs w:val="21"/>
          <w:highlight w:val="none"/>
        </w:rPr>
      </w:pPr>
      <w:r>
        <w:rPr>
          <w:rFonts w:hint="eastAsia" w:ascii="宋体" w:hAnsi="宋体" w:eastAsia="宋体"/>
          <w:color w:val="auto"/>
          <w:kern w:val="0"/>
          <w:sz w:val="21"/>
          <w:szCs w:val="21"/>
          <w:highlight w:val="none"/>
        </w:rPr>
        <w:t>承包人完成竣工退场的期限：</w:t>
      </w:r>
      <w:r>
        <w:rPr>
          <w:rFonts w:hint="eastAsia" w:ascii="宋体" w:hAnsi="宋体" w:eastAsia="宋体"/>
          <w:color w:val="auto"/>
          <w:sz w:val="21"/>
          <w:szCs w:val="21"/>
          <w:highlight w:val="none"/>
          <w:u w:val="single"/>
        </w:rPr>
        <w:t xml:space="preserve">  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  </w:t>
      </w:r>
      <w:r>
        <w:rPr>
          <w:rFonts w:hint="eastAsia" w:ascii="宋体" w:hAnsi="宋体" w:eastAsia="宋体"/>
          <w:color w:val="auto"/>
          <w:kern w:val="0"/>
          <w:sz w:val="21"/>
          <w:szCs w:val="21"/>
          <w:highlight w:val="none"/>
        </w:rPr>
        <w:t>。</w:t>
      </w:r>
    </w:p>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1061" w:name="_Toc351203646"/>
      <w:bookmarkEnd w:id="1061"/>
      <w:bookmarkStart w:id="1062" w:name="_Toc373478405"/>
      <w:bookmarkEnd w:id="1062"/>
      <w:bookmarkStart w:id="1063" w:name="_Toc373227758"/>
      <w:bookmarkEnd w:id="1063"/>
      <w:bookmarkStart w:id="1064" w:name="_Toc20157"/>
      <w:bookmarkEnd w:id="1064"/>
      <w:bookmarkStart w:id="1065" w:name="_Toc389065323"/>
      <w:bookmarkEnd w:id="1065"/>
      <w:bookmarkStart w:id="1066" w:name="_Toc12755"/>
      <w:bookmarkStart w:id="1067" w:name="_Toc20796"/>
      <w:bookmarkStart w:id="1068" w:name="_Toc29014"/>
      <w:r>
        <w:rPr>
          <w:rFonts w:hint="eastAsia" w:ascii="宋体" w:hAnsi="宋体" w:eastAsia="宋体"/>
          <w:color w:val="auto"/>
          <w:sz w:val="21"/>
          <w:szCs w:val="21"/>
          <w:highlight w:val="none"/>
        </w:rPr>
        <w:t>14. 竣工结算</w:t>
      </w:r>
      <w:bookmarkEnd w:id="1066"/>
      <w:bookmarkEnd w:id="1067"/>
      <w:bookmarkEnd w:id="1068"/>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069" w:name="_Toc373227759"/>
      <w:bookmarkEnd w:id="1069"/>
      <w:bookmarkStart w:id="1070" w:name="_Toc7016"/>
      <w:bookmarkEnd w:id="1070"/>
      <w:bookmarkStart w:id="1071" w:name="_Toc389065324"/>
      <w:bookmarkEnd w:id="1071"/>
      <w:bookmarkStart w:id="1072" w:name="_Toc373478406"/>
      <w:bookmarkEnd w:id="1072"/>
      <w:bookmarkStart w:id="1073" w:name="_Toc12520"/>
      <w:bookmarkStart w:id="1074" w:name="_Toc11658"/>
      <w:bookmarkStart w:id="1075" w:name="_Toc359"/>
      <w:r>
        <w:rPr>
          <w:rFonts w:hint="eastAsia" w:ascii="宋体" w:hAnsi="宋体" w:eastAsia="宋体"/>
          <w:color w:val="auto"/>
          <w:sz w:val="21"/>
          <w:szCs w:val="21"/>
          <w:highlight w:val="none"/>
        </w:rPr>
        <w:t>14.1 竣工付款申请</w:t>
      </w:r>
      <w:bookmarkEnd w:id="1073"/>
      <w:bookmarkEnd w:id="1074"/>
      <w:bookmarkEnd w:id="1075"/>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bookmarkStart w:id="1076" w:name="_Toc389065325"/>
      <w:bookmarkStart w:id="1077" w:name="_Toc373227760"/>
      <w:bookmarkStart w:id="1078" w:name="_Toc373478407"/>
      <w:r>
        <w:rPr>
          <w:rFonts w:hint="eastAsia" w:ascii="宋体" w:hAnsi="宋体" w:eastAsia="宋体"/>
          <w:color w:val="auto"/>
          <w:sz w:val="21"/>
          <w:szCs w:val="21"/>
          <w:highlight w:val="none"/>
        </w:rPr>
        <w:t>承包人提交竣工付款申请单的期限：</w:t>
      </w:r>
      <w:r>
        <w:rPr>
          <w:rFonts w:hint="eastAsia" w:ascii="宋体" w:hAnsi="宋体" w:eastAsia="宋体"/>
          <w:color w:val="auto"/>
          <w:sz w:val="21"/>
          <w:szCs w:val="21"/>
          <w:highlight w:val="none"/>
          <w:u w:val="single"/>
        </w:rPr>
        <w:t xml:space="preserve"> 本工程结算审定后 28 日内  </w:t>
      </w:r>
      <w:r>
        <w:rPr>
          <w:rFonts w:hint="eastAsia" w:ascii="宋体" w:hAnsi="宋体" w:eastAsia="宋体"/>
          <w:color w:val="auto"/>
          <w:sz w:val="21"/>
          <w:szCs w:val="21"/>
          <w:highlight w:val="none"/>
        </w:rPr>
        <w:t>。</w:t>
      </w:r>
    </w:p>
    <w:p>
      <w:pPr>
        <w:pStyle w:val="302"/>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竣工付款申请单应包括的内容：</w:t>
      </w:r>
      <w:r>
        <w:rPr>
          <w:rFonts w:hint="eastAsia" w:ascii="宋体" w:hAnsi="宋体" w:eastAsia="宋体"/>
          <w:color w:val="auto"/>
          <w:sz w:val="21"/>
          <w:szCs w:val="21"/>
          <w:highlight w:val="none"/>
          <w:u w:val="single"/>
        </w:rPr>
        <w:t xml:space="preserve">   除通用合同条款第 14.1 款约定的内容外，还应包括：工程结算审核结论书   </w:t>
      </w:r>
      <w:r>
        <w:rPr>
          <w:rFonts w:hint="eastAsia" w:ascii="宋体" w:hAnsi="宋体" w:eastAsia="宋体"/>
          <w:color w:val="auto"/>
          <w:sz w:val="21"/>
          <w:szCs w:val="21"/>
          <w:highlight w:val="none"/>
        </w:rPr>
        <w:t>。竣工结算款支付申请（核准）表见合同附件12。</w:t>
      </w:r>
    </w:p>
    <w:bookmarkEnd w:id="1076"/>
    <w:bookmarkEnd w:id="1077"/>
    <w:bookmarkEnd w:id="1078"/>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079" w:name="_Toc5653"/>
      <w:bookmarkEnd w:id="1079"/>
      <w:bookmarkStart w:id="1080" w:name="_Toc27744"/>
      <w:bookmarkStart w:id="1081" w:name="_Toc819"/>
      <w:bookmarkStart w:id="1082" w:name="_Toc31794"/>
      <w:r>
        <w:rPr>
          <w:rFonts w:hint="eastAsia" w:ascii="宋体" w:hAnsi="宋体" w:eastAsia="宋体"/>
          <w:color w:val="auto"/>
          <w:sz w:val="21"/>
          <w:szCs w:val="21"/>
          <w:highlight w:val="none"/>
        </w:rPr>
        <w:t>14.2 竣工结算审核</w:t>
      </w:r>
      <w:bookmarkEnd w:id="1080"/>
      <w:bookmarkEnd w:id="1081"/>
      <w:bookmarkEnd w:id="1082"/>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发包人审批竣工付款申请单的期限：</w:t>
      </w:r>
    </w:p>
    <w:tbl>
      <w:tblPr>
        <w:tblStyle w:val="46"/>
        <w:tblW w:w="95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2643"/>
        <w:gridCol w:w="6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 w:type="dxa"/>
            <w:noWrap w:val="0"/>
            <w:vAlign w:val="center"/>
          </w:tcPr>
          <w:p>
            <w:pPr>
              <w:pageBreakBefore w:val="0"/>
              <w:kinsoku/>
              <w:overflowPunct/>
              <w:topLinePunct w:val="0"/>
              <w:bidi w:val="0"/>
              <w:spacing w:line="360" w:lineRule="auto"/>
              <w:outlineLvl w:val="9"/>
              <w:rPr>
                <w:rFonts w:hint="eastAsia" w:ascii="宋体" w:hAnsi="宋体" w:eastAsia="宋体"/>
                <w:bCs/>
                <w:color w:val="auto"/>
                <w:sz w:val="21"/>
                <w:szCs w:val="21"/>
                <w:highlight w:val="none"/>
              </w:rPr>
            </w:pPr>
          </w:p>
        </w:tc>
        <w:tc>
          <w:tcPr>
            <w:tcW w:w="2643" w:type="dxa"/>
            <w:noWrap w:val="0"/>
            <w:vAlign w:val="center"/>
          </w:tcPr>
          <w:p>
            <w:pPr>
              <w:pageBreakBefore w:val="0"/>
              <w:kinsoku/>
              <w:overflowPunct/>
              <w:topLinePunct w:val="0"/>
              <w:bidi w:val="0"/>
              <w:spacing w:line="360" w:lineRule="auto"/>
              <w:ind w:firstLine="27" w:firstLineChars="13"/>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工程竣工结算报告金额</w:t>
            </w:r>
          </w:p>
        </w:tc>
        <w:tc>
          <w:tcPr>
            <w:tcW w:w="6357" w:type="dxa"/>
            <w:noWrap w:val="0"/>
            <w:vAlign w:val="center"/>
          </w:tcPr>
          <w:p>
            <w:pPr>
              <w:pageBreakBefore w:val="0"/>
              <w:kinsoku/>
              <w:overflowPunct/>
              <w:topLinePunct w:val="0"/>
              <w:bidi w:val="0"/>
              <w:spacing w:line="360" w:lineRule="auto"/>
              <w:ind w:firstLine="441" w:firstLineChars="210"/>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发包人审查时间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 w:type="dxa"/>
            <w:noWrap w:val="0"/>
            <w:vAlign w:val="center"/>
          </w:tcPr>
          <w:p>
            <w:pPr>
              <w:pageBreakBefore w:val="0"/>
              <w:kinsoku/>
              <w:overflowPunct/>
              <w:topLinePunct w:val="0"/>
              <w:bidi w:val="0"/>
              <w:spacing w:line="360" w:lineRule="auto"/>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w:t>
            </w:r>
          </w:p>
        </w:tc>
        <w:tc>
          <w:tcPr>
            <w:tcW w:w="2643" w:type="dxa"/>
            <w:noWrap w:val="0"/>
            <w:vAlign w:val="center"/>
          </w:tcPr>
          <w:p>
            <w:pPr>
              <w:pageBreakBefore w:val="0"/>
              <w:kinsoku/>
              <w:overflowPunct/>
              <w:topLinePunct w:val="0"/>
              <w:bidi w:val="0"/>
              <w:spacing w:line="360" w:lineRule="auto"/>
              <w:ind w:firstLine="27" w:firstLineChars="13"/>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500万元以下</w:t>
            </w:r>
          </w:p>
        </w:tc>
        <w:tc>
          <w:tcPr>
            <w:tcW w:w="6357" w:type="dxa"/>
            <w:noWrap w:val="0"/>
            <w:vAlign w:val="center"/>
          </w:tcPr>
          <w:p>
            <w:pPr>
              <w:pageBreakBefore w:val="0"/>
              <w:kinsoku/>
              <w:overflowPunct/>
              <w:topLinePunct w:val="0"/>
              <w:bidi w:val="0"/>
              <w:spacing w:line="360" w:lineRule="auto"/>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从接到竣工结算报告和完整的竣工结算资料之日起20天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 w:type="dxa"/>
            <w:noWrap w:val="0"/>
            <w:vAlign w:val="center"/>
          </w:tcPr>
          <w:p>
            <w:pPr>
              <w:pageBreakBefore w:val="0"/>
              <w:kinsoku/>
              <w:overflowPunct/>
              <w:topLinePunct w:val="0"/>
              <w:bidi w:val="0"/>
              <w:spacing w:line="360" w:lineRule="auto"/>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w:t>
            </w:r>
          </w:p>
        </w:tc>
        <w:tc>
          <w:tcPr>
            <w:tcW w:w="2643" w:type="dxa"/>
            <w:noWrap w:val="0"/>
            <w:vAlign w:val="center"/>
          </w:tcPr>
          <w:p>
            <w:pPr>
              <w:pageBreakBefore w:val="0"/>
              <w:kinsoku/>
              <w:overflowPunct/>
              <w:topLinePunct w:val="0"/>
              <w:bidi w:val="0"/>
              <w:spacing w:line="360" w:lineRule="auto"/>
              <w:ind w:firstLine="27" w:firstLineChars="13"/>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500万元-2000万元</w:t>
            </w:r>
          </w:p>
        </w:tc>
        <w:tc>
          <w:tcPr>
            <w:tcW w:w="6357" w:type="dxa"/>
            <w:noWrap w:val="0"/>
            <w:vAlign w:val="center"/>
          </w:tcPr>
          <w:p>
            <w:pPr>
              <w:pageBreakBefore w:val="0"/>
              <w:kinsoku/>
              <w:overflowPunct/>
              <w:topLinePunct w:val="0"/>
              <w:bidi w:val="0"/>
              <w:spacing w:line="360" w:lineRule="auto"/>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从接到竣工结算报告和完整的竣工结算资料之日起30天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 w:type="dxa"/>
            <w:noWrap w:val="0"/>
            <w:vAlign w:val="center"/>
          </w:tcPr>
          <w:p>
            <w:pPr>
              <w:pageBreakBefore w:val="0"/>
              <w:kinsoku/>
              <w:overflowPunct/>
              <w:topLinePunct w:val="0"/>
              <w:bidi w:val="0"/>
              <w:spacing w:line="360" w:lineRule="auto"/>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w:t>
            </w:r>
          </w:p>
        </w:tc>
        <w:tc>
          <w:tcPr>
            <w:tcW w:w="2643" w:type="dxa"/>
            <w:noWrap w:val="0"/>
            <w:vAlign w:val="center"/>
          </w:tcPr>
          <w:p>
            <w:pPr>
              <w:pageBreakBefore w:val="0"/>
              <w:kinsoku/>
              <w:overflowPunct/>
              <w:topLinePunct w:val="0"/>
              <w:bidi w:val="0"/>
              <w:spacing w:line="360" w:lineRule="auto"/>
              <w:ind w:firstLine="27" w:firstLineChars="13"/>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2000万元-5000万元</w:t>
            </w:r>
          </w:p>
        </w:tc>
        <w:tc>
          <w:tcPr>
            <w:tcW w:w="6357" w:type="dxa"/>
            <w:noWrap w:val="0"/>
            <w:vAlign w:val="center"/>
          </w:tcPr>
          <w:p>
            <w:pPr>
              <w:pageBreakBefore w:val="0"/>
              <w:kinsoku/>
              <w:overflowPunct/>
              <w:topLinePunct w:val="0"/>
              <w:bidi w:val="0"/>
              <w:spacing w:line="360" w:lineRule="auto"/>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从接到竣工结算报告和完整的竣工结算资料之日起45天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 w:type="dxa"/>
            <w:noWrap w:val="0"/>
            <w:vAlign w:val="center"/>
          </w:tcPr>
          <w:p>
            <w:pPr>
              <w:pageBreakBefore w:val="0"/>
              <w:kinsoku/>
              <w:overflowPunct/>
              <w:topLinePunct w:val="0"/>
              <w:bidi w:val="0"/>
              <w:spacing w:line="360" w:lineRule="auto"/>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4</w:t>
            </w:r>
          </w:p>
        </w:tc>
        <w:tc>
          <w:tcPr>
            <w:tcW w:w="2643" w:type="dxa"/>
            <w:noWrap w:val="0"/>
            <w:vAlign w:val="center"/>
          </w:tcPr>
          <w:p>
            <w:pPr>
              <w:pageBreakBefore w:val="0"/>
              <w:kinsoku/>
              <w:overflowPunct/>
              <w:topLinePunct w:val="0"/>
              <w:bidi w:val="0"/>
              <w:spacing w:line="360" w:lineRule="auto"/>
              <w:ind w:firstLine="27" w:firstLineChars="13"/>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5000万元以上</w:t>
            </w:r>
          </w:p>
        </w:tc>
        <w:tc>
          <w:tcPr>
            <w:tcW w:w="6357" w:type="dxa"/>
            <w:noWrap w:val="0"/>
            <w:vAlign w:val="center"/>
          </w:tcPr>
          <w:p>
            <w:pPr>
              <w:pageBreakBefore w:val="0"/>
              <w:kinsoku/>
              <w:overflowPunct/>
              <w:topLinePunct w:val="0"/>
              <w:bidi w:val="0"/>
              <w:spacing w:line="360" w:lineRule="auto"/>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从接到竣工结算报告和完整的竣工结算资料之日起60天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 w:type="dxa"/>
            <w:noWrap w:val="0"/>
            <w:vAlign w:val="center"/>
          </w:tcPr>
          <w:p>
            <w:pPr>
              <w:pageBreakBefore w:val="0"/>
              <w:kinsoku/>
              <w:overflowPunct/>
              <w:topLinePunct w:val="0"/>
              <w:bidi w:val="0"/>
              <w:spacing w:line="360" w:lineRule="auto"/>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5</w:t>
            </w:r>
          </w:p>
        </w:tc>
        <w:tc>
          <w:tcPr>
            <w:tcW w:w="2643" w:type="dxa"/>
            <w:noWrap w:val="0"/>
            <w:vAlign w:val="center"/>
          </w:tcPr>
          <w:p>
            <w:pPr>
              <w:pageBreakBefore w:val="0"/>
              <w:kinsoku/>
              <w:overflowPunct/>
              <w:topLinePunct w:val="0"/>
              <w:bidi w:val="0"/>
              <w:spacing w:line="360" w:lineRule="auto"/>
              <w:ind w:firstLine="27" w:firstLineChars="13"/>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5000万以上每增加0.5亿(不足0.5亿不增加)</w:t>
            </w:r>
          </w:p>
        </w:tc>
        <w:tc>
          <w:tcPr>
            <w:tcW w:w="6357" w:type="dxa"/>
            <w:noWrap w:val="0"/>
            <w:vAlign w:val="center"/>
          </w:tcPr>
          <w:p>
            <w:pPr>
              <w:pageBreakBefore w:val="0"/>
              <w:kinsoku/>
              <w:overflowPunct/>
              <w:topLinePunct w:val="0"/>
              <w:bidi w:val="0"/>
              <w:spacing w:line="360" w:lineRule="auto"/>
              <w:ind w:firstLine="441" w:firstLineChars="210"/>
              <w:jc w:val="center"/>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增加10天</w:t>
            </w:r>
          </w:p>
        </w:tc>
      </w:tr>
    </w:tbl>
    <w:p>
      <w:pPr>
        <w:pageBreakBefore w:val="0"/>
        <w:kinsoku/>
        <w:overflowPunct/>
        <w:topLinePunct w:val="0"/>
        <w:bidi w:val="0"/>
        <w:spacing w:line="360" w:lineRule="auto"/>
        <w:ind w:firstLine="420" w:firstLineChars="200"/>
        <w:jc w:val="left"/>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因承包人提供的结算资料不完整而需要补充或承包人不按时对账耽误时间时，审查时间应相应顺延</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11" w:firstLineChars="196"/>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竣工</w:t>
      </w:r>
      <w:r>
        <w:rPr>
          <w:rFonts w:hint="eastAsia" w:ascii="宋体" w:hAnsi="宋体" w:eastAsia="宋体"/>
          <w:bCs/>
          <w:color w:val="auto"/>
          <w:sz w:val="21"/>
          <w:szCs w:val="21"/>
          <w:highlight w:val="none"/>
        </w:rPr>
        <w:t>结算审核约定：</w:t>
      </w:r>
    </w:p>
    <w:p>
      <w:pPr>
        <w:pageBreakBefore w:val="0"/>
        <w:kinsoku/>
        <w:overflowPunct/>
        <w:topLinePunct w:val="0"/>
        <w:bidi w:val="0"/>
        <w:spacing w:line="360" w:lineRule="auto"/>
        <w:ind w:firstLine="411" w:firstLineChars="196"/>
        <w:outlineLvl w:val="9"/>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非国有投资项目：</w:t>
      </w:r>
      <w:r>
        <w:rPr>
          <w:rFonts w:hint="eastAsia" w:ascii="宋体" w:hAnsi="宋体" w:eastAsia="宋体"/>
          <w:bCs/>
          <w:color w:val="auto"/>
          <w:sz w:val="21"/>
          <w:szCs w:val="21"/>
          <w:highlight w:val="none"/>
          <w:u w:val="single"/>
        </w:rPr>
        <w:t>1、工程竣工验收报告经发包人认可后   天内，承包人向发包人递交竣工验收合格资料及完整的结算资料和报告，双方按照协议书约定的合同价款及专用条款约定的合同价调整内容，进行工程竣工结算。2、发包人收到承包人递交的竣工结算报告及结算资料之日起   天内进行审核，给予确认或者提出初审意见。发包人逾期不予审定结算的视为发包人已同意上述竣工结算报告及结算资料，并以此作为最终结算的依据。发包人初审竣工结算完毕之日起  天内，按审定后的结算价款，通知经办银行向承包人支付工程竣工结算价款。承包人应根据发包人的需要随时将竣工工程交付发包人。</w:t>
      </w:r>
    </w:p>
    <w:p>
      <w:pPr>
        <w:pageBreakBefore w:val="0"/>
        <w:kinsoku/>
        <w:overflowPunct/>
        <w:topLinePunct w:val="0"/>
        <w:bidi w:val="0"/>
        <w:spacing w:line="360" w:lineRule="auto"/>
        <w:ind w:firstLine="420" w:firstLineChars="200"/>
        <w:jc w:val="left"/>
        <w:outlineLvl w:val="9"/>
        <w:rPr>
          <w:rFonts w:hint="eastAsia" w:ascii="宋体" w:hAnsi="宋体" w:eastAsia="宋体"/>
          <w:bCs/>
          <w:color w:val="auto"/>
          <w:sz w:val="21"/>
          <w:szCs w:val="21"/>
          <w:highlight w:val="none"/>
          <w:u w:val="single"/>
        </w:rPr>
      </w:pPr>
      <w:r>
        <w:rPr>
          <w:rFonts w:hint="eastAsia" w:ascii="宋体" w:hAnsi="宋体" w:eastAsia="宋体"/>
          <w:bCs/>
          <w:color w:val="auto"/>
          <w:sz w:val="21"/>
          <w:szCs w:val="21"/>
          <w:highlight w:val="none"/>
          <w:u w:val="single"/>
        </w:rPr>
        <w:t xml:space="preserve">国有投资项目：（双方结合各地政府或有关部门管理规定进行局部调整）              </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发包人完成竣工付款的期限：</w:t>
      </w:r>
      <w:r>
        <w:rPr>
          <w:rFonts w:hint="eastAsia" w:ascii="宋体" w:hAnsi="宋体" w:eastAsia="宋体"/>
          <w:color w:val="auto"/>
          <w:sz w:val="21"/>
          <w:szCs w:val="21"/>
          <w:highlight w:val="none"/>
          <w:u w:val="single"/>
        </w:rPr>
        <w:t xml:space="preserve">     56 天内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关于竣工付款证书异议部分复核的方式和程序：</w:t>
      </w:r>
      <w:r>
        <w:rPr>
          <w:rFonts w:hint="eastAsia" w:ascii="宋体" w:hAnsi="宋体" w:eastAsia="宋体"/>
          <w:color w:val="auto"/>
          <w:sz w:val="21"/>
          <w:szCs w:val="21"/>
          <w:highlight w:val="none"/>
          <w:u w:val="single"/>
        </w:rPr>
        <w:t xml:space="preserve">    按本合同通用条款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083" w:name="_Toc373227761"/>
      <w:bookmarkEnd w:id="1083"/>
      <w:bookmarkStart w:id="1084" w:name="_Toc28081"/>
      <w:bookmarkEnd w:id="1084"/>
      <w:bookmarkStart w:id="1085" w:name="_Toc389065326"/>
      <w:bookmarkEnd w:id="1085"/>
      <w:bookmarkStart w:id="1086" w:name="_Toc373478408"/>
      <w:bookmarkEnd w:id="1086"/>
      <w:bookmarkStart w:id="1087" w:name="_Toc14782"/>
      <w:bookmarkStart w:id="1088" w:name="_Toc11519"/>
      <w:bookmarkStart w:id="1089" w:name="_Toc24503"/>
      <w:r>
        <w:rPr>
          <w:rFonts w:hint="eastAsia" w:ascii="宋体" w:hAnsi="宋体" w:eastAsia="宋体"/>
          <w:color w:val="auto"/>
          <w:sz w:val="21"/>
          <w:szCs w:val="21"/>
          <w:highlight w:val="none"/>
        </w:rPr>
        <w:t>14.4 最终结清</w:t>
      </w:r>
      <w:bookmarkEnd w:id="1087"/>
      <w:bookmarkEnd w:id="1088"/>
      <w:bookmarkEnd w:id="1089"/>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14.4.1 最终结清申请单</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承包人提交最终结清申请单的份数：</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壹</w:t>
      </w:r>
      <w:r>
        <w:rPr>
          <w:rFonts w:hint="eastAsia" w:ascii="宋体" w:hAnsi="宋体" w:eastAsia="宋体"/>
          <w:color w:val="auto"/>
          <w:sz w:val="21"/>
          <w:szCs w:val="21"/>
          <w:highlight w:val="none"/>
          <w:u w:val="single"/>
        </w:rPr>
        <w:t xml:space="preserve">式陆份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承包人提交最终结算申请单的期限：</w:t>
      </w:r>
      <w:r>
        <w:rPr>
          <w:rFonts w:hint="eastAsia" w:ascii="宋体" w:hAnsi="宋体" w:eastAsia="宋体"/>
          <w:color w:val="auto"/>
          <w:sz w:val="21"/>
          <w:szCs w:val="21"/>
          <w:highlight w:val="none"/>
          <w:u w:val="single"/>
        </w:rPr>
        <w:t xml:space="preserve">   按合同通用条款执行    </w:t>
      </w:r>
      <w:r>
        <w:rPr>
          <w:rFonts w:hint="eastAsia" w:ascii="宋体" w:hAnsi="宋体" w:eastAsia="宋体"/>
          <w:color w:val="auto"/>
          <w:sz w:val="21"/>
          <w:szCs w:val="21"/>
          <w:highlight w:val="none"/>
        </w:rPr>
        <w:t xml:space="preserve">。 </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14.4.2 最终结清证书和支付</w:t>
      </w:r>
    </w:p>
    <w:p>
      <w:pPr>
        <w:pStyle w:val="302"/>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（1）发包人完成最终结清申请单的审批并颁发最终结清证书的期限：</w:t>
      </w:r>
      <w:r>
        <w:rPr>
          <w:rFonts w:hint="eastAsia" w:ascii="宋体" w:hAnsi="宋体" w:eastAsia="宋体"/>
          <w:color w:val="auto"/>
          <w:sz w:val="21"/>
          <w:szCs w:val="21"/>
          <w:highlight w:val="none"/>
          <w:u w:val="single"/>
        </w:rPr>
        <w:t xml:space="preserve"> 缺陷责任期终止证书颁发后 14 天内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（2）发包人完成支付的期限：</w:t>
      </w:r>
      <w:r>
        <w:rPr>
          <w:rFonts w:hint="eastAsia" w:ascii="宋体" w:hAnsi="宋体" w:eastAsia="宋体"/>
          <w:color w:val="auto"/>
          <w:sz w:val="21"/>
          <w:szCs w:val="21"/>
          <w:highlight w:val="none"/>
          <w:u w:val="single"/>
        </w:rPr>
        <w:t xml:space="preserve"> 缺陷责任期终止证书颁发后 28 天内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2" w:firstLineChars="200"/>
        <w:jc w:val="left"/>
        <w:outlineLvl w:val="1"/>
        <w:rPr>
          <w:rFonts w:hint="eastAsia" w:ascii="宋体" w:hAnsi="宋体" w:eastAsia="宋体"/>
          <w:b/>
          <w:color w:val="auto"/>
          <w:sz w:val="21"/>
          <w:szCs w:val="21"/>
          <w:highlight w:val="none"/>
          <w:u w:val="single"/>
        </w:rPr>
      </w:pPr>
      <w:bookmarkStart w:id="1090" w:name="_Toc13533"/>
      <w:bookmarkStart w:id="1091" w:name="_Toc30656"/>
      <w:bookmarkStart w:id="1092" w:name="_Toc4742"/>
      <w:r>
        <w:rPr>
          <w:rFonts w:hint="eastAsia" w:ascii="宋体" w:hAnsi="宋体" w:eastAsia="宋体"/>
          <w:b/>
          <w:color w:val="auto"/>
          <w:sz w:val="21"/>
          <w:szCs w:val="21"/>
          <w:highlight w:val="none"/>
          <w:u w:val="single"/>
        </w:rPr>
        <w:t>最终结算价以审定为准</w:t>
      </w:r>
      <w:bookmarkEnd w:id="1090"/>
      <w:bookmarkEnd w:id="1091"/>
      <w:bookmarkEnd w:id="1092"/>
    </w:p>
    <w:bookmarkEnd w:id="1034"/>
    <w:bookmarkEnd w:id="1035"/>
    <w:bookmarkEnd w:id="1036"/>
    <w:bookmarkEnd w:id="1037"/>
    <w:bookmarkEnd w:id="1038"/>
    <w:bookmarkEnd w:id="1039"/>
    <w:bookmarkEnd w:id="1040"/>
    <w:bookmarkEnd w:id="1046"/>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1093" w:name="_Toc389065327"/>
      <w:bookmarkEnd w:id="1093"/>
      <w:bookmarkStart w:id="1094" w:name="_Toc4833"/>
      <w:bookmarkEnd w:id="1094"/>
      <w:bookmarkStart w:id="1095" w:name="_Toc351203647"/>
      <w:bookmarkEnd w:id="1095"/>
      <w:bookmarkStart w:id="1096" w:name="_Toc373478409"/>
      <w:bookmarkEnd w:id="1096"/>
      <w:bookmarkStart w:id="1097" w:name="_Toc373227762"/>
      <w:bookmarkEnd w:id="1097"/>
      <w:bookmarkStart w:id="1098" w:name="_Toc10848"/>
      <w:bookmarkStart w:id="1099" w:name="_Toc16438"/>
      <w:bookmarkStart w:id="1100" w:name="_Toc1054"/>
      <w:bookmarkStart w:id="1101" w:name="_Toc267251483"/>
      <w:bookmarkStart w:id="1102" w:name="_Toc267251482"/>
      <w:bookmarkStart w:id="1103" w:name="_Toc267251484"/>
      <w:bookmarkStart w:id="1104" w:name="_Toc267251485"/>
      <w:bookmarkStart w:id="1105" w:name="_Toc267251489"/>
      <w:bookmarkStart w:id="1106" w:name="_Toc267251486"/>
      <w:bookmarkStart w:id="1107" w:name="_Toc267251490"/>
      <w:bookmarkStart w:id="1108" w:name="_Toc267251488"/>
      <w:bookmarkStart w:id="1109" w:name="_Toc267251494"/>
      <w:bookmarkStart w:id="1110" w:name="_Toc267251495"/>
      <w:bookmarkStart w:id="1111" w:name="_Toc267251491"/>
      <w:bookmarkStart w:id="1112" w:name="_Toc267251501"/>
      <w:bookmarkStart w:id="1113" w:name="_Toc267251499"/>
      <w:bookmarkStart w:id="1114" w:name="_Toc267251498"/>
      <w:bookmarkStart w:id="1115" w:name="_Toc267251503"/>
      <w:bookmarkStart w:id="1116" w:name="_Toc267251502"/>
      <w:bookmarkStart w:id="1117" w:name="_Toc267251492"/>
      <w:bookmarkStart w:id="1118" w:name="_Toc267251493"/>
      <w:bookmarkStart w:id="1119" w:name="_Toc267251496"/>
      <w:bookmarkStart w:id="1120" w:name="_Toc267251497"/>
      <w:bookmarkStart w:id="1121" w:name="_Toc267251507"/>
      <w:bookmarkStart w:id="1122" w:name="_Toc267251506"/>
      <w:bookmarkStart w:id="1123" w:name="_Toc267251504"/>
      <w:bookmarkStart w:id="1124" w:name="_Toc267251508"/>
      <w:bookmarkStart w:id="1125" w:name="_Toc267251510"/>
      <w:bookmarkStart w:id="1126" w:name="_Toc267251509"/>
      <w:bookmarkStart w:id="1127" w:name="_Toc267251514"/>
      <w:bookmarkStart w:id="1128" w:name="_Toc267251515"/>
      <w:bookmarkStart w:id="1129" w:name="_Toc267251511"/>
      <w:bookmarkStart w:id="1130" w:name="_Toc267251513"/>
      <w:r>
        <w:rPr>
          <w:rFonts w:hint="eastAsia" w:ascii="宋体" w:hAnsi="宋体" w:eastAsia="宋体"/>
          <w:color w:val="auto"/>
          <w:sz w:val="21"/>
          <w:szCs w:val="21"/>
          <w:highlight w:val="none"/>
        </w:rPr>
        <w:t>15. 缺陷责任期与保修</w:t>
      </w:r>
      <w:bookmarkEnd w:id="1098"/>
      <w:bookmarkEnd w:id="1099"/>
      <w:bookmarkEnd w:id="1100"/>
    </w:p>
    <w:bookmarkEnd w:id="1101"/>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131" w:name="_Toc389065328"/>
      <w:bookmarkEnd w:id="1131"/>
      <w:bookmarkStart w:id="1132" w:name="_Toc373227763"/>
      <w:bookmarkEnd w:id="1132"/>
      <w:bookmarkStart w:id="1133" w:name="_Toc22134"/>
      <w:bookmarkEnd w:id="1133"/>
      <w:bookmarkStart w:id="1134" w:name="_Toc373478410"/>
      <w:bookmarkEnd w:id="1134"/>
      <w:bookmarkStart w:id="1135" w:name="_Toc27665"/>
      <w:bookmarkStart w:id="1136" w:name="_Toc30192"/>
      <w:bookmarkStart w:id="1137" w:name="_Toc21936"/>
      <w:r>
        <w:rPr>
          <w:rFonts w:hint="eastAsia" w:ascii="宋体" w:hAnsi="宋体" w:eastAsia="宋体"/>
          <w:color w:val="auto"/>
          <w:sz w:val="21"/>
          <w:szCs w:val="21"/>
          <w:highlight w:val="none"/>
        </w:rPr>
        <w:t>15.2 缺陷责任期</w:t>
      </w:r>
      <w:bookmarkEnd w:id="1135"/>
      <w:bookmarkEnd w:id="1136"/>
      <w:bookmarkEnd w:id="1137"/>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缺陷责任期的具体期限：</w:t>
      </w:r>
      <w:r>
        <w:rPr>
          <w:rFonts w:hint="eastAsia" w:ascii="宋体" w:hAnsi="宋体" w:eastAsia="宋体"/>
          <w:color w:val="auto"/>
          <w:sz w:val="21"/>
          <w:szCs w:val="21"/>
          <w:highlight w:val="none"/>
          <w:u w:val="single"/>
        </w:rPr>
        <w:t xml:space="preserve">   按照工程质量保修条例执行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138" w:name="_Toc389065329"/>
      <w:bookmarkEnd w:id="1138"/>
      <w:bookmarkStart w:id="1139" w:name="_Toc3258"/>
      <w:bookmarkEnd w:id="1139"/>
      <w:bookmarkStart w:id="1140" w:name="_Toc373478411"/>
      <w:bookmarkEnd w:id="1140"/>
      <w:bookmarkStart w:id="1141" w:name="_Toc373227764"/>
      <w:bookmarkEnd w:id="1141"/>
      <w:bookmarkStart w:id="1142" w:name="_Toc29368"/>
      <w:bookmarkStart w:id="1143" w:name="_Toc24750"/>
      <w:bookmarkStart w:id="1144" w:name="_Toc21653"/>
      <w:r>
        <w:rPr>
          <w:rFonts w:hint="eastAsia" w:ascii="宋体" w:hAnsi="宋体" w:eastAsia="宋体"/>
          <w:color w:val="auto"/>
          <w:sz w:val="21"/>
          <w:szCs w:val="21"/>
          <w:highlight w:val="none"/>
        </w:rPr>
        <w:t>15.3 质量保证金</w:t>
      </w:r>
      <w:bookmarkEnd w:id="1142"/>
      <w:bookmarkEnd w:id="1143"/>
      <w:bookmarkEnd w:id="1144"/>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关于是否扣留质量保证金的约定：</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15.3.1 承包人提供质量保证金的方式</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质量保证金采用以下第</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种方式：</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（1）质量保证金保函，保证金额为：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bCs/>
          <w:color w:val="auto"/>
          <w:sz w:val="21"/>
          <w:szCs w:val="21"/>
          <w:highlight w:val="none"/>
        </w:rPr>
        <w:t>发包人按工程价款结算总额的</w:t>
      </w:r>
      <w:r>
        <w:rPr>
          <w:rFonts w:hint="eastAsia" w:ascii="宋体" w:hAnsi="宋体" w:eastAsia="宋体"/>
          <w:bCs/>
          <w:color w:val="auto"/>
          <w:sz w:val="21"/>
          <w:szCs w:val="21"/>
          <w:highlight w:val="none"/>
          <w:u w:val="single"/>
          <w:lang w:val="en-US" w:eastAsia="zh-CN"/>
        </w:rPr>
        <w:t>/</w:t>
      </w:r>
      <w:r>
        <w:rPr>
          <w:rFonts w:hint="eastAsia" w:ascii="宋体" w:hAnsi="宋体" w:eastAsia="宋体"/>
          <w:bCs/>
          <w:color w:val="auto"/>
          <w:sz w:val="21"/>
          <w:szCs w:val="21"/>
          <w:highlight w:val="none"/>
          <w:u w:val="single"/>
        </w:rPr>
        <w:t xml:space="preserve"> </w:t>
      </w:r>
      <w:r>
        <w:rPr>
          <w:rFonts w:hint="eastAsia" w:ascii="宋体" w:hAnsi="宋体" w:eastAsia="宋体"/>
          <w:bCs/>
          <w:color w:val="auto"/>
          <w:sz w:val="21"/>
          <w:szCs w:val="21"/>
          <w:highlight w:val="none"/>
        </w:rPr>
        <w:t>%（</w:t>
      </w:r>
      <w:r>
        <w:rPr>
          <w:rFonts w:hint="eastAsia" w:ascii="宋体" w:hAnsi="宋体" w:eastAsia="宋体"/>
          <w:color w:val="auto"/>
          <w:sz w:val="21"/>
          <w:szCs w:val="21"/>
          <w:highlight w:val="none"/>
        </w:rPr>
        <w:t>不得超过3%</w:t>
      </w:r>
      <w:r>
        <w:rPr>
          <w:rFonts w:hint="eastAsia" w:ascii="宋体" w:hAnsi="宋体" w:eastAsia="宋体"/>
          <w:bCs/>
          <w:color w:val="auto"/>
          <w:sz w:val="21"/>
          <w:szCs w:val="21"/>
          <w:highlight w:val="none"/>
        </w:rPr>
        <w:t>）预留工程质量保修金，待缺陷责任期满后返还，</w:t>
      </w:r>
      <w:r>
        <w:rPr>
          <w:rFonts w:hint="eastAsia" w:ascii="宋体" w:hAnsi="宋体" w:eastAsia="宋体"/>
          <w:color w:val="auto"/>
          <w:sz w:val="21"/>
          <w:szCs w:val="21"/>
          <w:highlight w:val="none"/>
        </w:rPr>
        <w:t>是否付息及利息计算方式为：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（3）其他方式：</w:t>
      </w:r>
      <w:r>
        <w:rPr>
          <w:rFonts w:hint="eastAsia" w:ascii="宋体" w:hAnsi="宋体" w:eastAsia="宋体"/>
          <w:bCs/>
          <w:color w:val="auto"/>
          <w:sz w:val="21"/>
          <w:szCs w:val="21"/>
          <w:highlight w:val="none"/>
          <w:u w:val="single"/>
        </w:rPr>
        <w:t xml:space="preserve">              </w:t>
      </w:r>
      <w:r>
        <w:rPr>
          <w:rFonts w:hint="eastAsia" w:ascii="宋体" w:hAnsi="宋体" w:eastAsia="宋体"/>
          <w:bCs/>
          <w:color w:val="auto"/>
          <w:sz w:val="21"/>
          <w:szCs w:val="21"/>
          <w:highlight w:val="none"/>
          <w:u w:val="single"/>
          <w:lang w:val="en-US" w:eastAsia="zh-CN"/>
        </w:rPr>
        <w:t>/</w:t>
      </w:r>
      <w:r>
        <w:rPr>
          <w:rFonts w:hint="eastAsia" w:ascii="宋体" w:hAnsi="宋体" w:eastAsia="宋体"/>
          <w:bCs/>
          <w:color w:val="auto"/>
          <w:sz w:val="21"/>
          <w:szCs w:val="21"/>
          <w:highlight w:val="none"/>
          <w:u w:val="single"/>
        </w:rPr>
        <w:t xml:space="preserve">                                             </w:t>
      </w:r>
      <w:r>
        <w:rPr>
          <w:rFonts w:hint="eastAsia" w:ascii="宋体" w:hAnsi="宋体" w:eastAsia="宋体"/>
          <w:bCs/>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15.3.2 质量保证金的扣留</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质量保证金的扣留采取以下第</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种方式：</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（1）在支付工程进度款时逐次扣留，质量保证金的计算基数不包括预付款的支付、扣回以及价格调整的金额；</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（2）工程竣工结算时，一次性扣留质量保证金，由承包人以银行保函、保证保险替代预留质量保证金，保函金额不得高于工程价款结算总额的</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（3）其他扣留方式:</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关于质量保证金的补充约定：</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bookmarkEnd w:id="1102"/>
    <w:bookmarkEnd w:id="1103"/>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145" w:name="_Toc389065330"/>
      <w:bookmarkEnd w:id="1145"/>
      <w:bookmarkStart w:id="1146" w:name="_Toc373478412"/>
      <w:bookmarkEnd w:id="1146"/>
      <w:bookmarkStart w:id="1147" w:name="_Toc22419"/>
      <w:bookmarkEnd w:id="1147"/>
      <w:bookmarkStart w:id="1148" w:name="_Toc373227765"/>
      <w:bookmarkEnd w:id="1148"/>
      <w:bookmarkStart w:id="1149" w:name="_Toc12879"/>
      <w:bookmarkStart w:id="1150" w:name="_Toc18307"/>
      <w:bookmarkStart w:id="1151" w:name="_Toc17564"/>
      <w:r>
        <w:rPr>
          <w:rFonts w:hint="eastAsia" w:ascii="宋体" w:hAnsi="宋体" w:eastAsia="宋体"/>
          <w:color w:val="auto"/>
          <w:sz w:val="21"/>
          <w:szCs w:val="21"/>
          <w:highlight w:val="none"/>
        </w:rPr>
        <w:t>15.4 保修</w:t>
      </w:r>
      <w:bookmarkEnd w:id="1149"/>
      <w:bookmarkEnd w:id="1150"/>
      <w:bookmarkEnd w:id="1151"/>
    </w:p>
    <w:bookmarkEnd w:id="1104"/>
    <w:p>
      <w:pPr>
        <w:pageBreakBefore w:val="0"/>
        <w:kinsoku/>
        <w:overflowPunct/>
        <w:topLinePunct w:val="0"/>
        <w:bidi w:val="0"/>
        <w:spacing w:line="360" w:lineRule="auto"/>
        <w:ind w:firstLine="409" w:firstLineChars="195"/>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15.4.1 保修责任</w:t>
      </w:r>
    </w:p>
    <w:p>
      <w:pPr>
        <w:pageBreakBefore w:val="0"/>
        <w:kinsoku/>
        <w:overflowPunct/>
        <w:topLinePunct w:val="0"/>
        <w:bidi w:val="0"/>
        <w:spacing w:line="360" w:lineRule="auto"/>
        <w:ind w:firstLine="409" w:firstLineChars="195"/>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工程保修期为：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09" w:firstLineChars="195"/>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工程保修书具体内容见合同附件2。</w:t>
      </w:r>
    </w:p>
    <w:p>
      <w:pPr>
        <w:pageBreakBefore w:val="0"/>
        <w:kinsoku/>
        <w:overflowPunct/>
        <w:topLinePunct w:val="0"/>
        <w:bidi w:val="0"/>
        <w:spacing w:line="360" w:lineRule="auto"/>
        <w:ind w:firstLine="409" w:firstLineChars="195"/>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15.4.3 修复通知</w:t>
      </w:r>
    </w:p>
    <w:p>
      <w:pPr>
        <w:pageBreakBefore w:val="0"/>
        <w:kinsoku/>
        <w:overflowPunct/>
        <w:topLinePunct w:val="0"/>
        <w:bidi w:val="0"/>
        <w:spacing w:line="360" w:lineRule="auto"/>
        <w:ind w:firstLine="409" w:firstLineChars="195"/>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承包人收到保修通知并到达工程现场的合理时间：</w:t>
      </w:r>
      <w:r>
        <w:rPr>
          <w:rFonts w:hint="eastAsia" w:ascii="宋体" w:hAnsi="宋体" w:eastAsia="宋体"/>
          <w:color w:val="auto"/>
          <w:sz w:val="21"/>
          <w:szCs w:val="21"/>
          <w:highlight w:val="none"/>
          <w:u w:val="single"/>
        </w:rPr>
        <w:t xml:space="preserve"> 按质量保修书执行 </w:t>
      </w:r>
      <w:r>
        <w:rPr>
          <w:rFonts w:hint="eastAsia" w:ascii="宋体" w:hAnsi="宋体" w:eastAsia="宋体"/>
          <w:color w:val="auto"/>
          <w:sz w:val="21"/>
          <w:szCs w:val="21"/>
          <w:highlight w:val="none"/>
        </w:rPr>
        <w:t>。</w:t>
      </w:r>
    </w:p>
    <w:bookmarkEnd w:id="1105"/>
    <w:bookmarkEnd w:id="1106"/>
    <w:bookmarkEnd w:id="1107"/>
    <w:bookmarkEnd w:id="1108"/>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1152" w:name="_Toc7183"/>
      <w:bookmarkEnd w:id="1152"/>
      <w:bookmarkStart w:id="1153" w:name="_Toc351203648"/>
      <w:bookmarkEnd w:id="1153"/>
      <w:bookmarkStart w:id="1154" w:name="_Toc389065331"/>
      <w:bookmarkEnd w:id="1154"/>
      <w:bookmarkStart w:id="1155" w:name="_Toc373227766"/>
      <w:bookmarkEnd w:id="1155"/>
      <w:bookmarkStart w:id="1156" w:name="_Toc373478413"/>
      <w:bookmarkEnd w:id="1156"/>
      <w:bookmarkStart w:id="1157" w:name="_Toc25175"/>
      <w:bookmarkStart w:id="1158" w:name="_Toc8404"/>
      <w:bookmarkStart w:id="1159" w:name="_Toc9922"/>
      <w:bookmarkStart w:id="1160" w:name="_Toc280868717"/>
      <w:bookmarkStart w:id="1161" w:name="_Toc280868718"/>
      <w:r>
        <w:rPr>
          <w:rFonts w:hint="eastAsia" w:ascii="宋体" w:hAnsi="宋体" w:eastAsia="宋体"/>
          <w:color w:val="auto"/>
          <w:sz w:val="21"/>
          <w:szCs w:val="21"/>
          <w:highlight w:val="none"/>
        </w:rPr>
        <w:t>16. 违约</w:t>
      </w:r>
      <w:bookmarkEnd w:id="1157"/>
      <w:bookmarkEnd w:id="1158"/>
      <w:bookmarkEnd w:id="1159"/>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162" w:name="_Toc373478414"/>
      <w:bookmarkEnd w:id="1162"/>
      <w:bookmarkStart w:id="1163" w:name="_Toc389065332"/>
      <w:bookmarkEnd w:id="1163"/>
      <w:bookmarkStart w:id="1164" w:name="_Toc373227767"/>
      <w:bookmarkEnd w:id="1164"/>
      <w:bookmarkStart w:id="1165" w:name="_Toc21939"/>
      <w:bookmarkEnd w:id="1165"/>
      <w:bookmarkStart w:id="1166" w:name="_Toc2440"/>
      <w:bookmarkStart w:id="1167" w:name="_Toc3135"/>
      <w:bookmarkStart w:id="1168" w:name="_Toc22197"/>
      <w:r>
        <w:rPr>
          <w:rFonts w:hint="eastAsia" w:ascii="宋体" w:hAnsi="宋体" w:eastAsia="宋体"/>
          <w:color w:val="auto"/>
          <w:sz w:val="21"/>
          <w:szCs w:val="21"/>
          <w:highlight w:val="none"/>
        </w:rPr>
        <w:t>16.1 发包人违约</w:t>
      </w:r>
      <w:bookmarkEnd w:id="1166"/>
      <w:bookmarkEnd w:id="1167"/>
      <w:bookmarkEnd w:id="1168"/>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16.1.1发包人违约的情形</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发包人违约的其他情形：</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16.1.2 发包人违约的责任</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发包人违约责任的承担方式和计算方法：</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（1）因发包人原因未能在计划开工日期前7天内下达开工通知的违约责任：</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（2）因发包人原因未能按合同约定支付合同价款的违约责任：</w:t>
      </w:r>
      <w:r>
        <w:rPr>
          <w:rFonts w:hint="eastAsia" w:ascii="宋体" w:hAnsi="宋体" w:eastAsia="宋体"/>
          <w:color w:val="auto"/>
          <w:sz w:val="21"/>
          <w:szCs w:val="21"/>
          <w:highlight w:val="none"/>
          <w:u w:val="single"/>
        </w:rPr>
        <w:t xml:space="preserve">   承包人与发包人签订延期付款协议，延期付款协议须经财政部门及双方认可。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（3）发包人违反第10.1款〔变更的范围〕第（2）项约定，自行实施被取消的工作或转由他人实施的违约责任：</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（5）因发包人违反合同约定造成暂停施工的违约责任：</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（6）发包人无正当理由没有在约定期限内发出复工指示，导致承包人无法复工的违约责任：</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（7）其他：</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16.1.3 因发包人违约解除合同</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承包人按16.1.1项〔发包人违约的情形〕约定暂停施工满</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28</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天后发包人仍不纠正其违约行为并致使合同目的不能实现的，承包人有权解除合同。</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169" w:name="_Toc373478415"/>
      <w:bookmarkEnd w:id="1169"/>
      <w:bookmarkStart w:id="1170" w:name="_Toc28910"/>
      <w:bookmarkEnd w:id="1170"/>
      <w:bookmarkStart w:id="1171" w:name="_Toc389065333"/>
      <w:bookmarkEnd w:id="1171"/>
      <w:bookmarkStart w:id="1172" w:name="_Toc373227768"/>
      <w:bookmarkEnd w:id="1172"/>
      <w:bookmarkStart w:id="1173" w:name="_Toc22220"/>
      <w:bookmarkStart w:id="1174" w:name="_Toc10023"/>
      <w:bookmarkStart w:id="1175" w:name="_Toc8972"/>
      <w:r>
        <w:rPr>
          <w:rFonts w:hint="eastAsia" w:ascii="宋体" w:hAnsi="宋体" w:eastAsia="宋体"/>
          <w:color w:val="auto"/>
          <w:sz w:val="21"/>
          <w:szCs w:val="21"/>
          <w:highlight w:val="none"/>
        </w:rPr>
        <w:t>16.2 承包人违约</w:t>
      </w:r>
      <w:bookmarkEnd w:id="1173"/>
      <w:bookmarkEnd w:id="1174"/>
      <w:bookmarkEnd w:id="1175"/>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16.2.1 承包人违约的情形</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承包人违约的其他情形：</w:t>
      </w:r>
      <w:r>
        <w:rPr>
          <w:rFonts w:hint="eastAsia" w:ascii="宋体" w:hAnsi="宋体" w:eastAsia="宋体"/>
          <w:color w:val="auto"/>
          <w:sz w:val="21"/>
          <w:szCs w:val="21"/>
          <w:highlight w:val="none"/>
          <w:u w:val="single"/>
        </w:rPr>
        <w:t xml:space="preserve">    承包人有违反 2015 年《南宁市人民政府关于修改〈南宁市建设工程造价管理办法〉的决定》（南宁市人民政府令 第 34 号）规定的，按规定给予处罚。《南宁市建设工程造价管理办法》没有规定的按本合同《通用条款》执行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16.2.2承包人违约的责任</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承包人违约责任的承担方式和计算方法：</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承包人未按本合同通用条款第16.2.1（2）、（3）条内容完成的，承包人无条件返工处理，修复至工程质量要求并承担相关费用，并在发包人规定的时间内完成返工，否则发包人有权扣罚该分项工程10%的工程款作为处罚。</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（2）承包人有本合同通用条款第16.2.1（6）条情形的，或经监理人检验认为修复质量不合格而承包人拒绝再进行修补的，发包人将扣除承包人全部质量保修金。</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承包人有本专用合同条款3.2、3.3条违约责任的，发包人有权扣除承包人的违约金。违约金金额在承包人的计量支付款内扣除。监理人预先下发含有罚款意向的指令，如承包人不及时采取措施纠正，则在指令下达后十五天下发罚款通知书（不再陈述罚款理由）。承包人被罚款后由发包人从最后一次计量支付时扣除。承包人在合同期内，完成合同规定的全部工程，且质量合格，在本工程施工竣工验收后十五天内可申请返还全部或部分罚款，返还金额由监理人审核，发包人批准。罚款金额返还时不包括银行利息。</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16.2.3 因承包人违约解除合同</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关于承包人违约解除合同的特别约定：</w:t>
      </w:r>
      <w:r>
        <w:rPr>
          <w:rFonts w:hint="eastAsia" w:ascii="宋体" w:hAnsi="宋体" w:eastAsia="宋体"/>
          <w:color w:val="auto"/>
          <w:sz w:val="21"/>
          <w:szCs w:val="21"/>
          <w:highlight w:val="none"/>
          <w:u w:val="single"/>
        </w:rPr>
        <w:t>承包人有违反以下情况之一的，发包人有权解除合同</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(1)承包人无正当理由不按开工通知的要求及时进场组织施工和不按签订协议书时商定的进度计划有效地开展施工准备，造成工期延误的；</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(2)承包人违反本合同通用条款第3.5条规定私自将合同或合同的任何部分或任何权利转让给其他人，或私自将工程或工程的一部分分包出去的；</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(3)未经监理人批准，承包人私自将已按</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承诺进入工地的工程设备、施工设备、临时工程或材料撤离工地的；</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(4)由于承包人原因拒绝按合同进度计划及时完成合同规定的工程，而又未采取有效措施赶上进度，造成工期严重延误的；</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(5)承包人否认合同有效或拒绝履行合同规定的承包人义务，或由于法律、财务等原因导致承包人无法继续履行或实质上已停止履行合同的义务的；</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 合同签订且具备法定开工条件后之日起十五日内，承包人无法按合同规定及</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的承诺进场经监理工程师认可的该施工阶段应有的全部人员和机械的。</w:t>
      </w:r>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olor w:val="auto"/>
          <w:sz w:val="21"/>
          <w:szCs w:val="21"/>
          <w:highlight w:val="none"/>
          <w:u w:val="single"/>
        </w:rPr>
        <w:t xml:space="preserve">  费用由承包人承担    </w:t>
      </w:r>
      <w:r>
        <w:rPr>
          <w:rFonts w:hint="eastAsia" w:ascii="宋体" w:hAnsi="宋体" w:eastAsia="宋体"/>
          <w:color w:val="auto"/>
          <w:sz w:val="21"/>
          <w:szCs w:val="21"/>
          <w:highlight w:val="none"/>
        </w:rPr>
        <w:t>。</w:t>
      </w:r>
    </w:p>
    <w:bookmarkEnd w:id="1160"/>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1176" w:name="_Toc389065334"/>
      <w:bookmarkEnd w:id="1176"/>
      <w:bookmarkStart w:id="1177" w:name="_Toc373227769"/>
      <w:bookmarkEnd w:id="1177"/>
      <w:bookmarkStart w:id="1178" w:name="_Toc351203649"/>
      <w:bookmarkEnd w:id="1178"/>
      <w:bookmarkStart w:id="1179" w:name="_Toc373478416"/>
      <w:bookmarkEnd w:id="1179"/>
      <w:bookmarkStart w:id="1180" w:name="_Toc28282"/>
      <w:bookmarkEnd w:id="1180"/>
      <w:bookmarkStart w:id="1181" w:name="_Toc14347"/>
      <w:bookmarkStart w:id="1182" w:name="_Toc10878"/>
      <w:bookmarkStart w:id="1183" w:name="_Toc19052"/>
      <w:r>
        <w:rPr>
          <w:rFonts w:hint="eastAsia" w:ascii="宋体" w:hAnsi="宋体" w:eastAsia="宋体"/>
          <w:color w:val="auto"/>
          <w:sz w:val="21"/>
          <w:szCs w:val="21"/>
          <w:highlight w:val="none"/>
        </w:rPr>
        <w:t>17. 不可抗力</w:t>
      </w:r>
      <w:bookmarkEnd w:id="1181"/>
      <w:bookmarkEnd w:id="1182"/>
      <w:bookmarkEnd w:id="1183"/>
      <w:r>
        <w:rPr>
          <w:rFonts w:hint="eastAsia" w:ascii="宋体" w:hAnsi="宋体" w:eastAsia="宋体"/>
          <w:color w:val="auto"/>
          <w:sz w:val="21"/>
          <w:szCs w:val="21"/>
          <w:highlight w:val="none"/>
        </w:rPr>
        <w:t xml:space="preserve"> </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184" w:name="_Toc373227770"/>
      <w:bookmarkEnd w:id="1184"/>
      <w:bookmarkStart w:id="1185" w:name="_Toc20751"/>
      <w:bookmarkEnd w:id="1185"/>
      <w:bookmarkStart w:id="1186" w:name="_Toc373478417"/>
      <w:bookmarkEnd w:id="1186"/>
      <w:bookmarkStart w:id="1187" w:name="_Toc389065335"/>
      <w:bookmarkEnd w:id="1187"/>
      <w:bookmarkStart w:id="1188" w:name="_Toc8607"/>
      <w:bookmarkStart w:id="1189" w:name="_Toc21750"/>
      <w:bookmarkStart w:id="1190" w:name="_Toc15215"/>
      <w:r>
        <w:rPr>
          <w:rFonts w:hint="eastAsia" w:ascii="宋体" w:hAnsi="宋体" w:eastAsia="宋体"/>
          <w:color w:val="auto"/>
          <w:sz w:val="21"/>
          <w:szCs w:val="21"/>
          <w:highlight w:val="none"/>
        </w:rPr>
        <w:t>17.1 不可抗力的确认</w:t>
      </w:r>
      <w:bookmarkEnd w:id="1188"/>
      <w:bookmarkEnd w:id="1189"/>
      <w:bookmarkEnd w:id="1190"/>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除通用合同条款约定的不可抗力事件之外，视为不可抗力的其他情形：</w:t>
      </w:r>
      <w:r>
        <w:rPr>
          <w:rFonts w:hint="eastAsia" w:ascii="宋体" w:hAnsi="宋体" w:eastAsia="宋体"/>
          <w:color w:val="auto"/>
          <w:sz w:val="21"/>
          <w:szCs w:val="21"/>
          <w:highlight w:val="none"/>
          <w:u w:val="single"/>
        </w:rPr>
        <w:t xml:space="preserve"> 因政府或相关主管部门要求导致项目中断施工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191" w:name="_Toc31960"/>
      <w:bookmarkEnd w:id="1191"/>
      <w:bookmarkStart w:id="1192" w:name="_Toc373227771"/>
      <w:bookmarkEnd w:id="1192"/>
      <w:bookmarkStart w:id="1193" w:name="_Toc373478418"/>
      <w:bookmarkEnd w:id="1193"/>
      <w:bookmarkStart w:id="1194" w:name="_Toc389065336"/>
      <w:bookmarkEnd w:id="1194"/>
      <w:bookmarkStart w:id="1195" w:name="_Toc22396"/>
      <w:bookmarkStart w:id="1196" w:name="_Toc24072"/>
      <w:bookmarkStart w:id="1197" w:name="_Toc23355"/>
      <w:r>
        <w:rPr>
          <w:rFonts w:hint="eastAsia" w:ascii="宋体" w:hAnsi="宋体" w:eastAsia="宋体"/>
          <w:color w:val="auto"/>
          <w:sz w:val="21"/>
          <w:szCs w:val="21"/>
          <w:highlight w:val="none"/>
        </w:rPr>
        <w:t>17.4 因不可抗力解除合同</w:t>
      </w:r>
      <w:bookmarkEnd w:id="1195"/>
      <w:bookmarkEnd w:id="1196"/>
      <w:bookmarkEnd w:id="1197"/>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合同解除后，发包人应在商定或确定发包人应支付款项后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28</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天内完成款项的支付。</w:t>
      </w:r>
    </w:p>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1198" w:name="_Toc373227772"/>
      <w:bookmarkEnd w:id="1198"/>
      <w:bookmarkStart w:id="1199" w:name="_Toc3919"/>
      <w:bookmarkEnd w:id="1199"/>
      <w:bookmarkStart w:id="1200" w:name="_Toc389065337"/>
      <w:bookmarkEnd w:id="1200"/>
      <w:bookmarkStart w:id="1201" w:name="_Toc351203650"/>
      <w:bookmarkEnd w:id="1201"/>
      <w:bookmarkStart w:id="1202" w:name="_Toc373478419"/>
      <w:bookmarkEnd w:id="1202"/>
      <w:bookmarkStart w:id="1203" w:name="_Toc2227"/>
      <w:bookmarkStart w:id="1204" w:name="_Toc10781"/>
      <w:bookmarkStart w:id="1205" w:name="_Toc16250"/>
      <w:r>
        <w:rPr>
          <w:rFonts w:hint="eastAsia" w:ascii="宋体" w:hAnsi="宋体" w:eastAsia="宋体"/>
          <w:color w:val="auto"/>
          <w:sz w:val="21"/>
          <w:szCs w:val="21"/>
          <w:highlight w:val="none"/>
        </w:rPr>
        <w:t>18. 保险</w:t>
      </w:r>
      <w:bookmarkEnd w:id="1203"/>
      <w:bookmarkEnd w:id="1204"/>
      <w:bookmarkEnd w:id="1205"/>
    </w:p>
    <w:bookmarkEnd w:id="1161"/>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206" w:name="_Toc9503"/>
      <w:bookmarkEnd w:id="1206"/>
      <w:bookmarkStart w:id="1207" w:name="_Toc373478420"/>
      <w:bookmarkEnd w:id="1207"/>
      <w:bookmarkStart w:id="1208" w:name="_Toc373227773"/>
      <w:bookmarkEnd w:id="1208"/>
      <w:bookmarkStart w:id="1209" w:name="_Toc389065338"/>
      <w:bookmarkEnd w:id="1209"/>
      <w:bookmarkStart w:id="1210" w:name="_Toc72"/>
      <w:bookmarkStart w:id="1211" w:name="_Toc11330"/>
      <w:bookmarkStart w:id="1212" w:name="_Toc14140"/>
      <w:r>
        <w:rPr>
          <w:rFonts w:hint="eastAsia" w:ascii="宋体" w:hAnsi="宋体" w:eastAsia="宋体"/>
          <w:color w:val="auto"/>
          <w:sz w:val="21"/>
          <w:szCs w:val="21"/>
          <w:highlight w:val="none"/>
        </w:rPr>
        <w:t>18.1 工程保险</w:t>
      </w:r>
      <w:bookmarkEnd w:id="1210"/>
      <w:bookmarkEnd w:id="1211"/>
      <w:bookmarkEnd w:id="1212"/>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关于工程保险的特别约定：</w:t>
      </w:r>
      <w:r>
        <w:rPr>
          <w:rFonts w:hint="eastAsia" w:ascii="宋体" w:hAnsi="宋体" w:eastAsia="宋体"/>
          <w:color w:val="auto"/>
          <w:sz w:val="21"/>
          <w:szCs w:val="21"/>
          <w:highlight w:val="none"/>
          <w:u w:val="single"/>
        </w:rPr>
        <w:t xml:space="preserve">  </w:t>
      </w:r>
      <w:r>
        <w:rPr>
          <w:rFonts w:hint="eastAsia" w:ascii="宋体" w:hAnsi="宋体" w:eastAsia="宋体"/>
          <w:bCs/>
          <w:color w:val="auto"/>
          <w:sz w:val="21"/>
          <w:szCs w:val="21"/>
          <w:highlight w:val="none"/>
          <w:u w:val="single"/>
        </w:rPr>
        <w:t>发包人可根据需要投保工程质量保险；对已投保的工程项目，承包人应积极配合保险公司开展相关工作。</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213" w:name="_Toc373478421"/>
      <w:bookmarkEnd w:id="1213"/>
      <w:bookmarkStart w:id="1214" w:name="_Toc4100"/>
      <w:bookmarkEnd w:id="1214"/>
      <w:bookmarkStart w:id="1215" w:name="_Toc389065339"/>
      <w:bookmarkEnd w:id="1215"/>
      <w:bookmarkStart w:id="1216" w:name="_Toc373227774"/>
      <w:bookmarkEnd w:id="1216"/>
      <w:bookmarkStart w:id="1217" w:name="_Toc21376"/>
      <w:bookmarkStart w:id="1218" w:name="_Toc24436"/>
      <w:bookmarkStart w:id="1219" w:name="_Toc11283"/>
      <w:r>
        <w:rPr>
          <w:rFonts w:hint="eastAsia" w:ascii="宋体" w:hAnsi="宋体" w:eastAsia="宋体"/>
          <w:color w:val="auto"/>
          <w:sz w:val="21"/>
          <w:szCs w:val="21"/>
          <w:highlight w:val="none"/>
        </w:rPr>
        <w:t>18.3 其他保险</w:t>
      </w:r>
      <w:bookmarkEnd w:id="1217"/>
      <w:bookmarkEnd w:id="1218"/>
      <w:bookmarkEnd w:id="1219"/>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关于其他保险的约定：</w:t>
      </w:r>
      <w:r>
        <w:rPr>
          <w:rFonts w:hint="eastAsia" w:ascii="宋体" w:hAnsi="宋体" w:eastAsia="宋体"/>
          <w:bCs/>
          <w:color w:val="auto"/>
          <w:sz w:val="21"/>
          <w:szCs w:val="21"/>
          <w:highlight w:val="none"/>
          <w:u w:val="single"/>
        </w:rPr>
        <w:t xml:space="preserve">   承包人必须为施工现场从事施工的自有作业人员和管理人员办理意外伤害保险，并支付保险费，费用已包含在综合单价中不再另计计价     </w:t>
      </w:r>
      <w:r>
        <w:rPr>
          <w:rFonts w:hint="eastAsia" w:ascii="宋体" w:hAnsi="宋体" w:eastAsia="宋体"/>
          <w:bCs/>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承包人是否应为其施工设备等办理财产保险：</w:t>
      </w:r>
      <w:r>
        <w:rPr>
          <w:rFonts w:hint="eastAsia" w:ascii="宋体" w:hAnsi="宋体" w:eastAsia="宋体"/>
          <w:color w:val="auto"/>
          <w:sz w:val="21"/>
          <w:szCs w:val="21"/>
          <w:highlight w:val="none"/>
          <w:u w:val="single"/>
        </w:rPr>
        <w:t xml:space="preserve">  承包人自行考虑    </w:t>
      </w:r>
      <w:r>
        <w:rPr>
          <w:rFonts w:hint="eastAsia" w:ascii="宋体" w:hAnsi="宋体" w:eastAsia="宋体"/>
          <w:color w:val="auto"/>
          <w:sz w:val="21"/>
          <w:szCs w:val="21"/>
          <w:highlight w:val="none"/>
        </w:rPr>
        <w:t>。</w:t>
      </w:r>
    </w:p>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220" w:name="_Toc20108"/>
      <w:bookmarkEnd w:id="1220"/>
      <w:bookmarkStart w:id="1221" w:name="_Toc373227775"/>
      <w:bookmarkEnd w:id="1221"/>
      <w:bookmarkStart w:id="1222" w:name="_Toc389065340"/>
      <w:bookmarkEnd w:id="1222"/>
      <w:bookmarkStart w:id="1223" w:name="_Toc373478422"/>
      <w:bookmarkEnd w:id="1223"/>
      <w:bookmarkStart w:id="1224" w:name="_Toc19711"/>
      <w:bookmarkStart w:id="1225" w:name="_Toc15897"/>
      <w:bookmarkStart w:id="1226" w:name="_Toc31956"/>
      <w:r>
        <w:rPr>
          <w:rFonts w:hint="eastAsia" w:ascii="宋体" w:hAnsi="宋体" w:eastAsia="宋体"/>
          <w:color w:val="auto"/>
          <w:sz w:val="21"/>
          <w:szCs w:val="21"/>
          <w:highlight w:val="none"/>
        </w:rPr>
        <w:t>18.7 通知义务</w:t>
      </w:r>
      <w:bookmarkEnd w:id="1224"/>
      <w:bookmarkEnd w:id="1225"/>
      <w:bookmarkEnd w:id="1226"/>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关于变更保险合同时的通知义务的约定：</w:t>
      </w:r>
      <w:r>
        <w:rPr>
          <w:rFonts w:hint="eastAsia" w:ascii="宋体" w:hAnsi="宋体" w:eastAsia="宋体"/>
          <w:color w:val="auto"/>
          <w:sz w:val="21"/>
          <w:szCs w:val="21"/>
          <w:highlight w:val="none"/>
          <w:u w:val="single"/>
        </w:rPr>
        <w:t xml:space="preserve">  无   </w:t>
      </w:r>
      <w:r>
        <w:rPr>
          <w:rFonts w:hint="eastAsia" w:ascii="宋体" w:hAnsi="宋体" w:eastAsia="宋体"/>
          <w:color w:val="auto"/>
          <w:sz w:val="21"/>
          <w:szCs w:val="21"/>
          <w:highlight w:val="none"/>
        </w:rPr>
        <w:t>。</w:t>
      </w:r>
    </w:p>
    <w:bookmarkEnd w:id="1109"/>
    <w:bookmarkEnd w:id="1110"/>
    <w:bookmarkEnd w:id="1111"/>
    <w:bookmarkEnd w:id="1112"/>
    <w:bookmarkEnd w:id="1113"/>
    <w:bookmarkEnd w:id="1114"/>
    <w:bookmarkEnd w:id="1115"/>
    <w:bookmarkEnd w:id="1116"/>
    <w:bookmarkEnd w:id="1117"/>
    <w:bookmarkEnd w:id="1118"/>
    <w:bookmarkEnd w:id="1119"/>
    <w:bookmarkEnd w:id="1120"/>
    <w:p>
      <w:pPr>
        <w:pageBreakBefore w:val="0"/>
        <w:kinsoku/>
        <w:overflowPunct/>
        <w:topLinePunct w:val="0"/>
        <w:bidi w:val="0"/>
        <w:spacing w:line="360" w:lineRule="auto"/>
        <w:outlineLvl w:val="1"/>
        <w:rPr>
          <w:rFonts w:hint="eastAsia" w:ascii="宋体" w:hAnsi="宋体" w:eastAsia="宋体"/>
          <w:color w:val="auto"/>
          <w:sz w:val="21"/>
          <w:szCs w:val="21"/>
          <w:highlight w:val="none"/>
        </w:rPr>
      </w:pPr>
      <w:bookmarkStart w:id="1227" w:name="_Toc389065341"/>
      <w:bookmarkEnd w:id="1227"/>
      <w:bookmarkStart w:id="1228" w:name="_Toc18626"/>
      <w:bookmarkEnd w:id="1228"/>
      <w:bookmarkStart w:id="1229" w:name="_Toc373227776"/>
      <w:bookmarkEnd w:id="1229"/>
      <w:bookmarkStart w:id="1230" w:name="_Toc373478423"/>
      <w:bookmarkEnd w:id="1230"/>
      <w:bookmarkStart w:id="1231" w:name="_Toc351203651"/>
      <w:bookmarkEnd w:id="1231"/>
      <w:bookmarkStart w:id="1232" w:name="_Toc29155"/>
      <w:bookmarkStart w:id="1233" w:name="_Toc3255"/>
      <w:bookmarkStart w:id="1234" w:name="_Toc24895"/>
      <w:r>
        <w:rPr>
          <w:rFonts w:hint="eastAsia" w:ascii="宋体" w:hAnsi="宋体" w:eastAsia="宋体"/>
          <w:color w:val="auto"/>
          <w:sz w:val="21"/>
          <w:szCs w:val="21"/>
          <w:highlight w:val="none"/>
        </w:rPr>
        <w:t>20. 争议解决</w:t>
      </w:r>
      <w:bookmarkEnd w:id="1232"/>
      <w:bookmarkEnd w:id="1233"/>
      <w:bookmarkEnd w:id="1234"/>
    </w:p>
    <w:bookmarkEnd w:id="1121"/>
    <w:bookmarkEnd w:id="1122"/>
    <w:bookmarkEnd w:id="1123"/>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235" w:name="_Toc373478424"/>
      <w:bookmarkEnd w:id="1235"/>
      <w:bookmarkStart w:id="1236" w:name="_Toc373227777"/>
      <w:bookmarkEnd w:id="1236"/>
      <w:bookmarkStart w:id="1237" w:name="_Toc24166"/>
      <w:bookmarkEnd w:id="1237"/>
      <w:bookmarkStart w:id="1238" w:name="_Toc389065342"/>
      <w:bookmarkEnd w:id="1238"/>
      <w:bookmarkStart w:id="1239" w:name="_Toc5363"/>
      <w:bookmarkStart w:id="1240" w:name="_Toc24559"/>
      <w:bookmarkStart w:id="1241" w:name="_Toc17329"/>
      <w:r>
        <w:rPr>
          <w:rFonts w:hint="eastAsia" w:ascii="宋体" w:hAnsi="宋体" w:eastAsia="宋体"/>
          <w:color w:val="auto"/>
          <w:sz w:val="21"/>
          <w:szCs w:val="21"/>
          <w:highlight w:val="none"/>
        </w:rPr>
        <w:t>20.3 争议评审</w:t>
      </w:r>
      <w:bookmarkEnd w:id="1239"/>
      <w:bookmarkEnd w:id="1240"/>
      <w:bookmarkEnd w:id="1241"/>
    </w:p>
    <w:p>
      <w:pPr>
        <w:pageBreakBefore w:val="0"/>
        <w:kinsoku/>
        <w:overflowPunct/>
        <w:topLinePunct w:val="0"/>
        <w:bidi w:val="0"/>
        <w:spacing w:line="360" w:lineRule="auto"/>
        <w:ind w:left="149" w:leftChars="71" w:firstLine="315" w:firstLineChars="15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合同当事人是否同意将工程争议提交争议评审小组决定：</w:t>
      </w:r>
      <w:r>
        <w:rPr>
          <w:rFonts w:hint="eastAsia" w:ascii="宋体" w:hAnsi="宋体" w:eastAsia="宋体"/>
          <w:color w:val="auto"/>
          <w:sz w:val="21"/>
          <w:szCs w:val="21"/>
          <w:highlight w:val="none"/>
          <w:u w:val="single"/>
          <w:lang w:eastAsia="zh-CN"/>
        </w:rPr>
        <w:t>是</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20.3.1 争议评审小组的确定</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争议评审小组成员的确定：</w:t>
      </w:r>
      <w:r>
        <w:rPr>
          <w:rFonts w:hint="eastAsia" w:ascii="宋体" w:hAnsi="宋体" w:eastAsia="宋体"/>
          <w:color w:val="auto"/>
          <w:sz w:val="21"/>
          <w:szCs w:val="21"/>
          <w:highlight w:val="none"/>
          <w:u w:val="single"/>
        </w:rPr>
        <w:t xml:space="preserve">      按本合同通用条款相关规定执行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选定争议评审员的期限：</w:t>
      </w:r>
      <w:r>
        <w:rPr>
          <w:rFonts w:hint="eastAsia" w:ascii="宋体" w:hAnsi="宋体" w:eastAsia="宋体"/>
          <w:color w:val="auto"/>
          <w:sz w:val="21"/>
          <w:szCs w:val="21"/>
          <w:highlight w:val="none"/>
          <w:u w:val="single"/>
        </w:rPr>
        <w:t xml:space="preserve"> 按本合同通用条款相关规定执行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争议评审小组成员的报酬承担方式：</w:t>
      </w:r>
      <w:r>
        <w:rPr>
          <w:rFonts w:hint="eastAsia" w:ascii="宋体" w:hAnsi="宋体" w:eastAsia="宋体"/>
          <w:color w:val="auto"/>
          <w:sz w:val="21"/>
          <w:szCs w:val="21"/>
          <w:highlight w:val="none"/>
          <w:u w:val="single"/>
        </w:rPr>
        <w:t xml:space="preserve"> 按本合同通用条款相关规定执行  </w:t>
      </w:r>
      <w:r>
        <w:rPr>
          <w:rFonts w:hint="eastAsia" w:ascii="宋体" w:hAnsi="宋体" w:eastAsia="宋体"/>
          <w:color w:val="auto"/>
          <w:sz w:val="21"/>
          <w:szCs w:val="21"/>
          <w:highlight w:val="none"/>
        </w:rPr>
        <w:t>。</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其他事项的约定：</w:t>
      </w:r>
      <w:r>
        <w:rPr>
          <w:rFonts w:hint="eastAsia" w:ascii="宋体" w:hAnsi="宋体" w:eastAsia="宋体"/>
          <w:color w:val="auto"/>
          <w:sz w:val="21"/>
          <w:szCs w:val="21"/>
          <w:highlight w:val="none"/>
          <w:u w:val="single"/>
        </w:rPr>
        <w:t xml:space="preserve">  按本合同通用条款相关规定执行    </w:t>
      </w:r>
      <w:r>
        <w:rPr>
          <w:rFonts w:hint="eastAsia" w:ascii="宋体" w:hAnsi="宋体" w:eastAsia="宋体"/>
          <w:color w:val="auto"/>
          <w:sz w:val="21"/>
          <w:szCs w:val="21"/>
          <w:highlight w:val="none"/>
        </w:rPr>
        <w:t>。</w:t>
      </w:r>
    </w:p>
    <w:p>
      <w:pPr>
        <w:pageBreakBefore w:val="0"/>
        <w:kinsoku/>
        <w:overflowPunct/>
        <w:topLinePunct w:val="0"/>
        <w:autoSpaceDE w:val="0"/>
        <w:autoSpaceDN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20.3.2 争议评审小组的决定</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合同当事人关于本项的约定：</w:t>
      </w:r>
      <w:r>
        <w:rPr>
          <w:rFonts w:hint="eastAsia" w:ascii="宋体" w:hAnsi="宋体" w:eastAsia="宋体"/>
          <w:color w:val="auto"/>
          <w:sz w:val="21"/>
          <w:szCs w:val="21"/>
          <w:highlight w:val="none"/>
          <w:u w:val="single"/>
        </w:rPr>
        <w:t xml:space="preserve">  按本合同通用条款相关规定执行     </w:t>
      </w:r>
      <w:r>
        <w:rPr>
          <w:rFonts w:hint="eastAsia" w:ascii="宋体" w:hAnsi="宋体" w:eastAsia="宋体"/>
          <w:color w:val="auto"/>
          <w:sz w:val="21"/>
          <w:szCs w:val="21"/>
          <w:highlight w:val="none"/>
        </w:rPr>
        <w:t>。</w:t>
      </w:r>
    </w:p>
    <w:bookmarkEnd w:id="1124"/>
    <w:p>
      <w:pPr>
        <w:pageBreakBefore w:val="0"/>
        <w:kinsoku/>
        <w:overflowPunct/>
        <w:topLinePunct w:val="0"/>
        <w:bidi w:val="0"/>
        <w:spacing w:line="360" w:lineRule="auto"/>
        <w:outlineLvl w:val="2"/>
        <w:rPr>
          <w:rFonts w:hint="eastAsia" w:ascii="宋体" w:hAnsi="宋体" w:eastAsia="宋体"/>
          <w:color w:val="auto"/>
          <w:sz w:val="21"/>
          <w:szCs w:val="21"/>
          <w:highlight w:val="none"/>
        </w:rPr>
      </w:pPr>
      <w:bookmarkStart w:id="1242" w:name="_Toc373227778"/>
      <w:bookmarkEnd w:id="1242"/>
      <w:bookmarkStart w:id="1243" w:name="_Toc373478425"/>
      <w:bookmarkEnd w:id="1243"/>
      <w:bookmarkStart w:id="1244" w:name="_Toc24467"/>
      <w:bookmarkEnd w:id="1244"/>
      <w:bookmarkStart w:id="1245" w:name="_Toc389065343"/>
      <w:bookmarkEnd w:id="1245"/>
      <w:bookmarkStart w:id="1246" w:name="_Toc15479"/>
      <w:bookmarkStart w:id="1247" w:name="_Toc20174"/>
      <w:bookmarkStart w:id="1248" w:name="_Toc14505"/>
      <w:r>
        <w:rPr>
          <w:rFonts w:hint="eastAsia" w:ascii="宋体" w:hAnsi="宋体" w:eastAsia="宋体"/>
          <w:color w:val="auto"/>
          <w:sz w:val="21"/>
          <w:szCs w:val="21"/>
          <w:highlight w:val="none"/>
        </w:rPr>
        <w:t>20.4 仲裁或诉讼</w:t>
      </w:r>
      <w:bookmarkEnd w:id="1246"/>
      <w:bookmarkEnd w:id="1247"/>
      <w:bookmarkEnd w:id="1248"/>
    </w:p>
    <w:p>
      <w:pPr>
        <w:pageBreakBefore w:val="0"/>
        <w:kinsoku/>
        <w:overflowPunct/>
        <w:topLinePunct w:val="0"/>
        <w:bidi w:val="0"/>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因合同及合同有关事项发生的争议，按下列第</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2</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种方式解决：</w:t>
      </w:r>
    </w:p>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（1）提请</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仲裁委员会按照该会仲裁规则进行仲裁，仲裁裁决是终局的，对合同双方均有约束力。</w:t>
      </w:r>
    </w:p>
    <w:bookmarkEnd w:id="1125"/>
    <w:bookmarkEnd w:id="1126"/>
    <w:bookmarkEnd w:id="1127"/>
    <w:bookmarkEnd w:id="1128"/>
    <w:bookmarkEnd w:id="1129"/>
    <w:bookmarkEnd w:id="1130"/>
    <w:p>
      <w:pPr>
        <w:pageBreakBefore w:val="0"/>
        <w:kinsoku/>
        <w:overflowPunct/>
        <w:topLinePunct w:val="0"/>
        <w:bidi w:val="0"/>
        <w:spacing w:line="360" w:lineRule="auto"/>
        <w:ind w:firstLine="420" w:firstLineChars="200"/>
        <w:jc w:val="left"/>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（2）向</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工程所在地</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人民法院起诉。</w:t>
      </w:r>
    </w:p>
    <w:p>
      <w:pPr>
        <w:pageBreakBefore w:val="0"/>
        <w:kinsoku/>
        <w:overflowPunct/>
        <w:topLinePunct w:val="0"/>
        <w:bidi w:val="0"/>
        <w:spacing w:line="360" w:lineRule="auto"/>
        <w:jc w:val="left"/>
        <w:outlineLvl w:val="9"/>
        <w:rPr>
          <w:rFonts w:hint="eastAsia" w:ascii="宋体" w:hAnsi="宋体" w:eastAsia="宋体"/>
          <w:b/>
          <w:color w:val="auto"/>
          <w:sz w:val="24"/>
          <w:highlight w:val="none"/>
        </w:rPr>
      </w:pPr>
      <w:r>
        <w:rPr>
          <w:rFonts w:hint="eastAsia" w:ascii="宋体" w:hAnsi="宋体" w:eastAsia="宋体"/>
          <w:b/>
          <w:color w:val="auto"/>
          <w:sz w:val="24"/>
          <w:highlight w:val="none"/>
        </w:rPr>
        <w:br w:type="page"/>
      </w:r>
      <w:r>
        <w:rPr>
          <w:rFonts w:hint="eastAsia" w:ascii="宋体" w:hAnsi="宋体" w:eastAsia="宋体"/>
          <w:b/>
          <w:color w:val="auto"/>
          <w:sz w:val="24"/>
          <w:highlight w:val="none"/>
        </w:rPr>
        <w:t>附件</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协议书附件：</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附件1：承包人承揽工程项目一览表</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专用合同条款附件：</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附件2：发包人供应材料设备一览表</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附件3：工程质量保修书</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附件4：主要建设工程文件目录</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附件5：承包人用于本工程施工的机械设备表</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附件6：承包人主要施工管理人员表</w:t>
      </w:r>
    </w:p>
    <w:p>
      <w:pPr>
        <w:pageBreakBefore w:val="0"/>
        <w:kinsoku/>
        <w:overflowPunct/>
        <w:topLinePunct w:val="0"/>
        <w:bidi w:val="0"/>
        <w:spacing w:line="360" w:lineRule="auto"/>
        <w:jc w:val="left"/>
        <w:rPr>
          <w:rFonts w:hint="eastAsia" w:ascii="宋体" w:hAnsi="宋体" w:eastAsia="宋体"/>
          <w:color w:val="auto"/>
          <w:highlight w:val="none"/>
        </w:rPr>
      </w:pPr>
      <w:r>
        <w:rPr>
          <w:rFonts w:hint="eastAsia" w:ascii="宋体" w:hAnsi="宋体" w:eastAsia="宋体"/>
          <w:color w:val="auto"/>
          <w:highlight w:val="none"/>
        </w:rPr>
        <w:t>附件7：暂估价一览表</w:t>
      </w: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left"/>
        <w:rPr>
          <w:rFonts w:hint="eastAsia" w:ascii="宋体" w:hAnsi="宋体" w:eastAsia="宋体"/>
          <w:color w:val="auto"/>
          <w:sz w:val="24"/>
          <w:highlight w:val="none"/>
        </w:rPr>
      </w:pPr>
    </w:p>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附件1：承包人承揽工程项目一览表</w:t>
      </w:r>
    </w:p>
    <w:tbl>
      <w:tblPr>
        <w:tblStyle w:val="46"/>
        <w:tblpPr w:vertAnchor="text" w:horzAnchor="margin" w:tblpXSpec="center" w:tblpY="498"/>
        <w:tblW w:w="8612" w:type="dxa"/>
        <w:tblInd w:w="-28" w:type="dxa"/>
        <w:tblLayout w:type="fixed"/>
        <w:tblCellMar>
          <w:top w:w="0" w:type="dxa"/>
          <w:left w:w="28" w:type="dxa"/>
          <w:bottom w:w="0" w:type="dxa"/>
          <w:right w:w="28" w:type="dxa"/>
        </w:tblCellMar>
      </w:tblPr>
      <w:tblGrid>
        <w:gridCol w:w="831"/>
        <w:gridCol w:w="1065"/>
        <w:gridCol w:w="1050"/>
        <w:gridCol w:w="629"/>
        <w:gridCol w:w="626"/>
        <w:gridCol w:w="642"/>
        <w:gridCol w:w="1099"/>
        <w:gridCol w:w="931"/>
        <w:gridCol w:w="677"/>
        <w:gridCol w:w="1062"/>
      </w:tblGrid>
      <w:tr>
        <w:tblPrEx>
          <w:tblCellMar>
            <w:top w:w="0" w:type="dxa"/>
            <w:left w:w="28" w:type="dxa"/>
            <w:bottom w:w="0" w:type="dxa"/>
            <w:right w:w="28" w:type="dxa"/>
          </w:tblCellMar>
        </w:tblPrEx>
        <w:trPr>
          <w:trHeight w:val="1783" w:hRule="atLeast"/>
        </w:trPr>
        <w:tc>
          <w:tcPr>
            <w:tcW w:w="831"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26" w:right="63" w:firstLine="36"/>
              <w:jc w:val="center"/>
              <w:rPr>
                <w:rFonts w:hint="eastAsia" w:ascii="宋体" w:hAnsi="宋体" w:eastAsia="宋体"/>
                <w:color w:val="auto"/>
                <w:sz w:val="24"/>
                <w:highlight w:val="none"/>
              </w:rPr>
            </w:pPr>
            <w:r>
              <w:rPr>
                <w:rFonts w:hint="eastAsia" w:ascii="宋体" w:hAnsi="宋体" w:eastAsia="宋体"/>
                <w:color w:val="auto"/>
                <w:sz w:val="24"/>
                <w:highlight w:val="none"/>
              </w:rPr>
              <w:t>单位工程名称</w:t>
            </w:r>
          </w:p>
        </w:tc>
        <w:tc>
          <w:tcPr>
            <w:tcW w:w="1065"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建设规模</w:t>
            </w:r>
          </w:p>
        </w:tc>
        <w:tc>
          <w:tcPr>
            <w:tcW w:w="10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建筑面积(平方米)</w:t>
            </w:r>
          </w:p>
        </w:tc>
        <w:tc>
          <w:tcPr>
            <w:tcW w:w="629"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结构形式</w:t>
            </w:r>
          </w:p>
        </w:tc>
        <w:tc>
          <w:tcPr>
            <w:tcW w:w="626"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层数</w:t>
            </w:r>
          </w:p>
        </w:tc>
        <w:tc>
          <w:tcPr>
            <w:tcW w:w="64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生产能力</w:t>
            </w:r>
          </w:p>
        </w:tc>
        <w:tc>
          <w:tcPr>
            <w:tcW w:w="1099"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设备安装内容</w:t>
            </w:r>
          </w:p>
        </w:tc>
        <w:tc>
          <w:tcPr>
            <w:tcW w:w="93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合同价格（元）</w:t>
            </w:r>
          </w:p>
        </w:tc>
        <w:tc>
          <w:tcPr>
            <w:tcW w:w="677"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开工日期</w:t>
            </w:r>
          </w:p>
        </w:tc>
        <w:tc>
          <w:tcPr>
            <w:tcW w:w="1062"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竣工日期</w:t>
            </w:r>
          </w:p>
        </w:tc>
      </w:tr>
      <w:tr>
        <w:tblPrEx>
          <w:tblCellMar>
            <w:top w:w="0" w:type="dxa"/>
            <w:left w:w="28" w:type="dxa"/>
            <w:bottom w:w="0" w:type="dxa"/>
            <w:right w:w="28" w:type="dxa"/>
          </w:tblCellMar>
        </w:tblPrEx>
        <w:trPr>
          <w:trHeight w:val="948" w:hRule="atLeast"/>
        </w:trPr>
        <w:tc>
          <w:tcPr>
            <w:tcW w:w="831"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19" w:hRule="atLeast"/>
        </w:trPr>
        <w:tc>
          <w:tcPr>
            <w:tcW w:w="831"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48" w:hRule="atLeast"/>
        </w:trPr>
        <w:tc>
          <w:tcPr>
            <w:tcW w:w="831"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5"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9"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26"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4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99"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3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677"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062"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bl>
    <w:p>
      <w:pPr>
        <w:pageBreakBefore w:val="0"/>
        <w:kinsoku/>
        <w:overflowPunct/>
        <w:topLinePunct w:val="0"/>
        <w:bidi w:val="0"/>
        <w:spacing w:line="360" w:lineRule="auto"/>
        <w:jc w:val="center"/>
        <w:rPr>
          <w:rFonts w:hint="eastAsia" w:ascii="宋体" w:hAnsi="宋体" w:eastAsia="宋体"/>
          <w:color w:val="auto"/>
          <w:sz w:val="24"/>
          <w:szCs w:val="20"/>
          <w:highlight w:val="none"/>
        </w:rPr>
      </w:pPr>
    </w:p>
    <w:p>
      <w:pPr>
        <w:pageBreakBefore w:val="0"/>
        <w:kinsoku/>
        <w:overflowPunct/>
        <w:topLinePunct w:val="0"/>
        <w:bidi w:val="0"/>
        <w:spacing w:line="360" w:lineRule="auto"/>
        <w:rPr>
          <w:rFonts w:hint="eastAsia" w:ascii="宋体" w:hAnsi="宋体" w:eastAsia="宋体"/>
          <w:color w:val="auto"/>
          <w:sz w:val="24"/>
          <w:highlight w:val="none"/>
        </w:rPr>
      </w:pPr>
      <w:r>
        <w:rPr>
          <w:rFonts w:hint="eastAsia" w:ascii="宋体" w:hAnsi="宋体" w:eastAsia="宋体"/>
          <w:color w:val="auto"/>
          <w:sz w:val="24"/>
          <w:highlight w:val="none"/>
        </w:rPr>
        <w:t>附件2：</w:t>
      </w:r>
    </w:p>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发包人供应材料设备一览表</w:t>
      </w:r>
    </w:p>
    <w:tbl>
      <w:tblPr>
        <w:tblStyle w:val="46"/>
        <w:tblW w:w="9456" w:type="dxa"/>
        <w:jc w:val="center"/>
        <w:tblLayout w:type="fixed"/>
        <w:tblCellMar>
          <w:top w:w="0" w:type="dxa"/>
          <w:left w:w="28" w:type="dxa"/>
          <w:bottom w:w="0" w:type="dxa"/>
          <w:right w:w="28" w:type="dxa"/>
        </w:tblCellMar>
      </w:tblPr>
      <w:tblGrid>
        <w:gridCol w:w="752"/>
        <w:gridCol w:w="1128"/>
        <w:gridCol w:w="1253"/>
        <w:gridCol w:w="831"/>
        <w:gridCol w:w="752"/>
        <w:gridCol w:w="922"/>
        <w:gridCol w:w="876"/>
        <w:gridCol w:w="752"/>
        <w:gridCol w:w="1314"/>
        <w:gridCol w:w="876"/>
      </w:tblGrid>
      <w:tr>
        <w:tblPrEx>
          <w:tblCellMar>
            <w:top w:w="0" w:type="dxa"/>
            <w:left w:w="28" w:type="dxa"/>
            <w:bottom w:w="0" w:type="dxa"/>
            <w:right w:w="28" w:type="dxa"/>
          </w:tblCellMar>
        </w:tblPrEx>
        <w:trPr>
          <w:trHeight w:val="1011" w:hRule="atLeast"/>
          <w:jc w:val="center"/>
        </w:trPr>
        <w:tc>
          <w:tcPr>
            <w:tcW w:w="752"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序号</w:t>
            </w:r>
          </w:p>
        </w:tc>
        <w:tc>
          <w:tcPr>
            <w:tcW w:w="112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 xml:space="preserve">  材料、</w:t>
            </w:r>
          </w:p>
          <w:p>
            <w:pPr>
              <w:keepNext/>
              <w:pageBreakBefore w:val="0"/>
              <w:kinsoku/>
              <w:overflowPunct/>
              <w:topLinePunct w:val="0"/>
              <w:bidi w:val="0"/>
              <w:spacing w:line="360" w:lineRule="auto"/>
              <w:ind w:right="63"/>
              <w:jc w:val="center"/>
              <w:rPr>
                <w:rFonts w:hint="eastAsia" w:ascii="宋体" w:hAnsi="宋体" w:eastAsia="宋体"/>
                <w:color w:val="auto"/>
                <w:sz w:val="24"/>
                <w:highlight w:val="none"/>
              </w:rPr>
            </w:pPr>
            <w:r>
              <w:rPr>
                <w:rFonts w:hint="eastAsia" w:ascii="宋体" w:hAnsi="宋体" w:eastAsia="宋体"/>
                <w:color w:val="auto"/>
                <w:sz w:val="24"/>
                <w:highlight w:val="none"/>
              </w:rPr>
              <w:t>设备品种</w:t>
            </w:r>
          </w:p>
        </w:tc>
        <w:tc>
          <w:tcPr>
            <w:tcW w:w="125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规格型号</w:t>
            </w:r>
          </w:p>
        </w:tc>
        <w:tc>
          <w:tcPr>
            <w:tcW w:w="83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单位</w:t>
            </w:r>
          </w:p>
        </w:tc>
        <w:tc>
          <w:tcPr>
            <w:tcW w:w="7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数量</w:t>
            </w:r>
          </w:p>
        </w:tc>
        <w:tc>
          <w:tcPr>
            <w:tcW w:w="92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单价（元）</w:t>
            </w:r>
          </w:p>
        </w:tc>
        <w:tc>
          <w:tcPr>
            <w:tcW w:w="876"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质量等级</w:t>
            </w:r>
          </w:p>
        </w:tc>
        <w:tc>
          <w:tcPr>
            <w:tcW w:w="7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供应时间</w:t>
            </w:r>
          </w:p>
        </w:tc>
        <w:tc>
          <w:tcPr>
            <w:tcW w:w="131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送达地点</w:t>
            </w:r>
          </w:p>
        </w:tc>
        <w:tc>
          <w:tcPr>
            <w:tcW w:w="876"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4"/>
                <w:highlight w:val="none"/>
              </w:rPr>
            </w:pPr>
            <w:r>
              <w:rPr>
                <w:rFonts w:hint="eastAsia" w:ascii="宋体" w:hAnsi="宋体" w:eastAsia="宋体"/>
                <w:color w:val="auto"/>
                <w:sz w:val="24"/>
                <w:highlight w:val="none"/>
              </w:rPr>
              <w:t>备注</w:t>
            </w:r>
          </w:p>
        </w:tc>
      </w:tr>
      <w:tr>
        <w:tblPrEx>
          <w:tblCellMar>
            <w:top w:w="0" w:type="dxa"/>
            <w:left w:w="28" w:type="dxa"/>
            <w:bottom w:w="0" w:type="dxa"/>
            <w:right w:w="28" w:type="dxa"/>
          </w:tblCellMar>
        </w:tblPrEx>
        <w:trPr>
          <w:trHeight w:val="1042" w:hRule="atLeast"/>
          <w:jc w:val="center"/>
        </w:trPr>
        <w:tc>
          <w:tcPr>
            <w:tcW w:w="75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12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25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3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7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7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7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31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76"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81"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81"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981"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606"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r>
      <w:tr>
        <w:tblPrEx>
          <w:tblCellMar>
            <w:top w:w="0" w:type="dxa"/>
            <w:left w:w="28" w:type="dxa"/>
            <w:bottom w:w="0" w:type="dxa"/>
            <w:right w:w="28" w:type="dxa"/>
          </w:tblCellMar>
        </w:tblPrEx>
        <w:trPr>
          <w:trHeight w:val="606"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r>
      <w:tr>
        <w:tblPrEx>
          <w:tblCellMar>
            <w:top w:w="0" w:type="dxa"/>
            <w:left w:w="28" w:type="dxa"/>
            <w:bottom w:w="0" w:type="dxa"/>
            <w:right w:w="28" w:type="dxa"/>
          </w:tblCellMar>
        </w:tblPrEx>
        <w:trPr>
          <w:trHeight w:val="606"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r>
      <w:tr>
        <w:tblPrEx>
          <w:tblCellMar>
            <w:top w:w="0" w:type="dxa"/>
            <w:left w:w="28" w:type="dxa"/>
            <w:bottom w:w="0" w:type="dxa"/>
            <w:right w:w="28" w:type="dxa"/>
          </w:tblCellMar>
        </w:tblPrEx>
        <w:trPr>
          <w:trHeight w:val="606"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r>
      <w:tr>
        <w:tblPrEx>
          <w:tblCellMar>
            <w:top w:w="0" w:type="dxa"/>
            <w:left w:w="28" w:type="dxa"/>
            <w:bottom w:w="0" w:type="dxa"/>
            <w:right w:w="28" w:type="dxa"/>
          </w:tblCellMar>
        </w:tblPrEx>
        <w:trPr>
          <w:trHeight w:val="606"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r>
      <w:tr>
        <w:tblPrEx>
          <w:tblCellMar>
            <w:top w:w="0" w:type="dxa"/>
            <w:left w:w="28" w:type="dxa"/>
            <w:bottom w:w="0" w:type="dxa"/>
            <w:right w:w="28" w:type="dxa"/>
          </w:tblCellMar>
        </w:tblPrEx>
        <w:trPr>
          <w:trHeight w:val="606"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r>
      <w:tr>
        <w:tblPrEx>
          <w:tblCellMar>
            <w:top w:w="0" w:type="dxa"/>
            <w:left w:w="28" w:type="dxa"/>
            <w:bottom w:w="0" w:type="dxa"/>
            <w:right w:w="28" w:type="dxa"/>
          </w:tblCellMar>
        </w:tblPrEx>
        <w:trPr>
          <w:trHeight w:val="606" w:hRule="atLeast"/>
          <w:jc w:val="center"/>
        </w:trPr>
        <w:tc>
          <w:tcPr>
            <w:tcW w:w="75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12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25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3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9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1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r>
      <w:tr>
        <w:tblPrEx>
          <w:tblCellMar>
            <w:top w:w="0" w:type="dxa"/>
            <w:left w:w="28" w:type="dxa"/>
            <w:bottom w:w="0" w:type="dxa"/>
            <w:right w:w="28" w:type="dxa"/>
          </w:tblCellMar>
        </w:tblPrEx>
        <w:trPr>
          <w:trHeight w:val="666" w:hRule="atLeast"/>
          <w:jc w:val="center"/>
        </w:trPr>
        <w:tc>
          <w:tcPr>
            <w:tcW w:w="752"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12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25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3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92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75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1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876"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r>
    </w:tbl>
    <w:p>
      <w:pPr>
        <w:pageBreakBefore w:val="0"/>
        <w:kinsoku/>
        <w:overflowPunct/>
        <w:topLinePunct w:val="0"/>
        <w:bidi w:val="0"/>
        <w:spacing w:line="360" w:lineRule="auto"/>
        <w:rPr>
          <w:rFonts w:hint="eastAsia" w:ascii="宋体" w:hAnsi="宋体" w:eastAsia="宋体"/>
          <w:color w:val="auto"/>
          <w:sz w:val="24"/>
          <w:szCs w:val="20"/>
          <w:highlight w:val="none"/>
        </w:rPr>
      </w:pPr>
    </w:p>
    <w:p>
      <w:pPr>
        <w:pageBreakBefore w:val="0"/>
        <w:kinsoku/>
        <w:overflowPunct/>
        <w:topLinePunct w:val="0"/>
        <w:bidi w:val="0"/>
        <w:spacing w:line="360" w:lineRule="auto"/>
        <w:rPr>
          <w:rFonts w:hint="eastAsia" w:ascii="宋体" w:hAnsi="宋体" w:eastAsia="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br w:type="page"/>
      </w:r>
      <w:r>
        <w:rPr>
          <w:rFonts w:hint="eastAsia" w:ascii="宋体" w:hAnsi="宋体" w:eastAsia="宋体"/>
          <w:color w:val="auto"/>
          <w:sz w:val="24"/>
          <w:highlight w:val="none"/>
        </w:rPr>
        <w:t xml:space="preserve">附件3：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olor w:val="auto"/>
          <w:sz w:val="24"/>
          <w:highlight w:val="none"/>
        </w:rPr>
      </w:pPr>
      <w:r>
        <w:rPr>
          <w:rFonts w:hint="eastAsia" w:ascii="宋体" w:hAnsi="宋体" w:eastAsia="宋体"/>
          <w:color w:val="auto"/>
          <w:sz w:val="24"/>
          <w:highlight w:val="none"/>
        </w:rPr>
        <w:t>工程质量保修书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olor w:val="auto"/>
          <w:sz w:val="24"/>
          <w:highlight w:val="none"/>
        </w:rPr>
      </w:pPr>
      <w:r>
        <w:rPr>
          <w:rFonts w:hint="eastAsia" w:ascii="宋体" w:hAnsi="宋体" w:eastAsia="宋体"/>
          <w:color w:val="auto"/>
          <w:sz w:val="24"/>
          <w:highlight w:val="none"/>
        </w:rPr>
        <w:t>发包人（全称）：</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　　承包人（全称）：</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　　发包人和承包人根据《中华人民共和国建筑法》和《建设工程质量管理条例》，经协商一致就</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（工程全称）签订工程质量保修书。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　　一、工程质量保修范围和内容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　　承包人在质量保修期内，按照有关法律规定和合同约定，承担工程质量保修责任。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　　</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
          <w:color w:val="auto"/>
          <w:sz w:val="24"/>
          <w:highlight w:val="none"/>
        </w:rPr>
      </w:pPr>
      <w:r>
        <w:rPr>
          <w:rFonts w:hint="eastAsia" w:ascii="宋体" w:hAnsi="宋体" w:eastAsia="宋体"/>
          <w:b/>
          <w:color w:val="auto"/>
          <w:sz w:val="24"/>
          <w:highlight w:val="none"/>
        </w:rPr>
        <w:t>　　</w:t>
      </w:r>
      <w:r>
        <w:rPr>
          <w:rFonts w:hint="eastAsia" w:ascii="宋体" w:hAnsi="宋体" w:eastAsia="宋体"/>
          <w:color w:val="auto"/>
          <w:sz w:val="24"/>
          <w:highlight w:val="none"/>
        </w:rPr>
        <w:t>二、质量保修期</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olor w:val="auto"/>
          <w:sz w:val="24"/>
          <w:highlight w:val="none"/>
        </w:rPr>
      </w:pPr>
      <w:r>
        <w:rPr>
          <w:rFonts w:hint="eastAsia" w:ascii="宋体" w:hAnsi="宋体" w:eastAsia="宋体"/>
          <w:color w:val="auto"/>
          <w:sz w:val="24"/>
          <w:highlight w:val="none"/>
        </w:rPr>
        <w:t>根据《建设工程质量管理条例》及有关规定，工程的质量保修期如下：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olor w:val="auto"/>
          <w:sz w:val="24"/>
          <w:highlight w:val="none"/>
        </w:rPr>
      </w:pPr>
      <w:r>
        <w:rPr>
          <w:rFonts w:hint="eastAsia" w:ascii="宋体" w:hAnsi="宋体" w:eastAsia="宋体"/>
          <w:color w:val="auto"/>
          <w:sz w:val="24"/>
          <w:highlight w:val="none"/>
        </w:rPr>
        <w:t>1．地基基础工程和主体结构工程为设计文件规定的工程合理使用年限；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olor w:val="auto"/>
          <w:sz w:val="24"/>
          <w:highlight w:val="none"/>
        </w:rPr>
      </w:pPr>
      <w:r>
        <w:rPr>
          <w:rFonts w:hint="eastAsia" w:ascii="宋体" w:hAnsi="宋体" w:eastAsia="宋体"/>
          <w:color w:val="auto"/>
          <w:sz w:val="24"/>
          <w:highlight w:val="none"/>
        </w:rPr>
        <w:t>2．屋面防水工程、有防水要求的卫生间、房间和外墙面的防渗为</w:t>
      </w:r>
      <w:r>
        <w:rPr>
          <w:rFonts w:hint="eastAsia" w:ascii="宋体" w:hAnsi="宋体" w:eastAsia="宋体"/>
          <w:color w:val="auto"/>
          <w:sz w:val="24"/>
          <w:highlight w:val="none"/>
          <w:u w:val="single"/>
        </w:rPr>
        <w:t xml:space="preserve"> 5 </w:t>
      </w:r>
      <w:r>
        <w:rPr>
          <w:rFonts w:hint="eastAsia" w:ascii="宋体" w:hAnsi="宋体" w:eastAsia="宋体"/>
          <w:color w:val="auto"/>
          <w:sz w:val="24"/>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left="420" w:firstLine="120"/>
        <w:textAlignment w:val="auto"/>
        <w:rPr>
          <w:rFonts w:hint="eastAsia" w:ascii="宋体" w:hAnsi="宋体" w:eastAsia="宋体"/>
          <w:color w:val="auto"/>
          <w:sz w:val="24"/>
          <w:highlight w:val="none"/>
        </w:rPr>
      </w:pPr>
      <w:r>
        <w:rPr>
          <w:rFonts w:hint="eastAsia" w:ascii="宋体" w:hAnsi="宋体" w:eastAsia="宋体"/>
          <w:color w:val="auto"/>
          <w:sz w:val="24"/>
          <w:highlight w:val="none"/>
        </w:rPr>
        <w:t>3．装修工程为</w:t>
      </w:r>
      <w:r>
        <w:rPr>
          <w:rFonts w:hint="eastAsia" w:ascii="宋体" w:hAnsi="宋体" w:eastAsia="宋体"/>
          <w:color w:val="auto"/>
          <w:sz w:val="24"/>
          <w:highlight w:val="none"/>
          <w:u w:val="single"/>
        </w:rPr>
        <w:t>2</w:t>
      </w:r>
      <w:r>
        <w:rPr>
          <w:rFonts w:hint="eastAsia" w:ascii="宋体" w:hAnsi="宋体" w:eastAsia="宋体"/>
          <w:color w:val="auto"/>
          <w:sz w:val="24"/>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left="420" w:firstLine="120"/>
        <w:textAlignment w:val="auto"/>
        <w:rPr>
          <w:rFonts w:hint="eastAsia" w:ascii="宋体" w:hAnsi="宋体" w:eastAsia="宋体"/>
          <w:color w:val="auto"/>
          <w:sz w:val="24"/>
          <w:highlight w:val="none"/>
        </w:rPr>
      </w:pPr>
      <w:r>
        <w:rPr>
          <w:rFonts w:hint="eastAsia" w:ascii="宋体" w:hAnsi="宋体" w:eastAsia="宋体"/>
          <w:color w:val="auto"/>
          <w:sz w:val="24"/>
          <w:highlight w:val="none"/>
        </w:rPr>
        <w:t>4．电气管线、给排水管道、设备安装工程为</w:t>
      </w:r>
      <w:r>
        <w:rPr>
          <w:rFonts w:hint="eastAsia" w:ascii="宋体" w:hAnsi="宋体" w:eastAsia="宋体"/>
          <w:color w:val="auto"/>
          <w:sz w:val="24"/>
          <w:highlight w:val="none"/>
          <w:u w:val="single"/>
        </w:rPr>
        <w:t xml:space="preserve"> 2 </w:t>
      </w:r>
      <w:r>
        <w:rPr>
          <w:rFonts w:hint="eastAsia" w:ascii="宋体" w:hAnsi="宋体" w:eastAsia="宋体"/>
          <w:color w:val="auto"/>
          <w:sz w:val="24"/>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left="420" w:firstLine="120"/>
        <w:textAlignment w:val="auto"/>
        <w:rPr>
          <w:rFonts w:hint="eastAsia" w:ascii="宋体" w:hAnsi="宋体" w:eastAsia="宋体"/>
          <w:color w:val="auto"/>
          <w:sz w:val="24"/>
          <w:highlight w:val="none"/>
        </w:rPr>
      </w:pPr>
      <w:r>
        <w:rPr>
          <w:rFonts w:hint="eastAsia" w:ascii="宋体" w:hAnsi="宋体" w:eastAsia="宋体"/>
          <w:color w:val="auto"/>
          <w:sz w:val="24"/>
          <w:highlight w:val="none"/>
        </w:rPr>
        <w:t>5．供热与供冷系统为</w:t>
      </w:r>
      <w:r>
        <w:rPr>
          <w:rFonts w:hint="eastAsia" w:ascii="宋体" w:hAnsi="宋体" w:eastAsia="宋体"/>
          <w:color w:val="auto"/>
          <w:sz w:val="24"/>
          <w:highlight w:val="none"/>
          <w:u w:val="single"/>
        </w:rPr>
        <w:t>2</w:t>
      </w:r>
      <w:r>
        <w:rPr>
          <w:rFonts w:hint="eastAsia" w:ascii="宋体" w:hAnsi="宋体" w:eastAsia="宋体"/>
          <w:color w:val="auto"/>
          <w:sz w:val="24"/>
          <w:highlight w:val="none"/>
        </w:rPr>
        <w:t>个采暖期、供冷期；</w:t>
      </w:r>
    </w:p>
    <w:p>
      <w:pPr>
        <w:keepNext w:val="0"/>
        <w:keepLines w:val="0"/>
        <w:pageBreakBefore w:val="0"/>
        <w:widowControl w:val="0"/>
        <w:kinsoku/>
        <w:wordWrap/>
        <w:overflowPunct/>
        <w:topLinePunct w:val="0"/>
        <w:autoSpaceDE/>
        <w:autoSpaceDN/>
        <w:bidi w:val="0"/>
        <w:adjustRightInd/>
        <w:snapToGrid/>
        <w:spacing w:line="360" w:lineRule="auto"/>
        <w:ind w:left="420" w:firstLine="120"/>
        <w:textAlignment w:val="auto"/>
        <w:rPr>
          <w:rFonts w:hint="eastAsia" w:ascii="宋体" w:hAnsi="宋体" w:eastAsia="宋体"/>
          <w:color w:val="auto"/>
          <w:sz w:val="24"/>
          <w:highlight w:val="none"/>
        </w:rPr>
      </w:pPr>
      <w:r>
        <w:rPr>
          <w:rFonts w:hint="eastAsia" w:ascii="宋体" w:hAnsi="宋体" w:eastAsia="宋体"/>
          <w:color w:val="auto"/>
          <w:sz w:val="24"/>
          <w:highlight w:val="none"/>
        </w:rPr>
        <w:t>6．住宅小区内的给排水设施、道路等配套工程为</w:t>
      </w:r>
      <w:r>
        <w:rPr>
          <w:rFonts w:hint="eastAsia" w:ascii="宋体" w:hAnsi="宋体" w:eastAsia="宋体"/>
          <w:color w:val="auto"/>
          <w:sz w:val="24"/>
          <w:highlight w:val="none"/>
          <w:u w:val="single"/>
        </w:rPr>
        <w:t xml:space="preserve"> 2</w:t>
      </w:r>
      <w:r>
        <w:rPr>
          <w:rFonts w:hint="eastAsia" w:ascii="宋体" w:hAnsi="宋体" w:eastAsia="宋体"/>
          <w:color w:val="auto"/>
          <w:sz w:val="24"/>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left="420" w:firstLine="120"/>
        <w:textAlignment w:val="auto"/>
        <w:rPr>
          <w:rFonts w:hint="eastAsia" w:ascii="宋体" w:hAnsi="宋体" w:eastAsia="宋体"/>
          <w:color w:val="auto"/>
          <w:sz w:val="24"/>
          <w:highlight w:val="none"/>
        </w:rPr>
      </w:pPr>
      <w:r>
        <w:rPr>
          <w:rFonts w:hint="eastAsia" w:ascii="宋体" w:hAnsi="宋体" w:eastAsia="宋体"/>
          <w:color w:val="auto"/>
          <w:sz w:val="24"/>
          <w:highlight w:val="none"/>
        </w:rPr>
        <w:t>7. 运动场工程为</w:t>
      </w:r>
      <w:r>
        <w:rPr>
          <w:rFonts w:hint="eastAsia" w:ascii="宋体" w:hAnsi="宋体" w:eastAsia="宋体"/>
          <w:color w:val="auto"/>
          <w:sz w:val="24"/>
          <w:highlight w:val="none"/>
          <w:u w:val="single"/>
        </w:rPr>
        <w:t>2</w:t>
      </w:r>
      <w:r>
        <w:rPr>
          <w:rFonts w:hint="eastAsia" w:ascii="宋体" w:hAnsi="宋体" w:eastAsia="宋体"/>
          <w:color w:val="auto"/>
          <w:sz w:val="24"/>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left="420" w:firstLine="120"/>
        <w:textAlignment w:val="auto"/>
        <w:rPr>
          <w:rFonts w:hint="eastAsia" w:ascii="宋体" w:hAnsi="宋体" w:eastAsia="宋体"/>
          <w:color w:val="auto"/>
          <w:sz w:val="24"/>
          <w:highlight w:val="none"/>
        </w:rPr>
      </w:pPr>
      <w:r>
        <w:rPr>
          <w:rFonts w:hint="eastAsia" w:ascii="宋体" w:hAnsi="宋体" w:eastAsia="宋体"/>
          <w:color w:val="auto"/>
          <w:sz w:val="24"/>
          <w:highlight w:val="none"/>
        </w:rPr>
        <w:t>8．其他项目保修期限约定如下：</w:t>
      </w:r>
      <w:r>
        <w:rPr>
          <w:rFonts w:hint="eastAsia" w:ascii="宋体" w:hAnsi="宋体" w:eastAsia="宋体"/>
          <w:color w:val="auto"/>
          <w:sz w:val="24"/>
          <w:highlight w:val="none"/>
          <w:u w:val="single"/>
        </w:rPr>
        <w:t xml:space="preserve"> 绿化工程部分绿化植株成活率要求达到98%以上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质量保修期自工程竣工验收合格之日起计算。</w:t>
      </w:r>
    </w:p>
    <w:p>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eastAsia" w:ascii="宋体" w:hAnsi="宋体" w:eastAsia="宋体"/>
          <w:color w:val="auto"/>
          <w:sz w:val="24"/>
          <w:highlight w:val="none"/>
        </w:rPr>
      </w:pPr>
      <w:r>
        <w:rPr>
          <w:rFonts w:hint="eastAsia" w:ascii="宋体" w:hAnsi="宋体" w:eastAsia="宋体"/>
          <w:color w:val="auto"/>
          <w:sz w:val="24"/>
          <w:highlight w:val="none"/>
        </w:rPr>
        <w:t>三、缺陷责任期</w:t>
      </w:r>
    </w:p>
    <w:p>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eastAsia" w:ascii="宋体" w:hAnsi="宋体" w:eastAsia="宋体"/>
          <w:color w:val="auto"/>
          <w:sz w:val="24"/>
          <w:highlight w:val="none"/>
        </w:rPr>
      </w:pPr>
      <w:r>
        <w:rPr>
          <w:rFonts w:hint="eastAsia" w:ascii="宋体" w:hAnsi="宋体" w:eastAsia="宋体"/>
          <w:color w:val="auto"/>
          <w:sz w:val="24"/>
          <w:highlight w:val="none"/>
        </w:rPr>
        <w:t>工程缺陷责任期为</w:t>
      </w:r>
      <w:r>
        <w:rPr>
          <w:rFonts w:hint="eastAsia" w:ascii="宋体" w:hAnsi="宋体" w:eastAsia="宋体"/>
          <w:color w:val="auto"/>
          <w:sz w:val="24"/>
          <w:highlight w:val="none"/>
          <w:u w:val="single"/>
        </w:rPr>
        <w:t>24</w:t>
      </w:r>
      <w:r>
        <w:rPr>
          <w:rFonts w:hint="eastAsia" w:ascii="宋体" w:hAnsi="宋体" w:eastAsia="宋体"/>
          <w:color w:val="auto"/>
          <w:sz w:val="24"/>
          <w:highlight w:val="none"/>
        </w:rPr>
        <w:t>个月，缺陷责任期自工程竣工验收合格之日起计算。单位工程先于全部工程进行验收，单位工程缺陷责任期自单位工程验收合格之日起算。</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 xml:space="preserve">    四、质量保修责任</w:t>
      </w:r>
    </w:p>
    <w:p>
      <w:pPr>
        <w:keepNext w:val="0"/>
        <w:keepLines w:val="0"/>
        <w:pageBreakBefore w:val="0"/>
        <w:widowControl w:val="0"/>
        <w:kinsoku/>
        <w:wordWrap/>
        <w:overflowPunct/>
        <w:topLinePunct w:val="0"/>
        <w:autoSpaceDE/>
        <w:autoSpaceDN/>
        <w:bidi w:val="0"/>
        <w:adjustRightInd/>
        <w:snapToGrid/>
        <w:spacing w:line="336" w:lineRule="auto"/>
        <w:ind w:left="105" w:firstLine="492"/>
        <w:textAlignment w:val="auto"/>
        <w:rPr>
          <w:rFonts w:hint="eastAsia" w:ascii="宋体" w:hAnsi="宋体" w:eastAsia="宋体"/>
          <w:color w:val="auto"/>
          <w:sz w:val="24"/>
          <w:highlight w:val="none"/>
        </w:rPr>
      </w:pPr>
      <w:r>
        <w:rPr>
          <w:rFonts w:hint="eastAsia" w:ascii="宋体" w:hAnsi="宋体" w:eastAsia="宋体"/>
          <w:color w:val="auto"/>
          <w:sz w:val="24"/>
          <w:highlight w:val="none"/>
        </w:rPr>
        <w:t>1．属于保修范围、内容的项目，承包人应当在接到保修通知之日起7天内派人保修。承包人不在约定期限内派人保修的，发包人可以委托他人修理。</w:t>
      </w:r>
    </w:p>
    <w:p>
      <w:pPr>
        <w:keepNext w:val="0"/>
        <w:keepLines w:val="0"/>
        <w:pageBreakBefore w:val="0"/>
        <w:widowControl w:val="0"/>
        <w:kinsoku/>
        <w:wordWrap/>
        <w:overflowPunct/>
        <w:topLinePunct w:val="0"/>
        <w:autoSpaceDE/>
        <w:autoSpaceDN/>
        <w:bidi w:val="0"/>
        <w:adjustRightInd/>
        <w:snapToGrid/>
        <w:spacing w:line="336" w:lineRule="auto"/>
        <w:ind w:left="105" w:firstLine="492"/>
        <w:textAlignment w:val="auto"/>
        <w:rPr>
          <w:rFonts w:hint="eastAsia" w:ascii="宋体" w:hAnsi="宋体" w:eastAsia="宋体"/>
          <w:color w:val="auto"/>
          <w:sz w:val="24"/>
          <w:highlight w:val="none"/>
        </w:rPr>
      </w:pPr>
      <w:r>
        <w:rPr>
          <w:rFonts w:hint="eastAsia" w:ascii="宋体" w:hAnsi="宋体" w:eastAsia="宋体"/>
          <w:color w:val="auto"/>
          <w:sz w:val="24"/>
          <w:highlight w:val="none"/>
        </w:rPr>
        <w:t>2．发生紧急事故需抢修的，承包人在接到事故通知后，应当立即到达事故现场抢修。</w:t>
      </w:r>
    </w:p>
    <w:p>
      <w:pPr>
        <w:keepNext w:val="0"/>
        <w:keepLines w:val="0"/>
        <w:pageBreakBefore w:val="0"/>
        <w:widowControl w:val="0"/>
        <w:kinsoku/>
        <w:wordWrap/>
        <w:overflowPunct/>
        <w:topLinePunct w:val="0"/>
        <w:autoSpaceDE/>
        <w:autoSpaceDN/>
        <w:bidi w:val="0"/>
        <w:adjustRightInd/>
        <w:snapToGrid/>
        <w:spacing w:line="336" w:lineRule="auto"/>
        <w:ind w:left="105" w:firstLine="492"/>
        <w:textAlignment w:val="auto"/>
        <w:rPr>
          <w:rFonts w:hint="eastAsia" w:ascii="宋体" w:hAnsi="宋体" w:eastAsia="宋体"/>
          <w:color w:val="auto"/>
          <w:sz w:val="24"/>
          <w:highlight w:val="none"/>
        </w:rPr>
      </w:pPr>
      <w:r>
        <w:rPr>
          <w:rFonts w:hint="eastAsia" w:ascii="宋体" w:hAnsi="宋体" w:eastAsia="宋体"/>
          <w:color w:val="auto"/>
          <w:sz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keepNext w:val="0"/>
        <w:keepLines w:val="0"/>
        <w:pageBreakBefore w:val="0"/>
        <w:widowControl w:val="0"/>
        <w:kinsoku/>
        <w:wordWrap/>
        <w:overflowPunct/>
        <w:topLinePunct w:val="0"/>
        <w:autoSpaceDE/>
        <w:autoSpaceDN/>
        <w:bidi w:val="0"/>
        <w:adjustRightInd/>
        <w:snapToGrid/>
        <w:spacing w:line="336" w:lineRule="auto"/>
        <w:ind w:left="420" w:firstLine="120"/>
        <w:textAlignment w:val="auto"/>
        <w:outlineLvl w:val="1"/>
        <w:rPr>
          <w:rFonts w:hint="eastAsia" w:ascii="宋体" w:hAnsi="宋体" w:eastAsia="宋体"/>
          <w:color w:val="auto"/>
          <w:sz w:val="24"/>
          <w:highlight w:val="none"/>
        </w:rPr>
      </w:pPr>
      <w:bookmarkStart w:id="1249" w:name="_Toc3457"/>
      <w:bookmarkStart w:id="1250" w:name="_Toc18570"/>
      <w:bookmarkStart w:id="1251" w:name="_Toc9736"/>
      <w:r>
        <w:rPr>
          <w:rFonts w:hint="eastAsia" w:ascii="宋体" w:hAnsi="宋体" w:eastAsia="宋体"/>
          <w:color w:val="auto"/>
          <w:sz w:val="24"/>
          <w:highlight w:val="none"/>
        </w:rPr>
        <w:t>4．质量保修完成后，由发包人组织验收。</w:t>
      </w:r>
      <w:bookmarkEnd w:id="1249"/>
      <w:bookmarkEnd w:id="1250"/>
      <w:bookmarkEnd w:id="1251"/>
    </w:p>
    <w:p>
      <w:pPr>
        <w:keepNext w:val="0"/>
        <w:keepLines w:val="0"/>
        <w:pageBreakBefore w:val="0"/>
        <w:widowControl w:val="0"/>
        <w:kinsoku/>
        <w:wordWrap/>
        <w:overflowPunct/>
        <w:topLinePunct w:val="0"/>
        <w:autoSpaceDE/>
        <w:autoSpaceDN/>
        <w:bidi w:val="0"/>
        <w:adjustRightInd/>
        <w:snapToGrid/>
        <w:spacing w:line="336" w:lineRule="auto"/>
        <w:textAlignment w:val="auto"/>
        <w:outlineLvl w:val="2"/>
        <w:rPr>
          <w:rFonts w:hint="eastAsia" w:ascii="宋体" w:hAnsi="宋体" w:eastAsia="宋体"/>
          <w:color w:val="auto"/>
          <w:sz w:val="24"/>
          <w:highlight w:val="none"/>
        </w:rPr>
      </w:pPr>
      <w:r>
        <w:rPr>
          <w:rFonts w:hint="eastAsia" w:ascii="宋体" w:hAnsi="宋体" w:eastAsia="宋体"/>
          <w:color w:val="auto"/>
          <w:sz w:val="24"/>
          <w:highlight w:val="none"/>
        </w:rPr>
        <w:t>　　</w:t>
      </w:r>
      <w:bookmarkStart w:id="1252" w:name="_Toc5772"/>
      <w:bookmarkStart w:id="1253" w:name="_Toc23705"/>
      <w:bookmarkStart w:id="1254" w:name="_Toc16748"/>
      <w:r>
        <w:rPr>
          <w:rFonts w:hint="eastAsia" w:ascii="宋体" w:hAnsi="宋体" w:eastAsia="宋体"/>
          <w:color w:val="auto"/>
          <w:sz w:val="24"/>
          <w:highlight w:val="none"/>
        </w:rPr>
        <w:t>五、保修费用</w:t>
      </w:r>
      <w:bookmarkEnd w:id="1252"/>
      <w:bookmarkEnd w:id="1253"/>
      <w:bookmarkEnd w:id="1254"/>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　　保修费用由造成质量缺陷的责任方承担。</w:t>
      </w:r>
    </w:p>
    <w:p>
      <w:pPr>
        <w:keepNext w:val="0"/>
        <w:keepLines w:val="0"/>
        <w:pageBreakBefore w:val="0"/>
        <w:widowControl w:val="0"/>
        <w:kinsoku/>
        <w:wordWrap/>
        <w:overflowPunct/>
        <w:topLinePunct w:val="0"/>
        <w:autoSpaceDE/>
        <w:autoSpaceDN/>
        <w:bidi w:val="0"/>
        <w:adjustRightInd/>
        <w:snapToGrid/>
        <w:spacing w:line="336" w:lineRule="auto"/>
        <w:ind w:firstLine="600"/>
        <w:jc w:val="left"/>
        <w:textAlignment w:val="auto"/>
        <w:rPr>
          <w:rFonts w:hint="eastAsia" w:ascii="宋体" w:hAnsi="宋体" w:eastAsia="宋体"/>
          <w:b/>
          <w:color w:val="auto"/>
          <w:sz w:val="24"/>
          <w:highlight w:val="none"/>
        </w:rPr>
      </w:pPr>
      <w:r>
        <w:rPr>
          <w:rFonts w:hint="eastAsia" w:ascii="宋体" w:hAnsi="宋体" w:eastAsia="宋体"/>
          <w:b/>
          <w:color w:val="auto"/>
          <w:sz w:val="24"/>
          <w:highlight w:val="none"/>
        </w:rPr>
        <w:t>六</w:t>
      </w:r>
      <w:r>
        <w:rPr>
          <w:rFonts w:hint="eastAsia" w:ascii="宋体" w:hAnsi="宋体" w:eastAsia="宋体"/>
          <w:color w:val="auto"/>
          <w:sz w:val="24"/>
          <w:highlight w:val="none"/>
        </w:rPr>
        <w:t>、双方约定的其他工程质量保修事项：</w:t>
      </w:r>
      <w:r>
        <w:rPr>
          <w:rFonts w:hint="eastAsia" w:ascii="宋体" w:hAnsi="宋体" w:eastAsia="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jc w:val="left"/>
        <w:textAlignment w:val="auto"/>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36" w:lineRule="auto"/>
        <w:ind w:firstLine="456"/>
        <w:textAlignment w:val="auto"/>
        <w:rPr>
          <w:rFonts w:hint="eastAsia" w:ascii="宋体" w:hAnsi="宋体" w:eastAsia="宋体"/>
          <w:color w:val="auto"/>
          <w:sz w:val="24"/>
          <w:highlight w:val="none"/>
        </w:rPr>
      </w:pPr>
      <w:r>
        <w:rPr>
          <w:rFonts w:hint="eastAsia" w:ascii="宋体" w:hAnsi="宋体" w:eastAsia="宋体"/>
          <w:color w:val="auto"/>
          <w:sz w:val="24"/>
          <w:highlight w:val="none"/>
        </w:rPr>
        <w:t>工程质量保修书由发包人、承包人在工程竣工验收前共同签署，作为施工合同附件，其有效期限至保修期满。</w:t>
      </w:r>
    </w:p>
    <w:p>
      <w:pPr>
        <w:keepNext w:val="0"/>
        <w:keepLines w:val="0"/>
        <w:pageBreakBefore w:val="0"/>
        <w:widowControl w:val="0"/>
        <w:kinsoku/>
        <w:wordWrap/>
        <w:overflowPunct/>
        <w:topLinePunct w:val="0"/>
        <w:autoSpaceDE/>
        <w:autoSpaceDN/>
        <w:bidi w:val="0"/>
        <w:adjustRightInd/>
        <w:snapToGrid/>
        <w:spacing w:line="336" w:lineRule="auto"/>
        <w:ind w:firstLine="420"/>
        <w:textAlignment w:val="auto"/>
        <w:rPr>
          <w:rFonts w:hint="eastAsia" w:ascii="宋体" w:hAnsi="宋体" w:eastAsia="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发包人(公章)：</w:t>
      </w:r>
      <w:r>
        <w:rPr>
          <w:rFonts w:hint="eastAsia" w:ascii="宋体" w:hAnsi="宋体" w:eastAsia="宋体"/>
          <w:color w:val="auto"/>
          <w:sz w:val="24"/>
          <w:highlight w:val="none"/>
          <w:u w:val="single"/>
        </w:rPr>
        <w:t xml:space="preserve">        </w:t>
      </w:r>
      <w:r>
        <w:rPr>
          <w:rFonts w:hint="eastAsia" w:ascii="宋体" w:hAnsi="宋体" w:eastAsia="宋体"/>
          <w:color w:val="auto"/>
          <w:sz w:val="24"/>
          <w:highlight w:val="none"/>
        </w:rPr>
        <w:t xml:space="preserve">          承包人(公章)：</w:t>
      </w:r>
      <w:r>
        <w:rPr>
          <w:rFonts w:hint="eastAsia" w:ascii="宋体" w:hAnsi="宋体" w:eastAsia="宋体"/>
          <w:color w:val="auto"/>
          <w:sz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地  址：</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地  址：</w:t>
      </w:r>
      <w:r>
        <w:rPr>
          <w:rFonts w:hint="eastAsia" w:ascii="宋体" w:hAnsi="宋体" w:eastAsia="宋体"/>
          <w:color w:val="auto"/>
          <w:sz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法定代表人(签字)：</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法定代表人(签字)：</w:t>
      </w:r>
      <w:r>
        <w:rPr>
          <w:rFonts w:hint="eastAsia" w:ascii="宋体" w:hAnsi="宋体" w:eastAsia="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委托代理人(签字)：</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委托代理人(签字)：</w:t>
      </w:r>
      <w:r>
        <w:rPr>
          <w:rFonts w:hint="eastAsia" w:ascii="宋体" w:hAnsi="宋体" w:eastAsia="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电  话：</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电  话：</w:t>
      </w:r>
      <w:r>
        <w:rPr>
          <w:rFonts w:hint="eastAsia" w:ascii="宋体" w:hAnsi="宋体" w:eastAsia="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传  真：</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传  真：</w:t>
      </w:r>
      <w:r>
        <w:rPr>
          <w:rFonts w:hint="eastAsia" w:ascii="宋体" w:hAnsi="宋体" w:eastAsia="宋体"/>
          <w:color w:val="auto"/>
          <w:sz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开户银行：</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开户银行：</w:t>
      </w:r>
      <w:r>
        <w:rPr>
          <w:rFonts w:hint="eastAsia" w:ascii="宋体" w:hAnsi="宋体" w:eastAsia="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账  号：</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账  号：</w:t>
      </w:r>
      <w:r>
        <w:rPr>
          <w:rFonts w:hint="eastAsia" w:ascii="宋体" w:hAnsi="宋体" w:eastAsia="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highlight w:val="none"/>
        </w:rPr>
      </w:pPr>
      <w:r>
        <w:rPr>
          <w:rFonts w:hint="eastAsia" w:ascii="宋体" w:hAnsi="宋体" w:eastAsia="宋体"/>
          <w:color w:val="auto"/>
          <w:sz w:val="24"/>
          <w:highlight w:val="none"/>
        </w:rPr>
        <w:t>邮政编码：</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邮政编码：</w:t>
      </w:r>
      <w:r>
        <w:rPr>
          <w:rFonts w:hint="eastAsia" w:ascii="宋体" w:hAnsi="宋体" w:eastAsia="宋体"/>
          <w:color w:val="auto"/>
          <w:sz w:val="24"/>
          <w:highlight w:val="none"/>
          <w:u w:val="single"/>
        </w:rPr>
        <w:t xml:space="preserve">   </w:t>
      </w:r>
      <w:r>
        <w:rPr>
          <w:rFonts w:hint="eastAsia" w:ascii="宋体" w:hAnsi="宋体" w:eastAsia="宋体"/>
          <w:color w:val="auto"/>
          <w:highlight w:val="none"/>
        </w:rPr>
        <w:br w:type="page"/>
      </w:r>
      <w:r>
        <w:rPr>
          <w:rFonts w:hint="eastAsia" w:ascii="宋体" w:hAnsi="宋体" w:eastAsia="宋体"/>
          <w:color w:val="auto"/>
          <w:sz w:val="24"/>
          <w:highlight w:val="none"/>
        </w:rPr>
        <w:t>附件4：</w:t>
      </w:r>
    </w:p>
    <w:p>
      <w:pPr>
        <w:pageBreakBefore w:val="0"/>
        <w:kinsoku/>
        <w:overflowPunct/>
        <w:topLinePunct w:val="0"/>
        <w:bidi w:val="0"/>
        <w:spacing w:line="360" w:lineRule="auto"/>
        <w:jc w:val="center"/>
        <w:outlineLvl w:val="0"/>
        <w:rPr>
          <w:rFonts w:hint="eastAsia" w:ascii="宋体" w:hAnsi="宋体" w:eastAsia="宋体"/>
          <w:color w:val="auto"/>
          <w:sz w:val="24"/>
          <w:highlight w:val="none"/>
        </w:rPr>
      </w:pPr>
      <w:bookmarkStart w:id="1255" w:name="_Toc14629"/>
      <w:bookmarkStart w:id="1256" w:name="_Toc20005"/>
      <w:bookmarkStart w:id="1257" w:name="_Toc21084"/>
      <w:r>
        <w:rPr>
          <w:rFonts w:hint="eastAsia" w:ascii="宋体" w:hAnsi="宋体" w:eastAsia="宋体"/>
          <w:color w:val="auto"/>
          <w:sz w:val="24"/>
          <w:highlight w:val="none"/>
        </w:rPr>
        <w:t>主要建设工程文件目录</w:t>
      </w:r>
      <w:bookmarkEnd w:id="1255"/>
      <w:bookmarkEnd w:id="1256"/>
      <w:bookmarkEnd w:id="1257"/>
    </w:p>
    <w:tbl>
      <w:tblPr>
        <w:tblStyle w:val="46"/>
        <w:tblW w:w="0" w:type="auto"/>
        <w:jc w:val="center"/>
        <w:tblLayout w:type="fixed"/>
        <w:tblCellMar>
          <w:top w:w="0" w:type="dxa"/>
          <w:left w:w="28" w:type="dxa"/>
          <w:bottom w:w="0" w:type="dxa"/>
          <w:right w:w="28" w:type="dxa"/>
        </w:tblCellMar>
      </w:tblPr>
      <w:tblGrid>
        <w:gridCol w:w="1953"/>
        <w:gridCol w:w="1276"/>
        <w:gridCol w:w="1450"/>
        <w:gridCol w:w="1243"/>
        <w:gridCol w:w="1450"/>
        <w:gridCol w:w="1667"/>
      </w:tblGrid>
      <w:tr>
        <w:tblPrEx>
          <w:tblCellMar>
            <w:top w:w="0" w:type="dxa"/>
            <w:left w:w="28" w:type="dxa"/>
            <w:bottom w:w="0" w:type="dxa"/>
            <w:right w:w="28" w:type="dxa"/>
          </w:tblCellMar>
        </w:tblPrEx>
        <w:trPr>
          <w:trHeight w:val="629" w:hRule="atLeast"/>
          <w:jc w:val="center"/>
        </w:trPr>
        <w:tc>
          <w:tcPr>
            <w:tcW w:w="195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文件名称</w:t>
            </w:r>
          </w:p>
        </w:tc>
        <w:tc>
          <w:tcPr>
            <w:tcW w:w="1276"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套数</w:t>
            </w:r>
          </w:p>
        </w:tc>
        <w:tc>
          <w:tcPr>
            <w:tcW w:w="14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费用（元）</w:t>
            </w:r>
          </w:p>
        </w:tc>
        <w:tc>
          <w:tcPr>
            <w:tcW w:w="124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质量</w:t>
            </w:r>
          </w:p>
        </w:tc>
        <w:tc>
          <w:tcPr>
            <w:tcW w:w="14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移交时间</w:t>
            </w:r>
          </w:p>
        </w:tc>
        <w:tc>
          <w:tcPr>
            <w:tcW w:w="1667"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pPr>
              <w:pageBreakBefore w:val="0"/>
              <w:kinsoku/>
              <w:overflowPunct/>
              <w:topLinePunct w:val="0"/>
              <w:bidi w:val="0"/>
              <w:spacing w:line="360" w:lineRule="auto"/>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责任人</w:t>
            </w:r>
          </w:p>
        </w:tc>
      </w:tr>
      <w:tr>
        <w:tblPrEx>
          <w:tblCellMar>
            <w:top w:w="0" w:type="dxa"/>
            <w:left w:w="28" w:type="dxa"/>
            <w:bottom w:w="0" w:type="dxa"/>
            <w:right w:w="28" w:type="dxa"/>
          </w:tblCellMar>
        </w:tblPrEx>
        <w:trPr>
          <w:trHeight w:val="629" w:hRule="atLeast"/>
          <w:jc w:val="center"/>
        </w:trPr>
        <w:tc>
          <w:tcPr>
            <w:tcW w:w="195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r>
      <w:tr>
        <w:tblPrEx>
          <w:tblCellMar>
            <w:top w:w="0" w:type="dxa"/>
            <w:left w:w="28" w:type="dxa"/>
            <w:bottom w:w="0" w:type="dxa"/>
            <w:right w:w="28" w:type="dxa"/>
          </w:tblCellMar>
        </w:tblPrEx>
        <w:trPr>
          <w:trHeight w:val="629" w:hRule="atLeast"/>
          <w:jc w:val="center"/>
        </w:trPr>
        <w:tc>
          <w:tcPr>
            <w:tcW w:w="1953"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76"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24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4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c>
          <w:tcPr>
            <w:tcW w:w="1667"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top"/>
          </w:tcPr>
          <w:p>
            <w:pPr>
              <w:pageBreakBefore w:val="0"/>
              <w:kinsoku/>
              <w:overflowPunct/>
              <w:topLinePunct w:val="0"/>
              <w:bidi w:val="0"/>
              <w:spacing w:line="360" w:lineRule="auto"/>
              <w:rPr>
                <w:rFonts w:hint="eastAsia" w:ascii="宋体" w:hAnsi="宋体" w:eastAsia="宋体"/>
                <w:color w:val="auto"/>
                <w:sz w:val="28"/>
                <w:szCs w:val="28"/>
                <w:highlight w:val="none"/>
              </w:rPr>
            </w:pPr>
          </w:p>
        </w:tc>
      </w:tr>
    </w:tbl>
    <w:p>
      <w:pPr>
        <w:pageBreakBefore w:val="0"/>
        <w:kinsoku/>
        <w:overflowPunct/>
        <w:topLinePunct w:val="0"/>
        <w:bidi w:val="0"/>
        <w:spacing w:line="360" w:lineRule="auto"/>
        <w:rPr>
          <w:rFonts w:hint="eastAsia" w:ascii="宋体" w:hAnsi="宋体" w:eastAsia="宋体"/>
          <w:color w:val="auto"/>
          <w:sz w:val="24"/>
          <w:szCs w:val="20"/>
          <w:highlight w:val="none"/>
        </w:rPr>
      </w:pPr>
    </w:p>
    <w:p>
      <w:pPr>
        <w:pageBreakBefore w:val="0"/>
        <w:kinsoku/>
        <w:overflowPunct/>
        <w:topLinePunct w:val="0"/>
        <w:bidi w:val="0"/>
        <w:spacing w:line="360" w:lineRule="auto"/>
        <w:rPr>
          <w:rFonts w:hint="eastAsia" w:ascii="宋体" w:hAnsi="宋体" w:eastAsia="宋体"/>
          <w:color w:val="auto"/>
          <w:highlight w:val="none"/>
        </w:rPr>
      </w:pPr>
      <w:r>
        <w:rPr>
          <w:rFonts w:hint="eastAsia" w:ascii="宋体" w:hAnsi="宋体" w:eastAsia="宋体"/>
          <w:color w:val="auto"/>
          <w:sz w:val="24"/>
          <w:highlight w:val="none"/>
        </w:rPr>
        <w:br w:type="page"/>
      </w:r>
      <w:r>
        <w:rPr>
          <w:rFonts w:hint="eastAsia" w:ascii="宋体" w:hAnsi="宋体" w:eastAsia="宋体"/>
          <w:color w:val="auto"/>
          <w:sz w:val="24"/>
          <w:highlight w:val="none"/>
        </w:rPr>
        <w:t>附件5：</w:t>
      </w:r>
    </w:p>
    <w:p>
      <w:pPr>
        <w:pageBreakBefore w:val="0"/>
        <w:kinsoku/>
        <w:overflowPunct/>
        <w:topLinePunct w:val="0"/>
        <w:bidi w:val="0"/>
        <w:spacing w:line="360" w:lineRule="auto"/>
        <w:jc w:val="center"/>
        <w:outlineLvl w:val="0"/>
        <w:rPr>
          <w:rFonts w:hint="eastAsia" w:ascii="宋体" w:hAnsi="宋体" w:eastAsia="宋体"/>
          <w:color w:val="auto"/>
          <w:sz w:val="24"/>
          <w:highlight w:val="none"/>
        </w:rPr>
      </w:pPr>
      <w:bookmarkStart w:id="1258" w:name="_Toc6562"/>
      <w:bookmarkStart w:id="1259" w:name="_Toc31264"/>
      <w:bookmarkStart w:id="1260" w:name="_Toc22290"/>
      <w:r>
        <w:rPr>
          <w:rFonts w:hint="eastAsia" w:ascii="宋体" w:hAnsi="宋体" w:eastAsia="宋体"/>
          <w:color w:val="auto"/>
          <w:sz w:val="24"/>
          <w:highlight w:val="none"/>
        </w:rPr>
        <w:t>承包人用于本工程施工的机械设备表</w:t>
      </w:r>
      <w:bookmarkEnd w:id="1258"/>
      <w:bookmarkEnd w:id="1259"/>
      <w:bookmarkEnd w:id="1260"/>
    </w:p>
    <w:tbl>
      <w:tblPr>
        <w:tblStyle w:val="46"/>
        <w:tblW w:w="9154" w:type="dxa"/>
        <w:jc w:val="center"/>
        <w:tblLayout w:type="fixed"/>
        <w:tblCellMar>
          <w:top w:w="0" w:type="dxa"/>
          <w:left w:w="28" w:type="dxa"/>
          <w:bottom w:w="0" w:type="dxa"/>
          <w:right w:w="28" w:type="dxa"/>
        </w:tblCellMar>
      </w:tblPr>
      <w:tblGrid>
        <w:gridCol w:w="1084"/>
        <w:gridCol w:w="1323"/>
        <w:gridCol w:w="793"/>
        <w:gridCol w:w="988"/>
        <w:gridCol w:w="821"/>
        <w:gridCol w:w="952"/>
        <w:gridCol w:w="1382"/>
        <w:gridCol w:w="952"/>
        <w:gridCol w:w="859"/>
      </w:tblGrid>
      <w:tr>
        <w:tblPrEx>
          <w:tblCellMar>
            <w:top w:w="0" w:type="dxa"/>
            <w:left w:w="28" w:type="dxa"/>
            <w:bottom w:w="0" w:type="dxa"/>
            <w:right w:w="28" w:type="dxa"/>
          </w:tblCellMar>
        </w:tblPrEx>
        <w:trPr>
          <w:trHeight w:val="1330" w:hRule="atLeast"/>
          <w:jc w:val="center"/>
        </w:trPr>
        <w:tc>
          <w:tcPr>
            <w:tcW w:w="1084"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序号</w:t>
            </w:r>
          </w:p>
        </w:tc>
        <w:tc>
          <w:tcPr>
            <w:tcW w:w="132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机械或设备名称</w:t>
            </w:r>
          </w:p>
        </w:tc>
        <w:tc>
          <w:tcPr>
            <w:tcW w:w="79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规格型号</w:t>
            </w:r>
          </w:p>
        </w:tc>
        <w:tc>
          <w:tcPr>
            <w:tcW w:w="98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数量</w:t>
            </w:r>
          </w:p>
        </w:tc>
        <w:tc>
          <w:tcPr>
            <w:tcW w:w="82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产地</w:t>
            </w:r>
          </w:p>
        </w:tc>
        <w:tc>
          <w:tcPr>
            <w:tcW w:w="9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制造年份</w:t>
            </w:r>
          </w:p>
        </w:tc>
        <w:tc>
          <w:tcPr>
            <w:tcW w:w="138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额定功率(kW)</w:t>
            </w:r>
          </w:p>
        </w:tc>
        <w:tc>
          <w:tcPr>
            <w:tcW w:w="9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生产能力</w:t>
            </w:r>
          </w:p>
        </w:tc>
        <w:tc>
          <w:tcPr>
            <w:tcW w:w="859"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pPr>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备注</w:t>
            </w:r>
          </w:p>
        </w:tc>
      </w:tr>
      <w:tr>
        <w:tblPrEx>
          <w:tblCellMar>
            <w:top w:w="0" w:type="dxa"/>
            <w:left w:w="28" w:type="dxa"/>
            <w:bottom w:w="0" w:type="dxa"/>
            <w:right w:w="28" w:type="dxa"/>
          </w:tblCellMar>
        </w:tblPrEx>
        <w:trPr>
          <w:trHeight w:val="708" w:hRule="atLeast"/>
          <w:jc w:val="center"/>
        </w:trPr>
        <w:tc>
          <w:tcPr>
            <w:tcW w:w="1084"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keepLines w:val="0"/>
              <w:pageBreakBefore w:val="0"/>
              <w:widowControl w:val="0"/>
              <w:kinsoku/>
              <w:wordWrap/>
              <w:overflowPunct/>
              <w:topLinePunct w:val="0"/>
              <w:autoSpaceDE/>
              <w:autoSpaceDN/>
              <w:bidi w:val="0"/>
              <w:adjustRightInd/>
              <w:snapToGrid/>
              <w:spacing w:line="336" w:lineRule="auto"/>
              <w:ind w:left="63" w:right="63"/>
              <w:jc w:val="center"/>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664" w:hRule="atLeast"/>
          <w:jc w:val="center"/>
        </w:trPr>
        <w:tc>
          <w:tcPr>
            <w:tcW w:w="1084"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r>
      <w:tr>
        <w:tblPrEx>
          <w:tblCellMar>
            <w:top w:w="0" w:type="dxa"/>
            <w:left w:w="28" w:type="dxa"/>
            <w:bottom w:w="0" w:type="dxa"/>
            <w:right w:w="28" w:type="dxa"/>
          </w:tblCellMar>
        </w:tblPrEx>
        <w:trPr>
          <w:trHeight w:val="708" w:hRule="atLeast"/>
          <w:jc w:val="center"/>
        </w:trPr>
        <w:tc>
          <w:tcPr>
            <w:tcW w:w="1084"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2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79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8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2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138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95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c>
          <w:tcPr>
            <w:tcW w:w="859"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top"/>
          </w:tcPr>
          <w:p>
            <w:pPr>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olor w:val="auto"/>
                <w:sz w:val="24"/>
                <w:szCs w:val="24"/>
                <w:highlight w:val="none"/>
              </w:rPr>
            </w:pPr>
          </w:p>
        </w:tc>
      </w:tr>
    </w:tbl>
    <w:p>
      <w:pPr>
        <w:pageBreakBefore w:val="0"/>
        <w:kinsoku/>
        <w:overflowPunct/>
        <w:topLinePunct w:val="0"/>
        <w:bidi w:val="0"/>
        <w:spacing w:line="360" w:lineRule="auto"/>
        <w:rPr>
          <w:rFonts w:hint="eastAsia" w:ascii="宋体" w:hAnsi="宋体" w:eastAsia="宋体"/>
          <w:color w:val="auto"/>
          <w:sz w:val="24"/>
          <w:szCs w:val="20"/>
          <w:highlight w:val="none"/>
        </w:rPr>
      </w:pPr>
    </w:p>
    <w:p>
      <w:pPr>
        <w:pageBreakBefore w:val="0"/>
        <w:widowControl/>
        <w:kinsoku/>
        <w:overflowPunct/>
        <w:topLinePunct w:val="0"/>
        <w:bidi w:val="0"/>
        <w:spacing w:line="360" w:lineRule="auto"/>
        <w:jc w:val="left"/>
        <w:rPr>
          <w:rFonts w:hint="eastAsia" w:ascii="宋体" w:hAnsi="宋体" w:eastAsia="宋体"/>
          <w:color w:val="auto"/>
          <w:sz w:val="24"/>
          <w:highlight w:val="none"/>
        </w:rPr>
      </w:pPr>
      <w:r>
        <w:rPr>
          <w:rFonts w:hint="eastAsia" w:ascii="宋体" w:hAnsi="宋体" w:eastAsia="宋体"/>
          <w:color w:val="auto"/>
          <w:highlight w:val="none"/>
        </w:rPr>
        <w:br w:type="page"/>
      </w:r>
      <w:r>
        <w:rPr>
          <w:rFonts w:hint="eastAsia" w:ascii="宋体" w:hAnsi="宋体" w:eastAsia="宋体"/>
          <w:color w:val="auto"/>
          <w:sz w:val="24"/>
          <w:highlight w:val="none"/>
        </w:rPr>
        <w:t>附件6：</w:t>
      </w:r>
    </w:p>
    <w:p>
      <w:pPr>
        <w:pageBreakBefore w:val="0"/>
        <w:kinsoku/>
        <w:overflowPunct/>
        <w:topLinePunct w:val="0"/>
        <w:bidi w:val="0"/>
        <w:spacing w:line="360" w:lineRule="auto"/>
        <w:jc w:val="center"/>
        <w:rPr>
          <w:rFonts w:hint="eastAsia" w:ascii="宋体" w:hAnsi="宋体" w:eastAsia="宋体"/>
          <w:color w:val="auto"/>
          <w:sz w:val="24"/>
          <w:highlight w:val="none"/>
        </w:rPr>
      </w:pPr>
    </w:p>
    <w:p>
      <w:pPr>
        <w:pageBreakBefore w:val="0"/>
        <w:kinsoku/>
        <w:overflowPunct/>
        <w:topLinePunct w:val="0"/>
        <w:bidi w:val="0"/>
        <w:spacing w:line="360" w:lineRule="auto"/>
        <w:jc w:val="center"/>
        <w:outlineLvl w:val="0"/>
        <w:rPr>
          <w:rFonts w:hint="eastAsia" w:ascii="宋体" w:hAnsi="宋体" w:eastAsia="宋体"/>
          <w:color w:val="auto"/>
          <w:sz w:val="24"/>
          <w:highlight w:val="none"/>
        </w:rPr>
      </w:pPr>
      <w:bookmarkStart w:id="1261" w:name="_Toc24834"/>
      <w:bookmarkStart w:id="1262" w:name="_Toc10609"/>
      <w:bookmarkStart w:id="1263" w:name="_Toc10078"/>
      <w:r>
        <w:rPr>
          <w:rFonts w:hint="eastAsia" w:ascii="宋体" w:hAnsi="宋体" w:eastAsia="宋体"/>
          <w:color w:val="auto"/>
          <w:sz w:val="24"/>
          <w:highlight w:val="none"/>
        </w:rPr>
        <w:t>承包人主要施工管理人员表</w:t>
      </w:r>
      <w:bookmarkEnd w:id="1261"/>
      <w:bookmarkEnd w:id="1262"/>
      <w:bookmarkEnd w:id="1263"/>
    </w:p>
    <w:tbl>
      <w:tblPr>
        <w:tblStyle w:val="46"/>
        <w:tblW w:w="9418" w:type="dxa"/>
        <w:jc w:val="center"/>
        <w:tblLayout w:type="fixed"/>
        <w:tblCellMar>
          <w:top w:w="0" w:type="dxa"/>
          <w:left w:w="28" w:type="dxa"/>
          <w:bottom w:w="0" w:type="dxa"/>
          <w:right w:w="28" w:type="dxa"/>
        </w:tblCellMar>
      </w:tblPr>
      <w:tblGrid>
        <w:gridCol w:w="1796"/>
        <w:gridCol w:w="1361"/>
        <w:gridCol w:w="1089"/>
        <w:gridCol w:w="1089"/>
        <w:gridCol w:w="4083"/>
      </w:tblGrid>
      <w:tr>
        <w:tblPrEx>
          <w:tblCellMar>
            <w:top w:w="0" w:type="dxa"/>
            <w:left w:w="28" w:type="dxa"/>
            <w:bottom w:w="0" w:type="dxa"/>
            <w:right w:w="28" w:type="dxa"/>
          </w:tblCellMar>
        </w:tblPrEx>
        <w:trPr>
          <w:trHeight w:val="469" w:hRule="atLeast"/>
          <w:jc w:val="center"/>
        </w:trPr>
        <w:tc>
          <w:tcPr>
            <w:tcW w:w="1796"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名    称</w:t>
            </w:r>
          </w:p>
        </w:tc>
        <w:tc>
          <w:tcPr>
            <w:tcW w:w="136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姓名</w:t>
            </w:r>
          </w:p>
        </w:tc>
        <w:tc>
          <w:tcPr>
            <w:tcW w:w="1089"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职务</w:t>
            </w:r>
          </w:p>
        </w:tc>
        <w:tc>
          <w:tcPr>
            <w:tcW w:w="1089"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职称</w:t>
            </w:r>
          </w:p>
        </w:tc>
        <w:tc>
          <w:tcPr>
            <w:tcW w:w="4083"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主要资历、经验及承担过的项目</w:t>
            </w:r>
          </w:p>
        </w:tc>
      </w:tr>
      <w:tr>
        <w:tblPrEx>
          <w:tblCellMar>
            <w:top w:w="0" w:type="dxa"/>
            <w:left w:w="28" w:type="dxa"/>
            <w:bottom w:w="0" w:type="dxa"/>
            <w:right w:w="28" w:type="dxa"/>
          </w:tblCellMar>
        </w:tblPrEx>
        <w:trPr>
          <w:trHeight w:val="484" w:hRule="atLeast"/>
          <w:jc w:val="center"/>
        </w:trPr>
        <w:tc>
          <w:tcPr>
            <w:tcW w:w="9418" w:type="dxa"/>
            <w:gridSpan w:val="5"/>
            <w:tcBorders>
              <w:top w:val="double" w:color="000000" w:sz="6" w:space="0"/>
              <w:left w:val="single" w:color="000000" w:sz="12"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一、总部人员</w:t>
            </w:r>
          </w:p>
        </w:tc>
      </w:tr>
      <w:tr>
        <w:tblPrEx>
          <w:tblCellMar>
            <w:top w:w="0" w:type="dxa"/>
            <w:left w:w="28" w:type="dxa"/>
            <w:bottom w:w="0" w:type="dxa"/>
            <w:right w:w="28" w:type="dxa"/>
          </w:tblCellMar>
        </w:tblPrEx>
        <w:trPr>
          <w:trHeight w:val="896" w:hRule="atLeast"/>
          <w:jc w:val="center"/>
        </w:trPr>
        <w:tc>
          <w:tcPr>
            <w:tcW w:w="1796"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项目主管</w:t>
            </w:r>
          </w:p>
        </w:tc>
        <w:tc>
          <w:tcPr>
            <w:tcW w:w="136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single" w:color="000000" w:sz="6" w:space="0"/>
              <w:left w:val="single" w:color="000000" w:sz="12" w:space="0"/>
              <w:bottom w:val="nil"/>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其他人员</w:t>
            </w: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455" w:hRule="atLeast"/>
          <w:jc w:val="center"/>
        </w:trPr>
        <w:tc>
          <w:tcPr>
            <w:tcW w:w="9418" w:type="dxa"/>
            <w:gridSpan w:val="5"/>
            <w:tcBorders>
              <w:top w:val="single" w:color="000000" w:sz="6" w:space="0"/>
              <w:left w:val="single" w:color="000000" w:sz="12" w:space="0"/>
              <w:bottom w:val="single" w:color="000000" w:sz="6" w:space="0"/>
              <w:right w:val="single" w:color="000000" w:sz="12"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二、现场人员</w:t>
            </w:r>
          </w:p>
        </w:tc>
      </w:tr>
      <w:tr>
        <w:tblPrEx>
          <w:tblCellMar>
            <w:top w:w="0" w:type="dxa"/>
            <w:left w:w="28" w:type="dxa"/>
            <w:bottom w:w="0" w:type="dxa"/>
            <w:right w:w="28" w:type="dxa"/>
          </w:tblCellMar>
        </w:tblPrEx>
        <w:trPr>
          <w:trHeight w:val="896" w:hRule="atLeast"/>
          <w:jc w:val="center"/>
        </w:trPr>
        <w:tc>
          <w:tcPr>
            <w:tcW w:w="1796"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项目经理</w:t>
            </w: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项目副经理</w:t>
            </w: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技术负责人</w:t>
            </w: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造价管理</w:t>
            </w: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质量管理</w:t>
            </w: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材料管理</w:t>
            </w: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r>
        <w:tblPrEx>
          <w:tblCellMar>
            <w:top w:w="0" w:type="dxa"/>
            <w:left w:w="28" w:type="dxa"/>
            <w:bottom w:w="0" w:type="dxa"/>
            <w:right w:w="28" w:type="dxa"/>
          </w:tblCellMar>
        </w:tblPrEx>
        <w:trPr>
          <w:trHeight w:val="896" w:hRule="atLeast"/>
          <w:jc w:val="center"/>
        </w:trPr>
        <w:tc>
          <w:tcPr>
            <w:tcW w:w="1796"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r>
              <w:rPr>
                <w:rFonts w:hint="eastAsia" w:ascii="宋体" w:hAnsi="宋体" w:eastAsia="宋体"/>
                <w:color w:val="auto"/>
                <w:sz w:val="24"/>
                <w:highlight w:val="none"/>
              </w:rPr>
              <w:t>计划管理</w:t>
            </w:r>
          </w:p>
        </w:tc>
        <w:tc>
          <w:tcPr>
            <w:tcW w:w="136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ageBreakBefore w:val="0"/>
              <w:kinsoku/>
              <w:overflowPunct/>
              <w:topLinePunct w:val="0"/>
              <w:bidi w:val="0"/>
              <w:spacing w:line="360" w:lineRule="auto"/>
              <w:jc w:val="center"/>
              <w:rPr>
                <w:rFonts w:hint="eastAsia" w:ascii="宋体" w:hAnsi="宋体" w:eastAsia="宋体"/>
                <w:color w:val="auto"/>
                <w:sz w:val="24"/>
                <w:highlight w:val="none"/>
              </w:rPr>
            </w:pPr>
          </w:p>
        </w:tc>
        <w:tc>
          <w:tcPr>
            <w:tcW w:w="1089"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c>
          <w:tcPr>
            <w:tcW w:w="4083"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pPr>
              <w:keepNext/>
              <w:pageBreakBefore w:val="0"/>
              <w:kinsoku/>
              <w:overflowPunct/>
              <w:topLinePunct w:val="0"/>
              <w:bidi w:val="0"/>
              <w:spacing w:line="360" w:lineRule="auto"/>
              <w:ind w:left="63" w:right="63"/>
              <w:jc w:val="center"/>
              <w:rPr>
                <w:rFonts w:hint="eastAsia" w:ascii="宋体" w:hAnsi="宋体" w:eastAsia="宋体"/>
                <w:color w:val="auto"/>
                <w:sz w:val="52"/>
                <w:highlight w:val="none"/>
              </w:rPr>
            </w:pPr>
          </w:p>
        </w:tc>
      </w:tr>
    </w:tbl>
    <w:p>
      <w:pPr>
        <w:rPr>
          <w:rFonts w:hint="eastAsia"/>
        </w:rPr>
      </w:pPr>
    </w:p>
    <w:sectPr>
      <w:footerReference r:id="rId11" w:type="first"/>
      <w:footerReference r:id="rId10"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818680A-18A0-460C-A643-4E304DBEC8CA}"/>
  </w:font>
  <w:font w:name="黑体">
    <w:panose1 w:val="02010609060101010101"/>
    <w:charset w:val="86"/>
    <w:family w:val="auto"/>
    <w:pitch w:val="default"/>
    <w:sig w:usb0="800002BF" w:usb1="38CF7CFA" w:usb2="00000016" w:usb3="00000000" w:csb0="00040001" w:csb1="00000000"/>
    <w:embedRegular r:id="rId2" w:fontKey="{6E6A354B-D564-4318-B85E-8D58491CE533}"/>
  </w:font>
  <w:font w:name="Courier New">
    <w:panose1 w:val="02070309020205020404"/>
    <w:charset w:val="01"/>
    <w:family w:val="modern"/>
    <w:pitch w:val="default"/>
    <w:sig w:usb0="E0002EFF" w:usb1="C0007843" w:usb2="00000009" w:usb3="00000000" w:csb0="400001FF" w:csb1="FFFF0000"/>
    <w:embedRegular r:id="rId3" w:fontKey="{D6715E61-BF76-44C0-A5B5-BE5A2417952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F0F270A-45D8-42A8-A236-3149A7980BE9}"/>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B0CFE463-E12F-41F8-B64C-2956361CF213}"/>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6" w:fontKey="{A40A9849-BECB-4D16-B3F0-5B95ADCBE25D}"/>
  </w:font>
  <w:font w:name="方正小标宋简体">
    <w:panose1 w:val="02000000000000000000"/>
    <w:charset w:val="86"/>
    <w:family w:val="script"/>
    <w:pitch w:val="default"/>
    <w:sig w:usb0="00000001" w:usb1="08000000" w:usb2="00000000" w:usb3="00000000" w:csb0="00040000" w:csb1="00000000"/>
    <w:embedRegular r:id="rId7" w:fontKey="{B3275912-689C-43C9-B061-8EF58AFB1E55}"/>
  </w:font>
  <w:font w:name="Wingdings 2">
    <w:panose1 w:val="05020102010507070707"/>
    <w:charset w:val="02"/>
    <w:family w:val="roman"/>
    <w:pitch w:val="default"/>
    <w:sig w:usb0="00000000" w:usb1="00000000" w:usb2="00000000" w:usb3="00000000" w:csb0="80000000" w:csb1="00000000"/>
    <w:embedRegular r:id="rId8" w:fontKey="{AA5E639B-7553-4C5C-AB7B-B1226B31139D}"/>
  </w:font>
  <w:font w:name="Arial Unicode MS">
    <w:altName w:val="宋体"/>
    <w:panose1 w:val="020B0604020202020204"/>
    <w:charset w:val="86"/>
    <w:family w:val="auto"/>
    <w:pitch w:val="default"/>
    <w:sig w:usb0="00000000" w:usb1="00000000" w:usb2="0000003F" w:usb3="00000000" w:csb0="603F01FF" w:csb1="FFFF0000"/>
    <w:embedRegular r:id="rId9" w:fontKey="{2540D7FE-33D6-4A04-8A9C-811D6BCBA9B8}"/>
  </w:font>
  <w:font w:name="Helvetica">
    <w:altName w:val="Arial"/>
    <w:panose1 w:val="020B0504020202020204"/>
    <w:charset w:val="00"/>
    <w:family w:val="swiss"/>
    <w:pitch w:val="default"/>
    <w:sig w:usb0="00000000" w:usb1="00000000" w:usb2="00000009" w:usb3="00000000" w:csb0="000001FF" w:csb1="00000000"/>
    <w:embedRegular r:id="rId10" w:fontKey="{0EF0A74C-F299-4B86-A426-F9F97E1E7C4A}"/>
  </w:font>
  <w:font w:name="微软雅黑">
    <w:panose1 w:val="020B0503020204020204"/>
    <w:charset w:val="86"/>
    <w:family w:val="swiss"/>
    <w:pitch w:val="default"/>
    <w:sig w:usb0="80000287" w:usb1="2ACF3C50" w:usb2="00000016" w:usb3="00000000" w:csb0="0004001F" w:csb1="00000000"/>
    <w:embedRegular r:id="rId11" w:fontKey="{0E70DACB-264F-4680-86DF-688BAFD125CD}"/>
  </w:font>
  <w:font w:name="楷体_GB2312">
    <w:altName w:val="楷体"/>
    <w:panose1 w:val="00000000000000000000"/>
    <w:charset w:val="86"/>
    <w:family w:val="modern"/>
    <w:pitch w:val="default"/>
    <w:sig w:usb0="00000000" w:usb1="00000000" w:usb2="00000010" w:usb3="00000000" w:csb0="00040000" w:csb1="00000000"/>
    <w:embedRegular r:id="rId12" w:fontKey="{C8E5C583-8F72-4042-9E32-091EA24A4983}"/>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13" w:fontKey="{CB3D27A3-899A-4B2C-B19F-488873838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439"/>
        <w:tab w:val="clear" w:pos="4153"/>
      </w:tabs>
      <w:jc w:val="both"/>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439"/>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txbxContent>
                    </wps:txbx>
                    <wps:bodyPr wrap="none" lIns="0" tIns="0" rIns="0" bIns="0" upright="1">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nBuoftABAACrAwAADgAAAAAAAAABACAAAAAeAQAAZHJz&#10;L2Uyb0RvYy54bWxQSwUGAAAAAAYABgBZAQAAYAUAAAAA&#10;">
              <v:fill on="f" focussize="0,0"/>
              <v:stroke on="f"/>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439"/>
        <w:tab w:val="clear" w:pos="4153"/>
      </w:tabs>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0"/>
                          </w:pPr>
                          <w:r>
                            <w:fldChar w:fldCharType="begin"/>
                          </w:r>
                          <w:r>
                            <w:instrText xml:space="preserve"> PAGE  \* MERGEFORMAT </w:instrText>
                          </w:r>
                          <w:r>
                            <w:fldChar w:fldCharType="separate"/>
                          </w:r>
                          <w:r>
                            <w:t>0</w:t>
                          </w:r>
                          <w:r>
                            <w:fldChar w:fldCharType="end"/>
                          </w:r>
                        </w:p>
                      </w:txbxContent>
                    </wps:txbx>
                    <wps:bodyPr vert="horz" wrap="none" lIns="0" tIns="0" rIns="0" bIns="0" anchor="t" anchorCtr="0" upright="1">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DYRMG3mAQAAzwMA&#10;AA4AAAAAAAAAAQAgAAAAHgEAAGRycy9lMm9Eb2MueG1sUEsFBgAAAAAGAAYAWQEAAHY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0"/>
                            <w:jc w:val="center"/>
                          </w:pPr>
                          <w:r>
                            <w:fldChar w:fldCharType="begin"/>
                          </w:r>
                          <w:r>
                            <w:instrText xml:space="preserve"> PAGE  \* MERGEFORMAT </w:instrText>
                          </w:r>
                          <w:r>
                            <w:fldChar w:fldCharType="separate"/>
                          </w:r>
                          <w:r>
                            <w:t>0</w:t>
                          </w:r>
                          <w:r>
                            <w:fldChar w:fldCharType="end"/>
                          </w:r>
                        </w:p>
                      </w:txbxContent>
                    </wps:txbx>
                    <wps:bodyPr vert="horz" wrap="none" lIns="0" tIns="0" rIns="0" bIns="0" anchor="t" anchorCtr="0" upright="1">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UGU1q4QEAAMEDAAAOAAAA&#10;AAAAAAEAIAAAAB4BAABkcnMvZTJvRG9jLnhtbFBLBQYAAAAABgAGAFkBAABxBQAAAAA=&#10;">
              <v:fill on="f" focussize="0,0"/>
              <v:stroke on="f"/>
              <v:imagedata o:title=""/>
              <o:lock v:ext="edit" aspectratio="f"/>
              <v:textbox inset="0mm,0mm,0mm,0mm" style="mso-fit-shape-to-text:t;">
                <w:txbxContent>
                  <w:p>
                    <w:pPr>
                      <w:pStyle w:val="30"/>
                      <w:jc w:val="center"/>
                    </w:pPr>
                    <w:r>
                      <w:fldChar w:fldCharType="begin"/>
                    </w:r>
                    <w:r>
                      <w:instrText xml:space="preserve"> PAGE  \* MERGEFORMAT </w:instrText>
                    </w:r>
                    <w:r>
                      <w:fldChar w:fldCharType="separate"/>
                    </w:r>
                    <w:r>
                      <w:t>0</w:t>
                    </w:r>
                    <w:r>
                      <w:fldChar w:fldCharType="end"/>
                    </w:r>
                  </w:p>
                </w:txbxContent>
              </v:textbox>
            </v:shape>
          </w:pict>
        </mc:Fallback>
      </mc:AlternateContent>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0"/>
                          </w:pPr>
                          <w:r>
                            <w:fldChar w:fldCharType="begin"/>
                          </w:r>
                          <w:r>
                            <w:instrText xml:space="preserve"> PAGE  \* MERGEFORMAT </w:instrText>
                          </w:r>
                          <w:r>
                            <w:fldChar w:fldCharType="separate"/>
                          </w:r>
                          <w:r>
                            <w:t>63</w:t>
                          </w:r>
                          <w:r>
                            <w:fldChar w:fldCharType="end"/>
                          </w:r>
                        </w:p>
                      </w:txbxContent>
                    </wps:txbx>
                    <wps:bodyPr wrap="none" lIns="0" tIns="0" rIns="0" bIns="0" upright="1">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9W0RrNABAACqAwAADgAAAAAAAAABACAAAAAeAQAAZHJz&#10;L2Uyb0RvYy54bWxQSwUGAAAAAAYABgBZAQAAYA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0"/>
                            <w:jc w:val="center"/>
                          </w:pPr>
                          <w:r>
                            <w:fldChar w:fldCharType="begin"/>
                          </w:r>
                          <w:r>
                            <w:instrText xml:space="preserve"> PAGE  \* MERGEFORMAT </w:instrText>
                          </w:r>
                          <w:r>
                            <w:fldChar w:fldCharType="separate"/>
                          </w:r>
                          <w:r>
                            <w:t>0</w:t>
                          </w:r>
                          <w:r>
                            <w:fldChar w:fldCharType="end"/>
                          </w:r>
                        </w:p>
                      </w:txbxContent>
                    </wps:txbx>
                    <wps:bodyPr vert="horz" wrap="none" lIns="0" tIns="0" rIns="0" bIns="0" anchor="t" anchorCtr="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90TwRN8BAADBAwAADgAAAAAA&#10;AAABACAAAAAeAQAAZHJzL2Uyb0RvYy54bWxQSwUGAAAAAAYABgBZAQAAbwUAAAAA&#10;">
              <v:fill on="f" focussize="0,0"/>
              <v:stroke on="f"/>
              <v:imagedata o:title=""/>
              <o:lock v:ext="edit" aspectratio="f"/>
              <v:textbox inset="0mm,0mm,0mm,0mm" style="mso-fit-shape-to-text:t;">
                <w:txbxContent>
                  <w:p>
                    <w:pPr>
                      <w:pStyle w:val="30"/>
                      <w:jc w:val="center"/>
                    </w:pPr>
                    <w:r>
                      <w:fldChar w:fldCharType="begin"/>
                    </w:r>
                    <w:r>
                      <w:instrText xml:space="preserve"> PAGE  \* MERGEFORMAT </w:instrText>
                    </w:r>
                    <w:r>
                      <w:fldChar w:fldCharType="separate"/>
                    </w:r>
                    <w:r>
                      <w:t>0</w:t>
                    </w:r>
                    <w:r>
                      <w:fldChar w:fldCharType="end"/>
                    </w:r>
                  </w:p>
                </w:txbxContent>
              </v:textbox>
            </v:shape>
          </w:pict>
        </mc:Fallback>
      </mc:AlternateContent>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7UoM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VZ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VO1KDLAQAAnAMAAA4AAAAAAAAAAQAgAAAAHgEAAGRycy9lMm9E&#10;b2MueG1sUEsFBgAAAAAGAAYAWQEAAFsFAAAAAA==&#10;">
              <v:fill on="f" focussize="0,0"/>
              <v:stroke on="f"/>
              <v:imagedata o:title=""/>
              <o:lock v:ext="edit" aspectratio="f"/>
              <v:textbox inset="0mm,0mm,0mm,0mm" style="mso-fit-shape-to-text:t;">
                <w:txbxContent>
                  <w:p>
                    <w:pPr>
                      <w:pStyle w:val="3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282F8"/>
    <w:multiLevelType w:val="singleLevel"/>
    <w:tmpl w:val="9A8282F8"/>
    <w:lvl w:ilvl="0" w:tentative="0">
      <w:start w:val="2"/>
      <w:numFmt w:val="chineseCounting"/>
      <w:suff w:val="nothing"/>
      <w:lvlText w:val="%1、"/>
      <w:lvlJc w:val="left"/>
      <w:rPr>
        <w:rFonts w:hint="eastAsia"/>
      </w:rPr>
    </w:lvl>
  </w:abstractNum>
  <w:abstractNum w:abstractNumId="1">
    <w:nsid w:val="D8622099"/>
    <w:multiLevelType w:val="multilevel"/>
    <w:tmpl w:val="D862209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00000003"/>
    <w:multiLevelType w:val="multilevel"/>
    <w:tmpl w:val="00000003"/>
    <w:lvl w:ilvl="0" w:tentative="0">
      <w:start w:val="1"/>
      <w:numFmt w:val="decimal"/>
      <w:lvlText w:val="（%1）"/>
      <w:lvlJc w:val="left"/>
      <w:pPr>
        <w:tabs>
          <w:tab w:val="left" w:pos="1145"/>
        </w:tabs>
        <w:ind w:left="1145"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30D478C"/>
    <w:multiLevelType w:val="multilevel"/>
    <w:tmpl w:val="030D47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119CB1"/>
    <w:multiLevelType w:val="singleLevel"/>
    <w:tmpl w:val="2A119CB1"/>
    <w:lvl w:ilvl="0" w:tentative="0">
      <w:start w:val="8"/>
      <w:numFmt w:val="decimal"/>
      <w:lvlText w:val="%1."/>
      <w:lvlJc w:val="left"/>
      <w:pPr>
        <w:tabs>
          <w:tab w:val="left" w:pos="312"/>
        </w:tabs>
      </w:pPr>
    </w:lvl>
  </w:abstractNum>
  <w:abstractNum w:abstractNumId="6">
    <w:nsid w:val="5498E193"/>
    <w:multiLevelType w:val="singleLevel"/>
    <w:tmpl w:val="5498E193"/>
    <w:lvl w:ilvl="0" w:tentative="0">
      <w:start w:val="11"/>
      <w:numFmt w:val="decimal"/>
      <w:suff w:val="space"/>
      <w:lvlText w:val="%1."/>
      <w:lvlJc w:val="left"/>
    </w:lvl>
  </w:abstractNum>
  <w:num w:numId="1">
    <w:abstractNumId w:val="1"/>
  </w:num>
  <w:num w:numId="2">
    <w:abstractNumId w:val="0"/>
  </w:num>
  <w:num w:numId="3">
    <w:abstractNumId w:val="5"/>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5,6,7"/>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YTA0YTA4ZGYxNWYzMTUzNzBkNTgwNDc5ODczZDQifQ=="/>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3ED8"/>
    <w:rsid w:val="000B4321"/>
    <w:rsid w:val="000B6A6B"/>
    <w:rsid w:val="000B6C95"/>
    <w:rsid w:val="000B79FC"/>
    <w:rsid w:val="000B7BD1"/>
    <w:rsid w:val="000C02B1"/>
    <w:rsid w:val="000C1679"/>
    <w:rsid w:val="000C1EE3"/>
    <w:rsid w:val="000C3AE7"/>
    <w:rsid w:val="000C3CC9"/>
    <w:rsid w:val="000C6DE4"/>
    <w:rsid w:val="000C7202"/>
    <w:rsid w:val="000D0A89"/>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3356"/>
    <w:rsid w:val="001F3C63"/>
    <w:rsid w:val="001F4460"/>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82D56"/>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C16"/>
    <w:rsid w:val="002B2AC5"/>
    <w:rsid w:val="002B3528"/>
    <w:rsid w:val="002B3539"/>
    <w:rsid w:val="002B4532"/>
    <w:rsid w:val="002B5042"/>
    <w:rsid w:val="002B69CC"/>
    <w:rsid w:val="002B6D71"/>
    <w:rsid w:val="002C0C1C"/>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4AB7"/>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5D9"/>
    <w:rsid w:val="00486D60"/>
    <w:rsid w:val="00491FA1"/>
    <w:rsid w:val="00492A25"/>
    <w:rsid w:val="004938A3"/>
    <w:rsid w:val="0049558B"/>
    <w:rsid w:val="00496350"/>
    <w:rsid w:val="0049797C"/>
    <w:rsid w:val="004A00E1"/>
    <w:rsid w:val="004A0943"/>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0DBA"/>
    <w:rsid w:val="004C1142"/>
    <w:rsid w:val="004C2138"/>
    <w:rsid w:val="004C3940"/>
    <w:rsid w:val="004C51FD"/>
    <w:rsid w:val="004C65A8"/>
    <w:rsid w:val="004C6689"/>
    <w:rsid w:val="004D139A"/>
    <w:rsid w:val="004D14DC"/>
    <w:rsid w:val="004D17C6"/>
    <w:rsid w:val="004D2858"/>
    <w:rsid w:val="004D28C5"/>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41B0"/>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60058E"/>
    <w:rsid w:val="00601F77"/>
    <w:rsid w:val="00602A3C"/>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34367"/>
    <w:rsid w:val="00640082"/>
    <w:rsid w:val="00640291"/>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67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712"/>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986"/>
    <w:rsid w:val="00772A90"/>
    <w:rsid w:val="00772F8D"/>
    <w:rsid w:val="0077408D"/>
    <w:rsid w:val="00774270"/>
    <w:rsid w:val="007743F6"/>
    <w:rsid w:val="00775679"/>
    <w:rsid w:val="0077574F"/>
    <w:rsid w:val="00775823"/>
    <w:rsid w:val="007777CC"/>
    <w:rsid w:val="00777B32"/>
    <w:rsid w:val="0078051E"/>
    <w:rsid w:val="00781089"/>
    <w:rsid w:val="007838F3"/>
    <w:rsid w:val="007856FE"/>
    <w:rsid w:val="00785F46"/>
    <w:rsid w:val="007865F4"/>
    <w:rsid w:val="00786D5C"/>
    <w:rsid w:val="00786E96"/>
    <w:rsid w:val="00787DFF"/>
    <w:rsid w:val="00787F93"/>
    <w:rsid w:val="00791E6D"/>
    <w:rsid w:val="00791EB5"/>
    <w:rsid w:val="00791FF2"/>
    <w:rsid w:val="00793696"/>
    <w:rsid w:val="007955DA"/>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2C13"/>
    <w:rsid w:val="007F2CEC"/>
    <w:rsid w:val="007F3435"/>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526"/>
    <w:rsid w:val="00837F20"/>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FC9"/>
    <w:rsid w:val="008A1956"/>
    <w:rsid w:val="008A1A7C"/>
    <w:rsid w:val="008A2CE2"/>
    <w:rsid w:val="008A40D3"/>
    <w:rsid w:val="008A469C"/>
    <w:rsid w:val="008A51D1"/>
    <w:rsid w:val="008A5DCE"/>
    <w:rsid w:val="008A75D3"/>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3B2D"/>
    <w:rsid w:val="008D58D9"/>
    <w:rsid w:val="008D5AD4"/>
    <w:rsid w:val="008D695E"/>
    <w:rsid w:val="008D6DD5"/>
    <w:rsid w:val="008D6E59"/>
    <w:rsid w:val="008D7155"/>
    <w:rsid w:val="008D76E0"/>
    <w:rsid w:val="008E0B29"/>
    <w:rsid w:val="008E141A"/>
    <w:rsid w:val="008E1A44"/>
    <w:rsid w:val="008E1E55"/>
    <w:rsid w:val="008E28E6"/>
    <w:rsid w:val="008E3232"/>
    <w:rsid w:val="008E3674"/>
    <w:rsid w:val="008E3B6C"/>
    <w:rsid w:val="008E3DE7"/>
    <w:rsid w:val="008E562C"/>
    <w:rsid w:val="008E6540"/>
    <w:rsid w:val="008E77D4"/>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570"/>
    <w:rsid w:val="00924A46"/>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FBB"/>
    <w:rsid w:val="0095694B"/>
    <w:rsid w:val="00956BD5"/>
    <w:rsid w:val="00956D84"/>
    <w:rsid w:val="009577B5"/>
    <w:rsid w:val="009608E6"/>
    <w:rsid w:val="00960F57"/>
    <w:rsid w:val="00961C90"/>
    <w:rsid w:val="00965443"/>
    <w:rsid w:val="00965954"/>
    <w:rsid w:val="00965A21"/>
    <w:rsid w:val="00965E55"/>
    <w:rsid w:val="0096608E"/>
    <w:rsid w:val="00966522"/>
    <w:rsid w:val="00966C33"/>
    <w:rsid w:val="00966FCB"/>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1A8"/>
    <w:rsid w:val="009A02F4"/>
    <w:rsid w:val="009A06BF"/>
    <w:rsid w:val="009A0D17"/>
    <w:rsid w:val="009A2494"/>
    <w:rsid w:val="009A295D"/>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1AF6"/>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3812"/>
    <w:rsid w:val="00A15655"/>
    <w:rsid w:val="00A160B0"/>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CB1"/>
    <w:rsid w:val="00AC7D6D"/>
    <w:rsid w:val="00AD0091"/>
    <w:rsid w:val="00AD23EF"/>
    <w:rsid w:val="00AD2662"/>
    <w:rsid w:val="00AD307B"/>
    <w:rsid w:val="00AD4014"/>
    <w:rsid w:val="00AD41B3"/>
    <w:rsid w:val="00AD5721"/>
    <w:rsid w:val="00AD5C4D"/>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6B62"/>
    <w:rsid w:val="00AE7280"/>
    <w:rsid w:val="00AF033A"/>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0037"/>
    <w:rsid w:val="00C00D18"/>
    <w:rsid w:val="00C01427"/>
    <w:rsid w:val="00C014C7"/>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13CB"/>
    <w:rsid w:val="00C42752"/>
    <w:rsid w:val="00C42973"/>
    <w:rsid w:val="00C44C69"/>
    <w:rsid w:val="00C4712A"/>
    <w:rsid w:val="00C5034F"/>
    <w:rsid w:val="00C50830"/>
    <w:rsid w:val="00C52479"/>
    <w:rsid w:val="00C5266E"/>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4035"/>
    <w:rsid w:val="00C748EA"/>
    <w:rsid w:val="00C77818"/>
    <w:rsid w:val="00C8063F"/>
    <w:rsid w:val="00C81282"/>
    <w:rsid w:val="00C827B4"/>
    <w:rsid w:val="00C83214"/>
    <w:rsid w:val="00C8329F"/>
    <w:rsid w:val="00C84F8A"/>
    <w:rsid w:val="00C85BA4"/>
    <w:rsid w:val="00C8618F"/>
    <w:rsid w:val="00C8625D"/>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90"/>
    <w:rsid w:val="00CF7495"/>
    <w:rsid w:val="00D01CF9"/>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052A"/>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009D"/>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FAC"/>
    <w:rsid w:val="00E15007"/>
    <w:rsid w:val="00E16277"/>
    <w:rsid w:val="00E16EC7"/>
    <w:rsid w:val="00E219CE"/>
    <w:rsid w:val="00E24071"/>
    <w:rsid w:val="00E24EBC"/>
    <w:rsid w:val="00E2522C"/>
    <w:rsid w:val="00E2552F"/>
    <w:rsid w:val="00E2599B"/>
    <w:rsid w:val="00E2710C"/>
    <w:rsid w:val="00E27428"/>
    <w:rsid w:val="00E305B4"/>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7C3"/>
    <w:rsid w:val="00E47BE3"/>
    <w:rsid w:val="00E517A5"/>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2110"/>
    <w:rsid w:val="00EA283A"/>
    <w:rsid w:val="00EA2C90"/>
    <w:rsid w:val="00EA2E07"/>
    <w:rsid w:val="00EA383B"/>
    <w:rsid w:val="00EA48F3"/>
    <w:rsid w:val="00EA60BF"/>
    <w:rsid w:val="00EA7365"/>
    <w:rsid w:val="00EA763F"/>
    <w:rsid w:val="00EA77E9"/>
    <w:rsid w:val="00EB05D0"/>
    <w:rsid w:val="00EB1151"/>
    <w:rsid w:val="00EB1D49"/>
    <w:rsid w:val="00EB23D9"/>
    <w:rsid w:val="00EB39A0"/>
    <w:rsid w:val="00EB559F"/>
    <w:rsid w:val="00EB566C"/>
    <w:rsid w:val="00EB5F3D"/>
    <w:rsid w:val="00EC1CEB"/>
    <w:rsid w:val="00EC1DC0"/>
    <w:rsid w:val="00EC1DC2"/>
    <w:rsid w:val="00EC21EC"/>
    <w:rsid w:val="00EC24B8"/>
    <w:rsid w:val="00EC268C"/>
    <w:rsid w:val="00EC3753"/>
    <w:rsid w:val="00EC4E71"/>
    <w:rsid w:val="00EC5F1C"/>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90C"/>
    <w:rsid w:val="00EE4E57"/>
    <w:rsid w:val="00EE5738"/>
    <w:rsid w:val="00EE58BD"/>
    <w:rsid w:val="00EE5E59"/>
    <w:rsid w:val="00EE6549"/>
    <w:rsid w:val="00EE73D0"/>
    <w:rsid w:val="00EE7CB0"/>
    <w:rsid w:val="00EF08A8"/>
    <w:rsid w:val="00EF167B"/>
    <w:rsid w:val="00EF30BF"/>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2C"/>
    <w:rsid w:val="00F069EA"/>
    <w:rsid w:val="00F070E5"/>
    <w:rsid w:val="00F07DDE"/>
    <w:rsid w:val="00F11675"/>
    <w:rsid w:val="00F12557"/>
    <w:rsid w:val="00F13599"/>
    <w:rsid w:val="00F13B28"/>
    <w:rsid w:val="00F14E01"/>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5B72"/>
    <w:rsid w:val="00F86540"/>
    <w:rsid w:val="00F865CE"/>
    <w:rsid w:val="00F8766F"/>
    <w:rsid w:val="00F91082"/>
    <w:rsid w:val="00F9116D"/>
    <w:rsid w:val="00F91A9A"/>
    <w:rsid w:val="00F9203B"/>
    <w:rsid w:val="00F93ABB"/>
    <w:rsid w:val="00F94D79"/>
    <w:rsid w:val="00F9658C"/>
    <w:rsid w:val="00F97A7F"/>
    <w:rsid w:val="00FA0889"/>
    <w:rsid w:val="00FA16E7"/>
    <w:rsid w:val="00FA31C7"/>
    <w:rsid w:val="00FA472D"/>
    <w:rsid w:val="00FB0CBF"/>
    <w:rsid w:val="00FB18F6"/>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23A"/>
    <w:rsid w:val="00FC6524"/>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AF3D99"/>
    <w:rsid w:val="02511F9D"/>
    <w:rsid w:val="03A314B8"/>
    <w:rsid w:val="03D82B98"/>
    <w:rsid w:val="03F83E8B"/>
    <w:rsid w:val="05C56868"/>
    <w:rsid w:val="07B72767"/>
    <w:rsid w:val="08077E72"/>
    <w:rsid w:val="08882DD0"/>
    <w:rsid w:val="09CC2AAC"/>
    <w:rsid w:val="09D26E76"/>
    <w:rsid w:val="0A652D3E"/>
    <w:rsid w:val="0B326F2A"/>
    <w:rsid w:val="0C1E2888"/>
    <w:rsid w:val="0C92213C"/>
    <w:rsid w:val="0D84032B"/>
    <w:rsid w:val="0F2A74C4"/>
    <w:rsid w:val="0F573CC2"/>
    <w:rsid w:val="10A27F31"/>
    <w:rsid w:val="11927058"/>
    <w:rsid w:val="13AF4F03"/>
    <w:rsid w:val="14142751"/>
    <w:rsid w:val="14736E66"/>
    <w:rsid w:val="147F458F"/>
    <w:rsid w:val="14D958EC"/>
    <w:rsid w:val="1534169A"/>
    <w:rsid w:val="15C03E03"/>
    <w:rsid w:val="162A25EB"/>
    <w:rsid w:val="16FD2A55"/>
    <w:rsid w:val="17067C1A"/>
    <w:rsid w:val="17366761"/>
    <w:rsid w:val="177C01F0"/>
    <w:rsid w:val="17CE6630"/>
    <w:rsid w:val="1AFF0AFE"/>
    <w:rsid w:val="1B4F19F8"/>
    <w:rsid w:val="1C226F03"/>
    <w:rsid w:val="1ECC44FA"/>
    <w:rsid w:val="1F063325"/>
    <w:rsid w:val="1FBC5DF5"/>
    <w:rsid w:val="1FF90588"/>
    <w:rsid w:val="20C3623F"/>
    <w:rsid w:val="21781212"/>
    <w:rsid w:val="21B83F86"/>
    <w:rsid w:val="221178A8"/>
    <w:rsid w:val="221213CF"/>
    <w:rsid w:val="22327A92"/>
    <w:rsid w:val="231D53A2"/>
    <w:rsid w:val="236D5383"/>
    <w:rsid w:val="23B7504C"/>
    <w:rsid w:val="2402463D"/>
    <w:rsid w:val="24571307"/>
    <w:rsid w:val="25110A2A"/>
    <w:rsid w:val="256C0944"/>
    <w:rsid w:val="26446DE3"/>
    <w:rsid w:val="269669E7"/>
    <w:rsid w:val="26D7699F"/>
    <w:rsid w:val="2AC91D2C"/>
    <w:rsid w:val="2B774624"/>
    <w:rsid w:val="2B813A06"/>
    <w:rsid w:val="2C7A72BE"/>
    <w:rsid w:val="2C9A7D75"/>
    <w:rsid w:val="2CC17412"/>
    <w:rsid w:val="2E9976CE"/>
    <w:rsid w:val="2F401D3C"/>
    <w:rsid w:val="2F5B24E1"/>
    <w:rsid w:val="2FA95C88"/>
    <w:rsid w:val="3041370F"/>
    <w:rsid w:val="306F4CA3"/>
    <w:rsid w:val="312B50A3"/>
    <w:rsid w:val="32453A27"/>
    <w:rsid w:val="3263064A"/>
    <w:rsid w:val="32A43132"/>
    <w:rsid w:val="32AC0C06"/>
    <w:rsid w:val="33344EF5"/>
    <w:rsid w:val="3537750C"/>
    <w:rsid w:val="3537798C"/>
    <w:rsid w:val="35C13FC9"/>
    <w:rsid w:val="364257B6"/>
    <w:rsid w:val="37EA5922"/>
    <w:rsid w:val="381C024C"/>
    <w:rsid w:val="38276B93"/>
    <w:rsid w:val="38AC3431"/>
    <w:rsid w:val="392F2E16"/>
    <w:rsid w:val="39E00529"/>
    <w:rsid w:val="3A0B64A7"/>
    <w:rsid w:val="3A574DDA"/>
    <w:rsid w:val="3AD3075A"/>
    <w:rsid w:val="3AF74C02"/>
    <w:rsid w:val="3B0B1FFB"/>
    <w:rsid w:val="3C0059A5"/>
    <w:rsid w:val="3C134E78"/>
    <w:rsid w:val="3DEC7285"/>
    <w:rsid w:val="3DF6345D"/>
    <w:rsid w:val="3E2B5515"/>
    <w:rsid w:val="3E4D4F28"/>
    <w:rsid w:val="3EE13701"/>
    <w:rsid w:val="3F1A4BB3"/>
    <w:rsid w:val="40192BA6"/>
    <w:rsid w:val="41766EA9"/>
    <w:rsid w:val="42550A18"/>
    <w:rsid w:val="429D496A"/>
    <w:rsid w:val="42F473A1"/>
    <w:rsid w:val="441E62C0"/>
    <w:rsid w:val="45325D14"/>
    <w:rsid w:val="45811C7C"/>
    <w:rsid w:val="45906116"/>
    <w:rsid w:val="468B3EFB"/>
    <w:rsid w:val="470A6193"/>
    <w:rsid w:val="47385210"/>
    <w:rsid w:val="47DC4F5C"/>
    <w:rsid w:val="48B40671"/>
    <w:rsid w:val="499B5738"/>
    <w:rsid w:val="499F244D"/>
    <w:rsid w:val="4A5D7A8C"/>
    <w:rsid w:val="4A973F3F"/>
    <w:rsid w:val="4AF96BC7"/>
    <w:rsid w:val="4B5A416B"/>
    <w:rsid w:val="4B862A85"/>
    <w:rsid w:val="4BAA4601"/>
    <w:rsid w:val="4BEA2D54"/>
    <w:rsid w:val="4CEF36E2"/>
    <w:rsid w:val="4CEF4DC5"/>
    <w:rsid w:val="4E257655"/>
    <w:rsid w:val="4E8E7871"/>
    <w:rsid w:val="4EAF5206"/>
    <w:rsid w:val="4EEF2F5C"/>
    <w:rsid w:val="4F372380"/>
    <w:rsid w:val="4F372FFB"/>
    <w:rsid w:val="5025116D"/>
    <w:rsid w:val="50E47C22"/>
    <w:rsid w:val="52395ECD"/>
    <w:rsid w:val="527750B1"/>
    <w:rsid w:val="52C10D75"/>
    <w:rsid w:val="53337AF1"/>
    <w:rsid w:val="53C27FF8"/>
    <w:rsid w:val="53F761CF"/>
    <w:rsid w:val="542D544C"/>
    <w:rsid w:val="549E1A80"/>
    <w:rsid w:val="54C658F4"/>
    <w:rsid w:val="550C4BD7"/>
    <w:rsid w:val="554C1D56"/>
    <w:rsid w:val="55572986"/>
    <w:rsid w:val="55C062DD"/>
    <w:rsid w:val="55FE508E"/>
    <w:rsid w:val="565340FA"/>
    <w:rsid w:val="5723343E"/>
    <w:rsid w:val="573D7EAB"/>
    <w:rsid w:val="5A2F2CC8"/>
    <w:rsid w:val="5ABD7BDC"/>
    <w:rsid w:val="5BA26962"/>
    <w:rsid w:val="5C10702D"/>
    <w:rsid w:val="5C152601"/>
    <w:rsid w:val="5C591F03"/>
    <w:rsid w:val="5C8A1B2F"/>
    <w:rsid w:val="5D914004"/>
    <w:rsid w:val="5F561B72"/>
    <w:rsid w:val="606007BB"/>
    <w:rsid w:val="60AC7F66"/>
    <w:rsid w:val="61BF10D9"/>
    <w:rsid w:val="61DA3D4C"/>
    <w:rsid w:val="62AC22DC"/>
    <w:rsid w:val="637833E8"/>
    <w:rsid w:val="63BD1D33"/>
    <w:rsid w:val="644C3930"/>
    <w:rsid w:val="644E27A8"/>
    <w:rsid w:val="64E45EF7"/>
    <w:rsid w:val="6691014E"/>
    <w:rsid w:val="66C87CCE"/>
    <w:rsid w:val="677435B2"/>
    <w:rsid w:val="67EF75F1"/>
    <w:rsid w:val="68454F95"/>
    <w:rsid w:val="69124F16"/>
    <w:rsid w:val="694A5205"/>
    <w:rsid w:val="698A79F3"/>
    <w:rsid w:val="69CD5C14"/>
    <w:rsid w:val="69CF0D33"/>
    <w:rsid w:val="6A5F216E"/>
    <w:rsid w:val="6B9946B3"/>
    <w:rsid w:val="6C662189"/>
    <w:rsid w:val="6C7007C7"/>
    <w:rsid w:val="6CBD5148"/>
    <w:rsid w:val="6D354E92"/>
    <w:rsid w:val="6DE76850"/>
    <w:rsid w:val="6FB20BD4"/>
    <w:rsid w:val="6FB650F7"/>
    <w:rsid w:val="6FBA59BE"/>
    <w:rsid w:val="70296B3E"/>
    <w:rsid w:val="70611204"/>
    <w:rsid w:val="73445350"/>
    <w:rsid w:val="74FA2C30"/>
    <w:rsid w:val="754D5C4B"/>
    <w:rsid w:val="76C240A7"/>
    <w:rsid w:val="775246B7"/>
    <w:rsid w:val="781E69D1"/>
    <w:rsid w:val="783E1615"/>
    <w:rsid w:val="79614DEE"/>
    <w:rsid w:val="7A263B6B"/>
    <w:rsid w:val="7AF46346"/>
    <w:rsid w:val="7B0F5EBF"/>
    <w:rsid w:val="7B130FB9"/>
    <w:rsid w:val="7BF64EDE"/>
    <w:rsid w:val="7C400C1E"/>
    <w:rsid w:val="7DAD1741"/>
    <w:rsid w:val="7DD11708"/>
    <w:rsid w:val="7EBD579E"/>
    <w:rsid w:val="7EC167BD"/>
    <w:rsid w:val="7F272D9E"/>
    <w:rsid w:val="7F7338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qFormat="1" w:uiPriority="99" w:semiHidden="0"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0"/>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6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2"/>
    <w:qFormat/>
    <w:uiPriority w:val="99"/>
    <w:pPr>
      <w:keepNext/>
      <w:keepLines/>
      <w:spacing w:before="260" w:after="260" w:line="416" w:lineRule="auto"/>
      <w:outlineLvl w:val="2"/>
    </w:pPr>
    <w:rPr>
      <w:b/>
      <w:bCs/>
      <w:sz w:val="32"/>
      <w:szCs w:val="32"/>
    </w:rPr>
  </w:style>
  <w:style w:type="paragraph" w:styleId="5">
    <w:name w:val="heading 4"/>
    <w:basedOn w:val="1"/>
    <w:next w:val="1"/>
    <w:link w:val="63"/>
    <w:qFormat/>
    <w:uiPriority w:val="99"/>
    <w:pPr>
      <w:keepNext/>
      <w:keepLines/>
      <w:spacing w:line="360" w:lineRule="auto"/>
      <w:outlineLvl w:val="3"/>
    </w:pPr>
    <w:rPr>
      <w:rFonts w:ascii="Arial" w:hAnsi="Arial"/>
      <w:b/>
      <w:bCs/>
      <w:sz w:val="28"/>
      <w:szCs w:val="28"/>
    </w:rPr>
  </w:style>
  <w:style w:type="paragraph" w:styleId="6">
    <w:name w:val="heading 5"/>
    <w:basedOn w:val="1"/>
    <w:next w:val="7"/>
    <w:link w:val="64"/>
    <w:qFormat/>
    <w:uiPriority w:val="99"/>
    <w:pPr>
      <w:keepNext/>
      <w:keepLines/>
      <w:spacing w:before="280" w:after="290" w:line="376" w:lineRule="auto"/>
      <w:outlineLvl w:val="4"/>
    </w:pPr>
    <w:rPr>
      <w:b/>
      <w:bCs/>
      <w:sz w:val="28"/>
      <w:szCs w:val="28"/>
    </w:rPr>
  </w:style>
  <w:style w:type="paragraph" w:styleId="8">
    <w:name w:val="heading 6"/>
    <w:basedOn w:val="1"/>
    <w:next w:val="1"/>
    <w:link w:val="65"/>
    <w:qFormat/>
    <w:uiPriority w:val="9"/>
    <w:pPr>
      <w:keepNext/>
      <w:keepLines/>
      <w:spacing w:before="240" w:after="64" w:line="317" w:lineRule="auto"/>
      <w:outlineLvl w:val="5"/>
    </w:pPr>
    <w:rPr>
      <w:rFonts w:ascii="Cambria" w:hAnsi="Cambria"/>
      <w:b/>
      <w:bCs/>
      <w:kern w:val="0"/>
      <w:sz w:val="24"/>
      <w:lang w:val="zh-CN"/>
    </w:rPr>
  </w:style>
  <w:style w:type="paragraph" w:styleId="9">
    <w:name w:val="heading 7"/>
    <w:basedOn w:val="1"/>
    <w:next w:val="1"/>
    <w:link w:val="66"/>
    <w:qFormat/>
    <w:uiPriority w:val="9"/>
    <w:pPr>
      <w:keepNext/>
      <w:keepLines/>
      <w:spacing w:before="240" w:after="64" w:line="317" w:lineRule="auto"/>
      <w:outlineLvl w:val="6"/>
    </w:pPr>
    <w:rPr>
      <w:rFonts w:ascii="Calibri" w:hAnsi="Calibri"/>
      <w:b/>
      <w:bCs/>
      <w:kern w:val="0"/>
      <w:sz w:val="24"/>
      <w:lang w:val="zh-CN"/>
    </w:rPr>
  </w:style>
  <w:style w:type="paragraph" w:styleId="10">
    <w:name w:val="heading 8"/>
    <w:basedOn w:val="1"/>
    <w:next w:val="1"/>
    <w:link w:val="67"/>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68"/>
    <w:qFormat/>
    <w:uiPriority w:val="9"/>
    <w:pPr>
      <w:keepNext/>
      <w:keepLines/>
      <w:spacing w:before="240" w:after="64" w:line="317" w:lineRule="auto"/>
      <w:outlineLvl w:val="8"/>
    </w:pPr>
    <w:rPr>
      <w:rFonts w:ascii="Cambria" w:hAnsi="Cambria"/>
      <w:kern w:val="0"/>
      <w:sz w:val="20"/>
      <w:szCs w:val="22"/>
      <w:lang w:val="zh-CN"/>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99"/>
    <w:pPr>
      <w:ind w:firstLine="420"/>
    </w:pPr>
    <w:rPr>
      <w:szCs w:val="20"/>
    </w:rPr>
  </w:style>
  <w:style w:type="paragraph" w:styleId="12">
    <w:name w:val="toc 7"/>
    <w:basedOn w:val="1"/>
    <w:next w:val="1"/>
    <w:qFormat/>
    <w:uiPriority w:val="39"/>
    <w:pPr>
      <w:ind w:left="2520" w:leftChars="1200"/>
    </w:pPr>
    <w:rPr>
      <w:rFonts w:ascii="Calibri" w:hAnsi="Calibri" w:cs="Calibri"/>
      <w:szCs w:val="22"/>
    </w:rPr>
  </w:style>
  <w:style w:type="paragraph" w:styleId="13">
    <w:name w:val="table of authorities"/>
    <w:basedOn w:val="1"/>
    <w:next w:val="1"/>
    <w:unhideWhenUsed/>
    <w:qFormat/>
    <w:uiPriority w:val="99"/>
    <w:pPr>
      <w:ind w:left="420" w:leftChars="200"/>
    </w:pPr>
    <w:rPr>
      <w:rFonts w:ascii="Calibri" w:hAnsi="Calibri"/>
      <w:szCs w:val="22"/>
    </w:rPr>
  </w:style>
  <w:style w:type="paragraph" w:styleId="14">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5">
    <w:name w:val="caption"/>
    <w:basedOn w:val="1"/>
    <w:next w:val="1"/>
    <w:qFormat/>
    <w:uiPriority w:val="99"/>
    <w:rPr>
      <w:rFonts w:ascii="Cambria" w:hAnsi="Cambria" w:eastAsia="黑体" w:cs="Cambria"/>
      <w:sz w:val="20"/>
      <w:szCs w:val="20"/>
    </w:rPr>
  </w:style>
  <w:style w:type="paragraph" w:styleId="16">
    <w:name w:val="Document Map"/>
    <w:basedOn w:val="1"/>
    <w:link w:val="69"/>
    <w:unhideWhenUsed/>
    <w:qFormat/>
    <w:uiPriority w:val="99"/>
    <w:rPr>
      <w:rFonts w:ascii="宋体" w:hAnsi="Calibri"/>
      <w:sz w:val="18"/>
      <w:szCs w:val="18"/>
    </w:rPr>
  </w:style>
  <w:style w:type="paragraph" w:styleId="17">
    <w:name w:val="annotation text"/>
    <w:basedOn w:val="1"/>
    <w:link w:val="70"/>
    <w:qFormat/>
    <w:uiPriority w:val="99"/>
    <w:pPr>
      <w:jc w:val="left"/>
    </w:pPr>
  </w:style>
  <w:style w:type="paragraph" w:styleId="18">
    <w:name w:val="Body Text 3"/>
    <w:basedOn w:val="1"/>
    <w:link w:val="71"/>
    <w:unhideWhenUsed/>
    <w:qFormat/>
    <w:uiPriority w:val="99"/>
    <w:pPr>
      <w:spacing w:after="120"/>
    </w:pPr>
    <w:rPr>
      <w:sz w:val="16"/>
      <w:szCs w:val="16"/>
    </w:rPr>
  </w:style>
  <w:style w:type="paragraph" w:styleId="19">
    <w:name w:val="Body Text"/>
    <w:basedOn w:val="1"/>
    <w:next w:val="1"/>
    <w:link w:val="72"/>
    <w:unhideWhenUsed/>
    <w:qFormat/>
    <w:uiPriority w:val="99"/>
    <w:pPr>
      <w:spacing w:after="120"/>
    </w:pPr>
  </w:style>
  <w:style w:type="paragraph" w:styleId="20">
    <w:name w:val="Body Text Indent"/>
    <w:basedOn w:val="1"/>
    <w:next w:val="1"/>
    <w:link w:val="73"/>
    <w:qFormat/>
    <w:uiPriority w:val="99"/>
    <w:pPr>
      <w:ind w:firstLine="830" w:firstLineChars="352"/>
    </w:pPr>
    <w:rPr>
      <w:rFonts w:ascii="仿宋_GB2312" w:eastAsia="仿宋_GB2312"/>
      <w:kern w:val="0"/>
      <w:sz w:val="32"/>
      <w:szCs w:val="20"/>
    </w:rPr>
  </w:style>
  <w:style w:type="paragraph" w:styleId="21">
    <w:name w:val="List 2"/>
    <w:basedOn w:val="1"/>
    <w:unhideWhenUsed/>
    <w:qFormat/>
    <w:uiPriority w:val="99"/>
    <w:pPr>
      <w:ind w:left="100" w:leftChars="200" w:hanging="200" w:hangingChars="200"/>
      <w:contextualSpacing/>
    </w:pPr>
  </w:style>
  <w:style w:type="paragraph" w:styleId="22">
    <w:name w:val="index 4"/>
    <w:basedOn w:val="1"/>
    <w:next w:val="1"/>
    <w:semiHidden/>
    <w:qFormat/>
    <w:uiPriority w:val="99"/>
    <w:pPr>
      <w:ind w:left="600" w:leftChars="600"/>
    </w:pPr>
    <w:rPr>
      <w:rFonts w:ascii="Calibri" w:hAnsi="Calibri"/>
      <w:szCs w:val="22"/>
    </w:rPr>
  </w:style>
  <w:style w:type="paragraph" w:styleId="23">
    <w:name w:val="toc 5"/>
    <w:basedOn w:val="1"/>
    <w:next w:val="1"/>
    <w:qFormat/>
    <w:uiPriority w:val="39"/>
    <w:pPr>
      <w:ind w:left="1680" w:leftChars="800"/>
    </w:pPr>
    <w:rPr>
      <w:rFonts w:ascii="Calibri" w:hAnsi="Calibri" w:cs="Calibri"/>
      <w:szCs w:val="22"/>
    </w:rPr>
  </w:style>
  <w:style w:type="paragraph" w:styleId="24">
    <w:name w:val="toc 3"/>
    <w:basedOn w:val="1"/>
    <w:next w:val="1"/>
    <w:unhideWhenUsed/>
    <w:qFormat/>
    <w:uiPriority w:val="39"/>
    <w:pPr>
      <w:ind w:left="840" w:leftChars="400"/>
    </w:pPr>
  </w:style>
  <w:style w:type="paragraph" w:styleId="25">
    <w:name w:val="Plain Text"/>
    <w:basedOn w:val="1"/>
    <w:next w:val="5"/>
    <w:link w:val="74"/>
    <w:qFormat/>
    <w:uiPriority w:val="99"/>
    <w:rPr>
      <w:rFonts w:ascii="宋体" w:hAnsi="Courier New"/>
      <w:kern w:val="0"/>
      <w:sz w:val="20"/>
      <w:szCs w:val="21"/>
    </w:rPr>
  </w:style>
  <w:style w:type="paragraph" w:styleId="26">
    <w:name w:val="toc 8"/>
    <w:basedOn w:val="1"/>
    <w:next w:val="1"/>
    <w:qFormat/>
    <w:uiPriority w:val="39"/>
    <w:pPr>
      <w:ind w:left="2940" w:leftChars="1400"/>
    </w:pPr>
    <w:rPr>
      <w:rFonts w:ascii="Calibri" w:hAnsi="Calibri" w:cs="Calibri"/>
      <w:szCs w:val="22"/>
    </w:rPr>
  </w:style>
  <w:style w:type="paragraph" w:styleId="27">
    <w:name w:val="Date"/>
    <w:basedOn w:val="1"/>
    <w:next w:val="1"/>
    <w:link w:val="75"/>
    <w:unhideWhenUsed/>
    <w:qFormat/>
    <w:uiPriority w:val="99"/>
    <w:pPr>
      <w:ind w:left="100" w:leftChars="2500"/>
    </w:pPr>
  </w:style>
  <w:style w:type="paragraph" w:styleId="28">
    <w:name w:val="Body Text Indent 2"/>
    <w:basedOn w:val="1"/>
    <w:link w:val="76"/>
    <w:unhideWhenUsed/>
    <w:qFormat/>
    <w:uiPriority w:val="99"/>
    <w:pPr>
      <w:spacing w:after="120" w:line="480" w:lineRule="auto"/>
      <w:ind w:left="420" w:leftChars="200"/>
    </w:pPr>
    <w:rPr>
      <w:rFonts w:ascii="Calibri" w:hAnsi="Calibri"/>
    </w:rPr>
  </w:style>
  <w:style w:type="paragraph" w:styleId="29">
    <w:name w:val="Balloon Text"/>
    <w:basedOn w:val="1"/>
    <w:link w:val="77"/>
    <w:semiHidden/>
    <w:qFormat/>
    <w:uiPriority w:val="99"/>
    <w:rPr>
      <w:sz w:val="18"/>
      <w:szCs w:val="18"/>
    </w:rPr>
  </w:style>
  <w:style w:type="paragraph" w:styleId="30">
    <w:name w:val="footer"/>
    <w:basedOn w:val="1"/>
    <w:next w:val="1"/>
    <w:link w:val="78"/>
    <w:unhideWhenUsed/>
    <w:qFormat/>
    <w:uiPriority w:val="99"/>
    <w:pPr>
      <w:tabs>
        <w:tab w:val="center" w:pos="4153"/>
        <w:tab w:val="right" w:pos="8306"/>
      </w:tabs>
      <w:snapToGrid w:val="0"/>
      <w:jc w:val="left"/>
    </w:pPr>
    <w:rPr>
      <w:kern w:val="0"/>
      <w:sz w:val="18"/>
      <w:szCs w:val="18"/>
    </w:rPr>
  </w:style>
  <w:style w:type="paragraph" w:styleId="31">
    <w:name w:val="header"/>
    <w:basedOn w:val="1"/>
    <w:link w:val="7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style>
  <w:style w:type="paragraph" w:styleId="33">
    <w:name w:val="toc 4"/>
    <w:basedOn w:val="1"/>
    <w:next w:val="1"/>
    <w:qFormat/>
    <w:uiPriority w:val="39"/>
    <w:pPr>
      <w:ind w:left="1260" w:leftChars="600"/>
    </w:pPr>
    <w:rPr>
      <w:rFonts w:ascii="Calibri" w:hAnsi="Calibri" w:cs="Calibri"/>
      <w:szCs w:val="22"/>
    </w:rPr>
  </w:style>
  <w:style w:type="paragraph" w:styleId="34">
    <w:name w:val="Subtitle"/>
    <w:basedOn w:val="1"/>
    <w:next w:val="1"/>
    <w:link w:val="80"/>
    <w:qFormat/>
    <w:uiPriority w:val="11"/>
    <w:pPr>
      <w:spacing w:before="240" w:after="60" w:line="312" w:lineRule="auto"/>
      <w:jc w:val="center"/>
      <w:outlineLvl w:val="1"/>
    </w:pPr>
    <w:rPr>
      <w:rFonts w:ascii="Cambria" w:hAnsi="Cambria"/>
      <w:b/>
      <w:bCs/>
      <w:kern w:val="28"/>
      <w:sz w:val="32"/>
      <w:szCs w:val="32"/>
    </w:rPr>
  </w:style>
  <w:style w:type="paragraph" w:styleId="35">
    <w:name w:val="List"/>
    <w:basedOn w:val="1"/>
    <w:unhideWhenUsed/>
    <w:qFormat/>
    <w:uiPriority w:val="99"/>
    <w:pPr>
      <w:ind w:left="200" w:hanging="200" w:hangingChars="200"/>
      <w:contextualSpacing/>
    </w:pPr>
  </w:style>
  <w:style w:type="paragraph" w:styleId="36">
    <w:name w:val="footnote text"/>
    <w:basedOn w:val="1"/>
    <w:link w:val="81"/>
    <w:unhideWhenUsed/>
    <w:qFormat/>
    <w:uiPriority w:val="99"/>
    <w:pPr>
      <w:snapToGrid w:val="0"/>
      <w:jc w:val="left"/>
    </w:pPr>
    <w:rPr>
      <w:rFonts w:ascii="Calibri" w:hAnsi="Calibri"/>
      <w:sz w:val="18"/>
      <w:szCs w:val="18"/>
    </w:rPr>
  </w:style>
  <w:style w:type="paragraph" w:styleId="37">
    <w:name w:val="toc 6"/>
    <w:basedOn w:val="1"/>
    <w:next w:val="1"/>
    <w:qFormat/>
    <w:uiPriority w:val="39"/>
    <w:pPr>
      <w:ind w:left="2100" w:leftChars="1000"/>
    </w:pPr>
    <w:rPr>
      <w:rFonts w:ascii="Calibri" w:hAnsi="Calibri" w:cs="Calibri"/>
      <w:szCs w:val="22"/>
    </w:rPr>
  </w:style>
  <w:style w:type="paragraph" w:styleId="38">
    <w:name w:val="toc 2"/>
    <w:basedOn w:val="1"/>
    <w:next w:val="1"/>
    <w:unhideWhenUsed/>
    <w:qFormat/>
    <w:uiPriority w:val="39"/>
    <w:pPr>
      <w:tabs>
        <w:tab w:val="right" w:leader="dot" w:pos="8296"/>
      </w:tabs>
      <w:ind w:left="420" w:leftChars="200"/>
    </w:pPr>
  </w:style>
  <w:style w:type="paragraph" w:styleId="39">
    <w:name w:val="toc 9"/>
    <w:basedOn w:val="1"/>
    <w:next w:val="1"/>
    <w:qFormat/>
    <w:uiPriority w:val="39"/>
    <w:pPr>
      <w:ind w:left="3360" w:leftChars="1600"/>
    </w:pPr>
    <w:rPr>
      <w:rFonts w:ascii="Calibri" w:hAnsi="Calibri" w:cs="Calibri"/>
      <w:szCs w:val="22"/>
    </w:rPr>
  </w:style>
  <w:style w:type="paragraph" w:styleId="40">
    <w:name w:val="Normal (Web)"/>
    <w:basedOn w:val="1"/>
    <w:next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41">
    <w:name w:val="Title"/>
    <w:basedOn w:val="1"/>
    <w:next w:val="1"/>
    <w:link w:val="82"/>
    <w:qFormat/>
    <w:uiPriority w:val="99"/>
    <w:pPr>
      <w:spacing w:before="240" w:after="60"/>
      <w:jc w:val="center"/>
      <w:outlineLvl w:val="0"/>
    </w:pPr>
    <w:rPr>
      <w:rFonts w:ascii="Cambria" w:hAnsi="Cambria"/>
      <w:b/>
      <w:bCs/>
      <w:kern w:val="0"/>
      <w:sz w:val="32"/>
      <w:szCs w:val="32"/>
    </w:rPr>
  </w:style>
  <w:style w:type="paragraph" w:styleId="42">
    <w:name w:val="annotation subject"/>
    <w:basedOn w:val="17"/>
    <w:next w:val="17"/>
    <w:link w:val="83"/>
    <w:qFormat/>
    <w:uiPriority w:val="99"/>
    <w:rPr>
      <w:b/>
      <w:bCs/>
    </w:rPr>
  </w:style>
  <w:style w:type="paragraph" w:styleId="43">
    <w:name w:val="Body Text First Indent"/>
    <w:basedOn w:val="19"/>
    <w:next w:val="1"/>
    <w:link w:val="84"/>
    <w:unhideWhenUsed/>
    <w:qFormat/>
    <w:uiPriority w:val="0"/>
    <w:pPr>
      <w:ind w:firstLine="420" w:firstLineChars="100"/>
    </w:pPr>
    <w:rPr>
      <w:rFonts w:ascii="Calibri" w:hAnsi="Calibri"/>
      <w:szCs w:val="22"/>
    </w:rPr>
  </w:style>
  <w:style w:type="paragraph" w:styleId="44">
    <w:name w:val="Body Text First Indent 2"/>
    <w:basedOn w:val="20"/>
    <w:next w:val="45"/>
    <w:link w:val="85"/>
    <w:qFormat/>
    <w:uiPriority w:val="0"/>
    <w:pPr>
      <w:spacing w:before="240" w:after="120" w:line="360" w:lineRule="auto"/>
      <w:ind w:left="420" w:leftChars="200" w:firstLine="420" w:firstLineChars="200"/>
    </w:pPr>
    <w:rPr>
      <w:rFonts w:ascii="宋体" w:hAnsi="Calibri" w:eastAsia="宋体" w:cs="宋体"/>
      <w:kern w:val="2"/>
      <w:sz w:val="21"/>
      <w:szCs w:val="24"/>
    </w:rPr>
  </w:style>
  <w:style w:type="paragraph" w:styleId="45">
    <w:name w:val="Intense Quote"/>
    <w:next w:val="1"/>
    <w:link w:val="86"/>
    <w:qFormat/>
    <w:uiPriority w:val="0"/>
    <w:pPr>
      <w:widowControl w:val="0"/>
      <w:pBdr>
        <w:bottom w:val="single" w:color="4F81BD" w:sz="4" w:space="4"/>
      </w:pBdr>
      <w:spacing w:before="200" w:after="280"/>
      <w:ind w:left="936" w:right="936"/>
      <w:jc w:val="both"/>
    </w:pPr>
    <w:rPr>
      <w:rFonts w:ascii="Calibri" w:hAnsi="Calibri" w:eastAsia="宋体" w:cs="Times New Roman"/>
      <w:b/>
      <w:bCs/>
      <w:i/>
      <w:iCs/>
      <w:color w:val="4F81BD"/>
      <w:lang w:val="en-US" w:eastAsia="zh-CN" w:bidi="ar-SA"/>
    </w:rPr>
  </w:style>
  <w:style w:type="table" w:styleId="47">
    <w:name w:val="Table Grid"/>
    <w:basedOn w:val="4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qFormat/>
    <w:uiPriority w:val="22"/>
    <w:rPr>
      <w:b/>
      <w:bCs/>
    </w:rPr>
  </w:style>
  <w:style w:type="character" w:styleId="50">
    <w:name w:val="endnote reference"/>
    <w:unhideWhenUsed/>
    <w:qFormat/>
    <w:uiPriority w:val="99"/>
    <w:rPr>
      <w:vertAlign w:val="superscript"/>
    </w:rPr>
  </w:style>
  <w:style w:type="character" w:styleId="51">
    <w:name w:val="page number"/>
    <w:qFormat/>
    <w:uiPriority w:val="99"/>
  </w:style>
  <w:style w:type="character" w:styleId="52">
    <w:name w:val="FollowedHyperlink"/>
    <w:unhideWhenUsed/>
    <w:qFormat/>
    <w:uiPriority w:val="99"/>
    <w:rPr>
      <w:color w:val="800080"/>
      <w:u w:val="single"/>
    </w:rPr>
  </w:style>
  <w:style w:type="character" w:styleId="53">
    <w:name w:val="Emphasis"/>
    <w:qFormat/>
    <w:uiPriority w:val="99"/>
    <w:rPr>
      <w:i/>
      <w:iCs/>
    </w:rPr>
  </w:style>
  <w:style w:type="character" w:styleId="54">
    <w:name w:val="HTML Definition"/>
    <w:unhideWhenUsed/>
    <w:qFormat/>
    <w:uiPriority w:val="99"/>
    <w:rPr>
      <w:i/>
      <w:iCs/>
    </w:rPr>
  </w:style>
  <w:style w:type="character" w:styleId="55">
    <w:name w:val="Hyperlink"/>
    <w:unhideWhenUsed/>
    <w:qFormat/>
    <w:uiPriority w:val="99"/>
    <w:rPr>
      <w:color w:val="0000FF"/>
      <w:u w:val="single"/>
    </w:rPr>
  </w:style>
  <w:style w:type="character" w:styleId="56">
    <w:name w:val="HTML Code"/>
    <w:unhideWhenUsed/>
    <w:qFormat/>
    <w:uiPriority w:val="99"/>
    <w:rPr>
      <w:rFonts w:hint="default" w:ascii="Consolas" w:hAnsi="Consolas" w:eastAsia="Consolas" w:cs="Consolas"/>
      <w:sz w:val="21"/>
      <w:szCs w:val="21"/>
    </w:rPr>
  </w:style>
  <w:style w:type="character" w:styleId="57">
    <w:name w:val="annotation reference"/>
    <w:qFormat/>
    <w:uiPriority w:val="0"/>
    <w:rPr>
      <w:sz w:val="21"/>
      <w:szCs w:val="21"/>
    </w:rPr>
  </w:style>
  <w:style w:type="character" w:styleId="58">
    <w:name w:val="HTML Keyboard"/>
    <w:unhideWhenUsed/>
    <w:qFormat/>
    <w:uiPriority w:val="99"/>
    <w:rPr>
      <w:rFonts w:hint="default" w:ascii="Consolas" w:hAnsi="Consolas" w:eastAsia="Consolas" w:cs="Consolas"/>
      <w:sz w:val="21"/>
      <w:szCs w:val="21"/>
    </w:rPr>
  </w:style>
  <w:style w:type="character" w:styleId="59">
    <w:name w:val="HTML Sample"/>
    <w:unhideWhenUsed/>
    <w:qFormat/>
    <w:uiPriority w:val="99"/>
    <w:rPr>
      <w:rFonts w:ascii="Consolas" w:hAnsi="Consolas" w:eastAsia="Consolas" w:cs="Consolas"/>
      <w:sz w:val="21"/>
      <w:szCs w:val="21"/>
    </w:rPr>
  </w:style>
  <w:style w:type="character" w:customStyle="1" w:styleId="60">
    <w:name w:val="标题 1 字符2"/>
    <w:link w:val="2"/>
    <w:qFormat/>
    <w:uiPriority w:val="9"/>
    <w:rPr>
      <w:b/>
      <w:bCs/>
      <w:kern w:val="44"/>
      <w:sz w:val="44"/>
      <w:szCs w:val="44"/>
    </w:rPr>
  </w:style>
  <w:style w:type="character" w:customStyle="1" w:styleId="61">
    <w:name w:val="标题 2 字符1"/>
    <w:link w:val="3"/>
    <w:qFormat/>
    <w:uiPriority w:val="9"/>
    <w:rPr>
      <w:rFonts w:ascii="Cambria" w:hAnsi="Cambria" w:eastAsia="宋体" w:cs="Times New Roman"/>
      <w:b/>
      <w:bCs/>
      <w:kern w:val="2"/>
      <w:sz w:val="32"/>
      <w:szCs w:val="32"/>
    </w:rPr>
  </w:style>
  <w:style w:type="character" w:customStyle="1" w:styleId="62">
    <w:name w:val="标题 3 字符1"/>
    <w:link w:val="4"/>
    <w:qFormat/>
    <w:uiPriority w:val="9"/>
    <w:rPr>
      <w:b/>
      <w:bCs/>
      <w:kern w:val="2"/>
      <w:sz w:val="32"/>
      <w:szCs w:val="32"/>
    </w:rPr>
  </w:style>
  <w:style w:type="character" w:customStyle="1" w:styleId="63">
    <w:name w:val="标题 4 字符"/>
    <w:link w:val="5"/>
    <w:qFormat/>
    <w:uiPriority w:val="99"/>
    <w:rPr>
      <w:rFonts w:ascii="Arial" w:hAnsi="Arial"/>
      <w:b/>
      <w:bCs/>
      <w:kern w:val="2"/>
      <w:sz w:val="28"/>
      <w:szCs w:val="28"/>
    </w:rPr>
  </w:style>
  <w:style w:type="character" w:customStyle="1" w:styleId="64">
    <w:name w:val="标题 5 字符1"/>
    <w:link w:val="6"/>
    <w:qFormat/>
    <w:uiPriority w:val="9"/>
    <w:rPr>
      <w:rFonts w:ascii="Times New Roman" w:hAnsi="Times New Roman"/>
      <w:b/>
      <w:bCs/>
      <w:kern w:val="2"/>
      <w:sz w:val="28"/>
      <w:szCs w:val="28"/>
    </w:rPr>
  </w:style>
  <w:style w:type="character" w:customStyle="1" w:styleId="65">
    <w:name w:val="标题 6 字符"/>
    <w:link w:val="8"/>
    <w:qFormat/>
    <w:uiPriority w:val="9"/>
    <w:rPr>
      <w:rFonts w:ascii="Cambria" w:hAnsi="Cambria"/>
      <w:b/>
      <w:bCs/>
      <w:sz w:val="24"/>
      <w:szCs w:val="24"/>
      <w:lang w:val="zh-CN"/>
    </w:rPr>
  </w:style>
  <w:style w:type="character" w:customStyle="1" w:styleId="66">
    <w:name w:val="标题 7 字符"/>
    <w:link w:val="9"/>
    <w:qFormat/>
    <w:uiPriority w:val="9"/>
    <w:rPr>
      <w:rFonts w:ascii="Calibri" w:hAnsi="Calibri"/>
      <w:b/>
      <w:bCs/>
      <w:sz w:val="24"/>
      <w:szCs w:val="24"/>
      <w:lang w:val="zh-CN"/>
    </w:rPr>
  </w:style>
  <w:style w:type="character" w:customStyle="1" w:styleId="67">
    <w:name w:val="标题 8 字符1"/>
    <w:link w:val="10"/>
    <w:qFormat/>
    <w:uiPriority w:val="9"/>
    <w:rPr>
      <w:rFonts w:ascii="等线 Light" w:hAnsi="等线 Light" w:eastAsia="等线 Light" w:cs="Times New Roman"/>
      <w:kern w:val="2"/>
      <w:sz w:val="24"/>
      <w:szCs w:val="24"/>
    </w:rPr>
  </w:style>
  <w:style w:type="character" w:customStyle="1" w:styleId="68">
    <w:name w:val="标题 9 字符"/>
    <w:link w:val="11"/>
    <w:qFormat/>
    <w:uiPriority w:val="9"/>
    <w:rPr>
      <w:rFonts w:ascii="Cambria" w:hAnsi="Cambria"/>
      <w:szCs w:val="22"/>
      <w:lang w:val="zh-CN"/>
    </w:rPr>
  </w:style>
  <w:style w:type="character" w:customStyle="1" w:styleId="69">
    <w:name w:val="文档结构图 字符"/>
    <w:link w:val="16"/>
    <w:qFormat/>
    <w:uiPriority w:val="99"/>
    <w:rPr>
      <w:rFonts w:ascii="宋体" w:hAnsi="Calibri"/>
      <w:kern w:val="2"/>
      <w:sz w:val="18"/>
      <w:szCs w:val="18"/>
    </w:rPr>
  </w:style>
  <w:style w:type="character" w:customStyle="1" w:styleId="70">
    <w:name w:val="批注文字 字符3"/>
    <w:link w:val="17"/>
    <w:qFormat/>
    <w:uiPriority w:val="0"/>
    <w:rPr>
      <w:rFonts w:ascii="Times New Roman" w:hAnsi="Times New Roman"/>
      <w:kern w:val="2"/>
      <w:sz w:val="21"/>
      <w:szCs w:val="24"/>
    </w:rPr>
  </w:style>
  <w:style w:type="character" w:customStyle="1" w:styleId="71">
    <w:name w:val="正文文本 3 字符1"/>
    <w:link w:val="18"/>
    <w:qFormat/>
    <w:uiPriority w:val="99"/>
    <w:rPr>
      <w:kern w:val="2"/>
      <w:sz w:val="16"/>
      <w:szCs w:val="16"/>
    </w:rPr>
  </w:style>
  <w:style w:type="character" w:customStyle="1" w:styleId="72">
    <w:name w:val="正文文本 字符2"/>
    <w:link w:val="19"/>
    <w:qFormat/>
    <w:uiPriority w:val="99"/>
    <w:rPr>
      <w:rFonts w:ascii="Times New Roman" w:hAnsi="Times New Roman"/>
      <w:kern w:val="2"/>
      <w:sz w:val="21"/>
      <w:szCs w:val="24"/>
    </w:rPr>
  </w:style>
  <w:style w:type="character" w:customStyle="1" w:styleId="73">
    <w:name w:val="正文文本缩进 字符1"/>
    <w:link w:val="20"/>
    <w:qFormat/>
    <w:uiPriority w:val="99"/>
    <w:rPr>
      <w:rFonts w:ascii="仿宋_GB2312" w:hAnsi="Times New Roman" w:eastAsia="仿宋_GB2312" w:cs="Times New Roman"/>
      <w:sz w:val="32"/>
      <w:szCs w:val="20"/>
    </w:rPr>
  </w:style>
  <w:style w:type="character" w:customStyle="1" w:styleId="74">
    <w:name w:val="纯文本 字符4"/>
    <w:link w:val="25"/>
    <w:qFormat/>
    <w:uiPriority w:val="99"/>
    <w:rPr>
      <w:rFonts w:ascii="宋体" w:hAnsi="Courier New" w:eastAsia="宋体" w:cs="Courier New"/>
      <w:szCs w:val="21"/>
    </w:rPr>
  </w:style>
  <w:style w:type="character" w:customStyle="1" w:styleId="75">
    <w:name w:val="日期 字符1"/>
    <w:link w:val="27"/>
    <w:qFormat/>
    <w:uiPriority w:val="99"/>
    <w:rPr>
      <w:rFonts w:ascii="Times New Roman" w:hAnsi="Times New Roman"/>
      <w:kern w:val="2"/>
      <w:sz w:val="21"/>
      <w:szCs w:val="24"/>
    </w:rPr>
  </w:style>
  <w:style w:type="character" w:customStyle="1" w:styleId="76">
    <w:name w:val="正文文本缩进 2 字符"/>
    <w:link w:val="28"/>
    <w:qFormat/>
    <w:uiPriority w:val="99"/>
    <w:rPr>
      <w:rFonts w:ascii="Calibri" w:hAnsi="Calibri"/>
      <w:kern w:val="2"/>
      <w:sz w:val="21"/>
      <w:szCs w:val="24"/>
    </w:rPr>
  </w:style>
  <w:style w:type="character" w:customStyle="1" w:styleId="77">
    <w:name w:val="批注框文本 字符"/>
    <w:link w:val="29"/>
    <w:semiHidden/>
    <w:qFormat/>
    <w:uiPriority w:val="99"/>
    <w:rPr>
      <w:kern w:val="2"/>
      <w:sz w:val="18"/>
      <w:szCs w:val="18"/>
    </w:rPr>
  </w:style>
  <w:style w:type="character" w:customStyle="1" w:styleId="78">
    <w:name w:val="页脚 字符1"/>
    <w:link w:val="30"/>
    <w:qFormat/>
    <w:uiPriority w:val="99"/>
    <w:rPr>
      <w:sz w:val="18"/>
      <w:szCs w:val="18"/>
    </w:rPr>
  </w:style>
  <w:style w:type="character" w:customStyle="1" w:styleId="79">
    <w:name w:val="页眉 字符1"/>
    <w:link w:val="31"/>
    <w:qFormat/>
    <w:uiPriority w:val="99"/>
    <w:rPr>
      <w:sz w:val="18"/>
      <w:szCs w:val="18"/>
    </w:rPr>
  </w:style>
  <w:style w:type="character" w:customStyle="1" w:styleId="80">
    <w:name w:val="副标题 字符"/>
    <w:link w:val="34"/>
    <w:qFormat/>
    <w:uiPriority w:val="11"/>
    <w:rPr>
      <w:rFonts w:ascii="Cambria" w:hAnsi="Cambria"/>
      <w:b/>
      <w:bCs/>
      <w:kern w:val="28"/>
      <w:sz w:val="32"/>
      <w:szCs w:val="32"/>
    </w:rPr>
  </w:style>
  <w:style w:type="character" w:customStyle="1" w:styleId="81">
    <w:name w:val="脚注文本 字符"/>
    <w:link w:val="36"/>
    <w:qFormat/>
    <w:uiPriority w:val="99"/>
    <w:rPr>
      <w:rFonts w:ascii="Calibri" w:hAnsi="Calibri"/>
      <w:kern w:val="2"/>
      <w:sz w:val="18"/>
      <w:szCs w:val="18"/>
    </w:rPr>
  </w:style>
  <w:style w:type="character" w:customStyle="1" w:styleId="82">
    <w:name w:val="标题 字符"/>
    <w:link w:val="41"/>
    <w:qFormat/>
    <w:uiPriority w:val="99"/>
    <w:rPr>
      <w:rFonts w:ascii="Cambria" w:hAnsi="Cambria"/>
      <w:b/>
      <w:bCs/>
      <w:sz w:val="32"/>
      <w:szCs w:val="32"/>
    </w:rPr>
  </w:style>
  <w:style w:type="character" w:customStyle="1" w:styleId="83">
    <w:name w:val="批注主题 字符1"/>
    <w:link w:val="42"/>
    <w:qFormat/>
    <w:uiPriority w:val="99"/>
    <w:rPr>
      <w:rFonts w:ascii="Times New Roman" w:hAnsi="Times New Roman"/>
      <w:b/>
      <w:bCs/>
      <w:kern w:val="2"/>
      <w:sz w:val="21"/>
      <w:szCs w:val="24"/>
    </w:rPr>
  </w:style>
  <w:style w:type="character" w:customStyle="1" w:styleId="84">
    <w:name w:val="正文首行缩进 字符"/>
    <w:link w:val="43"/>
    <w:qFormat/>
    <w:uiPriority w:val="0"/>
    <w:rPr>
      <w:rFonts w:ascii="Calibri" w:hAnsi="Calibri"/>
      <w:kern w:val="2"/>
      <w:sz w:val="21"/>
      <w:szCs w:val="22"/>
    </w:rPr>
  </w:style>
  <w:style w:type="character" w:customStyle="1" w:styleId="85">
    <w:name w:val="正文首行缩进 2 字符"/>
    <w:link w:val="44"/>
    <w:qFormat/>
    <w:uiPriority w:val="0"/>
    <w:rPr>
      <w:rFonts w:ascii="宋体" w:hAnsi="Calibri" w:eastAsia="仿宋_GB2312" w:cs="宋体"/>
      <w:kern w:val="2"/>
      <w:sz w:val="21"/>
      <w:szCs w:val="24"/>
    </w:rPr>
  </w:style>
  <w:style w:type="character" w:customStyle="1" w:styleId="86">
    <w:name w:val="明显引用 字符"/>
    <w:link w:val="45"/>
    <w:qFormat/>
    <w:uiPriority w:val="0"/>
    <w:rPr>
      <w:rFonts w:ascii="Calibri" w:hAnsi="Calibri"/>
      <w:b/>
      <w:bCs/>
      <w:i/>
      <w:iCs/>
      <w:color w:val="4F81BD"/>
    </w:rPr>
  </w:style>
  <w:style w:type="paragraph" w:customStyle="1" w:styleId="87">
    <w:name w:val="样式 正文 + 首行缩进:  2 字符"/>
    <w:basedOn w:val="1"/>
    <w:qFormat/>
    <w:uiPriority w:val="0"/>
    <w:rPr>
      <w:rFonts w:ascii="Calibri" w:hAnsi="Calibri"/>
    </w:rPr>
  </w:style>
  <w:style w:type="character" w:customStyle="1" w:styleId="88">
    <w:name w:val="纯文本 字符2"/>
    <w:qFormat/>
    <w:uiPriority w:val="0"/>
    <w:rPr>
      <w:rFonts w:ascii="宋体" w:hAnsi="Courier New" w:eastAsia="宋体" w:cs="Courier New"/>
      <w:szCs w:val="21"/>
    </w:rPr>
  </w:style>
  <w:style w:type="character" w:customStyle="1" w:styleId="89">
    <w:name w:val="apple-style-span"/>
    <w:qFormat/>
    <w:uiPriority w:val="0"/>
  </w:style>
  <w:style w:type="character" w:customStyle="1" w:styleId="90">
    <w:name w:val="标题 2 Char"/>
    <w:qFormat/>
    <w:uiPriority w:val="99"/>
    <w:rPr>
      <w:rFonts w:ascii="Cambria" w:hAnsi="Cambria" w:eastAsia="宋体" w:cs="Times New Roman"/>
      <w:b/>
      <w:bCs/>
      <w:kern w:val="2"/>
      <w:sz w:val="32"/>
      <w:szCs w:val="32"/>
    </w:rPr>
  </w:style>
  <w:style w:type="character" w:customStyle="1" w:styleId="91">
    <w:name w:val="纯文本 字符"/>
    <w:qFormat/>
    <w:uiPriority w:val="0"/>
    <w:rPr>
      <w:rFonts w:ascii="宋体" w:hAnsi="Courier New" w:eastAsia="宋体" w:cs="Courier New"/>
      <w:szCs w:val="21"/>
    </w:rPr>
  </w:style>
  <w:style w:type="character" w:customStyle="1" w:styleId="92">
    <w:name w:val="纯文本 字符1"/>
    <w:qFormat/>
    <w:uiPriority w:val="99"/>
    <w:rPr>
      <w:rFonts w:ascii="宋体" w:hAnsi="Courier New"/>
    </w:rPr>
  </w:style>
  <w:style w:type="character" w:customStyle="1" w:styleId="93">
    <w:name w:val="标题 8 Char"/>
    <w:qFormat/>
    <w:uiPriority w:val="9"/>
    <w:rPr>
      <w:rFonts w:ascii="Arial" w:hAnsi="Arial" w:eastAsia="黑体"/>
      <w:kern w:val="2"/>
      <w:sz w:val="24"/>
      <w:szCs w:val="24"/>
    </w:rPr>
  </w:style>
  <w:style w:type="character" w:customStyle="1" w:styleId="94">
    <w:name w:val="纯文本 Char"/>
    <w:qFormat/>
    <w:uiPriority w:val="0"/>
    <w:rPr>
      <w:rFonts w:ascii="宋体" w:hAnsi="Courier New" w:eastAsia="宋体" w:cs="Courier New"/>
      <w:szCs w:val="21"/>
    </w:rPr>
  </w:style>
  <w:style w:type="character" w:customStyle="1" w:styleId="95">
    <w:name w:val="正文文本 Char"/>
    <w:qFormat/>
    <w:uiPriority w:val="99"/>
    <w:rPr>
      <w:rFonts w:ascii="Times New Roman" w:hAnsi="Times New Roman"/>
      <w:kern w:val="2"/>
      <w:sz w:val="21"/>
      <w:szCs w:val="24"/>
    </w:rPr>
  </w:style>
  <w:style w:type="character" w:customStyle="1" w:styleId="96">
    <w:name w:val="批注文字 字符1"/>
    <w:qFormat/>
    <w:uiPriority w:val="0"/>
    <w:rPr>
      <w:rFonts w:ascii="Times New Roman" w:hAnsi="Times New Roman"/>
      <w:kern w:val="2"/>
      <w:sz w:val="21"/>
      <w:szCs w:val="24"/>
    </w:rPr>
  </w:style>
  <w:style w:type="character" w:customStyle="1" w:styleId="9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8">
    <w:name w:val="标题 1 字符1"/>
    <w:qFormat/>
    <w:uiPriority w:val="0"/>
    <w:rPr>
      <w:b/>
      <w:bCs/>
      <w:kern w:val="44"/>
      <w:sz w:val="44"/>
      <w:szCs w:val="44"/>
    </w:rPr>
  </w:style>
  <w:style w:type="character" w:customStyle="1" w:styleId="99">
    <w:name w:val="正文文本 字符"/>
    <w:qFormat/>
    <w:uiPriority w:val="0"/>
    <w:rPr>
      <w:rFonts w:ascii="Times New Roman" w:hAnsi="Times New Roman"/>
      <w:kern w:val="2"/>
      <w:sz w:val="21"/>
      <w:szCs w:val="24"/>
    </w:rPr>
  </w:style>
  <w:style w:type="character" w:customStyle="1" w:styleId="100">
    <w:name w:val="批注文字 字符"/>
    <w:qFormat/>
    <w:uiPriority w:val="0"/>
    <w:rPr>
      <w:rFonts w:ascii="Times New Roman" w:hAnsi="Times New Roman"/>
      <w:kern w:val="2"/>
      <w:sz w:val="21"/>
      <w:szCs w:val="24"/>
    </w:rPr>
  </w:style>
  <w:style w:type="character" w:customStyle="1" w:styleId="101">
    <w:name w:val="textcontents"/>
    <w:qFormat/>
    <w:uiPriority w:val="99"/>
  </w:style>
  <w:style w:type="character" w:customStyle="1" w:styleId="102">
    <w:name w:val="批注文字 Char"/>
    <w:qFormat/>
    <w:uiPriority w:val="99"/>
    <w:rPr>
      <w:rFonts w:ascii="Times New Roman" w:hAnsi="Times New Roman"/>
      <w:kern w:val="2"/>
      <w:sz w:val="21"/>
      <w:szCs w:val="24"/>
    </w:rPr>
  </w:style>
  <w:style w:type="paragraph" w:customStyle="1" w:styleId="10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104">
    <w:name w:val="List Paragraph"/>
    <w:basedOn w:val="1"/>
    <w:qFormat/>
    <w:uiPriority w:val="34"/>
    <w:pPr>
      <w:ind w:firstLine="420" w:firstLineChars="200"/>
    </w:pPr>
  </w:style>
  <w:style w:type="paragraph" w:customStyle="1" w:styleId="105">
    <w:name w:val="默认段落字体 Para Char Char Char Char Char Char Char Char Char1 Char Char Char Char"/>
    <w:basedOn w:val="1"/>
    <w:qFormat/>
    <w:uiPriority w:val="0"/>
    <w:rPr>
      <w:rFonts w:ascii="Tahoma" w:hAnsi="Tahoma"/>
      <w:sz w:val="24"/>
      <w:szCs w:val="20"/>
    </w:rPr>
  </w:style>
  <w:style w:type="paragraph" w:customStyle="1" w:styleId="106">
    <w:name w:val="Table Paragraph"/>
    <w:basedOn w:val="1"/>
    <w:qFormat/>
    <w:uiPriority w:val="1"/>
    <w:pPr>
      <w:jc w:val="left"/>
    </w:pPr>
    <w:rPr>
      <w:rFonts w:ascii="Calibri" w:hAnsi="Calibri"/>
      <w:kern w:val="0"/>
      <w:sz w:val="22"/>
      <w:szCs w:val="22"/>
      <w:lang w:eastAsia="en-US"/>
    </w:rPr>
  </w:style>
  <w:style w:type="paragraph" w:customStyle="1" w:styleId="107">
    <w:name w:val="Char Char Char Char"/>
    <w:basedOn w:val="1"/>
    <w:qFormat/>
    <w:uiPriority w:val="99"/>
    <w:pPr>
      <w:widowControl/>
      <w:spacing w:after="160" w:line="240" w:lineRule="exact"/>
      <w:jc w:val="left"/>
    </w:pPr>
  </w:style>
  <w:style w:type="character" w:customStyle="1" w:styleId="108">
    <w:name w:val="未处理的提及"/>
    <w:unhideWhenUsed/>
    <w:qFormat/>
    <w:uiPriority w:val="99"/>
    <w:rPr>
      <w:color w:val="605E5C"/>
      <w:shd w:val="clear" w:color="auto" w:fill="E1DFDD"/>
    </w:rPr>
  </w:style>
  <w:style w:type="paragraph" w:customStyle="1" w:styleId="109">
    <w:name w:val="_Style 108"/>
    <w:basedOn w:val="2"/>
    <w:next w:val="1"/>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lang w:val="en-US" w:eastAsia="zh-CN"/>
    </w:rPr>
  </w:style>
  <w:style w:type="character" w:customStyle="1" w:styleId="110">
    <w:name w:val="正文2 Char Char"/>
    <w:link w:val="111"/>
    <w:qFormat/>
    <w:uiPriority w:val="0"/>
    <w:rPr>
      <w:sz w:val="24"/>
    </w:rPr>
  </w:style>
  <w:style w:type="paragraph" w:customStyle="1" w:styleId="111">
    <w:name w:val="正文2"/>
    <w:basedOn w:val="1"/>
    <w:link w:val="110"/>
    <w:qFormat/>
    <w:uiPriority w:val="0"/>
    <w:pPr>
      <w:adjustRightInd w:val="0"/>
      <w:spacing w:before="156" w:line="360" w:lineRule="auto"/>
      <w:ind w:firstLine="510" w:firstLineChars="200"/>
    </w:pPr>
    <w:rPr>
      <w:kern w:val="0"/>
      <w:sz w:val="24"/>
      <w:szCs w:val="20"/>
    </w:rPr>
  </w:style>
  <w:style w:type="paragraph" w:customStyle="1" w:styleId="11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1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114">
    <w:name w:val="标题 1 字符"/>
    <w:qFormat/>
    <w:uiPriority w:val="99"/>
    <w:rPr>
      <w:b/>
      <w:bCs/>
      <w:kern w:val="44"/>
      <w:sz w:val="44"/>
      <w:szCs w:val="44"/>
    </w:rPr>
  </w:style>
  <w:style w:type="character" w:customStyle="1" w:styleId="115">
    <w:name w:val="标题 2 字符"/>
    <w:qFormat/>
    <w:uiPriority w:val="9"/>
    <w:rPr>
      <w:rFonts w:ascii="Cambria" w:hAnsi="Cambria"/>
      <w:b/>
      <w:bCs/>
      <w:kern w:val="2"/>
      <w:sz w:val="32"/>
      <w:szCs w:val="32"/>
    </w:rPr>
  </w:style>
  <w:style w:type="character" w:customStyle="1" w:styleId="116">
    <w:name w:val="标题 3 字符"/>
    <w:qFormat/>
    <w:uiPriority w:val="99"/>
    <w:rPr>
      <w:b/>
      <w:bCs/>
      <w:kern w:val="2"/>
      <w:sz w:val="32"/>
      <w:szCs w:val="32"/>
    </w:rPr>
  </w:style>
  <w:style w:type="character" w:customStyle="1" w:styleId="117">
    <w:name w:val="标题 5 字符"/>
    <w:qFormat/>
    <w:uiPriority w:val="99"/>
    <w:rPr>
      <w:b/>
      <w:bCs/>
      <w:kern w:val="2"/>
      <w:sz w:val="28"/>
      <w:szCs w:val="28"/>
    </w:rPr>
  </w:style>
  <w:style w:type="character" w:customStyle="1" w:styleId="118">
    <w:name w:val="标题 8 字符"/>
    <w:qFormat/>
    <w:uiPriority w:val="9"/>
    <w:rPr>
      <w:rFonts w:ascii="等线 Light" w:hAnsi="等线 Light" w:eastAsia="等线 Light"/>
      <w:kern w:val="2"/>
      <w:sz w:val="24"/>
      <w:szCs w:val="24"/>
    </w:rPr>
  </w:style>
  <w:style w:type="character" w:customStyle="1" w:styleId="119">
    <w:name w:val="批注文字 字符2"/>
    <w:qFormat/>
    <w:uiPriority w:val="99"/>
    <w:rPr>
      <w:kern w:val="2"/>
      <w:sz w:val="21"/>
      <w:szCs w:val="24"/>
    </w:rPr>
  </w:style>
  <w:style w:type="character" w:customStyle="1" w:styleId="120">
    <w:name w:val="正文文本 3 字符"/>
    <w:qFormat/>
    <w:uiPriority w:val="99"/>
    <w:rPr>
      <w:kern w:val="2"/>
      <w:sz w:val="16"/>
      <w:szCs w:val="16"/>
    </w:rPr>
  </w:style>
  <w:style w:type="character" w:customStyle="1" w:styleId="121">
    <w:name w:val="正文文本 字符1"/>
    <w:qFormat/>
    <w:uiPriority w:val="0"/>
    <w:rPr>
      <w:kern w:val="2"/>
      <w:sz w:val="21"/>
      <w:szCs w:val="24"/>
    </w:rPr>
  </w:style>
  <w:style w:type="character" w:customStyle="1" w:styleId="122">
    <w:name w:val="正文文本缩进 字符"/>
    <w:qFormat/>
    <w:uiPriority w:val="0"/>
    <w:rPr>
      <w:rFonts w:ascii="仿宋_GB2312" w:eastAsia="仿宋_GB2312"/>
      <w:sz w:val="32"/>
    </w:rPr>
  </w:style>
  <w:style w:type="character" w:customStyle="1" w:styleId="123">
    <w:name w:val="纯文本 字符3"/>
    <w:qFormat/>
    <w:uiPriority w:val="0"/>
    <w:rPr>
      <w:rFonts w:ascii="宋体" w:hAnsi="Courier New"/>
      <w:szCs w:val="21"/>
    </w:rPr>
  </w:style>
  <w:style w:type="character" w:customStyle="1" w:styleId="124">
    <w:name w:val="日期 字符"/>
    <w:qFormat/>
    <w:uiPriority w:val="99"/>
    <w:rPr>
      <w:kern w:val="2"/>
      <w:sz w:val="21"/>
      <w:szCs w:val="24"/>
    </w:rPr>
  </w:style>
  <w:style w:type="character" w:customStyle="1" w:styleId="125">
    <w:name w:val="页脚 字符"/>
    <w:qFormat/>
    <w:uiPriority w:val="99"/>
    <w:rPr>
      <w:sz w:val="18"/>
      <w:szCs w:val="18"/>
    </w:rPr>
  </w:style>
  <w:style w:type="character" w:customStyle="1" w:styleId="126">
    <w:name w:val="页眉 字符"/>
    <w:qFormat/>
    <w:uiPriority w:val="99"/>
    <w:rPr>
      <w:sz w:val="18"/>
      <w:szCs w:val="18"/>
    </w:rPr>
  </w:style>
  <w:style w:type="character" w:customStyle="1" w:styleId="127">
    <w:name w:val="批注主题 字符"/>
    <w:qFormat/>
    <w:uiPriority w:val="99"/>
    <w:rPr>
      <w:rFonts w:ascii="Times New Roman" w:hAnsi="Times New Roman"/>
      <w:b/>
      <w:bCs/>
      <w:kern w:val="2"/>
      <w:sz w:val="21"/>
      <w:szCs w:val="24"/>
    </w:rPr>
  </w:style>
  <w:style w:type="paragraph" w:customStyle="1" w:styleId="128">
    <w:name w:val="_Style 94"/>
    <w:basedOn w:val="1"/>
    <w:unhideWhenUsed/>
    <w:qFormat/>
    <w:uiPriority w:val="99"/>
  </w:style>
  <w:style w:type="paragraph" w:customStyle="1" w:styleId="129">
    <w:name w:val="_Style 95"/>
    <w:basedOn w:val="1"/>
    <w:unhideWhenUsed/>
    <w:qFormat/>
    <w:uiPriority w:val="99"/>
  </w:style>
  <w:style w:type="paragraph" w:customStyle="1" w:styleId="130">
    <w:name w:val="msonormal"/>
    <w:basedOn w:val="1"/>
    <w:qFormat/>
    <w:uiPriority w:val="99"/>
    <w:rPr>
      <w:rFonts w:ascii="Calibri" w:hAnsi="Calibri"/>
      <w:kern w:val="0"/>
      <w:sz w:val="24"/>
    </w:rPr>
  </w:style>
  <w:style w:type="character" w:customStyle="1" w:styleId="131">
    <w:name w:val="明显强调1"/>
    <w:qFormat/>
    <w:uiPriority w:val="99"/>
    <w:rPr>
      <w:b/>
      <w:bCs/>
      <w:i/>
      <w:iCs/>
      <w:color w:val="4F81BD"/>
    </w:rPr>
  </w:style>
  <w:style w:type="character" w:customStyle="1" w:styleId="132">
    <w:name w:val="引用 Char1"/>
    <w:qFormat/>
    <w:uiPriority w:val="99"/>
    <w:rPr>
      <w:rFonts w:ascii="Times New Roman" w:hAnsi="Times New Roman" w:eastAsia="宋体" w:cs="Times New Roman"/>
      <w:i/>
      <w:iCs/>
      <w:color w:val="000000"/>
      <w:sz w:val="24"/>
      <w:szCs w:val="24"/>
    </w:rPr>
  </w:style>
  <w:style w:type="character" w:customStyle="1" w:styleId="133">
    <w:name w:val="引用 Char"/>
    <w:link w:val="134"/>
    <w:qFormat/>
    <w:locked/>
    <w:uiPriority w:val="99"/>
    <w:rPr>
      <w:i/>
      <w:iCs/>
      <w:color w:val="000000"/>
    </w:rPr>
  </w:style>
  <w:style w:type="paragraph" w:customStyle="1" w:styleId="134">
    <w:name w:val="引用1"/>
    <w:basedOn w:val="1"/>
    <w:next w:val="1"/>
    <w:link w:val="133"/>
    <w:qFormat/>
    <w:uiPriority w:val="99"/>
    <w:rPr>
      <w:i/>
      <w:iCs/>
      <w:color w:val="000000"/>
      <w:kern w:val="0"/>
      <w:sz w:val="20"/>
      <w:szCs w:val="20"/>
    </w:rPr>
  </w:style>
  <w:style w:type="character" w:customStyle="1" w:styleId="135">
    <w:name w:val="ant-tree-switcher"/>
    <w:qFormat/>
    <w:uiPriority w:val="0"/>
  </w:style>
  <w:style w:type="character" w:customStyle="1" w:styleId="136">
    <w:name w:val="Comment Text Char"/>
    <w:qFormat/>
    <w:uiPriority w:val="99"/>
    <w:rPr>
      <w:sz w:val="24"/>
      <w:szCs w:val="24"/>
    </w:rPr>
  </w:style>
  <w:style w:type="character" w:customStyle="1" w:styleId="137">
    <w:name w:val="Char Char91"/>
    <w:qFormat/>
    <w:uiPriority w:val="99"/>
    <w:rPr>
      <w:rFonts w:eastAsia="宋体"/>
      <w:b/>
      <w:bCs/>
      <w:kern w:val="44"/>
      <w:sz w:val="44"/>
      <w:szCs w:val="44"/>
      <w:lang w:val="en-US" w:eastAsia="zh-CN"/>
    </w:rPr>
  </w:style>
  <w:style w:type="character" w:customStyle="1" w:styleId="138">
    <w:name w:val="ant-select-tree-switcher"/>
    <w:qFormat/>
    <w:uiPriority w:val="0"/>
  </w:style>
  <w:style w:type="character" w:customStyle="1" w:styleId="139">
    <w:name w:val="text5"/>
    <w:qFormat/>
    <w:uiPriority w:val="0"/>
  </w:style>
  <w:style w:type="character" w:customStyle="1" w:styleId="140">
    <w:name w:val="日期 Char1"/>
    <w:qFormat/>
    <w:uiPriority w:val="99"/>
    <w:rPr>
      <w:rFonts w:ascii="Times New Roman" w:hAnsi="Times New Roman" w:eastAsia="宋体" w:cs="Times New Roman"/>
      <w:sz w:val="24"/>
      <w:szCs w:val="24"/>
    </w:rPr>
  </w:style>
  <w:style w:type="character" w:customStyle="1" w:styleId="141">
    <w:name w:val="ant-input17"/>
    <w:qFormat/>
    <w:uiPriority w:val="0"/>
  </w:style>
  <w:style w:type="character" w:customStyle="1" w:styleId="142">
    <w:name w:val="不明显强调1"/>
    <w:qFormat/>
    <w:uiPriority w:val="99"/>
    <w:rPr>
      <w:i/>
      <w:iCs/>
      <w:color w:val="808080"/>
    </w:rPr>
  </w:style>
  <w:style w:type="character" w:customStyle="1" w:styleId="143">
    <w:name w:val="Char Char20"/>
    <w:qFormat/>
    <w:uiPriority w:val="99"/>
    <w:rPr>
      <w:rFonts w:ascii="Times New Roman" w:hAnsi="Times New Roman" w:eastAsia="宋体" w:cs="Times New Roman"/>
      <w:b/>
      <w:bCs/>
      <w:sz w:val="32"/>
      <w:szCs w:val="32"/>
    </w:rPr>
  </w:style>
  <w:style w:type="character" w:customStyle="1" w:styleId="144">
    <w:name w:val="脚注文本 Char1"/>
    <w:semiHidden/>
    <w:qFormat/>
    <w:uiPriority w:val="99"/>
    <w:rPr>
      <w:rFonts w:ascii="Calibri" w:hAnsi="Calibri" w:eastAsia="宋体" w:cs="Times New Roman"/>
      <w:sz w:val="18"/>
      <w:szCs w:val="18"/>
    </w:rPr>
  </w:style>
  <w:style w:type="character" w:customStyle="1" w:styleId="145">
    <w:name w:val="脚注文本 Char"/>
    <w:link w:val="146"/>
    <w:semiHidden/>
    <w:qFormat/>
    <w:locked/>
    <w:uiPriority w:val="99"/>
    <w:rPr>
      <w:sz w:val="18"/>
      <w:szCs w:val="18"/>
    </w:rPr>
  </w:style>
  <w:style w:type="paragraph" w:customStyle="1" w:styleId="146">
    <w:name w:val="脚注文本1"/>
    <w:basedOn w:val="1"/>
    <w:next w:val="36"/>
    <w:link w:val="145"/>
    <w:semiHidden/>
    <w:qFormat/>
    <w:uiPriority w:val="99"/>
    <w:pPr>
      <w:adjustRightInd w:val="0"/>
      <w:spacing w:line="312" w:lineRule="atLeast"/>
      <w:jc w:val="left"/>
      <w:textAlignment w:val="baseline"/>
    </w:pPr>
    <w:rPr>
      <w:kern w:val="0"/>
      <w:sz w:val="18"/>
      <w:szCs w:val="18"/>
    </w:rPr>
  </w:style>
  <w:style w:type="character" w:customStyle="1" w:styleId="147">
    <w:name w:val="不明显参考1"/>
    <w:qFormat/>
    <w:uiPriority w:val="99"/>
    <w:rPr>
      <w:smallCaps/>
      <w:color w:val="auto"/>
      <w:u w:val="single"/>
    </w:rPr>
  </w:style>
  <w:style w:type="character" w:customStyle="1" w:styleId="148">
    <w:name w:val="日期 Char2"/>
    <w:semiHidden/>
    <w:qFormat/>
    <w:uiPriority w:val="99"/>
    <w:rPr>
      <w:rFonts w:ascii="Calibri" w:hAnsi="Calibri" w:eastAsia="宋体" w:cs="Times New Roman"/>
    </w:rPr>
  </w:style>
  <w:style w:type="character" w:customStyle="1" w:styleId="149">
    <w:name w:val="标题4 Char Char"/>
    <w:link w:val="150"/>
    <w:qFormat/>
    <w:locked/>
    <w:uiPriority w:val="99"/>
    <w:rPr>
      <w:rFonts w:ascii="Arial" w:hAnsi="Arial" w:cs="Arial"/>
      <w:b/>
      <w:bCs/>
      <w:sz w:val="32"/>
      <w:szCs w:val="32"/>
    </w:rPr>
  </w:style>
  <w:style w:type="paragraph" w:customStyle="1" w:styleId="150">
    <w:name w:val="标题4"/>
    <w:basedOn w:val="3"/>
    <w:next w:val="22"/>
    <w:link w:val="149"/>
    <w:qFormat/>
    <w:uiPriority w:val="99"/>
    <w:pPr>
      <w:spacing w:before="60" w:after="60" w:line="413" w:lineRule="auto"/>
    </w:pPr>
    <w:rPr>
      <w:rFonts w:ascii="Arial" w:hAnsi="Arial" w:cs="Arial"/>
      <w:kern w:val="0"/>
    </w:rPr>
  </w:style>
  <w:style w:type="character" w:customStyle="1" w:styleId="151">
    <w:name w:val="副标题 Char1"/>
    <w:qFormat/>
    <w:uiPriority w:val="11"/>
    <w:rPr>
      <w:rFonts w:ascii="Cambria" w:hAnsi="Cambria" w:eastAsia="宋体" w:cs="Times New Roman"/>
      <w:b/>
      <w:bCs/>
      <w:kern w:val="28"/>
      <w:sz w:val="32"/>
      <w:szCs w:val="32"/>
    </w:rPr>
  </w:style>
  <w:style w:type="character" w:customStyle="1" w:styleId="152">
    <w:name w:val="Balloon Text Char"/>
    <w:qFormat/>
    <w:uiPriority w:val="99"/>
    <w:rPr>
      <w:sz w:val="18"/>
      <w:szCs w:val="18"/>
    </w:rPr>
  </w:style>
  <w:style w:type="character" w:customStyle="1" w:styleId="153">
    <w:name w:val="纯文本 Char2"/>
    <w:semiHidden/>
    <w:qFormat/>
    <w:uiPriority w:val="99"/>
    <w:rPr>
      <w:rFonts w:ascii="宋体" w:hAnsi="Courier New" w:eastAsia="宋体" w:cs="Courier New"/>
      <w:szCs w:val="21"/>
    </w:rPr>
  </w:style>
  <w:style w:type="character" w:customStyle="1" w:styleId="154">
    <w:name w:val="文档结构图 Char1"/>
    <w:qFormat/>
    <w:uiPriority w:val="99"/>
    <w:rPr>
      <w:rFonts w:ascii="宋体" w:hAnsi="Times New Roman" w:eastAsia="宋体" w:cs="宋体"/>
      <w:sz w:val="18"/>
      <w:szCs w:val="18"/>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 Char3"/>
    <w:qFormat/>
    <w:uiPriority w:val="10"/>
    <w:rPr>
      <w:rFonts w:ascii="Cambria" w:hAnsi="Cambria" w:eastAsia="宋体" w:cs="Times New Roman"/>
      <w:b/>
      <w:bCs/>
      <w:sz w:val="32"/>
      <w:szCs w:val="32"/>
    </w:rPr>
  </w:style>
  <w:style w:type="character" w:customStyle="1" w:styleId="157">
    <w:name w:val="Heading 2 Char"/>
    <w:qFormat/>
    <w:uiPriority w:val="99"/>
    <w:rPr>
      <w:rFonts w:ascii="Arial" w:hAnsi="Arial" w:eastAsia="黑体" w:cs="Arial"/>
      <w:b/>
      <w:bCs/>
      <w:kern w:val="2"/>
      <w:sz w:val="32"/>
      <w:szCs w:val="32"/>
      <w:lang w:val="en-US" w:eastAsia="zh-CN"/>
    </w:rPr>
  </w:style>
  <w:style w:type="character" w:customStyle="1" w:styleId="158">
    <w:name w:val="正文文本缩进 2 Char1"/>
    <w:semiHidden/>
    <w:qFormat/>
    <w:uiPriority w:val="99"/>
    <w:rPr>
      <w:rFonts w:ascii="Calibri" w:hAnsi="Calibri" w:eastAsia="宋体" w:cs="Times New Roman"/>
    </w:rPr>
  </w:style>
  <w:style w:type="character" w:customStyle="1" w:styleId="159">
    <w:name w:val="Footnote Text Char"/>
    <w:qFormat/>
    <w:uiPriority w:val="99"/>
    <w:rPr>
      <w:rFonts w:eastAsia="宋体"/>
      <w:sz w:val="18"/>
      <w:szCs w:val="18"/>
      <w:lang w:val="en-US" w:eastAsia="zh-CN"/>
    </w:rPr>
  </w:style>
  <w:style w:type="character" w:customStyle="1" w:styleId="160">
    <w:name w:val="ant-radio+*"/>
    <w:qFormat/>
    <w:uiPriority w:val="0"/>
  </w:style>
  <w:style w:type="character" w:customStyle="1" w:styleId="161">
    <w:name w:val="标题 Char4"/>
    <w:qFormat/>
    <w:uiPriority w:val="10"/>
    <w:rPr>
      <w:rFonts w:ascii="Cambria" w:hAnsi="Cambria" w:cs="Times New Roman"/>
      <w:b/>
      <w:bCs/>
      <w:kern w:val="2"/>
      <w:sz w:val="32"/>
      <w:szCs w:val="32"/>
    </w:rPr>
  </w:style>
  <w:style w:type="character" w:customStyle="1" w:styleId="162">
    <w:name w:val="标题 Char2"/>
    <w:qFormat/>
    <w:uiPriority w:val="99"/>
    <w:rPr>
      <w:rFonts w:ascii="Cambria" w:hAnsi="Cambria" w:eastAsia="宋体" w:cs="Cambria"/>
      <w:b/>
      <w:bCs/>
      <w:sz w:val="32"/>
      <w:szCs w:val="32"/>
    </w:rPr>
  </w:style>
  <w:style w:type="character" w:customStyle="1" w:styleId="163">
    <w:name w:val="批注主题 Char2"/>
    <w:semiHidden/>
    <w:qFormat/>
    <w:uiPriority w:val="99"/>
    <w:rPr>
      <w:rFonts w:ascii="Calibri" w:hAnsi="Calibri" w:eastAsia="宋体" w:cs="Times New Roman"/>
      <w:b/>
      <w:bCs/>
    </w:rPr>
  </w:style>
  <w:style w:type="character" w:customStyle="1" w:styleId="164">
    <w:name w:val="批注文字 Char3"/>
    <w:semiHidden/>
    <w:qFormat/>
    <w:uiPriority w:val="99"/>
    <w:rPr>
      <w:rFonts w:ascii="Calibri" w:hAnsi="Calibri" w:eastAsia="宋体" w:cs="Times New Roman"/>
    </w:rPr>
  </w:style>
  <w:style w:type="character" w:customStyle="1" w:styleId="165">
    <w:name w:val="批注文字 Char Char"/>
    <w:qFormat/>
    <w:uiPriority w:val="99"/>
    <w:rPr>
      <w:rFonts w:ascii="宋体" w:hAnsi="Times New Roman" w:eastAsia="宋体" w:cs="宋体"/>
      <w:sz w:val="20"/>
      <w:szCs w:val="20"/>
    </w:rPr>
  </w:style>
  <w:style w:type="character" w:customStyle="1" w:styleId="166">
    <w:name w:val="批注文字 Char2"/>
    <w:qFormat/>
    <w:locked/>
    <w:uiPriority w:val="0"/>
    <w:rPr>
      <w:rFonts w:eastAsia="宋体"/>
      <w:kern w:val="2"/>
      <w:sz w:val="24"/>
      <w:szCs w:val="24"/>
      <w:lang w:val="en-US" w:eastAsia="zh-CN"/>
    </w:rPr>
  </w:style>
  <w:style w:type="character" w:customStyle="1" w:styleId="167">
    <w:name w:val="批注主题 Char1"/>
    <w:qFormat/>
    <w:uiPriority w:val="99"/>
    <w:rPr>
      <w:rFonts w:ascii="Times New Roman" w:hAnsi="Times New Roman" w:eastAsia="宋体" w:cs="Times New Roman"/>
      <w:b/>
      <w:bCs/>
      <w:sz w:val="24"/>
      <w:szCs w:val="24"/>
    </w:rPr>
  </w:style>
  <w:style w:type="character" w:customStyle="1" w:styleId="168">
    <w:name w:val="Comment Text Char1"/>
    <w:qFormat/>
    <w:uiPriority w:val="99"/>
    <w:rPr>
      <w:sz w:val="24"/>
      <w:szCs w:val="24"/>
    </w:rPr>
  </w:style>
  <w:style w:type="character" w:customStyle="1" w:styleId="169">
    <w:name w:val="Heading 1 Char"/>
    <w:qFormat/>
    <w:uiPriority w:val="99"/>
    <w:rPr>
      <w:rFonts w:eastAsia="宋体"/>
      <w:b/>
      <w:bCs/>
      <w:kern w:val="44"/>
      <w:sz w:val="44"/>
      <w:szCs w:val="44"/>
      <w:lang w:val="en-US" w:eastAsia="zh-CN"/>
    </w:rPr>
  </w:style>
  <w:style w:type="character" w:customStyle="1" w:styleId="170">
    <w:name w:val="Body Text Indent 2 Char"/>
    <w:qFormat/>
    <w:uiPriority w:val="99"/>
    <w:rPr>
      <w:rFonts w:eastAsia="宋体"/>
      <w:kern w:val="2"/>
      <w:sz w:val="24"/>
      <w:szCs w:val="24"/>
      <w:lang w:val="en-US" w:eastAsia="zh-CN"/>
    </w:rPr>
  </w:style>
  <w:style w:type="character" w:customStyle="1" w:styleId="171">
    <w:name w:val="Char Char24"/>
    <w:qFormat/>
    <w:uiPriority w:val="99"/>
    <w:rPr>
      <w:rFonts w:eastAsia="宋体"/>
      <w:b/>
      <w:bCs/>
      <w:kern w:val="44"/>
      <w:sz w:val="44"/>
      <w:szCs w:val="44"/>
      <w:lang w:val="en-US" w:eastAsia="zh-CN"/>
    </w:rPr>
  </w:style>
  <w:style w:type="character" w:customStyle="1" w:styleId="172">
    <w:name w:val="Header Char"/>
    <w:qFormat/>
    <w:uiPriority w:val="99"/>
    <w:rPr>
      <w:rFonts w:eastAsia="宋体"/>
      <w:kern w:val="2"/>
      <w:sz w:val="18"/>
      <w:szCs w:val="18"/>
      <w:lang w:val="en-US" w:eastAsia="zh-CN"/>
    </w:rPr>
  </w:style>
  <w:style w:type="character" w:customStyle="1" w:styleId="173">
    <w:name w:val="Char Char22"/>
    <w:qFormat/>
    <w:uiPriority w:val="99"/>
    <w:rPr>
      <w:rFonts w:ascii="Times New Roman" w:hAnsi="Times New Roman" w:eastAsia="宋体" w:cs="Times New Roman"/>
      <w:b/>
      <w:bCs/>
      <w:kern w:val="44"/>
      <w:sz w:val="44"/>
      <w:szCs w:val="44"/>
    </w:rPr>
  </w:style>
  <w:style w:type="character" w:customStyle="1" w:styleId="174">
    <w:name w:val="明显参考1"/>
    <w:qFormat/>
    <w:uiPriority w:val="99"/>
    <w:rPr>
      <w:b/>
      <w:bCs/>
      <w:smallCaps/>
      <w:color w:val="auto"/>
      <w:spacing w:val="5"/>
      <w:u w:val="single"/>
    </w:rPr>
  </w:style>
  <w:style w:type="character" w:customStyle="1" w:styleId="175">
    <w:name w:val="Char Char181"/>
    <w:qFormat/>
    <w:uiPriority w:val="99"/>
    <w:rPr>
      <w:b/>
      <w:bCs/>
      <w:kern w:val="44"/>
      <w:sz w:val="44"/>
      <w:szCs w:val="44"/>
    </w:rPr>
  </w:style>
  <w:style w:type="character" w:customStyle="1" w:styleId="176">
    <w:name w:val="ant-input16"/>
    <w:qFormat/>
    <w:uiPriority w:val="0"/>
  </w:style>
  <w:style w:type="character" w:customStyle="1" w:styleId="177">
    <w:name w:val="Char Char6"/>
    <w:qFormat/>
    <w:uiPriority w:val="99"/>
    <w:rPr>
      <w:rFonts w:eastAsia="宋体"/>
      <w:b/>
      <w:bCs/>
      <w:kern w:val="44"/>
      <w:sz w:val="44"/>
      <w:szCs w:val="44"/>
      <w:lang w:val="en-US" w:eastAsia="zh-CN"/>
    </w:rPr>
  </w:style>
  <w:style w:type="character" w:customStyle="1" w:styleId="178">
    <w:name w:val="批注框文本 Char1"/>
    <w:qFormat/>
    <w:uiPriority w:val="99"/>
    <w:rPr>
      <w:rFonts w:ascii="Times New Roman" w:hAnsi="Times New Roman" w:eastAsia="宋体" w:cs="Times New Roman"/>
      <w:sz w:val="18"/>
      <w:szCs w:val="18"/>
    </w:rPr>
  </w:style>
  <w:style w:type="character" w:customStyle="1" w:styleId="179">
    <w:name w:val="批注框文本 Char2"/>
    <w:semiHidden/>
    <w:qFormat/>
    <w:uiPriority w:val="99"/>
    <w:rPr>
      <w:rFonts w:ascii="Calibri" w:hAnsi="Calibri" w:eastAsia="宋体" w:cs="Times New Roman"/>
      <w:sz w:val="18"/>
      <w:szCs w:val="18"/>
    </w:rPr>
  </w:style>
  <w:style w:type="character" w:customStyle="1" w:styleId="180">
    <w:name w:val="文档结构图 Char2"/>
    <w:semiHidden/>
    <w:qFormat/>
    <w:uiPriority w:val="99"/>
    <w:rPr>
      <w:rFonts w:ascii="宋体" w:hAnsi="Calibri" w:eastAsia="宋体" w:cs="Times New Roman"/>
      <w:sz w:val="18"/>
      <w:szCs w:val="18"/>
    </w:rPr>
  </w:style>
  <w:style w:type="character" w:customStyle="1" w:styleId="181">
    <w:name w:val="正文文本 Char2"/>
    <w:semiHidden/>
    <w:qFormat/>
    <w:uiPriority w:val="99"/>
    <w:rPr>
      <w:rFonts w:ascii="Calibri" w:hAnsi="Calibri" w:eastAsia="宋体" w:cs="Times New Roman"/>
    </w:rPr>
  </w:style>
  <w:style w:type="character" w:customStyle="1" w:styleId="182">
    <w:name w:val="Char Char21"/>
    <w:qFormat/>
    <w:uiPriority w:val="99"/>
    <w:rPr>
      <w:rFonts w:ascii="Arial" w:hAnsi="Arial" w:eastAsia="黑体" w:cs="Arial"/>
      <w:b/>
      <w:bCs/>
      <w:sz w:val="32"/>
      <w:szCs w:val="32"/>
    </w:rPr>
  </w:style>
  <w:style w:type="character" w:customStyle="1" w:styleId="183">
    <w:name w:val="正文文本 Char_0"/>
    <w:link w:val="184"/>
    <w:qFormat/>
    <w:locked/>
    <w:uiPriority w:val="99"/>
    <w:rPr>
      <w:kern w:val="2"/>
      <w:sz w:val="21"/>
      <w:szCs w:val="22"/>
    </w:rPr>
  </w:style>
  <w:style w:type="paragraph" w:customStyle="1" w:styleId="184">
    <w:name w:val="正文文本_0"/>
    <w:basedOn w:val="185"/>
    <w:link w:val="183"/>
    <w:qFormat/>
    <w:uiPriority w:val="99"/>
    <w:pPr>
      <w:adjustRightInd w:val="0"/>
      <w:spacing w:after="60" w:line="360" w:lineRule="atLeast"/>
      <w:ind w:left="72" w:leftChars="30" w:right="30" w:rightChars="30"/>
      <w:jc w:val="center"/>
      <w:textAlignment w:val="baseline"/>
    </w:pPr>
    <w:rPr>
      <w:rFonts w:ascii="Times New Roman" w:hAnsi="Times New Roman"/>
      <w:szCs w:val="22"/>
    </w:rPr>
  </w:style>
  <w:style w:type="paragraph" w:customStyle="1" w:styleId="185">
    <w:name w:val="正文_2"/>
    <w:qFormat/>
    <w:uiPriority w:val="0"/>
    <w:pPr>
      <w:widowControl w:val="0"/>
      <w:jc w:val="both"/>
    </w:pPr>
    <w:rPr>
      <w:rFonts w:ascii="Calibri" w:hAnsi="Calibri" w:eastAsia="宋体" w:cs="Times New Roman"/>
      <w:kern w:val="2"/>
      <w:sz w:val="21"/>
      <w:szCs w:val="24"/>
      <w:lang w:val="en-US" w:eastAsia="zh-CN" w:bidi="ar-SA"/>
    </w:rPr>
  </w:style>
  <w:style w:type="character" w:customStyle="1" w:styleId="186">
    <w:name w:val="文档结构图 Char"/>
    <w:link w:val="187"/>
    <w:semiHidden/>
    <w:qFormat/>
    <w:locked/>
    <w:uiPriority w:val="99"/>
    <w:rPr>
      <w:sz w:val="24"/>
      <w:szCs w:val="24"/>
      <w:shd w:val="clear" w:color="auto" w:fill="000080"/>
    </w:rPr>
  </w:style>
  <w:style w:type="paragraph" w:customStyle="1" w:styleId="187">
    <w:name w:val="文档结构图1"/>
    <w:basedOn w:val="1"/>
    <w:next w:val="16"/>
    <w:link w:val="186"/>
    <w:semiHidden/>
    <w:qFormat/>
    <w:uiPriority w:val="99"/>
    <w:pPr>
      <w:shd w:val="clear" w:color="auto" w:fill="000080"/>
    </w:pPr>
    <w:rPr>
      <w:kern w:val="0"/>
      <w:sz w:val="24"/>
      <w:shd w:val="clear" w:color="auto" w:fill="000080"/>
    </w:rPr>
  </w:style>
  <w:style w:type="character" w:customStyle="1" w:styleId="188">
    <w:name w:val="Body Text Indent Char"/>
    <w:qFormat/>
    <w:uiPriority w:val="99"/>
    <w:rPr>
      <w:rFonts w:ascii="宋体" w:hAnsi="宋体" w:eastAsia="宋体" w:cs="宋体"/>
      <w:kern w:val="2"/>
      <w:sz w:val="21"/>
      <w:szCs w:val="21"/>
      <w:lang w:val="en-US" w:eastAsia="zh-CN"/>
    </w:rPr>
  </w:style>
  <w:style w:type="character" w:customStyle="1" w:styleId="189">
    <w:name w:val="批注文字 Char2_0"/>
    <w:link w:val="190"/>
    <w:qFormat/>
    <w:locked/>
    <w:uiPriority w:val="0"/>
    <w:rPr>
      <w:kern w:val="2"/>
      <w:sz w:val="24"/>
    </w:rPr>
  </w:style>
  <w:style w:type="paragraph" w:customStyle="1" w:styleId="190">
    <w:name w:val="批注文字_0"/>
    <w:basedOn w:val="185"/>
    <w:link w:val="189"/>
    <w:qFormat/>
    <w:uiPriority w:val="0"/>
    <w:pPr>
      <w:jc w:val="left"/>
    </w:pPr>
    <w:rPr>
      <w:rFonts w:ascii="Times New Roman" w:hAnsi="Times New Roman"/>
      <w:sz w:val="24"/>
      <w:szCs w:val="20"/>
    </w:rPr>
  </w:style>
  <w:style w:type="character" w:customStyle="1" w:styleId="191">
    <w:name w:val="Heading 3 Char"/>
    <w:qFormat/>
    <w:uiPriority w:val="99"/>
    <w:rPr>
      <w:b/>
      <w:bCs/>
      <w:kern w:val="2"/>
      <w:sz w:val="32"/>
      <w:szCs w:val="32"/>
    </w:rPr>
  </w:style>
  <w:style w:type="character" w:customStyle="1" w:styleId="192">
    <w:name w:val="标题5 Char Char"/>
    <w:link w:val="193"/>
    <w:qFormat/>
    <w:locked/>
    <w:uiPriority w:val="99"/>
    <w:rPr>
      <w:rFonts w:ascii="Arial" w:hAnsi="Arial" w:cs="Arial"/>
      <w:b/>
      <w:bCs/>
      <w:sz w:val="32"/>
      <w:szCs w:val="32"/>
    </w:rPr>
  </w:style>
  <w:style w:type="paragraph" w:customStyle="1" w:styleId="193">
    <w:name w:val="标题5"/>
    <w:basedOn w:val="4"/>
    <w:link w:val="192"/>
    <w:qFormat/>
    <w:uiPriority w:val="99"/>
    <w:pPr>
      <w:spacing w:line="413" w:lineRule="auto"/>
    </w:pPr>
    <w:rPr>
      <w:rFonts w:ascii="Arial" w:hAnsi="Arial" w:cs="Arial"/>
      <w:kern w:val="0"/>
    </w:rPr>
  </w:style>
  <w:style w:type="character" w:customStyle="1" w:styleId="194">
    <w:name w:val="Char Char23"/>
    <w:qFormat/>
    <w:uiPriority w:val="99"/>
    <w:rPr>
      <w:rFonts w:eastAsia="宋体"/>
      <w:b/>
      <w:bCs/>
      <w:kern w:val="44"/>
      <w:sz w:val="44"/>
      <w:szCs w:val="44"/>
      <w:lang w:val="en-US" w:eastAsia="zh-CN"/>
    </w:rPr>
  </w:style>
  <w:style w:type="character" w:customStyle="1" w:styleId="195">
    <w:name w:val="Char Char18"/>
    <w:qFormat/>
    <w:uiPriority w:val="99"/>
    <w:rPr>
      <w:rFonts w:ascii="Times New Roman" w:hAnsi="Times New Roman" w:eastAsia="宋体" w:cs="Times New Roman"/>
      <w:b/>
      <w:bCs/>
      <w:sz w:val="28"/>
      <w:szCs w:val="28"/>
    </w:rPr>
  </w:style>
  <w:style w:type="character" w:customStyle="1" w:styleId="196">
    <w:name w:val="Comment Subject Char"/>
    <w:qFormat/>
    <w:uiPriority w:val="99"/>
    <w:rPr>
      <w:b/>
      <w:bCs/>
      <w:sz w:val="24"/>
      <w:szCs w:val="24"/>
    </w:rPr>
  </w:style>
  <w:style w:type="character" w:customStyle="1" w:styleId="197">
    <w:name w:val="ant-select-tree-checkbox2"/>
    <w:qFormat/>
    <w:uiPriority w:val="0"/>
  </w:style>
  <w:style w:type="character" w:customStyle="1" w:styleId="198">
    <w:name w:val="Footer Char"/>
    <w:qFormat/>
    <w:uiPriority w:val="99"/>
    <w:rPr>
      <w:rFonts w:eastAsia="宋体"/>
      <w:kern w:val="2"/>
      <w:sz w:val="18"/>
      <w:szCs w:val="18"/>
      <w:lang w:val="en-US" w:eastAsia="zh-CN"/>
    </w:rPr>
  </w:style>
  <w:style w:type="character" w:customStyle="1" w:styleId="199">
    <w:name w:val="标题 Char1"/>
    <w:qFormat/>
    <w:uiPriority w:val="99"/>
    <w:rPr>
      <w:rFonts w:ascii="Cambria" w:hAnsi="Cambria" w:eastAsia="宋体" w:cs="Cambria"/>
      <w:b/>
      <w:bCs/>
      <w:sz w:val="32"/>
      <w:szCs w:val="32"/>
    </w:rPr>
  </w:style>
  <w:style w:type="character" w:customStyle="1" w:styleId="200">
    <w:name w:val="Document Map Char"/>
    <w:qFormat/>
    <w:uiPriority w:val="99"/>
    <w:rPr>
      <w:rFonts w:eastAsia="宋体"/>
      <w:kern w:val="2"/>
      <w:sz w:val="24"/>
      <w:szCs w:val="24"/>
      <w:lang w:val="en-US" w:eastAsia="zh-CN"/>
    </w:rPr>
  </w:style>
  <w:style w:type="character" w:customStyle="1" w:styleId="201">
    <w:name w:val="Heading 3 Char1"/>
    <w:qFormat/>
    <w:uiPriority w:val="99"/>
    <w:rPr>
      <w:rFonts w:eastAsia="宋体"/>
      <w:b/>
      <w:bCs/>
      <w:kern w:val="2"/>
      <w:sz w:val="32"/>
      <w:szCs w:val="32"/>
      <w:lang w:val="en-US" w:eastAsia="zh-CN"/>
    </w:rPr>
  </w:style>
  <w:style w:type="character" w:customStyle="1" w:styleId="202">
    <w:name w:val="明显引用 Char1"/>
    <w:qFormat/>
    <w:uiPriority w:val="99"/>
    <w:rPr>
      <w:rFonts w:ascii="Times New Roman" w:hAnsi="Times New Roman" w:eastAsia="宋体" w:cs="Times New Roman"/>
      <w:b/>
      <w:bCs/>
      <w:i/>
      <w:iCs/>
      <w:color w:val="4F81BD"/>
      <w:sz w:val="24"/>
      <w:szCs w:val="24"/>
    </w:rPr>
  </w:style>
  <w:style w:type="character" w:customStyle="1" w:styleId="203">
    <w:name w:val="Char Char9"/>
    <w:qFormat/>
    <w:uiPriority w:val="99"/>
    <w:rPr>
      <w:rFonts w:eastAsia="宋体"/>
      <w:b/>
      <w:bCs/>
      <w:kern w:val="44"/>
      <w:sz w:val="44"/>
      <w:szCs w:val="44"/>
      <w:lang w:val="en-US" w:eastAsia="zh-CN"/>
    </w:rPr>
  </w:style>
  <w:style w:type="character" w:customStyle="1" w:styleId="204">
    <w:name w:val="ant-tree-iconele"/>
    <w:qFormat/>
    <w:uiPriority w:val="0"/>
  </w:style>
  <w:style w:type="character" w:customStyle="1" w:styleId="205">
    <w:name w:val="书籍标题1"/>
    <w:qFormat/>
    <w:uiPriority w:val="99"/>
    <w:rPr>
      <w:b/>
      <w:bCs/>
      <w:smallCaps/>
      <w:spacing w:val="5"/>
    </w:rPr>
  </w:style>
  <w:style w:type="character" w:customStyle="1" w:styleId="206">
    <w:name w:val="ant-tree-checkbox"/>
    <w:qFormat/>
    <w:uiPriority w:val="0"/>
  </w:style>
  <w:style w:type="character" w:customStyle="1" w:styleId="207">
    <w:name w:val="ant-tree-icon_loading"/>
    <w:qFormat/>
    <w:uiPriority w:val="0"/>
    <w:rPr>
      <w:shd w:val="clear" w:color="auto" w:fill="FFFFFF"/>
    </w:rPr>
  </w:style>
  <w:style w:type="character" w:customStyle="1" w:styleId="208">
    <w:name w:val="Char Char19"/>
    <w:qFormat/>
    <w:uiPriority w:val="99"/>
    <w:rPr>
      <w:rFonts w:ascii="Arial" w:hAnsi="Arial" w:eastAsia="宋体" w:cs="Arial"/>
      <w:b/>
      <w:bCs/>
      <w:sz w:val="28"/>
      <w:szCs w:val="28"/>
    </w:rPr>
  </w:style>
  <w:style w:type="character" w:customStyle="1" w:styleId="209">
    <w:name w:val="ant-radio+*1"/>
    <w:qFormat/>
    <w:uiPriority w:val="0"/>
  </w:style>
  <w:style w:type="character" w:customStyle="1" w:styleId="210">
    <w:name w:val="Heading 5 Char"/>
    <w:qFormat/>
    <w:uiPriority w:val="99"/>
    <w:rPr>
      <w:rFonts w:eastAsia="宋体"/>
      <w:b/>
      <w:bCs/>
      <w:kern w:val="2"/>
      <w:sz w:val="28"/>
      <w:szCs w:val="28"/>
      <w:lang w:val="en-US" w:eastAsia="zh-CN"/>
    </w:rPr>
  </w:style>
  <w:style w:type="character" w:customStyle="1" w:styleId="211">
    <w:name w:val="ant-select-tree-iconele"/>
    <w:qFormat/>
    <w:uiPriority w:val="0"/>
  </w:style>
  <w:style w:type="character" w:customStyle="1" w:styleId="212">
    <w:name w:val="正文文本缩进 2 Char"/>
    <w:link w:val="213"/>
    <w:qFormat/>
    <w:locked/>
    <w:uiPriority w:val="99"/>
    <w:rPr>
      <w:sz w:val="24"/>
      <w:szCs w:val="24"/>
    </w:rPr>
  </w:style>
  <w:style w:type="paragraph" w:customStyle="1" w:styleId="213">
    <w:name w:val="正文文本缩进 21"/>
    <w:basedOn w:val="1"/>
    <w:next w:val="28"/>
    <w:link w:val="212"/>
    <w:qFormat/>
    <w:uiPriority w:val="99"/>
    <w:pPr>
      <w:spacing w:after="120" w:line="480" w:lineRule="auto"/>
      <w:ind w:left="420" w:leftChars="200"/>
    </w:pPr>
    <w:rPr>
      <w:kern w:val="0"/>
      <w:sz w:val="24"/>
    </w:rPr>
  </w:style>
  <w:style w:type="character" w:customStyle="1" w:styleId="214">
    <w:name w:val="ant-transfer-list-search-action"/>
    <w:qFormat/>
    <w:uiPriority w:val="0"/>
  </w:style>
  <w:style w:type="character" w:customStyle="1" w:styleId="215">
    <w:name w:val="正文文本缩进 Char1"/>
    <w:semiHidden/>
    <w:qFormat/>
    <w:uiPriority w:val="99"/>
    <w:rPr>
      <w:rFonts w:ascii="Calibri" w:hAnsi="Calibri" w:eastAsia="宋体" w:cs="Times New Roman"/>
    </w:rPr>
  </w:style>
  <w:style w:type="character" w:customStyle="1" w:styleId="216">
    <w:name w:val="Date Char"/>
    <w:qFormat/>
    <w:uiPriority w:val="99"/>
    <w:rPr>
      <w:rFonts w:eastAsia="宋体"/>
      <w:kern w:val="2"/>
      <w:sz w:val="24"/>
      <w:szCs w:val="24"/>
      <w:lang w:val="en-US" w:eastAsia="zh-CN"/>
    </w:rPr>
  </w:style>
  <w:style w:type="character" w:customStyle="1" w:styleId="217">
    <w:name w:val="Heading 4 Char"/>
    <w:qFormat/>
    <w:uiPriority w:val="99"/>
    <w:rPr>
      <w:rFonts w:ascii="Arial" w:hAnsi="Arial" w:eastAsia="宋体" w:cs="Arial"/>
      <w:b/>
      <w:bCs/>
      <w:kern w:val="2"/>
      <w:sz w:val="28"/>
      <w:szCs w:val="28"/>
      <w:lang w:val="en-US" w:eastAsia="zh-CN"/>
    </w:rPr>
  </w:style>
  <w:style w:type="character" w:customStyle="1" w:styleId="218">
    <w:name w:val="Plain Text Char"/>
    <w:qFormat/>
    <w:uiPriority w:val="99"/>
    <w:rPr>
      <w:rFonts w:ascii="宋体" w:hAnsi="Courier New" w:eastAsia="宋体" w:cs="宋体"/>
      <w:sz w:val="24"/>
      <w:szCs w:val="24"/>
    </w:rPr>
  </w:style>
  <w:style w:type="character" w:customStyle="1" w:styleId="219">
    <w:name w:val="Title Char"/>
    <w:qFormat/>
    <w:uiPriority w:val="99"/>
    <w:rPr>
      <w:rFonts w:ascii="Cambria" w:hAnsi="Cambria" w:cs="Cambria"/>
      <w:b/>
      <w:bCs/>
      <w:sz w:val="32"/>
      <w:szCs w:val="32"/>
    </w:rPr>
  </w:style>
  <w:style w:type="paragraph" w:customStyle="1" w:styleId="220">
    <w:name w:val="p0"/>
    <w:basedOn w:val="1"/>
    <w:qFormat/>
    <w:uiPriority w:val="99"/>
    <w:pPr>
      <w:widowControl/>
    </w:pPr>
    <w:rPr>
      <w:rFonts w:ascii="Calibri" w:hAnsi="Calibri" w:cs="Calibri"/>
      <w:kern w:val="0"/>
      <w:szCs w:val="22"/>
    </w:rPr>
  </w:style>
  <w:style w:type="paragraph" w:customStyle="1" w:styleId="221">
    <w:name w:val="z-窗体底端1"/>
    <w:basedOn w:val="1"/>
    <w:next w:val="1"/>
    <w:qFormat/>
    <w:uiPriority w:val="0"/>
    <w:pPr>
      <w:pBdr>
        <w:top w:val="single" w:color="auto" w:sz="6" w:space="1"/>
      </w:pBdr>
      <w:jc w:val="center"/>
    </w:pPr>
    <w:rPr>
      <w:rFonts w:ascii="Arial" w:hAnsi="Calibri"/>
      <w:vanish/>
      <w:sz w:val="16"/>
    </w:rPr>
  </w:style>
  <w:style w:type="paragraph" w:customStyle="1" w:styleId="222">
    <w:name w:val="z-窗体顶端1"/>
    <w:basedOn w:val="1"/>
    <w:next w:val="1"/>
    <w:qFormat/>
    <w:uiPriority w:val="0"/>
    <w:pPr>
      <w:pBdr>
        <w:bottom w:val="single" w:color="auto" w:sz="6" w:space="1"/>
      </w:pBdr>
      <w:jc w:val="center"/>
    </w:pPr>
    <w:rPr>
      <w:rFonts w:ascii="Arial" w:hAnsi="Calibri"/>
      <w:vanish/>
      <w:sz w:val="16"/>
    </w:rPr>
  </w:style>
  <w:style w:type="paragraph" w:customStyle="1" w:styleId="223">
    <w:name w:val="Char"/>
    <w:basedOn w:val="1"/>
    <w:qFormat/>
    <w:uiPriority w:val="99"/>
    <w:pPr>
      <w:widowControl/>
      <w:spacing w:after="160" w:line="240" w:lineRule="exact"/>
      <w:jc w:val="left"/>
    </w:pPr>
    <w:rPr>
      <w:rFonts w:ascii="Calibri" w:hAnsi="Calibri"/>
      <w:szCs w:val="22"/>
    </w:rPr>
  </w:style>
  <w:style w:type="paragraph" w:customStyle="1" w:styleId="224">
    <w:name w:val="正文_3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5">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226">
    <w:name w:val="副标题1"/>
    <w:basedOn w:val="1"/>
    <w:next w:val="1"/>
    <w:qFormat/>
    <w:uiPriority w:val="11"/>
    <w:pPr>
      <w:spacing w:before="240" w:after="60" w:line="312" w:lineRule="auto"/>
      <w:jc w:val="center"/>
      <w:outlineLvl w:val="1"/>
    </w:pPr>
    <w:rPr>
      <w:rFonts w:ascii="Cambria" w:hAnsi="Cambria"/>
      <w:b/>
      <w:bCs/>
      <w:kern w:val="28"/>
      <w:sz w:val="32"/>
      <w:szCs w:val="32"/>
    </w:rPr>
  </w:style>
  <w:style w:type="paragraph" w:customStyle="1" w:styleId="227">
    <w:name w:val="样式1"/>
    <w:basedOn w:val="1"/>
    <w:next w:val="5"/>
    <w:qFormat/>
    <w:uiPriority w:val="99"/>
    <w:pPr>
      <w:spacing w:line="360" w:lineRule="auto"/>
      <w:ind w:firstLine="420" w:firstLineChars="200"/>
    </w:pPr>
    <w:rPr>
      <w:rFonts w:ascii="宋体" w:hAnsi="宋体" w:cs="宋体"/>
      <w:szCs w:val="22"/>
    </w:rPr>
  </w:style>
  <w:style w:type="paragraph" w:customStyle="1" w:styleId="228">
    <w:name w:val="标题1"/>
    <w:basedOn w:val="1"/>
    <w:next w:val="1"/>
    <w:qFormat/>
    <w:uiPriority w:val="99"/>
    <w:pPr>
      <w:spacing w:before="240" w:after="60"/>
      <w:jc w:val="center"/>
      <w:outlineLvl w:val="0"/>
    </w:pPr>
    <w:rPr>
      <w:rFonts w:ascii="Cambria" w:hAnsi="Cambria" w:cs="Cambria"/>
      <w:b/>
      <w:bCs/>
      <w:sz w:val="32"/>
      <w:szCs w:val="32"/>
    </w:rPr>
  </w:style>
  <w:style w:type="paragraph" w:customStyle="1" w:styleId="229">
    <w:name w:val="明显引用1"/>
    <w:basedOn w:val="1"/>
    <w:next w:val="1"/>
    <w:qFormat/>
    <w:uiPriority w:val="99"/>
    <w:pPr>
      <w:pBdr>
        <w:bottom w:val="single" w:color="4F81BD" w:sz="4" w:space="4"/>
      </w:pBdr>
      <w:spacing w:before="200" w:after="280"/>
      <w:ind w:left="936" w:right="936"/>
    </w:pPr>
    <w:rPr>
      <w:rFonts w:ascii="Calibri" w:hAnsi="Calibri"/>
      <w:b/>
      <w:bCs/>
      <w:i/>
      <w:iCs/>
      <w:color w:val="4F81BD"/>
      <w:szCs w:val="22"/>
    </w:rPr>
  </w:style>
  <w:style w:type="paragraph" w:customStyle="1" w:styleId="230">
    <w:name w:val="Default"/>
    <w:qFormat/>
    <w:uiPriority w:val="99"/>
    <w:pPr>
      <w:widowControl w:val="0"/>
      <w:autoSpaceDE w:val="0"/>
      <w:autoSpaceDN w:val="0"/>
      <w:adjustRightInd w:val="0"/>
    </w:pPr>
    <w:rPr>
      <w:rFonts w:ascii="Calibri" w:hAnsi="Calibri" w:eastAsia="宋体" w:cs="Times New Roman"/>
      <w:color w:val="000000"/>
      <w:kern w:val="2"/>
      <w:sz w:val="24"/>
      <w:szCs w:val="24"/>
      <w:lang w:val="en-US" w:eastAsia="zh-CN" w:bidi="ar-SA"/>
    </w:rPr>
  </w:style>
  <w:style w:type="paragraph" w:customStyle="1" w:styleId="231">
    <w:name w:val="Char Char Char Char Char Char Char"/>
    <w:basedOn w:val="1"/>
    <w:qFormat/>
    <w:uiPriority w:val="99"/>
    <w:pPr>
      <w:widowControl/>
      <w:spacing w:after="160" w:line="240" w:lineRule="exact"/>
      <w:jc w:val="left"/>
    </w:pPr>
    <w:rPr>
      <w:rFonts w:ascii="Calibri" w:hAnsi="Calibri"/>
      <w:szCs w:val="22"/>
    </w:rPr>
  </w:style>
  <w:style w:type="paragraph" w:customStyle="1" w:styleId="232">
    <w:name w:val="纯文本_1"/>
    <w:basedOn w:val="233"/>
    <w:qFormat/>
    <w:uiPriority w:val="0"/>
    <w:rPr>
      <w:rFonts w:ascii="宋体" w:hAnsi="Courier New"/>
      <w:szCs w:val="24"/>
    </w:rPr>
  </w:style>
  <w:style w:type="paragraph" w:customStyle="1" w:styleId="233">
    <w:name w:val="正文_3_0"/>
    <w:basedOn w:val="185"/>
    <w:qFormat/>
    <w:uiPriority w:val="0"/>
    <w:pPr>
      <w:widowControl w:val="0"/>
      <w:jc w:val="both"/>
    </w:pPr>
    <w:rPr>
      <w:rFonts w:ascii="Calibri" w:hAnsi="Calibri"/>
      <w:kern w:val="2"/>
      <w:sz w:val="21"/>
      <w:szCs w:val="22"/>
      <w:lang w:val="en-US" w:eastAsia="zh-CN" w:bidi="ar-SA"/>
    </w:rPr>
  </w:style>
  <w:style w:type="paragraph" w:customStyle="1" w:styleId="234">
    <w:name w:val="无间隔1"/>
    <w:qFormat/>
    <w:uiPriority w:val="99"/>
    <w:pPr>
      <w:widowControl w:val="0"/>
      <w:jc w:val="both"/>
    </w:pPr>
    <w:rPr>
      <w:rFonts w:ascii="Calibri" w:hAnsi="Calibri" w:eastAsia="宋体" w:cs="Times New Roman"/>
      <w:kern w:val="2"/>
      <w:sz w:val="21"/>
      <w:szCs w:val="21"/>
      <w:lang w:val="en-US" w:eastAsia="zh-CN" w:bidi="ar-SA"/>
    </w:rPr>
  </w:style>
  <w:style w:type="paragraph" w:customStyle="1" w:styleId="235">
    <w:name w:val="正文_1"/>
    <w:qFormat/>
    <w:uiPriority w:val="99"/>
    <w:pPr>
      <w:widowControl w:val="0"/>
      <w:jc w:val="both"/>
    </w:pPr>
    <w:rPr>
      <w:rFonts w:ascii="Calibri" w:hAnsi="Calibri" w:eastAsia="宋体" w:cs="Times New Roman"/>
      <w:kern w:val="2"/>
      <w:sz w:val="21"/>
      <w:szCs w:val="21"/>
      <w:lang w:val="en-US" w:eastAsia="zh-CN" w:bidi="ar-SA"/>
    </w:rPr>
  </w:style>
  <w:style w:type="paragraph" w:customStyle="1" w:styleId="236">
    <w:name w:val="纯文本_0"/>
    <w:basedOn w:val="233"/>
    <w:qFormat/>
    <w:uiPriority w:val="0"/>
    <w:rPr>
      <w:rFonts w:ascii="宋体" w:hAnsi="Courier New"/>
      <w:kern w:val="0"/>
      <w:sz w:val="20"/>
      <w:szCs w:val="24"/>
    </w:rPr>
  </w:style>
  <w:style w:type="paragraph" w:customStyle="1" w:styleId="237">
    <w:name w:val="TOC 标题11"/>
    <w:basedOn w:val="2"/>
    <w:next w:val="1"/>
    <w:qFormat/>
    <w:uiPriority w:val="99"/>
    <w:pPr>
      <w:spacing w:line="576" w:lineRule="auto"/>
      <w:outlineLvl w:val="9"/>
    </w:pPr>
    <w:rPr>
      <w:rFonts w:ascii="Calibri" w:hAnsi="Calibri" w:eastAsia="黑体" w:cs="Calibri"/>
      <w:lang w:val="zh-CN"/>
    </w:rPr>
  </w:style>
  <w:style w:type="paragraph" w:customStyle="1" w:styleId="238">
    <w:name w:val="空半行"/>
    <w:basedOn w:val="1"/>
    <w:qFormat/>
    <w:uiPriority w:val="99"/>
    <w:pPr>
      <w:adjustRightInd w:val="0"/>
      <w:spacing w:line="120" w:lineRule="exact"/>
      <w:textAlignment w:val="baseline"/>
    </w:pPr>
    <w:rPr>
      <w:rFonts w:ascii="Calibri" w:hAnsi="Calibri" w:eastAsia="仿宋_GB2312"/>
      <w:color w:val="FFFFFF"/>
      <w:kern w:val="0"/>
      <w:sz w:val="30"/>
      <w:szCs w:val="30"/>
    </w:rPr>
  </w:style>
  <w:style w:type="paragraph" w:customStyle="1" w:styleId="239">
    <w:name w:val="1"/>
    <w:basedOn w:val="1"/>
    <w:next w:val="1"/>
    <w:qFormat/>
    <w:uiPriority w:val="99"/>
    <w:rPr>
      <w:rFonts w:ascii="Calibri" w:hAnsi="Calibri"/>
      <w:szCs w:val="22"/>
    </w:rPr>
  </w:style>
  <w:style w:type="paragraph" w:customStyle="1" w:styleId="240">
    <w:name w:val="列出段落2"/>
    <w:basedOn w:val="1"/>
    <w:qFormat/>
    <w:uiPriority w:val="99"/>
    <w:pPr>
      <w:ind w:firstLine="420" w:firstLineChars="200"/>
    </w:pPr>
    <w:rPr>
      <w:rFonts w:ascii="Calibri" w:hAnsi="Calibri" w:cs="Calibri"/>
      <w:szCs w:val="22"/>
    </w:rPr>
  </w:style>
  <w:style w:type="paragraph" w:customStyle="1" w:styleId="241">
    <w:name w:val="普通(网站)_1"/>
    <w:basedOn w:val="242"/>
    <w:qFormat/>
    <w:uiPriority w:val="99"/>
    <w:pPr>
      <w:widowControl/>
      <w:spacing w:before="100" w:beforeAutospacing="1" w:after="100" w:afterAutospacing="1" w:line="320" w:lineRule="atLeast"/>
      <w:jc w:val="left"/>
    </w:pPr>
    <w:rPr>
      <w:rFonts w:ascii="宋体" w:hAnsi="宋体"/>
      <w:kern w:val="0"/>
      <w:sz w:val="18"/>
      <w:szCs w:val="18"/>
    </w:rPr>
  </w:style>
  <w:style w:type="paragraph" w:customStyle="1" w:styleId="242">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3">
    <w:name w:val="修订1"/>
    <w:semiHidden/>
    <w:qFormat/>
    <w:uiPriority w:val="99"/>
    <w:rPr>
      <w:rFonts w:ascii="Calibri" w:hAnsi="Calibri" w:eastAsia="宋体" w:cs="Times New Roman"/>
      <w:kern w:val="2"/>
      <w:sz w:val="21"/>
      <w:szCs w:val="21"/>
      <w:lang w:val="en-US" w:eastAsia="zh-CN" w:bidi="ar-SA"/>
    </w:rPr>
  </w:style>
  <w:style w:type="paragraph" w:customStyle="1" w:styleId="244">
    <w:name w:val="无间隔11"/>
    <w:qFormat/>
    <w:uiPriority w:val="99"/>
    <w:pPr>
      <w:widowControl w:val="0"/>
      <w:jc w:val="both"/>
    </w:pPr>
    <w:rPr>
      <w:rFonts w:ascii="Calibri" w:hAnsi="Calibri" w:eastAsia="宋体" w:cs="Times New Roman"/>
      <w:kern w:val="2"/>
      <w:sz w:val="21"/>
      <w:szCs w:val="21"/>
      <w:lang w:val="en-US" w:eastAsia="zh-CN" w:bidi="ar-SA"/>
    </w:rPr>
  </w:style>
  <w:style w:type="paragraph" w:customStyle="1" w:styleId="245">
    <w:name w:val="修订11"/>
    <w:qFormat/>
    <w:uiPriority w:val="99"/>
    <w:rPr>
      <w:rFonts w:ascii="Calibri" w:hAnsi="Calibri" w:eastAsia="宋体" w:cs="Times New Roman"/>
      <w:kern w:val="2"/>
      <w:sz w:val="21"/>
      <w:szCs w:val="21"/>
      <w:lang w:val="en-US" w:eastAsia="zh-CN" w:bidi="ar-SA"/>
    </w:rPr>
  </w:style>
  <w:style w:type="paragraph" w:customStyle="1" w:styleId="246">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247">
    <w:name w:val="正文_7"/>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8">
    <w:name w:val="2-2ji"/>
    <w:basedOn w:val="3"/>
    <w:qFormat/>
    <w:uiPriority w:val="99"/>
    <w:pPr>
      <w:spacing w:before="0" w:after="0" w:line="360" w:lineRule="auto"/>
      <w:jc w:val="center"/>
    </w:pPr>
    <w:rPr>
      <w:rFonts w:ascii="宋体" w:hAnsi="宋体" w:cs="宋体"/>
      <w:sz w:val="36"/>
      <w:szCs w:val="36"/>
      <w:lang w:val="zh-CN"/>
    </w:rPr>
  </w:style>
  <w:style w:type="paragraph" w:customStyle="1" w:styleId="249">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50">
    <w:name w:val="无间隔11_0"/>
    <w:qFormat/>
    <w:uiPriority w:val="99"/>
    <w:pPr>
      <w:widowControl w:val="0"/>
      <w:jc w:val="both"/>
    </w:pPr>
    <w:rPr>
      <w:rFonts w:ascii="Calibri" w:hAnsi="Calibri" w:eastAsia="宋体" w:cs="Times New Roman"/>
      <w:kern w:val="2"/>
      <w:sz w:val="21"/>
      <w:szCs w:val="21"/>
      <w:lang w:val="en-US" w:eastAsia="zh-CN" w:bidi="ar-SA"/>
    </w:rPr>
  </w:style>
  <w:style w:type="paragraph" w:customStyle="1" w:styleId="251">
    <w:name w:val="flNote"/>
    <w:basedOn w:val="1"/>
    <w:qFormat/>
    <w:uiPriority w:val="99"/>
    <w:pPr>
      <w:adjustRightInd w:val="0"/>
      <w:spacing w:before="320" w:after="160" w:line="360" w:lineRule="atLeast"/>
      <w:jc w:val="center"/>
      <w:textAlignment w:val="baseline"/>
    </w:pPr>
    <w:rPr>
      <w:rFonts w:ascii="Arial" w:hAnsi="Calibri" w:eastAsia="黑体" w:cs="Arial"/>
      <w:kern w:val="0"/>
      <w:sz w:val="30"/>
      <w:szCs w:val="30"/>
    </w:rPr>
  </w:style>
  <w:style w:type="paragraph" w:customStyle="1" w:styleId="252">
    <w:name w:val="列出段落1"/>
    <w:basedOn w:val="1"/>
    <w:qFormat/>
    <w:uiPriority w:val="99"/>
    <w:pPr>
      <w:ind w:firstLine="420" w:firstLineChars="200"/>
    </w:pPr>
    <w:rPr>
      <w:rFonts w:ascii="Calibri" w:hAnsi="Calibri" w:cs="Calibri"/>
      <w:szCs w:val="22"/>
    </w:rPr>
  </w:style>
  <w:style w:type="paragraph" w:customStyle="1" w:styleId="253">
    <w:name w:val="Normal_0"/>
    <w:qFormat/>
    <w:uiPriority w:val="0"/>
    <w:pPr>
      <w:widowControl w:val="0"/>
      <w:jc w:val="both"/>
    </w:pPr>
    <w:rPr>
      <w:rFonts w:ascii="Calibri" w:hAnsi="Calibri" w:eastAsia="宋体" w:cs="Times New Roman"/>
      <w:lang w:val="en-US" w:eastAsia="zh-CN" w:bidi="ar-SA"/>
    </w:rPr>
  </w:style>
  <w:style w:type="paragraph" w:customStyle="1" w:styleId="254">
    <w:name w:val="Char1"/>
    <w:basedOn w:val="1"/>
    <w:qFormat/>
    <w:uiPriority w:val="99"/>
    <w:pPr>
      <w:widowControl/>
      <w:spacing w:after="160" w:line="240" w:lineRule="exact"/>
      <w:jc w:val="left"/>
    </w:pPr>
    <w:rPr>
      <w:rFonts w:ascii="Calibri" w:hAnsi="Calibri"/>
      <w:szCs w:val="22"/>
    </w:rPr>
  </w:style>
  <w:style w:type="paragraph" w:customStyle="1" w:styleId="255">
    <w:name w:val="_Style 37"/>
    <w:basedOn w:val="1"/>
    <w:next w:val="1"/>
    <w:qFormat/>
    <w:uiPriority w:val="99"/>
    <w:rPr>
      <w:rFonts w:ascii="Calibri" w:hAnsi="Calibri"/>
      <w:szCs w:val="22"/>
    </w:rPr>
  </w:style>
  <w:style w:type="paragraph" w:customStyle="1" w:styleId="256">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7">
    <w:name w:val="样式 标题 3 + (中文) 黑体 小四 非加粗 段前: 7.8 磅 段后: 0 磅 行距: 固定值 20 磅"/>
    <w:basedOn w:val="4"/>
    <w:qFormat/>
    <w:uiPriority w:val="99"/>
    <w:pPr>
      <w:spacing w:before="0" w:after="0" w:line="400" w:lineRule="exact"/>
    </w:pPr>
    <w:rPr>
      <w:rFonts w:ascii="Calibri" w:hAnsi="Calibri" w:eastAsia="黑体"/>
      <w:b w:val="0"/>
      <w:bCs w:val="0"/>
      <w:lang w:val="zh-CN"/>
    </w:rPr>
  </w:style>
  <w:style w:type="paragraph" w:styleId="258">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259">
    <w:name w:val="正文1"/>
    <w:qFormat/>
    <w:uiPriority w:val="0"/>
    <w:rPr>
      <w:rFonts w:ascii="Calibri" w:hAnsi="Calibri" w:eastAsia="Times New Roman" w:cs="Times New Roman"/>
      <w:sz w:val="24"/>
      <w:szCs w:val="24"/>
      <w:lang w:val="en-US" w:eastAsia="zh-CN" w:bidi="ar-SA"/>
    </w:rPr>
  </w:style>
  <w:style w:type="paragraph" w:customStyle="1" w:styleId="260">
    <w:name w:val="Div_MsoNormal ParagraphIndent"/>
    <w:basedOn w:val="259"/>
    <w:qFormat/>
    <w:uiPriority w:val="0"/>
    <w:rPr>
      <w:rFonts w:ascii="宋体" w:hAnsi="宋体" w:eastAsia="宋体"/>
      <w:sz w:val="21"/>
    </w:rPr>
  </w:style>
  <w:style w:type="paragraph" w:customStyle="1" w:styleId="261">
    <w:name w:val="Div_MsoNormal  ParagraphIndent"/>
    <w:basedOn w:val="259"/>
    <w:qFormat/>
    <w:uiPriority w:val="0"/>
    <w:rPr>
      <w:rFonts w:ascii="宋体" w:hAnsi="宋体" w:eastAsia="宋体"/>
      <w:sz w:val="21"/>
    </w:rPr>
  </w:style>
  <w:style w:type="paragraph" w:customStyle="1" w:styleId="262">
    <w:name w:val="P_MsoNormal"/>
    <w:basedOn w:val="259"/>
    <w:qFormat/>
    <w:uiPriority w:val="0"/>
    <w:pPr>
      <w:jc w:val="both"/>
    </w:pPr>
    <w:rPr>
      <w:sz w:val="21"/>
    </w:rPr>
  </w:style>
  <w:style w:type="paragraph" w:customStyle="1" w:styleId="263">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4">
    <w:name w:val="标题 2_1"/>
    <w:basedOn w:val="233"/>
    <w:next w:val="233"/>
    <w:qFormat/>
    <w:uiPriority w:val="0"/>
    <w:pPr>
      <w:keepNext/>
      <w:keepLines/>
      <w:spacing w:before="260" w:after="260" w:line="415" w:lineRule="auto"/>
      <w:outlineLvl w:val="1"/>
    </w:pPr>
    <w:rPr>
      <w:rFonts w:ascii="Cambria" w:hAnsi="Cambria"/>
      <w:b/>
      <w:bCs/>
      <w:kern w:val="0"/>
      <w:sz w:val="32"/>
      <w:szCs w:val="32"/>
    </w:rPr>
  </w:style>
  <w:style w:type="paragraph" w:customStyle="1" w:styleId="265">
    <w:name w:val="标题 3_0"/>
    <w:basedOn w:val="266"/>
    <w:next w:val="266"/>
    <w:qFormat/>
    <w:uiPriority w:val="0"/>
    <w:pPr>
      <w:keepNext/>
      <w:keepLines/>
      <w:spacing w:before="260" w:after="260" w:line="416" w:lineRule="auto"/>
      <w:outlineLvl w:val="2"/>
    </w:pPr>
    <w:rPr>
      <w:rFonts w:ascii="Times New Roman" w:hAnsi="Times New Roman"/>
      <w:b/>
      <w:bCs/>
      <w:sz w:val="32"/>
      <w:szCs w:val="32"/>
    </w:rPr>
  </w:style>
  <w:style w:type="paragraph" w:customStyle="1" w:styleId="266">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8">
    <w:name w:val="普通(网站)_0"/>
    <w:basedOn w:val="256"/>
    <w:unhideWhenUsed/>
    <w:qFormat/>
    <w:uiPriority w:val="0"/>
    <w:pPr>
      <w:widowControl/>
      <w:spacing w:before="100" w:beforeAutospacing="1" w:after="100" w:afterAutospacing="1"/>
      <w:jc w:val="left"/>
    </w:pPr>
    <w:rPr>
      <w:rFonts w:ascii="宋体" w:hAnsi="宋体" w:cs="宋体"/>
      <w:kern w:val="0"/>
      <w:sz w:val="24"/>
      <w:szCs w:val="24"/>
    </w:rPr>
  </w:style>
  <w:style w:type="paragraph" w:customStyle="1" w:styleId="269">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0">
    <w:name w:val="标题 1_0"/>
    <w:basedOn w:val="247"/>
    <w:next w:val="247"/>
    <w:qFormat/>
    <w:uiPriority w:val="99"/>
    <w:pPr>
      <w:keepNext/>
      <w:keepLines/>
      <w:spacing w:line="360" w:lineRule="auto"/>
      <w:outlineLvl w:val="0"/>
    </w:pPr>
    <w:rPr>
      <w:rFonts w:eastAsia="黑体"/>
      <w:b/>
      <w:bCs/>
      <w:kern w:val="44"/>
      <w:sz w:val="32"/>
      <w:szCs w:val="44"/>
    </w:rPr>
  </w:style>
  <w:style w:type="paragraph" w:customStyle="1" w:styleId="271">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2">
    <w:name w:val="正文_1_0"/>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73">
    <w:name w:val="无间隔1_0"/>
    <w:qFormat/>
    <w:uiPriority w:val="99"/>
    <w:pPr>
      <w:widowControl w:val="0"/>
      <w:jc w:val="both"/>
    </w:pPr>
    <w:rPr>
      <w:rFonts w:ascii="Calibri" w:hAnsi="Calibri" w:eastAsia="宋体" w:cs="Times New Roman"/>
      <w:kern w:val="2"/>
      <w:sz w:val="21"/>
      <w:szCs w:val="24"/>
      <w:lang w:val="en-US" w:eastAsia="zh-CN" w:bidi="ar-SA"/>
    </w:rPr>
  </w:style>
  <w:style w:type="table" w:customStyle="1" w:styleId="274">
    <w:name w:val="网格型1"/>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5">
    <w:name w:val="样式 42 10 磅"/>
    <w:next w:val="27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6">
    <w:name w:val="样式 9 10 磅"/>
    <w:qFormat/>
    <w:uiPriority w:val="0"/>
    <w:pPr>
      <w:widowControl w:val="0"/>
      <w:jc w:val="both"/>
    </w:pPr>
    <w:rPr>
      <w:rFonts w:ascii="宋体" w:hAnsi="Times New Roman" w:eastAsia="宋体" w:cs="Times New Roman"/>
      <w:sz w:val="20"/>
      <w:szCs w:val="21"/>
      <w:lang w:val="en-US" w:eastAsia="zh-CN" w:bidi="ar-SA"/>
    </w:rPr>
  </w:style>
  <w:style w:type="paragraph" w:customStyle="1" w:styleId="277">
    <w:name w:val="样式 41 10 磅"/>
    <w:next w:val="27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8">
    <w:name w:val="样式 8 10 磅"/>
    <w:qFormat/>
    <w:uiPriority w:val="0"/>
    <w:pPr>
      <w:widowControl w:val="0"/>
      <w:jc w:val="both"/>
    </w:pPr>
    <w:rPr>
      <w:rFonts w:ascii="宋体" w:hAnsi="Times New Roman" w:eastAsia="宋体" w:cs="Times New Roman"/>
      <w:sz w:val="20"/>
      <w:szCs w:val="21"/>
      <w:lang w:val="en-US" w:eastAsia="zh-CN" w:bidi="ar-SA"/>
    </w:rPr>
  </w:style>
  <w:style w:type="paragraph" w:customStyle="1" w:styleId="279">
    <w:name w:val="样式 40 10 磅"/>
    <w:next w:val="28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0">
    <w:name w:val="样式 小四"/>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281">
    <w:name w:val="样式 39 10 磅"/>
    <w:next w:val="28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2">
    <w:name w:val="样式 7 10 磅"/>
    <w:qFormat/>
    <w:uiPriority w:val="0"/>
    <w:pPr>
      <w:widowControl w:val="0"/>
      <w:jc w:val="both"/>
    </w:pPr>
    <w:rPr>
      <w:rFonts w:ascii="宋体" w:hAnsi="Times New Roman" w:eastAsia="宋体" w:cs="Times New Roman"/>
      <w:sz w:val="20"/>
      <w:szCs w:val="21"/>
      <w:lang w:val="en-US" w:eastAsia="zh-CN" w:bidi="ar-SA"/>
    </w:rPr>
  </w:style>
  <w:style w:type="paragraph" w:customStyle="1" w:styleId="283">
    <w:name w:val="样式 38 10 磅"/>
    <w:next w:val="28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样式 6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5">
    <w:name w:val="样式 37 10 磅"/>
    <w:next w:val="286"/>
    <w:qFormat/>
    <w:uiPriority w:val="0"/>
    <w:pPr>
      <w:widowControl w:val="0"/>
      <w:jc w:val="both"/>
    </w:pPr>
    <w:rPr>
      <w:rFonts w:ascii="宋体" w:hAnsi="Times New Roman" w:eastAsia="宋体" w:cs="Times New Roman"/>
      <w:sz w:val="20"/>
      <w:szCs w:val="21"/>
      <w:lang w:val="en-US" w:eastAsia="zh-CN" w:bidi="ar-SA"/>
    </w:rPr>
  </w:style>
  <w:style w:type="paragraph" w:customStyle="1" w:styleId="286">
    <w:name w:val="样式 3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样式 36 10 磅"/>
    <w:next w:val="28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样式 2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9">
    <w:name w:val="样式 35 10 磅"/>
    <w:next w:val="29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样式 1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样式 34 10 磅"/>
    <w:next w:val="29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样式 4 10 磅"/>
    <w:next w:val="3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3">
    <w:name w:val="样式 30 10 磅"/>
    <w:next w:val="2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样式 27 10 磅"/>
    <w:next w:val="10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5">
    <w:name w:val="样式 18 10 磅"/>
    <w:next w:val="2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样式 17 10 磅"/>
    <w:next w:val="2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7">
    <w:name w:val="样式 16 10 磅"/>
    <w:next w:val="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样式 15 10 磅"/>
    <w:next w:val="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样式 14 10 磅"/>
    <w:next w:val="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0">
    <w:name w:val="样式 12 10 磅"/>
    <w:next w:val="7"/>
    <w:qFormat/>
    <w:uiPriority w:val="0"/>
    <w:pPr>
      <w:widowControl w:val="0"/>
      <w:jc w:val="both"/>
    </w:pPr>
    <w:rPr>
      <w:rFonts w:ascii="宋体" w:hAnsi="Times New Roman" w:eastAsia="宋体" w:cs="Times New Roman"/>
      <w:sz w:val="20"/>
      <w:szCs w:val="21"/>
      <w:lang w:val="en-US" w:eastAsia="zh-CN" w:bidi="ar-SA"/>
    </w:rPr>
  </w:style>
  <w:style w:type="paragraph" w:customStyle="1" w:styleId="301">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02">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3">
    <w:name w:val="纯文本1"/>
    <w:basedOn w:val="1"/>
    <w:qFormat/>
    <w:uiPriority w:val="0"/>
    <w:rPr>
      <w:rFonts w:ascii="宋体" w:hAnsi="Courier New"/>
      <w:kern w:val="0"/>
      <w:sz w:val="20"/>
      <w:szCs w:val="21"/>
    </w:rPr>
  </w:style>
  <w:style w:type="character" w:customStyle="1" w:styleId="304">
    <w:name w:val="默认段落字体1"/>
    <w:semiHidden/>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109</Pages>
  <Words>60696</Words>
  <Characters>63864</Characters>
  <Lines>3400</Lines>
  <Paragraphs>3084</Paragraphs>
  <TotalTime>57</TotalTime>
  <ScaleCrop>false</ScaleCrop>
  <LinksUpToDate>false</LinksUpToDate>
  <CharactersWithSpaces>69287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2021-08-17T04:20:00Z</dcterms:created>
  <dc:creator>mouxuanyu</dc:creator>
  <cp:lastModifiedBy>中信</cp:lastModifiedBy>
  <cp:lastPrinted>2022-09-15T09:37:00Z</cp:lastPrinted>
  <dcterms:modified xsi:type="dcterms:W3CDTF">2025-07-07T08:16:31Z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80BC34B5B8D147A1AB6C862EA6AE54A8_13</vt:lpwstr>
  </property>
  <property fmtid="{D5CDD505-2E9C-101B-9397-08002B2CF9AE}" pid="4" name="KSOTemplateDocerSaveRecord">
    <vt:lpwstr>eyJoZGlkIjoiNGNiNjZmYjJkZTE4Yjk2M2IxZjkzMWRlNzkxZjRiYTgiLCJ1c2VySWQiOiIzNTIyNzc2NDIifQ==</vt:lpwstr>
  </property>
</Properties>
</file>