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CA5CA">
      <w:pPr>
        <w:spacing w:line="720" w:lineRule="exact"/>
        <w:jc w:val="center"/>
        <w:rPr>
          <w:rFonts w:ascii="宋体" w:hAnsi="宋体" w:cs="宋体"/>
          <w:b/>
          <w:bCs/>
          <w:color w:val="auto"/>
          <w:spacing w:val="80"/>
          <w:sz w:val="60"/>
          <w:szCs w:val="60"/>
          <w:highlight w:val="none"/>
        </w:rPr>
      </w:pPr>
    </w:p>
    <w:p w14:paraId="2C7E2E3B">
      <w:pPr>
        <w:spacing w:line="600" w:lineRule="exact"/>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广西合士嘉项目咨询有限公司</w:t>
      </w:r>
    </w:p>
    <w:p w14:paraId="00A0A5B9">
      <w:pPr>
        <w:spacing w:line="1000" w:lineRule="exact"/>
        <w:jc w:val="center"/>
        <w:rPr>
          <w:rFonts w:ascii="宋体" w:hAnsi="宋体" w:cs="宋体"/>
          <w:b/>
          <w:color w:val="auto"/>
          <w:sz w:val="84"/>
          <w:szCs w:val="84"/>
          <w:highlight w:val="none"/>
        </w:rPr>
      </w:pPr>
      <w:r>
        <w:rPr>
          <w:rFonts w:hint="eastAsia" w:ascii="宋体" w:hAnsi="宋体" w:cs="宋体"/>
          <w:b/>
          <w:bCs/>
          <w:color w:val="auto"/>
          <w:sz w:val="32"/>
          <w:highlight w:val="none"/>
        </w:rPr>
        <w:drawing>
          <wp:anchor distT="0" distB="0" distL="114300" distR="114300" simplePos="0" relativeHeight="251662336" behindDoc="1" locked="0" layoutInCell="1" allowOverlap="1">
            <wp:simplePos x="0" y="0"/>
            <wp:positionH relativeFrom="column">
              <wp:posOffset>2447290</wp:posOffset>
            </wp:positionH>
            <wp:positionV relativeFrom="paragraph">
              <wp:posOffset>400050</wp:posOffset>
            </wp:positionV>
            <wp:extent cx="1600200" cy="1398270"/>
            <wp:effectExtent l="10795" t="0" r="27305" b="430530"/>
            <wp:wrapNone/>
            <wp:docPr id="2" name="图片 4" descr="heshij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heshijia.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430" cy="1734820"/>
                    </a:xfrm>
                    <a:prstGeom prst="rect">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1549A6C">
      <w:pPr>
        <w:spacing w:line="1000" w:lineRule="exact"/>
        <w:jc w:val="center"/>
        <w:rPr>
          <w:rFonts w:ascii="宋体" w:hAnsi="宋体" w:cs="宋体"/>
          <w:b/>
          <w:color w:val="auto"/>
          <w:sz w:val="84"/>
          <w:szCs w:val="84"/>
          <w:highlight w:val="none"/>
        </w:rPr>
      </w:pPr>
    </w:p>
    <w:p w14:paraId="360A91B8">
      <w:pPr>
        <w:spacing w:line="1000" w:lineRule="exact"/>
        <w:jc w:val="center"/>
        <w:rPr>
          <w:rFonts w:ascii="宋体" w:hAnsi="宋体" w:cs="宋体"/>
          <w:b/>
          <w:color w:val="auto"/>
          <w:sz w:val="84"/>
          <w:szCs w:val="84"/>
          <w:highlight w:val="none"/>
        </w:rPr>
      </w:pPr>
    </w:p>
    <w:p w14:paraId="571EB550">
      <w:pPr>
        <w:spacing w:line="1000" w:lineRule="exact"/>
        <w:jc w:val="center"/>
        <w:rPr>
          <w:rFonts w:ascii="宋体" w:hAnsi="宋体" w:cs="宋体"/>
          <w:b/>
          <w:color w:val="auto"/>
          <w:sz w:val="84"/>
          <w:szCs w:val="84"/>
          <w:highlight w:val="none"/>
        </w:rPr>
      </w:pPr>
    </w:p>
    <w:p w14:paraId="5D76D1DA">
      <w:pPr>
        <w:spacing w:line="1000" w:lineRule="exact"/>
        <w:jc w:val="center"/>
        <w:rPr>
          <w:rFonts w:ascii="宋体" w:hAnsi="宋体" w:cs="宋体"/>
          <w:b/>
          <w:color w:val="auto"/>
          <w:sz w:val="84"/>
          <w:szCs w:val="84"/>
          <w:highlight w:val="none"/>
        </w:rPr>
      </w:pPr>
      <w:r>
        <w:rPr>
          <w:rFonts w:hint="eastAsia" w:ascii="宋体" w:hAnsi="宋体" w:cs="宋体"/>
          <w:b/>
          <w:color w:val="auto"/>
          <w:sz w:val="84"/>
          <w:szCs w:val="84"/>
          <w:highlight w:val="none"/>
        </w:rPr>
        <w:t>竞争性谈判文件</w:t>
      </w:r>
      <w:r>
        <w:rPr>
          <w:rFonts w:hint="eastAsia" w:ascii="宋体" w:hAnsi="宋体" w:cs="宋体"/>
          <w:b/>
          <w:color w:val="auto"/>
          <w:sz w:val="84"/>
          <w:szCs w:val="84"/>
          <w:highlight w:val="none"/>
        </w:rPr>
        <w:cr/>
      </w:r>
      <w:r>
        <w:rPr>
          <w:rFonts w:hint="eastAsia" w:ascii="宋体" w:hAnsi="宋体" w:cs="宋体"/>
          <w:b/>
          <w:color w:val="auto"/>
          <w:sz w:val="84"/>
          <w:szCs w:val="84"/>
          <w:highlight w:val="none"/>
        </w:rPr>
        <w:cr/>
      </w:r>
    </w:p>
    <w:p w14:paraId="448ED3F3">
      <w:pPr>
        <w:pStyle w:val="27"/>
        <w:rPr>
          <w:rFonts w:hAnsi="宋体" w:cs="宋体"/>
          <w:color w:val="auto"/>
          <w:highlight w:val="none"/>
        </w:rPr>
      </w:pPr>
    </w:p>
    <w:p w14:paraId="09AB66E1">
      <w:pPr>
        <w:ind w:firstLine="642"/>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项目名称：阳朔县葡萄至白沙古板K14+100-K14+165段</w:t>
      </w:r>
    </w:p>
    <w:p w14:paraId="525578ED">
      <w:pPr>
        <w:ind w:firstLine="642"/>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道路提升工程（水毁工程）</w:t>
      </w:r>
    </w:p>
    <w:p w14:paraId="370F8327">
      <w:pPr>
        <w:ind w:firstLine="2891" w:firstLineChars="900"/>
        <w:jc w:val="center"/>
        <w:rPr>
          <w:rFonts w:ascii="宋体" w:hAnsi="宋体" w:cs="宋体"/>
          <w:b/>
          <w:bCs/>
          <w:color w:val="auto"/>
          <w:kern w:val="0"/>
          <w:sz w:val="32"/>
          <w:szCs w:val="32"/>
          <w:highlight w:val="none"/>
        </w:rPr>
      </w:pPr>
    </w:p>
    <w:p w14:paraId="32FA5A79">
      <w:pPr>
        <w:ind w:firstLine="1928" w:firstLineChars="600"/>
        <w:rPr>
          <w:rFonts w:ascii="宋体" w:hAnsi="宋体" w:cs="宋体"/>
          <w:color w:val="auto"/>
          <w:sz w:val="32"/>
          <w:szCs w:val="32"/>
          <w:highlight w:val="none"/>
        </w:rPr>
      </w:pPr>
      <w:r>
        <w:rPr>
          <w:rFonts w:hint="eastAsia" w:ascii="宋体" w:hAnsi="宋体" w:cs="宋体"/>
          <w:b/>
          <w:bCs/>
          <w:color w:val="auto"/>
          <w:kern w:val="0"/>
          <w:sz w:val="32"/>
          <w:szCs w:val="32"/>
          <w:highlight w:val="none"/>
        </w:rPr>
        <w:t>项目编号：</w:t>
      </w:r>
      <w:r>
        <w:rPr>
          <w:rFonts w:hint="eastAsia" w:ascii="宋体" w:hAnsi="宋体" w:cs="宋体"/>
          <w:b/>
          <w:bCs/>
          <w:color w:val="auto"/>
          <w:kern w:val="0"/>
          <w:sz w:val="32"/>
          <w:szCs w:val="32"/>
          <w:highlight w:val="none"/>
          <w:lang w:eastAsia="zh-CN"/>
        </w:rPr>
        <w:t>GLZC2025-J2-210036-GXHS</w:t>
      </w:r>
      <w:r>
        <w:rPr>
          <w:rFonts w:hint="eastAsia" w:ascii="宋体" w:hAnsi="宋体" w:cs="宋体"/>
          <w:color w:val="auto"/>
          <w:sz w:val="32"/>
          <w:szCs w:val="32"/>
          <w:highlight w:val="none"/>
        </w:rPr>
        <w:cr/>
      </w:r>
    </w:p>
    <w:p w14:paraId="5D1C1A27">
      <w:pPr>
        <w:ind w:firstLine="1600" w:firstLineChars="500"/>
        <w:rPr>
          <w:rFonts w:ascii="宋体" w:hAnsi="宋体" w:cs="宋体"/>
          <w:color w:val="auto"/>
          <w:sz w:val="32"/>
          <w:szCs w:val="32"/>
          <w:highlight w:val="none"/>
        </w:rPr>
      </w:pPr>
    </w:p>
    <w:p w14:paraId="4CA4B70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采购代理机构：广西合士嘉项目咨询有限公司</w:t>
      </w:r>
    </w:p>
    <w:p w14:paraId="7BAF4D2F">
      <w:pPr>
        <w:jc w:val="center"/>
        <w:rPr>
          <w:rFonts w:ascii="宋体" w:hAnsi="宋体" w:cs="宋体"/>
          <w:b/>
          <w:color w:val="auto"/>
          <w:spacing w:val="-6"/>
          <w:kern w:val="0"/>
          <w:sz w:val="30"/>
          <w:szCs w:val="30"/>
          <w:highlight w:val="none"/>
        </w:rPr>
      </w:pPr>
      <w:bookmarkStart w:id="1109" w:name="_GoBack"/>
      <w:r>
        <w:rPr>
          <w:rFonts w:hint="eastAsia" w:ascii="宋体" w:hAnsi="宋体" w:cs="宋体"/>
          <w:b/>
          <w:color w:val="auto"/>
          <w:sz w:val="32"/>
          <w:szCs w:val="32"/>
          <w:highlight w:val="none"/>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6</w:t>
      </w:r>
      <w:r>
        <w:rPr>
          <w:rFonts w:hint="eastAsia" w:ascii="宋体" w:hAnsi="宋体" w:cs="宋体"/>
          <w:b/>
          <w:color w:val="auto"/>
          <w:sz w:val="32"/>
          <w:szCs w:val="32"/>
          <w:highlight w:val="none"/>
        </w:rPr>
        <w:t>月</w:t>
      </w:r>
    </w:p>
    <w:bookmarkEnd w:id="1109"/>
    <w:p w14:paraId="59535019">
      <w:pPr>
        <w:pStyle w:val="35"/>
        <w:tabs>
          <w:tab w:val="right" w:leader="dot" w:pos="9660"/>
        </w:tabs>
        <w:spacing w:line="360" w:lineRule="auto"/>
        <w:jc w:val="center"/>
        <w:rPr>
          <w:rFonts w:ascii="宋体" w:hAnsi="宋体" w:cs="宋体"/>
          <w:b/>
          <w:color w:val="auto"/>
          <w:spacing w:val="-6"/>
          <w:kern w:val="0"/>
          <w:sz w:val="30"/>
          <w:szCs w:val="30"/>
          <w:highlight w:val="none"/>
        </w:rPr>
        <w:sectPr>
          <w:pgSz w:w="11906" w:h="16838"/>
          <w:pgMar w:top="1418" w:right="1115" w:bottom="1418" w:left="1131" w:header="851" w:footer="992" w:gutter="0"/>
          <w:cols w:space="720" w:num="1"/>
          <w:titlePg/>
          <w:docGrid w:type="lines" w:linePitch="312" w:charSpace="0"/>
        </w:sectPr>
      </w:pPr>
    </w:p>
    <w:p w14:paraId="7A7CBD0A">
      <w:pPr>
        <w:pStyle w:val="35"/>
        <w:tabs>
          <w:tab w:val="right" w:leader="dot" w:pos="9660"/>
        </w:tabs>
        <w:spacing w:line="360" w:lineRule="auto"/>
        <w:jc w:val="center"/>
        <w:rPr>
          <w:rFonts w:ascii="宋体" w:hAnsi="宋体" w:cs="宋体"/>
          <w:b/>
          <w:color w:val="auto"/>
          <w:spacing w:val="-6"/>
          <w:kern w:val="0"/>
          <w:sz w:val="30"/>
          <w:szCs w:val="30"/>
          <w:highlight w:val="none"/>
        </w:rPr>
      </w:pPr>
      <w:r>
        <w:rPr>
          <w:rFonts w:hint="eastAsia" w:ascii="宋体" w:hAnsi="宋体" w:cs="宋体"/>
          <w:b/>
          <w:color w:val="auto"/>
          <w:spacing w:val="-6"/>
          <w:kern w:val="0"/>
          <w:sz w:val="30"/>
          <w:szCs w:val="30"/>
          <w:highlight w:val="none"/>
        </w:rPr>
        <w:t>目录</w:t>
      </w:r>
    </w:p>
    <w:p w14:paraId="0DD1CCBB">
      <w:pPr>
        <w:pStyle w:val="35"/>
        <w:tabs>
          <w:tab w:val="right" w:leader="dot" w:pos="9476"/>
        </w:tabs>
        <w:spacing w:line="480" w:lineRule="auto"/>
        <w:rPr>
          <w:rFonts w:ascii="Calibri" w:hAnsi="Calibri"/>
          <w:color w:val="auto"/>
          <w:sz w:val="28"/>
          <w:szCs w:val="28"/>
          <w:highlight w:val="none"/>
        </w:rPr>
      </w:pPr>
      <w:bookmarkStart w:id="0" w:name="_Toc31269"/>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"_Toc142662795" </w:instrText>
      </w:r>
      <w:r>
        <w:rPr>
          <w:color w:val="auto"/>
          <w:highlight w:val="none"/>
        </w:rPr>
        <w:fldChar w:fldCharType="separate"/>
      </w:r>
      <w:r>
        <w:rPr>
          <w:rStyle w:val="64"/>
          <w:rFonts w:hint="eastAsia"/>
          <w:color w:val="auto"/>
          <w:sz w:val="28"/>
          <w:szCs w:val="28"/>
          <w:highlight w:val="none"/>
        </w:rPr>
        <w:t>第一章</w:t>
      </w:r>
      <w:r>
        <w:rPr>
          <w:rStyle w:val="64"/>
          <w:color w:val="auto"/>
          <w:sz w:val="28"/>
          <w:szCs w:val="28"/>
          <w:highlight w:val="none"/>
        </w:rPr>
        <w:t xml:space="preserve"> </w:t>
      </w:r>
      <w:r>
        <w:rPr>
          <w:rStyle w:val="64"/>
          <w:rFonts w:hint="eastAsia"/>
          <w:color w:val="auto"/>
          <w:sz w:val="28"/>
          <w:szCs w:val="28"/>
          <w:highlight w:val="none"/>
        </w:rPr>
        <w:t>竞争性谈判公告</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p>
    <w:p w14:paraId="3142CC79">
      <w:pPr>
        <w:pStyle w:val="35"/>
        <w:tabs>
          <w:tab w:val="right" w:leader="dot" w:pos="9476"/>
        </w:tabs>
        <w:spacing w:line="480" w:lineRule="auto"/>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"_Toc142662797" </w:instrText>
      </w:r>
      <w:r>
        <w:rPr>
          <w:color w:val="auto"/>
          <w:highlight w:val="none"/>
        </w:rPr>
        <w:fldChar w:fldCharType="separate"/>
      </w:r>
      <w:r>
        <w:rPr>
          <w:rStyle w:val="64"/>
          <w:rFonts w:hint="eastAsia"/>
          <w:color w:val="auto"/>
          <w:sz w:val="28"/>
          <w:szCs w:val="28"/>
          <w:highlight w:val="none"/>
        </w:rPr>
        <w:t>第三章</w:t>
      </w:r>
      <w:r>
        <w:rPr>
          <w:rStyle w:val="64"/>
          <w:color w:val="auto"/>
          <w:sz w:val="28"/>
          <w:szCs w:val="28"/>
          <w:highlight w:val="none"/>
        </w:rPr>
        <w:t xml:space="preserve"> </w:t>
      </w:r>
      <w:r>
        <w:rPr>
          <w:rStyle w:val="64"/>
          <w:rFonts w:hint="eastAsia"/>
          <w:color w:val="auto"/>
          <w:sz w:val="28"/>
          <w:szCs w:val="28"/>
          <w:highlight w:val="none"/>
        </w:rPr>
        <w:t>工程量清单及图纸</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Style w:val="64"/>
          <w:rFonts w:hint="eastAsia"/>
          <w:color w:val="auto"/>
          <w:sz w:val="28"/>
          <w:szCs w:val="28"/>
          <w:highlight w:val="none"/>
        </w:rPr>
        <w:t>7</w:t>
      </w:r>
    </w:p>
    <w:p w14:paraId="55C023A0">
      <w:pPr>
        <w:pStyle w:val="35"/>
        <w:tabs>
          <w:tab w:val="right" w:leader="dot" w:pos="9476"/>
        </w:tabs>
        <w:spacing w:line="480" w:lineRule="auto"/>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"_Toc142662798" </w:instrText>
      </w:r>
      <w:r>
        <w:rPr>
          <w:color w:val="auto"/>
          <w:highlight w:val="none"/>
        </w:rPr>
        <w:fldChar w:fldCharType="separate"/>
      </w:r>
      <w:r>
        <w:rPr>
          <w:rStyle w:val="64"/>
          <w:rFonts w:hint="eastAsia"/>
          <w:color w:val="auto"/>
          <w:sz w:val="28"/>
          <w:szCs w:val="28"/>
          <w:highlight w:val="none"/>
        </w:rPr>
        <w:t>第四章</w:t>
      </w:r>
      <w:r>
        <w:rPr>
          <w:rStyle w:val="64"/>
          <w:color w:val="auto"/>
          <w:sz w:val="28"/>
          <w:szCs w:val="28"/>
          <w:highlight w:val="none"/>
        </w:rPr>
        <w:t xml:space="preserve"> </w:t>
      </w:r>
      <w:r>
        <w:rPr>
          <w:rStyle w:val="64"/>
          <w:rFonts w:hint="eastAsia"/>
          <w:color w:val="auto"/>
          <w:sz w:val="28"/>
          <w:szCs w:val="28"/>
          <w:highlight w:val="none"/>
        </w:rPr>
        <w:t>评审办法</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Style w:val="64"/>
          <w:rFonts w:hint="eastAsia"/>
          <w:color w:val="auto"/>
          <w:sz w:val="28"/>
          <w:szCs w:val="28"/>
          <w:highlight w:val="none"/>
        </w:rPr>
        <w:t>8</w:t>
      </w:r>
    </w:p>
    <w:p w14:paraId="6158F5D0">
      <w:pPr>
        <w:pStyle w:val="35"/>
        <w:tabs>
          <w:tab w:val="right" w:leader="dot" w:pos="9476"/>
        </w:tabs>
        <w:spacing w:line="480" w:lineRule="auto"/>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"_Toc142662799" </w:instrText>
      </w:r>
      <w:r>
        <w:rPr>
          <w:color w:val="auto"/>
          <w:highlight w:val="none"/>
        </w:rPr>
        <w:fldChar w:fldCharType="separate"/>
      </w:r>
      <w:r>
        <w:rPr>
          <w:rStyle w:val="64"/>
          <w:rFonts w:hint="eastAsia"/>
          <w:color w:val="auto"/>
          <w:sz w:val="28"/>
          <w:szCs w:val="28"/>
          <w:highlight w:val="none"/>
        </w:rPr>
        <w:t>第五章</w:t>
      </w:r>
      <w:r>
        <w:rPr>
          <w:rStyle w:val="64"/>
          <w:color w:val="auto"/>
          <w:sz w:val="28"/>
          <w:szCs w:val="28"/>
          <w:highlight w:val="none"/>
        </w:rPr>
        <w:t xml:space="preserve"> </w:t>
      </w:r>
      <w:r>
        <w:rPr>
          <w:rStyle w:val="64"/>
          <w:rFonts w:hint="eastAsia"/>
          <w:color w:val="auto"/>
          <w:sz w:val="28"/>
          <w:szCs w:val="28"/>
          <w:highlight w:val="none"/>
        </w:rPr>
        <w:t>采购合同（合同主要条款及格式）</w:t>
      </w:r>
      <w:bookmarkStart w:id="1" w:name="_Hlt142662813"/>
      <w:bookmarkStart w:id="2" w:name="_Hlt142662814"/>
      <w:r>
        <w:rPr>
          <w:color w:val="auto"/>
          <w:sz w:val="28"/>
          <w:szCs w:val="28"/>
          <w:highlight w:val="none"/>
        </w:rPr>
        <w:tab/>
      </w:r>
      <w:bookmarkEnd w:id="1"/>
      <w:bookmarkEnd w:id="2"/>
      <w:r>
        <w:rPr>
          <w:color w:val="auto"/>
          <w:sz w:val="28"/>
          <w:szCs w:val="28"/>
          <w:highlight w:val="none"/>
        </w:rPr>
        <w:fldChar w:fldCharType="end"/>
      </w:r>
      <w:r>
        <w:rPr>
          <w:rStyle w:val="64"/>
          <w:rFonts w:hint="eastAsia"/>
          <w:color w:val="auto"/>
          <w:sz w:val="28"/>
          <w:szCs w:val="28"/>
          <w:highlight w:val="none"/>
        </w:rPr>
        <w:t>29</w:t>
      </w:r>
    </w:p>
    <w:p w14:paraId="1F9EAAB4">
      <w:pPr>
        <w:pStyle w:val="35"/>
        <w:tabs>
          <w:tab w:val="right" w:leader="dot" w:pos="9476"/>
        </w:tabs>
        <w:spacing w:line="480" w:lineRule="auto"/>
        <w:rPr>
          <w:rStyle w:val="64"/>
          <w:color w:val="auto"/>
          <w:sz w:val="28"/>
          <w:szCs w:val="28"/>
          <w:highlight w:val="none"/>
        </w:rPr>
      </w:pPr>
      <w:r>
        <w:rPr>
          <w:color w:val="auto"/>
          <w:highlight w:val="none"/>
        </w:rPr>
        <w:fldChar w:fldCharType="begin"/>
      </w:r>
      <w:r>
        <w:rPr>
          <w:color w:val="auto"/>
          <w:highlight w:val="none"/>
        </w:rPr>
        <w:instrText xml:space="preserve"> HYPERLINK \l "_Toc142662808" </w:instrText>
      </w:r>
      <w:r>
        <w:rPr>
          <w:color w:val="auto"/>
          <w:highlight w:val="none"/>
        </w:rPr>
        <w:fldChar w:fldCharType="separate"/>
      </w:r>
      <w:r>
        <w:rPr>
          <w:rStyle w:val="64"/>
          <w:rFonts w:hint="eastAsia"/>
          <w:color w:val="auto"/>
          <w:sz w:val="28"/>
          <w:szCs w:val="28"/>
          <w:highlight w:val="none"/>
        </w:rPr>
        <w:t>第六章</w:t>
      </w:r>
      <w:r>
        <w:rPr>
          <w:rStyle w:val="64"/>
          <w:color w:val="auto"/>
          <w:sz w:val="28"/>
          <w:szCs w:val="28"/>
          <w:highlight w:val="none"/>
        </w:rPr>
        <w:t xml:space="preserve"> </w:t>
      </w:r>
      <w:r>
        <w:rPr>
          <w:rStyle w:val="64"/>
          <w:rFonts w:hint="eastAsia"/>
          <w:color w:val="auto"/>
          <w:sz w:val="28"/>
          <w:szCs w:val="28"/>
          <w:highlight w:val="none"/>
        </w:rPr>
        <w:t>响应文件（格式）</w:t>
      </w:r>
      <w:r>
        <w:rPr>
          <w:color w:val="auto"/>
          <w:sz w:val="28"/>
          <w:szCs w:val="28"/>
          <w:highlight w:val="none"/>
        </w:rPr>
        <w:tab/>
      </w:r>
      <w:r>
        <w:rPr>
          <w:color w:val="auto"/>
          <w:sz w:val="28"/>
          <w:szCs w:val="28"/>
          <w:highlight w:val="none"/>
        </w:rPr>
        <w:fldChar w:fldCharType="end"/>
      </w:r>
      <w:r>
        <w:rPr>
          <w:rStyle w:val="64"/>
          <w:rFonts w:hint="eastAsia"/>
          <w:color w:val="auto"/>
          <w:sz w:val="28"/>
          <w:szCs w:val="28"/>
          <w:highlight w:val="none"/>
        </w:rPr>
        <w:t>63</w:t>
      </w:r>
    </w:p>
    <w:p w14:paraId="5706C333">
      <w:pPr>
        <w:pStyle w:val="35"/>
        <w:tabs>
          <w:tab w:val="right" w:leader="dot" w:pos="9476"/>
        </w:tabs>
        <w:spacing w:line="480" w:lineRule="auto"/>
        <w:rPr>
          <w:rStyle w:val="64"/>
          <w:color w:val="auto"/>
          <w:sz w:val="28"/>
          <w:szCs w:val="28"/>
          <w:highlight w:val="none"/>
        </w:rPr>
      </w:pPr>
      <w:r>
        <w:rPr>
          <w:rStyle w:val="64"/>
          <w:rFonts w:hint="eastAsia"/>
          <w:color w:val="auto"/>
          <w:sz w:val="28"/>
          <w:szCs w:val="28"/>
          <w:highlight w:val="none"/>
        </w:rPr>
        <w:t>第七章 技术标准和要求</w:t>
      </w:r>
      <w:r>
        <w:rPr>
          <w:color w:val="auto"/>
          <w:sz w:val="28"/>
          <w:szCs w:val="28"/>
          <w:highlight w:val="none"/>
        </w:rPr>
        <w:tab/>
      </w:r>
      <w:r>
        <w:rPr>
          <w:rFonts w:hint="eastAsia"/>
          <w:color w:val="auto"/>
          <w:sz w:val="28"/>
          <w:szCs w:val="28"/>
          <w:highlight w:val="none"/>
        </w:rPr>
        <w:t>83</w:t>
      </w:r>
    </w:p>
    <w:p w14:paraId="1E707A24">
      <w:pPr>
        <w:jc w:val="center"/>
        <w:outlineLvl w:val="0"/>
        <w:rPr>
          <w:rFonts w:ascii="宋体" w:hAnsi="宋体" w:cs="宋体"/>
          <w:b/>
          <w:bCs/>
          <w:color w:val="auto"/>
          <w:sz w:val="32"/>
          <w:szCs w:val="32"/>
          <w:highlight w:val="none"/>
        </w:rPr>
      </w:pPr>
      <w:r>
        <w:rPr>
          <w:color w:val="auto"/>
          <w:sz w:val="28"/>
          <w:szCs w:val="28"/>
          <w:highlight w:val="none"/>
        </w:rPr>
        <w:fldChar w:fldCharType="end"/>
      </w:r>
    </w:p>
    <w:p w14:paraId="72E9BD59">
      <w:pPr>
        <w:jc w:val="center"/>
        <w:outlineLvl w:val="0"/>
        <w:rPr>
          <w:rFonts w:ascii="宋体" w:hAnsi="宋体" w:cs="宋体"/>
          <w:b/>
          <w:bCs/>
          <w:color w:val="auto"/>
          <w:sz w:val="32"/>
          <w:szCs w:val="32"/>
          <w:highlight w:val="none"/>
        </w:rPr>
      </w:pPr>
    </w:p>
    <w:p w14:paraId="65FE1E12">
      <w:pPr>
        <w:jc w:val="center"/>
        <w:outlineLvl w:val="0"/>
        <w:rPr>
          <w:rFonts w:ascii="宋体" w:hAnsi="宋体" w:cs="宋体"/>
          <w:b/>
          <w:bCs/>
          <w:color w:val="auto"/>
          <w:sz w:val="32"/>
          <w:szCs w:val="32"/>
          <w:highlight w:val="none"/>
        </w:rPr>
      </w:pPr>
    </w:p>
    <w:p w14:paraId="3C54DF3F">
      <w:pPr>
        <w:jc w:val="center"/>
        <w:outlineLvl w:val="0"/>
        <w:rPr>
          <w:rFonts w:ascii="宋体" w:hAnsi="宋体" w:cs="宋体"/>
          <w:b/>
          <w:bCs/>
          <w:color w:val="auto"/>
          <w:sz w:val="32"/>
          <w:szCs w:val="32"/>
          <w:highlight w:val="none"/>
        </w:rPr>
      </w:pPr>
    </w:p>
    <w:p w14:paraId="7B062D11">
      <w:pPr>
        <w:jc w:val="center"/>
        <w:outlineLvl w:val="0"/>
        <w:rPr>
          <w:rFonts w:ascii="宋体" w:hAnsi="宋体" w:cs="宋体"/>
          <w:b/>
          <w:bCs/>
          <w:color w:val="auto"/>
          <w:sz w:val="32"/>
          <w:szCs w:val="32"/>
          <w:highlight w:val="none"/>
        </w:rPr>
      </w:pPr>
    </w:p>
    <w:p w14:paraId="25E494FA">
      <w:pPr>
        <w:jc w:val="center"/>
        <w:outlineLvl w:val="0"/>
        <w:rPr>
          <w:rFonts w:ascii="宋体" w:hAnsi="宋体" w:cs="宋体"/>
          <w:b/>
          <w:bCs/>
          <w:color w:val="auto"/>
          <w:sz w:val="32"/>
          <w:szCs w:val="32"/>
          <w:highlight w:val="none"/>
        </w:rPr>
      </w:pPr>
    </w:p>
    <w:p w14:paraId="09AD9D78">
      <w:pPr>
        <w:jc w:val="center"/>
        <w:outlineLvl w:val="0"/>
        <w:rPr>
          <w:rFonts w:ascii="宋体" w:hAnsi="宋体" w:cs="宋体"/>
          <w:b/>
          <w:bCs/>
          <w:color w:val="auto"/>
          <w:sz w:val="32"/>
          <w:szCs w:val="32"/>
          <w:highlight w:val="none"/>
        </w:rPr>
      </w:pPr>
    </w:p>
    <w:p w14:paraId="1DFCA082">
      <w:pPr>
        <w:jc w:val="center"/>
        <w:outlineLvl w:val="0"/>
        <w:rPr>
          <w:rFonts w:ascii="宋体" w:hAnsi="宋体" w:cs="宋体"/>
          <w:b/>
          <w:bCs/>
          <w:color w:val="auto"/>
          <w:sz w:val="32"/>
          <w:szCs w:val="32"/>
          <w:highlight w:val="none"/>
        </w:rPr>
      </w:pPr>
    </w:p>
    <w:p w14:paraId="7002601B">
      <w:pPr>
        <w:jc w:val="center"/>
        <w:outlineLvl w:val="0"/>
        <w:rPr>
          <w:rFonts w:ascii="宋体" w:hAnsi="宋体" w:cs="宋体"/>
          <w:b/>
          <w:bCs/>
          <w:color w:val="auto"/>
          <w:sz w:val="32"/>
          <w:szCs w:val="32"/>
          <w:highlight w:val="none"/>
        </w:rPr>
      </w:pPr>
    </w:p>
    <w:p w14:paraId="5EF62B65">
      <w:pPr>
        <w:jc w:val="center"/>
        <w:outlineLvl w:val="0"/>
        <w:rPr>
          <w:rFonts w:ascii="宋体" w:hAnsi="宋体" w:cs="宋体"/>
          <w:b/>
          <w:bCs/>
          <w:color w:val="auto"/>
          <w:sz w:val="32"/>
          <w:szCs w:val="32"/>
          <w:highlight w:val="none"/>
        </w:rPr>
      </w:pPr>
    </w:p>
    <w:p w14:paraId="5208E3BB">
      <w:pPr>
        <w:jc w:val="center"/>
        <w:outlineLvl w:val="0"/>
        <w:rPr>
          <w:rFonts w:ascii="宋体" w:hAnsi="宋体" w:cs="宋体"/>
          <w:b/>
          <w:bCs/>
          <w:color w:val="auto"/>
          <w:sz w:val="32"/>
          <w:szCs w:val="32"/>
          <w:highlight w:val="none"/>
        </w:rPr>
      </w:pPr>
    </w:p>
    <w:p w14:paraId="1B0F8311">
      <w:pPr>
        <w:jc w:val="center"/>
        <w:outlineLvl w:val="0"/>
        <w:rPr>
          <w:rFonts w:ascii="宋体" w:hAnsi="宋体" w:cs="宋体"/>
          <w:b/>
          <w:bCs/>
          <w:color w:val="auto"/>
          <w:sz w:val="32"/>
          <w:szCs w:val="32"/>
          <w:highlight w:val="none"/>
        </w:rPr>
      </w:pPr>
    </w:p>
    <w:p w14:paraId="08136863">
      <w:pPr>
        <w:jc w:val="center"/>
        <w:outlineLvl w:val="0"/>
        <w:rPr>
          <w:rFonts w:ascii="宋体" w:hAnsi="宋体" w:cs="宋体"/>
          <w:b/>
          <w:bCs/>
          <w:color w:val="auto"/>
          <w:sz w:val="32"/>
          <w:szCs w:val="32"/>
          <w:highlight w:val="none"/>
        </w:rPr>
      </w:pPr>
    </w:p>
    <w:p w14:paraId="39A29F91">
      <w:pPr>
        <w:jc w:val="center"/>
        <w:outlineLvl w:val="0"/>
        <w:rPr>
          <w:rFonts w:ascii="宋体" w:hAnsi="宋体" w:cs="宋体"/>
          <w:b/>
          <w:bCs/>
          <w:color w:val="auto"/>
          <w:sz w:val="32"/>
          <w:szCs w:val="32"/>
          <w:highlight w:val="none"/>
        </w:rPr>
      </w:pPr>
    </w:p>
    <w:p w14:paraId="33FB5123">
      <w:pPr>
        <w:jc w:val="center"/>
        <w:outlineLvl w:val="0"/>
        <w:rPr>
          <w:rFonts w:ascii="宋体" w:hAnsi="宋体" w:cs="宋体"/>
          <w:b/>
          <w:bCs/>
          <w:color w:val="auto"/>
          <w:sz w:val="32"/>
          <w:szCs w:val="32"/>
          <w:highlight w:val="none"/>
        </w:rPr>
        <w:sectPr>
          <w:footerReference r:id="rId4" w:type="first"/>
          <w:footerReference r:id="rId3" w:type="default"/>
          <w:pgSz w:w="11906" w:h="16838"/>
          <w:pgMar w:top="1134" w:right="1286" w:bottom="1134" w:left="1134" w:header="720" w:footer="720" w:gutter="0"/>
          <w:pgNumType w:fmt="numberInDash"/>
          <w:cols w:space="720" w:num="1"/>
          <w:titlePg/>
          <w:docGrid w:type="linesAndChars" w:linePitch="331" w:charSpace="0"/>
        </w:sectPr>
      </w:pPr>
    </w:p>
    <w:p w14:paraId="07531908">
      <w:pPr>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第一章  </w:t>
      </w:r>
      <w:bookmarkEnd w:id="0"/>
      <w:r>
        <w:rPr>
          <w:rFonts w:hint="eastAsia" w:ascii="宋体" w:hAnsi="宋体" w:cs="宋体"/>
          <w:b/>
          <w:bCs/>
          <w:color w:val="auto"/>
          <w:sz w:val="32"/>
          <w:szCs w:val="32"/>
          <w:highlight w:val="none"/>
        </w:rPr>
        <w:t>竞争性谈判公告</w:t>
      </w:r>
    </w:p>
    <w:p w14:paraId="28B95380">
      <w:pPr>
        <w:pBdr>
          <w:top w:val="single" w:color="auto" w:sz="4" w:space="0"/>
          <w:left w:val="single" w:color="auto" w:sz="4" w:space="0"/>
          <w:bottom w:val="single" w:color="auto" w:sz="4" w:space="0"/>
          <w:right w:val="single" w:color="auto" w:sz="4" w:space="0"/>
        </w:pBdr>
        <w:spacing w:line="38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项目概况</w:t>
      </w:r>
    </w:p>
    <w:p w14:paraId="7C60E38E">
      <w:pPr>
        <w:pBdr>
          <w:top w:val="single" w:color="auto" w:sz="4" w:space="0"/>
          <w:left w:val="single" w:color="auto" w:sz="4" w:space="0"/>
          <w:bottom w:val="single" w:color="auto" w:sz="4" w:space="0"/>
          <w:right w:val="single" w:color="auto" w:sz="4" w:space="0"/>
        </w:pBd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阳朔县葡萄至白沙古板K14+100-K14+165段道路提升工程（水毁工程）</w:t>
      </w:r>
      <w:r>
        <w:rPr>
          <w:rFonts w:hint="eastAsia" w:asciiTheme="minorEastAsia" w:hAnsiTheme="minorEastAsia" w:eastAsiaTheme="minorEastAsia" w:cstheme="minorEastAsia"/>
          <w:color w:val="auto"/>
          <w:szCs w:val="21"/>
          <w:highlight w:val="none"/>
        </w:rPr>
        <w:t>采购项目的潜在供应商登录</w:t>
      </w:r>
      <w:r>
        <w:rPr>
          <w:rFonts w:hint="eastAsia" w:asciiTheme="minorEastAsia" w:hAnsiTheme="minorEastAsia" w:eastAsiaTheme="minorEastAsia" w:cstheme="minorEastAsia"/>
          <w:color w:val="auto"/>
          <w:szCs w:val="21"/>
          <w:highlight w:val="none"/>
          <w:u w:val="single"/>
        </w:rPr>
        <w:t>http://gl.zfcg.zcygov.cn/桂林市政府采购网</w:t>
      </w:r>
      <w:r>
        <w:rPr>
          <w:rFonts w:hint="eastAsia" w:asciiTheme="minorEastAsia" w:hAnsiTheme="minorEastAsia" w:eastAsiaTheme="minorEastAsia" w:cstheme="minorEastAsia"/>
          <w:color w:val="auto"/>
          <w:szCs w:val="21"/>
          <w:highlight w:val="none"/>
        </w:rPr>
        <w:t>免费下载竞争性谈判文件电子版，并于</w:t>
      </w:r>
      <w:r>
        <w:rPr>
          <w:rFonts w:hint="eastAsia" w:asciiTheme="minorEastAsia" w:hAnsiTheme="minorEastAsia" w:eastAsiaTheme="minorEastAsia" w:cstheme="minorEastAsia"/>
          <w:color w:val="auto"/>
          <w:szCs w:val="21"/>
          <w:highlight w:val="none"/>
          <w:lang w:eastAsia="zh-CN"/>
        </w:rPr>
        <w:t>2025年6月25日09时30分</w:t>
      </w:r>
      <w:r>
        <w:rPr>
          <w:rFonts w:hint="eastAsia" w:asciiTheme="minorEastAsia" w:hAnsiTheme="minorEastAsia" w:eastAsiaTheme="minorEastAsia" w:cstheme="minorEastAsia"/>
          <w:color w:val="auto"/>
          <w:szCs w:val="21"/>
          <w:highlight w:val="none"/>
        </w:rPr>
        <w:t>（北京时间）前提交响应文件。</w:t>
      </w:r>
    </w:p>
    <w:p w14:paraId="2CE1187F">
      <w:pPr>
        <w:spacing w:line="380" w:lineRule="exact"/>
        <w:outlineLvl w:val="1"/>
        <w:rPr>
          <w:rFonts w:asciiTheme="minorEastAsia" w:hAnsiTheme="minorEastAsia" w:eastAsiaTheme="minorEastAsia" w:cstheme="minorEastAsia"/>
          <w:b/>
          <w:bCs/>
          <w:color w:val="auto"/>
          <w:szCs w:val="21"/>
          <w:highlight w:val="none"/>
        </w:rPr>
      </w:pPr>
      <w:bookmarkStart w:id="3" w:name="_Toc35393798"/>
      <w:bookmarkStart w:id="4" w:name="_Toc28343"/>
      <w:bookmarkStart w:id="5" w:name="_Toc28359089"/>
      <w:bookmarkStart w:id="6" w:name="_Toc28359012"/>
      <w:bookmarkStart w:id="7" w:name="_Toc23416"/>
      <w:bookmarkStart w:id="8" w:name="_Toc15564"/>
      <w:bookmarkStart w:id="9" w:name="_Toc35393629"/>
      <w:bookmarkStart w:id="10" w:name="_Toc18672"/>
      <w:bookmarkStart w:id="11" w:name="_Toc24797"/>
      <w:r>
        <w:rPr>
          <w:rFonts w:hint="eastAsia" w:asciiTheme="minorEastAsia" w:hAnsiTheme="minorEastAsia" w:eastAsiaTheme="minorEastAsia" w:cstheme="minorEastAsia"/>
          <w:b/>
          <w:bCs/>
          <w:color w:val="auto"/>
          <w:szCs w:val="21"/>
          <w:highlight w:val="none"/>
        </w:rPr>
        <w:t>一、项目基本情况</w:t>
      </w:r>
      <w:bookmarkEnd w:id="3"/>
      <w:bookmarkEnd w:id="4"/>
      <w:bookmarkEnd w:id="5"/>
      <w:bookmarkEnd w:id="6"/>
      <w:bookmarkEnd w:id="7"/>
      <w:bookmarkEnd w:id="8"/>
      <w:bookmarkEnd w:id="9"/>
      <w:bookmarkEnd w:id="10"/>
      <w:bookmarkEnd w:id="11"/>
    </w:p>
    <w:p w14:paraId="50A455CF">
      <w:pPr>
        <w:spacing w:line="38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1、项目编号：</w:t>
      </w:r>
      <w:r>
        <w:rPr>
          <w:rFonts w:hint="eastAsia" w:asciiTheme="minorEastAsia" w:hAnsiTheme="minorEastAsia" w:eastAsiaTheme="minorEastAsia" w:cstheme="minorEastAsia"/>
          <w:color w:val="auto"/>
          <w:szCs w:val="21"/>
          <w:highlight w:val="none"/>
          <w:lang w:eastAsia="zh-CN"/>
        </w:rPr>
        <w:t>GLZC2025-J2-210036-GXHS</w:t>
      </w:r>
    </w:p>
    <w:p w14:paraId="350779EE">
      <w:pPr>
        <w:spacing w:line="38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2、项目名称：阳朔县葡萄至白沙古板K14+100-K14+165段道路提升工程（水毁工程）</w:t>
      </w:r>
    </w:p>
    <w:p w14:paraId="72CF8B15">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3、采购方式：竞争性谈判</w:t>
      </w:r>
    </w:p>
    <w:p w14:paraId="5A74D3A6">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4、预算金额（人民币）：1322371.40元</w:t>
      </w:r>
    </w:p>
    <w:p w14:paraId="0FBD5CDE">
      <w:pPr>
        <w:spacing w:line="38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5、最高限价（人民币）：1322371.40元</w:t>
      </w:r>
    </w:p>
    <w:p w14:paraId="7E62DFC5">
      <w:pPr>
        <w:spacing w:line="380" w:lineRule="exact"/>
        <w:ind w:firstLine="422"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bCs/>
          <w:color w:val="auto"/>
          <w:szCs w:val="21"/>
          <w:highlight w:val="none"/>
        </w:rPr>
        <w:t>6、采购需求</w:t>
      </w:r>
      <w:r>
        <w:rPr>
          <w:rFonts w:hint="eastAsia" w:asciiTheme="minorEastAsia" w:hAnsiTheme="minorEastAsia" w:eastAsiaTheme="minorEastAsia" w:cstheme="minorEastAsia"/>
          <w:color w:val="auto"/>
          <w:szCs w:val="21"/>
          <w:highlight w:val="none"/>
        </w:rPr>
        <w:t>：</w:t>
      </w:r>
      <w:r>
        <w:rPr>
          <w:rStyle w:val="272"/>
          <w:rFonts w:hint="eastAsia" w:asciiTheme="minorEastAsia" w:hAnsiTheme="minorEastAsia" w:eastAsiaTheme="minorEastAsia" w:cstheme="minorEastAsia"/>
          <w:color w:val="auto"/>
          <w:szCs w:val="21"/>
          <w:highlight w:val="none"/>
        </w:rPr>
        <w:t>（1）项目地点：阳朔县；（2）工程内容为：具体内容详见工程量清单及施工图纸；（3）要求工期：</w:t>
      </w:r>
      <w:r>
        <w:rPr>
          <w:rStyle w:val="272"/>
          <w:rFonts w:asciiTheme="minorEastAsia" w:hAnsiTheme="minorEastAsia" w:eastAsiaTheme="minorEastAsia" w:cstheme="minorEastAsia"/>
          <w:color w:val="auto"/>
          <w:szCs w:val="21"/>
          <w:highlight w:val="none"/>
        </w:rPr>
        <w:t>180</w:t>
      </w:r>
      <w:r>
        <w:rPr>
          <w:rStyle w:val="272"/>
          <w:rFonts w:hint="eastAsia" w:asciiTheme="minorEastAsia" w:hAnsiTheme="minorEastAsia" w:eastAsiaTheme="minorEastAsia" w:cstheme="minorEastAsia"/>
          <w:color w:val="auto"/>
          <w:szCs w:val="21"/>
          <w:highlight w:val="none"/>
        </w:rPr>
        <w:t>日历天；（4）质量要求：达到国家施工验收规范合格标准；（5）</w:t>
      </w:r>
      <w:r>
        <w:rPr>
          <w:rFonts w:hint="eastAsia" w:asciiTheme="minorEastAsia" w:hAnsiTheme="minorEastAsia" w:eastAsiaTheme="minorEastAsia" w:cstheme="minorEastAsia"/>
          <w:color w:val="auto"/>
          <w:szCs w:val="21"/>
          <w:highlight w:val="none"/>
          <w:lang w:bidi="zh-CN"/>
        </w:rPr>
        <w:t>安全目标</w:t>
      </w:r>
      <w:r>
        <w:rPr>
          <w:rFonts w:hint="eastAsia" w:asciiTheme="minorEastAsia" w:hAnsiTheme="minorEastAsia" w:eastAsiaTheme="minorEastAsia" w:cstheme="minorEastAsia"/>
          <w:color w:val="auto"/>
          <w:szCs w:val="21"/>
          <w:highlight w:val="none"/>
        </w:rPr>
        <w:t>：无安全生产责任事故。</w:t>
      </w:r>
      <w:r>
        <w:rPr>
          <w:rStyle w:val="272"/>
          <w:rFonts w:hint="eastAsia" w:asciiTheme="minorEastAsia" w:hAnsiTheme="minorEastAsia" w:eastAsiaTheme="minorEastAsia" w:cstheme="minorEastAsia"/>
          <w:color w:val="auto"/>
          <w:szCs w:val="21"/>
          <w:highlight w:val="none"/>
        </w:rPr>
        <w:t>如需进一步了解详细内容，详见竞争性谈判文件。</w:t>
      </w:r>
    </w:p>
    <w:p w14:paraId="4D68DEBC">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7、合同履行期限：</w:t>
      </w:r>
      <w:r>
        <w:rPr>
          <w:rStyle w:val="272"/>
          <w:rFonts w:hint="eastAsia" w:asciiTheme="minorEastAsia" w:hAnsiTheme="minorEastAsia" w:eastAsiaTheme="minorEastAsia" w:cstheme="minorEastAsia"/>
          <w:color w:val="auto"/>
          <w:szCs w:val="21"/>
          <w:highlight w:val="none"/>
        </w:rPr>
        <w:t>合同工期：</w:t>
      </w:r>
      <w:r>
        <w:rPr>
          <w:rStyle w:val="272"/>
          <w:rFonts w:asciiTheme="minorEastAsia" w:hAnsiTheme="minorEastAsia" w:eastAsiaTheme="minorEastAsia" w:cstheme="minorEastAsia"/>
          <w:color w:val="auto"/>
          <w:szCs w:val="21"/>
          <w:highlight w:val="none"/>
        </w:rPr>
        <w:t>180</w:t>
      </w:r>
      <w:r>
        <w:rPr>
          <w:rStyle w:val="272"/>
          <w:rFonts w:hint="eastAsia" w:asciiTheme="minorEastAsia" w:hAnsiTheme="minorEastAsia" w:eastAsiaTheme="minorEastAsia" w:cstheme="minorEastAsia"/>
          <w:color w:val="auto"/>
          <w:szCs w:val="21"/>
          <w:highlight w:val="none"/>
        </w:rPr>
        <w:t>日历天，开工时间以监理下达开工令为准</w:t>
      </w:r>
      <w:r>
        <w:rPr>
          <w:rFonts w:hint="eastAsia" w:asciiTheme="minorEastAsia" w:hAnsiTheme="minorEastAsia" w:eastAsiaTheme="minorEastAsia" w:cstheme="minorEastAsia"/>
          <w:color w:val="auto"/>
          <w:szCs w:val="21"/>
          <w:highlight w:val="none"/>
        </w:rPr>
        <w:t>。</w:t>
      </w:r>
    </w:p>
    <w:p w14:paraId="08D82F83">
      <w:pPr>
        <w:spacing w:line="38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8、本项目不接受联合体参与谈判。   </w:t>
      </w:r>
    </w:p>
    <w:p w14:paraId="101AFEF1">
      <w:pPr>
        <w:spacing w:line="380" w:lineRule="exact"/>
        <w:outlineLvl w:val="1"/>
        <w:rPr>
          <w:rFonts w:asciiTheme="minorEastAsia" w:hAnsiTheme="minorEastAsia" w:eastAsiaTheme="minorEastAsia" w:cstheme="minorEastAsia"/>
          <w:b/>
          <w:bCs/>
          <w:color w:val="auto"/>
          <w:szCs w:val="21"/>
          <w:highlight w:val="none"/>
        </w:rPr>
      </w:pPr>
      <w:bookmarkStart w:id="12" w:name="_Toc4261"/>
      <w:bookmarkStart w:id="13" w:name="_Toc35393799"/>
      <w:bookmarkStart w:id="14" w:name="_Toc28359090"/>
      <w:bookmarkStart w:id="15" w:name="_Toc13592"/>
      <w:bookmarkStart w:id="16" w:name="_Toc28359013"/>
      <w:bookmarkStart w:id="17" w:name="_Toc35393630"/>
      <w:bookmarkStart w:id="18" w:name="_Toc21853"/>
      <w:bookmarkStart w:id="19" w:name="_Toc4719"/>
      <w:bookmarkStart w:id="20" w:name="_Toc4237"/>
      <w:r>
        <w:rPr>
          <w:rFonts w:hint="eastAsia" w:asciiTheme="minorEastAsia" w:hAnsiTheme="minorEastAsia" w:eastAsiaTheme="minorEastAsia" w:cstheme="minorEastAsia"/>
          <w:b/>
          <w:bCs/>
          <w:color w:val="auto"/>
          <w:szCs w:val="21"/>
          <w:highlight w:val="none"/>
        </w:rPr>
        <w:t>二、</w:t>
      </w:r>
      <w:r>
        <w:rPr>
          <w:rFonts w:hint="eastAsia" w:asciiTheme="minorEastAsia" w:hAnsiTheme="minorEastAsia" w:eastAsiaTheme="minorEastAsia" w:cstheme="minorEastAsia"/>
          <w:color w:val="auto"/>
          <w:szCs w:val="21"/>
          <w:highlight w:val="none"/>
        </w:rPr>
        <w:t>供应商的资格条件</w:t>
      </w:r>
      <w:r>
        <w:rPr>
          <w:rFonts w:hint="eastAsia" w:asciiTheme="minorEastAsia" w:hAnsiTheme="minorEastAsia" w:eastAsiaTheme="minorEastAsia" w:cstheme="minorEastAsia"/>
          <w:b/>
          <w:bCs/>
          <w:color w:val="auto"/>
          <w:szCs w:val="21"/>
          <w:highlight w:val="none"/>
        </w:rPr>
        <w:t>：</w:t>
      </w:r>
      <w:bookmarkEnd w:id="12"/>
      <w:bookmarkEnd w:id="13"/>
      <w:bookmarkEnd w:id="14"/>
      <w:bookmarkEnd w:id="15"/>
      <w:bookmarkEnd w:id="16"/>
      <w:bookmarkEnd w:id="17"/>
      <w:bookmarkEnd w:id="18"/>
      <w:bookmarkEnd w:id="19"/>
      <w:bookmarkEnd w:id="20"/>
    </w:p>
    <w:p w14:paraId="01AE8E72">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宋体" w:hAnsi="宋体" w:cs="宋体"/>
          <w:color w:val="auto"/>
          <w:szCs w:val="21"/>
          <w:highlight w:val="none"/>
        </w:rPr>
        <w:t>满足《中华人民共和国政府采购法》第二十二条规定；</w:t>
      </w:r>
    </w:p>
    <w:p w14:paraId="3EF204A0">
      <w:pPr>
        <w:spacing w:line="380" w:lineRule="exact"/>
        <w:ind w:firstLine="420" w:firstLineChars="200"/>
        <w:rPr>
          <w:rFonts w:asciiTheme="minorEastAsia" w:hAnsiTheme="minorEastAsia" w:eastAsiaTheme="minorEastAsia" w:cstheme="minorEastAsia"/>
          <w:color w:val="auto"/>
          <w:szCs w:val="21"/>
          <w:highlight w:val="none"/>
        </w:rPr>
      </w:pPr>
      <w:bookmarkStart w:id="21" w:name="_Toc28359091"/>
      <w:bookmarkStart w:id="22" w:name="_Toc28359014"/>
      <w:r>
        <w:rPr>
          <w:rFonts w:hint="eastAsia" w:asciiTheme="minorEastAsia" w:hAnsiTheme="minorEastAsia" w:eastAsiaTheme="minorEastAsia" w:cstheme="minorEastAsia"/>
          <w:color w:val="auto"/>
          <w:szCs w:val="21"/>
          <w:highlight w:val="none"/>
        </w:rPr>
        <w:t>2、落实政府采购政策需满足的资格要求：本项目为专门面向中小企业项目，按照《政府采购促进中小企业发展管理办法》（财库〔2020〕46号）规定，小微企业、监狱企业、残疾人福利性单位不再执行价格评审优惠的扶持政策；</w:t>
      </w:r>
    </w:p>
    <w:p w14:paraId="5D958883">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bookmarkStart w:id="23" w:name="_Toc35393631"/>
      <w:bookmarkStart w:id="24" w:name="_Toc35393800"/>
    </w:p>
    <w:p w14:paraId="0CA58819">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具备</w:t>
      </w:r>
      <w:r>
        <w:rPr>
          <w:rFonts w:hint="eastAsia" w:asciiTheme="minorEastAsia" w:hAnsiTheme="minorEastAsia" w:eastAsiaTheme="minorEastAsia" w:cstheme="minorEastAsia"/>
          <w:b/>
          <w:bCs/>
          <w:color w:val="auto"/>
          <w:szCs w:val="21"/>
          <w:highlight w:val="none"/>
        </w:rPr>
        <w:t>公路工程施工总承包叁级以上（含叁级）资质</w:t>
      </w:r>
      <w:r>
        <w:rPr>
          <w:rFonts w:hint="eastAsia" w:asciiTheme="minorEastAsia" w:hAnsiTheme="minorEastAsia" w:eastAsiaTheme="minorEastAsia" w:cstheme="minorEastAsia"/>
          <w:color w:val="auto"/>
          <w:szCs w:val="21"/>
          <w:highlight w:val="none"/>
        </w:rPr>
        <w:t>，并在人员、设备、资金等方面具备相应的施工能力；拟派项目经理须具备</w:t>
      </w:r>
      <w:r>
        <w:rPr>
          <w:rFonts w:hint="eastAsia" w:asciiTheme="minorEastAsia" w:hAnsiTheme="minorEastAsia" w:eastAsiaTheme="minorEastAsia" w:cstheme="minorEastAsia"/>
          <w:b/>
          <w:bCs/>
          <w:color w:val="auto"/>
          <w:szCs w:val="21"/>
          <w:highlight w:val="none"/>
        </w:rPr>
        <w:t>公路工程</w:t>
      </w:r>
      <w:r>
        <w:rPr>
          <w:rFonts w:hint="eastAsia" w:asciiTheme="minorEastAsia" w:hAnsiTheme="minorEastAsia" w:eastAsiaTheme="minorEastAsia" w:cstheme="minorEastAsia"/>
          <w:color w:val="auto"/>
          <w:szCs w:val="21"/>
          <w:highlight w:val="none"/>
        </w:rPr>
        <w:t>专业贰级以上（含贰级）注册建造师执业资格，具备安全生产考核合格证书（B类），</w:t>
      </w:r>
      <w:r>
        <w:rPr>
          <w:rFonts w:hint="eastAsia" w:ascii="宋体" w:hAnsi="宋体" w:cs="宋体"/>
          <w:color w:val="auto"/>
          <w:highlight w:val="none"/>
        </w:rPr>
        <w:t>本项目不接受有在建、已中标（成交）未开工或已列为其他项目中标（成交）候选人第一名的建造师作为项目经理</w:t>
      </w:r>
      <w:r>
        <w:rPr>
          <w:rFonts w:hint="eastAsia" w:asciiTheme="minorEastAsia" w:hAnsiTheme="minorEastAsia" w:eastAsiaTheme="minorEastAsia" w:cstheme="minorEastAsia"/>
          <w:color w:val="auto"/>
          <w:szCs w:val="21"/>
          <w:highlight w:val="none"/>
        </w:rPr>
        <w:t>。</w:t>
      </w:r>
    </w:p>
    <w:bookmarkEnd w:id="21"/>
    <w:bookmarkEnd w:id="22"/>
    <w:bookmarkEnd w:id="23"/>
    <w:bookmarkEnd w:id="24"/>
    <w:p w14:paraId="5562281E">
      <w:pPr>
        <w:spacing w:line="380" w:lineRule="exact"/>
        <w:outlineLvl w:val="1"/>
        <w:rPr>
          <w:rFonts w:asciiTheme="minorEastAsia" w:hAnsiTheme="minorEastAsia" w:eastAsiaTheme="minorEastAsia" w:cstheme="minorEastAsia"/>
          <w:b/>
          <w:bCs/>
          <w:color w:val="auto"/>
          <w:szCs w:val="21"/>
          <w:highlight w:val="none"/>
        </w:rPr>
      </w:pPr>
      <w:bookmarkStart w:id="25" w:name="_Toc35393792"/>
      <w:bookmarkStart w:id="26" w:name="_Toc35393623"/>
      <w:bookmarkStart w:id="27" w:name="_Toc32302"/>
      <w:bookmarkStart w:id="28" w:name="_Toc17532"/>
      <w:bookmarkStart w:id="29" w:name="_Toc30519"/>
      <w:bookmarkStart w:id="30" w:name="_Toc25397"/>
      <w:bookmarkStart w:id="31" w:name="_Toc30267"/>
      <w:bookmarkStart w:id="32" w:name="_Toc28359095"/>
      <w:bookmarkStart w:id="33" w:name="_Toc35393805"/>
      <w:bookmarkStart w:id="34" w:name="_Toc28359018"/>
      <w:bookmarkStart w:id="35" w:name="_Toc35393636"/>
      <w:r>
        <w:rPr>
          <w:rFonts w:hint="eastAsia" w:asciiTheme="minorEastAsia" w:hAnsiTheme="minorEastAsia" w:eastAsiaTheme="minorEastAsia" w:cstheme="minorEastAsia"/>
          <w:b/>
          <w:bCs/>
          <w:color w:val="auto"/>
          <w:szCs w:val="21"/>
          <w:highlight w:val="none"/>
        </w:rPr>
        <w:t>三、获取采购文件</w:t>
      </w:r>
      <w:bookmarkEnd w:id="25"/>
      <w:bookmarkEnd w:id="26"/>
      <w:r>
        <w:rPr>
          <w:rFonts w:hint="eastAsia" w:asciiTheme="minorEastAsia" w:hAnsiTheme="minorEastAsia" w:eastAsiaTheme="minorEastAsia" w:cstheme="minorEastAsia"/>
          <w:b/>
          <w:bCs/>
          <w:color w:val="auto"/>
          <w:szCs w:val="21"/>
          <w:highlight w:val="none"/>
        </w:rPr>
        <w:t>：</w:t>
      </w:r>
      <w:bookmarkEnd w:id="27"/>
      <w:bookmarkEnd w:id="28"/>
      <w:bookmarkEnd w:id="29"/>
      <w:bookmarkEnd w:id="30"/>
      <w:bookmarkEnd w:id="31"/>
    </w:p>
    <w:p w14:paraId="27B8D21E">
      <w:pPr>
        <w:spacing w:line="38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lang w:eastAsia="zh-CN"/>
        </w:rPr>
        <w:t>2025年6月18日</w:t>
      </w:r>
      <w:r>
        <w:rPr>
          <w:rFonts w:hint="eastAsia" w:ascii="宋体" w:hAnsi="宋体" w:cs="宋体"/>
          <w:color w:val="auto"/>
          <w:kern w:val="0"/>
          <w:szCs w:val="21"/>
          <w:highlight w:val="none"/>
        </w:rPr>
        <w:t>至响应文件递交截止时间止；</w:t>
      </w:r>
    </w:p>
    <w:p w14:paraId="61640B57">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r>
        <w:rPr>
          <w:rFonts w:hint="eastAsia" w:ascii="宋体" w:hAnsi="宋体" w:cs="宋体"/>
          <w:color w:val="auto"/>
          <w:szCs w:val="21"/>
          <w:highlight w:val="none"/>
        </w:rPr>
        <w:t>桂林市政府采购网（http://gl.zfcg.zcygov.cn/）</w:t>
      </w:r>
      <w:r>
        <w:rPr>
          <w:rFonts w:hint="eastAsia" w:asciiTheme="minorEastAsia" w:hAnsiTheme="minorEastAsia" w:eastAsiaTheme="minorEastAsia" w:cstheme="minorEastAsia"/>
          <w:color w:val="auto"/>
          <w:szCs w:val="21"/>
          <w:highlight w:val="none"/>
        </w:rPr>
        <w:t>；</w:t>
      </w:r>
    </w:p>
    <w:p w14:paraId="1E9AB2BD">
      <w:pPr>
        <w:spacing w:line="38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方式：潜在供应商登录</w:t>
      </w:r>
      <w:r>
        <w:rPr>
          <w:rFonts w:hint="eastAsia" w:ascii="宋体" w:hAnsi="宋体" w:cs="宋体"/>
          <w:color w:val="auto"/>
          <w:szCs w:val="21"/>
          <w:highlight w:val="none"/>
        </w:rPr>
        <w:t>桂林市政府采购网（http://gl.zfcg.zcygov.cn/）</w:t>
      </w:r>
      <w:r>
        <w:rPr>
          <w:rFonts w:hint="eastAsia" w:asciiTheme="minorEastAsia" w:hAnsiTheme="minorEastAsia" w:eastAsiaTheme="minorEastAsia" w:cstheme="minorEastAsia"/>
          <w:bCs/>
          <w:color w:val="auto"/>
          <w:szCs w:val="21"/>
          <w:highlight w:val="none"/>
        </w:rPr>
        <w:t>免费获取竞争性谈判文件电子版。供应商应在“政采云”平台进行“申请获取采购文件”操作，否则，将导致无法在线编制响应文件并参与竞标，其不利后果由供应商自行承担。</w:t>
      </w:r>
    </w:p>
    <w:p w14:paraId="60201657">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售价（元）：0。</w:t>
      </w:r>
    </w:p>
    <w:p w14:paraId="1715ABC2">
      <w:pPr>
        <w:spacing w:line="380" w:lineRule="exact"/>
        <w:outlineLvl w:val="1"/>
        <w:rPr>
          <w:rFonts w:asciiTheme="minorEastAsia" w:hAnsiTheme="minorEastAsia" w:eastAsiaTheme="minorEastAsia" w:cstheme="minorEastAsia"/>
          <w:b/>
          <w:bCs/>
          <w:color w:val="auto"/>
          <w:szCs w:val="21"/>
          <w:highlight w:val="none"/>
        </w:rPr>
      </w:pPr>
      <w:bookmarkStart w:id="36" w:name="_Toc28359082"/>
      <w:bookmarkStart w:id="37" w:name="_Toc28359005"/>
      <w:bookmarkStart w:id="38" w:name="_Toc5092"/>
      <w:bookmarkStart w:id="39" w:name="_Toc21011"/>
      <w:bookmarkStart w:id="40" w:name="_Toc30504"/>
      <w:bookmarkStart w:id="41" w:name="_Toc31924"/>
      <w:bookmarkStart w:id="42" w:name="_Toc1683"/>
      <w:bookmarkStart w:id="43" w:name="_Toc35393624"/>
      <w:bookmarkStart w:id="44" w:name="_Toc35393793"/>
      <w:r>
        <w:rPr>
          <w:rFonts w:hint="eastAsia" w:asciiTheme="minorEastAsia" w:hAnsiTheme="minorEastAsia" w:eastAsiaTheme="minorEastAsia" w:cstheme="minorEastAsia"/>
          <w:b/>
          <w:bCs/>
          <w:color w:val="auto"/>
          <w:szCs w:val="21"/>
          <w:highlight w:val="none"/>
        </w:rPr>
        <w:t>四、响应文件</w:t>
      </w:r>
      <w:bookmarkEnd w:id="36"/>
      <w:bookmarkEnd w:id="37"/>
      <w:r>
        <w:rPr>
          <w:rFonts w:hint="eastAsia" w:asciiTheme="minorEastAsia" w:hAnsiTheme="minorEastAsia" w:eastAsiaTheme="minorEastAsia" w:cstheme="minorEastAsia"/>
          <w:b/>
          <w:bCs/>
          <w:color w:val="auto"/>
          <w:szCs w:val="21"/>
          <w:highlight w:val="none"/>
        </w:rPr>
        <w:t>提交时间和地点</w:t>
      </w:r>
      <w:bookmarkEnd w:id="38"/>
      <w:bookmarkEnd w:id="39"/>
      <w:bookmarkEnd w:id="40"/>
      <w:bookmarkEnd w:id="41"/>
      <w:bookmarkEnd w:id="42"/>
      <w:bookmarkEnd w:id="43"/>
      <w:bookmarkEnd w:id="44"/>
    </w:p>
    <w:p w14:paraId="17F2E881">
      <w:pPr>
        <w:spacing w:line="38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2025年6月25日09时30分</w:t>
      </w:r>
      <w:r>
        <w:rPr>
          <w:rFonts w:hint="eastAsia" w:asciiTheme="minorEastAsia" w:hAnsiTheme="minorEastAsia" w:eastAsiaTheme="minorEastAsia" w:cstheme="minorEastAsia"/>
          <w:bCs/>
          <w:color w:val="auto"/>
          <w:szCs w:val="21"/>
          <w:highlight w:val="none"/>
        </w:rPr>
        <w:t>（北京时间）。</w:t>
      </w:r>
    </w:p>
    <w:p w14:paraId="14EBB0CA">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点：通过政采云平台实行在线响应。</w:t>
      </w:r>
    </w:p>
    <w:p w14:paraId="6E0B9F50">
      <w:pPr>
        <w:spacing w:line="380" w:lineRule="exact"/>
        <w:outlineLvl w:val="1"/>
        <w:rPr>
          <w:rFonts w:asciiTheme="minorEastAsia" w:hAnsiTheme="minorEastAsia" w:eastAsiaTheme="minorEastAsia" w:cstheme="minorEastAsia"/>
          <w:b/>
          <w:bCs/>
          <w:color w:val="auto"/>
          <w:szCs w:val="21"/>
          <w:highlight w:val="none"/>
        </w:rPr>
      </w:pPr>
      <w:bookmarkStart w:id="45" w:name="_Toc23930"/>
      <w:bookmarkStart w:id="46" w:name="_Toc25415"/>
      <w:bookmarkStart w:id="47" w:name="_Toc14929"/>
      <w:bookmarkStart w:id="48" w:name="_Toc23386"/>
      <w:bookmarkStart w:id="49" w:name="_Toc12246"/>
      <w:r>
        <w:rPr>
          <w:rFonts w:hint="eastAsia" w:asciiTheme="minorEastAsia" w:hAnsiTheme="minorEastAsia" w:eastAsiaTheme="minorEastAsia" w:cstheme="minorEastAsia"/>
          <w:b/>
          <w:bCs/>
          <w:color w:val="auto"/>
          <w:szCs w:val="21"/>
          <w:highlight w:val="none"/>
        </w:rPr>
        <w:t>五、开启</w:t>
      </w:r>
      <w:bookmarkEnd w:id="45"/>
      <w:bookmarkEnd w:id="46"/>
      <w:bookmarkEnd w:id="47"/>
      <w:bookmarkEnd w:id="48"/>
      <w:bookmarkEnd w:id="49"/>
    </w:p>
    <w:p w14:paraId="638EFB0E">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lang w:eastAsia="zh-CN"/>
        </w:rPr>
        <w:t>2025年6月25日09时30分</w:t>
      </w:r>
      <w:r>
        <w:rPr>
          <w:rFonts w:hint="eastAsia" w:asciiTheme="minorEastAsia" w:hAnsiTheme="minorEastAsia" w:eastAsiaTheme="minorEastAsia" w:cstheme="minorEastAsia"/>
          <w:color w:val="auto"/>
          <w:szCs w:val="21"/>
          <w:highlight w:val="none"/>
        </w:rPr>
        <w:t>（北京时间）截标后。</w:t>
      </w:r>
    </w:p>
    <w:p w14:paraId="6A343DB8">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地点：通过政采云平台实行在线解密开启。</w:t>
      </w:r>
    </w:p>
    <w:p w14:paraId="647B5ACD">
      <w:pPr>
        <w:spacing w:line="380" w:lineRule="exact"/>
        <w:outlineLvl w:val="1"/>
        <w:rPr>
          <w:rFonts w:asciiTheme="minorEastAsia" w:hAnsiTheme="minorEastAsia" w:eastAsiaTheme="minorEastAsia" w:cstheme="minorEastAsia"/>
          <w:b/>
          <w:bCs/>
          <w:color w:val="auto"/>
          <w:szCs w:val="21"/>
          <w:highlight w:val="none"/>
        </w:rPr>
      </w:pPr>
      <w:bookmarkStart w:id="50" w:name="_Toc35393626"/>
      <w:bookmarkStart w:id="51" w:name="_Toc35393795"/>
      <w:bookmarkStart w:id="52" w:name="_Toc2690"/>
      <w:bookmarkStart w:id="53" w:name="_Toc5821"/>
      <w:bookmarkStart w:id="54" w:name="_Toc1323"/>
      <w:bookmarkStart w:id="55" w:name="_Toc23691"/>
      <w:bookmarkStart w:id="56" w:name="_Toc15803"/>
      <w:r>
        <w:rPr>
          <w:rFonts w:hint="eastAsia" w:asciiTheme="minorEastAsia" w:hAnsiTheme="minorEastAsia" w:eastAsiaTheme="minorEastAsia" w:cstheme="minorEastAsia"/>
          <w:b/>
          <w:bCs/>
          <w:color w:val="auto"/>
          <w:szCs w:val="21"/>
          <w:highlight w:val="none"/>
        </w:rPr>
        <w:t>六、其他补充事宜</w:t>
      </w:r>
      <w:bookmarkEnd w:id="50"/>
      <w:bookmarkEnd w:id="51"/>
      <w:bookmarkEnd w:id="52"/>
      <w:bookmarkEnd w:id="53"/>
      <w:bookmarkEnd w:id="54"/>
      <w:bookmarkEnd w:id="55"/>
      <w:bookmarkEnd w:id="56"/>
    </w:p>
    <w:p w14:paraId="5B59DAE2">
      <w:pPr>
        <w:spacing w:line="38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color w:val="auto"/>
          <w:szCs w:val="21"/>
          <w:highlight w:val="none"/>
        </w:rPr>
        <w:t>竞标保证金：本项目无须缴纳竞标保证金。</w:t>
      </w:r>
    </w:p>
    <w:p w14:paraId="5A25F273">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D6ADE1A">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在“信用中国”网站(https://www.creditchina.gov.cn/)、中国政府采购网(http://www.ccgp.gov.cn/)渠道列入失信被执行人、重大税收违法案件当事人名单、政府采购严重违法失信行为记录名单及其他不符合《中华人民共和国政府采购法》第二十二条规定条件的供应商，不得参与政府采购活动。</w:t>
      </w:r>
    </w:p>
    <w:p w14:paraId="0BEA6F27">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4、本项目信息发布媒体：http://www.ccgp.gov.cn中国政府采购网、http://zfcg.gxzf.gov.cn/广西壮族自治区政府采购网、http://gl.zfcg.zcygov.cn/桂林市政府采购网。</w:t>
      </w:r>
    </w:p>
    <w:p w14:paraId="4413144D">
      <w:pPr>
        <w:pStyle w:val="367"/>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5、谈判响应文件解密</w:t>
      </w:r>
      <w:r>
        <w:rPr>
          <w:rFonts w:hint="eastAsia" w:asciiTheme="minorEastAsia" w:hAnsiTheme="minorEastAsia" w:eastAsiaTheme="minorEastAsia" w:cstheme="minorEastAsia"/>
          <w:color w:val="auto"/>
          <w:kern w:val="21"/>
          <w:sz w:val="21"/>
          <w:szCs w:val="21"/>
          <w:highlight w:val="none"/>
        </w:rPr>
        <w:t>时间（北京时间）：截标时间后30分钟内【</w:t>
      </w:r>
      <w:r>
        <w:rPr>
          <w:rFonts w:hint="eastAsia" w:asciiTheme="minorEastAsia" w:hAnsiTheme="minorEastAsia" w:eastAsiaTheme="minorEastAsia" w:cstheme="minorEastAsia"/>
          <w:color w:val="auto"/>
          <w:kern w:val="21"/>
          <w:sz w:val="21"/>
          <w:szCs w:val="21"/>
          <w:highlight w:val="none"/>
          <w:lang w:eastAsia="zh-CN"/>
        </w:rPr>
        <w:t>2025年6月25日09时30分</w:t>
      </w:r>
      <w:r>
        <w:rPr>
          <w:rFonts w:hint="eastAsia" w:asciiTheme="minorEastAsia" w:hAnsiTheme="minorEastAsia" w:eastAsiaTheme="minorEastAsia" w:cstheme="minorEastAsia"/>
          <w:color w:val="auto"/>
          <w:kern w:val="21"/>
          <w:sz w:val="21"/>
          <w:szCs w:val="21"/>
          <w:highlight w:val="none"/>
        </w:rPr>
        <w:t>至</w:t>
      </w:r>
      <w:r>
        <w:rPr>
          <w:rFonts w:hint="eastAsia" w:asciiTheme="minorEastAsia" w:hAnsiTheme="minorEastAsia" w:eastAsiaTheme="minorEastAsia" w:cstheme="minorEastAsia"/>
          <w:color w:val="auto"/>
          <w:kern w:val="21"/>
          <w:sz w:val="21"/>
          <w:szCs w:val="21"/>
          <w:highlight w:val="none"/>
          <w:lang w:val="en-US" w:eastAsia="zh-CN"/>
        </w:rPr>
        <w:t>10</w:t>
      </w:r>
      <w:r>
        <w:rPr>
          <w:rFonts w:hint="eastAsia" w:asciiTheme="minorEastAsia" w:hAnsiTheme="minorEastAsia" w:eastAsiaTheme="minorEastAsia" w:cstheme="minorEastAsia"/>
          <w:color w:val="auto"/>
          <w:kern w:val="21"/>
          <w:sz w:val="21"/>
          <w:szCs w:val="21"/>
          <w:highlight w:val="none"/>
        </w:rPr>
        <w:t>时00分(北京时间)】谈判供应商可以登录政采云</w:t>
      </w:r>
      <w:r>
        <w:rPr>
          <w:rFonts w:hint="eastAsia" w:asciiTheme="minorEastAsia" w:hAnsiTheme="minorEastAsia" w:eastAsiaTheme="minorEastAsia" w:cstheme="minorEastAsia"/>
          <w:color w:val="auto"/>
          <w:sz w:val="21"/>
          <w:szCs w:val="21"/>
          <w:highlight w:val="none"/>
        </w:rPr>
        <w:t>平台，用“项目采购-开标评标”功能进行解密电子谈判响应文件。若谈判供应商在规定时间内无法解密或解密失败，视为无效响应。</w:t>
      </w:r>
    </w:p>
    <w:p w14:paraId="27925F3E">
      <w:pPr>
        <w:pStyle w:val="367"/>
        <w:spacing w:line="380" w:lineRule="exact"/>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6、本项目需要落实的政府采购政策：</w:t>
      </w:r>
    </w:p>
    <w:p w14:paraId="5D59454E">
      <w:pPr>
        <w:pStyle w:val="367"/>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（1）政府采购促进中小企业发展。</w:t>
      </w:r>
    </w:p>
    <w:p w14:paraId="6BA1BB9A">
      <w:pPr>
        <w:pStyle w:val="367"/>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（2）政府采购促进残疾人就业政策。</w:t>
      </w:r>
    </w:p>
    <w:p w14:paraId="39FC9A75">
      <w:pPr>
        <w:pStyle w:val="367"/>
        <w:spacing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（3）政府采购支持监狱企业发展。</w:t>
      </w:r>
    </w:p>
    <w:p w14:paraId="0929D3E1">
      <w:pPr>
        <w:pStyle w:val="367"/>
        <w:spacing w:line="380" w:lineRule="exact"/>
        <w:ind w:firstLine="422" w:firstLineChars="200"/>
        <w:rPr>
          <w:rFonts w:asciiTheme="minorEastAsia" w:hAnsiTheme="minorEastAsia" w:eastAsiaTheme="minorEastAsia" w:cstheme="minorEastAsia"/>
          <w:b/>
          <w:bCs/>
          <w:color w:val="auto"/>
          <w:sz w:val="21"/>
          <w:szCs w:val="21"/>
          <w:highlight w:val="none"/>
        </w:rPr>
      </w:pPr>
      <w:bookmarkStart w:id="57" w:name="_Toc24668"/>
      <w:bookmarkStart w:id="58" w:name="_Toc22796"/>
      <w:r>
        <w:rPr>
          <w:rFonts w:hint="eastAsia" w:asciiTheme="minorEastAsia" w:hAnsiTheme="minorEastAsia" w:eastAsiaTheme="minorEastAsia" w:cstheme="minorEastAsia"/>
          <w:b/>
          <w:bCs/>
          <w:color w:val="auto"/>
          <w:sz w:val="21"/>
          <w:szCs w:val="21"/>
          <w:highlight w:val="none"/>
        </w:rPr>
        <w:t>7、本项目</w:t>
      </w:r>
      <w:r>
        <w:rPr>
          <w:rFonts w:hint="eastAsia" w:asciiTheme="minorEastAsia" w:hAnsiTheme="minorEastAsia" w:eastAsiaTheme="minorEastAsia" w:cstheme="minorEastAsia"/>
          <w:b/>
          <w:bCs/>
          <w:color w:val="auto"/>
          <w:sz w:val="21"/>
          <w:szCs w:val="21"/>
          <w:highlight w:val="none"/>
          <w:u w:val="single"/>
        </w:rPr>
        <w:t>专门面向中小微企业</w:t>
      </w:r>
      <w:r>
        <w:rPr>
          <w:rFonts w:hint="eastAsia" w:asciiTheme="minorEastAsia" w:hAnsiTheme="minorEastAsia" w:eastAsiaTheme="minorEastAsia" w:cstheme="minorEastAsia"/>
          <w:b/>
          <w:bCs/>
          <w:color w:val="auto"/>
          <w:sz w:val="21"/>
          <w:szCs w:val="21"/>
          <w:highlight w:val="none"/>
        </w:rPr>
        <w:t>采购，中小企业划分标准所属行业为</w:t>
      </w:r>
      <w:r>
        <w:rPr>
          <w:rFonts w:hint="eastAsia" w:asciiTheme="minorEastAsia" w:hAnsiTheme="minorEastAsia" w:eastAsiaTheme="minorEastAsia" w:cstheme="minorEastAsia"/>
          <w:b/>
          <w:bCs/>
          <w:color w:val="auto"/>
          <w:sz w:val="21"/>
          <w:szCs w:val="21"/>
          <w:highlight w:val="none"/>
          <w:u w:val="single"/>
        </w:rPr>
        <w:t>建筑业</w:t>
      </w:r>
      <w:r>
        <w:rPr>
          <w:rFonts w:hint="eastAsia" w:asciiTheme="minorEastAsia" w:hAnsiTheme="minorEastAsia" w:eastAsiaTheme="minorEastAsia" w:cstheme="minorEastAsia"/>
          <w:b/>
          <w:bCs/>
          <w:color w:val="auto"/>
          <w:sz w:val="21"/>
          <w:szCs w:val="21"/>
          <w:highlight w:val="none"/>
        </w:rPr>
        <w:t>。</w:t>
      </w:r>
    </w:p>
    <w:p w14:paraId="2AFAB50E">
      <w:pPr>
        <w:pStyle w:val="367"/>
        <w:spacing w:line="380" w:lineRule="exact"/>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8、在线响应（电子响应）说明</w:t>
      </w:r>
      <w:bookmarkEnd w:id="57"/>
      <w:bookmarkEnd w:id="58"/>
    </w:p>
    <w:p w14:paraId="61E2DBF0">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通过政采云平台实行在线响应（电子响应），供应商需要先安装“政采云电子交易客户端”，并按照本谈判文件和政采云平台的要求，通过“政采云电子交易客户端”编制并加密响应文件。供应商未按规定编制并加密的响应文件，政采云平台将予以拒收。</w:t>
      </w:r>
    </w:p>
    <w:p w14:paraId="57674EAE">
      <w:pPr>
        <w:autoSpaceDE w:val="0"/>
        <w:autoSpaceDN w:val="0"/>
        <w:adjustRightInd w:val="0"/>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采云电子交易客户端”请自行前往广西政府采购网下载并安装；电子响应具体操作流程参考《政府采购项目电子交易管理操作指南-供应商》；在使用政采云投标客户端时，建议使用WIN7及以上操作系统，通过政采云平台参与在线响应时如遇平台技术问题拨打政采云服务热线95763获取热线服务帮助。</w:t>
      </w:r>
    </w:p>
    <w:p w14:paraId="37E893E4">
      <w:pPr>
        <w:spacing w:line="380" w:lineRule="exact"/>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为确保网上操作合法、有效和安全，谈判供应商应当在首次响应文件提交截止时间前完成在“政府采购云平台”的身份认证，确保在电子响应过程中能够对相关数据电文进行加密和使用电子签章。使用“政采云电子交易客户端”需要提前申领CA数字证书，申领流程请自行前往政采云平台网站进行查阅；</w:t>
      </w:r>
      <w:r>
        <w:rPr>
          <w:rFonts w:hint="eastAsia" w:asciiTheme="minorEastAsia" w:hAnsiTheme="minorEastAsia" w:eastAsiaTheme="minorEastAsia" w:cstheme="minorEastAsia"/>
          <w:b/>
          <w:bCs/>
          <w:color w:val="auto"/>
          <w:szCs w:val="21"/>
          <w:highlight w:val="none"/>
        </w:rPr>
        <w:t>（完成CA数字证书办理预计一周左右，建议供应商获取竞争性谈判文件后立即办理。）</w:t>
      </w:r>
    </w:p>
    <w:p w14:paraId="74BA2418">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谈判供应商应当在响应文件提交截止时间前，将生成的“电子谈判响应文件”上传递交至政采云平台。响应文件提交截止时间前可以撤回电子谈判响应文件。补充或者修改电子谈判响应文件的，应当先行撤回原文件，补充、修改后重新传输递交，谈判响应文件提交截止时间前未完成传输的，视为撤回谈判响应文件。</w:t>
      </w:r>
    </w:p>
    <w:p w14:paraId="5431FE7B">
      <w:pPr>
        <w:autoSpaceDE w:val="0"/>
        <w:autoSpaceDN w:val="0"/>
        <w:adjustRightInd w:val="0"/>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（4）本项目需要谈判供应商代表在截标当天截标后，按谈判小组要求及时登录政采云平台等候在线谈判及提交最后报价。</w:t>
      </w:r>
    </w:p>
    <w:p w14:paraId="506041FD">
      <w:pPr>
        <w:autoSpaceDE w:val="0"/>
        <w:autoSpaceDN w:val="0"/>
        <w:adjustRightInd w:val="0"/>
        <w:spacing w:line="380" w:lineRule="exact"/>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5）本采购项目为政采云全流程电子化操作，参与谈判的供应商需自备计算机和网络设备（设备需可视频通话和读取政采云CA数字证书），确保谈判过程顺利进行；因供应商自身设备或网络原因造成的一切后果，由供应商自行承担。</w:t>
      </w:r>
    </w:p>
    <w:p w14:paraId="7D6D0FE9">
      <w:pPr>
        <w:spacing w:line="380" w:lineRule="exact"/>
        <w:outlineLvl w:val="1"/>
        <w:rPr>
          <w:rFonts w:asciiTheme="minorEastAsia" w:hAnsiTheme="minorEastAsia" w:eastAsiaTheme="minorEastAsia" w:cstheme="minorEastAsia"/>
          <w:b/>
          <w:bCs/>
          <w:color w:val="auto"/>
          <w:szCs w:val="21"/>
          <w:highlight w:val="none"/>
        </w:rPr>
      </w:pPr>
      <w:bookmarkStart w:id="59" w:name="_Toc24689"/>
      <w:bookmarkStart w:id="60" w:name="_Toc25069"/>
      <w:bookmarkStart w:id="61" w:name="_Toc13059"/>
      <w:bookmarkStart w:id="62" w:name="_Toc15882"/>
      <w:bookmarkStart w:id="63" w:name="_Toc14130"/>
      <w:r>
        <w:rPr>
          <w:rFonts w:hint="eastAsia" w:asciiTheme="minorEastAsia" w:hAnsiTheme="minorEastAsia" w:eastAsiaTheme="minorEastAsia" w:cstheme="minorEastAsia"/>
          <w:b/>
          <w:bCs/>
          <w:color w:val="auto"/>
          <w:szCs w:val="21"/>
          <w:highlight w:val="none"/>
        </w:rPr>
        <w:t>七、凡对本次采购提出询问，请按以下方式联系。</w:t>
      </w:r>
      <w:bookmarkEnd w:id="32"/>
      <w:bookmarkEnd w:id="33"/>
      <w:bookmarkEnd w:id="34"/>
      <w:bookmarkEnd w:id="35"/>
      <w:bookmarkEnd w:id="59"/>
      <w:bookmarkEnd w:id="60"/>
      <w:bookmarkEnd w:id="61"/>
      <w:bookmarkEnd w:id="62"/>
      <w:bookmarkEnd w:id="63"/>
    </w:p>
    <w:p w14:paraId="062219A5">
      <w:pPr>
        <w:spacing w:line="380" w:lineRule="exact"/>
        <w:ind w:firstLine="420" w:firstLineChars="200"/>
        <w:rPr>
          <w:rFonts w:ascii="宋体" w:hAnsi="宋体" w:cs="宋体"/>
          <w:color w:val="auto"/>
          <w:szCs w:val="21"/>
          <w:highlight w:val="none"/>
        </w:rPr>
      </w:pPr>
      <w:bookmarkStart w:id="64" w:name="_Toc31707"/>
      <w:bookmarkStart w:id="65" w:name="_Toc26924"/>
      <w:r>
        <w:rPr>
          <w:rFonts w:hint="eastAsia" w:ascii="宋体" w:hAnsi="宋体" w:cs="宋体"/>
          <w:color w:val="auto"/>
          <w:szCs w:val="21"/>
          <w:highlight w:val="none"/>
        </w:rPr>
        <w:t>1.采购人信息</w:t>
      </w:r>
    </w:p>
    <w:p w14:paraId="21EBBB8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名称：阳朔县公路建设养护中心</w:t>
      </w:r>
    </w:p>
    <w:p w14:paraId="3D0B23D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地址：桂林市阳朔县荆凤路55号</w:t>
      </w:r>
    </w:p>
    <w:p w14:paraId="2286F1CB">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项目联系人：徐</w:t>
      </w:r>
      <w:r>
        <w:rPr>
          <w:rFonts w:hint="eastAsia" w:ascii="宋体" w:hAnsi="宋体" w:cs="宋体"/>
          <w:color w:val="auto"/>
          <w:szCs w:val="21"/>
          <w:highlight w:val="none"/>
          <w:lang w:val="en-US" w:eastAsia="zh-CN"/>
        </w:rPr>
        <w:t>工</w:t>
      </w:r>
    </w:p>
    <w:p w14:paraId="58B5D6F8">
      <w:pPr>
        <w:spacing w:line="3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bookmarkStart w:id="66" w:name="OLE_LINK1"/>
      <w:r>
        <w:rPr>
          <w:rFonts w:hint="eastAsia" w:ascii="宋体" w:hAnsi="宋体" w:cs="宋体"/>
          <w:color w:val="auto"/>
          <w:szCs w:val="21"/>
          <w:highlight w:val="none"/>
          <w:lang w:val="en-US" w:eastAsia="zh-CN"/>
        </w:rPr>
        <w:t>0773-8828056</w:t>
      </w:r>
    </w:p>
    <w:bookmarkEnd w:id="66"/>
    <w:p w14:paraId="7125AF2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p>
    <w:p w14:paraId="4537F2B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名称：广西合士嘉项目咨询有限公司</w:t>
      </w:r>
    </w:p>
    <w:p w14:paraId="48A203E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shd w:val="clear" w:color="auto" w:fill="FFFFFF"/>
        </w:rPr>
        <w:t>桂林市临桂区鲁山路39号西城雅居旁</w:t>
      </w:r>
    </w:p>
    <w:p w14:paraId="565A6F0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项目联系人：唐工</w:t>
      </w:r>
    </w:p>
    <w:p w14:paraId="502382C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shd w:val="clear" w:color="auto" w:fill="FFFFFF"/>
        </w:rPr>
        <w:t>0773-5636767 </w:t>
      </w:r>
    </w:p>
    <w:p w14:paraId="338AE031">
      <w:pPr>
        <w:spacing w:line="380" w:lineRule="exact"/>
        <w:ind w:firstLine="308" w:firstLineChars="147"/>
        <w:rPr>
          <w:rFonts w:ascii="宋体" w:hAnsi="宋体" w:cs="宋体"/>
          <w:color w:val="auto"/>
          <w:szCs w:val="21"/>
          <w:highlight w:val="none"/>
        </w:rPr>
      </w:pPr>
    </w:p>
    <w:p w14:paraId="3AA14831">
      <w:pPr>
        <w:spacing w:line="380" w:lineRule="exact"/>
        <w:ind w:firstLine="308" w:firstLineChars="147"/>
        <w:rPr>
          <w:rFonts w:ascii="宋体" w:hAnsi="宋体" w:cs="宋体"/>
          <w:color w:val="auto"/>
          <w:szCs w:val="21"/>
          <w:highlight w:val="none"/>
        </w:rPr>
      </w:pPr>
      <w:r>
        <w:rPr>
          <w:rFonts w:hint="eastAsia" w:ascii="宋体" w:hAnsi="宋体" w:cs="宋体"/>
          <w:color w:val="auto"/>
          <w:szCs w:val="21"/>
          <w:highlight w:val="none"/>
        </w:rPr>
        <w:t xml:space="preserve"> 　                                                        广西合士嘉项目咨询有限公司　                                           </w:t>
      </w:r>
    </w:p>
    <w:p w14:paraId="7536DAFD">
      <w:pPr>
        <w:widowControl/>
        <w:spacing w:line="380" w:lineRule="exact"/>
        <w:ind w:firstLine="315"/>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 xml:space="preserve"> 2025年6月18日</w:t>
      </w:r>
    </w:p>
    <w:p w14:paraId="35208D00">
      <w:pPr>
        <w:jc w:val="center"/>
        <w:rPr>
          <w:rFonts w:ascii="宋体" w:hAnsi="宋体" w:cs="宋体"/>
          <w:b/>
          <w:bCs/>
          <w:color w:val="auto"/>
          <w:sz w:val="32"/>
          <w:szCs w:val="32"/>
          <w:highlight w:val="none"/>
        </w:rPr>
      </w:pPr>
    </w:p>
    <w:p w14:paraId="1BB436C7">
      <w:pPr>
        <w:jc w:val="center"/>
        <w:rPr>
          <w:rFonts w:ascii="宋体" w:hAnsi="宋体" w:cs="宋体"/>
          <w:b/>
          <w:bCs/>
          <w:color w:val="auto"/>
          <w:sz w:val="32"/>
          <w:szCs w:val="32"/>
          <w:highlight w:val="none"/>
        </w:rPr>
      </w:pPr>
    </w:p>
    <w:p w14:paraId="5EF04E78">
      <w:pPr>
        <w:pStyle w:val="2"/>
        <w:rPr>
          <w:rFonts w:ascii="宋体" w:hAnsi="宋体" w:cs="宋体"/>
          <w:color w:val="auto"/>
          <w:highlight w:val="none"/>
        </w:rPr>
      </w:pPr>
    </w:p>
    <w:p w14:paraId="26DD763E">
      <w:pPr>
        <w:rPr>
          <w:color w:val="auto"/>
          <w:highlight w:val="none"/>
        </w:rPr>
      </w:pPr>
    </w:p>
    <w:p w14:paraId="4F707716">
      <w:pPr>
        <w:rPr>
          <w:rFonts w:ascii="宋体" w:hAnsi="宋体" w:cs="宋体"/>
          <w:b/>
          <w:bCs/>
          <w:color w:val="auto"/>
          <w:sz w:val="32"/>
          <w:szCs w:val="32"/>
          <w:highlight w:val="none"/>
        </w:rPr>
      </w:pPr>
    </w:p>
    <w:p w14:paraId="1F42DDA1">
      <w:pPr>
        <w:pStyle w:val="53"/>
        <w:ind w:firstLine="643"/>
        <w:rPr>
          <w:rFonts w:ascii="宋体" w:hAnsi="宋体" w:cs="宋体"/>
          <w:b/>
          <w:bCs/>
          <w:color w:val="auto"/>
          <w:sz w:val="32"/>
          <w:szCs w:val="32"/>
          <w:highlight w:val="none"/>
        </w:rPr>
      </w:pPr>
    </w:p>
    <w:p w14:paraId="7D87A7EA">
      <w:pPr>
        <w:pStyle w:val="13"/>
        <w:ind w:firstLine="643"/>
        <w:rPr>
          <w:rFonts w:ascii="宋体" w:hAnsi="宋体" w:cs="宋体"/>
          <w:b/>
          <w:bCs/>
          <w:color w:val="auto"/>
          <w:sz w:val="32"/>
          <w:szCs w:val="32"/>
          <w:highlight w:val="none"/>
        </w:rPr>
      </w:pPr>
    </w:p>
    <w:p w14:paraId="0AB553FB">
      <w:pPr>
        <w:rPr>
          <w:rFonts w:ascii="宋体" w:hAnsi="宋体" w:cs="宋体"/>
          <w:b/>
          <w:bCs/>
          <w:color w:val="auto"/>
          <w:sz w:val="32"/>
          <w:szCs w:val="32"/>
          <w:highlight w:val="none"/>
        </w:rPr>
      </w:pPr>
    </w:p>
    <w:p w14:paraId="2D263DB7">
      <w:pPr>
        <w:pStyle w:val="2"/>
        <w:rPr>
          <w:rFonts w:ascii="宋体" w:hAnsi="宋体" w:cs="宋体"/>
          <w:color w:val="auto"/>
          <w:highlight w:val="none"/>
        </w:rPr>
      </w:pPr>
    </w:p>
    <w:p w14:paraId="51F0AD3D">
      <w:pPr>
        <w:rPr>
          <w:color w:val="auto"/>
          <w:highlight w:val="none"/>
        </w:rPr>
      </w:pPr>
    </w:p>
    <w:p w14:paraId="600FCC4C">
      <w:pPr>
        <w:rPr>
          <w:rFonts w:ascii="宋体" w:hAnsi="宋体" w:cs="宋体"/>
          <w:b/>
          <w:bCs/>
          <w:color w:val="auto"/>
          <w:sz w:val="32"/>
          <w:szCs w:val="32"/>
          <w:highlight w:val="none"/>
        </w:rPr>
      </w:pPr>
    </w:p>
    <w:p w14:paraId="420F68B3">
      <w:pPr>
        <w:spacing w:line="360" w:lineRule="auto"/>
        <w:jc w:val="center"/>
        <w:outlineLvl w:val="0"/>
        <w:rPr>
          <w:rFonts w:ascii="宋体" w:hAnsi="宋体" w:cs="宋体"/>
          <w:b/>
          <w:bCs/>
          <w:color w:val="auto"/>
          <w:sz w:val="32"/>
          <w:szCs w:val="32"/>
          <w:highlight w:val="none"/>
        </w:rPr>
      </w:pPr>
      <w:bookmarkStart w:id="67" w:name="_Toc7559"/>
    </w:p>
    <w:p w14:paraId="409FC8F9">
      <w:pPr>
        <w:spacing w:line="360" w:lineRule="auto"/>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第二章  供应商须知</w:t>
      </w:r>
      <w:bookmarkEnd w:id="64"/>
      <w:bookmarkEnd w:id="65"/>
      <w:bookmarkEnd w:id="67"/>
    </w:p>
    <w:p w14:paraId="777FC9DC">
      <w:pPr>
        <w:jc w:val="center"/>
        <w:outlineLvl w:val="1"/>
        <w:rPr>
          <w:rFonts w:ascii="宋体" w:hAnsi="宋体" w:cs="宋体"/>
          <w:b/>
          <w:bCs/>
          <w:color w:val="auto"/>
          <w:sz w:val="28"/>
          <w:szCs w:val="28"/>
          <w:highlight w:val="none"/>
        </w:rPr>
      </w:pPr>
      <w:bookmarkStart w:id="68" w:name="_Toc9508"/>
      <w:bookmarkStart w:id="69" w:name="_Toc6335"/>
      <w:bookmarkStart w:id="70" w:name="_Toc10555"/>
      <w:bookmarkStart w:id="71" w:name="_Toc25063"/>
      <w:bookmarkStart w:id="72" w:name="_Toc1585"/>
      <w:bookmarkStart w:id="73" w:name="_Toc13547"/>
      <w:r>
        <w:rPr>
          <w:rFonts w:hint="eastAsia" w:ascii="宋体" w:hAnsi="宋体" w:cs="宋体"/>
          <w:b/>
          <w:bCs/>
          <w:color w:val="auto"/>
          <w:sz w:val="28"/>
          <w:szCs w:val="28"/>
          <w:highlight w:val="none"/>
        </w:rPr>
        <w:t>供应商须知前附表</w:t>
      </w:r>
      <w:bookmarkEnd w:id="68"/>
      <w:bookmarkEnd w:id="69"/>
      <w:bookmarkEnd w:id="70"/>
      <w:bookmarkEnd w:id="71"/>
      <w:bookmarkEnd w:id="72"/>
      <w:bookmarkEnd w:id="73"/>
    </w:p>
    <w:tbl>
      <w:tblPr>
        <w:tblStyle w:val="54"/>
        <w:tblW w:w="960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1E54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662" w:type="dxa"/>
            <w:shd w:val="clear" w:color="auto" w:fill="auto"/>
            <w:vAlign w:val="center"/>
          </w:tcPr>
          <w:p w14:paraId="21DAA733">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942" w:type="dxa"/>
            <w:shd w:val="clear" w:color="auto" w:fill="auto"/>
            <w:vAlign w:val="center"/>
          </w:tcPr>
          <w:p w14:paraId="5F42FA2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775" w:type="dxa"/>
            <w:shd w:val="clear" w:color="auto" w:fill="auto"/>
            <w:vAlign w:val="center"/>
          </w:tcPr>
          <w:p w14:paraId="1123607C">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6221" w:type="dxa"/>
            <w:shd w:val="clear" w:color="auto" w:fill="auto"/>
            <w:vAlign w:val="center"/>
          </w:tcPr>
          <w:p w14:paraId="334F0197">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内容、要求</w:t>
            </w:r>
          </w:p>
        </w:tc>
      </w:tr>
      <w:tr w14:paraId="2977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2" w:type="dxa"/>
            <w:shd w:val="clear" w:color="auto" w:fill="auto"/>
            <w:vAlign w:val="center"/>
          </w:tcPr>
          <w:p w14:paraId="14F4A66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42" w:type="dxa"/>
            <w:shd w:val="clear" w:color="auto" w:fill="auto"/>
            <w:vAlign w:val="center"/>
          </w:tcPr>
          <w:p w14:paraId="092944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75" w:type="dxa"/>
            <w:shd w:val="clear" w:color="auto" w:fill="auto"/>
            <w:vAlign w:val="center"/>
          </w:tcPr>
          <w:p w14:paraId="0A63D26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6221" w:type="dxa"/>
            <w:shd w:val="clear" w:color="auto" w:fill="auto"/>
            <w:vAlign w:val="center"/>
          </w:tcPr>
          <w:p w14:paraId="4241FD79">
            <w:pPr>
              <w:spacing w:line="400" w:lineRule="exact"/>
              <w:rPr>
                <w:rFonts w:ascii="宋体" w:hAnsi="宋体" w:cs="宋体"/>
                <w:color w:val="auto"/>
                <w:szCs w:val="21"/>
                <w:highlight w:val="none"/>
              </w:rPr>
            </w:pPr>
            <w:r>
              <w:rPr>
                <w:rFonts w:hint="eastAsia" w:ascii="宋体" w:hAnsi="宋体" w:cs="宋体"/>
                <w:color w:val="auto"/>
                <w:szCs w:val="21"/>
                <w:highlight w:val="none"/>
              </w:rPr>
              <w:t>项目名称：阳朔县葡萄至白沙古板K14+100-K14+165段道路提升工程（水毁工程）</w:t>
            </w:r>
          </w:p>
          <w:p w14:paraId="741A8415">
            <w:pPr>
              <w:spacing w:line="40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GLZC2025-J2-210036-GXHS</w:t>
            </w:r>
          </w:p>
        </w:tc>
      </w:tr>
      <w:tr w14:paraId="7AC5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7044716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942" w:type="dxa"/>
            <w:shd w:val="clear" w:color="auto" w:fill="auto"/>
            <w:vAlign w:val="center"/>
          </w:tcPr>
          <w:p w14:paraId="20C6AC2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775" w:type="dxa"/>
            <w:shd w:val="clear" w:color="auto" w:fill="auto"/>
            <w:vAlign w:val="center"/>
          </w:tcPr>
          <w:p w14:paraId="54CE7A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供应商资格</w:t>
            </w:r>
          </w:p>
        </w:tc>
        <w:tc>
          <w:tcPr>
            <w:tcW w:w="6221" w:type="dxa"/>
            <w:shd w:val="clear" w:color="auto" w:fill="auto"/>
            <w:vAlign w:val="center"/>
          </w:tcPr>
          <w:p w14:paraId="0BA070DB">
            <w:pPr>
              <w:spacing w:line="380" w:lineRule="exact"/>
              <w:rPr>
                <w:rFonts w:ascii="宋体" w:hAnsi="宋体" w:cs="宋体"/>
                <w:color w:val="auto"/>
                <w:highlight w:val="none"/>
              </w:rPr>
            </w:pPr>
            <w:r>
              <w:rPr>
                <w:rFonts w:hint="eastAsia" w:ascii="宋体" w:hAnsi="宋体" w:cs="宋体"/>
                <w:color w:val="auto"/>
                <w:highlight w:val="none"/>
              </w:rPr>
              <w:t>3.1</w:t>
            </w:r>
            <w:r>
              <w:rPr>
                <w:rFonts w:hint="eastAsia" w:ascii="宋体" w:hAnsi="宋体" w:cs="宋体"/>
                <w:color w:val="auto"/>
                <w:szCs w:val="21"/>
                <w:highlight w:val="none"/>
              </w:rPr>
              <w:t>满足《中华人民共和国政府采购法》第二十二条规定；</w:t>
            </w:r>
          </w:p>
          <w:p w14:paraId="4BE60C5D">
            <w:pPr>
              <w:spacing w:line="400" w:lineRule="exact"/>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3.2落实政府采购政策需满足的资格要求：</w:t>
            </w:r>
            <w:r>
              <w:rPr>
                <w:rFonts w:hint="eastAsia" w:asciiTheme="minorEastAsia" w:hAnsiTheme="minorEastAsia" w:eastAsiaTheme="minorEastAsia" w:cstheme="minorEastAsia"/>
                <w:color w:val="auto"/>
                <w:szCs w:val="21"/>
                <w:highlight w:val="none"/>
              </w:rPr>
              <w:t>本项目为专门面向中小企业项目，按照《政府采购促进中小企业发展管理办法》（财库〔2020〕46号）规定，小微企业、监狱企业、残疾人福利性单位不再执行价格评审优惠的扶持政策；</w:t>
            </w:r>
          </w:p>
          <w:p w14:paraId="77D29B97">
            <w:pPr>
              <w:spacing w:line="380" w:lineRule="exact"/>
              <w:rPr>
                <w:rFonts w:ascii="宋体" w:hAnsi="宋体" w:cs="宋体"/>
                <w:color w:val="auto"/>
                <w:highlight w:val="none"/>
              </w:rPr>
            </w:pPr>
            <w:r>
              <w:rPr>
                <w:rFonts w:hint="eastAsia" w:ascii="宋体" w:hAnsi="宋体" w:cs="宋体"/>
                <w:color w:val="auto"/>
                <w:highlight w:val="none"/>
              </w:rPr>
              <w:t>3.3本项目的特定资格要求：</w:t>
            </w:r>
            <w:r>
              <w:rPr>
                <w:rFonts w:hint="eastAsia" w:asciiTheme="minorEastAsia" w:hAnsiTheme="minorEastAsia" w:eastAsiaTheme="minorEastAsia" w:cstheme="minorEastAsia"/>
                <w:color w:val="auto"/>
                <w:szCs w:val="21"/>
                <w:highlight w:val="none"/>
              </w:rPr>
              <w:t>具备</w:t>
            </w:r>
            <w:r>
              <w:rPr>
                <w:rFonts w:hint="eastAsia" w:asciiTheme="minorEastAsia" w:hAnsiTheme="minorEastAsia" w:eastAsiaTheme="minorEastAsia" w:cstheme="minorEastAsia"/>
                <w:b/>
                <w:bCs/>
                <w:color w:val="auto"/>
                <w:szCs w:val="21"/>
                <w:highlight w:val="none"/>
              </w:rPr>
              <w:t>公路工程施工总承包叁级以上（含叁级）资质</w:t>
            </w:r>
            <w:r>
              <w:rPr>
                <w:rFonts w:hint="eastAsia" w:asciiTheme="minorEastAsia" w:hAnsiTheme="minorEastAsia" w:eastAsiaTheme="minorEastAsia" w:cstheme="minorEastAsia"/>
                <w:color w:val="auto"/>
                <w:szCs w:val="21"/>
                <w:highlight w:val="none"/>
              </w:rPr>
              <w:t>，并在人员、设备、资金等方面具备相应的施工能力；拟派项目经理须具备</w:t>
            </w:r>
            <w:r>
              <w:rPr>
                <w:rFonts w:hint="eastAsia" w:asciiTheme="minorEastAsia" w:hAnsiTheme="minorEastAsia" w:eastAsiaTheme="minorEastAsia" w:cstheme="minorEastAsia"/>
                <w:b/>
                <w:bCs/>
                <w:color w:val="auto"/>
                <w:szCs w:val="21"/>
                <w:highlight w:val="none"/>
              </w:rPr>
              <w:t>公路工程</w:t>
            </w:r>
            <w:r>
              <w:rPr>
                <w:rFonts w:hint="eastAsia" w:asciiTheme="minorEastAsia" w:hAnsiTheme="minorEastAsia" w:eastAsiaTheme="minorEastAsia" w:cstheme="minorEastAsia"/>
                <w:color w:val="auto"/>
                <w:szCs w:val="21"/>
                <w:highlight w:val="none"/>
              </w:rPr>
              <w:t>专业贰级以上（含贰级）注册建造师执业资格，具备安全生产考核合格证书（B类），</w:t>
            </w:r>
            <w:r>
              <w:rPr>
                <w:rFonts w:hint="eastAsia" w:ascii="宋体" w:hAnsi="宋体" w:cs="宋体"/>
                <w:color w:val="auto"/>
                <w:highlight w:val="none"/>
              </w:rPr>
              <w:t>本项目不接受有在建、已中标（成交）未开工或已列为其他项目中标（成交）候选人第一名的建造师作为项目经理</w:t>
            </w:r>
            <w:r>
              <w:rPr>
                <w:rFonts w:hint="eastAsia" w:asciiTheme="minorEastAsia" w:hAnsiTheme="minorEastAsia" w:eastAsiaTheme="minorEastAsia" w:cstheme="minorEastAsia"/>
                <w:color w:val="auto"/>
                <w:szCs w:val="21"/>
                <w:highlight w:val="none"/>
              </w:rPr>
              <w:t>。</w:t>
            </w:r>
          </w:p>
        </w:tc>
      </w:tr>
      <w:tr w14:paraId="5AD2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62" w:type="dxa"/>
            <w:shd w:val="clear" w:color="auto" w:fill="auto"/>
            <w:vAlign w:val="center"/>
          </w:tcPr>
          <w:p w14:paraId="0782022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942" w:type="dxa"/>
            <w:shd w:val="clear" w:color="auto" w:fill="auto"/>
            <w:vAlign w:val="center"/>
          </w:tcPr>
          <w:p w14:paraId="7836CE0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775" w:type="dxa"/>
            <w:shd w:val="clear" w:color="auto" w:fill="auto"/>
            <w:vAlign w:val="center"/>
          </w:tcPr>
          <w:p w14:paraId="2C6D9E8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谈判费用</w:t>
            </w:r>
          </w:p>
        </w:tc>
        <w:tc>
          <w:tcPr>
            <w:tcW w:w="6221" w:type="dxa"/>
            <w:shd w:val="clear" w:color="auto" w:fill="auto"/>
            <w:vAlign w:val="center"/>
          </w:tcPr>
          <w:p w14:paraId="35904139">
            <w:pPr>
              <w:spacing w:line="400" w:lineRule="exact"/>
              <w:rPr>
                <w:rFonts w:ascii="宋体" w:hAnsi="宋体" w:cs="宋体"/>
                <w:color w:val="auto"/>
                <w:szCs w:val="21"/>
                <w:highlight w:val="none"/>
              </w:rPr>
            </w:pPr>
            <w:r>
              <w:rPr>
                <w:rFonts w:hint="eastAsia" w:ascii="宋体" w:hAnsi="宋体" w:cs="宋体"/>
                <w:color w:val="auto"/>
                <w:szCs w:val="21"/>
                <w:highlight w:val="none"/>
              </w:rPr>
              <w:t>不论谈判结果如何，供应商均应自行承担所有与谈判有关的全部费用。</w:t>
            </w:r>
          </w:p>
        </w:tc>
      </w:tr>
      <w:tr w14:paraId="361E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662" w:type="dxa"/>
            <w:shd w:val="clear" w:color="auto" w:fill="auto"/>
            <w:vAlign w:val="center"/>
          </w:tcPr>
          <w:p w14:paraId="7E68F6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942" w:type="dxa"/>
            <w:shd w:val="clear" w:color="auto" w:fill="auto"/>
            <w:vAlign w:val="center"/>
          </w:tcPr>
          <w:p w14:paraId="420A9576">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13.1</w:t>
            </w:r>
          </w:p>
        </w:tc>
        <w:tc>
          <w:tcPr>
            <w:tcW w:w="1775" w:type="dxa"/>
            <w:shd w:val="clear" w:color="auto" w:fill="auto"/>
            <w:vAlign w:val="center"/>
          </w:tcPr>
          <w:p w14:paraId="00C1195C">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谈判报价及最高投标限价</w:t>
            </w:r>
          </w:p>
        </w:tc>
        <w:tc>
          <w:tcPr>
            <w:tcW w:w="6221" w:type="dxa"/>
            <w:shd w:val="clear" w:color="auto" w:fill="auto"/>
            <w:vAlign w:val="center"/>
          </w:tcPr>
          <w:p w14:paraId="2A60E8EA">
            <w:pPr>
              <w:spacing w:line="440" w:lineRule="exact"/>
              <w:rPr>
                <w:rFonts w:ascii="宋体" w:hAnsi="宋体" w:cs="宋体"/>
                <w:color w:val="auto"/>
                <w:szCs w:val="21"/>
                <w:highlight w:val="none"/>
              </w:rPr>
            </w:pPr>
            <w:r>
              <w:rPr>
                <w:rFonts w:hint="eastAsia" w:ascii="宋体" w:hAnsi="宋体" w:cs="宋体"/>
                <w:bCs/>
                <w:color w:val="auto"/>
                <w:szCs w:val="21"/>
                <w:highlight w:val="none"/>
              </w:rPr>
              <w:t>谈判报价应按采购文件中相关附表格式填写；</w:t>
            </w:r>
            <w:r>
              <w:rPr>
                <w:rFonts w:hint="eastAsia" w:ascii="宋体" w:hAnsi="宋体" w:cs="宋体"/>
                <w:color w:val="auto"/>
                <w:szCs w:val="21"/>
                <w:highlight w:val="none"/>
              </w:rPr>
              <w:t>供应商应采用</w:t>
            </w:r>
            <w:r>
              <w:rPr>
                <w:rFonts w:hint="eastAsia" w:ascii="宋体" w:hAnsi="宋体" w:cs="宋体"/>
                <w:bCs/>
                <w:color w:val="auto"/>
                <w:szCs w:val="21"/>
                <w:highlight w:val="none"/>
              </w:rPr>
              <w:t>采购人（采购代理机构）提供的工程量清单进行报价</w:t>
            </w:r>
            <w:r>
              <w:rPr>
                <w:rFonts w:hint="eastAsia" w:ascii="宋体" w:hAnsi="宋体" w:cs="宋体"/>
                <w:color w:val="auto"/>
                <w:szCs w:val="21"/>
                <w:highlight w:val="none"/>
              </w:rPr>
              <w:t>，不得采用总价让利或以百分比让利等形式进行报价，</w:t>
            </w:r>
            <w:r>
              <w:rPr>
                <w:rFonts w:hint="eastAsia" w:ascii="宋体" w:hAnsi="宋体" w:cs="宋体"/>
                <w:b/>
                <w:bCs/>
                <w:color w:val="auto"/>
                <w:szCs w:val="21"/>
                <w:highlight w:val="none"/>
              </w:rPr>
              <w:t>最高投标限价</w:t>
            </w:r>
            <w:r>
              <w:rPr>
                <w:rStyle w:val="272"/>
                <w:rFonts w:hint="eastAsia" w:ascii="宋体" w:hAnsi="宋体" w:cs="宋体"/>
                <w:b/>
                <w:bCs/>
                <w:color w:val="auto"/>
                <w:szCs w:val="21"/>
                <w:highlight w:val="none"/>
              </w:rPr>
              <w:t>：1322371.40元</w:t>
            </w:r>
            <w:r>
              <w:rPr>
                <w:rFonts w:hint="eastAsia" w:ascii="宋体" w:hAnsi="宋体" w:cs="宋体"/>
                <w:b/>
                <w:bCs/>
                <w:color w:val="auto"/>
                <w:szCs w:val="21"/>
                <w:highlight w:val="none"/>
              </w:rPr>
              <w:t>。</w:t>
            </w:r>
            <w:r>
              <w:rPr>
                <w:rStyle w:val="272"/>
                <w:rFonts w:hint="eastAsia" w:ascii="宋体" w:hAnsi="宋体" w:cs="宋体"/>
                <w:color w:val="auto"/>
                <w:szCs w:val="21"/>
                <w:highlight w:val="none"/>
              </w:rPr>
              <w:t>报价超</w:t>
            </w:r>
            <w:r>
              <w:rPr>
                <w:rFonts w:hint="eastAsia" w:ascii="宋体" w:hAnsi="宋体" w:cs="宋体"/>
                <w:color w:val="auto"/>
                <w:szCs w:val="21"/>
                <w:highlight w:val="none"/>
              </w:rPr>
              <w:t>最高投标限价</w:t>
            </w:r>
            <w:r>
              <w:rPr>
                <w:rStyle w:val="272"/>
                <w:rFonts w:hint="eastAsia" w:ascii="宋体" w:hAnsi="宋体" w:cs="宋体"/>
                <w:color w:val="auto"/>
                <w:szCs w:val="21"/>
                <w:highlight w:val="none"/>
              </w:rPr>
              <w:t>的，响应文件作无效处理。</w:t>
            </w:r>
          </w:p>
        </w:tc>
      </w:tr>
      <w:tr w14:paraId="49D3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662FB0A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942" w:type="dxa"/>
            <w:shd w:val="clear" w:color="auto" w:fill="auto"/>
            <w:vAlign w:val="center"/>
          </w:tcPr>
          <w:p w14:paraId="63401B67">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14.1</w:t>
            </w:r>
          </w:p>
        </w:tc>
        <w:tc>
          <w:tcPr>
            <w:tcW w:w="1775" w:type="dxa"/>
            <w:shd w:val="clear" w:color="auto" w:fill="auto"/>
            <w:vAlign w:val="center"/>
          </w:tcPr>
          <w:p w14:paraId="07B8B5C4">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响应文件有效期</w:t>
            </w:r>
          </w:p>
        </w:tc>
        <w:tc>
          <w:tcPr>
            <w:tcW w:w="6221" w:type="dxa"/>
            <w:shd w:val="clear" w:color="auto" w:fill="auto"/>
          </w:tcPr>
          <w:p w14:paraId="41D4D2D9">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rPr>
              <w:t>响应文件递交截止时间之日起90天，有效期不足的响应文件将被拒绝。</w:t>
            </w:r>
          </w:p>
        </w:tc>
      </w:tr>
      <w:tr w14:paraId="6560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4E1300A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942" w:type="dxa"/>
            <w:shd w:val="clear" w:color="auto" w:fill="auto"/>
            <w:vAlign w:val="center"/>
          </w:tcPr>
          <w:p w14:paraId="4EDEA191">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775" w:type="dxa"/>
            <w:shd w:val="clear" w:color="auto" w:fill="auto"/>
            <w:vAlign w:val="center"/>
          </w:tcPr>
          <w:p w14:paraId="4CC17802">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竞标</w:t>
            </w:r>
            <w:r>
              <w:rPr>
                <w:rFonts w:hint="eastAsia" w:ascii="宋体" w:hAnsi="宋体" w:cs="宋体"/>
                <w:color w:val="auto"/>
                <w:position w:val="-2"/>
                <w:szCs w:val="21"/>
                <w:highlight w:val="none"/>
              </w:rPr>
              <w:t>保证金</w:t>
            </w:r>
          </w:p>
        </w:tc>
        <w:tc>
          <w:tcPr>
            <w:tcW w:w="6221" w:type="dxa"/>
            <w:shd w:val="clear" w:color="auto" w:fill="auto"/>
          </w:tcPr>
          <w:p w14:paraId="72BA47CA">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rPr>
              <w:t>本项目无须缴纳竞标保证金。</w:t>
            </w:r>
          </w:p>
        </w:tc>
      </w:tr>
      <w:tr w14:paraId="7394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shd w:val="clear" w:color="auto" w:fill="auto"/>
            <w:vAlign w:val="center"/>
          </w:tcPr>
          <w:p w14:paraId="64892A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942" w:type="dxa"/>
            <w:shd w:val="clear" w:color="auto" w:fill="auto"/>
            <w:vAlign w:val="center"/>
          </w:tcPr>
          <w:p w14:paraId="421787F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75" w:type="dxa"/>
            <w:shd w:val="clear" w:color="auto" w:fill="auto"/>
            <w:vAlign w:val="center"/>
          </w:tcPr>
          <w:p w14:paraId="22F1BFF1">
            <w:pPr>
              <w:keepNext/>
              <w:keepLines/>
              <w:spacing w:line="400" w:lineRule="exact"/>
              <w:jc w:val="center"/>
              <w:rPr>
                <w:rFonts w:ascii="宋体" w:hAnsi="宋体" w:cs="宋体"/>
                <w:color w:val="auto"/>
                <w:szCs w:val="21"/>
                <w:highlight w:val="none"/>
              </w:rPr>
            </w:pPr>
            <w:bookmarkStart w:id="74" w:name="_Toc19954"/>
            <w:bookmarkStart w:id="75" w:name="_Toc19911"/>
            <w:bookmarkStart w:id="76" w:name="_Toc27452"/>
            <w:bookmarkStart w:id="77" w:name="_Toc4542"/>
            <w:r>
              <w:rPr>
                <w:rFonts w:hint="eastAsia" w:ascii="宋体" w:hAnsi="宋体" w:cs="宋体"/>
                <w:bCs/>
                <w:color w:val="auto"/>
                <w:szCs w:val="21"/>
                <w:highlight w:val="none"/>
              </w:rPr>
              <w:t>竞争性谈判响应文件的制作</w:t>
            </w:r>
            <w:bookmarkEnd w:id="74"/>
            <w:bookmarkEnd w:id="75"/>
            <w:bookmarkEnd w:id="76"/>
            <w:bookmarkEnd w:id="77"/>
          </w:p>
        </w:tc>
        <w:tc>
          <w:tcPr>
            <w:tcW w:w="6221" w:type="dxa"/>
            <w:shd w:val="clear" w:color="auto" w:fill="auto"/>
            <w:vAlign w:val="center"/>
          </w:tcPr>
          <w:p w14:paraId="5BC7268C">
            <w:pPr>
              <w:spacing w:line="400" w:lineRule="exact"/>
              <w:rPr>
                <w:rFonts w:ascii="宋体" w:hAnsi="宋体" w:cs="宋体"/>
                <w:color w:val="auto"/>
                <w:szCs w:val="21"/>
                <w:highlight w:val="none"/>
              </w:rPr>
            </w:pPr>
            <w:r>
              <w:rPr>
                <w:rFonts w:hint="eastAsia" w:ascii="宋体" w:hAnsi="宋体" w:cs="宋体"/>
                <w:color w:val="auto"/>
                <w:szCs w:val="21"/>
                <w:highlight w:val="none"/>
              </w:rPr>
              <w:t>16.1 电子谈判响应文件中须加盖供应商公章部分均采用 CA 签章，并根据“政府采购项目电子交易管理操作指南-供应商”及本谈判文件规定的格式和顺序编制电子谈判响应文件并进行关联定位，以便谈判小组在评审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漏读，或者在按采购文件规定的部位查找不到相关内容的，由供应商自行承担。</w:t>
            </w:r>
          </w:p>
          <w:p w14:paraId="3FED5213">
            <w:pPr>
              <w:spacing w:line="400" w:lineRule="exact"/>
              <w:rPr>
                <w:rFonts w:ascii="宋体" w:hAnsi="宋体" w:cs="宋体"/>
                <w:color w:val="auto"/>
                <w:szCs w:val="21"/>
                <w:highlight w:val="none"/>
              </w:rPr>
            </w:pPr>
            <w:r>
              <w:rPr>
                <w:rFonts w:hint="eastAsia" w:ascii="宋体" w:hAnsi="宋体" w:cs="宋体"/>
                <w:color w:val="auto"/>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404747A9">
            <w:pPr>
              <w:spacing w:line="400" w:lineRule="exact"/>
              <w:rPr>
                <w:rFonts w:ascii="宋体" w:hAnsi="宋体" w:cs="宋体"/>
                <w:color w:val="auto"/>
                <w:szCs w:val="21"/>
                <w:highlight w:val="none"/>
              </w:rPr>
            </w:pPr>
            <w:r>
              <w:rPr>
                <w:rFonts w:hint="eastAsia" w:ascii="宋体" w:hAnsi="宋体" w:cs="宋体"/>
                <w:color w:val="auto"/>
                <w:szCs w:val="21"/>
                <w:highlight w:val="none"/>
              </w:rPr>
              <w:t>16.3 谈判响应文件不得涂改，若有修改错漏处，须法定代表人（负责人）或授权委托人签字（或个人CA签章）。谈判响应文件因字迹潦草或表达不清所引起的后果由供应商负责。</w:t>
            </w:r>
          </w:p>
          <w:p w14:paraId="7139C82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16.4谈判前准备 </w:t>
            </w:r>
          </w:p>
          <w:p w14:paraId="026C3086">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16.4.1本项目实行在线谈判，采用电子谈判响应文件。若供应商参与谈判，自行承担谈判一切费用。 </w:t>
            </w:r>
          </w:p>
          <w:p w14:paraId="61E9734B">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16.4.2各供应商应在截标前应确保成为政采云平台正式注册入库供应商，并完成 CA 数字证书申领。因未注册入库、未办理 CA 数字证书等原因造成无法谈判或谈判失败等后果由供应商自行承担。 </w:t>
            </w:r>
          </w:p>
          <w:p w14:paraId="0E5925D8">
            <w:pPr>
              <w:spacing w:line="400" w:lineRule="exact"/>
              <w:rPr>
                <w:rFonts w:ascii="宋体" w:hAnsi="宋体" w:cs="宋体"/>
                <w:color w:val="auto"/>
                <w:szCs w:val="21"/>
                <w:highlight w:val="none"/>
              </w:rPr>
            </w:pPr>
            <w:r>
              <w:rPr>
                <w:rFonts w:hint="eastAsia" w:ascii="宋体" w:hAnsi="宋体" w:cs="宋体"/>
                <w:color w:val="auto"/>
                <w:szCs w:val="21"/>
                <w:highlight w:val="none"/>
              </w:rPr>
              <w:t>16.4.3供应商将政采云电子交易客户端下载、安装完成后，可通过账号密码或CA登录客户端进行响应文件制作。客户端请至网站下载专区查看，如有问题拨打政采云服务热线95763获取热线服务帮助。</w:t>
            </w:r>
          </w:p>
        </w:tc>
      </w:tr>
      <w:tr w14:paraId="244D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shd w:val="clear" w:color="auto" w:fill="auto"/>
            <w:vAlign w:val="center"/>
          </w:tcPr>
          <w:p w14:paraId="3839011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942" w:type="dxa"/>
            <w:shd w:val="clear" w:color="auto" w:fill="auto"/>
            <w:vAlign w:val="center"/>
          </w:tcPr>
          <w:p w14:paraId="3C3E85A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18.1</w:t>
            </w:r>
          </w:p>
        </w:tc>
        <w:tc>
          <w:tcPr>
            <w:tcW w:w="1775" w:type="dxa"/>
            <w:shd w:val="clear" w:color="auto" w:fill="auto"/>
            <w:vAlign w:val="center"/>
          </w:tcPr>
          <w:p w14:paraId="3FE4E59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响应文件递交截止时间</w:t>
            </w:r>
          </w:p>
        </w:tc>
        <w:tc>
          <w:tcPr>
            <w:tcW w:w="6221" w:type="dxa"/>
            <w:shd w:val="clear" w:color="auto" w:fill="auto"/>
            <w:vAlign w:val="center"/>
          </w:tcPr>
          <w:p w14:paraId="34FB3162">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于</w:t>
            </w:r>
            <w:r>
              <w:rPr>
                <w:rFonts w:hint="eastAsia" w:ascii="宋体" w:hAnsi="宋体" w:cs="宋体"/>
                <w:color w:val="auto"/>
                <w:szCs w:val="21"/>
                <w:highlight w:val="none"/>
                <w:u w:val="single"/>
                <w:lang w:eastAsia="zh-CN"/>
              </w:rPr>
              <w:t>2025年6月25日09时30分</w:t>
            </w:r>
            <w:r>
              <w:rPr>
                <w:rFonts w:hint="eastAsia" w:ascii="宋体" w:hAnsi="宋体" w:cs="宋体"/>
                <w:color w:val="auto"/>
                <w:szCs w:val="21"/>
                <w:highlight w:val="none"/>
                <w:u w:val="single"/>
              </w:rPr>
              <w:t>（北京时间）</w:t>
            </w:r>
            <w:r>
              <w:rPr>
                <w:rFonts w:hint="eastAsia" w:ascii="宋体" w:hAnsi="宋体" w:cs="宋体"/>
                <w:color w:val="auto"/>
                <w:szCs w:val="21"/>
                <w:highlight w:val="none"/>
              </w:rPr>
              <w:t>之前将电子谈判响应文件上传到政采云平台。应按照本项目谈判文件和政采云平台的要求编制、加密传输谈判响应文件。供应商在使用系统进行响应的过程中遇到涉及平台使用的任何问题，可致电政采云平台技术支持热线咨询。</w:t>
            </w:r>
          </w:p>
        </w:tc>
      </w:tr>
      <w:tr w14:paraId="4594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2" w:type="dxa"/>
            <w:shd w:val="clear" w:color="auto" w:fill="auto"/>
            <w:vAlign w:val="center"/>
          </w:tcPr>
          <w:p w14:paraId="53176A33">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9</w:t>
            </w:r>
          </w:p>
        </w:tc>
        <w:tc>
          <w:tcPr>
            <w:tcW w:w="942" w:type="dxa"/>
            <w:shd w:val="clear" w:color="auto" w:fill="auto"/>
            <w:vAlign w:val="center"/>
          </w:tcPr>
          <w:p w14:paraId="1684228D">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18.2</w:t>
            </w:r>
          </w:p>
        </w:tc>
        <w:tc>
          <w:tcPr>
            <w:tcW w:w="1775" w:type="dxa"/>
            <w:shd w:val="clear" w:color="auto" w:fill="auto"/>
            <w:vAlign w:val="center"/>
          </w:tcPr>
          <w:p w14:paraId="341CD038">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谈判响应文件解密时间</w:t>
            </w:r>
          </w:p>
        </w:tc>
        <w:tc>
          <w:tcPr>
            <w:tcW w:w="6221" w:type="dxa"/>
            <w:shd w:val="clear" w:color="auto" w:fill="auto"/>
            <w:vAlign w:val="center"/>
          </w:tcPr>
          <w:p w14:paraId="1D043E9C">
            <w:pPr>
              <w:pStyle w:val="17"/>
              <w:widowControl w:val="0"/>
              <w:spacing w:line="400" w:lineRule="exact"/>
              <w:rPr>
                <w:rFonts w:ascii="宋体" w:hAnsi="宋体" w:cs="宋体"/>
                <w:color w:val="auto"/>
                <w:szCs w:val="21"/>
                <w:highlight w:val="none"/>
              </w:rPr>
            </w:pPr>
            <w:r>
              <w:rPr>
                <w:rFonts w:hint="eastAsia" w:ascii="宋体" w:hAnsi="宋体" w:cs="宋体"/>
                <w:color w:val="auto"/>
                <w:szCs w:val="21"/>
                <w:highlight w:val="none"/>
              </w:rPr>
              <w:t>谈判响应文件解密时间（北京时间）</w:t>
            </w:r>
            <w:r>
              <w:rPr>
                <w:rFonts w:hint="eastAsia" w:ascii="宋体" w:hAnsi="宋体" w:cs="宋体"/>
                <w:color w:val="auto"/>
                <w:highlight w:val="none"/>
              </w:rPr>
              <w:t>：截标时间后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kern w:val="21"/>
                <w:szCs w:val="21"/>
                <w:highlight w:val="none"/>
              </w:rPr>
              <w:t>【</w:t>
            </w:r>
            <w:r>
              <w:rPr>
                <w:rFonts w:hint="eastAsia" w:ascii="宋体" w:hAnsi="宋体" w:cs="宋体"/>
                <w:color w:val="auto"/>
                <w:kern w:val="21"/>
                <w:szCs w:val="21"/>
                <w:highlight w:val="none"/>
                <w:lang w:eastAsia="zh-CN"/>
              </w:rPr>
              <w:t>2025年6月25日09时30分</w:t>
            </w:r>
            <w:r>
              <w:rPr>
                <w:rFonts w:hint="eastAsia" w:ascii="宋体" w:hAnsi="宋体" w:cs="宋体"/>
                <w:color w:val="auto"/>
                <w:kern w:val="21"/>
                <w:szCs w:val="21"/>
                <w:highlight w:val="none"/>
              </w:rPr>
              <w:t>至10时00分(北京时间)】</w:t>
            </w:r>
            <w:r>
              <w:rPr>
                <w:rFonts w:hint="eastAsia" w:ascii="宋体" w:hAnsi="宋体" w:cs="宋体"/>
                <w:color w:val="auto"/>
                <w:highlight w:val="none"/>
              </w:rPr>
              <w:t>谈判供应商可以登录政采云平台，用“项目采购-开标评标”功能进行解密谈判响应文件。若谈判供应商在规定时间内无法解密或解密失败，视为无效响应。</w:t>
            </w:r>
          </w:p>
        </w:tc>
      </w:tr>
      <w:tr w14:paraId="40F9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2" w:type="dxa"/>
            <w:shd w:val="clear" w:color="auto" w:fill="auto"/>
            <w:vAlign w:val="center"/>
          </w:tcPr>
          <w:p w14:paraId="73AF99A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942" w:type="dxa"/>
            <w:shd w:val="clear" w:color="auto" w:fill="auto"/>
            <w:vAlign w:val="center"/>
          </w:tcPr>
          <w:p w14:paraId="6AB00DE5">
            <w:pPr>
              <w:spacing w:line="400" w:lineRule="exact"/>
              <w:ind w:firstLine="105" w:firstLineChars="50"/>
              <w:jc w:val="center"/>
              <w:rPr>
                <w:rFonts w:ascii="宋体" w:hAnsi="宋体" w:cs="宋体"/>
                <w:color w:val="auto"/>
                <w:position w:val="-2"/>
                <w:szCs w:val="21"/>
                <w:highlight w:val="none"/>
              </w:rPr>
            </w:pPr>
            <w:r>
              <w:rPr>
                <w:rFonts w:hint="eastAsia" w:ascii="宋体" w:hAnsi="宋体" w:cs="宋体"/>
                <w:color w:val="auto"/>
                <w:position w:val="-2"/>
                <w:szCs w:val="21"/>
                <w:highlight w:val="none"/>
              </w:rPr>
              <w:t>19.1</w:t>
            </w:r>
          </w:p>
        </w:tc>
        <w:tc>
          <w:tcPr>
            <w:tcW w:w="1775" w:type="dxa"/>
            <w:shd w:val="clear" w:color="auto" w:fill="auto"/>
            <w:vAlign w:val="center"/>
          </w:tcPr>
          <w:p w14:paraId="23692AF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谈判小组组成</w:t>
            </w:r>
          </w:p>
        </w:tc>
        <w:tc>
          <w:tcPr>
            <w:tcW w:w="6221" w:type="dxa"/>
            <w:shd w:val="clear" w:color="auto" w:fill="auto"/>
            <w:vAlign w:val="center"/>
          </w:tcPr>
          <w:p w14:paraId="21B5E775">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谈判及评审工作由采购代理机构负责组织，具体谈判、评审工作由依法组建的谈判小组负责，谈判小组由采购人代表和有关方面的专家组成。谈判小组的构成：3人。（专家确定方式：开标前从广西壮族自治区政府采购专家库中随机抽取）。</w:t>
            </w:r>
          </w:p>
        </w:tc>
      </w:tr>
      <w:tr w14:paraId="610F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62" w:type="dxa"/>
            <w:shd w:val="clear" w:color="auto" w:fill="auto"/>
            <w:vAlign w:val="center"/>
          </w:tcPr>
          <w:p w14:paraId="1A0B176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942" w:type="dxa"/>
            <w:shd w:val="clear" w:color="auto" w:fill="auto"/>
            <w:vAlign w:val="center"/>
          </w:tcPr>
          <w:p w14:paraId="1B7CFE1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19.2</w:t>
            </w:r>
          </w:p>
        </w:tc>
        <w:tc>
          <w:tcPr>
            <w:tcW w:w="1775" w:type="dxa"/>
            <w:shd w:val="clear" w:color="auto" w:fill="auto"/>
            <w:vAlign w:val="center"/>
          </w:tcPr>
          <w:p w14:paraId="518F65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谈判时间、地点、人员</w:t>
            </w:r>
          </w:p>
        </w:tc>
        <w:tc>
          <w:tcPr>
            <w:tcW w:w="6221" w:type="dxa"/>
            <w:shd w:val="clear" w:color="auto" w:fill="auto"/>
          </w:tcPr>
          <w:p w14:paraId="374C2A0E">
            <w:pPr>
              <w:spacing w:line="400" w:lineRule="exact"/>
              <w:ind w:left="315" w:hanging="315" w:hangingChars="150"/>
              <w:jc w:val="left"/>
              <w:rPr>
                <w:rFonts w:ascii="宋体" w:hAnsi="宋体" w:cs="宋体"/>
                <w:color w:val="auto"/>
                <w:szCs w:val="21"/>
                <w:highlight w:val="none"/>
              </w:rPr>
            </w:pPr>
            <w:r>
              <w:rPr>
                <w:rFonts w:hint="eastAsia" w:ascii="宋体" w:hAnsi="宋体" w:cs="宋体"/>
                <w:color w:val="auto"/>
                <w:szCs w:val="21"/>
                <w:highlight w:val="none"/>
              </w:rPr>
              <w:t>19.2.1谈判时间：响应文件递交截止时间后。</w:t>
            </w:r>
          </w:p>
          <w:p w14:paraId="047E8742">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19.2.2谈判地点：本项目需要谈判供应商代表在截标当天截标后，按谈判小组要求及时登录政采云平台等候在线谈判。</w:t>
            </w:r>
          </w:p>
          <w:p w14:paraId="76C4E119">
            <w:pPr>
              <w:spacing w:line="400" w:lineRule="exact"/>
              <w:ind w:left="15" w:hanging="14" w:hangingChars="7"/>
              <w:jc w:val="left"/>
              <w:rPr>
                <w:rFonts w:ascii="宋体" w:hAnsi="宋体" w:cs="宋体"/>
                <w:color w:val="auto"/>
                <w:szCs w:val="21"/>
                <w:highlight w:val="none"/>
              </w:rPr>
            </w:pPr>
            <w:r>
              <w:rPr>
                <w:rFonts w:hint="eastAsia" w:ascii="宋体" w:hAnsi="宋体" w:cs="宋体"/>
                <w:color w:val="auto"/>
                <w:szCs w:val="21"/>
                <w:highlight w:val="none"/>
              </w:rPr>
              <w:t>19.2.3谈判参加人员：</w:t>
            </w:r>
            <w:r>
              <w:rPr>
                <w:rFonts w:hint="eastAsia" w:ascii="宋体" w:hAnsi="宋体" w:cs="宋体"/>
                <w:b/>
                <w:bCs/>
                <w:color w:val="auto"/>
                <w:szCs w:val="21"/>
                <w:highlight w:val="none"/>
              </w:rPr>
              <w:t>供应商法定代表人、负责人或相应的委托代理人</w:t>
            </w:r>
            <w:r>
              <w:rPr>
                <w:rFonts w:hint="eastAsia" w:ascii="宋体" w:hAnsi="宋体" w:cs="宋体"/>
                <w:b/>
                <w:bCs/>
                <w:color w:val="auto"/>
                <w:szCs w:val="21"/>
                <w:highlight w:val="none"/>
                <w:u w:val="single"/>
              </w:rPr>
              <w:t>持</w:t>
            </w:r>
            <w:r>
              <w:rPr>
                <w:rFonts w:hint="eastAsia" w:ascii="宋体" w:hAnsi="宋体" w:cs="宋体"/>
                <w:b/>
                <w:bCs/>
                <w:color w:val="auto"/>
                <w:szCs w:val="21"/>
                <w:highlight w:val="none"/>
              </w:rPr>
              <w:t>供应商</w:t>
            </w:r>
            <w:r>
              <w:rPr>
                <w:rFonts w:hint="eastAsia" w:ascii="宋体" w:hAnsi="宋体" w:cs="宋体"/>
                <w:b/>
                <w:bCs/>
                <w:color w:val="auto"/>
                <w:szCs w:val="21"/>
                <w:highlight w:val="none"/>
                <w:u w:val="single"/>
              </w:rPr>
              <w:t>政采云平台CA数字证书</w:t>
            </w:r>
            <w:r>
              <w:rPr>
                <w:rFonts w:hint="eastAsia" w:ascii="宋体" w:hAnsi="宋体" w:cs="宋体"/>
                <w:b/>
                <w:bCs/>
                <w:color w:val="auto"/>
                <w:szCs w:val="21"/>
                <w:highlight w:val="none"/>
              </w:rPr>
              <w:t>在线参加谈判。</w:t>
            </w:r>
          </w:p>
          <w:p w14:paraId="4E0CD545">
            <w:pPr>
              <w:tabs>
                <w:tab w:val="left" w:pos="1140"/>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19.2.4响应文件递交截止时间后，由谈判小组在桂林市公共资源交易中心（临桂区西城中路69号创业大厦西辅楼4楼）评标室内线上开启响应文件。</w:t>
            </w:r>
          </w:p>
        </w:tc>
      </w:tr>
      <w:tr w14:paraId="5B17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5E69EAFA">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942" w:type="dxa"/>
            <w:shd w:val="clear" w:color="auto" w:fill="auto"/>
            <w:vAlign w:val="center"/>
          </w:tcPr>
          <w:p w14:paraId="23BC82E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775" w:type="dxa"/>
            <w:shd w:val="clear" w:color="auto" w:fill="auto"/>
            <w:vAlign w:val="center"/>
          </w:tcPr>
          <w:p w14:paraId="4DAC48BF">
            <w:pPr>
              <w:pStyle w:val="27"/>
              <w:spacing w:line="400" w:lineRule="exact"/>
              <w:jc w:val="center"/>
              <w:rPr>
                <w:rFonts w:hAnsi="宋体" w:cs="宋体"/>
                <w:color w:val="auto"/>
                <w:kern w:val="0"/>
                <w:szCs w:val="21"/>
                <w:highlight w:val="none"/>
              </w:rPr>
            </w:pPr>
            <w:r>
              <w:rPr>
                <w:rFonts w:hint="eastAsia" w:hAnsi="宋体" w:cs="宋体"/>
                <w:color w:val="auto"/>
                <w:kern w:val="0"/>
                <w:szCs w:val="21"/>
                <w:highlight w:val="none"/>
              </w:rPr>
              <w:t>评审办法</w:t>
            </w:r>
          </w:p>
        </w:tc>
        <w:tc>
          <w:tcPr>
            <w:tcW w:w="6221" w:type="dxa"/>
            <w:shd w:val="clear" w:color="auto" w:fill="auto"/>
            <w:vAlign w:val="center"/>
          </w:tcPr>
          <w:p w14:paraId="73D495C2">
            <w:pPr>
              <w:tabs>
                <w:tab w:val="left" w:pos="1140"/>
              </w:tabs>
              <w:spacing w:line="400" w:lineRule="exact"/>
              <w:rPr>
                <w:rFonts w:ascii="宋体" w:hAnsi="宋体" w:cs="宋体"/>
                <w:color w:val="auto"/>
                <w:szCs w:val="21"/>
                <w:highlight w:val="none"/>
              </w:rPr>
            </w:pPr>
            <w:r>
              <w:rPr>
                <w:rFonts w:hint="eastAsia" w:ascii="宋体" w:hAnsi="宋体" w:cs="宋体"/>
                <w:color w:val="auto"/>
                <w:szCs w:val="21"/>
                <w:highlight w:val="none"/>
              </w:rPr>
              <w:t>具体详见第四章评审办法。</w:t>
            </w:r>
          </w:p>
        </w:tc>
      </w:tr>
      <w:tr w14:paraId="4327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2B6145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942" w:type="dxa"/>
            <w:shd w:val="clear" w:color="auto" w:fill="auto"/>
            <w:vAlign w:val="center"/>
          </w:tcPr>
          <w:p w14:paraId="2FA9BE8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1775" w:type="dxa"/>
            <w:shd w:val="clear" w:color="auto" w:fill="auto"/>
            <w:vAlign w:val="center"/>
          </w:tcPr>
          <w:p w14:paraId="5B6CBFB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6221" w:type="dxa"/>
            <w:shd w:val="clear" w:color="auto" w:fill="auto"/>
            <w:vAlign w:val="center"/>
          </w:tcPr>
          <w:p w14:paraId="75729075">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67E0A523">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⑴查询渠道：“信用中国”网站(https://www.creditchina.gov.cn/)、中国政府采购网(http://www.ccgp.gov.cn/)；</w:t>
            </w:r>
          </w:p>
          <w:p w14:paraId="7F96E2A8">
            <w:pPr>
              <w:spacing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⑵查询时间：成交通知书发出前；</w:t>
            </w:r>
          </w:p>
          <w:p w14:paraId="7E735D93">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100484D6">
            <w:pPr>
              <w:spacing w:line="40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https://www.creditchina.gov.cn/)、中国政府采购网(http://www.ccgp.gov.cn/)渠道列入失信被执行人、重大税收违法案件当事人名单、政府采购严重违法失信行为记录名单及其他不符合《中华人民共和国政府采购法》第二十二条规定条件的供应商，取消其成交候选人资格。采购人依法按照评审报告中谈判小组推荐成交候选人排序表确定排名第二的成交候选人为成交供应商或者重新组织采购。</w:t>
            </w:r>
          </w:p>
        </w:tc>
      </w:tr>
      <w:tr w14:paraId="4190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2" w:type="dxa"/>
            <w:shd w:val="clear" w:color="auto" w:fill="auto"/>
            <w:vAlign w:val="center"/>
          </w:tcPr>
          <w:p w14:paraId="57194B9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942" w:type="dxa"/>
            <w:shd w:val="clear" w:color="auto" w:fill="auto"/>
            <w:vAlign w:val="center"/>
          </w:tcPr>
          <w:p w14:paraId="71C9E0A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1775" w:type="dxa"/>
            <w:shd w:val="clear" w:color="auto" w:fill="auto"/>
            <w:vAlign w:val="center"/>
          </w:tcPr>
          <w:p w14:paraId="243D50D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w:t>
            </w:r>
          </w:p>
          <w:p w14:paraId="7EEA044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及成交通知书</w:t>
            </w:r>
          </w:p>
        </w:tc>
        <w:tc>
          <w:tcPr>
            <w:tcW w:w="6221" w:type="dxa"/>
            <w:shd w:val="clear" w:color="auto" w:fill="auto"/>
          </w:tcPr>
          <w:p w14:paraId="13A7A9DF">
            <w:pPr>
              <w:spacing w:line="400" w:lineRule="exact"/>
              <w:rPr>
                <w:rFonts w:ascii="宋体" w:hAnsi="宋体" w:cs="宋体"/>
                <w:color w:val="auto"/>
                <w:szCs w:val="21"/>
                <w:highlight w:val="none"/>
              </w:rPr>
            </w:pPr>
            <w:r>
              <w:rPr>
                <w:rFonts w:hint="eastAsia" w:ascii="宋体" w:hAnsi="宋体" w:cs="宋体"/>
                <w:color w:val="auto"/>
                <w:szCs w:val="21"/>
                <w:highlight w:val="none"/>
              </w:rPr>
              <w:t>27.1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9E8605C">
            <w:pPr>
              <w:spacing w:line="400" w:lineRule="exact"/>
              <w:rPr>
                <w:rFonts w:ascii="宋体" w:hAnsi="宋体" w:cs="宋体"/>
                <w:color w:val="auto"/>
                <w:szCs w:val="21"/>
                <w:highlight w:val="none"/>
              </w:rPr>
            </w:pPr>
            <w:r>
              <w:rPr>
                <w:rFonts w:hint="eastAsia" w:ascii="宋体" w:hAnsi="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69D9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2" w:type="dxa"/>
            <w:shd w:val="clear" w:color="auto" w:fill="auto"/>
            <w:vAlign w:val="center"/>
          </w:tcPr>
          <w:p w14:paraId="7929323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942" w:type="dxa"/>
            <w:shd w:val="clear" w:color="auto" w:fill="auto"/>
            <w:vAlign w:val="center"/>
          </w:tcPr>
          <w:p w14:paraId="1699F4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1775" w:type="dxa"/>
            <w:shd w:val="clear" w:color="auto" w:fill="auto"/>
            <w:vAlign w:val="center"/>
          </w:tcPr>
          <w:p w14:paraId="67FC24F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221" w:type="dxa"/>
            <w:shd w:val="clear" w:color="auto" w:fill="auto"/>
            <w:vAlign w:val="center"/>
          </w:tcPr>
          <w:p w14:paraId="256AE27C">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A32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403E078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942" w:type="dxa"/>
            <w:shd w:val="clear" w:color="auto" w:fill="auto"/>
            <w:vAlign w:val="center"/>
          </w:tcPr>
          <w:p w14:paraId="0033511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1775" w:type="dxa"/>
            <w:shd w:val="clear" w:color="auto" w:fill="auto"/>
            <w:vAlign w:val="center"/>
          </w:tcPr>
          <w:p w14:paraId="5A53200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221" w:type="dxa"/>
            <w:shd w:val="clear" w:color="auto" w:fill="auto"/>
          </w:tcPr>
          <w:p w14:paraId="4A9ABC61">
            <w:pPr>
              <w:spacing w:line="400" w:lineRule="exact"/>
              <w:rPr>
                <w:rFonts w:ascii="宋体" w:hAnsi="宋体" w:cs="宋体"/>
                <w:color w:val="auto"/>
                <w:szCs w:val="21"/>
                <w:highlight w:val="none"/>
              </w:rPr>
            </w:pPr>
            <w:r>
              <w:rPr>
                <w:rFonts w:hint="eastAsia" w:ascii="宋体" w:hAnsi="宋体" w:cs="宋体"/>
                <w:b/>
                <w:color w:val="auto"/>
                <w:kern w:val="0"/>
                <w:szCs w:val="21"/>
                <w:highlight w:val="none"/>
              </w:rPr>
              <w:t>成交通知书发出之日起八个工作日内签订合同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tc>
      </w:tr>
      <w:tr w14:paraId="0819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3FF0AC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942" w:type="dxa"/>
            <w:shd w:val="clear" w:color="auto" w:fill="auto"/>
            <w:vAlign w:val="center"/>
          </w:tcPr>
          <w:p w14:paraId="3BB068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1775" w:type="dxa"/>
            <w:shd w:val="clear" w:color="auto" w:fill="auto"/>
            <w:vAlign w:val="center"/>
          </w:tcPr>
          <w:p w14:paraId="1CAE82F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6221" w:type="dxa"/>
            <w:shd w:val="clear" w:color="auto" w:fill="auto"/>
            <w:vAlign w:val="center"/>
          </w:tcPr>
          <w:p w14:paraId="0579B89C">
            <w:pPr>
              <w:spacing w:line="400" w:lineRule="exact"/>
              <w:rPr>
                <w:rFonts w:ascii="宋体" w:hAnsi="宋体" w:cs="宋体"/>
                <w:color w:val="auto"/>
                <w:szCs w:val="21"/>
                <w:highlight w:val="none"/>
              </w:rPr>
            </w:pPr>
            <w:r>
              <w:rPr>
                <w:rFonts w:hint="eastAsia" w:ascii="宋体" w:hAnsi="宋体" w:cs="宋体"/>
                <w:color w:val="auto"/>
                <w:highlight w:val="none"/>
              </w:rPr>
              <w:t>政府采购合同双方自签订之日起1个工作日内将一份合同原件送桂林市阳朔县财政局备案，并于一个工作日内将合同原件一份交采购代理机构存档。采购代理机构将于收到政府采购合同后在省级以上人民政府财政部门指定媒体上公告。</w:t>
            </w:r>
          </w:p>
        </w:tc>
      </w:tr>
      <w:tr w14:paraId="58A7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shd w:val="clear" w:color="auto" w:fill="auto"/>
            <w:vAlign w:val="center"/>
          </w:tcPr>
          <w:p w14:paraId="0BEA658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942" w:type="dxa"/>
            <w:shd w:val="clear" w:color="auto" w:fill="auto"/>
            <w:vAlign w:val="center"/>
          </w:tcPr>
          <w:p w14:paraId="4C2C93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1775" w:type="dxa"/>
            <w:shd w:val="clear" w:color="auto" w:fill="auto"/>
            <w:vAlign w:val="center"/>
          </w:tcPr>
          <w:p w14:paraId="59165D4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221" w:type="dxa"/>
            <w:shd w:val="clear" w:color="auto" w:fill="auto"/>
          </w:tcPr>
          <w:p w14:paraId="06D2529C">
            <w:pPr>
              <w:spacing w:line="440" w:lineRule="exact"/>
              <w:rPr>
                <w:color w:val="auto"/>
                <w:highlight w:val="none"/>
              </w:rPr>
            </w:pPr>
            <w:r>
              <w:rPr>
                <w:rFonts w:hint="eastAsia" w:ascii="宋体" w:hAnsi="宋体" w:cs="宋体"/>
                <w:color w:val="auto"/>
                <w:szCs w:val="21"/>
                <w:highlight w:val="none"/>
              </w:rPr>
              <w:t>成交供应商</w:t>
            </w:r>
            <w:r>
              <w:rPr>
                <w:rFonts w:hint="eastAsia" w:ascii="宋体" w:hAnsi="宋体" w:cs="宋体"/>
                <w:color w:val="auto"/>
                <w:highlight w:val="none"/>
              </w:rPr>
              <w:t>在签订合同前</w:t>
            </w:r>
            <w:r>
              <w:rPr>
                <w:rFonts w:hint="eastAsia" w:ascii="宋体" w:hAnsi="宋体" w:cs="宋体"/>
                <w:color w:val="auto"/>
                <w:szCs w:val="21"/>
                <w:highlight w:val="none"/>
              </w:rPr>
              <w:t>，向广西合士嘉项目咨询有限公司一次性付清采购代理服务费，本项目的采购代理服务费按“国家发展计划委员会计价格[2002]1980号《招标代理服务费管理暂行办法》、发改办价格[2003]857号”规定的工程类收费标准向成交供应商收取。以成交金额为计算基数，按差额定率累进法计算标准计取。不足6000元，按6000元计取。</w:t>
            </w:r>
          </w:p>
        </w:tc>
      </w:tr>
      <w:tr w14:paraId="1307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7FCC72C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942" w:type="dxa"/>
            <w:shd w:val="clear" w:color="auto" w:fill="auto"/>
            <w:vAlign w:val="center"/>
          </w:tcPr>
          <w:p w14:paraId="555653A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1775" w:type="dxa"/>
            <w:shd w:val="clear" w:color="auto" w:fill="auto"/>
            <w:vAlign w:val="center"/>
          </w:tcPr>
          <w:p w14:paraId="079B74D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编制依据</w:t>
            </w:r>
          </w:p>
        </w:tc>
        <w:tc>
          <w:tcPr>
            <w:tcW w:w="6221" w:type="dxa"/>
            <w:shd w:val="clear" w:color="auto" w:fill="auto"/>
          </w:tcPr>
          <w:p w14:paraId="6F887E90">
            <w:pPr>
              <w:spacing w:line="400" w:lineRule="exact"/>
              <w:rPr>
                <w:rFonts w:ascii="宋体" w:hAnsi="宋体" w:cs="宋体"/>
                <w:color w:val="auto"/>
                <w:szCs w:val="21"/>
                <w:highlight w:val="none"/>
              </w:rPr>
            </w:pPr>
            <w:r>
              <w:rPr>
                <w:rFonts w:hint="eastAsia" w:ascii="宋体" w:hAnsi="宋体" w:cs="宋体"/>
                <w:color w:val="auto"/>
                <w:highlight w:val="none"/>
              </w:rPr>
              <w:t>本竞争性谈判文件是根据《中华人民共和国政府采购法》、《中华人民共和国政府采购法实施条例》、《政府采购非招标采购方式管理办法》和政府采购管理有关规定编制。</w:t>
            </w:r>
          </w:p>
        </w:tc>
      </w:tr>
      <w:tr w14:paraId="448D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shd w:val="clear" w:color="auto" w:fill="auto"/>
            <w:vAlign w:val="center"/>
          </w:tcPr>
          <w:p w14:paraId="17FC4F0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942" w:type="dxa"/>
            <w:shd w:val="clear" w:color="auto" w:fill="auto"/>
            <w:vAlign w:val="center"/>
          </w:tcPr>
          <w:p w14:paraId="03B7352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775" w:type="dxa"/>
            <w:shd w:val="clear" w:color="auto" w:fill="auto"/>
            <w:vAlign w:val="center"/>
          </w:tcPr>
          <w:p w14:paraId="36FDEF8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6221" w:type="dxa"/>
            <w:shd w:val="clear" w:color="auto" w:fill="auto"/>
          </w:tcPr>
          <w:p w14:paraId="2BC2D913">
            <w:pPr>
              <w:spacing w:line="380" w:lineRule="exact"/>
              <w:rPr>
                <w:rFonts w:ascii="宋体" w:hAnsi="宋体" w:cs="宋体"/>
                <w:color w:val="auto"/>
                <w:highlight w:val="none"/>
              </w:rPr>
            </w:pPr>
            <w:r>
              <w:rPr>
                <w:rFonts w:hint="eastAsia" w:ascii="宋体" w:hAnsi="宋体" w:cs="宋体"/>
                <w:color w:val="auto"/>
                <w:szCs w:val="21"/>
                <w:highlight w:val="none"/>
              </w:rPr>
              <w:t>桂林市阳朔县财政局    联系电话：0773-8811598</w:t>
            </w:r>
          </w:p>
        </w:tc>
      </w:tr>
    </w:tbl>
    <w:p w14:paraId="459F7175">
      <w:pPr>
        <w:pStyle w:val="53"/>
        <w:ind w:left="0" w:leftChars="0" w:firstLine="0" w:firstLineChars="0"/>
        <w:rPr>
          <w:rFonts w:ascii="宋体" w:hAnsi="宋体" w:cs="宋体"/>
          <w:b/>
          <w:color w:val="auto"/>
          <w:sz w:val="28"/>
          <w:szCs w:val="28"/>
          <w:highlight w:val="none"/>
        </w:rPr>
      </w:pPr>
    </w:p>
    <w:p w14:paraId="0D5B9A1F">
      <w:pPr>
        <w:pStyle w:val="2"/>
        <w:tabs>
          <w:tab w:val="left" w:pos="567"/>
        </w:tabs>
        <w:spacing w:line="440" w:lineRule="exact"/>
        <w:jc w:val="center"/>
        <w:rPr>
          <w:rFonts w:ascii="宋体" w:hAnsi="宋体" w:cs="宋体"/>
          <w:bCs w:val="0"/>
          <w:color w:val="auto"/>
          <w:szCs w:val="28"/>
          <w:highlight w:val="none"/>
        </w:rPr>
      </w:pPr>
      <w:bookmarkStart w:id="78" w:name="_Toc27120"/>
      <w:bookmarkStart w:id="79" w:name="_Toc27216"/>
      <w:bookmarkStart w:id="80" w:name="_Toc22792"/>
      <w:r>
        <w:rPr>
          <w:rFonts w:hint="eastAsia" w:ascii="宋体" w:hAnsi="宋体" w:cs="宋体"/>
          <w:bCs w:val="0"/>
          <w:color w:val="auto"/>
          <w:szCs w:val="28"/>
          <w:highlight w:val="none"/>
        </w:rPr>
        <w:br w:type="page"/>
      </w:r>
      <w:bookmarkStart w:id="81" w:name="_Toc14560"/>
      <w:r>
        <w:rPr>
          <w:rFonts w:hint="eastAsia" w:ascii="宋体" w:hAnsi="宋体" w:cs="宋体"/>
          <w:bCs w:val="0"/>
          <w:color w:val="auto"/>
          <w:szCs w:val="28"/>
          <w:highlight w:val="none"/>
        </w:rPr>
        <w:t>一、总则</w:t>
      </w:r>
      <w:bookmarkEnd w:id="78"/>
      <w:bookmarkEnd w:id="79"/>
      <w:bookmarkEnd w:id="80"/>
      <w:bookmarkEnd w:id="81"/>
    </w:p>
    <w:p w14:paraId="60332525">
      <w:pPr>
        <w:pStyle w:val="4"/>
        <w:widowControl w:val="0"/>
        <w:spacing w:before="0" w:after="0" w:line="440" w:lineRule="exact"/>
        <w:ind w:firstLine="422" w:firstLineChars="200"/>
        <w:rPr>
          <w:rFonts w:ascii="宋体" w:hAnsi="宋体" w:cs="宋体"/>
          <w:color w:val="auto"/>
          <w:sz w:val="21"/>
          <w:szCs w:val="21"/>
          <w:highlight w:val="none"/>
        </w:rPr>
      </w:pPr>
      <w:bookmarkStart w:id="82" w:name="_Toc3367"/>
      <w:bookmarkStart w:id="83" w:name="_Toc6626"/>
      <w:bookmarkStart w:id="84" w:name="_Toc27919"/>
      <w:r>
        <w:rPr>
          <w:rFonts w:hint="eastAsia" w:ascii="宋体" w:hAnsi="宋体" w:cs="宋体"/>
          <w:color w:val="auto"/>
          <w:sz w:val="21"/>
          <w:szCs w:val="21"/>
          <w:highlight w:val="none"/>
        </w:rPr>
        <w:t>1. 适应范围</w:t>
      </w:r>
      <w:bookmarkEnd w:id="82"/>
      <w:bookmarkEnd w:id="83"/>
      <w:bookmarkEnd w:id="84"/>
    </w:p>
    <w:p w14:paraId="630F8670">
      <w:pPr>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1.1  项目名称及项目编号：</w:t>
      </w:r>
    </w:p>
    <w:p w14:paraId="3214113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项目名称：阳朔县葡萄至白沙古板K14+100-K14+165段道路提升工程（水毁工程）</w:t>
      </w:r>
    </w:p>
    <w:p w14:paraId="4CEFA975">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GLZC2025-J2-210036-GXHS</w:t>
      </w:r>
    </w:p>
    <w:p w14:paraId="17A452B8">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1.2本竞争性谈判文件（以下简称谈判文件）适用于本谈判项目的谈判、评审、合同履约、验收、付款等行为（法律、法规另有规定的，从其规定）。</w:t>
      </w:r>
    </w:p>
    <w:p w14:paraId="2415C90C">
      <w:pPr>
        <w:pStyle w:val="4"/>
        <w:widowControl w:val="0"/>
        <w:spacing w:before="0" w:after="0" w:line="440" w:lineRule="exact"/>
        <w:ind w:firstLine="422" w:firstLineChars="200"/>
        <w:rPr>
          <w:rFonts w:ascii="宋体" w:hAnsi="宋体" w:cs="宋体"/>
          <w:color w:val="auto"/>
          <w:sz w:val="21"/>
          <w:szCs w:val="21"/>
          <w:highlight w:val="none"/>
        </w:rPr>
      </w:pPr>
      <w:bookmarkStart w:id="85" w:name="_Toc28336"/>
      <w:bookmarkStart w:id="86" w:name="_Toc2845"/>
      <w:bookmarkStart w:id="87" w:name="_Toc29948"/>
      <w:r>
        <w:rPr>
          <w:rFonts w:hint="eastAsia" w:ascii="宋体" w:hAnsi="宋体" w:cs="宋体"/>
          <w:color w:val="auto"/>
          <w:sz w:val="21"/>
          <w:szCs w:val="21"/>
          <w:highlight w:val="none"/>
        </w:rPr>
        <w:t>2. 定义</w:t>
      </w:r>
      <w:bookmarkEnd w:id="85"/>
      <w:bookmarkEnd w:id="86"/>
      <w:bookmarkEnd w:id="87"/>
    </w:p>
    <w:p w14:paraId="1CEC7A56">
      <w:pPr>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2.1“供应商”是指符合本次采购项目的供应商资格并提交响应文件、参加谈判的供应商。如果该供应商在本次谈判中成交，即成为“成交供应商”。</w:t>
      </w:r>
    </w:p>
    <w:p w14:paraId="7FE61D83">
      <w:pPr>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2.2“项目”系指供应商按谈判文件规定向采购人提供的工程和服务。</w:t>
      </w:r>
    </w:p>
    <w:p w14:paraId="04FBD2CF">
      <w:pPr>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2.3“书面形式”包括信函、传真、电报等。</w:t>
      </w:r>
    </w:p>
    <w:p w14:paraId="7247EDAB">
      <w:pPr>
        <w:pStyle w:val="4"/>
        <w:widowControl w:val="0"/>
        <w:spacing w:before="0" w:after="0" w:line="440" w:lineRule="exact"/>
        <w:ind w:firstLine="422" w:firstLineChars="200"/>
        <w:rPr>
          <w:rFonts w:ascii="宋体" w:hAnsi="宋体" w:cs="宋体"/>
          <w:color w:val="auto"/>
          <w:sz w:val="21"/>
          <w:szCs w:val="21"/>
          <w:highlight w:val="none"/>
        </w:rPr>
      </w:pPr>
      <w:bookmarkStart w:id="88" w:name="_Toc13017"/>
      <w:bookmarkStart w:id="89" w:name="_Toc2365"/>
      <w:bookmarkStart w:id="90" w:name="_Toc25441"/>
      <w:r>
        <w:rPr>
          <w:rFonts w:hint="eastAsia" w:ascii="宋体" w:hAnsi="宋体" w:cs="宋体"/>
          <w:color w:val="auto"/>
          <w:sz w:val="21"/>
          <w:szCs w:val="21"/>
          <w:highlight w:val="none"/>
        </w:rPr>
        <w:t>3. 供应商资格</w:t>
      </w:r>
      <w:bookmarkEnd w:id="88"/>
      <w:bookmarkEnd w:id="89"/>
      <w:bookmarkEnd w:id="90"/>
      <w:r>
        <w:rPr>
          <w:rFonts w:hint="eastAsia" w:ascii="宋体" w:hAnsi="宋体" w:cs="宋体"/>
          <w:color w:val="auto"/>
          <w:sz w:val="21"/>
          <w:szCs w:val="21"/>
          <w:highlight w:val="none"/>
        </w:rPr>
        <w:t>：</w:t>
      </w:r>
      <w:r>
        <w:rPr>
          <w:rFonts w:hint="eastAsia" w:ascii="宋体" w:hAnsi="宋体" w:cs="宋体"/>
          <w:b w:val="0"/>
          <w:bCs w:val="0"/>
          <w:color w:val="auto"/>
          <w:sz w:val="21"/>
          <w:szCs w:val="21"/>
          <w:highlight w:val="none"/>
        </w:rPr>
        <w:t>详见供应商须知前附表。</w:t>
      </w:r>
    </w:p>
    <w:p w14:paraId="35232BCD">
      <w:pPr>
        <w:pStyle w:val="4"/>
        <w:widowControl w:val="0"/>
        <w:spacing w:before="0" w:after="0" w:line="440" w:lineRule="exact"/>
        <w:ind w:firstLine="422" w:firstLineChars="200"/>
        <w:rPr>
          <w:rFonts w:ascii="宋体" w:hAnsi="宋体" w:cs="宋体"/>
          <w:color w:val="auto"/>
          <w:sz w:val="21"/>
          <w:szCs w:val="21"/>
          <w:highlight w:val="none"/>
        </w:rPr>
      </w:pPr>
      <w:bookmarkStart w:id="91" w:name="_Toc16496"/>
      <w:bookmarkStart w:id="92" w:name="_Toc9216"/>
      <w:bookmarkStart w:id="93" w:name="_Toc15373"/>
      <w:r>
        <w:rPr>
          <w:rFonts w:hint="eastAsia" w:ascii="宋体" w:hAnsi="宋体" w:cs="宋体"/>
          <w:color w:val="auto"/>
          <w:sz w:val="21"/>
          <w:szCs w:val="21"/>
          <w:highlight w:val="none"/>
        </w:rPr>
        <w:t>4. 谈判费用</w:t>
      </w:r>
      <w:bookmarkEnd w:id="91"/>
      <w:bookmarkEnd w:id="92"/>
      <w:bookmarkEnd w:id="93"/>
    </w:p>
    <w:p w14:paraId="53E8AC3E">
      <w:pPr>
        <w:tabs>
          <w:tab w:val="left" w:pos="1635"/>
        </w:tabs>
        <w:spacing w:line="440" w:lineRule="exact"/>
        <w:ind w:firstLine="435"/>
        <w:rPr>
          <w:rFonts w:ascii="宋体" w:hAnsi="宋体" w:cs="宋体"/>
          <w:color w:val="auto"/>
          <w:szCs w:val="21"/>
          <w:highlight w:val="none"/>
        </w:rPr>
      </w:pPr>
      <w:r>
        <w:rPr>
          <w:rFonts w:hint="eastAsia" w:ascii="宋体" w:hAnsi="宋体" w:cs="宋体"/>
          <w:color w:val="auto"/>
          <w:szCs w:val="21"/>
          <w:highlight w:val="none"/>
        </w:rPr>
        <w:t>不论谈判结果如何，供应商均应自行承担所有与谈判有关的全部费用。</w:t>
      </w:r>
    </w:p>
    <w:p w14:paraId="635B52BD">
      <w:pPr>
        <w:pStyle w:val="4"/>
        <w:widowControl w:val="0"/>
        <w:numPr>
          <w:ilvl w:val="0"/>
          <w:numId w:val="1"/>
        </w:numPr>
        <w:spacing w:before="0" w:after="0" w:line="440" w:lineRule="exact"/>
        <w:ind w:firstLine="422" w:firstLineChars="200"/>
        <w:rPr>
          <w:rFonts w:ascii="宋体" w:hAnsi="宋体" w:cs="宋体"/>
          <w:color w:val="auto"/>
          <w:sz w:val="21"/>
          <w:szCs w:val="21"/>
          <w:highlight w:val="none"/>
        </w:rPr>
      </w:pPr>
      <w:bookmarkStart w:id="94" w:name="_Toc22877"/>
      <w:bookmarkStart w:id="95" w:name="_Toc31376"/>
      <w:bookmarkStart w:id="96" w:name="_Toc14800"/>
      <w:r>
        <w:rPr>
          <w:rFonts w:hint="eastAsia" w:ascii="宋体" w:hAnsi="宋体" w:cs="宋体"/>
          <w:color w:val="auto"/>
          <w:sz w:val="21"/>
          <w:szCs w:val="21"/>
          <w:highlight w:val="none"/>
        </w:rPr>
        <w:t>联合体要求</w:t>
      </w:r>
      <w:bookmarkEnd w:id="94"/>
      <w:bookmarkEnd w:id="95"/>
      <w:bookmarkEnd w:id="96"/>
    </w:p>
    <w:p w14:paraId="515E840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本项目不接受联合体参与谈判</w:t>
      </w:r>
    </w:p>
    <w:p w14:paraId="025C368F">
      <w:pPr>
        <w:pStyle w:val="4"/>
        <w:widowControl w:val="0"/>
        <w:spacing w:before="0" w:after="0" w:line="440" w:lineRule="exact"/>
        <w:ind w:firstLine="422" w:firstLineChars="200"/>
        <w:rPr>
          <w:rFonts w:ascii="宋体" w:hAnsi="宋体" w:cs="宋体"/>
          <w:color w:val="auto"/>
          <w:sz w:val="21"/>
          <w:szCs w:val="21"/>
          <w:highlight w:val="none"/>
        </w:rPr>
      </w:pPr>
      <w:bookmarkStart w:id="97" w:name="_Toc3872"/>
      <w:bookmarkStart w:id="98" w:name="_Toc18940"/>
      <w:bookmarkStart w:id="99" w:name="_Toc4152"/>
      <w:r>
        <w:rPr>
          <w:rFonts w:hint="eastAsia" w:ascii="宋体" w:hAnsi="宋体" w:cs="宋体"/>
          <w:color w:val="auto"/>
          <w:sz w:val="21"/>
          <w:szCs w:val="21"/>
          <w:highlight w:val="none"/>
        </w:rPr>
        <w:t>6. 询问、质疑和投诉</w:t>
      </w:r>
      <w:bookmarkEnd w:id="97"/>
      <w:bookmarkEnd w:id="98"/>
      <w:bookmarkEnd w:id="99"/>
    </w:p>
    <w:p w14:paraId="56F7C5A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6.1供应商对政府采购活动事项有疑问的，可以向采购人或者采购代理机构提出询问，采购人或者采购代理机构应当在3个工作日内对供应商依法提出的询问作出答复。</w:t>
      </w:r>
    </w:p>
    <w:p w14:paraId="76908CE3">
      <w:pPr>
        <w:spacing w:line="440" w:lineRule="exact"/>
        <w:ind w:firstLine="420" w:firstLineChars="200"/>
        <w:rPr>
          <w:rFonts w:ascii="宋体" w:hAnsi="宋体" w:cs="宋体"/>
          <w:color w:val="auto"/>
          <w:highlight w:val="none"/>
          <w:shd w:val="clear" w:color="auto" w:fill="FFFFFF"/>
        </w:rPr>
      </w:pPr>
      <w:r>
        <w:rPr>
          <w:rFonts w:hint="eastAsia" w:ascii="宋体" w:hAnsi="宋体" w:cs="宋体"/>
          <w:color w:val="auto"/>
          <w:highlight w:val="none"/>
        </w:rPr>
        <w:t>6.2供应商认为谈判文件、采购过程或者成交结果使自己的合法权益受到损害的，应当在知道或者应知其权益受到损害之日起7个工作日内，以书面形式向采购人或者采购代理机构提出质疑，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w:t>
      </w:r>
    </w:p>
    <w:p w14:paraId="378A80DE">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（1）接收质疑函方式：以书面形式</w:t>
      </w:r>
    </w:p>
    <w:p w14:paraId="5C9342A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（2）质疑联系部门及联系方式：</w:t>
      </w:r>
    </w:p>
    <w:p w14:paraId="75FFA095">
      <w:pPr>
        <w:spacing w:line="440" w:lineRule="exact"/>
        <w:ind w:firstLine="1050" w:firstLineChars="500"/>
        <w:rPr>
          <w:rFonts w:ascii="宋体" w:hAnsi="宋体" w:cs="宋体"/>
          <w:color w:val="auto"/>
          <w:highlight w:val="none"/>
        </w:rPr>
      </w:pPr>
      <w:r>
        <w:rPr>
          <w:rFonts w:hint="eastAsia" w:ascii="宋体" w:hAnsi="宋体" w:cs="宋体"/>
          <w:color w:val="auto"/>
          <w:highlight w:val="none"/>
        </w:rPr>
        <w:t>1）名称：阳朔县公路建设养护中心</w:t>
      </w:r>
    </w:p>
    <w:p w14:paraId="0D67C1D9">
      <w:pPr>
        <w:spacing w:line="440" w:lineRule="exact"/>
        <w:ind w:firstLine="1379" w:firstLineChars="657"/>
        <w:rPr>
          <w:rFonts w:hint="eastAsia" w:ascii="宋体" w:hAnsi="宋体" w:cs="宋体"/>
          <w:color w:val="auto"/>
          <w:highlight w:val="none"/>
        </w:rPr>
      </w:pPr>
      <w:r>
        <w:rPr>
          <w:rFonts w:hint="eastAsia" w:ascii="宋体" w:hAnsi="宋体" w:cs="宋体"/>
          <w:color w:val="auto"/>
          <w:highlight w:val="none"/>
        </w:rPr>
        <w:t>联系电话：0773-8828056</w:t>
      </w:r>
    </w:p>
    <w:p w14:paraId="6F028AFA">
      <w:pPr>
        <w:spacing w:line="440" w:lineRule="exact"/>
        <w:ind w:firstLine="1379" w:firstLineChars="657"/>
        <w:rPr>
          <w:rFonts w:ascii="宋体" w:hAnsi="宋体" w:cs="宋体"/>
          <w:color w:val="auto"/>
          <w:highlight w:val="none"/>
        </w:rPr>
      </w:pPr>
      <w:r>
        <w:rPr>
          <w:rFonts w:hint="eastAsia" w:ascii="宋体" w:hAnsi="宋体" w:cs="宋体"/>
          <w:color w:val="auto"/>
          <w:highlight w:val="none"/>
        </w:rPr>
        <w:t>通讯地址：</w:t>
      </w:r>
      <w:r>
        <w:rPr>
          <w:rFonts w:hint="eastAsia" w:ascii="宋体" w:hAnsi="宋体" w:cs="宋体"/>
          <w:color w:val="auto"/>
          <w:szCs w:val="21"/>
          <w:highlight w:val="none"/>
        </w:rPr>
        <w:t>桂林市阳朔县荆凤路55号</w:t>
      </w:r>
      <w:r>
        <w:rPr>
          <w:rFonts w:hint="eastAsia" w:ascii="宋体" w:hAnsi="宋体" w:cs="宋体"/>
          <w:color w:val="auto"/>
          <w:kern w:val="0"/>
          <w:szCs w:val="21"/>
          <w:highlight w:val="none"/>
        </w:rPr>
        <w:t xml:space="preserve">  </w:t>
      </w:r>
    </w:p>
    <w:p w14:paraId="313F4E57">
      <w:pPr>
        <w:spacing w:line="440" w:lineRule="exact"/>
        <w:ind w:firstLine="1050" w:firstLineChars="500"/>
        <w:rPr>
          <w:rFonts w:ascii="宋体" w:hAnsi="宋体" w:cs="宋体"/>
          <w:color w:val="auto"/>
          <w:highlight w:val="none"/>
        </w:rPr>
      </w:pPr>
      <w:r>
        <w:rPr>
          <w:rFonts w:hint="eastAsia" w:ascii="宋体" w:hAnsi="宋体" w:cs="宋体"/>
          <w:color w:val="auto"/>
          <w:highlight w:val="none"/>
        </w:rPr>
        <w:t>2）名称：广西合士嘉项目咨询有限公司</w:t>
      </w:r>
    </w:p>
    <w:p w14:paraId="58448887">
      <w:pPr>
        <w:spacing w:line="440" w:lineRule="exact"/>
        <w:ind w:firstLine="1379" w:firstLineChars="657"/>
        <w:rPr>
          <w:rFonts w:ascii="宋体" w:hAnsi="宋体" w:cs="宋体"/>
          <w:color w:val="auto"/>
          <w:highlight w:val="none"/>
        </w:rPr>
      </w:pPr>
      <w:r>
        <w:rPr>
          <w:rFonts w:hint="eastAsia" w:ascii="宋体" w:hAnsi="宋体" w:cs="宋体"/>
          <w:color w:val="auto"/>
          <w:highlight w:val="none"/>
        </w:rPr>
        <w:t>联系电话：0773-5636767</w:t>
      </w:r>
    </w:p>
    <w:p w14:paraId="5E91AADF">
      <w:pPr>
        <w:spacing w:line="440" w:lineRule="exact"/>
        <w:ind w:firstLine="1379" w:firstLineChars="657"/>
        <w:rPr>
          <w:rFonts w:ascii="宋体" w:hAnsi="宋体" w:cs="宋体"/>
          <w:color w:val="auto"/>
          <w:highlight w:val="none"/>
        </w:rPr>
      </w:pPr>
      <w:r>
        <w:rPr>
          <w:rFonts w:hint="eastAsia" w:ascii="宋体" w:hAnsi="宋体" w:cs="宋体"/>
          <w:color w:val="auto"/>
          <w:highlight w:val="none"/>
        </w:rPr>
        <w:t>通讯地址：</w:t>
      </w:r>
      <w:r>
        <w:rPr>
          <w:rFonts w:hint="eastAsia" w:ascii="宋体" w:hAnsi="宋体" w:cs="宋体"/>
          <w:color w:val="auto"/>
          <w:szCs w:val="21"/>
          <w:highlight w:val="none"/>
          <w:shd w:val="clear" w:color="auto" w:fill="FFFFFF"/>
        </w:rPr>
        <w:t>桂林市临桂区鲁山路39号西城雅居旁</w:t>
      </w:r>
    </w:p>
    <w:p w14:paraId="44D5D13F">
      <w:pPr>
        <w:spacing w:line="440" w:lineRule="exact"/>
        <w:ind w:firstLine="420" w:firstLineChars="200"/>
        <w:rPr>
          <w:rFonts w:ascii="宋体" w:hAnsi="宋体" w:cs="宋体"/>
          <w:b/>
          <w:color w:val="auto"/>
          <w:szCs w:val="21"/>
          <w:highlight w:val="none"/>
        </w:rPr>
      </w:pPr>
      <w:r>
        <w:rPr>
          <w:rFonts w:hint="eastAsia" w:ascii="宋体" w:hAnsi="宋体" w:cs="宋体"/>
          <w:color w:val="auto"/>
          <w:highlight w:val="none"/>
        </w:rPr>
        <w:t>（3）现场提交质疑办理业务时间：质疑期内每个工作日（北京时间）上午09 时00分到12时00分，下午14时00分到17时00分。</w:t>
      </w:r>
    </w:p>
    <w:p w14:paraId="27082B52">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具体质疑起算时间及处理方式如下： </w:t>
      </w:r>
    </w:p>
    <w:p w14:paraId="74436771">
      <w:pPr>
        <w:spacing w:line="440" w:lineRule="exact"/>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（1）潜在供应商依法获取采购文件后，认为采购文件使自己的权益受到损害的，应当在竞标确认函确认竞标之日起7个工作日内提出质疑。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对竞争性谈判文件中采购需求（含资格要求、采购预算和评分办法）的质疑由采购人受理并负责答复；对竞争性谈判文件中的采购执行程序的质疑由采购代理机构受理并负责答复。</w:t>
      </w:r>
    </w:p>
    <w:p w14:paraId="59C52C44">
      <w:pPr>
        <w:spacing w:line="440" w:lineRule="exact"/>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5A5FEE36">
      <w:pPr>
        <w:spacing w:line="440" w:lineRule="exact"/>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53AF0D0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6.3供应商提出的询问或者质疑超出采购人对采购代理机构委托授权范围的，采购代理机构应当告知供应商向采购人提出。政府采购评审专家应当配合采购人或者采购代理机构答复供应商的询问和质疑。</w:t>
      </w:r>
    </w:p>
    <w:p w14:paraId="021C3F84">
      <w:pPr>
        <w:spacing w:line="440" w:lineRule="exact"/>
        <w:ind w:firstLine="422" w:firstLineChars="200"/>
        <w:rPr>
          <w:rFonts w:ascii="宋体" w:hAnsi="宋体" w:cs="宋体"/>
          <w:color w:val="auto"/>
          <w:highlight w:val="none"/>
        </w:rPr>
      </w:pPr>
      <w:r>
        <w:rPr>
          <w:rFonts w:hint="eastAsia" w:ascii="宋体" w:hAnsi="宋体" w:cs="宋体"/>
          <w:b/>
          <w:bCs/>
          <w:color w:val="auto"/>
          <w:highlight w:val="none"/>
        </w:rPr>
        <w:t>6.4 供应商提出质疑应当提交质疑函和必要的证明材料，针对同一采购程序环节的质疑必须在法定质疑期内一次性提出。质疑函应当包括下列内容（质疑函格式后附）：</w:t>
      </w:r>
    </w:p>
    <w:p w14:paraId="13C1ADC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EE327C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6B00CA3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1F6B2F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（4）事实依据；</w:t>
      </w:r>
    </w:p>
    <w:p w14:paraId="7B7164E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C244AD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DE6DB3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AF68CC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6.5采购人、采购代理机构认为供应商质疑不成立，或者成立但未对成交结果构成影响的，继续开展采购活动；认为供应商质疑成立且影响或者可能影响成交结果的，按照下列情况处理：</w:t>
      </w:r>
    </w:p>
    <w:p w14:paraId="5BCA9CA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C63E38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248BED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0D761FF">
      <w:pPr>
        <w:tabs>
          <w:tab w:val="left" w:pos="2190"/>
        </w:tabs>
        <w:spacing w:line="440" w:lineRule="exact"/>
        <w:ind w:firstLine="435"/>
        <w:rPr>
          <w:rFonts w:ascii="宋体" w:hAnsi="宋体" w:cs="宋体"/>
          <w:b/>
          <w:bCs/>
          <w:color w:val="auto"/>
          <w:highlight w:val="none"/>
        </w:rPr>
      </w:pPr>
      <w:r>
        <w:rPr>
          <w:rFonts w:hint="eastAsia" w:ascii="宋体" w:hAnsi="宋体" w:cs="宋体"/>
          <w:b/>
          <w:bCs/>
          <w:color w:val="auto"/>
          <w:highlight w:val="none"/>
        </w:rPr>
        <w:t>6.6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w:t>
      </w:r>
    </w:p>
    <w:p w14:paraId="5AAB7DF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（1）受理方式：</w:t>
      </w:r>
    </w:p>
    <w:p w14:paraId="64414BE4">
      <w:pPr>
        <w:spacing w:line="440" w:lineRule="exact"/>
        <w:ind w:firstLine="938" w:firstLineChars="447"/>
        <w:rPr>
          <w:rFonts w:ascii="宋体" w:hAnsi="宋体" w:cs="宋体"/>
          <w:color w:val="auto"/>
          <w:highlight w:val="none"/>
        </w:rPr>
      </w:pPr>
      <w:r>
        <w:rPr>
          <w:rFonts w:hint="eastAsia" w:ascii="宋体" w:hAnsi="宋体" w:cs="宋体"/>
          <w:color w:val="auto"/>
          <w:highlight w:val="none"/>
        </w:rPr>
        <w:t>纸质方式受理，投诉书正、副本（经过质疑的事项才可投诉）。</w:t>
      </w:r>
    </w:p>
    <w:p w14:paraId="2240D55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（2）通讯方式：</w:t>
      </w:r>
    </w:p>
    <w:p w14:paraId="11E6EEC8">
      <w:pPr>
        <w:spacing w:line="440" w:lineRule="exact"/>
        <w:ind w:firstLine="938" w:firstLineChars="447"/>
        <w:rPr>
          <w:rFonts w:ascii="宋体" w:hAnsi="宋体" w:cs="宋体"/>
          <w:color w:val="auto"/>
          <w:highlight w:val="none"/>
        </w:rPr>
      </w:pPr>
      <w:r>
        <w:rPr>
          <w:rFonts w:hint="eastAsia" w:ascii="宋体" w:hAnsi="宋体" w:cs="宋体"/>
          <w:color w:val="auto"/>
          <w:highlight w:val="none"/>
        </w:rPr>
        <w:t xml:space="preserve">名称：   </w:t>
      </w:r>
    </w:p>
    <w:p w14:paraId="0796F6C5">
      <w:pPr>
        <w:spacing w:line="440" w:lineRule="exact"/>
        <w:ind w:firstLine="938" w:firstLineChars="447"/>
        <w:rPr>
          <w:rFonts w:ascii="宋体" w:hAnsi="宋体" w:cs="宋体"/>
          <w:color w:val="auto"/>
          <w:highlight w:val="none"/>
        </w:rPr>
      </w:pPr>
      <w:r>
        <w:rPr>
          <w:rFonts w:hint="eastAsia" w:ascii="宋体" w:hAnsi="宋体" w:cs="宋体"/>
          <w:color w:val="auto"/>
          <w:highlight w:val="none"/>
        </w:rPr>
        <w:t xml:space="preserve">地址：   </w:t>
      </w:r>
    </w:p>
    <w:p w14:paraId="2F09CAAD">
      <w:pPr>
        <w:spacing w:line="440" w:lineRule="exact"/>
        <w:ind w:firstLine="938" w:firstLineChars="447"/>
        <w:rPr>
          <w:rFonts w:ascii="宋体" w:hAnsi="宋体" w:cs="宋体"/>
          <w:color w:val="auto"/>
          <w:highlight w:val="none"/>
        </w:rPr>
      </w:pPr>
      <w:r>
        <w:rPr>
          <w:rFonts w:hint="eastAsia" w:ascii="宋体" w:hAnsi="宋体" w:cs="宋体"/>
          <w:color w:val="auto"/>
          <w:highlight w:val="none"/>
        </w:rPr>
        <w:t xml:space="preserve">联系电话：   </w:t>
      </w:r>
    </w:p>
    <w:p w14:paraId="44CB53B7">
      <w:pPr>
        <w:pStyle w:val="4"/>
        <w:widowControl w:val="0"/>
        <w:spacing w:before="0" w:after="0" w:line="440" w:lineRule="exact"/>
        <w:ind w:firstLine="422" w:firstLineChars="200"/>
        <w:rPr>
          <w:rFonts w:ascii="宋体" w:hAnsi="宋体" w:cs="宋体"/>
          <w:color w:val="auto"/>
          <w:sz w:val="21"/>
          <w:szCs w:val="21"/>
          <w:highlight w:val="none"/>
        </w:rPr>
      </w:pPr>
      <w:bookmarkStart w:id="100" w:name="_Toc6998"/>
      <w:bookmarkStart w:id="101" w:name="_Toc1647"/>
      <w:bookmarkStart w:id="102" w:name="_Toc5032"/>
      <w:r>
        <w:rPr>
          <w:rFonts w:hint="eastAsia" w:ascii="宋体" w:hAnsi="宋体" w:cs="宋体"/>
          <w:color w:val="auto"/>
          <w:sz w:val="21"/>
          <w:szCs w:val="21"/>
          <w:highlight w:val="none"/>
        </w:rPr>
        <w:t>7. 转包与分包</w:t>
      </w:r>
      <w:bookmarkEnd w:id="100"/>
      <w:bookmarkEnd w:id="101"/>
      <w:bookmarkEnd w:id="102"/>
    </w:p>
    <w:p w14:paraId="2A045F9F">
      <w:pPr>
        <w:tabs>
          <w:tab w:val="left" w:pos="2190"/>
        </w:tabs>
        <w:spacing w:line="440" w:lineRule="exact"/>
        <w:ind w:firstLine="420" w:firstLineChars="200"/>
        <w:rPr>
          <w:rFonts w:ascii="宋体" w:hAnsi="宋体" w:cs="宋体"/>
          <w:color w:val="auto"/>
          <w:kern w:val="0"/>
          <w:szCs w:val="21"/>
          <w:highlight w:val="none"/>
          <w:shd w:val="clear" w:color="auto" w:fill="FFFFFF"/>
          <w:lang w:bidi="ar"/>
        </w:rPr>
      </w:pPr>
      <w:r>
        <w:rPr>
          <w:rFonts w:hint="eastAsia" w:ascii="宋体" w:hAnsi="宋体" w:cs="宋体"/>
          <w:color w:val="auto"/>
          <w:szCs w:val="21"/>
          <w:highlight w:val="none"/>
        </w:rPr>
        <w:t>7</w:t>
      </w:r>
      <w:r>
        <w:rPr>
          <w:rFonts w:hint="eastAsia" w:ascii="宋体" w:hAnsi="宋体" w:cs="宋体"/>
          <w:color w:val="auto"/>
          <w:kern w:val="0"/>
          <w:szCs w:val="21"/>
          <w:highlight w:val="none"/>
          <w:shd w:val="clear" w:color="auto" w:fill="FFFFFF"/>
          <w:lang w:bidi="ar"/>
        </w:rPr>
        <w:t>.1 本项目不允许转包。</w:t>
      </w:r>
    </w:p>
    <w:p w14:paraId="5FC43E5F">
      <w:pPr>
        <w:tabs>
          <w:tab w:val="left" w:pos="2190"/>
        </w:tabs>
        <w:spacing w:line="440" w:lineRule="exact"/>
        <w:ind w:firstLine="420" w:firstLineChars="200"/>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7.2 本项目不可以分包。</w:t>
      </w:r>
    </w:p>
    <w:p w14:paraId="24D4822E">
      <w:pPr>
        <w:tabs>
          <w:tab w:val="left" w:pos="2190"/>
        </w:tabs>
        <w:spacing w:line="440" w:lineRule="exact"/>
        <w:ind w:firstLine="420" w:firstLineChars="200"/>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7.3本项目不允许挂靠。</w:t>
      </w:r>
    </w:p>
    <w:p w14:paraId="7AF77E38">
      <w:pPr>
        <w:tabs>
          <w:tab w:val="left" w:pos="2190"/>
        </w:tabs>
        <w:spacing w:line="440" w:lineRule="exact"/>
        <w:ind w:firstLine="420" w:firstLineChars="200"/>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7.4如发现有以上行为，采购人有权终止合同，所有损失由成交供应商承担。</w:t>
      </w:r>
    </w:p>
    <w:p w14:paraId="6F917019">
      <w:pPr>
        <w:pStyle w:val="4"/>
        <w:widowControl w:val="0"/>
        <w:spacing w:before="0" w:after="0" w:line="440" w:lineRule="exact"/>
        <w:ind w:firstLine="422" w:firstLineChars="200"/>
        <w:rPr>
          <w:rFonts w:ascii="宋体" w:hAnsi="宋体" w:cs="宋体"/>
          <w:color w:val="auto"/>
          <w:sz w:val="21"/>
          <w:szCs w:val="21"/>
          <w:highlight w:val="none"/>
        </w:rPr>
      </w:pPr>
      <w:bookmarkStart w:id="103" w:name="_Toc3368"/>
      <w:bookmarkStart w:id="104" w:name="_Toc15097"/>
      <w:bookmarkStart w:id="105" w:name="_Toc18531"/>
      <w:r>
        <w:rPr>
          <w:rFonts w:hint="eastAsia" w:ascii="宋体" w:hAnsi="宋体" w:cs="宋体"/>
          <w:color w:val="auto"/>
          <w:sz w:val="21"/>
          <w:szCs w:val="21"/>
          <w:highlight w:val="none"/>
        </w:rPr>
        <w:t>8. 特别说明</w:t>
      </w:r>
      <w:bookmarkEnd w:id="103"/>
      <w:bookmarkEnd w:id="104"/>
      <w:bookmarkEnd w:id="105"/>
    </w:p>
    <w:p w14:paraId="2C2D3149">
      <w:pPr>
        <w:tabs>
          <w:tab w:val="left" w:pos="1635"/>
        </w:tabs>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8.1关联供应商不得参加同一合同项下政府采购活动，否则响应文件将被视为无效：</w:t>
      </w:r>
    </w:p>
    <w:p w14:paraId="4FAE41D0">
      <w:pPr>
        <w:tabs>
          <w:tab w:val="left" w:pos="163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（1）单位负责人为同一人或者存在直接控股、管理关系的，不得参加同一合同项下的政府采购活动。</w:t>
      </w:r>
    </w:p>
    <w:p w14:paraId="3CB91825">
      <w:pPr>
        <w:tabs>
          <w:tab w:val="left" w:pos="163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2FFC28D0">
      <w:pPr>
        <w:pStyle w:val="19"/>
        <w:spacing w:line="440" w:lineRule="exact"/>
        <w:rPr>
          <w:rFonts w:ascii="宋体" w:hAnsi="宋体" w:cs="宋体"/>
          <w:color w:val="auto"/>
          <w:highlight w:val="none"/>
        </w:rPr>
      </w:pPr>
    </w:p>
    <w:p w14:paraId="546E717D">
      <w:pPr>
        <w:pStyle w:val="2"/>
        <w:tabs>
          <w:tab w:val="left" w:pos="567"/>
        </w:tabs>
        <w:spacing w:line="440" w:lineRule="exact"/>
        <w:jc w:val="center"/>
        <w:rPr>
          <w:rFonts w:ascii="宋体" w:hAnsi="宋体" w:cs="宋体"/>
          <w:bCs w:val="0"/>
          <w:color w:val="auto"/>
          <w:szCs w:val="28"/>
          <w:highlight w:val="none"/>
        </w:rPr>
      </w:pPr>
      <w:bookmarkStart w:id="106" w:name="_Toc29496"/>
      <w:bookmarkStart w:id="107" w:name="_Toc8573"/>
      <w:bookmarkStart w:id="108" w:name="_Toc16417"/>
      <w:bookmarkStart w:id="109" w:name="_Toc22498"/>
      <w:r>
        <w:rPr>
          <w:rFonts w:hint="eastAsia" w:ascii="宋体" w:hAnsi="宋体" w:cs="宋体"/>
          <w:bCs w:val="0"/>
          <w:color w:val="auto"/>
          <w:szCs w:val="28"/>
          <w:highlight w:val="none"/>
        </w:rPr>
        <w:t>二、谈判文件</w:t>
      </w:r>
      <w:bookmarkEnd w:id="106"/>
      <w:bookmarkEnd w:id="107"/>
      <w:bookmarkEnd w:id="108"/>
      <w:bookmarkEnd w:id="109"/>
    </w:p>
    <w:p w14:paraId="6BEC2953">
      <w:pPr>
        <w:pStyle w:val="4"/>
        <w:widowControl w:val="0"/>
        <w:spacing w:before="0" w:after="0" w:line="440" w:lineRule="exact"/>
        <w:ind w:firstLine="422" w:firstLineChars="200"/>
        <w:rPr>
          <w:rFonts w:ascii="宋体" w:hAnsi="宋体" w:cs="宋体"/>
          <w:color w:val="auto"/>
          <w:sz w:val="21"/>
          <w:szCs w:val="21"/>
          <w:highlight w:val="none"/>
          <w:lang w:val="pt-BR"/>
        </w:rPr>
      </w:pPr>
      <w:bookmarkStart w:id="110" w:name="_Toc20057"/>
      <w:bookmarkStart w:id="111" w:name="_Toc10431"/>
      <w:bookmarkStart w:id="112" w:name="_Toc18964"/>
      <w:r>
        <w:rPr>
          <w:rFonts w:hint="eastAsia" w:ascii="宋体" w:hAnsi="宋体" w:cs="宋体"/>
          <w:color w:val="auto"/>
          <w:sz w:val="21"/>
          <w:szCs w:val="21"/>
          <w:highlight w:val="none"/>
          <w:lang w:val="pt-BR"/>
        </w:rPr>
        <w:t xml:space="preserve">9. </w:t>
      </w:r>
      <w:r>
        <w:rPr>
          <w:rFonts w:hint="eastAsia" w:ascii="宋体" w:hAnsi="宋体" w:cs="宋体"/>
          <w:color w:val="auto"/>
          <w:sz w:val="21"/>
          <w:szCs w:val="21"/>
          <w:highlight w:val="none"/>
        </w:rPr>
        <w:t>谈判文件的构成</w:t>
      </w:r>
      <w:bookmarkEnd w:id="110"/>
      <w:bookmarkEnd w:id="111"/>
      <w:bookmarkEnd w:id="112"/>
    </w:p>
    <w:p w14:paraId="68382FD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（1）竞争性谈判公告；</w:t>
      </w:r>
    </w:p>
    <w:p w14:paraId="12B2A03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（2）供应商须知；</w:t>
      </w:r>
    </w:p>
    <w:p w14:paraId="685B322F">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（3）工程量清单及图纸</w:t>
      </w:r>
      <w:r>
        <w:rPr>
          <w:rFonts w:hint="eastAsia" w:ascii="宋体" w:hAnsi="宋体" w:cs="宋体"/>
          <w:bCs/>
          <w:color w:val="auto"/>
          <w:szCs w:val="21"/>
          <w:highlight w:val="none"/>
        </w:rPr>
        <w:t>；</w:t>
      </w:r>
    </w:p>
    <w:p w14:paraId="07B6432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（4）评审办法；</w:t>
      </w:r>
    </w:p>
    <w:p w14:paraId="57C6508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3E03F89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（6）响应文件（格式）；</w:t>
      </w:r>
    </w:p>
    <w:p w14:paraId="4586BFDA">
      <w:pPr>
        <w:spacing w:line="440" w:lineRule="exact"/>
        <w:ind w:firstLine="420" w:firstLineChars="200"/>
        <w:rPr>
          <w:rFonts w:ascii="宋体" w:hAnsi="宋体" w:cs="宋体"/>
          <w:color w:val="auto"/>
          <w:szCs w:val="21"/>
          <w:highlight w:val="none"/>
        </w:rPr>
      </w:pPr>
      <w:bookmarkStart w:id="113" w:name="_Toc9103"/>
      <w:r>
        <w:rPr>
          <w:rFonts w:hint="eastAsia" w:ascii="宋体" w:hAnsi="宋体" w:cs="宋体"/>
          <w:color w:val="auto"/>
          <w:szCs w:val="21"/>
          <w:highlight w:val="none"/>
        </w:rPr>
        <w:t>（7）技术规范和标准。</w:t>
      </w:r>
    </w:p>
    <w:p w14:paraId="5F38ED77">
      <w:pPr>
        <w:pStyle w:val="4"/>
        <w:widowControl w:val="0"/>
        <w:spacing w:before="0" w:after="0" w:line="440" w:lineRule="exact"/>
        <w:ind w:firstLine="422" w:firstLineChars="200"/>
        <w:rPr>
          <w:rFonts w:ascii="宋体" w:hAnsi="宋体" w:cs="宋体"/>
          <w:color w:val="auto"/>
          <w:sz w:val="21"/>
          <w:szCs w:val="21"/>
          <w:highlight w:val="none"/>
        </w:rPr>
      </w:pPr>
      <w:bookmarkStart w:id="114" w:name="_Toc17932"/>
      <w:bookmarkStart w:id="115" w:name="_Toc19703"/>
      <w:r>
        <w:rPr>
          <w:rFonts w:hint="eastAsia" w:ascii="宋体" w:hAnsi="宋体" w:cs="宋体"/>
          <w:color w:val="auto"/>
          <w:sz w:val="21"/>
          <w:szCs w:val="21"/>
          <w:highlight w:val="none"/>
        </w:rPr>
        <w:t>10. 谈判文件的澄清与修改</w:t>
      </w:r>
      <w:bookmarkEnd w:id="113"/>
      <w:bookmarkEnd w:id="114"/>
      <w:bookmarkEnd w:id="115"/>
    </w:p>
    <w:p w14:paraId="39BC5B7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 提交首次响应文件截止之日前，采购代理机构可以对已发出的谈判文件进行必要澄清、答复、修改或补充，澄清或者修改的内容可能影响响应文件编制的，澄清或者修改的内容作为谈判文件的组成部分。采购代理机构应当在提交首次响应文件递交截止时间3个工作日前在本项目竞争性谈判公告发布的同一媒体上发布更正公告，不足3个工作日的，应当顺延首次响应文件递交截止时间。</w:t>
      </w:r>
    </w:p>
    <w:p w14:paraId="72C4EB62">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10.2</w:t>
      </w:r>
      <w:r>
        <w:rPr>
          <w:rFonts w:hint="eastAsia" w:ascii="宋体" w:hAnsi="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7B8EEB0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10.3澄清或者修改的内容为谈判文件的组成部分。当澄清或者修改通知就同一内容的表述不一致时，以最后发出的文件为准。</w:t>
      </w:r>
    </w:p>
    <w:p w14:paraId="200286D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10.4 谈判文件的澄清或者修改都应该通过本项目采购代理机构以法定形式发布，采购人非通过本机构，不得擅自澄清或者修改谈判文件。</w:t>
      </w:r>
    </w:p>
    <w:p w14:paraId="52DCADF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10.5采购单位可以视采购具体情况，延长响应文件截止时间和谈判时间，在本项目竞争性谈判公告发布的同一媒体上发布变更公告。</w:t>
      </w:r>
    </w:p>
    <w:p w14:paraId="2B05C27A">
      <w:pPr>
        <w:pStyle w:val="367"/>
        <w:spacing w:line="440" w:lineRule="exact"/>
        <w:rPr>
          <w:rFonts w:ascii="宋体" w:hAnsi="宋体" w:cs="宋体"/>
          <w:color w:val="auto"/>
          <w:highlight w:val="none"/>
        </w:rPr>
      </w:pPr>
    </w:p>
    <w:p w14:paraId="035E8AA2">
      <w:pPr>
        <w:pStyle w:val="2"/>
        <w:tabs>
          <w:tab w:val="left" w:pos="567"/>
        </w:tabs>
        <w:spacing w:line="440" w:lineRule="exact"/>
        <w:jc w:val="center"/>
        <w:rPr>
          <w:rFonts w:ascii="宋体" w:hAnsi="宋体" w:cs="宋体"/>
          <w:bCs w:val="0"/>
          <w:color w:val="auto"/>
          <w:szCs w:val="28"/>
          <w:highlight w:val="none"/>
        </w:rPr>
      </w:pPr>
      <w:bookmarkStart w:id="116" w:name="_Toc7494"/>
      <w:bookmarkStart w:id="117" w:name="_Toc17820"/>
      <w:bookmarkStart w:id="118" w:name="_Toc20830"/>
      <w:bookmarkStart w:id="119" w:name="_Toc21873"/>
      <w:r>
        <w:rPr>
          <w:rFonts w:hint="eastAsia" w:ascii="宋体" w:hAnsi="宋体" w:cs="宋体"/>
          <w:bCs w:val="0"/>
          <w:color w:val="auto"/>
          <w:szCs w:val="28"/>
          <w:highlight w:val="none"/>
        </w:rPr>
        <w:t>三、竞争性谈判响应文件的编制</w:t>
      </w:r>
      <w:bookmarkEnd w:id="116"/>
      <w:bookmarkEnd w:id="117"/>
      <w:bookmarkEnd w:id="118"/>
      <w:bookmarkEnd w:id="119"/>
    </w:p>
    <w:p w14:paraId="37229E1C">
      <w:pPr>
        <w:pStyle w:val="4"/>
        <w:widowControl w:val="0"/>
        <w:spacing w:before="0" w:after="0" w:line="440" w:lineRule="exact"/>
        <w:ind w:firstLine="422" w:firstLineChars="200"/>
        <w:rPr>
          <w:rFonts w:ascii="宋体" w:hAnsi="宋体" w:cs="宋体"/>
          <w:color w:val="auto"/>
          <w:sz w:val="21"/>
          <w:szCs w:val="21"/>
          <w:highlight w:val="none"/>
        </w:rPr>
      </w:pPr>
      <w:bookmarkStart w:id="120" w:name="_Toc29864"/>
      <w:bookmarkStart w:id="121" w:name="_Toc19747"/>
      <w:r>
        <w:rPr>
          <w:rFonts w:hint="eastAsia" w:ascii="宋体" w:hAnsi="宋体" w:cs="宋体"/>
          <w:color w:val="auto"/>
          <w:sz w:val="21"/>
          <w:szCs w:val="21"/>
          <w:highlight w:val="none"/>
        </w:rPr>
        <w:t>11.竞争性谈判响应文件编制基本要求</w:t>
      </w:r>
      <w:bookmarkEnd w:id="120"/>
      <w:bookmarkEnd w:id="121"/>
    </w:p>
    <w:p w14:paraId="27281FDE">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11.1 本项目实行电子响应，供应商应准备电子谈判响应文件：</w:t>
      </w:r>
    </w:p>
    <w:p w14:paraId="5DEF8FC6">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11.1.1 电子响应文件按政采云平台要求及本谈判文件要求制作、加密并递交。具体操作流程可参考《政府采购项目电子交易管理操作指南-供应商》，指南可在“http://www.ccgp-guangxi.gov.cn/PurchaseAdvisory/ImportantNotice/2866753.html”下载。</w:t>
      </w:r>
    </w:p>
    <w:p w14:paraId="1CE6265E">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11.2竞争性谈判响应文件（以下简称响应文件）的组成及要求</w:t>
      </w:r>
    </w:p>
    <w:p w14:paraId="1CA16E85">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11.2.1响应文件组成【格式见第六章“响应文件（格式）”，格式外的供应商可自行编制】</w:t>
      </w:r>
    </w:p>
    <w:p w14:paraId="32B11500">
      <w:pPr>
        <w:spacing w:line="440" w:lineRule="exact"/>
        <w:ind w:firstLine="422" w:firstLineChars="200"/>
        <w:outlineLvl w:val="2"/>
        <w:rPr>
          <w:rFonts w:ascii="宋体" w:hAnsi="宋体" w:cs="宋体"/>
          <w:color w:val="auto"/>
          <w:szCs w:val="21"/>
          <w:highlight w:val="none"/>
        </w:rPr>
      </w:pPr>
      <w:bookmarkStart w:id="122" w:name="_Toc22536"/>
      <w:bookmarkStart w:id="123" w:name="_Toc19449"/>
      <w:r>
        <w:rPr>
          <w:rFonts w:hint="eastAsia" w:ascii="宋体" w:hAnsi="宋体" w:cs="宋体"/>
          <w:b/>
          <w:bCs/>
          <w:color w:val="auto"/>
          <w:szCs w:val="21"/>
          <w:highlight w:val="none"/>
        </w:rPr>
        <w:t>11.2.1.1资格性响应证明材料：</w:t>
      </w:r>
      <w:bookmarkEnd w:id="122"/>
      <w:bookmarkEnd w:id="123"/>
    </w:p>
    <w:p w14:paraId="3D79CCD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（1）供应商相应的法定代表人、负责人有效身份证正反两面复印件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F223FCB">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供应商的授权委托书原件、委托代理人有效身份证正反面复印件以及由县级以上（含县级）社会养老保险经办机构出具的供应商为委托代理人交纳的响应文件递交截止时间前半年内任意一个月社保证明复印件；</w:t>
      </w:r>
      <w:r>
        <w:rPr>
          <w:rFonts w:hint="eastAsia" w:ascii="宋体" w:hAnsi="宋体" w:cs="宋体"/>
          <w:b/>
          <w:bCs/>
          <w:color w:val="auto"/>
          <w:szCs w:val="21"/>
          <w:highlight w:val="none"/>
        </w:rPr>
        <w:t>（委托代理时必须提供）；</w:t>
      </w:r>
    </w:p>
    <w:p w14:paraId="5D0912AE">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77070B65">
      <w:pPr>
        <w:numPr>
          <w:ilvl w:val="0"/>
          <w:numId w:val="2"/>
        </w:num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w:t>
      </w:r>
    </w:p>
    <w:p w14:paraId="61FFDF4F">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CF2EE2C">
      <w:pPr>
        <w:numPr>
          <w:ilvl w:val="0"/>
          <w:numId w:val="2"/>
        </w:numPr>
        <w:spacing w:line="440" w:lineRule="exact"/>
        <w:ind w:firstLine="420"/>
        <w:rPr>
          <w:rFonts w:ascii="宋体" w:hAnsi="宋体" w:cs="宋体"/>
          <w:color w:val="auto"/>
          <w:highlight w:val="none"/>
        </w:rPr>
      </w:pPr>
      <w:r>
        <w:rPr>
          <w:rFonts w:hint="eastAsia" w:ascii="宋体" w:hAnsi="宋体" w:cs="宋体"/>
          <w:bCs/>
          <w:color w:val="auto"/>
          <w:kern w:val="0"/>
          <w:szCs w:val="21"/>
          <w:highlight w:val="none"/>
        </w:rPr>
        <w:t>供应商有效的资质证书复印件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1897012B">
      <w:pPr>
        <w:numPr>
          <w:ilvl w:val="0"/>
          <w:numId w:val="2"/>
        </w:numPr>
        <w:spacing w:line="440" w:lineRule="exact"/>
        <w:ind w:firstLine="420"/>
        <w:rPr>
          <w:rFonts w:ascii="宋体" w:hAnsi="宋体" w:cs="宋体"/>
          <w:color w:val="auto"/>
          <w:highlight w:val="none"/>
        </w:rPr>
      </w:pPr>
      <w:r>
        <w:rPr>
          <w:rFonts w:hint="eastAsia" w:asciiTheme="minorEastAsia" w:hAnsiTheme="minorEastAsia" w:eastAsiaTheme="minorEastAsia" w:cstheme="minorEastAsia"/>
          <w:color w:val="auto"/>
          <w:szCs w:val="21"/>
          <w:highlight w:val="none"/>
        </w:rPr>
        <w:t>担任本工程的项目经理简历表</w:t>
      </w:r>
      <w:r>
        <w:rPr>
          <w:rFonts w:hint="eastAsia" w:asciiTheme="minorEastAsia" w:hAnsiTheme="minorEastAsia" w:eastAsiaTheme="minorEastAsia" w:cstheme="minorEastAsia"/>
          <w:b/>
          <w:bCs/>
          <w:color w:val="auto"/>
          <w:szCs w:val="21"/>
          <w:highlight w:val="none"/>
        </w:rPr>
        <w:t>（必须提供）</w:t>
      </w:r>
      <w:r>
        <w:rPr>
          <w:rFonts w:hint="eastAsia" w:ascii="宋体" w:hAnsi="宋体" w:cs="宋体"/>
          <w:color w:val="auto"/>
          <w:szCs w:val="21"/>
          <w:highlight w:val="none"/>
        </w:rPr>
        <w:t>；</w:t>
      </w:r>
    </w:p>
    <w:p w14:paraId="38468DF4">
      <w:pPr>
        <w:numPr>
          <w:ilvl w:val="0"/>
          <w:numId w:val="2"/>
        </w:numPr>
        <w:spacing w:line="440" w:lineRule="exact"/>
        <w:ind w:firstLine="420"/>
        <w:rPr>
          <w:rFonts w:ascii="宋体" w:hAnsi="宋体" w:cs="宋体"/>
          <w:color w:val="auto"/>
          <w:highlight w:val="none"/>
        </w:rPr>
      </w:pPr>
      <w:r>
        <w:rPr>
          <w:rFonts w:hint="eastAsia" w:ascii="宋体" w:hAnsi="宋体" w:cs="宋体"/>
          <w:bCs/>
          <w:color w:val="auto"/>
          <w:kern w:val="0"/>
          <w:szCs w:val="21"/>
          <w:highlight w:val="none"/>
        </w:rPr>
        <w:t>供应商</w:t>
      </w:r>
      <w:r>
        <w:rPr>
          <w:rFonts w:hint="eastAsia" w:ascii="宋体" w:hAnsi="宋体" w:cs="宋体"/>
          <w:color w:val="auto"/>
          <w:szCs w:val="21"/>
          <w:highlight w:val="none"/>
        </w:rPr>
        <w:t>2024年度财务状况报告</w:t>
      </w:r>
      <w:r>
        <w:rPr>
          <w:rFonts w:hint="eastAsia" w:ascii="宋体" w:hAnsi="宋体" w:cs="宋体"/>
          <w:b/>
          <w:bCs/>
          <w:color w:val="auto"/>
          <w:szCs w:val="21"/>
          <w:highlight w:val="none"/>
        </w:rPr>
        <w:t>（必须提供，可以是谈判供应商自行编制也可是通过第三方审计公司编制，如为自行编制至少须提供现金流量表、负债表及利润表）</w:t>
      </w:r>
      <w:r>
        <w:rPr>
          <w:rFonts w:hint="eastAsia" w:ascii="宋体" w:hAnsi="宋体" w:cs="宋体"/>
          <w:color w:val="auto"/>
          <w:szCs w:val="21"/>
          <w:highlight w:val="none"/>
        </w:rPr>
        <w:t>；</w:t>
      </w:r>
    </w:p>
    <w:p w14:paraId="7BBFEA87">
      <w:pPr>
        <w:numPr>
          <w:ilvl w:val="0"/>
          <w:numId w:val="2"/>
        </w:numPr>
        <w:spacing w:line="440" w:lineRule="exact"/>
        <w:ind w:firstLine="420"/>
        <w:rPr>
          <w:rFonts w:ascii="宋体" w:hAnsi="宋体" w:cs="宋体"/>
          <w:color w:val="auto"/>
          <w:highlight w:val="none"/>
        </w:rPr>
      </w:pPr>
      <w:r>
        <w:rPr>
          <w:rFonts w:hint="eastAsia" w:ascii="宋体" w:hAnsi="宋体" w:cs="宋体"/>
          <w:color w:val="auto"/>
          <w:szCs w:val="21"/>
          <w:highlight w:val="none"/>
        </w:rPr>
        <w:t>供应商截止响应文件递交截止时间前半年内任意一个月或任一季度依法缴纳税收的证明材料[增值税缴纳发票(税收完税证明)或企业所得税完税证明或税务部门出具的免税证明]复印件</w:t>
      </w:r>
      <w:r>
        <w:rPr>
          <w:rFonts w:hint="eastAsia" w:ascii="宋体" w:hAnsi="宋体" w:cs="宋体"/>
          <w:b/>
          <w:bCs/>
          <w:color w:val="auto"/>
          <w:szCs w:val="21"/>
          <w:highlight w:val="none"/>
        </w:rPr>
        <w:t>（必须提供）；</w:t>
      </w:r>
    </w:p>
    <w:p w14:paraId="5D4A51A1">
      <w:pPr>
        <w:pStyle w:val="53"/>
        <w:spacing w:line="440" w:lineRule="exact"/>
        <w:ind w:left="0" w:leftChars="0" w:firstLine="422"/>
        <w:outlineLvl w:val="2"/>
        <w:rPr>
          <w:rFonts w:ascii="宋体" w:hAnsi="宋体" w:cs="宋体"/>
          <w:color w:val="auto"/>
          <w:highlight w:val="none"/>
        </w:rPr>
      </w:pPr>
      <w:bookmarkStart w:id="124" w:name="_Toc27875"/>
      <w:bookmarkStart w:id="125" w:name="_Toc27139"/>
      <w:r>
        <w:rPr>
          <w:rFonts w:hint="eastAsia" w:ascii="宋体" w:hAnsi="宋体" w:cs="宋体"/>
          <w:b/>
          <w:bCs/>
          <w:color w:val="auto"/>
          <w:szCs w:val="21"/>
          <w:highlight w:val="none"/>
        </w:rPr>
        <w:t>11.2.1.2符合性响应证明材料：</w:t>
      </w:r>
      <w:bookmarkEnd w:id="124"/>
      <w:bookmarkEnd w:id="125"/>
    </w:p>
    <w:p w14:paraId="32CE71FD">
      <w:pPr>
        <w:spacing w:line="440" w:lineRule="exact"/>
        <w:ind w:firstLine="420" w:firstLineChars="200"/>
        <w:rPr>
          <w:rFonts w:ascii="宋体" w:hAnsi="宋体" w:cs="宋体"/>
          <w:color w:val="auto"/>
          <w:szCs w:val="21"/>
          <w:highlight w:val="none"/>
        </w:rPr>
      </w:pPr>
      <w:bookmarkStart w:id="126" w:name="_Toc16312"/>
      <w:bookmarkStart w:id="127" w:name="_Toc2809"/>
      <w:bookmarkStart w:id="128" w:name="_Toc28932"/>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bookmarkEnd w:id="126"/>
      <w:r>
        <w:rPr>
          <w:rFonts w:hint="eastAsia" w:ascii="宋体" w:hAnsi="宋体" w:cs="宋体"/>
          <w:color w:val="auto"/>
          <w:szCs w:val="21"/>
          <w:highlight w:val="none"/>
        </w:rPr>
        <w:t>；</w:t>
      </w:r>
      <w:bookmarkEnd w:id="127"/>
      <w:bookmarkEnd w:id="128"/>
    </w:p>
    <w:p w14:paraId="52EC5A64">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（2）已标价工程量清单</w:t>
      </w:r>
      <w:r>
        <w:rPr>
          <w:rFonts w:hint="eastAsia" w:ascii="宋体" w:hAnsi="宋体" w:cs="宋体"/>
          <w:b/>
          <w:color w:val="auto"/>
          <w:kern w:val="0"/>
          <w:szCs w:val="21"/>
          <w:highlight w:val="none"/>
        </w:rPr>
        <w:t>（必须提供）</w:t>
      </w:r>
      <w:r>
        <w:rPr>
          <w:rFonts w:hint="eastAsia" w:ascii="宋体" w:hAnsi="宋体" w:cs="宋体"/>
          <w:bCs/>
          <w:color w:val="auto"/>
          <w:kern w:val="0"/>
          <w:szCs w:val="21"/>
          <w:highlight w:val="none"/>
        </w:rPr>
        <w:t>；</w:t>
      </w:r>
    </w:p>
    <w:p w14:paraId="61C516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（3）拟投入本工程主要施工管理人员表</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71165AB2">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kern w:val="0"/>
          <w:szCs w:val="21"/>
          <w:highlight w:val="none"/>
        </w:rPr>
        <w:t>施工组织设计方案</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108161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kern w:val="0"/>
          <w:szCs w:val="21"/>
          <w:highlight w:val="none"/>
        </w:rPr>
        <w:t>工程完工服务承诺书</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AE3C88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Cs/>
          <w:color w:val="auto"/>
          <w:kern w:val="0"/>
          <w:szCs w:val="21"/>
          <w:highlight w:val="none"/>
        </w:rPr>
        <w:t>农民工工资保障金交纳与使用承诺书</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C0EAEB5">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（7）城乡清洁工程渣土清运承诺书</w:t>
      </w:r>
      <w:r>
        <w:rPr>
          <w:rFonts w:hint="eastAsia" w:ascii="宋体" w:hAnsi="宋体" w:cs="宋体"/>
          <w:b/>
          <w:bCs/>
          <w:color w:val="auto"/>
          <w:szCs w:val="21"/>
          <w:highlight w:val="none"/>
        </w:rPr>
        <w:t>（必须提供）</w:t>
      </w:r>
      <w:r>
        <w:rPr>
          <w:rFonts w:hint="eastAsia" w:ascii="宋体" w:hAnsi="宋体" w:cs="宋体"/>
          <w:bCs/>
          <w:color w:val="auto"/>
          <w:kern w:val="0"/>
          <w:szCs w:val="21"/>
          <w:highlight w:val="none"/>
        </w:rPr>
        <w:t>。</w:t>
      </w:r>
    </w:p>
    <w:p w14:paraId="517F8535">
      <w:pPr>
        <w:pStyle w:val="53"/>
        <w:spacing w:line="440" w:lineRule="exact"/>
        <w:ind w:left="0" w:leftChars="0" w:firstLine="422"/>
        <w:outlineLvl w:val="2"/>
        <w:rPr>
          <w:rFonts w:ascii="宋体" w:hAnsi="宋体" w:cs="宋体"/>
          <w:b/>
          <w:bCs/>
          <w:color w:val="auto"/>
          <w:szCs w:val="21"/>
          <w:highlight w:val="none"/>
        </w:rPr>
      </w:pPr>
      <w:bookmarkStart w:id="129" w:name="_Toc21932"/>
      <w:bookmarkStart w:id="130" w:name="_Toc24990"/>
      <w:r>
        <w:rPr>
          <w:rFonts w:hint="eastAsia" w:ascii="宋体" w:hAnsi="宋体" w:cs="宋体"/>
          <w:b/>
          <w:bCs/>
          <w:color w:val="auto"/>
          <w:szCs w:val="21"/>
          <w:highlight w:val="none"/>
        </w:rPr>
        <w:t>11.2.1.3其他有效证明材料</w:t>
      </w:r>
      <w:bookmarkEnd w:id="129"/>
      <w:bookmarkEnd w:id="130"/>
    </w:p>
    <w:p w14:paraId="7429310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b/>
          <w:bCs/>
          <w:color w:val="auto"/>
          <w:szCs w:val="21"/>
          <w:highlight w:val="none"/>
        </w:rPr>
        <w:t>（如有，请提供）；</w:t>
      </w:r>
    </w:p>
    <w:p w14:paraId="7F3FDC87">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highlight w:val="none"/>
        </w:rPr>
        <w:t>（如有，请提供）；</w:t>
      </w:r>
    </w:p>
    <w:p w14:paraId="44AA438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（3）供应商可结合本项目的评审办法视自身情况自行提交其它相关证明材料。</w:t>
      </w:r>
    </w:p>
    <w:p w14:paraId="373A6FB1">
      <w:pPr>
        <w:spacing w:line="440" w:lineRule="exact"/>
        <w:ind w:firstLine="420"/>
        <w:rPr>
          <w:rFonts w:ascii="宋体" w:hAnsi="宋体" w:cs="宋体"/>
          <w:color w:val="auto"/>
          <w:szCs w:val="21"/>
          <w:highlight w:val="none"/>
        </w:rPr>
      </w:pPr>
      <w:r>
        <w:rPr>
          <w:rFonts w:hint="eastAsia" w:ascii="宋体" w:hAnsi="宋体" w:cs="宋体"/>
          <w:b/>
          <w:bCs/>
          <w:color w:val="auto"/>
          <w:szCs w:val="21"/>
          <w:highlight w:val="none"/>
          <w:u w:val="single"/>
        </w:rPr>
        <w:t>供应商</w:t>
      </w:r>
      <w:r>
        <w:rPr>
          <w:rFonts w:hint="eastAsia" w:ascii="宋体" w:hAnsi="宋体" w:cs="宋体"/>
          <w:b/>
          <w:bCs/>
          <w:color w:val="auto"/>
          <w:highlight w:val="none"/>
          <w:u w:val="single"/>
        </w:rPr>
        <w:t>提供的以上“11.2”中相关证明材料属于“必须提供”的文件应加盖谈判供应商CA签章，否则响应无效。</w:t>
      </w:r>
    </w:p>
    <w:p w14:paraId="3307CD4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供应商应按竞争性谈判文件第六章“响应文件（格式）”编制响应文件。</w:t>
      </w:r>
    </w:p>
    <w:p w14:paraId="58A088E4">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w:t>
      </w:r>
    </w:p>
    <w:p w14:paraId="28C6C1E8">
      <w:pPr>
        <w:spacing w:line="44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（1）响</w:t>
      </w:r>
      <w:r>
        <w:rPr>
          <w:rFonts w:hint="eastAsia" w:ascii="宋体" w:hAnsi="宋体" w:cs="宋体"/>
          <w:b/>
          <w:color w:val="auto"/>
          <w:szCs w:val="21"/>
          <w:highlight w:val="none"/>
        </w:rPr>
        <w:t>应文件（电子响应文件），其中电子响应文件中所须加盖公章部分均采用CA签章。若谈判文件中有专门标注的某关联点，并要求供应商在电子响应系统中作出谈判响应的，如供应商未对关联点进行响应或者在响应文件其它内容进行描述，造成电子评审不能查询的责任由供应商自行承担。</w:t>
      </w:r>
    </w:p>
    <w:p w14:paraId="38160F2F">
      <w:pPr>
        <w:numPr>
          <w:ilvl w:val="0"/>
          <w:numId w:val="3"/>
        </w:numPr>
        <w:spacing w:line="44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谈判文件要求法定代表人（负责人）或委托代理人签字的部分必须签字然后扫描或者拍照做成.pdf格式上传（或加盖个人CA签章），无签字的视为响应无效。</w:t>
      </w:r>
    </w:p>
    <w:p w14:paraId="7D78F81F">
      <w:pPr>
        <w:pStyle w:val="4"/>
        <w:widowControl w:val="0"/>
        <w:spacing w:before="0" w:after="0" w:line="440" w:lineRule="exact"/>
        <w:ind w:firstLine="422" w:firstLineChars="200"/>
        <w:rPr>
          <w:rFonts w:ascii="宋体" w:hAnsi="宋体" w:cs="宋体"/>
          <w:color w:val="auto"/>
          <w:sz w:val="21"/>
          <w:szCs w:val="21"/>
          <w:highlight w:val="none"/>
        </w:rPr>
      </w:pPr>
      <w:bookmarkStart w:id="131" w:name="_Toc27669"/>
      <w:bookmarkStart w:id="132" w:name="_Toc2180"/>
      <w:bookmarkStart w:id="133" w:name="_Toc13660"/>
      <w:r>
        <w:rPr>
          <w:rFonts w:hint="eastAsia" w:ascii="宋体" w:hAnsi="宋体" w:cs="宋体"/>
          <w:color w:val="auto"/>
          <w:sz w:val="21"/>
          <w:szCs w:val="21"/>
          <w:highlight w:val="none"/>
        </w:rPr>
        <w:t>12. 响应文件的语言及计量</w:t>
      </w:r>
      <w:bookmarkEnd w:id="131"/>
      <w:bookmarkEnd w:id="132"/>
      <w:bookmarkEnd w:id="133"/>
    </w:p>
    <w:p w14:paraId="127E24D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327BF74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 谈判计量单位，谈判文件已有明确规定的，使用谈判文件规定的计量单位；谈判文件没有规定的，应采用中华人民共和国法定计量单位（货币单位：人民币元），否则视同未响应。</w:t>
      </w:r>
    </w:p>
    <w:p w14:paraId="66D5738A">
      <w:pPr>
        <w:pStyle w:val="4"/>
        <w:widowControl w:val="0"/>
        <w:spacing w:before="0" w:after="0" w:line="440" w:lineRule="exact"/>
        <w:ind w:firstLine="422" w:firstLineChars="200"/>
        <w:rPr>
          <w:rFonts w:ascii="宋体" w:hAnsi="宋体" w:cs="宋体"/>
          <w:color w:val="auto"/>
          <w:sz w:val="21"/>
          <w:szCs w:val="21"/>
          <w:highlight w:val="none"/>
        </w:rPr>
      </w:pPr>
      <w:bookmarkStart w:id="134" w:name="_Toc3058"/>
      <w:bookmarkStart w:id="135" w:name="_Toc8737"/>
      <w:bookmarkStart w:id="136" w:name="_Toc10838"/>
      <w:r>
        <w:rPr>
          <w:rFonts w:hint="eastAsia" w:ascii="宋体" w:hAnsi="宋体" w:cs="宋体"/>
          <w:color w:val="auto"/>
          <w:sz w:val="21"/>
          <w:szCs w:val="21"/>
          <w:highlight w:val="none"/>
        </w:rPr>
        <w:t>13. 谈判报价及</w:t>
      </w:r>
      <w:bookmarkEnd w:id="134"/>
      <w:bookmarkEnd w:id="135"/>
      <w:bookmarkEnd w:id="136"/>
      <w:r>
        <w:rPr>
          <w:rFonts w:hint="eastAsia" w:ascii="宋体" w:hAnsi="宋体" w:cs="宋体"/>
          <w:color w:val="auto"/>
          <w:sz w:val="21"/>
          <w:szCs w:val="21"/>
          <w:highlight w:val="none"/>
        </w:rPr>
        <w:t>最高投标限价</w:t>
      </w:r>
    </w:p>
    <w:p w14:paraId="29025E6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13.1谈判报价应按采购文件中相关附表格式填写；</w:t>
      </w:r>
      <w:r>
        <w:rPr>
          <w:rFonts w:hint="eastAsia" w:ascii="宋体" w:hAnsi="宋体" w:cs="宋体"/>
          <w:color w:val="auto"/>
          <w:szCs w:val="21"/>
          <w:highlight w:val="none"/>
        </w:rPr>
        <w:t>供应商应采用</w:t>
      </w:r>
      <w:r>
        <w:rPr>
          <w:rFonts w:hint="eastAsia" w:ascii="宋体" w:hAnsi="宋体" w:cs="宋体"/>
          <w:bCs/>
          <w:color w:val="auto"/>
          <w:szCs w:val="21"/>
          <w:highlight w:val="none"/>
        </w:rPr>
        <w:t>采购人（采购代理机构）提供的工程量清单进行报价</w:t>
      </w:r>
      <w:r>
        <w:rPr>
          <w:rFonts w:hint="eastAsia" w:ascii="宋体" w:hAnsi="宋体" w:cs="宋体"/>
          <w:color w:val="auto"/>
          <w:szCs w:val="21"/>
          <w:highlight w:val="none"/>
        </w:rPr>
        <w:t>，不得采用总价让利或以百分比让利等形式进行报价</w:t>
      </w:r>
      <w:r>
        <w:rPr>
          <w:rFonts w:hint="eastAsia" w:ascii="宋体" w:hAnsi="宋体" w:cs="宋体"/>
          <w:bCs/>
          <w:color w:val="auto"/>
          <w:szCs w:val="21"/>
          <w:highlight w:val="none"/>
        </w:rPr>
        <w:t>。具体详见供应商须知前附表。</w:t>
      </w:r>
    </w:p>
    <w:p w14:paraId="419DA2B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13.2谈判供应商必须就谈判文件所有内容作完整唯一报价，否则，其谈判将被拒绝。响应文件只允许有一个报价，有选择的或有条件的报价将不予接受。</w:t>
      </w:r>
    </w:p>
    <w:p w14:paraId="510C846A">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13.3谈判报价包括本项目采购范围内一切工程价款的总和；供应商综合考虑在报价中。</w:t>
      </w:r>
    </w:p>
    <w:p w14:paraId="627C07A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13.4响应文件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B287AB1">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按上述勘误修正原则及方法调整或修正响应文件的谈判报价，供应商需签字确认。</w:t>
      </w:r>
    </w:p>
    <w:p w14:paraId="746D13E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13.5未书面退出谈判的供应商在规定时间内提交最后报价，其最后报价超出最高投标限价导致已通过评审的响应文件无效的，在系统平台上按供应商在提交响应文件截止时间后撤回响应文件处理。</w:t>
      </w:r>
    </w:p>
    <w:p w14:paraId="2071DC4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13.6最后谈判报价超出本项目采购预算总金额的将被视为无效谈判。</w:t>
      </w:r>
    </w:p>
    <w:p w14:paraId="6326A74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13.7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4AC132E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13.8谈判供应商应按谈判文件提供的工程量清单计算工程项目的单价和合价。清单中的每一项均需计算填写单价和合价，谈判供应商没有填写单价和合价的项目将不予支付，并认为此项费用已包括在清单的其他单价和合价中。谈判供应商在清单中多报的细目或单价、合价或总额价发包人将不予支持。</w:t>
      </w:r>
    </w:p>
    <w:p w14:paraId="5984963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13.9谈判供应商应对谈判文件中清单所列的各项内容和要求作实质性响应。</w:t>
      </w:r>
    </w:p>
    <w:p w14:paraId="3F86C19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13.10谈判供应商应采用单价对工程量清单进行谈判，不得采用总价让利或以百分比让利等形式进行谈判。</w:t>
      </w:r>
    </w:p>
    <w:p w14:paraId="0FED75B8">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13.11供应商应在规定时间内在政采云系统上提交最后报价，超出谈判小组设定的最后报价时限或其最后报价超出采购预算导致已通过评审的响应文件无效的，按供应商在提交响应文件截止时间后撤回响应文件处理。</w:t>
      </w:r>
    </w:p>
    <w:p w14:paraId="360FA690">
      <w:pPr>
        <w:pStyle w:val="4"/>
        <w:widowControl w:val="0"/>
        <w:spacing w:before="0" w:after="0" w:line="440" w:lineRule="exact"/>
        <w:ind w:firstLine="422" w:firstLineChars="200"/>
        <w:rPr>
          <w:rFonts w:ascii="宋体" w:hAnsi="宋体" w:cs="宋体"/>
          <w:color w:val="auto"/>
          <w:sz w:val="21"/>
          <w:szCs w:val="21"/>
          <w:highlight w:val="none"/>
        </w:rPr>
      </w:pPr>
      <w:bookmarkStart w:id="137" w:name="_Toc26881"/>
      <w:bookmarkStart w:id="138" w:name="_Toc30554"/>
      <w:bookmarkStart w:id="139" w:name="_Toc17365"/>
      <w:r>
        <w:rPr>
          <w:rFonts w:hint="eastAsia" w:ascii="宋体" w:hAnsi="宋体" w:cs="宋体"/>
          <w:color w:val="auto"/>
          <w:sz w:val="21"/>
          <w:szCs w:val="21"/>
          <w:highlight w:val="none"/>
        </w:rPr>
        <w:t>14. 响应文件有效期</w:t>
      </w:r>
      <w:bookmarkEnd w:id="137"/>
      <w:bookmarkEnd w:id="138"/>
      <w:bookmarkEnd w:id="139"/>
    </w:p>
    <w:p w14:paraId="1474650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 响应文件有效期：响应文件递交截止时间之日起90天，有效期不足的响应文件将被拒绝。</w:t>
      </w:r>
    </w:p>
    <w:p w14:paraId="4E96597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61C6987F">
      <w:pPr>
        <w:pStyle w:val="4"/>
        <w:widowControl w:val="0"/>
        <w:spacing w:before="0" w:after="0" w:line="440" w:lineRule="exact"/>
        <w:ind w:firstLine="422" w:firstLineChars="200"/>
        <w:rPr>
          <w:rFonts w:ascii="宋体" w:hAnsi="宋体" w:cs="宋体"/>
          <w:color w:val="auto"/>
          <w:sz w:val="21"/>
          <w:szCs w:val="21"/>
          <w:highlight w:val="none"/>
        </w:rPr>
      </w:pPr>
      <w:bookmarkStart w:id="140" w:name="_Toc20698"/>
      <w:bookmarkStart w:id="141" w:name="_Toc22602"/>
      <w:bookmarkStart w:id="142" w:name="_Toc17442"/>
      <w:r>
        <w:rPr>
          <w:rFonts w:hint="eastAsia" w:ascii="宋体" w:hAnsi="宋体" w:cs="宋体"/>
          <w:color w:val="auto"/>
          <w:sz w:val="21"/>
          <w:szCs w:val="21"/>
          <w:highlight w:val="none"/>
        </w:rPr>
        <w:t>15. 竞标保证金</w:t>
      </w:r>
      <w:bookmarkEnd w:id="140"/>
      <w:bookmarkEnd w:id="141"/>
      <w:bookmarkEnd w:id="142"/>
    </w:p>
    <w:p w14:paraId="25108EB6">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本项目无须缴纳竞标保证金。</w:t>
      </w:r>
    </w:p>
    <w:p w14:paraId="6965EEC0">
      <w:pPr>
        <w:pStyle w:val="4"/>
        <w:widowControl w:val="0"/>
        <w:spacing w:before="0" w:after="0" w:line="440" w:lineRule="exact"/>
        <w:ind w:firstLine="422" w:firstLineChars="200"/>
        <w:rPr>
          <w:rFonts w:ascii="宋体" w:hAnsi="宋体" w:cs="宋体"/>
          <w:color w:val="auto"/>
          <w:sz w:val="21"/>
          <w:szCs w:val="21"/>
          <w:highlight w:val="none"/>
        </w:rPr>
      </w:pPr>
      <w:bookmarkStart w:id="143" w:name="_Toc387"/>
      <w:bookmarkStart w:id="144" w:name="_Toc30118"/>
      <w:bookmarkStart w:id="145" w:name="_Toc16431"/>
      <w:r>
        <w:rPr>
          <w:rFonts w:hint="eastAsia" w:ascii="宋体" w:hAnsi="宋体" w:cs="宋体"/>
          <w:color w:val="auto"/>
          <w:sz w:val="21"/>
          <w:szCs w:val="21"/>
          <w:highlight w:val="none"/>
        </w:rPr>
        <w:t>16. 竞争性谈判响应文件的</w:t>
      </w:r>
      <w:bookmarkEnd w:id="143"/>
      <w:r>
        <w:rPr>
          <w:rFonts w:hint="eastAsia" w:ascii="宋体" w:hAnsi="宋体" w:cs="宋体"/>
          <w:color w:val="auto"/>
          <w:sz w:val="21"/>
          <w:szCs w:val="21"/>
          <w:highlight w:val="none"/>
        </w:rPr>
        <w:t>制作</w:t>
      </w:r>
      <w:bookmarkEnd w:id="144"/>
      <w:bookmarkEnd w:id="145"/>
    </w:p>
    <w:p w14:paraId="28C0F4E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 电子谈判响应文件中须加盖供应商公章部分均采用 CA 签章，并根据“政府采购项目电子交易管理操作指南-供应商”及本谈判文件规定的格式和顺序编制电子谈判响应文件并进行关联定位，以便谈判小组在评审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 漏读，或者在按采购文件规定的部位查找不到相关内容的，由供应商自行承担。</w:t>
      </w:r>
    </w:p>
    <w:p w14:paraId="7B62189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705FA36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 谈判响应文件不得涂改，若有修改错漏处，须法定代表人（负责人）或授权委托人签字（或个人CA签章）。谈判响应文件因字迹潦草或表达不清所引起的后果由供应商负责。</w:t>
      </w:r>
    </w:p>
    <w:p w14:paraId="28F58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16.4谈判前准备 </w:t>
      </w:r>
    </w:p>
    <w:p w14:paraId="64EB5EB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16.4.1本项目实行在线谈判，采用电子谈判响应文件。若供应商参与谈判，自行承担谈判一切费用。 </w:t>
      </w:r>
    </w:p>
    <w:p w14:paraId="2447177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16.4.2各供应商应在截标前应确保成为政采云平台正式注册入库供应商，并完成 CA 数字证书申领。因未注册入库、未办理 CA 数字证书等原因造成无法谈判或谈判失败等后果由供应商自行承担。 </w:t>
      </w:r>
    </w:p>
    <w:p w14:paraId="0577711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16.4.3供应商将政采云电子交易客户端下载、安装完成后，可通过账号密码或 CA 登录客户端进行响应文件制作。客户端请至网站下载专区查看，如有问题拨打政采云服务热线95763获取热线服务帮助。</w:t>
      </w:r>
    </w:p>
    <w:p w14:paraId="7FA1A0A8">
      <w:pPr>
        <w:pStyle w:val="4"/>
        <w:widowControl w:val="0"/>
        <w:spacing w:before="0" w:after="0" w:line="440" w:lineRule="exact"/>
        <w:ind w:firstLine="422" w:firstLineChars="200"/>
        <w:rPr>
          <w:rFonts w:ascii="宋体" w:hAnsi="宋体" w:cs="宋体"/>
          <w:color w:val="auto"/>
          <w:sz w:val="21"/>
          <w:szCs w:val="21"/>
          <w:highlight w:val="none"/>
        </w:rPr>
      </w:pPr>
      <w:bookmarkStart w:id="146" w:name="_Toc3484"/>
      <w:bookmarkStart w:id="147" w:name="_Toc9738"/>
      <w:r>
        <w:rPr>
          <w:rFonts w:hint="eastAsia" w:ascii="宋体" w:hAnsi="宋体" w:cs="宋体"/>
          <w:color w:val="auto"/>
          <w:sz w:val="21"/>
          <w:szCs w:val="21"/>
          <w:highlight w:val="none"/>
        </w:rPr>
        <w:t>17. 响应文件的修改和撤回</w:t>
      </w:r>
      <w:bookmarkEnd w:id="146"/>
      <w:bookmarkEnd w:id="147"/>
    </w:p>
    <w:p w14:paraId="75B95BF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 响应文件递交截止时间前可以撤回电子谈判响应文件。补充或者修改电子谈判响应文件的，应当先行撤回原文件，补充、修改后重新传输递交，谈判响应文件递交截止时间前未完成传输的，视为撤回谈判响应文件。</w:t>
      </w:r>
    </w:p>
    <w:p w14:paraId="375C9C9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 在响应文件递交截止时间后的响应文件有效期内，供应商不得撤回其响应文件。</w:t>
      </w:r>
    </w:p>
    <w:p w14:paraId="4418A5EA">
      <w:pPr>
        <w:pStyle w:val="4"/>
        <w:widowControl w:val="0"/>
        <w:spacing w:before="0" w:after="0" w:line="440" w:lineRule="exact"/>
        <w:ind w:firstLine="422" w:firstLineChars="200"/>
        <w:rPr>
          <w:rFonts w:ascii="宋体" w:hAnsi="宋体" w:cs="宋体"/>
          <w:color w:val="auto"/>
          <w:sz w:val="21"/>
          <w:szCs w:val="21"/>
          <w:highlight w:val="none"/>
        </w:rPr>
      </w:pPr>
      <w:bookmarkStart w:id="148" w:name="_Toc30156"/>
      <w:bookmarkStart w:id="149" w:name="_Toc24690"/>
      <w:bookmarkStart w:id="150" w:name="_Toc30532"/>
      <w:r>
        <w:rPr>
          <w:rFonts w:hint="eastAsia" w:ascii="宋体" w:hAnsi="宋体" w:cs="宋体"/>
          <w:color w:val="auto"/>
          <w:sz w:val="21"/>
          <w:szCs w:val="21"/>
          <w:highlight w:val="none"/>
        </w:rPr>
        <w:t>18. 响应文件的递交和解密</w:t>
      </w:r>
      <w:bookmarkEnd w:id="148"/>
      <w:bookmarkEnd w:id="149"/>
      <w:bookmarkEnd w:id="150"/>
    </w:p>
    <w:p w14:paraId="00D942D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18.1响应文件递交截止时间：详见供应商须知前附表。</w:t>
      </w:r>
    </w:p>
    <w:p w14:paraId="151B776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18.2谈判响应文件解密时间（北京时间）：详见供应商须知前附表。</w:t>
      </w:r>
    </w:p>
    <w:p w14:paraId="3E36741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 除竞争性谈判文件另有规定外，供应商所递交的响应文件不予退还。</w:t>
      </w:r>
    </w:p>
    <w:p w14:paraId="7FD96AC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 电子响应文件的相关说明</w:t>
      </w:r>
    </w:p>
    <w:p w14:paraId="0DCEF0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响应应安装客户端软件，并按照采购文件和电子交易平台的要求编制并加密谈判响应文件。供应商未按规定加密的谈判响应文件，电子交易平台将拒收。供应商应当在谈判截止时间前完成谈判响应文件的传输递交，并可以补充、修改或者撤回谈判响应文件。补充或者修改谈判响应文件的，应当先行撤回原文件，补充、修改后重新传输递交。谈判截止时间前未完成传输的，视为撤回谈判响应文件。谈判截止时间后递交的谈判响应文件，电子交易平台将拒收。 </w:t>
      </w:r>
    </w:p>
    <w:p w14:paraId="757B1D1E">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6FEF6159">
      <w:pPr>
        <w:spacing w:line="440" w:lineRule="exact"/>
        <w:ind w:firstLine="422" w:firstLineChars="200"/>
        <w:rPr>
          <w:rFonts w:ascii="宋体" w:hAnsi="宋体" w:cs="宋体"/>
          <w:b/>
          <w:color w:val="auto"/>
          <w:szCs w:val="28"/>
          <w:highlight w:val="none"/>
        </w:rPr>
      </w:pPr>
      <w:bookmarkStart w:id="151" w:name="_Toc2433"/>
    </w:p>
    <w:p w14:paraId="0CAC03D3">
      <w:pPr>
        <w:pStyle w:val="2"/>
        <w:tabs>
          <w:tab w:val="left" w:pos="567"/>
        </w:tabs>
        <w:spacing w:line="440" w:lineRule="exact"/>
        <w:jc w:val="center"/>
        <w:rPr>
          <w:rFonts w:ascii="宋体" w:hAnsi="宋体" w:cs="宋体"/>
          <w:bCs w:val="0"/>
          <w:color w:val="auto"/>
          <w:szCs w:val="28"/>
          <w:highlight w:val="none"/>
        </w:rPr>
      </w:pPr>
      <w:bookmarkStart w:id="152" w:name="_Toc16498"/>
      <w:bookmarkStart w:id="153" w:name="_Toc27502"/>
      <w:bookmarkStart w:id="154" w:name="_Toc5807"/>
      <w:r>
        <w:rPr>
          <w:rFonts w:hint="eastAsia" w:ascii="宋体" w:hAnsi="宋体" w:cs="宋体"/>
          <w:bCs w:val="0"/>
          <w:color w:val="auto"/>
          <w:szCs w:val="28"/>
          <w:highlight w:val="none"/>
        </w:rPr>
        <w:t>四、竞争性谈判（简称谈判）与评审</w:t>
      </w:r>
      <w:bookmarkEnd w:id="151"/>
      <w:bookmarkEnd w:id="152"/>
      <w:bookmarkEnd w:id="153"/>
      <w:bookmarkEnd w:id="154"/>
    </w:p>
    <w:p w14:paraId="00114984">
      <w:pPr>
        <w:pStyle w:val="4"/>
        <w:widowControl w:val="0"/>
        <w:spacing w:before="0" w:after="0" w:line="440" w:lineRule="exact"/>
        <w:ind w:firstLine="422" w:firstLineChars="200"/>
        <w:rPr>
          <w:rFonts w:ascii="宋体" w:hAnsi="宋体" w:cs="宋体"/>
          <w:color w:val="auto"/>
          <w:sz w:val="21"/>
          <w:szCs w:val="21"/>
          <w:highlight w:val="none"/>
        </w:rPr>
      </w:pPr>
      <w:bookmarkStart w:id="155" w:name="_Toc31588"/>
      <w:bookmarkStart w:id="156" w:name="_Toc7848"/>
      <w:bookmarkStart w:id="157" w:name="_Toc11021"/>
      <w:r>
        <w:rPr>
          <w:rFonts w:hint="eastAsia" w:ascii="宋体" w:hAnsi="宋体" w:cs="宋体"/>
          <w:color w:val="auto"/>
          <w:sz w:val="21"/>
          <w:szCs w:val="21"/>
          <w:highlight w:val="none"/>
        </w:rPr>
        <w:t>19. 谈判小组组成及谈判时间、地点、人员</w:t>
      </w:r>
      <w:bookmarkEnd w:id="155"/>
      <w:bookmarkEnd w:id="156"/>
      <w:bookmarkEnd w:id="157"/>
    </w:p>
    <w:p w14:paraId="1042478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 谈判小组组成：</w:t>
      </w:r>
    </w:p>
    <w:p w14:paraId="1D1B500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谈判及评审工作由采购代理机构负责组织，具体谈判、评审工作由依法组建的谈判小组负责，谈判小组由采购人代表和有关方面的专家组成。谈判小组的构成：</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p w14:paraId="15AD051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谈判时间、地点、人员：</w:t>
      </w:r>
    </w:p>
    <w:p w14:paraId="29691A60">
      <w:pPr>
        <w:spacing w:line="440" w:lineRule="exact"/>
        <w:ind w:firstLine="420" w:firstLineChars="200"/>
        <w:rPr>
          <w:rFonts w:ascii="宋体" w:hAnsi="宋体" w:cs="宋体"/>
          <w:color w:val="auto"/>
          <w:szCs w:val="21"/>
          <w:highlight w:val="none"/>
        </w:rPr>
      </w:pPr>
      <w:bookmarkStart w:id="158" w:name="_Toc9878"/>
      <w:r>
        <w:rPr>
          <w:rFonts w:hint="eastAsia" w:ascii="宋体" w:hAnsi="宋体" w:cs="宋体"/>
          <w:color w:val="auto"/>
          <w:szCs w:val="21"/>
          <w:highlight w:val="none"/>
        </w:rPr>
        <w:t>19.2.1谈判时间：响应文件递交截止时间后。</w:t>
      </w:r>
      <w:bookmarkEnd w:id="158"/>
    </w:p>
    <w:p w14:paraId="487E6830">
      <w:pPr>
        <w:spacing w:line="440" w:lineRule="exact"/>
        <w:ind w:firstLine="420" w:firstLineChars="200"/>
        <w:rPr>
          <w:rFonts w:ascii="宋体" w:hAnsi="宋体" w:cs="宋体"/>
          <w:color w:val="auto"/>
          <w:szCs w:val="21"/>
          <w:highlight w:val="none"/>
        </w:rPr>
      </w:pPr>
      <w:bookmarkStart w:id="159" w:name="_Toc29268"/>
      <w:r>
        <w:rPr>
          <w:rFonts w:hint="eastAsia" w:ascii="宋体" w:hAnsi="宋体" w:cs="宋体"/>
          <w:color w:val="auto"/>
          <w:szCs w:val="21"/>
          <w:highlight w:val="none"/>
        </w:rPr>
        <w:t>19.2.2谈判地点：</w:t>
      </w:r>
      <w:bookmarkEnd w:id="159"/>
      <w:r>
        <w:rPr>
          <w:rFonts w:hint="eastAsia" w:ascii="宋体" w:hAnsi="宋体" w:cs="宋体"/>
          <w:color w:val="auto"/>
          <w:szCs w:val="21"/>
          <w:highlight w:val="none"/>
        </w:rPr>
        <w:t>本项目需要谈判供应商代表在截标当天截标后，按谈判小组要求及时登录政采云平台等候在线谈判。</w:t>
      </w:r>
    </w:p>
    <w:p w14:paraId="3F174FF9">
      <w:pPr>
        <w:spacing w:line="440" w:lineRule="exact"/>
        <w:ind w:firstLine="420" w:firstLineChars="200"/>
        <w:rPr>
          <w:rFonts w:ascii="宋体" w:hAnsi="宋体" w:cs="宋体"/>
          <w:bCs/>
          <w:color w:val="auto"/>
          <w:szCs w:val="21"/>
          <w:highlight w:val="none"/>
        </w:rPr>
      </w:pPr>
      <w:bookmarkStart w:id="160" w:name="_Toc21307"/>
      <w:r>
        <w:rPr>
          <w:rFonts w:hint="eastAsia" w:ascii="宋体" w:hAnsi="宋体" w:cs="宋体"/>
          <w:color w:val="auto"/>
          <w:szCs w:val="21"/>
          <w:highlight w:val="none"/>
        </w:rPr>
        <w:t>19</w:t>
      </w:r>
      <w:r>
        <w:rPr>
          <w:rFonts w:hint="eastAsia" w:ascii="宋体" w:hAnsi="宋体" w:cs="宋体"/>
          <w:bCs/>
          <w:color w:val="auto"/>
          <w:szCs w:val="21"/>
          <w:highlight w:val="none"/>
        </w:rPr>
        <w:t>.2.3谈判参加人员：</w:t>
      </w:r>
      <w:bookmarkEnd w:id="160"/>
      <w:r>
        <w:rPr>
          <w:rFonts w:hint="eastAsia" w:ascii="宋体" w:hAnsi="宋体" w:cs="宋体"/>
          <w:bCs/>
          <w:color w:val="auto"/>
          <w:szCs w:val="21"/>
          <w:highlight w:val="none"/>
        </w:rPr>
        <w:t>详见供应商须知前附表。</w:t>
      </w:r>
    </w:p>
    <w:p w14:paraId="45077743">
      <w:pPr>
        <w:spacing w:line="440" w:lineRule="exact"/>
        <w:ind w:firstLine="420" w:firstLineChars="200"/>
        <w:rPr>
          <w:rFonts w:ascii="宋体" w:hAnsi="宋体" w:cs="宋体"/>
          <w:bCs/>
          <w:color w:val="auto"/>
          <w:szCs w:val="21"/>
          <w:highlight w:val="none"/>
        </w:rPr>
      </w:pPr>
      <w:bookmarkStart w:id="161" w:name="_Toc6288"/>
      <w:r>
        <w:rPr>
          <w:rFonts w:hint="eastAsia" w:ascii="宋体" w:hAnsi="宋体" w:cs="宋体"/>
          <w:bCs/>
          <w:color w:val="auto"/>
          <w:szCs w:val="21"/>
          <w:highlight w:val="none"/>
        </w:rPr>
        <w:t>19.2.4响应文件递交截止时间后，由谈判小组在</w:t>
      </w:r>
      <w:r>
        <w:rPr>
          <w:rFonts w:hint="eastAsia" w:ascii="宋体" w:hAnsi="宋体" w:cs="宋体"/>
          <w:color w:val="auto"/>
          <w:szCs w:val="21"/>
          <w:highlight w:val="none"/>
        </w:rPr>
        <w:t>由谈判小组在桂林市公共资源交易中心（临桂区西城中路69号创业大厦西辅楼4楼）评标室内线上开启响应文件。</w:t>
      </w:r>
      <w:bookmarkEnd w:id="161"/>
    </w:p>
    <w:p w14:paraId="7DC3722F">
      <w:pPr>
        <w:pStyle w:val="4"/>
        <w:widowControl w:val="0"/>
        <w:spacing w:before="0" w:after="0" w:line="440" w:lineRule="exact"/>
        <w:ind w:firstLine="422" w:firstLineChars="200"/>
        <w:rPr>
          <w:rFonts w:ascii="宋体" w:hAnsi="宋体" w:cs="宋体"/>
          <w:color w:val="auto"/>
          <w:sz w:val="21"/>
          <w:szCs w:val="21"/>
          <w:highlight w:val="none"/>
        </w:rPr>
      </w:pPr>
      <w:bookmarkStart w:id="162" w:name="_Toc12852"/>
      <w:bookmarkStart w:id="163" w:name="_Toc25258"/>
      <w:bookmarkStart w:id="164" w:name="_Toc21088"/>
      <w:r>
        <w:rPr>
          <w:rFonts w:hint="eastAsia" w:ascii="宋体" w:hAnsi="宋体" w:cs="宋体"/>
          <w:color w:val="auto"/>
          <w:sz w:val="21"/>
          <w:szCs w:val="21"/>
          <w:highlight w:val="none"/>
        </w:rPr>
        <w:t>20. 评审原则</w:t>
      </w:r>
      <w:bookmarkEnd w:id="162"/>
      <w:bookmarkEnd w:id="163"/>
      <w:bookmarkEnd w:id="164"/>
    </w:p>
    <w:p w14:paraId="1C2F4A9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 谈判小组必须坚持公平、公正、科学和择优的原则。</w:t>
      </w:r>
    </w:p>
    <w:p w14:paraId="6F84FEF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 评审办法：综合评分法，具体详见第四章评审办法。</w:t>
      </w:r>
    </w:p>
    <w:p w14:paraId="31FAFE4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 谈判小组应按谈判文件进行评审，不得擅自更改评审办法。</w:t>
      </w:r>
    </w:p>
    <w:p w14:paraId="3F9724B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20.4 在评审过程中，谈判小组任何人不得对某个供应商发表任何倾向性意见，不得向其他谈判小组成员明示或者暗示自己的评审意见。</w:t>
      </w:r>
    </w:p>
    <w:p w14:paraId="5C7AE0F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2A364C5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 响应文件最后报价出现前后不一致的，除竞争性谈判文件另有规定外，按照下列规定修正：</w:t>
      </w:r>
    </w:p>
    <w:p w14:paraId="1986B20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响应文件中谈判报价表内容与响应文件中相应内容不一致的，以最后谈判报价表为准；</w:t>
      </w:r>
    </w:p>
    <w:p w14:paraId="7A3CAC4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大写金额和小写金额不一致的，以大写金额为准；</w:t>
      </w:r>
    </w:p>
    <w:p w14:paraId="2417284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单价金额小数点或者百分比有明显错位的，以报价表的总价为准，并修改单价；</w:t>
      </w:r>
    </w:p>
    <w:p w14:paraId="345DD23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总价金额与按单价汇总金额不一致的，以单价金额计算结果为准。</w:t>
      </w:r>
    </w:p>
    <w:p w14:paraId="55423690">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同时出现两种以上不一致的，按照前款规定的顺序修正。修正后的报价（不得超出响应文件的范围或者改变响应文件的实质性内容）经谈判供应商确认后产生约束力，谈判供应商不确认的，作无效响应处理。</w:t>
      </w:r>
    </w:p>
    <w:p w14:paraId="3B94AFCC">
      <w:pPr>
        <w:pStyle w:val="4"/>
        <w:widowControl w:val="0"/>
        <w:spacing w:before="0" w:after="0" w:line="440" w:lineRule="exact"/>
        <w:ind w:firstLine="422" w:firstLineChars="200"/>
        <w:rPr>
          <w:rFonts w:ascii="宋体" w:hAnsi="宋体" w:cs="宋体"/>
          <w:color w:val="auto"/>
          <w:sz w:val="21"/>
          <w:szCs w:val="21"/>
          <w:highlight w:val="none"/>
        </w:rPr>
      </w:pPr>
      <w:bookmarkStart w:id="165" w:name="_Toc27193"/>
      <w:bookmarkStart w:id="166" w:name="_Toc21012"/>
      <w:bookmarkStart w:id="167" w:name="_Toc6833"/>
      <w:r>
        <w:rPr>
          <w:rFonts w:hint="eastAsia" w:ascii="宋体" w:hAnsi="宋体" w:cs="宋体"/>
          <w:color w:val="auto"/>
          <w:sz w:val="21"/>
          <w:szCs w:val="21"/>
          <w:highlight w:val="none"/>
        </w:rPr>
        <w:t>21. 评审程序及谈判要求</w:t>
      </w:r>
      <w:bookmarkEnd w:id="165"/>
      <w:bookmarkEnd w:id="166"/>
      <w:bookmarkEnd w:id="167"/>
    </w:p>
    <w:p w14:paraId="4A43106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21.1谈判小组成员的通讯工具或相关电子设备交由统一保管后到达评标室，采购代理机构核实谈判小组成员身份，告知回避要求，宣布评审工作纪律和程序，推选谈判小组组长。</w:t>
      </w:r>
    </w:p>
    <w:p w14:paraId="6B3CCFB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谈判小组应当对发布公告的竞争性谈判文件（简称谈判文件）进行确认，审查供应商的响应文件并作出评价；要求供应商解释或者澄清其响应文件；编写评审报告；告知采购人、采购代理机构在评审过程中发现的供应商的违法违规行为。</w:t>
      </w:r>
    </w:p>
    <w:p w14:paraId="0ABD48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21.3 谈判小组依据竞争性谈判文件的规定，首先对响应文件进行资格性审查，以确定供应商是否具备本项 目供应商资格；再对通过资格性审查的供应商响应文件的有效性、完整性和对谈判文件的响应程度进行符合性审查，以确定是否对谈判文件的实质性要求做出响应。 </w:t>
      </w:r>
    </w:p>
    <w:p w14:paraId="16247FEE">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21.4 谈判小组在对供应商进行资格性审查时，将对供应商企业股东及出资等信息进行查询。根据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139FDA5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21.4.1 查询渠道：《国家企业信用信息公示系统》（网址：https://www.gsxt.gov.cn/index.html）</w:t>
      </w:r>
    </w:p>
    <w:p w14:paraId="4E6BE2B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21.4.2 审查流程：</w:t>
      </w:r>
    </w:p>
    <w:p w14:paraId="623BFA1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（1）进入《国家企业信用信息公示系统》（网址：https://www.gsxt.gov.cn/index.html），输入企业名称，进入企业信息主页面；</w:t>
      </w:r>
    </w:p>
    <w:p w14:paraId="212D7A3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1221347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（3）将各供应商的股东及出资信息进行比对，得出审查结论；</w:t>
      </w:r>
    </w:p>
    <w:p w14:paraId="659C54A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（4）将相关资料作为评审资料打印存档。</w:t>
      </w:r>
    </w:p>
    <w:p w14:paraId="1C4793A6">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21.5 谈判小组如发现供应商提供的证明文件不齐全或不符合规定格式的，应一次性告知供应商，供应商应在规定的时间内线上补正或更正。</w:t>
      </w:r>
    </w:p>
    <w:p w14:paraId="0CC81A4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21.6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w:t>
      </w:r>
      <w:r>
        <w:rPr>
          <w:rFonts w:hint="eastAsia" w:ascii="宋体" w:hAnsi="宋体" w:cs="宋体"/>
          <w:color w:val="auto"/>
          <w:highlight w:val="none"/>
        </w:rPr>
        <w:t>个人CA签章)</w:t>
      </w:r>
      <w:r>
        <w:rPr>
          <w:rFonts w:hint="eastAsia" w:ascii="宋体" w:hAnsi="宋体" w:cs="宋体"/>
          <w:color w:val="auto"/>
          <w:szCs w:val="21"/>
          <w:highlight w:val="none"/>
        </w:rPr>
        <w:t>或者加盖供应商公章(CA签章)。</w:t>
      </w:r>
    </w:p>
    <w:p w14:paraId="4E2A6BB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根据谈判文件规定的程序、评定成交的标准等事项与实质性响应竞争性谈判文件要求的供应商进行谈判。 </w:t>
      </w:r>
    </w:p>
    <w:p w14:paraId="5F68DE16">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未实质性响应谈判文件的响应文件按无效处理，谈判小组应当告知有关供应商。</w:t>
      </w:r>
      <w:r>
        <w:rPr>
          <w:rFonts w:hint="eastAsia" w:ascii="宋体" w:hAnsi="宋体" w:cs="宋体"/>
          <w:color w:val="auto"/>
          <w:szCs w:val="21"/>
          <w:highlight w:val="none"/>
        </w:rPr>
        <w:t xml:space="preserve"> </w:t>
      </w:r>
    </w:p>
    <w:p w14:paraId="470D9D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谈判小组所有成员应当按已确定的谈判顺序集中与单一供应商分别进行谈判，并给予所有实质性响应竞争性谈判文件要求的供应商平等的谈判机会。 </w:t>
      </w:r>
    </w:p>
    <w:p w14:paraId="1DA0B8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谈判中，谈判小组不得透露与谈判有关的其他供应商的技术资料、价格和其他信息。 </w:t>
      </w:r>
    </w:p>
    <w:p w14:paraId="00B0F32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谈判小组对谈判过程和重要谈判内容进行记录，谈判双方在记录上签字确认。 </w:t>
      </w:r>
    </w:p>
    <w:p w14:paraId="6812C1B7">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21.7当谈判小组一致确定谈判供应商的竞争性谈判响应文件能够详细列明采购标的的技术、服务要求且符合竞争性谈判文件要求，无需再谈判的，谈判小组按竞争性谈判文件设定的21.11、21.16程序和综合评分法确定成交候选人。第一轮谈判后竞争性谈判文件有实质性变动或仍需谈判的，谈判小组对竞争性谈判文件变动或提出谈判意见后进行第二轮谈判。</w:t>
      </w:r>
    </w:p>
    <w:p w14:paraId="6F5AFAD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21.8 在谈判过程中，谈判小组可以根据谈判文件和谈判情况实质性变动项目需求中的技术、服务要求以及合同草案条款，但不得变动谈判文件中的其他内容。实质性变动的内容，须经采购人代表确认。 </w:t>
      </w:r>
    </w:p>
    <w:p w14:paraId="5C0040C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对谈判文件作出的实质性变动是谈判文件的有效组成部分，谈判小组应当及时通过政采云平台同时通知所有参加谈判的供应商。 </w:t>
      </w:r>
    </w:p>
    <w:p w14:paraId="1609B7B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供应商应当按照谈判文件的变动情况和谈判小组的要求重新提交响应文件，并由其法定代表人、负责人或相应的授权委托代表签字（个人CA签章）或者加盖供应商公章(CA签章)。逾时不交的，视同放弃谈判。 </w:t>
      </w:r>
    </w:p>
    <w:p w14:paraId="30F7FDC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21.9 第二轮谈判</w:t>
      </w:r>
    </w:p>
    <w:p w14:paraId="030CE32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谈判小组集中就重新提交的响应文件或谈判小组提出的谈判意见与单一响应供应商分别进行谈判。谈判小组对谈判过程和重要谈判内容进行记录，谈判双方在记录上签字确认（CA签章确认）。</w:t>
      </w:r>
    </w:p>
    <w:p w14:paraId="604113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谈判后，供应商根据谈判小组统一整理的书面谈判记录要求做出书面承诺，并由其法定代表人或授权代表签字或者加盖公章（CA签章）后按时线上提交。</w:t>
      </w:r>
    </w:p>
    <w:p w14:paraId="57012245">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当谈判小组一致确定供应商的竞争性谈判响应文件符合竞争性谈判文件要求，无需再谈判的，谈判小组按竞争性谈判文件设定的21.11、21.16程序和评审方法确定成交候选人。第二轮谈判后竞争性谈判文件仍有实质性变动的或仍需谈判的，谈判小组对竞争性谈判文件变动或提出谈判意见后进行第三轮谈判。以此类推。</w:t>
      </w:r>
    </w:p>
    <w:p w14:paraId="6A5B8DB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21.10 在采购过程中符合竞争要求的供应商或者报价未超过采购预算的供应商不足 3 家的，采购人或者采购代理机构应当终止竞争性谈判采购活动。</w:t>
      </w:r>
    </w:p>
    <w:p w14:paraId="35DD7F2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 最后报价</w:t>
      </w:r>
    </w:p>
    <w:p w14:paraId="556B2A1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21.11.1 谈判文件能够详细列明采购标的的质量要求的，谈判结束后，谈判小组应当要求所有继续参加谈判的供应商在规定时间内线上提交最后报价，提交最后报价的供应商不得少于 3 家。 </w:t>
      </w:r>
    </w:p>
    <w:p w14:paraId="691A30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21.11.2 谈判文件不能详细列明采购标的的施工要求，需经谈判由供应商提供方案或解决方案的，谈判结束后，谈判小组应当按照少数服从多数的原则投票推荐 3 家以上（含 3 家）供应商的设计方案或者解决方案，并要求其在规定时间内线上提交最后报价。 </w:t>
      </w:r>
    </w:p>
    <w:p w14:paraId="4AB78CB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21.11.3</w:t>
      </w:r>
      <w:r>
        <w:rPr>
          <w:rFonts w:hint="eastAsia" w:ascii="宋体" w:hAnsi="宋体" w:cs="宋体"/>
          <w:color w:val="auto"/>
          <w:kern w:val="0"/>
          <w:szCs w:val="21"/>
          <w:highlight w:val="none"/>
        </w:rPr>
        <w:t>最后报价（应答文件）是供应商响应文件的有效组成部分：</w:t>
      </w:r>
      <w:r>
        <w:rPr>
          <w:rFonts w:hint="eastAsia" w:ascii="宋体" w:hAnsi="宋体" w:cs="宋体"/>
          <w:b/>
          <w:color w:val="auto"/>
          <w:spacing w:val="-4"/>
          <w:szCs w:val="21"/>
          <w:highlight w:val="none"/>
        </w:rPr>
        <w:t>供应商做最终报价时，如供应商维持谈判报价不变，以原谈判报价作为供应商最后报价；供应商应预先准备好调整后的完整已标价的工程量清单。如供应商在谈判过程中，改变原报价且未按竞争性谈判文件要求提供调整后的谈判报价电子版的，其报价不予认可，视供应商维持原谈判报价不变</w:t>
      </w:r>
      <w:r>
        <w:rPr>
          <w:rFonts w:hint="eastAsia" w:ascii="宋体" w:hAnsi="宋体" w:cs="宋体"/>
          <w:b/>
          <w:color w:val="auto"/>
          <w:szCs w:val="21"/>
          <w:highlight w:val="none"/>
        </w:rPr>
        <w:t>。</w:t>
      </w:r>
      <w:r>
        <w:rPr>
          <w:rFonts w:hint="eastAsia" w:ascii="宋体" w:hAnsi="宋体" w:cs="宋体"/>
          <w:color w:val="auto"/>
          <w:spacing w:val="-4"/>
          <w:szCs w:val="21"/>
          <w:highlight w:val="none"/>
        </w:rPr>
        <w:t>必须由供应商</w:t>
      </w:r>
      <w:r>
        <w:rPr>
          <w:rFonts w:hint="eastAsia" w:ascii="宋体" w:hAnsi="宋体" w:cs="宋体"/>
          <w:color w:val="auto"/>
          <w:szCs w:val="21"/>
          <w:highlight w:val="none"/>
        </w:rPr>
        <w:t>加盖公章（CA签章）</w:t>
      </w:r>
      <w:r>
        <w:rPr>
          <w:rFonts w:hint="eastAsia" w:ascii="宋体" w:hAnsi="宋体" w:cs="宋体"/>
          <w:color w:val="auto"/>
          <w:spacing w:val="-4"/>
          <w:szCs w:val="21"/>
          <w:highlight w:val="none"/>
        </w:rPr>
        <w:t>。</w:t>
      </w:r>
    </w:p>
    <w:p w14:paraId="1285B4E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21.12 已提交响应文件的供应商，在提交最后报价之前，可以根据谈判情况书面退出谈判。 </w:t>
      </w:r>
    </w:p>
    <w:p w14:paraId="6D6B7418">
      <w:pPr>
        <w:spacing w:line="404" w:lineRule="exact"/>
        <w:ind w:firstLine="420"/>
        <w:rPr>
          <w:rFonts w:ascii="宋体" w:hAnsi="宋体" w:cs="宋体"/>
          <w:color w:val="auto"/>
          <w:szCs w:val="21"/>
          <w:highlight w:val="none"/>
        </w:rPr>
      </w:pPr>
      <w:r>
        <w:rPr>
          <w:rFonts w:hint="eastAsia" w:ascii="宋体" w:hAnsi="宋体" w:cs="宋体"/>
          <w:color w:val="auto"/>
          <w:szCs w:val="21"/>
          <w:highlight w:val="none"/>
        </w:rPr>
        <w:t>未书面退出谈判的供应商在规定时间内提交最后报价，其最后报价不得超出最高投标限价；谈判过程中谈判文件未作实质性变动的，最后报价不得超过首次报价。最后报价超出最高投标限价导致已通过评审的响应文件无效的，按供应商在提交响应文件截止时间后撤回响应文件处理。</w:t>
      </w:r>
    </w:p>
    <w:p w14:paraId="337C932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21.13 评审报告 </w:t>
      </w:r>
    </w:p>
    <w:p w14:paraId="16BD4DB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谈判小组应当从质量和服务均能满足谈判文件全部实质性响应要求的供应商中，按照最后综合得分由高到低的顺序提出 3 名以上（含 3 名）成交候选人，并编写评审报告。</w:t>
      </w:r>
    </w:p>
    <w:p w14:paraId="578CA07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21.14 在评审过程中出现法律法规和谈判文件均没有明确规定的情形时，由谈判小组现场协商解决，协商不一致的，由全体谈判小组投票表决，以得票率二分之一以上谈判小组成员的意见为准。 </w:t>
      </w:r>
    </w:p>
    <w:p w14:paraId="33756EF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21.15 采购代理机构发现谈判小组有明显的违规倾向或歧视现象，或不按评审办法进行，或其他不正常行为的，应当及时制止。如制止无效，应及时向政府采购监督管理机构报告。</w:t>
      </w:r>
    </w:p>
    <w:p w14:paraId="56A19928">
      <w:pPr>
        <w:spacing w:line="440" w:lineRule="exact"/>
        <w:ind w:firstLine="420" w:firstLineChars="200"/>
        <w:rPr>
          <w:rFonts w:ascii="宋体" w:hAnsi="宋体" w:cs="宋体"/>
          <w:b/>
          <w:bCs/>
          <w:color w:val="auto"/>
          <w:highlight w:val="none"/>
        </w:rPr>
      </w:pPr>
      <w:r>
        <w:rPr>
          <w:rFonts w:hint="eastAsia" w:ascii="宋体" w:hAnsi="宋体" w:cs="宋体"/>
          <w:color w:val="auto"/>
          <w:szCs w:val="21"/>
          <w:highlight w:val="none"/>
        </w:rPr>
        <w:t>21.16 本采购项目的评审依据为竞争性谈判文件和竞争性谈判响应文件</w:t>
      </w:r>
      <w:r>
        <w:rPr>
          <w:rFonts w:hint="eastAsia" w:ascii="宋体" w:hAnsi="宋体" w:cs="宋体"/>
          <w:b/>
          <w:bCs/>
          <w:color w:val="auto"/>
          <w:szCs w:val="21"/>
          <w:highlight w:val="none"/>
        </w:rPr>
        <w:t>。</w:t>
      </w:r>
    </w:p>
    <w:p w14:paraId="02B55B7A">
      <w:pPr>
        <w:pStyle w:val="4"/>
        <w:widowControl w:val="0"/>
        <w:spacing w:before="0" w:after="0" w:line="440" w:lineRule="exact"/>
        <w:ind w:firstLine="422" w:firstLineChars="200"/>
        <w:rPr>
          <w:rFonts w:ascii="宋体" w:hAnsi="宋体" w:cs="宋体"/>
          <w:color w:val="auto"/>
          <w:sz w:val="21"/>
          <w:szCs w:val="21"/>
          <w:highlight w:val="none"/>
        </w:rPr>
      </w:pPr>
      <w:bookmarkStart w:id="168" w:name="_Toc11975"/>
      <w:bookmarkStart w:id="169" w:name="_Toc32470"/>
      <w:bookmarkStart w:id="170" w:name="_Toc18722"/>
      <w:r>
        <w:rPr>
          <w:rFonts w:hint="eastAsia" w:ascii="宋体" w:hAnsi="宋体" w:cs="宋体"/>
          <w:color w:val="auto"/>
          <w:sz w:val="21"/>
          <w:szCs w:val="21"/>
          <w:highlight w:val="none"/>
        </w:rPr>
        <w:t>22. 确定成交供应商</w:t>
      </w:r>
      <w:bookmarkEnd w:id="168"/>
      <w:bookmarkEnd w:id="169"/>
      <w:bookmarkEnd w:id="170"/>
      <w:r>
        <w:rPr>
          <w:rFonts w:hint="eastAsia" w:ascii="宋体" w:hAnsi="宋体" w:cs="宋体"/>
          <w:color w:val="auto"/>
          <w:sz w:val="21"/>
          <w:szCs w:val="21"/>
          <w:highlight w:val="none"/>
        </w:rPr>
        <w:t>：详见第四章评标办法。</w:t>
      </w:r>
    </w:p>
    <w:p w14:paraId="38C1A58B">
      <w:pPr>
        <w:pStyle w:val="4"/>
        <w:widowControl w:val="0"/>
        <w:spacing w:before="0" w:after="0" w:line="440" w:lineRule="exact"/>
        <w:ind w:firstLine="422" w:firstLineChars="200"/>
        <w:rPr>
          <w:rFonts w:ascii="宋体" w:hAnsi="宋体" w:cs="宋体"/>
          <w:color w:val="auto"/>
          <w:sz w:val="21"/>
          <w:szCs w:val="21"/>
          <w:highlight w:val="none"/>
        </w:rPr>
      </w:pPr>
      <w:bookmarkStart w:id="171" w:name="_Toc21715"/>
      <w:bookmarkStart w:id="172" w:name="_Toc15332"/>
      <w:bookmarkStart w:id="173" w:name="_Toc9486"/>
      <w:r>
        <w:rPr>
          <w:rFonts w:hint="eastAsia" w:ascii="宋体" w:hAnsi="宋体" w:cs="宋体"/>
          <w:color w:val="auto"/>
          <w:sz w:val="21"/>
          <w:szCs w:val="21"/>
          <w:highlight w:val="none"/>
        </w:rPr>
        <w:t>23. 属于下列情况之一者，响应文件无效</w:t>
      </w:r>
      <w:bookmarkEnd w:id="171"/>
      <w:bookmarkEnd w:id="172"/>
      <w:bookmarkEnd w:id="173"/>
    </w:p>
    <w:p w14:paraId="1EEA0F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（1）未按谈判文件规定完整线上提交响应文件或未按规定要求线上签字、签章的；</w:t>
      </w:r>
    </w:p>
    <w:p w14:paraId="0BCBD43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（2）不具备谈判文件规定的资格要求的；</w:t>
      </w:r>
    </w:p>
    <w:p w14:paraId="10C76DE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进行资格性审查时，谈判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谈判文件将被视为无效文件；</w:t>
      </w:r>
    </w:p>
    <w:p w14:paraId="1950FD7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（4）响应文件未按谈判文件的内容和要求编制，或提供虚假材料的；</w:t>
      </w:r>
    </w:p>
    <w:p w14:paraId="0FA645B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（5）响应文件有效期、工期要求不能满足采购文件要求的；</w:t>
      </w:r>
    </w:p>
    <w:p w14:paraId="28F9B9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（6）供应商未就工程量清单中的所有内容作完整唯一报价的；</w:t>
      </w:r>
    </w:p>
    <w:p w14:paraId="20F3F1B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（7）未在谈判小组规定的时间内提交响应文件(包括最后报价)的；</w:t>
      </w:r>
    </w:p>
    <w:p w14:paraId="5BFCFF1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（8）超越了按照法律法规规定必须获得行政许可或者行政审批的经营范围的；</w:t>
      </w:r>
    </w:p>
    <w:p w14:paraId="409E6C8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（9）未满足谈判文件实质性要求的或者响应文件有采购人不能接受的附加条件的；</w:t>
      </w:r>
    </w:p>
    <w:p w14:paraId="167A2858">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（10）响应文件实质性要求未做变动，供应商最后报价高于第一次报价的或报价超出最高投标限价的；</w:t>
      </w:r>
    </w:p>
    <w:p w14:paraId="27F2F48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（11）不符合法律、法规和谈判文件规定的其他实质性要求和条件的。</w:t>
      </w:r>
    </w:p>
    <w:p w14:paraId="4EEED7E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供应商有下列情形之一的视为供应商相互串通谈判，响应文件将被视为无效</w:t>
      </w:r>
    </w:p>
    <w:p w14:paraId="35B48A9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14:paraId="0FA2847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（2）不同供应商委托同一单位或者个人办理谈判事宜；</w:t>
      </w:r>
    </w:p>
    <w:p w14:paraId="0E02BAF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8F2AEC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（4）不同供应商的响应文件异常一致或竞标报价呈规律性差异；</w:t>
      </w:r>
    </w:p>
    <w:p w14:paraId="6037F8F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（5）不同供应商的响应文件相互混编。</w:t>
      </w:r>
    </w:p>
    <w:p w14:paraId="05865163">
      <w:pPr>
        <w:pStyle w:val="4"/>
        <w:widowControl w:val="0"/>
        <w:spacing w:before="0" w:after="0" w:line="440" w:lineRule="exact"/>
        <w:ind w:firstLine="422" w:firstLineChars="200"/>
        <w:rPr>
          <w:rFonts w:ascii="宋体" w:hAnsi="宋体" w:cs="宋体"/>
          <w:color w:val="auto"/>
          <w:sz w:val="21"/>
          <w:szCs w:val="21"/>
          <w:highlight w:val="none"/>
        </w:rPr>
      </w:pPr>
      <w:bookmarkStart w:id="174" w:name="_Toc5714"/>
      <w:bookmarkStart w:id="175" w:name="_Toc27786"/>
      <w:bookmarkStart w:id="176" w:name="_Toc6415"/>
      <w:r>
        <w:rPr>
          <w:rFonts w:hint="eastAsia" w:ascii="宋体" w:hAnsi="宋体" w:cs="宋体"/>
          <w:color w:val="auto"/>
          <w:sz w:val="21"/>
          <w:szCs w:val="21"/>
          <w:highlight w:val="none"/>
        </w:rPr>
        <w:t>24. 出现下列情形之一的，采购人或者采购代理机构应当终止竞争性谈判采购活动，发布项目终止公告并说明原因，重新开展采购活动</w:t>
      </w:r>
      <w:bookmarkEnd w:id="174"/>
      <w:bookmarkEnd w:id="175"/>
      <w:bookmarkEnd w:id="176"/>
    </w:p>
    <w:p w14:paraId="547352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（1）因情况变化，不再符合规定的竞争性谈判采购方式适用情形的；</w:t>
      </w:r>
    </w:p>
    <w:p w14:paraId="2937C4A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14:paraId="6096DDE1">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r>
        <w:rPr>
          <w:rFonts w:hint="eastAsia" w:ascii="宋体" w:hAnsi="宋体" w:cs="宋体"/>
          <w:b/>
          <w:bCs/>
          <w:color w:val="auto"/>
          <w:szCs w:val="21"/>
          <w:highlight w:val="none"/>
        </w:rPr>
        <w:t xml:space="preserve"> </w:t>
      </w:r>
    </w:p>
    <w:p w14:paraId="4DE36660">
      <w:pPr>
        <w:pStyle w:val="4"/>
        <w:widowControl w:val="0"/>
        <w:spacing w:before="0" w:after="0" w:line="440" w:lineRule="exact"/>
        <w:ind w:firstLine="422" w:firstLineChars="200"/>
        <w:rPr>
          <w:rFonts w:ascii="宋体" w:hAnsi="宋体" w:cs="宋体"/>
          <w:color w:val="auto"/>
          <w:sz w:val="21"/>
          <w:szCs w:val="21"/>
          <w:highlight w:val="none"/>
        </w:rPr>
      </w:pPr>
      <w:bookmarkStart w:id="177" w:name="_Toc11581"/>
      <w:bookmarkStart w:id="178" w:name="_Toc19910"/>
      <w:bookmarkStart w:id="179" w:name="_Toc19105"/>
      <w:r>
        <w:rPr>
          <w:rFonts w:hint="eastAsia" w:ascii="宋体" w:hAnsi="宋体" w:cs="宋体"/>
          <w:color w:val="auto"/>
          <w:sz w:val="21"/>
          <w:szCs w:val="21"/>
          <w:highlight w:val="none"/>
        </w:rPr>
        <w:t>25. 谈判过程的监控</w:t>
      </w:r>
      <w:bookmarkEnd w:id="177"/>
      <w:bookmarkEnd w:id="178"/>
      <w:bookmarkEnd w:id="179"/>
    </w:p>
    <w:p w14:paraId="183C164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本项目谈判过程实行全程录音、录像监控，供应商在谈判过程中所进行的试图影响谈判结果的不公正活动，可能导致其谈判被拒绝。</w:t>
      </w:r>
    </w:p>
    <w:p w14:paraId="0FFA0ADF">
      <w:pPr>
        <w:pStyle w:val="4"/>
        <w:widowControl w:val="0"/>
        <w:numPr>
          <w:ilvl w:val="0"/>
          <w:numId w:val="4"/>
        </w:numPr>
        <w:spacing w:before="0" w:after="0" w:line="440" w:lineRule="exact"/>
        <w:ind w:firstLine="422" w:firstLineChars="200"/>
        <w:rPr>
          <w:rFonts w:ascii="宋体" w:hAnsi="宋体" w:cs="宋体"/>
          <w:color w:val="auto"/>
          <w:sz w:val="21"/>
          <w:szCs w:val="21"/>
          <w:highlight w:val="none"/>
        </w:rPr>
      </w:pPr>
      <w:bookmarkStart w:id="180" w:name="_Toc531"/>
      <w:bookmarkStart w:id="181" w:name="_Toc26291"/>
      <w:bookmarkStart w:id="182" w:name="_Toc14787"/>
      <w:r>
        <w:rPr>
          <w:rFonts w:hint="eastAsia" w:ascii="宋体" w:hAnsi="宋体" w:cs="宋体"/>
          <w:color w:val="auto"/>
          <w:sz w:val="21"/>
          <w:szCs w:val="21"/>
          <w:highlight w:val="none"/>
        </w:rPr>
        <w:t>信用查询</w:t>
      </w:r>
      <w:bookmarkEnd w:id="180"/>
      <w:bookmarkEnd w:id="181"/>
      <w:bookmarkEnd w:id="182"/>
    </w:p>
    <w:p w14:paraId="2042725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58336D8C">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（1）查询渠道：“信用中国”网站(https://www.creditchina.gov.cn/)、中国政府采购网(http://www.ccgp.gov.cn/)；</w:t>
      </w:r>
    </w:p>
    <w:p w14:paraId="2E904341">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（2）查询时间：成交通知书发出前；</w:t>
      </w:r>
    </w:p>
    <w:p w14:paraId="1C9322DB">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14:paraId="75DB8940">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https://www.creditchina.gov.cn/)、中国政府采购网(http://www.ccgp.gov.cn/)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3F48A839">
      <w:pPr>
        <w:pStyle w:val="4"/>
        <w:widowControl w:val="0"/>
        <w:spacing w:before="0" w:after="0" w:line="440" w:lineRule="exact"/>
        <w:ind w:firstLine="422" w:firstLineChars="200"/>
        <w:rPr>
          <w:rFonts w:ascii="宋体" w:hAnsi="宋体" w:cs="宋体"/>
          <w:color w:val="auto"/>
          <w:sz w:val="21"/>
          <w:szCs w:val="21"/>
          <w:highlight w:val="none"/>
        </w:rPr>
      </w:pPr>
      <w:bookmarkStart w:id="183" w:name="_Toc25468"/>
      <w:bookmarkStart w:id="184" w:name="_Toc27040"/>
      <w:bookmarkStart w:id="185" w:name="_Toc9438"/>
      <w:r>
        <w:rPr>
          <w:rFonts w:hint="eastAsia" w:ascii="宋体" w:hAnsi="宋体" w:cs="宋体"/>
          <w:color w:val="auto"/>
          <w:sz w:val="21"/>
          <w:szCs w:val="21"/>
          <w:highlight w:val="none"/>
        </w:rPr>
        <w:t>27. 成交结果公告及成交通知书</w:t>
      </w:r>
      <w:bookmarkEnd w:id="183"/>
      <w:bookmarkEnd w:id="184"/>
      <w:bookmarkEnd w:id="185"/>
    </w:p>
    <w:p w14:paraId="2DE796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478E0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27.2 在发布成交公告的同时，采购代理机构向成交供应商发出成交通知书。成交供应商自接到通知之日起七个工作日内，办理成交通知书领取手续。</w:t>
      </w:r>
    </w:p>
    <w:p w14:paraId="4F8916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采购代理机构无义务向未成交的供应商解释未成交原因和退还响应文件。</w:t>
      </w:r>
    </w:p>
    <w:p w14:paraId="567AE6C8">
      <w:pPr>
        <w:spacing w:line="440" w:lineRule="exact"/>
        <w:ind w:firstLine="422" w:firstLineChars="200"/>
        <w:rPr>
          <w:rFonts w:ascii="宋体" w:hAnsi="宋体" w:cs="宋体"/>
          <w:b/>
          <w:color w:val="auto"/>
          <w:szCs w:val="28"/>
          <w:highlight w:val="none"/>
        </w:rPr>
      </w:pPr>
      <w:bookmarkStart w:id="186" w:name="_Toc25593"/>
    </w:p>
    <w:p w14:paraId="37AAB9FE">
      <w:pPr>
        <w:pStyle w:val="2"/>
        <w:tabs>
          <w:tab w:val="left" w:pos="567"/>
        </w:tabs>
        <w:spacing w:line="440" w:lineRule="exact"/>
        <w:jc w:val="center"/>
        <w:rPr>
          <w:rFonts w:ascii="宋体" w:hAnsi="宋体" w:cs="宋体"/>
          <w:bCs w:val="0"/>
          <w:color w:val="auto"/>
          <w:szCs w:val="28"/>
          <w:highlight w:val="none"/>
        </w:rPr>
      </w:pPr>
      <w:bookmarkStart w:id="187" w:name="_Toc24102"/>
      <w:bookmarkStart w:id="188" w:name="_Toc29248"/>
      <w:bookmarkStart w:id="189" w:name="_Toc6429"/>
      <w:r>
        <w:rPr>
          <w:rFonts w:hint="eastAsia" w:ascii="宋体" w:hAnsi="宋体" w:cs="宋体"/>
          <w:bCs w:val="0"/>
          <w:color w:val="auto"/>
          <w:szCs w:val="28"/>
          <w:highlight w:val="none"/>
        </w:rPr>
        <w:t>五、签订合同</w:t>
      </w:r>
      <w:bookmarkEnd w:id="186"/>
      <w:bookmarkEnd w:id="187"/>
      <w:bookmarkEnd w:id="188"/>
      <w:bookmarkEnd w:id="189"/>
    </w:p>
    <w:p w14:paraId="2FA5191F">
      <w:pPr>
        <w:pStyle w:val="4"/>
        <w:widowControl w:val="0"/>
        <w:spacing w:before="0" w:after="0" w:line="440" w:lineRule="exact"/>
        <w:ind w:firstLine="422" w:firstLineChars="200"/>
        <w:rPr>
          <w:rFonts w:ascii="宋体" w:hAnsi="宋体" w:cs="宋体"/>
          <w:color w:val="auto"/>
          <w:highlight w:val="none"/>
        </w:rPr>
      </w:pPr>
      <w:bookmarkStart w:id="190" w:name="_Toc1593"/>
      <w:bookmarkStart w:id="191" w:name="_Toc26520"/>
      <w:bookmarkStart w:id="192" w:name="_Toc1032"/>
      <w:r>
        <w:rPr>
          <w:rFonts w:hint="eastAsia" w:ascii="宋体" w:hAnsi="宋体" w:cs="宋体"/>
          <w:color w:val="auto"/>
          <w:sz w:val="21"/>
          <w:szCs w:val="21"/>
          <w:highlight w:val="none"/>
        </w:rPr>
        <w:t>28. 履约保证金</w:t>
      </w:r>
      <w:bookmarkEnd w:id="190"/>
      <w:bookmarkEnd w:id="191"/>
      <w:bookmarkEnd w:id="192"/>
    </w:p>
    <w:p w14:paraId="3F26EBD8">
      <w:pPr>
        <w:spacing w:line="440" w:lineRule="exact"/>
        <w:ind w:firstLine="420" w:firstLineChars="200"/>
        <w:rPr>
          <w:rFonts w:ascii="宋体" w:hAnsi="宋体" w:cs="宋体"/>
          <w:color w:val="auto"/>
          <w:highlight w:val="none"/>
        </w:rPr>
      </w:pPr>
      <w:bookmarkStart w:id="193" w:name="_Toc4956"/>
      <w:bookmarkStart w:id="194" w:name="_Toc22004"/>
      <w:r>
        <w:rPr>
          <w:rFonts w:hint="eastAsia" w:ascii="宋体" w:hAnsi="宋体" w:cs="宋体"/>
          <w:color w:val="auto"/>
          <w:highlight w:val="none"/>
        </w:rPr>
        <w:t>28.1</w:t>
      </w:r>
      <w:r>
        <w:rPr>
          <w:rFonts w:hint="eastAsia" w:ascii="宋体" w:hAnsi="宋体" w:cs="宋体"/>
          <w:color w:val="auto"/>
          <w:szCs w:val="21"/>
          <w:highlight w:val="none"/>
        </w:rPr>
        <w:t>履约保证金金额：根据《桂林市财政局关于贯彻落实政府采购优化营商环境百日攻坚行动方案的通知》（市财采16〔2020〕24 号）第四条的规定，本项目免收履约保证金。</w:t>
      </w:r>
    </w:p>
    <w:p w14:paraId="56BB087F">
      <w:pPr>
        <w:pStyle w:val="4"/>
        <w:widowControl w:val="0"/>
        <w:spacing w:before="0" w:after="0" w:line="440" w:lineRule="exact"/>
        <w:ind w:firstLine="422" w:firstLineChars="200"/>
        <w:rPr>
          <w:rFonts w:ascii="宋体" w:hAnsi="宋体" w:cs="宋体"/>
          <w:color w:val="auto"/>
          <w:sz w:val="21"/>
          <w:szCs w:val="21"/>
          <w:highlight w:val="none"/>
        </w:rPr>
      </w:pPr>
      <w:bookmarkStart w:id="195" w:name="_Toc15790"/>
      <w:r>
        <w:rPr>
          <w:rFonts w:hint="eastAsia" w:ascii="宋体" w:hAnsi="宋体" w:cs="宋体"/>
          <w:color w:val="auto"/>
          <w:sz w:val="21"/>
          <w:szCs w:val="21"/>
          <w:highlight w:val="none"/>
        </w:rPr>
        <w:t>29. 签订合同</w:t>
      </w:r>
      <w:bookmarkEnd w:id="193"/>
      <w:bookmarkEnd w:id="194"/>
      <w:bookmarkEnd w:id="195"/>
    </w:p>
    <w:p w14:paraId="0707545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29.1 签订合同时间：成交通知书发出之日起八个工作日内签订合同。成交供应商领取成交通知书后，应按规定与采购人签订合同。</w:t>
      </w:r>
    </w:p>
    <w:p w14:paraId="5E5DAFB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29.2 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14:paraId="5CE39B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（1）成交后不与采购人签订合同的（不可抗力除外）；</w:t>
      </w:r>
    </w:p>
    <w:p w14:paraId="38715FC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（2）将成交项目转让给他人，或者在响应文件中未说明，且未经采购人同意，将成交项目分包给他人的；</w:t>
      </w:r>
    </w:p>
    <w:p w14:paraId="6EEDE8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16A92B2F">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29.3 合同备案存档：</w:t>
      </w:r>
      <w:r>
        <w:rPr>
          <w:rFonts w:hint="eastAsia" w:ascii="宋体" w:hAnsi="宋体" w:cs="宋体"/>
          <w:color w:val="auto"/>
          <w:highlight w:val="none"/>
        </w:rPr>
        <w:t>政府采购合同双方自签订之日起1个工作日内将一份合同原件送桂林市阳朔县财政局备案，并于一个工作日内将合同原件一份交采购代理机构存档。采购代理机构将于收到政府采购合同后在省级以上人民政府财政部门指定媒体上公告。</w:t>
      </w:r>
    </w:p>
    <w:p w14:paraId="45C6BDC6">
      <w:pPr>
        <w:pStyle w:val="2"/>
        <w:tabs>
          <w:tab w:val="left" w:pos="567"/>
        </w:tabs>
        <w:spacing w:line="440" w:lineRule="exact"/>
        <w:jc w:val="center"/>
        <w:rPr>
          <w:rFonts w:ascii="宋体" w:hAnsi="宋体" w:cs="宋体"/>
          <w:bCs w:val="0"/>
          <w:color w:val="auto"/>
          <w:szCs w:val="28"/>
          <w:highlight w:val="none"/>
        </w:rPr>
      </w:pPr>
      <w:bookmarkStart w:id="196" w:name="_Toc17898"/>
      <w:bookmarkStart w:id="197" w:name="_Toc1631"/>
      <w:bookmarkStart w:id="198" w:name="_Toc16348"/>
      <w:bookmarkStart w:id="199" w:name="_Toc11467"/>
      <w:r>
        <w:rPr>
          <w:rFonts w:hint="eastAsia" w:ascii="宋体" w:hAnsi="宋体" w:cs="宋体"/>
          <w:bCs w:val="0"/>
          <w:color w:val="auto"/>
          <w:szCs w:val="28"/>
          <w:highlight w:val="none"/>
        </w:rPr>
        <w:t>六、其他事项</w:t>
      </w:r>
      <w:bookmarkEnd w:id="196"/>
      <w:bookmarkEnd w:id="197"/>
      <w:bookmarkEnd w:id="198"/>
      <w:bookmarkEnd w:id="199"/>
    </w:p>
    <w:p w14:paraId="39F8F778">
      <w:pPr>
        <w:pStyle w:val="4"/>
        <w:widowControl w:val="0"/>
        <w:spacing w:before="0" w:after="0" w:line="440" w:lineRule="exact"/>
        <w:ind w:firstLine="422" w:firstLineChars="200"/>
        <w:rPr>
          <w:rFonts w:ascii="宋体" w:hAnsi="宋体" w:cs="宋体"/>
          <w:color w:val="auto"/>
          <w:sz w:val="21"/>
          <w:szCs w:val="21"/>
          <w:highlight w:val="none"/>
        </w:rPr>
      </w:pPr>
      <w:bookmarkStart w:id="200" w:name="_Toc17296"/>
      <w:bookmarkStart w:id="201" w:name="_Toc29572"/>
      <w:bookmarkStart w:id="202" w:name="_Toc28647"/>
      <w:r>
        <w:rPr>
          <w:rFonts w:hint="eastAsia" w:ascii="宋体" w:hAnsi="宋体" w:cs="宋体"/>
          <w:color w:val="auto"/>
          <w:sz w:val="21"/>
          <w:szCs w:val="21"/>
          <w:highlight w:val="none"/>
        </w:rPr>
        <w:t>30. 采购代理服务费</w:t>
      </w:r>
      <w:bookmarkEnd w:id="200"/>
      <w:bookmarkEnd w:id="201"/>
      <w:bookmarkEnd w:id="202"/>
    </w:p>
    <w:p w14:paraId="4CE27B62">
      <w:pPr>
        <w:spacing w:line="440" w:lineRule="exact"/>
        <w:ind w:firstLine="420" w:firstLineChars="200"/>
        <w:rPr>
          <w:rFonts w:ascii="宋体" w:hAnsi="宋体" w:cs="宋体"/>
          <w:color w:val="auto"/>
          <w:highlight w:val="none"/>
        </w:rPr>
      </w:pPr>
      <w:bookmarkStart w:id="203" w:name="_Toc9779"/>
      <w:bookmarkStart w:id="204" w:name="_Toc12374"/>
      <w:r>
        <w:rPr>
          <w:rFonts w:hint="eastAsia" w:ascii="宋体" w:hAnsi="宋体" w:cs="宋体"/>
          <w:color w:val="auto"/>
          <w:highlight w:val="none"/>
        </w:rPr>
        <w:t>30.1采购代理服务费收费标准</w:t>
      </w:r>
    </w:p>
    <w:p w14:paraId="4DF9E72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成交供应商在签订合同前，向</w:t>
      </w:r>
      <w:r>
        <w:rPr>
          <w:rFonts w:hint="eastAsia" w:ascii="宋体" w:hAnsi="宋体" w:cs="宋体"/>
          <w:color w:val="auto"/>
          <w:szCs w:val="21"/>
          <w:highlight w:val="none"/>
        </w:rPr>
        <w:t>广西合士嘉项目咨询有限公司</w:t>
      </w:r>
      <w:r>
        <w:rPr>
          <w:rFonts w:hint="eastAsia" w:ascii="宋体" w:hAnsi="宋体" w:cs="宋体"/>
          <w:color w:val="auto"/>
          <w:highlight w:val="none"/>
        </w:rPr>
        <w:t>一次性付清采购代理服务费，本项目的采购代理服务费按“国家发展计划委员会计价格[2002]1980号《招标代理服务费管理暂行办法》、发改办价格[2003]857号”规定的工程类收费标准</w:t>
      </w:r>
      <w:r>
        <w:rPr>
          <w:rFonts w:hint="eastAsia" w:ascii="宋体" w:hAnsi="宋体" w:cs="宋体"/>
          <w:color w:val="auto"/>
          <w:highlight w:val="none"/>
          <w:lang w:val="en-US" w:eastAsia="zh-CN"/>
        </w:rPr>
        <w:t>五折</w:t>
      </w:r>
      <w:r>
        <w:rPr>
          <w:rFonts w:hint="eastAsia" w:ascii="宋体" w:hAnsi="宋体" w:cs="宋体"/>
          <w:color w:val="auto"/>
          <w:highlight w:val="none"/>
        </w:rPr>
        <w:t>向成交供应商收取。以成交金额为计算基数，按差额定率累进法计算标准计取。不足6000元，按6000元计取。</w:t>
      </w:r>
    </w:p>
    <w:p w14:paraId="65711F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采购代理服务收费标准</w:t>
      </w:r>
    </w:p>
    <w:tbl>
      <w:tblPr>
        <w:tblStyle w:val="5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18D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719" w:type="dxa"/>
          </w:tcPr>
          <w:p w14:paraId="1E2210F8">
            <w:pPr>
              <w:spacing w:line="400" w:lineRule="exac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4" name="直接连接符 4"/>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49.7pt;width:106.5pt;z-index:251660288;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SA+RXUAAAACAEAAA8AAAAAAAAAAQAgAAAAIgAAAGRycy9kb3ducmV2LnhtbFBLAQIUABQAAAAI&#10;AIdO4kAmFpuN8QEAAN0DAAAOAAAAAAAAAAEAIAAAACMBAABkcnMvZTJvRG9jLnhtbFBLBQYAAAAA&#10;BgAGAFkBAACGBQAAAAA=&#10;">
                      <v:fill on="f" focussize="0,0"/>
                      <v:stroke color="#000000" joinstyle="round"/>
                      <v:imagedata o:title=""/>
                      <o:lock v:ext="edit" aspectratio="f"/>
                    </v:line>
                  </w:pict>
                </mc:Fallback>
              </mc:AlternateContent>
            </w:r>
            <w:r>
              <w:rPr>
                <w:rFonts w:hint="eastAsia" w:ascii="宋体" w:hAnsi="宋体" w:cs="宋体"/>
                <w:color w:val="auto"/>
                <w:szCs w:val="21"/>
                <w:highlight w:val="none"/>
              </w:rPr>
              <w:t>费率           服务类型</w:t>
            </w:r>
          </w:p>
          <w:p w14:paraId="6B77E197">
            <w:pPr>
              <w:spacing w:line="400" w:lineRule="exac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5" name="直接连接符 5"/>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3.55pt;height:31.2pt;width:135pt;z-index:251661312;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rrGJ3YAAAACAEAAA8AAAAAAAAAAQAgAAAAIgAAAGRycy9kb3ducmV2LnhtbFBLAQIU&#10;ABQAAAAIAIdO4kDSjkri8wEAAN0DAAAOAAAAAAAAAAEAIAAAACcBAABkcnMvZTJvRG9jLnhtbFBL&#10;BQYAAAAABgAGAFkBAACMBQAAAAA=&#10;">
                      <v:fill on="f" focussize="0,0"/>
                      <v:stroke color="#000000" joinstyle="round"/>
                      <v:imagedata o:title=""/>
                      <o:lock v:ext="edit" aspectratio="f"/>
                    </v:line>
                  </w:pict>
                </mc:Fallback>
              </mc:AlternateContent>
            </w:r>
          </w:p>
          <w:p w14:paraId="7BAD0A9A">
            <w:pPr>
              <w:spacing w:line="400" w:lineRule="exact"/>
              <w:rPr>
                <w:rFonts w:ascii="宋体" w:hAnsi="宋体" w:cs="宋体"/>
                <w:color w:val="auto"/>
                <w:szCs w:val="21"/>
                <w:highlight w:val="none"/>
              </w:rPr>
            </w:pPr>
            <w:r>
              <w:rPr>
                <w:rFonts w:hint="eastAsia" w:ascii="宋体" w:hAnsi="宋体" w:cs="宋体"/>
                <w:color w:val="auto"/>
                <w:szCs w:val="21"/>
                <w:highlight w:val="none"/>
              </w:rPr>
              <w:t>中标金额（万元）</w:t>
            </w:r>
          </w:p>
        </w:tc>
        <w:tc>
          <w:tcPr>
            <w:tcW w:w="2002" w:type="dxa"/>
            <w:vAlign w:val="center"/>
          </w:tcPr>
          <w:p w14:paraId="44F38D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992" w:type="dxa"/>
            <w:vAlign w:val="center"/>
          </w:tcPr>
          <w:p w14:paraId="153DD42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2293" w:type="dxa"/>
            <w:vAlign w:val="center"/>
          </w:tcPr>
          <w:p w14:paraId="661EE3E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03B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50E83BE0">
            <w:pPr>
              <w:spacing w:line="400" w:lineRule="exact"/>
              <w:rPr>
                <w:rFonts w:ascii="宋体" w:hAnsi="宋体" w:cs="宋体"/>
                <w:color w:val="auto"/>
                <w:szCs w:val="21"/>
                <w:highlight w:val="none"/>
              </w:rPr>
            </w:pPr>
            <w:r>
              <w:rPr>
                <w:rFonts w:hint="eastAsia" w:ascii="宋体" w:hAnsi="宋体" w:cs="宋体"/>
                <w:color w:val="auto"/>
                <w:szCs w:val="21"/>
                <w:highlight w:val="none"/>
              </w:rPr>
              <w:t>100以下</w:t>
            </w:r>
          </w:p>
        </w:tc>
        <w:tc>
          <w:tcPr>
            <w:tcW w:w="2002" w:type="dxa"/>
          </w:tcPr>
          <w:p w14:paraId="4A878C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992" w:type="dxa"/>
          </w:tcPr>
          <w:p w14:paraId="5DB6376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93" w:type="dxa"/>
          </w:tcPr>
          <w:p w14:paraId="5E672B0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r>
      <w:tr w14:paraId="0CCD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534E9B9E">
            <w:pPr>
              <w:spacing w:line="400" w:lineRule="exact"/>
              <w:rPr>
                <w:rFonts w:ascii="宋体" w:hAnsi="宋体" w:cs="宋体"/>
                <w:color w:val="auto"/>
                <w:szCs w:val="21"/>
                <w:highlight w:val="none"/>
              </w:rPr>
            </w:pPr>
            <w:r>
              <w:rPr>
                <w:rFonts w:hint="eastAsia" w:ascii="宋体" w:hAnsi="宋体" w:cs="宋体"/>
                <w:color w:val="auto"/>
                <w:szCs w:val="21"/>
                <w:highlight w:val="none"/>
              </w:rPr>
              <w:t>100-500</w:t>
            </w:r>
          </w:p>
        </w:tc>
        <w:tc>
          <w:tcPr>
            <w:tcW w:w="2002" w:type="dxa"/>
          </w:tcPr>
          <w:p w14:paraId="18B37C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92" w:type="dxa"/>
          </w:tcPr>
          <w:p w14:paraId="30FC6AE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2293" w:type="dxa"/>
          </w:tcPr>
          <w:p w14:paraId="187F6E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0.7%</w:t>
            </w:r>
          </w:p>
        </w:tc>
      </w:tr>
      <w:tr w14:paraId="29C5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C9B7727">
            <w:pPr>
              <w:spacing w:line="400" w:lineRule="exact"/>
              <w:rPr>
                <w:rFonts w:ascii="宋体" w:hAnsi="宋体" w:cs="宋体"/>
                <w:color w:val="auto"/>
                <w:szCs w:val="21"/>
                <w:highlight w:val="none"/>
              </w:rPr>
            </w:pPr>
            <w:r>
              <w:rPr>
                <w:rFonts w:hint="eastAsia" w:ascii="宋体" w:hAnsi="宋体" w:cs="宋体"/>
                <w:color w:val="auto"/>
                <w:szCs w:val="21"/>
                <w:highlight w:val="none"/>
              </w:rPr>
              <w:t>500-1000</w:t>
            </w:r>
          </w:p>
        </w:tc>
        <w:tc>
          <w:tcPr>
            <w:tcW w:w="2002" w:type="dxa"/>
          </w:tcPr>
          <w:p w14:paraId="46DAC98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1992" w:type="dxa"/>
          </w:tcPr>
          <w:p w14:paraId="47DDF31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0.45%</w:t>
            </w:r>
          </w:p>
        </w:tc>
        <w:tc>
          <w:tcPr>
            <w:tcW w:w="2293" w:type="dxa"/>
          </w:tcPr>
          <w:p w14:paraId="7D5B671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0.55%</w:t>
            </w:r>
          </w:p>
        </w:tc>
      </w:tr>
      <w:tr w14:paraId="428F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45B6DA26">
            <w:pPr>
              <w:spacing w:line="400" w:lineRule="exact"/>
              <w:rPr>
                <w:rFonts w:ascii="宋体" w:hAnsi="宋体" w:cs="宋体"/>
                <w:color w:val="auto"/>
                <w:szCs w:val="21"/>
                <w:highlight w:val="none"/>
              </w:rPr>
            </w:pPr>
            <w:r>
              <w:rPr>
                <w:rFonts w:hint="eastAsia" w:ascii="宋体" w:hAnsi="宋体" w:cs="宋体"/>
                <w:color w:val="auto"/>
                <w:szCs w:val="21"/>
                <w:highlight w:val="none"/>
              </w:rPr>
              <w:t>1000-5000</w:t>
            </w:r>
          </w:p>
        </w:tc>
        <w:tc>
          <w:tcPr>
            <w:tcW w:w="2002" w:type="dxa"/>
          </w:tcPr>
          <w:p w14:paraId="2BFC018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0.5%</w:t>
            </w:r>
          </w:p>
        </w:tc>
        <w:tc>
          <w:tcPr>
            <w:tcW w:w="1992" w:type="dxa"/>
          </w:tcPr>
          <w:p w14:paraId="107AD6C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2293" w:type="dxa"/>
          </w:tcPr>
          <w:p w14:paraId="25B83CD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0.35%</w:t>
            </w:r>
          </w:p>
        </w:tc>
      </w:tr>
      <w:tr w14:paraId="33B5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A334147">
            <w:pPr>
              <w:spacing w:line="400" w:lineRule="exact"/>
              <w:rPr>
                <w:rFonts w:ascii="宋体" w:hAnsi="宋体" w:cs="宋体"/>
                <w:color w:val="auto"/>
                <w:szCs w:val="21"/>
                <w:highlight w:val="none"/>
              </w:rPr>
            </w:pPr>
            <w:r>
              <w:rPr>
                <w:rFonts w:hint="eastAsia" w:ascii="宋体" w:hAnsi="宋体" w:cs="宋体"/>
                <w:color w:val="auto"/>
                <w:szCs w:val="21"/>
                <w:highlight w:val="none"/>
              </w:rPr>
              <w:t>5000-10000</w:t>
            </w:r>
          </w:p>
        </w:tc>
        <w:tc>
          <w:tcPr>
            <w:tcW w:w="2002" w:type="dxa"/>
          </w:tcPr>
          <w:p w14:paraId="6B560D7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992" w:type="dxa"/>
          </w:tcPr>
          <w:p w14:paraId="4D9F7A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0.1%</w:t>
            </w:r>
          </w:p>
        </w:tc>
        <w:tc>
          <w:tcPr>
            <w:tcW w:w="2293" w:type="dxa"/>
          </w:tcPr>
          <w:p w14:paraId="4CF35B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0.2%</w:t>
            </w:r>
          </w:p>
        </w:tc>
      </w:tr>
      <w:tr w14:paraId="25A5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7ADC759C">
            <w:pPr>
              <w:spacing w:line="400" w:lineRule="exact"/>
              <w:rPr>
                <w:rFonts w:ascii="宋体" w:hAnsi="宋体" w:cs="宋体"/>
                <w:color w:val="auto"/>
                <w:szCs w:val="21"/>
                <w:highlight w:val="none"/>
              </w:rPr>
            </w:pPr>
            <w:r>
              <w:rPr>
                <w:rFonts w:hint="eastAsia" w:ascii="宋体" w:hAnsi="宋体" w:cs="宋体"/>
                <w:color w:val="auto"/>
                <w:szCs w:val="21"/>
                <w:highlight w:val="none"/>
              </w:rPr>
              <w:t>10000-100000</w:t>
            </w:r>
          </w:p>
        </w:tc>
        <w:tc>
          <w:tcPr>
            <w:tcW w:w="2002" w:type="dxa"/>
          </w:tcPr>
          <w:p w14:paraId="4F248D1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992" w:type="dxa"/>
          </w:tcPr>
          <w:p w14:paraId="497916B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2293" w:type="dxa"/>
          </w:tcPr>
          <w:p w14:paraId="06631AD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r>
      <w:tr w14:paraId="033E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31FB5D19">
            <w:pPr>
              <w:spacing w:line="400" w:lineRule="exact"/>
              <w:rPr>
                <w:rFonts w:ascii="宋体" w:hAnsi="宋体" w:cs="宋体"/>
                <w:color w:val="auto"/>
                <w:szCs w:val="21"/>
                <w:highlight w:val="none"/>
              </w:rPr>
            </w:pPr>
            <w:r>
              <w:rPr>
                <w:rFonts w:hint="eastAsia" w:ascii="宋体" w:hAnsi="宋体" w:cs="宋体"/>
                <w:color w:val="auto"/>
                <w:szCs w:val="21"/>
                <w:highlight w:val="none"/>
              </w:rPr>
              <w:t>100000以上</w:t>
            </w:r>
          </w:p>
        </w:tc>
        <w:tc>
          <w:tcPr>
            <w:tcW w:w="2002" w:type="dxa"/>
          </w:tcPr>
          <w:p w14:paraId="3BD9322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0.01%</w:t>
            </w:r>
          </w:p>
        </w:tc>
        <w:tc>
          <w:tcPr>
            <w:tcW w:w="1992" w:type="dxa"/>
          </w:tcPr>
          <w:p w14:paraId="3C30F6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0.01%</w:t>
            </w:r>
          </w:p>
        </w:tc>
        <w:tc>
          <w:tcPr>
            <w:tcW w:w="2293" w:type="dxa"/>
          </w:tcPr>
          <w:p w14:paraId="2EBEB7C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0.01%</w:t>
            </w:r>
          </w:p>
        </w:tc>
      </w:tr>
    </w:tbl>
    <w:p w14:paraId="3E8FA023">
      <w:pPr>
        <w:spacing w:line="400" w:lineRule="exact"/>
        <w:rPr>
          <w:rFonts w:ascii="宋体" w:hAnsi="宋体" w:cs="宋体"/>
          <w:b/>
          <w:color w:val="auto"/>
          <w:szCs w:val="21"/>
          <w:highlight w:val="none"/>
        </w:rPr>
      </w:pPr>
      <w:r>
        <w:rPr>
          <w:rFonts w:hint="eastAsia" w:ascii="宋体" w:hAnsi="宋体" w:cs="宋体"/>
          <w:color w:val="auto"/>
          <w:szCs w:val="21"/>
          <w:highlight w:val="none"/>
        </w:rPr>
        <w:t>注：采购代理服务收费按差额定率累进法计算。</w:t>
      </w:r>
    </w:p>
    <w:p w14:paraId="3AAB4DF9">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注：采购代理收费按差额定率累进法计算。</w:t>
      </w:r>
    </w:p>
    <w:p w14:paraId="2EC03D34">
      <w:pPr>
        <w:spacing w:line="400" w:lineRule="exact"/>
        <w:ind w:firstLine="422"/>
        <w:rPr>
          <w:rFonts w:ascii="宋体" w:hAnsi="宋体" w:cs="宋体"/>
          <w:bCs/>
          <w:color w:val="auto"/>
          <w:highlight w:val="none"/>
        </w:rPr>
      </w:pPr>
      <w:r>
        <w:rPr>
          <w:rFonts w:hint="eastAsia" w:ascii="宋体" w:hAnsi="宋体" w:cs="宋体"/>
          <w:bCs/>
          <w:color w:val="auto"/>
          <w:highlight w:val="none"/>
        </w:rPr>
        <w:t>30.2采购代理服务费缴纳账户：</w:t>
      </w:r>
    </w:p>
    <w:p w14:paraId="2708B79E">
      <w:pPr>
        <w:spacing w:line="440" w:lineRule="exact"/>
        <w:ind w:firstLine="420" w:firstLineChars="200"/>
        <w:outlineLvl w:val="2"/>
        <w:rPr>
          <w:rStyle w:val="100"/>
          <w:rFonts w:ascii="宋体" w:hAnsi="宋体" w:cs="宋体"/>
          <w:b w:val="0"/>
          <w:bCs/>
          <w:color w:val="auto"/>
          <w:sz w:val="21"/>
          <w:szCs w:val="21"/>
          <w:highlight w:val="none"/>
        </w:rPr>
      </w:pPr>
      <w:bookmarkStart w:id="205" w:name="_Toc22751"/>
      <w:r>
        <w:rPr>
          <w:rStyle w:val="100"/>
          <w:rFonts w:hint="eastAsia" w:ascii="宋体" w:hAnsi="宋体" w:cs="宋体"/>
          <w:b w:val="0"/>
          <w:bCs/>
          <w:color w:val="auto"/>
          <w:sz w:val="21"/>
          <w:szCs w:val="21"/>
          <w:highlight w:val="none"/>
        </w:rPr>
        <w:t>账户名称：广西合士嘉项目咨询有限公司桂北分公司</w:t>
      </w:r>
    </w:p>
    <w:p w14:paraId="2CD8BCC4">
      <w:pPr>
        <w:spacing w:line="440" w:lineRule="exact"/>
        <w:ind w:firstLine="420" w:firstLineChars="200"/>
        <w:outlineLvl w:val="2"/>
        <w:rPr>
          <w:rStyle w:val="100"/>
          <w:rFonts w:ascii="宋体" w:hAnsi="宋体" w:cs="宋体"/>
          <w:b w:val="0"/>
          <w:bCs/>
          <w:color w:val="auto"/>
          <w:sz w:val="21"/>
          <w:szCs w:val="21"/>
          <w:highlight w:val="none"/>
        </w:rPr>
      </w:pPr>
      <w:r>
        <w:rPr>
          <w:rStyle w:val="100"/>
          <w:rFonts w:hint="eastAsia" w:ascii="宋体" w:hAnsi="宋体" w:cs="宋体"/>
          <w:b w:val="0"/>
          <w:bCs/>
          <w:color w:val="auto"/>
          <w:sz w:val="21"/>
          <w:szCs w:val="21"/>
          <w:highlight w:val="none"/>
        </w:rPr>
        <w:t>开户银行：广西北部湾银行股份有限公司桂林市七星支行</w:t>
      </w:r>
    </w:p>
    <w:p w14:paraId="4FEA3911">
      <w:pPr>
        <w:spacing w:line="440" w:lineRule="exact"/>
        <w:ind w:firstLine="420" w:firstLineChars="200"/>
        <w:outlineLvl w:val="2"/>
        <w:rPr>
          <w:rStyle w:val="100"/>
          <w:rFonts w:ascii="宋体" w:hAnsi="宋体" w:cs="宋体"/>
          <w:b w:val="0"/>
          <w:bCs/>
          <w:color w:val="auto"/>
          <w:sz w:val="21"/>
          <w:szCs w:val="21"/>
          <w:highlight w:val="none"/>
        </w:rPr>
      </w:pPr>
      <w:r>
        <w:rPr>
          <w:rStyle w:val="100"/>
          <w:rFonts w:hint="eastAsia" w:ascii="宋体" w:hAnsi="宋体" w:cs="宋体"/>
          <w:b w:val="0"/>
          <w:bCs/>
          <w:color w:val="auto"/>
          <w:sz w:val="21"/>
          <w:szCs w:val="21"/>
          <w:highlight w:val="none"/>
        </w:rPr>
        <w:t>银行账号：805159032500002</w:t>
      </w:r>
    </w:p>
    <w:p w14:paraId="30C774F5">
      <w:pPr>
        <w:spacing w:line="440" w:lineRule="exact"/>
        <w:ind w:firstLine="422" w:firstLineChars="200"/>
        <w:outlineLvl w:val="2"/>
        <w:rPr>
          <w:rFonts w:ascii="宋体" w:hAnsi="宋体" w:cs="宋体"/>
          <w:color w:val="auto"/>
          <w:szCs w:val="21"/>
          <w:highlight w:val="none"/>
        </w:rPr>
      </w:pPr>
      <w:r>
        <w:rPr>
          <w:rStyle w:val="100"/>
          <w:rFonts w:hint="eastAsia" w:ascii="宋体" w:hAnsi="宋体" w:cs="宋体"/>
          <w:color w:val="auto"/>
          <w:sz w:val="21"/>
          <w:szCs w:val="21"/>
          <w:highlight w:val="none"/>
        </w:rPr>
        <w:t xml:space="preserve">31. </w:t>
      </w:r>
      <w:bookmarkEnd w:id="203"/>
      <w:bookmarkEnd w:id="204"/>
      <w:r>
        <w:rPr>
          <w:rStyle w:val="100"/>
          <w:rFonts w:hint="eastAsia" w:ascii="宋体" w:hAnsi="宋体" w:cs="宋体"/>
          <w:color w:val="auto"/>
          <w:sz w:val="21"/>
          <w:szCs w:val="21"/>
          <w:highlight w:val="none"/>
        </w:rPr>
        <w:t>编制依据</w:t>
      </w:r>
      <w:r>
        <w:rPr>
          <w:rFonts w:hint="eastAsia" w:ascii="宋体" w:hAnsi="宋体" w:cs="宋体"/>
          <w:color w:val="auto"/>
          <w:szCs w:val="21"/>
          <w:highlight w:val="none"/>
        </w:rPr>
        <w:t>：</w:t>
      </w:r>
      <w:bookmarkEnd w:id="205"/>
    </w:p>
    <w:p w14:paraId="6A72C0B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本竞争性谈判文件是根据《中华人民共和国政府采购法》《中华人民共和国政府采购法实施条例》《政府采购非招标采购方式管理办法》和政府采购管理有关规定编制。</w:t>
      </w:r>
    </w:p>
    <w:p w14:paraId="2330B125">
      <w:pPr>
        <w:spacing w:line="440" w:lineRule="exact"/>
        <w:ind w:firstLine="422" w:firstLineChars="200"/>
        <w:outlineLvl w:val="2"/>
        <w:rPr>
          <w:rFonts w:ascii="宋体" w:hAnsi="宋体" w:cs="宋体"/>
          <w:color w:val="auto"/>
          <w:highlight w:val="none"/>
        </w:rPr>
      </w:pPr>
      <w:bookmarkStart w:id="206" w:name="_Toc32738"/>
      <w:bookmarkStart w:id="207" w:name="_Toc14912"/>
      <w:r>
        <w:rPr>
          <w:rStyle w:val="100"/>
          <w:rFonts w:hint="eastAsia" w:ascii="宋体" w:hAnsi="宋体" w:cs="宋体"/>
          <w:color w:val="auto"/>
          <w:sz w:val="21"/>
          <w:szCs w:val="21"/>
          <w:highlight w:val="none"/>
        </w:rPr>
        <w:t>32. 监督管理机构</w:t>
      </w:r>
      <w:bookmarkEnd w:id="206"/>
      <w:r>
        <w:rPr>
          <w:rFonts w:hint="eastAsia" w:ascii="宋体" w:hAnsi="宋体" w:cs="宋体"/>
          <w:color w:val="auto"/>
          <w:szCs w:val="21"/>
          <w:highlight w:val="none"/>
        </w:rPr>
        <w:t>：</w:t>
      </w:r>
      <w:bookmarkEnd w:id="207"/>
      <w:r>
        <w:rPr>
          <w:rFonts w:hint="eastAsia" w:ascii="宋体" w:hAnsi="宋体" w:cs="宋体"/>
          <w:color w:val="auto"/>
          <w:szCs w:val="21"/>
          <w:highlight w:val="none"/>
        </w:rPr>
        <w:t>桂林市阳朔县财政局    联系电话：0773-8811598</w:t>
      </w:r>
      <w:r>
        <w:rPr>
          <w:rFonts w:hint="eastAsia" w:ascii="宋体" w:hAnsi="宋体" w:cs="宋体"/>
          <w:color w:val="auto"/>
          <w:highlight w:val="none"/>
        </w:rPr>
        <w:t xml:space="preserve">      </w:t>
      </w:r>
    </w:p>
    <w:p w14:paraId="74E24677">
      <w:pPr>
        <w:spacing w:line="440" w:lineRule="exact"/>
        <w:ind w:firstLine="422" w:firstLineChars="200"/>
        <w:outlineLvl w:val="2"/>
        <w:rPr>
          <w:rStyle w:val="100"/>
          <w:rFonts w:ascii="宋体" w:hAnsi="宋体" w:cs="宋体"/>
          <w:color w:val="auto"/>
          <w:sz w:val="21"/>
          <w:szCs w:val="21"/>
          <w:highlight w:val="none"/>
        </w:rPr>
      </w:pPr>
      <w:bookmarkStart w:id="208" w:name="_Toc23144"/>
    </w:p>
    <w:p w14:paraId="13BD1B5A">
      <w:pPr>
        <w:spacing w:line="440" w:lineRule="exact"/>
        <w:ind w:firstLine="420" w:firstLineChars="200"/>
        <w:outlineLvl w:val="2"/>
        <w:rPr>
          <w:rStyle w:val="100"/>
          <w:rFonts w:ascii="宋体" w:hAnsi="宋体" w:cs="宋体"/>
          <w:color w:val="auto"/>
          <w:sz w:val="21"/>
          <w:szCs w:val="21"/>
          <w:highlight w:val="none"/>
        </w:rPr>
      </w:pPr>
      <w:r>
        <w:rPr>
          <w:rFonts w:hint="eastAsia" w:ascii="宋体" w:hAnsi="宋体" w:cs="宋体"/>
          <w:color w:val="auto"/>
          <w:highlight w:val="none"/>
        </w:rPr>
        <w:drawing>
          <wp:anchor distT="0" distB="0" distL="114300" distR="114300" simplePos="0" relativeHeight="251663360" behindDoc="1" locked="0" layoutInCell="1" allowOverlap="1">
            <wp:simplePos x="0" y="0"/>
            <wp:positionH relativeFrom="column">
              <wp:posOffset>1057275</wp:posOffset>
            </wp:positionH>
            <wp:positionV relativeFrom="paragraph">
              <wp:posOffset>956945</wp:posOffset>
            </wp:positionV>
            <wp:extent cx="4473575" cy="3648075"/>
            <wp:effectExtent l="0" t="0" r="0" b="0"/>
            <wp:wrapNone/>
            <wp:docPr id="8" name="图片 23" descr="1637053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1637053985(1)"/>
                    <pic:cNvPicPr>
                      <a:picLocks noChangeAspect="1"/>
                    </pic:cNvPicPr>
                  </pic:nvPicPr>
                  <pic:blipFill>
                    <a:blip r:embed="rId9"/>
                    <a:srcRect t="4129" b="12634"/>
                    <a:stretch>
                      <a:fillRect/>
                    </a:stretch>
                  </pic:blipFill>
                  <pic:spPr>
                    <a:xfrm>
                      <a:off x="0" y="0"/>
                      <a:ext cx="4473575" cy="3648075"/>
                    </a:xfrm>
                    <a:prstGeom prst="rect">
                      <a:avLst/>
                    </a:prstGeom>
                    <a:noFill/>
                    <a:ln>
                      <a:noFill/>
                    </a:ln>
                  </pic:spPr>
                </pic:pic>
              </a:graphicData>
            </a:graphic>
          </wp:anchor>
        </w:drawing>
      </w:r>
      <w:r>
        <w:rPr>
          <w:rStyle w:val="100"/>
          <w:rFonts w:hint="eastAsia" w:ascii="宋体" w:hAnsi="宋体" w:cs="宋体"/>
          <w:color w:val="auto"/>
          <w:sz w:val="21"/>
          <w:szCs w:val="21"/>
          <w:highlight w:val="none"/>
        </w:rPr>
        <w:t>33. 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详见附件2）</w:t>
      </w:r>
      <w:bookmarkEnd w:id="208"/>
    </w:p>
    <w:p w14:paraId="23BAFAFC">
      <w:pPr>
        <w:spacing w:line="580" w:lineRule="exact"/>
        <w:jc w:val="center"/>
        <w:rPr>
          <w:rFonts w:ascii="宋体" w:hAnsi="宋体" w:cs="宋体"/>
          <w:color w:val="auto"/>
          <w:sz w:val="32"/>
          <w:szCs w:val="32"/>
          <w:highlight w:val="none"/>
        </w:rPr>
      </w:pPr>
    </w:p>
    <w:p w14:paraId="6142FB06">
      <w:pPr>
        <w:snapToGrid w:val="0"/>
        <w:outlineLvl w:val="1"/>
        <w:rPr>
          <w:rFonts w:ascii="宋体" w:hAnsi="宋体" w:cs="宋体"/>
          <w:b/>
          <w:color w:val="auto"/>
          <w:kern w:val="0"/>
          <w:sz w:val="24"/>
          <w:highlight w:val="none"/>
        </w:rPr>
      </w:pPr>
      <w:r>
        <w:rPr>
          <w:rFonts w:hint="eastAsia" w:ascii="宋体" w:hAnsi="宋体" w:cs="宋体"/>
          <w:b/>
          <w:color w:val="auto"/>
          <w:kern w:val="0"/>
          <w:sz w:val="24"/>
          <w:highlight w:val="none"/>
        </w:rPr>
        <w:br w:type="page"/>
      </w:r>
      <w:bookmarkStart w:id="209" w:name="_Toc29822"/>
      <w:r>
        <w:rPr>
          <w:rFonts w:hint="eastAsia" w:ascii="宋体" w:hAnsi="宋体" w:cs="宋体"/>
          <w:b/>
          <w:color w:val="auto"/>
          <w:kern w:val="0"/>
          <w:sz w:val="24"/>
          <w:highlight w:val="none"/>
        </w:rPr>
        <w:t>附件：</w:t>
      </w:r>
      <w:bookmarkEnd w:id="209"/>
    </w:p>
    <w:p w14:paraId="5FF1520D">
      <w:pPr>
        <w:spacing w:line="360" w:lineRule="auto"/>
        <w:jc w:val="center"/>
        <w:outlineLvl w:val="1"/>
        <w:rPr>
          <w:rFonts w:ascii="宋体" w:hAnsi="宋体" w:cs="宋体"/>
          <w:color w:val="auto"/>
          <w:sz w:val="30"/>
          <w:szCs w:val="30"/>
          <w:highlight w:val="none"/>
          <w:lang w:val="zh-CN"/>
        </w:rPr>
      </w:pPr>
      <w:bookmarkStart w:id="210" w:name="_Toc23958"/>
      <w:bookmarkStart w:id="211" w:name="_Toc10684"/>
      <w:bookmarkStart w:id="212" w:name="_Toc8255"/>
      <w:r>
        <w:rPr>
          <w:rFonts w:hint="eastAsia" w:ascii="宋体" w:hAnsi="宋体" w:cs="宋体"/>
          <w:color w:val="auto"/>
          <w:sz w:val="30"/>
          <w:szCs w:val="30"/>
          <w:highlight w:val="none"/>
          <w:lang w:val="zh-CN"/>
        </w:rPr>
        <w:t>质疑函（格式）</w:t>
      </w:r>
      <w:bookmarkEnd w:id="210"/>
      <w:bookmarkEnd w:id="211"/>
      <w:bookmarkEnd w:id="212"/>
    </w:p>
    <w:p w14:paraId="21512600">
      <w:pPr>
        <w:spacing w:line="360" w:lineRule="auto"/>
        <w:ind w:firstLine="422" w:firstLineChars="200"/>
        <w:contextualSpacing/>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一、质疑供应商基本信息：</w:t>
      </w:r>
    </w:p>
    <w:p w14:paraId="58024F9F">
      <w:pPr>
        <w:spacing w:line="360" w:lineRule="auto"/>
        <w:ind w:firstLine="420" w:firstLineChars="200"/>
        <w:contextualSpacing/>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质疑供应商：</w:t>
      </w:r>
      <w:r>
        <w:rPr>
          <w:rFonts w:hint="eastAsia" w:ascii="宋体" w:hAnsi="宋体" w:cs="宋体"/>
          <w:bCs/>
          <w:color w:val="auto"/>
          <w:kern w:val="0"/>
          <w:szCs w:val="21"/>
          <w:highlight w:val="none"/>
          <w:u w:val="single"/>
          <w:lang w:val="zh-CN"/>
        </w:rPr>
        <w:t xml:space="preserve">                                                        </w:t>
      </w:r>
    </w:p>
    <w:p w14:paraId="47FEA62D">
      <w:pPr>
        <w:spacing w:line="360" w:lineRule="auto"/>
        <w:ind w:firstLine="420" w:firstLineChars="200"/>
        <w:contextualSpacing/>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p>
    <w:p w14:paraId="4AA3C7DB">
      <w:pPr>
        <w:spacing w:line="360" w:lineRule="auto"/>
        <w:ind w:firstLine="420" w:firstLineChars="200"/>
        <w:contextualSpacing/>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联系人：</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4F116EA7">
      <w:pPr>
        <w:spacing w:line="360" w:lineRule="auto"/>
        <w:ind w:firstLine="420" w:firstLineChars="200"/>
        <w:contextualSpacing/>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授权代表：</w:t>
      </w:r>
      <w:r>
        <w:rPr>
          <w:rFonts w:hint="eastAsia" w:ascii="宋体" w:hAnsi="宋体" w:cs="宋体"/>
          <w:bCs/>
          <w:color w:val="auto"/>
          <w:kern w:val="0"/>
          <w:szCs w:val="21"/>
          <w:highlight w:val="none"/>
          <w:u w:val="single"/>
          <w:lang w:val="zh-CN"/>
        </w:rPr>
        <w:t xml:space="preserve">                      </w:t>
      </w:r>
    </w:p>
    <w:p w14:paraId="3110620C">
      <w:pPr>
        <w:spacing w:line="360" w:lineRule="auto"/>
        <w:ind w:firstLine="420" w:firstLineChars="200"/>
        <w:contextualSpacing/>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7038690C">
      <w:pPr>
        <w:spacing w:line="360" w:lineRule="auto"/>
        <w:ind w:firstLine="420" w:firstLineChars="200"/>
        <w:contextualSpacing/>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p>
    <w:p w14:paraId="032862BB">
      <w:pPr>
        <w:spacing w:line="360" w:lineRule="auto"/>
        <w:ind w:firstLine="422" w:firstLineChars="200"/>
        <w:contextualSpacing/>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二、质疑项目基本情况：</w:t>
      </w:r>
    </w:p>
    <w:p w14:paraId="059BCAF3">
      <w:pPr>
        <w:spacing w:line="360" w:lineRule="auto"/>
        <w:ind w:left="25" w:leftChars="12" w:firstLine="413" w:firstLineChars="197"/>
        <w:contextualSpacing/>
        <w:rPr>
          <w:rFonts w:ascii="宋体" w:hAnsi="宋体" w:cs="宋体"/>
          <w:color w:val="auto"/>
          <w:kern w:val="0"/>
          <w:szCs w:val="21"/>
          <w:highlight w:val="none"/>
        </w:rPr>
      </w:pPr>
      <w:r>
        <w:rPr>
          <w:rFonts w:hint="eastAsia" w:ascii="宋体" w:hAnsi="宋体" w:cs="宋体"/>
          <w:bCs/>
          <w:color w:val="auto"/>
          <w:kern w:val="0"/>
          <w:szCs w:val="21"/>
          <w:highlight w:val="none"/>
          <w:lang w:val="zh-CN"/>
        </w:rPr>
        <w:t>质疑</w:t>
      </w:r>
      <w:r>
        <w:rPr>
          <w:rFonts w:hint="eastAsia" w:ascii="宋体" w:hAnsi="宋体" w:cs="宋体"/>
          <w:color w:val="auto"/>
          <w:kern w:val="0"/>
          <w:szCs w:val="21"/>
          <w:highlight w:val="none"/>
          <w:lang w:val="zh-CN"/>
        </w:rPr>
        <w:t>项目的名称：</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p>
    <w:p w14:paraId="2F88D56F">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bCs/>
          <w:color w:val="auto"/>
          <w:kern w:val="0"/>
          <w:szCs w:val="21"/>
          <w:highlight w:val="none"/>
          <w:lang w:val="zh-CN"/>
        </w:rPr>
        <w:t>质疑</w:t>
      </w:r>
      <w:r>
        <w:rPr>
          <w:rFonts w:hint="eastAsia" w:ascii="宋体" w:hAnsi="宋体" w:cs="宋体"/>
          <w:color w:val="auto"/>
          <w:kern w:val="0"/>
          <w:szCs w:val="21"/>
          <w:highlight w:val="none"/>
          <w:lang w:val="zh-CN"/>
        </w:rPr>
        <w:t>项目的编号：</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p>
    <w:p w14:paraId="52641B87">
      <w:pPr>
        <w:spacing w:line="360" w:lineRule="auto"/>
        <w:ind w:left="25" w:leftChars="12" w:firstLine="413" w:firstLineChars="197"/>
        <w:contextualSpacing/>
        <w:rPr>
          <w:rFonts w:ascii="宋体" w:hAnsi="宋体" w:cs="宋体"/>
          <w:color w:val="auto"/>
          <w:kern w:val="0"/>
          <w:szCs w:val="21"/>
          <w:highlight w:val="none"/>
        </w:rPr>
      </w:pPr>
      <w:r>
        <w:rPr>
          <w:rFonts w:hint="eastAsia" w:ascii="宋体" w:hAnsi="宋体" w:cs="宋体"/>
          <w:color w:val="auto"/>
          <w:kern w:val="0"/>
          <w:szCs w:val="21"/>
          <w:highlight w:val="none"/>
          <w:lang w:val="zh-CN"/>
        </w:rPr>
        <w:t>采购人名称：</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p>
    <w:p w14:paraId="40931A34">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质疑事项：</w:t>
      </w:r>
    </w:p>
    <w:p w14:paraId="3BF17802">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□采购文件   采购文件获取日期：</w:t>
      </w:r>
      <w:r>
        <w:rPr>
          <w:rFonts w:hint="eastAsia" w:ascii="宋体" w:hAnsi="宋体" w:cs="宋体"/>
          <w:bCs/>
          <w:color w:val="auto"/>
          <w:kern w:val="0"/>
          <w:szCs w:val="21"/>
          <w:highlight w:val="none"/>
          <w:u w:val="single"/>
          <w:lang w:val="zh-CN"/>
        </w:rPr>
        <w:t xml:space="preserve">                                   </w:t>
      </w:r>
    </w:p>
    <w:p w14:paraId="2D3238C6">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bCs/>
          <w:color w:val="auto"/>
          <w:kern w:val="0"/>
          <w:szCs w:val="21"/>
          <w:highlight w:val="none"/>
          <w:lang w:val="zh-CN"/>
        </w:rPr>
        <w:t>采购</w:t>
      </w:r>
      <w:r>
        <w:rPr>
          <w:rFonts w:hint="eastAsia" w:ascii="宋体" w:hAnsi="宋体" w:cs="宋体"/>
          <w:color w:val="auto"/>
          <w:kern w:val="0"/>
          <w:szCs w:val="21"/>
          <w:highlight w:val="none"/>
          <w:lang w:val="zh-CN"/>
        </w:rPr>
        <w:t xml:space="preserve">过程   </w:t>
      </w:r>
    </w:p>
    <w:p w14:paraId="0ACCFA5F">
      <w:pPr>
        <w:spacing w:line="360" w:lineRule="auto"/>
        <w:ind w:left="25" w:leftChars="12" w:firstLine="413" w:firstLineChars="197"/>
        <w:contextualSpacing/>
        <w:rPr>
          <w:rFonts w:ascii="宋体" w:hAnsi="宋体" w:cs="宋体"/>
          <w:bCs/>
          <w:color w:val="auto"/>
          <w:kern w:val="0"/>
          <w:szCs w:val="21"/>
          <w:highlight w:val="none"/>
          <w:u w:val="single"/>
          <w:lang w:val="zh-CN"/>
        </w:rPr>
      </w:pPr>
      <w:r>
        <w:rPr>
          <w:rFonts w:hint="eastAsia" w:ascii="宋体" w:hAnsi="宋体" w:cs="宋体"/>
          <w:color w:val="auto"/>
          <w:kern w:val="0"/>
          <w:szCs w:val="21"/>
          <w:highlight w:val="none"/>
          <w:lang w:val="zh-CN"/>
        </w:rPr>
        <w:t>□</w:t>
      </w:r>
      <w:r>
        <w:rPr>
          <w:rFonts w:hint="eastAsia" w:ascii="宋体" w:hAnsi="宋体" w:cs="宋体"/>
          <w:bCs/>
          <w:color w:val="auto"/>
          <w:kern w:val="0"/>
          <w:szCs w:val="21"/>
          <w:highlight w:val="none"/>
          <w:lang w:val="zh-CN"/>
        </w:rPr>
        <w:t>成交</w:t>
      </w:r>
      <w:r>
        <w:rPr>
          <w:rFonts w:hint="eastAsia" w:ascii="宋体" w:hAnsi="宋体" w:cs="宋体"/>
          <w:color w:val="auto"/>
          <w:kern w:val="0"/>
          <w:szCs w:val="21"/>
          <w:highlight w:val="none"/>
          <w:lang w:val="zh-CN"/>
        </w:rPr>
        <w:t xml:space="preserve">结果   </w:t>
      </w:r>
    </w:p>
    <w:p w14:paraId="732CEC4D">
      <w:pPr>
        <w:spacing w:line="360" w:lineRule="auto"/>
        <w:ind w:left="25" w:leftChars="12" w:firstLine="413" w:firstLineChars="196"/>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三、质疑事项具体内容</w:t>
      </w:r>
    </w:p>
    <w:p w14:paraId="38B8A4A8">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质疑事项1：</w:t>
      </w:r>
      <w:r>
        <w:rPr>
          <w:rFonts w:hint="eastAsia" w:ascii="宋体" w:hAnsi="宋体" w:cs="宋体"/>
          <w:bCs/>
          <w:color w:val="auto"/>
          <w:kern w:val="0"/>
          <w:szCs w:val="21"/>
          <w:highlight w:val="none"/>
          <w:u w:val="single"/>
          <w:lang w:val="zh-CN"/>
        </w:rPr>
        <w:t xml:space="preserve">                                                                 </w:t>
      </w:r>
    </w:p>
    <w:p w14:paraId="05B73D06">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事实依据：</w:t>
      </w:r>
      <w:r>
        <w:rPr>
          <w:rFonts w:hint="eastAsia" w:ascii="宋体" w:hAnsi="宋体" w:cs="宋体"/>
          <w:bCs/>
          <w:color w:val="auto"/>
          <w:kern w:val="0"/>
          <w:szCs w:val="21"/>
          <w:highlight w:val="none"/>
          <w:u w:val="single"/>
          <w:lang w:val="zh-CN"/>
        </w:rPr>
        <w:t xml:space="preserve">                                                                  </w:t>
      </w:r>
    </w:p>
    <w:p w14:paraId="6060B3DD">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法律依据：</w:t>
      </w:r>
      <w:r>
        <w:rPr>
          <w:rFonts w:hint="eastAsia" w:ascii="宋体" w:hAnsi="宋体" w:cs="宋体"/>
          <w:color w:val="auto"/>
          <w:kern w:val="0"/>
          <w:szCs w:val="21"/>
          <w:highlight w:val="none"/>
          <w:u w:val="single"/>
          <w:lang w:val="zh-CN"/>
        </w:rPr>
        <w:t xml:space="preserve">                                                        </w:t>
      </w:r>
      <w:r>
        <w:rPr>
          <w:rFonts w:hint="eastAsia" w:ascii="宋体" w:hAnsi="宋体" w:cs="宋体"/>
          <w:bCs/>
          <w:color w:val="auto"/>
          <w:kern w:val="0"/>
          <w:szCs w:val="21"/>
          <w:highlight w:val="none"/>
          <w:u w:val="single"/>
          <w:lang w:val="zh-CN"/>
        </w:rPr>
        <w:t xml:space="preserve">          </w:t>
      </w:r>
    </w:p>
    <w:p w14:paraId="0F04B705">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质疑事项2</w:t>
      </w:r>
    </w:p>
    <w:p w14:paraId="3CF59AF6">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34A28BF0">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四、与质疑事项相关的质疑请求：</w:t>
      </w:r>
    </w:p>
    <w:p w14:paraId="35390096">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请求：</w:t>
      </w:r>
      <w:r>
        <w:rPr>
          <w:rFonts w:hint="eastAsia" w:ascii="宋体" w:hAnsi="宋体" w:cs="宋体"/>
          <w:bCs/>
          <w:color w:val="auto"/>
          <w:kern w:val="0"/>
          <w:szCs w:val="21"/>
          <w:highlight w:val="none"/>
          <w:u w:val="single"/>
          <w:lang w:val="zh-CN"/>
        </w:rPr>
        <w:t xml:space="preserve">                                                                </w:t>
      </w:r>
    </w:p>
    <w:p w14:paraId="63074A53">
      <w:pPr>
        <w:spacing w:line="360" w:lineRule="auto"/>
        <w:ind w:left="25" w:leftChars="12" w:firstLine="308" w:firstLineChars="147"/>
        <w:contextualSpacing/>
        <w:rPr>
          <w:rFonts w:ascii="宋体" w:hAnsi="宋体" w:cs="宋体"/>
          <w:color w:val="auto"/>
          <w:kern w:val="0"/>
          <w:szCs w:val="21"/>
          <w:highlight w:val="none"/>
          <w:lang w:val="zh-CN"/>
        </w:rPr>
      </w:pPr>
    </w:p>
    <w:p w14:paraId="5C69FC0C">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签字（签章）：                                       公章：</w:t>
      </w:r>
    </w:p>
    <w:p w14:paraId="7DF28D6C">
      <w:pPr>
        <w:spacing w:line="360" w:lineRule="auto"/>
        <w:ind w:left="25" w:leftChars="12" w:firstLine="308" w:firstLineChars="147"/>
        <w:contextualSpacing/>
        <w:rPr>
          <w:rFonts w:ascii="宋体" w:hAnsi="宋体" w:cs="宋体"/>
          <w:color w:val="auto"/>
          <w:kern w:val="0"/>
          <w:szCs w:val="21"/>
          <w:highlight w:val="none"/>
          <w:lang w:val="zh-CN"/>
        </w:rPr>
      </w:pPr>
    </w:p>
    <w:p w14:paraId="797BF64B">
      <w:pPr>
        <w:spacing w:line="360" w:lineRule="auto"/>
        <w:ind w:left="25" w:leftChars="12" w:firstLine="413" w:firstLineChars="197"/>
        <w:contextualSpacing/>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p>
    <w:p w14:paraId="7255AEEF">
      <w:pPr>
        <w:spacing w:line="360" w:lineRule="auto"/>
        <w:contextualSpacing/>
        <w:rPr>
          <w:rFonts w:ascii="宋体" w:hAnsi="宋体" w:cs="宋体"/>
          <w:b/>
          <w:color w:val="auto"/>
          <w:kern w:val="0"/>
          <w:szCs w:val="21"/>
          <w:highlight w:val="none"/>
          <w:lang w:val="zh-CN"/>
        </w:rPr>
      </w:pPr>
    </w:p>
    <w:p w14:paraId="1BAD160B">
      <w:pPr>
        <w:spacing w:line="360" w:lineRule="auto"/>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说明：</w:t>
      </w:r>
    </w:p>
    <w:p w14:paraId="03169D62">
      <w:pPr>
        <w:spacing w:line="360" w:lineRule="auto"/>
        <w:ind w:left="25" w:leftChars="12" w:firstLine="310" w:firstLineChars="147"/>
        <w:contextualSpacing/>
        <w:rPr>
          <w:rFonts w:ascii="宋体" w:hAnsi="宋体" w:cs="宋体"/>
          <w:b/>
          <w:bCs/>
          <w:color w:val="auto"/>
          <w:kern w:val="0"/>
          <w:szCs w:val="21"/>
          <w:highlight w:val="none"/>
          <w:lang w:val="zh-CN"/>
        </w:rPr>
      </w:pPr>
      <w:r>
        <w:rPr>
          <w:rFonts w:hint="eastAsia" w:ascii="宋体" w:hAnsi="宋体" w:cs="宋体"/>
          <w:b/>
          <w:color w:val="auto"/>
          <w:kern w:val="0"/>
          <w:szCs w:val="21"/>
          <w:highlight w:val="none"/>
          <w:lang w:val="zh-CN"/>
        </w:rPr>
        <w:t>1、供应商提出质疑时，应提交质疑函和必要的证明材料</w:t>
      </w:r>
      <w:r>
        <w:rPr>
          <w:rFonts w:hint="eastAsia" w:ascii="宋体" w:hAnsi="宋体" w:cs="宋体"/>
          <w:b/>
          <w:bCs/>
          <w:color w:val="auto"/>
          <w:kern w:val="0"/>
          <w:szCs w:val="21"/>
          <w:highlight w:val="none"/>
          <w:lang w:val="zh-CN"/>
        </w:rPr>
        <w:t>。</w:t>
      </w:r>
    </w:p>
    <w:p w14:paraId="54E542EE">
      <w:pPr>
        <w:spacing w:line="360" w:lineRule="auto"/>
        <w:ind w:left="25" w:leftChars="12" w:firstLine="310" w:firstLineChars="147"/>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E4723A">
      <w:pPr>
        <w:spacing w:line="360" w:lineRule="auto"/>
        <w:ind w:left="25" w:leftChars="12" w:firstLine="310" w:firstLineChars="147"/>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3、质疑函的质疑事项应具体、明确，并有必要的事实依据和法律依据。</w:t>
      </w:r>
    </w:p>
    <w:p w14:paraId="4BCA93A6">
      <w:pPr>
        <w:spacing w:line="360" w:lineRule="auto"/>
        <w:ind w:left="25" w:leftChars="12" w:firstLine="310" w:firstLineChars="147"/>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4、质疑函的质疑请求应与质疑事项相关。</w:t>
      </w:r>
    </w:p>
    <w:p w14:paraId="4C2DD200">
      <w:pPr>
        <w:spacing w:line="360" w:lineRule="auto"/>
        <w:ind w:left="25" w:leftChars="12" w:firstLine="310" w:firstLineChars="147"/>
        <w:contextualSpacing/>
        <w:rPr>
          <w:rFonts w:ascii="宋体" w:hAnsi="宋体" w:cs="宋体"/>
          <w:b/>
          <w:color w:val="auto"/>
          <w:kern w:val="0"/>
          <w:sz w:val="20"/>
          <w:szCs w:val="21"/>
          <w:highlight w:val="none"/>
          <w:lang w:val="zh-CN"/>
        </w:rPr>
      </w:pPr>
      <w:r>
        <w:rPr>
          <w:rFonts w:hint="eastAsia" w:ascii="宋体" w:hAnsi="宋体" w:cs="宋体"/>
          <w:b/>
          <w:color w:val="auto"/>
          <w:kern w:val="0"/>
          <w:szCs w:val="21"/>
          <w:highlight w:val="none"/>
          <w:lang w:val="zh-CN"/>
        </w:rPr>
        <w:t>5、质疑供应商为法人或者其他组织的，质疑函应由法定代表人、主要负责人，或者其授权代表签字或者盖章，并加盖公章。</w:t>
      </w:r>
    </w:p>
    <w:p w14:paraId="1F590C22">
      <w:pPr>
        <w:snapToGrid w:val="0"/>
        <w:rPr>
          <w:rFonts w:ascii="宋体" w:hAnsi="宋体" w:cs="宋体"/>
          <w:b/>
          <w:color w:val="auto"/>
          <w:kern w:val="0"/>
          <w:sz w:val="24"/>
          <w:highlight w:val="none"/>
          <w:lang w:val="zh-CN"/>
        </w:rPr>
      </w:pPr>
    </w:p>
    <w:p w14:paraId="624D82AC">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4A9EC0E1">
      <w:pPr>
        <w:spacing w:line="360" w:lineRule="auto"/>
        <w:jc w:val="center"/>
        <w:outlineLvl w:val="1"/>
        <w:rPr>
          <w:rFonts w:ascii="宋体" w:hAnsi="宋体" w:cs="宋体"/>
          <w:color w:val="auto"/>
          <w:sz w:val="30"/>
          <w:szCs w:val="30"/>
          <w:highlight w:val="none"/>
          <w:lang w:val="zh-CN"/>
        </w:rPr>
      </w:pPr>
      <w:bookmarkStart w:id="213" w:name="_Toc9540"/>
      <w:bookmarkStart w:id="214" w:name="_Toc13697"/>
      <w:bookmarkStart w:id="215" w:name="_Toc12768"/>
      <w:r>
        <w:rPr>
          <w:rFonts w:hint="eastAsia" w:ascii="宋体" w:hAnsi="宋体" w:cs="宋体"/>
          <w:color w:val="auto"/>
          <w:sz w:val="30"/>
          <w:szCs w:val="30"/>
          <w:highlight w:val="none"/>
          <w:lang w:val="zh-CN"/>
        </w:rPr>
        <w:t>投诉书（格式）</w:t>
      </w:r>
      <w:bookmarkEnd w:id="213"/>
      <w:bookmarkEnd w:id="214"/>
      <w:bookmarkEnd w:id="215"/>
    </w:p>
    <w:p w14:paraId="3BEB33F3">
      <w:pPr>
        <w:snapToGrid w:val="0"/>
        <w:spacing w:line="400" w:lineRule="exact"/>
        <w:ind w:firstLine="422" w:firstLineChars="200"/>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一、投诉相关主体基本情况：</w:t>
      </w:r>
    </w:p>
    <w:p w14:paraId="1714DBDE">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供应商：</w:t>
      </w:r>
      <w:r>
        <w:rPr>
          <w:rFonts w:hint="eastAsia" w:ascii="宋体" w:hAnsi="宋体" w:cs="宋体"/>
          <w:bCs/>
          <w:color w:val="auto"/>
          <w:kern w:val="0"/>
          <w:szCs w:val="21"/>
          <w:highlight w:val="none"/>
          <w:u w:val="single"/>
          <w:lang w:val="zh-CN"/>
        </w:rPr>
        <w:t xml:space="preserve">                                                                     </w:t>
      </w:r>
    </w:p>
    <w:p w14:paraId="308F46FA">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p>
    <w:p w14:paraId="7A15DD3D">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法定代表人/主要负责人：</w:t>
      </w:r>
      <w:r>
        <w:rPr>
          <w:rFonts w:hint="eastAsia" w:ascii="宋体" w:hAnsi="宋体" w:cs="宋体"/>
          <w:bCs/>
          <w:color w:val="auto"/>
          <w:kern w:val="0"/>
          <w:szCs w:val="21"/>
          <w:highlight w:val="none"/>
          <w:u w:val="single"/>
          <w:lang w:val="zh-CN"/>
        </w:rPr>
        <w:t xml:space="preserve">                                                       </w:t>
      </w:r>
    </w:p>
    <w:p w14:paraId="42727443">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2F41D801">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授权代表：</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0ACF5E54">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p>
    <w:p w14:paraId="2AC088E5">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 xml:space="preserve">   </w:t>
      </w:r>
    </w:p>
    <w:p w14:paraId="6847B6F5">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被投诉人1：</w:t>
      </w:r>
    </w:p>
    <w:p w14:paraId="6E0524D5">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p>
    <w:p w14:paraId="2B277C89">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 xml:space="preserve">  </w:t>
      </w:r>
    </w:p>
    <w:p w14:paraId="15A0B9A8">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联系人：</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106118D8">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被投诉人2：</w:t>
      </w:r>
    </w:p>
    <w:p w14:paraId="1FF71605">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w:t>
      </w:r>
    </w:p>
    <w:p w14:paraId="1935B0FF">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相关供应商：</w:t>
      </w:r>
      <w:r>
        <w:rPr>
          <w:rFonts w:hint="eastAsia" w:ascii="宋体" w:hAnsi="宋体" w:cs="宋体"/>
          <w:bCs/>
          <w:color w:val="auto"/>
          <w:kern w:val="0"/>
          <w:szCs w:val="21"/>
          <w:highlight w:val="none"/>
          <w:u w:val="single"/>
          <w:lang w:val="zh-CN"/>
        </w:rPr>
        <w:t xml:space="preserve">                                                                 </w:t>
      </w:r>
    </w:p>
    <w:p w14:paraId="30848B3B">
      <w:pPr>
        <w:snapToGrid w:val="0"/>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地址：</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邮编：</w:t>
      </w:r>
      <w:r>
        <w:rPr>
          <w:rFonts w:hint="eastAsia" w:ascii="宋体" w:hAnsi="宋体" w:cs="宋体"/>
          <w:bCs/>
          <w:color w:val="auto"/>
          <w:kern w:val="0"/>
          <w:szCs w:val="21"/>
          <w:highlight w:val="none"/>
          <w:u w:val="single"/>
          <w:lang w:val="zh-CN"/>
        </w:rPr>
        <w:t xml:space="preserve">                   </w:t>
      </w:r>
    </w:p>
    <w:p w14:paraId="6B7FCAE2">
      <w:pPr>
        <w:snapToGrid w:val="0"/>
        <w:spacing w:line="400" w:lineRule="exact"/>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联系人：</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lang w:val="zh-CN"/>
        </w:rPr>
        <w:t>联系电话：</w:t>
      </w:r>
      <w:r>
        <w:rPr>
          <w:rFonts w:hint="eastAsia" w:ascii="宋体" w:hAnsi="宋体" w:cs="宋体"/>
          <w:bCs/>
          <w:color w:val="auto"/>
          <w:kern w:val="0"/>
          <w:szCs w:val="21"/>
          <w:highlight w:val="none"/>
          <w:u w:val="single"/>
          <w:lang w:val="zh-CN"/>
        </w:rPr>
        <w:t xml:space="preserve">               </w:t>
      </w:r>
    </w:p>
    <w:p w14:paraId="0037EA00">
      <w:pPr>
        <w:snapToGrid w:val="0"/>
        <w:spacing w:line="400" w:lineRule="exact"/>
        <w:ind w:firstLine="422" w:firstLineChars="200"/>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二、投诉项目基本情况：</w:t>
      </w:r>
    </w:p>
    <w:p w14:paraId="15199938">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bCs/>
          <w:color w:val="auto"/>
          <w:kern w:val="0"/>
          <w:szCs w:val="21"/>
          <w:highlight w:val="none"/>
          <w:lang w:val="zh-CN"/>
        </w:rPr>
        <w:t>采购</w:t>
      </w:r>
      <w:r>
        <w:rPr>
          <w:rFonts w:hint="eastAsia" w:ascii="宋体" w:hAnsi="宋体" w:cs="宋体"/>
          <w:color w:val="auto"/>
          <w:kern w:val="0"/>
          <w:szCs w:val="21"/>
          <w:highlight w:val="none"/>
          <w:lang w:val="zh-CN"/>
        </w:rPr>
        <w:t>项目的名称：</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p>
    <w:p w14:paraId="350BFFCA">
      <w:pPr>
        <w:spacing w:line="400" w:lineRule="exact"/>
        <w:ind w:left="25" w:leftChars="12" w:firstLine="413" w:firstLineChars="197"/>
        <w:rPr>
          <w:rFonts w:ascii="宋体" w:hAnsi="宋体" w:cs="宋体"/>
          <w:color w:val="auto"/>
          <w:kern w:val="0"/>
          <w:szCs w:val="21"/>
          <w:highlight w:val="none"/>
        </w:rPr>
      </w:pPr>
      <w:r>
        <w:rPr>
          <w:rFonts w:hint="eastAsia" w:ascii="宋体" w:hAnsi="宋体" w:cs="宋体"/>
          <w:bCs/>
          <w:color w:val="auto"/>
          <w:kern w:val="0"/>
          <w:szCs w:val="21"/>
          <w:highlight w:val="none"/>
          <w:lang w:val="zh-CN"/>
        </w:rPr>
        <w:t>采购</w:t>
      </w:r>
      <w:r>
        <w:rPr>
          <w:rFonts w:hint="eastAsia" w:ascii="宋体" w:hAnsi="宋体" w:cs="宋体"/>
          <w:color w:val="auto"/>
          <w:kern w:val="0"/>
          <w:szCs w:val="21"/>
          <w:highlight w:val="none"/>
          <w:lang w:val="zh-CN"/>
        </w:rPr>
        <w:t>项目的编号：</w:t>
      </w:r>
      <w:r>
        <w:rPr>
          <w:rFonts w:hint="eastAsia" w:ascii="宋体" w:hAnsi="宋体" w:cs="宋体"/>
          <w:bCs/>
          <w:color w:val="auto"/>
          <w:kern w:val="0"/>
          <w:szCs w:val="21"/>
          <w:highlight w:val="none"/>
          <w:u w:val="single"/>
        </w:rPr>
        <w:t xml:space="preserve">                   </w:t>
      </w:r>
    </w:p>
    <w:p w14:paraId="1F497E24">
      <w:pPr>
        <w:spacing w:line="400" w:lineRule="exact"/>
        <w:ind w:left="25" w:leftChars="12" w:firstLine="413" w:firstLineChars="197"/>
        <w:rPr>
          <w:rFonts w:ascii="宋体" w:hAnsi="宋体" w:cs="宋体"/>
          <w:bCs/>
          <w:color w:val="auto"/>
          <w:kern w:val="0"/>
          <w:szCs w:val="21"/>
          <w:highlight w:val="none"/>
          <w:u w:val="single"/>
        </w:rPr>
      </w:pPr>
      <w:r>
        <w:rPr>
          <w:rFonts w:hint="eastAsia" w:ascii="宋体" w:hAnsi="宋体" w:cs="宋体"/>
          <w:color w:val="auto"/>
          <w:kern w:val="0"/>
          <w:szCs w:val="21"/>
          <w:highlight w:val="none"/>
          <w:lang w:val="zh-CN"/>
        </w:rPr>
        <w:t>采购人名称：</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p>
    <w:p w14:paraId="09EC013C">
      <w:pPr>
        <w:spacing w:line="400" w:lineRule="exact"/>
        <w:ind w:left="25" w:leftChars="12" w:firstLine="413" w:firstLineChars="197"/>
        <w:rPr>
          <w:rFonts w:ascii="宋体" w:hAnsi="宋体" w:cs="宋体"/>
          <w:bCs/>
          <w:color w:val="auto"/>
          <w:kern w:val="0"/>
          <w:szCs w:val="21"/>
          <w:highlight w:val="none"/>
          <w:u w:val="single"/>
        </w:rPr>
      </w:pPr>
      <w:r>
        <w:rPr>
          <w:rFonts w:hint="eastAsia" w:ascii="宋体" w:hAnsi="宋体" w:cs="宋体"/>
          <w:color w:val="auto"/>
          <w:kern w:val="0"/>
          <w:szCs w:val="21"/>
          <w:highlight w:val="none"/>
          <w:lang w:val="zh-CN"/>
        </w:rPr>
        <w:t>代理机构名称：</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zh-CN"/>
        </w:rPr>
        <w:t xml:space="preserve"> </w:t>
      </w:r>
      <w:r>
        <w:rPr>
          <w:rFonts w:hint="eastAsia" w:ascii="宋体" w:hAnsi="宋体" w:cs="宋体"/>
          <w:bCs/>
          <w:color w:val="auto"/>
          <w:kern w:val="0"/>
          <w:szCs w:val="21"/>
          <w:highlight w:val="none"/>
          <w:u w:val="single"/>
        </w:rPr>
        <w:t xml:space="preserve">     </w:t>
      </w:r>
    </w:p>
    <w:p w14:paraId="5BC69C86">
      <w:pPr>
        <w:spacing w:line="400" w:lineRule="exact"/>
        <w:ind w:left="25" w:leftChars="12" w:firstLine="413" w:firstLineChars="197"/>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rPr>
        <w:t>采购</w:t>
      </w:r>
      <w:r>
        <w:rPr>
          <w:rFonts w:hint="eastAsia" w:ascii="宋体" w:hAnsi="宋体" w:cs="宋体"/>
          <w:bCs/>
          <w:color w:val="auto"/>
          <w:kern w:val="0"/>
          <w:szCs w:val="21"/>
          <w:highlight w:val="none"/>
          <w:lang w:val="zh-CN"/>
        </w:rPr>
        <w:t>文件公告：</w:t>
      </w:r>
      <w:r>
        <w:rPr>
          <w:rFonts w:hint="eastAsia" w:ascii="宋体" w:hAnsi="宋体" w:cs="宋体"/>
          <w:bCs/>
          <w:color w:val="auto"/>
          <w:kern w:val="0"/>
          <w:szCs w:val="21"/>
          <w:highlight w:val="none"/>
          <w:u w:val="single"/>
          <w:lang w:val="zh-CN"/>
        </w:rPr>
        <w:t>是/否</w:t>
      </w:r>
      <w:r>
        <w:rPr>
          <w:rFonts w:hint="eastAsia" w:ascii="宋体" w:hAnsi="宋体" w:cs="宋体"/>
          <w:bCs/>
          <w:color w:val="auto"/>
          <w:kern w:val="0"/>
          <w:szCs w:val="21"/>
          <w:highlight w:val="none"/>
          <w:lang w:val="zh-CN"/>
        </w:rPr>
        <w:t>公告期限：</w:t>
      </w:r>
      <w:r>
        <w:rPr>
          <w:rFonts w:hint="eastAsia" w:ascii="宋体" w:hAnsi="宋体" w:cs="宋体"/>
          <w:bCs/>
          <w:color w:val="auto"/>
          <w:kern w:val="0"/>
          <w:szCs w:val="21"/>
          <w:highlight w:val="none"/>
          <w:u w:val="single"/>
          <w:lang w:val="zh-CN"/>
        </w:rPr>
        <w:t xml:space="preserve">                                                </w:t>
      </w:r>
    </w:p>
    <w:p w14:paraId="46973BC0">
      <w:pPr>
        <w:spacing w:line="400" w:lineRule="exact"/>
        <w:ind w:left="25" w:leftChars="12" w:firstLine="413" w:firstLineChars="197"/>
        <w:rPr>
          <w:rFonts w:ascii="宋体" w:hAnsi="宋体" w:cs="宋体"/>
          <w:b/>
          <w:color w:val="auto"/>
          <w:kern w:val="0"/>
          <w:szCs w:val="21"/>
          <w:highlight w:val="none"/>
          <w:lang w:val="zh-CN"/>
        </w:rPr>
      </w:pPr>
      <w:r>
        <w:rPr>
          <w:rFonts w:hint="eastAsia" w:ascii="宋体" w:hAnsi="宋体" w:cs="宋体"/>
          <w:bCs/>
          <w:color w:val="auto"/>
          <w:kern w:val="0"/>
          <w:szCs w:val="21"/>
          <w:highlight w:val="none"/>
          <w:lang w:val="zh-CN"/>
        </w:rPr>
        <w:t>采购结果公告：</w:t>
      </w:r>
      <w:r>
        <w:rPr>
          <w:rFonts w:hint="eastAsia" w:ascii="宋体" w:hAnsi="宋体" w:cs="宋体"/>
          <w:bCs/>
          <w:color w:val="auto"/>
          <w:kern w:val="0"/>
          <w:szCs w:val="21"/>
          <w:highlight w:val="none"/>
          <w:u w:val="single"/>
          <w:lang w:val="zh-CN"/>
        </w:rPr>
        <w:t>是/否</w:t>
      </w:r>
      <w:r>
        <w:rPr>
          <w:rFonts w:hint="eastAsia" w:ascii="宋体" w:hAnsi="宋体" w:cs="宋体"/>
          <w:bCs/>
          <w:color w:val="auto"/>
          <w:kern w:val="0"/>
          <w:szCs w:val="21"/>
          <w:highlight w:val="none"/>
          <w:lang w:val="zh-CN"/>
        </w:rPr>
        <w:t>公告期限：</w:t>
      </w:r>
      <w:r>
        <w:rPr>
          <w:rFonts w:hint="eastAsia" w:ascii="宋体" w:hAnsi="宋体" w:cs="宋体"/>
          <w:bCs/>
          <w:color w:val="auto"/>
          <w:kern w:val="0"/>
          <w:szCs w:val="21"/>
          <w:highlight w:val="none"/>
          <w:u w:val="single"/>
          <w:lang w:val="zh-CN"/>
        </w:rPr>
        <w:t xml:space="preserve">                                                </w:t>
      </w:r>
    </w:p>
    <w:p w14:paraId="22055DDD">
      <w:pPr>
        <w:spacing w:line="400" w:lineRule="exact"/>
        <w:ind w:left="25" w:leftChars="12" w:firstLine="413" w:firstLineChars="1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三、质疑基本情况</w:t>
      </w:r>
    </w:p>
    <w:p w14:paraId="7D824822">
      <w:pPr>
        <w:spacing w:line="40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投诉人于</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日，向</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提出质疑，质疑事项为：</w:t>
      </w:r>
    </w:p>
    <w:p w14:paraId="357A8C09">
      <w:pPr>
        <w:spacing w:line="400" w:lineRule="exact"/>
        <w:ind w:firstLine="241"/>
        <w:rPr>
          <w:rFonts w:ascii="宋体" w:hAnsi="宋体" w:cs="宋体"/>
          <w:bCs/>
          <w:color w:val="auto"/>
          <w:kern w:val="0"/>
          <w:szCs w:val="21"/>
          <w:highlight w:val="none"/>
          <w:u w:val="single"/>
          <w:lang w:val="zh-CN"/>
        </w:rPr>
      </w:pPr>
      <w:r>
        <w:rPr>
          <w:rFonts w:hint="eastAsia" w:ascii="宋体" w:hAnsi="宋体" w:cs="宋体"/>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6E7F3E60">
      <w:pPr>
        <w:spacing w:line="400" w:lineRule="exact"/>
        <w:ind w:firstLine="241"/>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27328F72">
      <w:pPr>
        <w:spacing w:line="400" w:lineRule="exact"/>
        <w:ind w:firstLine="420" w:firstLineChars="200"/>
        <w:rPr>
          <w:rFonts w:ascii="宋体" w:hAnsi="宋体" w:cs="宋体"/>
          <w:color w:val="auto"/>
          <w:kern w:val="0"/>
          <w:szCs w:val="21"/>
          <w:highlight w:val="none"/>
          <w:lang w:val="zh-CN"/>
        </w:rPr>
      </w:pPr>
      <w:r>
        <w:rPr>
          <w:rFonts w:hint="eastAsia" w:ascii="宋体" w:hAnsi="宋体" w:cs="宋体"/>
          <w:bCs/>
          <w:color w:val="auto"/>
          <w:kern w:val="0"/>
          <w:szCs w:val="21"/>
          <w:highlight w:val="none"/>
          <w:u w:val="single"/>
          <w:lang w:val="zh-CN"/>
        </w:rPr>
        <w:t>采购人/代理机构</w:t>
      </w:r>
      <w:r>
        <w:rPr>
          <w:rFonts w:hint="eastAsia" w:ascii="宋体" w:hAnsi="宋体" w:cs="宋体"/>
          <w:bCs/>
          <w:color w:val="auto"/>
          <w:kern w:val="0"/>
          <w:szCs w:val="21"/>
          <w:highlight w:val="none"/>
          <w:lang w:val="zh-CN"/>
        </w:rPr>
        <w:t>于</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w:t>
      </w:r>
      <w:r>
        <w:rPr>
          <w:rFonts w:hint="eastAsia" w:ascii="宋体" w:hAnsi="宋体" w:cs="宋体"/>
          <w:bCs/>
          <w:color w:val="auto"/>
          <w:kern w:val="0"/>
          <w:szCs w:val="21"/>
          <w:highlight w:val="none"/>
          <w:lang w:val="zh-CN"/>
        </w:rPr>
        <w:t>就质疑事项作出了答复/没有在法定期限内作出答复。</w:t>
      </w:r>
    </w:p>
    <w:p w14:paraId="2C6DFCAA">
      <w:pPr>
        <w:spacing w:line="400" w:lineRule="exact"/>
        <w:ind w:left="25" w:leftChars="12" w:firstLine="413" w:firstLineChars="1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四、投诉事项具体内容</w:t>
      </w:r>
    </w:p>
    <w:p w14:paraId="6CA5C9D6">
      <w:pPr>
        <w:spacing w:line="400" w:lineRule="exact"/>
        <w:ind w:left="25" w:leftChars="12" w:firstLine="413" w:firstLineChars="197"/>
        <w:rPr>
          <w:rFonts w:ascii="宋体" w:hAnsi="宋体" w:cs="宋体"/>
          <w:bCs/>
          <w:color w:val="auto"/>
          <w:kern w:val="0"/>
          <w:szCs w:val="21"/>
          <w:highlight w:val="none"/>
          <w:u w:val="single"/>
          <w:lang w:val="zh-CN"/>
        </w:rPr>
      </w:pPr>
      <w:r>
        <w:rPr>
          <w:rFonts w:hint="eastAsia" w:ascii="宋体" w:hAnsi="宋体" w:cs="宋体"/>
          <w:color w:val="auto"/>
          <w:kern w:val="0"/>
          <w:szCs w:val="21"/>
          <w:highlight w:val="none"/>
          <w:lang w:val="zh-CN"/>
        </w:rPr>
        <w:t>投诉事项1：</w:t>
      </w:r>
      <w:r>
        <w:rPr>
          <w:rFonts w:hint="eastAsia" w:ascii="宋体" w:hAnsi="宋体" w:cs="宋体"/>
          <w:bCs/>
          <w:color w:val="auto"/>
          <w:kern w:val="0"/>
          <w:szCs w:val="21"/>
          <w:highlight w:val="none"/>
          <w:u w:val="single"/>
          <w:lang w:val="zh-CN"/>
        </w:rPr>
        <w:t xml:space="preserve">                                                                 </w:t>
      </w:r>
    </w:p>
    <w:p w14:paraId="6AA70B6E">
      <w:pPr>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事实依据：</w:t>
      </w:r>
      <w:r>
        <w:rPr>
          <w:rFonts w:hint="eastAsia" w:ascii="宋体" w:hAnsi="宋体" w:cs="宋体"/>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022413F0">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bCs/>
          <w:color w:val="auto"/>
          <w:kern w:val="0"/>
          <w:szCs w:val="21"/>
          <w:highlight w:val="none"/>
          <w:u w:val="single"/>
          <w:lang w:val="zh-CN"/>
        </w:rPr>
        <w:t xml:space="preserve">                                                                             </w:t>
      </w:r>
    </w:p>
    <w:p w14:paraId="441421D4">
      <w:pPr>
        <w:spacing w:line="400" w:lineRule="exact"/>
        <w:ind w:firstLine="420" w:firstLineChars="200"/>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法律依据：</w:t>
      </w:r>
      <w:r>
        <w:rPr>
          <w:rFonts w:hint="eastAsia" w:ascii="宋体" w:hAnsi="宋体" w:cs="宋体"/>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508B3CC9">
      <w:pPr>
        <w:spacing w:line="400" w:lineRule="exact"/>
        <w:ind w:left="25" w:leftChars="12" w:firstLine="308" w:firstLineChars="147"/>
        <w:rPr>
          <w:rFonts w:ascii="宋体" w:hAnsi="宋体" w:cs="宋体"/>
          <w:bCs/>
          <w:color w:val="auto"/>
          <w:kern w:val="0"/>
          <w:szCs w:val="21"/>
          <w:highlight w:val="none"/>
          <w:u w:val="single"/>
          <w:lang w:val="zh-CN"/>
        </w:rPr>
      </w:pPr>
      <w:r>
        <w:rPr>
          <w:rFonts w:hint="eastAsia" w:ascii="宋体" w:hAnsi="宋体" w:cs="宋体"/>
          <w:bCs/>
          <w:color w:val="auto"/>
          <w:kern w:val="0"/>
          <w:szCs w:val="21"/>
          <w:highlight w:val="none"/>
          <w:lang w:val="zh-CN"/>
        </w:rPr>
        <w:t xml:space="preserve"> </w:t>
      </w:r>
      <w:r>
        <w:rPr>
          <w:rFonts w:hint="eastAsia" w:ascii="宋体" w:hAnsi="宋体" w:cs="宋体"/>
          <w:bCs/>
          <w:color w:val="auto"/>
          <w:kern w:val="0"/>
          <w:szCs w:val="21"/>
          <w:highlight w:val="none"/>
          <w:u w:val="single"/>
          <w:lang w:val="zh-CN"/>
        </w:rPr>
        <w:t xml:space="preserve">                                                                              </w:t>
      </w:r>
    </w:p>
    <w:p w14:paraId="5DC04FBA">
      <w:pPr>
        <w:spacing w:line="400" w:lineRule="exact"/>
        <w:ind w:left="25" w:leftChars="12" w:firstLine="413" w:firstLineChars="197"/>
        <w:rPr>
          <w:rFonts w:ascii="宋体" w:hAnsi="宋体" w:cs="宋体"/>
          <w:bCs/>
          <w:color w:val="auto"/>
          <w:kern w:val="0"/>
          <w:szCs w:val="21"/>
          <w:highlight w:val="none"/>
          <w:lang w:val="zh-CN"/>
        </w:rPr>
      </w:pPr>
      <w:r>
        <w:rPr>
          <w:rFonts w:hint="eastAsia" w:ascii="宋体" w:hAnsi="宋体" w:cs="宋体"/>
          <w:color w:val="auto"/>
          <w:kern w:val="0"/>
          <w:szCs w:val="21"/>
          <w:highlight w:val="none"/>
          <w:lang w:val="zh-CN"/>
        </w:rPr>
        <w:t xml:space="preserve">投诉事项2  </w:t>
      </w:r>
      <w:r>
        <w:rPr>
          <w:rFonts w:hint="eastAsia" w:ascii="宋体" w:hAnsi="宋体" w:cs="宋体"/>
          <w:bCs/>
          <w:color w:val="auto"/>
          <w:kern w:val="0"/>
          <w:szCs w:val="21"/>
          <w:highlight w:val="none"/>
          <w:lang w:val="zh-CN"/>
        </w:rPr>
        <w:t xml:space="preserve">   </w:t>
      </w:r>
    </w:p>
    <w:p w14:paraId="662BAABD">
      <w:pPr>
        <w:spacing w:line="400" w:lineRule="exact"/>
        <w:ind w:left="25" w:leftChars="12" w:firstLine="413" w:firstLineChars="197"/>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w:t>
      </w:r>
    </w:p>
    <w:p w14:paraId="2FDC38C6">
      <w:pPr>
        <w:spacing w:line="400" w:lineRule="exact"/>
        <w:ind w:left="25" w:leftChars="12" w:firstLine="413" w:firstLineChars="1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五、与投诉事项相关的投诉请求：</w:t>
      </w:r>
    </w:p>
    <w:p w14:paraId="27A4B16B">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请求：</w:t>
      </w:r>
      <w:r>
        <w:rPr>
          <w:rFonts w:hint="eastAsia" w:ascii="宋体" w:hAnsi="宋体" w:cs="宋体"/>
          <w:bCs/>
          <w:color w:val="auto"/>
          <w:kern w:val="0"/>
          <w:szCs w:val="21"/>
          <w:highlight w:val="none"/>
          <w:u w:val="single"/>
          <w:lang w:val="zh-CN"/>
        </w:rPr>
        <w:t xml:space="preserve">                                                                       </w:t>
      </w:r>
    </w:p>
    <w:p w14:paraId="1F3C35BD">
      <w:pPr>
        <w:spacing w:line="400" w:lineRule="exact"/>
        <w:ind w:left="25" w:leftChars="12" w:firstLine="308" w:firstLineChars="147"/>
        <w:rPr>
          <w:rFonts w:ascii="宋体" w:hAnsi="宋体" w:cs="宋体"/>
          <w:color w:val="auto"/>
          <w:kern w:val="0"/>
          <w:szCs w:val="21"/>
          <w:highlight w:val="none"/>
          <w:lang w:val="zh-CN"/>
        </w:rPr>
      </w:pPr>
    </w:p>
    <w:p w14:paraId="4B05734F">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签字（签章）：                                       公章：</w:t>
      </w:r>
    </w:p>
    <w:p w14:paraId="31D42E61">
      <w:pPr>
        <w:spacing w:line="400" w:lineRule="exact"/>
        <w:ind w:left="25" w:leftChars="12" w:firstLine="308" w:firstLineChars="147"/>
        <w:rPr>
          <w:rFonts w:ascii="宋体" w:hAnsi="宋体" w:cs="宋体"/>
          <w:color w:val="auto"/>
          <w:kern w:val="0"/>
          <w:szCs w:val="21"/>
          <w:highlight w:val="none"/>
          <w:lang w:val="zh-CN"/>
        </w:rPr>
      </w:pPr>
    </w:p>
    <w:p w14:paraId="6D0C6EB3">
      <w:pPr>
        <w:spacing w:line="400" w:lineRule="exact"/>
        <w:ind w:left="25" w:leftChars="12" w:firstLine="413" w:firstLineChars="197"/>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p>
    <w:p w14:paraId="66AB80BF">
      <w:pPr>
        <w:spacing w:line="400" w:lineRule="exact"/>
        <w:ind w:left="25" w:leftChars="12" w:firstLine="413" w:firstLineChars="197"/>
        <w:rPr>
          <w:rFonts w:ascii="宋体" w:hAnsi="宋体" w:cs="宋体"/>
          <w:color w:val="auto"/>
          <w:kern w:val="0"/>
          <w:szCs w:val="21"/>
          <w:highlight w:val="none"/>
          <w:lang w:val="zh-CN"/>
        </w:rPr>
      </w:pPr>
    </w:p>
    <w:p w14:paraId="65908A9F">
      <w:pPr>
        <w:snapToGrid w:val="0"/>
        <w:spacing w:line="400" w:lineRule="exact"/>
        <w:rPr>
          <w:rFonts w:ascii="宋体" w:hAnsi="宋体" w:cs="宋体"/>
          <w:b/>
          <w:color w:val="auto"/>
          <w:kern w:val="0"/>
          <w:szCs w:val="21"/>
          <w:highlight w:val="none"/>
          <w:lang w:val="zh-CN"/>
        </w:rPr>
      </w:pPr>
    </w:p>
    <w:p w14:paraId="0E1A47D6">
      <w:pPr>
        <w:snapToGrid w:val="0"/>
        <w:spacing w:line="40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说明：</w:t>
      </w:r>
    </w:p>
    <w:p w14:paraId="54C26F87">
      <w:pPr>
        <w:spacing w:line="400" w:lineRule="exact"/>
        <w:ind w:left="25" w:leftChars="12" w:firstLine="310" w:firstLineChars="147"/>
        <w:rPr>
          <w:rFonts w:ascii="宋体" w:hAnsi="宋体" w:cs="宋体"/>
          <w:b/>
          <w:bCs/>
          <w:color w:val="auto"/>
          <w:kern w:val="0"/>
          <w:szCs w:val="21"/>
          <w:highlight w:val="none"/>
          <w:lang w:val="zh-CN"/>
        </w:rPr>
      </w:pPr>
      <w:r>
        <w:rPr>
          <w:rFonts w:hint="eastAsia" w:ascii="宋体" w:hAnsi="宋体" w:cs="宋体"/>
          <w:b/>
          <w:color w:val="auto"/>
          <w:kern w:val="0"/>
          <w:szCs w:val="21"/>
          <w:highlight w:val="none"/>
          <w:lang w:val="zh-CN"/>
        </w:rPr>
        <w:t>1、投诉人提起投诉时，应当提交投诉书和必要的证明材料，并按照被投诉人和与投诉事项有关的供应商数量提供投诉书副本</w:t>
      </w:r>
      <w:r>
        <w:rPr>
          <w:rFonts w:hint="eastAsia" w:ascii="宋体" w:hAnsi="宋体" w:cs="宋体"/>
          <w:b/>
          <w:bCs/>
          <w:color w:val="auto"/>
          <w:kern w:val="0"/>
          <w:szCs w:val="21"/>
          <w:highlight w:val="none"/>
          <w:lang w:val="zh-CN"/>
        </w:rPr>
        <w:t>。</w:t>
      </w:r>
    </w:p>
    <w:p w14:paraId="19A42E06">
      <w:pPr>
        <w:spacing w:line="400" w:lineRule="exact"/>
        <w:ind w:left="25" w:leftChars="12" w:firstLine="310" w:firstLineChars="147"/>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C2248FB">
      <w:pPr>
        <w:spacing w:line="400" w:lineRule="exact"/>
        <w:ind w:left="25" w:leftChars="12" w:firstLine="310" w:firstLineChars="147"/>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3、投诉书应简要列明质疑事项，质疑函、质疑答复等作为附件材料提供。</w:t>
      </w:r>
    </w:p>
    <w:p w14:paraId="1F7C73E5">
      <w:pPr>
        <w:spacing w:line="400" w:lineRule="exact"/>
        <w:ind w:left="25" w:leftChars="12" w:firstLine="310" w:firstLineChars="147"/>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4、投诉书的投诉事项应具体、明确，并有必要的事实依据和法律依据。</w:t>
      </w:r>
    </w:p>
    <w:p w14:paraId="1F674AF7">
      <w:pPr>
        <w:spacing w:line="400" w:lineRule="exact"/>
        <w:ind w:left="25" w:leftChars="12" w:firstLine="310" w:firstLineChars="147"/>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5、投诉书的投诉请求应与投诉事项相关。</w:t>
      </w:r>
    </w:p>
    <w:p w14:paraId="43098689">
      <w:pPr>
        <w:spacing w:line="400" w:lineRule="exact"/>
        <w:ind w:left="25" w:leftChars="12" w:firstLine="310" w:firstLineChars="147"/>
        <w:rPr>
          <w:rFonts w:ascii="宋体" w:hAnsi="宋体" w:cs="宋体"/>
          <w:color w:val="auto"/>
          <w:highlight w:val="none"/>
        </w:rPr>
      </w:pPr>
      <w:r>
        <w:rPr>
          <w:rFonts w:hint="eastAsia" w:ascii="宋体" w:hAnsi="宋体" w:cs="宋体"/>
          <w:b/>
          <w:color w:val="auto"/>
          <w:kern w:val="0"/>
          <w:szCs w:val="21"/>
          <w:highlight w:val="none"/>
          <w:lang w:val="zh-CN"/>
        </w:rPr>
        <w:t>6、投诉人为法人或者其他组织的，投诉书应由法定代表人、主要负责人，或者其授权代表签字或者盖章，并加盖公章。</w:t>
      </w:r>
    </w:p>
    <w:p w14:paraId="258D8380">
      <w:pPr>
        <w:jc w:val="center"/>
        <w:rPr>
          <w:rFonts w:ascii="宋体" w:hAnsi="宋体" w:cs="宋体"/>
          <w:color w:val="auto"/>
          <w:sz w:val="32"/>
          <w:szCs w:val="32"/>
          <w:highlight w:val="none"/>
        </w:rPr>
      </w:pPr>
      <w:bookmarkStart w:id="216" w:name="_Toc6272"/>
      <w:bookmarkStart w:id="217" w:name="_Toc28939"/>
      <w:bookmarkStart w:id="218" w:name="_Toc2989"/>
      <w:r>
        <w:rPr>
          <w:rFonts w:hint="eastAsia" w:ascii="宋体" w:hAnsi="宋体" w:cs="宋体"/>
          <w:color w:val="auto"/>
          <w:sz w:val="32"/>
          <w:szCs w:val="32"/>
          <w:highlight w:val="none"/>
        </w:rPr>
        <w:br w:type="page"/>
      </w:r>
      <w:bookmarkStart w:id="219" w:name="_Toc30080"/>
    </w:p>
    <w:p w14:paraId="28D69E38">
      <w:pPr>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第三章  工程量清</w:t>
      </w:r>
      <w:bookmarkEnd w:id="216"/>
      <w:bookmarkEnd w:id="217"/>
      <w:bookmarkEnd w:id="219"/>
      <w:r>
        <w:rPr>
          <w:rFonts w:hint="eastAsia" w:ascii="宋体" w:hAnsi="宋体" w:cs="宋体"/>
          <w:b/>
          <w:bCs/>
          <w:color w:val="auto"/>
          <w:sz w:val="32"/>
          <w:szCs w:val="32"/>
          <w:highlight w:val="none"/>
        </w:rPr>
        <w:t>单及图纸</w:t>
      </w:r>
    </w:p>
    <w:p w14:paraId="1A40507C">
      <w:pPr>
        <w:rPr>
          <w:rFonts w:ascii="宋体" w:hAnsi="宋体" w:cs="宋体"/>
          <w:color w:val="auto"/>
          <w:highlight w:val="none"/>
        </w:rPr>
      </w:pPr>
    </w:p>
    <w:p w14:paraId="0AD74354">
      <w:pPr>
        <w:jc w:val="center"/>
        <w:outlineLvl w:val="0"/>
        <w:rPr>
          <w:rFonts w:ascii="宋体" w:hAnsi="宋体" w:cs="宋体"/>
          <w:b/>
          <w:bCs/>
          <w:color w:val="auto"/>
          <w:sz w:val="32"/>
          <w:szCs w:val="32"/>
          <w:highlight w:val="none"/>
        </w:rPr>
      </w:pPr>
      <w:bookmarkStart w:id="220" w:name="_Toc10833"/>
      <w:bookmarkStart w:id="221" w:name="_Toc26783"/>
      <w:r>
        <w:rPr>
          <w:rFonts w:hint="eastAsia" w:ascii="宋体" w:hAnsi="宋体" w:cs="宋体"/>
          <w:b/>
          <w:bCs/>
          <w:color w:val="auto"/>
          <w:sz w:val="32"/>
          <w:szCs w:val="32"/>
          <w:highlight w:val="none"/>
        </w:rPr>
        <w:t>另册</w:t>
      </w:r>
      <w:r>
        <w:rPr>
          <w:rFonts w:hint="eastAsia" w:ascii="宋体" w:hAnsi="宋体" w:cs="宋体"/>
          <w:b/>
          <w:bCs/>
          <w:color w:val="auto"/>
          <w:sz w:val="32"/>
          <w:szCs w:val="32"/>
          <w:highlight w:val="none"/>
        </w:rPr>
        <w:br w:type="page"/>
      </w:r>
      <w:bookmarkStart w:id="222" w:name="_Toc25073"/>
      <w:r>
        <w:rPr>
          <w:rFonts w:hint="eastAsia" w:ascii="宋体" w:hAnsi="宋体" w:cs="宋体"/>
          <w:b/>
          <w:bCs/>
          <w:color w:val="auto"/>
          <w:sz w:val="32"/>
          <w:szCs w:val="32"/>
          <w:highlight w:val="none"/>
        </w:rPr>
        <w:t>第四章  评审办法</w:t>
      </w:r>
      <w:bookmarkEnd w:id="218"/>
      <w:bookmarkEnd w:id="220"/>
      <w:bookmarkEnd w:id="221"/>
      <w:bookmarkEnd w:id="222"/>
    </w:p>
    <w:p w14:paraId="570A4828">
      <w:pPr>
        <w:tabs>
          <w:tab w:val="left" w:pos="1305"/>
        </w:tabs>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一、评审依据</w:t>
      </w:r>
    </w:p>
    <w:p w14:paraId="2E44DD78">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1.评审依据：谈判小组以谈判文件和响应文件为评审依据。</w:t>
      </w:r>
    </w:p>
    <w:p w14:paraId="44BA68FE">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2.根据财库〔2012〕69号文规定，采购人和采购代理机构、竞争性谈判小组成员要严格遵守政府采购相关法律制度，依法履行各自职责，公正、客观、审慎地组织和参与评审工作。</w:t>
      </w:r>
    </w:p>
    <w:p w14:paraId="581487A8">
      <w:pPr>
        <w:tabs>
          <w:tab w:val="left" w:pos="1305"/>
        </w:tabs>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二、评审办法</w:t>
      </w:r>
    </w:p>
    <w:p w14:paraId="294A70D3">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1.谈判小组应当从满足竞争性谈判文件全部实质性响应要求的供应商中，按照评审报价由低到高顺序提出3名以上（含3名）成交候选人。</w:t>
      </w:r>
    </w:p>
    <w:p w14:paraId="2EF948AC">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施工组织设计方案优先原则排序。</w:t>
      </w:r>
    </w:p>
    <w:p w14:paraId="2C7BAE4B">
      <w:pPr>
        <w:tabs>
          <w:tab w:val="left" w:pos="1305"/>
        </w:tabs>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三、成交候选人确定原则</w:t>
      </w:r>
    </w:p>
    <w:p w14:paraId="71933817">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（1）谈判小组应当按照</w:t>
      </w:r>
      <w:r>
        <w:rPr>
          <w:rFonts w:hint="eastAsia" w:ascii="宋体" w:hAnsi="宋体" w:cs="宋体"/>
          <w:color w:val="auto"/>
          <w:highlight w:val="none"/>
        </w:rPr>
        <w:t>最后报价由低到高</w:t>
      </w:r>
      <w:r>
        <w:rPr>
          <w:rFonts w:hint="eastAsia" w:ascii="宋体" w:hAnsi="宋体" w:cs="宋体"/>
          <w:color w:val="auto"/>
          <w:szCs w:val="21"/>
          <w:highlight w:val="none"/>
        </w:rPr>
        <w:t>顺序</w:t>
      </w:r>
      <w:r>
        <w:rPr>
          <w:rFonts w:hint="eastAsia" w:ascii="宋体" w:hAnsi="宋体" w:cs="宋体"/>
          <w:color w:val="auto"/>
          <w:highlight w:val="none"/>
        </w:rPr>
        <w:t>提出3名以上成交候选人</w:t>
      </w:r>
      <w:r>
        <w:rPr>
          <w:rFonts w:hint="eastAsia" w:ascii="宋体" w:hAnsi="宋体" w:cs="宋体"/>
          <w:color w:val="auto"/>
          <w:szCs w:val="21"/>
          <w:highlight w:val="none"/>
        </w:rPr>
        <w:t>，并编写评审报告。谈判小组根据</w:t>
      </w:r>
      <w:r>
        <w:rPr>
          <w:rFonts w:hint="eastAsia" w:ascii="宋体" w:hAnsi="宋体" w:cs="宋体"/>
          <w:color w:val="auto"/>
          <w:highlight w:val="none"/>
        </w:rPr>
        <w:t>最后报价由低到高</w:t>
      </w:r>
      <w:r>
        <w:rPr>
          <w:rFonts w:hint="eastAsia" w:ascii="宋体" w:hAnsi="宋体" w:cs="宋体"/>
          <w:color w:val="auto"/>
          <w:szCs w:val="21"/>
          <w:highlight w:val="none"/>
        </w:rPr>
        <w:t>排列次序，若报价相同时，由谈判小组按照抽签的方式决定排列次序。</w:t>
      </w:r>
    </w:p>
    <w:p w14:paraId="44326720">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（2）采购单位应当确定谈判小组推荐排名第一的成交候选人为成交供应商。</w:t>
      </w:r>
    </w:p>
    <w:p w14:paraId="6D4F0700">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3FAD2C84">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（4）排名第二的成交候选人因前款规定的同样原因不能签订合同的，采购单位可以确定排名第三的成交候选人为成交供应商。</w:t>
      </w:r>
    </w:p>
    <w:p w14:paraId="01CA7E72">
      <w:pPr>
        <w:tabs>
          <w:tab w:val="left" w:pos="130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谈判小组认为，某供应商的响应报价或者某些分项报价明显不合理或者低于成本，有可能影响质量和不能诚信履约的，应要求其在规定的期限内提供书面文件予以解释说明，并提交相关证明材料，否则，谈判小组可以取消该供应商的成交候选资格，按顺序由排在其后面的供应商递补，以此类推。</w:t>
      </w:r>
    </w:p>
    <w:p w14:paraId="11B0732E">
      <w:pPr>
        <w:rPr>
          <w:rFonts w:ascii="宋体" w:hAnsi="宋体" w:cs="宋体"/>
          <w:color w:val="auto"/>
          <w:highlight w:val="none"/>
        </w:rPr>
      </w:pPr>
      <w:r>
        <w:rPr>
          <w:rFonts w:hint="eastAsia" w:ascii="宋体" w:hAnsi="宋体" w:cs="宋体"/>
          <w:color w:val="auto"/>
          <w:highlight w:val="none"/>
        </w:rPr>
        <w:br w:type="page"/>
      </w:r>
    </w:p>
    <w:p w14:paraId="4443FABD">
      <w:pPr>
        <w:jc w:val="center"/>
        <w:outlineLvl w:val="0"/>
        <w:rPr>
          <w:rFonts w:ascii="新宋体" w:hAnsi="新宋体" w:eastAsia="新宋体" w:cs="新宋体"/>
          <w:b/>
          <w:bCs/>
          <w:color w:val="auto"/>
          <w:sz w:val="60"/>
          <w:szCs w:val="60"/>
          <w:highlight w:val="none"/>
        </w:rPr>
      </w:pPr>
      <w:bookmarkStart w:id="223" w:name="_Toc25717"/>
      <w:bookmarkStart w:id="224" w:name="_Toc4774"/>
      <w:bookmarkStart w:id="225" w:name="_Toc8466"/>
      <w:bookmarkStart w:id="226" w:name="_Toc11185"/>
      <w:bookmarkStart w:id="227" w:name="_Toc2307"/>
      <w:r>
        <w:rPr>
          <w:rFonts w:hint="eastAsia" w:ascii="宋体" w:hAnsi="宋体" w:cs="宋体"/>
          <w:b/>
          <w:bCs/>
          <w:color w:val="auto"/>
          <w:sz w:val="32"/>
          <w:szCs w:val="32"/>
          <w:highlight w:val="none"/>
        </w:rPr>
        <w:t>第五章  采购合同（合同主要条款及格式）</w:t>
      </w:r>
      <w:bookmarkEnd w:id="223"/>
      <w:bookmarkEnd w:id="224"/>
      <w:bookmarkEnd w:id="225"/>
      <w:bookmarkEnd w:id="226"/>
      <w:bookmarkEnd w:id="227"/>
      <w:bookmarkStart w:id="228" w:name="_Toc10014"/>
      <w:bookmarkStart w:id="229" w:name="_Toc24269"/>
    </w:p>
    <w:p w14:paraId="013227D7">
      <w:pPr>
        <w:pStyle w:val="161"/>
        <w:snapToGrid w:val="0"/>
        <w:spacing w:line="360" w:lineRule="auto"/>
        <w:jc w:val="center"/>
        <w:rPr>
          <w:rFonts w:ascii="宋体"/>
          <w:color w:val="auto"/>
          <w:sz w:val="32"/>
          <w:highlight w:val="none"/>
        </w:rPr>
      </w:pPr>
      <w:r>
        <w:rPr>
          <w:rFonts w:hint="eastAsia" w:ascii="新宋体" w:hAnsi="新宋体" w:eastAsia="新宋体" w:cs="新宋体"/>
          <w:b/>
          <w:bCs/>
          <w:color w:val="auto"/>
          <w:sz w:val="60"/>
          <w:szCs w:val="60"/>
          <w:highlight w:val="none"/>
        </w:rPr>
        <w:t xml:space="preserve"> </w:t>
      </w:r>
      <w:bookmarkStart w:id="230" w:name="_Toc418752049"/>
      <w:bookmarkStart w:id="231" w:name="_Toc483317088"/>
      <w:bookmarkStart w:id="232" w:name="_Toc296503025"/>
      <w:bookmarkStart w:id="233" w:name="_Toc373227552"/>
      <w:bookmarkStart w:id="234" w:name="_Toc389065255"/>
      <w:bookmarkStart w:id="235" w:name="_Toc296890982"/>
      <w:bookmarkStart w:id="236" w:name="_Toc373478199"/>
      <w:bookmarkStart w:id="237" w:name="_Toc406522027"/>
      <w:bookmarkStart w:id="238" w:name="_Toc395382491"/>
      <w:bookmarkStart w:id="239" w:name="_Toc351203480"/>
      <w:r>
        <w:rPr>
          <w:rFonts w:ascii="宋体"/>
          <w:color w:val="auto"/>
          <w:sz w:val="32"/>
          <w:highlight w:val="none"/>
        </w:rPr>
        <w:t>第一部分 合同协议书</w:t>
      </w:r>
      <w:bookmarkEnd w:id="230"/>
      <w:bookmarkEnd w:id="231"/>
      <w:bookmarkEnd w:id="232"/>
      <w:bookmarkEnd w:id="233"/>
      <w:bookmarkEnd w:id="234"/>
      <w:bookmarkEnd w:id="235"/>
      <w:bookmarkEnd w:id="236"/>
      <w:bookmarkEnd w:id="237"/>
      <w:bookmarkEnd w:id="238"/>
      <w:bookmarkEnd w:id="239"/>
    </w:p>
    <w:p w14:paraId="284B21BF">
      <w:pPr>
        <w:adjustRightInd w:val="0"/>
        <w:snapToGrid w:val="0"/>
        <w:spacing w:line="400" w:lineRule="exact"/>
        <w:rPr>
          <w:rFonts w:ascii="宋体" w:hAnsi="宋体"/>
          <w:color w:val="auto"/>
          <w:szCs w:val="21"/>
          <w:highlight w:val="none"/>
          <w:u w:val="single"/>
        </w:rPr>
      </w:pPr>
      <w:r>
        <w:rPr>
          <w:rFonts w:ascii="宋体" w:hAnsi="宋体"/>
          <w:color w:val="auto"/>
          <w:szCs w:val="21"/>
          <w:highlight w:val="none"/>
        </w:rPr>
        <w:t>发包人（全称）：</w:t>
      </w:r>
      <w:r>
        <w:rPr>
          <w:rFonts w:ascii="宋体" w:hAnsi="宋体"/>
          <w:color w:val="auto"/>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 xml:space="preserve">      </w:t>
      </w:r>
    </w:p>
    <w:p w14:paraId="4B11AA5A">
      <w:pPr>
        <w:adjustRightInd w:val="0"/>
        <w:snapToGrid w:val="0"/>
        <w:spacing w:line="400" w:lineRule="exact"/>
        <w:rPr>
          <w:rFonts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3E16B8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根据《中华人民共和国民法典》、《中华人民共和国建筑法》及有关法律规定，遵循平等、自愿、公平和诚实信用的原则，双方就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阳朔县葡萄至白沙古板K14+100-K14+165段道路提升工程（水毁工程）  </w:t>
      </w:r>
      <w:r>
        <w:rPr>
          <w:rFonts w:ascii="宋体" w:hAnsi="宋体"/>
          <w:color w:val="auto"/>
          <w:szCs w:val="21"/>
          <w:highlight w:val="none"/>
        </w:rPr>
        <w:t>工程施工及有关事项协商一致，共同达成如下协议：</w:t>
      </w:r>
      <w:bookmarkStart w:id="240" w:name="_Toc351203481"/>
    </w:p>
    <w:p w14:paraId="6AFBD029">
      <w:pPr>
        <w:pStyle w:val="246"/>
        <w:adjustRightInd w:val="0"/>
        <w:snapToGrid w:val="0"/>
        <w:spacing w:line="400" w:lineRule="exact"/>
        <w:ind w:firstLine="422"/>
        <w:outlineLvl w:val="0"/>
        <w:rPr>
          <w:b/>
          <w:color w:val="auto"/>
          <w:highlight w:val="none"/>
        </w:rPr>
      </w:pPr>
      <w:bookmarkStart w:id="241" w:name="_Toc406419153"/>
      <w:bookmarkStart w:id="242" w:name="_Toc418752050"/>
      <w:bookmarkStart w:id="243" w:name="_Toc483317089"/>
      <w:bookmarkStart w:id="244" w:name="_Toc406522028"/>
      <w:r>
        <w:rPr>
          <w:b/>
          <w:color w:val="auto"/>
          <w:highlight w:val="none"/>
        </w:rPr>
        <w:t>一、工程概况</w:t>
      </w:r>
      <w:bookmarkEnd w:id="240"/>
      <w:bookmarkEnd w:id="241"/>
      <w:bookmarkEnd w:id="242"/>
      <w:bookmarkEnd w:id="243"/>
      <w:bookmarkEnd w:id="244"/>
    </w:p>
    <w:p w14:paraId="6AF4F74B">
      <w:pPr>
        <w:adjustRightInd w:val="0"/>
        <w:snapToGrid w:val="0"/>
        <w:spacing w:line="400" w:lineRule="exact"/>
        <w:ind w:firstLine="411" w:firstLineChars="196"/>
        <w:rPr>
          <w:rFonts w:ascii="宋体" w:hAnsi="宋体"/>
          <w:color w:val="auto"/>
          <w:szCs w:val="21"/>
          <w:highlight w:val="none"/>
          <w:u w:val="single"/>
        </w:rPr>
      </w:pPr>
      <w:r>
        <w:rPr>
          <w:rFonts w:ascii="宋体" w:hAnsi="宋体"/>
          <w:bCs/>
          <w:color w:val="auto"/>
          <w:szCs w:val="21"/>
          <w:highlight w:val="none"/>
        </w:rPr>
        <w:t>1. 工程名称</w:t>
      </w:r>
      <w:r>
        <w:rPr>
          <w:rFonts w:ascii="宋体" w:hAnsi="宋体"/>
          <w:color w:val="auto"/>
          <w:szCs w:val="21"/>
          <w:highlight w:val="none"/>
        </w:rPr>
        <w:t>：</w:t>
      </w:r>
      <w:r>
        <w:rPr>
          <w:rFonts w:hint="eastAsia" w:ascii="宋体" w:hAnsi="宋体"/>
          <w:color w:val="auto"/>
          <w:szCs w:val="21"/>
          <w:highlight w:val="none"/>
          <w:u w:val="single"/>
        </w:rPr>
        <w:t xml:space="preserve">阳朔县葡萄至白沙古板K14+100-K14+165段道路提升工程（水毁工程） </w:t>
      </w:r>
      <w:r>
        <w:rPr>
          <w:rFonts w:ascii="宋体" w:hAnsi="宋体"/>
          <w:color w:val="auto"/>
          <w:szCs w:val="21"/>
          <w:highlight w:val="none"/>
        </w:rPr>
        <w:t>。</w:t>
      </w:r>
    </w:p>
    <w:p w14:paraId="5BB42B8F">
      <w:pPr>
        <w:adjustRightInd w:val="0"/>
        <w:snapToGrid w:val="0"/>
        <w:spacing w:line="400" w:lineRule="exact"/>
        <w:ind w:firstLine="411" w:firstLineChars="196"/>
        <w:rPr>
          <w:rFonts w:ascii="宋体" w:hAnsi="宋体"/>
          <w:bCs/>
          <w:color w:val="auto"/>
          <w:szCs w:val="21"/>
          <w:highlight w:val="none"/>
        </w:rPr>
      </w:pPr>
      <w:r>
        <w:rPr>
          <w:rFonts w:ascii="宋体" w:hAnsi="宋体"/>
          <w:bCs/>
          <w:color w:val="auto"/>
          <w:szCs w:val="21"/>
          <w:highlight w:val="none"/>
        </w:rPr>
        <w:t>2. 工程地点：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阳朔县  </w:t>
      </w:r>
      <w:r>
        <w:rPr>
          <w:rFonts w:ascii="宋体" w:hAnsi="宋体"/>
          <w:color w:val="auto"/>
          <w:szCs w:val="21"/>
          <w:highlight w:val="none"/>
        </w:rPr>
        <w:t>。</w:t>
      </w:r>
    </w:p>
    <w:p w14:paraId="56B95931">
      <w:pPr>
        <w:adjustRightInd w:val="0"/>
        <w:snapToGrid w:val="0"/>
        <w:spacing w:line="400" w:lineRule="exact"/>
        <w:ind w:firstLine="411" w:firstLineChars="196"/>
        <w:rPr>
          <w:rFonts w:ascii="宋体" w:hAnsi="宋体"/>
          <w:bCs/>
          <w:color w:val="auto"/>
          <w:szCs w:val="21"/>
          <w:highlight w:val="none"/>
        </w:rPr>
      </w:pPr>
      <w:r>
        <w:rPr>
          <w:rFonts w:ascii="宋体" w:hAnsi="宋体"/>
          <w:bCs/>
          <w:color w:val="auto"/>
          <w:szCs w:val="21"/>
          <w:highlight w:val="none"/>
        </w:rPr>
        <w:t>3. 资金来源：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财政资金  </w:t>
      </w:r>
      <w:r>
        <w:rPr>
          <w:rFonts w:ascii="宋体" w:hAnsi="宋体"/>
          <w:bCs/>
          <w:color w:val="auto"/>
          <w:szCs w:val="21"/>
          <w:highlight w:val="none"/>
        </w:rPr>
        <w:t>。</w:t>
      </w:r>
    </w:p>
    <w:p w14:paraId="3C3A4C85">
      <w:pPr>
        <w:numPr>
          <w:ilvl w:val="0"/>
          <w:numId w:val="5"/>
        </w:numPr>
        <w:spacing w:line="300" w:lineRule="exact"/>
        <w:ind w:firstLine="420" w:firstLineChars="200"/>
        <w:rPr>
          <w:rFonts w:ascii="宋体" w:hAnsi="宋体"/>
          <w:color w:val="auto"/>
          <w:szCs w:val="21"/>
          <w:highlight w:val="none"/>
        </w:rPr>
      </w:pPr>
      <w:r>
        <w:rPr>
          <w:rFonts w:ascii="宋体" w:hAnsi="宋体"/>
          <w:bCs/>
          <w:color w:val="auto"/>
          <w:szCs w:val="21"/>
          <w:highlight w:val="none"/>
        </w:rPr>
        <w:t>4. 工程内容：</w:t>
      </w:r>
      <w:r>
        <w:rPr>
          <w:rFonts w:hint="eastAsia" w:ascii="宋体" w:hAnsi="宋体"/>
          <w:color w:val="auto"/>
          <w:szCs w:val="21"/>
          <w:highlight w:val="none"/>
          <w:u w:val="single"/>
        </w:rPr>
        <w:t>葡萄至白沙古板K14+100-K14+165 段左侧路基下边坡因水毁出现严重塌方，为保证行车安全及消除安全隐患，本项目对水毁路段进行修复。</w:t>
      </w:r>
    </w:p>
    <w:p w14:paraId="48D4622B">
      <w:pPr>
        <w:adjustRightInd w:val="0"/>
        <w:snapToGrid w:val="0"/>
        <w:spacing w:line="400" w:lineRule="exact"/>
        <w:ind w:firstLine="411" w:firstLineChars="196"/>
        <w:rPr>
          <w:rFonts w:ascii="宋体" w:hAnsi="宋体"/>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 工程承包范围：</w:t>
      </w:r>
      <w:r>
        <w:rPr>
          <w:rFonts w:hint="eastAsia" w:ascii="宋体" w:hAnsi="宋体"/>
          <w:color w:val="auto"/>
          <w:szCs w:val="21"/>
          <w:highlight w:val="none"/>
          <w:u w:val="single"/>
        </w:rPr>
        <w:t>施工图纸范围内的工程，具体情况详见施工图纸及工程量清单</w:t>
      </w:r>
      <w:r>
        <w:rPr>
          <w:rFonts w:ascii="宋体" w:hAnsi="宋体"/>
          <w:color w:val="auto"/>
          <w:szCs w:val="21"/>
          <w:highlight w:val="none"/>
        </w:rPr>
        <w:t>。</w:t>
      </w:r>
    </w:p>
    <w:p w14:paraId="43759E41">
      <w:pPr>
        <w:pStyle w:val="246"/>
        <w:adjustRightInd w:val="0"/>
        <w:snapToGrid w:val="0"/>
        <w:spacing w:line="400" w:lineRule="exact"/>
        <w:ind w:firstLine="422"/>
        <w:outlineLvl w:val="0"/>
        <w:rPr>
          <w:b/>
          <w:color w:val="auto"/>
          <w:highlight w:val="none"/>
        </w:rPr>
      </w:pPr>
      <w:bookmarkStart w:id="245" w:name="_Toc483317090"/>
      <w:bookmarkStart w:id="246" w:name="_Toc406419154"/>
      <w:bookmarkStart w:id="247" w:name="_Toc351203482"/>
      <w:bookmarkStart w:id="248" w:name="_Toc418752051"/>
      <w:bookmarkStart w:id="249" w:name="_Toc406522029"/>
      <w:r>
        <w:rPr>
          <w:b/>
          <w:color w:val="auto"/>
          <w:highlight w:val="none"/>
        </w:rPr>
        <w:t>二、合同工期</w:t>
      </w:r>
      <w:bookmarkEnd w:id="245"/>
      <w:bookmarkEnd w:id="246"/>
      <w:bookmarkEnd w:id="247"/>
      <w:bookmarkEnd w:id="248"/>
      <w:bookmarkEnd w:id="249"/>
    </w:p>
    <w:p w14:paraId="37645EFC">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计划开工日期：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16F37E01">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计划竣工日期：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15020CD2">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工期总日历天数：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天</w:t>
      </w:r>
      <w:r>
        <w:rPr>
          <w:rFonts w:hint="eastAsia" w:ascii="宋体" w:hAnsi="宋体"/>
          <w:color w:val="auto"/>
          <w:szCs w:val="21"/>
          <w:highlight w:val="none"/>
        </w:rPr>
        <w:t>（以招标人通知开工之日起计算）</w:t>
      </w:r>
      <w:r>
        <w:rPr>
          <w:rFonts w:ascii="宋体" w:hAnsi="宋体"/>
          <w:color w:val="auto"/>
          <w:szCs w:val="21"/>
          <w:highlight w:val="none"/>
        </w:rPr>
        <w:t>。工期总日历天数与根据前述计划开竣工日期计算的工期天数不一致的，以工期总日历天数为准。</w:t>
      </w:r>
    </w:p>
    <w:p w14:paraId="6D2C3BF3">
      <w:pPr>
        <w:pStyle w:val="246"/>
        <w:adjustRightInd w:val="0"/>
        <w:snapToGrid w:val="0"/>
        <w:spacing w:line="400" w:lineRule="exact"/>
        <w:ind w:firstLine="422"/>
        <w:outlineLvl w:val="0"/>
        <w:rPr>
          <w:b/>
          <w:color w:val="auto"/>
          <w:highlight w:val="none"/>
        </w:rPr>
      </w:pPr>
      <w:bookmarkStart w:id="250" w:name="_Toc418751606"/>
      <w:bookmarkStart w:id="251" w:name="_Toc406522030"/>
      <w:bookmarkStart w:id="252" w:name="_Toc418752052"/>
      <w:bookmarkStart w:id="253" w:name="_Toc483317091"/>
      <w:bookmarkStart w:id="254" w:name="_Toc351203483"/>
      <w:bookmarkStart w:id="255" w:name="_Toc406419155"/>
      <w:r>
        <w:rPr>
          <w:b/>
          <w:color w:val="auto"/>
          <w:highlight w:val="none"/>
        </w:rPr>
        <w:t>三、质量标准</w:t>
      </w:r>
      <w:bookmarkEnd w:id="250"/>
      <w:bookmarkEnd w:id="251"/>
      <w:bookmarkEnd w:id="252"/>
      <w:bookmarkEnd w:id="253"/>
      <w:bookmarkEnd w:id="254"/>
      <w:bookmarkEnd w:id="255"/>
    </w:p>
    <w:p w14:paraId="3D783110">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工程质量符合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国家施工验收规范合格  </w:t>
      </w:r>
      <w:r>
        <w:rPr>
          <w:rFonts w:ascii="宋体" w:hAnsi="宋体"/>
          <w:color w:val="auto"/>
          <w:szCs w:val="21"/>
          <w:highlight w:val="none"/>
        </w:rPr>
        <w:t>标准。</w:t>
      </w:r>
    </w:p>
    <w:p w14:paraId="1C7D9FCA">
      <w:pPr>
        <w:pStyle w:val="246"/>
        <w:adjustRightInd w:val="0"/>
        <w:snapToGrid w:val="0"/>
        <w:spacing w:line="400" w:lineRule="exact"/>
        <w:ind w:firstLine="422"/>
        <w:outlineLvl w:val="0"/>
        <w:rPr>
          <w:b/>
          <w:color w:val="auto"/>
          <w:highlight w:val="none"/>
        </w:rPr>
      </w:pPr>
      <w:bookmarkStart w:id="256" w:name="_Toc418751607"/>
      <w:bookmarkStart w:id="257" w:name="_Toc406419156"/>
      <w:bookmarkStart w:id="258" w:name="_Toc483317092"/>
      <w:bookmarkStart w:id="259" w:name="_Toc351203484"/>
      <w:bookmarkStart w:id="260" w:name="_Toc418752053"/>
      <w:bookmarkStart w:id="261" w:name="_Toc406522031"/>
      <w:r>
        <w:rPr>
          <w:b/>
          <w:color w:val="auto"/>
          <w:highlight w:val="none"/>
        </w:rPr>
        <w:t>四、签约合同价与合同价格形式</w:t>
      </w:r>
      <w:bookmarkEnd w:id="256"/>
      <w:bookmarkEnd w:id="257"/>
      <w:bookmarkEnd w:id="258"/>
      <w:bookmarkEnd w:id="259"/>
      <w:bookmarkEnd w:id="260"/>
      <w:bookmarkEnd w:id="261"/>
    </w:p>
    <w:p w14:paraId="31285D30">
      <w:pPr>
        <w:adjustRightInd w:val="0"/>
        <w:snapToGrid w:val="0"/>
        <w:spacing w:line="400" w:lineRule="exact"/>
        <w:ind w:firstLine="459"/>
        <w:rPr>
          <w:rFonts w:ascii="宋体" w:hAnsi="宋体"/>
          <w:color w:val="auto"/>
          <w:szCs w:val="21"/>
          <w:highlight w:val="none"/>
        </w:rPr>
      </w:pPr>
      <w:r>
        <w:rPr>
          <w:rFonts w:ascii="宋体" w:hAnsi="宋体"/>
          <w:color w:val="auto"/>
          <w:szCs w:val="21"/>
          <w:highlight w:val="none"/>
        </w:rPr>
        <w:t>1. 签约合同价为：</w:t>
      </w:r>
    </w:p>
    <w:p w14:paraId="45E5BB54">
      <w:pPr>
        <w:adjustRightInd w:val="0"/>
        <w:snapToGrid w:val="0"/>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总价：</w:t>
      </w:r>
      <w:r>
        <w:rPr>
          <w:rFonts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color w:val="auto"/>
          <w:szCs w:val="21"/>
          <w:highlight w:val="none"/>
        </w:rPr>
        <w:t xml:space="preserve">     </w:t>
      </w:r>
    </w:p>
    <w:p w14:paraId="70E9C2F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 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单价合同</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64FFA5EE">
      <w:pPr>
        <w:pStyle w:val="246"/>
        <w:adjustRightInd w:val="0"/>
        <w:snapToGrid w:val="0"/>
        <w:spacing w:line="400" w:lineRule="exact"/>
        <w:ind w:firstLine="422"/>
        <w:outlineLvl w:val="0"/>
        <w:rPr>
          <w:b/>
          <w:color w:val="auto"/>
          <w:highlight w:val="none"/>
        </w:rPr>
      </w:pPr>
      <w:bookmarkStart w:id="262" w:name="_Toc351203485"/>
      <w:bookmarkStart w:id="263" w:name="_Toc418752054"/>
      <w:bookmarkStart w:id="264" w:name="_Toc418751608"/>
      <w:bookmarkStart w:id="265" w:name="_Toc406522032"/>
      <w:bookmarkStart w:id="266" w:name="_Toc483317093"/>
      <w:bookmarkStart w:id="267" w:name="_Toc406419157"/>
      <w:r>
        <w:rPr>
          <w:b/>
          <w:color w:val="auto"/>
          <w:highlight w:val="none"/>
        </w:rPr>
        <w:t>五、</w:t>
      </w:r>
      <w:bookmarkEnd w:id="262"/>
      <w:r>
        <w:rPr>
          <w:b/>
          <w:color w:val="auto"/>
          <w:highlight w:val="none"/>
        </w:rPr>
        <w:t>项目经理</w:t>
      </w:r>
      <w:bookmarkEnd w:id="263"/>
      <w:bookmarkEnd w:id="264"/>
      <w:bookmarkEnd w:id="265"/>
      <w:bookmarkEnd w:id="266"/>
      <w:bookmarkEnd w:id="267"/>
    </w:p>
    <w:p w14:paraId="2D293BE5">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7413D06B">
      <w:pPr>
        <w:pStyle w:val="246"/>
        <w:adjustRightInd w:val="0"/>
        <w:snapToGrid w:val="0"/>
        <w:spacing w:line="400" w:lineRule="exact"/>
        <w:ind w:firstLine="422"/>
        <w:outlineLvl w:val="0"/>
        <w:rPr>
          <w:b/>
          <w:color w:val="auto"/>
          <w:highlight w:val="none"/>
        </w:rPr>
      </w:pPr>
      <w:bookmarkStart w:id="268" w:name="_Toc418752055"/>
      <w:bookmarkStart w:id="269" w:name="_Toc406522033"/>
      <w:bookmarkStart w:id="270" w:name="_Toc418751609"/>
      <w:bookmarkStart w:id="271" w:name="_Toc483317094"/>
      <w:bookmarkStart w:id="272" w:name="_Toc351203486"/>
      <w:bookmarkStart w:id="273" w:name="_Toc406419158"/>
      <w:r>
        <w:rPr>
          <w:b/>
          <w:color w:val="auto"/>
          <w:highlight w:val="none"/>
        </w:rPr>
        <w:t>六、合同文件构成</w:t>
      </w:r>
      <w:bookmarkEnd w:id="268"/>
      <w:bookmarkEnd w:id="269"/>
      <w:bookmarkEnd w:id="270"/>
      <w:bookmarkEnd w:id="271"/>
      <w:bookmarkEnd w:id="272"/>
      <w:bookmarkEnd w:id="273"/>
    </w:p>
    <w:p w14:paraId="67523FB8">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510BC3C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（1）中标通知书（如果有）；</w:t>
      </w:r>
    </w:p>
    <w:p w14:paraId="7F57649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（2）投标函及其附录（如果有）； </w:t>
      </w:r>
    </w:p>
    <w:p w14:paraId="584ED077">
      <w:pPr>
        <w:autoSpaceDE w:val="0"/>
        <w:autoSpaceDN w:val="0"/>
        <w:adjustRightInd w:val="0"/>
        <w:snapToGrid w:val="0"/>
        <w:spacing w:line="400" w:lineRule="exact"/>
        <w:ind w:firstLine="420" w:firstLineChars="200"/>
        <w:jc w:val="left"/>
        <w:rPr>
          <w:rFonts w:ascii="宋体" w:hAnsi="宋体"/>
          <w:b/>
          <w:color w:val="auto"/>
          <w:sz w:val="24"/>
          <w:highlight w:val="none"/>
        </w:rPr>
      </w:pPr>
      <w:r>
        <w:rPr>
          <w:rFonts w:ascii="宋体" w:hAnsi="宋体"/>
          <w:color w:val="auto"/>
          <w:szCs w:val="21"/>
          <w:highlight w:val="none"/>
        </w:rPr>
        <w:t>（3）专用合同条款及其附件</w:t>
      </w:r>
      <w:r>
        <w:rPr>
          <w:rFonts w:ascii="宋体" w:hAnsi="宋体"/>
          <w:b/>
          <w:color w:val="auto"/>
          <w:sz w:val="24"/>
          <w:highlight w:val="none"/>
        </w:rPr>
        <w:t>；</w:t>
      </w:r>
    </w:p>
    <w:p w14:paraId="0384133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14:paraId="6CE33C4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14:paraId="50D0EBC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14:paraId="0B032F1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（7）图纸；</w:t>
      </w:r>
    </w:p>
    <w:p w14:paraId="77278A2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14:paraId="6C90A68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5F9D243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094A186">
      <w:pPr>
        <w:pStyle w:val="246"/>
        <w:adjustRightInd w:val="0"/>
        <w:snapToGrid w:val="0"/>
        <w:spacing w:line="400" w:lineRule="exact"/>
        <w:ind w:firstLine="422"/>
        <w:outlineLvl w:val="0"/>
        <w:rPr>
          <w:b/>
          <w:color w:val="auto"/>
          <w:highlight w:val="none"/>
        </w:rPr>
      </w:pPr>
      <w:bookmarkStart w:id="274" w:name="_Toc418752056"/>
      <w:bookmarkStart w:id="275" w:name="_Toc483317095"/>
      <w:bookmarkStart w:id="276" w:name="_Toc418751610"/>
      <w:bookmarkStart w:id="277" w:name="_Toc406419159"/>
      <w:bookmarkStart w:id="278" w:name="_Toc351203487"/>
      <w:bookmarkStart w:id="279" w:name="_Toc406522034"/>
      <w:r>
        <w:rPr>
          <w:b/>
          <w:color w:val="auto"/>
          <w:highlight w:val="none"/>
        </w:rPr>
        <w:t>七、承诺</w:t>
      </w:r>
      <w:bookmarkEnd w:id="274"/>
      <w:bookmarkEnd w:id="275"/>
      <w:bookmarkEnd w:id="276"/>
      <w:bookmarkEnd w:id="277"/>
      <w:bookmarkEnd w:id="278"/>
      <w:bookmarkEnd w:id="279"/>
    </w:p>
    <w:p w14:paraId="708E1F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14FA06A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2A55B6D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bookmarkStart w:id="280" w:name="_Toc351203488"/>
    </w:p>
    <w:p w14:paraId="4561A0B0">
      <w:pPr>
        <w:pStyle w:val="246"/>
        <w:adjustRightInd w:val="0"/>
        <w:snapToGrid w:val="0"/>
        <w:spacing w:line="400" w:lineRule="exact"/>
        <w:ind w:firstLine="422"/>
        <w:outlineLvl w:val="0"/>
        <w:rPr>
          <w:b/>
          <w:color w:val="auto"/>
          <w:highlight w:val="none"/>
        </w:rPr>
      </w:pPr>
      <w:bookmarkStart w:id="281" w:name="_Toc406522035"/>
      <w:bookmarkStart w:id="282" w:name="_Toc418752057"/>
      <w:bookmarkStart w:id="283" w:name="_Toc483317096"/>
      <w:bookmarkStart w:id="284" w:name="_Toc418751611"/>
      <w:bookmarkStart w:id="285" w:name="_Toc406419160"/>
      <w:r>
        <w:rPr>
          <w:b/>
          <w:color w:val="auto"/>
          <w:highlight w:val="none"/>
        </w:rPr>
        <w:t>八、词语含义</w:t>
      </w:r>
      <w:bookmarkEnd w:id="280"/>
      <w:bookmarkEnd w:id="281"/>
      <w:bookmarkEnd w:id="282"/>
      <w:bookmarkEnd w:id="283"/>
      <w:bookmarkEnd w:id="284"/>
      <w:bookmarkEnd w:id="285"/>
    </w:p>
    <w:p w14:paraId="4D6A2BE1">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5F29E55C">
      <w:pPr>
        <w:pStyle w:val="246"/>
        <w:adjustRightInd w:val="0"/>
        <w:snapToGrid w:val="0"/>
        <w:spacing w:line="400" w:lineRule="exact"/>
        <w:ind w:firstLine="422"/>
        <w:outlineLvl w:val="0"/>
        <w:rPr>
          <w:b/>
          <w:color w:val="auto"/>
          <w:highlight w:val="none"/>
        </w:rPr>
      </w:pPr>
      <w:bookmarkStart w:id="286" w:name="_Toc351203489"/>
      <w:bookmarkStart w:id="287" w:name="_Toc406419161"/>
      <w:bookmarkStart w:id="288" w:name="_Toc418752058"/>
      <w:bookmarkStart w:id="289" w:name="_Toc418751612"/>
      <w:bookmarkStart w:id="290" w:name="_Toc406522036"/>
      <w:bookmarkStart w:id="291" w:name="_Toc483317097"/>
      <w:r>
        <w:rPr>
          <w:b/>
          <w:color w:val="auto"/>
          <w:highlight w:val="none"/>
        </w:rPr>
        <w:t>九、签订时间</w:t>
      </w:r>
      <w:bookmarkEnd w:id="286"/>
      <w:bookmarkEnd w:id="287"/>
      <w:bookmarkEnd w:id="288"/>
      <w:bookmarkEnd w:id="289"/>
      <w:bookmarkEnd w:id="290"/>
      <w:bookmarkEnd w:id="291"/>
    </w:p>
    <w:p w14:paraId="30F79C74">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13FBF74A">
      <w:pPr>
        <w:pStyle w:val="246"/>
        <w:adjustRightInd w:val="0"/>
        <w:snapToGrid w:val="0"/>
        <w:spacing w:line="400" w:lineRule="exact"/>
        <w:ind w:firstLine="422"/>
        <w:outlineLvl w:val="0"/>
        <w:rPr>
          <w:b/>
          <w:color w:val="auto"/>
          <w:highlight w:val="none"/>
        </w:rPr>
      </w:pPr>
      <w:bookmarkStart w:id="292" w:name="_Toc418752059"/>
      <w:bookmarkStart w:id="293" w:name="_Toc483317098"/>
      <w:bookmarkStart w:id="294" w:name="_Toc406522037"/>
      <w:bookmarkStart w:id="295" w:name="_Toc351203490"/>
      <w:bookmarkStart w:id="296" w:name="_Toc406419162"/>
      <w:bookmarkStart w:id="297" w:name="_Toc418751613"/>
      <w:r>
        <w:rPr>
          <w:b/>
          <w:color w:val="auto"/>
          <w:highlight w:val="none"/>
        </w:rPr>
        <w:t>十、签订地点</w:t>
      </w:r>
      <w:bookmarkEnd w:id="292"/>
      <w:bookmarkEnd w:id="293"/>
      <w:bookmarkEnd w:id="294"/>
      <w:bookmarkEnd w:id="295"/>
      <w:bookmarkEnd w:id="296"/>
      <w:bookmarkEnd w:id="297"/>
    </w:p>
    <w:p w14:paraId="3A320B66">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2A7F5322">
      <w:pPr>
        <w:pStyle w:val="246"/>
        <w:adjustRightInd w:val="0"/>
        <w:snapToGrid w:val="0"/>
        <w:spacing w:line="400" w:lineRule="exact"/>
        <w:ind w:firstLine="422"/>
        <w:outlineLvl w:val="0"/>
        <w:rPr>
          <w:b/>
          <w:color w:val="auto"/>
          <w:highlight w:val="none"/>
        </w:rPr>
      </w:pPr>
      <w:bookmarkStart w:id="298" w:name="_Toc418751614"/>
      <w:bookmarkStart w:id="299" w:name="_Toc406419163"/>
      <w:bookmarkStart w:id="300" w:name="_Toc406522038"/>
      <w:bookmarkStart w:id="301" w:name="_Toc351203491"/>
      <w:bookmarkStart w:id="302" w:name="_Toc418752060"/>
      <w:bookmarkStart w:id="303" w:name="_Toc483317099"/>
      <w:r>
        <w:rPr>
          <w:b/>
          <w:color w:val="auto"/>
          <w:highlight w:val="none"/>
        </w:rPr>
        <w:t>十一、补充协议</w:t>
      </w:r>
      <w:bookmarkEnd w:id="298"/>
      <w:bookmarkEnd w:id="299"/>
      <w:bookmarkEnd w:id="300"/>
      <w:bookmarkEnd w:id="301"/>
      <w:bookmarkEnd w:id="302"/>
      <w:bookmarkEnd w:id="303"/>
    </w:p>
    <w:p w14:paraId="32A14B1E">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3B8EC383">
      <w:pPr>
        <w:pStyle w:val="246"/>
        <w:adjustRightInd w:val="0"/>
        <w:snapToGrid w:val="0"/>
        <w:spacing w:line="400" w:lineRule="exact"/>
        <w:ind w:firstLine="422"/>
        <w:outlineLvl w:val="0"/>
        <w:rPr>
          <w:b/>
          <w:color w:val="auto"/>
          <w:highlight w:val="none"/>
        </w:rPr>
      </w:pPr>
      <w:bookmarkStart w:id="304" w:name="_Toc406522039"/>
      <w:bookmarkStart w:id="305" w:name="_Toc418752061"/>
      <w:bookmarkStart w:id="306" w:name="_Toc406419164"/>
      <w:bookmarkStart w:id="307" w:name="_Toc351203492"/>
      <w:bookmarkStart w:id="308" w:name="_Toc418751615"/>
      <w:bookmarkStart w:id="309" w:name="_Toc483317100"/>
      <w:r>
        <w:rPr>
          <w:b/>
          <w:color w:val="auto"/>
          <w:highlight w:val="none"/>
        </w:rPr>
        <w:t>十二、合同生效</w:t>
      </w:r>
      <w:bookmarkEnd w:id="304"/>
      <w:bookmarkEnd w:id="305"/>
      <w:bookmarkEnd w:id="306"/>
      <w:bookmarkEnd w:id="307"/>
      <w:bookmarkEnd w:id="308"/>
      <w:bookmarkEnd w:id="309"/>
    </w:p>
    <w:p w14:paraId="415D36DC">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75F4AF9C">
      <w:pPr>
        <w:pStyle w:val="246"/>
        <w:adjustRightInd w:val="0"/>
        <w:snapToGrid w:val="0"/>
        <w:spacing w:line="400" w:lineRule="exact"/>
        <w:ind w:firstLine="422"/>
        <w:outlineLvl w:val="0"/>
        <w:rPr>
          <w:b/>
          <w:color w:val="auto"/>
          <w:highlight w:val="none"/>
        </w:rPr>
      </w:pPr>
      <w:bookmarkStart w:id="310" w:name="_Toc351203493"/>
      <w:bookmarkStart w:id="311" w:name="_Toc406419165"/>
      <w:bookmarkStart w:id="312" w:name="_Toc418752062"/>
      <w:bookmarkStart w:id="313" w:name="_Toc483317101"/>
      <w:bookmarkStart w:id="314" w:name="_Toc418751616"/>
      <w:bookmarkStart w:id="315" w:name="_Toc406522040"/>
      <w:r>
        <w:rPr>
          <w:b/>
          <w:color w:val="auto"/>
          <w:highlight w:val="none"/>
        </w:rPr>
        <w:t>十三、合同份数</w:t>
      </w:r>
      <w:bookmarkEnd w:id="310"/>
      <w:bookmarkEnd w:id="311"/>
      <w:bookmarkEnd w:id="312"/>
      <w:bookmarkEnd w:id="313"/>
      <w:bookmarkEnd w:id="314"/>
      <w:bookmarkEnd w:id="315"/>
    </w:p>
    <w:p w14:paraId="56641B65">
      <w:pPr>
        <w:adjustRightInd w:val="0"/>
        <w:snapToGrid w:val="0"/>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七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三</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三 </w:t>
      </w:r>
      <w:r>
        <w:rPr>
          <w:rFonts w:ascii="宋体" w:hAnsi="宋体"/>
          <w:bCs/>
          <w:color w:val="auto"/>
          <w:szCs w:val="21"/>
          <w:highlight w:val="none"/>
        </w:rPr>
        <w:t>份</w:t>
      </w:r>
      <w:r>
        <w:rPr>
          <w:rFonts w:hint="eastAsia" w:ascii="宋体" w:hAnsi="宋体"/>
          <w:bCs/>
          <w:color w:val="auto"/>
          <w:szCs w:val="21"/>
          <w:highlight w:val="none"/>
        </w:rPr>
        <w:t>，招标代理机构</w:t>
      </w:r>
      <w:r>
        <w:rPr>
          <w:rFonts w:hint="eastAsia" w:ascii="宋体" w:hAnsi="宋体"/>
          <w:bCs/>
          <w:color w:val="auto"/>
          <w:szCs w:val="21"/>
          <w:highlight w:val="none"/>
          <w:u w:val="single"/>
        </w:rPr>
        <w:t xml:space="preserve"> 一 </w:t>
      </w:r>
      <w:r>
        <w:rPr>
          <w:rFonts w:hint="eastAsia" w:ascii="宋体" w:hAnsi="宋体"/>
          <w:bCs/>
          <w:color w:val="auto"/>
          <w:szCs w:val="21"/>
          <w:highlight w:val="none"/>
        </w:rPr>
        <w:t>份</w:t>
      </w:r>
      <w:r>
        <w:rPr>
          <w:rFonts w:ascii="宋体" w:hAnsi="宋体"/>
          <w:bCs/>
          <w:color w:val="auto"/>
          <w:szCs w:val="21"/>
          <w:highlight w:val="none"/>
        </w:rPr>
        <w:t>。</w:t>
      </w:r>
    </w:p>
    <w:p w14:paraId="30E7161B">
      <w:pPr>
        <w:adjustRightInd w:val="0"/>
        <w:snapToGrid w:val="0"/>
        <w:spacing w:line="400" w:lineRule="exact"/>
        <w:rPr>
          <w:rFonts w:ascii="宋体" w:hAnsi="宋体"/>
          <w:color w:val="auto"/>
          <w:szCs w:val="21"/>
          <w:highlight w:val="none"/>
        </w:rPr>
      </w:pPr>
    </w:p>
    <w:p w14:paraId="496BA6E3">
      <w:pPr>
        <w:pStyle w:val="2"/>
        <w:rPr>
          <w:color w:val="auto"/>
          <w:highlight w:val="none"/>
        </w:rPr>
      </w:pPr>
    </w:p>
    <w:p w14:paraId="4F4B6A0B">
      <w:pPr>
        <w:rPr>
          <w:color w:val="auto"/>
          <w:highlight w:val="none"/>
        </w:rPr>
      </w:pPr>
    </w:p>
    <w:p w14:paraId="60EC2924">
      <w:pPr>
        <w:pStyle w:val="2"/>
        <w:rPr>
          <w:color w:val="auto"/>
          <w:highlight w:val="none"/>
        </w:rPr>
      </w:pPr>
    </w:p>
    <w:p w14:paraId="0E342D02">
      <w:pPr>
        <w:rPr>
          <w:color w:val="auto"/>
          <w:highlight w:val="none"/>
        </w:rPr>
      </w:pPr>
    </w:p>
    <w:p w14:paraId="7141F71A">
      <w:pPr>
        <w:adjustRightInd w:val="0"/>
        <w:snapToGrid w:val="0"/>
        <w:spacing w:line="400" w:lineRule="exact"/>
        <w:rPr>
          <w:rFonts w:ascii="宋体" w:hAnsi="宋体"/>
          <w:color w:val="auto"/>
          <w:szCs w:val="21"/>
          <w:highlight w:val="none"/>
        </w:rPr>
      </w:pPr>
      <w:r>
        <w:rPr>
          <w:rFonts w:ascii="宋体" w:hAnsi="宋体"/>
          <w:color w:val="auto"/>
          <w:szCs w:val="21"/>
          <w:highlight w:val="none"/>
        </w:rPr>
        <w:t xml:space="preserve">发包人：  （公章）                         </w:t>
      </w:r>
      <w:r>
        <w:rPr>
          <w:rFonts w:hint="eastAsia" w:ascii="宋体" w:hAnsi="宋体"/>
          <w:color w:val="auto"/>
          <w:szCs w:val="21"/>
          <w:highlight w:val="none"/>
        </w:rPr>
        <w:t xml:space="preserve"> </w:t>
      </w:r>
      <w:r>
        <w:rPr>
          <w:rFonts w:ascii="宋体" w:hAnsi="宋体"/>
          <w:color w:val="auto"/>
          <w:szCs w:val="21"/>
          <w:highlight w:val="none"/>
        </w:rPr>
        <w:t>承包人：  （公章）</w:t>
      </w:r>
    </w:p>
    <w:p w14:paraId="1489E701">
      <w:pPr>
        <w:adjustRightInd w:val="0"/>
        <w:snapToGrid w:val="0"/>
        <w:spacing w:line="400" w:lineRule="exact"/>
        <w:rPr>
          <w:rFonts w:ascii="宋体" w:hAnsi="宋体"/>
          <w:color w:val="auto"/>
          <w:szCs w:val="21"/>
          <w:highlight w:val="none"/>
          <w:u w:val="single"/>
        </w:rPr>
      </w:pPr>
      <w:r>
        <w:rPr>
          <w:rFonts w:ascii="宋体" w:hAnsi="宋体"/>
          <w:color w:val="auto"/>
          <w:szCs w:val="21"/>
          <w:highlight w:val="none"/>
        </w:rPr>
        <w:t xml:space="preserve">                                 </w:t>
      </w:r>
    </w:p>
    <w:p w14:paraId="247BE1A3">
      <w:pPr>
        <w:adjustRightInd w:val="0"/>
        <w:snapToGrid w:val="0"/>
        <w:spacing w:line="400" w:lineRule="exact"/>
        <w:rPr>
          <w:rFonts w:ascii="宋体" w:hAnsi="宋体"/>
          <w:color w:val="auto"/>
          <w:szCs w:val="21"/>
          <w:highlight w:val="none"/>
        </w:rPr>
      </w:pPr>
      <w:r>
        <w:rPr>
          <w:rFonts w:ascii="宋体" w:hAnsi="宋体"/>
          <w:color w:val="auto"/>
          <w:szCs w:val="21"/>
          <w:highlight w:val="none"/>
        </w:rPr>
        <w:t>法定代表人或其委托代理人：                  法定代表人或其委托代理人：</w:t>
      </w:r>
    </w:p>
    <w:p w14:paraId="1E212CB0">
      <w:pPr>
        <w:adjustRightInd w:val="0"/>
        <w:snapToGrid w:val="0"/>
        <w:spacing w:line="400" w:lineRule="exact"/>
        <w:rPr>
          <w:rFonts w:ascii="宋体" w:hAnsi="宋体"/>
          <w:color w:val="auto"/>
          <w:szCs w:val="21"/>
          <w:highlight w:val="none"/>
        </w:rPr>
      </w:pPr>
      <w:r>
        <w:rPr>
          <w:rFonts w:ascii="宋体" w:hAnsi="宋体"/>
          <w:color w:val="auto"/>
          <w:szCs w:val="21"/>
          <w:highlight w:val="none"/>
        </w:rPr>
        <w:t>（签字）                                     （签字）</w:t>
      </w:r>
    </w:p>
    <w:p w14:paraId="671F9494">
      <w:pPr>
        <w:adjustRightInd w:val="0"/>
        <w:snapToGrid w:val="0"/>
        <w:spacing w:line="400" w:lineRule="exact"/>
        <w:rPr>
          <w:rFonts w:ascii="宋体" w:hAnsi="宋体"/>
          <w:color w:val="auto"/>
          <w:szCs w:val="21"/>
          <w:highlight w:val="none"/>
          <w:u w:val="single"/>
        </w:rPr>
      </w:pPr>
    </w:p>
    <w:p w14:paraId="75D06165">
      <w:pPr>
        <w:tabs>
          <w:tab w:val="left" w:pos="4410"/>
        </w:tabs>
        <w:adjustRightInd w:val="0"/>
        <w:snapToGrid w:val="0"/>
        <w:spacing w:line="400" w:lineRule="exact"/>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p>
    <w:p w14:paraId="1040A98C">
      <w:pPr>
        <w:adjustRightInd w:val="0"/>
        <w:snapToGrid w:val="0"/>
        <w:spacing w:line="400" w:lineRule="exact"/>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62B9B9D">
      <w:pPr>
        <w:adjustRightInd w:val="0"/>
        <w:snapToGrid w:val="0"/>
        <w:spacing w:line="400" w:lineRule="exact"/>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6DE615F">
      <w:pPr>
        <w:adjustRightInd w:val="0"/>
        <w:snapToGrid w:val="0"/>
        <w:spacing w:line="400" w:lineRule="exact"/>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57F731B">
      <w:pPr>
        <w:adjustRightInd w:val="0"/>
        <w:snapToGrid w:val="0"/>
        <w:spacing w:line="400" w:lineRule="exact"/>
        <w:rPr>
          <w:rFonts w:ascii="宋体" w:hAnsi="宋体"/>
          <w:color w:val="auto"/>
          <w:szCs w:val="21"/>
          <w:highlight w:val="none"/>
        </w:rPr>
      </w:pPr>
      <w:r>
        <w:rPr>
          <w:rFonts w:ascii="宋体" w:hAnsi="宋体"/>
          <w:color w:val="auto"/>
          <w:szCs w:val="21"/>
          <w:highlight w:val="none"/>
        </w:rPr>
        <w:t>委托代理人：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委托代理人：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E98F109">
      <w:pPr>
        <w:adjustRightInd w:val="0"/>
        <w:snapToGrid w:val="0"/>
        <w:spacing w:line="400" w:lineRule="exact"/>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0371D64">
      <w:pPr>
        <w:adjustRightInd w:val="0"/>
        <w:snapToGrid w:val="0"/>
        <w:spacing w:line="400" w:lineRule="exact"/>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0ECA0537">
      <w:pPr>
        <w:adjustRightInd w:val="0"/>
        <w:snapToGrid w:val="0"/>
        <w:spacing w:line="400" w:lineRule="exact"/>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0EDD491F">
      <w:pPr>
        <w:adjustRightInd w:val="0"/>
        <w:snapToGrid w:val="0"/>
        <w:spacing w:line="400" w:lineRule="exact"/>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667C657">
      <w:pPr>
        <w:adjustRightInd w:val="0"/>
        <w:snapToGrid w:val="0"/>
        <w:spacing w:line="400" w:lineRule="exact"/>
        <w:jc w:val="left"/>
        <w:rPr>
          <w:rFonts w:ascii="宋体" w:hAnsi="宋体"/>
          <w:bCs/>
          <w:color w:val="auto"/>
          <w:szCs w:val="21"/>
          <w:highlight w:val="none"/>
          <w:u w:val="singl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5B59D1D">
      <w:pPr>
        <w:adjustRightInd w:val="0"/>
        <w:snapToGrid w:val="0"/>
        <w:spacing w:line="400" w:lineRule="exact"/>
        <w:jc w:val="center"/>
        <w:rPr>
          <w:rFonts w:ascii="宋体" w:hAnsi="宋体"/>
          <w:b/>
          <w:bCs/>
          <w:color w:val="auto"/>
          <w:szCs w:val="21"/>
          <w:highlight w:val="none"/>
        </w:rPr>
      </w:pPr>
    </w:p>
    <w:p w14:paraId="47C88028">
      <w:pPr>
        <w:adjustRightInd w:val="0"/>
        <w:snapToGrid w:val="0"/>
        <w:spacing w:line="400" w:lineRule="exact"/>
        <w:jc w:val="left"/>
        <w:rPr>
          <w:rFonts w:ascii="宋体" w:hAnsi="宋体"/>
          <w:bCs/>
          <w:color w:val="auto"/>
          <w:szCs w:val="21"/>
          <w:highlight w:val="none"/>
        </w:rPr>
      </w:pPr>
    </w:p>
    <w:p w14:paraId="27437342">
      <w:pPr>
        <w:jc w:val="center"/>
        <w:rPr>
          <w:rFonts w:ascii="宋体" w:hAnsi="宋体"/>
          <w:b/>
          <w:bCs/>
          <w:color w:val="auto"/>
          <w:sz w:val="32"/>
          <w:szCs w:val="32"/>
          <w:highlight w:val="none"/>
        </w:rPr>
      </w:pPr>
      <w:r>
        <w:rPr>
          <w:rFonts w:ascii="宋体" w:hAnsi="宋体"/>
          <w:b/>
          <w:bCs/>
          <w:color w:val="auto"/>
          <w:szCs w:val="21"/>
          <w:highlight w:val="none"/>
        </w:rPr>
        <w:br w:type="page"/>
      </w:r>
      <w:bookmarkStart w:id="316" w:name="_Toc418751617"/>
      <w:bookmarkStart w:id="317" w:name="_Toc483317102"/>
      <w:bookmarkStart w:id="318" w:name="_Toc418752063"/>
      <w:bookmarkStart w:id="319" w:name="_Toc351203494"/>
      <w:bookmarkStart w:id="320" w:name="_Toc406522041"/>
      <w:r>
        <w:rPr>
          <w:rStyle w:val="160"/>
          <w:rFonts w:ascii="宋体"/>
          <w:color w:val="auto"/>
          <w:sz w:val="32"/>
          <w:highlight w:val="none"/>
        </w:rPr>
        <w:t>第二部分 通用合同条款</w:t>
      </w:r>
      <w:bookmarkEnd w:id="316"/>
      <w:bookmarkEnd w:id="317"/>
      <w:bookmarkEnd w:id="318"/>
      <w:bookmarkEnd w:id="319"/>
      <w:bookmarkEnd w:id="320"/>
      <w:bookmarkStart w:id="321" w:name="_Toc337558727"/>
    </w:p>
    <w:bookmarkEnd w:id="321"/>
    <w:p w14:paraId="106636FA">
      <w:pPr>
        <w:pStyle w:val="161"/>
        <w:jc w:val="center"/>
        <w:rPr>
          <w:rFonts w:ascii="宋体"/>
          <w:color w:val="auto"/>
          <w:sz w:val="32"/>
          <w:highlight w:val="none"/>
        </w:rPr>
      </w:pPr>
      <w:bookmarkStart w:id="322" w:name="_Toc418752234"/>
      <w:bookmarkStart w:id="323" w:name="_Toc406522212"/>
      <w:bookmarkStart w:id="324" w:name="_Toc418751788"/>
      <w:bookmarkStart w:id="325" w:name="_Toc351203652"/>
    </w:p>
    <w:p w14:paraId="1B2D1F07">
      <w:pPr>
        <w:jc w:val="left"/>
        <w:rPr>
          <w:color w:val="auto"/>
          <w:szCs w:val="21"/>
          <w:highlight w:val="none"/>
        </w:rPr>
      </w:pPr>
      <w:r>
        <w:rPr>
          <w:rFonts w:hint="eastAsia"/>
          <w:color w:val="auto"/>
          <w:szCs w:val="21"/>
          <w:highlight w:val="none"/>
        </w:rPr>
        <w:t>详见《建筑工程施工合同（示范文本）》（GF-2017-0201）通用合同条款，专用条款有约定的，按专用条款执行</w:t>
      </w:r>
      <w:bookmarkStart w:id="326" w:name="_Toc483317103"/>
      <w:r>
        <w:rPr>
          <w:rFonts w:hint="eastAsia"/>
          <w:color w:val="auto"/>
          <w:szCs w:val="21"/>
          <w:highlight w:val="none"/>
        </w:rPr>
        <w:t>。</w:t>
      </w:r>
    </w:p>
    <w:p w14:paraId="43A836D0">
      <w:pPr>
        <w:jc w:val="center"/>
        <w:rPr>
          <w:rFonts w:ascii="宋体"/>
          <w:b/>
          <w:color w:val="auto"/>
          <w:sz w:val="44"/>
          <w:highlight w:val="none"/>
        </w:rPr>
      </w:pPr>
      <w:r>
        <w:rPr>
          <w:rFonts w:ascii="宋体"/>
          <w:b/>
          <w:color w:val="auto"/>
          <w:sz w:val="32"/>
          <w:highlight w:val="none"/>
        </w:rPr>
        <w:t>第三部分 专用合同条款</w:t>
      </w:r>
      <w:bookmarkEnd w:id="322"/>
      <w:bookmarkEnd w:id="323"/>
      <w:bookmarkEnd w:id="324"/>
      <w:bookmarkEnd w:id="326"/>
    </w:p>
    <w:bookmarkEnd w:id="325"/>
    <w:p w14:paraId="0A23DE2B">
      <w:pPr>
        <w:pStyle w:val="393"/>
        <w:snapToGrid w:val="0"/>
        <w:spacing w:line="360" w:lineRule="auto"/>
        <w:jc w:val="left"/>
        <w:rPr>
          <w:rFonts w:ascii="宋体" w:hAnsi="宋体" w:cs="宋体"/>
          <w:color w:val="auto"/>
          <w:highlight w:val="none"/>
        </w:rPr>
      </w:pPr>
      <w:bookmarkStart w:id="327" w:name="_Toc351203633"/>
      <w:r>
        <w:rPr>
          <w:rFonts w:hint="eastAsia" w:ascii="宋体" w:hAnsi="宋体" w:cs="宋体"/>
          <w:color w:val="auto"/>
          <w:highlight w:val="none"/>
        </w:rPr>
        <w:t>1</w:t>
      </w:r>
      <w:bookmarkStart w:id="328" w:name="_Toc296891196"/>
      <w:bookmarkStart w:id="329" w:name="_Toc296347155"/>
      <w:bookmarkStart w:id="330" w:name="_Toc296346657"/>
      <w:bookmarkStart w:id="331" w:name="_Toc297048342"/>
      <w:bookmarkStart w:id="332" w:name="_Toc296890984"/>
      <w:bookmarkStart w:id="333" w:name="_Toc297120456"/>
      <w:bookmarkStart w:id="334" w:name="_Toc292559361"/>
      <w:bookmarkStart w:id="335" w:name="_Toc296944495"/>
      <w:bookmarkStart w:id="336" w:name="_Toc292559866"/>
      <w:bookmarkStart w:id="337" w:name="_Toc296503156"/>
      <w:r>
        <w:rPr>
          <w:rFonts w:hint="eastAsia" w:ascii="宋体" w:hAnsi="宋体" w:cs="宋体"/>
          <w:color w:val="auto"/>
          <w:highlight w:val="none"/>
        </w:rPr>
        <w:t>. 一般约定</w:t>
      </w:r>
      <w:bookmarkEnd w:id="327"/>
    </w:p>
    <w:bookmarkEnd w:id="328"/>
    <w:bookmarkEnd w:id="329"/>
    <w:bookmarkEnd w:id="330"/>
    <w:bookmarkEnd w:id="331"/>
    <w:bookmarkEnd w:id="332"/>
    <w:bookmarkEnd w:id="333"/>
    <w:bookmarkEnd w:id="334"/>
    <w:bookmarkEnd w:id="335"/>
    <w:bookmarkEnd w:id="336"/>
    <w:bookmarkEnd w:id="337"/>
    <w:p w14:paraId="3744BA4F">
      <w:pPr>
        <w:pStyle w:val="393"/>
        <w:snapToGrid w:val="0"/>
        <w:spacing w:line="360" w:lineRule="auto"/>
        <w:jc w:val="left"/>
        <w:outlineLvl w:val="0"/>
        <w:rPr>
          <w:rFonts w:ascii="宋体" w:hAnsi="宋体" w:cs="宋体"/>
          <w:color w:val="auto"/>
          <w:highlight w:val="none"/>
        </w:rPr>
      </w:pPr>
      <w:bookmarkStart w:id="338" w:name="_Toc23309"/>
      <w:bookmarkStart w:id="339" w:name="_Toc7131"/>
      <w:r>
        <w:rPr>
          <w:rFonts w:hint="eastAsia" w:ascii="宋体" w:hAnsi="宋体" w:cs="宋体"/>
          <w:color w:val="auto"/>
          <w:highlight w:val="none"/>
        </w:rPr>
        <w:t>1.1 词语定义</w:t>
      </w:r>
      <w:bookmarkEnd w:id="338"/>
      <w:bookmarkEnd w:id="339"/>
    </w:p>
    <w:p w14:paraId="02441568">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1.1.1合同</w:t>
      </w:r>
    </w:p>
    <w:p w14:paraId="370E65B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1.1.1.10其他合同文件包括：</w:t>
      </w:r>
      <w:r>
        <w:rPr>
          <w:rFonts w:hint="eastAsia" w:ascii="宋体" w:hAnsi="宋体" w:cs="宋体"/>
          <w:color w:val="auto"/>
          <w:highlight w:val="none"/>
          <w:u w:val="single"/>
        </w:rPr>
        <w:t xml:space="preserve">（1）本合同协议书；（2）中标通知书；（3）投标函及其附录；（4）专用合同条款及其附件；（5）通用合同条款；（6）技术标准和要求；（7）已标价工程量清单或预算书；（8）图纸；（9）其他合同文件；（10）履行合同过程中双方确认的对合同有影响的会议纪要、签证、及设计变更等相关资料；（11）廉洁协议；（12）安全合同  </w:t>
      </w:r>
      <w:r>
        <w:rPr>
          <w:rFonts w:hint="eastAsia" w:ascii="宋体" w:hAnsi="宋体" w:cs="宋体"/>
          <w:color w:val="auto"/>
          <w:highlight w:val="none"/>
        </w:rPr>
        <w:t>。</w:t>
      </w:r>
    </w:p>
    <w:p w14:paraId="02CAFB3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1.1.2 合同当事人及其他相关方</w:t>
      </w:r>
    </w:p>
    <w:p w14:paraId="00F6030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1.1.2.4监理人：</w:t>
      </w:r>
    </w:p>
    <w:p w14:paraId="7C274E6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2DF6C01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0C3ADDD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321F278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（中标后填写）  </w:t>
      </w:r>
      <w:r>
        <w:rPr>
          <w:rFonts w:hint="eastAsia" w:ascii="宋体" w:hAnsi="宋体" w:cs="宋体"/>
          <w:color w:val="auto"/>
          <w:highlight w:val="none"/>
        </w:rPr>
        <w:t>；</w:t>
      </w:r>
    </w:p>
    <w:p w14:paraId="6787636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（中标后填写）  </w:t>
      </w:r>
      <w:r>
        <w:rPr>
          <w:rFonts w:hint="eastAsia" w:ascii="宋体" w:hAnsi="宋体" w:cs="宋体"/>
          <w:color w:val="auto"/>
          <w:highlight w:val="none"/>
        </w:rPr>
        <w:t>。</w:t>
      </w:r>
    </w:p>
    <w:p w14:paraId="2DFAE38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1.1.2.5 设计人：</w:t>
      </w:r>
    </w:p>
    <w:p w14:paraId="5DA079F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（中标后填写） </w:t>
      </w:r>
      <w:r>
        <w:rPr>
          <w:rFonts w:hint="eastAsia" w:ascii="宋体" w:hAnsi="宋体" w:cs="宋体"/>
          <w:color w:val="auto"/>
          <w:highlight w:val="none"/>
        </w:rPr>
        <w:t>；</w:t>
      </w:r>
    </w:p>
    <w:p w14:paraId="311004F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36B3805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（中标后填写） </w:t>
      </w:r>
      <w:r>
        <w:rPr>
          <w:rFonts w:hint="eastAsia" w:ascii="宋体" w:hAnsi="宋体" w:cs="宋体"/>
          <w:color w:val="auto"/>
          <w:highlight w:val="none"/>
        </w:rPr>
        <w:t>；</w:t>
      </w:r>
    </w:p>
    <w:p w14:paraId="79C9EFE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（中标后填写） </w:t>
      </w:r>
      <w:r>
        <w:rPr>
          <w:rFonts w:hint="eastAsia" w:ascii="宋体" w:hAnsi="宋体" w:cs="宋体"/>
          <w:color w:val="auto"/>
          <w:highlight w:val="none"/>
        </w:rPr>
        <w:t>；</w:t>
      </w:r>
    </w:p>
    <w:p w14:paraId="1D08FD3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（中标后填写） </w:t>
      </w:r>
      <w:r>
        <w:rPr>
          <w:rFonts w:hint="eastAsia" w:ascii="宋体" w:hAnsi="宋体" w:cs="宋体"/>
          <w:color w:val="auto"/>
          <w:highlight w:val="none"/>
        </w:rPr>
        <w:t>。</w:t>
      </w:r>
    </w:p>
    <w:p w14:paraId="55BCDD2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1.1.3 工程和设备</w:t>
      </w:r>
    </w:p>
    <w:p w14:paraId="6B09185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指为完成合同约定的各项工作所服务的临时性生产和生活设施及临时用地</w:t>
      </w:r>
      <w:r>
        <w:rPr>
          <w:rFonts w:hint="eastAsia" w:ascii="宋体" w:hAnsi="宋体" w:cs="宋体"/>
          <w:color w:val="auto"/>
          <w:highlight w:val="none"/>
        </w:rPr>
        <w:t>。</w:t>
      </w:r>
    </w:p>
    <w:p w14:paraId="476004EF">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按照施工平面图，任何永久性工程外轮廓线投影至地表面所合围的用地面积</w:t>
      </w:r>
      <w:r>
        <w:rPr>
          <w:rFonts w:hint="eastAsia" w:ascii="宋体" w:hAnsi="宋体" w:cs="宋体"/>
          <w:color w:val="auto"/>
          <w:kern w:val="0"/>
          <w:highlight w:val="none"/>
        </w:rPr>
        <w:t>。</w:t>
      </w:r>
    </w:p>
    <w:p w14:paraId="15403DD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临时设施的建设用地，由发包人提供</w:t>
      </w:r>
      <w:r>
        <w:rPr>
          <w:rFonts w:hint="eastAsia" w:ascii="宋体" w:hAnsi="宋体" w:cs="宋体"/>
          <w:color w:val="auto"/>
          <w:kern w:val="0"/>
          <w:highlight w:val="none"/>
        </w:rPr>
        <w:t>。</w:t>
      </w:r>
    </w:p>
    <w:p w14:paraId="1622C220">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 xml:space="preserve">1.3法律 </w:t>
      </w:r>
    </w:p>
    <w:p w14:paraId="0C49718C">
      <w:pPr>
        <w:pStyle w:val="393"/>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需要明示的法律、行政法规：《中华人民共和国合同法》、《中华人民共和国建筑法》、《中华人民共和国招标投标法》、《中华人民共和国安全生产法》、《建设工程质量管理条例》以及其他有关法律、法规</w:t>
      </w:r>
      <w:r>
        <w:rPr>
          <w:rFonts w:hint="eastAsia" w:ascii="宋体" w:hAnsi="宋体" w:cs="宋体"/>
          <w:color w:val="auto"/>
          <w:highlight w:val="none"/>
        </w:rPr>
        <w:t>。</w:t>
      </w:r>
    </w:p>
    <w:p w14:paraId="1C08791B">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1.4 标准和规范</w:t>
      </w:r>
    </w:p>
    <w:p w14:paraId="4295AC7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现行的国家、行业以及地方规范、标准和规程现行的国家、行业和地方现行标准、规范和规程等</w:t>
      </w:r>
      <w:r>
        <w:rPr>
          <w:rFonts w:hint="eastAsia" w:ascii="宋体" w:hAnsi="宋体" w:cs="宋体"/>
          <w:color w:val="auto"/>
          <w:highlight w:val="none"/>
        </w:rPr>
        <w:t>。</w:t>
      </w:r>
    </w:p>
    <w:p w14:paraId="38AAC019">
      <w:pPr>
        <w:pStyle w:val="393"/>
        <w:snapToGrid w:val="0"/>
        <w:spacing w:line="360" w:lineRule="auto"/>
        <w:ind w:firstLine="420" w:firstLineChars="200"/>
        <w:jc w:val="left"/>
        <w:outlineLvl w:val="0"/>
        <w:rPr>
          <w:rFonts w:ascii="宋体" w:hAnsi="宋体" w:cs="宋体"/>
          <w:color w:val="auto"/>
          <w:kern w:val="0"/>
          <w:highlight w:val="none"/>
        </w:rPr>
      </w:pPr>
      <w:bookmarkStart w:id="340" w:name="_Toc23839"/>
      <w:bookmarkStart w:id="341" w:name="_Toc30535"/>
      <w:r>
        <w:rPr>
          <w:rFonts w:hint="eastAsia" w:ascii="宋体" w:hAnsi="宋体" w:cs="宋体"/>
          <w:color w:val="auto"/>
          <w:kern w:val="0"/>
          <w:highlight w:val="none"/>
        </w:rPr>
        <w:t>1.4.2 发包人提供国外标准、规范的名称：</w:t>
      </w:r>
      <w:r>
        <w:rPr>
          <w:rFonts w:hint="eastAsia" w:ascii="宋体" w:hAnsi="宋体" w:cs="宋体"/>
          <w:color w:val="auto"/>
          <w:kern w:val="0"/>
          <w:highlight w:val="none"/>
          <w:u w:val="single"/>
        </w:rPr>
        <w:t>无</w:t>
      </w:r>
      <w:r>
        <w:rPr>
          <w:rFonts w:hint="eastAsia" w:ascii="宋体" w:hAnsi="宋体" w:cs="宋体"/>
          <w:color w:val="auto"/>
          <w:kern w:val="0"/>
          <w:highlight w:val="none"/>
        </w:rPr>
        <w:t>；</w:t>
      </w:r>
      <w:bookmarkEnd w:id="340"/>
      <w:bookmarkEnd w:id="341"/>
    </w:p>
    <w:p w14:paraId="09CE1710">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4594997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5AE76FE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kern w:val="0"/>
          <w:highlight w:val="none"/>
          <w:u w:val="single"/>
        </w:rPr>
        <w:t>无</w:t>
      </w:r>
      <w:r>
        <w:rPr>
          <w:rFonts w:hint="eastAsia" w:ascii="宋体" w:hAnsi="宋体" w:cs="宋体"/>
          <w:color w:val="auto"/>
          <w:highlight w:val="none"/>
        </w:rPr>
        <w:t>。</w:t>
      </w:r>
    </w:p>
    <w:p w14:paraId="39284BBD">
      <w:pPr>
        <w:pStyle w:val="393"/>
        <w:snapToGrid w:val="0"/>
        <w:spacing w:line="360" w:lineRule="auto"/>
        <w:jc w:val="left"/>
        <w:outlineLvl w:val="0"/>
        <w:rPr>
          <w:rFonts w:ascii="宋体" w:hAnsi="宋体" w:cs="宋体"/>
          <w:color w:val="auto"/>
          <w:highlight w:val="none"/>
        </w:rPr>
      </w:pPr>
      <w:bookmarkStart w:id="342" w:name="_Toc17097"/>
      <w:bookmarkStart w:id="343" w:name="_Toc30300"/>
      <w:r>
        <w:rPr>
          <w:rFonts w:hint="eastAsia" w:ascii="宋体" w:hAnsi="宋体" w:cs="宋体"/>
          <w:color w:val="auto"/>
          <w:highlight w:val="none"/>
        </w:rPr>
        <w:t>1.5 合同文件的优先顺序</w:t>
      </w:r>
      <w:bookmarkEnd w:id="342"/>
      <w:bookmarkEnd w:id="343"/>
    </w:p>
    <w:p w14:paraId="62CCD60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合同文件组成及优先顺序为：</w:t>
      </w:r>
    </w:p>
    <w:p w14:paraId="33563ABF">
      <w:pPr>
        <w:pStyle w:val="393"/>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u w:val="single"/>
        </w:rPr>
        <w:t>（1）合同协议书；（2）中标通知书；（3）投标函及其附录；（4）专用合同条款及其附件；（5）通用合同条款；（6）技术标准和要求；（7）已标价工程量清单或预算书；（8）图纸（含图纸修改通知单及图纸设计变更文件）；（9）本工程预算控制价造价成果文件、招标文件的投标须知及其他合同文件、投标文件及其它有关文件</w:t>
      </w:r>
      <w:r>
        <w:rPr>
          <w:rFonts w:hint="eastAsia" w:ascii="宋体" w:hAnsi="宋体" w:cs="宋体"/>
          <w:color w:val="auto"/>
          <w:highlight w:val="none"/>
        </w:rPr>
        <w:t>。</w:t>
      </w:r>
    </w:p>
    <w:p w14:paraId="6D5943C1">
      <w:pPr>
        <w:pStyle w:val="393"/>
        <w:snapToGrid w:val="0"/>
        <w:spacing w:line="360" w:lineRule="auto"/>
        <w:ind w:firstLine="420"/>
        <w:jc w:val="left"/>
        <w:rPr>
          <w:rFonts w:ascii="宋体" w:hAnsi="宋体" w:cs="宋体"/>
          <w:color w:val="auto"/>
          <w:highlight w:val="none"/>
          <w:u w:val="single"/>
        </w:rPr>
      </w:pPr>
      <w:r>
        <w:rPr>
          <w:rFonts w:hint="eastAsia" w:ascii="宋体" w:hAnsi="宋体" w:cs="宋体"/>
          <w:color w:val="auto"/>
          <w:highlight w:val="none"/>
          <w:u w:val="single"/>
        </w:rPr>
        <w:t>合同协议书中约定采用总价合同形式的，已标价工程量清单中的各项工程量对合同双方不具合同约束力。</w:t>
      </w:r>
    </w:p>
    <w:p w14:paraId="315008C1">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图纸与技术标准和要求之间有矛盾或者不一致的，以其中要求较严格的标准为准。</w:t>
      </w:r>
    </w:p>
    <w:p w14:paraId="1993574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合同双方在合同履行过程中签订的补充协议亦构成合同文件的组成部分，其解释顺序视其内容与其他合同文件的相互关系而定。</w:t>
      </w:r>
    </w:p>
    <w:p w14:paraId="260BEEAA">
      <w:pPr>
        <w:pStyle w:val="393"/>
        <w:snapToGrid w:val="0"/>
        <w:spacing w:line="360" w:lineRule="auto"/>
        <w:jc w:val="left"/>
        <w:outlineLvl w:val="0"/>
        <w:rPr>
          <w:rFonts w:ascii="宋体" w:hAnsi="宋体" w:cs="宋体"/>
          <w:color w:val="auto"/>
          <w:highlight w:val="none"/>
        </w:rPr>
      </w:pPr>
      <w:bookmarkStart w:id="344" w:name="_Toc20601"/>
      <w:bookmarkStart w:id="345" w:name="_Toc2212"/>
      <w:r>
        <w:rPr>
          <w:rFonts w:hint="eastAsia" w:ascii="宋体" w:hAnsi="宋体" w:cs="宋体"/>
          <w:color w:val="auto"/>
          <w:highlight w:val="none"/>
        </w:rPr>
        <w:t>1.6 图纸和承包人文件</w:t>
      </w:r>
      <w:bookmarkEnd w:id="344"/>
      <w:bookmarkEnd w:id="345"/>
      <w:r>
        <w:rPr>
          <w:rFonts w:hint="eastAsia" w:ascii="宋体" w:hAnsi="宋体" w:cs="宋体"/>
          <w:color w:val="auto"/>
          <w:highlight w:val="none"/>
        </w:rPr>
        <w:tab/>
      </w:r>
    </w:p>
    <w:p w14:paraId="715630B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 图纸的提供</w:t>
      </w:r>
    </w:p>
    <w:p w14:paraId="5E2EF3A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合同签订后三天发包人免费向承包人提供图纸和其他技术资料陆份并向承包人进行技术交底，上述图纸及技术资料，未经监理工程师和发包人同意，承包人不得提供给与本工程无关的第三方</w:t>
      </w:r>
      <w:r>
        <w:rPr>
          <w:rFonts w:hint="eastAsia" w:ascii="宋体" w:hAnsi="宋体" w:cs="宋体"/>
          <w:color w:val="auto"/>
          <w:highlight w:val="none"/>
        </w:rPr>
        <w:t>；</w:t>
      </w:r>
    </w:p>
    <w:p w14:paraId="18214FA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2份全套图纸，承包人需要更多份数时，自费复制</w:t>
      </w:r>
      <w:r>
        <w:rPr>
          <w:rFonts w:hint="eastAsia" w:ascii="宋体" w:hAnsi="宋体" w:cs="宋体"/>
          <w:color w:val="auto"/>
          <w:highlight w:val="none"/>
        </w:rPr>
        <w:t>；</w:t>
      </w:r>
    </w:p>
    <w:p w14:paraId="4E9E95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发包人向承包人提供图纸的内容：工程承包范围内的各专业施工图、设计变更图等涉及工程施工所需的相关图纸。</w:t>
      </w:r>
    </w:p>
    <w:p w14:paraId="75D62DE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1.6.4 承包人文件</w:t>
      </w:r>
    </w:p>
    <w:p w14:paraId="7E15548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必要的加工图和大样图，均不是合同计量与支付的依据文件</w:t>
      </w:r>
      <w:r>
        <w:rPr>
          <w:rFonts w:hint="eastAsia" w:ascii="宋体" w:hAnsi="宋体" w:cs="宋体"/>
          <w:color w:val="auto"/>
          <w:highlight w:val="none"/>
        </w:rPr>
        <w:t>；</w:t>
      </w:r>
    </w:p>
    <w:p w14:paraId="49842C1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由承包人提供的文件范围：</w:t>
      </w:r>
      <w:r>
        <w:rPr>
          <w:rFonts w:hint="eastAsia" w:ascii="宋体" w:hAnsi="宋体" w:cs="宋体"/>
          <w:color w:val="auto"/>
          <w:highlight w:val="none"/>
          <w:u w:val="single"/>
        </w:rPr>
        <w:t>合同签订后7天内向监理工程师和发包人提交1、施工组织设计；2、工程进度计划；3、每月25日前提供当月施工统计报表和下月进度计划各一份交监理工程师及发包人</w:t>
      </w:r>
      <w:r>
        <w:rPr>
          <w:rFonts w:hint="eastAsia" w:ascii="宋体" w:hAnsi="宋体" w:cs="宋体"/>
          <w:color w:val="auto"/>
          <w:highlight w:val="none"/>
        </w:rPr>
        <w:t>；</w:t>
      </w:r>
    </w:p>
    <w:p w14:paraId="7B72246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不少于该项工作施工前14天</w:t>
      </w:r>
      <w:r>
        <w:rPr>
          <w:rFonts w:hint="eastAsia" w:ascii="宋体" w:hAnsi="宋体" w:cs="宋体"/>
          <w:color w:val="auto"/>
          <w:highlight w:val="none"/>
        </w:rPr>
        <w:t>；</w:t>
      </w:r>
    </w:p>
    <w:p w14:paraId="7FFD6D8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按发包人或监理人要求</w:t>
      </w:r>
      <w:r>
        <w:rPr>
          <w:rFonts w:hint="eastAsia" w:ascii="宋体" w:hAnsi="宋体" w:cs="宋体"/>
          <w:color w:val="auto"/>
          <w:highlight w:val="none"/>
        </w:rPr>
        <w:t>；</w:t>
      </w:r>
    </w:p>
    <w:p w14:paraId="4EEC18E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纸质版的书面文件</w:t>
      </w:r>
      <w:r>
        <w:rPr>
          <w:rFonts w:hint="eastAsia" w:ascii="宋体" w:hAnsi="宋体" w:cs="宋体"/>
          <w:color w:val="auto"/>
          <w:highlight w:val="none"/>
        </w:rPr>
        <w:t>；</w:t>
      </w:r>
    </w:p>
    <w:p w14:paraId="4E43DAB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收到承包人提供的文件后7天内</w:t>
      </w:r>
      <w:r>
        <w:rPr>
          <w:rFonts w:hint="eastAsia" w:ascii="宋体" w:hAnsi="宋体" w:cs="宋体"/>
          <w:color w:val="auto"/>
          <w:highlight w:val="none"/>
        </w:rPr>
        <w:t>。</w:t>
      </w:r>
    </w:p>
    <w:p w14:paraId="4D8191A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1.6.5 现场图纸准备</w:t>
      </w:r>
    </w:p>
    <w:p w14:paraId="0052DB8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承包人应在施工现场另外保存一套完整的图纸和承包人文件，供发包人、监理人及有关人员进行工程检查时使用</w:t>
      </w:r>
      <w:r>
        <w:rPr>
          <w:rFonts w:hint="eastAsia" w:ascii="宋体" w:hAnsi="宋体" w:cs="宋体"/>
          <w:color w:val="auto"/>
          <w:highlight w:val="none"/>
        </w:rPr>
        <w:t>。</w:t>
      </w:r>
    </w:p>
    <w:p w14:paraId="6F433FD3">
      <w:pPr>
        <w:pStyle w:val="393"/>
        <w:snapToGrid w:val="0"/>
        <w:spacing w:line="360" w:lineRule="auto"/>
        <w:jc w:val="left"/>
        <w:outlineLvl w:val="0"/>
        <w:rPr>
          <w:rFonts w:ascii="宋体" w:hAnsi="宋体" w:cs="宋体"/>
          <w:color w:val="auto"/>
          <w:highlight w:val="none"/>
        </w:rPr>
      </w:pPr>
      <w:bookmarkStart w:id="346" w:name="_Toc1041"/>
      <w:bookmarkStart w:id="347" w:name="_Toc14557"/>
      <w:r>
        <w:rPr>
          <w:rFonts w:hint="eastAsia" w:ascii="宋体" w:hAnsi="宋体" w:cs="宋体"/>
          <w:color w:val="auto"/>
          <w:highlight w:val="none"/>
        </w:rPr>
        <w:t>1.7 联络</w:t>
      </w:r>
      <w:bookmarkEnd w:id="346"/>
      <w:bookmarkEnd w:id="347"/>
    </w:p>
    <w:p w14:paraId="70E1A6CF">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color w:val="auto"/>
          <w:highlight w:val="none"/>
          <w:u w:val="single"/>
        </w:rPr>
        <w:t>进场施工前14</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024A9380">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color w:val="auto"/>
          <w:highlight w:val="none"/>
          <w:u w:val="single"/>
        </w:rPr>
        <w:t>现场工程部</w:t>
      </w:r>
      <w:r>
        <w:rPr>
          <w:rFonts w:hint="eastAsia" w:ascii="宋体" w:hAnsi="宋体" w:cs="宋体"/>
          <w:color w:val="auto"/>
          <w:kern w:val="0"/>
          <w:highlight w:val="none"/>
        </w:rPr>
        <w:t>；</w:t>
      </w:r>
    </w:p>
    <w:p w14:paraId="692084F8">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（中标后填写）    </w:t>
      </w:r>
      <w:r>
        <w:rPr>
          <w:rFonts w:hint="eastAsia" w:ascii="宋体" w:hAnsi="宋体" w:cs="宋体"/>
          <w:color w:val="auto"/>
          <w:kern w:val="0"/>
          <w:highlight w:val="none"/>
        </w:rPr>
        <w:t>。</w:t>
      </w:r>
    </w:p>
    <w:p w14:paraId="47E60C2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color w:val="auto"/>
          <w:highlight w:val="none"/>
          <w:u w:val="single"/>
        </w:rPr>
        <w:t>现场项目部</w:t>
      </w:r>
      <w:r>
        <w:rPr>
          <w:rFonts w:hint="eastAsia" w:ascii="宋体" w:hAnsi="宋体" w:cs="宋体"/>
          <w:color w:val="auto"/>
          <w:kern w:val="0"/>
          <w:highlight w:val="none"/>
        </w:rPr>
        <w:t>；</w:t>
      </w:r>
    </w:p>
    <w:p w14:paraId="1B2CE90C">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（中标后填写）    </w:t>
      </w:r>
      <w:r>
        <w:rPr>
          <w:rFonts w:hint="eastAsia" w:ascii="宋体" w:hAnsi="宋体" w:cs="宋体"/>
          <w:color w:val="auto"/>
          <w:kern w:val="0"/>
          <w:highlight w:val="none"/>
        </w:rPr>
        <w:t>。</w:t>
      </w:r>
    </w:p>
    <w:p w14:paraId="21433D7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highlight w:val="none"/>
          <w:u w:val="single"/>
        </w:rPr>
        <w:t>现场监理部</w:t>
      </w:r>
      <w:r>
        <w:rPr>
          <w:rFonts w:hint="eastAsia" w:ascii="宋体" w:hAnsi="宋体" w:cs="宋体"/>
          <w:color w:val="auto"/>
          <w:kern w:val="0"/>
          <w:highlight w:val="none"/>
        </w:rPr>
        <w:t>；</w:t>
      </w:r>
    </w:p>
    <w:p w14:paraId="76EAEA9B">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color w:val="auto"/>
          <w:highlight w:val="none"/>
          <w:u w:val="single"/>
        </w:rPr>
        <w:t>（中标后填写）    </w:t>
      </w:r>
      <w:r>
        <w:rPr>
          <w:rFonts w:hint="eastAsia" w:ascii="宋体" w:hAnsi="宋体" w:cs="宋体"/>
          <w:color w:val="auto"/>
          <w:kern w:val="0"/>
          <w:highlight w:val="none"/>
        </w:rPr>
        <w:t>。</w:t>
      </w:r>
    </w:p>
    <w:p w14:paraId="75D41F41">
      <w:pPr>
        <w:pStyle w:val="393"/>
        <w:snapToGrid w:val="0"/>
        <w:spacing w:line="360" w:lineRule="auto"/>
        <w:jc w:val="left"/>
        <w:outlineLvl w:val="0"/>
        <w:rPr>
          <w:rFonts w:ascii="宋体" w:hAnsi="宋体" w:cs="宋体"/>
          <w:color w:val="auto"/>
          <w:highlight w:val="none"/>
        </w:rPr>
      </w:pPr>
      <w:bookmarkStart w:id="348" w:name="_Toc18735"/>
      <w:bookmarkStart w:id="349" w:name="_Toc29188"/>
      <w:r>
        <w:rPr>
          <w:rFonts w:hint="eastAsia" w:ascii="宋体" w:hAnsi="宋体" w:cs="宋体"/>
          <w:color w:val="auto"/>
          <w:highlight w:val="none"/>
        </w:rPr>
        <w:t>1.10 交通运输</w:t>
      </w:r>
      <w:bookmarkEnd w:id="348"/>
      <w:bookmarkEnd w:id="349"/>
    </w:p>
    <w:p w14:paraId="101D1C7D">
      <w:pPr>
        <w:pStyle w:val="393"/>
        <w:snapToGrid w:val="0"/>
        <w:spacing w:line="360" w:lineRule="auto"/>
        <w:ind w:firstLine="420" w:firstLineChars="200"/>
        <w:jc w:val="left"/>
        <w:outlineLvl w:val="0"/>
        <w:rPr>
          <w:rFonts w:ascii="宋体" w:hAnsi="宋体" w:cs="宋体"/>
          <w:color w:val="auto"/>
          <w:highlight w:val="none"/>
        </w:rPr>
      </w:pPr>
      <w:bookmarkStart w:id="350" w:name="_Toc15243"/>
      <w:bookmarkStart w:id="351" w:name="_Toc10513"/>
      <w:r>
        <w:rPr>
          <w:rFonts w:hint="eastAsia" w:ascii="宋体" w:hAnsi="宋体" w:cs="宋体"/>
          <w:color w:val="auto"/>
          <w:highlight w:val="none"/>
        </w:rPr>
        <w:t>1</w:t>
      </w:r>
      <w:bookmarkStart w:id="352" w:name="_Toc304295521"/>
      <w:bookmarkStart w:id="353" w:name="_Toc312677986"/>
      <w:bookmarkStart w:id="354" w:name="_Toc303539100"/>
      <w:bookmarkStart w:id="355" w:name="_Toc318581155"/>
      <w:bookmarkStart w:id="356" w:name="_Toc300934943"/>
      <w:r>
        <w:rPr>
          <w:rFonts w:hint="eastAsia" w:ascii="宋体" w:hAnsi="宋体" w:cs="宋体"/>
          <w:color w:val="auto"/>
          <w:highlight w:val="none"/>
        </w:rPr>
        <w:t>.10.1 出入现场的权利</w:t>
      </w:r>
      <w:bookmarkEnd w:id="350"/>
      <w:bookmarkEnd w:id="351"/>
    </w:p>
    <w:p w14:paraId="3F1A9C0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由承包人按照发包人要求负责取得出入施工现场所需的批准手续和全部权利。承包人应协助发包人办理修建场内外道路、桥梁以及其他基础设施的手续</w:t>
      </w:r>
      <w:r>
        <w:rPr>
          <w:rFonts w:hint="eastAsia" w:ascii="宋体" w:hAnsi="宋体" w:cs="宋体"/>
          <w:color w:val="auto"/>
          <w:highlight w:val="none"/>
        </w:rPr>
        <w:t>。</w:t>
      </w:r>
    </w:p>
    <w:bookmarkEnd w:id="352"/>
    <w:bookmarkEnd w:id="353"/>
    <w:bookmarkEnd w:id="354"/>
    <w:bookmarkEnd w:id="355"/>
    <w:bookmarkEnd w:id="356"/>
    <w:p w14:paraId="0D4B407A">
      <w:pPr>
        <w:pStyle w:val="393"/>
        <w:snapToGrid w:val="0"/>
        <w:spacing w:line="360" w:lineRule="auto"/>
        <w:ind w:firstLine="420" w:firstLineChars="200"/>
        <w:jc w:val="left"/>
        <w:outlineLvl w:val="0"/>
        <w:rPr>
          <w:rFonts w:ascii="宋体" w:hAnsi="宋体" w:cs="宋体"/>
          <w:color w:val="auto"/>
          <w:highlight w:val="none"/>
        </w:rPr>
      </w:pPr>
      <w:bookmarkStart w:id="357" w:name="_Toc20201"/>
      <w:bookmarkStart w:id="358" w:name="_Toc18613"/>
      <w:r>
        <w:rPr>
          <w:rFonts w:hint="eastAsia" w:ascii="宋体" w:hAnsi="宋体" w:cs="宋体"/>
          <w:color w:val="auto"/>
          <w:highlight w:val="none"/>
        </w:rPr>
        <w:t>1</w:t>
      </w:r>
      <w:bookmarkStart w:id="359" w:name="_Toc318581156"/>
      <w:bookmarkStart w:id="360" w:name="_Toc304295522"/>
      <w:bookmarkStart w:id="361" w:name="_Toc312677987"/>
      <w:bookmarkStart w:id="362" w:name="_Toc303539101"/>
      <w:bookmarkStart w:id="363" w:name="_Toc300934944"/>
      <w:r>
        <w:rPr>
          <w:rFonts w:hint="eastAsia" w:ascii="宋体" w:hAnsi="宋体" w:cs="宋体"/>
          <w:color w:val="auto"/>
          <w:highlight w:val="none"/>
        </w:rPr>
        <w:t>.10.3 场内交通</w:t>
      </w:r>
      <w:bookmarkEnd w:id="357"/>
      <w:bookmarkEnd w:id="358"/>
    </w:p>
    <w:p w14:paraId="7DB4808E">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color w:val="auto"/>
          <w:highlight w:val="none"/>
          <w:u w:val="single"/>
        </w:rPr>
        <w:t>以现场实际施工条件为准</w:t>
      </w:r>
      <w:r>
        <w:rPr>
          <w:rFonts w:hint="eastAsia" w:ascii="宋体" w:hAnsi="宋体" w:cs="宋体"/>
          <w:color w:val="auto"/>
          <w:highlight w:val="none"/>
        </w:rPr>
        <w:t>。</w:t>
      </w:r>
    </w:p>
    <w:p w14:paraId="0682F54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以现场实际施工条件为准</w:t>
      </w:r>
      <w:r>
        <w:rPr>
          <w:rFonts w:hint="eastAsia" w:ascii="宋体" w:hAnsi="宋体" w:cs="宋体"/>
          <w:color w:val="auto"/>
          <w:highlight w:val="none"/>
        </w:rPr>
        <w:t>。</w:t>
      </w:r>
      <w:bookmarkEnd w:id="359"/>
      <w:bookmarkEnd w:id="360"/>
      <w:bookmarkEnd w:id="361"/>
      <w:bookmarkEnd w:id="362"/>
      <w:bookmarkEnd w:id="363"/>
      <w:r>
        <w:rPr>
          <w:rFonts w:hint="eastAsia" w:ascii="宋体" w:hAnsi="宋体" w:cs="宋体"/>
          <w:color w:val="auto"/>
          <w:highlight w:val="none"/>
        </w:rPr>
        <w:t xml:space="preserve">  </w:t>
      </w:r>
      <w:bookmarkStart w:id="364" w:name="_Toc318581157"/>
    </w:p>
    <w:p w14:paraId="22B2E29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1.10.4超大件和超重件的运输</w:t>
      </w:r>
    </w:p>
    <w:p w14:paraId="708A3CC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bookmarkEnd w:id="364"/>
    <w:p w14:paraId="4A72FC87">
      <w:pPr>
        <w:pStyle w:val="393"/>
        <w:snapToGrid w:val="0"/>
        <w:spacing w:line="360" w:lineRule="auto"/>
        <w:jc w:val="left"/>
        <w:outlineLvl w:val="0"/>
        <w:rPr>
          <w:rFonts w:ascii="宋体" w:hAnsi="宋体" w:cs="宋体"/>
          <w:color w:val="auto"/>
          <w:highlight w:val="none"/>
        </w:rPr>
      </w:pPr>
      <w:bookmarkStart w:id="365" w:name="_Toc18917"/>
      <w:bookmarkStart w:id="366" w:name="_Toc21332"/>
      <w:r>
        <w:rPr>
          <w:rFonts w:hint="eastAsia" w:ascii="宋体" w:hAnsi="宋体" w:cs="宋体"/>
          <w:color w:val="auto"/>
          <w:highlight w:val="none"/>
        </w:rPr>
        <w:t>1.11 知识产权</w:t>
      </w:r>
      <w:bookmarkEnd w:id="365"/>
      <w:bookmarkEnd w:id="366"/>
    </w:p>
    <w:p w14:paraId="37B8D00E">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属于发包人</w:t>
      </w:r>
      <w:r>
        <w:rPr>
          <w:rFonts w:hint="eastAsia" w:ascii="宋体" w:hAnsi="宋体" w:cs="宋体"/>
          <w:color w:val="auto"/>
          <w:highlight w:val="none"/>
        </w:rPr>
        <w:t>。</w:t>
      </w:r>
    </w:p>
    <w:p w14:paraId="1EB7086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按通用条款执行，无特殊约定</w:t>
      </w:r>
      <w:r>
        <w:rPr>
          <w:rFonts w:hint="eastAsia" w:ascii="宋体" w:hAnsi="宋体" w:cs="宋体"/>
          <w:color w:val="auto"/>
          <w:highlight w:val="none"/>
        </w:rPr>
        <w:t>。</w:t>
      </w:r>
    </w:p>
    <w:p w14:paraId="66C93020">
      <w:pPr>
        <w:pStyle w:val="393"/>
        <w:snapToGrid w:val="0"/>
        <w:spacing w:line="360" w:lineRule="auto"/>
        <w:ind w:firstLine="420" w:firstLineChars="200"/>
        <w:jc w:val="left"/>
        <w:outlineLvl w:val="0"/>
        <w:rPr>
          <w:rFonts w:ascii="宋体" w:hAnsi="宋体" w:cs="宋体"/>
          <w:color w:val="auto"/>
          <w:highlight w:val="none"/>
        </w:rPr>
      </w:pPr>
      <w:bookmarkStart w:id="367" w:name="_Toc20713"/>
      <w:bookmarkStart w:id="368" w:name="_Toc23163"/>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除署名权以外的著作权属于发包人</w:t>
      </w:r>
      <w:r>
        <w:rPr>
          <w:rFonts w:hint="eastAsia" w:ascii="宋体" w:hAnsi="宋体" w:cs="宋体"/>
          <w:color w:val="auto"/>
          <w:highlight w:val="none"/>
        </w:rPr>
        <w:t>。</w:t>
      </w:r>
      <w:bookmarkEnd w:id="367"/>
      <w:bookmarkEnd w:id="368"/>
    </w:p>
    <w:p w14:paraId="43ADB1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7D41B622">
      <w:pPr>
        <w:pStyle w:val="393"/>
        <w:snapToGrid w:val="0"/>
        <w:spacing w:line="360" w:lineRule="auto"/>
        <w:ind w:firstLine="525" w:firstLineChars="250"/>
        <w:jc w:val="left"/>
        <w:outlineLvl w:val="0"/>
        <w:rPr>
          <w:rFonts w:ascii="宋体" w:hAnsi="宋体" w:cs="宋体"/>
          <w:color w:val="auto"/>
          <w:kern w:val="0"/>
          <w:highlight w:val="none"/>
        </w:rPr>
      </w:pPr>
      <w:bookmarkStart w:id="369" w:name="_Toc438"/>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承包人在施工中所采用的所有专利、专业技术、技术秘密的使用费均已包含在签约合同中，承包人不得以此为理由增加费用</w:t>
      </w:r>
      <w:r>
        <w:rPr>
          <w:rFonts w:hint="eastAsia" w:ascii="宋体" w:hAnsi="宋体" w:cs="宋体"/>
          <w:color w:val="auto"/>
          <w:kern w:val="0"/>
          <w:highlight w:val="none"/>
        </w:rPr>
        <w:t>。</w:t>
      </w:r>
      <w:bookmarkEnd w:id="369"/>
    </w:p>
    <w:p w14:paraId="18FBA5B6">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1.13工程量清单错误的修正</w:t>
      </w:r>
    </w:p>
    <w:p w14:paraId="6C8D0E3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其综合单价的调整原则如下：同专用条款10.4.1</w:t>
      </w:r>
      <w:r>
        <w:rPr>
          <w:rFonts w:hint="eastAsia" w:ascii="宋体" w:hAnsi="宋体" w:cs="宋体"/>
          <w:color w:val="auto"/>
          <w:kern w:val="0"/>
          <w:highlight w:val="none"/>
        </w:rPr>
        <w:t>。</w:t>
      </w:r>
    </w:p>
    <w:p w14:paraId="4A1B9A5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允许调整合同价格的工程量偏差范围：</w:t>
      </w:r>
      <w:r>
        <w:rPr>
          <w:rFonts w:hint="eastAsia" w:ascii="宋体" w:hAnsi="宋体" w:cs="宋体"/>
          <w:color w:val="auto"/>
          <w:highlight w:val="none"/>
          <w:u w:val="single"/>
        </w:rPr>
        <w:t>按现行《建设工程工程量清单计价规范》及广西实施细则的规定</w:t>
      </w:r>
      <w:r>
        <w:rPr>
          <w:rFonts w:hint="eastAsia" w:ascii="宋体" w:hAnsi="宋体" w:cs="宋体"/>
          <w:color w:val="auto"/>
          <w:kern w:val="0"/>
          <w:highlight w:val="none"/>
        </w:rPr>
        <w:t>。</w:t>
      </w:r>
    </w:p>
    <w:p w14:paraId="45BDAE8F">
      <w:pPr>
        <w:pStyle w:val="393"/>
        <w:snapToGrid w:val="0"/>
        <w:spacing w:line="360" w:lineRule="auto"/>
        <w:jc w:val="left"/>
        <w:rPr>
          <w:rFonts w:ascii="宋体" w:hAnsi="宋体" w:cs="宋体"/>
          <w:color w:val="auto"/>
          <w:highlight w:val="none"/>
        </w:rPr>
      </w:pPr>
      <w:bookmarkStart w:id="370" w:name="_Toc351203634"/>
      <w:r>
        <w:rPr>
          <w:rFonts w:hint="eastAsia" w:ascii="宋体" w:hAnsi="宋体" w:cs="宋体"/>
          <w:color w:val="auto"/>
          <w:highlight w:val="none"/>
        </w:rPr>
        <w:t>2</w:t>
      </w:r>
      <w:bookmarkStart w:id="371" w:name="_Toc296347156"/>
      <w:bookmarkStart w:id="372" w:name="_Toc296346658"/>
      <w:bookmarkStart w:id="373" w:name="_Toc292559362"/>
      <w:bookmarkStart w:id="374" w:name="_Toc292559867"/>
      <w:bookmarkStart w:id="375" w:name="_Toc296503157"/>
      <w:bookmarkStart w:id="376" w:name="_Toc296944496"/>
      <w:bookmarkStart w:id="377" w:name="_Toc297048343"/>
      <w:bookmarkStart w:id="378" w:name="_Toc297120457"/>
      <w:bookmarkStart w:id="379" w:name="_Toc296890985"/>
      <w:bookmarkStart w:id="380" w:name="_Toc296891197"/>
      <w:r>
        <w:rPr>
          <w:rFonts w:hint="eastAsia" w:ascii="宋体" w:hAnsi="宋体" w:cs="宋体"/>
          <w:color w:val="auto"/>
          <w:highlight w:val="none"/>
        </w:rPr>
        <w:t>. 发包人</w:t>
      </w:r>
      <w:bookmarkEnd w:id="370"/>
    </w:p>
    <w:bookmarkEnd w:id="371"/>
    <w:bookmarkEnd w:id="372"/>
    <w:bookmarkEnd w:id="373"/>
    <w:bookmarkEnd w:id="374"/>
    <w:bookmarkEnd w:id="375"/>
    <w:bookmarkEnd w:id="376"/>
    <w:bookmarkEnd w:id="377"/>
    <w:bookmarkEnd w:id="378"/>
    <w:bookmarkEnd w:id="379"/>
    <w:bookmarkEnd w:id="380"/>
    <w:p w14:paraId="1C487528">
      <w:pPr>
        <w:pStyle w:val="393"/>
        <w:snapToGrid w:val="0"/>
        <w:spacing w:line="360" w:lineRule="auto"/>
        <w:jc w:val="left"/>
        <w:outlineLvl w:val="0"/>
        <w:rPr>
          <w:rFonts w:ascii="宋体" w:hAnsi="宋体" w:cs="宋体"/>
          <w:color w:val="auto"/>
          <w:highlight w:val="none"/>
        </w:rPr>
      </w:pPr>
      <w:bookmarkStart w:id="381" w:name="_Toc193"/>
      <w:bookmarkStart w:id="382" w:name="_Toc21870"/>
      <w:r>
        <w:rPr>
          <w:rFonts w:hint="eastAsia" w:ascii="宋体" w:hAnsi="宋体" w:cs="宋体"/>
          <w:color w:val="auto"/>
          <w:highlight w:val="none"/>
        </w:rPr>
        <w:t>2.2 发包人代表</w:t>
      </w:r>
      <w:bookmarkEnd w:id="381"/>
      <w:bookmarkEnd w:id="382"/>
    </w:p>
    <w:p w14:paraId="068D7F1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发包人代表：</w:t>
      </w:r>
    </w:p>
    <w:p w14:paraId="21334FC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w:t>
      </w:r>
      <w:bookmarkStart w:id="383" w:name="OLE_LINK13"/>
      <w:r>
        <w:rPr>
          <w:rFonts w:hint="eastAsia" w:ascii="宋体" w:hAnsi="宋体" w:cs="宋体"/>
          <w:color w:val="auto"/>
          <w:highlight w:val="none"/>
          <w:u w:val="single"/>
        </w:rPr>
        <w:t>（中标后填写）</w:t>
      </w:r>
      <w:bookmarkEnd w:id="383"/>
      <w:r>
        <w:rPr>
          <w:rFonts w:hint="eastAsia" w:ascii="宋体" w:hAnsi="宋体" w:cs="宋体"/>
          <w:color w:val="auto"/>
          <w:highlight w:val="none"/>
          <w:u w:val="single"/>
        </w:rPr>
        <w:t> </w:t>
      </w:r>
      <w:r>
        <w:rPr>
          <w:rFonts w:hint="eastAsia" w:ascii="宋体" w:hAnsi="宋体" w:cs="宋体"/>
          <w:color w:val="auto"/>
          <w:highlight w:val="none"/>
        </w:rPr>
        <w:t>；</w:t>
      </w:r>
    </w:p>
    <w:p w14:paraId="695901B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03361AB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2D05946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（中标后填写）  </w:t>
      </w:r>
      <w:r>
        <w:rPr>
          <w:rFonts w:hint="eastAsia" w:ascii="宋体" w:hAnsi="宋体" w:cs="宋体"/>
          <w:color w:val="auto"/>
          <w:highlight w:val="none"/>
        </w:rPr>
        <w:t>；</w:t>
      </w:r>
    </w:p>
    <w:p w14:paraId="099AC5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79A51CD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6AE52A6F">
      <w:pPr>
        <w:pStyle w:val="393"/>
        <w:snapToGrid w:val="0"/>
        <w:spacing w:line="360" w:lineRule="auto"/>
        <w:ind w:firstLine="420" w:firstLineChars="200"/>
        <w:jc w:val="left"/>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(1)确认承包人提出的顺延工期的签证；(2)对发生的不可抗力造成工程无法施工的处置；(3)设计变更及施工条件变更等有关签证的确认；(4)工程竣工验收报告的确认；(5)工程预付款和进度款的审批；(6)处理和协调外部施工条件；(7)代表发包人行使本合同约定的其它权利和义务。签证、变更、联系函、进度款支付等材料须加盖发包人公章方为有效</w:t>
      </w:r>
      <w:r>
        <w:rPr>
          <w:rFonts w:hint="eastAsia" w:ascii="宋体" w:hAnsi="宋体" w:cs="宋体"/>
          <w:color w:val="auto"/>
          <w:highlight w:val="none"/>
        </w:rPr>
        <w:t>。</w:t>
      </w:r>
    </w:p>
    <w:p w14:paraId="179E05EE">
      <w:pPr>
        <w:pStyle w:val="393"/>
        <w:snapToGrid w:val="0"/>
        <w:spacing w:line="360" w:lineRule="auto"/>
        <w:jc w:val="left"/>
        <w:outlineLvl w:val="0"/>
        <w:rPr>
          <w:rFonts w:ascii="宋体" w:hAnsi="宋体" w:cs="宋体"/>
          <w:color w:val="auto"/>
          <w:highlight w:val="none"/>
        </w:rPr>
      </w:pPr>
      <w:bookmarkStart w:id="384" w:name="_Toc25012"/>
      <w:bookmarkStart w:id="385" w:name="_Toc26204"/>
      <w:r>
        <w:rPr>
          <w:rFonts w:hint="eastAsia" w:ascii="宋体" w:hAnsi="宋体" w:cs="宋体"/>
          <w:color w:val="auto"/>
          <w:highlight w:val="none"/>
        </w:rPr>
        <w:t>2.4 施工现场、施工条件和基础资料的提供</w:t>
      </w:r>
      <w:bookmarkEnd w:id="384"/>
      <w:bookmarkEnd w:id="385"/>
    </w:p>
    <w:p w14:paraId="50446D6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2.4.1 提供施工现场</w:t>
      </w:r>
    </w:p>
    <w:p w14:paraId="3A34CDF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开工日期7天前</w:t>
      </w:r>
      <w:r>
        <w:rPr>
          <w:rFonts w:hint="eastAsia" w:ascii="宋体" w:hAnsi="宋体" w:cs="宋体"/>
          <w:color w:val="auto"/>
          <w:highlight w:val="none"/>
        </w:rPr>
        <w:t>。</w:t>
      </w:r>
    </w:p>
    <w:p w14:paraId="1EBB8D3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2.4.2 提供施工条件</w:t>
      </w:r>
    </w:p>
    <w:p w14:paraId="18307979">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施工用水、电、管线在承包人进入工地前由发包人按有关规定在施工场地附近50米范围内提供接水、接电点（接线、挂表及使用费用和电讯费均由承包人自理），所需材料在本工程完工后归承包人所属</w:t>
      </w:r>
      <w:r>
        <w:rPr>
          <w:rFonts w:hint="eastAsia" w:ascii="宋体" w:hAnsi="宋体" w:cs="宋体"/>
          <w:color w:val="auto"/>
          <w:highlight w:val="none"/>
        </w:rPr>
        <w:t>。</w:t>
      </w:r>
    </w:p>
    <w:p w14:paraId="1D2D5094">
      <w:pPr>
        <w:pStyle w:val="393"/>
        <w:snapToGrid w:val="0"/>
        <w:spacing w:line="360" w:lineRule="auto"/>
        <w:jc w:val="left"/>
        <w:outlineLvl w:val="0"/>
        <w:rPr>
          <w:rFonts w:ascii="宋体" w:hAnsi="宋体" w:cs="宋体"/>
          <w:color w:val="auto"/>
          <w:highlight w:val="none"/>
        </w:rPr>
      </w:pPr>
      <w:bookmarkStart w:id="386" w:name="_Toc2691"/>
      <w:bookmarkStart w:id="387" w:name="_Toc14658"/>
      <w:r>
        <w:rPr>
          <w:rFonts w:hint="eastAsia" w:ascii="宋体" w:hAnsi="宋体" w:cs="宋体"/>
          <w:color w:val="auto"/>
          <w:highlight w:val="none"/>
        </w:rPr>
        <w:t>2.5 资金来源证明及支付担保</w:t>
      </w:r>
      <w:bookmarkEnd w:id="386"/>
      <w:bookmarkEnd w:id="387"/>
    </w:p>
    <w:p w14:paraId="3802947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87529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80A0489">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w:t>
      </w:r>
      <w:r>
        <w:rPr>
          <w:rFonts w:hint="eastAsia" w:ascii="宋体" w:hAnsi="宋体" w:cs="宋体"/>
          <w:color w:val="auto"/>
          <w:highlight w:val="none"/>
        </w:rPr>
        <w:t>。</w:t>
      </w:r>
    </w:p>
    <w:p w14:paraId="381A6753">
      <w:pPr>
        <w:pStyle w:val="393"/>
        <w:snapToGrid w:val="0"/>
        <w:spacing w:line="360" w:lineRule="auto"/>
        <w:jc w:val="left"/>
        <w:rPr>
          <w:rFonts w:ascii="宋体" w:hAnsi="宋体" w:cs="宋体"/>
          <w:color w:val="auto"/>
          <w:highlight w:val="none"/>
        </w:rPr>
      </w:pPr>
      <w:bookmarkStart w:id="388" w:name="_Toc351203635"/>
      <w:r>
        <w:rPr>
          <w:rFonts w:hint="eastAsia" w:ascii="宋体" w:hAnsi="宋体" w:cs="宋体"/>
          <w:color w:val="auto"/>
          <w:highlight w:val="none"/>
        </w:rPr>
        <w:t>3</w:t>
      </w:r>
      <w:bookmarkStart w:id="389" w:name="_Toc292559363"/>
      <w:bookmarkStart w:id="390" w:name="_Toc296347157"/>
      <w:bookmarkStart w:id="391" w:name="_Toc292559868"/>
      <w:bookmarkStart w:id="392" w:name="_Toc296346659"/>
      <w:bookmarkStart w:id="393" w:name="_Toc296503158"/>
      <w:bookmarkStart w:id="394" w:name="_Toc297120458"/>
      <w:bookmarkStart w:id="395" w:name="_Toc296891198"/>
      <w:bookmarkStart w:id="396" w:name="_Toc297048344"/>
      <w:bookmarkStart w:id="397" w:name="_Toc296944497"/>
      <w:bookmarkStart w:id="398" w:name="_Toc296890986"/>
      <w:r>
        <w:rPr>
          <w:rFonts w:hint="eastAsia" w:ascii="宋体" w:hAnsi="宋体" w:cs="宋体"/>
          <w:color w:val="auto"/>
          <w:highlight w:val="none"/>
        </w:rPr>
        <w:t>. 承包人</w:t>
      </w:r>
      <w:bookmarkEnd w:id="388"/>
    </w:p>
    <w:bookmarkEnd w:id="389"/>
    <w:bookmarkEnd w:id="390"/>
    <w:bookmarkEnd w:id="391"/>
    <w:bookmarkEnd w:id="392"/>
    <w:bookmarkEnd w:id="393"/>
    <w:bookmarkEnd w:id="394"/>
    <w:bookmarkEnd w:id="395"/>
    <w:bookmarkEnd w:id="396"/>
    <w:bookmarkEnd w:id="397"/>
    <w:bookmarkEnd w:id="398"/>
    <w:p w14:paraId="55894069">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3.1 承包人的一般义务</w:t>
      </w:r>
    </w:p>
    <w:p w14:paraId="1CAAAFB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（9）</w:t>
      </w:r>
      <w:r>
        <w:rPr>
          <w:rFonts w:hint="eastAsia" w:ascii="宋体" w:hAnsi="宋体" w:cs="宋体"/>
          <w:color w:val="auto"/>
          <w:highlight w:val="none"/>
        </w:rPr>
        <w:t>承包人提交的竣工资料的内容：</w:t>
      </w:r>
      <w:r>
        <w:rPr>
          <w:rFonts w:hint="eastAsia" w:ascii="宋体" w:hAnsi="宋体" w:cs="宋体"/>
          <w:color w:val="auto"/>
          <w:highlight w:val="none"/>
          <w:u w:val="single"/>
        </w:rPr>
        <w:t>提供符合桂林市阳朔县城建档案馆和行政质检监督部门要求的竣工图及竣工资料</w:t>
      </w:r>
      <w:r>
        <w:rPr>
          <w:rFonts w:hint="eastAsia" w:ascii="宋体" w:hAnsi="宋体" w:cs="宋体"/>
          <w:color w:val="auto"/>
          <w:highlight w:val="none"/>
        </w:rPr>
        <w:t>。</w:t>
      </w:r>
    </w:p>
    <w:p w14:paraId="2C311F7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5套</w:t>
      </w:r>
      <w:r>
        <w:rPr>
          <w:rFonts w:hint="eastAsia" w:ascii="宋体" w:hAnsi="宋体" w:cs="宋体"/>
          <w:color w:val="auto"/>
          <w:highlight w:val="none"/>
        </w:rPr>
        <w:t>。</w:t>
      </w:r>
    </w:p>
    <w:p w14:paraId="25BF72FD">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承包人承担</w:t>
      </w:r>
      <w:r>
        <w:rPr>
          <w:rFonts w:hint="eastAsia" w:ascii="宋体" w:hAnsi="宋体" w:cs="宋体"/>
          <w:color w:val="auto"/>
          <w:highlight w:val="none"/>
        </w:rPr>
        <w:t>。</w:t>
      </w:r>
    </w:p>
    <w:p w14:paraId="149529A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工程竣工验收合格之日起30日内</w:t>
      </w:r>
      <w:r>
        <w:rPr>
          <w:rFonts w:hint="eastAsia" w:ascii="宋体" w:hAnsi="宋体" w:cs="宋体"/>
          <w:color w:val="auto"/>
          <w:highlight w:val="none"/>
        </w:rPr>
        <w:t>。</w:t>
      </w:r>
    </w:p>
    <w:p w14:paraId="564BDB9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纸质资料和电子扫描文档</w:t>
      </w:r>
      <w:r>
        <w:rPr>
          <w:rFonts w:hint="eastAsia" w:ascii="宋体" w:hAnsi="宋体" w:cs="宋体"/>
          <w:color w:val="auto"/>
          <w:highlight w:val="none"/>
        </w:rPr>
        <w:t>。</w:t>
      </w:r>
    </w:p>
    <w:p w14:paraId="1B34117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（10）承包人应履行的其他义务：</w:t>
      </w:r>
    </w:p>
    <w:p w14:paraId="041D59C6">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①根据发包人委托，在其设计资质等级和业务允许的范围内，完成施工图设计或与工程配套的设计，经监理人确认后使用，发包人承担由此发生的费用和合理利润。由承包人负责完成的设计文件属于合同条款第1.6.4项约定的承包人提供的文件，承包人应按照专用合同条款第1.6.4项约定的期限和数量提交，由此发生的费用被认为已经包括在承包人的签约合同价（投标总报价）中。</w:t>
      </w:r>
    </w:p>
    <w:p w14:paraId="7C2FDA30">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②承包人负责办理施工有关的环卫和噪音等审批手续，并承担费用。承包人负责对施工场地内的化石、文物具有保护责任，发包人对此予以必要协助并承担相应费用。承包人负责满足施工期间政府职能部门对工地消防设施有关要求，并承担相关费用。</w:t>
      </w:r>
    </w:p>
    <w:p w14:paraId="4EB32621">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③</w:t>
      </w:r>
      <w:r>
        <w:rPr>
          <w:rFonts w:hint="eastAsia" w:ascii="宋体" w:hAnsi="宋体" w:cs="宋体"/>
          <w:color w:val="auto"/>
          <w:highlight w:val="none"/>
          <w:u w:val="single"/>
        </w:rPr>
        <w:t>承包人应负责协调解决来自当地居民对工程施工的人为干扰，并承担相关费用。</w:t>
      </w:r>
    </w:p>
    <w:p w14:paraId="6A228716">
      <w:pPr>
        <w:pStyle w:val="393"/>
        <w:snapToGrid w:val="0"/>
        <w:spacing w:line="360" w:lineRule="auto"/>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4 \* GB3</w:instrText>
      </w:r>
      <w:r>
        <w:rPr>
          <w:rFonts w:hint="eastAsia" w:ascii="宋体" w:hAnsi="宋体" w:cs="宋体"/>
          <w:color w:val="auto"/>
          <w:highlight w:val="none"/>
        </w:rPr>
        <w:fldChar w:fldCharType="separate"/>
      </w:r>
      <w:r>
        <w:rPr>
          <w:rFonts w:hint="eastAsia" w:ascii="宋体" w:hAnsi="宋体" w:cs="宋体"/>
          <w:color w:val="auto"/>
          <w:highlight w:val="none"/>
        </w:rPr>
        <w:t>④</w:t>
      </w:r>
      <w:r>
        <w:rPr>
          <w:rFonts w:hint="eastAsia" w:ascii="宋体" w:hAnsi="宋体" w:cs="宋体"/>
          <w:color w:val="auto"/>
          <w:highlight w:val="none"/>
        </w:rPr>
        <w:fldChar w:fldCharType="end"/>
      </w:r>
      <w:r>
        <w:rPr>
          <w:rFonts w:hint="eastAsia" w:ascii="宋体" w:hAnsi="宋体" w:cs="宋体"/>
          <w:color w:val="auto"/>
          <w:highlight w:val="none"/>
          <w:u w:val="single"/>
        </w:rPr>
        <w:t>为发包人依法发包的专业工程承包商提供总承包管理与协调服务，并为专业工程承包商提供一切施工方便。</w:t>
      </w:r>
    </w:p>
    <w:p w14:paraId="40438013">
      <w:pPr>
        <w:pStyle w:val="393"/>
        <w:snapToGrid w:val="0"/>
        <w:spacing w:line="360" w:lineRule="auto"/>
        <w:ind w:firstLine="420" w:firstLineChars="200"/>
        <w:jc w:val="left"/>
        <w:rPr>
          <w:rFonts w:hint="eastAsia" w:ascii="宋体" w:hAnsi="宋体" w:cs="宋体"/>
          <w:color w:val="auto"/>
          <w:highlight w:val="none"/>
          <w:u w:val="single"/>
        </w:rPr>
      </w:pPr>
      <w:r>
        <w:rPr>
          <w:rFonts w:hint="eastAsia" w:ascii="微软雅黑" w:hAnsi="微软雅黑" w:eastAsia="微软雅黑" w:cs="微软雅黑"/>
          <w:color w:val="auto"/>
          <w:highlight w:val="none"/>
          <w:u w:val="single"/>
        </w:rPr>
        <w:t>⑤</w:t>
      </w:r>
      <w:r>
        <w:rPr>
          <w:rFonts w:hint="eastAsia" w:ascii="宋体" w:hAnsi="宋体" w:cs="宋体"/>
          <w:color w:val="auto"/>
          <w:highlight w:val="none"/>
          <w:u w:val="single"/>
        </w:rPr>
        <w:t>依据《广西壮族自治区工程建设领域农民工工资保证金规定实施办法》(桂人社规〔2021〕16号)要求，农民工工资保证金为中标合同价的1%，在签订合同后项目开工前采用现金方式或银行保函方式缴存，工程竣工验收结算经审定后，按照规定程序，将农民工工资保证金没有使用或剩余的金额退还给承包人。</w:t>
      </w:r>
    </w:p>
    <w:p w14:paraId="21D2E250">
      <w:pPr>
        <w:pStyle w:val="393"/>
        <w:snapToGrid w:val="0"/>
        <w:spacing w:line="360" w:lineRule="auto"/>
        <w:ind w:firstLine="420" w:firstLineChars="200"/>
        <w:jc w:val="left"/>
        <w:rPr>
          <w:rFonts w:hint="eastAsia" w:ascii="宋体" w:hAnsi="宋体" w:cs="宋体"/>
          <w:color w:val="auto"/>
          <w:highlight w:val="none"/>
          <w:u w:val="single"/>
        </w:rPr>
      </w:pPr>
      <w:r>
        <w:rPr>
          <w:rFonts w:hint="eastAsia" w:ascii="微软雅黑" w:hAnsi="微软雅黑" w:eastAsia="微软雅黑" w:cs="微软雅黑"/>
          <w:color w:val="auto"/>
          <w:highlight w:val="none"/>
          <w:u w:val="single"/>
        </w:rPr>
        <w:t>⑥</w:t>
      </w:r>
      <w:r>
        <w:rPr>
          <w:rFonts w:hint="eastAsia" w:ascii="宋体" w:hAnsi="宋体" w:cs="宋体"/>
          <w:color w:val="auto"/>
          <w:highlight w:val="none"/>
          <w:u w:val="single"/>
        </w:rPr>
        <w:t>按照自治区办公厅 《关于全面治理拖欠农民工工资问题的实施意见》 (桂政办发[2016]113 号)、《关于印发广西壮族自治区工程建设领域工人工资支付专用账户管理办法的通知》 (桂薪联 发[2016]1 号)、《桂林市财政局关于落实政府投资工程项目工程款与农民工工资分帐拨款的通 知》市财建【2018】73 号等文件规定，设立独立农民工工资支付专用账号，严格按要求及时支付农民工工资，绝不拖欠农民工工资。拨付的工程款中存入工人工资支付专用账户内的资金能足额支付工人工资，除发放工人工资外，不得用于其他用途。如承包人未能严格按照要求执行，由此产生的经济及法律责任由承包人承担。</w:t>
      </w:r>
    </w:p>
    <w:p w14:paraId="7141FCC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3.2 项目经理</w:t>
      </w:r>
    </w:p>
    <w:p w14:paraId="549EE5F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7EDE66A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（中标后填写）  </w:t>
      </w:r>
      <w:r>
        <w:rPr>
          <w:rFonts w:hint="eastAsia" w:ascii="宋体" w:hAnsi="宋体" w:cs="宋体"/>
          <w:color w:val="auto"/>
          <w:highlight w:val="none"/>
        </w:rPr>
        <w:t>；</w:t>
      </w:r>
    </w:p>
    <w:p w14:paraId="7484A6B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（中标后填写）    </w:t>
      </w:r>
      <w:r>
        <w:rPr>
          <w:rFonts w:hint="eastAsia" w:ascii="宋体" w:hAnsi="宋体" w:cs="宋体"/>
          <w:color w:val="auto"/>
          <w:highlight w:val="none"/>
        </w:rPr>
        <w:t>；</w:t>
      </w:r>
    </w:p>
    <w:p w14:paraId="31EBF90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7BDECD1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（中标后填写）</w:t>
      </w:r>
      <w:r>
        <w:rPr>
          <w:rFonts w:hint="eastAsia" w:ascii="宋体" w:hAnsi="宋体" w:cs="宋体"/>
          <w:color w:val="auto"/>
          <w:highlight w:val="none"/>
        </w:rPr>
        <w:t>；</w:t>
      </w:r>
    </w:p>
    <w:p w14:paraId="3F5C88E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（中标后填写）</w:t>
      </w:r>
      <w:r>
        <w:rPr>
          <w:rFonts w:hint="eastAsia" w:ascii="宋体" w:hAnsi="宋体" w:cs="宋体"/>
          <w:color w:val="auto"/>
          <w:highlight w:val="none"/>
        </w:rPr>
        <w:t>；</w:t>
      </w:r>
    </w:p>
    <w:p w14:paraId="5450962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6033A79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（中标后填写）      </w:t>
      </w:r>
      <w:r>
        <w:rPr>
          <w:rFonts w:hint="eastAsia" w:ascii="宋体" w:hAnsi="宋体" w:cs="宋体"/>
          <w:color w:val="auto"/>
          <w:highlight w:val="none"/>
        </w:rPr>
        <w:t>；</w:t>
      </w:r>
    </w:p>
    <w:p w14:paraId="07FEB7A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0D472F9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（中标后填写）  </w:t>
      </w:r>
      <w:r>
        <w:rPr>
          <w:rFonts w:hint="eastAsia" w:ascii="宋体" w:hAnsi="宋体" w:cs="宋体"/>
          <w:color w:val="auto"/>
          <w:highlight w:val="none"/>
        </w:rPr>
        <w:t>；</w:t>
      </w:r>
    </w:p>
    <w:p w14:paraId="502ADFAD">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对工程施工中的相关事务（本授权第一项约定的事务）进行协商，代表承包人参加发包人组织的与本工程有关的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03BF38B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ascii="宋体" w:hAnsi="宋体" w:cs="宋体"/>
          <w:color w:val="auto"/>
          <w:highlight w:val="none"/>
        </w:rPr>
        <w:t>。</w:t>
      </w:r>
    </w:p>
    <w:p w14:paraId="06CB4B7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cs="宋体"/>
          <w:color w:val="auto"/>
          <w:highlight w:val="none"/>
          <w:u w:val="single"/>
        </w:rPr>
        <w:t>建筑工程施工许可证签发之日起到通过竣工验收之日止的正常施工过程，项目经理每周至少5日，每天必须不少于8小时在现场组织施工</w:t>
      </w:r>
      <w:r>
        <w:rPr>
          <w:rFonts w:hint="eastAsia" w:ascii="宋体" w:hAnsi="宋体" w:cs="宋体"/>
          <w:color w:val="auto"/>
          <w:highlight w:val="none"/>
        </w:rPr>
        <w:t>。</w:t>
      </w:r>
    </w:p>
    <w:p w14:paraId="200605BD">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highlight w:val="none"/>
          <w:u w:val="single"/>
        </w:rPr>
        <w:t>若承包人未与其聘任的项目人员签署劳动合同、缴纳社会保险或出现欠付工资等情况，致使发包人面临任何追索风险（不论诉讼发生与否）发包人有权扣除承包人相应数额的应付工程款代为支付或赔偿，承包人承担1000元的违约金，责令限期提交劳动合同并补缴社会保险</w:t>
      </w:r>
      <w:r>
        <w:rPr>
          <w:rFonts w:hint="eastAsia" w:ascii="宋体" w:hAnsi="宋体" w:cs="宋体"/>
          <w:color w:val="auto"/>
          <w:highlight w:val="none"/>
        </w:rPr>
        <w:t>。</w:t>
      </w:r>
    </w:p>
    <w:p w14:paraId="12EB6FB1">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项目经理未经批准，</w:t>
      </w:r>
      <w:r>
        <w:rPr>
          <w:rFonts w:hint="eastAsia" w:ascii="宋体" w:hAnsi="宋体" w:cs="宋体"/>
          <w:color w:val="auto"/>
          <w:highlight w:val="none"/>
        </w:rPr>
        <w:t>建筑工程施工许可证签发之日起到通过竣工验收之日止的正常施工过程中</w:t>
      </w:r>
      <w:r>
        <w:rPr>
          <w:rFonts w:hint="eastAsia" w:ascii="宋体" w:hAnsi="宋体" w:cs="宋体"/>
          <w:color w:val="auto"/>
          <w:kern w:val="0"/>
          <w:highlight w:val="none"/>
        </w:rPr>
        <w:t>擅自离开施工现场的违约责任：</w:t>
      </w:r>
      <w:r>
        <w:rPr>
          <w:rFonts w:hint="eastAsia" w:ascii="宋体" w:hAnsi="宋体" w:cs="宋体"/>
          <w:color w:val="auto"/>
          <w:highlight w:val="none"/>
          <w:u w:val="single"/>
        </w:rPr>
        <w:t>未经发包人同意，少在岗带班一天，承包人必须向发包人交纳违约金1000元/日（人民币）</w:t>
      </w:r>
      <w:r>
        <w:rPr>
          <w:rFonts w:hint="eastAsia" w:ascii="宋体" w:hAnsi="宋体" w:cs="宋体"/>
          <w:color w:val="auto"/>
          <w:highlight w:val="none"/>
        </w:rPr>
        <w:t>。</w:t>
      </w:r>
    </w:p>
    <w:p w14:paraId="52CAB52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3.2.3 承包人更换项目经理的违约责任：</w:t>
      </w:r>
      <w:r>
        <w:rPr>
          <w:rFonts w:hint="eastAsia" w:ascii="宋体" w:hAnsi="宋体" w:cs="宋体"/>
          <w:color w:val="auto"/>
          <w:highlight w:val="none"/>
          <w:u w:val="single"/>
        </w:rPr>
        <w:t>承包人项目经理必须与承包人投标时所承诺的人员一致。在监理人向承包人颁发竣工证明材料前，项目经理不得同时兼任其他任何项目的项目经理</w:t>
      </w:r>
      <w:r>
        <w:rPr>
          <w:rFonts w:hint="eastAsia" w:ascii="宋体" w:hAnsi="宋体" w:cs="宋体"/>
          <w:color w:val="auto"/>
          <w:kern w:val="0"/>
          <w:highlight w:val="none"/>
          <w:u w:val="single"/>
        </w:rPr>
        <w:t>（符合桂建管</w:t>
      </w:r>
      <w:r>
        <w:rPr>
          <w:rFonts w:hint="eastAsia" w:ascii="宋体" w:hAnsi="宋体" w:cs="宋体"/>
          <w:color w:val="auto"/>
          <w:highlight w:val="none"/>
          <w:u w:val="single"/>
        </w:rPr>
        <w:t>﹝2013﹞</w:t>
      </w:r>
      <w:r>
        <w:rPr>
          <w:rFonts w:hint="eastAsia" w:ascii="宋体" w:hAnsi="宋体" w:cs="宋体"/>
          <w:color w:val="auto"/>
          <w:kern w:val="0"/>
          <w:highlight w:val="none"/>
          <w:u w:val="single"/>
        </w:rPr>
        <w:t>17号和</w:t>
      </w:r>
      <w:r>
        <w:rPr>
          <w:rFonts w:hint="eastAsia" w:ascii="宋体" w:hAnsi="宋体" w:cs="宋体"/>
          <w:color w:val="auto"/>
          <w:highlight w:val="none"/>
          <w:u w:val="single"/>
        </w:rPr>
        <w:t>桂建管﹝2014﹞25号</w:t>
      </w:r>
      <w:r>
        <w:rPr>
          <w:rFonts w:hint="eastAsia" w:ascii="宋体" w:hAnsi="宋体" w:cs="宋体"/>
          <w:color w:val="auto"/>
          <w:kern w:val="0"/>
          <w:highlight w:val="none"/>
          <w:u w:val="single"/>
        </w:rPr>
        <w:t>文除外）</w:t>
      </w:r>
      <w:r>
        <w:rPr>
          <w:rFonts w:hint="eastAsia" w:ascii="宋体" w:hAnsi="宋体" w:cs="宋体"/>
          <w:color w:val="auto"/>
          <w:highlight w:val="none"/>
          <w:u w:val="single"/>
        </w:rPr>
        <w:t>。未经发包人书面同意，承包人擅自更换项目经理的视为违约，按违约责任处罚，并责令改正</w:t>
      </w:r>
      <w:r>
        <w:rPr>
          <w:rFonts w:hint="eastAsia" w:ascii="宋体" w:hAnsi="宋体" w:cs="宋体"/>
          <w:color w:val="auto"/>
          <w:highlight w:val="none"/>
        </w:rPr>
        <w:t>。</w:t>
      </w:r>
    </w:p>
    <w:p w14:paraId="4CB24E7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因承包人项目经理不称职，发包人要求调换而未及时调换的，视为承包人违约，必须向发包人交纳处罚金2000元/人•次（人民币）</w:t>
      </w:r>
      <w:r>
        <w:rPr>
          <w:rFonts w:hint="eastAsia" w:ascii="宋体" w:hAnsi="宋体" w:cs="宋体"/>
          <w:color w:val="auto"/>
          <w:highlight w:val="none"/>
        </w:rPr>
        <w:t>。</w:t>
      </w:r>
    </w:p>
    <w:p w14:paraId="47188596">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3.3 承包人人员</w:t>
      </w:r>
    </w:p>
    <w:p w14:paraId="024B5C9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hint="eastAsia" w:ascii="宋体" w:hAnsi="宋体" w:cs="宋体"/>
          <w:color w:val="auto"/>
          <w:highlight w:val="none"/>
        </w:rPr>
        <w:t>。</w:t>
      </w:r>
    </w:p>
    <w:p w14:paraId="2DC034D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1000元/人•次（人民币）</w:t>
      </w:r>
      <w:r>
        <w:rPr>
          <w:rFonts w:hint="eastAsia" w:ascii="宋体" w:hAnsi="宋体" w:cs="宋体"/>
          <w:color w:val="auto"/>
          <w:highlight w:val="none"/>
        </w:rPr>
        <w:t>。</w:t>
      </w:r>
    </w:p>
    <w:p w14:paraId="30DEA803">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由总监理工程师批准，发包人认可方可离开</w:t>
      </w:r>
      <w:r>
        <w:rPr>
          <w:rFonts w:hint="eastAsia" w:ascii="宋体" w:hAnsi="宋体" w:cs="宋体"/>
          <w:color w:val="auto"/>
          <w:highlight w:val="none"/>
        </w:rPr>
        <w:t>。</w:t>
      </w:r>
    </w:p>
    <w:p w14:paraId="3245DF6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项目技术负责人、专职安全员及其承诺的其它在场管理人员更换，更换项目技术负责人，承包人必须向发包人交纳违约金2000元/人•次（人民币）违约金；更换专职安全员，承包人必须向发包人交纳违约金1000元/人•次（人民币）；更换其它在场管理人员，承包人必须向发包人交纳违约金500元/人•次（人民币）</w:t>
      </w:r>
      <w:r>
        <w:rPr>
          <w:rFonts w:hint="eastAsia" w:ascii="宋体" w:hAnsi="宋体" w:cs="宋体"/>
          <w:color w:val="auto"/>
          <w:highlight w:val="none"/>
        </w:rPr>
        <w:t xml:space="preserve">。 </w:t>
      </w:r>
    </w:p>
    <w:p w14:paraId="1FB177B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未经发包人同意，项目技术负责人擅自离岗的，视为承包人违约，发包人有权处违约金300元/人•次（人民币）；未经发包人同意，专职安全员擅自离岗的，视为承包人违约，发包人有权处违约金300元/人•次（人民币）；其它在场管理人员擅自离岗的，视为承包人违约，发包人有权处违约金300元/人•次（人民币）</w:t>
      </w:r>
      <w:r>
        <w:rPr>
          <w:rFonts w:hint="eastAsia" w:ascii="宋体" w:hAnsi="宋体" w:cs="宋体"/>
          <w:color w:val="auto"/>
          <w:highlight w:val="none"/>
        </w:rPr>
        <w:t>。</w:t>
      </w:r>
    </w:p>
    <w:p w14:paraId="320F79FF">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3.3.6承包人项目经理、项目技术人负责人、专职安全员及其承诺的其他在场管理人员，每日上班必须在发包人提供的指纹考勤机进行指纹考勤，如果指纹考勤机没有考勤记录，项目经理视同不在岗带班，按不在岗带班处理，项目技术人负责人、专职安全员及其承诺的其他在场管理人员视同擅自离岗，按擅自离岗处理。如果发现考勤有弄虚作假者，所有的被作假人员当月均按不在岗带班或擅自离岗处理。</w:t>
      </w:r>
    </w:p>
    <w:p w14:paraId="6F7BCE7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3.3.7在发包人办理施工许可证时，承包人投标文件中承诺的项目经理、专职安全员的诚信信息必须为解锁状态，如发现诚信信息未解锁的管理人员，发包人有权处罚金2000元/人（人民币）。</w:t>
      </w:r>
    </w:p>
    <w:p w14:paraId="22ABD91C">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w:t>
      </w:r>
      <w:bookmarkStart w:id="399" w:name="_Toc296944498"/>
      <w:bookmarkStart w:id="400" w:name="_Toc292559869"/>
      <w:bookmarkStart w:id="401" w:name="_Toc296890987"/>
      <w:bookmarkStart w:id="402" w:name="_Toc296891199"/>
      <w:bookmarkStart w:id="403" w:name="_Toc297123492"/>
      <w:bookmarkStart w:id="404" w:name="_Toc296503159"/>
      <w:bookmarkStart w:id="405" w:name="_Toc296346660"/>
      <w:bookmarkStart w:id="406" w:name="_Toc296347158"/>
      <w:bookmarkStart w:id="407" w:name="_Toc312677988"/>
      <w:bookmarkStart w:id="408" w:name="_Toc303539102"/>
      <w:bookmarkStart w:id="409" w:name="_Toc300934945"/>
      <w:bookmarkStart w:id="410" w:name="_Toc297120459"/>
      <w:bookmarkStart w:id="411" w:name="_Toc297216151"/>
      <w:bookmarkStart w:id="412" w:name="_Toc297048345"/>
      <w:bookmarkStart w:id="413" w:name="_Toc304295523"/>
      <w:bookmarkStart w:id="414" w:name="_Toc292559364"/>
      <w:r>
        <w:rPr>
          <w:rFonts w:hint="eastAsia" w:ascii="宋体" w:hAnsi="宋体" w:cs="宋体"/>
          <w:color w:val="auto"/>
          <w:highlight w:val="none"/>
        </w:rPr>
        <w:t>.5 分包</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527164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bookmarkStart w:id="415" w:name="_Toc296891200"/>
      <w:bookmarkStart w:id="416" w:name="_Toc297123493"/>
      <w:bookmarkStart w:id="417" w:name="_Toc296944499"/>
      <w:bookmarkStart w:id="418" w:name="_Toc297120460"/>
      <w:bookmarkStart w:id="419" w:name="_Toc296503160"/>
      <w:bookmarkStart w:id="420" w:name="_Toc292559365"/>
      <w:bookmarkStart w:id="421" w:name="_Toc292559870"/>
      <w:bookmarkStart w:id="422" w:name="_Toc296890988"/>
      <w:bookmarkStart w:id="423" w:name="_Toc300934946"/>
      <w:bookmarkStart w:id="424" w:name="_Toc297048346"/>
      <w:bookmarkStart w:id="425" w:name="_Toc297216152"/>
      <w:bookmarkStart w:id="426" w:name="_Toc296346661"/>
      <w:bookmarkStart w:id="427" w:name="_Toc303539103"/>
      <w:bookmarkStart w:id="428" w:name="_Toc296347159"/>
      <w:bookmarkStart w:id="429" w:name="_Toc304295524"/>
      <w:bookmarkStart w:id="430" w:name="_Toc318581158"/>
      <w:bookmarkStart w:id="431" w:name="_Toc312677989"/>
      <w:r>
        <w:rPr>
          <w:rFonts w:hint="eastAsia" w:ascii="宋体" w:hAnsi="宋体" w:cs="宋体"/>
          <w:color w:val="auto"/>
          <w:highlight w:val="none"/>
        </w:rPr>
        <w:t>.5.1 分包的一般约定</w:t>
      </w:r>
    </w:p>
    <w:p w14:paraId="2FF7809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本工程不允许分包（除劳务分包以外）</w:t>
      </w:r>
      <w:r>
        <w:rPr>
          <w:rFonts w:hint="eastAsia" w:ascii="宋体" w:hAnsi="宋体" w:cs="宋体"/>
          <w:color w:val="auto"/>
          <w:highlight w:val="none"/>
        </w:rPr>
        <w:t>。</w:t>
      </w:r>
    </w:p>
    <w:p w14:paraId="0E43215E">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w:t>
      </w:r>
      <w:r>
        <w:rPr>
          <w:rFonts w:hint="eastAsia" w:ascii="宋体" w:hAnsi="宋体" w:cs="宋体"/>
          <w:color w:val="auto"/>
          <w:highlight w:val="none"/>
        </w:rPr>
        <w: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Start w:id="432" w:name="_Toc297216153"/>
      <w:bookmarkStart w:id="433" w:name="_Toc296346662"/>
      <w:bookmarkStart w:id="434" w:name="_Toc296347160"/>
      <w:bookmarkStart w:id="435" w:name="_Toc297048347"/>
      <w:bookmarkStart w:id="436" w:name="_Toc296503161"/>
      <w:bookmarkStart w:id="437" w:name="_Toc296890989"/>
      <w:bookmarkStart w:id="438" w:name="_Toc300934947"/>
      <w:bookmarkStart w:id="439" w:name="_Toc303539104"/>
      <w:bookmarkStart w:id="440" w:name="_Toc297123494"/>
      <w:bookmarkStart w:id="441" w:name="_Toc297120461"/>
      <w:bookmarkStart w:id="442" w:name="_Toc296891201"/>
      <w:bookmarkStart w:id="443" w:name="_Toc296944500"/>
      <w:bookmarkStart w:id="444" w:name="_Toc304295525"/>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2EC0192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bookmarkStart w:id="445" w:name="_Toc318581159"/>
      <w:bookmarkStart w:id="446" w:name="_Toc312677990"/>
      <w:r>
        <w:rPr>
          <w:rFonts w:hint="eastAsia" w:ascii="宋体" w:hAnsi="宋体" w:cs="宋体"/>
          <w:color w:val="auto"/>
          <w:highlight w:val="none"/>
        </w:rPr>
        <w:t>.5.2分包的确定</w:t>
      </w:r>
    </w:p>
    <w:p w14:paraId="5C4EA063">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除法律禁止分包的专业工程  </w:t>
      </w:r>
      <w:r>
        <w:rPr>
          <w:rFonts w:hint="eastAsia" w:ascii="宋体" w:hAnsi="宋体" w:cs="宋体"/>
          <w:color w:val="auto"/>
          <w:highlight w:val="none"/>
        </w:rPr>
        <w:t>。</w:t>
      </w:r>
    </w:p>
    <w:p w14:paraId="3937D9E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其他关于分包的约定：</w:t>
      </w:r>
    </w:p>
    <w:p w14:paraId="1827272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7089789A">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（2）在相关分包合同签订并报送有关建设行政主管部门备案后7天内，承包人应当将一份副本提交给监理人，承包人应保障分包工作不得再次分包。</w:t>
      </w:r>
    </w:p>
    <w:p w14:paraId="44CF4DE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0C17167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w:t>
      </w:r>
      <w:r>
        <w:rPr>
          <w:rFonts w:hint="eastAsia" w:ascii="宋体" w:hAnsi="宋体" w:cs="宋体"/>
          <w:color w:val="auto"/>
          <w:highlight w:val="none"/>
        </w:rPr>
        <w:t>4）承包人有以下情况之一者，发包人有权解除合同，并视情况扣除其履约保证金：</w:t>
      </w:r>
    </w:p>
    <w:p w14:paraId="24F366C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①个人承包工程，包括本人单位及外单位人员承包，发包人不承认其个人拥有任何资质等级及营业许可资格。没收全部履约保证金。</w:t>
      </w:r>
    </w:p>
    <w:p w14:paraId="437615A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②几个人联合承包工程，就地组织暗分包队伍，不具备完成本工程的技术、机械能力，被发包人判定为没有能力履行的承包人。没收全部履约保证金。</w:t>
      </w:r>
    </w:p>
    <w:p w14:paraId="17867FB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③就地转包全部的工程，以谋取高额转让费、管理费的承包人。没收全部履约保证金。</w:t>
      </w:r>
    </w:p>
    <w:p w14:paraId="12FFCDF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9CA0AE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⑤如果承包人与分包人之间产生纠纷并由此产生的法律后果，均有承包人负责，与发包人均无关系。如果承包人与分包人之间产生纠纷并由此产生的法律诉讼（如作为被告）及其法律后果，涉及到发包人，发包人将没收承包人全部履约保证金，如履约保证金已退还，从质保金中扣除相关同等金额费用。</w:t>
      </w:r>
    </w:p>
    <w:p w14:paraId="3E1E982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3.5.4 分包合同价款</w:t>
      </w:r>
    </w:p>
    <w:p w14:paraId="333FBA7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445"/>
    <w:bookmarkEnd w:id="446"/>
    <w:p w14:paraId="6ACA29F3">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3.6 工程照管与成品、半成品保护</w:t>
      </w:r>
    </w:p>
    <w:p w14:paraId="75C6D3CA">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color w:val="auto"/>
          <w:highlight w:val="none"/>
          <w:u w:val="single"/>
        </w:rPr>
        <w:t>按通用条款，无特殊约定</w:t>
      </w:r>
      <w:r>
        <w:rPr>
          <w:rFonts w:hint="eastAsia" w:ascii="宋体" w:hAnsi="宋体" w:cs="宋体"/>
          <w:color w:val="auto"/>
          <w:kern w:val="0"/>
          <w:highlight w:val="none"/>
        </w:rPr>
        <w:t>。</w:t>
      </w:r>
    </w:p>
    <w:p w14:paraId="323E83EF">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3.7 履约担保</w:t>
      </w:r>
    </w:p>
    <w:p w14:paraId="496A51A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否  </w:t>
      </w:r>
      <w:r>
        <w:rPr>
          <w:rFonts w:hint="eastAsia" w:ascii="宋体" w:hAnsi="宋体" w:cs="宋体"/>
          <w:color w:val="auto"/>
          <w:highlight w:val="none"/>
        </w:rPr>
        <w:t>。</w:t>
      </w:r>
    </w:p>
    <w:p w14:paraId="639F40FF">
      <w:pPr>
        <w:pStyle w:val="495"/>
        <w:snapToGrid w:val="0"/>
        <w:spacing w:line="360" w:lineRule="auto"/>
        <w:jc w:val="left"/>
        <w:rPr>
          <w:rFonts w:eastAsia="宋体" w:cs="宋体"/>
          <w:color w:val="auto"/>
          <w:highlight w:val="none"/>
          <w:u w:val="single"/>
        </w:rPr>
      </w:pPr>
      <w:r>
        <w:rPr>
          <w:rFonts w:hint="eastAsia" w:eastAsia="宋体" w:cs="宋体"/>
          <w:color w:val="auto"/>
          <w:highlight w:val="none"/>
        </w:rPr>
        <w:t>承包人提供履约担保的形式、金额及期限的：</w:t>
      </w:r>
      <w:r>
        <w:rPr>
          <w:rFonts w:hint="eastAsia" w:eastAsia="宋体" w:cs="宋体"/>
          <w:color w:val="auto"/>
          <w:highlight w:val="none"/>
          <w:u w:val="single"/>
        </w:rPr>
        <w:t xml:space="preserve">/  </w:t>
      </w:r>
      <w:r>
        <w:rPr>
          <w:rFonts w:hint="eastAsia" w:eastAsia="宋体" w:cs="宋体"/>
          <w:color w:val="auto"/>
          <w:highlight w:val="none"/>
        </w:rPr>
        <w:t>。</w:t>
      </w:r>
    </w:p>
    <w:p w14:paraId="4897426E">
      <w:pPr>
        <w:pStyle w:val="393"/>
        <w:snapToGrid w:val="0"/>
        <w:spacing w:line="360" w:lineRule="auto"/>
        <w:jc w:val="left"/>
        <w:rPr>
          <w:rFonts w:ascii="宋体" w:hAnsi="宋体" w:cs="宋体"/>
          <w:color w:val="auto"/>
          <w:highlight w:val="none"/>
        </w:rPr>
      </w:pPr>
      <w:bookmarkStart w:id="447" w:name="_Toc351203636"/>
      <w:r>
        <w:rPr>
          <w:rFonts w:hint="eastAsia" w:ascii="宋体" w:hAnsi="宋体" w:cs="宋体"/>
          <w:color w:val="auto"/>
          <w:highlight w:val="none"/>
        </w:rPr>
        <w:t>4</w:t>
      </w:r>
      <w:bookmarkStart w:id="448" w:name="_Toc296891202"/>
      <w:bookmarkStart w:id="449" w:name="_Toc296944501"/>
      <w:bookmarkStart w:id="450" w:name="_Toc296890990"/>
      <w:bookmarkStart w:id="451" w:name="_Toc297048348"/>
      <w:bookmarkStart w:id="452" w:name="_Toc296503162"/>
      <w:bookmarkStart w:id="453" w:name="_Toc296346663"/>
      <w:bookmarkStart w:id="454" w:name="_Toc296347161"/>
      <w:bookmarkStart w:id="455" w:name="_Toc267251413"/>
      <w:bookmarkStart w:id="456" w:name="_Toc292559871"/>
      <w:bookmarkStart w:id="457" w:name="_Toc297120462"/>
      <w:bookmarkStart w:id="458" w:name="_Toc292559366"/>
      <w:r>
        <w:rPr>
          <w:rFonts w:hint="eastAsia" w:ascii="宋体" w:hAnsi="宋体" w:cs="宋体"/>
          <w:color w:val="auto"/>
          <w:highlight w:val="none"/>
        </w:rPr>
        <w:t>. 监</w:t>
      </w:r>
      <w:bookmarkEnd w:id="448"/>
      <w:bookmarkEnd w:id="449"/>
      <w:bookmarkEnd w:id="450"/>
      <w:bookmarkEnd w:id="451"/>
      <w:bookmarkEnd w:id="452"/>
      <w:bookmarkEnd w:id="453"/>
      <w:bookmarkEnd w:id="454"/>
      <w:bookmarkEnd w:id="455"/>
      <w:bookmarkEnd w:id="456"/>
      <w:bookmarkEnd w:id="457"/>
      <w:bookmarkEnd w:id="458"/>
      <w:r>
        <w:rPr>
          <w:rFonts w:hint="eastAsia" w:ascii="宋体" w:hAnsi="宋体" w:cs="宋体"/>
          <w:color w:val="auto"/>
          <w:highlight w:val="none"/>
        </w:rPr>
        <w:t>理人</w:t>
      </w:r>
      <w:bookmarkEnd w:id="447"/>
    </w:p>
    <w:p w14:paraId="463D435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4.1监理人的一般规定</w:t>
      </w:r>
    </w:p>
    <w:p w14:paraId="471828A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highlight w:val="none"/>
          <w:u w:val="single"/>
        </w:rPr>
        <w:t>见监理合同</w:t>
      </w:r>
      <w:r>
        <w:rPr>
          <w:rFonts w:hint="eastAsia" w:ascii="宋体" w:hAnsi="宋体" w:cs="宋体"/>
          <w:color w:val="auto"/>
          <w:highlight w:val="none"/>
        </w:rPr>
        <w:t>。</w:t>
      </w:r>
    </w:p>
    <w:p w14:paraId="653BA8E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highlight w:val="none"/>
          <w:u w:val="single"/>
        </w:rPr>
        <w:t>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w:t>
      </w:r>
      <w:r>
        <w:rPr>
          <w:rFonts w:hint="eastAsia" w:ascii="宋体" w:hAnsi="宋体" w:cs="宋体"/>
          <w:color w:val="auto"/>
          <w:highlight w:val="none"/>
        </w:rPr>
        <w:t xml:space="preserve">。 </w:t>
      </w:r>
    </w:p>
    <w:p w14:paraId="6FA74BE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42554BC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4.2 监理人员</w:t>
      </w:r>
    </w:p>
    <w:p w14:paraId="022527C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总监理工程师：</w:t>
      </w:r>
    </w:p>
    <w:p w14:paraId="1F4D1C2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6CD8907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14:paraId="79B6BCF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（中标后填写）</w:t>
      </w:r>
      <w:r>
        <w:rPr>
          <w:rFonts w:hint="eastAsia" w:ascii="宋体" w:hAnsi="宋体" w:cs="宋体"/>
          <w:color w:val="auto"/>
          <w:highlight w:val="none"/>
        </w:rPr>
        <w:t>；</w:t>
      </w:r>
    </w:p>
    <w:p w14:paraId="01129AD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（中标后填写）  </w:t>
      </w:r>
      <w:r>
        <w:rPr>
          <w:rFonts w:hint="eastAsia" w:ascii="宋体" w:hAnsi="宋体" w:cs="宋体"/>
          <w:color w:val="auto"/>
          <w:highlight w:val="none"/>
        </w:rPr>
        <w:t>；</w:t>
      </w:r>
    </w:p>
    <w:p w14:paraId="4247873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（中标后填写）  </w:t>
      </w:r>
      <w:r>
        <w:rPr>
          <w:rFonts w:hint="eastAsia" w:ascii="宋体" w:hAnsi="宋体" w:cs="宋体"/>
          <w:color w:val="auto"/>
          <w:highlight w:val="none"/>
        </w:rPr>
        <w:t>；</w:t>
      </w:r>
    </w:p>
    <w:p w14:paraId="4A5FCC1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（中标后填写）  </w:t>
      </w:r>
      <w:r>
        <w:rPr>
          <w:rFonts w:hint="eastAsia" w:ascii="宋体" w:hAnsi="宋体" w:cs="宋体"/>
          <w:color w:val="auto"/>
          <w:highlight w:val="none"/>
        </w:rPr>
        <w:t>；</w:t>
      </w:r>
    </w:p>
    <w:p w14:paraId="3D9D226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（中标后填写）  </w:t>
      </w:r>
      <w:r>
        <w:rPr>
          <w:rFonts w:hint="eastAsia" w:ascii="宋体" w:hAnsi="宋体" w:cs="宋体"/>
          <w:color w:val="auto"/>
          <w:highlight w:val="none"/>
        </w:rPr>
        <w:t>。</w:t>
      </w:r>
    </w:p>
    <w:p w14:paraId="45DAC21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4.4 商定或确定</w:t>
      </w:r>
    </w:p>
    <w:p w14:paraId="36B92CB7">
      <w:pPr>
        <w:pStyle w:val="393"/>
        <w:snapToGrid w:val="0"/>
        <w:spacing w:line="360" w:lineRule="auto"/>
        <w:ind w:firstLine="420" w:firstLineChars="200"/>
        <w:jc w:val="left"/>
        <w:rPr>
          <w:rFonts w:ascii="宋体" w:hAnsi="宋体" w:cs="宋体"/>
          <w:color w:val="auto"/>
          <w:highlight w:val="none"/>
        </w:rPr>
      </w:pPr>
      <w:bookmarkStart w:id="459" w:name="_Toc267251418"/>
      <w:r>
        <w:rPr>
          <w:rFonts w:hint="eastAsia" w:ascii="宋体" w:hAnsi="宋体" w:cs="宋体"/>
          <w:color w:val="auto"/>
          <w:highlight w:val="none"/>
        </w:rPr>
        <w:t>在发包人和承包人不能通过协商达成一致意见时，发包人授权监理人对以下事项进行确定：</w:t>
      </w:r>
      <w:r>
        <w:rPr>
          <w:rFonts w:hint="eastAsia" w:ascii="宋体" w:hAnsi="宋体" w:cs="宋体"/>
          <w:color w:val="auto"/>
          <w:highlight w:val="none"/>
          <w:u w:val="single"/>
        </w:rPr>
        <w:t>/</w:t>
      </w:r>
    </w:p>
    <w:p w14:paraId="4D69AA05">
      <w:pPr>
        <w:pStyle w:val="393"/>
        <w:snapToGrid w:val="0"/>
        <w:spacing w:line="360" w:lineRule="auto"/>
        <w:jc w:val="left"/>
        <w:rPr>
          <w:rFonts w:ascii="宋体" w:hAnsi="宋体" w:cs="宋体"/>
          <w:color w:val="auto"/>
          <w:highlight w:val="none"/>
        </w:rPr>
      </w:pPr>
      <w:bookmarkStart w:id="460" w:name="_Toc351203637"/>
      <w:r>
        <w:rPr>
          <w:rFonts w:hint="eastAsia" w:ascii="宋体" w:hAnsi="宋体" w:cs="宋体"/>
          <w:color w:val="auto"/>
          <w:highlight w:val="none"/>
        </w:rPr>
        <w:t>5</w:t>
      </w:r>
      <w:bookmarkEnd w:id="459"/>
      <w:bookmarkStart w:id="461" w:name="_Toc292559872"/>
      <w:bookmarkStart w:id="462" w:name="_Toc296890991"/>
      <w:bookmarkStart w:id="463" w:name="_Toc296347162"/>
      <w:bookmarkStart w:id="464" w:name="_Toc296503163"/>
      <w:bookmarkStart w:id="465" w:name="_Toc297120463"/>
      <w:bookmarkStart w:id="466" w:name="_Toc296944502"/>
      <w:bookmarkStart w:id="467" w:name="_Toc297048349"/>
      <w:bookmarkStart w:id="468" w:name="_Toc296346664"/>
      <w:bookmarkStart w:id="469" w:name="_Toc292559367"/>
      <w:bookmarkStart w:id="470" w:name="_Toc296891203"/>
      <w:r>
        <w:rPr>
          <w:rFonts w:hint="eastAsia" w:ascii="宋体" w:hAnsi="宋体" w:cs="宋体"/>
          <w:color w:val="auto"/>
          <w:highlight w:val="none"/>
        </w:rPr>
        <w:t>.工程质量</w:t>
      </w:r>
      <w:bookmarkEnd w:id="460"/>
    </w:p>
    <w:p w14:paraId="47A28936">
      <w:pPr>
        <w:pStyle w:val="393"/>
        <w:snapToGrid w:val="0"/>
        <w:spacing w:line="360" w:lineRule="auto"/>
        <w:jc w:val="left"/>
        <w:outlineLvl w:val="0"/>
        <w:rPr>
          <w:rFonts w:ascii="宋体" w:hAnsi="宋体" w:cs="宋体"/>
          <w:color w:val="auto"/>
          <w:highlight w:val="none"/>
        </w:rPr>
      </w:pPr>
      <w:bookmarkStart w:id="471" w:name="_Toc21095"/>
      <w:r>
        <w:rPr>
          <w:rFonts w:hint="eastAsia" w:ascii="宋体" w:hAnsi="宋体" w:cs="宋体"/>
          <w:color w:val="auto"/>
          <w:highlight w:val="none"/>
        </w:rPr>
        <w:t>5.1 质量要求</w:t>
      </w:r>
      <w:bookmarkEnd w:id="471"/>
    </w:p>
    <w:p w14:paraId="2769300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w:t>
      </w:r>
      <w:bookmarkStart w:id="472" w:name="_Toc318581164"/>
      <w:bookmarkStart w:id="473" w:name="_Toc303539106"/>
      <w:bookmarkStart w:id="474" w:name="_Toc300934949"/>
      <w:bookmarkStart w:id="475" w:name="_Toc312677997"/>
      <w:bookmarkStart w:id="476" w:name="_Toc297216155"/>
      <w:bookmarkStart w:id="477" w:name="_Toc304295527"/>
      <w:bookmarkStart w:id="478" w:name="_Toc297123496"/>
      <w:r>
        <w:rPr>
          <w:rFonts w:hint="eastAsia" w:ascii="宋体" w:hAnsi="宋体" w:cs="宋体"/>
          <w:color w:val="auto"/>
          <w:highlight w:val="none"/>
        </w:rPr>
        <w:t>.1.1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A5DFDC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663E633">
      <w:pPr>
        <w:pStyle w:val="393"/>
        <w:snapToGrid w:val="0"/>
        <w:spacing w:line="360" w:lineRule="auto"/>
        <w:jc w:val="left"/>
        <w:outlineLvl w:val="0"/>
        <w:rPr>
          <w:rFonts w:ascii="宋体" w:hAnsi="宋体" w:cs="宋体"/>
          <w:color w:val="auto"/>
          <w:highlight w:val="none"/>
        </w:rPr>
      </w:pPr>
      <w:bookmarkStart w:id="479" w:name="_Toc10427"/>
      <w:bookmarkStart w:id="480" w:name="_Toc23148"/>
      <w:r>
        <w:rPr>
          <w:rFonts w:hint="eastAsia" w:ascii="宋体" w:hAnsi="宋体" w:cs="宋体"/>
          <w:color w:val="auto"/>
          <w:highlight w:val="none"/>
        </w:rPr>
        <w:t>5.3 隐蔽工程检查</w:t>
      </w:r>
      <w:bookmarkEnd w:id="479"/>
      <w:bookmarkEnd w:id="480"/>
    </w:p>
    <w:p w14:paraId="4292A28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5.3.2承包人提前通知监理人隐蔽工程检查的期限的约定：</w:t>
      </w:r>
      <w:r>
        <w:rPr>
          <w:rFonts w:hint="eastAsia" w:ascii="宋体" w:hAnsi="宋体" w:cs="宋体"/>
          <w:bCs/>
          <w:color w:val="auto"/>
          <w:highlight w:val="none"/>
          <w:u w:val="single"/>
        </w:rPr>
        <w:t>工程隐蔽或中间验收前24小时以书面形式通知发包人和监理工程师验收的内容、时间、地点，承包人准备验收记录单（印制的专用表格）由各方签字。验收合格后，承包人可进行隐蔽和继续施工；验收不合格，双方商订时限内修改后按上述程序重新验收</w:t>
      </w:r>
      <w:r>
        <w:rPr>
          <w:rFonts w:hint="eastAsia" w:ascii="宋体" w:hAnsi="宋体" w:cs="宋体"/>
          <w:color w:val="auto"/>
          <w:highlight w:val="none"/>
        </w:rPr>
        <w:t>。</w:t>
      </w:r>
    </w:p>
    <w:p w14:paraId="24A0644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24</w:t>
      </w:r>
      <w:r>
        <w:rPr>
          <w:rFonts w:hint="eastAsia" w:ascii="宋体" w:hAnsi="宋体" w:cs="宋体"/>
          <w:color w:val="auto"/>
          <w:highlight w:val="none"/>
        </w:rPr>
        <w:t>小时提交书面延期要求。</w:t>
      </w:r>
    </w:p>
    <w:p w14:paraId="75021B2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48</w:t>
      </w:r>
      <w:r>
        <w:rPr>
          <w:rFonts w:hint="eastAsia" w:ascii="宋体" w:hAnsi="宋体" w:cs="宋体"/>
          <w:color w:val="auto"/>
          <w:highlight w:val="none"/>
        </w:rPr>
        <w:t>小时。</w:t>
      </w:r>
    </w:p>
    <w:p w14:paraId="0FA13994">
      <w:pPr>
        <w:pStyle w:val="393"/>
        <w:snapToGrid w:val="0"/>
        <w:spacing w:line="360" w:lineRule="auto"/>
        <w:jc w:val="left"/>
        <w:rPr>
          <w:rFonts w:ascii="宋体" w:hAnsi="宋体" w:cs="宋体"/>
          <w:color w:val="auto"/>
          <w:highlight w:val="none"/>
        </w:rPr>
      </w:pPr>
      <w:bookmarkStart w:id="481" w:name="_Toc351203638"/>
      <w:r>
        <w:rPr>
          <w:rFonts w:hint="eastAsia" w:ascii="宋体" w:hAnsi="宋体" w:cs="宋体"/>
          <w:color w:val="auto"/>
          <w:highlight w:val="none"/>
        </w:rPr>
        <w:t>6.安全文明施工与环境保护</w:t>
      </w:r>
      <w:bookmarkEnd w:id="481"/>
    </w:p>
    <w:p w14:paraId="11428E3D">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6.1安全文明施工</w:t>
      </w:r>
    </w:p>
    <w:p w14:paraId="13B14AD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r>
        <w:rPr>
          <w:rFonts w:hint="eastAsia" w:ascii="宋体" w:hAnsi="宋体" w:cs="宋体"/>
          <w:color w:val="auto"/>
          <w:highlight w:val="none"/>
        </w:rPr>
        <w:t>。</w:t>
      </w:r>
    </w:p>
    <w:p w14:paraId="60E482D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highlight w:val="none"/>
        </w:rPr>
        <w:t>。</w:t>
      </w:r>
    </w:p>
    <w:p w14:paraId="26F4C46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关于编制施工场地治安管理计划的约定：</w:t>
      </w:r>
      <w:bookmarkStart w:id="482" w:name="OLE_LINK27"/>
      <w:r>
        <w:rPr>
          <w:rFonts w:hint="eastAsia" w:ascii="宋体" w:hAnsi="宋体" w:cs="宋体"/>
          <w:color w:val="auto"/>
          <w:highlight w:val="none"/>
          <w:u w:val="single"/>
        </w:rPr>
        <w:t>按通用条款，无特殊约定</w:t>
      </w:r>
      <w:bookmarkEnd w:id="482"/>
      <w:r>
        <w:rPr>
          <w:rFonts w:hint="eastAsia" w:ascii="宋体" w:hAnsi="宋体" w:cs="宋体"/>
          <w:color w:val="auto"/>
          <w:highlight w:val="none"/>
        </w:rPr>
        <w:t>。</w:t>
      </w:r>
    </w:p>
    <w:p w14:paraId="2FCD35D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6.1.5 文明施工</w:t>
      </w:r>
    </w:p>
    <w:p w14:paraId="6A215D6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合同当事人对文明施工的要求：</w:t>
      </w:r>
      <w:r>
        <w:rPr>
          <w:rFonts w:hint="eastAsia" w:ascii="宋体" w:hAnsi="宋体" w:cs="宋体"/>
          <w:color w:val="auto"/>
          <w:highlight w:val="none"/>
          <w:u w:val="single"/>
        </w:rPr>
        <w:t>开工前提供</w:t>
      </w:r>
      <w:r>
        <w:rPr>
          <w:rFonts w:hint="eastAsia" w:ascii="宋体" w:hAnsi="宋体" w:cs="宋体"/>
          <w:color w:val="auto"/>
          <w:highlight w:val="none"/>
        </w:rPr>
        <w:t>。</w:t>
      </w:r>
    </w:p>
    <w:p w14:paraId="5E675B22">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6.1.6 关于安全文明施工费支付比例和支付期限的约定：</w:t>
      </w:r>
      <w:r>
        <w:rPr>
          <w:rFonts w:hint="eastAsia" w:ascii="宋体" w:hAnsi="宋体" w:cs="宋体"/>
          <w:color w:val="auto"/>
          <w:highlight w:val="none"/>
          <w:u w:val="single"/>
        </w:rPr>
        <w:t>（1）本合同价款已包含安全文明施工费（中标后填写）  元。</w:t>
      </w:r>
    </w:p>
    <w:p w14:paraId="3F8875C2">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（2）使用要求：专款专用。具体按《广西壮族自治区建设工程安全文明施工费使用管理细则》（桂建质〔2015〕16号）和桂林市相关规定执行。</w:t>
      </w:r>
    </w:p>
    <w:p w14:paraId="47C9752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（3）支付约定：按文件规定的要求支付。</w:t>
      </w:r>
    </w:p>
    <w:bookmarkEnd w:id="472"/>
    <w:bookmarkEnd w:id="473"/>
    <w:bookmarkEnd w:id="474"/>
    <w:bookmarkEnd w:id="475"/>
    <w:bookmarkEnd w:id="476"/>
    <w:bookmarkEnd w:id="477"/>
    <w:bookmarkEnd w:id="478"/>
    <w:p w14:paraId="4095DF2D">
      <w:pPr>
        <w:pStyle w:val="393"/>
        <w:snapToGrid w:val="0"/>
        <w:spacing w:line="360" w:lineRule="auto"/>
        <w:jc w:val="left"/>
        <w:rPr>
          <w:rFonts w:ascii="宋体" w:hAnsi="宋体" w:cs="宋体"/>
          <w:color w:val="auto"/>
          <w:highlight w:val="none"/>
        </w:rPr>
      </w:pPr>
      <w:bookmarkStart w:id="483" w:name="_Toc351203639"/>
      <w:r>
        <w:rPr>
          <w:rFonts w:hint="eastAsia" w:ascii="宋体" w:hAnsi="宋体" w:cs="宋体"/>
          <w:color w:val="auto"/>
          <w:highlight w:val="none"/>
        </w:rPr>
        <w:t>6.3环境保护</w:t>
      </w:r>
    </w:p>
    <w:p w14:paraId="170E1CE0">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因施工需要，经发包人批准，由承包人办理有关施工场地交通、环卫和施工噪音管理等手续，费用由承包人负责。</w:t>
      </w:r>
    </w:p>
    <w:p w14:paraId="77072105">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经过城市道路的施工车辆，必须按交警、城管、运输等部门相关规定执行。由于施工车辆造成的道路、环境等污染，其责任和费用均由承包人承担。</w:t>
      </w:r>
    </w:p>
    <w:p w14:paraId="5B31EA7C">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6.3承包人未按规定开展安全文明施工与环境保护，在发包方书面通知3天内没有改正完毕的，必须向发包人交纳违约金2000元/次（人民币），并扣减相关的安全文明施工与环境保护措施费。</w:t>
      </w:r>
    </w:p>
    <w:p w14:paraId="0314511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 工期和进度</w:t>
      </w:r>
      <w:bookmarkEnd w:id="483"/>
    </w:p>
    <w:p w14:paraId="26E8730F">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7.1 施工组织设计</w:t>
      </w:r>
    </w:p>
    <w:p w14:paraId="2F3C97CC">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7.1.1 合</w:t>
      </w:r>
      <w:r>
        <w:rPr>
          <w:rFonts w:hint="eastAsia" w:ascii="宋体" w:hAnsi="宋体" w:cs="宋体"/>
          <w:color w:val="auto"/>
          <w:kern w:val="0"/>
          <w:highlight w:val="none"/>
        </w:rPr>
        <w:t>同当事人约定的施工组织设计应包括的其他内容：</w:t>
      </w:r>
      <w:bookmarkStart w:id="484" w:name="OLE_LINK29"/>
      <w:r>
        <w:rPr>
          <w:rFonts w:hint="eastAsia" w:ascii="宋体" w:hAnsi="宋体" w:cs="宋体"/>
          <w:color w:val="auto"/>
          <w:highlight w:val="none"/>
          <w:u w:val="single"/>
        </w:rPr>
        <w:t>按通用条款，无特殊约定</w:t>
      </w:r>
      <w:bookmarkEnd w:id="484"/>
      <w:r>
        <w:rPr>
          <w:rFonts w:hint="eastAsia" w:ascii="宋体" w:hAnsi="宋体" w:cs="宋体"/>
          <w:color w:val="auto"/>
          <w:highlight w:val="none"/>
        </w:rPr>
        <w:t>。</w:t>
      </w:r>
    </w:p>
    <w:p w14:paraId="5D41A42A">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512D0E92">
      <w:pPr>
        <w:pStyle w:val="393"/>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承包人提交详细施工组织设计的期限的约定：</w:t>
      </w:r>
      <w:r>
        <w:rPr>
          <w:rFonts w:hint="eastAsia" w:ascii="宋体" w:hAnsi="宋体" w:cs="宋体"/>
          <w:color w:val="auto"/>
          <w:highlight w:val="none"/>
          <w:u w:val="single"/>
        </w:rPr>
        <w:t>开工前7天</w:t>
      </w:r>
      <w:r>
        <w:rPr>
          <w:rFonts w:hint="eastAsia" w:ascii="宋体" w:hAnsi="宋体" w:cs="宋体"/>
          <w:color w:val="auto"/>
          <w:highlight w:val="none"/>
        </w:rPr>
        <w:t>。</w:t>
      </w:r>
    </w:p>
    <w:p w14:paraId="0A2CC67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收到施工组织设计后7天内</w:t>
      </w:r>
      <w:r>
        <w:rPr>
          <w:rFonts w:hint="eastAsia" w:ascii="宋体" w:hAnsi="宋体" w:cs="宋体"/>
          <w:color w:val="auto"/>
          <w:highlight w:val="none"/>
        </w:rPr>
        <w:t>。</w:t>
      </w:r>
    </w:p>
    <w:p w14:paraId="33B66CA3">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485" w:name="_Toc303539123"/>
      <w:bookmarkStart w:id="486" w:name="_Toc297123514"/>
      <w:bookmarkStart w:id="487" w:name="_Toc297216173"/>
      <w:bookmarkStart w:id="488" w:name="_Toc300934966"/>
      <w:bookmarkStart w:id="489" w:name="_Toc304295541"/>
      <w:bookmarkStart w:id="490" w:name="_Toc312678005"/>
      <w:bookmarkStart w:id="491" w:name="_Toc312677479"/>
      <w:r>
        <w:rPr>
          <w:rFonts w:hint="eastAsia" w:ascii="宋体" w:hAnsi="宋体" w:cs="宋体"/>
          <w:color w:val="auto"/>
          <w:highlight w:val="none"/>
        </w:rPr>
        <w:t>.2 施工进度计划</w:t>
      </w:r>
    </w:p>
    <w:p w14:paraId="7423E74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7.2.2 施工进度计划的修订</w:t>
      </w:r>
    </w:p>
    <w:p w14:paraId="69A5FA5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收到修订的施工进度计划后7天内</w:t>
      </w:r>
      <w:r>
        <w:rPr>
          <w:rFonts w:hint="eastAsia" w:ascii="宋体" w:hAnsi="宋体" w:cs="宋体"/>
          <w:color w:val="auto"/>
          <w:highlight w:val="none"/>
        </w:rPr>
        <w:t>。</w:t>
      </w:r>
    </w:p>
    <w:p w14:paraId="0B2043AA">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7.3 开工</w:t>
      </w:r>
    </w:p>
    <w:p w14:paraId="6861D2A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7.3.1 开工准备</w:t>
      </w:r>
    </w:p>
    <w:p w14:paraId="400AA9FA">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关于承包人提交</w:t>
      </w:r>
      <w:r>
        <w:rPr>
          <w:rFonts w:hint="eastAsia" w:ascii="宋体" w:hAnsi="宋体" w:cs="宋体"/>
          <w:color w:val="auto"/>
          <w:kern w:val="0"/>
          <w:highlight w:val="none"/>
        </w:rPr>
        <w:t>工程开工报审表的期限：</w:t>
      </w:r>
      <w:r>
        <w:rPr>
          <w:rFonts w:hint="eastAsia" w:ascii="宋体" w:hAnsi="宋体" w:cs="宋体"/>
          <w:color w:val="auto"/>
          <w:highlight w:val="none"/>
          <w:u w:val="single"/>
        </w:rPr>
        <w:t>开工前7天</w:t>
      </w:r>
      <w:r>
        <w:rPr>
          <w:rFonts w:hint="eastAsia" w:ascii="宋体" w:hAnsi="宋体" w:cs="宋体"/>
          <w:color w:val="auto"/>
          <w:highlight w:val="none"/>
        </w:rPr>
        <w:t>。</w:t>
      </w:r>
    </w:p>
    <w:p w14:paraId="07AAFBE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63489AF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56EC804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7.3.2开工通知</w:t>
      </w:r>
    </w:p>
    <w:p w14:paraId="6F7C7E4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60</w:t>
      </w:r>
      <w:r>
        <w:rPr>
          <w:rFonts w:hint="eastAsia" w:ascii="宋体" w:hAnsi="宋体" w:cs="宋体"/>
          <w:color w:val="auto"/>
          <w:highlight w:val="none"/>
        </w:rPr>
        <w:t>天内发出开工通知的，承包人有权提出价格调整要求，或者解除合同。</w:t>
      </w:r>
    </w:p>
    <w:bookmarkEnd w:id="485"/>
    <w:bookmarkEnd w:id="486"/>
    <w:bookmarkEnd w:id="487"/>
    <w:bookmarkEnd w:id="488"/>
    <w:bookmarkEnd w:id="489"/>
    <w:bookmarkEnd w:id="490"/>
    <w:bookmarkEnd w:id="491"/>
    <w:p w14:paraId="6833823A">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7.4 测量放线</w:t>
      </w:r>
    </w:p>
    <w:p w14:paraId="458BD4D5">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开工日期前7天</w:t>
      </w:r>
      <w:r>
        <w:rPr>
          <w:rFonts w:hint="eastAsia" w:ascii="宋体" w:hAnsi="宋体" w:cs="宋体"/>
          <w:color w:val="auto"/>
          <w:highlight w:val="none"/>
        </w:rPr>
        <w:t>。</w:t>
      </w:r>
    </w:p>
    <w:p w14:paraId="12CF4EA9">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492" w:name="_Toc297123516"/>
      <w:bookmarkStart w:id="493" w:name="_Toc312677484"/>
      <w:bookmarkStart w:id="494" w:name="_Toc304295546"/>
      <w:bookmarkStart w:id="495" w:name="_Toc297216175"/>
      <w:bookmarkStart w:id="496" w:name="_Toc300934968"/>
      <w:bookmarkStart w:id="497" w:name="_Toc303539125"/>
      <w:bookmarkStart w:id="498" w:name="_Toc312678010"/>
      <w:r>
        <w:rPr>
          <w:rFonts w:hint="eastAsia" w:ascii="宋体" w:hAnsi="宋体" w:cs="宋体"/>
          <w:color w:val="auto"/>
          <w:highlight w:val="none"/>
        </w:rPr>
        <w:t>.5 工期延误</w:t>
      </w:r>
    </w:p>
    <w:bookmarkEnd w:id="492"/>
    <w:bookmarkEnd w:id="493"/>
    <w:bookmarkEnd w:id="494"/>
    <w:bookmarkEnd w:id="495"/>
    <w:bookmarkEnd w:id="496"/>
    <w:bookmarkEnd w:id="497"/>
    <w:bookmarkEnd w:id="498"/>
    <w:p w14:paraId="0915943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7.5.1 因发包人原因导致工期延误</w:t>
      </w:r>
    </w:p>
    <w:p w14:paraId="53C3E0E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因发包人原因不能按照监理人发出的开工通知中载明的开工日期开工。除发包人原因延期开工外，发包人造成工期延误的其他原因还包括：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highlight w:val="none"/>
        </w:rPr>
        <w:t>。</w:t>
      </w:r>
    </w:p>
    <w:p w14:paraId="60254585">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499" w:name="_Toc312678012"/>
      <w:bookmarkStart w:id="500" w:name="_Toc318581169"/>
      <w:bookmarkStart w:id="501" w:name="_Toc312677486"/>
      <w:bookmarkStart w:id="502" w:name="_Toc304295548"/>
      <w:bookmarkStart w:id="503" w:name="_Toc297123518"/>
      <w:bookmarkStart w:id="504" w:name="_Toc297216177"/>
      <w:bookmarkStart w:id="505" w:name="_Toc300934970"/>
      <w:bookmarkStart w:id="506" w:name="_Toc303539127"/>
      <w:r>
        <w:rPr>
          <w:rFonts w:hint="eastAsia" w:ascii="宋体" w:hAnsi="宋体" w:cs="宋体"/>
          <w:color w:val="auto"/>
          <w:highlight w:val="none"/>
        </w:rPr>
        <w:t>.5.2 因承包人原因导致工期延误</w:t>
      </w:r>
    </w:p>
    <w:bookmarkEnd w:id="499"/>
    <w:bookmarkEnd w:id="500"/>
    <w:bookmarkEnd w:id="501"/>
    <w:p w14:paraId="589FE344">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因</w:t>
      </w:r>
      <w:bookmarkStart w:id="507" w:name="_Toc312678013"/>
      <w:bookmarkStart w:id="508" w:name="_Toc312677487"/>
      <w:bookmarkStart w:id="509" w:name="_Toc318581170"/>
      <w:r>
        <w:rPr>
          <w:rFonts w:hint="eastAsia" w:ascii="宋体" w:hAnsi="宋体" w:cs="宋体"/>
          <w:color w:val="auto"/>
          <w:highlight w:val="none"/>
        </w:rPr>
        <w:t>承包人原因造成工期延误，逾期竣工违约金的计算方法为：</w:t>
      </w:r>
      <w:r>
        <w:rPr>
          <w:rFonts w:hint="eastAsia" w:ascii="宋体" w:hAnsi="宋体" w:cs="宋体"/>
          <w:color w:val="auto"/>
          <w:highlight w:val="none"/>
          <w:u w:val="single"/>
        </w:rPr>
        <w:t>非7.5.1原因，承包人不能按合同约定的时间竣工，承包人应承担违约责任。应向发包人支付误期赔偿费（</w:t>
      </w:r>
      <w:r>
        <w:rPr>
          <w:rFonts w:hint="eastAsia" w:ascii="宋体" w:hAnsi="宋体" w:cs="宋体"/>
          <w:color w:val="auto"/>
          <w:szCs w:val="21"/>
          <w:highlight w:val="none"/>
          <w:u w:val="single"/>
        </w:rPr>
        <w:t>每拖延一天工期支付给发包人按</w:t>
      </w:r>
      <w:r>
        <w:rPr>
          <w:rFonts w:hint="eastAsia" w:ascii="宋体" w:hAnsi="宋体" w:cs="宋体"/>
          <w:color w:val="auto"/>
          <w:szCs w:val="21"/>
          <w:highlight w:val="none"/>
          <w:u w:val="single"/>
          <w:lang w:val="zh-CN"/>
        </w:rPr>
        <w:t>合同价</w:t>
      </w:r>
      <w:r>
        <w:rPr>
          <w:rFonts w:hint="eastAsia" w:ascii="宋体" w:hAnsi="宋体" w:cs="宋体"/>
          <w:color w:val="auto"/>
          <w:szCs w:val="21"/>
          <w:highlight w:val="none"/>
          <w:u w:val="single"/>
        </w:rPr>
        <w:t>的0.</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‰/天的违约金</w:t>
      </w:r>
      <w:r>
        <w:rPr>
          <w:rFonts w:hint="eastAsia" w:ascii="宋体" w:hAnsi="宋体" w:cs="宋体"/>
          <w:color w:val="auto"/>
          <w:highlight w:val="none"/>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s="宋体"/>
          <w:color w:val="auto"/>
          <w:highlight w:val="none"/>
        </w:rPr>
        <w:t>。</w:t>
      </w:r>
      <w:bookmarkEnd w:id="502"/>
      <w:bookmarkEnd w:id="503"/>
      <w:bookmarkEnd w:id="504"/>
      <w:bookmarkEnd w:id="505"/>
      <w:bookmarkEnd w:id="506"/>
      <w:bookmarkEnd w:id="507"/>
      <w:bookmarkEnd w:id="508"/>
    </w:p>
    <w:bookmarkEnd w:id="509"/>
    <w:p w14:paraId="7976C2B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因承包人原因造成工期延误，逾</w:t>
      </w:r>
      <w:bookmarkStart w:id="510" w:name="_Toc318581171"/>
      <w:bookmarkStart w:id="511" w:name="_Toc312678014"/>
      <w:r>
        <w:rPr>
          <w:rFonts w:hint="eastAsia" w:ascii="宋体" w:hAnsi="宋体" w:cs="宋体"/>
          <w:color w:val="auto"/>
          <w:highlight w:val="none"/>
        </w:rPr>
        <w:t>期竣工违约金的上限：</w:t>
      </w:r>
      <w:r>
        <w:rPr>
          <w:rFonts w:hint="eastAsia" w:ascii="宋体" w:hAnsi="宋体" w:cs="宋体"/>
          <w:color w:val="auto"/>
          <w:szCs w:val="21"/>
          <w:highlight w:val="none"/>
          <w:u w:val="single"/>
        </w:rPr>
        <w:t>合同价的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bookmarkEnd w:id="510"/>
    <w:bookmarkEnd w:id="511"/>
    <w:p w14:paraId="04C8418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512" w:name="_Toc312678015"/>
      <w:bookmarkStart w:id="513" w:name="_Toc303539128"/>
      <w:bookmarkStart w:id="514" w:name="_Toc297216178"/>
      <w:bookmarkStart w:id="515" w:name="_Toc297123519"/>
      <w:bookmarkStart w:id="516" w:name="_Toc304295549"/>
      <w:bookmarkStart w:id="517" w:name="_Toc300934971"/>
      <w:r>
        <w:rPr>
          <w:rFonts w:hint="eastAsia" w:ascii="宋体" w:hAnsi="宋体" w:cs="宋体"/>
          <w:color w:val="auto"/>
          <w:highlight w:val="none"/>
        </w:rPr>
        <w:t>.6 不</w:t>
      </w:r>
      <w:bookmarkEnd w:id="512"/>
      <w:bookmarkEnd w:id="513"/>
      <w:bookmarkEnd w:id="514"/>
      <w:bookmarkEnd w:id="515"/>
      <w:bookmarkEnd w:id="516"/>
      <w:bookmarkEnd w:id="517"/>
      <w:r>
        <w:rPr>
          <w:rFonts w:hint="eastAsia" w:ascii="宋体" w:hAnsi="宋体" w:cs="宋体"/>
          <w:color w:val="auto"/>
          <w:highlight w:val="none"/>
        </w:rPr>
        <w:t>利物质条件</w:t>
      </w:r>
    </w:p>
    <w:p w14:paraId="29FD8BE7">
      <w:pPr>
        <w:pStyle w:val="393"/>
        <w:snapToGrid w:val="0"/>
        <w:spacing w:line="360" w:lineRule="auto"/>
        <w:ind w:firstLine="420" w:firstLineChars="200"/>
        <w:jc w:val="left"/>
        <w:rPr>
          <w:rFonts w:ascii="宋体" w:hAnsi="宋体" w:cs="宋体"/>
          <w:color w:val="auto"/>
          <w:highlight w:val="none"/>
        </w:rPr>
      </w:pPr>
      <w:bookmarkStart w:id="518" w:name="_Toc300934972"/>
      <w:bookmarkStart w:id="519" w:name="_Toc303539129"/>
      <w:bookmarkStart w:id="520" w:name="_Toc297216179"/>
      <w:bookmarkStart w:id="521" w:name="_Toc297123520"/>
      <w:bookmarkStart w:id="522" w:name="_Toc318581172"/>
      <w:bookmarkStart w:id="523" w:name="_Toc312678016"/>
      <w:bookmarkStart w:id="524" w:name="_Toc304295550"/>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无</w:t>
      </w:r>
      <w:r>
        <w:rPr>
          <w:rFonts w:hint="eastAsia" w:ascii="宋体" w:hAnsi="宋体" w:cs="宋体"/>
          <w:color w:val="auto"/>
          <w:highlight w:val="none"/>
        </w:rPr>
        <w:t>。</w:t>
      </w:r>
    </w:p>
    <w:bookmarkEnd w:id="518"/>
    <w:bookmarkEnd w:id="519"/>
    <w:bookmarkEnd w:id="520"/>
    <w:bookmarkEnd w:id="521"/>
    <w:bookmarkEnd w:id="522"/>
    <w:bookmarkEnd w:id="523"/>
    <w:bookmarkEnd w:id="524"/>
    <w:p w14:paraId="2F7B9C2F">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7</w:t>
      </w:r>
      <w:bookmarkStart w:id="525" w:name="_Toc312678017"/>
      <w:bookmarkStart w:id="526" w:name="_Toc297216180"/>
      <w:bookmarkStart w:id="527" w:name="_Toc304295551"/>
      <w:bookmarkStart w:id="528" w:name="_Toc297123521"/>
      <w:bookmarkStart w:id="529" w:name="_Toc303539130"/>
      <w:bookmarkStart w:id="530" w:name="_Toc300934973"/>
      <w:r>
        <w:rPr>
          <w:rFonts w:hint="eastAsia" w:ascii="宋体" w:hAnsi="宋体" w:cs="宋体"/>
          <w:color w:val="auto"/>
          <w:highlight w:val="none"/>
        </w:rPr>
        <w:t>.7异常恶劣的气候条件</w:t>
      </w:r>
    </w:p>
    <w:bookmarkEnd w:id="525"/>
    <w:bookmarkEnd w:id="526"/>
    <w:bookmarkEnd w:id="527"/>
    <w:bookmarkEnd w:id="528"/>
    <w:bookmarkEnd w:id="529"/>
    <w:bookmarkEnd w:id="530"/>
    <w:p w14:paraId="52A858B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14:paraId="4ADA0F4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24小时内可能或者已经受热带气旋影响，沿海或者陆地平均风力达6级以上，或者阵风8级以上并可能持续</w:t>
      </w:r>
      <w:r>
        <w:rPr>
          <w:rFonts w:hint="eastAsia" w:ascii="宋体" w:hAnsi="宋体" w:cs="宋体"/>
          <w:color w:val="auto"/>
          <w:highlight w:val="none"/>
        </w:rPr>
        <w:t>。</w:t>
      </w:r>
    </w:p>
    <w:p w14:paraId="6B3C80F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3小时内降雨量达50毫米以上，或者12小时内降雨量达100毫米以上</w:t>
      </w:r>
      <w:r>
        <w:rPr>
          <w:rFonts w:hint="eastAsia" w:ascii="宋体" w:hAnsi="宋体" w:cs="宋体"/>
          <w:color w:val="auto"/>
          <w:highlight w:val="none"/>
        </w:rPr>
        <w:t>。</w:t>
      </w:r>
    </w:p>
    <w:p w14:paraId="7808538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12小时内可能受大风影响，平均风力可达8级以上，或者阵风9级以上;或者已经受大风影响，平均风力为8～9级，或者阵风9～10级并可能持续</w:t>
      </w:r>
      <w:r>
        <w:rPr>
          <w:rFonts w:hint="eastAsia" w:ascii="宋体" w:hAnsi="宋体" w:cs="宋体"/>
          <w:color w:val="auto"/>
          <w:highlight w:val="none"/>
        </w:rPr>
        <w:t>。</w:t>
      </w:r>
    </w:p>
    <w:p w14:paraId="004A813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u w:val="single"/>
        </w:rPr>
        <w:t>24小时内最高气温将升至40℃以上或最低气温低至0℃以下的。</w:t>
      </w:r>
    </w:p>
    <w:p w14:paraId="4A276206">
      <w:pPr>
        <w:pStyle w:val="393"/>
        <w:snapToGrid w:val="0"/>
        <w:spacing w:line="360" w:lineRule="auto"/>
        <w:jc w:val="left"/>
        <w:outlineLvl w:val="0"/>
        <w:rPr>
          <w:rFonts w:ascii="宋体" w:hAnsi="宋体" w:cs="宋体"/>
          <w:color w:val="auto"/>
          <w:highlight w:val="none"/>
        </w:rPr>
      </w:pPr>
      <w:bookmarkStart w:id="531" w:name="_Toc31971"/>
      <w:bookmarkStart w:id="532" w:name="_Toc28584"/>
      <w:r>
        <w:rPr>
          <w:rFonts w:hint="eastAsia" w:ascii="宋体" w:hAnsi="宋体" w:cs="宋体"/>
          <w:color w:val="auto"/>
          <w:highlight w:val="none"/>
        </w:rPr>
        <w:t>7.9 提前竣工的奖励</w:t>
      </w:r>
      <w:bookmarkEnd w:id="531"/>
      <w:bookmarkEnd w:id="532"/>
    </w:p>
    <w:p w14:paraId="10AEC96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7.9.2提前竣工的奖励：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BF111C">
      <w:pPr>
        <w:pStyle w:val="393"/>
        <w:snapToGrid w:val="0"/>
        <w:spacing w:line="360" w:lineRule="auto"/>
        <w:jc w:val="left"/>
        <w:rPr>
          <w:rFonts w:ascii="宋体" w:hAnsi="宋体" w:cs="宋体"/>
          <w:color w:val="auto"/>
          <w:highlight w:val="none"/>
        </w:rPr>
      </w:pPr>
      <w:bookmarkStart w:id="533" w:name="_Toc351203640"/>
      <w:r>
        <w:rPr>
          <w:rFonts w:hint="eastAsia" w:ascii="宋体" w:hAnsi="宋体" w:cs="宋体"/>
          <w:color w:val="auto"/>
          <w:highlight w:val="none"/>
        </w:rPr>
        <w:t>8. 材料与设备</w:t>
      </w:r>
      <w:bookmarkEnd w:id="533"/>
    </w:p>
    <w:p w14:paraId="69E841B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8.2承包人采购材料与工程设备</w:t>
      </w:r>
    </w:p>
    <w:p w14:paraId="447F83F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bookmarkEnd w:id="461"/>
    <w:bookmarkEnd w:id="462"/>
    <w:bookmarkEnd w:id="463"/>
    <w:bookmarkEnd w:id="464"/>
    <w:bookmarkEnd w:id="465"/>
    <w:bookmarkEnd w:id="466"/>
    <w:bookmarkEnd w:id="467"/>
    <w:bookmarkEnd w:id="468"/>
    <w:bookmarkEnd w:id="469"/>
    <w:bookmarkEnd w:id="470"/>
    <w:p w14:paraId="78A933D5">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8</w:t>
      </w:r>
      <w:bookmarkStart w:id="534" w:name="_Toc312678019"/>
      <w:bookmarkStart w:id="535" w:name="_Toc297048353"/>
      <w:bookmarkStart w:id="536" w:name="_Toc303539136"/>
      <w:bookmarkStart w:id="537" w:name="_Toc300934979"/>
      <w:bookmarkStart w:id="538" w:name="_Toc296944506"/>
      <w:bookmarkStart w:id="539" w:name="_Toc297120467"/>
      <w:bookmarkStart w:id="540" w:name="_Toc296503167"/>
      <w:bookmarkStart w:id="541" w:name="_Toc292559372"/>
      <w:bookmarkStart w:id="542" w:name="_Toc304295556"/>
      <w:bookmarkStart w:id="543" w:name="_Toc296347166"/>
      <w:bookmarkStart w:id="544" w:name="_Toc280868654"/>
      <w:bookmarkStart w:id="545" w:name="_Toc312677493"/>
      <w:bookmarkStart w:id="546" w:name="_Toc296890995"/>
      <w:bookmarkStart w:id="547" w:name="_Toc297216186"/>
      <w:bookmarkStart w:id="548" w:name="_Toc297123527"/>
      <w:bookmarkStart w:id="549" w:name="_Toc292559877"/>
      <w:bookmarkStart w:id="550" w:name="_Toc296346668"/>
      <w:bookmarkStart w:id="551" w:name="_Toc296891207"/>
      <w:bookmarkStart w:id="552" w:name="_Toc267251424"/>
      <w:bookmarkStart w:id="553" w:name="_Toc280868656"/>
      <w:bookmarkStart w:id="554" w:name="_Toc280868655"/>
      <w:r>
        <w:rPr>
          <w:rFonts w:hint="eastAsia" w:ascii="宋体" w:hAnsi="宋体" w:cs="宋体"/>
          <w:color w:val="auto"/>
          <w:highlight w:val="none"/>
        </w:rPr>
        <w:t>.4材料与工程设备的保管与使用</w:t>
      </w:r>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2E27423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w:t>
      </w:r>
      <w:bookmarkStart w:id="555" w:name="_Toc292559878"/>
      <w:bookmarkStart w:id="556" w:name="_Toc292559373"/>
      <w:bookmarkStart w:id="557" w:name="_Toc297048354"/>
      <w:bookmarkStart w:id="558" w:name="_Toc300934980"/>
      <w:bookmarkStart w:id="559" w:name="_Toc297120468"/>
      <w:bookmarkStart w:id="560" w:name="_Toc296891208"/>
      <w:bookmarkStart w:id="561" w:name="_Toc297123528"/>
      <w:bookmarkStart w:id="562" w:name="_Toc296944507"/>
      <w:bookmarkStart w:id="563" w:name="_Toc296346669"/>
      <w:bookmarkStart w:id="564" w:name="_Toc312677494"/>
      <w:bookmarkStart w:id="565" w:name="_Toc296347167"/>
      <w:bookmarkStart w:id="566" w:name="_Toc296890996"/>
      <w:bookmarkStart w:id="567" w:name="_Toc296503168"/>
      <w:bookmarkStart w:id="568" w:name="_Toc312678020"/>
      <w:bookmarkStart w:id="569" w:name="_Toc318581173"/>
      <w:bookmarkStart w:id="570" w:name="_Toc303539137"/>
      <w:bookmarkStart w:id="571" w:name="_Toc297216187"/>
      <w:bookmarkStart w:id="572" w:name="_Toc304295557"/>
      <w:r>
        <w:rPr>
          <w:rFonts w:hint="eastAsia" w:ascii="宋体" w:hAnsi="宋体" w:cs="宋体"/>
          <w:color w:val="auto"/>
          <w:highlight w:val="none"/>
        </w:rPr>
        <w:t>.4.1发包人供应的材料设备的保管费用的承担：</w:t>
      </w:r>
      <w:r>
        <w:rPr>
          <w:rFonts w:hint="eastAsia" w:ascii="宋体" w:hAnsi="宋体" w:cs="宋体"/>
          <w:color w:val="auto"/>
          <w:highlight w:val="none"/>
          <w:u w:val="single"/>
        </w:rPr>
        <w:t>由承包人承担</w:t>
      </w:r>
      <w:r>
        <w:rPr>
          <w:rFonts w:hint="eastAsia" w:ascii="宋体" w:hAnsi="宋体" w:cs="宋体"/>
          <w:color w:val="auto"/>
          <w:highlight w:val="none"/>
        </w:rPr>
        <w:t>。</w:t>
      </w:r>
      <w:bookmarkEnd w:id="555"/>
      <w:bookmarkEnd w:id="556"/>
    </w:p>
    <w:p w14:paraId="012575D2">
      <w:pPr>
        <w:pStyle w:val="393"/>
        <w:snapToGrid w:val="0"/>
        <w:spacing w:line="360" w:lineRule="auto"/>
        <w:jc w:val="left"/>
        <w:outlineLvl w:val="0"/>
        <w:rPr>
          <w:rFonts w:ascii="宋体" w:hAnsi="宋体" w:cs="宋体"/>
          <w:color w:val="auto"/>
          <w:highlight w:val="none"/>
        </w:rPr>
      </w:pPr>
      <w:bookmarkStart w:id="573" w:name="_Toc1459"/>
      <w:bookmarkStart w:id="574" w:name="_Toc762"/>
      <w:r>
        <w:rPr>
          <w:rFonts w:hint="eastAsia" w:ascii="宋体" w:hAnsi="宋体" w:cs="宋体"/>
          <w:color w:val="auto"/>
          <w:highlight w:val="none"/>
        </w:rPr>
        <w:t>8.6 样品</w:t>
      </w:r>
      <w:bookmarkEnd w:id="573"/>
      <w:bookmarkEnd w:id="574"/>
    </w:p>
    <w:p w14:paraId="18FFFB6D">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8.6.1 样品的报送与封存</w:t>
      </w:r>
    </w:p>
    <w:p w14:paraId="18E9A316">
      <w:pPr>
        <w:pStyle w:val="393"/>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主要材料涉及品种、款式、颜色等方面内容的，承包人应在计划采购前按照设计（或发包人）要求提交准备合格的材料样品发送发包人选定。经发包人确认后方能采购，所需费用由承包人承担。承包人未经发包人确认擅自采购的，按不合格材料处理，发包人不仅有权不予计量计价，且有权要求承包人限期更换，因此导致的工期延误和损失由承包人承担。</w:t>
      </w:r>
    </w:p>
    <w:p w14:paraId="3DA02F9D">
      <w:pPr>
        <w:pStyle w:val="393"/>
        <w:snapToGrid w:val="0"/>
        <w:spacing w:line="360" w:lineRule="auto"/>
        <w:jc w:val="left"/>
        <w:outlineLvl w:val="0"/>
        <w:rPr>
          <w:rFonts w:ascii="宋体" w:hAnsi="宋体" w:cs="宋体"/>
          <w:color w:val="auto"/>
          <w:highlight w:val="none"/>
        </w:rPr>
      </w:pPr>
      <w:bookmarkStart w:id="575" w:name="_Toc31582"/>
      <w:bookmarkStart w:id="576" w:name="_Toc15207"/>
      <w:r>
        <w:rPr>
          <w:rFonts w:hint="eastAsia" w:ascii="宋体" w:hAnsi="宋体" w:cs="宋体"/>
          <w:color w:val="auto"/>
          <w:highlight w:val="none"/>
        </w:rPr>
        <w:t>8.8 施工设备和临时设施</w:t>
      </w:r>
      <w:bookmarkEnd w:id="575"/>
      <w:bookmarkEnd w:id="576"/>
    </w:p>
    <w:p w14:paraId="629AC315">
      <w:pPr>
        <w:pStyle w:val="393"/>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8.8.1 承包人提供的施工设备和临时设施</w:t>
      </w:r>
    </w:p>
    <w:p w14:paraId="38BDBE29">
      <w:pPr>
        <w:pStyle w:val="393"/>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3。</w:t>
      </w:r>
    </w:p>
    <w:p w14:paraId="27E55D01">
      <w:pPr>
        <w:pStyle w:val="393"/>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关于修建临时设施费用承担的约定：</w:t>
      </w:r>
      <w:r>
        <w:rPr>
          <w:rFonts w:hint="eastAsia" w:ascii="宋体" w:hAnsi="宋体" w:cs="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5D9AC9ED">
      <w:pPr>
        <w:pStyle w:val="393"/>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②承包人负责合同实施期间其合同段内临时交通道路（含场内外连接公共交通道路）和交通设施的修建、维修、养护和交通管理工作，并承担一切费用。</w:t>
      </w:r>
    </w:p>
    <w:p w14:paraId="36B63167">
      <w:pPr>
        <w:pStyle w:val="393"/>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5BA4D16D">
      <w:pPr>
        <w:pStyle w:val="393"/>
        <w:snapToGrid w:val="0"/>
        <w:spacing w:line="360" w:lineRule="auto"/>
        <w:jc w:val="left"/>
        <w:rPr>
          <w:rFonts w:ascii="宋体" w:hAnsi="宋体" w:cs="宋体"/>
          <w:color w:val="auto"/>
          <w:highlight w:val="none"/>
        </w:rPr>
      </w:pPr>
      <w:bookmarkStart w:id="577" w:name="_Toc351203641"/>
      <w:r>
        <w:rPr>
          <w:rFonts w:hint="eastAsia" w:ascii="宋体" w:hAnsi="宋体" w:cs="宋体"/>
          <w:color w:val="auto"/>
          <w:highlight w:val="none"/>
        </w:rPr>
        <w:t>9</w:t>
      </w:r>
      <w:bookmarkEnd w:id="552"/>
      <w:bookmarkEnd w:id="553"/>
      <w:bookmarkEnd w:id="554"/>
      <w:bookmarkStart w:id="578" w:name="_Toc312678021"/>
      <w:bookmarkStart w:id="579" w:name="_Toc297123533"/>
      <w:bookmarkStart w:id="580" w:name="_Toc297216192"/>
      <w:bookmarkStart w:id="581" w:name="_Toc304295559"/>
      <w:bookmarkStart w:id="582" w:name="_Toc312677495"/>
      <w:bookmarkStart w:id="583" w:name="_Toc303539139"/>
      <w:bookmarkStart w:id="584" w:name="_Toc300934982"/>
      <w:bookmarkStart w:id="585" w:name="_Toc292559883"/>
      <w:bookmarkStart w:id="586" w:name="_Toc267251427"/>
      <w:bookmarkStart w:id="587" w:name="_Toc296944512"/>
      <w:bookmarkStart w:id="588" w:name="_Toc292559378"/>
      <w:bookmarkStart w:id="589" w:name="_Toc297120473"/>
      <w:bookmarkStart w:id="590" w:name="_Toc296891001"/>
      <w:bookmarkStart w:id="591" w:name="_Toc296891213"/>
      <w:bookmarkStart w:id="592" w:name="_Toc297048359"/>
      <w:bookmarkStart w:id="593" w:name="_Toc296503173"/>
      <w:bookmarkStart w:id="594" w:name="_Toc296347172"/>
      <w:bookmarkStart w:id="595" w:name="_Toc296346674"/>
      <w:bookmarkStart w:id="596" w:name="_Toc267251428"/>
      <w:r>
        <w:rPr>
          <w:rFonts w:hint="eastAsia" w:ascii="宋体" w:hAnsi="宋体" w:cs="宋体"/>
          <w:color w:val="auto"/>
          <w:highlight w:val="none"/>
        </w:rPr>
        <w:t>. 试验与检验</w:t>
      </w:r>
      <w:bookmarkEnd w:id="577"/>
    </w:p>
    <w:bookmarkEnd w:id="578"/>
    <w:bookmarkEnd w:id="579"/>
    <w:bookmarkEnd w:id="580"/>
    <w:bookmarkEnd w:id="581"/>
    <w:bookmarkEnd w:id="582"/>
    <w:bookmarkEnd w:id="583"/>
    <w:bookmarkEnd w:id="584"/>
    <w:p w14:paraId="6BA1EF4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9</w:t>
      </w:r>
      <w:bookmarkStart w:id="597" w:name="_Toc303539140"/>
      <w:bookmarkStart w:id="598" w:name="_Toc297123534"/>
      <w:bookmarkStart w:id="599" w:name="_Toc312677496"/>
      <w:bookmarkStart w:id="600" w:name="_Toc297216193"/>
      <w:bookmarkStart w:id="601" w:name="_Toc300934983"/>
      <w:bookmarkStart w:id="602" w:name="_Toc304295560"/>
      <w:bookmarkStart w:id="603" w:name="_Toc312678022"/>
      <w:r>
        <w:rPr>
          <w:rFonts w:hint="eastAsia" w:ascii="宋体" w:hAnsi="宋体" w:cs="宋体"/>
          <w:color w:val="auto"/>
          <w:highlight w:val="none"/>
        </w:rPr>
        <w:t>.1试验设备与试验人员</w:t>
      </w:r>
    </w:p>
    <w:bookmarkEnd w:id="597"/>
    <w:bookmarkEnd w:id="598"/>
    <w:bookmarkEnd w:id="599"/>
    <w:bookmarkEnd w:id="600"/>
    <w:bookmarkEnd w:id="601"/>
    <w:bookmarkEnd w:id="602"/>
    <w:bookmarkEnd w:id="603"/>
    <w:p w14:paraId="4889D03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w:t>
      </w:r>
      <w:bookmarkStart w:id="604" w:name="_Toc312678023"/>
      <w:bookmarkStart w:id="605" w:name="_Toc304295561"/>
      <w:bookmarkStart w:id="606" w:name="_Toc303539141"/>
      <w:bookmarkStart w:id="607" w:name="_Toc297123535"/>
      <w:bookmarkStart w:id="608" w:name="_Toc312677497"/>
      <w:bookmarkStart w:id="609" w:name="_Toc300934984"/>
      <w:bookmarkStart w:id="610" w:name="_Toc297216194"/>
      <w:bookmarkStart w:id="611" w:name="_Toc318581174"/>
      <w:r>
        <w:rPr>
          <w:rFonts w:hint="eastAsia" w:ascii="宋体" w:hAnsi="宋体" w:cs="宋体"/>
          <w:color w:val="auto"/>
          <w:highlight w:val="none"/>
        </w:rPr>
        <w:t>.1.2 试验设备</w:t>
      </w:r>
    </w:p>
    <w:p w14:paraId="57A8FFB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施工现场需要配置的试验场所：</w:t>
      </w:r>
      <w:bookmarkEnd w:id="604"/>
      <w:bookmarkEnd w:id="605"/>
      <w:bookmarkEnd w:id="606"/>
      <w:bookmarkEnd w:id="607"/>
      <w:bookmarkEnd w:id="608"/>
      <w:bookmarkEnd w:id="609"/>
      <w:bookmarkEnd w:id="610"/>
      <w:bookmarkStart w:id="612" w:name="_Toc303539142"/>
      <w:bookmarkStart w:id="613" w:name="_Toc304295562"/>
      <w:bookmarkStart w:id="614" w:name="_Toc300934985"/>
      <w:bookmarkStart w:id="615" w:name="_Toc297216195"/>
      <w:bookmarkStart w:id="616" w:name="_Toc312677498"/>
      <w:bookmarkStart w:id="617" w:name="_Toc297123536"/>
      <w:bookmarkStart w:id="618" w:name="_Toc312678024"/>
      <w:r>
        <w:rPr>
          <w:rFonts w:hint="eastAsia" w:ascii="宋体" w:hAnsi="宋体" w:cs="宋体"/>
          <w:color w:val="auto"/>
          <w:highlight w:val="none"/>
          <w:u w:val="single"/>
        </w:rPr>
        <w:t>按相关规定执行</w:t>
      </w:r>
      <w:r>
        <w:rPr>
          <w:rFonts w:hint="eastAsia" w:ascii="宋体" w:hAnsi="宋体" w:cs="宋体"/>
          <w:color w:val="auto"/>
          <w:highlight w:val="none"/>
        </w:rPr>
        <w:t xml:space="preserve">。 </w:t>
      </w:r>
    </w:p>
    <w:p w14:paraId="121213D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按相关规定执行</w:t>
      </w:r>
      <w:r>
        <w:rPr>
          <w:rFonts w:hint="eastAsia" w:ascii="宋体" w:hAnsi="宋体" w:cs="宋体"/>
          <w:color w:val="auto"/>
          <w:highlight w:val="none"/>
        </w:rPr>
        <w:t>。</w:t>
      </w:r>
    </w:p>
    <w:p w14:paraId="4AF55D2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按相关规定执行</w:t>
      </w:r>
      <w:r>
        <w:rPr>
          <w:rFonts w:hint="eastAsia" w:ascii="宋体" w:hAnsi="宋体" w:cs="宋体"/>
          <w:color w:val="auto"/>
          <w:highlight w:val="none"/>
        </w:rPr>
        <w:t>。</w:t>
      </w:r>
    </w:p>
    <w:p w14:paraId="6BABD907">
      <w:pPr>
        <w:pStyle w:val="393"/>
        <w:snapToGrid w:val="0"/>
        <w:spacing w:line="360" w:lineRule="auto"/>
        <w:jc w:val="left"/>
        <w:outlineLvl w:val="0"/>
        <w:rPr>
          <w:rFonts w:ascii="宋体" w:hAnsi="宋体" w:cs="宋体"/>
          <w:color w:val="auto"/>
          <w:highlight w:val="none"/>
        </w:rPr>
      </w:pPr>
      <w:bookmarkStart w:id="619" w:name="_Toc14500"/>
      <w:bookmarkStart w:id="620" w:name="_Toc19006"/>
      <w:r>
        <w:rPr>
          <w:rFonts w:hint="eastAsia" w:ascii="宋体" w:hAnsi="宋体" w:cs="宋体"/>
          <w:color w:val="auto"/>
          <w:highlight w:val="none"/>
        </w:rPr>
        <w:t>9.4 现场工艺试验</w:t>
      </w:r>
      <w:bookmarkEnd w:id="619"/>
      <w:bookmarkEnd w:id="620"/>
      <w:r>
        <w:rPr>
          <w:rFonts w:hint="eastAsia" w:ascii="宋体" w:hAnsi="宋体" w:cs="宋体"/>
          <w:color w:val="auto"/>
          <w:highlight w:val="none"/>
        </w:rPr>
        <w:t xml:space="preserve"> </w:t>
      </w:r>
    </w:p>
    <w:p w14:paraId="290760D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11"/>
    <w:bookmarkEnd w:id="612"/>
    <w:bookmarkEnd w:id="613"/>
    <w:bookmarkEnd w:id="614"/>
    <w:bookmarkEnd w:id="615"/>
    <w:bookmarkEnd w:id="616"/>
    <w:bookmarkEnd w:id="617"/>
    <w:bookmarkEnd w:id="618"/>
    <w:p w14:paraId="048361C8">
      <w:pPr>
        <w:pStyle w:val="497"/>
        <w:snapToGrid w:val="0"/>
        <w:jc w:val="left"/>
        <w:rPr>
          <w:rFonts w:ascii="宋体" w:hAnsi="宋体" w:cs="宋体"/>
          <w:b w:val="0"/>
          <w:color w:val="auto"/>
          <w:sz w:val="21"/>
          <w:szCs w:val="21"/>
          <w:highlight w:val="none"/>
        </w:rPr>
      </w:pPr>
      <w:bookmarkStart w:id="621" w:name="_Toc351203642"/>
      <w:r>
        <w:rPr>
          <w:rFonts w:hint="eastAsia" w:ascii="宋体" w:hAnsi="宋体" w:cs="宋体"/>
          <w:b w:val="0"/>
          <w:color w:val="auto"/>
          <w:sz w:val="21"/>
          <w:szCs w:val="21"/>
          <w:highlight w:val="none"/>
        </w:rPr>
        <w:t>1</w:t>
      </w:r>
      <w:bookmarkEnd w:id="585"/>
      <w:bookmarkEnd w:id="586"/>
      <w:bookmarkEnd w:id="587"/>
      <w:bookmarkEnd w:id="588"/>
      <w:bookmarkEnd w:id="589"/>
      <w:bookmarkEnd w:id="590"/>
      <w:bookmarkEnd w:id="591"/>
      <w:bookmarkEnd w:id="592"/>
      <w:bookmarkEnd w:id="593"/>
      <w:bookmarkEnd w:id="594"/>
      <w:bookmarkEnd w:id="595"/>
      <w:bookmarkEnd w:id="596"/>
      <w:bookmarkStart w:id="622" w:name="_Toc296891233"/>
      <w:bookmarkStart w:id="623" w:name="_Toc304295566"/>
      <w:bookmarkStart w:id="624" w:name="_Toc303539146"/>
      <w:bookmarkStart w:id="625" w:name="_Toc296891021"/>
      <w:bookmarkStart w:id="626" w:name="_Toc297048379"/>
      <w:bookmarkStart w:id="627" w:name="_Toc297123540"/>
      <w:bookmarkStart w:id="628" w:name="_Toc296346694"/>
      <w:bookmarkStart w:id="629" w:name="_Toc296944532"/>
      <w:bookmarkStart w:id="630" w:name="_Toc296347192"/>
      <w:bookmarkStart w:id="631" w:name="_Toc292559398"/>
      <w:bookmarkStart w:id="632" w:name="_Toc297216199"/>
      <w:bookmarkStart w:id="633" w:name="_Toc300934989"/>
      <w:bookmarkStart w:id="634" w:name="_Toc292559903"/>
      <w:bookmarkStart w:id="635" w:name="_Toc297120493"/>
      <w:bookmarkStart w:id="636" w:name="_Toc296503193"/>
      <w:bookmarkStart w:id="637" w:name="_Toc312677499"/>
      <w:bookmarkStart w:id="638" w:name="_Toc312678025"/>
      <w:bookmarkStart w:id="639" w:name="_Toc267251437"/>
      <w:bookmarkStart w:id="640" w:name="_Toc267251439"/>
      <w:bookmarkStart w:id="641" w:name="_Toc267251435"/>
      <w:bookmarkStart w:id="642" w:name="_Toc267251433"/>
      <w:bookmarkStart w:id="643" w:name="_Toc267251440"/>
      <w:bookmarkStart w:id="644" w:name="_Toc267251441"/>
      <w:bookmarkStart w:id="645" w:name="_Toc267251442"/>
      <w:r>
        <w:rPr>
          <w:rFonts w:hint="eastAsia" w:ascii="宋体" w:hAnsi="宋体" w:cs="宋体"/>
          <w:b w:val="0"/>
          <w:color w:val="auto"/>
          <w:sz w:val="21"/>
          <w:szCs w:val="21"/>
          <w:highlight w:val="none"/>
        </w:rPr>
        <w:t>0. 变更</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bookmarkEnd w:id="637"/>
    <w:bookmarkEnd w:id="638"/>
    <w:p w14:paraId="5EC93021">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w:t>
      </w:r>
      <w:bookmarkStart w:id="646" w:name="_Toc296347193"/>
      <w:bookmarkStart w:id="647" w:name="_Toc300934990"/>
      <w:bookmarkStart w:id="648" w:name="_Toc292559904"/>
      <w:bookmarkStart w:id="649" w:name="_Toc296346695"/>
      <w:bookmarkStart w:id="650" w:name="_Toc297120494"/>
      <w:bookmarkStart w:id="651" w:name="_Toc296891022"/>
      <w:bookmarkStart w:id="652" w:name="_Toc297048380"/>
      <w:bookmarkStart w:id="653" w:name="_Toc296891234"/>
      <w:bookmarkStart w:id="654" w:name="_Toc303539147"/>
      <w:bookmarkStart w:id="655" w:name="_Toc297123541"/>
      <w:bookmarkStart w:id="656" w:name="_Toc312678026"/>
      <w:bookmarkStart w:id="657" w:name="_Toc312677500"/>
      <w:bookmarkStart w:id="658" w:name="_Toc297216200"/>
      <w:bookmarkStart w:id="659" w:name="_Toc296503194"/>
      <w:bookmarkStart w:id="660" w:name="_Toc296944533"/>
      <w:bookmarkStart w:id="661" w:name="_Toc304295567"/>
      <w:bookmarkStart w:id="662" w:name="_Toc292559399"/>
      <w:r>
        <w:rPr>
          <w:rFonts w:hint="eastAsia" w:ascii="宋体" w:hAnsi="宋体" w:cs="宋体"/>
          <w:color w:val="auto"/>
          <w:highlight w:val="none"/>
        </w:rPr>
        <w:t>0.1变更的范围</w:t>
      </w:r>
    </w:p>
    <w:p w14:paraId="63B4ABAF">
      <w:pPr>
        <w:pStyle w:val="393"/>
        <w:snapToGrid w:val="0"/>
        <w:spacing w:line="360" w:lineRule="auto"/>
        <w:ind w:firstLine="600"/>
        <w:jc w:val="left"/>
        <w:rPr>
          <w:rFonts w:ascii="宋体" w:hAnsi="宋体" w:cs="宋体"/>
          <w:color w:val="auto"/>
          <w:highlight w:val="none"/>
        </w:rPr>
      </w:pPr>
      <w:r>
        <w:rPr>
          <w:rFonts w:hint="eastAsia" w:ascii="宋体" w:hAnsi="宋体" w:cs="宋体"/>
          <w:color w:val="auto"/>
          <w:highlight w:val="none"/>
        </w:rPr>
        <w:t>关于变更的范围的约定：</w:t>
      </w:r>
      <w:bookmarkStart w:id="663" w:name="OLE_LINK36"/>
      <w:bookmarkStart w:id="664" w:name="OLE_LINK35"/>
      <w:r>
        <w:rPr>
          <w:rFonts w:hint="eastAsia" w:ascii="宋体" w:hAnsi="宋体" w:cs="宋体"/>
          <w:color w:val="auto"/>
          <w:highlight w:val="none"/>
          <w:u w:val="single"/>
        </w:rPr>
        <w:t>按通用条款，无特殊约定</w:t>
      </w:r>
      <w:bookmarkEnd w:id="663"/>
      <w:bookmarkEnd w:id="664"/>
      <w:r>
        <w:rPr>
          <w:rFonts w:hint="eastAsia" w:ascii="宋体" w:hAnsi="宋体" w:cs="宋体"/>
          <w:color w:val="auto"/>
          <w:highlight w:val="none"/>
        </w:rPr>
        <w:t>。</w:t>
      </w:r>
    </w:p>
    <w:p w14:paraId="7E55F77F">
      <w:pPr>
        <w:pStyle w:val="393"/>
        <w:snapToGrid w:val="0"/>
        <w:spacing w:line="360" w:lineRule="auto"/>
        <w:jc w:val="left"/>
        <w:outlineLvl w:val="0"/>
        <w:rPr>
          <w:rFonts w:ascii="宋体" w:hAnsi="宋体" w:cs="宋体"/>
          <w:color w:val="auto"/>
          <w:highlight w:val="none"/>
        </w:rPr>
      </w:pPr>
      <w:bookmarkStart w:id="665" w:name="_Toc5199"/>
      <w:bookmarkStart w:id="666" w:name="_Toc28010"/>
      <w:r>
        <w:rPr>
          <w:rFonts w:hint="eastAsia" w:ascii="宋体" w:hAnsi="宋体" w:cs="宋体"/>
          <w:color w:val="auto"/>
          <w:highlight w:val="none"/>
        </w:rPr>
        <w:t>10.4 变更估价</w:t>
      </w:r>
      <w:bookmarkEnd w:id="665"/>
      <w:bookmarkEnd w:id="666"/>
    </w:p>
    <w:p w14:paraId="694882B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10.4.1 变更估价原则</w:t>
      </w:r>
    </w:p>
    <w:p w14:paraId="7FFC87F9">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 xml:space="preserve">关于变更估价的约定: </w:t>
      </w:r>
      <w:bookmarkStart w:id="667" w:name="_Toc251051742"/>
      <w:r>
        <w:rPr>
          <w:rFonts w:hint="eastAsia" w:ascii="宋体" w:hAnsi="宋体" w:cs="宋体"/>
          <w:bCs/>
          <w:color w:val="auto"/>
          <w:highlight w:val="none"/>
          <w:u w:val="single"/>
        </w:rPr>
        <w:t>因设计变更、相关签证及招标工程量清单错项、漏项引起工程项目、工程量任何变化的，变更合同价款按下列方法进行：</w:t>
      </w:r>
      <w:bookmarkEnd w:id="667"/>
      <w:r>
        <w:rPr>
          <w:rFonts w:hint="eastAsia" w:ascii="宋体" w:hAnsi="宋体" w:cs="宋体"/>
          <w:bCs/>
          <w:color w:val="auto"/>
          <w:highlight w:val="none"/>
          <w:u w:val="single"/>
        </w:rPr>
        <w:fldChar w:fldCharType="begin"/>
      </w:r>
      <w:r>
        <w:rPr>
          <w:rFonts w:hint="eastAsia" w:ascii="宋体" w:hAnsi="宋体" w:cs="宋体"/>
          <w:bCs/>
          <w:color w:val="auto"/>
          <w:highlight w:val="none"/>
          <w:u w:val="single"/>
        </w:rPr>
        <w:instrText xml:space="preserve"> = 1 \* GB3 </w:instrText>
      </w:r>
      <w:r>
        <w:rPr>
          <w:rFonts w:hint="eastAsia" w:ascii="宋体" w:hAnsi="宋体" w:cs="宋体"/>
          <w:bCs/>
          <w:color w:val="auto"/>
          <w:highlight w:val="none"/>
          <w:u w:val="single"/>
        </w:rPr>
        <w:fldChar w:fldCharType="separate"/>
      </w:r>
      <w:r>
        <w:rPr>
          <w:rFonts w:hint="eastAsia" w:ascii="宋体" w:hAnsi="宋体" w:cs="宋体"/>
          <w:bCs/>
          <w:color w:val="auto"/>
          <w:highlight w:val="none"/>
          <w:u w:val="single"/>
        </w:rPr>
        <w:t>①</w:t>
      </w:r>
      <w:r>
        <w:rPr>
          <w:rFonts w:hint="eastAsia" w:ascii="宋体" w:hAnsi="宋体" w:cs="宋体"/>
          <w:bCs/>
          <w:color w:val="auto"/>
          <w:highlight w:val="none"/>
          <w:u w:val="single"/>
        </w:rPr>
        <w:fldChar w:fldCharType="end"/>
      </w:r>
      <w:r>
        <w:rPr>
          <w:rFonts w:hint="eastAsia" w:ascii="宋体" w:hAnsi="宋体" w:cs="宋体"/>
          <w:color w:val="auto"/>
          <w:highlight w:val="none"/>
          <w:u w:val="single"/>
        </w:rPr>
        <w:t>合同中已有适用于变更工程的项，按合同中已有的综合单价确定；</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2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②</w:t>
      </w:r>
      <w:r>
        <w:rPr>
          <w:rFonts w:hint="eastAsia" w:ascii="宋体" w:hAnsi="宋体" w:cs="宋体"/>
          <w:color w:val="auto"/>
          <w:highlight w:val="none"/>
          <w:u w:val="single"/>
        </w:rPr>
        <w:fldChar w:fldCharType="end"/>
      </w:r>
      <w:r>
        <w:rPr>
          <w:rFonts w:hint="eastAsia" w:ascii="宋体" w:hAnsi="宋体" w:cs="宋体"/>
          <w:color w:val="auto"/>
          <w:highlight w:val="none"/>
          <w:u w:val="single"/>
        </w:rPr>
        <w:t>合同中有类似变更工程的项（指工程量清单项目中除主要材料不同外，人工、机械及其他材料均相同的项），综合单价按已有类似的综合单价加材料价差来确定；③合同中没有适用或类似于变更工程的项，其综合单价套用广西现行消耗量定额，费率按预算价的费率构成计取，材料价按施工期间《桂林建设工程造价信息》（阳朔县）公布价格的算数平均值计取，装修、水电材料以及材料价格缺项的根据市场询价签证确定其材料价格，最后总价乘以系数（投标报价/预算价）；④不适用上述条款的项，则由发包人和承包人协商签证确定；⑤因不可抗力产生的费用由发包人及承包人双方协商分担</w:t>
      </w:r>
      <w:r>
        <w:rPr>
          <w:rFonts w:hint="eastAsia" w:ascii="宋体" w:hAnsi="宋体" w:cs="宋体"/>
          <w:color w:val="auto"/>
          <w:highlight w:val="none"/>
        </w:rPr>
        <w:t>。</w:t>
      </w:r>
    </w:p>
    <w:p w14:paraId="3C3B8829">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Start w:id="668" w:name="_Toc292559907"/>
      <w:bookmarkStart w:id="669" w:name="_Toc297120497"/>
      <w:bookmarkStart w:id="670" w:name="_Toc292559402"/>
      <w:bookmarkStart w:id="671" w:name="_Toc297216203"/>
      <w:bookmarkStart w:id="672" w:name="_Toc300934993"/>
      <w:bookmarkStart w:id="673" w:name="_Toc296346698"/>
      <w:bookmarkStart w:id="674" w:name="_Toc297048383"/>
      <w:bookmarkStart w:id="675" w:name="_Toc297123544"/>
      <w:bookmarkStart w:id="676" w:name="_Toc296891025"/>
      <w:bookmarkStart w:id="677" w:name="_Toc296944536"/>
      <w:bookmarkStart w:id="678" w:name="_Toc296503197"/>
      <w:bookmarkStart w:id="679" w:name="_Toc296891237"/>
      <w:bookmarkStart w:id="680" w:name="_Toc296347196"/>
      <w:bookmarkStart w:id="681" w:name="_Toc303539150"/>
      <w:bookmarkStart w:id="682" w:name="_Toc304295570"/>
      <w:bookmarkStart w:id="683" w:name="_Toc312678029"/>
      <w:bookmarkStart w:id="684" w:name="_Toc312677503"/>
      <w:r>
        <w:rPr>
          <w:rFonts w:hint="eastAsia" w:ascii="宋体" w:hAnsi="宋体" w:cs="宋体"/>
          <w:color w:val="auto"/>
          <w:highlight w:val="none"/>
        </w:rPr>
        <w:t>0.5承</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Start w:id="685" w:name="_Toc296346704"/>
      <w:bookmarkStart w:id="686" w:name="_Toc297120503"/>
      <w:bookmarkStart w:id="687" w:name="_Toc296503203"/>
      <w:bookmarkStart w:id="688" w:name="_Toc292559913"/>
      <w:bookmarkStart w:id="689" w:name="_Toc297048389"/>
      <w:bookmarkStart w:id="690" w:name="_Toc296891031"/>
      <w:bookmarkStart w:id="691" w:name="_Toc296891243"/>
      <w:bookmarkStart w:id="692" w:name="_Toc297216204"/>
      <w:bookmarkStart w:id="693" w:name="_Toc303539151"/>
      <w:bookmarkStart w:id="694" w:name="_Toc297123545"/>
      <w:bookmarkStart w:id="695" w:name="_Toc300934994"/>
      <w:bookmarkStart w:id="696" w:name="_Toc292559408"/>
      <w:bookmarkStart w:id="697" w:name="_Toc296347202"/>
      <w:bookmarkStart w:id="698" w:name="_Toc296944542"/>
      <w:r>
        <w:rPr>
          <w:rFonts w:hint="eastAsia" w:ascii="宋体" w:hAnsi="宋体" w:cs="宋体"/>
          <w:color w:val="auto"/>
          <w:highlight w:val="none"/>
        </w:rPr>
        <w:t>包人的合理化建议</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14:paraId="08EAE0A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95CA2B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8ABB443">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承</w:t>
      </w:r>
      <w:bookmarkStart w:id="699" w:name="_Toc297216205"/>
      <w:bookmarkStart w:id="700" w:name="_Toc296891244"/>
      <w:bookmarkStart w:id="701" w:name="_Toc303539152"/>
      <w:bookmarkStart w:id="702" w:name="_Toc297048390"/>
      <w:bookmarkStart w:id="703" w:name="_Toc312678030"/>
      <w:bookmarkStart w:id="704" w:name="_Toc296346705"/>
      <w:bookmarkStart w:id="705" w:name="_Toc318581175"/>
      <w:bookmarkStart w:id="706" w:name="_Toc296891032"/>
      <w:bookmarkStart w:id="707" w:name="_Toc297120504"/>
      <w:bookmarkStart w:id="708" w:name="_Toc312677504"/>
      <w:bookmarkStart w:id="709" w:name="_Toc296503204"/>
      <w:bookmarkStart w:id="710" w:name="_Toc292559914"/>
      <w:bookmarkStart w:id="711" w:name="_Toc300934995"/>
      <w:bookmarkStart w:id="712" w:name="_Toc296347203"/>
      <w:bookmarkStart w:id="713" w:name="_Toc292559409"/>
      <w:bookmarkStart w:id="714" w:name="_Toc297123546"/>
      <w:bookmarkStart w:id="715" w:name="_Toc304295571"/>
      <w:bookmarkStart w:id="716" w:name="_Toc296944543"/>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0A1714F1">
      <w:pPr>
        <w:pStyle w:val="393"/>
        <w:snapToGrid w:val="0"/>
        <w:spacing w:line="360" w:lineRule="auto"/>
        <w:jc w:val="left"/>
        <w:outlineLvl w:val="0"/>
        <w:rPr>
          <w:rFonts w:ascii="宋体" w:hAnsi="宋体" w:cs="宋体"/>
          <w:color w:val="auto"/>
          <w:highlight w:val="none"/>
        </w:rPr>
      </w:pPr>
      <w:bookmarkStart w:id="717" w:name="_Toc29273"/>
      <w:bookmarkStart w:id="718" w:name="_Toc13872"/>
      <w:r>
        <w:rPr>
          <w:rFonts w:hint="eastAsia" w:ascii="宋体" w:hAnsi="宋体" w:cs="宋体"/>
          <w:color w:val="auto"/>
          <w:highlight w:val="none"/>
        </w:rPr>
        <w:t>1</w:t>
      </w:r>
      <w:bookmarkStart w:id="719" w:name="_Toc300934997"/>
      <w:bookmarkStart w:id="720" w:name="_Toc296346700"/>
      <w:bookmarkStart w:id="721" w:name="_Toc296944538"/>
      <w:bookmarkStart w:id="722" w:name="_Toc297120499"/>
      <w:bookmarkStart w:id="723" w:name="_Toc297216207"/>
      <w:bookmarkStart w:id="724" w:name="_Toc296891027"/>
      <w:bookmarkStart w:id="725" w:name="_Toc292559909"/>
      <w:bookmarkStart w:id="726" w:name="_Toc304295574"/>
      <w:bookmarkStart w:id="727" w:name="_Toc297123548"/>
      <w:bookmarkStart w:id="728" w:name="_Toc297048385"/>
      <w:bookmarkStart w:id="729" w:name="_Toc296891239"/>
      <w:bookmarkStart w:id="730" w:name="_Toc312677507"/>
      <w:bookmarkStart w:id="731" w:name="_Toc312678033"/>
      <w:bookmarkStart w:id="732" w:name="_Toc296347198"/>
      <w:bookmarkStart w:id="733" w:name="_Toc296503199"/>
      <w:bookmarkStart w:id="734" w:name="_Toc303539154"/>
      <w:bookmarkStart w:id="735" w:name="_Toc292559404"/>
      <w:r>
        <w:rPr>
          <w:rFonts w:hint="eastAsia" w:ascii="宋体" w:hAnsi="宋体" w:cs="宋体"/>
          <w:color w:val="auto"/>
          <w:highlight w:val="none"/>
        </w:rPr>
        <w:t>0.7 暂估价</w:t>
      </w:r>
      <w:bookmarkEnd w:id="717"/>
      <w:bookmarkEnd w:id="718"/>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14:paraId="586AC8C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暂</w:t>
      </w:r>
      <w:bookmarkStart w:id="736" w:name="_Toc312678034"/>
      <w:bookmarkStart w:id="737" w:name="_Toc312677508"/>
      <w:bookmarkStart w:id="738" w:name="_Toc318581176"/>
      <w:r>
        <w:rPr>
          <w:rFonts w:hint="eastAsia" w:ascii="宋体" w:hAnsi="宋体" w:cs="宋体"/>
          <w:color w:val="auto"/>
          <w:kern w:val="0"/>
          <w:highlight w:val="none"/>
        </w:rPr>
        <w:t>估价材料和工程设备的明细详见附件11：《</w:t>
      </w:r>
      <w:r>
        <w:rPr>
          <w:rFonts w:hint="eastAsia" w:ascii="宋体" w:hAnsi="宋体" w:cs="宋体"/>
          <w:color w:val="auto"/>
          <w:highlight w:val="none"/>
        </w:rPr>
        <w:t>暂估价一览表》</w:t>
      </w:r>
      <w:r>
        <w:rPr>
          <w:rFonts w:hint="eastAsia" w:ascii="宋体" w:hAnsi="宋体" w:cs="宋体"/>
          <w:color w:val="auto"/>
          <w:kern w:val="0"/>
          <w:highlight w:val="none"/>
        </w:rPr>
        <w:t>。</w:t>
      </w:r>
    </w:p>
    <w:bookmarkEnd w:id="736"/>
    <w:bookmarkEnd w:id="737"/>
    <w:bookmarkEnd w:id="738"/>
    <w:p w14:paraId="6BEF50C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Start w:id="739" w:name="_Toc312678035"/>
      <w:bookmarkStart w:id="740" w:name="_Toc312677509"/>
      <w:bookmarkStart w:id="741" w:name="_Toc318581177"/>
      <w:r>
        <w:rPr>
          <w:rFonts w:hint="eastAsia" w:ascii="宋体" w:hAnsi="宋体" w:cs="宋体"/>
          <w:color w:val="auto"/>
          <w:highlight w:val="none"/>
        </w:rPr>
        <w:t>0.7.1 依法必须招标的暂估价项目</w:t>
      </w:r>
    </w:p>
    <w:bookmarkEnd w:id="739"/>
    <w:bookmarkEnd w:id="740"/>
    <w:bookmarkEnd w:id="741"/>
    <w:p w14:paraId="17C57D5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7C95465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第1种方式：对于依法必须招标的暂估价项目，由承包人招标，对该暂估价项目的确认和批准按照以下约定执行：</w:t>
      </w:r>
    </w:p>
    <w:p w14:paraId="6470DF8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（1）承包人应当根据施工进度计划，，在招标工作启动前14天将招标方案通过监理人报送发包人审查，发包人应当在收到招标方案后7天内批准或</w:t>
      </w:r>
      <w:bookmarkStart w:id="742" w:name="OLE_LINK55"/>
      <w:r>
        <w:rPr>
          <w:rFonts w:hint="eastAsia" w:ascii="宋体" w:hAnsi="宋体" w:cs="宋体"/>
          <w:color w:val="auto"/>
          <w:highlight w:val="none"/>
        </w:rPr>
        <w:t>提出修改意见</w:t>
      </w:r>
      <w:bookmarkEnd w:id="742"/>
      <w:r>
        <w:rPr>
          <w:rFonts w:hint="eastAsia" w:ascii="宋体" w:hAnsi="宋体" w:cs="宋体"/>
          <w:color w:val="auto"/>
          <w:highlight w:val="none"/>
        </w:rPr>
        <w:t>。承包人应当按照经过发包人批准的招标方案开展工作；</w:t>
      </w:r>
    </w:p>
    <w:p w14:paraId="7AB4B3A7">
      <w:pPr>
        <w:pStyle w:val="393"/>
        <w:numPr>
          <w:ilvl w:val="0"/>
          <w:numId w:val="6"/>
        </w:numPr>
        <w:snapToGrid w:val="0"/>
        <w:spacing w:line="360" w:lineRule="auto"/>
        <w:ind w:firstLine="420" w:firstLineChars="200"/>
        <w:jc w:val="left"/>
        <w:rPr>
          <w:rFonts w:ascii="宋体" w:hAnsi="宋体" w:cs="宋体"/>
          <w:color w:val="auto"/>
          <w:highlight w:val="none"/>
        </w:rPr>
      </w:pPr>
      <w:bookmarkStart w:id="743" w:name="OLE_LINK57"/>
      <w:r>
        <w:rPr>
          <w:rFonts w:hint="eastAsia" w:ascii="宋体" w:hAnsi="宋体" w:cs="宋体"/>
          <w:color w:val="auto"/>
          <w:highlight w:val="none"/>
        </w:rPr>
        <w:t>承包人应当根据施工进度计划</w:t>
      </w:r>
      <w:bookmarkEnd w:id="743"/>
      <w:r>
        <w:rPr>
          <w:rFonts w:hint="eastAsia" w:ascii="宋体" w:hAnsi="宋体" w:cs="宋体"/>
          <w:color w:val="auto"/>
          <w:highlight w:val="none"/>
        </w:rPr>
        <w:t>，提前14天将招标文件通过监理人报送发包人审批，发包人应当在收到报送的相关文件后7天内完成审批或提出修改意见；发包人有权确定招标控制价并按照法律规定参加评标；</w:t>
      </w:r>
    </w:p>
    <w:p w14:paraId="3B8AD5D9">
      <w:pPr>
        <w:pStyle w:val="393"/>
        <w:numPr>
          <w:ilvl w:val="0"/>
          <w:numId w:val="6"/>
        </w:num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与供应商、分包人在签订暂估价合同前，应当提前7天将确定的中标候选供应商或中标候选分包人的资料报送分包人，发包人应在收到资料后3天内与承包人共同确定中标人；承包人应当在签订合同后7天内，将暂估价合同副本报送发包人留存。</w:t>
      </w:r>
    </w:p>
    <w:p w14:paraId="12AAC30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2种方式：对于依法必须招标的暂估价项目，由发包人和承包人共同招标确定暂估价供应商或分包人，承包人应按照施工进度计划，在招标工作启动前14天通知发包人，并提交暂估价招标方案和工作分工。发包人应在收到后7天内确认。确定中标人后，由发包人、承包人与中标人共同签订暂估价合同。</w:t>
      </w:r>
    </w:p>
    <w:p w14:paraId="7FB1229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10.7.2 不属于依法必须招标的暂估价项目</w:t>
      </w:r>
    </w:p>
    <w:p w14:paraId="726153D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1 </w:t>
      </w:r>
      <w:r>
        <w:rPr>
          <w:rFonts w:hint="eastAsia" w:ascii="宋体" w:hAnsi="宋体" w:cs="宋体"/>
          <w:color w:val="auto"/>
          <w:highlight w:val="none"/>
        </w:rPr>
        <w:t>种方式确定。</w:t>
      </w:r>
    </w:p>
    <w:p w14:paraId="35B30B1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第1种方式：对于不属于依法必须招标的暂估价项目，按本项约定确认和批准：</w:t>
      </w:r>
    </w:p>
    <w:p w14:paraId="011F5CE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承包人应当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DC1884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（2）发包人认为承包人确定的供应商、分包人无法满足工程质量或合同要求的，发包人可以要求承包人重新确定暂估价项目的供应商、分包人；</w:t>
      </w:r>
    </w:p>
    <w:p w14:paraId="5C7F687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（3）承包人应当在签订暂估价项目合同后7天内，将暂估价合同副本报送发包人留存。</w:t>
      </w:r>
    </w:p>
    <w:p w14:paraId="2E8B73E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第2种方式：承包人按照第10.7.1项｛依法必须招标的暂估价项目｝约定的第1种方式确定暂估价项目</w:t>
      </w:r>
    </w:p>
    <w:p w14:paraId="2CBE629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第3种方式：承包人直接实施的暂估价项目</w:t>
      </w:r>
    </w:p>
    <w:p w14:paraId="6A16A46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承包人直接实施的暂估价项目的约定：</w:t>
      </w:r>
    </w:p>
    <w:p w14:paraId="4FFAEE23">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3393F3BD">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（2）暂估价项目综合单价的确定：按专用条款10.4.1条，但材料和设备价格需双方共同市场询价后签证确定。</w:t>
      </w:r>
    </w:p>
    <w:p w14:paraId="3C3E064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6BBAA6D9">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10.8 暂列金额</w:t>
      </w:r>
    </w:p>
    <w:p w14:paraId="36000229">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合同当事人关于暂列金额使用的约定：</w:t>
      </w:r>
      <w:r>
        <w:rPr>
          <w:rFonts w:hint="eastAsia" w:ascii="宋体" w:hAnsi="宋体" w:cs="宋体"/>
          <w:color w:val="auto"/>
          <w:highlight w:val="none"/>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r>
        <w:rPr>
          <w:rFonts w:hint="eastAsia" w:ascii="宋体" w:hAnsi="宋体" w:cs="宋体"/>
          <w:color w:val="auto"/>
          <w:kern w:val="0"/>
          <w:highlight w:val="none"/>
        </w:rPr>
        <w:t>。</w:t>
      </w:r>
    </w:p>
    <w:p w14:paraId="3225CEC4">
      <w:pPr>
        <w:pStyle w:val="497"/>
        <w:snapToGrid w:val="0"/>
        <w:jc w:val="left"/>
        <w:rPr>
          <w:rFonts w:ascii="宋体" w:hAnsi="宋体" w:cs="宋体"/>
          <w:b w:val="0"/>
          <w:color w:val="auto"/>
          <w:sz w:val="21"/>
          <w:szCs w:val="21"/>
          <w:highlight w:val="none"/>
        </w:rPr>
      </w:pPr>
      <w:bookmarkStart w:id="744" w:name="_Toc351203643"/>
      <w:r>
        <w:rPr>
          <w:rFonts w:hint="eastAsia" w:ascii="宋体" w:hAnsi="宋体" w:cs="宋体"/>
          <w:b w:val="0"/>
          <w:color w:val="auto"/>
          <w:sz w:val="21"/>
          <w:szCs w:val="21"/>
          <w:highlight w:val="none"/>
        </w:rPr>
        <w:t>11. 价格调整</w:t>
      </w:r>
      <w:bookmarkEnd w:id="744"/>
    </w:p>
    <w:p w14:paraId="732BFD21">
      <w:pPr>
        <w:pStyle w:val="393"/>
        <w:snapToGrid w:val="0"/>
        <w:spacing w:line="360" w:lineRule="auto"/>
        <w:jc w:val="left"/>
        <w:rPr>
          <w:rFonts w:ascii="宋体" w:hAnsi="宋体" w:cs="宋体"/>
          <w:color w:val="auto"/>
          <w:highlight w:val="none"/>
        </w:rPr>
      </w:pPr>
      <w:bookmarkStart w:id="745" w:name="_Toc304295577"/>
      <w:bookmarkStart w:id="746" w:name="_Toc297123550"/>
      <w:bookmarkStart w:id="747" w:name="_Toc296944540"/>
      <w:bookmarkStart w:id="748" w:name="_Toc297216209"/>
      <w:bookmarkStart w:id="749" w:name="_Toc296891241"/>
      <w:bookmarkStart w:id="750" w:name="_Toc292559911"/>
      <w:bookmarkStart w:id="751" w:name="_Toc300935000"/>
      <w:bookmarkStart w:id="752" w:name="_Toc297048387"/>
      <w:bookmarkStart w:id="753" w:name="_Toc312678039"/>
      <w:bookmarkStart w:id="754" w:name="_Toc296346702"/>
      <w:bookmarkStart w:id="755" w:name="_Toc303539157"/>
      <w:bookmarkStart w:id="756" w:name="_Toc296891029"/>
      <w:bookmarkStart w:id="757" w:name="_Toc297120501"/>
      <w:bookmarkStart w:id="758" w:name="_Toc296503201"/>
      <w:bookmarkStart w:id="759" w:name="_Toc296347200"/>
      <w:bookmarkStart w:id="760" w:name="_Toc292559406"/>
      <w:r>
        <w:rPr>
          <w:rFonts w:hint="eastAsia" w:ascii="宋体" w:hAnsi="宋体" w:cs="宋体"/>
          <w:color w:val="auto"/>
          <w:highlight w:val="none"/>
        </w:rPr>
        <w:t>11.1 市场价格波动引起的调整</w:t>
      </w:r>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14:paraId="640DD419">
      <w:pPr>
        <w:pStyle w:val="495"/>
        <w:rPr>
          <w:rFonts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highlight w:val="none"/>
          <w:u w:val="single"/>
        </w:rPr>
        <w:t xml:space="preserve">     否     </w:t>
      </w:r>
      <w:r>
        <w:rPr>
          <w:rFonts w:hint="eastAsia" w:eastAsia="宋体" w:cs="宋体"/>
          <w:color w:val="auto"/>
          <w:highlight w:val="none"/>
        </w:rPr>
        <w:t>。</w:t>
      </w:r>
    </w:p>
    <w:p w14:paraId="27C8E276">
      <w:pPr>
        <w:pStyle w:val="498"/>
        <w:rPr>
          <w:rFonts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6C21C975">
      <w:pPr>
        <w:pStyle w:val="498"/>
        <w:rPr>
          <w:rFonts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3E3BF95A">
      <w:pPr>
        <w:pStyle w:val="498"/>
        <w:rPr>
          <w:rFonts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5C611CCB">
      <w:pPr>
        <w:pStyle w:val="498"/>
        <w:rPr>
          <w:rFonts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757A18C3">
      <w:pPr>
        <w:pStyle w:val="498"/>
        <w:spacing w:line="440" w:lineRule="exact"/>
        <w:rPr>
          <w:rFonts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B209FD1">
      <w:pPr>
        <w:pStyle w:val="498"/>
        <w:spacing w:line="440" w:lineRule="exact"/>
        <w:rPr>
          <w:rFonts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%时，其超过部分据实调整。</w:t>
      </w:r>
    </w:p>
    <w:p w14:paraId="7824D225">
      <w:pPr>
        <w:pStyle w:val="498"/>
        <w:spacing w:line="440" w:lineRule="exact"/>
        <w:rPr>
          <w:rFonts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5</w:t>
      </w:r>
      <w:r>
        <w:rPr>
          <w:rFonts w:hint="eastAsia" w:ascii="宋体" w:hAnsi="宋体" w:eastAsia="宋体" w:cs="宋体"/>
          <w:color w:val="auto"/>
          <w:highlight w:val="none"/>
        </w:rPr>
        <w:t>%时，其超过部分据实调整。</w:t>
      </w:r>
    </w:p>
    <w:p w14:paraId="1C110775">
      <w:pPr>
        <w:pStyle w:val="498"/>
        <w:spacing w:line="440" w:lineRule="exact"/>
        <w:rPr>
          <w:rFonts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%时，其超过部分据实调整。</w:t>
      </w:r>
    </w:p>
    <w:p w14:paraId="3BB92730">
      <w:pPr>
        <w:pStyle w:val="393"/>
        <w:snapToGrid w:val="0"/>
        <w:spacing w:line="44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第3种方式：</w:t>
      </w:r>
      <w:r>
        <w:rPr>
          <w:rFonts w:hint="eastAsia" w:ascii="宋体" w:hAnsi="宋体" w:cs="宋体"/>
          <w:color w:val="auto"/>
          <w:highlight w:val="none"/>
          <w:u w:val="single"/>
        </w:rPr>
        <w:t xml:space="preserve"> 承包人应根据施工期间主要材料可能由于市场价格上涨（或下跌）因素自行考虑由此引起的风险并计入投标报价中。承包人应对自己的报价承担风险。但是若本工程施工期间由于市场价格上涨（或下跌）比2025年第5期《桂林市建设工程造价信息》公布阳朔价格相差±5%（含5%）以上时，材料价格可以进行调整。调整方法：材料价格（材料价格以该材料施工使用期间《桂林市建设工程造价信息》阳朔县平均价格为准）高（低）出±5%（含5%）以上部分×(中标的投标报价÷招标预算控制价)，调增或调减合同价</w:t>
      </w:r>
      <w:r>
        <w:rPr>
          <w:rFonts w:hint="eastAsia" w:ascii="宋体" w:hAnsi="宋体" w:cs="宋体"/>
          <w:color w:val="auto"/>
          <w:highlight w:val="none"/>
        </w:rPr>
        <w:t>。</w:t>
      </w:r>
    </w:p>
    <w:bookmarkEnd w:id="639"/>
    <w:bookmarkEnd w:id="640"/>
    <w:bookmarkEnd w:id="641"/>
    <w:bookmarkEnd w:id="642"/>
    <w:bookmarkEnd w:id="643"/>
    <w:bookmarkEnd w:id="644"/>
    <w:p w14:paraId="4CAFD181">
      <w:pPr>
        <w:pStyle w:val="497"/>
        <w:snapToGrid w:val="0"/>
        <w:jc w:val="left"/>
        <w:rPr>
          <w:rFonts w:ascii="宋体" w:hAnsi="宋体" w:cs="宋体"/>
          <w:b w:val="0"/>
          <w:color w:val="auto"/>
          <w:sz w:val="21"/>
          <w:szCs w:val="21"/>
          <w:highlight w:val="none"/>
        </w:rPr>
      </w:pPr>
      <w:bookmarkStart w:id="761" w:name="_Toc292559410"/>
      <w:bookmarkStart w:id="762" w:name="_Toc292559915"/>
      <w:bookmarkStart w:id="763" w:name="_Toc296346706"/>
      <w:bookmarkStart w:id="764" w:name="_Toc296347204"/>
      <w:bookmarkStart w:id="765" w:name="_Toc296891033"/>
      <w:bookmarkStart w:id="766" w:name="_Toc297120505"/>
      <w:bookmarkStart w:id="767" w:name="_Toc296503205"/>
      <w:bookmarkStart w:id="768" w:name="_Toc297048391"/>
      <w:bookmarkStart w:id="769" w:name="_Toc296944544"/>
      <w:bookmarkStart w:id="770" w:name="_Toc296891245"/>
      <w:bookmarkStart w:id="771" w:name="_Toc351203644"/>
      <w:bookmarkStart w:id="772" w:name="_Toc312678040"/>
      <w:bookmarkStart w:id="773" w:name="_Toc300935002"/>
      <w:bookmarkStart w:id="774" w:name="_Toc297216211"/>
      <w:bookmarkStart w:id="775" w:name="_Toc303539159"/>
      <w:bookmarkStart w:id="776" w:name="_Toc304295579"/>
      <w:bookmarkStart w:id="777" w:name="_Toc297123552"/>
      <w:r>
        <w:rPr>
          <w:rFonts w:hint="eastAsia" w:ascii="宋体" w:hAnsi="宋体" w:cs="宋体"/>
          <w:b w:val="0"/>
          <w:color w:val="auto"/>
          <w:sz w:val="21"/>
          <w:szCs w:val="21"/>
          <w:highlight w:val="none"/>
        </w:rPr>
        <w:t xml:space="preserve">12. </w:t>
      </w:r>
      <w:bookmarkEnd w:id="761"/>
      <w:bookmarkEnd w:id="762"/>
      <w:bookmarkEnd w:id="763"/>
      <w:bookmarkEnd w:id="764"/>
      <w:bookmarkEnd w:id="765"/>
      <w:bookmarkEnd w:id="766"/>
      <w:bookmarkEnd w:id="767"/>
      <w:bookmarkEnd w:id="768"/>
      <w:bookmarkEnd w:id="769"/>
      <w:bookmarkEnd w:id="770"/>
      <w:r>
        <w:rPr>
          <w:rFonts w:hint="eastAsia" w:ascii="宋体" w:hAnsi="宋体" w:cs="宋体"/>
          <w:b w:val="0"/>
          <w:color w:val="auto"/>
          <w:sz w:val="21"/>
          <w:szCs w:val="21"/>
          <w:highlight w:val="none"/>
        </w:rPr>
        <w:t>合同价格、计量与支付</w:t>
      </w:r>
      <w:bookmarkEnd w:id="771"/>
    </w:p>
    <w:bookmarkEnd w:id="772"/>
    <w:bookmarkEnd w:id="773"/>
    <w:bookmarkEnd w:id="774"/>
    <w:bookmarkEnd w:id="775"/>
    <w:bookmarkEnd w:id="776"/>
    <w:bookmarkEnd w:id="777"/>
    <w:p w14:paraId="494B9018">
      <w:pPr>
        <w:pStyle w:val="393"/>
        <w:snapToGrid w:val="0"/>
        <w:spacing w:line="360" w:lineRule="auto"/>
        <w:jc w:val="left"/>
        <w:rPr>
          <w:rFonts w:ascii="宋体" w:hAnsi="宋体" w:cs="宋体"/>
          <w:color w:val="auto"/>
          <w:highlight w:val="none"/>
        </w:rPr>
      </w:pPr>
      <w:bookmarkStart w:id="778" w:name="_Toc292559916"/>
      <w:bookmarkStart w:id="779" w:name="_Toc267251461"/>
      <w:bookmarkStart w:id="780" w:name="_Toc292559411"/>
      <w:bookmarkStart w:id="781" w:name="_Toc296347205"/>
      <w:bookmarkStart w:id="782" w:name="_Toc296891034"/>
      <w:bookmarkStart w:id="783" w:name="_Toc296503206"/>
      <w:bookmarkStart w:id="784" w:name="_Toc296346707"/>
      <w:bookmarkStart w:id="785" w:name="_Toc297048392"/>
      <w:bookmarkStart w:id="786" w:name="_Toc296891246"/>
      <w:bookmarkStart w:id="787" w:name="_Toc297120506"/>
      <w:bookmarkStart w:id="788" w:name="_Toc296944545"/>
      <w:bookmarkStart w:id="789" w:name="_Toc297216212"/>
      <w:bookmarkStart w:id="790" w:name="_Toc297123553"/>
      <w:bookmarkStart w:id="791" w:name="_Toc300935003"/>
      <w:bookmarkStart w:id="792" w:name="_Toc303539160"/>
      <w:bookmarkStart w:id="793" w:name="_Toc312678041"/>
      <w:bookmarkStart w:id="794" w:name="_Toc304295580"/>
      <w:r>
        <w:rPr>
          <w:rFonts w:hint="eastAsia" w:ascii="宋体" w:hAnsi="宋体" w:cs="宋体"/>
          <w:color w:val="auto"/>
          <w:highlight w:val="none"/>
        </w:rPr>
        <w:t>12.1 合</w:t>
      </w:r>
      <w:bookmarkEnd w:id="778"/>
      <w:bookmarkEnd w:id="779"/>
      <w:bookmarkEnd w:id="780"/>
      <w:r>
        <w:rPr>
          <w:rFonts w:hint="eastAsia" w:ascii="宋体" w:hAnsi="宋体" w:cs="宋体"/>
          <w:color w:val="auto"/>
          <w:highlight w:val="none"/>
        </w:rPr>
        <w:t>同价</w:t>
      </w:r>
      <w:bookmarkEnd w:id="781"/>
      <w:bookmarkEnd w:id="782"/>
      <w:bookmarkEnd w:id="783"/>
      <w:bookmarkEnd w:id="784"/>
      <w:bookmarkEnd w:id="785"/>
      <w:bookmarkEnd w:id="786"/>
      <w:bookmarkEnd w:id="787"/>
      <w:bookmarkEnd w:id="788"/>
      <w:r>
        <w:rPr>
          <w:rFonts w:hint="eastAsia" w:ascii="宋体" w:hAnsi="宋体" w:cs="宋体"/>
          <w:color w:val="auto"/>
          <w:highlight w:val="none"/>
        </w:rPr>
        <w:t>格形式</w:t>
      </w:r>
    </w:p>
    <w:bookmarkEnd w:id="789"/>
    <w:bookmarkEnd w:id="790"/>
    <w:bookmarkEnd w:id="791"/>
    <w:bookmarkEnd w:id="792"/>
    <w:bookmarkEnd w:id="793"/>
    <w:bookmarkEnd w:id="794"/>
    <w:p w14:paraId="79B4BE0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1、单价合同。</w:t>
      </w:r>
    </w:p>
    <w:p w14:paraId="69DFAB3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本合同价款采用固定综合单价方式确定。</w:t>
      </w:r>
    </w:p>
    <w:p w14:paraId="652A418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除工程变更、项目特征不符、政策性调整、专用条款11.1条约定的材料、设备价格变动风险以外因素</w:t>
      </w:r>
      <w:r>
        <w:rPr>
          <w:rFonts w:hint="eastAsia" w:ascii="宋体" w:hAnsi="宋体" w:cs="宋体"/>
          <w:color w:val="auto"/>
          <w:highlight w:val="none"/>
        </w:rPr>
        <w:t>。</w:t>
      </w:r>
    </w:p>
    <w:p w14:paraId="7C7B2A4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36D6962D">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①工程变更：按10.4.1变更估价原则的约定调整。</w:t>
      </w:r>
    </w:p>
    <w:p w14:paraId="7AB035CB">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②政策性调整：按国家和地方建设行政主管部门颁布的文件执行。</w:t>
      </w:r>
    </w:p>
    <w:p w14:paraId="7E410328">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③材料价格风险：按11.1的约定调整。</w:t>
      </w:r>
    </w:p>
    <w:p w14:paraId="5AAF97C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④其它：无 。</w:t>
      </w:r>
    </w:p>
    <w:p w14:paraId="742976E7">
      <w:pPr>
        <w:pStyle w:val="393"/>
        <w:snapToGrid w:val="0"/>
        <w:spacing w:line="360" w:lineRule="auto"/>
        <w:jc w:val="left"/>
        <w:rPr>
          <w:rFonts w:ascii="宋体" w:hAnsi="宋体" w:cs="宋体"/>
          <w:b/>
          <w:bCs/>
          <w:color w:val="auto"/>
          <w:highlight w:val="none"/>
        </w:rPr>
      </w:pPr>
      <w:bookmarkStart w:id="795" w:name="_Toc297216213"/>
      <w:bookmarkStart w:id="796" w:name="_Toc312678042"/>
      <w:bookmarkStart w:id="797" w:name="_Toc297123554"/>
      <w:bookmarkStart w:id="798" w:name="_Toc300935004"/>
      <w:bookmarkStart w:id="799" w:name="_Toc303539161"/>
      <w:bookmarkStart w:id="800" w:name="_Toc304295581"/>
      <w:bookmarkStart w:id="801" w:name="_Toc297120507"/>
      <w:bookmarkStart w:id="802" w:name="_Toc296891247"/>
      <w:bookmarkStart w:id="803" w:name="_Toc296346708"/>
      <w:bookmarkStart w:id="804" w:name="_Toc297048393"/>
      <w:bookmarkStart w:id="805" w:name="_Toc296944546"/>
      <w:bookmarkStart w:id="806" w:name="_Toc296347206"/>
      <w:bookmarkStart w:id="807" w:name="_Toc296503207"/>
      <w:bookmarkStart w:id="808" w:name="_Toc296891035"/>
      <w:bookmarkStart w:id="809" w:name="_Toc292559917"/>
      <w:bookmarkStart w:id="810" w:name="_Toc292559412"/>
      <w:r>
        <w:rPr>
          <w:rFonts w:hint="eastAsia" w:ascii="宋体" w:hAnsi="宋体" w:cs="宋体"/>
          <w:b/>
          <w:bCs/>
          <w:color w:val="auto"/>
          <w:highlight w:val="none"/>
        </w:rPr>
        <w:t>12.2 预付款</w:t>
      </w:r>
    </w:p>
    <w:bookmarkEnd w:id="795"/>
    <w:bookmarkEnd w:id="796"/>
    <w:bookmarkEnd w:id="797"/>
    <w:bookmarkEnd w:id="798"/>
    <w:bookmarkEnd w:id="799"/>
    <w:bookmarkEnd w:id="800"/>
    <w:p w14:paraId="00403F4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12.2.1 预付款的支付</w:t>
      </w:r>
    </w:p>
    <w:p w14:paraId="3DD79F3D">
      <w:pPr>
        <w:pStyle w:val="393"/>
        <w:snapToGrid w:val="0"/>
        <w:spacing w:line="360" w:lineRule="auto"/>
        <w:ind w:firstLine="420" w:firstLineChars="200"/>
        <w:jc w:val="left"/>
        <w:rPr>
          <w:rFonts w:hint="eastAsia" w:ascii="宋体" w:hAnsi="宋体" w:cs="宋体"/>
          <w:b/>
          <w:bCs/>
          <w:color w:val="auto"/>
          <w:highlight w:val="none"/>
        </w:rPr>
      </w:pPr>
      <w:r>
        <w:rPr>
          <w:rFonts w:hint="eastAsia" w:ascii="宋体" w:hAnsi="宋体" w:cs="宋体"/>
          <w:color w:val="auto"/>
          <w:highlight w:val="none"/>
        </w:rPr>
        <w:t>预付款支付比例或金额：</w:t>
      </w:r>
      <w:r>
        <w:rPr>
          <w:rFonts w:hint="eastAsia" w:ascii="宋体" w:hAnsi="宋体"/>
          <w:b/>
          <w:bCs/>
          <w:color w:val="auto"/>
          <w:szCs w:val="21"/>
          <w:highlight w:val="none"/>
          <w:u w:val="single"/>
        </w:rPr>
        <w:t>合同价款10%</w:t>
      </w:r>
      <w:r>
        <w:rPr>
          <w:rFonts w:hint="eastAsia" w:ascii="宋体" w:hAnsi="宋体" w:cs="宋体"/>
          <w:b/>
          <w:bCs/>
          <w:color w:val="auto"/>
          <w:highlight w:val="none"/>
        </w:rPr>
        <w:t>。</w:t>
      </w:r>
    </w:p>
    <w:p w14:paraId="1049AA83">
      <w:pPr>
        <w:pStyle w:val="393"/>
        <w:snapToGrid w:val="0"/>
        <w:spacing w:line="360" w:lineRule="auto"/>
        <w:ind w:firstLine="420" w:firstLineChars="200"/>
        <w:jc w:val="left"/>
        <w:rPr>
          <w:rFonts w:hint="eastAsia" w:ascii="宋体" w:hAnsi="宋体" w:cs="宋体"/>
          <w:b/>
          <w:bCs/>
          <w:color w:val="auto"/>
          <w:highlight w:val="none"/>
        </w:rPr>
      </w:pPr>
      <w:r>
        <w:rPr>
          <w:rFonts w:hint="eastAsia" w:ascii="宋体" w:hAnsi="宋体" w:cs="宋体"/>
          <w:b w:val="0"/>
          <w:bCs w:val="0"/>
          <w:color w:val="auto"/>
          <w:highlight w:val="none"/>
        </w:rPr>
        <w:t>预付款扣回的方式：</w:t>
      </w:r>
      <w:r>
        <w:rPr>
          <w:rFonts w:hint="eastAsia" w:ascii="宋体" w:hAnsi="宋体" w:cs="宋体"/>
          <w:b/>
          <w:bCs/>
          <w:color w:val="auto"/>
          <w:highlight w:val="none"/>
          <w:u w:val="single"/>
        </w:rPr>
        <w:t xml:space="preserve"> 当中期支付证书中累计支付金额达到合同价的30%时开始扣回，以后每完成合同价格的1%工程进度款，则扣回动员预付款的2%，直到累计支付金额达到合同价的80%‌ 。</w:t>
      </w:r>
    </w:p>
    <w:p w14:paraId="3E9581B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12.2.2 预付款担保</w:t>
      </w:r>
    </w:p>
    <w:p w14:paraId="03179D5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590432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801"/>
    <w:bookmarkEnd w:id="802"/>
    <w:bookmarkEnd w:id="803"/>
    <w:bookmarkEnd w:id="804"/>
    <w:bookmarkEnd w:id="805"/>
    <w:bookmarkEnd w:id="806"/>
    <w:bookmarkEnd w:id="807"/>
    <w:bookmarkEnd w:id="808"/>
    <w:bookmarkEnd w:id="809"/>
    <w:bookmarkEnd w:id="810"/>
    <w:p w14:paraId="00E95634">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12.3 计量</w:t>
      </w:r>
    </w:p>
    <w:p w14:paraId="508B7DC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12.3.1 计量原则</w:t>
      </w:r>
    </w:p>
    <w:p w14:paraId="242FEF1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工程量计算规则：</w:t>
      </w:r>
      <w:r>
        <w:rPr>
          <w:rFonts w:hint="eastAsia" w:ascii="宋体" w:hAnsi="宋体" w:cs="宋体"/>
          <w:color w:val="auto"/>
          <w:highlight w:val="none"/>
          <w:u w:val="single"/>
        </w:rPr>
        <w:t>工程的计量均以《建设工程工程量清单计价规范》（GB50500－2013）和及其广西壮族自治区实施细则、《建设工程工程量清单计算规范》（GB50854~50862－2013）及其广西实施细则、本工程补充项目清单为准</w:t>
      </w:r>
      <w:r>
        <w:rPr>
          <w:rFonts w:hint="eastAsia" w:ascii="宋体" w:hAnsi="宋体" w:cs="宋体"/>
          <w:color w:val="auto"/>
          <w:highlight w:val="none"/>
        </w:rPr>
        <w:t>。</w:t>
      </w:r>
    </w:p>
    <w:p w14:paraId="1058708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12.3.2 计量周期</w:t>
      </w:r>
    </w:p>
    <w:p w14:paraId="0A9D822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本合同的计量周期为月，每月 25 日为当月计量截止日期（不含当日）和下月计量起始日期（含当日）</w:t>
      </w:r>
      <w:r>
        <w:rPr>
          <w:rFonts w:hint="eastAsia" w:ascii="宋体" w:hAnsi="宋体" w:cs="宋体"/>
          <w:color w:val="auto"/>
          <w:highlight w:val="none"/>
        </w:rPr>
        <w:t>。</w:t>
      </w:r>
    </w:p>
    <w:p w14:paraId="250399E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12.3.3 单价合同的计量</w:t>
      </w:r>
    </w:p>
    <w:p w14:paraId="05BAA2D6">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同通用条款,无特殊约定</w:t>
      </w:r>
      <w:r>
        <w:rPr>
          <w:rFonts w:hint="eastAsia" w:ascii="宋体" w:hAnsi="宋体" w:cs="宋体"/>
          <w:color w:val="auto"/>
          <w:highlight w:val="none"/>
        </w:rPr>
        <w:t>。</w:t>
      </w:r>
    </w:p>
    <w:p w14:paraId="336C3EF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12.3.4 总价合同的计量</w:t>
      </w:r>
    </w:p>
    <w:p w14:paraId="6F018F73">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C1E2F1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12.3.5总价合同采用支付分解表计量支付的，是否适用第</w:t>
      </w:r>
      <w:r>
        <w:rPr>
          <w:rFonts w:hint="eastAsia" w:ascii="宋体" w:hAnsi="宋体" w:cs="宋体"/>
          <w:color w:val="auto"/>
          <w:kern w:val="0"/>
          <w:highlight w:val="none"/>
        </w:rPr>
        <w:t xml:space="preserve">12.3.4 </w:t>
      </w:r>
      <w:r>
        <w:rPr>
          <w:rFonts w:hint="eastAsia" w:ascii="宋体" w:hAnsi="宋体" w:cs="宋体"/>
          <w:color w:val="auto"/>
          <w:highlight w:val="none"/>
        </w:rPr>
        <w:t>项</w:t>
      </w:r>
      <w:r>
        <w:rPr>
          <w:rFonts w:hint="eastAsia" w:ascii="宋体" w:hAnsi="宋体" w:cs="宋体"/>
          <w:color w:val="auto"/>
          <w:kern w:val="0"/>
          <w:highlight w:val="none"/>
        </w:rPr>
        <w:t>〔总价合同的计量〕</w:t>
      </w:r>
      <w:r>
        <w:rPr>
          <w:rFonts w:hint="eastAsia" w:ascii="宋体" w:hAnsi="宋体" w:cs="宋体"/>
          <w:color w:val="auto"/>
          <w:highlight w:val="none"/>
        </w:rPr>
        <w:t>约定进行计量：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A97FE5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12.3.6 其他价格形式合同的计量</w:t>
      </w:r>
    </w:p>
    <w:p w14:paraId="5B612B4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其他价格形式的计量方式和程序：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9FB31A7">
      <w:pPr>
        <w:pStyle w:val="393"/>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12.4 工程进度款支付</w:t>
      </w:r>
    </w:p>
    <w:p w14:paraId="294766CE">
      <w:pPr>
        <w:pStyle w:val="393"/>
        <w:snapToGrid w:val="0"/>
        <w:spacing w:line="360" w:lineRule="auto"/>
        <w:ind w:firstLine="420" w:firstLineChars="200"/>
        <w:jc w:val="left"/>
        <w:rPr>
          <w:rFonts w:ascii="宋体" w:hAnsi="宋体" w:cs="宋体"/>
          <w:color w:val="auto"/>
          <w:highlight w:val="none"/>
        </w:rPr>
      </w:pPr>
      <w:bookmarkStart w:id="811" w:name="_Toc297120511"/>
      <w:bookmarkStart w:id="812" w:name="_Toc297048397"/>
      <w:bookmarkStart w:id="813" w:name="_Toc296891039"/>
      <w:bookmarkStart w:id="814" w:name="_Toc297123556"/>
      <w:bookmarkStart w:id="815" w:name="_Toc296944550"/>
      <w:bookmarkStart w:id="816" w:name="_Toc296503211"/>
      <w:bookmarkStart w:id="817" w:name="_Toc297216215"/>
      <w:bookmarkStart w:id="818" w:name="_Toc300935006"/>
      <w:bookmarkStart w:id="819" w:name="_Toc296347210"/>
      <w:bookmarkStart w:id="820" w:name="_Toc292559921"/>
      <w:bookmarkStart w:id="821" w:name="_Toc296891251"/>
      <w:bookmarkStart w:id="822" w:name="_Toc292559416"/>
      <w:bookmarkStart w:id="823" w:name="_Toc296346712"/>
      <w:bookmarkStart w:id="824" w:name="_Toc303539163"/>
      <w:r>
        <w:rPr>
          <w:rFonts w:hint="eastAsia" w:ascii="宋体" w:hAnsi="宋体" w:cs="宋体"/>
          <w:color w:val="auto"/>
          <w:highlight w:val="none"/>
        </w:rPr>
        <w:t>12.4.1 付款周期</w:t>
      </w:r>
    </w:p>
    <w:p w14:paraId="79F55347">
      <w:pPr>
        <w:pStyle w:val="393"/>
        <w:snapToGrid w:val="0"/>
        <w:spacing w:line="360" w:lineRule="auto"/>
        <w:ind w:firstLine="420" w:firstLineChars="200"/>
        <w:jc w:val="left"/>
        <w:rPr>
          <w:rFonts w:hint="eastAsia" w:ascii="宋体" w:hAnsi="宋体" w:cs="宋体"/>
          <w:b/>
          <w:color w:val="auto"/>
          <w:highlight w:val="none"/>
          <w:u w:val="single"/>
        </w:rPr>
      </w:pPr>
      <w:r>
        <w:rPr>
          <w:rFonts w:hint="eastAsia" w:ascii="宋体" w:hAnsi="宋体" w:cs="宋体"/>
          <w:color w:val="auto"/>
          <w:highlight w:val="none"/>
        </w:rPr>
        <w:t>关于付款周期的约定：</w:t>
      </w:r>
      <w:r>
        <w:rPr>
          <w:rFonts w:hint="eastAsia" w:ascii="宋体" w:hAnsi="宋体" w:cs="宋体"/>
          <w:b/>
          <w:color w:val="auto"/>
          <w:highlight w:val="none"/>
          <w:u w:val="single"/>
        </w:rPr>
        <w:t>原则上按每月计量, 进度付款证书最低限额为30%签约合同价，工程进度款按实际完成并验收合格的工程量支付已完工程量80%进度款，工程完工验收合格，结算经阳朔县财政部门审核后，工程款付至工程审核造价的97%，余工程审核造价3%作为质保金于质保期满后14天付清（无息）。</w:t>
      </w:r>
    </w:p>
    <w:p w14:paraId="2C0266D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12.4.2 进度付款申请单的编制</w:t>
      </w:r>
    </w:p>
    <w:p w14:paraId="4600412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关于进度付款申请单编制的约定：</w:t>
      </w:r>
      <w:bookmarkStart w:id="825" w:name="OLE_LINK41"/>
      <w:r>
        <w:rPr>
          <w:rFonts w:hint="eastAsia" w:ascii="宋体" w:hAnsi="宋体" w:cs="宋体"/>
          <w:color w:val="auto"/>
          <w:highlight w:val="none"/>
          <w:u w:val="single"/>
        </w:rPr>
        <w:t>按通用条款，无特殊约定</w:t>
      </w:r>
      <w:bookmarkEnd w:id="825"/>
      <w:r>
        <w:rPr>
          <w:rFonts w:hint="eastAsia" w:ascii="宋体" w:hAnsi="宋体" w:cs="宋体"/>
          <w:color w:val="auto"/>
          <w:highlight w:val="none"/>
        </w:rPr>
        <w:t>。</w:t>
      </w:r>
    </w:p>
    <w:p w14:paraId="0CC355D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Fonts w:hint="eastAsia" w:ascii="宋体" w:hAnsi="宋体" w:cs="宋体"/>
          <w:color w:val="auto"/>
          <w:highlight w:val="none"/>
        </w:rPr>
        <w:t>2.4.3 进度付款申请单的提交</w:t>
      </w:r>
    </w:p>
    <w:p w14:paraId="466F83A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（1）单价合同进度付款申请单提交的约定：</w:t>
      </w:r>
      <w:bookmarkStart w:id="826" w:name="OLE_LINK42"/>
      <w:r>
        <w:rPr>
          <w:rFonts w:hint="eastAsia" w:ascii="宋体" w:hAnsi="宋体" w:cs="宋体"/>
          <w:color w:val="auto"/>
          <w:highlight w:val="none"/>
          <w:u w:val="single"/>
        </w:rPr>
        <w:t>按通用条款，无特殊约定</w:t>
      </w:r>
      <w:bookmarkEnd w:id="826"/>
      <w:r>
        <w:rPr>
          <w:rFonts w:hint="eastAsia" w:ascii="宋体" w:hAnsi="宋体" w:cs="宋体"/>
          <w:color w:val="auto"/>
          <w:highlight w:val="none"/>
        </w:rPr>
        <w:t>。</w:t>
      </w:r>
    </w:p>
    <w:p w14:paraId="38512C3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445515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391013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12.4.4 进度款审核和支付</w:t>
      </w:r>
    </w:p>
    <w:p w14:paraId="3BBDF924">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收到申请3个工作日</w:t>
      </w:r>
      <w:r>
        <w:rPr>
          <w:rFonts w:hint="eastAsia" w:ascii="宋体" w:hAnsi="宋体" w:cs="宋体"/>
          <w:color w:val="auto"/>
          <w:highlight w:val="none"/>
        </w:rPr>
        <w:t>。</w:t>
      </w:r>
    </w:p>
    <w:p w14:paraId="2E54556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收到监理审查报告后7个工作日</w:t>
      </w:r>
      <w:r>
        <w:rPr>
          <w:rFonts w:hint="eastAsia" w:ascii="宋体" w:hAnsi="宋体" w:cs="宋体"/>
          <w:color w:val="auto"/>
          <w:highlight w:val="none"/>
        </w:rPr>
        <w:t>。</w:t>
      </w:r>
    </w:p>
    <w:p w14:paraId="579FFC5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（2）发包人支付进度款的期限：</w:t>
      </w:r>
      <w:r>
        <w:rPr>
          <w:rFonts w:hint="eastAsia" w:ascii="宋体" w:hAnsi="宋体" w:cs="宋体"/>
          <w:color w:val="auto"/>
          <w:highlight w:val="none"/>
          <w:u w:val="single"/>
        </w:rPr>
        <w:t>进度款支付证书签发后14天内完成支付</w:t>
      </w:r>
      <w:r>
        <w:rPr>
          <w:rFonts w:hint="eastAsia" w:ascii="宋体" w:hAnsi="宋体" w:cs="宋体"/>
          <w:color w:val="auto"/>
          <w:highlight w:val="none"/>
        </w:rPr>
        <w:t>。</w:t>
      </w:r>
    </w:p>
    <w:p w14:paraId="544631CC">
      <w:pPr>
        <w:pStyle w:val="393"/>
        <w:snapToGri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96E61E9">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12.4.6 支付分解表的编制</w:t>
      </w:r>
    </w:p>
    <w:p w14:paraId="3FC8259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71508A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45"/>
    <w:p w14:paraId="1A49DA98">
      <w:pPr>
        <w:pStyle w:val="497"/>
        <w:snapToGrid w:val="0"/>
        <w:jc w:val="left"/>
        <w:rPr>
          <w:rFonts w:ascii="宋体" w:hAnsi="宋体" w:cs="宋体"/>
          <w:b w:val="0"/>
          <w:color w:val="auto"/>
          <w:sz w:val="21"/>
          <w:szCs w:val="21"/>
          <w:highlight w:val="none"/>
        </w:rPr>
      </w:pPr>
      <w:bookmarkStart w:id="827" w:name="_Toc351203645"/>
      <w:bookmarkStart w:id="828" w:name="_Toc296891259"/>
      <w:bookmarkStart w:id="829" w:name="_Toc312678053"/>
      <w:bookmarkStart w:id="830" w:name="_Toc296503219"/>
      <w:bookmarkStart w:id="831" w:name="_Toc296891047"/>
      <w:bookmarkStart w:id="832" w:name="_Toc304295593"/>
      <w:bookmarkStart w:id="833" w:name="_Toc297048405"/>
      <w:bookmarkStart w:id="834" w:name="_Toc296944558"/>
      <w:bookmarkStart w:id="835" w:name="_Toc297120519"/>
      <w:bookmarkStart w:id="836" w:name="_Toc296347218"/>
      <w:bookmarkStart w:id="837" w:name="_Toc303539172"/>
      <w:bookmarkStart w:id="838" w:name="_Toc300935015"/>
      <w:bookmarkStart w:id="839" w:name="_Toc297123564"/>
      <w:bookmarkStart w:id="840" w:name="_Toc292559424"/>
      <w:bookmarkStart w:id="841" w:name="_Toc297216223"/>
      <w:bookmarkStart w:id="842" w:name="_Toc292559929"/>
      <w:bookmarkStart w:id="843" w:name="_Toc296346720"/>
      <w:r>
        <w:rPr>
          <w:rFonts w:hint="eastAsia" w:ascii="宋体" w:hAnsi="宋体" w:cs="宋体"/>
          <w:b w:val="0"/>
          <w:color w:val="auto"/>
          <w:sz w:val="21"/>
          <w:szCs w:val="21"/>
          <w:highlight w:val="none"/>
        </w:rPr>
        <w:t>13. 验收和工程试车</w:t>
      </w:r>
      <w:bookmarkEnd w:id="827"/>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2CBF9610">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13.1 分部分项工程验收</w:t>
      </w:r>
    </w:p>
    <w:p w14:paraId="1CF8D4F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24</w:t>
      </w:r>
      <w:r>
        <w:rPr>
          <w:rFonts w:hint="eastAsia" w:ascii="宋体" w:hAnsi="宋体" w:cs="宋体"/>
          <w:color w:val="auto"/>
          <w:highlight w:val="none"/>
        </w:rPr>
        <w:t>小时提交书面延期要求。</w:t>
      </w:r>
    </w:p>
    <w:p w14:paraId="790E6103">
      <w:pPr>
        <w:pStyle w:val="393"/>
        <w:snapToGrid w:val="0"/>
        <w:spacing w:line="360" w:lineRule="auto"/>
        <w:ind w:firstLine="420" w:firstLineChars="200"/>
        <w:jc w:val="left"/>
        <w:rPr>
          <w:rFonts w:ascii="宋体" w:hAnsi="宋体" w:cs="宋体"/>
          <w:b/>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48</w:t>
      </w:r>
      <w:r>
        <w:rPr>
          <w:rFonts w:hint="eastAsia" w:ascii="宋体" w:hAnsi="宋体" w:cs="宋体"/>
          <w:color w:val="auto"/>
          <w:highlight w:val="none"/>
        </w:rPr>
        <w:t>小时。</w:t>
      </w:r>
    </w:p>
    <w:p w14:paraId="146D8FBD">
      <w:pPr>
        <w:pStyle w:val="393"/>
        <w:snapToGrid w:val="0"/>
        <w:spacing w:line="360" w:lineRule="auto"/>
        <w:jc w:val="left"/>
        <w:rPr>
          <w:rFonts w:ascii="宋体" w:hAnsi="宋体" w:cs="宋体"/>
          <w:color w:val="auto"/>
          <w:highlight w:val="none"/>
        </w:rPr>
      </w:pPr>
      <w:bookmarkStart w:id="844" w:name="_Toc296346724"/>
      <w:bookmarkStart w:id="845" w:name="_Toc297120523"/>
      <w:bookmarkStart w:id="846" w:name="_Toc297216224"/>
      <w:bookmarkStart w:id="847" w:name="_Toc297048409"/>
      <w:bookmarkStart w:id="848" w:name="_Toc292559428"/>
      <w:bookmarkStart w:id="849" w:name="_Toc296891051"/>
      <w:bookmarkStart w:id="850" w:name="_Toc296891263"/>
      <w:bookmarkStart w:id="851" w:name="_Toc303539173"/>
      <w:bookmarkStart w:id="852" w:name="_Toc297123565"/>
      <w:bookmarkStart w:id="853" w:name="_Toc312678056"/>
      <w:bookmarkStart w:id="854" w:name="_Toc292559933"/>
      <w:bookmarkStart w:id="855" w:name="_Toc304295596"/>
      <w:bookmarkStart w:id="856" w:name="_Toc296503223"/>
      <w:bookmarkStart w:id="857" w:name="_Toc296944562"/>
      <w:bookmarkStart w:id="858" w:name="_Toc296347222"/>
      <w:bookmarkStart w:id="859" w:name="_Toc300935016"/>
      <w:bookmarkStart w:id="860" w:name="_Toc267251476"/>
      <w:bookmarkStart w:id="861" w:name="_Toc267251473"/>
      <w:bookmarkStart w:id="862" w:name="_Toc267251472"/>
      <w:bookmarkStart w:id="863" w:name="_Toc267251471"/>
      <w:bookmarkStart w:id="864" w:name="_Toc267251474"/>
      <w:bookmarkStart w:id="865" w:name="_Toc267251470"/>
      <w:bookmarkStart w:id="866" w:name="_Toc267251475"/>
      <w:r>
        <w:rPr>
          <w:rFonts w:hint="eastAsia" w:ascii="宋体" w:hAnsi="宋体" w:cs="宋体"/>
          <w:color w:val="auto"/>
          <w:highlight w:val="none"/>
        </w:rPr>
        <w:t>13.2 竣工验收</w:t>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18FFE38B">
      <w:pPr>
        <w:pStyle w:val="393"/>
        <w:snapToGrid w:val="0"/>
        <w:spacing w:line="360" w:lineRule="auto"/>
        <w:ind w:firstLine="420" w:firstLineChars="200"/>
        <w:jc w:val="left"/>
        <w:rPr>
          <w:rFonts w:ascii="宋体" w:hAnsi="宋体" w:cs="宋体"/>
          <w:color w:val="auto"/>
          <w:highlight w:val="none"/>
        </w:rPr>
      </w:pPr>
      <w:bookmarkStart w:id="867" w:name="_Toc280868704"/>
      <w:bookmarkStart w:id="868" w:name="_Toc280868705"/>
      <w:bookmarkStart w:id="869" w:name="_Toc280868706"/>
      <w:bookmarkStart w:id="870" w:name="_Toc280868707"/>
      <w:bookmarkStart w:id="871" w:name="_Toc280868708"/>
      <w:bookmarkStart w:id="872" w:name="_Toc280868709"/>
      <w:r>
        <w:rPr>
          <w:rFonts w:hint="eastAsia" w:ascii="宋体" w:hAnsi="宋体" w:cs="宋体"/>
          <w:color w:val="auto"/>
          <w:highlight w:val="none"/>
        </w:rPr>
        <w:t>13.2.2竣工验收程序</w:t>
      </w:r>
    </w:p>
    <w:bookmarkEnd w:id="867"/>
    <w:p w14:paraId="3FBC0385">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关于竣工验收程序的约定：</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4EE1A21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868"/>
    <w:p w14:paraId="6CD8DDBC">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13.2.5移交、接收全部与部分工程</w:t>
      </w:r>
    </w:p>
    <w:bookmarkEnd w:id="869"/>
    <w:p w14:paraId="6F52030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承包人向发包人移交工程的期限：</w:t>
      </w:r>
      <w:r>
        <w:rPr>
          <w:rFonts w:hint="eastAsia" w:ascii="宋体" w:hAnsi="宋体" w:cs="宋体"/>
          <w:color w:val="auto"/>
          <w:highlight w:val="none"/>
          <w:u w:val="single"/>
        </w:rPr>
        <w:t>竣工验收后7天内</w:t>
      </w:r>
      <w:r>
        <w:rPr>
          <w:rFonts w:hint="eastAsia" w:ascii="宋体" w:hAnsi="宋体" w:cs="宋体"/>
          <w:color w:val="auto"/>
          <w:highlight w:val="none"/>
        </w:rPr>
        <w:t>。</w:t>
      </w:r>
    </w:p>
    <w:p w14:paraId="7C288571">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870"/>
    <w:p w14:paraId="523C08A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承包人未按时移交工程的，违约金的计算方法为：</w:t>
      </w:r>
      <w:r>
        <w:rPr>
          <w:rFonts w:hint="eastAsia" w:ascii="宋体" w:hAnsi="宋体" w:cs="宋体"/>
          <w:color w:val="auto"/>
          <w:szCs w:val="21"/>
          <w:highlight w:val="none"/>
          <w:u w:val="single"/>
        </w:rPr>
        <w:t>每拖延一天工期支付给发包人按</w:t>
      </w:r>
      <w:r>
        <w:rPr>
          <w:rFonts w:hint="eastAsia" w:ascii="宋体" w:hAnsi="宋体" w:cs="宋体"/>
          <w:color w:val="auto"/>
          <w:szCs w:val="21"/>
          <w:highlight w:val="none"/>
          <w:u w:val="single"/>
          <w:lang w:val="zh-CN"/>
        </w:rPr>
        <w:t>合同价</w:t>
      </w:r>
      <w:r>
        <w:rPr>
          <w:rFonts w:hint="eastAsia" w:ascii="宋体" w:hAnsi="宋体" w:cs="宋体"/>
          <w:color w:val="auto"/>
          <w:szCs w:val="21"/>
          <w:highlight w:val="none"/>
          <w:u w:val="single"/>
        </w:rPr>
        <w:t>的0.</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‰/天的违约金，违约金最高限额为合同价的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1F822713">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13.3 工程试车</w:t>
      </w:r>
    </w:p>
    <w:bookmarkEnd w:id="871"/>
    <w:p w14:paraId="3FAA0FCB">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13.3.1 试车程序</w:t>
      </w:r>
    </w:p>
    <w:p w14:paraId="38AFEB9C">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4B773CE">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 </w:t>
      </w:r>
      <w:r>
        <w:rPr>
          <w:rFonts w:hint="eastAsia" w:ascii="宋体" w:hAnsi="宋体" w:cs="宋体"/>
          <w:color w:val="auto"/>
          <w:kern w:val="0"/>
          <w:highlight w:val="none"/>
        </w:rPr>
        <w:t>承担；</w:t>
      </w:r>
    </w:p>
    <w:p w14:paraId="73B6355C">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  </w:t>
      </w:r>
      <w:r>
        <w:rPr>
          <w:rFonts w:hint="eastAsia" w:ascii="宋体" w:hAnsi="宋体" w:cs="宋体"/>
          <w:color w:val="auto"/>
          <w:kern w:val="0"/>
          <w:highlight w:val="none"/>
        </w:rPr>
        <w:t>承担。</w:t>
      </w:r>
    </w:p>
    <w:p w14:paraId="7A3A5B4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13.3.3 投料试车</w:t>
      </w:r>
    </w:p>
    <w:p w14:paraId="78E42545">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DE95B95">
      <w:pPr>
        <w:pStyle w:val="393"/>
        <w:snapToGrid w:val="0"/>
        <w:spacing w:line="360" w:lineRule="auto"/>
        <w:jc w:val="left"/>
        <w:outlineLvl w:val="0"/>
        <w:rPr>
          <w:rFonts w:ascii="宋体" w:hAnsi="宋体" w:cs="宋体"/>
          <w:color w:val="auto"/>
          <w:highlight w:val="none"/>
        </w:rPr>
      </w:pPr>
      <w:bookmarkStart w:id="873" w:name="_Toc24558"/>
      <w:bookmarkStart w:id="874" w:name="_Toc902"/>
      <w:r>
        <w:rPr>
          <w:rFonts w:hint="eastAsia" w:ascii="宋体" w:hAnsi="宋体" w:cs="宋体"/>
          <w:color w:val="auto"/>
          <w:highlight w:val="none"/>
        </w:rPr>
        <w:t>13.6 竣工退场</w:t>
      </w:r>
      <w:bookmarkEnd w:id="873"/>
      <w:bookmarkEnd w:id="874"/>
    </w:p>
    <w:p w14:paraId="5DD0C3BC">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13.6.1 竣工退场</w:t>
      </w:r>
    </w:p>
    <w:p w14:paraId="28892A2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color w:val="auto"/>
          <w:highlight w:val="none"/>
          <w:u w:val="single"/>
        </w:rPr>
        <w:t>颁发工程接收证书后7天内完成工程的移交</w:t>
      </w:r>
      <w:r>
        <w:rPr>
          <w:rFonts w:hint="eastAsia" w:ascii="宋体" w:hAnsi="宋体" w:cs="宋体"/>
          <w:color w:val="auto"/>
          <w:kern w:val="0"/>
          <w:highlight w:val="none"/>
        </w:rPr>
        <w:t>。</w:t>
      </w:r>
    </w:p>
    <w:p w14:paraId="676FD7F3">
      <w:pPr>
        <w:pStyle w:val="497"/>
        <w:snapToGrid w:val="0"/>
        <w:jc w:val="left"/>
        <w:rPr>
          <w:rFonts w:ascii="宋体" w:hAnsi="宋体" w:cs="宋体"/>
          <w:b w:val="0"/>
          <w:color w:val="auto"/>
          <w:sz w:val="21"/>
          <w:szCs w:val="21"/>
          <w:highlight w:val="none"/>
        </w:rPr>
      </w:pPr>
      <w:bookmarkStart w:id="875" w:name="_Toc351203646"/>
      <w:r>
        <w:rPr>
          <w:rFonts w:hint="eastAsia" w:ascii="宋体" w:hAnsi="宋体" w:cs="宋体"/>
          <w:b w:val="0"/>
          <w:color w:val="auto"/>
          <w:sz w:val="21"/>
          <w:szCs w:val="21"/>
          <w:highlight w:val="none"/>
        </w:rPr>
        <w:t>14. 竣工结算</w:t>
      </w:r>
      <w:bookmarkEnd w:id="875"/>
    </w:p>
    <w:p w14:paraId="46C8ACA7">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14.1 竣工结算申请</w:t>
      </w:r>
    </w:p>
    <w:p w14:paraId="2E144F3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承包人提交竣工结算申请单的期限：</w:t>
      </w:r>
      <w:r>
        <w:rPr>
          <w:rFonts w:hint="eastAsia" w:ascii="宋体" w:hAnsi="宋体" w:cs="宋体"/>
          <w:color w:val="auto"/>
          <w:highlight w:val="none"/>
          <w:u w:val="single"/>
        </w:rPr>
        <w:t>竣工验收合格后28天内提交完整的结算资料交监理初审，然后交发包人审核，发包人亦可请有资质的造价咨询机构审核。承包人如未在规定时间内提供完整的工程竣工结算资料，经发包人催促后14天内仍未提供或没有明确答复，发包人有权根据已有资料进行审查，责任由承包人自负</w:t>
      </w:r>
      <w:r>
        <w:rPr>
          <w:rFonts w:hint="eastAsia" w:ascii="宋体" w:hAnsi="宋体" w:cs="宋体"/>
          <w:color w:val="auto"/>
          <w:highlight w:val="none"/>
        </w:rPr>
        <w:t>。</w:t>
      </w:r>
    </w:p>
    <w:p w14:paraId="07BBF84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竣工结算申请单应包括的内容：</w:t>
      </w:r>
      <w:r>
        <w:rPr>
          <w:rFonts w:hint="eastAsia" w:ascii="宋体" w:hAnsi="宋体" w:cs="宋体"/>
          <w:color w:val="auto"/>
          <w:highlight w:val="none"/>
          <w:u w:val="single"/>
        </w:rPr>
        <w:t>竣工结算由承包人提交相关结算资料,主要包括：工程结算书及工程量计算底稿各4份；招标文件、投标文件、中标通知书、建设质量竣工验收意见书、合同、工程量清单、签证单及工作联系函汇报等资料各2份；电子文档（含计算量底稿及结算书）1份</w:t>
      </w:r>
      <w:r>
        <w:rPr>
          <w:rFonts w:hint="eastAsia" w:ascii="宋体" w:hAnsi="宋体" w:cs="宋体"/>
          <w:color w:val="auto"/>
          <w:highlight w:val="none"/>
        </w:rPr>
        <w:t>。</w:t>
      </w:r>
    </w:p>
    <w:p w14:paraId="28C71DEB">
      <w:pPr>
        <w:pStyle w:val="393"/>
        <w:snapToGrid w:val="0"/>
        <w:spacing w:line="360" w:lineRule="auto"/>
        <w:jc w:val="left"/>
        <w:outlineLvl w:val="0"/>
        <w:rPr>
          <w:rFonts w:ascii="宋体" w:hAnsi="宋体" w:cs="宋体"/>
          <w:color w:val="auto"/>
          <w:highlight w:val="none"/>
        </w:rPr>
      </w:pPr>
      <w:bookmarkStart w:id="876" w:name="_Toc17840"/>
      <w:r>
        <w:rPr>
          <w:rFonts w:hint="eastAsia" w:ascii="宋体" w:hAnsi="宋体" w:cs="宋体"/>
          <w:color w:val="auto"/>
          <w:highlight w:val="none"/>
        </w:rPr>
        <w:t>14.2 竣工结算审核</w:t>
      </w:r>
      <w:bookmarkEnd w:id="876"/>
    </w:p>
    <w:p w14:paraId="1D3C5B5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发包人审批竣工结算报告的期限：</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500"/>
        <w:gridCol w:w="5769"/>
      </w:tblGrid>
      <w:tr w14:paraId="1B41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546" w:type="dxa"/>
            <w:vAlign w:val="center"/>
          </w:tcPr>
          <w:p w14:paraId="6087D292">
            <w:pPr>
              <w:pStyle w:val="393"/>
              <w:snapToGrid w:val="0"/>
              <w:spacing w:line="360" w:lineRule="auto"/>
              <w:jc w:val="left"/>
              <w:rPr>
                <w:rFonts w:ascii="宋体" w:hAnsi="宋体" w:cs="宋体"/>
                <w:bCs/>
                <w:color w:val="auto"/>
                <w:highlight w:val="none"/>
              </w:rPr>
            </w:pPr>
            <w:r>
              <w:rPr>
                <w:rFonts w:hint="eastAsia" w:ascii="宋体" w:hAnsi="宋体" w:cs="宋体"/>
                <w:color w:val="auto"/>
                <w:highlight w:val="none"/>
              </w:rPr>
              <w:t xml:space="preserve"> </w:t>
            </w:r>
          </w:p>
        </w:tc>
        <w:tc>
          <w:tcPr>
            <w:tcW w:w="2500" w:type="dxa"/>
            <w:vAlign w:val="center"/>
          </w:tcPr>
          <w:p w14:paraId="651D70E0">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工程竣工结算报告金额</w:t>
            </w:r>
          </w:p>
        </w:tc>
        <w:tc>
          <w:tcPr>
            <w:tcW w:w="5769" w:type="dxa"/>
            <w:vAlign w:val="center"/>
          </w:tcPr>
          <w:p w14:paraId="4045BFBA">
            <w:pPr>
              <w:pStyle w:val="393"/>
              <w:snapToGrid w:val="0"/>
              <w:spacing w:line="360" w:lineRule="auto"/>
              <w:ind w:firstLine="441" w:firstLineChars="210"/>
              <w:jc w:val="left"/>
              <w:rPr>
                <w:rFonts w:ascii="宋体" w:hAnsi="宋体" w:cs="宋体"/>
                <w:bCs/>
                <w:color w:val="auto"/>
                <w:highlight w:val="none"/>
              </w:rPr>
            </w:pPr>
            <w:r>
              <w:rPr>
                <w:rFonts w:hint="eastAsia" w:ascii="宋体" w:hAnsi="宋体" w:cs="宋体"/>
                <w:bCs/>
                <w:color w:val="auto"/>
                <w:highlight w:val="none"/>
              </w:rPr>
              <w:t>发包人审查时间</w:t>
            </w:r>
          </w:p>
        </w:tc>
      </w:tr>
      <w:tr w14:paraId="0E1C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46" w:type="dxa"/>
            <w:vAlign w:val="center"/>
          </w:tcPr>
          <w:p w14:paraId="5310D816">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1</w:t>
            </w:r>
          </w:p>
        </w:tc>
        <w:tc>
          <w:tcPr>
            <w:tcW w:w="2500" w:type="dxa"/>
            <w:vAlign w:val="center"/>
          </w:tcPr>
          <w:p w14:paraId="4358498B">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500万元以下</w:t>
            </w:r>
          </w:p>
        </w:tc>
        <w:tc>
          <w:tcPr>
            <w:tcW w:w="5769" w:type="dxa"/>
            <w:vAlign w:val="center"/>
          </w:tcPr>
          <w:p w14:paraId="6AE91C6C">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从接到竣工结算报告和完整的竣工结算资料之日起20天</w:t>
            </w:r>
          </w:p>
        </w:tc>
      </w:tr>
      <w:tr w14:paraId="2D20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546" w:type="dxa"/>
            <w:vAlign w:val="center"/>
          </w:tcPr>
          <w:p w14:paraId="3194C2D4">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2</w:t>
            </w:r>
          </w:p>
        </w:tc>
        <w:tc>
          <w:tcPr>
            <w:tcW w:w="2500" w:type="dxa"/>
            <w:vAlign w:val="center"/>
          </w:tcPr>
          <w:p w14:paraId="5D6AD15E">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500万元-2000万元</w:t>
            </w:r>
          </w:p>
        </w:tc>
        <w:tc>
          <w:tcPr>
            <w:tcW w:w="5769" w:type="dxa"/>
            <w:vAlign w:val="center"/>
          </w:tcPr>
          <w:p w14:paraId="5ECA909B">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从接到竣工结算报告和完整的竣工结算资料之日起30天</w:t>
            </w:r>
          </w:p>
        </w:tc>
      </w:tr>
      <w:tr w14:paraId="0903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546" w:type="dxa"/>
            <w:vAlign w:val="center"/>
          </w:tcPr>
          <w:p w14:paraId="2DC2054C">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3</w:t>
            </w:r>
          </w:p>
        </w:tc>
        <w:tc>
          <w:tcPr>
            <w:tcW w:w="2500" w:type="dxa"/>
            <w:vAlign w:val="center"/>
          </w:tcPr>
          <w:p w14:paraId="013B6E5E">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2000万元-5000万元</w:t>
            </w:r>
          </w:p>
        </w:tc>
        <w:tc>
          <w:tcPr>
            <w:tcW w:w="5769" w:type="dxa"/>
            <w:vAlign w:val="center"/>
          </w:tcPr>
          <w:p w14:paraId="232C0873">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从接到竣工结算报告和完整的竣工结算资料之日起45天</w:t>
            </w:r>
          </w:p>
        </w:tc>
      </w:tr>
      <w:tr w14:paraId="74B8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46" w:type="dxa"/>
            <w:vAlign w:val="center"/>
          </w:tcPr>
          <w:p w14:paraId="58AE56A2">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4</w:t>
            </w:r>
          </w:p>
        </w:tc>
        <w:tc>
          <w:tcPr>
            <w:tcW w:w="2500" w:type="dxa"/>
            <w:vAlign w:val="center"/>
          </w:tcPr>
          <w:p w14:paraId="76C65D30">
            <w:pPr>
              <w:pStyle w:val="393"/>
              <w:snapToGrid w:val="0"/>
              <w:spacing w:line="360" w:lineRule="auto"/>
              <w:ind w:firstLine="27" w:firstLineChars="13"/>
              <w:jc w:val="left"/>
              <w:rPr>
                <w:rFonts w:ascii="宋体" w:hAnsi="宋体" w:cs="宋体"/>
                <w:bCs/>
                <w:color w:val="auto"/>
                <w:highlight w:val="none"/>
              </w:rPr>
            </w:pPr>
            <w:r>
              <w:rPr>
                <w:rFonts w:hint="eastAsia" w:ascii="宋体" w:hAnsi="宋体" w:cs="宋体"/>
                <w:bCs/>
                <w:color w:val="auto"/>
                <w:highlight w:val="none"/>
              </w:rPr>
              <w:t>5000万元以上</w:t>
            </w:r>
          </w:p>
        </w:tc>
        <w:tc>
          <w:tcPr>
            <w:tcW w:w="5769" w:type="dxa"/>
            <w:vAlign w:val="center"/>
          </w:tcPr>
          <w:p w14:paraId="0F9C7DB1">
            <w:pPr>
              <w:pStyle w:val="393"/>
              <w:snapToGrid w:val="0"/>
              <w:spacing w:line="360" w:lineRule="auto"/>
              <w:jc w:val="left"/>
              <w:rPr>
                <w:rFonts w:ascii="宋体" w:hAnsi="宋体" w:cs="宋体"/>
                <w:bCs/>
                <w:color w:val="auto"/>
                <w:highlight w:val="none"/>
              </w:rPr>
            </w:pPr>
            <w:r>
              <w:rPr>
                <w:rFonts w:hint="eastAsia" w:ascii="宋体" w:hAnsi="宋体" w:cs="宋体"/>
                <w:bCs/>
                <w:color w:val="auto"/>
                <w:highlight w:val="none"/>
              </w:rPr>
              <w:t>从接到竣工结算报告和完整的竣工结算资料之日起60天</w:t>
            </w:r>
          </w:p>
        </w:tc>
      </w:tr>
    </w:tbl>
    <w:p w14:paraId="3A313F0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bCs/>
          <w:color w:val="auto"/>
          <w:highlight w:val="none"/>
        </w:rPr>
        <w:t>因承包人提供的结算资料不完整而需要补充或承包人不按时对账耽误时间时，审查时间应相应顺延</w:t>
      </w:r>
      <w:r>
        <w:rPr>
          <w:rFonts w:hint="eastAsia" w:ascii="宋体" w:hAnsi="宋体" w:cs="宋体"/>
          <w:color w:val="auto"/>
          <w:highlight w:val="none"/>
        </w:rPr>
        <w:t>。</w:t>
      </w:r>
    </w:p>
    <w:p w14:paraId="32BDBFF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发包人审批竣工付款申请单的期限：</w:t>
      </w:r>
      <w:r>
        <w:rPr>
          <w:rFonts w:hint="eastAsia" w:ascii="宋体" w:hAnsi="宋体" w:cs="宋体"/>
          <w:bCs/>
          <w:color w:val="auto"/>
          <w:highlight w:val="none"/>
          <w:u w:val="single"/>
        </w:rPr>
        <w:t>从接到竣工结算报告和完整的竣工结算资料之日起20天</w:t>
      </w:r>
      <w:r>
        <w:rPr>
          <w:rFonts w:hint="eastAsia" w:ascii="宋体" w:hAnsi="宋体" w:cs="宋体"/>
          <w:color w:val="auto"/>
          <w:highlight w:val="none"/>
          <w:u w:val="single"/>
        </w:rPr>
        <w:t>。</w:t>
      </w:r>
    </w:p>
    <w:p w14:paraId="38F7955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按财政付款程序办理相关支付手续　</w:t>
      </w:r>
      <w:r>
        <w:rPr>
          <w:rFonts w:hint="eastAsia" w:ascii="宋体" w:hAnsi="宋体" w:cs="宋体"/>
          <w:color w:val="auto"/>
          <w:highlight w:val="none"/>
        </w:rPr>
        <w:t>。</w:t>
      </w:r>
    </w:p>
    <w:p w14:paraId="133349F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关于竣工付款证书异议部分复核的方式和程序：</w:t>
      </w:r>
      <w:bookmarkStart w:id="877" w:name="OLE_LINK47"/>
      <w:r>
        <w:rPr>
          <w:rFonts w:hint="eastAsia" w:ascii="宋体" w:hAnsi="宋体" w:cs="宋体"/>
          <w:color w:val="auto"/>
          <w:highlight w:val="none"/>
          <w:u w:val="single"/>
        </w:rPr>
        <w:t>按通用条款，无特殊约定</w:t>
      </w:r>
      <w:bookmarkEnd w:id="877"/>
      <w:r>
        <w:rPr>
          <w:rFonts w:hint="eastAsia" w:ascii="宋体" w:hAnsi="宋体" w:cs="宋体"/>
          <w:color w:val="auto"/>
          <w:highlight w:val="none"/>
        </w:rPr>
        <w:t>。</w:t>
      </w:r>
    </w:p>
    <w:p w14:paraId="53DC8760">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14.4 最终结清</w:t>
      </w:r>
    </w:p>
    <w:p w14:paraId="61DA0AA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14.4.1 最终结清申请单</w:t>
      </w:r>
    </w:p>
    <w:p w14:paraId="565951B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承包人提交最终结清申请单的份数：</w:t>
      </w:r>
      <w:r>
        <w:rPr>
          <w:rFonts w:hint="eastAsia" w:ascii="宋体" w:hAnsi="宋体" w:cs="宋体"/>
          <w:color w:val="auto"/>
          <w:highlight w:val="none"/>
          <w:u w:val="single"/>
        </w:rPr>
        <w:t>一式四份</w:t>
      </w:r>
      <w:r>
        <w:rPr>
          <w:rFonts w:hint="eastAsia" w:ascii="宋体" w:hAnsi="宋体" w:cs="宋体"/>
          <w:color w:val="auto"/>
          <w:highlight w:val="none"/>
        </w:rPr>
        <w:t>。</w:t>
      </w:r>
    </w:p>
    <w:p w14:paraId="34C83F2C">
      <w:pPr>
        <w:pStyle w:val="501"/>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highlight w:val="none"/>
        </w:rPr>
        <w:t>承包人提交最终结算申请单的期限：</w:t>
      </w:r>
      <w:r>
        <w:rPr>
          <w:rFonts w:hint="eastAsia" w:ascii="宋体" w:hAnsi="宋体" w:cs="宋体"/>
          <w:color w:val="auto"/>
          <w:kern w:val="0"/>
          <w:szCs w:val="21"/>
          <w:highlight w:val="none"/>
          <w:u w:val="single"/>
        </w:rPr>
        <w:t>缺陷责任期终止证书签发后14天内向监理人提交4份竣工付款申请单及相关证明材料</w:t>
      </w:r>
      <w:r>
        <w:rPr>
          <w:rFonts w:hint="eastAsia" w:ascii="宋体" w:hAnsi="宋体" w:cs="宋体"/>
          <w:color w:val="auto"/>
          <w:szCs w:val="21"/>
          <w:highlight w:val="none"/>
        </w:rPr>
        <w:t>。</w:t>
      </w:r>
    </w:p>
    <w:p w14:paraId="36A86FE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14.4.2 最终结清证书和支付</w:t>
      </w:r>
    </w:p>
    <w:p w14:paraId="3485128E">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2A8333C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按财政付款程序办理相关支付手续</w:t>
      </w:r>
      <w:r>
        <w:rPr>
          <w:rFonts w:hint="eastAsia" w:ascii="宋体" w:hAnsi="宋体" w:cs="宋体"/>
          <w:color w:val="auto"/>
          <w:highlight w:val="none"/>
        </w:rPr>
        <w:t>。</w:t>
      </w:r>
    </w:p>
    <w:bookmarkEnd w:id="860"/>
    <w:bookmarkEnd w:id="861"/>
    <w:bookmarkEnd w:id="862"/>
    <w:bookmarkEnd w:id="863"/>
    <w:bookmarkEnd w:id="864"/>
    <w:bookmarkEnd w:id="865"/>
    <w:bookmarkEnd w:id="866"/>
    <w:bookmarkEnd w:id="872"/>
    <w:p w14:paraId="2C6C3016">
      <w:pPr>
        <w:pStyle w:val="497"/>
        <w:snapToGrid w:val="0"/>
        <w:jc w:val="left"/>
        <w:rPr>
          <w:rFonts w:ascii="宋体" w:hAnsi="宋体" w:cs="宋体"/>
          <w:b w:val="0"/>
          <w:color w:val="auto"/>
          <w:sz w:val="21"/>
          <w:szCs w:val="21"/>
          <w:highlight w:val="none"/>
        </w:rPr>
      </w:pPr>
      <w:bookmarkStart w:id="878" w:name="_Toc351203647"/>
      <w:bookmarkStart w:id="879" w:name="_Toc267251483"/>
      <w:bookmarkStart w:id="880" w:name="_Toc267251484"/>
      <w:bookmarkStart w:id="881" w:name="_Toc267251482"/>
      <w:bookmarkStart w:id="882" w:name="_Toc267251485"/>
      <w:bookmarkStart w:id="883" w:name="_Toc267251490"/>
      <w:bookmarkStart w:id="884" w:name="_Toc267251488"/>
      <w:bookmarkStart w:id="885" w:name="_Toc267251486"/>
      <w:bookmarkStart w:id="886" w:name="_Toc267251489"/>
      <w:bookmarkStart w:id="887" w:name="_Toc267251495"/>
      <w:bookmarkStart w:id="888" w:name="_Toc267251499"/>
      <w:bookmarkStart w:id="889" w:name="_Toc267251492"/>
      <w:bookmarkStart w:id="890" w:name="_Toc267251494"/>
      <w:bookmarkStart w:id="891" w:name="_Toc267251501"/>
      <w:bookmarkStart w:id="892" w:name="_Toc267251502"/>
      <w:bookmarkStart w:id="893" w:name="_Toc267251493"/>
      <w:bookmarkStart w:id="894" w:name="_Toc267251491"/>
      <w:bookmarkStart w:id="895" w:name="_Toc267251497"/>
      <w:bookmarkStart w:id="896" w:name="_Toc267251498"/>
      <w:bookmarkStart w:id="897" w:name="_Toc267251503"/>
      <w:bookmarkStart w:id="898" w:name="_Toc267251496"/>
      <w:bookmarkStart w:id="899" w:name="_Toc267251506"/>
      <w:bookmarkStart w:id="900" w:name="_Toc267251504"/>
      <w:bookmarkStart w:id="901" w:name="_Toc267251507"/>
      <w:bookmarkStart w:id="902" w:name="_Toc267251508"/>
      <w:bookmarkStart w:id="903" w:name="_Toc267251514"/>
      <w:bookmarkStart w:id="904" w:name="_Toc267251511"/>
      <w:bookmarkStart w:id="905" w:name="_Toc267251509"/>
      <w:bookmarkStart w:id="906" w:name="_Toc267251515"/>
      <w:bookmarkStart w:id="907" w:name="_Toc267251510"/>
      <w:bookmarkStart w:id="908" w:name="_Toc267251513"/>
      <w:r>
        <w:rPr>
          <w:rFonts w:hint="eastAsia" w:ascii="宋体" w:hAnsi="宋体" w:cs="宋体"/>
          <w:b w:val="0"/>
          <w:color w:val="auto"/>
          <w:sz w:val="21"/>
          <w:szCs w:val="21"/>
          <w:highlight w:val="none"/>
        </w:rPr>
        <w:t>15. 缺陷责任期与保修</w:t>
      </w:r>
      <w:bookmarkEnd w:id="878"/>
    </w:p>
    <w:p w14:paraId="5B29D7BE">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15.2缺陷责任期</w:t>
      </w:r>
      <w:bookmarkEnd w:id="879"/>
    </w:p>
    <w:p w14:paraId="40BF33E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12个月</w:t>
      </w:r>
      <w:r>
        <w:rPr>
          <w:rFonts w:hint="eastAsia" w:ascii="宋体" w:hAnsi="宋体" w:cs="宋体"/>
          <w:color w:val="auto"/>
          <w:highlight w:val="none"/>
        </w:rPr>
        <w:t>。</w:t>
      </w:r>
    </w:p>
    <w:p w14:paraId="51939A3E">
      <w:pPr>
        <w:pStyle w:val="393"/>
        <w:snapToGrid w:val="0"/>
        <w:spacing w:line="360" w:lineRule="auto"/>
        <w:jc w:val="left"/>
        <w:outlineLvl w:val="0"/>
        <w:rPr>
          <w:rFonts w:ascii="宋体" w:hAnsi="宋体" w:cs="宋体"/>
          <w:color w:val="auto"/>
          <w:highlight w:val="none"/>
        </w:rPr>
      </w:pPr>
      <w:bookmarkStart w:id="909" w:name="_Toc3680"/>
      <w:bookmarkStart w:id="910" w:name="_Toc24045"/>
      <w:r>
        <w:rPr>
          <w:rFonts w:hint="eastAsia" w:ascii="宋体" w:hAnsi="宋体" w:cs="宋体"/>
          <w:color w:val="auto"/>
          <w:highlight w:val="none"/>
        </w:rPr>
        <w:t>15.3 质量保证金</w:t>
      </w:r>
      <w:bookmarkEnd w:id="909"/>
      <w:bookmarkEnd w:id="910"/>
    </w:p>
    <w:p w14:paraId="2155B05F">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扣留</w:t>
      </w:r>
      <w:r>
        <w:rPr>
          <w:rFonts w:hint="eastAsia" w:ascii="宋体" w:hAnsi="宋体" w:cs="宋体"/>
          <w:color w:val="auto"/>
          <w:highlight w:val="none"/>
        </w:rPr>
        <w:t>。</w:t>
      </w:r>
    </w:p>
    <w:p w14:paraId="1F1C520D">
      <w:pPr>
        <w:pStyle w:val="393"/>
        <w:snapToGrid w:val="0"/>
        <w:spacing w:line="360" w:lineRule="auto"/>
        <w:ind w:firstLine="420" w:firstLineChars="200"/>
        <w:jc w:val="left"/>
        <w:outlineLvl w:val="0"/>
        <w:rPr>
          <w:rFonts w:ascii="宋体" w:hAnsi="宋体" w:cs="宋体"/>
          <w:color w:val="auto"/>
          <w:highlight w:val="none"/>
        </w:rPr>
      </w:pPr>
      <w:bookmarkStart w:id="911" w:name="_Toc2443"/>
      <w:bookmarkStart w:id="912" w:name="_Toc8542"/>
      <w:r>
        <w:rPr>
          <w:rFonts w:hint="eastAsia" w:ascii="宋体" w:hAnsi="宋体" w:cs="宋体"/>
          <w:color w:val="auto"/>
          <w:highlight w:val="none"/>
        </w:rPr>
        <w:t>15.3.1 承包人提供质量保证金的方式</w:t>
      </w:r>
      <w:bookmarkEnd w:id="911"/>
      <w:bookmarkEnd w:id="912"/>
    </w:p>
    <w:p w14:paraId="1A3CC4D1">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37DC5F0B">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（1）质量保证金保函，保证金额为：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07BAF12F">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3 </w:t>
      </w:r>
      <w:r>
        <w:rPr>
          <w:rFonts w:hint="eastAsia" w:ascii="宋体" w:hAnsi="宋体" w:cs="宋体"/>
          <w:color w:val="auto"/>
          <w:kern w:val="0"/>
          <w:highlight w:val="none"/>
        </w:rPr>
        <w:t>%的工程款；</w:t>
      </w:r>
    </w:p>
    <w:p w14:paraId="3C291C7E">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0FDCC310">
      <w:pPr>
        <w:pStyle w:val="393"/>
        <w:snapToGrid w:val="0"/>
        <w:spacing w:line="360" w:lineRule="auto"/>
        <w:ind w:firstLine="420" w:firstLineChars="200"/>
        <w:jc w:val="left"/>
        <w:outlineLvl w:val="0"/>
        <w:rPr>
          <w:rFonts w:ascii="宋体" w:hAnsi="宋体" w:cs="宋体"/>
          <w:color w:val="auto"/>
          <w:highlight w:val="none"/>
        </w:rPr>
      </w:pPr>
      <w:bookmarkStart w:id="913" w:name="_Toc14464"/>
      <w:bookmarkStart w:id="914" w:name="_Toc20484"/>
      <w:r>
        <w:rPr>
          <w:rFonts w:hint="eastAsia" w:ascii="宋体" w:hAnsi="宋体" w:cs="宋体"/>
          <w:color w:val="auto"/>
          <w:highlight w:val="none"/>
        </w:rPr>
        <w:t>15.3.2 质量保证金的扣留</w:t>
      </w:r>
      <w:bookmarkEnd w:id="913"/>
      <w:bookmarkEnd w:id="914"/>
      <w:r>
        <w:rPr>
          <w:rFonts w:hint="eastAsia" w:ascii="宋体" w:hAnsi="宋体" w:cs="宋体"/>
          <w:color w:val="auto"/>
          <w:highlight w:val="none"/>
        </w:rPr>
        <w:t xml:space="preserve"> </w:t>
      </w:r>
    </w:p>
    <w:p w14:paraId="76B0042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7D9A9783">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（1）在支付工程进度款时逐次扣留，在此情形下，质量保证金的计算基数不包括预付款的支付、扣回以及价格调整的金额；</w:t>
      </w:r>
    </w:p>
    <w:p w14:paraId="02587119">
      <w:pPr>
        <w:pStyle w:val="393"/>
        <w:autoSpaceDE w:val="0"/>
        <w:autoSpaceDN w:val="0"/>
        <w:adjustRightInd w:val="0"/>
        <w:snapToGrid w:val="0"/>
        <w:spacing w:line="360" w:lineRule="auto"/>
        <w:ind w:firstLine="420" w:firstLineChars="200"/>
        <w:jc w:val="left"/>
        <w:outlineLvl w:val="0"/>
        <w:rPr>
          <w:rFonts w:ascii="宋体" w:hAnsi="宋体" w:cs="宋体"/>
          <w:color w:val="auto"/>
          <w:kern w:val="0"/>
          <w:highlight w:val="none"/>
        </w:rPr>
      </w:pPr>
      <w:bookmarkStart w:id="915" w:name="_Toc4185"/>
      <w:bookmarkStart w:id="916" w:name="_Toc31978"/>
      <w:r>
        <w:rPr>
          <w:rFonts w:hint="eastAsia" w:ascii="宋体" w:hAnsi="宋体" w:cs="宋体"/>
          <w:color w:val="auto"/>
          <w:kern w:val="0"/>
          <w:highlight w:val="none"/>
        </w:rPr>
        <w:t>（2）工程竣工结算时一次性扣留质量保证金；</w:t>
      </w:r>
      <w:bookmarkEnd w:id="915"/>
      <w:bookmarkEnd w:id="916"/>
    </w:p>
    <w:p w14:paraId="156172F2">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（3）其他扣留方式: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617BCDE4">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关于质量保证金的补充约定：</w:t>
      </w:r>
      <w:r>
        <w:rPr>
          <w:rFonts w:hint="eastAsia" w:ascii="宋体" w:hAnsi="宋体" w:cs="宋体"/>
          <w:color w:val="auto"/>
          <w:highlight w:val="none"/>
          <w:u w:val="single"/>
        </w:rPr>
        <w:t>本工程双方约定质保金为工程结算总造价的3%；待取得工程竣工验收证书之日起到</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年</w:t>
      </w:r>
      <w:r>
        <w:rPr>
          <w:rFonts w:hint="eastAsia" w:ascii="宋体" w:hAnsi="宋体" w:cs="宋体"/>
          <w:bCs/>
          <w:color w:val="auto"/>
          <w:highlight w:val="none"/>
          <w:u w:val="single"/>
        </w:rPr>
        <w:t>缺陷责任期</w:t>
      </w:r>
      <w:r>
        <w:rPr>
          <w:rFonts w:hint="eastAsia" w:ascii="宋体" w:hAnsi="宋体" w:cs="宋体"/>
          <w:color w:val="auto"/>
          <w:highlight w:val="none"/>
          <w:u w:val="single"/>
        </w:rPr>
        <w:t>满后，如无质量问题14日内一次性付清（无息）</w:t>
      </w:r>
      <w:r>
        <w:rPr>
          <w:rFonts w:hint="eastAsia" w:ascii="宋体" w:hAnsi="宋体" w:cs="宋体"/>
          <w:color w:val="auto"/>
          <w:kern w:val="0"/>
          <w:highlight w:val="none"/>
        </w:rPr>
        <w:t>。</w:t>
      </w:r>
    </w:p>
    <w:p w14:paraId="1E07FAAB">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1%/日计罚。</w:t>
      </w:r>
    </w:p>
    <w:bookmarkEnd w:id="880"/>
    <w:bookmarkEnd w:id="881"/>
    <w:p w14:paraId="057B4998">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15.4保修</w:t>
      </w:r>
    </w:p>
    <w:bookmarkEnd w:id="882"/>
    <w:p w14:paraId="575F3713">
      <w:pPr>
        <w:pStyle w:val="393"/>
        <w:snapToGrid w:val="0"/>
        <w:spacing w:line="360" w:lineRule="auto"/>
        <w:ind w:firstLine="409" w:firstLineChars="195"/>
        <w:jc w:val="left"/>
        <w:rPr>
          <w:rFonts w:ascii="宋体" w:hAnsi="宋体" w:cs="宋体"/>
          <w:color w:val="auto"/>
          <w:highlight w:val="none"/>
        </w:rPr>
      </w:pPr>
      <w:r>
        <w:rPr>
          <w:rFonts w:hint="eastAsia" w:ascii="宋体" w:hAnsi="宋体" w:cs="宋体"/>
          <w:color w:val="auto"/>
          <w:highlight w:val="none"/>
        </w:rPr>
        <w:t>15.4.1 保修责任</w:t>
      </w:r>
    </w:p>
    <w:p w14:paraId="0B6F0731">
      <w:pPr>
        <w:pStyle w:val="393"/>
        <w:snapToGrid w:val="0"/>
        <w:spacing w:line="360" w:lineRule="auto"/>
        <w:ind w:firstLine="409" w:firstLineChars="195"/>
        <w:jc w:val="left"/>
        <w:rPr>
          <w:rFonts w:ascii="宋体" w:hAnsi="宋体" w:cs="宋体"/>
          <w:color w:val="auto"/>
          <w:kern w:val="0"/>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详见《工程质量保修书》</w:t>
      </w:r>
      <w:r>
        <w:rPr>
          <w:rFonts w:hint="eastAsia" w:ascii="宋体" w:hAnsi="宋体" w:cs="宋体"/>
          <w:color w:val="auto"/>
          <w:kern w:val="0"/>
          <w:highlight w:val="none"/>
        </w:rPr>
        <w:t>。</w:t>
      </w:r>
    </w:p>
    <w:p w14:paraId="1B10819D">
      <w:pPr>
        <w:pStyle w:val="393"/>
        <w:snapToGrid w:val="0"/>
        <w:spacing w:line="360" w:lineRule="auto"/>
        <w:ind w:firstLine="409" w:firstLineChars="195"/>
        <w:jc w:val="left"/>
        <w:rPr>
          <w:rFonts w:ascii="宋体" w:hAnsi="宋体" w:cs="宋体"/>
          <w:color w:val="auto"/>
          <w:highlight w:val="none"/>
        </w:rPr>
      </w:pPr>
      <w:r>
        <w:rPr>
          <w:rFonts w:hint="eastAsia" w:ascii="宋体" w:hAnsi="宋体" w:cs="宋体"/>
          <w:color w:val="auto"/>
          <w:highlight w:val="none"/>
        </w:rPr>
        <w:t>15.4.3 修复通知</w:t>
      </w:r>
    </w:p>
    <w:p w14:paraId="65D37F75">
      <w:pPr>
        <w:pStyle w:val="393"/>
        <w:snapToGrid w:val="0"/>
        <w:spacing w:line="360" w:lineRule="auto"/>
        <w:ind w:firstLine="409" w:firstLineChars="195"/>
        <w:jc w:val="left"/>
        <w:rPr>
          <w:rFonts w:ascii="宋体" w:hAnsi="宋体" w:cs="宋体"/>
          <w:color w:val="auto"/>
          <w:kern w:val="0"/>
          <w:highlight w:val="none"/>
        </w:rPr>
      </w:pPr>
      <w:r>
        <w:rPr>
          <w:rFonts w:hint="eastAsia" w:ascii="宋体" w:hAnsi="宋体" w:cs="宋体"/>
          <w:color w:val="auto"/>
          <w:kern w:val="0"/>
          <w:highlight w:val="none"/>
        </w:rPr>
        <w:t>承包人收到保修通知并到达工程现场的合理时间：</w:t>
      </w:r>
      <w:r>
        <w:rPr>
          <w:rFonts w:hint="eastAsia" w:ascii="宋体" w:hAnsi="宋体" w:cs="宋体"/>
          <w:color w:val="auto"/>
          <w:highlight w:val="none"/>
          <w:u w:val="single"/>
        </w:rPr>
        <w:t>24小时</w:t>
      </w:r>
      <w:r>
        <w:rPr>
          <w:rFonts w:hint="eastAsia" w:ascii="宋体" w:hAnsi="宋体" w:cs="宋体"/>
          <w:color w:val="auto"/>
          <w:kern w:val="0"/>
          <w:highlight w:val="none"/>
        </w:rPr>
        <w:t>。</w:t>
      </w:r>
    </w:p>
    <w:bookmarkEnd w:id="883"/>
    <w:bookmarkEnd w:id="884"/>
    <w:bookmarkEnd w:id="885"/>
    <w:bookmarkEnd w:id="886"/>
    <w:p w14:paraId="5EC50F4A">
      <w:pPr>
        <w:pStyle w:val="497"/>
        <w:snapToGrid w:val="0"/>
        <w:jc w:val="left"/>
        <w:rPr>
          <w:rFonts w:ascii="宋体" w:hAnsi="宋体" w:cs="宋体"/>
          <w:b w:val="0"/>
          <w:color w:val="auto"/>
          <w:sz w:val="21"/>
          <w:szCs w:val="21"/>
          <w:highlight w:val="none"/>
        </w:rPr>
      </w:pPr>
      <w:bookmarkStart w:id="917" w:name="_Toc351203648"/>
      <w:bookmarkStart w:id="918" w:name="_Toc280868717"/>
      <w:bookmarkStart w:id="919" w:name="_Toc280868718"/>
      <w:r>
        <w:rPr>
          <w:rFonts w:hint="eastAsia" w:ascii="宋体" w:hAnsi="宋体" w:cs="宋体"/>
          <w:b w:val="0"/>
          <w:color w:val="auto"/>
          <w:sz w:val="21"/>
          <w:szCs w:val="21"/>
          <w:highlight w:val="none"/>
        </w:rPr>
        <w:t>16. 违约</w:t>
      </w:r>
      <w:bookmarkEnd w:id="917"/>
    </w:p>
    <w:p w14:paraId="7CF21938">
      <w:pPr>
        <w:pStyle w:val="393"/>
        <w:snapToGrid w:val="0"/>
        <w:spacing w:line="360" w:lineRule="auto"/>
        <w:jc w:val="left"/>
        <w:outlineLvl w:val="0"/>
        <w:rPr>
          <w:rFonts w:ascii="宋体" w:hAnsi="宋体" w:cs="宋体"/>
          <w:color w:val="auto"/>
          <w:highlight w:val="none"/>
        </w:rPr>
      </w:pPr>
      <w:bookmarkStart w:id="920" w:name="_Toc18352"/>
      <w:bookmarkStart w:id="921" w:name="_Toc8463"/>
      <w:r>
        <w:rPr>
          <w:rFonts w:hint="eastAsia" w:ascii="宋体" w:hAnsi="宋体" w:cs="宋体"/>
          <w:color w:val="auto"/>
          <w:highlight w:val="none"/>
        </w:rPr>
        <w:t>16.1 发包人违约</w:t>
      </w:r>
      <w:bookmarkEnd w:id="920"/>
      <w:bookmarkEnd w:id="921"/>
    </w:p>
    <w:p w14:paraId="0BEC788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16.1.1发包人违约的情形</w:t>
      </w:r>
    </w:p>
    <w:p w14:paraId="187ADCD7">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按通用条款执行</w:t>
      </w:r>
      <w:r>
        <w:rPr>
          <w:rFonts w:hint="eastAsia" w:ascii="宋体" w:hAnsi="宋体" w:cs="宋体"/>
          <w:color w:val="auto"/>
          <w:kern w:val="0"/>
          <w:highlight w:val="none"/>
        </w:rPr>
        <w:t>。</w:t>
      </w:r>
    </w:p>
    <w:p w14:paraId="5FE59A4E">
      <w:pPr>
        <w:pStyle w:val="393"/>
        <w:snapToGrid w:val="0"/>
        <w:spacing w:line="360" w:lineRule="auto"/>
        <w:ind w:left="1050" w:hanging="1050" w:hangingChars="500"/>
        <w:jc w:val="left"/>
        <w:rPr>
          <w:rFonts w:ascii="宋体" w:hAnsi="宋体" w:cs="宋体"/>
          <w:color w:val="auto"/>
          <w:kern w:val="0"/>
          <w:highlight w:val="none"/>
        </w:rPr>
      </w:pPr>
      <w:r>
        <w:rPr>
          <w:rFonts w:hint="eastAsia" w:ascii="宋体" w:hAnsi="宋体" w:cs="宋体"/>
          <w:color w:val="auto"/>
          <w:kern w:val="0"/>
          <w:highlight w:val="none"/>
        </w:rPr>
        <w:t xml:space="preserve">    16.1.2 发包人违约的责任</w:t>
      </w:r>
    </w:p>
    <w:p w14:paraId="101A8DBD">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75847471">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 xml:space="preserve">按通用条款执行  </w:t>
      </w:r>
      <w:r>
        <w:rPr>
          <w:rFonts w:hint="eastAsia" w:ascii="宋体" w:hAnsi="宋体" w:cs="宋体"/>
          <w:color w:val="auto"/>
          <w:kern w:val="0"/>
          <w:highlight w:val="none"/>
        </w:rPr>
        <w:t>。</w:t>
      </w:r>
    </w:p>
    <w:p w14:paraId="1A62F28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每延误一天，按合同价款扣除社会保险费、发包人材料价款、暂估专业工程、暂列金额后的</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w:t>
      </w:r>
      <w:r>
        <w:rPr>
          <w:rFonts w:hint="eastAsia" w:ascii="宋体" w:hAnsi="宋体" w:cs="宋体"/>
          <w:color w:val="auto"/>
          <w:kern w:val="0"/>
          <w:highlight w:val="none"/>
          <w:u w:val="single"/>
        </w:rPr>
        <w:t xml:space="preserve">向承包人支付违约金，工期相应顺延  </w:t>
      </w:r>
      <w:r>
        <w:rPr>
          <w:rFonts w:hint="eastAsia" w:ascii="宋体" w:hAnsi="宋体" w:cs="宋体"/>
          <w:color w:val="auto"/>
          <w:kern w:val="0"/>
          <w:highlight w:val="none"/>
        </w:rPr>
        <w:t>。</w:t>
      </w:r>
    </w:p>
    <w:p w14:paraId="5322C0CF">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kern w:val="0"/>
          <w:highlight w:val="none"/>
          <w:u w:val="single"/>
        </w:rPr>
        <w:t xml:space="preserve">按通用条款执行  </w:t>
      </w:r>
      <w:r>
        <w:rPr>
          <w:rFonts w:hint="eastAsia" w:ascii="宋体" w:hAnsi="宋体" w:cs="宋体"/>
          <w:color w:val="auto"/>
          <w:kern w:val="0"/>
          <w:highlight w:val="none"/>
        </w:rPr>
        <w:t>。</w:t>
      </w:r>
    </w:p>
    <w:p w14:paraId="734AD899">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highlight w:val="none"/>
          <w:u w:val="single"/>
        </w:rPr>
        <w:t xml:space="preserve">  导致承包人无法正常施工的，延误工期顺延  </w:t>
      </w:r>
      <w:r>
        <w:rPr>
          <w:rFonts w:hint="eastAsia" w:ascii="宋体" w:hAnsi="宋体" w:cs="宋体"/>
          <w:color w:val="auto"/>
          <w:kern w:val="0"/>
          <w:highlight w:val="none"/>
        </w:rPr>
        <w:t>。</w:t>
      </w:r>
    </w:p>
    <w:p w14:paraId="2B95FCAF">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 xml:space="preserve">  致承包人发生的误工及机械闲置费用、脚手架租赁费用等现场核准由发包人承担，工期顺延  </w:t>
      </w:r>
      <w:r>
        <w:rPr>
          <w:rFonts w:hint="eastAsia" w:ascii="宋体" w:hAnsi="宋体" w:cs="宋体"/>
          <w:color w:val="auto"/>
          <w:kern w:val="0"/>
          <w:highlight w:val="none"/>
        </w:rPr>
        <w:t>。</w:t>
      </w:r>
    </w:p>
    <w:p w14:paraId="7CD5EB0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0BD70A33">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（7）其他：</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939DDE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16.1.3 因发包人违约解除合同</w:t>
      </w:r>
    </w:p>
    <w:p w14:paraId="495412FD">
      <w:pPr>
        <w:pStyle w:val="393"/>
        <w:autoSpaceDE w:val="0"/>
        <w:autoSpaceDN w:val="0"/>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28 </w:t>
      </w:r>
      <w:r>
        <w:rPr>
          <w:rFonts w:hint="eastAsia" w:ascii="宋体" w:hAnsi="宋体" w:cs="宋体"/>
          <w:color w:val="auto"/>
          <w:kern w:val="0"/>
          <w:highlight w:val="none"/>
        </w:rPr>
        <w:t>天后发包人仍不纠正其违约行为并致使合同目的不能实现的，承包人有权解除合同。</w:t>
      </w:r>
    </w:p>
    <w:p w14:paraId="5A1AACD8">
      <w:pPr>
        <w:pStyle w:val="393"/>
        <w:snapToGrid w:val="0"/>
        <w:spacing w:line="360" w:lineRule="auto"/>
        <w:jc w:val="left"/>
        <w:outlineLvl w:val="0"/>
        <w:rPr>
          <w:rFonts w:ascii="宋体" w:hAnsi="宋体" w:cs="宋体"/>
          <w:color w:val="auto"/>
          <w:highlight w:val="none"/>
        </w:rPr>
      </w:pPr>
      <w:bookmarkStart w:id="922" w:name="_Toc4864"/>
      <w:bookmarkStart w:id="923" w:name="_Toc16129"/>
      <w:r>
        <w:rPr>
          <w:rFonts w:hint="eastAsia" w:ascii="宋体" w:hAnsi="宋体" w:cs="宋体"/>
          <w:color w:val="auto"/>
          <w:highlight w:val="none"/>
        </w:rPr>
        <w:t>16.2 承包人违约</w:t>
      </w:r>
      <w:bookmarkEnd w:id="922"/>
      <w:bookmarkEnd w:id="923"/>
    </w:p>
    <w:p w14:paraId="11FD16B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16.2.1 承包人违约的情形</w:t>
      </w:r>
    </w:p>
    <w:p w14:paraId="4D8904B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承包人违约的其他情形：</w:t>
      </w:r>
      <w:r>
        <w:rPr>
          <w:rFonts w:hint="eastAsia" w:ascii="宋体" w:hAnsi="宋体" w:cs="宋体"/>
          <w:color w:val="auto"/>
          <w:highlight w:val="none"/>
          <w:u w:val="single"/>
        </w:rPr>
        <w:t>按通用条款,无特殊约定</w:t>
      </w:r>
      <w:r>
        <w:rPr>
          <w:rFonts w:hint="eastAsia" w:ascii="宋体" w:hAnsi="宋体" w:cs="宋体"/>
          <w:color w:val="auto"/>
          <w:kern w:val="0"/>
          <w:highlight w:val="none"/>
        </w:rPr>
        <w:t>。</w:t>
      </w:r>
    </w:p>
    <w:p w14:paraId="3316047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16.2.2承包人违约的责任</w:t>
      </w:r>
    </w:p>
    <w:p w14:paraId="3B87A467">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承包人违约责任的承担方式和计算方法：</w:t>
      </w:r>
    </w:p>
    <w:p w14:paraId="1A112DD6">
      <w:pPr>
        <w:pStyle w:val="393"/>
        <w:snapToGrid w:val="0"/>
        <w:spacing w:line="360" w:lineRule="auto"/>
        <w:ind w:firstLine="525" w:firstLineChars="250"/>
        <w:jc w:val="left"/>
        <w:rPr>
          <w:rFonts w:ascii="宋体" w:hAnsi="宋体" w:cs="宋体"/>
          <w:color w:val="auto"/>
          <w:highlight w:val="none"/>
          <w:u w:val="single"/>
        </w:rPr>
      </w:pPr>
      <w:r>
        <w:rPr>
          <w:rFonts w:hint="eastAsia" w:ascii="宋体" w:hAnsi="宋体" w:cs="宋体"/>
          <w:color w:val="auto"/>
          <w:kern w:val="0"/>
          <w:highlight w:val="none"/>
          <w:u w:val="single"/>
        </w:rPr>
        <w:t>（1）</w:t>
      </w:r>
      <w:r>
        <w:rPr>
          <w:rFonts w:hint="eastAsia" w:ascii="宋体" w:hAnsi="宋体" w:cs="宋体"/>
          <w:color w:val="auto"/>
          <w:highlight w:val="none"/>
          <w:u w:val="single"/>
        </w:rPr>
        <w:t>承包人未按本合同通用条款第16.2.1（2）、（3）条内容完成的，承包人无条件返工处理。修复至工程质量要求并承担相关费用，并在发包人规定的时间内完成返工，否则发包人有权扣罚该分项工程2%的工程款作为处罚。如承包人拒不整改，发包人将在付款和结算时扣除涉及未整改的相应清单项目的全部费用，承包人还须承担由此产生的相应后果。</w:t>
      </w:r>
    </w:p>
    <w:p w14:paraId="5E56D4FE">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（2）承包人有本合同通用条款第16.2.1（6）条情形的，或经监理人检验认为修复质量不合格而承包人拒绝再进行修补的，发包人将扣除承包人全部质量保修金。</w:t>
      </w:r>
    </w:p>
    <w:p w14:paraId="1F0F6FF7">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cs="宋体"/>
          <w:color w:val="auto"/>
          <w:kern w:val="0"/>
          <w:highlight w:val="none"/>
        </w:rPr>
        <w:t>。</w:t>
      </w:r>
      <w:r>
        <w:rPr>
          <w:rFonts w:hint="eastAsia" w:ascii="宋体" w:hAnsi="宋体" w:cs="宋体"/>
          <w:color w:val="auto"/>
          <w:highlight w:val="none"/>
        </w:rPr>
        <w:t xml:space="preserve">    </w:t>
      </w:r>
    </w:p>
    <w:p w14:paraId="291D5A34">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16.2.3 因承包人违约解除合同</w:t>
      </w:r>
    </w:p>
    <w:p w14:paraId="3F0B985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color w:val="auto"/>
          <w:highlight w:val="none"/>
          <w:u w:val="single"/>
        </w:rPr>
        <w:t>承包人有违反以下情况之一的，发包人有权解除合同，并没收其全部履约保证金</w:t>
      </w:r>
      <w:r>
        <w:rPr>
          <w:rFonts w:hint="eastAsia" w:ascii="宋体" w:hAnsi="宋体" w:cs="宋体"/>
          <w:color w:val="auto"/>
          <w:kern w:val="0"/>
          <w:highlight w:val="none"/>
        </w:rPr>
        <w:t>。</w:t>
      </w:r>
    </w:p>
    <w:p w14:paraId="020E4D09">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(1)承包人无正当理由不按开工通知的要求及时进场组织施工和不按签订协议书时商定的进度计划有效地开展施工准备，造成工期延误的；</w:t>
      </w:r>
    </w:p>
    <w:p w14:paraId="0821AD16">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(2)承包人违反本合同通用条款第3.5条规定私自将合同或合同的任何部分或任何权利转让给其他人，或私自将工程或工程的一部分分包出去的；</w:t>
      </w:r>
    </w:p>
    <w:p w14:paraId="18CB08F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(3)未经监理人批准，承包人私自将已按投标文件承诺进入工地的工程设备、施工设备、临时工程或材料撤离工地的；</w:t>
      </w:r>
    </w:p>
    <w:p w14:paraId="012BE889">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(4)由于承包人原因拒绝按合同进度计划及时完成合同规定的工程，而又未采取有效措施赶上进度，造成工期严重延误的；</w:t>
      </w:r>
    </w:p>
    <w:p w14:paraId="4140365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(5)承包人否认合同有效或拒绝履行合同规定的承包人义务，或由于法律、财务等原因导致承包人无法继续履行或实质上已停止履行合同的义务的；</w:t>
      </w:r>
    </w:p>
    <w:p w14:paraId="409076B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(6)合同签订之日起十五日内，</w:t>
      </w:r>
      <w:r>
        <w:rPr>
          <w:rFonts w:hint="eastAsia" w:ascii="宋体" w:hAnsi="宋体" w:cs="宋体"/>
          <w:color w:val="auto"/>
          <w:highlight w:val="none"/>
        </w:rPr>
        <w:t>项目具备进场条件，如承包人无法按照合同规定</w:t>
      </w:r>
      <w:r>
        <w:rPr>
          <w:rFonts w:hint="eastAsia" w:ascii="宋体" w:hAnsi="宋体" w:cs="宋体"/>
          <w:color w:val="auto"/>
          <w:kern w:val="0"/>
          <w:highlight w:val="none"/>
        </w:rPr>
        <w:t>及投标文件的承诺进场经监理工程师认可的全部人员和机械的。</w:t>
      </w:r>
    </w:p>
    <w:p w14:paraId="406E1271">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双方另行协商</w:t>
      </w:r>
      <w:r>
        <w:rPr>
          <w:rFonts w:hint="eastAsia" w:ascii="宋体" w:hAnsi="宋体" w:cs="宋体"/>
          <w:color w:val="auto"/>
          <w:kern w:val="0"/>
          <w:highlight w:val="none"/>
        </w:rPr>
        <w:t>。</w:t>
      </w:r>
    </w:p>
    <w:p w14:paraId="6817D679">
      <w:pPr>
        <w:pStyle w:val="497"/>
        <w:snapToGrid w:val="0"/>
        <w:jc w:val="left"/>
        <w:rPr>
          <w:rFonts w:ascii="宋体" w:hAnsi="宋体" w:cs="宋体"/>
          <w:b w:val="0"/>
          <w:color w:val="auto"/>
          <w:sz w:val="21"/>
          <w:szCs w:val="21"/>
          <w:highlight w:val="none"/>
        </w:rPr>
      </w:pPr>
      <w:bookmarkStart w:id="924" w:name="_Toc351203649"/>
      <w:r>
        <w:rPr>
          <w:rFonts w:hint="eastAsia" w:ascii="宋体" w:hAnsi="宋体" w:cs="宋体"/>
          <w:b w:val="0"/>
          <w:color w:val="auto"/>
          <w:sz w:val="21"/>
          <w:szCs w:val="21"/>
          <w:highlight w:val="none"/>
        </w:rPr>
        <w:t>17. 不可抗力</w:t>
      </w:r>
      <w:bookmarkEnd w:id="924"/>
      <w:r>
        <w:rPr>
          <w:rFonts w:hint="eastAsia" w:ascii="宋体" w:hAnsi="宋体" w:cs="宋体"/>
          <w:b w:val="0"/>
          <w:color w:val="auto"/>
          <w:sz w:val="21"/>
          <w:szCs w:val="21"/>
          <w:highlight w:val="none"/>
        </w:rPr>
        <w:t xml:space="preserve"> </w:t>
      </w:r>
      <w:bookmarkEnd w:id="918"/>
    </w:p>
    <w:p w14:paraId="07481E2A">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17.1 不可抗力的确认</w:t>
      </w:r>
    </w:p>
    <w:p w14:paraId="5459A341">
      <w:pPr>
        <w:pStyle w:val="393"/>
        <w:snapToGrid w:val="0"/>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  包括因战争、恐怖主义、动乱、空中飞行物体坠落或其他非发包人、承包人责任造成的爆炸、停工、火灾，以及：1、当地气象部门规定的情形；2、当地地震部门规定的情形；3、当地卫生部门规定的情形；4、疫情；5、其他不可预见，不能避免不能克服的事件 </w:t>
      </w:r>
      <w:r>
        <w:rPr>
          <w:rFonts w:hint="eastAsia" w:ascii="宋体" w:hAnsi="宋体" w:cs="宋体"/>
          <w:color w:val="auto"/>
          <w:kern w:val="0"/>
          <w:highlight w:val="none"/>
        </w:rPr>
        <w:t>。</w:t>
      </w:r>
    </w:p>
    <w:p w14:paraId="13F3FDA4">
      <w:pPr>
        <w:pStyle w:val="393"/>
        <w:snapToGrid w:val="0"/>
        <w:spacing w:line="360" w:lineRule="auto"/>
        <w:jc w:val="left"/>
        <w:outlineLvl w:val="0"/>
        <w:rPr>
          <w:rFonts w:ascii="宋体" w:hAnsi="宋体" w:cs="宋体"/>
          <w:color w:val="auto"/>
          <w:highlight w:val="none"/>
        </w:rPr>
      </w:pPr>
      <w:bookmarkStart w:id="925" w:name="_Toc13076"/>
      <w:bookmarkStart w:id="926" w:name="_Toc17766"/>
      <w:r>
        <w:rPr>
          <w:rFonts w:hint="eastAsia" w:ascii="宋体" w:hAnsi="宋体" w:cs="宋体"/>
          <w:color w:val="auto"/>
          <w:highlight w:val="none"/>
        </w:rPr>
        <w:t>17.4 因不可抗力解除合同</w:t>
      </w:r>
      <w:bookmarkEnd w:id="925"/>
      <w:bookmarkEnd w:id="926"/>
    </w:p>
    <w:p w14:paraId="15076A2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28</w:t>
      </w:r>
      <w:r>
        <w:rPr>
          <w:rFonts w:hint="eastAsia" w:ascii="宋体" w:hAnsi="宋体" w:cs="宋体"/>
          <w:color w:val="auto"/>
          <w:highlight w:val="none"/>
        </w:rPr>
        <w:t>天内完成款项的支付。</w:t>
      </w:r>
    </w:p>
    <w:p w14:paraId="4D76AD49">
      <w:pPr>
        <w:pStyle w:val="497"/>
        <w:snapToGrid w:val="0"/>
        <w:jc w:val="left"/>
        <w:rPr>
          <w:rFonts w:ascii="宋体" w:hAnsi="宋体" w:cs="宋体"/>
          <w:b w:val="0"/>
          <w:color w:val="auto"/>
          <w:sz w:val="21"/>
          <w:szCs w:val="21"/>
          <w:highlight w:val="none"/>
        </w:rPr>
      </w:pPr>
      <w:bookmarkStart w:id="927" w:name="_Toc351203650"/>
      <w:r>
        <w:rPr>
          <w:rFonts w:hint="eastAsia" w:ascii="宋体" w:hAnsi="宋体" w:cs="宋体"/>
          <w:b w:val="0"/>
          <w:color w:val="auto"/>
          <w:sz w:val="21"/>
          <w:szCs w:val="21"/>
          <w:highlight w:val="none"/>
        </w:rPr>
        <w:t>18. 保险</w:t>
      </w:r>
      <w:bookmarkEnd w:id="927"/>
    </w:p>
    <w:bookmarkEnd w:id="919"/>
    <w:p w14:paraId="18504DAC">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18.1 工程保险</w:t>
      </w:r>
    </w:p>
    <w:p w14:paraId="6AF701B7">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8A79802">
      <w:pPr>
        <w:pStyle w:val="393"/>
        <w:snapToGrid w:val="0"/>
        <w:spacing w:line="360" w:lineRule="auto"/>
        <w:jc w:val="left"/>
        <w:outlineLvl w:val="0"/>
        <w:rPr>
          <w:rFonts w:ascii="宋体" w:hAnsi="宋体" w:cs="宋体"/>
          <w:color w:val="auto"/>
          <w:highlight w:val="none"/>
        </w:rPr>
      </w:pPr>
      <w:bookmarkStart w:id="928" w:name="_Toc26106"/>
      <w:bookmarkStart w:id="929" w:name="_Toc30777"/>
      <w:r>
        <w:rPr>
          <w:rFonts w:hint="eastAsia" w:ascii="宋体" w:hAnsi="宋体" w:cs="宋体"/>
          <w:color w:val="auto"/>
          <w:highlight w:val="none"/>
        </w:rPr>
        <w:t>18.3 其他保险</w:t>
      </w:r>
      <w:bookmarkEnd w:id="928"/>
      <w:bookmarkEnd w:id="929"/>
    </w:p>
    <w:p w14:paraId="0585D992">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关于其他保险的约定：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71CF4A18">
      <w:pPr>
        <w:pStyle w:val="393"/>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p w14:paraId="739AAF85">
      <w:pPr>
        <w:pStyle w:val="393"/>
        <w:snapToGrid w:val="0"/>
        <w:spacing w:line="360" w:lineRule="auto"/>
        <w:jc w:val="left"/>
        <w:rPr>
          <w:rFonts w:ascii="宋体" w:hAnsi="宋体" w:cs="宋体"/>
          <w:color w:val="auto"/>
          <w:highlight w:val="none"/>
        </w:rPr>
      </w:pPr>
      <w:r>
        <w:rPr>
          <w:rFonts w:hint="eastAsia" w:ascii="宋体" w:hAnsi="宋体" w:cs="宋体"/>
          <w:color w:val="auto"/>
          <w:highlight w:val="none"/>
        </w:rPr>
        <w:t>18.7 通知义务</w:t>
      </w:r>
    </w:p>
    <w:p w14:paraId="00B3660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关于变更保险合同时的通知义务的约定：</w:t>
      </w:r>
      <w:r>
        <w:rPr>
          <w:rFonts w:hint="eastAsia" w:ascii="宋体" w:hAnsi="宋体" w:cs="宋体"/>
          <w:color w:val="auto"/>
          <w:highlight w:val="none"/>
          <w:u w:val="single"/>
        </w:rPr>
        <w:t>按通用条款，无特殊约定</w:t>
      </w:r>
      <w:r>
        <w:rPr>
          <w:rFonts w:hint="eastAsia" w:ascii="宋体" w:hAnsi="宋体" w:cs="宋体"/>
          <w:color w:val="auto"/>
          <w:highlight w:val="none"/>
        </w:rPr>
        <w:t>。</w:t>
      </w:r>
    </w:p>
    <w:bookmarkEnd w:id="887"/>
    <w:bookmarkEnd w:id="888"/>
    <w:bookmarkEnd w:id="889"/>
    <w:bookmarkEnd w:id="890"/>
    <w:bookmarkEnd w:id="891"/>
    <w:bookmarkEnd w:id="892"/>
    <w:bookmarkEnd w:id="893"/>
    <w:bookmarkEnd w:id="894"/>
    <w:bookmarkEnd w:id="895"/>
    <w:bookmarkEnd w:id="896"/>
    <w:bookmarkEnd w:id="897"/>
    <w:bookmarkEnd w:id="898"/>
    <w:p w14:paraId="3FBF651F">
      <w:pPr>
        <w:pStyle w:val="497"/>
        <w:snapToGrid w:val="0"/>
        <w:jc w:val="left"/>
        <w:rPr>
          <w:rFonts w:ascii="宋体" w:hAnsi="宋体" w:cs="宋体"/>
          <w:b w:val="0"/>
          <w:color w:val="auto"/>
          <w:sz w:val="21"/>
          <w:szCs w:val="21"/>
          <w:highlight w:val="none"/>
        </w:rPr>
      </w:pPr>
      <w:bookmarkStart w:id="930" w:name="_Toc351203651"/>
      <w:r>
        <w:rPr>
          <w:rFonts w:hint="eastAsia" w:ascii="宋体" w:hAnsi="宋体" w:cs="宋体"/>
          <w:b w:val="0"/>
          <w:color w:val="auto"/>
          <w:sz w:val="21"/>
          <w:szCs w:val="21"/>
          <w:highlight w:val="none"/>
        </w:rPr>
        <w:t>20. 争议解决</w:t>
      </w:r>
      <w:bookmarkEnd w:id="930"/>
    </w:p>
    <w:bookmarkEnd w:id="899"/>
    <w:bookmarkEnd w:id="900"/>
    <w:p w14:paraId="29319CD8">
      <w:pPr>
        <w:pStyle w:val="393"/>
        <w:snapToGrid w:val="0"/>
        <w:spacing w:line="360" w:lineRule="auto"/>
        <w:jc w:val="left"/>
        <w:outlineLvl w:val="0"/>
        <w:rPr>
          <w:rFonts w:ascii="宋体" w:hAnsi="宋体" w:cs="宋体"/>
          <w:color w:val="auto"/>
          <w:highlight w:val="none"/>
        </w:rPr>
      </w:pPr>
      <w:bookmarkStart w:id="931" w:name="_Toc2138"/>
      <w:bookmarkStart w:id="932" w:name="_Toc6559"/>
      <w:r>
        <w:rPr>
          <w:rFonts w:hint="eastAsia" w:ascii="宋体" w:hAnsi="宋体" w:cs="宋体"/>
          <w:color w:val="auto"/>
          <w:highlight w:val="none"/>
        </w:rPr>
        <w:t>20.3 争</w:t>
      </w:r>
      <w:bookmarkEnd w:id="901"/>
      <w:r>
        <w:rPr>
          <w:rFonts w:hint="eastAsia" w:ascii="宋体" w:hAnsi="宋体" w:cs="宋体"/>
          <w:color w:val="auto"/>
          <w:highlight w:val="none"/>
        </w:rPr>
        <w:t>议评审</w:t>
      </w:r>
      <w:bookmarkEnd w:id="931"/>
      <w:bookmarkEnd w:id="932"/>
    </w:p>
    <w:p w14:paraId="14BD96F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53CF38E6">
      <w:pPr>
        <w:pStyle w:val="393"/>
        <w:snapToGrid w:val="0"/>
        <w:spacing w:line="360" w:lineRule="auto"/>
        <w:ind w:firstLine="420" w:firstLineChars="200"/>
        <w:jc w:val="left"/>
        <w:outlineLvl w:val="0"/>
        <w:rPr>
          <w:rFonts w:ascii="宋体" w:hAnsi="宋体" w:cs="宋体"/>
          <w:color w:val="auto"/>
          <w:highlight w:val="none"/>
        </w:rPr>
      </w:pPr>
      <w:bookmarkStart w:id="933" w:name="_Toc30387"/>
      <w:bookmarkStart w:id="934" w:name="_Toc32765"/>
      <w:r>
        <w:rPr>
          <w:rFonts w:hint="eastAsia" w:ascii="宋体" w:hAnsi="宋体" w:cs="宋体"/>
          <w:color w:val="auto"/>
          <w:highlight w:val="none"/>
        </w:rPr>
        <w:t>20.3.1 争议评审小组的确定</w:t>
      </w:r>
      <w:bookmarkEnd w:id="933"/>
      <w:bookmarkEnd w:id="934"/>
    </w:p>
    <w:p w14:paraId="6CCACB8C">
      <w:pPr>
        <w:pStyle w:val="393"/>
        <w:snapToGri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7CA9F60">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411C4D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7736962">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AAEE56E">
      <w:pPr>
        <w:pStyle w:val="393"/>
        <w:autoSpaceDE w:val="0"/>
        <w:autoSpaceDN w:val="0"/>
        <w:adjustRightInd w:val="0"/>
        <w:snapToGrid w:val="0"/>
        <w:spacing w:line="360" w:lineRule="auto"/>
        <w:ind w:firstLine="420" w:firstLineChars="200"/>
        <w:jc w:val="left"/>
        <w:outlineLvl w:val="0"/>
        <w:rPr>
          <w:rFonts w:ascii="宋体" w:hAnsi="宋体" w:cs="宋体"/>
          <w:color w:val="auto"/>
          <w:kern w:val="0"/>
          <w:highlight w:val="none"/>
        </w:rPr>
      </w:pPr>
      <w:bookmarkStart w:id="935" w:name="_Toc22312"/>
      <w:bookmarkStart w:id="936" w:name="_Toc17574"/>
      <w:r>
        <w:rPr>
          <w:rFonts w:hint="eastAsia" w:ascii="宋体" w:hAnsi="宋体" w:cs="宋体"/>
          <w:color w:val="auto"/>
          <w:kern w:val="0"/>
          <w:highlight w:val="none"/>
        </w:rPr>
        <w:t>20.3.2 争议评审小组的决定</w:t>
      </w:r>
      <w:bookmarkEnd w:id="935"/>
      <w:bookmarkEnd w:id="936"/>
    </w:p>
    <w:p w14:paraId="2C22530D">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4D01648">
      <w:pPr>
        <w:pStyle w:val="393"/>
        <w:snapToGrid w:val="0"/>
        <w:spacing w:line="360" w:lineRule="auto"/>
        <w:jc w:val="left"/>
        <w:outlineLvl w:val="0"/>
        <w:rPr>
          <w:rFonts w:ascii="宋体" w:hAnsi="宋体" w:cs="宋体"/>
          <w:color w:val="auto"/>
          <w:highlight w:val="none"/>
        </w:rPr>
      </w:pPr>
      <w:bookmarkStart w:id="937" w:name="_Toc28534"/>
      <w:bookmarkStart w:id="938" w:name="_Toc18706"/>
      <w:r>
        <w:rPr>
          <w:rFonts w:hint="eastAsia" w:ascii="宋体" w:hAnsi="宋体" w:cs="宋体"/>
          <w:color w:val="auto"/>
          <w:highlight w:val="none"/>
        </w:rPr>
        <w:t>20.4仲裁或诉讼</w:t>
      </w:r>
      <w:bookmarkEnd w:id="902"/>
      <w:bookmarkEnd w:id="937"/>
      <w:bookmarkEnd w:id="938"/>
    </w:p>
    <w:p w14:paraId="5AA5CD9A">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14:paraId="1F703CC8">
      <w:pPr>
        <w:pStyle w:val="393"/>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桂林市 </w:t>
      </w:r>
      <w:r>
        <w:rPr>
          <w:rFonts w:hint="eastAsia" w:ascii="宋体" w:hAnsi="宋体" w:cs="宋体"/>
          <w:color w:val="auto"/>
          <w:highlight w:val="none"/>
        </w:rPr>
        <w:t>仲裁委员会申请仲裁；</w:t>
      </w:r>
    </w:p>
    <w:p w14:paraId="2DA12AFB">
      <w:pPr>
        <w:pStyle w:val="393"/>
        <w:snapToGrid w:val="0"/>
        <w:spacing w:line="360" w:lineRule="auto"/>
        <w:ind w:firstLine="420" w:firstLineChars="200"/>
        <w:jc w:val="left"/>
        <w:rPr>
          <w:rFonts w:ascii="宋体" w:hAnsi="宋体" w:cs="宋体"/>
          <w:b/>
          <w:bCs/>
          <w:color w:val="auto"/>
          <w:sz w:val="24"/>
          <w:highlight w:val="none"/>
        </w:rPr>
      </w:pPr>
      <w:r>
        <w:rPr>
          <w:rFonts w:hint="eastAsia" w:ascii="宋体" w:hAnsi="宋体" w:cs="宋体"/>
          <w:color w:val="auto"/>
          <w:highlight w:val="none"/>
        </w:rPr>
        <w:t>（2）向</w:t>
      </w:r>
      <w:r>
        <w:rPr>
          <w:rFonts w:hint="eastAsia" w:ascii="宋体" w:hAnsi="宋体" w:cs="宋体"/>
          <w:color w:val="auto"/>
          <w:highlight w:val="none"/>
          <w:u w:val="single"/>
        </w:rPr>
        <w:t>有管辖权的</w:t>
      </w:r>
      <w:r>
        <w:rPr>
          <w:rFonts w:hint="eastAsia" w:ascii="宋体" w:hAnsi="宋体" w:cs="宋体"/>
          <w:color w:val="auto"/>
          <w:highlight w:val="none"/>
        </w:rPr>
        <w:t>人民法院起诉。</w:t>
      </w:r>
      <w:bookmarkEnd w:id="903"/>
      <w:bookmarkEnd w:id="904"/>
      <w:bookmarkEnd w:id="905"/>
      <w:bookmarkEnd w:id="906"/>
      <w:bookmarkEnd w:id="907"/>
      <w:bookmarkEnd w:id="908"/>
    </w:p>
    <w:p w14:paraId="43C7752F">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附件</w:t>
      </w:r>
    </w:p>
    <w:p w14:paraId="34163799">
      <w:pPr>
        <w:spacing w:line="360" w:lineRule="auto"/>
        <w:jc w:val="left"/>
        <w:rPr>
          <w:rFonts w:ascii="宋体" w:hAnsi="宋体" w:cs="宋体"/>
          <w:color w:val="auto"/>
          <w:highlight w:val="none"/>
        </w:rPr>
      </w:pPr>
      <w:r>
        <w:rPr>
          <w:rFonts w:hint="eastAsia" w:ascii="宋体" w:hAnsi="宋体" w:cs="宋体"/>
          <w:color w:val="auto"/>
          <w:highlight w:val="none"/>
        </w:rPr>
        <w:t>附件1：承包人承揽工程项目一览表</w:t>
      </w:r>
    </w:p>
    <w:p w14:paraId="400E7D84">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45F2AB92">
      <w:pPr>
        <w:spacing w:line="360" w:lineRule="auto"/>
        <w:jc w:val="left"/>
        <w:rPr>
          <w:rFonts w:ascii="宋体" w:hAnsi="宋体" w:cs="宋体"/>
          <w:color w:val="auto"/>
          <w:highlight w:val="none"/>
        </w:rPr>
      </w:pPr>
      <w:r>
        <w:rPr>
          <w:rFonts w:hint="eastAsia" w:ascii="宋体" w:hAnsi="宋体" w:cs="宋体"/>
          <w:color w:val="auto"/>
          <w:highlight w:val="none"/>
        </w:rPr>
        <w:t>附件3：主要建设工程文件目录</w:t>
      </w:r>
    </w:p>
    <w:p w14:paraId="1E266BDD">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790F7FD3">
      <w:pPr>
        <w:spacing w:line="360" w:lineRule="auto"/>
        <w:jc w:val="left"/>
        <w:rPr>
          <w:rFonts w:ascii="宋体" w:hAnsi="宋体" w:cs="宋体"/>
          <w:color w:val="auto"/>
          <w:highlight w:val="none"/>
        </w:rPr>
      </w:pPr>
      <w:r>
        <w:rPr>
          <w:rFonts w:hint="eastAsia" w:ascii="宋体" w:hAnsi="宋体" w:cs="宋体"/>
          <w:color w:val="auto"/>
          <w:highlight w:val="none"/>
        </w:rPr>
        <w:t>附件5：承包人主要施工管理人员表</w:t>
      </w:r>
    </w:p>
    <w:p w14:paraId="4092289E">
      <w:pPr>
        <w:spacing w:line="360" w:lineRule="auto"/>
        <w:jc w:val="left"/>
        <w:rPr>
          <w:rFonts w:ascii="宋体" w:hAnsi="宋体" w:cs="宋体"/>
          <w:color w:val="auto"/>
          <w:highlight w:val="none"/>
        </w:rPr>
      </w:pPr>
      <w:r>
        <w:rPr>
          <w:rFonts w:hint="eastAsia" w:ascii="宋体" w:hAnsi="宋体" w:cs="宋体"/>
          <w:color w:val="auto"/>
          <w:highlight w:val="none"/>
        </w:rPr>
        <w:t>附件6：分包人主要施工管理人员表</w:t>
      </w:r>
    </w:p>
    <w:p w14:paraId="5EEA7AB6">
      <w:pPr>
        <w:spacing w:line="360" w:lineRule="auto"/>
        <w:jc w:val="left"/>
        <w:rPr>
          <w:rFonts w:ascii="宋体" w:hAnsi="宋体" w:cs="宋体"/>
          <w:color w:val="auto"/>
          <w:highlight w:val="none"/>
        </w:rPr>
      </w:pPr>
      <w:r>
        <w:rPr>
          <w:rFonts w:hint="eastAsia" w:ascii="宋体" w:hAnsi="宋体" w:cs="宋体"/>
          <w:color w:val="auto"/>
          <w:highlight w:val="none"/>
        </w:rPr>
        <w:t>附件7：履约担保格式（独立保函、非独立保函）</w:t>
      </w:r>
    </w:p>
    <w:p w14:paraId="1A29F116">
      <w:pPr>
        <w:spacing w:line="360" w:lineRule="auto"/>
        <w:jc w:val="left"/>
        <w:rPr>
          <w:rFonts w:ascii="宋体" w:hAnsi="宋体" w:cs="宋体"/>
          <w:color w:val="auto"/>
          <w:highlight w:val="none"/>
        </w:rPr>
      </w:pPr>
      <w:r>
        <w:rPr>
          <w:rFonts w:hint="eastAsia" w:ascii="宋体" w:hAnsi="宋体" w:cs="宋体"/>
          <w:color w:val="auto"/>
          <w:highlight w:val="none"/>
        </w:rPr>
        <w:t>附件8：预付款担保格式（独立保函、非独立保函）</w:t>
      </w:r>
    </w:p>
    <w:p w14:paraId="5B249C5C">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759C4C34">
      <w:pPr>
        <w:spacing w:line="360" w:lineRule="auto"/>
        <w:jc w:val="left"/>
        <w:rPr>
          <w:rFonts w:ascii="宋体" w:hAnsi="宋体" w:cs="宋体"/>
          <w:color w:val="auto"/>
          <w:highlight w:val="none"/>
        </w:rPr>
      </w:pPr>
      <w:r>
        <w:rPr>
          <w:rFonts w:hint="eastAsia" w:ascii="宋体" w:hAnsi="宋体" w:cs="宋体"/>
          <w:color w:val="auto"/>
          <w:highlight w:val="none"/>
        </w:rPr>
        <w:t>附件10：预付款支付申请（核准）表</w:t>
      </w:r>
    </w:p>
    <w:p w14:paraId="6511A0CB">
      <w:pPr>
        <w:spacing w:line="360" w:lineRule="auto"/>
        <w:jc w:val="left"/>
        <w:rPr>
          <w:rFonts w:ascii="宋体" w:hAnsi="宋体" w:cs="宋体"/>
          <w:color w:val="auto"/>
          <w:highlight w:val="none"/>
        </w:rPr>
      </w:pPr>
      <w:r>
        <w:rPr>
          <w:rFonts w:hint="eastAsia" w:ascii="宋体" w:hAnsi="宋体" w:cs="宋体"/>
          <w:color w:val="auto"/>
          <w:highlight w:val="none"/>
        </w:rPr>
        <w:t>附件11：进度款支付申请（核准）表</w:t>
      </w:r>
    </w:p>
    <w:p w14:paraId="0CDF6B97">
      <w:pPr>
        <w:spacing w:line="360" w:lineRule="auto"/>
        <w:jc w:val="left"/>
        <w:rPr>
          <w:rFonts w:ascii="宋体" w:hAnsi="宋体" w:cs="宋体"/>
          <w:color w:val="auto"/>
          <w:highlight w:val="none"/>
        </w:rPr>
      </w:pPr>
      <w:r>
        <w:rPr>
          <w:rFonts w:hint="eastAsia" w:ascii="宋体" w:hAnsi="宋体" w:cs="宋体"/>
          <w:color w:val="auto"/>
          <w:highlight w:val="none"/>
        </w:rPr>
        <w:t>附件12：竣工结算款支付申请（核准）表</w:t>
      </w:r>
    </w:p>
    <w:p w14:paraId="73FAA82B">
      <w:pPr>
        <w:spacing w:line="360" w:lineRule="auto"/>
        <w:jc w:val="left"/>
        <w:rPr>
          <w:rFonts w:ascii="宋体" w:hAnsi="宋体" w:cs="宋体"/>
          <w:color w:val="auto"/>
          <w:highlight w:val="none"/>
        </w:rPr>
      </w:pPr>
      <w:r>
        <w:rPr>
          <w:rFonts w:hint="eastAsia" w:ascii="宋体" w:hAnsi="宋体" w:cs="宋体"/>
          <w:color w:val="auto"/>
          <w:highlight w:val="none"/>
        </w:rPr>
        <w:t>附件13：最终结算款支付申请（核准）表</w:t>
      </w:r>
    </w:p>
    <w:p w14:paraId="4A521587">
      <w:pPr>
        <w:rPr>
          <w:color w:val="auto"/>
          <w:highlight w:val="none"/>
        </w:rPr>
      </w:pPr>
    </w:p>
    <w:p w14:paraId="7A7D0E51">
      <w:pPr>
        <w:rPr>
          <w:color w:val="auto"/>
          <w:sz w:val="20"/>
          <w:highlight w:val="none"/>
        </w:rPr>
      </w:pPr>
    </w:p>
    <w:p w14:paraId="27AB337F">
      <w:pPr>
        <w:pStyle w:val="5"/>
        <w:rPr>
          <w:color w:val="auto"/>
          <w:highlight w:val="none"/>
        </w:rPr>
      </w:pPr>
    </w:p>
    <w:p w14:paraId="6324D218">
      <w:pPr>
        <w:rPr>
          <w:color w:val="auto"/>
          <w:highlight w:val="none"/>
        </w:rPr>
      </w:pPr>
    </w:p>
    <w:p w14:paraId="53550EC1">
      <w:pPr>
        <w:pStyle w:val="5"/>
        <w:rPr>
          <w:color w:val="auto"/>
          <w:highlight w:val="none"/>
        </w:rPr>
      </w:pPr>
    </w:p>
    <w:p w14:paraId="64BD5F85">
      <w:pPr>
        <w:rPr>
          <w:color w:val="auto"/>
          <w:highlight w:val="none"/>
        </w:rPr>
      </w:pPr>
    </w:p>
    <w:p w14:paraId="0B72C74E">
      <w:pPr>
        <w:pStyle w:val="5"/>
        <w:rPr>
          <w:color w:val="auto"/>
          <w:highlight w:val="none"/>
        </w:rPr>
      </w:pPr>
    </w:p>
    <w:p w14:paraId="58101C93">
      <w:pPr>
        <w:rPr>
          <w:color w:val="auto"/>
          <w:highlight w:val="none"/>
        </w:rPr>
      </w:pPr>
    </w:p>
    <w:p w14:paraId="69143DB4">
      <w:pPr>
        <w:pStyle w:val="2"/>
        <w:rPr>
          <w:color w:val="auto"/>
          <w:highlight w:val="none"/>
        </w:rPr>
      </w:pPr>
    </w:p>
    <w:p w14:paraId="62012FC5">
      <w:pPr>
        <w:rPr>
          <w:color w:val="auto"/>
          <w:highlight w:val="none"/>
        </w:rPr>
      </w:pPr>
    </w:p>
    <w:p w14:paraId="5DBF7AF1">
      <w:pPr>
        <w:pStyle w:val="2"/>
        <w:rPr>
          <w:color w:val="auto"/>
          <w:highlight w:val="none"/>
        </w:rPr>
      </w:pPr>
    </w:p>
    <w:p w14:paraId="4299C3D7">
      <w:pPr>
        <w:pStyle w:val="502"/>
        <w:ind w:firstLine="0" w:firstLineChars="0"/>
        <w:rPr>
          <w:rFonts w:eastAsia="仿宋_GB2312"/>
          <w:color w:val="auto"/>
          <w:sz w:val="30"/>
          <w:szCs w:val="30"/>
          <w:highlight w:val="none"/>
        </w:rPr>
      </w:pPr>
    </w:p>
    <w:p w14:paraId="09B40D67">
      <w:pPr>
        <w:pStyle w:val="502"/>
        <w:ind w:firstLine="0" w:firstLineChars="0"/>
        <w:rPr>
          <w:rFonts w:eastAsia="仿宋_GB2312"/>
          <w:color w:val="auto"/>
          <w:sz w:val="30"/>
          <w:szCs w:val="30"/>
          <w:highlight w:val="none"/>
        </w:rPr>
      </w:pPr>
    </w:p>
    <w:p w14:paraId="5303D9D8">
      <w:pPr>
        <w:pStyle w:val="502"/>
        <w:ind w:firstLine="0" w:firstLineChars="0"/>
        <w:rPr>
          <w:rFonts w:eastAsia="仿宋_GB2312"/>
          <w:color w:val="auto"/>
          <w:sz w:val="30"/>
          <w:szCs w:val="30"/>
          <w:highlight w:val="none"/>
        </w:rPr>
      </w:pPr>
    </w:p>
    <w:p w14:paraId="44245A58">
      <w:pPr>
        <w:pStyle w:val="502"/>
        <w:ind w:firstLine="0" w:firstLineChars="0"/>
        <w:rPr>
          <w:rFonts w:eastAsia="仿宋_GB2312"/>
          <w:color w:val="auto"/>
          <w:sz w:val="30"/>
          <w:szCs w:val="30"/>
          <w:highlight w:val="none"/>
        </w:rPr>
      </w:pPr>
    </w:p>
    <w:p w14:paraId="05076129">
      <w:pPr>
        <w:pStyle w:val="502"/>
        <w:ind w:firstLine="0" w:firstLineChars="0"/>
        <w:rPr>
          <w:rFonts w:eastAsia="仿宋_GB2312"/>
          <w:color w:val="auto"/>
          <w:sz w:val="30"/>
          <w:szCs w:val="30"/>
          <w:highlight w:val="none"/>
        </w:rPr>
      </w:pPr>
    </w:p>
    <w:p w14:paraId="6DEDB73C">
      <w:pPr>
        <w:pStyle w:val="502"/>
        <w:ind w:firstLine="0" w:firstLineChars="0"/>
        <w:rPr>
          <w:rFonts w:eastAsia="仿宋_GB2312"/>
          <w:color w:val="auto"/>
          <w:sz w:val="30"/>
          <w:szCs w:val="30"/>
          <w:highlight w:val="none"/>
        </w:rPr>
      </w:pPr>
      <w:r>
        <w:rPr>
          <w:rFonts w:eastAsia="仿宋_GB2312"/>
          <w:color w:val="auto"/>
          <w:sz w:val="30"/>
          <w:szCs w:val="30"/>
          <w:highlight w:val="none"/>
        </w:rPr>
        <w:t>附件1：</w:t>
      </w:r>
    </w:p>
    <w:p w14:paraId="1B06955E">
      <w:pPr>
        <w:pStyle w:val="502"/>
        <w:ind w:firstLine="600"/>
        <w:jc w:val="center"/>
        <w:rPr>
          <w:rFonts w:eastAsia="黑体"/>
          <w:color w:val="auto"/>
          <w:sz w:val="30"/>
          <w:szCs w:val="30"/>
          <w:highlight w:val="none"/>
        </w:rPr>
      </w:pPr>
      <w:r>
        <w:rPr>
          <w:rFonts w:eastAsia="黑体"/>
          <w:color w:val="auto"/>
          <w:sz w:val="30"/>
          <w:szCs w:val="30"/>
          <w:highlight w:val="none"/>
        </w:rPr>
        <w:t>承包人承揽工程项目一览表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9"/>
        <w:gridCol w:w="1239"/>
        <w:gridCol w:w="953"/>
        <w:gridCol w:w="1203"/>
        <w:gridCol w:w="850"/>
        <w:gridCol w:w="851"/>
        <w:gridCol w:w="1417"/>
        <w:gridCol w:w="1134"/>
        <w:gridCol w:w="742"/>
        <w:gridCol w:w="676"/>
      </w:tblGrid>
      <w:tr w14:paraId="2C88F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5" w:hRule="atLeast"/>
          <w:jc w:val="center"/>
        </w:trPr>
        <w:tc>
          <w:tcPr>
            <w:tcW w:w="859" w:type="dxa"/>
            <w:tcBorders>
              <w:top w:val="single" w:color="auto" w:sz="12" w:space="0"/>
              <w:bottom w:val="double" w:color="auto" w:sz="6" w:space="0"/>
            </w:tcBorders>
            <w:vAlign w:val="center"/>
          </w:tcPr>
          <w:p w14:paraId="0D6FE6CC">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单位工程名称</w:t>
            </w:r>
          </w:p>
        </w:tc>
        <w:tc>
          <w:tcPr>
            <w:tcW w:w="1239" w:type="dxa"/>
            <w:tcBorders>
              <w:top w:val="single" w:color="auto" w:sz="12" w:space="0"/>
              <w:bottom w:val="double" w:color="auto" w:sz="6" w:space="0"/>
            </w:tcBorders>
            <w:vAlign w:val="center"/>
          </w:tcPr>
          <w:p w14:paraId="57859937">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建设规模</w:t>
            </w:r>
          </w:p>
        </w:tc>
        <w:tc>
          <w:tcPr>
            <w:tcW w:w="953" w:type="dxa"/>
            <w:tcBorders>
              <w:top w:val="single" w:color="auto" w:sz="12" w:space="0"/>
              <w:bottom w:val="double" w:color="auto" w:sz="6" w:space="0"/>
            </w:tcBorders>
            <w:vAlign w:val="center"/>
          </w:tcPr>
          <w:p w14:paraId="1A7DA5D8">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建筑面积(平方米)</w:t>
            </w:r>
          </w:p>
        </w:tc>
        <w:tc>
          <w:tcPr>
            <w:tcW w:w="1203" w:type="dxa"/>
            <w:tcBorders>
              <w:top w:val="single" w:color="auto" w:sz="12" w:space="0"/>
              <w:bottom w:val="double" w:color="auto" w:sz="6" w:space="0"/>
            </w:tcBorders>
            <w:vAlign w:val="center"/>
          </w:tcPr>
          <w:p w14:paraId="2954CBD3">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结构形式</w:t>
            </w:r>
          </w:p>
        </w:tc>
        <w:tc>
          <w:tcPr>
            <w:tcW w:w="850" w:type="dxa"/>
            <w:tcBorders>
              <w:top w:val="single" w:color="auto" w:sz="12" w:space="0"/>
              <w:bottom w:val="double" w:color="auto" w:sz="6" w:space="0"/>
            </w:tcBorders>
            <w:vAlign w:val="center"/>
          </w:tcPr>
          <w:p w14:paraId="6C88BC42">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层数</w:t>
            </w:r>
          </w:p>
        </w:tc>
        <w:tc>
          <w:tcPr>
            <w:tcW w:w="851" w:type="dxa"/>
            <w:tcBorders>
              <w:top w:val="single" w:color="auto" w:sz="12" w:space="0"/>
              <w:bottom w:val="double" w:color="auto" w:sz="6" w:space="0"/>
            </w:tcBorders>
            <w:vAlign w:val="center"/>
          </w:tcPr>
          <w:p w14:paraId="6B3E9247">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生产能力</w:t>
            </w:r>
          </w:p>
        </w:tc>
        <w:tc>
          <w:tcPr>
            <w:tcW w:w="1417" w:type="dxa"/>
            <w:tcBorders>
              <w:top w:val="single" w:color="auto" w:sz="12" w:space="0"/>
              <w:bottom w:val="double" w:color="auto" w:sz="6" w:space="0"/>
            </w:tcBorders>
            <w:vAlign w:val="center"/>
          </w:tcPr>
          <w:p w14:paraId="0E7DC3E8">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设备安装内容</w:t>
            </w:r>
          </w:p>
        </w:tc>
        <w:tc>
          <w:tcPr>
            <w:tcW w:w="1134" w:type="dxa"/>
            <w:tcBorders>
              <w:top w:val="single" w:color="auto" w:sz="12" w:space="0"/>
              <w:bottom w:val="double" w:color="auto" w:sz="6" w:space="0"/>
            </w:tcBorders>
            <w:vAlign w:val="center"/>
          </w:tcPr>
          <w:p w14:paraId="3EBD10D8">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合同价格（元）</w:t>
            </w:r>
          </w:p>
        </w:tc>
        <w:tc>
          <w:tcPr>
            <w:tcW w:w="742" w:type="dxa"/>
            <w:tcBorders>
              <w:top w:val="single" w:color="auto" w:sz="12" w:space="0"/>
              <w:bottom w:val="double" w:color="auto" w:sz="6" w:space="0"/>
            </w:tcBorders>
            <w:vAlign w:val="center"/>
          </w:tcPr>
          <w:p w14:paraId="33D5CB75">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开工日期</w:t>
            </w:r>
          </w:p>
        </w:tc>
        <w:tc>
          <w:tcPr>
            <w:tcW w:w="676" w:type="dxa"/>
            <w:tcBorders>
              <w:top w:val="single" w:color="auto" w:sz="12" w:space="0"/>
              <w:bottom w:val="double" w:color="auto" w:sz="6" w:space="0"/>
            </w:tcBorders>
            <w:vAlign w:val="center"/>
          </w:tcPr>
          <w:p w14:paraId="5B9E69CF">
            <w:pPr>
              <w:pStyle w:val="502"/>
              <w:adjustRightInd w:val="0"/>
              <w:snapToGrid w:val="0"/>
              <w:ind w:firstLine="0" w:firstLineChars="0"/>
              <w:jc w:val="center"/>
              <w:rPr>
                <w:rFonts w:eastAsia="仿宋_GB2312"/>
                <w:color w:val="auto"/>
                <w:sz w:val="28"/>
                <w:szCs w:val="30"/>
                <w:highlight w:val="none"/>
              </w:rPr>
            </w:pPr>
            <w:r>
              <w:rPr>
                <w:rFonts w:eastAsia="仿宋_GB2312"/>
                <w:color w:val="auto"/>
                <w:sz w:val="28"/>
                <w:szCs w:val="30"/>
                <w:highlight w:val="none"/>
              </w:rPr>
              <w:t>竣工日期</w:t>
            </w:r>
          </w:p>
        </w:tc>
      </w:tr>
      <w:tr w14:paraId="14589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double" w:color="auto" w:sz="6" w:space="0"/>
              <w:bottom w:val="single" w:color="auto" w:sz="6" w:space="0"/>
            </w:tcBorders>
            <w:vAlign w:val="center"/>
          </w:tcPr>
          <w:p w14:paraId="2091BACD">
            <w:pPr>
              <w:pStyle w:val="502"/>
              <w:adjustRightInd w:val="0"/>
              <w:snapToGrid w:val="0"/>
              <w:ind w:firstLine="0" w:firstLineChars="0"/>
              <w:rPr>
                <w:rFonts w:eastAsia="仿宋_GB2312"/>
                <w:color w:val="auto"/>
                <w:sz w:val="30"/>
                <w:szCs w:val="30"/>
                <w:highlight w:val="none"/>
              </w:rPr>
            </w:pPr>
          </w:p>
        </w:tc>
        <w:tc>
          <w:tcPr>
            <w:tcW w:w="1239" w:type="dxa"/>
            <w:tcBorders>
              <w:top w:val="double" w:color="auto" w:sz="6" w:space="0"/>
              <w:bottom w:val="single" w:color="auto" w:sz="6" w:space="0"/>
            </w:tcBorders>
            <w:vAlign w:val="center"/>
          </w:tcPr>
          <w:p w14:paraId="70CBAD6E">
            <w:pPr>
              <w:pStyle w:val="502"/>
              <w:adjustRightInd w:val="0"/>
              <w:snapToGrid w:val="0"/>
              <w:ind w:firstLine="0" w:firstLineChars="0"/>
              <w:rPr>
                <w:rFonts w:eastAsia="仿宋_GB2312"/>
                <w:color w:val="auto"/>
                <w:sz w:val="30"/>
                <w:szCs w:val="30"/>
                <w:highlight w:val="none"/>
              </w:rPr>
            </w:pPr>
          </w:p>
        </w:tc>
        <w:tc>
          <w:tcPr>
            <w:tcW w:w="953" w:type="dxa"/>
            <w:tcBorders>
              <w:top w:val="double" w:color="auto" w:sz="6" w:space="0"/>
              <w:bottom w:val="single" w:color="auto" w:sz="6" w:space="0"/>
            </w:tcBorders>
            <w:vAlign w:val="center"/>
          </w:tcPr>
          <w:p w14:paraId="54146E06">
            <w:pPr>
              <w:pStyle w:val="502"/>
              <w:adjustRightInd w:val="0"/>
              <w:snapToGrid w:val="0"/>
              <w:ind w:firstLine="0" w:firstLineChars="0"/>
              <w:rPr>
                <w:rFonts w:eastAsia="仿宋_GB2312"/>
                <w:color w:val="auto"/>
                <w:sz w:val="30"/>
                <w:szCs w:val="30"/>
                <w:highlight w:val="none"/>
              </w:rPr>
            </w:pPr>
          </w:p>
        </w:tc>
        <w:tc>
          <w:tcPr>
            <w:tcW w:w="1203" w:type="dxa"/>
            <w:tcBorders>
              <w:top w:val="double" w:color="auto" w:sz="6" w:space="0"/>
              <w:bottom w:val="single" w:color="auto" w:sz="6" w:space="0"/>
            </w:tcBorders>
            <w:vAlign w:val="center"/>
          </w:tcPr>
          <w:p w14:paraId="7D36A714">
            <w:pPr>
              <w:pStyle w:val="502"/>
              <w:adjustRightInd w:val="0"/>
              <w:snapToGrid w:val="0"/>
              <w:ind w:firstLine="0" w:firstLineChars="0"/>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336D215E">
            <w:pPr>
              <w:pStyle w:val="502"/>
              <w:adjustRightInd w:val="0"/>
              <w:snapToGrid w:val="0"/>
              <w:ind w:firstLine="0" w:firstLineChars="0"/>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2F8AD2E6">
            <w:pPr>
              <w:pStyle w:val="502"/>
              <w:adjustRightInd w:val="0"/>
              <w:snapToGrid w:val="0"/>
              <w:ind w:firstLine="0" w:firstLineChars="0"/>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3FC8E9BB">
            <w:pPr>
              <w:pStyle w:val="502"/>
              <w:adjustRightInd w:val="0"/>
              <w:snapToGrid w:val="0"/>
              <w:ind w:firstLine="0" w:firstLineChars="0"/>
              <w:rPr>
                <w:rFonts w:eastAsia="仿宋_GB2312"/>
                <w:color w:val="auto"/>
                <w:sz w:val="30"/>
                <w:szCs w:val="30"/>
                <w:highlight w:val="none"/>
              </w:rPr>
            </w:pPr>
          </w:p>
        </w:tc>
        <w:tc>
          <w:tcPr>
            <w:tcW w:w="1134" w:type="dxa"/>
            <w:tcBorders>
              <w:top w:val="double" w:color="auto" w:sz="6" w:space="0"/>
              <w:bottom w:val="single" w:color="auto" w:sz="6" w:space="0"/>
            </w:tcBorders>
            <w:vAlign w:val="center"/>
          </w:tcPr>
          <w:p w14:paraId="52F20498">
            <w:pPr>
              <w:pStyle w:val="502"/>
              <w:adjustRightInd w:val="0"/>
              <w:snapToGrid w:val="0"/>
              <w:ind w:firstLine="0" w:firstLineChars="0"/>
              <w:rPr>
                <w:rFonts w:eastAsia="仿宋_GB2312"/>
                <w:color w:val="auto"/>
                <w:sz w:val="30"/>
                <w:szCs w:val="30"/>
                <w:highlight w:val="none"/>
              </w:rPr>
            </w:pPr>
          </w:p>
        </w:tc>
        <w:tc>
          <w:tcPr>
            <w:tcW w:w="742" w:type="dxa"/>
            <w:tcBorders>
              <w:top w:val="double" w:color="auto" w:sz="6" w:space="0"/>
              <w:bottom w:val="single" w:color="auto" w:sz="6" w:space="0"/>
            </w:tcBorders>
            <w:vAlign w:val="center"/>
          </w:tcPr>
          <w:p w14:paraId="164D387A">
            <w:pPr>
              <w:pStyle w:val="502"/>
              <w:adjustRightInd w:val="0"/>
              <w:snapToGrid w:val="0"/>
              <w:ind w:firstLine="0" w:firstLineChars="0"/>
              <w:rPr>
                <w:rFonts w:eastAsia="仿宋_GB2312"/>
                <w:color w:val="auto"/>
                <w:sz w:val="30"/>
                <w:szCs w:val="30"/>
                <w:highlight w:val="none"/>
              </w:rPr>
            </w:pPr>
          </w:p>
        </w:tc>
        <w:tc>
          <w:tcPr>
            <w:tcW w:w="676" w:type="dxa"/>
            <w:tcBorders>
              <w:top w:val="double" w:color="auto" w:sz="6" w:space="0"/>
              <w:bottom w:val="single" w:color="auto" w:sz="6" w:space="0"/>
            </w:tcBorders>
            <w:vAlign w:val="center"/>
          </w:tcPr>
          <w:p w14:paraId="4C8CE499">
            <w:pPr>
              <w:pStyle w:val="502"/>
              <w:adjustRightInd w:val="0"/>
              <w:snapToGrid w:val="0"/>
              <w:ind w:firstLine="0" w:firstLineChars="0"/>
              <w:rPr>
                <w:rFonts w:eastAsia="仿宋_GB2312"/>
                <w:color w:val="auto"/>
                <w:sz w:val="30"/>
                <w:szCs w:val="30"/>
                <w:highlight w:val="none"/>
              </w:rPr>
            </w:pPr>
          </w:p>
        </w:tc>
      </w:tr>
      <w:tr w14:paraId="7E28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01ADF0A7">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59E47EED">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2EDD79C8">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38D4DA16">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2D2D4B8D">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72F462C0">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62C6A336">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2EE12217">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78F812C4">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4AB40FAA">
            <w:pPr>
              <w:pStyle w:val="502"/>
              <w:adjustRightInd w:val="0"/>
              <w:snapToGrid w:val="0"/>
              <w:ind w:firstLine="0" w:firstLineChars="0"/>
              <w:rPr>
                <w:rFonts w:eastAsia="仿宋_GB2312"/>
                <w:color w:val="auto"/>
                <w:sz w:val="30"/>
                <w:szCs w:val="30"/>
                <w:highlight w:val="none"/>
              </w:rPr>
            </w:pPr>
          </w:p>
        </w:tc>
      </w:tr>
      <w:tr w14:paraId="2B48C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1F6EC4B2">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64AA27A7">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28732933">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7E94B6A5">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36A58771">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64B5091E">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359CC2F8">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668DCC19">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7892B771">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41C5D139">
            <w:pPr>
              <w:pStyle w:val="502"/>
              <w:adjustRightInd w:val="0"/>
              <w:snapToGrid w:val="0"/>
              <w:ind w:firstLine="0" w:firstLineChars="0"/>
              <w:rPr>
                <w:rFonts w:eastAsia="仿宋_GB2312"/>
                <w:color w:val="auto"/>
                <w:sz w:val="30"/>
                <w:szCs w:val="30"/>
                <w:highlight w:val="none"/>
              </w:rPr>
            </w:pPr>
          </w:p>
        </w:tc>
      </w:tr>
      <w:tr w14:paraId="330A9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569D7AE8">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5CEB2A50">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463F3B6A">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3CF39B28">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0B10CEA2">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5687411C">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114BF0FA">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07A5A753">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00B1351F">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50682563">
            <w:pPr>
              <w:pStyle w:val="502"/>
              <w:adjustRightInd w:val="0"/>
              <w:snapToGrid w:val="0"/>
              <w:ind w:firstLine="0" w:firstLineChars="0"/>
              <w:rPr>
                <w:rFonts w:eastAsia="仿宋_GB2312"/>
                <w:color w:val="auto"/>
                <w:sz w:val="30"/>
                <w:szCs w:val="30"/>
                <w:highlight w:val="none"/>
              </w:rPr>
            </w:pPr>
          </w:p>
        </w:tc>
      </w:tr>
      <w:tr w14:paraId="6333F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6505CC9D">
            <w:pPr>
              <w:pStyle w:val="502"/>
              <w:adjustRightInd w:val="0"/>
              <w:snapToGrid w:val="0"/>
              <w:ind w:firstLine="0" w:firstLineChars="0"/>
              <w:rPr>
                <w:rFonts w:eastAsia="仿宋_GB2312"/>
                <w:color w:val="auto"/>
                <w:sz w:val="30"/>
                <w:szCs w:val="30"/>
                <w:highlight w:val="none"/>
              </w:rPr>
            </w:pPr>
          </w:p>
        </w:tc>
        <w:tc>
          <w:tcPr>
            <w:tcW w:w="1239" w:type="dxa"/>
            <w:vAlign w:val="center"/>
          </w:tcPr>
          <w:p w14:paraId="276090F2">
            <w:pPr>
              <w:pStyle w:val="502"/>
              <w:adjustRightInd w:val="0"/>
              <w:snapToGrid w:val="0"/>
              <w:ind w:firstLine="0" w:firstLineChars="0"/>
              <w:rPr>
                <w:rFonts w:eastAsia="仿宋_GB2312"/>
                <w:color w:val="auto"/>
                <w:sz w:val="30"/>
                <w:szCs w:val="30"/>
                <w:highlight w:val="none"/>
              </w:rPr>
            </w:pPr>
          </w:p>
        </w:tc>
        <w:tc>
          <w:tcPr>
            <w:tcW w:w="953" w:type="dxa"/>
            <w:vAlign w:val="center"/>
          </w:tcPr>
          <w:p w14:paraId="6258F007">
            <w:pPr>
              <w:pStyle w:val="502"/>
              <w:adjustRightInd w:val="0"/>
              <w:snapToGrid w:val="0"/>
              <w:ind w:firstLine="0" w:firstLineChars="0"/>
              <w:rPr>
                <w:rFonts w:eastAsia="仿宋_GB2312"/>
                <w:color w:val="auto"/>
                <w:sz w:val="30"/>
                <w:szCs w:val="30"/>
                <w:highlight w:val="none"/>
              </w:rPr>
            </w:pPr>
          </w:p>
        </w:tc>
        <w:tc>
          <w:tcPr>
            <w:tcW w:w="1203" w:type="dxa"/>
            <w:vAlign w:val="center"/>
          </w:tcPr>
          <w:p w14:paraId="7B9F2EB1">
            <w:pPr>
              <w:pStyle w:val="502"/>
              <w:adjustRightInd w:val="0"/>
              <w:snapToGrid w:val="0"/>
              <w:ind w:firstLine="0" w:firstLineChars="0"/>
              <w:rPr>
                <w:rFonts w:eastAsia="仿宋_GB2312"/>
                <w:color w:val="auto"/>
                <w:sz w:val="30"/>
                <w:szCs w:val="30"/>
                <w:highlight w:val="none"/>
              </w:rPr>
            </w:pPr>
          </w:p>
        </w:tc>
        <w:tc>
          <w:tcPr>
            <w:tcW w:w="850" w:type="dxa"/>
            <w:vAlign w:val="center"/>
          </w:tcPr>
          <w:p w14:paraId="725CD8F6">
            <w:pPr>
              <w:pStyle w:val="502"/>
              <w:adjustRightInd w:val="0"/>
              <w:snapToGrid w:val="0"/>
              <w:ind w:firstLine="0" w:firstLineChars="0"/>
              <w:rPr>
                <w:rFonts w:eastAsia="仿宋_GB2312"/>
                <w:color w:val="auto"/>
                <w:sz w:val="30"/>
                <w:szCs w:val="30"/>
                <w:highlight w:val="none"/>
              </w:rPr>
            </w:pPr>
          </w:p>
        </w:tc>
        <w:tc>
          <w:tcPr>
            <w:tcW w:w="851" w:type="dxa"/>
            <w:vAlign w:val="center"/>
          </w:tcPr>
          <w:p w14:paraId="3A5D934E">
            <w:pPr>
              <w:pStyle w:val="502"/>
              <w:adjustRightInd w:val="0"/>
              <w:snapToGrid w:val="0"/>
              <w:ind w:firstLine="0" w:firstLineChars="0"/>
              <w:rPr>
                <w:rFonts w:eastAsia="仿宋_GB2312"/>
                <w:color w:val="auto"/>
                <w:sz w:val="30"/>
                <w:szCs w:val="30"/>
                <w:highlight w:val="none"/>
              </w:rPr>
            </w:pPr>
          </w:p>
        </w:tc>
        <w:tc>
          <w:tcPr>
            <w:tcW w:w="1417" w:type="dxa"/>
            <w:vAlign w:val="center"/>
          </w:tcPr>
          <w:p w14:paraId="444A3570">
            <w:pPr>
              <w:pStyle w:val="502"/>
              <w:adjustRightInd w:val="0"/>
              <w:snapToGrid w:val="0"/>
              <w:ind w:firstLine="0" w:firstLineChars="0"/>
              <w:rPr>
                <w:rFonts w:eastAsia="仿宋_GB2312"/>
                <w:color w:val="auto"/>
                <w:sz w:val="30"/>
                <w:szCs w:val="30"/>
                <w:highlight w:val="none"/>
              </w:rPr>
            </w:pPr>
          </w:p>
        </w:tc>
        <w:tc>
          <w:tcPr>
            <w:tcW w:w="1134" w:type="dxa"/>
            <w:vAlign w:val="center"/>
          </w:tcPr>
          <w:p w14:paraId="10E3D57B">
            <w:pPr>
              <w:pStyle w:val="502"/>
              <w:adjustRightInd w:val="0"/>
              <w:snapToGrid w:val="0"/>
              <w:ind w:firstLine="0" w:firstLineChars="0"/>
              <w:rPr>
                <w:rFonts w:eastAsia="仿宋_GB2312"/>
                <w:color w:val="auto"/>
                <w:sz w:val="30"/>
                <w:szCs w:val="30"/>
                <w:highlight w:val="none"/>
              </w:rPr>
            </w:pPr>
          </w:p>
        </w:tc>
        <w:tc>
          <w:tcPr>
            <w:tcW w:w="742" w:type="dxa"/>
            <w:vAlign w:val="center"/>
          </w:tcPr>
          <w:p w14:paraId="47915F60">
            <w:pPr>
              <w:pStyle w:val="502"/>
              <w:adjustRightInd w:val="0"/>
              <w:snapToGrid w:val="0"/>
              <w:ind w:firstLine="0" w:firstLineChars="0"/>
              <w:rPr>
                <w:rFonts w:eastAsia="仿宋_GB2312"/>
                <w:color w:val="auto"/>
                <w:sz w:val="30"/>
                <w:szCs w:val="30"/>
                <w:highlight w:val="none"/>
              </w:rPr>
            </w:pPr>
          </w:p>
        </w:tc>
        <w:tc>
          <w:tcPr>
            <w:tcW w:w="676" w:type="dxa"/>
            <w:vAlign w:val="center"/>
          </w:tcPr>
          <w:p w14:paraId="3C67FF01">
            <w:pPr>
              <w:pStyle w:val="502"/>
              <w:adjustRightInd w:val="0"/>
              <w:snapToGrid w:val="0"/>
              <w:ind w:firstLine="0" w:firstLineChars="0"/>
              <w:rPr>
                <w:rFonts w:eastAsia="仿宋_GB2312"/>
                <w:color w:val="auto"/>
                <w:sz w:val="30"/>
                <w:szCs w:val="30"/>
                <w:highlight w:val="none"/>
              </w:rPr>
            </w:pPr>
          </w:p>
        </w:tc>
      </w:tr>
      <w:tr w14:paraId="3A9AD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6C47A48E">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13C45542">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112C4EBD">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52FB5423">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02E4C16B">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6EB9720D">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31DFCA0A">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316D4B7A">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3F16191A">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10919F06">
            <w:pPr>
              <w:pStyle w:val="502"/>
              <w:adjustRightInd w:val="0"/>
              <w:snapToGrid w:val="0"/>
              <w:ind w:firstLine="0" w:firstLineChars="0"/>
              <w:rPr>
                <w:rFonts w:eastAsia="仿宋_GB2312"/>
                <w:color w:val="auto"/>
                <w:sz w:val="30"/>
                <w:szCs w:val="30"/>
                <w:highlight w:val="none"/>
              </w:rPr>
            </w:pPr>
          </w:p>
        </w:tc>
      </w:tr>
      <w:tr w14:paraId="6D2EF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34B4FAD3">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4F7EB02D">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6047B2B4">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1BB4E608">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7CA0EE5F">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7D2B598F">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61B26634">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659C119E">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01D51AA9">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7D7EEA98">
            <w:pPr>
              <w:pStyle w:val="502"/>
              <w:adjustRightInd w:val="0"/>
              <w:snapToGrid w:val="0"/>
              <w:ind w:firstLine="0" w:firstLineChars="0"/>
              <w:rPr>
                <w:rFonts w:eastAsia="仿宋_GB2312"/>
                <w:color w:val="auto"/>
                <w:sz w:val="30"/>
                <w:szCs w:val="30"/>
                <w:highlight w:val="none"/>
              </w:rPr>
            </w:pPr>
          </w:p>
        </w:tc>
      </w:tr>
      <w:tr w14:paraId="402C5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31ED3717">
            <w:pPr>
              <w:pStyle w:val="502"/>
              <w:adjustRightInd w:val="0"/>
              <w:snapToGrid w:val="0"/>
              <w:ind w:firstLine="0" w:firstLineChars="0"/>
              <w:rPr>
                <w:rFonts w:eastAsia="仿宋_GB2312"/>
                <w:color w:val="auto"/>
                <w:sz w:val="30"/>
                <w:szCs w:val="30"/>
                <w:highlight w:val="none"/>
              </w:rPr>
            </w:pPr>
          </w:p>
        </w:tc>
        <w:tc>
          <w:tcPr>
            <w:tcW w:w="1239" w:type="dxa"/>
            <w:vAlign w:val="center"/>
          </w:tcPr>
          <w:p w14:paraId="0A889540">
            <w:pPr>
              <w:pStyle w:val="502"/>
              <w:adjustRightInd w:val="0"/>
              <w:snapToGrid w:val="0"/>
              <w:ind w:firstLine="0" w:firstLineChars="0"/>
              <w:rPr>
                <w:rFonts w:eastAsia="仿宋_GB2312"/>
                <w:color w:val="auto"/>
                <w:sz w:val="30"/>
                <w:szCs w:val="30"/>
                <w:highlight w:val="none"/>
              </w:rPr>
            </w:pPr>
          </w:p>
        </w:tc>
        <w:tc>
          <w:tcPr>
            <w:tcW w:w="953" w:type="dxa"/>
            <w:vAlign w:val="center"/>
          </w:tcPr>
          <w:p w14:paraId="079CAD84">
            <w:pPr>
              <w:pStyle w:val="502"/>
              <w:adjustRightInd w:val="0"/>
              <w:snapToGrid w:val="0"/>
              <w:ind w:firstLine="0" w:firstLineChars="0"/>
              <w:rPr>
                <w:rFonts w:eastAsia="仿宋_GB2312"/>
                <w:color w:val="auto"/>
                <w:sz w:val="30"/>
                <w:szCs w:val="30"/>
                <w:highlight w:val="none"/>
              </w:rPr>
            </w:pPr>
          </w:p>
        </w:tc>
        <w:tc>
          <w:tcPr>
            <w:tcW w:w="1203" w:type="dxa"/>
            <w:vAlign w:val="center"/>
          </w:tcPr>
          <w:p w14:paraId="5F4D9A11">
            <w:pPr>
              <w:pStyle w:val="502"/>
              <w:adjustRightInd w:val="0"/>
              <w:snapToGrid w:val="0"/>
              <w:ind w:firstLine="0" w:firstLineChars="0"/>
              <w:rPr>
                <w:rFonts w:eastAsia="仿宋_GB2312"/>
                <w:color w:val="auto"/>
                <w:sz w:val="30"/>
                <w:szCs w:val="30"/>
                <w:highlight w:val="none"/>
              </w:rPr>
            </w:pPr>
          </w:p>
        </w:tc>
        <w:tc>
          <w:tcPr>
            <w:tcW w:w="850" w:type="dxa"/>
            <w:vAlign w:val="center"/>
          </w:tcPr>
          <w:p w14:paraId="0AE0FAFB">
            <w:pPr>
              <w:pStyle w:val="502"/>
              <w:adjustRightInd w:val="0"/>
              <w:snapToGrid w:val="0"/>
              <w:ind w:firstLine="0" w:firstLineChars="0"/>
              <w:rPr>
                <w:rFonts w:eastAsia="仿宋_GB2312"/>
                <w:color w:val="auto"/>
                <w:sz w:val="30"/>
                <w:szCs w:val="30"/>
                <w:highlight w:val="none"/>
              </w:rPr>
            </w:pPr>
          </w:p>
        </w:tc>
        <w:tc>
          <w:tcPr>
            <w:tcW w:w="851" w:type="dxa"/>
            <w:vAlign w:val="center"/>
          </w:tcPr>
          <w:p w14:paraId="04220354">
            <w:pPr>
              <w:pStyle w:val="502"/>
              <w:adjustRightInd w:val="0"/>
              <w:snapToGrid w:val="0"/>
              <w:ind w:firstLine="0" w:firstLineChars="0"/>
              <w:rPr>
                <w:rFonts w:eastAsia="仿宋_GB2312"/>
                <w:color w:val="auto"/>
                <w:sz w:val="30"/>
                <w:szCs w:val="30"/>
                <w:highlight w:val="none"/>
              </w:rPr>
            </w:pPr>
          </w:p>
        </w:tc>
        <w:tc>
          <w:tcPr>
            <w:tcW w:w="1417" w:type="dxa"/>
            <w:vAlign w:val="center"/>
          </w:tcPr>
          <w:p w14:paraId="642C3526">
            <w:pPr>
              <w:pStyle w:val="502"/>
              <w:adjustRightInd w:val="0"/>
              <w:snapToGrid w:val="0"/>
              <w:ind w:firstLine="0" w:firstLineChars="0"/>
              <w:rPr>
                <w:rFonts w:eastAsia="仿宋_GB2312"/>
                <w:color w:val="auto"/>
                <w:sz w:val="30"/>
                <w:szCs w:val="30"/>
                <w:highlight w:val="none"/>
              </w:rPr>
            </w:pPr>
          </w:p>
        </w:tc>
        <w:tc>
          <w:tcPr>
            <w:tcW w:w="1134" w:type="dxa"/>
            <w:vAlign w:val="center"/>
          </w:tcPr>
          <w:p w14:paraId="5C0C7B2B">
            <w:pPr>
              <w:pStyle w:val="502"/>
              <w:adjustRightInd w:val="0"/>
              <w:snapToGrid w:val="0"/>
              <w:ind w:firstLine="0" w:firstLineChars="0"/>
              <w:rPr>
                <w:rFonts w:eastAsia="仿宋_GB2312"/>
                <w:color w:val="auto"/>
                <w:sz w:val="30"/>
                <w:szCs w:val="30"/>
                <w:highlight w:val="none"/>
              </w:rPr>
            </w:pPr>
          </w:p>
        </w:tc>
        <w:tc>
          <w:tcPr>
            <w:tcW w:w="742" w:type="dxa"/>
            <w:vAlign w:val="center"/>
          </w:tcPr>
          <w:p w14:paraId="2C9F77BC">
            <w:pPr>
              <w:pStyle w:val="502"/>
              <w:adjustRightInd w:val="0"/>
              <w:snapToGrid w:val="0"/>
              <w:ind w:firstLine="0" w:firstLineChars="0"/>
              <w:rPr>
                <w:rFonts w:eastAsia="仿宋_GB2312"/>
                <w:color w:val="auto"/>
                <w:sz w:val="30"/>
                <w:szCs w:val="30"/>
                <w:highlight w:val="none"/>
              </w:rPr>
            </w:pPr>
          </w:p>
        </w:tc>
        <w:tc>
          <w:tcPr>
            <w:tcW w:w="676" w:type="dxa"/>
            <w:vAlign w:val="center"/>
          </w:tcPr>
          <w:p w14:paraId="587B4120">
            <w:pPr>
              <w:pStyle w:val="502"/>
              <w:adjustRightInd w:val="0"/>
              <w:snapToGrid w:val="0"/>
              <w:ind w:firstLine="0" w:firstLineChars="0"/>
              <w:rPr>
                <w:rFonts w:eastAsia="仿宋_GB2312"/>
                <w:color w:val="auto"/>
                <w:sz w:val="30"/>
                <w:szCs w:val="30"/>
                <w:highlight w:val="none"/>
              </w:rPr>
            </w:pPr>
          </w:p>
        </w:tc>
      </w:tr>
      <w:tr w14:paraId="0AA91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tcBorders>
              <w:top w:val="nil"/>
            </w:tcBorders>
            <w:vAlign w:val="center"/>
          </w:tcPr>
          <w:p w14:paraId="5801793B">
            <w:pPr>
              <w:pStyle w:val="502"/>
              <w:adjustRightInd w:val="0"/>
              <w:snapToGrid w:val="0"/>
              <w:ind w:firstLine="0" w:firstLineChars="0"/>
              <w:rPr>
                <w:rFonts w:eastAsia="仿宋_GB2312"/>
                <w:color w:val="auto"/>
                <w:sz w:val="30"/>
                <w:szCs w:val="30"/>
                <w:highlight w:val="none"/>
              </w:rPr>
            </w:pPr>
          </w:p>
        </w:tc>
        <w:tc>
          <w:tcPr>
            <w:tcW w:w="1239" w:type="dxa"/>
            <w:tcBorders>
              <w:top w:val="nil"/>
            </w:tcBorders>
            <w:vAlign w:val="center"/>
          </w:tcPr>
          <w:p w14:paraId="1A8C552D">
            <w:pPr>
              <w:pStyle w:val="502"/>
              <w:adjustRightInd w:val="0"/>
              <w:snapToGrid w:val="0"/>
              <w:ind w:firstLine="0" w:firstLineChars="0"/>
              <w:rPr>
                <w:rFonts w:eastAsia="仿宋_GB2312"/>
                <w:color w:val="auto"/>
                <w:sz w:val="30"/>
                <w:szCs w:val="30"/>
                <w:highlight w:val="none"/>
              </w:rPr>
            </w:pPr>
          </w:p>
        </w:tc>
        <w:tc>
          <w:tcPr>
            <w:tcW w:w="953" w:type="dxa"/>
            <w:tcBorders>
              <w:top w:val="nil"/>
            </w:tcBorders>
            <w:vAlign w:val="center"/>
          </w:tcPr>
          <w:p w14:paraId="31A302E3">
            <w:pPr>
              <w:pStyle w:val="502"/>
              <w:adjustRightInd w:val="0"/>
              <w:snapToGrid w:val="0"/>
              <w:ind w:firstLine="0" w:firstLineChars="0"/>
              <w:rPr>
                <w:rFonts w:eastAsia="仿宋_GB2312"/>
                <w:color w:val="auto"/>
                <w:sz w:val="30"/>
                <w:szCs w:val="30"/>
                <w:highlight w:val="none"/>
              </w:rPr>
            </w:pPr>
          </w:p>
        </w:tc>
        <w:tc>
          <w:tcPr>
            <w:tcW w:w="1203" w:type="dxa"/>
            <w:tcBorders>
              <w:top w:val="nil"/>
            </w:tcBorders>
            <w:vAlign w:val="center"/>
          </w:tcPr>
          <w:p w14:paraId="5760C28F">
            <w:pPr>
              <w:pStyle w:val="502"/>
              <w:adjustRightInd w:val="0"/>
              <w:snapToGrid w:val="0"/>
              <w:ind w:firstLine="0" w:firstLineChars="0"/>
              <w:rPr>
                <w:rFonts w:eastAsia="仿宋_GB2312"/>
                <w:color w:val="auto"/>
                <w:sz w:val="30"/>
                <w:szCs w:val="30"/>
                <w:highlight w:val="none"/>
              </w:rPr>
            </w:pPr>
          </w:p>
        </w:tc>
        <w:tc>
          <w:tcPr>
            <w:tcW w:w="850" w:type="dxa"/>
            <w:tcBorders>
              <w:top w:val="nil"/>
            </w:tcBorders>
            <w:vAlign w:val="center"/>
          </w:tcPr>
          <w:p w14:paraId="4700A7FB">
            <w:pPr>
              <w:pStyle w:val="502"/>
              <w:adjustRightInd w:val="0"/>
              <w:snapToGrid w:val="0"/>
              <w:ind w:firstLine="0" w:firstLineChars="0"/>
              <w:rPr>
                <w:rFonts w:eastAsia="仿宋_GB2312"/>
                <w:color w:val="auto"/>
                <w:sz w:val="30"/>
                <w:szCs w:val="30"/>
                <w:highlight w:val="none"/>
              </w:rPr>
            </w:pPr>
          </w:p>
        </w:tc>
        <w:tc>
          <w:tcPr>
            <w:tcW w:w="851" w:type="dxa"/>
            <w:tcBorders>
              <w:top w:val="nil"/>
            </w:tcBorders>
            <w:vAlign w:val="center"/>
          </w:tcPr>
          <w:p w14:paraId="05D843EB">
            <w:pPr>
              <w:pStyle w:val="502"/>
              <w:adjustRightInd w:val="0"/>
              <w:snapToGrid w:val="0"/>
              <w:ind w:firstLine="0" w:firstLineChars="0"/>
              <w:rPr>
                <w:rFonts w:eastAsia="仿宋_GB2312"/>
                <w:color w:val="auto"/>
                <w:sz w:val="30"/>
                <w:szCs w:val="30"/>
                <w:highlight w:val="none"/>
              </w:rPr>
            </w:pPr>
          </w:p>
        </w:tc>
        <w:tc>
          <w:tcPr>
            <w:tcW w:w="1417" w:type="dxa"/>
            <w:tcBorders>
              <w:top w:val="nil"/>
            </w:tcBorders>
            <w:vAlign w:val="center"/>
          </w:tcPr>
          <w:p w14:paraId="268D2BD9">
            <w:pPr>
              <w:pStyle w:val="502"/>
              <w:adjustRightInd w:val="0"/>
              <w:snapToGrid w:val="0"/>
              <w:ind w:firstLine="0" w:firstLineChars="0"/>
              <w:rPr>
                <w:rFonts w:eastAsia="仿宋_GB2312"/>
                <w:color w:val="auto"/>
                <w:sz w:val="30"/>
                <w:szCs w:val="30"/>
                <w:highlight w:val="none"/>
              </w:rPr>
            </w:pPr>
          </w:p>
        </w:tc>
        <w:tc>
          <w:tcPr>
            <w:tcW w:w="1134" w:type="dxa"/>
            <w:tcBorders>
              <w:top w:val="nil"/>
            </w:tcBorders>
            <w:vAlign w:val="center"/>
          </w:tcPr>
          <w:p w14:paraId="6ECE6AF7">
            <w:pPr>
              <w:pStyle w:val="502"/>
              <w:adjustRightInd w:val="0"/>
              <w:snapToGrid w:val="0"/>
              <w:ind w:firstLine="0" w:firstLineChars="0"/>
              <w:rPr>
                <w:rFonts w:eastAsia="仿宋_GB2312"/>
                <w:color w:val="auto"/>
                <w:sz w:val="30"/>
                <w:szCs w:val="30"/>
                <w:highlight w:val="none"/>
              </w:rPr>
            </w:pPr>
          </w:p>
        </w:tc>
        <w:tc>
          <w:tcPr>
            <w:tcW w:w="742" w:type="dxa"/>
            <w:tcBorders>
              <w:top w:val="nil"/>
            </w:tcBorders>
            <w:vAlign w:val="center"/>
          </w:tcPr>
          <w:p w14:paraId="554D74B3">
            <w:pPr>
              <w:pStyle w:val="502"/>
              <w:adjustRightInd w:val="0"/>
              <w:snapToGrid w:val="0"/>
              <w:ind w:firstLine="0" w:firstLineChars="0"/>
              <w:rPr>
                <w:rFonts w:eastAsia="仿宋_GB2312"/>
                <w:color w:val="auto"/>
                <w:sz w:val="30"/>
                <w:szCs w:val="30"/>
                <w:highlight w:val="none"/>
              </w:rPr>
            </w:pPr>
          </w:p>
        </w:tc>
        <w:tc>
          <w:tcPr>
            <w:tcW w:w="676" w:type="dxa"/>
            <w:tcBorders>
              <w:top w:val="nil"/>
            </w:tcBorders>
            <w:vAlign w:val="center"/>
          </w:tcPr>
          <w:p w14:paraId="6D60F74D">
            <w:pPr>
              <w:pStyle w:val="502"/>
              <w:adjustRightInd w:val="0"/>
              <w:snapToGrid w:val="0"/>
              <w:ind w:firstLine="0" w:firstLineChars="0"/>
              <w:rPr>
                <w:rFonts w:eastAsia="仿宋_GB2312"/>
                <w:color w:val="auto"/>
                <w:sz w:val="30"/>
                <w:szCs w:val="30"/>
                <w:highlight w:val="none"/>
              </w:rPr>
            </w:pPr>
          </w:p>
        </w:tc>
      </w:tr>
      <w:tr w14:paraId="57DA9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2" w:hRule="atLeast"/>
          <w:jc w:val="center"/>
        </w:trPr>
        <w:tc>
          <w:tcPr>
            <w:tcW w:w="859" w:type="dxa"/>
            <w:vAlign w:val="center"/>
          </w:tcPr>
          <w:p w14:paraId="6F323E84">
            <w:pPr>
              <w:pStyle w:val="502"/>
              <w:adjustRightInd w:val="0"/>
              <w:snapToGrid w:val="0"/>
              <w:ind w:firstLine="0" w:firstLineChars="0"/>
              <w:rPr>
                <w:rFonts w:eastAsia="仿宋_GB2312"/>
                <w:color w:val="auto"/>
                <w:sz w:val="30"/>
                <w:szCs w:val="30"/>
                <w:highlight w:val="none"/>
              </w:rPr>
            </w:pPr>
          </w:p>
        </w:tc>
        <w:tc>
          <w:tcPr>
            <w:tcW w:w="1239" w:type="dxa"/>
            <w:vAlign w:val="center"/>
          </w:tcPr>
          <w:p w14:paraId="209FCE05">
            <w:pPr>
              <w:pStyle w:val="502"/>
              <w:adjustRightInd w:val="0"/>
              <w:snapToGrid w:val="0"/>
              <w:ind w:firstLine="0" w:firstLineChars="0"/>
              <w:rPr>
                <w:rFonts w:eastAsia="仿宋_GB2312"/>
                <w:color w:val="auto"/>
                <w:sz w:val="30"/>
                <w:szCs w:val="30"/>
                <w:highlight w:val="none"/>
              </w:rPr>
            </w:pPr>
          </w:p>
        </w:tc>
        <w:tc>
          <w:tcPr>
            <w:tcW w:w="953" w:type="dxa"/>
            <w:vAlign w:val="center"/>
          </w:tcPr>
          <w:p w14:paraId="55EDBDA7">
            <w:pPr>
              <w:pStyle w:val="502"/>
              <w:adjustRightInd w:val="0"/>
              <w:snapToGrid w:val="0"/>
              <w:ind w:firstLine="0" w:firstLineChars="0"/>
              <w:rPr>
                <w:rFonts w:eastAsia="仿宋_GB2312"/>
                <w:color w:val="auto"/>
                <w:sz w:val="30"/>
                <w:szCs w:val="30"/>
                <w:highlight w:val="none"/>
              </w:rPr>
            </w:pPr>
          </w:p>
        </w:tc>
        <w:tc>
          <w:tcPr>
            <w:tcW w:w="1203" w:type="dxa"/>
            <w:vAlign w:val="center"/>
          </w:tcPr>
          <w:p w14:paraId="370A8E5F">
            <w:pPr>
              <w:pStyle w:val="502"/>
              <w:adjustRightInd w:val="0"/>
              <w:snapToGrid w:val="0"/>
              <w:ind w:firstLine="0" w:firstLineChars="0"/>
              <w:rPr>
                <w:rFonts w:eastAsia="仿宋_GB2312"/>
                <w:color w:val="auto"/>
                <w:sz w:val="30"/>
                <w:szCs w:val="30"/>
                <w:highlight w:val="none"/>
              </w:rPr>
            </w:pPr>
          </w:p>
        </w:tc>
        <w:tc>
          <w:tcPr>
            <w:tcW w:w="850" w:type="dxa"/>
            <w:vAlign w:val="center"/>
          </w:tcPr>
          <w:p w14:paraId="4089C786">
            <w:pPr>
              <w:pStyle w:val="502"/>
              <w:adjustRightInd w:val="0"/>
              <w:snapToGrid w:val="0"/>
              <w:ind w:firstLine="0" w:firstLineChars="0"/>
              <w:rPr>
                <w:rFonts w:eastAsia="仿宋_GB2312"/>
                <w:color w:val="auto"/>
                <w:sz w:val="30"/>
                <w:szCs w:val="30"/>
                <w:highlight w:val="none"/>
              </w:rPr>
            </w:pPr>
          </w:p>
        </w:tc>
        <w:tc>
          <w:tcPr>
            <w:tcW w:w="851" w:type="dxa"/>
            <w:vAlign w:val="center"/>
          </w:tcPr>
          <w:p w14:paraId="2FB47DCB">
            <w:pPr>
              <w:pStyle w:val="502"/>
              <w:adjustRightInd w:val="0"/>
              <w:snapToGrid w:val="0"/>
              <w:ind w:firstLine="0" w:firstLineChars="0"/>
              <w:rPr>
                <w:rFonts w:eastAsia="仿宋_GB2312"/>
                <w:color w:val="auto"/>
                <w:sz w:val="30"/>
                <w:szCs w:val="30"/>
                <w:highlight w:val="none"/>
              </w:rPr>
            </w:pPr>
          </w:p>
        </w:tc>
        <w:tc>
          <w:tcPr>
            <w:tcW w:w="1417" w:type="dxa"/>
            <w:vAlign w:val="center"/>
          </w:tcPr>
          <w:p w14:paraId="408B3AAD">
            <w:pPr>
              <w:pStyle w:val="502"/>
              <w:adjustRightInd w:val="0"/>
              <w:snapToGrid w:val="0"/>
              <w:ind w:firstLine="0" w:firstLineChars="0"/>
              <w:rPr>
                <w:rFonts w:eastAsia="仿宋_GB2312"/>
                <w:color w:val="auto"/>
                <w:sz w:val="30"/>
                <w:szCs w:val="30"/>
                <w:highlight w:val="none"/>
              </w:rPr>
            </w:pPr>
          </w:p>
        </w:tc>
        <w:tc>
          <w:tcPr>
            <w:tcW w:w="1134" w:type="dxa"/>
            <w:vAlign w:val="center"/>
          </w:tcPr>
          <w:p w14:paraId="085ADBB4">
            <w:pPr>
              <w:pStyle w:val="502"/>
              <w:adjustRightInd w:val="0"/>
              <w:snapToGrid w:val="0"/>
              <w:ind w:firstLine="0" w:firstLineChars="0"/>
              <w:rPr>
                <w:rFonts w:eastAsia="仿宋_GB2312"/>
                <w:color w:val="auto"/>
                <w:sz w:val="30"/>
                <w:szCs w:val="30"/>
                <w:highlight w:val="none"/>
              </w:rPr>
            </w:pPr>
          </w:p>
        </w:tc>
        <w:tc>
          <w:tcPr>
            <w:tcW w:w="742" w:type="dxa"/>
            <w:vAlign w:val="center"/>
          </w:tcPr>
          <w:p w14:paraId="4FA00FC5">
            <w:pPr>
              <w:pStyle w:val="502"/>
              <w:adjustRightInd w:val="0"/>
              <w:snapToGrid w:val="0"/>
              <w:ind w:firstLine="0" w:firstLineChars="0"/>
              <w:rPr>
                <w:rFonts w:eastAsia="仿宋_GB2312"/>
                <w:color w:val="auto"/>
                <w:sz w:val="30"/>
                <w:szCs w:val="30"/>
                <w:highlight w:val="none"/>
              </w:rPr>
            </w:pPr>
          </w:p>
        </w:tc>
        <w:tc>
          <w:tcPr>
            <w:tcW w:w="676" w:type="dxa"/>
            <w:vAlign w:val="center"/>
          </w:tcPr>
          <w:p w14:paraId="5117B11D">
            <w:pPr>
              <w:pStyle w:val="502"/>
              <w:adjustRightInd w:val="0"/>
              <w:snapToGrid w:val="0"/>
              <w:ind w:firstLine="0" w:firstLineChars="0"/>
              <w:rPr>
                <w:rFonts w:eastAsia="仿宋_GB2312"/>
                <w:color w:val="auto"/>
                <w:sz w:val="30"/>
                <w:szCs w:val="30"/>
                <w:highlight w:val="none"/>
              </w:rPr>
            </w:pPr>
          </w:p>
        </w:tc>
      </w:tr>
    </w:tbl>
    <w:p w14:paraId="43AF8909">
      <w:pPr>
        <w:pStyle w:val="502"/>
        <w:ind w:firstLine="0" w:firstLineChars="0"/>
        <w:rPr>
          <w:rFonts w:eastAsia="仿宋_GB2312"/>
          <w:color w:val="auto"/>
          <w:sz w:val="30"/>
          <w:szCs w:val="30"/>
          <w:highlight w:val="none"/>
        </w:rPr>
      </w:pPr>
    </w:p>
    <w:p w14:paraId="4E8E9BC9">
      <w:pPr>
        <w:pStyle w:val="502"/>
        <w:ind w:firstLine="0" w:firstLineChars="0"/>
        <w:rPr>
          <w:rFonts w:eastAsia="仿宋_GB2312"/>
          <w:color w:val="auto"/>
          <w:sz w:val="30"/>
          <w:szCs w:val="30"/>
          <w:highlight w:val="none"/>
        </w:rPr>
      </w:pPr>
    </w:p>
    <w:p w14:paraId="72AADFDC">
      <w:pPr>
        <w:pStyle w:val="502"/>
        <w:ind w:firstLine="0" w:firstLineChars="0"/>
        <w:rPr>
          <w:rFonts w:ascii="宋体" w:hAnsi="宋体" w:cs="宋体"/>
          <w:color w:val="auto"/>
          <w:sz w:val="30"/>
          <w:szCs w:val="30"/>
          <w:highlight w:val="none"/>
        </w:rPr>
      </w:pPr>
      <w:r>
        <w:rPr>
          <w:rFonts w:hint="eastAsia" w:ascii="宋体" w:hAnsi="宋体" w:cs="宋体"/>
          <w:color w:val="auto"/>
          <w:sz w:val="30"/>
          <w:szCs w:val="30"/>
          <w:highlight w:val="none"/>
        </w:rPr>
        <w:t>附件2：</w:t>
      </w:r>
    </w:p>
    <w:p w14:paraId="44F57F8A">
      <w:pPr>
        <w:pStyle w:val="502"/>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工程质量保修书</w:t>
      </w:r>
    </w:p>
    <w:p w14:paraId="12EE4970">
      <w:pPr>
        <w:pStyle w:val="502"/>
        <w:ind w:firstLine="600"/>
        <w:rPr>
          <w:rFonts w:ascii="宋体" w:hAnsi="宋体" w:cs="宋体"/>
          <w:color w:val="auto"/>
          <w:sz w:val="30"/>
          <w:szCs w:val="30"/>
          <w:highlight w:val="none"/>
        </w:rPr>
      </w:pPr>
    </w:p>
    <w:p w14:paraId="78E054E7">
      <w:pPr>
        <w:pStyle w:val="495"/>
        <w:rPr>
          <w:rFonts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2588B4C2">
      <w:pPr>
        <w:pStyle w:val="495"/>
        <w:rPr>
          <w:rFonts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09D1F94">
      <w:pPr>
        <w:pStyle w:val="495"/>
        <w:rPr>
          <w:rFonts w:eastAsia="宋体" w:cs="宋体"/>
          <w:color w:val="auto"/>
          <w:highlight w:val="none"/>
        </w:rPr>
      </w:pPr>
    </w:p>
    <w:p w14:paraId="6097CF83">
      <w:pPr>
        <w:pStyle w:val="495"/>
        <w:spacing w:line="400" w:lineRule="exact"/>
        <w:rPr>
          <w:rFonts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（工程全称）</w:t>
      </w:r>
      <w:r>
        <w:rPr>
          <w:rFonts w:hint="eastAsia" w:eastAsia="宋体" w:cs="宋体"/>
          <w:color w:val="auto"/>
          <w:highlight w:val="none"/>
        </w:rPr>
        <w:t>签订工程质量保修书。</w:t>
      </w:r>
    </w:p>
    <w:p w14:paraId="5E54B2CD">
      <w:pPr>
        <w:pStyle w:val="495"/>
        <w:spacing w:line="400" w:lineRule="exact"/>
        <w:rPr>
          <w:rFonts w:eastAsia="宋体" w:cs="宋体"/>
          <w:color w:val="auto"/>
          <w:highlight w:val="none"/>
        </w:rPr>
      </w:pPr>
      <w:r>
        <w:rPr>
          <w:rFonts w:hint="eastAsia" w:eastAsia="宋体" w:cs="宋体"/>
          <w:color w:val="auto"/>
          <w:highlight w:val="none"/>
        </w:rPr>
        <w:t>一、工程质量保修范围和内容</w:t>
      </w:r>
    </w:p>
    <w:p w14:paraId="3CB52029">
      <w:pPr>
        <w:pStyle w:val="495"/>
        <w:spacing w:line="400" w:lineRule="exact"/>
        <w:rPr>
          <w:rFonts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7C6A44CB">
      <w:pPr>
        <w:pStyle w:val="495"/>
        <w:spacing w:line="400" w:lineRule="exact"/>
        <w:rPr>
          <w:rFonts w:eastAsia="宋体" w:cs="宋体"/>
          <w:color w:val="auto"/>
          <w:highlight w:val="none"/>
        </w:rPr>
      </w:pPr>
      <w:r>
        <w:rPr>
          <w:rFonts w:hint="eastAsia" w:eastAsia="宋体" w:cs="宋体"/>
          <w:color w:val="auto"/>
          <w:highlight w:val="none"/>
        </w:rPr>
        <w:t>质量保修范围包括</w:t>
      </w:r>
      <w:r>
        <w:rPr>
          <w:rFonts w:hint="eastAsia" w:eastAsia="宋体" w:cs="宋体"/>
          <w:color w:val="auto"/>
          <w:highlight w:val="none"/>
          <w:u w:val="single"/>
        </w:rPr>
        <w:t>承包范围内施工内容</w:t>
      </w:r>
      <w:r>
        <w:rPr>
          <w:rFonts w:hint="eastAsia" w:eastAsia="宋体" w:cs="宋体"/>
          <w:color w:val="auto"/>
          <w:highlight w:val="none"/>
        </w:rPr>
        <w:t>，以及双方约定的其他项目。具体保修的内容，双方约定如下：</w:t>
      </w:r>
      <w:r>
        <w:rPr>
          <w:rFonts w:hint="eastAsia" w:eastAsia="宋体" w:cs="宋体"/>
          <w:color w:val="auto"/>
          <w:highlight w:val="none"/>
          <w:u w:val="single"/>
        </w:rPr>
        <w:t>本工程所有施工内容</w:t>
      </w:r>
      <w:r>
        <w:rPr>
          <w:rFonts w:hint="eastAsia" w:eastAsia="宋体" w:cs="宋体"/>
          <w:color w:val="auto"/>
          <w:highlight w:val="none"/>
        </w:rPr>
        <w:t>。</w:t>
      </w:r>
    </w:p>
    <w:p w14:paraId="0827A349">
      <w:pPr>
        <w:pStyle w:val="495"/>
        <w:spacing w:line="400" w:lineRule="exact"/>
        <w:rPr>
          <w:rFonts w:eastAsia="宋体" w:cs="宋体"/>
          <w:color w:val="auto"/>
          <w:highlight w:val="none"/>
        </w:rPr>
      </w:pPr>
      <w:r>
        <w:rPr>
          <w:rFonts w:hint="eastAsia" w:eastAsia="宋体" w:cs="宋体"/>
          <w:color w:val="auto"/>
          <w:highlight w:val="none"/>
        </w:rPr>
        <w:t>二、质量保修期</w:t>
      </w:r>
    </w:p>
    <w:p w14:paraId="4649DEAF">
      <w:pPr>
        <w:pStyle w:val="495"/>
        <w:spacing w:line="400" w:lineRule="exact"/>
        <w:rPr>
          <w:rFonts w:eastAsia="宋体" w:cs="宋体"/>
          <w:color w:val="auto"/>
          <w:highlight w:val="none"/>
        </w:rPr>
      </w:pPr>
      <w:r>
        <w:rPr>
          <w:rFonts w:hint="eastAsia" w:eastAsia="宋体" w:cs="宋体"/>
          <w:color w:val="auto"/>
          <w:highlight w:val="none"/>
        </w:rPr>
        <w:t>根据《建设工程质量管理条例》及有关规定，工程的质量保修期如下：</w:t>
      </w:r>
    </w:p>
    <w:p w14:paraId="508D8D2F">
      <w:pPr>
        <w:pStyle w:val="501"/>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6618345A">
      <w:pPr>
        <w:pStyle w:val="501"/>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39936E0">
      <w:pPr>
        <w:pStyle w:val="501"/>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DA1FE05">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AA61B37">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34DB2B7E">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126760DA">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7、园林绿化种植工程为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60B6FC8F">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8、桥梁、</w:t>
      </w:r>
      <w:r>
        <w:rPr>
          <w:rFonts w:hint="eastAsia" w:ascii="宋体" w:hAnsi="宋体" w:cs="宋体"/>
          <w:color w:val="auto"/>
          <w:kern w:val="0"/>
          <w:szCs w:val="21"/>
          <w:highlight w:val="none"/>
        </w:rPr>
        <w:t>道路工程为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p>
    <w:p w14:paraId="07F4B9A4">
      <w:pPr>
        <w:pStyle w:val="501"/>
        <w:adjustRightInd w:val="0"/>
        <w:snapToGrid w:val="0"/>
        <w:spacing w:line="400" w:lineRule="exact"/>
        <w:ind w:left="420" w:leftChars="200" w:firstLine="105" w:firstLineChars="50"/>
        <w:rPr>
          <w:rFonts w:ascii="宋体" w:hAnsi="宋体" w:cs="宋体"/>
          <w:color w:val="auto"/>
          <w:szCs w:val="21"/>
          <w:highlight w:val="none"/>
          <w:u w:val="single"/>
        </w:rPr>
      </w:pPr>
      <w:r>
        <w:rPr>
          <w:rFonts w:hint="eastAsia" w:ascii="宋体" w:hAnsi="宋体" w:cs="宋体"/>
          <w:color w:val="auto"/>
          <w:szCs w:val="21"/>
          <w:highlight w:val="none"/>
        </w:rPr>
        <w:t>9、其他项目保修期限约定如下：</w:t>
      </w:r>
      <w:r>
        <w:rPr>
          <w:rFonts w:hint="eastAsia" w:ascii="宋体" w:hAnsi="宋体" w:cs="宋体"/>
          <w:color w:val="auto"/>
          <w:szCs w:val="21"/>
          <w:highlight w:val="none"/>
          <w:u w:val="single"/>
        </w:rPr>
        <w:t>质量保修规范如国家有新规定，则按新规定执行。</w:t>
      </w:r>
    </w:p>
    <w:p w14:paraId="2B50C221">
      <w:pPr>
        <w:pStyle w:val="501"/>
        <w:adjustRightInd w:val="0"/>
        <w:snapToGrid w:val="0"/>
        <w:spacing w:line="400" w:lineRule="exact"/>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208570BF">
      <w:pPr>
        <w:pStyle w:val="495"/>
        <w:spacing w:line="400" w:lineRule="exact"/>
        <w:ind w:firstLine="417" w:firstLineChars="199"/>
        <w:rPr>
          <w:rFonts w:eastAsia="宋体" w:cs="宋体"/>
          <w:color w:val="auto"/>
          <w:highlight w:val="none"/>
        </w:rPr>
      </w:pPr>
      <w:r>
        <w:rPr>
          <w:rFonts w:hint="eastAsia" w:eastAsia="宋体" w:cs="宋体"/>
          <w:color w:val="auto"/>
          <w:highlight w:val="none"/>
        </w:rPr>
        <w:t>三、缺陷责任期</w:t>
      </w:r>
    </w:p>
    <w:p w14:paraId="7F62A957">
      <w:pPr>
        <w:pStyle w:val="495"/>
        <w:spacing w:line="400" w:lineRule="exact"/>
        <w:rPr>
          <w:rFonts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12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35CDC1B9">
      <w:pPr>
        <w:pStyle w:val="495"/>
        <w:spacing w:line="400" w:lineRule="exact"/>
        <w:rPr>
          <w:rFonts w:eastAsia="宋体" w:cs="宋体"/>
          <w:color w:val="auto"/>
          <w:highlight w:val="none"/>
        </w:rPr>
      </w:pPr>
      <w:r>
        <w:rPr>
          <w:rFonts w:hint="eastAsia" w:eastAsia="宋体" w:cs="宋体"/>
          <w:color w:val="auto"/>
          <w:highlight w:val="none"/>
        </w:rPr>
        <w:t>缺陷责任期终止后，发包人应退还剩余的质量保证金。</w:t>
      </w:r>
    </w:p>
    <w:p w14:paraId="68DBF690">
      <w:pPr>
        <w:pStyle w:val="495"/>
        <w:spacing w:line="400" w:lineRule="exact"/>
        <w:rPr>
          <w:rFonts w:eastAsia="宋体" w:cs="宋体"/>
          <w:color w:val="auto"/>
          <w:highlight w:val="none"/>
        </w:rPr>
      </w:pPr>
      <w:r>
        <w:rPr>
          <w:rFonts w:hint="eastAsia" w:eastAsia="宋体" w:cs="宋体"/>
          <w:color w:val="auto"/>
          <w:highlight w:val="none"/>
        </w:rPr>
        <w:t xml:space="preserve"> 四、质量保修责任</w:t>
      </w:r>
    </w:p>
    <w:p w14:paraId="3C5DAA72">
      <w:pPr>
        <w:pStyle w:val="495"/>
        <w:spacing w:line="400" w:lineRule="exact"/>
        <w:rPr>
          <w:rFonts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43F41944">
      <w:pPr>
        <w:pStyle w:val="495"/>
        <w:spacing w:line="400" w:lineRule="exact"/>
        <w:rPr>
          <w:rFonts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57316B2D">
      <w:pPr>
        <w:pStyle w:val="495"/>
        <w:spacing w:line="400" w:lineRule="exact"/>
        <w:rPr>
          <w:rFonts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D40971C">
      <w:pPr>
        <w:pStyle w:val="495"/>
        <w:spacing w:line="400" w:lineRule="exact"/>
        <w:rPr>
          <w:rFonts w:eastAsia="宋体" w:cs="宋体"/>
          <w:color w:val="auto"/>
          <w:highlight w:val="none"/>
        </w:rPr>
      </w:pPr>
      <w:r>
        <w:rPr>
          <w:rFonts w:hint="eastAsia" w:eastAsia="宋体" w:cs="宋体"/>
          <w:color w:val="auto"/>
          <w:highlight w:val="none"/>
        </w:rPr>
        <w:t>4．质量保修完成后，由发包人组织验收。</w:t>
      </w:r>
    </w:p>
    <w:p w14:paraId="37F7DEEF">
      <w:pPr>
        <w:pStyle w:val="495"/>
        <w:spacing w:line="400" w:lineRule="exact"/>
        <w:rPr>
          <w:rFonts w:eastAsia="宋体" w:cs="宋体"/>
          <w:color w:val="auto"/>
          <w:highlight w:val="none"/>
        </w:rPr>
      </w:pPr>
      <w:r>
        <w:rPr>
          <w:rFonts w:hint="eastAsia" w:eastAsia="宋体" w:cs="宋体"/>
          <w:color w:val="auto"/>
          <w:highlight w:val="none"/>
        </w:rPr>
        <w:t>五、保修费用</w:t>
      </w:r>
    </w:p>
    <w:p w14:paraId="730881DC">
      <w:pPr>
        <w:pStyle w:val="495"/>
        <w:spacing w:line="400" w:lineRule="exact"/>
        <w:rPr>
          <w:rFonts w:eastAsia="宋体" w:cs="宋体"/>
          <w:color w:val="auto"/>
          <w:highlight w:val="none"/>
        </w:rPr>
      </w:pPr>
      <w:r>
        <w:rPr>
          <w:rFonts w:hint="eastAsia" w:eastAsia="宋体" w:cs="宋体"/>
          <w:color w:val="auto"/>
          <w:highlight w:val="none"/>
        </w:rPr>
        <w:t>保修费用由造成质量缺陷的责任方承担。</w:t>
      </w:r>
    </w:p>
    <w:p w14:paraId="441F2E0E">
      <w:pPr>
        <w:pStyle w:val="501"/>
        <w:snapToGrid w:val="0"/>
        <w:spacing w:line="400" w:lineRule="exact"/>
        <w:ind w:firstLine="420" w:firstLineChars="200"/>
        <w:rPr>
          <w:rFonts w:ascii="宋体" w:hAnsi="宋体" w:cs="宋体"/>
          <w:b/>
          <w:bCs/>
          <w:color w:val="auto"/>
          <w:szCs w:val="21"/>
          <w:highlight w:val="none"/>
        </w:rPr>
      </w:pPr>
      <w:r>
        <w:rPr>
          <w:rFonts w:hint="eastAsia" w:ascii="宋体" w:hAnsi="宋体" w:cs="宋体"/>
          <w:color w:val="auto"/>
          <w:highlight w:val="none"/>
        </w:rPr>
        <w:t>六、双方约定的其他工程质量保修事项：</w:t>
      </w:r>
      <w:r>
        <w:rPr>
          <w:rFonts w:hint="eastAsia" w:ascii="宋体" w:hAnsi="宋体" w:cs="宋体"/>
          <w:b/>
          <w:bCs/>
          <w:color w:val="auto"/>
          <w:szCs w:val="21"/>
          <w:highlight w:val="none"/>
        </w:rPr>
        <w:t xml:space="preserve"> </w:t>
      </w:r>
    </w:p>
    <w:p w14:paraId="5E3F22D2">
      <w:pPr>
        <w:pStyle w:val="501"/>
        <w:snapToGrid w:val="0"/>
        <w:spacing w:line="400" w:lineRule="exact"/>
        <w:ind w:firstLine="306" w:firstLineChars="145"/>
        <w:rPr>
          <w:rFonts w:ascii="宋体" w:hAnsi="宋体" w:cs="宋体"/>
          <w:bCs/>
          <w:color w:val="auto"/>
          <w:szCs w:val="21"/>
          <w:highlight w:val="none"/>
          <w:u w:val="single"/>
        </w:rPr>
      </w:pPr>
      <w:r>
        <w:rPr>
          <w:rFonts w:hint="eastAsia" w:ascii="宋体" w:hAnsi="宋体" w:cs="宋体"/>
          <w:b/>
          <w:bCs/>
          <w:color w:val="auto"/>
          <w:szCs w:val="21"/>
          <w:highlight w:val="none"/>
        </w:rPr>
        <w:t xml:space="preserve"> </w:t>
      </w:r>
      <w:r>
        <w:rPr>
          <w:rFonts w:hint="eastAsia" w:ascii="宋体" w:hAnsi="宋体" w:cs="宋体"/>
          <w:bCs/>
          <w:color w:val="auto"/>
          <w:szCs w:val="21"/>
          <w:highlight w:val="none"/>
        </w:rPr>
        <w:t>1、承包人未按照法律法规有关规定和合同约定履行质量保修义务的，发包人有权从质量保证金中扣留用于质量保修的各项支出。</w:t>
      </w:r>
    </w:p>
    <w:p w14:paraId="6A2600FF">
      <w:pPr>
        <w:pStyle w:val="501"/>
        <w:snapToGrid w:val="0"/>
        <w:spacing w:line="400" w:lineRule="exact"/>
        <w:rPr>
          <w:rFonts w:ascii="宋体" w:hAnsi="宋体" w:cs="宋体"/>
          <w:color w:val="auto"/>
          <w:highlight w:val="none"/>
        </w:rPr>
      </w:pPr>
      <w:r>
        <w:rPr>
          <w:rFonts w:hint="eastAsia" w:ascii="宋体" w:hAnsi="宋体" w:cs="宋体"/>
          <w:bCs/>
          <w:color w:val="auto"/>
          <w:szCs w:val="21"/>
          <w:highlight w:val="none"/>
        </w:rPr>
        <w:t xml:space="preserve">    2、质量保修金比例：</w:t>
      </w:r>
      <w:r>
        <w:rPr>
          <w:rFonts w:hint="eastAsia" w:ascii="宋体" w:hAnsi="宋体" w:cs="宋体"/>
          <w:bCs/>
          <w:color w:val="auto"/>
          <w:szCs w:val="21"/>
          <w:highlight w:val="none"/>
          <w:u w:val="single"/>
        </w:rPr>
        <w:t>工程结算价的3%，待取得工程竣工验收证书之日起到2年缺陷责任期满后，如无质量问题14日内一次性付清（无息）。</w:t>
      </w:r>
    </w:p>
    <w:p w14:paraId="56FAEBBE">
      <w:pPr>
        <w:pStyle w:val="495"/>
        <w:spacing w:line="400" w:lineRule="exact"/>
        <w:rPr>
          <w:rFonts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584378AD">
      <w:pPr>
        <w:pStyle w:val="495"/>
        <w:spacing w:line="400" w:lineRule="exact"/>
        <w:rPr>
          <w:color w:val="auto"/>
          <w:highlight w:val="none"/>
        </w:rPr>
      </w:pPr>
    </w:p>
    <w:p w14:paraId="1F1C5BE2">
      <w:pPr>
        <w:pStyle w:val="495"/>
        <w:rPr>
          <w:color w:val="auto"/>
          <w:highlight w:val="none"/>
        </w:rPr>
      </w:pPr>
    </w:p>
    <w:p w14:paraId="6C169C5A">
      <w:pPr>
        <w:pStyle w:val="495"/>
        <w:rPr>
          <w:color w:val="auto"/>
          <w:highlight w:val="none"/>
        </w:rPr>
      </w:pPr>
      <w:r>
        <w:rPr>
          <w:color w:val="auto"/>
          <w:highlight w:val="none"/>
        </w:rPr>
        <w:t>发包人(公章)：</w:t>
      </w:r>
      <w:r>
        <w:rPr>
          <w:color w:val="auto"/>
          <w:highlight w:val="none"/>
          <w:u w:val="single"/>
        </w:rPr>
        <w:t xml:space="preserve">        </w:t>
      </w:r>
      <w:r>
        <w:rPr>
          <w:color w:val="auto"/>
          <w:highlight w:val="none"/>
        </w:rPr>
        <w:t xml:space="preserve"> 承包人(公章)：</w:t>
      </w:r>
      <w:r>
        <w:rPr>
          <w:color w:val="auto"/>
          <w:highlight w:val="none"/>
          <w:u w:val="single"/>
        </w:rPr>
        <w:t xml:space="preserve">           </w:t>
      </w:r>
    </w:p>
    <w:p w14:paraId="32095839">
      <w:pPr>
        <w:pStyle w:val="495"/>
        <w:rPr>
          <w:color w:val="auto"/>
          <w:highlight w:val="none"/>
        </w:rPr>
      </w:pPr>
      <w:r>
        <w:rPr>
          <w:color w:val="auto"/>
          <w:highlight w:val="none"/>
        </w:rPr>
        <w:t>地  址：</w:t>
      </w:r>
      <w:r>
        <w:rPr>
          <w:color w:val="auto"/>
          <w:highlight w:val="none"/>
          <w:u w:val="single"/>
        </w:rPr>
        <w:t xml:space="preserve">     </w:t>
      </w:r>
      <w:r>
        <w:rPr>
          <w:color w:val="auto"/>
          <w:highlight w:val="none"/>
        </w:rPr>
        <w:t xml:space="preserve"> </w:t>
      </w:r>
      <w:r>
        <w:rPr>
          <w:rFonts w:hint="eastAsia"/>
          <w:color w:val="auto"/>
          <w:highlight w:val="none"/>
        </w:rPr>
        <w:t xml:space="preserve"> </w:t>
      </w:r>
      <w:r>
        <w:rPr>
          <w:color w:val="auto"/>
          <w:highlight w:val="none"/>
        </w:rPr>
        <w:t>地  址：</w:t>
      </w:r>
      <w:r>
        <w:rPr>
          <w:color w:val="auto"/>
          <w:highlight w:val="none"/>
          <w:u w:val="single"/>
        </w:rPr>
        <w:t xml:space="preserve">       </w:t>
      </w:r>
    </w:p>
    <w:p w14:paraId="702F8346">
      <w:pPr>
        <w:pStyle w:val="495"/>
        <w:rPr>
          <w:color w:val="auto"/>
          <w:highlight w:val="none"/>
        </w:rPr>
      </w:pPr>
      <w:r>
        <w:rPr>
          <w:color w:val="auto"/>
          <w:highlight w:val="none"/>
        </w:rPr>
        <w:t>法定代表人(签字)：</w:t>
      </w:r>
      <w:r>
        <w:rPr>
          <w:color w:val="auto"/>
          <w:highlight w:val="none"/>
          <w:u w:val="single"/>
        </w:rPr>
        <w:t xml:space="preserve">      </w:t>
      </w:r>
      <w:r>
        <w:rPr>
          <w:color w:val="auto"/>
          <w:highlight w:val="none"/>
        </w:rPr>
        <w:t xml:space="preserve"> 法定代表人(签字)：</w:t>
      </w:r>
      <w:r>
        <w:rPr>
          <w:color w:val="auto"/>
          <w:highlight w:val="none"/>
          <w:u w:val="single"/>
        </w:rPr>
        <w:t xml:space="preserve">       </w:t>
      </w:r>
    </w:p>
    <w:p w14:paraId="358B4928">
      <w:pPr>
        <w:pStyle w:val="495"/>
        <w:rPr>
          <w:color w:val="auto"/>
          <w:highlight w:val="none"/>
        </w:rPr>
      </w:pPr>
      <w:r>
        <w:rPr>
          <w:color w:val="auto"/>
          <w:highlight w:val="none"/>
        </w:rPr>
        <w:t>委托代理人(签字)：</w:t>
      </w:r>
      <w:r>
        <w:rPr>
          <w:color w:val="auto"/>
          <w:highlight w:val="none"/>
          <w:u w:val="single"/>
        </w:rPr>
        <w:t xml:space="preserve">      </w:t>
      </w:r>
      <w:r>
        <w:rPr>
          <w:color w:val="auto"/>
          <w:highlight w:val="none"/>
        </w:rPr>
        <w:t xml:space="preserve"> 委托代理人(签字)：</w:t>
      </w:r>
      <w:r>
        <w:rPr>
          <w:color w:val="auto"/>
          <w:highlight w:val="none"/>
          <w:u w:val="single"/>
        </w:rPr>
        <w:t xml:space="preserve">       </w:t>
      </w:r>
    </w:p>
    <w:p w14:paraId="6968B456">
      <w:pPr>
        <w:pStyle w:val="495"/>
        <w:rPr>
          <w:color w:val="auto"/>
          <w:highlight w:val="none"/>
        </w:rPr>
      </w:pPr>
      <w:r>
        <w:rPr>
          <w:color w:val="auto"/>
          <w:highlight w:val="none"/>
        </w:rPr>
        <w:t>电  话：</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电  话：</w:t>
      </w:r>
      <w:r>
        <w:rPr>
          <w:color w:val="auto"/>
          <w:highlight w:val="none"/>
          <w:u w:val="single"/>
        </w:rPr>
        <w:t xml:space="preserve">     </w:t>
      </w:r>
    </w:p>
    <w:p w14:paraId="39621F2A">
      <w:pPr>
        <w:pStyle w:val="495"/>
        <w:rPr>
          <w:color w:val="auto"/>
          <w:highlight w:val="none"/>
        </w:rPr>
      </w:pPr>
      <w:r>
        <w:rPr>
          <w:color w:val="auto"/>
          <w:highlight w:val="none"/>
        </w:rPr>
        <w:t>传  真：</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传  真：</w:t>
      </w:r>
      <w:r>
        <w:rPr>
          <w:color w:val="auto"/>
          <w:highlight w:val="none"/>
          <w:u w:val="single"/>
        </w:rPr>
        <w:t xml:space="preserve">     </w:t>
      </w:r>
    </w:p>
    <w:p w14:paraId="11B50045">
      <w:pPr>
        <w:pStyle w:val="495"/>
        <w:rPr>
          <w:color w:val="auto"/>
          <w:highlight w:val="none"/>
        </w:rPr>
      </w:pPr>
      <w:r>
        <w:rPr>
          <w:color w:val="auto"/>
          <w:highlight w:val="none"/>
        </w:rPr>
        <w:t>开户银行：</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开户银行：</w:t>
      </w:r>
      <w:r>
        <w:rPr>
          <w:color w:val="auto"/>
          <w:highlight w:val="none"/>
          <w:u w:val="single"/>
        </w:rPr>
        <w:t xml:space="preserve">   </w:t>
      </w:r>
    </w:p>
    <w:p w14:paraId="5A2EF423">
      <w:pPr>
        <w:pStyle w:val="495"/>
        <w:rPr>
          <w:color w:val="auto"/>
          <w:highlight w:val="none"/>
        </w:rPr>
      </w:pPr>
      <w:r>
        <w:rPr>
          <w:color w:val="auto"/>
          <w:highlight w:val="none"/>
        </w:rPr>
        <w:t>账  号：</w:t>
      </w:r>
      <w:r>
        <w:rPr>
          <w:color w:val="auto"/>
          <w:highlight w:val="none"/>
          <w:u w:val="single"/>
        </w:rPr>
        <w:t xml:space="preserve">       </w:t>
      </w:r>
      <w:r>
        <w:rPr>
          <w:color w:val="auto"/>
          <w:highlight w:val="none"/>
        </w:rPr>
        <w:t xml:space="preserve">  账  号：</w:t>
      </w:r>
      <w:r>
        <w:rPr>
          <w:color w:val="auto"/>
          <w:highlight w:val="none"/>
          <w:u w:val="single"/>
        </w:rPr>
        <w:t xml:space="preserve">     </w:t>
      </w:r>
    </w:p>
    <w:p w14:paraId="35F10558">
      <w:pPr>
        <w:pStyle w:val="495"/>
        <w:rPr>
          <w:color w:val="auto"/>
          <w:sz w:val="30"/>
          <w:szCs w:val="30"/>
          <w:highlight w:val="none"/>
        </w:rPr>
      </w:pPr>
      <w:r>
        <w:rPr>
          <w:color w:val="auto"/>
          <w:highlight w:val="none"/>
        </w:rPr>
        <w:t>邮政编码：</w:t>
      </w:r>
      <w:r>
        <w:rPr>
          <w:color w:val="auto"/>
          <w:highlight w:val="none"/>
          <w:u w:val="single"/>
        </w:rPr>
        <w:t xml:space="preserve">     </w:t>
      </w:r>
      <w:r>
        <w:rPr>
          <w:color w:val="auto"/>
          <w:highlight w:val="none"/>
        </w:rPr>
        <w:t xml:space="preserve"> </w:t>
      </w:r>
      <w:r>
        <w:rPr>
          <w:rFonts w:hint="eastAsia"/>
          <w:color w:val="auto"/>
          <w:highlight w:val="none"/>
        </w:rPr>
        <w:t xml:space="preserve"> </w:t>
      </w:r>
      <w:r>
        <w:rPr>
          <w:color w:val="auto"/>
          <w:highlight w:val="none"/>
        </w:rPr>
        <w:t>邮政编码：</w:t>
      </w:r>
      <w:r>
        <w:rPr>
          <w:color w:val="auto"/>
          <w:highlight w:val="none"/>
          <w:u w:val="single"/>
        </w:rPr>
        <w:t xml:space="preserve">   </w:t>
      </w:r>
    </w:p>
    <w:p w14:paraId="0901CD18">
      <w:pPr>
        <w:pStyle w:val="505"/>
        <w:spacing w:line="440" w:lineRule="exact"/>
        <w:rPr>
          <w:rFonts w:eastAsia="黑体"/>
          <w:color w:val="auto"/>
          <w:sz w:val="30"/>
          <w:szCs w:val="30"/>
          <w:highlight w:val="none"/>
        </w:rPr>
      </w:pPr>
      <w:r>
        <w:rPr>
          <w:rFonts w:eastAsia="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14:paraId="795FA8BA">
      <w:pPr>
        <w:pStyle w:val="505"/>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84FA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4D0A6C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14:paraId="3D69FC3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vAlign w:val="center"/>
          </w:tcPr>
          <w:p w14:paraId="7672D20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费用（元）</w:t>
            </w:r>
          </w:p>
        </w:tc>
        <w:tc>
          <w:tcPr>
            <w:tcW w:w="1243" w:type="dxa"/>
            <w:tcBorders>
              <w:top w:val="single" w:color="auto" w:sz="12" w:space="0"/>
              <w:bottom w:val="double" w:color="auto" w:sz="6" w:space="0"/>
            </w:tcBorders>
            <w:vAlign w:val="center"/>
          </w:tcPr>
          <w:p w14:paraId="676F4FC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tcPr>
          <w:p w14:paraId="1E2FE0A1">
            <w:pPr>
              <w:pStyle w:val="505"/>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tcPr>
          <w:p w14:paraId="2345FD3C">
            <w:pPr>
              <w:pStyle w:val="505"/>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3AA05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B8254F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tcBorders>
              <w:top w:val="double" w:color="auto" w:sz="6" w:space="0"/>
              <w:bottom w:val="single" w:color="auto" w:sz="6" w:space="0"/>
            </w:tcBorders>
            <w:vAlign w:val="center"/>
          </w:tcPr>
          <w:p w14:paraId="14B97AB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double" w:color="auto" w:sz="6" w:space="0"/>
              <w:bottom w:val="single" w:color="auto" w:sz="6" w:space="0"/>
            </w:tcBorders>
            <w:vAlign w:val="center"/>
          </w:tcPr>
          <w:p w14:paraId="1636CC5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tcBorders>
              <w:top w:val="double" w:color="auto" w:sz="6" w:space="0"/>
              <w:bottom w:val="single" w:color="auto" w:sz="6" w:space="0"/>
            </w:tcBorders>
            <w:vAlign w:val="center"/>
          </w:tcPr>
          <w:p w14:paraId="47ECF92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double" w:color="auto" w:sz="6" w:space="0"/>
              <w:bottom w:val="single" w:color="auto" w:sz="6" w:space="0"/>
            </w:tcBorders>
            <w:vAlign w:val="center"/>
          </w:tcPr>
          <w:p w14:paraId="66FA603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tcBorders>
              <w:top w:val="double" w:color="auto" w:sz="6" w:space="0"/>
              <w:bottom w:val="single" w:color="auto" w:sz="6" w:space="0"/>
            </w:tcBorders>
            <w:vAlign w:val="center"/>
          </w:tcPr>
          <w:p w14:paraId="2C9326D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29A7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838760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tcBorders>
              <w:top w:val="nil"/>
            </w:tcBorders>
            <w:vAlign w:val="center"/>
          </w:tcPr>
          <w:p w14:paraId="7817857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nil"/>
            </w:tcBorders>
            <w:vAlign w:val="center"/>
          </w:tcPr>
          <w:p w14:paraId="1712D7D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tcBorders>
              <w:top w:val="nil"/>
            </w:tcBorders>
            <w:vAlign w:val="center"/>
          </w:tcPr>
          <w:p w14:paraId="55D0B51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nil"/>
            </w:tcBorders>
            <w:vAlign w:val="center"/>
          </w:tcPr>
          <w:p w14:paraId="4333D21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tcBorders>
              <w:top w:val="nil"/>
            </w:tcBorders>
            <w:vAlign w:val="center"/>
          </w:tcPr>
          <w:p w14:paraId="7E2FAA9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A013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B3A61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22EAD6D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0536680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5931A10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1DF0EBB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4EF7C11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CDD6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635CE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48710A8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46AF92E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14605E7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3B00509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5D1D070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7102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00F228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6906D44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3F4265F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1913E5A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5F4D740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7F19F27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1EC2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E4548F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6949744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2C63142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69DA997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6BB5D19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1E15E2D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0FD6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94275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43FFAF6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505C324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5EB07DD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4F441BB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2CBF549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3D8A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35826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vAlign w:val="center"/>
          </w:tcPr>
          <w:p w14:paraId="299F705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128DE53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vAlign w:val="center"/>
          </w:tcPr>
          <w:p w14:paraId="275A968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vAlign w:val="center"/>
          </w:tcPr>
          <w:p w14:paraId="4A17E07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vAlign w:val="center"/>
          </w:tcPr>
          <w:p w14:paraId="7D32C19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A152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D9ED373">
            <w:pPr>
              <w:pStyle w:val="505"/>
              <w:rPr>
                <w:rFonts w:eastAsia="仿宋_GB2312"/>
                <w:color w:val="auto"/>
                <w:sz w:val="30"/>
                <w:szCs w:val="30"/>
                <w:highlight w:val="none"/>
              </w:rPr>
            </w:pPr>
          </w:p>
        </w:tc>
        <w:tc>
          <w:tcPr>
            <w:tcW w:w="1276" w:type="dxa"/>
          </w:tcPr>
          <w:p w14:paraId="4984CF49">
            <w:pPr>
              <w:pStyle w:val="505"/>
              <w:rPr>
                <w:rFonts w:eastAsia="仿宋_GB2312"/>
                <w:color w:val="auto"/>
                <w:sz w:val="30"/>
                <w:szCs w:val="30"/>
                <w:highlight w:val="none"/>
              </w:rPr>
            </w:pPr>
          </w:p>
        </w:tc>
        <w:tc>
          <w:tcPr>
            <w:tcW w:w="1450" w:type="dxa"/>
          </w:tcPr>
          <w:p w14:paraId="7B035F47">
            <w:pPr>
              <w:pStyle w:val="505"/>
              <w:rPr>
                <w:rFonts w:eastAsia="仿宋_GB2312"/>
                <w:color w:val="auto"/>
                <w:sz w:val="30"/>
                <w:szCs w:val="30"/>
                <w:highlight w:val="none"/>
              </w:rPr>
            </w:pPr>
          </w:p>
        </w:tc>
        <w:tc>
          <w:tcPr>
            <w:tcW w:w="1243" w:type="dxa"/>
          </w:tcPr>
          <w:p w14:paraId="4077BD56">
            <w:pPr>
              <w:pStyle w:val="505"/>
              <w:rPr>
                <w:rFonts w:eastAsia="仿宋_GB2312"/>
                <w:color w:val="auto"/>
                <w:sz w:val="30"/>
                <w:szCs w:val="30"/>
                <w:highlight w:val="none"/>
              </w:rPr>
            </w:pPr>
          </w:p>
        </w:tc>
        <w:tc>
          <w:tcPr>
            <w:tcW w:w="1450" w:type="dxa"/>
          </w:tcPr>
          <w:p w14:paraId="626A1A5D">
            <w:pPr>
              <w:pStyle w:val="505"/>
              <w:rPr>
                <w:rFonts w:eastAsia="仿宋_GB2312"/>
                <w:color w:val="auto"/>
                <w:sz w:val="30"/>
                <w:szCs w:val="30"/>
                <w:highlight w:val="none"/>
              </w:rPr>
            </w:pPr>
          </w:p>
        </w:tc>
        <w:tc>
          <w:tcPr>
            <w:tcW w:w="1667" w:type="dxa"/>
          </w:tcPr>
          <w:p w14:paraId="008A2C8F">
            <w:pPr>
              <w:pStyle w:val="505"/>
              <w:rPr>
                <w:rFonts w:eastAsia="仿宋_GB2312"/>
                <w:color w:val="auto"/>
                <w:sz w:val="30"/>
                <w:szCs w:val="30"/>
                <w:highlight w:val="none"/>
              </w:rPr>
            </w:pPr>
          </w:p>
        </w:tc>
      </w:tr>
      <w:tr w14:paraId="32909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7582E42">
            <w:pPr>
              <w:pStyle w:val="505"/>
              <w:rPr>
                <w:rFonts w:eastAsia="仿宋_GB2312"/>
                <w:color w:val="auto"/>
                <w:sz w:val="30"/>
                <w:szCs w:val="30"/>
                <w:highlight w:val="none"/>
              </w:rPr>
            </w:pPr>
          </w:p>
        </w:tc>
        <w:tc>
          <w:tcPr>
            <w:tcW w:w="1276" w:type="dxa"/>
          </w:tcPr>
          <w:p w14:paraId="04D15BEA">
            <w:pPr>
              <w:pStyle w:val="505"/>
              <w:rPr>
                <w:rFonts w:eastAsia="仿宋_GB2312"/>
                <w:color w:val="auto"/>
                <w:sz w:val="30"/>
                <w:szCs w:val="30"/>
                <w:highlight w:val="none"/>
              </w:rPr>
            </w:pPr>
          </w:p>
        </w:tc>
        <w:tc>
          <w:tcPr>
            <w:tcW w:w="1450" w:type="dxa"/>
          </w:tcPr>
          <w:p w14:paraId="53653F76">
            <w:pPr>
              <w:pStyle w:val="505"/>
              <w:rPr>
                <w:rFonts w:eastAsia="仿宋_GB2312"/>
                <w:color w:val="auto"/>
                <w:sz w:val="30"/>
                <w:szCs w:val="30"/>
                <w:highlight w:val="none"/>
              </w:rPr>
            </w:pPr>
          </w:p>
        </w:tc>
        <w:tc>
          <w:tcPr>
            <w:tcW w:w="1243" w:type="dxa"/>
          </w:tcPr>
          <w:p w14:paraId="69177E76">
            <w:pPr>
              <w:pStyle w:val="505"/>
              <w:rPr>
                <w:rFonts w:eastAsia="仿宋_GB2312"/>
                <w:color w:val="auto"/>
                <w:sz w:val="30"/>
                <w:szCs w:val="30"/>
                <w:highlight w:val="none"/>
              </w:rPr>
            </w:pPr>
          </w:p>
        </w:tc>
        <w:tc>
          <w:tcPr>
            <w:tcW w:w="1450" w:type="dxa"/>
          </w:tcPr>
          <w:p w14:paraId="43DB7A49">
            <w:pPr>
              <w:pStyle w:val="505"/>
              <w:rPr>
                <w:rFonts w:eastAsia="仿宋_GB2312"/>
                <w:color w:val="auto"/>
                <w:sz w:val="30"/>
                <w:szCs w:val="30"/>
                <w:highlight w:val="none"/>
              </w:rPr>
            </w:pPr>
          </w:p>
        </w:tc>
        <w:tc>
          <w:tcPr>
            <w:tcW w:w="1667" w:type="dxa"/>
          </w:tcPr>
          <w:p w14:paraId="0C59EAC9">
            <w:pPr>
              <w:pStyle w:val="505"/>
              <w:rPr>
                <w:rFonts w:eastAsia="仿宋_GB2312"/>
                <w:color w:val="auto"/>
                <w:sz w:val="30"/>
                <w:szCs w:val="30"/>
                <w:highlight w:val="none"/>
              </w:rPr>
            </w:pPr>
          </w:p>
        </w:tc>
      </w:tr>
      <w:tr w14:paraId="1013A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3AF1E79">
            <w:pPr>
              <w:pStyle w:val="505"/>
              <w:rPr>
                <w:rFonts w:eastAsia="仿宋_GB2312"/>
                <w:color w:val="auto"/>
                <w:sz w:val="30"/>
                <w:szCs w:val="30"/>
                <w:highlight w:val="none"/>
              </w:rPr>
            </w:pPr>
          </w:p>
        </w:tc>
        <w:tc>
          <w:tcPr>
            <w:tcW w:w="1276" w:type="dxa"/>
          </w:tcPr>
          <w:p w14:paraId="522E8054">
            <w:pPr>
              <w:pStyle w:val="505"/>
              <w:rPr>
                <w:rFonts w:eastAsia="仿宋_GB2312"/>
                <w:color w:val="auto"/>
                <w:sz w:val="30"/>
                <w:szCs w:val="30"/>
                <w:highlight w:val="none"/>
              </w:rPr>
            </w:pPr>
          </w:p>
        </w:tc>
        <w:tc>
          <w:tcPr>
            <w:tcW w:w="1450" w:type="dxa"/>
          </w:tcPr>
          <w:p w14:paraId="71D74F33">
            <w:pPr>
              <w:pStyle w:val="505"/>
              <w:rPr>
                <w:rFonts w:eastAsia="仿宋_GB2312"/>
                <w:color w:val="auto"/>
                <w:sz w:val="30"/>
                <w:szCs w:val="30"/>
                <w:highlight w:val="none"/>
              </w:rPr>
            </w:pPr>
          </w:p>
        </w:tc>
        <w:tc>
          <w:tcPr>
            <w:tcW w:w="1243" w:type="dxa"/>
          </w:tcPr>
          <w:p w14:paraId="25F3D984">
            <w:pPr>
              <w:pStyle w:val="505"/>
              <w:rPr>
                <w:rFonts w:eastAsia="仿宋_GB2312"/>
                <w:color w:val="auto"/>
                <w:sz w:val="30"/>
                <w:szCs w:val="30"/>
                <w:highlight w:val="none"/>
              </w:rPr>
            </w:pPr>
          </w:p>
        </w:tc>
        <w:tc>
          <w:tcPr>
            <w:tcW w:w="1450" w:type="dxa"/>
          </w:tcPr>
          <w:p w14:paraId="103B1172">
            <w:pPr>
              <w:pStyle w:val="505"/>
              <w:rPr>
                <w:rFonts w:eastAsia="仿宋_GB2312"/>
                <w:color w:val="auto"/>
                <w:sz w:val="30"/>
                <w:szCs w:val="30"/>
                <w:highlight w:val="none"/>
              </w:rPr>
            </w:pPr>
          </w:p>
        </w:tc>
        <w:tc>
          <w:tcPr>
            <w:tcW w:w="1667" w:type="dxa"/>
          </w:tcPr>
          <w:p w14:paraId="0BBF16C2">
            <w:pPr>
              <w:pStyle w:val="505"/>
              <w:rPr>
                <w:rFonts w:eastAsia="仿宋_GB2312"/>
                <w:color w:val="auto"/>
                <w:sz w:val="30"/>
                <w:szCs w:val="30"/>
                <w:highlight w:val="none"/>
              </w:rPr>
            </w:pPr>
          </w:p>
        </w:tc>
      </w:tr>
      <w:tr w14:paraId="72635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671CA9">
            <w:pPr>
              <w:pStyle w:val="505"/>
              <w:rPr>
                <w:rFonts w:eastAsia="仿宋_GB2312"/>
                <w:color w:val="auto"/>
                <w:sz w:val="30"/>
                <w:szCs w:val="30"/>
                <w:highlight w:val="none"/>
              </w:rPr>
            </w:pPr>
          </w:p>
        </w:tc>
        <w:tc>
          <w:tcPr>
            <w:tcW w:w="1276" w:type="dxa"/>
          </w:tcPr>
          <w:p w14:paraId="71B63DBA">
            <w:pPr>
              <w:pStyle w:val="505"/>
              <w:rPr>
                <w:rFonts w:eastAsia="仿宋_GB2312"/>
                <w:color w:val="auto"/>
                <w:sz w:val="30"/>
                <w:szCs w:val="30"/>
                <w:highlight w:val="none"/>
              </w:rPr>
            </w:pPr>
          </w:p>
        </w:tc>
        <w:tc>
          <w:tcPr>
            <w:tcW w:w="1450" w:type="dxa"/>
          </w:tcPr>
          <w:p w14:paraId="6716DA02">
            <w:pPr>
              <w:pStyle w:val="505"/>
              <w:rPr>
                <w:rFonts w:eastAsia="仿宋_GB2312"/>
                <w:color w:val="auto"/>
                <w:sz w:val="30"/>
                <w:szCs w:val="30"/>
                <w:highlight w:val="none"/>
              </w:rPr>
            </w:pPr>
          </w:p>
        </w:tc>
        <w:tc>
          <w:tcPr>
            <w:tcW w:w="1243" w:type="dxa"/>
          </w:tcPr>
          <w:p w14:paraId="682BC1AB">
            <w:pPr>
              <w:pStyle w:val="505"/>
              <w:rPr>
                <w:rFonts w:eastAsia="仿宋_GB2312"/>
                <w:color w:val="auto"/>
                <w:sz w:val="30"/>
                <w:szCs w:val="30"/>
                <w:highlight w:val="none"/>
              </w:rPr>
            </w:pPr>
          </w:p>
        </w:tc>
        <w:tc>
          <w:tcPr>
            <w:tcW w:w="1450" w:type="dxa"/>
          </w:tcPr>
          <w:p w14:paraId="267CFBB2">
            <w:pPr>
              <w:pStyle w:val="505"/>
              <w:rPr>
                <w:rFonts w:eastAsia="仿宋_GB2312"/>
                <w:color w:val="auto"/>
                <w:sz w:val="30"/>
                <w:szCs w:val="30"/>
                <w:highlight w:val="none"/>
              </w:rPr>
            </w:pPr>
          </w:p>
        </w:tc>
        <w:tc>
          <w:tcPr>
            <w:tcW w:w="1667" w:type="dxa"/>
          </w:tcPr>
          <w:p w14:paraId="51064953">
            <w:pPr>
              <w:pStyle w:val="505"/>
              <w:rPr>
                <w:rFonts w:eastAsia="仿宋_GB2312"/>
                <w:color w:val="auto"/>
                <w:sz w:val="30"/>
                <w:szCs w:val="30"/>
                <w:highlight w:val="none"/>
              </w:rPr>
            </w:pPr>
          </w:p>
        </w:tc>
      </w:tr>
      <w:tr w14:paraId="1F428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B243B5">
            <w:pPr>
              <w:pStyle w:val="505"/>
              <w:rPr>
                <w:rFonts w:eastAsia="仿宋_GB2312"/>
                <w:color w:val="auto"/>
                <w:sz w:val="30"/>
                <w:szCs w:val="30"/>
                <w:highlight w:val="none"/>
              </w:rPr>
            </w:pPr>
          </w:p>
        </w:tc>
        <w:tc>
          <w:tcPr>
            <w:tcW w:w="1276" w:type="dxa"/>
          </w:tcPr>
          <w:p w14:paraId="71643095">
            <w:pPr>
              <w:pStyle w:val="505"/>
              <w:rPr>
                <w:rFonts w:eastAsia="仿宋_GB2312"/>
                <w:color w:val="auto"/>
                <w:sz w:val="30"/>
                <w:szCs w:val="30"/>
                <w:highlight w:val="none"/>
              </w:rPr>
            </w:pPr>
          </w:p>
        </w:tc>
        <w:tc>
          <w:tcPr>
            <w:tcW w:w="1450" w:type="dxa"/>
          </w:tcPr>
          <w:p w14:paraId="0C4B5D02">
            <w:pPr>
              <w:pStyle w:val="505"/>
              <w:rPr>
                <w:rFonts w:eastAsia="仿宋_GB2312"/>
                <w:color w:val="auto"/>
                <w:sz w:val="30"/>
                <w:szCs w:val="30"/>
                <w:highlight w:val="none"/>
              </w:rPr>
            </w:pPr>
          </w:p>
        </w:tc>
        <w:tc>
          <w:tcPr>
            <w:tcW w:w="1243" w:type="dxa"/>
          </w:tcPr>
          <w:p w14:paraId="3194B288">
            <w:pPr>
              <w:pStyle w:val="505"/>
              <w:rPr>
                <w:rFonts w:eastAsia="仿宋_GB2312"/>
                <w:color w:val="auto"/>
                <w:sz w:val="30"/>
                <w:szCs w:val="30"/>
                <w:highlight w:val="none"/>
              </w:rPr>
            </w:pPr>
          </w:p>
        </w:tc>
        <w:tc>
          <w:tcPr>
            <w:tcW w:w="1450" w:type="dxa"/>
          </w:tcPr>
          <w:p w14:paraId="4B9BBBB4">
            <w:pPr>
              <w:pStyle w:val="505"/>
              <w:rPr>
                <w:rFonts w:eastAsia="仿宋_GB2312"/>
                <w:color w:val="auto"/>
                <w:sz w:val="30"/>
                <w:szCs w:val="30"/>
                <w:highlight w:val="none"/>
              </w:rPr>
            </w:pPr>
          </w:p>
        </w:tc>
        <w:tc>
          <w:tcPr>
            <w:tcW w:w="1667" w:type="dxa"/>
          </w:tcPr>
          <w:p w14:paraId="7AACC116">
            <w:pPr>
              <w:pStyle w:val="505"/>
              <w:rPr>
                <w:rFonts w:eastAsia="仿宋_GB2312"/>
                <w:color w:val="auto"/>
                <w:sz w:val="30"/>
                <w:szCs w:val="30"/>
                <w:highlight w:val="none"/>
              </w:rPr>
            </w:pPr>
          </w:p>
        </w:tc>
      </w:tr>
      <w:tr w14:paraId="1D8E1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A34D590">
            <w:pPr>
              <w:pStyle w:val="505"/>
              <w:rPr>
                <w:rFonts w:eastAsia="仿宋_GB2312"/>
                <w:color w:val="auto"/>
                <w:sz w:val="30"/>
                <w:szCs w:val="30"/>
                <w:highlight w:val="none"/>
              </w:rPr>
            </w:pPr>
          </w:p>
        </w:tc>
        <w:tc>
          <w:tcPr>
            <w:tcW w:w="1276" w:type="dxa"/>
          </w:tcPr>
          <w:p w14:paraId="126BAF37">
            <w:pPr>
              <w:pStyle w:val="505"/>
              <w:rPr>
                <w:rFonts w:eastAsia="仿宋_GB2312"/>
                <w:color w:val="auto"/>
                <w:sz w:val="30"/>
                <w:szCs w:val="30"/>
                <w:highlight w:val="none"/>
              </w:rPr>
            </w:pPr>
          </w:p>
        </w:tc>
        <w:tc>
          <w:tcPr>
            <w:tcW w:w="1450" w:type="dxa"/>
          </w:tcPr>
          <w:p w14:paraId="76AB2E75">
            <w:pPr>
              <w:pStyle w:val="505"/>
              <w:rPr>
                <w:rFonts w:eastAsia="仿宋_GB2312"/>
                <w:color w:val="auto"/>
                <w:sz w:val="30"/>
                <w:szCs w:val="30"/>
                <w:highlight w:val="none"/>
              </w:rPr>
            </w:pPr>
          </w:p>
        </w:tc>
        <w:tc>
          <w:tcPr>
            <w:tcW w:w="1243" w:type="dxa"/>
          </w:tcPr>
          <w:p w14:paraId="0249AB05">
            <w:pPr>
              <w:pStyle w:val="505"/>
              <w:rPr>
                <w:rFonts w:eastAsia="仿宋_GB2312"/>
                <w:color w:val="auto"/>
                <w:sz w:val="30"/>
                <w:szCs w:val="30"/>
                <w:highlight w:val="none"/>
              </w:rPr>
            </w:pPr>
          </w:p>
        </w:tc>
        <w:tc>
          <w:tcPr>
            <w:tcW w:w="1450" w:type="dxa"/>
          </w:tcPr>
          <w:p w14:paraId="288B7DEE">
            <w:pPr>
              <w:pStyle w:val="505"/>
              <w:rPr>
                <w:rFonts w:eastAsia="仿宋_GB2312"/>
                <w:color w:val="auto"/>
                <w:sz w:val="30"/>
                <w:szCs w:val="30"/>
                <w:highlight w:val="none"/>
              </w:rPr>
            </w:pPr>
          </w:p>
        </w:tc>
        <w:tc>
          <w:tcPr>
            <w:tcW w:w="1667" w:type="dxa"/>
          </w:tcPr>
          <w:p w14:paraId="4BB688A0">
            <w:pPr>
              <w:pStyle w:val="505"/>
              <w:rPr>
                <w:rFonts w:eastAsia="仿宋_GB2312"/>
                <w:color w:val="auto"/>
                <w:sz w:val="30"/>
                <w:szCs w:val="30"/>
                <w:highlight w:val="none"/>
              </w:rPr>
            </w:pPr>
          </w:p>
        </w:tc>
      </w:tr>
      <w:tr w14:paraId="22721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8D73B6D">
            <w:pPr>
              <w:pStyle w:val="505"/>
              <w:rPr>
                <w:rFonts w:eastAsia="仿宋_GB2312"/>
                <w:color w:val="auto"/>
                <w:sz w:val="30"/>
                <w:szCs w:val="30"/>
                <w:highlight w:val="none"/>
              </w:rPr>
            </w:pPr>
          </w:p>
        </w:tc>
        <w:tc>
          <w:tcPr>
            <w:tcW w:w="1276" w:type="dxa"/>
          </w:tcPr>
          <w:p w14:paraId="2EF5C410">
            <w:pPr>
              <w:pStyle w:val="505"/>
              <w:rPr>
                <w:rFonts w:eastAsia="仿宋_GB2312"/>
                <w:color w:val="auto"/>
                <w:sz w:val="30"/>
                <w:szCs w:val="30"/>
                <w:highlight w:val="none"/>
              </w:rPr>
            </w:pPr>
          </w:p>
        </w:tc>
        <w:tc>
          <w:tcPr>
            <w:tcW w:w="1450" w:type="dxa"/>
          </w:tcPr>
          <w:p w14:paraId="0F2BA38C">
            <w:pPr>
              <w:pStyle w:val="505"/>
              <w:rPr>
                <w:rFonts w:eastAsia="仿宋_GB2312"/>
                <w:color w:val="auto"/>
                <w:sz w:val="30"/>
                <w:szCs w:val="30"/>
                <w:highlight w:val="none"/>
              </w:rPr>
            </w:pPr>
          </w:p>
        </w:tc>
        <w:tc>
          <w:tcPr>
            <w:tcW w:w="1243" w:type="dxa"/>
          </w:tcPr>
          <w:p w14:paraId="7189CE97">
            <w:pPr>
              <w:pStyle w:val="505"/>
              <w:rPr>
                <w:rFonts w:eastAsia="仿宋_GB2312"/>
                <w:color w:val="auto"/>
                <w:sz w:val="30"/>
                <w:szCs w:val="30"/>
                <w:highlight w:val="none"/>
              </w:rPr>
            </w:pPr>
          </w:p>
        </w:tc>
        <w:tc>
          <w:tcPr>
            <w:tcW w:w="1450" w:type="dxa"/>
          </w:tcPr>
          <w:p w14:paraId="64EEAD40">
            <w:pPr>
              <w:pStyle w:val="505"/>
              <w:rPr>
                <w:rFonts w:eastAsia="仿宋_GB2312"/>
                <w:color w:val="auto"/>
                <w:sz w:val="30"/>
                <w:szCs w:val="30"/>
                <w:highlight w:val="none"/>
              </w:rPr>
            </w:pPr>
          </w:p>
        </w:tc>
        <w:tc>
          <w:tcPr>
            <w:tcW w:w="1667" w:type="dxa"/>
          </w:tcPr>
          <w:p w14:paraId="5005A91C">
            <w:pPr>
              <w:pStyle w:val="505"/>
              <w:rPr>
                <w:rFonts w:eastAsia="仿宋_GB2312"/>
                <w:color w:val="auto"/>
                <w:sz w:val="30"/>
                <w:szCs w:val="30"/>
                <w:highlight w:val="none"/>
              </w:rPr>
            </w:pPr>
          </w:p>
        </w:tc>
      </w:tr>
    </w:tbl>
    <w:p w14:paraId="7F564513">
      <w:pPr>
        <w:pStyle w:val="505"/>
        <w:spacing w:line="440" w:lineRule="exact"/>
        <w:rPr>
          <w:rFonts w:eastAsia="仿宋_GB2312"/>
          <w:color w:val="auto"/>
          <w:sz w:val="30"/>
          <w:szCs w:val="30"/>
          <w:highlight w:val="none"/>
        </w:rPr>
      </w:pPr>
    </w:p>
    <w:p w14:paraId="0D8CE3AD">
      <w:pPr>
        <w:pStyle w:val="505"/>
        <w:spacing w:line="440" w:lineRule="exact"/>
        <w:rPr>
          <w:rFonts w:eastAsia="黑体"/>
          <w:color w:val="auto"/>
          <w:sz w:val="30"/>
          <w:szCs w:val="30"/>
          <w:highlight w:val="none"/>
        </w:rPr>
      </w:pPr>
      <w:r>
        <w:rPr>
          <w:rFonts w:eastAsia="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4</w:t>
      </w:r>
      <w:r>
        <w:rPr>
          <w:rFonts w:eastAsia="仿宋_GB2312"/>
          <w:color w:val="auto"/>
          <w:sz w:val="30"/>
          <w:szCs w:val="30"/>
          <w:highlight w:val="none"/>
        </w:rPr>
        <w:t>：</w:t>
      </w:r>
    </w:p>
    <w:p w14:paraId="3D89CF19">
      <w:pPr>
        <w:pStyle w:val="505"/>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08BC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CB2CB45">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序号</w:t>
            </w:r>
          </w:p>
        </w:tc>
        <w:tc>
          <w:tcPr>
            <w:tcW w:w="1418" w:type="dxa"/>
            <w:tcBorders>
              <w:top w:val="single" w:color="auto" w:sz="12" w:space="0"/>
              <w:bottom w:val="double" w:color="auto" w:sz="6" w:space="0"/>
            </w:tcBorders>
            <w:vAlign w:val="center"/>
          </w:tcPr>
          <w:p w14:paraId="00E6603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机械或设备名称</w:t>
            </w:r>
          </w:p>
        </w:tc>
        <w:tc>
          <w:tcPr>
            <w:tcW w:w="850" w:type="dxa"/>
            <w:tcBorders>
              <w:top w:val="single" w:color="auto" w:sz="12" w:space="0"/>
              <w:bottom w:val="double" w:color="auto" w:sz="6" w:space="0"/>
            </w:tcBorders>
            <w:vAlign w:val="center"/>
          </w:tcPr>
          <w:p w14:paraId="4338B455">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规格型号</w:t>
            </w:r>
          </w:p>
        </w:tc>
        <w:tc>
          <w:tcPr>
            <w:tcW w:w="1058" w:type="dxa"/>
            <w:tcBorders>
              <w:top w:val="single" w:color="auto" w:sz="12" w:space="0"/>
              <w:bottom w:val="double" w:color="auto" w:sz="6" w:space="0"/>
            </w:tcBorders>
            <w:vAlign w:val="center"/>
          </w:tcPr>
          <w:p w14:paraId="149C6B9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数量</w:t>
            </w:r>
          </w:p>
        </w:tc>
        <w:tc>
          <w:tcPr>
            <w:tcW w:w="880" w:type="dxa"/>
            <w:tcBorders>
              <w:top w:val="single" w:color="auto" w:sz="12" w:space="0"/>
              <w:bottom w:val="double" w:color="auto" w:sz="6" w:space="0"/>
            </w:tcBorders>
            <w:vAlign w:val="center"/>
          </w:tcPr>
          <w:p w14:paraId="7AB0345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产地</w:t>
            </w:r>
          </w:p>
        </w:tc>
        <w:tc>
          <w:tcPr>
            <w:tcW w:w="1020" w:type="dxa"/>
            <w:tcBorders>
              <w:top w:val="single" w:color="auto" w:sz="12" w:space="0"/>
              <w:bottom w:val="double" w:color="auto" w:sz="6" w:space="0"/>
            </w:tcBorders>
            <w:vAlign w:val="center"/>
          </w:tcPr>
          <w:p w14:paraId="6D81203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制造年份</w:t>
            </w:r>
          </w:p>
        </w:tc>
        <w:tc>
          <w:tcPr>
            <w:tcW w:w="1480" w:type="dxa"/>
            <w:tcBorders>
              <w:top w:val="single" w:color="auto" w:sz="12" w:space="0"/>
              <w:bottom w:val="double" w:color="auto" w:sz="6" w:space="0"/>
            </w:tcBorders>
            <w:vAlign w:val="center"/>
          </w:tcPr>
          <w:p w14:paraId="4541848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额定功率(kW)</w:t>
            </w:r>
          </w:p>
        </w:tc>
        <w:tc>
          <w:tcPr>
            <w:tcW w:w="1020" w:type="dxa"/>
            <w:tcBorders>
              <w:top w:val="single" w:color="auto" w:sz="12" w:space="0"/>
              <w:bottom w:val="double" w:color="auto" w:sz="6" w:space="0"/>
            </w:tcBorders>
            <w:vAlign w:val="center"/>
          </w:tcPr>
          <w:p w14:paraId="4D5BC930">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生产能力</w:t>
            </w:r>
          </w:p>
        </w:tc>
        <w:tc>
          <w:tcPr>
            <w:tcW w:w="921" w:type="dxa"/>
            <w:tcBorders>
              <w:top w:val="single" w:color="auto" w:sz="12" w:space="0"/>
              <w:bottom w:val="double" w:color="auto" w:sz="6" w:space="0"/>
            </w:tcBorders>
            <w:vAlign w:val="center"/>
          </w:tcPr>
          <w:p w14:paraId="30EBE06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备注</w:t>
            </w:r>
          </w:p>
        </w:tc>
      </w:tr>
      <w:tr w14:paraId="10487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81D862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tcBorders>
              <w:top w:val="double" w:color="auto" w:sz="6" w:space="0"/>
              <w:bottom w:val="single" w:color="auto" w:sz="6" w:space="0"/>
            </w:tcBorders>
            <w:vAlign w:val="center"/>
          </w:tcPr>
          <w:p w14:paraId="4BB3145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332EE7D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tcBorders>
              <w:top w:val="double" w:color="auto" w:sz="6" w:space="0"/>
              <w:bottom w:val="single" w:color="auto" w:sz="6" w:space="0"/>
            </w:tcBorders>
            <w:vAlign w:val="center"/>
          </w:tcPr>
          <w:p w14:paraId="1E54C30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tcBorders>
              <w:top w:val="double" w:color="auto" w:sz="6" w:space="0"/>
              <w:bottom w:val="single" w:color="auto" w:sz="6" w:space="0"/>
            </w:tcBorders>
            <w:vAlign w:val="center"/>
          </w:tcPr>
          <w:p w14:paraId="2D23E91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double" w:color="auto" w:sz="6" w:space="0"/>
              <w:bottom w:val="single" w:color="auto" w:sz="6" w:space="0"/>
            </w:tcBorders>
            <w:vAlign w:val="center"/>
          </w:tcPr>
          <w:p w14:paraId="6667B3D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tcBorders>
              <w:top w:val="double" w:color="auto" w:sz="6" w:space="0"/>
              <w:bottom w:val="single" w:color="auto" w:sz="6" w:space="0"/>
            </w:tcBorders>
            <w:vAlign w:val="center"/>
          </w:tcPr>
          <w:p w14:paraId="7EE5FC9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double" w:color="auto" w:sz="6" w:space="0"/>
              <w:bottom w:val="single" w:color="auto" w:sz="6" w:space="0"/>
            </w:tcBorders>
            <w:vAlign w:val="center"/>
          </w:tcPr>
          <w:p w14:paraId="502A58E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tcBorders>
              <w:top w:val="double" w:color="auto" w:sz="6" w:space="0"/>
              <w:bottom w:val="single" w:color="auto" w:sz="6" w:space="0"/>
            </w:tcBorders>
            <w:vAlign w:val="center"/>
          </w:tcPr>
          <w:p w14:paraId="434CD54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E4F4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62C9B10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tcBorders>
              <w:top w:val="nil"/>
            </w:tcBorders>
            <w:vAlign w:val="center"/>
          </w:tcPr>
          <w:p w14:paraId="6B02189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tcBorders>
              <w:top w:val="nil"/>
            </w:tcBorders>
            <w:vAlign w:val="center"/>
          </w:tcPr>
          <w:p w14:paraId="21E38CD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tcBorders>
              <w:top w:val="nil"/>
            </w:tcBorders>
            <w:vAlign w:val="center"/>
          </w:tcPr>
          <w:p w14:paraId="5DE8846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tcBorders>
              <w:top w:val="nil"/>
            </w:tcBorders>
            <w:vAlign w:val="center"/>
          </w:tcPr>
          <w:p w14:paraId="2BCA284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nil"/>
            </w:tcBorders>
            <w:vAlign w:val="center"/>
          </w:tcPr>
          <w:p w14:paraId="712C83B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tcBorders>
              <w:top w:val="nil"/>
            </w:tcBorders>
            <w:vAlign w:val="center"/>
          </w:tcPr>
          <w:p w14:paraId="29CC82F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nil"/>
            </w:tcBorders>
            <w:vAlign w:val="center"/>
          </w:tcPr>
          <w:p w14:paraId="58B0681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tcBorders>
              <w:top w:val="nil"/>
            </w:tcBorders>
            <w:vAlign w:val="center"/>
          </w:tcPr>
          <w:p w14:paraId="13BAFC8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15E8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62B74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vAlign w:val="center"/>
          </w:tcPr>
          <w:p w14:paraId="7F53011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vAlign w:val="center"/>
          </w:tcPr>
          <w:p w14:paraId="41453C8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vAlign w:val="center"/>
          </w:tcPr>
          <w:p w14:paraId="5A29230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vAlign w:val="center"/>
          </w:tcPr>
          <w:p w14:paraId="59D06D4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0F2FF23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vAlign w:val="center"/>
          </w:tcPr>
          <w:p w14:paraId="5A0B6AF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0EC82D3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vAlign w:val="center"/>
          </w:tcPr>
          <w:p w14:paraId="7AA8AA6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7B16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6099D0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vAlign w:val="center"/>
          </w:tcPr>
          <w:p w14:paraId="5E88C44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vAlign w:val="center"/>
          </w:tcPr>
          <w:p w14:paraId="54AF4AE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vAlign w:val="center"/>
          </w:tcPr>
          <w:p w14:paraId="585A64F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vAlign w:val="center"/>
          </w:tcPr>
          <w:p w14:paraId="146DF2A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2DC25F7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vAlign w:val="center"/>
          </w:tcPr>
          <w:p w14:paraId="787A5A8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3163095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vAlign w:val="center"/>
          </w:tcPr>
          <w:p w14:paraId="56419E3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855E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629009A">
            <w:pPr>
              <w:pStyle w:val="505"/>
              <w:rPr>
                <w:rFonts w:eastAsia="仿宋_GB2312"/>
                <w:color w:val="auto"/>
                <w:sz w:val="30"/>
                <w:szCs w:val="30"/>
                <w:highlight w:val="none"/>
              </w:rPr>
            </w:pPr>
          </w:p>
        </w:tc>
        <w:tc>
          <w:tcPr>
            <w:tcW w:w="1418" w:type="dxa"/>
          </w:tcPr>
          <w:p w14:paraId="098EA668">
            <w:pPr>
              <w:pStyle w:val="505"/>
              <w:rPr>
                <w:rFonts w:eastAsia="仿宋_GB2312"/>
                <w:color w:val="auto"/>
                <w:sz w:val="30"/>
                <w:szCs w:val="30"/>
                <w:highlight w:val="none"/>
              </w:rPr>
            </w:pPr>
          </w:p>
        </w:tc>
        <w:tc>
          <w:tcPr>
            <w:tcW w:w="850" w:type="dxa"/>
          </w:tcPr>
          <w:p w14:paraId="6A5581D4">
            <w:pPr>
              <w:pStyle w:val="505"/>
              <w:rPr>
                <w:rFonts w:eastAsia="仿宋_GB2312"/>
                <w:color w:val="auto"/>
                <w:sz w:val="30"/>
                <w:szCs w:val="30"/>
                <w:highlight w:val="none"/>
              </w:rPr>
            </w:pPr>
          </w:p>
        </w:tc>
        <w:tc>
          <w:tcPr>
            <w:tcW w:w="1058" w:type="dxa"/>
          </w:tcPr>
          <w:p w14:paraId="5AF729F2">
            <w:pPr>
              <w:pStyle w:val="505"/>
              <w:rPr>
                <w:rFonts w:eastAsia="仿宋_GB2312"/>
                <w:color w:val="auto"/>
                <w:sz w:val="30"/>
                <w:szCs w:val="30"/>
                <w:highlight w:val="none"/>
              </w:rPr>
            </w:pPr>
          </w:p>
        </w:tc>
        <w:tc>
          <w:tcPr>
            <w:tcW w:w="880" w:type="dxa"/>
          </w:tcPr>
          <w:p w14:paraId="25AE99A8">
            <w:pPr>
              <w:pStyle w:val="505"/>
              <w:rPr>
                <w:rFonts w:eastAsia="仿宋_GB2312"/>
                <w:color w:val="auto"/>
                <w:sz w:val="30"/>
                <w:szCs w:val="30"/>
                <w:highlight w:val="none"/>
              </w:rPr>
            </w:pPr>
          </w:p>
        </w:tc>
        <w:tc>
          <w:tcPr>
            <w:tcW w:w="1020" w:type="dxa"/>
          </w:tcPr>
          <w:p w14:paraId="5CF66894">
            <w:pPr>
              <w:pStyle w:val="505"/>
              <w:rPr>
                <w:rFonts w:eastAsia="仿宋_GB2312"/>
                <w:color w:val="auto"/>
                <w:sz w:val="30"/>
                <w:szCs w:val="30"/>
                <w:highlight w:val="none"/>
              </w:rPr>
            </w:pPr>
          </w:p>
        </w:tc>
        <w:tc>
          <w:tcPr>
            <w:tcW w:w="1480" w:type="dxa"/>
          </w:tcPr>
          <w:p w14:paraId="48CA8F17">
            <w:pPr>
              <w:pStyle w:val="505"/>
              <w:rPr>
                <w:rFonts w:eastAsia="仿宋_GB2312"/>
                <w:color w:val="auto"/>
                <w:sz w:val="30"/>
                <w:szCs w:val="30"/>
                <w:highlight w:val="none"/>
              </w:rPr>
            </w:pPr>
          </w:p>
        </w:tc>
        <w:tc>
          <w:tcPr>
            <w:tcW w:w="1020" w:type="dxa"/>
          </w:tcPr>
          <w:p w14:paraId="5A7E74B2">
            <w:pPr>
              <w:pStyle w:val="505"/>
              <w:rPr>
                <w:rFonts w:eastAsia="仿宋_GB2312"/>
                <w:color w:val="auto"/>
                <w:sz w:val="30"/>
                <w:szCs w:val="30"/>
                <w:highlight w:val="none"/>
              </w:rPr>
            </w:pPr>
          </w:p>
        </w:tc>
        <w:tc>
          <w:tcPr>
            <w:tcW w:w="921" w:type="dxa"/>
          </w:tcPr>
          <w:p w14:paraId="7CA66F70">
            <w:pPr>
              <w:pStyle w:val="505"/>
              <w:rPr>
                <w:rFonts w:eastAsia="仿宋_GB2312"/>
                <w:color w:val="auto"/>
                <w:sz w:val="30"/>
                <w:szCs w:val="30"/>
                <w:highlight w:val="none"/>
              </w:rPr>
            </w:pPr>
          </w:p>
        </w:tc>
      </w:tr>
      <w:tr w14:paraId="1639C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2A7147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vAlign w:val="center"/>
          </w:tcPr>
          <w:p w14:paraId="07B37F3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vAlign w:val="center"/>
          </w:tcPr>
          <w:p w14:paraId="58858E6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vAlign w:val="center"/>
          </w:tcPr>
          <w:p w14:paraId="1390D29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vAlign w:val="center"/>
          </w:tcPr>
          <w:p w14:paraId="71F04B7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7ADA4ED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vAlign w:val="center"/>
          </w:tcPr>
          <w:p w14:paraId="44D59E7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vAlign w:val="center"/>
          </w:tcPr>
          <w:p w14:paraId="2310BED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vAlign w:val="center"/>
          </w:tcPr>
          <w:p w14:paraId="70ED8BB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1DC2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AEDCD91">
            <w:pPr>
              <w:pStyle w:val="505"/>
              <w:rPr>
                <w:rFonts w:eastAsia="仿宋_GB2312"/>
                <w:color w:val="auto"/>
                <w:sz w:val="30"/>
                <w:szCs w:val="30"/>
                <w:highlight w:val="none"/>
              </w:rPr>
            </w:pPr>
          </w:p>
        </w:tc>
        <w:tc>
          <w:tcPr>
            <w:tcW w:w="1418" w:type="dxa"/>
          </w:tcPr>
          <w:p w14:paraId="56D01AE8">
            <w:pPr>
              <w:pStyle w:val="505"/>
              <w:rPr>
                <w:rFonts w:eastAsia="仿宋_GB2312"/>
                <w:color w:val="auto"/>
                <w:sz w:val="30"/>
                <w:szCs w:val="30"/>
                <w:highlight w:val="none"/>
              </w:rPr>
            </w:pPr>
          </w:p>
        </w:tc>
        <w:tc>
          <w:tcPr>
            <w:tcW w:w="850" w:type="dxa"/>
          </w:tcPr>
          <w:p w14:paraId="3D77A5CB">
            <w:pPr>
              <w:pStyle w:val="505"/>
              <w:rPr>
                <w:rFonts w:eastAsia="仿宋_GB2312"/>
                <w:color w:val="auto"/>
                <w:sz w:val="30"/>
                <w:szCs w:val="30"/>
                <w:highlight w:val="none"/>
              </w:rPr>
            </w:pPr>
          </w:p>
        </w:tc>
        <w:tc>
          <w:tcPr>
            <w:tcW w:w="1058" w:type="dxa"/>
          </w:tcPr>
          <w:p w14:paraId="2A4F99F5">
            <w:pPr>
              <w:pStyle w:val="505"/>
              <w:rPr>
                <w:rFonts w:eastAsia="仿宋_GB2312"/>
                <w:color w:val="auto"/>
                <w:sz w:val="30"/>
                <w:szCs w:val="30"/>
                <w:highlight w:val="none"/>
              </w:rPr>
            </w:pPr>
          </w:p>
        </w:tc>
        <w:tc>
          <w:tcPr>
            <w:tcW w:w="880" w:type="dxa"/>
          </w:tcPr>
          <w:p w14:paraId="30726278">
            <w:pPr>
              <w:pStyle w:val="505"/>
              <w:rPr>
                <w:rFonts w:eastAsia="仿宋_GB2312"/>
                <w:color w:val="auto"/>
                <w:sz w:val="30"/>
                <w:szCs w:val="30"/>
                <w:highlight w:val="none"/>
              </w:rPr>
            </w:pPr>
          </w:p>
        </w:tc>
        <w:tc>
          <w:tcPr>
            <w:tcW w:w="1020" w:type="dxa"/>
          </w:tcPr>
          <w:p w14:paraId="5BB1DD59">
            <w:pPr>
              <w:pStyle w:val="505"/>
              <w:rPr>
                <w:rFonts w:eastAsia="仿宋_GB2312"/>
                <w:color w:val="auto"/>
                <w:sz w:val="30"/>
                <w:szCs w:val="30"/>
                <w:highlight w:val="none"/>
              </w:rPr>
            </w:pPr>
          </w:p>
        </w:tc>
        <w:tc>
          <w:tcPr>
            <w:tcW w:w="1480" w:type="dxa"/>
          </w:tcPr>
          <w:p w14:paraId="22213C1F">
            <w:pPr>
              <w:pStyle w:val="505"/>
              <w:rPr>
                <w:rFonts w:eastAsia="仿宋_GB2312"/>
                <w:color w:val="auto"/>
                <w:sz w:val="30"/>
                <w:szCs w:val="30"/>
                <w:highlight w:val="none"/>
              </w:rPr>
            </w:pPr>
          </w:p>
        </w:tc>
        <w:tc>
          <w:tcPr>
            <w:tcW w:w="1020" w:type="dxa"/>
          </w:tcPr>
          <w:p w14:paraId="3BA9334E">
            <w:pPr>
              <w:pStyle w:val="505"/>
              <w:rPr>
                <w:rFonts w:eastAsia="仿宋_GB2312"/>
                <w:color w:val="auto"/>
                <w:sz w:val="30"/>
                <w:szCs w:val="30"/>
                <w:highlight w:val="none"/>
              </w:rPr>
            </w:pPr>
          </w:p>
        </w:tc>
        <w:tc>
          <w:tcPr>
            <w:tcW w:w="921" w:type="dxa"/>
          </w:tcPr>
          <w:p w14:paraId="45CB7D11">
            <w:pPr>
              <w:pStyle w:val="505"/>
              <w:rPr>
                <w:rFonts w:eastAsia="仿宋_GB2312"/>
                <w:color w:val="auto"/>
                <w:sz w:val="30"/>
                <w:szCs w:val="30"/>
                <w:highlight w:val="none"/>
              </w:rPr>
            </w:pPr>
          </w:p>
        </w:tc>
      </w:tr>
      <w:tr w14:paraId="66816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C0A96C">
            <w:pPr>
              <w:pStyle w:val="505"/>
              <w:rPr>
                <w:rFonts w:eastAsia="仿宋_GB2312"/>
                <w:color w:val="auto"/>
                <w:sz w:val="30"/>
                <w:szCs w:val="30"/>
                <w:highlight w:val="none"/>
              </w:rPr>
            </w:pPr>
          </w:p>
        </w:tc>
        <w:tc>
          <w:tcPr>
            <w:tcW w:w="1418" w:type="dxa"/>
          </w:tcPr>
          <w:p w14:paraId="7E253F97">
            <w:pPr>
              <w:pStyle w:val="505"/>
              <w:rPr>
                <w:rFonts w:eastAsia="仿宋_GB2312"/>
                <w:color w:val="auto"/>
                <w:sz w:val="30"/>
                <w:szCs w:val="30"/>
                <w:highlight w:val="none"/>
              </w:rPr>
            </w:pPr>
          </w:p>
        </w:tc>
        <w:tc>
          <w:tcPr>
            <w:tcW w:w="850" w:type="dxa"/>
          </w:tcPr>
          <w:p w14:paraId="6660CB53">
            <w:pPr>
              <w:pStyle w:val="505"/>
              <w:rPr>
                <w:rFonts w:eastAsia="仿宋_GB2312"/>
                <w:color w:val="auto"/>
                <w:sz w:val="30"/>
                <w:szCs w:val="30"/>
                <w:highlight w:val="none"/>
              </w:rPr>
            </w:pPr>
          </w:p>
        </w:tc>
        <w:tc>
          <w:tcPr>
            <w:tcW w:w="1058" w:type="dxa"/>
          </w:tcPr>
          <w:p w14:paraId="08E717F7">
            <w:pPr>
              <w:pStyle w:val="505"/>
              <w:rPr>
                <w:rFonts w:eastAsia="仿宋_GB2312"/>
                <w:color w:val="auto"/>
                <w:sz w:val="30"/>
                <w:szCs w:val="30"/>
                <w:highlight w:val="none"/>
              </w:rPr>
            </w:pPr>
          </w:p>
        </w:tc>
        <w:tc>
          <w:tcPr>
            <w:tcW w:w="880" w:type="dxa"/>
          </w:tcPr>
          <w:p w14:paraId="67930EBE">
            <w:pPr>
              <w:pStyle w:val="505"/>
              <w:rPr>
                <w:rFonts w:eastAsia="仿宋_GB2312"/>
                <w:color w:val="auto"/>
                <w:sz w:val="30"/>
                <w:szCs w:val="30"/>
                <w:highlight w:val="none"/>
              </w:rPr>
            </w:pPr>
          </w:p>
        </w:tc>
        <w:tc>
          <w:tcPr>
            <w:tcW w:w="1020" w:type="dxa"/>
          </w:tcPr>
          <w:p w14:paraId="6C907F02">
            <w:pPr>
              <w:pStyle w:val="505"/>
              <w:rPr>
                <w:rFonts w:eastAsia="仿宋_GB2312"/>
                <w:color w:val="auto"/>
                <w:sz w:val="30"/>
                <w:szCs w:val="30"/>
                <w:highlight w:val="none"/>
              </w:rPr>
            </w:pPr>
          </w:p>
        </w:tc>
        <w:tc>
          <w:tcPr>
            <w:tcW w:w="1480" w:type="dxa"/>
          </w:tcPr>
          <w:p w14:paraId="3118732B">
            <w:pPr>
              <w:pStyle w:val="505"/>
              <w:rPr>
                <w:rFonts w:eastAsia="仿宋_GB2312"/>
                <w:color w:val="auto"/>
                <w:sz w:val="30"/>
                <w:szCs w:val="30"/>
                <w:highlight w:val="none"/>
              </w:rPr>
            </w:pPr>
          </w:p>
        </w:tc>
        <w:tc>
          <w:tcPr>
            <w:tcW w:w="1020" w:type="dxa"/>
          </w:tcPr>
          <w:p w14:paraId="443327E8">
            <w:pPr>
              <w:pStyle w:val="505"/>
              <w:rPr>
                <w:rFonts w:eastAsia="仿宋_GB2312"/>
                <w:color w:val="auto"/>
                <w:sz w:val="30"/>
                <w:szCs w:val="30"/>
                <w:highlight w:val="none"/>
              </w:rPr>
            </w:pPr>
          </w:p>
        </w:tc>
        <w:tc>
          <w:tcPr>
            <w:tcW w:w="921" w:type="dxa"/>
          </w:tcPr>
          <w:p w14:paraId="217D23FD">
            <w:pPr>
              <w:pStyle w:val="505"/>
              <w:rPr>
                <w:rFonts w:eastAsia="仿宋_GB2312"/>
                <w:color w:val="auto"/>
                <w:sz w:val="30"/>
                <w:szCs w:val="30"/>
                <w:highlight w:val="none"/>
              </w:rPr>
            </w:pPr>
          </w:p>
        </w:tc>
      </w:tr>
      <w:tr w14:paraId="5DA6C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5166C18">
            <w:pPr>
              <w:pStyle w:val="505"/>
              <w:rPr>
                <w:rFonts w:eastAsia="仿宋_GB2312"/>
                <w:color w:val="auto"/>
                <w:sz w:val="30"/>
                <w:szCs w:val="30"/>
                <w:highlight w:val="none"/>
              </w:rPr>
            </w:pPr>
          </w:p>
        </w:tc>
        <w:tc>
          <w:tcPr>
            <w:tcW w:w="1418" w:type="dxa"/>
          </w:tcPr>
          <w:p w14:paraId="044B37C5">
            <w:pPr>
              <w:pStyle w:val="505"/>
              <w:rPr>
                <w:rFonts w:eastAsia="仿宋_GB2312"/>
                <w:color w:val="auto"/>
                <w:sz w:val="30"/>
                <w:szCs w:val="30"/>
                <w:highlight w:val="none"/>
              </w:rPr>
            </w:pPr>
          </w:p>
        </w:tc>
        <w:tc>
          <w:tcPr>
            <w:tcW w:w="850" w:type="dxa"/>
          </w:tcPr>
          <w:p w14:paraId="29B351E9">
            <w:pPr>
              <w:pStyle w:val="505"/>
              <w:rPr>
                <w:rFonts w:eastAsia="仿宋_GB2312"/>
                <w:color w:val="auto"/>
                <w:sz w:val="30"/>
                <w:szCs w:val="30"/>
                <w:highlight w:val="none"/>
              </w:rPr>
            </w:pPr>
          </w:p>
        </w:tc>
        <w:tc>
          <w:tcPr>
            <w:tcW w:w="1058" w:type="dxa"/>
          </w:tcPr>
          <w:p w14:paraId="01CD87B3">
            <w:pPr>
              <w:pStyle w:val="505"/>
              <w:rPr>
                <w:rFonts w:eastAsia="仿宋_GB2312"/>
                <w:color w:val="auto"/>
                <w:sz w:val="30"/>
                <w:szCs w:val="30"/>
                <w:highlight w:val="none"/>
              </w:rPr>
            </w:pPr>
          </w:p>
        </w:tc>
        <w:tc>
          <w:tcPr>
            <w:tcW w:w="880" w:type="dxa"/>
          </w:tcPr>
          <w:p w14:paraId="77E9EC2E">
            <w:pPr>
              <w:pStyle w:val="505"/>
              <w:rPr>
                <w:rFonts w:eastAsia="仿宋_GB2312"/>
                <w:color w:val="auto"/>
                <w:sz w:val="30"/>
                <w:szCs w:val="30"/>
                <w:highlight w:val="none"/>
              </w:rPr>
            </w:pPr>
          </w:p>
        </w:tc>
        <w:tc>
          <w:tcPr>
            <w:tcW w:w="1020" w:type="dxa"/>
          </w:tcPr>
          <w:p w14:paraId="1189BF33">
            <w:pPr>
              <w:pStyle w:val="505"/>
              <w:rPr>
                <w:rFonts w:eastAsia="仿宋_GB2312"/>
                <w:color w:val="auto"/>
                <w:sz w:val="30"/>
                <w:szCs w:val="30"/>
                <w:highlight w:val="none"/>
              </w:rPr>
            </w:pPr>
          </w:p>
        </w:tc>
        <w:tc>
          <w:tcPr>
            <w:tcW w:w="1480" w:type="dxa"/>
          </w:tcPr>
          <w:p w14:paraId="51733FB1">
            <w:pPr>
              <w:pStyle w:val="505"/>
              <w:rPr>
                <w:rFonts w:eastAsia="仿宋_GB2312"/>
                <w:color w:val="auto"/>
                <w:sz w:val="30"/>
                <w:szCs w:val="30"/>
                <w:highlight w:val="none"/>
              </w:rPr>
            </w:pPr>
          </w:p>
        </w:tc>
        <w:tc>
          <w:tcPr>
            <w:tcW w:w="1020" w:type="dxa"/>
          </w:tcPr>
          <w:p w14:paraId="6B5A152C">
            <w:pPr>
              <w:pStyle w:val="505"/>
              <w:rPr>
                <w:rFonts w:eastAsia="仿宋_GB2312"/>
                <w:color w:val="auto"/>
                <w:sz w:val="30"/>
                <w:szCs w:val="30"/>
                <w:highlight w:val="none"/>
              </w:rPr>
            </w:pPr>
          </w:p>
        </w:tc>
        <w:tc>
          <w:tcPr>
            <w:tcW w:w="921" w:type="dxa"/>
          </w:tcPr>
          <w:p w14:paraId="5ABBC1A3">
            <w:pPr>
              <w:pStyle w:val="505"/>
              <w:rPr>
                <w:rFonts w:eastAsia="仿宋_GB2312"/>
                <w:color w:val="auto"/>
                <w:sz w:val="30"/>
                <w:szCs w:val="30"/>
                <w:highlight w:val="none"/>
              </w:rPr>
            </w:pPr>
          </w:p>
        </w:tc>
      </w:tr>
      <w:tr w14:paraId="01A98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D8C6621">
            <w:pPr>
              <w:pStyle w:val="505"/>
              <w:rPr>
                <w:rFonts w:eastAsia="仿宋_GB2312"/>
                <w:color w:val="auto"/>
                <w:sz w:val="30"/>
                <w:szCs w:val="30"/>
                <w:highlight w:val="none"/>
              </w:rPr>
            </w:pPr>
          </w:p>
        </w:tc>
        <w:tc>
          <w:tcPr>
            <w:tcW w:w="1418" w:type="dxa"/>
          </w:tcPr>
          <w:p w14:paraId="24592D79">
            <w:pPr>
              <w:pStyle w:val="505"/>
              <w:rPr>
                <w:rFonts w:eastAsia="仿宋_GB2312"/>
                <w:color w:val="auto"/>
                <w:sz w:val="30"/>
                <w:szCs w:val="30"/>
                <w:highlight w:val="none"/>
              </w:rPr>
            </w:pPr>
          </w:p>
        </w:tc>
        <w:tc>
          <w:tcPr>
            <w:tcW w:w="850" w:type="dxa"/>
          </w:tcPr>
          <w:p w14:paraId="27933E50">
            <w:pPr>
              <w:pStyle w:val="505"/>
              <w:rPr>
                <w:rFonts w:eastAsia="仿宋_GB2312"/>
                <w:color w:val="auto"/>
                <w:sz w:val="30"/>
                <w:szCs w:val="30"/>
                <w:highlight w:val="none"/>
              </w:rPr>
            </w:pPr>
          </w:p>
        </w:tc>
        <w:tc>
          <w:tcPr>
            <w:tcW w:w="1058" w:type="dxa"/>
          </w:tcPr>
          <w:p w14:paraId="79D9C196">
            <w:pPr>
              <w:pStyle w:val="505"/>
              <w:rPr>
                <w:rFonts w:eastAsia="仿宋_GB2312"/>
                <w:color w:val="auto"/>
                <w:sz w:val="30"/>
                <w:szCs w:val="30"/>
                <w:highlight w:val="none"/>
              </w:rPr>
            </w:pPr>
          </w:p>
        </w:tc>
        <w:tc>
          <w:tcPr>
            <w:tcW w:w="880" w:type="dxa"/>
          </w:tcPr>
          <w:p w14:paraId="36646261">
            <w:pPr>
              <w:pStyle w:val="505"/>
              <w:rPr>
                <w:rFonts w:eastAsia="仿宋_GB2312"/>
                <w:color w:val="auto"/>
                <w:sz w:val="30"/>
                <w:szCs w:val="30"/>
                <w:highlight w:val="none"/>
              </w:rPr>
            </w:pPr>
          </w:p>
        </w:tc>
        <w:tc>
          <w:tcPr>
            <w:tcW w:w="1020" w:type="dxa"/>
          </w:tcPr>
          <w:p w14:paraId="0CFF9906">
            <w:pPr>
              <w:pStyle w:val="505"/>
              <w:rPr>
                <w:rFonts w:eastAsia="仿宋_GB2312"/>
                <w:color w:val="auto"/>
                <w:sz w:val="30"/>
                <w:szCs w:val="30"/>
                <w:highlight w:val="none"/>
              </w:rPr>
            </w:pPr>
          </w:p>
        </w:tc>
        <w:tc>
          <w:tcPr>
            <w:tcW w:w="1480" w:type="dxa"/>
          </w:tcPr>
          <w:p w14:paraId="31324C2A">
            <w:pPr>
              <w:pStyle w:val="505"/>
              <w:rPr>
                <w:rFonts w:eastAsia="仿宋_GB2312"/>
                <w:color w:val="auto"/>
                <w:sz w:val="30"/>
                <w:szCs w:val="30"/>
                <w:highlight w:val="none"/>
              </w:rPr>
            </w:pPr>
          </w:p>
        </w:tc>
        <w:tc>
          <w:tcPr>
            <w:tcW w:w="1020" w:type="dxa"/>
          </w:tcPr>
          <w:p w14:paraId="0A108D15">
            <w:pPr>
              <w:pStyle w:val="505"/>
              <w:rPr>
                <w:rFonts w:eastAsia="仿宋_GB2312"/>
                <w:color w:val="auto"/>
                <w:sz w:val="30"/>
                <w:szCs w:val="30"/>
                <w:highlight w:val="none"/>
              </w:rPr>
            </w:pPr>
          </w:p>
        </w:tc>
        <w:tc>
          <w:tcPr>
            <w:tcW w:w="921" w:type="dxa"/>
          </w:tcPr>
          <w:p w14:paraId="6E2AC81E">
            <w:pPr>
              <w:pStyle w:val="505"/>
              <w:rPr>
                <w:rFonts w:eastAsia="仿宋_GB2312"/>
                <w:color w:val="auto"/>
                <w:sz w:val="30"/>
                <w:szCs w:val="30"/>
                <w:highlight w:val="none"/>
              </w:rPr>
            </w:pPr>
          </w:p>
        </w:tc>
      </w:tr>
      <w:tr w14:paraId="53F02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B68F774">
            <w:pPr>
              <w:pStyle w:val="505"/>
              <w:rPr>
                <w:rFonts w:eastAsia="仿宋_GB2312"/>
                <w:color w:val="auto"/>
                <w:sz w:val="30"/>
                <w:szCs w:val="30"/>
                <w:highlight w:val="none"/>
              </w:rPr>
            </w:pPr>
          </w:p>
        </w:tc>
        <w:tc>
          <w:tcPr>
            <w:tcW w:w="1418" w:type="dxa"/>
          </w:tcPr>
          <w:p w14:paraId="2CF5D522">
            <w:pPr>
              <w:pStyle w:val="505"/>
              <w:rPr>
                <w:rFonts w:eastAsia="仿宋_GB2312"/>
                <w:color w:val="auto"/>
                <w:sz w:val="30"/>
                <w:szCs w:val="30"/>
                <w:highlight w:val="none"/>
              </w:rPr>
            </w:pPr>
          </w:p>
        </w:tc>
        <w:tc>
          <w:tcPr>
            <w:tcW w:w="850" w:type="dxa"/>
          </w:tcPr>
          <w:p w14:paraId="2CCF1F81">
            <w:pPr>
              <w:pStyle w:val="505"/>
              <w:rPr>
                <w:rFonts w:eastAsia="仿宋_GB2312"/>
                <w:color w:val="auto"/>
                <w:sz w:val="30"/>
                <w:szCs w:val="30"/>
                <w:highlight w:val="none"/>
              </w:rPr>
            </w:pPr>
          </w:p>
        </w:tc>
        <w:tc>
          <w:tcPr>
            <w:tcW w:w="1058" w:type="dxa"/>
          </w:tcPr>
          <w:p w14:paraId="2DD17E45">
            <w:pPr>
              <w:pStyle w:val="505"/>
              <w:rPr>
                <w:rFonts w:eastAsia="仿宋_GB2312"/>
                <w:color w:val="auto"/>
                <w:sz w:val="30"/>
                <w:szCs w:val="30"/>
                <w:highlight w:val="none"/>
              </w:rPr>
            </w:pPr>
          </w:p>
        </w:tc>
        <w:tc>
          <w:tcPr>
            <w:tcW w:w="880" w:type="dxa"/>
          </w:tcPr>
          <w:p w14:paraId="0CB2D1F3">
            <w:pPr>
              <w:pStyle w:val="505"/>
              <w:rPr>
                <w:rFonts w:eastAsia="仿宋_GB2312"/>
                <w:color w:val="auto"/>
                <w:sz w:val="30"/>
                <w:szCs w:val="30"/>
                <w:highlight w:val="none"/>
              </w:rPr>
            </w:pPr>
          </w:p>
        </w:tc>
        <w:tc>
          <w:tcPr>
            <w:tcW w:w="1020" w:type="dxa"/>
          </w:tcPr>
          <w:p w14:paraId="2A14C800">
            <w:pPr>
              <w:pStyle w:val="505"/>
              <w:rPr>
                <w:rFonts w:eastAsia="仿宋_GB2312"/>
                <w:color w:val="auto"/>
                <w:sz w:val="30"/>
                <w:szCs w:val="30"/>
                <w:highlight w:val="none"/>
              </w:rPr>
            </w:pPr>
          </w:p>
        </w:tc>
        <w:tc>
          <w:tcPr>
            <w:tcW w:w="1480" w:type="dxa"/>
          </w:tcPr>
          <w:p w14:paraId="74C405B4">
            <w:pPr>
              <w:pStyle w:val="505"/>
              <w:rPr>
                <w:rFonts w:eastAsia="仿宋_GB2312"/>
                <w:color w:val="auto"/>
                <w:sz w:val="30"/>
                <w:szCs w:val="30"/>
                <w:highlight w:val="none"/>
              </w:rPr>
            </w:pPr>
          </w:p>
        </w:tc>
        <w:tc>
          <w:tcPr>
            <w:tcW w:w="1020" w:type="dxa"/>
          </w:tcPr>
          <w:p w14:paraId="066802C8">
            <w:pPr>
              <w:pStyle w:val="505"/>
              <w:rPr>
                <w:rFonts w:eastAsia="仿宋_GB2312"/>
                <w:color w:val="auto"/>
                <w:sz w:val="30"/>
                <w:szCs w:val="30"/>
                <w:highlight w:val="none"/>
              </w:rPr>
            </w:pPr>
          </w:p>
        </w:tc>
        <w:tc>
          <w:tcPr>
            <w:tcW w:w="921" w:type="dxa"/>
          </w:tcPr>
          <w:p w14:paraId="38B88016">
            <w:pPr>
              <w:pStyle w:val="505"/>
              <w:rPr>
                <w:rFonts w:eastAsia="仿宋_GB2312"/>
                <w:color w:val="auto"/>
                <w:sz w:val="30"/>
                <w:szCs w:val="30"/>
                <w:highlight w:val="none"/>
              </w:rPr>
            </w:pPr>
          </w:p>
        </w:tc>
      </w:tr>
      <w:tr w14:paraId="52579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537577F">
            <w:pPr>
              <w:pStyle w:val="505"/>
              <w:rPr>
                <w:rFonts w:eastAsia="仿宋_GB2312"/>
                <w:color w:val="auto"/>
                <w:sz w:val="30"/>
                <w:szCs w:val="30"/>
                <w:highlight w:val="none"/>
              </w:rPr>
            </w:pPr>
          </w:p>
        </w:tc>
        <w:tc>
          <w:tcPr>
            <w:tcW w:w="1418" w:type="dxa"/>
          </w:tcPr>
          <w:p w14:paraId="259589BE">
            <w:pPr>
              <w:pStyle w:val="505"/>
              <w:rPr>
                <w:rFonts w:eastAsia="仿宋_GB2312"/>
                <w:color w:val="auto"/>
                <w:sz w:val="30"/>
                <w:szCs w:val="30"/>
                <w:highlight w:val="none"/>
              </w:rPr>
            </w:pPr>
          </w:p>
        </w:tc>
        <w:tc>
          <w:tcPr>
            <w:tcW w:w="850" w:type="dxa"/>
          </w:tcPr>
          <w:p w14:paraId="53C81385">
            <w:pPr>
              <w:pStyle w:val="505"/>
              <w:rPr>
                <w:rFonts w:eastAsia="仿宋_GB2312"/>
                <w:color w:val="auto"/>
                <w:sz w:val="30"/>
                <w:szCs w:val="30"/>
                <w:highlight w:val="none"/>
              </w:rPr>
            </w:pPr>
          </w:p>
        </w:tc>
        <w:tc>
          <w:tcPr>
            <w:tcW w:w="1058" w:type="dxa"/>
          </w:tcPr>
          <w:p w14:paraId="4ED6D917">
            <w:pPr>
              <w:pStyle w:val="505"/>
              <w:rPr>
                <w:rFonts w:eastAsia="仿宋_GB2312"/>
                <w:color w:val="auto"/>
                <w:sz w:val="30"/>
                <w:szCs w:val="30"/>
                <w:highlight w:val="none"/>
              </w:rPr>
            </w:pPr>
          </w:p>
        </w:tc>
        <w:tc>
          <w:tcPr>
            <w:tcW w:w="880" w:type="dxa"/>
          </w:tcPr>
          <w:p w14:paraId="67B35FBC">
            <w:pPr>
              <w:pStyle w:val="505"/>
              <w:rPr>
                <w:rFonts w:eastAsia="仿宋_GB2312"/>
                <w:color w:val="auto"/>
                <w:sz w:val="30"/>
                <w:szCs w:val="30"/>
                <w:highlight w:val="none"/>
              </w:rPr>
            </w:pPr>
          </w:p>
        </w:tc>
        <w:tc>
          <w:tcPr>
            <w:tcW w:w="1020" w:type="dxa"/>
          </w:tcPr>
          <w:p w14:paraId="5987BE38">
            <w:pPr>
              <w:pStyle w:val="505"/>
              <w:rPr>
                <w:rFonts w:eastAsia="仿宋_GB2312"/>
                <w:color w:val="auto"/>
                <w:sz w:val="30"/>
                <w:szCs w:val="30"/>
                <w:highlight w:val="none"/>
              </w:rPr>
            </w:pPr>
          </w:p>
        </w:tc>
        <w:tc>
          <w:tcPr>
            <w:tcW w:w="1480" w:type="dxa"/>
          </w:tcPr>
          <w:p w14:paraId="5958C55B">
            <w:pPr>
              <w:pStyle w:val="505"/>
              <w:rPr>
                <w:rFonts w:eastAsia="仿宋_GB2312"/>
                <w:color w:val="auto"/>
                <w:sz w:val="30"/>
                <w:szCs w:val="30"/>
                <w:highlight w:val="none"/>
              </w:rPr>
            </w:pPr>
          </w:p>
        </w:tc>
        <w:tc>
          <w:tcPr>
            <w:tcW w:w="1020" w:type="dxa"/>
          </w:tcPr>
          <w:p w14:paraId="70D6C7A0">
            <w:pPr>
              <w:pStyle w:val="505"/>
              <w:rPr>
                <w:rFonts w:eastAsia="仿宋_GB2312"/>
                <w:color w:val="auto"/>
                <w:sz w:val="30"/>
                <w:szCs w:val="30"/>
                <w:highlight w:val="none"/>
              </w:rPr>
            </w:pPr>
          </w:p>
        </w:tc>
        <w:tc>
          <w:tcPr>
            <w:tcW w:w="921" w:type="dxa"/>
          </w:tcPr>
          <w:p w14:paraId="711517BF">
            <w:pPr>
              <w:pStyle w:val="505"/>
              <w:rPr>
                <w:rFonts w:eastAsia="仿宋_GB2312"/>
                <w:color w:val="auto"/>
                <w:sz w:val="30"/>
                <w:szCs w:val="30"/>
                <w:highlight w:val="none"/>
              </w:rPr>
            </w:pPr>
          </w:p>
        </w:tc>
      </w:tr>
      <w:tr w14:paraId="00D7B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58421BC">
            <w:pPr>
              <w:pStyle w:val="505"/>
              <w:rPr>
                <w:rFonts w:eastAsia="仿宋_GB2312"/>
                <w:color w:val="auto"/>
                <w:sz w:val="30"/>
                <w:szCs w:val="30"/>
                <w:highlight w:val="none"/>
              </w:rPr>
            </w:pPr>
          </w:p>
        </w:tc>
        <w:tc>
          <w:tcPr>
            <w:tcW w:w="1418" w:type="dxa"/>
          </w:tcPr>
          <w:p w14:paraId="6221489F">
            <w:pPr>
              <w:pStyle w:val="505"/>
              <w:rPr>
                <w:rFonts w:eastAsia="仿宋_GB2312"/>
                <w:color w:val="auto"/>
                <w:sz w:val="30"/>
                <w:szCs w:val="30"/>
                <w:highlight w:val="none"/>
              </w:rPr>
            </w:pPr>
          </w:p>
        </w:tc>
        <w:tc>
          <w:tcPr>
            <w:tcW w:w="850" w:type="dxa"/>
          </w:tcPr>
          <w:p w14:paraId="43AA245B">
            <w:pPr>
              <w:pStyle w:val="505"/>
              <w:rPr>
                <w:rFonts w:eastAsia="仿宋_GB2312"/>
                <w:color w:val="auto"/>
                <w:sz w:val="30"/>
                <w:szCs w:val="30"/>
                <w:highlight w:val="none"/>
              </w:rPr>
            </w:pPr>
          </w:p>
        </w:tc>
        <w:tc>
          <w:tcPr>
            <w:tcW w:w="1058" w:type="dxa"/>
          </w:tcPr>
          <w:p w14:paraId="5F50BDA2">
            <w:pPr>
              <w:pStyle w:val="505"/>
              <w:rPr>
                <w:rFonts w:eastAsia="仿宋_GB2312"/>
                <w:color w:val="auto"/>
                <w:sz w:val="30"/>
                <w:szCs w:val="30"/>
                <w:highlight w:val="none"/>
              </w:rPr>
            </w:pPr>
          </w:p>
        </w:tc>
        <w:tc>
          <w:tcPr>
            <w:tcW w:w="880" w:type="dxa"/>
          </w:tcPr>
          <w:p w14:paraId="65C17401">
            <w:pPr>
              <w:pStyle w:val="505"/>
              <w:rPr>
                <w:rFonts w:eastAsia="仿宋_GB2312"/>
                <w:color w:val="auto"/>
                <w:sz w:val="30"/>
                <w:szCs w:val="30"/>
                <w:highlight w:val="none"/>
              </w:rPr>
            </w:pPr>
          </w:p>
        </w:tc>
        <w:tc>
          <w:tcPr>
            <w:tcW w:w="1020" w:type="dxa"/>
          </w:tcPr>
          <w:p w14:paraId="4200939F">
            <w:pPr>
              <w:pStyle w:val="505"/>
              <w:rPr>
                <w:rFonts w:eastAsia="仿宋_GB2312"/>
                <w:color w:val="auto"/>
                <w:sz w:val="30"/>
                <w:szCs w:val="30"/>
                <w:highlight w:val="none"/>
              </w:rPr>
            </w:pPr>
          </w:p>
        </w:tc>
        <w:tc>
          <w:tcPr>
            <w:tcW w:w="1480" w:type="dxa"/>
          </w:tcPr>
          <w:p w14:paraId="51217471">
            <w:pPr>
              <w:pStyle w:val="505"/>
              <w:rPr>
                <w:rFonts w:eastAsia="仿宋_GB2312"/>
                <w:color w:val="auto"/>
                <w:sz w:val="30"/>
                <w:szCs w:val="30"/>
                <w:highlight w:val="none"/>
              </w:rPr>
            </w:pPr>
          </w:p>
        </w:tc>
        <w:tc>
          <w:tcPr>
            <w:tcW w:w="1020" w:type="dxa"/>
          </w:tcPr>
          <w:p w14:paraId="21619EAA">
            <w:pPr>
              <w:pStyle w:val="505"/>
              <w:rPr>
                <w:rFonts w:eastAsia="仿宋_GB2312"/>
                <w:color w:val="auto"/>
                <w:sz w:val="30"/>
                <w:szCs w:val="30"/>
                <w:highlight w:val="none"/>
              </w:rPr>
            </w:pPr>
          </w:p>
        </w:tc>
        <w:tc>
          <w:tcPr>
            <w:tcW w:w="921" w:type="dxa"/>
          </w:tcPr>
          <w:p w14:paraId="0C10D337">
            <w:pPr>
              <w:pStyle w:val="505"/>
              <w:rPr>
                <w:rFonts w:eastAsia="仿宋_GB2312"/>
                <w:color w:val="auto"/>
                <w:sz w:val="30"/>
                <w:szCs w:val="30"/>
                <w:highlight w:val="none"/>
              </w:rPr>
            </w:pPr>
          </w:p>
        </w:tc>
      </w:tr>
      <w:tr w14:paraId="6C280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B19DA8D">
            <w:pPr>
              <w:pStyle w:val="505"/>
              <w:rPr>
                <w:rFonts w:eastAsia="仿宋_GB2312"/>
                <w:color w:val="auto"/>
                <w:sz w:val="30"/>
                <w:szCs w:val="30"/>
                <w:highlight w:val="none"/>
              </w:rPr>
            </w:pPr>
          </w:p>
        </w:tc>
        <w:tc>
          <w:tcPr>
            <w:tcW w:w="1418" w:type="dxa"/>
          </w:tcPr>
          <w:p w14:paraId="68737CB4">
            <w:pPr>
              <w:pStyle w:val="505"/>
              <w:rPr>
                <w:rFonts w:eastAsia="仿宋_GB2312"/>
                <w:color w:val="auto"/>
                <w:sz w:val="30"/>
                <w:szCs w:val="30"/>
                <w:highlight w:val="none"/>
              </w:rPr>
            </w:pPr>
          </w:p>
        </w:tc>
        <w:tc>
          <w:tcPr>
            <w:tcW w:w="850" w:type="dxa"/>
          </w:tcPr>
          <w:p w14:paraId="69CC73A0">
            <w:pPr>
              <w:pStyle w:val="505"/>
              <w:rPr>
                <w:rFonts w:eastAsia="仿宋_GB2312"/>
                <w:color w:val="auto"/>
                <w:sz w:val="30"/>
                <w:szCs w:val="30"/>
                <w:highlight w:val="none"/>
              </w:rPr>
            </w:pPr>
          </w:p>
        </w:tc>
        <w:tc>
          <w:tcPr>
            <w:tcW w:w="1058" w:type="dxa"/>
          </w:tcPr>
          <w:p w14:paraId="403C6F43">
            <w:pPr>
              <w:pStyle w:val="505"/>
              <w:rPr>
                <w:rFonts w:eastAsia="仿宋_GB2312"/>
                <w:color w:val="auto"/>
                <w:sz w:val="30"/>
                <w:szCs w:val="30"/>
                <w:highlight w:val="none"/>
              </w:rPr>
            </w:pPr>
          </w:p>
        </w:tc>
        <w:tc>
          <w:tcPr>
            <w:tcW w:w="880" w:type="dxa"/>
          </w:tcPr>
          <w:p w14:paraId="72530186">
            <w:pPr>
              <w:pStyle w:val="505"/>
              <w:rPr>
                <w:rFonts w:eastAsia="仿宋_GB2312"/>
                <w:color w:val="auto"/>
                <w:sz w:val="30"/>
                <w:szCs w:val="30"/>
                <w:highlight w:val="none"/>
              </w:rPr>
            </w:pPr>
          </w:p>
        </w:tc>
        <w:tc>
          <w:tcPr>
            <w:tcW w:w="1020" w:type="dxa"/>
          </w:tcPr>
          <w:p w14:paraId="79326CFE">
            <w:pPr>
              <w:pStyle w:val="505"/>
              <w:rPr>
                <w:rFonts w:eastAsia="仿宋_GB2312"/>
                <w:color w:val="auto"/>
                <w:sz w:val="30"/>
                <w:szCs w:val="30"/>
                <w:highlight w:val="none"/>
              </w:rPr>
            </w:pPr>
          </w:p>
        </w:tc>
        <w:tc>
          <w:tcPr>
            <w:tcW w:w="1480" w:type="dxa"/>
          </w:tcPr>
          <w:p w14:paraId="5D2AA6EF">
            <w:pPr>
              <w:pStyle w:val="505"/>
              <w:rPr>
                <w:rFonts w:eastAsia="仿宋_GB2312"/>
                <w:color w:val="auto"/>
                <w:sz w:val="30"/>
                <w:szCs w:val="30"/>
                <w:highlight w:val="none"/>
              </w:rPr>
            </w:pPr>
          </w:p>
        </w:tc>
        <w:tc>
          <w:tcPr>
            <w:tcW w:w="1020" w:type="dxa"/>
          </w:tcPr>
          <w:p w14:paraId="0FFF197F">
            <w:pPr>
              <w:pStyle w:val="505"/>
              <w:rPr>
                <w:rFonts w:eastAsia="仿宋_GB2312"/>
                <w:color w:val="auto"/>
                <w:sz w:val="30"/>
                <w:szCs w:val="30"/>
                <w:highlight w:val="none"/>
              </w:rPr>
            </w:pPr>
          </w:p>
        </w:tc>
        <w:tc>
          <w:tcPr>
            <w:tcW w:w="921" w:type="dxa"/>
          </w:tcPr>
          <w:p w14:paraId="2184645E">
            <w:pPr>
              <w:pStyle w:val="505"/>
              <w:rPr>
                <w:rFonts w:eastAsia="仿宋_GB2312"/>
                <w:color w:val="auto"/>
                <w:sz w:val="30"/>
                <w:szCs w:val="30"/>
                <w:highlight w:val="none"/>
              </w:rPr>
            </w:pPr>
          </w:p>
        </w:tc>
      </w:tr>
      <w:tr w14:paraId="6CD54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C821B63">
            <w:pPr>
              <w:pStyle w:val="505"/>
              <w:rPr>
                <w:rFonts w:eastAsia="仿宋_GB2312"/>
                <w:color w:val="auto"/>
                <w:sz w:val="30"/>
                <w:szCs w:val="30"/>
                <w:highlight w:val="none"/>
              </w:rPr>
            </w:pPr>
          </w:p>
        </w:tc>
        <w:tc>
          <w:tcPr>
            <w:tcW w:w="1418" w:type="dxa"/>
          </w:tcPr>
          <w:p w14:paraId="0AF66349">
            <w:pPr>
              <w:pStyle w:val="505"/>
              <w:rPr>
                <w:rFonts w:eastAsia="仿宋_GB2312"/>
                <w:color w:val="auto"/>
                <w:sz w:val="30"/>
                <w:szCs w:val="30"/>
                <w:highlight w:val="none"/>
              </w:rPr>
            </w:pPr>
          </w:p>
        </w:tc>
        <w:tc>
          <w:tcPr>
            <w:tcW w:w="850" w:type="dxa"/>
          </w:tcPr>
          <w:p w14:paraId="2838501D">
            <w:pPr>
              <w:pStyle w:val="505"/>
              <w:rPr>
                <w:rFonts w:eastAsia="仿宋_GB2312"/>
                <w:color w:val="auto"/>
                <w:sz w:val="30"/>
                <w:szCs w:val="30"/>
                <w:highlight w:val="none"/>
              </w:rPr>
            </w:pPr>
          </w:p>
        </w:tc>
        <w:tc>
          <w:tcPr>
            <w:tcW w:w="1058" w:type="dxa"/>
          </w:tcPr>
          <w:p w14:paraId="1AE2303A">
            <w:pPr>
              <w:pStyle w:val="505"/>
              <w:rPr>
                <w:rFonts w:eastAsia="仿宋_GB2312"/>
                <w:color w:val="auto"/>
                <w:sz w:val="30"/>
                <w:szCs w:val="30"/>
                <w:highlight w:val="none"/>
              </w:rPr>
            </w:pPr>
          </w:p>
        </w:tc>
        <w:tc>
          <w:tcPr>
            <w:tcW w:w="880" w:type="dxa"/>
          </w:tcPr>
          <w:p w14:paraId="0877CD00">
            <w:pPr>
              <w:pStyle w:val="505"/>
              <w:rPr>
                <w:rFonts w:eastAsia="仿宋_GB2312"/>
                <w:color w:val="auto"/>
                <w:sz w:val="30"/>
                <w:szCs w:val="30"/>
                <w:highlight w:val="none"/>
              </w:rPr>
            </w:pPr>
          </w:p>
        </w:tc>
        <w:tc>
          <w:tcPr>
            <w:tcW w:w="1020" w:type="dxa"/>
          </w:tcPr>
          <w:p w14:paraId="71E8EEEB">
            <w:pPr>
              <w:pStyle w:val="505"/>
              <w:rPr>
                <w:rFonts w:eastAsia="仿宋_GB2312"/>
                <w:color w:val="auto"/>
                <w:sz w:val="30"/>
                <w:szCs w:val="30"/>
                <w:highlight w:val="none"/>
              </w:rPr>
            </w:pPr>
          </w:p>
        </w:tc>
        <w:tc>
          <w:tcPr>
            <w:tcW w:w="1480" w:type="dxa"/>
          </w:tcPr>
          <w:p w14:paraId="7110A3AF">
            <w:pPr>
              <w:pStyle w:val="505"/>
              <w:rPr>
                <w:rFonts w:eastAsia="仿宋_GB2312"/>
                <w:color w:val="auto"/>
                <w:sz w:val="30"/>
                <w:szCs w:val="30"/>
                <w:highlight w:val="none"/>
              </w:rPr>
            </w:pPr>
          </w:p>
        </w:tc>
        <w:tc>
          <w:tcPr>
            <w:tcW w:w="1020" w:type="dxa"/>
          </w:tcPr>
          <w:p w14:paraId="11BCA28B">
            <w:pPr>
              <w:pStyle w:val="505"/>
              <w:rPr>
                <w:rFonts w:eastAsia="仿宋_GB2312"/>
                <w:color w:val="auto"/>
                <w:sz w:val="30"/>
                <w:szCs w:val="30"/>
                <w:highlight w:val="none"/>
              </w:rPr>
            </w:pPr>
          </w:p>
        </w:tc>
        <w:tc>
          <w:tcPr>
            <w:tcW w:w="921" w:type="dxa"/>
          </w:tcPr>
          <w:p w14:paraId="6AF792BE">
            <w:pPr>
              <w:pStyle w:val="505"/>
              <w:rPr>
                <w:rFonts w:eastAsia="仿宋_GB2312"/>
                <w:color w:val="auto"/>
                <w:sz w:val="30"/>
                <w:szCs w:val="30"/>
                <w:highlight w:val="none"/>
              </w:rPr>
            </w:pPr>
          </w:p>
        </w:tc>
      </w:tr>
    </w:tbl>
    <w:p w14:paraId="5CF2E593">
      <w:pPr>
        <w:pStyle w:val="505"/>
        <w:spacing w:line="440" w:lineRule="exact"/>
        <w:rPr>
          <w:rFonts w:eastAsia="仿宋_GB2312"/>
          <w:color w:val="auto"/>
          <w:sz w:val="30"/>
          <w:szCs w:val="30"/>
          <w:highlight w:val="none"/>
        </w:rPr>
      </w:pPr>
    </w:p>
    <w:p w14:paraId="2894F2DA">
      <w:pPr>
        <w:pStyle w:val="505"/>
        <w:spacing w:line="440" w:lineRule="exact"/>
        <w:rPr>
          <w:rFonts w:eastAsia="仿宋_GB2312"/>
          <w:color w:val="auto"/>
          <w:sz w:val="30"/>
          <w:szCs w:val="30"/>
          <w:highlight w:val="none"/>
        </w:rPr>
      </w:pPr>
    </w:p>
    <w:p w14:paraId="21C5DA00">
      <w:pPr>
        <w:pStyle w:val="505"/>
        <w:spacing w:line="440" w:lineRule="exact"/>
        <w:rPr>
          <w:rFonts w:eastAsia="仿宋_GB2312"/>
          <w:color w:val="auto"/>
          <w:sz w:val="30"/>
          <w:szCs w:val="30"/>
          <w:highlight w:val="none"/>
        </w:rPr>
      </w:pPr>
    </w:p>
    <w:p w14:paraId="1D3D0E31">
      <w:pPr>
        <w:pStyle w:val="505"/>
        <w:spacing w:line="440" w:lineRule="exact"/>
        <w:rPr>
          <w:rFonts w:eastAsia="仿宋_GB2312"/>
          <w:color w:val="auto"/>
          <w:sz w:val="30"/>
          <w:szCs w:val="30"/>
          <w:highlight w:val="none"/>
        </w:rPr>
      </w:pPr>
    </w:p>
    <w:p w14:paraId="142EB858">
      <w:pPr>
        <w:pStyle w:val="505"/>
        <w:spacing w:line="440" w:lineRule="exact"/>
        <w:rPr>
          <w:rFonts w:eastAsia="仿宋_GB2312"/>
          <w:color w:val="auto"/>
          <w:sz w:val="30"/>
          <w:szCs w:val="30"/>
          <w:highlight w:val="none"/>
        </w:rPr>
      </w:pPr>
    </w:p>
    <w:p w14:paraId="378D003F">
      <w:pPr>
        <w:pStyle w:val="505"/>
        <w:spacing w:line="440" w:lineRule="exact"/>
        <w:rPr>
          <w:rFonts w:eastAsia="仿宋_GB2312"/>
          <w:color w:val="auto"/>
          <w:sz w:val="30"/>
          <w:szCs w:val="30"/>
          <w:highlight w:val="none"/>
        </w:rPr>
      </w:pPr>
    </w:p>
    <w:p w14:paraId="5234571B">
      <w:pPr>
        <w:pStyle w:val="505"/>
        <w:spacing w:line="440" w:lineRule="exact"/>
        <w:rPr>
          <w:rFonts w:eastAsia="仿宋_GB2312"/>
          <w:color w:val="auto"/>
          <w:sz w:val="30"/>
          <w:szCs w:val="30"/>
          <w:highlight w:val="none"/>
        </w:rPr>
      </w:pPr>
    </w:p>
    <w:p w14:paraId="73857324">
      <w:pPr>
        <w:pStyle w:val="505"/>
        <w:spacing w:line="440" w:lineRule="exact"/>
        <w:rPr>
          <w:rFonts w:eastAsia="仿宋_GB2312"/>
          <w:color w:val="auto"/>
          <w:sz w:val="30"/>
          <w:szCs w:val="30"/>
          <w:highlight w:val="none"/>
        </w:rPr>
      </w:pPr>
      <w:r>
        <w:rPr>
          <w:rFonts w:eastAsia="仿宋_GB2312"/>
          <w:color w:val="auto"/>
          <w:sz w:val="30"/>
          <w:szCs w:val="30"/>
          <w:highlight w:val="none"/>
        </w:rPr>
        <w:t>附件</w:t>
      </w:r>
      <w:r>
        <w:rPr>
          <w:rFonts w:hint="eastAsia" w:eastAsia="仿宋_GB2312"/>
          <w:color w:val="auto"/>
          <w:sz w:val="30"/>
          <w:szCs w:val="30"/>
          <w:highlight w:val="none"/>
        </w:rPr>
        <w:t>5</w:t>
      </w:r>
      <w:r>
        <w:rPr>
          <w:rFonts w:eastAsia="仿宋_GB2312"/>
          <w:color w:val="auto"/>
          <w:sz w:val="30"/>
          <w:szCs w:val="30"/>
          <w:highlight w:val="none"/>
        </w:rPr>
        <w:t>：</w:t>
      </w:r>
    </w:p>
    <w:p w14:paraId="2A3B8C03">
      <w:pPr>
        <w:pStyle w:val="505"/>
        <w:spacing w:line="440" w:lineRule="exact"/>
        <w:jc w:val="center"/>
        <w:rPr>
          <w:rFonts w:eastAsia="黑体"/>
          <w:color w:val="auto"/>
          <w:sz w:val="30"/>
          <w:szCs w:val="30"/>
          <w:highlight w:val="none"/>
        </w:rPr>
      </w:pPr>
      <w:r>
        <w:rPr>
          <w:rFonts w:eastAsia="黑体"/>
          <w:color w:val="auto"/>
          <w:sz w:val="30"/>
          <w:szCs w:val="30"/>
          <w:highlight w:val="none"/>
        </w:rPr>
        <w:t>承包人主要施工管理人员表</w:t>
      </w:r>
    </w:p>
    <w:tbl>
      <w:tblPr>
        <w:tblStyle w:val="54"/>
        <w:tblpPr w:leftFromText="180" w:rightFromText="180" w:vertAnchor="text" w:horzAnchor="margin" w:tblpY="19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7"/>
        <w:gridCol w:w="1331"/>
        <w:gridCol w:w="1064"/>
        <w:gridCol w:w="1064"/>
        <w:gridCol w:w="3994"/>
      </w:tblGrid>
      <w:tr w14:paraId="02EE5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12" w:space="0"/>
              <w:bottom w:val="double" w:color="auto" w:sz="6" w:space="0"/>
            </w:tcBorders>
            <w:vAlign w:val="center"/>
          </w:tcPr>
          <w:p w14:paraId="3E58319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名    称</w:t>
            </w:r>
          </w:p>
        </w:tc>
        <w:tc>
          <w:tcPr>
            <w:tcW w:w="1331" w:type="dxa"/>
            <w:tcBorders>
              <w:top w:val="single" w:color="auto" w:sz="12" w:space="0"/>
              <w:bottom w:val="double" w:color="auto" w:sz="6" w:space="0"/>
            </w:tcBorders>
            <w:vAlign w:val="center"/>
          </w:tcPr>
          <w:p w14:paraId="266296F6">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姓名</w:t>
            </w:r>
          </w:p>
        </w:tc>
        <w:tc>
          <w:tcPr>
            <w:tcW w:w="1064" w:type="dxa"/>
            <w:tcBorders>
              <w:top w:val="single" w:color="auto" w:sz="12" w:space="0"/>
              <w:bottom w:val="double" w:color="auto" w:sz="6" w:space="0"/>
            </w:tcBorders>
            <w:vAlign w:val="center"/>
          </w:tcPr>
          <w:p w14:paraId="0A5E28B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职务</w:t>
            </w:r>
          </w:p>
        </w:tc>
        <w:tc>
          <w:tcPr>
            <w:tcW w:w="1064" w:type="dxa"/>
            <w:tcBorders>
              <w:top w:val="single" w:color="auto" w:sz="12" w:space="0"/>
              <w:bottom w:val="double" w:color="auto" w:sz="6" w:space="0"/>
            </w:tcBorders>
            <w:vAlign w:val="center"/>
          </w:tcPr>
          <w:p w14:paraId="3267C40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职称</w:t>
            </w:r>
          </w:p>
        </w:tc>
        <w:tc>
          <w:tcPr>
            <w:tcW w:w="3994" w:type="dxa"/>
            <w:tcBorders>
              <w:top w:val="single" w:color="auto" w:sz="12" w:space="0"/>
              <w:bottom w:val="double" w:color="auto" w:sz="6" w:space="0"/>
            </w:tcBorders>
            <w:vAlign w:val="center"/>
          </w:tcPr>
          <w:p w14:paraId="2887F72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主要资历、经验及承担过的项目</w:t>
            </w:r>
          </w:p>
        </w:tc>
      </w:tr>
      <w:tr w14:paraId="6DC40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9210" w:type="dxa"/>
            <w:gridSpan w:val="5"/>
            <w:tcBorders>
              <w:top w:val="double" w:color="auto" w:sz="6" w:space="0"/>
              <w:bottom w:val="single" w:color="auto" w:sz="6" w:space="0"/>
            </w:tcBorders>
            <w:vAlign w:val="center"/>
          </w:tcPr>
          <w:p w14:paraId="153DA1B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一、总部人员</w:t>
            </w:r>
          </w:p>
        </w:tc>
      </w:tr>
      <w:tr w14:paraId="55B70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192E789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项目主管</w:t>
            </w:r>
          </w:p>
        </w:tc>
        <w:tc>
          <w:tcPr>
            <w:tcW w:w="1331" w:type="dxa"/>
            <w:tcBorders>
              <w:top w:val="nil"/>
            </w:tcBorders>
            <w:vAlign w:val="center"/>
          </w:tcPr>
          <w:p w14:paraId="3D8D5C4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tcBorders>
              <w:top w:val="nil"/>
            </w:tcBorders>
            <w:vAlign w:val="center"/>
          </w:tcPr>
          <w:p w14:paraId="62DE137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tcBorders>
              <w:top w:val="nil"/>
            </w:tcBorders>
            <w:vAlign w:val="center"/>
          </w:tcPr>
          <w:p w14:paraId="2A7581E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tcBorders>
              <w:top w:val="nil"/>
            </w:tcBorders>
            <w:vAlign w:val="center"/>
          </w:tcPr>
          <w:p w14:paraId="0F53A7A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9BF6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nil"/>
            </w:tcBorders>
            <w:vAlign w:val="center"/>
          </w:tcPr>
          <w:p w14:paraId="6EBCC8C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29C3FB89">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3B0DBE5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7FB4B51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5B1FE8A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5E1E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45BED80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331" w:type="dxa"/>
            <w:vAlign w:val="center"/>
          </w:tcPr>
          <w:p w14:paraId="1E1BD58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20CAF25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E97F34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2B5BA92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E833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nil"/>
              <w:bottom w:val="nil"/>
            </w:tcBorders>
            <w:vAlign w:val="center"/>
          </w:tcPr>
          <w:p w14:paraId="2E3B534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00A6C0C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1975045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0EB6E24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266F0F4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8985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9210" w:type="dxa"/>
            <w:gridSpan w:val="5"/>
            <w:tcBorders>
              <w:top w:val="single" w:color="auto" w:sz="6" w:space="0"/>
              <w:bottom w:val="single" w:color="auto" w:sz="6" w:space="0"/>
            </w:tcBorders>
            <w:vAlign w:val="center"/>
          </w:tcPr>
          <w:p w14:paraId="04F27DD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二、现场人员</w:t>
            </w:r>
          </w:p>
        </w:tc>
      </w:tr>
      <w:tr w14:paraId="76A38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53CFADE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项目经理</w:t>
            </w:r>
          </w:p>
        </w:tc>
        <w:tc>
          <w:tcPr>
            <w:tcW w:w="1331" w:type="dxa"/>
            <w:vAlign w:val="center"/>
          </w:tcPr>
          <w:p w14:paraId="7E5D58D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76BE8BB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59DE7E5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4F629BD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D1B0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0062C81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项目副经理</w:t>
            </w:r>
          </w:p>
        </w:tc>
        <w:tc>
          <w:tcPr>
            <w:tcW w:w="1331" w:type="dxa"/>
            <w:vAlign w:val="center"/>
          </w:tcPr>
          <w:p w14:paraId="6632EEB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51B66C7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55EC43E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31928A7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8729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single" w:color="auto" w:sz="6" w:space="0"/>
            </w:tcBorders>
            <w:vAlign w:val="center"/>
          </w:tcPr>
          <w:p w14:paraId="61B1343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技术负责人</w:t>
            </w:r>
          </w:p>
        </w:tc>
        <w:tc>
          <w:tcPr>
            <w:tcW w:w="1331" w:type="dxa"/>
            <w:vAlign w:val="center"/>
          </w:tcPr>
          <w:p w14:paraId="63F657A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0436E0A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A39BE9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1D6797B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D2F6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6B40A246">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造价管理</w:t>
            </w:r>
          </w:p>
        </w:tc>
        <w:tc>
          <w:tcPr>
            <w:tcW w:w="1331" w:type="dxa"/>
            <w:vAlign w:val="center"/>
          </w:tcPr>
          <w:p w14:paraId="7B178CE9">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7500B65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19D4AF2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088FF3F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F7F4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1DF1121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质量管理</w:t>
            </w:r>
          </w:p>
        </w:tc>
        <w:tc>
          <w:tcPr>
            <w:tcW w:w="1331" w:type="dxa"/>
            <w:vAlign w:val="center"/>
          </w:tcPr>
          <w:p w14:paraId="076A745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60A007F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0E2FFB8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7448659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D93C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tcBorders>
              <w:top w:val="single" w:color="auto" w:sz="6" w:space="0"/>
              <w:bottom w:val="single" w:color="auto" w:sz="6" w:space="0"/>
            </w:tcBorders>
            <w:vAlign w:val="center"/>
          </w:tcPr>
          <w:p w14:paraId="180E104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材料管理</w:t>
            </w:r>
          </w:p>
        </w:tc>
        <w:tc>
          <w:tcPr>
            <w:tcW w:w="1331" w:type="dxa"/>
            <w:vAlign w:val="center"/>
          </w:tcPr>
          <w:p w14:paraId="29AA1D7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39E0EFA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704059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631DEAF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2303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3BF24F8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计划管理</w:t>
            </w:r>
          </w:p>
        </w:tc>
        <w:tc>
          <w:tcPr>
            <w:tcW w:w="1331" w:type="dxa"/>
            <w:vAlign w:val="center"/>
          </w:tcPr>
          <w:p w14:paraId="2838983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48C72F1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BFE095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16171EC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5FC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1757" w:type="dxa"/>
            <w:tcBorders>
              <w:top w:val="single" w:color="auto" w:sz="6" w:space="0"/>
              <w:bottom w:val="single" w:color="auto" w:sz="6" w:space="0"/>
            </w:tcBorders>
            <w:vAlign w:val="center"/>
          </w:tcPr>
          <w:p w14:paraId="6048211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安全管理</w:t>
            </w:r>
          </w:p>
        </w:tc>
        <w:tc>
          <w:tcPr>
            <w:tcW w:w="1331" w:type="dxa"/>
            <w:vAlign w:val="center"/>
          </w:tcPr>
          <w:p w14:paraId="2B89558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24EA177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4D78164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31DC698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AA57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757" w:type="dxa"/>
            <w:vMerge w:val="restart"/>
            <w:tcBorders>
              <w:top w:val="single" w:color="auto" w:sz="6" w:space="0"/>
            </w:tcBorders>
            <w:vAlign w:val="center"/>
          </w:tcPr>
          <w:p w14:paraId="6388CB0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331" w:type="dxa"/>
            <w:vAlign w:val="center"/>
          </w:tcPr>
          <w:p w14:paraId="201298B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4563A7E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28596B1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233F72C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CC37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 w:hRule="atLeast"/>
        </w:trPr>
        <w:tc>
          <w:tcPr>
            <w:tcW w:w="1757" w:type="dxa"/>
            <w:vMerge w:val="continue"/>
            <w:vAlign w:val="center"/>
          </w:tcPr>
          <w:p w14:paraId="6A77AB34">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tcBorders>
              <w:bottom w:val="nil"/>
            </w:tcBorders>
            <w:vAlign w:val="center"/>
          </w:tcPr>
          <w:p w14:paraId="26F4AA0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tcBorders>
              <w:bottom w:val="nil"/>
            </w:tcBorders>
            <w:vAlign w:val="center"/>
          </w:tcPr>
          <w:p w14:paraId="52D2ECF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tcBorders>
              <w:bottom w:val="nil"/>
            </w:tcBorders>
            <w:vAlign w:val="center"/>
          </w:tcPr>
          <w:p w14:paraId="2356B53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tcBorders>
              <w:bottom w:val="nil"/>
            </w:tcBorders>
            <w:vAlign w:val="center"/>
          </w:tcPr>
          <w:p w14:paraId="761CD5B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004B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Merge w:val="continue"/>
            <w:vAlign w:val="center"/>
          </w:tcPr>
          <w:p w14:paraId="7290CD65">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4D3FB8F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273698D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7A32FF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7789544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9860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Align w:val="center"/>
          </w:tcPr>
          <w:p w14:paraId="36B0BA5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34534B9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51BE83B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2FC91D5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175E94A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829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vAlign w:val="center"/>
          </w:tcPr>
          <w:p w14:paraId="78B7426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vAlign w:val="center"/>
          </w:tcPr>
          <w:p w14:paraId="25DC7D5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vAlign w:val="center"/>
          </w:tcPr>
          <w:p w14:paraId="0272636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vAlign w:val="center"/>
          </w:tcPr>
          <w:p w14:paraId="3255EAD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vAlign w:val="center"/>
          </w:tcPr>
          <w:p w14:paraId="78BA7CF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3B99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 w:hRule="atLeast"/>
        </w:trPr>
        <w:tc>
          <w:tcPr>
            <w:tcW w:w="1757" w:type="dxa"/>
            <w:tcBorders>
              <w:bottom w:val="single" w:color="auto" w:sz="12" w:space="0"/>
            </w:tcBorders>
            <w:vAlign w:val="center"/>
          </w:tcPr>
          <w:p w14:paraId="4C5641B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331" w:type="dxa"/>
            <w:tcBorders>
              <w:bottom w:val="single" w:color="auto" w:sz="12" w:space="0"/>
            </w:tcBorders>
            <w:vAlign w:val="center"/>
          </w:tcPr>
          <w:p w14:paraId="09BF82F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064" w:type="dxa"/>
            <w:tcBorders>
              <w:bottom w:val="single" w:color="auto" w:sz="12" w:space="0"/>
            </w:tcBorders>
            <w:vAlign w:val="center"/>
          </w:tcPr>
          <w:p w14:paraId="453E08C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64" w:type="dxa"/>
            <w:tcBorders>
              <w:bottom w:val="single" w:color="auto" w:sz="12" w:space="0"/>
            </w:tcBorders>
            <w:vAlign w:val="center"/>
          </w:tcPr>
          <w:p w14:paraId="54301E0E">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3994" w:type="dxa"/>
            <w:tcBorders>
              <w:bottom w:val="single" w:color="auto" w:sz="12" w:space="0"/>
            </w:tcBorders>
            <w:vAlign w:val="center"/>
          </w:tcPr>
          <w:p w14:paraId="5AAB3F9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bl>
    <w:p w14:paraId="6E970341">
      <w:pPr>
        <w:pStyle w:val="505"/>
        <w:rPr>
          <w:color w:val="auto"/>
          <w:highlight w:val="none"/>
        </w:rPr>
      </w:pPr>
    </w:p>
    <w:p w14:paraId="12A6FEA9">
      <w:pPr>
        <w:pStyle w:val="505"/>
        <w:spacing w:line="440" w:lineRule="exact"/>
        <w:rPr>
          <w:rFonts w:eastAsia="黑体"/>
          <w:color w:val="auto"/>
          <w:sz w:val="30"/>
          <w:szCs w:val="30"/>
          <w:highlight w:val="none"/>
        </w:rPr>
      </w:pPr>
      <w:r>
        <w:rPr>
          <w:rFonts w:eastAsia="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6</w:t>
      </w:r>
      <w:r>
        <w:rPr>
          <w:rFonts w:eastAsia="仿宋_GB2312"/>
          <w:color w:val="auto"/>
          <w:sz w:val="30"/>
          <w:szCs w:val="30"/>
          <w:highlight w:val="none"/>
        </w:rPr>
        <w:t>：</w:t>
      </w:r>
    </w:p>
    <w:p w14:paraId="3307A4E9">
      <w:pPr>
        <w:pStyle w:val="505"/>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分包人主要施工管理人员表</w:t>
      </w:r>
    </w:p>
    <w:tbl>
      <w:tblPr>
        <w:tblStyle w:val="54"/>
        <w:tblpPr w:leftFromText="180" w:rightFromText="180" w:vertAnchor="text" w:horzAnchor="margin" w:tblpY="27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7170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12" w:space="0"/>
              <w:bottom w:val="double" w:color="auto" w:sz="6" w:space="0"/>
            </w:tcBorders>
            <w:vAlign w:val="center"/>
          </w:tcPr>
          <w:p w14:paraId="337DEDB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名    称</w:t>
            </w:r>
          </w:p>
        </w:tc>
        <w:tc>
          <w:tcPr>
            <w:tcW w:w="1418" w:type="dxa"/>
            <w:tcBorders>
              <w:top w:val="single" w:color="auto" w:sz="12" w:space="0"/>
              <w:bottom w:val="double" w:color="auto" w:sz="6" w:space="0"/>
            </w:tcBorders>
            <w:vAlign w:val="center"/>
          </w:tcPr>
          <w:p w14:paraId="4C180BD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姓名</w:t>
            </w:r>
          </w:p>
        </w:tc>
        <w:tc>
          <w:tcPr>
            <w:tcW w:w="1134" w:type="dxa"/>
            <w:tcBorders>
              <w:top w:val="single" w:color="auto" w:sz="12" w:space="0"/>
              <w:bottom w:val="double" w:color="auto" w:sz="6" w:space="0"/>
            </w:tcBorders>
            <w:vAlign w:val="center"/>
          </w:tcPr>
          <w:p w14:paraId="7489C4E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职务</w:t>
            </w:r>
          </w:p>
        </w:tc>
        <w:tc>
          <w:tcPr>
            <w:tcW w:w="1134" w:type="dxa"/>
            <w:tcBorders>
              <w:top w:val="single" w:color="auto" w:sz="12" w:space="0"/>
              <w:bottom w:val="double" w:color="auto" w:sz="6" w:space="0"/>
            </w:tcBorders>
            <w:vAlign w:val="center"/>
          </w:tcPr>
          <w:p w14:paraId="311661D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职称</w:t>
            </w:r>
          </w:p>
        </w:tc>
        <w:tc>
          <w:tcPr>
            <w:tcW w:w="4252" w:type="dxa"/>
            <w:tcBorders>
              <w:top w:val="single" w:color="auto" w:sz="12" w:space="0"/>
              <w:bottom w:val="double" w:color="auto" w:sz="6" w:space="0"/>
            </w:tcBorders>
            <w:vAlign w:val="center"/>
          </w:tcPr>
          <w:p w14:paraId="67AEBF1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主要资历、经验及承担过的项目</w:t>
            </w:r>
          </w:p>
        </w:tc>
      </w:tr>
      <w:tr w14:paraId="05BEB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809" w:type="dxa"/>
            <w:gridSpan w:val="5"/>
            <w:tcBorders>
              <w:top w:val="double" w:color="auto" w:sz="6" w:space="0"/>
              <w:bottom w:val="single" w:color="auto" w:sz="6" w:space="0"/>
            </w:tcBorders>
            <w:vAlign w:val="center"/>
          </w:tcPr>
          <w:p w14:paraId="3D8F174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一、总部人员</w:t>
            </w:r>
          </w:p>
        </w:tc>
      </w:tr>
      <w:tr w14:paraId="46DB2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76725DC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项目主管</w:t>
            </w:r>
          </w:p>
        </w:tc>
        <w:tc>
          <w:tcPr>
            <w:tcW w:w="1418" w:type="dxa"/>
            <w:tcBorders>
              <w:top w:val="nil"/>
            </w:tcBorders>
            <w:vAlign w:val="center"/>
          </w:tcPr>
          <w:p w14:paraId="54A1B0B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top w:val="nil"/>
            </w:tcBorders>
            <w:vAlign w:val="center"/>
          </w:tcPr>
          <w:p w14:paraId="121EBA8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top w:val="nil"/>
            </w:tcBorders>
            <w:vAlign w:val="center"/>
          </w:tcPr>
          <w:p w14:paraId="1814190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top w:val="nil"/>
            </w:tcBorders>
            <w:vAlign w:val="center"/>
          </w:tcPr>
          <w:p w14:paraId="15B9317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8462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nil"/>
            </w:tcBorders>
            <w:vAlign w:val="center"/>
          </w:tcPr>
          <w:p w14:paraId="57BE5BC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2BCA389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224183B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5C3BCEB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463D156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E617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0F902F3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vAlign w:val="center"/>
          </w:tcPr>
          <w:p w14:paraId="1FCC4C36">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237048C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3FC4F42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09885DC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3877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nil"/>
              <w:bottom w:val="nil"/>
            </w:tcBorders>
            <w:vAlign w:val="center"/>
          </w:tcPr>
          <w:p w14:paraId="650379C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2F80412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34B9057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4E83738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3BA6D2D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FCB8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809" w:type="dxa"/>
            <w:gridSpan w:val="5"/>
            <w:tcBorders>
              <w:top w:val="single" w:color="auto" w:sz="6" w:space="0"/>
              <w:bottom w:val="single" w:color="auto" w:sz="6" w:space="0"/>
            </w:tcBorders>
            <w:vAlign w:val="center"/>
          </w:tcPr>
          <w:p w14:paraId="57394934">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二、现场人员</w:t>
            </w:r>
          </w:p>
        </w:tc>
      </w:tr>
      <w:tr w14:paraId="5ABD8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58D0E0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项目经理</w:t>
            </w:r>
          </w:p>
        </w:tc>
        <w:tc>
          <w:tcPr>
            <w:tcW w:w="1418" w:type="dxa"/>
            <w:vAlign w:val="center"/>
          </w:tcPr>
          <w:p w14:paraId="3B0DE1E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0443E95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6E48C20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00510B6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289A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00499DEA">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项目副经理</w:t>
            </w:r>
          </w:p>
        </w:tc>
        <w:tc>
          <w:tcPr>
            <w:tcW w:w="1418" w:type="dxa"/>
            <w:vAlign w:val="center"/>
          </w:tcPr>
          <w:p w14:paraId="1D418CC2">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206B6C9">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7202962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3C8DC41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57CD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513AA14">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技术负责人</w:t>
            </w:r>
          </w:p>
        </w:tc>
        <w:tc>
          <w:tcPr>
            <w:tcW w:w="1418" w:type="dxa"/>
            <w:vAlign w:val="center"/>
          </w:tcPr>
          <w:p w14:paraId="33ECB3A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3044320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323526EA">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2FA79A6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5B1F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615545EC">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造价管理</w:t>
            </w:r>
          </w:p>
        </w:tc>
        <w:tc>
          <w:tcPr>
            <w:tcW w:w="1418" w:type="dxa"/>
            <w:vAlign w:val="center"/>
          </w:tcPr>
          <w:p w14:paraId="4D6347C1">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72A51F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2402F16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1CD51D5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B0F9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43236F2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质量管理</w:t>
            </w:r>
          </w:p>
        </w:tc>
        <w:tc>
          <w:tcPr>
            <w:tcW w:w="1418" w:type="dxa"/>
            <w:vAlign w:val="center"/>
          </w:tcPr>
          <w:p w14:paraId="2271E01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07133AA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33F1FBE5">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7FA7395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534F8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5661A8F9">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材料管理</w:t>
            </w:r>
          </w:p>
        </w:tc>
        <w:tc>
          <w:tcPr>
            <w:tcW w:w="1418" w:type="dxa"/>
            <w:vAlign w:val="center"/>
          </w:tcPr>
          <w:p w14:paraId="44B595D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CEE845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6F05FFC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7EF35AB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15DA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18FA9F9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计划管理</w:t>
            </w:r>
          </w:p>
        </w:tc>
        <w:tc>
          <w:tcPr>
            <w:tcW w:w="1418" w:type="dxa"/>
            <w:vAlign w:val="center"/>
          </w:tcPr>
          <w:p w14:paraId="382489E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074FBE4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7824B18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51869A3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EB72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tcBorders>
              <w:top w:val="single" w:color="auto" w:sz="6" w:space="0"/>
              <w:bottom w:val="single" w:color="auto" w:sz="6" w:space="0"/>
            </w:tcBorders>
            <w:vAlign w:val="center"/>
          </w:tcPr>
          <w:p w14:paraId="28DF72E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安全管理</w:t>
            </w:r>
          </w:p>
        </w:tc>
        <w:tc>
          <w:tcPr>
            <w:tcW w:w="1418" w:type="dxa"/>
            <w:vAlign w:val="center"/>
          </w:tcPr>
          <w:p w14:paraId="4B619D6D">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496B61B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3D66B28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2A3C654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CE0E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restart"/>
            <w:tcBorders>
              <w:top w:val="single" w:color="auto" w:sz="6" w:space="0"/>
            </w:tcBorders>
            <w:vAlign w:val="center"/>
          </w:tcPr>
          <w:p w14:paraId="3009B46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vAlign w:val="center"/>
          </w:tcPr>
          <w:p w14:paraId="5C0310C7">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E5699C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71EFA6A3">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3F7E9F0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7D51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0E80E13">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tcBorders>
              <w:bottom w:val="nil"/>
            </w:tcBorders>
            <w:vAlign w:val="center"/>
          </w:tcPr>
          <w:p w14:paraId="3F9D9678">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bottom w:val="nil"/>
            </w:tcBorders>
            <w:vAlign w:val="center"/>
          </w:tcPr>
          <w:p w14:paraId="0B239CA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bottom w:val="nil"/>
            </w:tcBorders>
            <w:vAlign w:val="center"/>
          </w:tcPr>
          <w:p w14:paraId="10D5ED92">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bottom w:val="nil"/>
            </w:tcBorders>
            <w:vAlign w:val="center"/>
          </w:tcPr>
          <w:p w14:paraId="13C2586F">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C51C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444C309">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699B04AE">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A97744B">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5F39BF31">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19DFFC1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6E41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6DF96A20">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4B10302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11C34A7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45BDC430">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386AD817">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7380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vAlign w:val="center"/>
          </w:tcPr>
          <w:p w14:paraId="733AA5E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vAlign w:val="center"/>
          </w:tcPr>
          <w:p w14:paraId="5AE345FF">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vAlign w:val="center"/>
          </w:tcPr>
          <w:p w14:paraId="6864FF66">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vAlign w:val="center"/>
          </w:tcPr>
          <w:p w14:paraId="134B2178">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vAlign w:val="center"/>
          </w:tcPr>
          <w:p w14:paraId="73F7108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74AD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71" w:type="dxa"/>
            <w:vMerge w:val="continue"/>
            <w:tcBorders>
              <w:bottom w:val="single" w:color="auto" w:sz="12" w:space="0"/>
            </w:tcBorders>
            <w:vAlign w:val="center"/>
          </w:tcPr>
          <w:p w14:paraId="521FFE1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tcBorders>
              <w:bottom w:val="single" w:color="auto" w:sz="12" w:space="0"/>
            </w:tcBorders>
            <w:vAlign w:val="center"/>
          </w:tcPr>
          <w:p w14:paraId="0597804B">
            <w:pPr>
              <w:pStyle w:val="505"/>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bottom w:val="single" w:color="auto" w:sz="12" w:space="0"/>
            </w:tcBorders>
            <w:vAlign w:val="center"/>
          </w:tcPr>
          <w:p w14:paraId="6A9545FC">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bottom w:val="single" w:color="auto" w:sz="12" w:space="0"/>
            </w:tcBorders>
            <w:vAlign w:val="center"/>
          </w:tcPr>
          <w:p w14:paraId="77BE709D">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bottom w:val="single" w:color="auto" w:sz="12" w:space="0"/>
            </w:tcBorders>
            <w:vAlign w:val="center"/>
          </w:tcPr>
          <w:p w14:paraId="3BECF034">
            <w:pPr>
              <w:pStyle w:val="505"/>
              <w:keepNext/>
              <w:adjustRightInd w:val="0"/>
              <w:spacing w:line="440" w:lineRule="exact"/>
              <w:ind w:left="63" w:leftChars="30" w:right="63" w:rightChars="30"/>
              <w:jc w:val="center"/>
              <w:textAlignment w:val="baseline"/>
              <w:rPr>
                <w:rFonts w:eastAsia="仿宋_GB2312"/>
                <w:color w:val="auto"/>
                <w:sz w:val="30"/>
                <w:szCs w:val="30"/>
                <w:highlight w:val="none"/>
              </w:rPr>
            </w:pPr>
          </w:p>
        </w:tc>
      </w:tr>
    </w:tbl>
    <w:p w14:paraId="6B792604">
      <w:pPr>
        <w:pStyle w:val="505"/>
        <w:spacing w:before="120" w:beforeLines="50" w:after="120" w:afterLines="50" w:line="440" w:lineRule="exact"/>
        <w:jc w:val="center"/>
        <w:rPr>
          <w:rFonts w:eastAsia="黑体"/>
          <w:color w:val="auto"/>
          <w:sz w:val="30"/>
          <w:szCs w:val="30"/>
          <w:highlight w:val="none"/>
        </w:rPr>
      </w:pPr>
    </w:p>
    <w:p w14:paraId="20E1859F">
      <w:pPr>
        <w:spacing w:before="120" w:beforeLines="50"/>
        <w:rPr>
          <w:rFonts w:eastAsia="仿宋_GB2312"/>
          <w:color w:val="auto"/>
          <w:sz w:val="30"/>
          <w:szCs w:val="30"/>
          <w:highlight w:val="none"/>
        </w:rPr>
      </w:pPr>
      <w:r>
        <w:rPr>
          <w:rFonts w:eastAsia="仿宋_GB2312"/>
          <w:color w:val="auto"/>
          <w:sz w:val="30"/>
          <w:szCs w:val="30"/>
          <w:highlight w:val="none"/>
        </w:rPr>
        <w:br w:type="page"/>
      </w:r>
      <w:r>
        <w:rPr>
          <w:rFonts w:hint="eastAsia" w:eastAsia="仿宋_GB2312"/>
          <w:color w:val="auto"/>
          <w:sz w:val="30"/>
          <w:szCs w:val="30"/>
          <w:highlight w:val="none"/>
        </w:rPr>
        <w:t>附件1：</w:t>
      </w:r>
    </w:p>
    <w:p w14:paraId="599FE4D5">
      <w:pPr>
        <w:jc w:val="center"/>
        <w:rPr>
          <w:b/>
          <w:color w:val="auto"/>
          <w:sz w:val="36"/>
          <w:szCs w:val="36"/>
          <w:highlight w:val="none"/>
        </w:rPr>
      </w:pPr>
      <w:r>
        <w:rPr>
          <w:rFonts w:hint="eastAsia"/>
          <w:b/>
          <w:color w:val="auto"/>
          <w:sz w:val="36"/>
          <w:szCs w:val="36"/>
          <w:highlight w:val="none"/>
        </w:rPr>
        <w:t>进度款支付申请（核准）表</w:t>
      </w:r>
    </w:p>
    <w:p w14:paraId="2CE43241">
      <w:pPr>
        <w:rPr>
          <w:color w:val="auto"/>
          <w:sz w:val="24"/>
          <w:highlight w:val="none"/>
        </w:rPr>
      </w:pPr>
      <w:r>
        <w:rPr>
          <w:rFonts w:hint="eastAsia"/>
          <w:color w:val="auto"/>
          <w:sz w:val="24"/>
          <w:highlight w:val="none"/>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2B7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4179AD20">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D81662C">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22E7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2728954">
                  <w:pPr>
                    <w:spacing w:line="280" w:lineRule="exact"/>
                    <w:jc w:val="center"/>
                    <w:rPr>
                      <w:color w:val="auto"/>
                      <w:highlight w:val="none"/>
                    </w:rPr>
                  </w:pPr>
                  <w:r>
                    <w:rPr>
                      <w:rFonts w:hint="eastAsia"/>
                      <w:color w:val="auto"/>
                      <w:highlight w:val="none"/>
                    </w:rPr>
                    <w:t>序号</w:t>
                  </w:r>
                </w:p>
              </w:tc>
              <w:tc>
                <w:tcPr>
                  <w:tcW w:w="3340" w:type="dxa"/>
                  <w:vAlign w:val="center"/>
                </w:tcPr>
                <w:p w14:paraId="3ABD3524">
                  <w:pPr>
                    <w:spacing w:line="280" w:lineRule="exact"/>
                    <w:jc w:val="center"/>
                    <w:rPr>
                      <w:color w:val="auto"/>
                      <w:highlight w:val="none"/>
                    </w:rPr>
                  </w:pPr>
                  <w:r>
                    <w:rPr>
                      <w:rFonts w:hint="eastAsia"/>
                      <w:color w:val="auto"/>
                      <w:highlight w:val="none"/>
                    </w:rPr>
                    <w:t>名      称</w:t>
                  </w:r>
                </w:p>
              </w:tc>
              <w:tc>
                <w:tcPr>
                  <w:tcW w:w="1340" w:type="dxa"/>
                  <w:vAlign w:val="center"/>
                </w:tcPr>
                <w:p w14:paraId="61B70A75">
                  <w:pPr>
                    <w:spacing w:line="280" w:lineRule="exact"/>
                    <w:jc w:val="center"/>
                    <w:rPr>
                      <w:color w:val="auto"/>
                      <w:highlight w:val="none"/>
                    </w:rPr>
                  </w:pPr>
                  <w:r>
                    <w:rPr>
                      <w:rFonts w:hint="eastAsia"/>
                      <w:color w:val="auto"/>
                      <w:highlight w:val="none"/>
                    </w:rPr>
                    <w:t>实际金额（元）</w:t>
                  </w:r>
                </w:p>
              </w:tc>
              <w:tc>
                <w:tcPr>
                  <w:tcW w:w="1440" w:type="dxa"/>
                  <w:vAlign w:val="center"/>
                </w:tcPr>
                <w:p w14:paraId="0B7B83E0">
                  <w:pPr>
                    <w:spacing w:line="280" w:lineRule="exact"/>
                    <w:jc w:val="center"/>
                    <w:rPr>
                      <w:color w:val="auto"/>
                      <w:highlight w:val="none"/>
                    </w:rPr>
                  </w:pPr>
                  <w:r>
                    <w:rPr>
                      <w:rFonts w:hint="eastAsia"/>
                      <w:color w:val="auto"/>
                      <w:highlight w:val="none"/>
                    </w:rPr>
                    <w:t>申请金额（元）</w:t>
                  </w:r>
                </w:p>
              </w:tc>
              <w:tc>
                <w:tcPr>
                  <w:tcW w:w="1260" w:type="dxa"/>
                  <w:vAlign w:val="center"/>
                </w:tcPr>
                <w:p w14:paraId="14DD44B0">
                  <w:pPr>
                    <w:spacing w:line="280" w:lineRule="exact"/>
                    <w:jc w:val="center"/>
                    <w:rPr>
                      <w:color w:val="auto"/>
                      <w:highlight w:val="none"/>
                    </w:rPr>
                  </w:pPr>
                  <w:r>
                    <w:rPr>
                      <w:rFonts w:hint="eastAsia"/>
                      <w:color w:val="auto"/>
                      <w:highlight w:val="none"/>
                    </w:rPr>
                    <w:t>复核金额（元）</w:t>
                  </w:r>
                </w:p>
              </w:tc>
              <w:tc>
                <w:tcPr>
                  <w:tcW w:w="931" w:type="dxa"/>
                  <w:vAlign w:val="center"/>
                </w:tcPr>
                <w:p w14:paraId="3B608FB6">
                  <w:pPr>
                    <w:spacing w:line="280" w:lineRule="exact"/>
                    <w:jc w:val="center"/>
                    <w:rPr>
                      <w:color w:val="auto"/>
                      <w:highlight w:val="none"/>
                    </w:rPr>
                  </w:pPr>
                  <w:r>
                    <w:rPr>
                      <w:rFonts w:hint="eastAsia"/>
                      <w:color w:val="auto"/>
                      <w:highlight w:val="none"/>
                    </w:rPr>
                    <w:t>备注</w:t>
                  </w:r>
                </w:p>
              </w:tc>
            </w:tr>
            <w:tr w14:paraId="6E58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8611D8C">
                  <w:pPr>
                    <w:spacing w:line="280" w:lineRule="exact"/>
                    <w:jc w:val="center"/>
                    <w:rPr>
                      <w:color w:val="auto"/>
                      <w:highlight w:val="none"/>
                    </w:rPr>
                  </w:pPr>
                  <w:r>
                    <w:rPr>
                      <w:rFonts w:hint="eastAsia"/>
                      <w:color w:val="auto"/>
                      <w:highlight w:val="none"/>
                    </w:rPr>
                    <w:t>1</w:t>
                  </w:r>
                </w:p>
              </w:tc>
              <w:tc>
                <w:tcPr>
                  <w:tcW w:w="3340" w:type="dxa"/>
                </w:tcPr>
                <w:p w14:paraId="5B62D78A">
                  <w:pPr>
                    <w:spacing w:line="280" w:lineRule="exact"/>
                    <w:rPr>
                      <w:color w:val="auto"/>
                      <w:highlight w:val="none"/>
                    </w:rPr>
                  </w:pPr>
                  <w:r>
                    <w:rPr>
                      <w:rFonts w:hint="eastAsia"/>
                      <w:color w:val="auto"/>
                      <w:highlight w:val="none"/>
                    </w:rPr>
                    <w:t>累计已完成的工程价款</w:t>
                  </w:r>
                </w:p>
              </w:tc>
              <w:tc>
                <w:tcPr>
                  <w:tcW w:w="1340" w:type="dxa"/>
                </w:tcPr>
                <w:p w14:paraId="5620758A">
                  <w:pPr>
                    <w:spacing w:line="280" w:lineRule="exact"/>
                    <w:rPr>
                      <w:color w:val="auto"/>
                      <w:highlight w:val="none"/>
                    </w:rPr>
                  </w:pPr>
                </w:p>
              </w:tc>
              <w:tc>
                <w:tcPr>
                  <w:tcW w:w="1440" w:type="dxa"/>
                </w:tcPr>
                <w:p w14:paraId="5040CD35">
                  <w:pPr>
                    <w:spacing w:line="280" w:lineRule="exact"/>
                    <w:rPr>
                      <w:color w:val="auto"/>
                      <w:highlight w:val="none"/>
                    </w:rPr>
                  </w:pPr>
                </w:p>
              </w:tc>
              <w:tc>
                <w:tcPr>
                  <w:tcW w:w="1260" w:type="dxa"/>
                </w:tcPr>
                <w:p w14:paraId="077F6BC9">
                  <w:pPr>
                    <w:spacing w:line="280" w:lineRule="exact"/>
                    <w:rPr>
                      <w:color w:val="auto"/>
                      <w:highlight w:val="none"/>
                    </w:rPr>
                  </w:pPr>
                </w:p>
              </w:tc>
              <w:tc>
                <w:tcPr>
                  <w:tcW w:w="931" w:type="dxa"/>
                </w:tcPr>
                <w:p w14:paraId="7C919C8B">
                  <w:pPr>
                    <w:spacing w:line="280" w:lineRule="exact"/>
                    <w:rPr>
                      <w:color w:val="auto"/>
                      <w:highlight w:val="none"/>
                    </w:rPr>
                  </w:pPr>
                </w:p>
              </w:tc>
            </w:tr>
            <w:tr w14:paraId="61E0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58EE4AD">
                  <w:pPr>
                    <w:spacing w:line="280" w:lineRule="exact"/>
                    <w:jc w:val="center"/>
                    <w:rPr>
                      <w:color w:val="auto"/>
                      <w:highlight w:val="none"/>
                    </w:rPr>
                  </w:pPr>
                </w:p>
              </w:tc>
              <w:tc>
                <w:tcPr>
                  <w:tcW w:w="3340" w:type="dxa"/>
                </w:tcPr>
                <w:p w14:paraId="49B0D80B">
                  <w:pPr>
                    <w:spacing w:line="280" w:lineRule="exact"/>
                    <w:rPr>
                      <w:color w:val="auto"/>
                      <w:highlight w:val="none"/>
                    </w:rPr>
                  </w:pPr>
                  <w:r>
                    <w:rPr>
                      <w:rFonts w:hint="eastAsia"/>
                      <w:color w:val="auto"/>
                      <w:highlight w:val="none"/>
                    </w:rPr>
                    <w:t>其中：人工费</w:t>
                  </w:r>
                </w:p>
              </w:tc>
              <w:tc>
                <w:tcPr>
                  <w:tcW w:w="1340" w:type="dxa"/>
                </w:tcPr>
                <w:p w14:paraId="02A9AA98">
                  <w:pPr>
                    <w:spacing w:line="280" w:lineRule="exact"/>
                    <w:rPr>
                      <w:color w:val="auto"/>
                      <w:highlight w:val="none"/>
                    </w:rPr>
                  </w:pPr>
                </w:p>
              </w:tc>
              <w:tc>
                <w:tcPr>
                  <w:tcW w:w="1440" w:type="dxa"/>
                </w:tcPr>
                <w:p w14:paraId="4F11DAC7">
                  <w:pPr>
                    <w:spacing w:line="280" w:lineRule="exact"/>
                    <w:rPr>
                      <w:color w:val="auto"/>
                      <w:highlight w:val="none"/>
                    </w:rPr>
                  </w:pPr>
                </w:p>
              </w:tc>
              <w:tc>
                <w:tcPr>
                  <w:tcW w:w="1260" w:type="dxa"/>
                </w:tcPr>
                <w:p w14:paraId="0458C852">
                  <w:pPr>
                    <w:spacing w:line="280" w:lineRule="exact"/>
                    <w:rPr>
                      <w:color w:val="auto"/>
                      <w:highlight w:val="none"/>
                    </w:rPr>
                  </w:pPr>
                </w:p>
              </w:tc>
              <w:tc>
                <w:tcPr>
                  <w:tcW w:w="931" w:type="dxa"/>
                </w:tcPr>
                <w:p w14:paraId="753324FB">
                  <w:pPr>
                    <w:spacing w:line="280" w:lineRule="exact"/>
                    <w:rPr>
                      <w:color w:val="auto"/>
                      <w:highlight w:val="none"/>
                    </w:rPr>
                  </w:pPr>
                </w:p>
              </w:tc>
            </w:tr>
            <w:tr w14:paraId="1CD3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3D9556E">
                  <w:pPr>
                    <w:spacing w:line="280" w:lineRule="exact"/>
                    <w:jc w:val="center"/>
                    <w:rPr>
                      <w:color w:val="auto"/>
                      <w:highlight w:val="none"/>
                    </w:rPr>
                  </w:pPr>
                  <w:r>
                    <w:rPr>
                      <w:rFonts w:hint="eastAsia"/>
                      <w:color w:val="auto"/>
                      <w:highlight w:val="none"/>
                    </w:rPr>
                    <w:t>2</w:t>
                  </w:r>
                </w:p>
              </w:tc>
              <w:tc>
                <w:tcPr>
                  <w:tcW w:w="3340" w:type="dxa"/>
                </w:tcPr>
                <w:p w14:paraId="7E78C647">
                  <w:pPr>
                    <w:spacing w:line="280" w:lineRule="exact"/>
                    <w:rPr>
                      <w:color w:val="auto"/>
                      <w:highlight w:val="none"/>
                    </w:rPr>
                  </w:pPr>
                  <w:r>
                    <w:rPr>
                      <w:rFonts w:hint="eastAsia"/>
                      <w:color w:val="auto"/>
                      <w:highlight w:val="none"/>
                    </w:rPr>
                    <w:t>累计已实际支付的工程价款</w:t>
                  </w:r>
                </w:p>
              </w:tc>
              <w:tc>
                <w:tcPr>
                  <w:tcW w:w="1340" w:type="dxa"/>
                </w:tcPr>
                <w:p w14:paraId="666D7C90">
                  <w:pPr>
                    <w:spacing w:line="280" w:lineRule="exact"/>
                    <w:rPr>
                      <w:color w:val="auto"/>
                      <w:highlight w:val="none"/>
                    </w:rPr>
                  </w:pPr>
                </w:p>
              </w:tc>
              <w:tc>
                <w:tcPr>
                  <w:tcW w:w="1440" w:type="dxa"/>
                </w:tcPr>
                <w:p w14:paraId="51762B13">
                  <w:pPr>
                    <w:spacing w:line="280" w:lineRule="exact"/>
                    <w:rPr>
                      <w:color w:val="auto"/>
                      <w:highlight w:val="none"/>
                    </w:rPr>
                  </w:pPr>
                </w:p>
              </w:tc>
              <w:tc>
                <w:tcPr>
                  <w:tcW w:w="1260" w:type="dxa"/>
                </w:tcPr>
                <w:p w14:paraId="684E5AD1">
                  <w:pPr>
                    <w:spacing w:line="280" w:lineRule="exact"/>
                    <w:rPr>
                      <w:color w:val="auto"/>
                      <w:highlight w:val="none"/>
                    </w:rPr>
                  </w:pPr>
                </w:p>
              </w:tc>
              <w:tc>
                <w:tcPr>
                  <w:tcW w:w="931" w:type="dxa"/>
                </w:tcPr>
                <w:p w14:paraId="28B6AC99">
                  <w:pPr>
                    <w:spacing w:line="280" w:lineRule="exact"/>
                    <w:rPr>
                      <w:color w:val="auto"/>
                      <w:highlight w:val="none"/>
                    </w:rPr>
                  </w:pPr>
                </w:p>
              </w:tc>
            </w:tr>
            <w:tr w14:paraId="35C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7676DA">
                  <w:pPr>
                    <w:spacing w:line="280" w:lineRule="exact"/>
                    <w:jc w:val="center"/>
                    <w:rPr>
                      <w:color w:val="auto"/>
                      <w:highlight w:val="none"/>
                    </w:rPr>
                  </w:pPr>
                </w:p>
              </w:tc>
              <w:tc>
                <w:tcPr>
                  <w:tcW w:w="3340" w:type="dxa"/>
                </w:tcPr>
                <w:p w14:paraId="746C623E">
                  <w:pPr>
                    <w:spacing w:line="280" w:lineRule="exact"/>
                    <w:rPr>
                      <w:color w:val="auto"/>
                      <w:highlight w:val="none"/>
                    </w:rPr>
                  </w:pPr>
                  <w:r>
                    <w:rPr>
                      <w:rFonts w:hint="eastAsia"/>
                      <w:color w:val="auto"/>
                      <w:highlight w:val="none"/>
                    </w:rPr>
                    <w:t>其中：人工费</w:t>
                  </w:r>
                </w:p>
              </w:tc>
              <w:tc>
                <w:tcPr>
                  <w:tcW w:w="1340" w:type="dxa"/>
                </w:tcPr>
                <w:p w14:paraId="0BD6A1B4">
                  <w:pPr>
                    <w:spacing w:line="280" w:lineRule="exact"/>
                    <w:rPr>
                      <w:color w:val="auto"/>
                      <w:highlight w:val="none"/>
                    </w:rPr>
                  </w:pPr>
                </w:p>
              </w:tc>
              <w:tc>
                <w:tcPr>
                  <w:tcW w:w="1440" w:type="dxa"/>
                </w:tcPr>
                <w:p w14:paraId="27E4BC9D">
                  <w:pPr>
                    <w:spacing w:line="280" w:lineRule="exact"/>
                    <w:rPr>
                      <w:color w:val="auto"/>
                      <w:highlight w:val="none"/>
                    </w:rPr>
                  </w:pPr>
                </w:p>
              </w:tc>
              <w:tc>
                <w:tcPr>
                  <w:tcW w:w="1260" w:type="dxa"/>
                </w:tcPr>
                <w:p w14:paraId="706F7569">
                  <w:pPr>
                    <w:spacing w:line="280" w:lineRule="exact"/>
                    <w:rPr>
                      <w:color w:val="auto"/>
                      <w:highlight w:val="none"/>
                    </w:rPr>
                  </w:pPr>
                </w:p>
              </w:tc>
              <w:tc>
                <w:tcPr>
                  <w:tcW w:w="931" w:type="dxa"/>
                </w:tcPr>
                <w:p w14:paraId="7F0067D2">
                  <w:pPr>
                    <w:spacing w:line="280" w:lineRule="exact"/>
                    <w:rPr>
                      <w:color w:val="auto"/>
                      <w:highlight w:val="none"/>
                    </w:rPr>
                  </w:pPr>
                </w:p>
              </w:tc>
            </w:tr>
            <w:tr w14:paraId="4E06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879A6D">
                  <w:pPr>
                    <w:spacing w:line="280" w:lineRule="exact"/>
                    <w:jc w:val="center"/>
                    <w:rPr>
                      <w:color w:val="auto"/>
                      <w:highlight w:val="none"/>
                    </w:rPr>
                  </w:pPr>
                  <w:r>
                    <w:rPr>
                      <w:rFonts w:hint="eastAsia"/>
                      <w:color w:val="auto"/>
                      <w:highlight w:val="none"/>
                    </w:rPr>
                    <w:t>3</w:t>
                  </w:r>
                </w:p>
              </w:tc>
              <w:tc>
                <w:tcPr>
                  <w:tcW w:w="3340" w:type="dxa"/>
                </w:tcPr>
                <w:p w14:paraId="7D039844">
                  <w:pPr>
                    <w:spacing w:line="280" w:lineRule="exact"/>
                    <w:rPr>
                      <w:color w:val="auto"/>
                      <w:highlight w:val="none"/>
                    </w:rPr>
                  </w:pPr>
                  <w:r>
                    <w:rPr>
                      <w:rFonts w:hint="eastAsia"/>
                      <w:color w:val="auto"/>
                      <w:highlight w:val="none"/>
                    </w:rPr>
                    <w:t>本周期已完成的工程价款</w:t>
                  </w:r>
                </w:p>
              </w:tc>
              <w:tc>
                <w:tcPr>
                  <w:tcW w:w="1340" w:type="dxa"/>
                </w:tcPr>
                <w:p w14:paraId="07C74B6F">
                  <w:pPr>
                    <w:spacing w:line="280" w:lineRule="exact"/>
                    <w:rPr>
                      <w:color w:val="auto"/>
                      <w:highlight w:val="none"/>
                    </w:rPr>
                  </w:pPr>
                </w:p>
              </w:tc>
              <w:tc>
                <w:tcPr>
                  <w:tcW w:w="1440" w:type="dxa"/>
                </w:tcPr>
                <w:p w14:paraId="276A41C5">
                  <w:pPr>
                    <w:spacing w:line="280" w:lineRule="exact"/>
                    <w:rPr>
                      <w:color w:val="auto"/>
                      <w:highlight w:val="none"/>
                    </w:rPr>
                  </w:pPr>
                </w:p>
              </w:tc>
              <w:tc>
                <w:tcPr>
                  <w:tcW w:w="1260" w:type="dxa"/>
                </w:tcPr>
                <w:p w14:paraId="3138B579">
                  <w:pPr>
                    <w:spacing w:line="280" w:lineRule="exact"/>
                    <w:rPr>
                      <w:color w:val="auto"/>
                      <w:highlight w:val="none"/>
                    </w:rPr>
                  </w:pPr>
                </w:p>
              </w:tc>
              <w:tc>
                <w:tcPr>
                  <w:tcW w:w="931" w:type="dxa"/>
                </w:tcPr>
                <w:p w14:paraId="192E8129">
                  <w:pPr>
                    <w:spacing w:line="280" w:lineRule="exact"/>
                    <w:rPr>
                      <w:color w:val="auto"/>
                      <w:highlight w:val="none"/>
                    </w:rPr>
                  </w:pPr>
                </w:p>
              </w:tc>
            </w:tr>
            <w:tr w14:paraId="5F42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E5F59D">
                  <w:pPr>
                    <w:spacing w:line="280" w:lineRule="exact"/>
                    <w:jc w:val="center"/>
                    <w:rPr>
                      <w:color w:val="auto"/>
                      <w:highlight w:val="none"/>
                    </w:rPr>
                  </w:pPr>
                </w:p>
              </w:tc>
              <w:tc>
                <w:tcPr>
                  <w:tcW w:w="3340" w:type="dxa"/>
                </w:tcPr>
                <w:p w14:paraId="0C78D450">
                  <w:pPr>
                    <w:spacing w:line="280" w:lineRule="exact"/>
                    <w:rPr>
                      <w:color w:val="auto"/>
                      <w:highlight w:val="none"/>
                    </w:rPr>
                  </w:pPr>
                  <w:r>
                    <w:rPr>
                      <w:rFonts w:hint="eastAsia"/>
                      <w:color w:val="auto"/>
                      <w:highlight w:val="none"/>
                    </w:rPr>
                    <w:t>其中：人工费</w:t>
                  </w:r>
                </w:p>
              </w:tc>
              <w:tc>
                <w:tcPr>
                  <w:tcW w:w="1340" w:type="dxa"/>
                </w:tcPr>
                <w:p w14:paraId="330FE3C2">
                  <w:pPr>
                    <w:spacing w:line="280" w:lineRule="exact"/>
                    <w:rPr>
                      <w:color w:val="auto"/>
                      <w:highlight w:val="none"/>
                    </w:rPr>
                  </w:pPr>
                </w:p>
              </w:tc>
              <w:tc>
                <w:tcPr>
                  <w:tcW w:w="1440" w:type="dxa"/>
                </w:tcPr>
                <w:p w14:paraId="5A905C3B">
                  <w:pPr>
                    <w:spacing w:line="280" w:lineRule="exact"/>
                    <w:rPr>
                      <w:color w:val="auto"/>
                      <w:highlight w:val="none"/>
                    </w:rPr>
                  </w:pPr>
                </w:p>
              </w:tc>
              <w:tc>
                <w:tcPr>
                  <w:tcW w:w="1260" w:type="dxa"/>
                </w:tcPr>
                <w:p w14:paraId="58AC0C85">
                  <w:pPr>
                    <w:spacing w:line="280" w:lineRule="exact"/>
                    <w:rPr>
                      <w:color w:val="auto"/>
                      <w:highlight w:val="none"/>
                    </w:rPr>
                  </w:pPr>
                </w:p>
              </w:tc>
              <w:tc>
                <w:tcPr>
                  <w:tcW w:w="931" w:type="dxa"/>
                </w:tcPr>
                <w:p w14:paraId="12570099">
                  <w:pPr>
                    <w:spacing w:line="280" w:lineRule="exact"/>
                    <w:rPr>
                      <w:color w:val="auto"/>
                      <w:highlight w:val="none"/>
                    </w:rPr>
                  </w:pPr>
                </w:p>
              </w:tc>
            </w:tr>
            <w:tr w14:paraId="2596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8FA487F">
                  <w:pPr>
                    <w:spacing w:line="280" w:lineRule="exact"/>
                    <w:jc w:val="center"/>
                    <w:rPr>
                      <w:color w:val="auto"/>
                      <w:highlight w:val="none"/>
                    </w:rPr>
                  </w:pPr>
                  <w:r>
                    <w:rPr>
                      <w:rFonts w:hint="eastAsia"/>
                      <w:color w:val="auto"/>
                      <w:highlight w:val="none"/>
                    </w:rPr>
                    <w:t>4</w:t>
                  </w:r>
                </w:p>
              </w:tc>
              <w:tc>
                <w:tcPr>
                  <w:tcW w:w="3340" w:type="dxa"/>
                </w:tcPr>
                <w:p w14:paraId="00D87CA7">
                  <w:pPr>
                    <w:spacing w:line="280" w:lineRule="exact"/>
                    <w:rPr>
                      <w:color w:val="auto"/>
                      <w:highlight w:val="none"/>
                    </w:rPr>
                  </w:pPr>
                  <w:r>
                    <w:rPr>
                      <w:rFonts w:hint="eastAsia"/>
                      <w:color w:val="auto"/>
                      <w:highlight w:val="none"/>
                    </w:rPr>
                    <w:t>本周期应扣减的金额</w:t>
                  </w:r>
                </w:p>
              </w:tc>
              <w:tc>
                <w:tcPr>
                  <w:tcW w:w="1340" w:type="dxa"/>
                </w:tcPr>
                <w:p w14:paraId="241487F2">
                  <w:pPr>
                    <w:spacing w:line="280" w:lineRule="exact"/>
                    <w:rPr>
                      <w:color w:val="auto"/>
                      <w:highlight w:val="none"/>
                    </w:rPr>
                  </w:pPr>
                </w:p>
              </w:tc>
              <w:tc>
                <w:tcPr>
                  <w:tcW w:w="1440" w:type="dxa"/>
                </w:tcPr>
                <w:p w14:paraId="7BFA5A44">
                  <w:pPr>
                    <w:spacing w:line="280" w:lineRule="exact"/>
                    <w:rPr>
                      <w:color w:val="auto"/>
                      <w:highlight w:val="none"/>
                    </w:rPr>
                  </w:pPr>
                </w:p>
              </w:tc>
              <w:tc>
                <w:tcPr>
                  <w:tcW w:w="1260" w:type="dxa"/>
                </w:tcPr>
                <w:p w14:paraId="306D49A6">
                  <w:pPr>
                    <w:spacing w:line="280" w:lineRule="exact"/>
                    <w:rPr>
                      <w:color w:val="auto"/>
                      <w:highlight w:val="none"/>
                    </w:rPr>
                  </w:pPr>
                </w:p>
              </w:tc>
              <w:tc>
                <w:tcPr>
                  <w:tcW w:w="931" w:type="dxa"/>
                </w:tcPr>
                <w:p w14:paraId="00B5F378">
                  <w:pPr>
                    <w:spacing w:line="280" w:lineRule="exact"/>
                    <w:rPr>
                      <w:color w:val="auto"/>
                      <w:highlight w:val="none"/>
                    </w:rPr>
                  </w:pPr>
                </w:p>
              </w:tc>
            </w:tr>
            <w:tr w14:paraId="670C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A4A532">
                  <w:pPr>
                    <w:spacing w:line="280" w:lineRule="exact"/>
                    <w:jc w:val="center"/>
                    <w:rPr>
                      <w:color w:val="auto"/>
                      <w:highlight w:val="none"/>
                    </w:rPr>
                  </w:pPr>
                  <w:r>
                    <w:rPr>
                      <w:rFonts w:hint="eastAsia"/>
                      <w:color w:val="auto"/>
                      <w:highlight w:val="none"/>
                    </w:rPr>
                    <w:t>4.1</w:t>
                  </w:r>
                </w:p>
              </w:tc>
              <w:tc>
                <w:tcPr>
                  <w:tcW w:w="3340" w:type="dxa"/>
                </w:tcPr>
                <w:p w14:paraId="072738FC">
                  <w:pPr>
                    <w:spacing w:line="280" w:lineRule="exact"/>
                    <w:rPr>
                      <w:color w:val="auto"/>
                      <w:highlight w:val="none"/>
                    </w:rPr>
                  </w:pPr>
                  <w:r>
                    <w:rPr>
                      <w:rFonts w:hint="eastAsia"/>
                      <w:color w:val="auto"/>
                      <w:highlight w:val="none"/>
                    </w:rPr>
                    <w:t>本周期实际应抵扣的预付款</w:t>
                  </w:r>
                </w:p>
              </w:tc>
              <w:tc>
                <w:tcPr>
                  <w:tcW w:w="1340" w:type="dxa"/>
                </w:tcPr>
                <w:p w14:paraId="6F20A0B3">
                  <w:pPr>
                    <w:spacing w:line="280" w:lineRule="exact"/>
                    <w:rPr>
                      <w:color w:val="auto"/>
                      <w:highlight w:val="none"/>
                    </w:rPr>
                  </w:pPr>
                </w:p>
              </w:tc>
              <w:tc>
                <w:tcPr>
                  <w:tcW w:w="1440" w:type="dxa"/>
                </w:tcPr>
                <w:p w14:paraId="694B9508">
                  <w:pPr>
                    <w:spacing w:line="280" w:lineRule="exact"/>
                    <w:rPr>
                      <w:color w:val="auto"/>
                      <w:highlight w:val="none"/>
                    </w:rPr>
                  </w:pPr>
                </w:p>
              </w:tc>
              <w:tc>
                <w:tcPr>
                  <w:tcW w:w="1260" w:type="dxa"/>
                </w:tcPr>
                <w:p w14:paraId="4FDB592D">
                  <w:pPr>
                    <w:spacing w:line="280" w:lineRule="exact"/>
                    <w:rPr>
                      <w:color w:val="auto"/>
                      <w:highlight w:val="none"/>
                    </w:rPr>
                  </w:pPr>
                </w:p>
              </w:tc>
              <w:tc>
                <w:tcPr>
                  <w:tcW w:w="931" w:type="dxa"/>
                </w:tcPr>
                <w:p w14:paraId="6FF93B95">
                  <w:pPr>
                    <w:spacing w:line="280" w:lineRule="exact"/>
                    <w:rPr>
                      <w:color w:val="auto"/>
                      <w:highlight w:val="none"/>
                    </w:rPr>
                  </w:pPr>
                </w:p>
              </w:tc>
            </w:tr>
            <w:tr w14:paraId="01A2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6B65ACC">
                  <w:pPr>
                    <w:spacing w:line="280" w:lineRule="exact"/>
                    <w:jc w:val="center"/>
                    <w:rPr>
                      <w:color w:val="auto"/>
                      <w:highlight w:val="none"/>
                    </w:rPr>
                  </w:pPr>
                  <w:r>
                    <w:rPr>
                      <w:rFonts w:hint="eastAsia"/>
                      <w:color w:val="auto"/>
                      <w:highlight w:val="none"/>
                    </w:rPr>
                    <w:t>4.2</w:t>
                  </w:r>
                </w:p>
              </w:tc>
              <w:tc>
                <w:tcPr>
                  <w:tcW w:w="3340" w:type="dxa"/>
                </w:tcPr>
                <w:p w14:paraId="4F850686">
                  <w:pPr>
                    <w:spacing w:line="280" w:lineRule="exact"/>
                    <w:rPr>
                      <w:color w:val="auto"/>
                      <w:highlight w:val="none"/>
                    </w:rPr>
                  </w:pPr>
                  <w:r>
                    <w:rPr>
                      <w:rFonts w:hint="eastAsia"/>
                      <w:color w:val="auto"/>
                      <w:highlight w:val="none"/>
                    </w:rPr>
                    <w:t>本周期应扣减的金额</w:t>
                  </w:r>
                </w:p>
              </w:tc>
              <w:tc>
                <w:tcPr>
                  <w:tcW w:w="1340" w:type="dxa"/>
                </w:tcPr>
                <w:p w14:paraId="25BDB6EB">
                  <w:pPr>
                    <w:spacing w:line="280" w:lineRule="exact"/>
                    <w:rPr>
                      <w:color w:val="auto"/>
                      <w:highlight w:val="none"/>
                    </w:rPr>
                  </w:pPr>
                </w:p>
              </w:tc>
              <w:tc>
                <w:tcPr>
                  <w:tcW w:w="1440" w:type="dxa"/>
                </w:tcPr>
                <w:p w14:paraId="62B15938">
                  <w:pPr>
                    <w:spacing w:line="280" w:lineRule="exact"/>
                    <w:rPr>
                      <w:color w:val="auto"/>
                      <w:highlight w:val="none"/>
                    </w:rPr>
                  </w:pPr>
                </w:p>
              </w:tc>
              <w:tc>
                <w:tcPr>
                  <w:tcW w:w="1260" w:type="dxa"/>
                </w:tcPr>
                <w:p w14:paraId="1FB9C2FC">
                  <w:pPr>
                    <w:spacing w:line="280" w:lineRule="exact"/>
                    <w:rPr>
                      <w:color w:val="auto"/>
                      <w:highlight w:val="none"/>
                    </w:rPr>
                  </w:pPr>
                </w:p>
              </w:tc>
              <w:tc>
                <w:tcPr>
                  <w:tcW w:w="931" w:type="dxa"/>
                </w:tcPr>
                <w:p w14:paraId="440680C9">
                  <w:pPr>
                    <w:spacing w:line="280" w:lineRule="exact"/>
                    <w:rPr>
                      <w:color w:val="auto"/>
                      <w:highlight w:val="none"/>
                    </w:rPr>
                  </w:pPr>
                </w:p>
              </w:tc>
            </w:tr>
            <w:tr w14:paraId="6791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5079651">
                  <w:pPr>
                    <w:spacing w:line="280" w:lineRule="exact"/>
                    <w:jc w:val="center"/>
                    <w:rPr>
                      <w:color w:val="auto"/>
                      <w:highlight w:val="none"/>
                    </w:rPr>
                  </w:pPr>
                  <w:r>
                    <w:rPr>
                      <w:rFonts w:hint="eastAsia"/>
                      <w:color w:val="auto"/>
                      <w:highlight w:val="none"/>
                    </w:rPr>
                    <w:t>5</w:t>
                  </w:r>
                </w:p>
              </w:tc>
              <w:tc>
                <w:tcPr>
                  <w:tcW w:w="3340" w:type="dxa"/>
                </w:tcPr>
                <w:p w14:paraId="3192E9E2">
                  <w:pPr>
                    <w:spacing w:line="280" w:lineRule="exact"/>
                    <w:rPr>
                      <w:color w:val="auto"/>
                      <w:highlight w:val="none"/>
                    </w:rPr>
                  </w:pPr>
                  <w:r>
                    <w:rPr>
                      <w:rFonts w:hint="eastAsia"/>
                      <w:color w:val="auto"/>
                      <w:highlight w:val="none"/>
                    </w:rPr>
                    <w:t>本周期应支付的合同价款</w:t>
                  </w:r>
                </w:p>
              </w:tc>
              <w:tc>
                <w:tcPr>
                  <w:tcW w:w="1340" w:type="dxa"/>
                </w:tcPr>
                <w:p w14:paraId="69E25648">
                  <w:pPr>
                    <w:spacing w:line="280" w:lineRule="exact"/>
                    <w:rPr>
                      <w:color w:val="auto"/>
                      <w:highlight w:val="none"/>
                    </w:rPr>
                  </w:pPr>
                </w:p>
              </w:tc>
              <w:tc>
                <w:tcPr>
                  <w:tcW w:w="1440" w:type="dxa"/>
                </w:tcPr>
                <w:p w14:paraId="2CC4A105">
                  <w:pPr>
                    <w:spacing w:line="280" w:lineRule="exact"/>
                    <w:rPr>
                      <w:color w:val="auto"/>
                      <w:highlight w:val="none"/>
                    </w:rPr>
                  </w:pPr>
                </w:p>
              </w:tc>
              <w:tc>
                <w:tcPr>
                  <w:tcW w:w="1260" w:type="dxa"/>
                </w:tcPr>
                <w:p w14:paraId="0A6316D2">
                  <w:pPr>
                    <w:spacing w:line="280" w:lineRule="exact"/>
                    <w:rPr>
                      <w:color w:val="auto"/>
                      <w:highlight w:val="none"/>
                    </w:rPr>
                  </w:pPr>
                </w:p>
              </w:tc>
              <w:tc>
                <w:tcPr>
                  <w:tcW w:w="931" w:type="dxa"/>
                </w:tcPr>
                <w:p w14:paraId="65F6D7A0">
                  <w:pPr>
                    <w:spacing w:line="280" w:lineRule="exact"/>
                    <w:rPr>
                      <w:color w:val="auto"/>
                      <w:highlight w:val="none"/>
                    </w:rPr>
                  </w:pPr>
                </w:p>
              </w:tc>
            </w:tr>
            <w:tr w14:paraId="4A04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3DDC8D">
                  <w:pPr>
                    <w:spacing w:line="280" w:lineRule="exact"/>
                    <w:jc w:val="center"/>
                    <w:rPr>
                      <w:color w:val="auto"/>
                      <w:highlight w:val="none"/>
                    </w:rPr>
                  </w:pPr>
                </w:p>
              </w:tc>
              <w:tc>
                <w:tcPr>
                  <w:tcW w:w="3340" w:type="dxa"/>
                </w:tcPr>
                <w:p w14:paraId="611C8C27">
                  <w:pPr>
                    <w:spacing w:line="280" w:lineRule="exact"/>
                    <w:rPr>
                      <w:color w:val="auto"/>
                      <w:highlight w:val="none"/>
                    </w:rPr>
                  </w:pPr>
                  <w:r>
                    <w:rPr>
                      <w:rFonts w:hint="eastAsia"/>
                      <w:color w:val="auto"/>
                      <w:highlight w:val="none"/>
                    </w:rPr>
                    <w:t>其中：人工费</w:t>
                  </w:r>
                </w:p>
              </w:tc>
              <w:tc>
                <w:tcPr>
                  <w:tcW w:w="1340" w:type="dxa"/>
                </w:tcPr>
                <w:p w14:paraId="0161B946">
                  <w:pPr>
                    <w:spacing w:line="280" w:lineRule="exact"/>
                    <w:rPr>
                      <w:color w:val="auto"/>
                      <w:highlight w:val="none"/>
                    </w:rPr>
                  </w:pPr>
                </w:p>
              </w:tc>
              <w:tc>
                <w:tcPr>
                  <w:tcW w:w="1440" w:type="dxa"/>
                </w:tcPr>
                <w:p w14:paraId="6571A692">
                  <w:pPr>
                    <w:spacing w:line="280" w:lineRule="exact"/>
                    <w:rPr>
                      <w:color w:val="auto"/>
                      <w:highlight w:val="none"/>
                    </w:rPr>
                  </w:pPr>
                </w:p>
              </w:tc>
              <w:tc>
                <w:tcPr>
                  <w:tcW w:w="1260" w:type="dxa"/>
                </w:tcPr>
                <w:p w14:paraId="0ED5D30B">
                  <w:pPr>
                    <w:spacing w:line="280" w:lineRule="exact"/>
                    <w:rPr>
                      <w:color w:val="auto"/>
                      <w:highlight w:val="none"/>
                    </w:rPr>
                  </w:pPr>
                </w:p>
              </w:tc>
              <w:tc>
                <w:tcPr>
                  <w:tcW w:w="931" w:type="dxa"/>
                </w:tcPr>
                <w:p w14:paraId="3A83494F">
                  <w:pPr>
                    <w:spacing w:line="280" w:lineRule="exact"/>
                    <w:rPr>
                      <w:color w:val="auto"/>
                      <w:highlight w:val="none"/>
                    </w:rPr>
                  </w:pPr>
                </w:p>
              </w:tc>
            </w:tr>
          </w:tbl>
          <w:p w14:paraId="3418C091">
            <w:pPr>
              <w:wordWrap w:val="0"/>
              <w:spacing w:line="400" w:lineRule="exact"/>
              <w:ind w:right="420"/>
              <w:rPr>
                <w:color w:val="auto"/>
                <w:highlight w:val="none"/>
              </w:rPr>
            </w:pPr>
            <w:r>
              <w:rPr>
                <w:rFonts w:hint="eastAsia"/>
                <w:color w:val="auto"/>
                <w:highlight w:val="none"/>
              </w:rPr>
              <w:t>附：上述3、4详见附件清单。</w:t>
            </w:r>
          </w:p>
          <w:p w14:paraId="24FC2327">
            <w:pPr>
              <w:wordWrap w:val="0"/>
              <w:spacing w:line="400" w:lineRule="exact"/>
              <w:ind w:right="420"/>
              <w:rPr>
                <w:color w:val="auto"/>
                <w:highlight w:val="none"/>
              </w:rPr>
            </w:pPr>
            <w:r>
              <w:rPr>
                <w:rFonts w:hint="eastAsia"/>
                <w:color w:val="auto"/>
                <w:highlight w:val="none"/>
              </w:rPr>
              <w:t xml:space="preserve">                                            承包人（章）             </w:t>
            </w:r>
          </w:p>
          <w:p w14:paraId="410351F7">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1CF5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4344AE28">
            <w:pPr>
              <w:spacing w:line="360" w:lineRule="exact"/>
              <w:rPr>
                <w:color w:val="auto"/>
                <w:highlight w:val="none"/>
              </w:rPr>
            </w:pPr>
            <w:r>
              <w:rPr>
                <w:rFonts w:hint="eastAsia"/>
                <w:color w:val="auto"/>
                <w:highlight w:val="none"/>
              </w:rPr>
              <w:t>复核意见：</w:t>
            </w:r>
          </w:p>
          <w:p w14:paraId="5980C3B9">
            <w:pPr>
              <w:spacing w:line="360" w:lineRule="exact"/>
              <w:ind w:firstLine="312"/>
              <w:rPr>
                <w:color w:val="auto"/>
                <w:highlight w:val="none"/>
              </w:rPr>
            </w:pPr>
            <w:r>
              <w:rPr>
                <w:rFonts w:hint="eastAsia"/>
                <w:color w:val="auto"/>
                <w:highlight w:val="none"/>
              </w:rPr>
              <w:t>□与实际施工情况不相符，修改意见见附件。</w:t>
            </w:r>
          </w:p>
          <w:p w14:paraId="72C98004">
            <w:pPr>
              <w:spacing w:line="360" w:lineRule="exact"/>
              <w:ind w:firstLine="312"/>
              <w:rPr>
                <w:color w:val="auto"/>
                <w:highlight w:val="none"/>
              </w:rPr>
            </w:pPr>
            <w:r>
              <w:rPr>
                <w:rFonts w:hint="eastAsia"/>
                <w:color w:val="auto"/>
                <w:highlight w:val="none"/>
              </w:rPr>
              <w:t>□与实际施工情况相符，具体金额由造价工程师复核。</w:t>
            </w:r>
          </w:p>
          <w:p w14:paraId="2472440D">
            <w:pPr>
              <w:spacing w:line="360" w:lineRule="exact"/>
              <w:ind w:firstLine="435"/>
              <w:jc w:val="right"/>
              <w:rPr>
                <w:color w:val="auto"/>
                <w:highlight w:val="none"/>
              </w:rPr>
            </w:pPr>
          </w:p>
          <w:p w14:paraId="27B899E9">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1DAA922D">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tcPr>
          <w:p w14:paraId="69B9E05C">
            <w:pPr>
              <w:spacing w:line="360" w:lineRule="exact"/>
              <w:rPr>
                <w:color w:val="auto"/>
                <w:highlight w:val="none"/>
              </w:rPr>
            </w:pPr>
            <w:r>
              <w:rPr>
                <w:rFonts w:hint="eastAsia"/>
                <w:color w:val="auto"/>
                <w:highlight w:val="none"/>
              </w:rPr>
              <w:t>复核意见：</w:t>
            </w:r>
          </w:p>
          <w:p w14:paraId="7D6B16D2">
            <w:pPr>
              <w:spacing w:line="360" w:lineRule="exact"/>
              <w:ind w:firstLine="435"/>
              <w:rPr>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14:paraId="597531EE">
            <w:pPr>
              <w:spacing w:line="360" w:lineRule="exact"/>
              <w:rPr>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111930A5">
            <w:pPr>
              <w:spacing w:line="360" w:lineRule="exact"/>
              <w:rPr>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5AF06BD9">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367885E5">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221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F16A09C">
            <w:pPr>
              <w:spacing w:line="400" w:lineRule="exact"/>
              <w:rPr>
                <w:color w:val="auto"/>
                <w:highlight w:val="none"/>
              </w:rPr>
            </w:pPr>
            <w:r>
              <w:rPr>
                <w:rFonts w:hint="eastAsia"/>
                <w:color w:val="auto"/>
                <w:highlight w:val="none"/>
              </w:rPr>
              <w:t>审核意见：</w:t>
            </w:r>
          </w:p>
          <w:p w14:paraId="77D676B0">
            <w:pPr>
              <w:spacing w:line="400" w:lineRule="exact"/>
              <w:ind w:firstLine="435"/>
              <w:rPr>
                <w:color w:val="auto"/>
                <w:highlight w:val="none"/>
              </w:rPr>
            </w:pPr>
            <w:r>
              <w:rPr>
                <w:rFonts w:hint="eastAsia"/>
                <w:color w:val="auto"/>
                <w:highlight w:val="none"/>
              </w:rPr>
              <w:t>□不同意。</w:t>
            </w:r>
          </w:p>
          <w:p w14:paraId="44CE00FD">
            <w:pPr>
              <w:spacing w:line="400" w:lineRule="exact"/>
              <w:ind w:firstLine="420" w:firstLineChars="200"/>
              <w:rPr>
                <w:color w:val="auto"/>
                <w:highlight w:val="none"/>
              </w:rPr>
            </w:pPr>
            <w:r>
              <w:rPr>
                <w:rFonts w:hint="eastAsia"/>
                <w:color w:val="auto"/>
                <w:highlight w:val="none"/>
              </w:rPr>
              <w:t>□同意，支付时间为本表签发后的15天内。</w:t>
            </w:r>
          </w:p>
          <w:p w14:paraId="54CCCD64">
            <w:pPr>
              <w:wordWrap w:val="0"/>
              <w:spacing w:line="400" w:lineRule="exact"/>
              <w:ind w:firstLine="420" w:firstLineChars="200"/>
              <w:jc w:val="right"/>
              <w:rPr>
                <w:color w:val="auto"/>
                <w:highlight w:val="none"/>
              </w:rPr>
            </w:pPr>
            <w:r>
              <w:rPr>
                <w:rFonts w:hint="eastAsia"/>
                <w:color w:val="auto"/>
                <w:highlight w:val="none"/>
              </w:rPr>
              <w:t xml:space="preserve">发包人（章）           </w:t>
            </w:r>
          </w:p>
          <w:p w14:paraId="013EC708">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52FEC83A">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3C4A7B37">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14:paraId="0B40378E">
      <w:pPr>
        <w:spacing w:before="120" w:beforeLines="50"/>
        <w:ind w:left="720" w:hanging="720" w:hangingChars="400"/>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57D25CB0">
      <w:pPr>
        <w:jc w:val="left"/>
        <w:rPr>
          <w:color w:val="auto"/>
          <w:sz w:val="30"/>
          <w:szCs w:val="30"/>
          <w:highlight w:val="none"/>
        </w:rPr>
      </w:pPr>
    </w:p>
    <w:p w14:paraId="76FF5ACF">
      <w:pPr>
        <w:jc w:val="left"/>
        <w:rPr>
          <w:color w:val="auto"/>
          <w:sz w:val="30"/>
          <w:szCs w:val="30"/>
          <w:highlight w:val="none"/>
        </w:rPr>
      </w:pPr>
    </w:p>
    <w:p w14:paraId="2A372EF4">
      <w:pPr>
        <w:jc w:val="left"/>
        <w:rPr>
          <w:color w:val="auto"/>
          <w:sz w:val="30"/>
          <w:szCs w:val="30"/>
          <w:highlight w:val="none"/>
        </w:rPr>
      </w:pPr>
      <w:r>
        <w:rPr>
          <w:rFonts w:hint="eastAsia"/>
          <w:color w:val="auto"/>
          <w:sz w:val="30"/>
          <w:szCs w:val="30"/>
          <w:highlight w:val="none"/>
        </w:rPr>
        <w:t>附件2</w:t>
      </w:r>
    </w:p>
    <w:p w14:paraId="189073A7">
      <w:pPr>
        <w:jc w:val="center"/>
        <w:rPr>
          <w:b/>
          <w:color w:val="auto"/>
          <w:sz w:val="36"/>
          <w:szCs w:val="36"/>
          <w:highlight w:val="none"/>
        </w:rPr>
      </w:pPr>
      <w:r>
        <w:rPr>
          <w:rFonts w:hint="eastAsia"/>
          <w:b/>
          <w:color w:val="auto"/>
          <w:sz w:val="36"/>
          <w:szCs w:val="36"/>
          <w:highlight w:val="none"/>
        </w:rPr>
        <w:t>竣工结算款支付申请（核准）表</w:t>
      </w:r>
    </w:p>
    <w:p w14:paraId="1FABFE95">
      <w:pPr>
        <w:rPr>
          <w:color w:val="auto"/>
          <w:sz w:val="24"/>
          <w:highlight w:val="none"/>
        </w:rPr>
      </w:pPr>
      <w:r>
        <w:rPr>
          <w:rFonts w:hint="eastAsia"/>
          <w:color w:val="auto"/>
          <w:sz w:val="24"/>
          <w:highlight w:val="none"/>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490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Pr>
          <w:p w14:paraId="007F6329">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255FD3D">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6DA3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323F378">
                  <w:pPr>
                    <w:spacing w:line="280" w:lineRule="exact"/>
                    <w:jc w:val="center"/>
                    <w:rPr>
                      <w:color w:val="auto"/>
                      <w:highlight w:val="none"/>
                    </w:rPr>
                  </w:pPr>
                  <w:r>
                    <w:rPr>
                      <w:rFonts w:hint="eastAsia"/>
                      <w:color w:val="auto"/>
                      <w:highlight w:val="none"/>
                    </w:rPr>
                    <w:t>序号</w:t>
                  </w:r>
                </w:p>
              </w:tc>
              <w:tc>
                <w:tcPr>
                  <w:tcW w:w="3420" w:type="dxa"/>
                  <w:vAlign w:val="center"/>
                </w:tcPr>
                <w:p w14:paraId="7409BC4A">
                  <w:pPr>
                    <w:spacing w:line="280" w:lineRule="exact"/>
                    <w:jc w:val="center"/>
                    <w:rPr>
                      <w:color w:val="auto"/>
                      <w:highlight w:val="none"/>
                    </w:rPr>
                  </w:pPr>
                  <w:r>
                    <w:rPr>
                      <w:rFonts w:hint="eastAsia"/>
                      <w:color w:val="auto"/>
                      <w:highlight w:val="none"/>
                    </w:rPr>
                    <w:t>名      称</w:t>
                  </w:r>
                </w:p>
              </w:tc>
              <w:tc>
                <w:tcPr>
                  <w:tcW w:w="1620" w:type="dxa"/>
                  <w:vAlign w:val="center"/>
                </w:tcPr>
                <w:p w14:paraId="5A22CB3A">
                  <w:pPr>
                    <w:spacing w:line="280" w:lineRule="exact"/>
                    <w:jc w:val="center"/>
                    <w:rPr>
                      <w:color w:val="auto"/>
                      <w:highlight w:val="none"/>
                    </w:rPr>
                  </w:pPr>
                  <w:r>
                    <w:rPr>
                      <w:rFonts w:hint="eastAsia"/>
                      <w:color w:val="auto"/>
                      <w:highlight w:val="none"/>
                    </w:rPr>
                    <w:t>申请金额（元）</w:t>
                  </w:r>
                </w:p>
              </w:tc>
              <w:tc>
                <w:tcPr>
                  <w:tcW w:w="1620" w:type="dxa"/>
                  <w:vAlign w:val="center"/>
                </w:tcPr>
                <w:p w14:paraId="65B7DA2A">
                  <w:pPr>
                    <w:spacing w:line="280" w:lineRule="exact"/>
                    <w:jc w:val="center"/>
                    <w:rPr>
                      <w:color w:val="auto"/>
                      <w:highlight w:val="none"/>
                    </w:rPr>
                  </w:pPr>
                  <w:r>
                    <w:rPr>
                      <w:rFonts w:hint="eastAsia"/>
                      <w:color w:val="auto"/>
                      <w:highlight w:val="none"/>
                    </w:rPr>
                    <w:t>复核金额（元）</w:t>
                  </w:r>
                </w:p>
              </w:tc>
              <w:tc>
                <w:tcPr>
                  <w:tcW w:w="1651" w:type="dxa"/>
                  <w:vAlign w:val="center"/>
                </w:tcPr>
                <w:p w14:paraId="17818176">
                  <w:pPr>
                    <w:spacing w:line="280" w:lineRule="exact"/>
                    <w:jc w:val="center"/>
                    <w:rPr>
                      <w:color w:val="auto"/>
                      <w:highlight w:val="none"/>
                    </w:rPr>
                  </w:pPr>
                  <w:r>
                    <w:rPr>
                      <w:rFonts w:hint="eastAsia"/>
                      <w:color w:val="auto"/>
                      <w:highlight w:val="none"/>
                    </w:rPr>
                    <w:t>备注</w:t>
                  </w:r>
                </w:p>
              </w:tc>
            </w:tr>
            <w:tr w14:paraId="174A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5907E2C">
                  <w:pPr>
                    <w:spacing w:line="280" w:lineRule="exact"/>
                    <w:jc w:val="center"/>
                    <w:rPr>
                      <w:color w:val="auto"/>
                      <w:highlight w:val="none"/>
                    </w:rPr>
                  </w:pPr>
                  <w:r>
                    <w:rPr>
                      <w:rFonts w:hint="eastAsia"/>
                      <w:color w:val="auto"/>
                      <w:highlight w:val="none"/>
                    </w:rPr>
                    <w:t>1</w:t>
                  </w:r>
                </w:p>
              </w:tc>
              <w:tc>
                <w:tcPr>
                  <w:tcW w:w="3420" w:type="dxa"/>
                </w:tcPr>
                <w:p w14:paraId="042B9A5C">
                  <w:pPr>
                    <w:spacing w:line="280" w:lineRule="exact"/>
                    <w:rPr>
                      <w:color w:val="auto"/>
                      <w:highlight w:val="none"/>
                    </w:rPr>
                  </w:pPr>
                  <w:r>
                    <w:rPr>
                      <w:rFonts w:hint="eastAsia"/>
                      <w:color w:val="auto"/>
                      <w:highlight w:val="none"/>
                    </w:rPr>
                    <w:t>竣工结算合同价款总额</w:t>
                  </w:r>
                </w:p>
              </w:tc>
              <w:tc>
                <w:tcPr>
                  <w:tcW w:w="1620" w:type="dxa"/>
                </w:tcPr>
                <w:p w14:paraId="34197252">
                  <w:pPr>
                    <w:spacing w:line="280" w:lineRule="exact"/>
                    <w:rPr>
                      <w:color w:val="auto"/>
                      <w:highlight w:val="none"/>
                    </w:rPr>
                  </w:pPr>
                </w:p>
              </w:tc>
              <w:tc>
                <w:tcPr>
                  <w:tcW w:w="1620" w:type="dxa"/>
                </w:tcPr>
                <w:p w14:paraId="2A78396D">
                  <w:pPr>
                    <w:spacing w:line="280" w:lineRule="exact"/>
                    <w:rPr>
                      <w:color w:val="auto"/>
                      <w:highlight w:val="none"/>
                    </w:rPr>
                  </w:pPr>
                </w:p>
              </w:tc>
              <w:tc>
                <w:tcPr>
                  <w:tcW w:w="1651" w:type="dxa"/>
                </w:tcPr>
                <w:p w14:paraId="46BC9F4E">
                  <w:pPr>
                    <w:spacing w:line="280" w:lineRule="exact"/>
                    <w:rPr>
                      <w:color w:val="auto"/>
                      <w:highlight w:val="none"/>
                    </w:rPr>
                  </w:pPr>
                </w:p>
              </w:tc>
            </w:tr>
            <w:tr w14:paraId="7C23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CE8885E">
                  <w:pPr>
                    <w:spacing w:line="280" w:lineRule="exact"/>
                    <w:jc w:val="center"/>
                    <w:rPr>
                      <w:color w:val="auto"/>
                      <w:highlight w:val="none"/>
                    </w:rPr>
                  </w:pPr>
                  <w:r>
                    <w:rPr>
                      <w:rFonts w:hint="eastAsia"/>
                      <w:color w:val="auto"/>
                      <w:highlight w:val="none"/>
                    </w:rPr>
                    <w:t>2</w:t>
                  </w:r>
                </w:p>
              </w:tc>
              <w:tc>
                <w:tcPr>
                  <w:tcW w:w="3420" w:type="dxa"/>
                </w:tcPr>
                <w:p w14:paraId="2F9731A4">
                  <w:pPr>
                    <w:spacing w:line="280" w:lineRule="exact"/>
                    <w:rPr>
                      <w:color w:val="auto"/>
                      <w:highlight w:val="none"/>
                    </w:rPr>
                  </w:pPr>
                  <w:r>
                    <w:rPr>
                      <w:rFonts w:hint="eastAsia"/>
                      <w:color w:val="auto"/>
                      <w:highlight w:val="none"/>
                    </w:rPr>
                    <w:t>累计已实际支付的合同价款</w:t>
                  </w:r>
                </w:p>
              </w:tc>
              <w:tc>
                <w:tcPr>
                  <w:tcW w:w="1620" w:type="dxa"/>
                </w:tcPr>
                <w:p w14:paraId="2B9B7467">
                  <w:pPr>
                    <w:spacing w:line="280" w:lineRule="exact"/>
                    <w:rPr>
                      <w:color w:val="auto"/>
                      <w:highlight w:val="none"/>
                    </w:rPr>
                  </w:pPr>
                </w:p>
              </w:tc>
              <w:tc>
                <w:tcPr>
                  <w:tcW w:w="1620" w:type="dxa"/>
                </w:tcPr>
                <w:p w14:paraId="0C7DE398">
                  <w:pPr>
                    <w:spacing w:line="280" w:lineRule="exact"/>
                    <w:rPr>
                      <w:color w:val="auto"/>
                      <w:highlight w:val="none"/>
                    </w:rPr>
                  </w:pPr>
                </w:p>
              </w:tc>
              <w:tc>
                <w:tcPr>
                  <w:tcW w:w="1651" w:type="dxa"/>
                </w:tcPr>
                <w:p w14:paraId="2857F2AC">
                  <w:pPr>
                    <w:spacing w:line="280" w:lineRule="exact"/>
                    <w:rPr>
                      <w:color w:val="auto"/>
                      <w:highlight w:val="none"/>
                    </w:rPr>
                  </w:pPr>
                </w:p>
              </w:tc>
            </w:tr>
            <w:tr w14:paraId="2EC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AE8C1C3">
                  <w:pPr>
                    <w:spacing w:line="280" w:lineRule="exact"/>
                    <w:jc w:val="center"/>
                    <w:rPr>
                      <w:color w:val="auto"/>
                      <w:highlight w:val="none"/>
                    </w:rPr>
                  </w:pPr>
                  <w:r>
                    <w:rPr>
                      <w:rFonts w:hint="eastAsia"/>
                      <w:color w:val="auto"/>
                      <w:highlight w:val="none"/>
                    </w:rPr>
                    <w:t>3</w:t>
                  </w:r>
                </w:p>
              </w:tc>
              <w:tc>
                <w:tcPr>
                  <w:tcW w:w="3420" w:type="dxa"/>
                </w:tcPr>
                <w:p w14:paraId="53A580FD">
                  <w:pPr>
                    <w:spacing w:line="280" w:lineRule="exact"/>
                    <w:rPr>
                      <w:color w:val="auto"/>
                      <w:highlight w:val="none"/>
                    </w:rPr>
                  </w:pPr>
                  <w:r>
                    <w:rPr>
                      <w:rFonts w:hint="eastAsia"/>
                      <w:color w:val="auto"/>
                      <w:highlight w:val="none"/>
                    </w:rPr>
                    <w:t>应预留的质量保证金</w:t>
                  </w:r>
                </w:p>
              </w:tc>
              <w:tc>
                <w:tcPr>
                  <w:tcW w:w="1620" w:type="dxa"/>
                </w:tcPr>
                <w:p w14:paraId="1887E993">
                  <w:pPr>
                    <w:spacing w:line="280" w:lineRule="exact"/>
                    <w:rPr>
                      <w:color w:val="auto"/>
                      <w:highlight w:val="none"/>
                    </w:rPr>
                  </w:pPr>
                </w:p>
              </w:tc>
              <w:tc>
                <w:tcPr>
                  <w:tcW w:w="1620" w:type="dxa"/>
                </w:tcPr>
                <w:p w14:paraId="6D54331D">
                  <w:pPr>
                    <w:spacing w:line="280" w:lineRule="exact"/>
                    <w:rPr>
                      <w:color w:val="auto"/>
                      <w:highlight w:val="none"/>
                    </w:rPr>
                  </w:pPr>
                </w:p>
              </w:tc>
              <w:tc>
                <w:tcPr>
                  <w:tcW w:w="1651" w:type="dxa"/>
                </w:tcPr>
                <w:p w14:paraId="02684B83">
                  <w:pPr>
                    <w:spacing w:line="280" w:lineRule="exact"/>
                    <w:rPr>
                      <w:color w:val="auto"/>
                      <w:highlight w:val="none"/>
                    </w:rPr>
                  </w:pPr>
                </w:p>
              </w:tc>
            </w:tr>
            <w:tr w14:paraId="2B3F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FA3F9D6">
                  <w:pPr>
                    <w:spacing w:line="280" w:lineRule="exact"/>
                    <w:jc w:val="center"/>
                    <w:rPr>
                      <w:color w:val="auto"/>
                      <w:highlight w:val="none"/>
                    </w:rPr>
                  </w:pPr>
                  <w:r>
                    <w:rPr>
                      <w:rFonts w:hint="eastAsia"/>
                      <w:color w:val="auto"/>
                      <w:highlight w:val="none"/>
                    </w:rPr>
                    <w:t>4</w:t>
                  </w:r>
                </w:p>
              </w:tc>
              <w:tc>
                <w:tcPr>
                  <w:tcW w:w="3420" w:type="dxa"/>
                </w:tcPr>
                <w:p w14:paraId="601701A9">
                  <w:pPr>
                    <w:spacing w:line="280" w:lineRule="exact"/>
                    <w:rPr>
                      <w:color w:val="auto"/>
                      <w:highlight w:val="none"/>
                    </w:rPr>
                  </w:pPr>
                  <w:r>
                    <w:rPr>
                      <w:rFonts w:hint="eastAsia"/>
                      <w:color w:val="auto"/>
                      <w:highlight w:val="none"/>
                    </w:rPr>
                    <w:t>应支付的竣工结算款金额</w:t>
                  </w:r>
                </w:p>
              </w:tc>
              <w:tc>
                <w:tcPr>
                  <w:tcW w:w="1620" w:type="dxa"/>
                </w:tcPr>
                <w:p w14:paraId="5A921DC5">
                  <w:pPr>
                    <w:spacing w:line="280" w:lineRule="exact"/>
                    <w:rPr>
                      <w:color w:val="auto"/>
                      <w:highlight w:val="none"/>
                    </w:rPr>
                  </w:pPr>
                </w:p>
              </w:tc>
              <w:tc>
                <w:tcPr>
                  <w:tcW w:w="1620" w:type="dxa"/>
                </w:tcPr>
                <w:p w14:paraId="58B2BFEE">
                  <w:pPr>
                    <w:spacing w:line="280" w:lineRule="exact"/>
                    <w:rPr>
                      <w:color w:val="auto"/>
                      <w:highlight w:val="none"/>
                    </w:rPr>
                  </w:pPr>
                </w:p>
              </w:tc>
              <w:tc>
                <w:tcPr>
                  <w:tcW w:w="1651" w:type="dxa"/>
                </w:tcPr>
                <w:p w14:paraId="1A8C46CF">
                  <w:pPr>
                    <w:spacing w:line="280" w:lineRule="exact"/>
                    <w:rPr>
                      <w:color w:val="auto"/>
                      <w:highlight w:val="none"/>
                    </w:rPr>
                  </w:pPr>
                </w:p>
              </w:tc>
            </w:tr>
            <w:tr w14:paraId="464D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7BFA00">
                  <w:pPr>
                    <w:spacing w:line="280" w:lineRule="exact"/>
                    <w:jc w:val="center"/>
                    <w:rPr>
                      <w:color w:val="auto"/>
                      <w:highlight w:val="none"/>
                    </w:rPr>
                  </w:pPr>
                </w:p>
              </w:tc>
              <w:tc>
                <w:tcPr>
                  <w:tcW w:w="3420" w:type="dxa"/>
                </w:tcPr>
                <w:p w14:paraId="67FBFBFE">
                  <w:pPr>
                    <w:spacing w:line="280" w:lineRule="exact"/>
                    <w:rPr>
                      <w:color w:val="auto"/>
                      <w:highlight w:val="none"/>
                    </w:rPr>
                  </w:pPr>
                </w:p>
              </w:tc>
              <w:tc>
                <w:tcPr>
                  <w:tcW w:w="1620" w:type="dxa"/>
                </w:tcPr>
                <w:p w14:paraId="00925974">
                  <w:pPr>
                    <w:spacing w:line="280" w:lineRule="exact"/>
                    <w:rPr>
                      <w:color w:val="auto"/>
                      <w:highlight w:val="none"/>
                    </w:rPr>
                  </w:pPr>
                </w:p>
              </w:tc>
              <w:tc>
                <w:tcPr>
                  <w:tcW w:w="1620" w:type="dxa"/>
                </w:tcPr>
                <w:p w14:paraId="7B9FF382">
                  <w:pPr>
                    <w:spacing w:line="280" w:lineRule="exact"/>
                    <w:rPr>
                      <w:color w:val="auto"/>
                      <w:highlight w:val="none"/>
                    </w:rPr>
                  </w:pPr>
                </w:p>
              </w:tc>
              <w:tc>
                <w:tcPr>
                  <w:tcW w:w="1651" w:type="dxa"/>
                </w:tcPr>
                <w:p w14:paraId="7510C616">
                  <w:pPr>
                    <w:spacing w:line="280" w:lineRule="exact"/>
                    <w:rPr>
                      <w:color w:val="auto"/>
                      <w:highlight w:val="none"/>
                    </w:rPr>
                  </w:pPr>
                </w:p>
              </w:tc>
            </w:tr>
            <w:tr w14:paraId="251A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6BCA6CA">
                  <w:pPr>
                    <w:spacing w:line="280" w:lineRule="exact"/>
                    <w:jc w:val="center"/>
                    <w:rPr>
                      <w:color w:val="auto"/>
                      <w:highlight w:val="none"/>
                    </w:rPr>
                  </w:pPr>
                </w:p>
              </w:tc>
              <w:tc>
                <w:tcPr>
                  <w:tcW w:w="3420" w:type="dxa"/>
                </w:tcPr>
                <w:p w14:paraId="0D390897">
                  <w:pPr>
                    <w:spacing w:line="280" w:lineRule="exact"/>
                    <w:rPr>
                      <w:color w:val="auto"/>
                      <w:highlight w:val="none"/>
                    </w:rPr>
                  </w:pPr>
                </w:p>
              </w:tc>
              <w:tc>
                <w:tcPr>
                  <w:tcW w:w="1620" w:type="dxa"/>
                </w:tcPr>
                <w:p w14:paraId="795B864F">
                  <w:pPr>
                    <w:spacing w:line="280" w:lineRule="exact"/>
                    <w:rPr>
                      <w:color w:val="auto"/>
                      <w:highlight w:val="none"/>
                    </w:rPr>
                  </w:pPr>
                </w:p>
              </w:tc>
              <w:tc>
                <w:tcPr>
                  <w:tcW w:w="1620" w:type="dxa"/>
                </w:tcPr>
                <w:p w14:paraId="05C34ED9">
                  <w:pPr>
                    <w:spacing w:line="280" w:lineRule="exact"/>
                    <w:rPr>
                      <w:color w:val="auto"/>
                      <w:highlight w:val="none"/>
                    </w:rPr>
                  </w:pPr>
                </w:p>
              </w:tc>
              <w:tc>
                <w:tcPr>
                  <w:tcW w:w="1651" w:type="dxa"/>
                </w:tcPr>
                <w:p w14:paraId="6C733E30">
                  <w:pPr>
                    <w:spacing w:line="280" w:lineRule="exact"/>
                    <w:rPr>
                      <w:color w:val="auto"/>
                      <w:highlight w:val="none"/>
                    </w:rPr>
                  </w:pPr>
                </w:p>
              </w:tc>
            </w:tr>
            <w:tr w14:paraId="2BA0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8D5EAC">
                  <w:pPr>
                    <w:spacing w:line="280" w:lineRule="exact"/>
                    <w:jc w:val="center"/>
                    <w:rPr>
                      <w:color w:val="auto"/>
                      <w:highlight w:val="none"/>
                    </w:rPr>
                  </w:pPr>
                </w:p>
              </w:tc>
              <w:tc>
                <w:tcPr>
                  <w:tcW w:w="3420" w:type="dxa"/>
                </w:tcPr>
                <w:p w14:paraId="22D21C86">
                  <w:pPr>
                    <w:spacing w:line="280" w:lineRule="exact"/>
                    <w:rPr>
                      <w:color w:val="auto"/>
                      <w:highlight w:val="none"/>
                    </w:rPr>
                  </w:pPr>
                </w:p>
              </w:tc>
              <w:tc>
                <w:tcPr>
                  <w:tcW w:w="1620" w:type="dxa"/>
                </w:tcPr>
                <w:p w14:paraId="5C49D479">
                  <w:pPr>
                    <w:spacing w:line="280" w:lineRule="exact"/>
                    <w:rPr>
                      <w:color w:val="auto"/>
                      <w:highlight w:val="none"/>
                    </w:rPr>
                  </w:pPr>
                </w:p>
              </w:tc>
              <w:tc>
                <w:tcPr>
                  <w:tcW w:w="1620" w:type="dxa"/>
                </w:tcPr>
                <w:p w14:paraId="0D15ACD7">
                  <w:pPr>
                    <w:spacing w:line="280" w:lineRule="exact"/>
                    <w:rPr>
                      <w:color w:val="auto"/>
                      <w:highlight w:val="none"/>
                    </w:rPr>
                  </w:pPr>
                </w:p>
              </w:tc>
              <w:tc>
                <w:tcPr>
                  <w:tcW w:w="1651" w:type="dxa"/>
                </w:tcPr>
                <w:p w14:paraId="7B611E91">
                  <w:pPr>
                    <w:spacing w:line="280" w:lineRule="exact"/>
                    <w:rPr>
                      <w:color w:val="auto"/>
                      <w:highlight w:val="none"/>
                    </w:rPr>
                  </w:pPr>
                </w:p>
              </w:tc>
            </w:tr>
            <w:tr w14:paraId="525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56562">
                  <w:pPr>
                    <w:spacing w:line="280" w:lineRule="exact"/>
                    <w:jc w:val="center"/>
                    <w:rPr>
                      <w:color w:val="auto"/>
                      <w:highlight w:val="none"/>
                    </w:rPr>
                  </w:pPr>
                </w:p>
              </w:tc>
              <w:tc>
                <w:tcPr>
                  <w:tcW w:w="3420" w:type="dxa"/>
                </w:tcPr>
                <w:p w14:paraId="385EF459">
                  <w:pPr>
                    <w:spacing w:line="280" w:lineRule="exact"/>
                    <w:rPr>
                      <w:color w:val="auto"/>
                      <w:highlight w:val="none"/>
                    </w:rPr>
                  </w:pPr>
                </w:p>
              </w:tc>
              <w:tc>
                <w:tcPr>
                  <w:tcW w:w="1620" w:type="dxa"/>
                </w:tcPr>
                <w:p w14:paraId="5B47C61B">
                  <w:pPr>
                    <w:spacing w:line="280" w:lineRule="exact"/>
                    <w:rPr>
                      <w:color w:val="auto"/>
                      <w:highlight w:val="none"/>
                    </w:rPr>
                  </w:pPr>
                </w:p>
              </w:tc>
              <w:tc>
                <w:tcPr>
                  <w:tcW w:w="1620" w:type="dxa"/>
                </w:tcPr>
                <w:p w14:paraId="43750BC0">
                  <w:pPr>
                    <w:spacing w:line="280" w:lineRule="exact"/>
                    <w:rPr>
                      <w:color w:val="auto"/>
                      <w:highlight w:val="none"/>
                    </w:rPr>
                  </w:pPr>
                </w:p>
              </w:tc>
              <w:tc>
                <w:tcPr>
                  <w:tcW w:w="1651" w:type="dxa"/>
                </w:tcPr>
                <w:p w14:paraId="330BA562">
                  <w:pPr>
                    <w:spacing w:line="280" w:lineRule="exact"/>
                    <w:rPr>
                      <w:color w:val="auto"/>
                      <w:highlight w:val="none"/>
                    </w:rPr>
                  </w:pPr>
                </w:p>
              </w:tc>
            </w:tr>
            <w:tr w14:paraId="72D7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3F656E9">
                  <w:pPr>
                    <w:spacing w:line="280" w:lineRule="exact"/>
                    <w:jc w:val="center"/>
                    <w:rPr>
                      <w:color w:val="auto"/>
                      <w:highlight w:val="none"/>
                    </w:rPr>
                  </w:pPr>
                </w:p>
              </w:tc>
              <w:tc>
                <w:tcPr>
                  <w:tcW w:w="3420" w:type="dxa"/>
                </w:tcPr>
                <w:p w14:paraId="22E63445">
                  <w:pPr>
                    <w:spacing w:line="280" w:lineRule="exact"/>
                    <w:rPr>
                      <w:color w:val="auto"/>
                      <w:highlight w:val="none"/>
                    </w:rPr>
                  </w:pPr>
                </w:p>
              </w:tc>
              <w:tc>
                <w:tcPr>
                  <w:tcW w:w="1620" w:type="dxa"/>
                </w:tcPr>
                <w:p w14:paraId="47A3340B">
                  <w:pPr>
                    <w:spacing w:line="280" w:lineRule="exact"/>
                    <w:rPr>
                      <w:color w:val="auto"/>
                      <w:highlight w:val="none"/>
                    </w:rPr>
                  </w:pPr>
                </w:p>
              </w:tc>
              <w:tc>
                <w:tcPr>
                  <w:tcW w:w="1620" w:type="dxa"/>
                </w:tcPr>
                <w:p w14:paraId="0E0C4A51">
                  <w:pPr>
                    <w:spacing w:line="280" w:lineRule="exact"/>
                    <w:rPr>
                      <w:color w:val="auto"/>
                      <w:highlight w:val="none"/>
                    </w:rPr>
                  </w:pPr>
                </w:p>
              </w:tc>
              <w:tc>
                <w:tcPr>
                  <w:tcW w:w="1651" w:type="dxa"/>
                </w:tcPr>
                <w:p w14:paraId="02D8305D">
                  <w:pPr>
                    <w:spacing w:line="280" w:lineRule="exact"/>
                    <w:rPr>
                      <w:color w:val="auto"/>
                      <w:highlight w:val="none"/>
                    </w:rPr>
                  </w:pPr>
                </w:p>
              </w:tc>
            </w:tr>
          </w:tbl>
          <w:p w14:paraId="30E23124">
            <w:pPr>
              <w:spacing w:line="400" w:lineRule="exact"/>
              <w:ind w:right="420"/>
              <w:rPr>
                <w:color w:val="auto"/>
                <w:highlight w:val="none"/>
              </w:rPr>
            </w:pPr>
          </w:p>
          <w:p w14:paraId="356F7BB0">
            <w:pPr>
              <w:spacing w:line="400" w:lineRule="exact"/>
              <w:ind w:right="420" w:firstLine="435"/>
              <w:jc w:val="center"/>
              <w:rPr>
                <w:color w:val="auto"/>
                <w:highlight w:val="none"/>
              </w:rPr>
            </w:pPr>
            <w:r>
              <w:rPr>
                <w:rFonts w:hint="eastAsia"/>
                <w:color w:val="auto"/>
                <w:highlight w:val="none"/>
              </w:rPr>
              <w:t xml:space="preserve">                                            承包人（章）             </w:t>
            </w:r>
          </w:p>
          <w:p w14:paraId="327074B9">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639A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102635F3">
            <w:pPr>
              <w:spacing w:line="360" w:lineRule="exact"/>
              <w:rPr>
                <w:color w:val="auto"/>
                <w:highlight w:val="none"/>
              </w:rPr>
            </w:pPr>
            <w:r>
              <w:rPr>
                <w:rFonts w:hint="eastAsia"/>
                <w:color w:val="auto"/>
                <w:highlight w:val="none"/>
              </w:rPr>
              <w:t>复核意见：</w:t>
            </w:r>
          </w:p>
          <w:p w14:paraId="5E1E37DD">
            <w:pPr>
              <w:spacing w:line="360" w:lineRule="exact"/>
              <w:ind w:firstLine="312"/>
              <w:rPr>
                <w:color w:val="auto"/>
                <w:highlight w:val="none"/>
              </w:rPr>
            </w:pPr>
            <w:r>
              <w:rPr>
                <w:rFonts w:hint="eastAsia"/>
                <w:color w:val="auto"/>
                <w:highlight w:val="none"/>
              </w:rPr>
              <w:t>□与实际施工情况不相符，修改意见见附件。</w:t>
            </w:r>
          </w:p>
          <w:p w14:paraId="59EA571B">
            <w:pPr>
              <w:spacing w:line="360" w:lineRule="exact"/>
              <w:ind w:firstLine="312"/>
              <w:rPr>
                <w:color w:val="auto"/>
                <w:highlight w:val="none"/>
              </w:rPr>
            </w:pPr>
            <w:r>
              <w:rPr>
                <w:rFonts w:hint="eastAsia"/>
                <w:color w:val="auto"/>
                <w:highlight w:val="none"/>
              </w:rPr>
              <w:t>□与实际施工情况相符，具体金额由造价工程师复核。</w:t>
            </w:r>
          </w:p>
          <w:p w14:paraId="65C7E41A">
            <w:pPr>
              <w:spacing w:line="360" w:lineRule="exact"/>
              <w:ind w:firstLine="435"/>
              <w:jc w:val="right"/>
              <w:rPr>
                <w:color w:val="auto"/>
                <w:highlight w:val="none"/>
              </w:rPr>
            </w:pPr>
          </w:p>
          <w:p w14:paraId="191E33CA">
            <w:pPr>
              <w:spacing w:line="360" w:lineRule="exact"/>
              <w:ind w:firstLine="435"/>
              <w:jc w:val="right"/>
              <w:rPr>
                <w:color w:val="auto"/>
                <w:highlight w:val="none"/>
              </w:rPr>
            </w:pPr>
          </w:p>
          <w:p w14:paraId="1844B723">
            <w:pPr>
              <w:spacing w:line="360" w:lineRule="exact"/>
              <w:ind w:firstLine="435"/>
              <w:jc w:val="center"/>
              <w:rPr>
                <w:color w:val="auto"/>
                <w:highlight w:val="none"/>
              </w:rPr>
            </w:pPr>
            <w:r>
              <w:rPr>
                <w:color w:val="auto"/>
                <w:highlight w:val="none"/>
              </w:rPr>
              <w:t xml:space="preserve">    </w:t>
            </w:r>
            <w:r>
              <w:rPr>
                <w:rFonts w:hint="eastAsia"/>
                <w:color w:val="auto"/>
                <w:highlight w:val="none"/>
              </w:rPr>
              <w:t xml:space="preserve">     </w:t>
            </w:r>
          </w:p>
          <w:p w14:paraId="24E6F212">
            <w:pPr>
              <w:spacing w:line="360" w:lineRule="exact"/>
              <w:ind w:firstLine="435"/>
              <w:jc w:val="center"/>
              <w:rPr>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207DE438">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tcPr>
          <w:p w14:paraId="3D3F797F">
            <w:pPr>
              <w:spacing w:line="360" w:lineRule="exact"/>
              <w:rPr>
                <w:color w:val="auto"/>
                <w:highlight w:val="none"/>
              </w:rPr>
            </w:pPr>
            <w:r>
              <w:rPr>
                <w:rFonts w:hint="eastAsia"/>
                <w:color w:val="auto"/>
                <w:highlight w:val="none"/>
              </w:rPr>
              <w:t>复核意见：</w:t>
            </w:r>
          </w:p>
          <w:p w14:paraId="0F4E2BA1">
            <w:pPr>
              <w:spacing w:line="360" w:lineRule="exact"/>
              <w:ind w:firstLine="435"/>
              <w:rPr>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6B8FD0F6">
            <w:pPr>
              <w:spacing w:line="360" w:lineRule="exact"/>
              <w:ind w:firstLine="435"/>
              <w:jc w:val="center"/>
              <w:rPr>
                <w:color w:val="auto"/>
                <w:highlight w:val="none"/>
              </w:rPr>
            </w:pPr>
            <w:r>
              <w:rPr>
                <w:color w:val="auto"/>
                <w:highlight w:val="none"/>
              </w:rPr>
              <w:t xml:space="preserve">    </w:t>
            </w:r>
          </w:p>
          <w:p w14:paraId="2C9409B0">
            <w:pPr>
              <w:spacing w:line="360" w:lineRule="exact"/>
              <w:ind w:firstLine="435"/>
              <w:jc w:val="center"/>
              <w:rPr>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09CB22CF">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AAE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93D10EB">
            <w:pPr>
              <w:spacing w:line="400" w:lineRule="exact"/>
              <w:rPr>
                <w:color w:val="auto"/>
                <w:highlight w:val="none"/>
              </w:rPr>
            </w:pPr>
            <w:r>
              <w:rPr>
                <w:rFonts w:hint="eastAsia"/>
                <w:color w:val="auto"/>
                <w:highlight w:val="none"/>
              </w:rPr>
              <w:t>审核意见：</w:t>
            </w:r>
          </w:p>
          <w:p w14:paraId="0A439778">
            <w:pPr>
              <w:spacing w:line="400" w:lineRule="exact"/>
              <w:ind w:firstLine="435"/>
              <w:rPr>
                <w:color w:val="auto"/>
                <w:highlight w:val="none"/>
              </w:rPr>
            </w:pPr>
            <w:r>
              <w:rPr>
                <w:rFonts w:hint="eastAsia"/>
                <w:color w:val="auto"/>
                <w:highlight w:val="none"/>
              </w:rPr>
              <w:t>□不同意。</w:t>
            </w:r>
          </w:p>
          <w:p w14:paraId="239D0705">
            <w:pPr>
              <w:spacing w:line="400" w:lineRule="exact"/>
              <w:ind w:firstLine="420" w:firstLineChars="200"/>
              <w:rPr>
                <w:color w:val="auto"/>
                <w:highlight w:val="none"/>
              </w:rPr>
            </w:pPr>
            <w:r>
              <w:rPr>
                <w:rFonts w:hint="eastAsia"/>
                <w:color w:val="auto"/>
                <w:highlight w:val="none"/>
              </w:rPr>
              <w:t>□同意，支付时间为本表签发后的15天内。</w:t>
            </w:r>
          </w:p>
          <w:p w14:paraId="091BD7A9">
            <w:pPr>
              <w:wordWrap w:val="0"/>
              <w:spacing w:line="400" w:lineRule="exact"/>
              <w:ind w:firstLine="420" w:firstLineChars="200"/>
              <w:jc w:val="right"/>
              <w:rPr>
                <w:color w:val="auto"/>
                <w:highlight w:val="none"/>
              </w:rPr>
            </w:pPr>
            <w:r>
              <w:rPr>
                <w:rFonts w:hint="eastAsia"/>
                <w:color w:val="auto"/>
                <w:highlight w:val="none"/>
              </w:rPr>
              <w:t xml:space="preserve">发包人（章）           </w:t>
            </w:r>
          </w:p>
          <w:p w14:paraId="7639E3EB">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3EECD3A8">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1A8F87E9">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14:paraId="5B320548">
      <w:pPr>
        <w:spacing w:before="120" w:beforeLines="50"/>
        <w:ind w:left="720" w:hanging="720" w:hangingChars="400"/>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44255D93">
      <w:pPr>
        <w:ind w:right="360"/>
        <w:rPr>
          <w:color w:val="auto"/>
          <w:sz w:val="18"/>
          <w:szCs w:val="18"/>
          <w:highlight w:val="none"/>
        </w:rPr>
      </w:pPr>
      <w:r>
        <w:rPr>
          <w:rFonts w:hint="eastAsia"/>
          <w:color w:val="auto"/>
          <w:sz w:val="18"/>
          <w:szCs w:val="18"/>
          <w:highlight w:val="none"/>
        </w:rPr>
        <w:t xml:space="preserve">                                                                                            </w:t>
      </w:r>
    </w:p>
    <w:p w14:paraId="1165430F">
      <w:pPr>
        <w:ind w:right="360"/>
        <w:rPr>
          <w:rFonts w:hAnsi="宋体" w:cs="宋体"/>
          <w:color w:val="auto"/>
          <w:sz w:val="30"/>
          <w:szCs w:val="30"/>
          <w:highlight w:val="none"/>
        </w:rPr>
      </w:pPr>
    </w:p>
    <w:p w14:paraId="7FA63F9C">
      <w:pPr>
        <w:ind w:right="360"/>
        <w:rPr>
          <w:b/>
          <w:color w:val="auto"/>
          <w:sz w:val="30"/>
          <w:szCs w:val="30"/>
          <w:highlight w:val="none"/>
        </w:rPr>
      </w:pPr>
      <w:r>
        <w:rPr>
          <w:rFonts w:hint="eastAsia" w:hAnsi="宋体" w:cs="宋体"/>
          <w:color w:val="auto"/>
          <w:sz w:val="30"/>
          <w:szCs w:val="30"/>
          <w:highlight w:val="none"/>
        </w:rPr>
        <w:t>附件3：</w:t>
      </w:r>
    </w:p>
    <w:p w14:paraId="2C572069">
      <w:pPr>
        <w:jc w:val="center"/>
        <w:rPr>
          <w:b/>
          <w:color w:val="auto"/>
          <w:sz w:val="36"/>
          <w:szCs w:val="36"/>
          <w:highlight w:val="none"/>
        </w:rPr>
      </w:pPr>
      <w:r>
        <w:rPr>
          <w:rFonts w:hint="eastAsia"/>
          <w:b/>
          <w:color w:val="auto"/>
          <w:sz w:val="36"/>
          <w:szCs w:val="36"/>
          <w:highlight w:val="none"/>
        </w:rPr>
        <w:t>最终结算款支付申请（核准）表</w:t>
      </w:r>
    </w:p>
    <w:p w14:paraId="32D43733">
      <w:pPr>
        <w:rPr>
          <w:color w:val="auto"/>
          <w:sz w:val="24"/>
          <w:highlight w:val="none"/>
        </w:rPr>
      </w:pPr>
      <w:r>
        <w:rPr>
          <w:rFonts w:hint="eastAsia"/>
          <w:color w:val="auto"/>
          <w:sz w:val="24"/>
          <w:highlight w:val="none"/>
        </w:rPr>
        <w:t>工程名称：                                             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3A53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Pr>
          <w:p w14:paraId="462DA5A3">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051DF792">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7B40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EDAC3D0">
                  <w:pPr>
                    <w:spacing w:line="280" w:lineRule="exact"/>
                    <w:jc w:val="center"/>
                    <w:rPr>
                      <w:color w:val="auto"/>
                      <w:highlight w:val="none"/>
                    </w:rPr>
                  </w:pPr>
                  <w:r>
                    <w:rPr>
                      <w:rFonts w:hint="eastAsia"/>
                      <w:color w:val="auto"/>
                      <w:highlight w:val="none"/>
                    </w:rPr>
                    <w:t>序号</w:t>
                  </w:r>
                </w:p>
              </w:tc>
              <w:tc>
                <w:tcPr>
                  <w:tcW w:w="3420" w:type="dxa"/>
                  <w:vAlign w:val="center"/>
                </w:tcPr>
                <w:p w14:paraId="7758AF7B">
                  <w:pPr>
                    <w:spacing w:line="280" w:lineRule="exact"/>
                    <w:jc w:val="center"/>
                    <w:rPr>
                      <w:color w:val="auto"/>
                      <w:highlight w:val="none"/>
                    </w:rPr>
                  </w:pPr>
                  <w:r>
                    <w:rPr>
                      <w:rFonts w:hint="eastAsia"/>
                      <w:color w:val="auto"/>
                      <w:highlight w:val="none"/>
                    </w:rPr>
                    <w:t>名      称</w:t>
                  </w:r>
                </w:p>
              </w:tc>
              <w:tc>
                <w:tcPr>
                  <w:tcW w:w="1620" w:type="dxa"/>
                  <w:vAlign w:val="center"/>
                </w:tcPr>
                <w:p w14:paraId="6B08606C">
                  <w:pPr>
                    <w:spacing w:line="280" w:lineRule="exact"/>
                    <w:jc w:val="center"/>
                    <w:rPr>
                      <w:color w:val="auto"/>
                      <w:highlight w:val="none"/>
                    </w:rPr>
                  </w:pPr>
                  <w:r>
                    <w:rPr>
                      <w:rFonts w:hint="eastAsia"/>
                      <w:color w:val="auto"/>
                      <w:highlight w:val="none"/>
                    </w:rPr>
                    <w:t>申请金额（元）</w:t>
                  </w:r>
                </w:p>
              </w:tc>
              <w:tc>
                <w:tcPr>
                  <w:tcW w:w="1620" w:type="dxa"/>
                  <w:vAlign w:val="center"/>
                </w:tcPr>
                <w:p w14:paraId="18F44C6D">
                  <w:pPr>
                    <w:spacing w:line="280" w:lineRule="exact"/>
                    <w:jc w:val="center"/>
                    <w:rPr>
                      <w:color w:val="auto"/>
                      <w:highlight w:val="none"/>
                    </w:rPr>
                  </w:pPr>
                  <w:r>
                    <w:rPr>
                      <w:rFonts w:hint="eastAsia"/>
                      <w:color w:val="auto"/>
                      <w:highlight w:val="none"/>
                    </w:rPr>
                    <w:t>复核金额（元）</w:t>
                  </w:r>
                </w:p>
              </w:tc>
              <w:tc>
                <w:tcPr>
                  <w:tcW w:w="1651" w:type="dxa"/>
                  <w:vAlign w:val="center"/>
                </w:tcPr>
                <w:p w14:paraId="386477E9">
                  <w:pPr>
                    <w:spacing w:line="280" w:lineRule="exact"/>
                    <w:jc w:val="center"/>
                    <w:rPr>
                      <w:color w:val="auto"/>
                      <w:highlight w:val="none"/>
                    </w:rPr>
                  </w:pPr>
                  <w:r>
                    <w:rPr>
                      <w:rFonts w:hint="eastAsia"/>
                      <w:color w:val="auto"/>
                      <w:highlight w:val="none"/>
                    </w:rPr>
                    <w:t>备注</w:t>
                  </w:r>
                </w:p>
              </w:tc>
            </w:tr>
            <w:tr w14:paraId="696E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674DB6">
                  <w:pPr>
                    <w:spacing w:line="280" w:lineRule="exact"/>
                    <w:jc w:val="center"/>
                    <w:rPr>
                      <w:color w:val="auto"/>
                      <w:highlight w:val="none"/>
                    </w:rPr>
                  </w:pPr>
                  <w:r>
                    <w:rPr>
                      <w:rFonts w:hint="eastAsia"/>
                      <w:color w:val="auto"/>
                      <w:highlight w:val="none"/>
                    </w:rPr>
                    <w:t>1</w:t>
                  </w:r>
                </w:p>
              </w:tc>
              <w:tc>
                <w:tcPr>
                  <w:tcW w:w="3420" w:type="dxa"/>
                </w:tcPr>
                <w:p w14:paraId="77606E92">
                  <w:pPr>
                    <w:spacing w:line="280" w:lineRule="exact"/>
                    <w:rPr>
                      <w:color w:val="auto"/>
                      <w:highlight w:val="none"/>
                    </w:rPr>
                  </w:pPr>
                  <w:r>
                    <w:rPr>
                      <w:rFonts w:hint="eastAsia"/>
                      <w:color w:val="auto"/>
                      <w:highlight w:val="none"/>
                    </w:rPr>
                    <w:t>已预留的质量保证金</w:t>
                  </w:r>
                </w:p>
              </w:tc>
              <w:tc>
                <w:tcPr>
                  <w:tcW w:w="1620" w:type="dxa"/>
                </w:tcPr>
                <w:p w14:paraId="40B25826">
                  <w:pPr>
                    <w:spacing w:line="280" w:lineRule="exact"/>
                    <w:rPr>
                      <w:color w:val="auto"/>
                      <w:highlight w:val="none"/>
                    </w:rPr>
                  </w:pPr>
                </w:p>
              </w:tc>
              <w:tc>
                <w:tcPr>
                  <w:tcW w:w="1620" w:type="dxa"/>
                </w:tcPr>
                <w:p w14:paraId="0F8287B4">
                  <w:pPr>
                    <w:spacing w:line="280" w:lineRule="exact"/>
                    <w:rPr>
                      <w:color w:val="auto"/>
                      <w:highlight w:val="none"/>
                    </w:rPr>
                  </w:pPr>
                </w:p>
              </w:tc>
              <w:tc>
                <w:tcPr>
                  <w:tcW w:w="1651" w:type="dxa"/>
                </w:tcPr>
                <w:p w14:paraId="4079739B">
                  <w:pPr>
                    <w:spacing w:line="280" w:lineRule="exact"/>
                    <w:rPr>
                      <w:color w:val="auto"/>
                      <w:highlight w:val="none"/>
                    </w:rPr>
                  </w:pPr>
                </w:p>
              </w:tc>
            </w:tr>
            <w:tr w14:paraId="5C9E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62A720B">
                  <w:pPr>
                    <w:spacing w:line="280" w:lineRule="exact"/>
                    <w:jc w:val="center"/>
                    <w:rPr>
                      <w:color w:val="auto"/>
                      <w:highlight w:val="none"/>
                    </w:rPr>
                  </w:pPr>
                  <w:r>
                    <w:rPr>
                      <w:rFonts w:hint="eastAsia"/>
                      <w:color w:val="auto"/>
                      <w:highlight w:val="none"/>
                    </w:rPr>
                    <w:t>2</w:t>
                  </w:r>
                </w:p>
              </w:tc>
              <w:tc>
                <w:tcPr>
                  <w:tcW w:w="3420" w:type="dxa"/>
                </w:tcPr>
                <w:p w14:paraId="4997D270">
                  <w:pPr>
                    <w:spacing w:line="280" w:lineRule="exact"/>
                    <w:rPr>
                      <w:color w:val="auto"/>
                      <w:highlight w:val="none"/>
                    </w:rPr>
                  </w:pPr>
                  <w:r>
                    <w:rPr>
                      <w:rFonts w:hint="eastAsia"/>
                      <w:color w:val="auto"/>
                      <w:highlight w:val="none"/>
                    </w:rPr>
                    <w:t>应增加因发包人原因造成缺陷的修复金额</w:t>
                  </w:r>
                </w:p>
              </w:tc>
              <w:tc>
                <w:tcPr>
                  <w:tcW w:w="1620" w:type="dxa"/>
                </w:tcPr>
                <w:p w14:paraId="4C024C53">
                  <w:pPr>
                    <w:spacing w:line="280" w:lineRule="exact"/>
                    <w:rPr>
                      <w:color w:val="auto"/>
                      <w:highlight w:val="none"/>
                    </w:rPr>
                  </w:pPr>
                </w:p>
              </w:tc>
              <w:tc>
                <w:tcPr>
                  <w:tcW w:w="1620" w:type="dxa"/>
                </w:tcPr>
                <w:p w14:paraId="7CDF6AEB">
                  <w:pPr>
                    <w:spacing w:line="280" w:lineRule="exact"/>
                    <w:rPr>
                      <w:color w:val="auto"/>
                      <w:highlight w:val="none"/>
                    </w:rPr>
                  </w:pPr>
                </w:p>
              </w:tc>
              <w:tc>
                <w:tcPr>
                  <w:tcW w:w="1651" w:type="dxa"/>
                </w:tcPr>
                <w:p w14:paraId="4A246520">
                  <w:pPr>
                    <w:spacing w:line="280" w:lineRule="exact"/>
                    <w:rPr>
                      <w:color w:val="auto"/>
                      <w:highlight w:val="none"/>
                    </w:rPr>
                  </w:pPr>
                </w:p>
              </w:tc>
            </w:tr>
            <w:tr w14:paraId="6F2D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A2FD957">
                  <w:pPr>
                    <w:spacing w:line="280" w:lineRule="exact"/>
                    <w:jc w:val="center"/>
                    <w:rPr>
                      <w:color w:val="auto"/>
                      <w:highlight w:val="none"/>
                    </w:rPr>
                  </w:pPr>
                  <w:r>
                    <w:rPr>
                      <w:rFonts w:hint="eastAsia"/>
                      <w:color w:val="auto"/>
                      <w:highlight w:val="none"/>
                    </w:rPr>
                    <w:t>3</w:t>
                  </w:r>
                </w:p>
              </w:tc>
              <w:tc>
                <w:tcPr>
                  <w:tcW w:w="3420" w:type="dxa"/>
                </w:tcPr>
                <w:p w14:paraId="1AD49345">
                  <w:pPr>
                    <w:spacing w:line="280" w:lineRule="exact"/>
                    <w:rPr>
                      <w:color w:val="auto"/>
                      <w:highlight w:val="none"/>
                    </w:rPr>
                  </w:pPr>
                  <w:r>
                    <w:rPr>
                      <w:rFonts w:hint="eastAsia"/>
                      <w:color w:val="auto"/>
                      <w:highlight w:val="none"/>
                    </w:rPr>
                    <w:t>应扣减承包人不修复缺陷、发包人组织修复的金额</w:t>
                  </w:r>
                </w:p>
              </w:tc>
              <w:tc>
                <w:tcPr>
                  <w:tcW w:w="1620" w:type="dxa"/>
                </w:tcPr>
                <w:p w14:paraId="24D08596">
                  <w:pPr>
                    <w:spacing w:line="280" w:lineRule="exact"/>
                    <w:rPr>
                      <w:color w:val="auto"/>
                      <w:highlight w:val="none"/>
                    </w:rPr>
                  </w:pPr>
                </w:p>
              </w:tc>
              <w:tc>
                <w:tcPr>
                  <w:tcW w:w="1620" w:type="dxa"/>
                </w:tcPr>
                <w:p w14:paraId="02D77512">
                  <w:pPr>
                    <w:spacing w:line="280" w:lineRule="exact"/>
                    <w:rPr>
                      <w:color w:val="auto"/>
                      <w:highlight w:val="none"/>
                    </w:rPr>
                  </w:pPr>
                </w:p>
              </w:tc>
              <w:tc>
                <w:tcPr>
                  <w:tcW w:w="1651" w:type="dxa"/>
                </w:tcPr>
                <w:p w14:paraId="75BC1BFD">
                  <w:pPr>
                    <w:spacing w:line="280" w:lineRule="exact"/>
                    <w:rPr>
                      <w:color w:val="auto"/>
                      <w:highlight w:val="none"/>
                    </w:rPr>
                  </w:pPr>
                </w:p>
              </w:tc>
            </w:tr>
            <w:tr w14:paraId="7B49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78FFE6">
                  <w:pPr>
                    <w:spacing w:line="280" w:lineRule="exact"/>
                    <w:jc w:val="center"/>
                    <w:rPr>
                      <w:color w:val="auto"/>
                      <w:highlight w:val="none"/>
                    </w:rPr>
                  </w:pPr>
                  <w:r>
                    <w:rPr>
                      <w:rFonts w:hint="eastAsia"/>
                      <w:color w:val="auto"/>
                      <w:highlight w:val="none"/>
                    </w:rPr>
                    <w:t>4</w:t>
                  </w:r>
                </w:p>
              </w:tc>
              <w:tc>
                <w:tcPr>
                  <w:tcW w:w="3420" w:type="dxa"/>
                </w:tcPr>
                <w:p w14:paraId="01E19029">
                  <w:pPr>
                    <w:spacing w:line="280" w:lineRule="exact"/>
                    <w:rPr>
                      <w:color w:val="auto"/>
                      <w:highlight w:val="none"/>
                    </w:rPr>
                  </w:pPr>
                  <w:r>
                    <w:rPr>
                      <w:rFonts w:hint="eastAsia"/>
                      <w:color w:val="auto"/>
                      <w:highlight w:val="none"/>
                    </w:rPr>
                    <w:t>最终应支付的合同价款</w:t>
                  </w:r>
                </w:p>
              </w:tc>
              <w:tc>
                <w:tcPr>
                  <w:tcW w:w="1620" w:type="dxa"/>
                </w:tcPr>
                <w:p w14:paraId="4AF83674">
                  <w:pPr>
                    <w:spacing w:line="280" w:lineRule="exact"/>
                    <w:rPr>
                      <w:color w:val="auto"/>
                      <w:highlight w:val="none"/>
                    </w:rPr>
                  </w:pPr>
                </w:p>
              </w:tc>
              <w:tc>
                <w:tcPr>
                  <w:tcW w:w="1620" w:type="dxa"/>
                </w:tcPr>
                <w:p w14:paraId="5284E63F">
                  <w:pPr>
                    <w:spacing w:line="280" w:lineRule="exact"/>
                    <w:rPr>
                      <w:color w:val="auto"/>
                      <w:highlight w:val="none"/>
                    </w:rPr>
                  </w:pPr>
                </w:p>
              </w:tc>
              <w:tc>
                <w:tcPr>
                  <w:tcW w:w="1651" w:type="dxa"/>
                </w:tcPr>
                <w:p w14:paraId="05BE7AE7">
                  <w:pPr>
                    <w:spacing w:line="280" w:lineRule="exact"/>
                    <w:rPr>
                      <w:color w:val="auto"/>
                      <w:highlight w:val="none"/>
                    </w:rPr>
                  </w:pPr>
                </w:p>
              </w:tc>
            </w:tr>
            <w:tr w14:paraId="0AE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C352F41">
                  <w:pPr>
                    <w:spacing w:line="280" w:lineRule="exact"/>
                    <w:jc w:val="center"/>
                    <w:rPr>
                      <w:color w:val="auto"/>
                      <w:highlight w:val="none"/>
                    </w:rPr>
                  </w:pPr>
                </w:p>
              </w:tc>
              <w:tc>
                <w:tcPr>
                  <w:tcW w:w="3420" w:type="dxa"/>
                </w:tcPr>
                <w:p w14:paraId="6DB49345">
                  <w:pPr>
                    <w:spacing w:line="280" w:lineRule="exact"/>
                    <w:rPr>
                      <w:color w:val="auto"/>
                      <w:highlight w:val="none"/>
                    </w:rPr>
                  </w:pPr>
                </w:p>
              </w:tc>
              <w:tc>
                <w:tcPr>
                  <w:tcW w:w="1620" w:type="dxa"/>
                </w:tcPr>
                <w:p w14:paraId="20D383F1">
                  <w:pPr>
                    <w:spacing w:line="280" w:lineRule="exact"/>
                    <w:rPr>
                      <w:color w:val="auto"/>
                      <w:highlight w:val="none"/>
                    </w:rPr>
                  </w:pPr>
                </w:p>
              </w:tc>
              <w:tc>
                <w:tcPr>
                  <w:tcW w:w="1620" w:type="dxa"/>
                </w:tcPr>
                <w:p w14:paraId="0A2C7A36">
                  <w:pPr>
                    <w:spacing w:line="280" w:lineRule="exact"/>
                    <w:rPr>
                      <w:color w:val="auto"/>
                      <w:highlight w:val="none"/>
                    </w:rPr>
                  </w:pPr>
                </w:p>
              </w:tc>
              <w:tc>
                <w:tcPr>
                  <w:tcW w:w="1651" w:type="dxa"/>
                </w:tcPr>
                <w:p w14:paraId="64ABDA0F">
                  <w:pPr>
                    <w:spacing w:line="280" w:lineRule="exact"/>
                    <w:rPr>
                      <w:color w:val="auto"/>
                      <w:highlight w:val="none"/>
                    </w:rPr>
                  </w:pPr>
                </w:p>
              </w:tc>
            </w:tr>
            <w:tr w14:paraId="7E03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54A3DBC">
                  <w:pPr>
                    <w:spacing w:line="280" w:lineRule="exact"/>
                    <w:jc w:val="center"/>
                    <w:rPr>
                      <w:color w:val="auto"/>
                      <w:highlight w:val="none"/>
                    </w:rPr>
                  </w:pPr>
                </w:p>
              </w:tc>
              <w:tc>
                <w:tcPr>
                  <w:tcW w:w="3420" w:type="dxa"/>
                </w:tcPr>
                <w:p w14:paraId="6C3303E2">
                  <w:pPr>
                    <w:spacing w:line="280" w:lineRule="exact"/>
                    <w:rPr>
                      <w:color w:val="auto"/>
                      <w:highlight w:val="none"/>
                    </w:rPr>
                  </w:pPr>
                </w:p>
              </w:tc>
              <w:tc>
                <w:tcPr>
                  <w:tcW w:w="1620" w:type="dxa"/>
                </w:tcPr>
                <w:p w14:paraId="40CBFFB5">
                  <w:pPr>
                    <w:spacing w:line="280" w:lineRule="exact"/>
                    <w:rPr>
                      <w:color w:val="auto"/>
                      <w:highlight w:val="none"/>
                    </w:rPr>
                  </w:pPr>
                </w:p>
              </w:tc>
              <w:tc>
                <w:tcPr>
                  <w:tcW w:w="1620" w:type="dxa"/>
                </w:tcPr>
                <w:p w14:paraId="32BD5BEA">
                  <w:pPr>
                    <w:spacing w:line="280" w:lineRule="exact"/>
                    <w:rPr>
                      <w:color w:val="auto"/>
                      <w:highlight w:val="none"/>
                    </w:rPr>
                  </w:pPr>
                </w:p>
              </w:tc>
              <w:tc>
                <w:tcPr>
                  <w:tcW w:w="1651" w:type="dxa"/>
                </w:tcPr>
                <w:p w14:paraId="20DBD2A3">
                  <w:pPr>
                    <w:spacing w:line="280" w:lineRule="exact"/>
                    <w:rPr>
                      <w:color w:val="auto"/>
                      <w:highlight w:val="none"/>
                    </w:rPr>
                  </w:pPr>
                </w:p>
              </w:tc>
            </w:tr>
          </w:tbl>
          <w:p w14:paraId="7F9AFF56">
            <w:pPr>
              <w:spacing w:line="400" w:lineRule="exact"/>
              <w:ind w:right="420" w:firstLine="435"/>
              <w:jc w:val="center"/>
              <w:rPr>
                <w:color w:val="auto"/>
                <w:highlight w:val="none"/>
              </w:rPr>
            </w:pPr>
            <w:r>
              <w:rPr>
                <w:rFonts w:hint="eastAsia"/>
                <w:color w:val="auto"/>
                <w:highlight w:val="none"/>
              </w:rPr>
              <w:t xml:space="preserve">                                            承包人（章）             </w:t>
            </w:r>
          </w:p>
          <w:p w14:paraId="18EC9FD0">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7B57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Pr>
          <w:p w14:paraId="1CD21A10">
            <w:pPr>
              <w:spacing w:line="360" w:lineRule="exact"/>
              <w:rPr>
                <w:color w:val="auto"/>
                <w:highlight w:val="none"/>
              </w:rPr>
            </w:pPr>
            <w:r>
              <w:rPr>
                <w:rFonts w:hint="eastAsia"/>
                <w:color w:val="auto"/>
                <w:highlight w:val="none"/>
              </w:rPr>
              <w:t>复核意见：</w:t>
            </w:r>
          </w:p>
          <w:p w14:paraId="23BF1633">
            <w:pPr>
              <w:spacing w:line="360" w:lineRule="exact"/>
              <w:ind w:firstLine="312"/>
              <w:rPr>
                <w:color w:val="auto"/>
                <w:highlight w:val="none"/>
              </w:rPr>
            </w:pPr>
            <w:r>
              <w:rPr>
                <w:rFonts w:hint="eastAsia"/>
                <w:color w:val="auto"/>
                <w:highlight w:val="none"/>
              </w:rPr>
              <w:t>□与实际施工情况不相符，修改意见见附件。</w:t>
            </w:r>
          </w:p>
          <w:p w14:paraId="7DF6A937">
            <w:pPr>
              <w:spacing w:line="360" w:lineRule="exact"/>
              <w:ind w:firstLine="312"/>
              <w:rPr>
                <w:color w:val="auto"/>
                <w:highlight w:val="none"/>
              </w:rPr>
            </w:pPr>
            <w:r>
              <w:rPr>
                <w:rFonts w:hint="eastAsia"/>
                <w:color w:val="auto"/>
                <w:highlight w:val="none"/>
              </w:rPr>
              <w:t>□与实际施工情况相符，具体金额由造价工程师复核。</w:t>
            </w:r>
          </w:p>
          <w:p w14:paraId="39E2ECA4">
            <w:pPr>
              <w:spacing w:line="360" w:lineRule="exact"/>
              <w:ind w:firstLine="435"/>
              <w:jc w:val="right"/>
              <w:rPr>
                <w:color w:val="auto"/>
                <w:highlight w:val="none"/>
              </w:rPr>
            </w:pPr>
          </w:p>
          <w:p w14:paraId="503A230F">
            <w:pPr>
              <w:spacing w:line="360" w:lineRule="exact"/>
              <w:ind w:firstLine="435"/>
              <w:jc w:val="center"/>
              <w:rPr>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41048B23">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tcPr>
          <w:p w14:paraId="593B9468">
            <w:pPr>
              <w:spacing w:line="360" w:lineRule="exact"/>
              <w:rPr>
                <w:color w:val="auto"/>
                <w:highlight w:val="none"/>
              </w:rPr>
            </w:pPr>
            <w:r>
              <w:rPr>
                <w:rFonts w:hint="eastAsia"/>
                <w:color w:val="auto"/>
                <w:highlight w:val="none"/>
              </w:rPr>
              <w:t>复核意见：</w:t>
            </w:r>
          </w:p>
          <w:p w14:paraId="227E3340">
            <w:pPr>
              <w:spacing w:line="360" w:lineRule="exact"/>
              <w:ind w:firstLine="435"/>
              <w:rPr>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477DA498">
            <w:pPr>
              <w:spacing w:line="360" w:lineRule="exact"/>
              <w:ind w:firstLine="435"/>
              <w:jc w:val="center"/>
              <w:rPr>
                <w:color w:val="auto"/>
                <w:highlight w:val="none"/>
              </w:rPr>
            </w:pPr>
            <w:r>
              <w:rPr>
                <w:color w:val="auto"/>
                <w:highlight w:val="none"/>
              </w:rPr>
              <w:t xml:space="preserve">    </w:t>
            </w:r>
          </w:p>
          <w:p w14:paraId="4E901980">
            <w:pPr>
              <w:spacing w:line="360" w:lineRule="exact"/>
              <w:ind w:firstLine="435"/>
              <w:jc w:val="center"/>
              <w:rPr>
                <w:color w:val="auto"/>
                <w:highlight w:val="none"/>
              </w:rPr>
            </w:pPr>
          </w:p>
          <w:p w14:paraId="6F4CAE1F">
            <w:pPr>
              <w:spacing w:line="360" w:lineRule="exact"/>
              <w:ind w:firstLine="435"/>
              <w:jc w:val="center"/>
              <w:rPr>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2574BF02">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09C1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ED0EFF6">
            <w:pPr>
              <w:spacing w:line="400" w:lineRule="exact"/>
              <w:rPr>
                <w:color w:val="auto"/>
                <w:highlight w:val="none"/>
              </w:rPr>
            </w:pPr>
            <w:r>
              <w:rPr>
                <w:rFonts w:hint="eastAsia"/>
                <w:color w:val="auto"/>
                <w:highlight w:val="none"/>
              </w:rPr>
              <w:t>审核意见：</w:t>
            </w:r>
          </w:p>
          <w:p w14:paraId="2103D926">
            <w:pPr>
              <w:spacing w:line="400" w:lineRule="exact"/>
              <w:ind w:firstLine="435"/>
              <w:rPr>
                <w:color w:val="auto"/>
                <w:highlight w:val="none"/>
              </w:rPr>
            </w:pPr>
            <w:r>
              <w:rPr>
                <w:rFonts w:hint="eastAsia"/>
                <w:color w:val="auto"/>
                <w:highlight w:val="none"/>
              </w:rPr>
              <w:t>□不同意。</w:t>
            </w:r>
          </w:p>
          <w:p w14:paraId="2FCF1611">
            <w:pPr>
              <w:spacing w:line="400" w:lineRule="exact"/>
              <w:ind w:firstLine="420" w:firstLineChars="200"/>
              <w:rPr>
                <w:color w:val="auto"/>
                <w:highlight w:val="none"/>
              </w:rPr>
            </w:pPr>
            <w:r>
              <w:rPr>
                <w:rFonts w:hint="eastAsia"/>
                <w:color w:val="auto"/>
                <w:highlight w:val="none"/>
              </w:rPr>
              <w:t>□同意，支付时间为本表签发后的15天内。</w:t>
            </w:r>
          </w:p>
          <w:p w14:paraId="2354F224">
            <w:pPr>
              <w:wordWrap w:val="0"/>
              <w:spacing w:line="400" w:lineRule="exact"/>
              <w:ind w:firstLine="420" w:firstLineChars="200"/>
              <w:jc w:val="right"/>
              <w:rPr>
                <w:color w:val="auto"/>
                <w:highlight w:val="none"/>
              </w:rPr>
            </w:pPr>
            <w:r>
              <w:rPr>
                <w:rFonts w:hint="eastAsia"/>
                <w:color w:val="auto"/>
                <w:highlight w:val="none"/>
              </w:rPr>
              <w:t xml:space="preserve">发包人（章）           </w:t>
            </w:r>
          </w:p>
          <w:p w14:paraId="4D1832F7">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2DA97159">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48C55B10">
      <w:pPr>
        <w:spacing w:before="120" w:beforeLines="50"/>
        <w:ind w:firstLine="360" w:firstLineChars="200"/>
        <w:rPr>
          <w:color w:val="auto"/>
          <w:sz w:val="18"/>
          <w:szCs w:val="18"/>
          <w:highlight w:val="none"/>
        </w:rPr>
      </w:pPr>
      <w:r>
        <w:rPr>
          <w:rFonts w:hint="eastAsia"/>
          <w:color w:val="auto"/>
          <w:sz w:val="18"/>
          <w:szCs w:val="18"/>
          <w:highlight w:val="none"/>
        </w:rPr>
        <w:t>注：1.在选择栏中的“□”内作标识“√”。 如监理人已退场，监理工程师栏可空缺。</w:t>
      </w:r>
    </w:p>
    <w:p w14:paraId="27892E90">
      <w:pPr>
        <w:spacing w:before="120" w:beforeLines="50"/>
        <w:ind w:left="720" w:hanging="720" w:hangingChars="400"/>
        <w:rPr>
          <w:rFonts w:ascii="宋体" w:hAnsi="宋体" w:cs="宋体"/>
          <w:color w:val="auto"/>
          <w:sz w:val="24"/>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204DCB3A">
      <w:pPr>
        <w:spacing w:line="480" w:lineRule="auto"/>
        <w:rPr>
          <w:rFonts w:ascii="宋体" w:hAnsi="宋体" w:cs="宋体"/>
          <w:color w:val="auto"/>
          <w:highlight w:val="none"/>
        </w:rPr>
      </w:pPr>
    </w:p>
    <w:p w14:paraId="0A01757A">
      <w:pPr>
        <w:jc w:val="center"/>
        <w:outlineLvl w:val="0"/>
        <w:rPr>
          <w:rFonts w:ascii="宋体" w:hAnsi="宋体" w:cs="宋体"/>
          <w:b/>
          <w:bCs/>
          <w:color w:val="auto"/>
          <w:sz w:val="32"/>
          <w:szCs w:val="32"/>
          <w:highlight w:val="none"/>
        </w:rPr>
      </w:pPr>
      <w:bookmarkStart w:id="939" w:name="_Toc2274"/>
      <w:bookmarkStart w:id="940" w:name="_Toc4230"/>
      <w:bookmarkStart w:id="941" w:name="_Toc11163"/>
      <w:r>
        <w:rPr>
          <w:rFonts w:hint="eastAsia" w:ascii="宋体" w:hAnsi="宋体" w:cs="宋体"/>
          <w:b/>
          <w:bCs/>
          <w:color w:val="auto"/>
          <w:sz w:val="32"/>
          <w:szCs w:val="32"/>
          <w:highlight w:val="none"/>
        </w:rPr>
        <w:t xml:space="preserve">第六章  </w:t>
      </w:r>
      <w:bookmarkEnd w:id="228"/>
      <w:bookmarkEnd w:id="229"/>
      <w:bookmarkStart w:id="942" w:name="_Toc13185"/>
      <w:r>
        <w:rPr>
          <w:rFonts w:hint="eastAsia" w:ascii="宋体" w:hAnsi="宋体" w:cs="宋体"/>
          <w:b/>
          <w:bCs/>
          <w:color w:val="auto"/>
          <w:sz w:val="32"/>
          <w:szCs w:val="32"/>
          <w:highlight w:val="none"/>
        </w:rPr>
        <w:t>响应文件（格式）</w:t>
      </w:r>
      <w:bookmarkEnd w:id="939"/>
      <w:bookmarkEnd w:id="940"/>
      <w:bookmarkEnd w:id="941"/>
      <w:bookmarkEnd w:id="942"/>
    </w:p>
    <w:p w14:paraId="1587C27D">
      <w:pPr>
        <w:rPr>
          <w:rFonts w:ascii="宋体" w:hAnsi="宋体" w:cs="宋体"/>
          <w:color w:val="auto"/>
          <w:highlight w:val="none"/>
        </w:rPr>
      </w:pPr>
    </w:p>
    <w:p w14:paraId="04A5DCE7">
      <w:pPr>
        <w:pStyle w:val="27"/>
        <w:outlineLvl w:val="1"/>
        <w:rPr>
          <w:rFonts w:hAnsi="宋体" w:cs="宋体"/>
          <w:b/>
          <w:color w:val="auto"/>
          <w:sz w:val="32"/>
          <w:highlight w:val="none"/>
        </w:rPr>
      </w:pPr>
      <w:bookmarkStart w:id="943" w:name="_Toc18351"/>
      <w:bookmarkStart w:id="944" w:name="_Toc497927069"/>
      <w:bookmarkStart w:id="945" w:name="_Toc13321"/>
      <w:bookmarkStart w:id="946" w:name="_Toc21496"/>
      <w:bookmarkStart w:id="947" w:name="_Toc32435"/>
      <w:r>
        <w:rPr>
          <w:rFonts w:hint="eastAsia" w:hAnsi="宋体" w:cs="宋体"/>
          <w:b/>
          <w:color w:val="auto"/>
          <w:sz w:val="32"/>
          <w:highlight w:val="none"/>
        </w:rPr>
        <w:t>一、响应文件标记</w:t>
      </w:r>
      <w:bookmarkEnd w:id="943"/>
      <w:bookmarkEnd w:id="944"/>
      <w:bookmarkEnd w:id="945"/>
      <w:bookmarkEnd w:id="946"/>
      <w:bookmarkEnd w:id="947"/>
    </w:p>
    <w:p w14:paraId="3EE485B3">
      <w:pPr>
        <w:adjustRightInd w:val="0"/>
        <w:snapToGrid w:val="0"/>
        <w:rPr>
          <w:rFonts w:ascii="宋体" w:hAnsi="宋体" w:cs="宋体"/>
          <w:b/>
          <w:color w:val="auto"/>
          <w:sz w:val="44"/>
          <w:szCs w:val="44"/>
          <w:highlight w:val="none"/>
        </w:rPr>
      </w:pPr>
    </w:p>
    <w:p w14:paraId="7873BCD8">
      <w:pPr>
        <w:pStyle w:val="367"/>
        <w:rPr>
          <w:rFonts w:ascii="宋体" w:hAnsi="宋体" w:cs="宋体"/>
          <w:color w:val="auto"/>
          <w:highlight w:val="none"/>
        </w:rPr>
      </w:pPr>
    </w:p>
    <w:p w14:paraId="63CF0251">
      <w:pPr>
        <w:snapToGrid w:val="0"/>
        <w:spacing w:before="120" w:beforeLines="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响 应 文 件</w:t>
      </w:r>
    </w:p>
    <w:p w14:paraId="794E455E">
      <w:pPr>
        <w:snapToGrid w:val="0"/>
        <w:spacing w:before="120" w:beforeLines="50" w:after="50"/>
        <w:ind w:firstLine="480" w:firstLineChars="150"/>
        <w:rPr>
          <w:rFonts w:ascii="宋体" w:hAnsi="宋体" w:cs="宋体"/>
          <w:b/>
          <w:color w:val="auto"/>
          <w:sz w:val="28"/>
          <w:szCs w:val="28"/>
          <w:highlight w:val="none"/>
        </w:rPr>
      </w:pPr>
      <w:r>
        <w:rPr>
          <w:rFonts w:hint="eastAsia" w:ascii="宋体" w:hAnsi="宋体" w:cs="宋体"/>
          <w:color w:val="auto"/>
          <w:sz w:val="32"/>
          <w:szCs w:val="32"/>
          <w:highlight w:val="none"/>
        </w:rPr>
        <w:t xml:space="preserve">                       </w:t>
      </w:r>
    </w:p>
    <w:p w14:paraId="61AE5A28">
      <w:pPr>
        <w:snapToGrid w:val="0"/>
        <w:spacing w:before="120" w:beforeLines="50" w:after="50"/>
        <w:ind w:firstLine="422" w:firstLineChars="150"/>
        <w:rPr>
          <w:rFonts w:ascii="宋体" w:hAnsi="宋体" w:cs="宋体"/>
          <w:b/>
          <w:color w:val="auto"/>
          <w:sz w:val="28"/>
          <w:szCs w:val="28"/>
          <w:highlight w:val="none"/>
        </w:rPr>
      </w:pPr>
    </w:p>
    <w:p w14:paraId="3C024CC5">
      <w:pPr>
        <w:snapToGrid w:val="0"/>
        <w:spacing w:before="120" w:beforeLines="50" w:after="50"/>
        <w:ind w:firstLine="422" w:firstLineChars="150"/>
        <w:rPr>
          <w:rFonts w:ascii="宋体" w:hAnsi="宋体" w:cs="宋体"/>
          <w:b/>
          <w:color w:val="auto"/>
          <w:sz w:val="28"/>
          <w:szCs w:val="28"/>
          <w:highlight w:val="none"/>
        </w:rPr>
      </w:pPr>
    </w:p>
    <w:p w14:paraId="1D6AB2DB">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项目名称：</w:t>
      </w:r>
    </w:p>
    <w:p w14:paraId="06774CEA">
      <w:pPr>
        <w:pStyle w:val="21"/>
        <w:rPr>
          <w:color w:val="auto"/>
          <w:highlight w:val="none"/>
        </w:rPr>
      </w:pPr>
    </w:p>
    <w:p w14:paraId="32EF1049">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项目编号：</w:t>
      </w:r>
    </w:p>
    <w:p w14:paraId="17DEA37F">
      <w:pPr>
        <w:pStyle w:val="21"/>
        <w:rPr>
          <w:color w:val="auto"/>
          <w:highlight w:val="none"/>
        </w:rPr>
      </w:pPr>
    </w:p>
    <w:p w14:paraId="3ABB3F44">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采购代理机构：</w:t>
      </w:r>
    </w:p>
    <w:p w14:paraId="694BF2A5">
      <w:pPr>
        <w:pStyle w:val="21"/>
        <w:rPr>
          <w:color w:val="auto"/>
          <w:highlight w:val="none"/>
        </w:rPr>
      </w:pPr>
    </w:p>
    <w:p w14:paraId="6B65A751">
      <w:pPr>
        <w:pStyle w:val="20"/>
        <w:spacing w:line="440" w:lineRule="exact"/>
        <w:ind w:left="899" w:leftChars="428" w:firstLine="1200" w:firstLineChars="500"/>
        <w:rPr>
          <w:rFonts w:ascii="宋体" w:hAnsi="宋体" w:cs="宋体"/>
          <w:bCs/>
          <w:color w:val="auto"/>
          <w:sz w:val="24"/>
          <w:highlight w:val="none"/>
        </w:rPr>
      </w:pPr>
      <w:bookmarkStart w:id="948" w:name="_Toc20319_WPSOffice_Level2"/>
      <w:bookmarkStart w:id="949" w:name="_Toc4932_WPSOffice_Level2"/>
      <w:r>
        <w:rPr>
          <w:rFonts w:hint="eastAsia" w:ascii="宋体" w:hAnsi="宋体" w:cs="宋体"/>
          <w:bCs/>
          <w:color w:val="auto"/>
          <w:sz w:val="24"/>
          <w:highlight w:val="none"/>
        </w:rPr>
        <w:t>供应商[公章(CA签章)]：</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19BC5450">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 xml:space="preserve">            </w:t>
      </w:r>
      <w:bookmarkEnd w:id="948"/>
      <w:bookmarkEnd w:id="949"/>
      <w:r>
        <w:rPr>
          <w:rFonts w:hint="eastAsia" w:ascii="宋体" w:hAnsi="宋体" w:cs="宋体"/>
          <w:bCs/>
          <w:color w:val="auto"/>
          <w:sz w:val="24"/>
          <w:highlight w:val="none"/>
        </w:rPr>
        <w:t xml:space="preserve">       </w:t>
      </w:r>
    </w:p>
    <w:p w14:paraId="0B1285A9">
      <w:pPr>
        <w:pStyle w:val="20"/>
        <w:spacing w:line="440" w:lineRule="exact"/>
        <w:ind w:left="899" w:leftChars="428" w:firstLine="1200" w:firstLineChars="500"/>
        <w:rPr>
          <w:rFonts w:ascii="宋体" w:hAnsi="宋体" w:cs="宋体"/>
          <w:bCs/>
          <w:color w:val="auto"/>
          <w:sz w:val="24"/>
          <w:highlight w:val="none"/>
          <w:u w:val="single"/>
        </w:rPr>
      </w:pPr>
      <w:bookmarkStart w:id="950" w:name="_Toc32056_WPSOffice_Level2"/>
      <w:bookmarkStart w:id="951" w:name="_Toc9622_WPSOffice_Level2"/>
      <w:r>
        <w:rPr>
          <w:rFonts w:hint="eastAsia" w:ascii="宋体" w:hAnsi="宋体" w:cs="宋体"/>
          <w:bCs/>
          <w:color w:val="auto"/>
          <w:sz w:val="24"/>
          <w:highlight w:val="none"/>
        </w:rPr>
        <w:t>法定代表人、负责人或相应的委托代理人签字[或盖章(CA签章)]：</w:t>
      </w:r>
      <w:r>
        <w:rPr>
          <w:rFonts w:hint="eastAsia" w:ascii="宋体" w:hAnsi="宋体" w:cs="宋体"/>
          <w:bCs/>
          <w:color w:val="auto"/>
          <w:sz w:val="24"/>
          <w:highlight w:val="none"/>
          <w:u w:val="single"/>
        </w:rPr>
        <w:t xml:space="preserve">       </w:t>
      </w:r>
    </w:p>
    <w:p w14:paraId="114011A2">
      <w:pPr>
        <w:pStyle w:val="21"/>
        <w:rPr>
          <w:color w:val="auto"/>
          <w:highlight w:val="none"/>
        </w:rPr>
      </w:pPr>
    </w:p>
    <w:p w14:paraId="4920B921">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联系电话：</w:t>
      </w:r>
      <w:bookmarkEnd w:id="950"/>
      <w:bookmarkEnd w:id="951"/>
      <w:r>
        <w:rPr>
          <w:rFonts w:hint="eastAsia" w:ascii="宋体" w:hAnsi="宋体" w:cs="宋体"/>
          <w:bCs/>
          <w:color w:val="auto"/>
          <w:sz w:val="24"/>
          <w:highlight w:val="none"/>
        </w:rPr>
        <w:t xml:space="preserve">   </w:t>
      </w:r>
    </w:p>
    <w:p w14:paraId="61A6FA32">
      <w:pPr>
        <w:pStyle w:val="20"/>
        <w:spacing w:line="440" w:lineRule="exact"/>
        <w:ind w:left="899" w:leftChars="428" w:firstLine="1200" w:firstLineChars="500"/>
        <w:rPr>
          <w:rFonts w:ascii="宋体" w:hAnsi="宋体" w:cs="宋体"/>
          <w:bCs/>
          <w:color w:val="auto"/>
          <w:sz w:val="24"/>
          <w:highlight w:val="none"/>
        </w:rPr>
      </w:pPr>
      <w:r>
        <w:rPr>
          <w:rFonts w:hint="eastAsia" w:ascii="宋体" w:hAnsi="宋体" w:cs="宋体"/>
          <w:bCs/>
          <w:color w:val="auto"/>
          <w:sz w:val="24"/>
          <w:highlight w:val="none"/>
        </w:rPr>
        <w:t xml:space="preserve">           </w:t>
      </w:r>
    </w:p>
    <w:p w14:paraId="2C32D255">
      <w:pPr>
        <w:pStyle w:val="20"/>
        <w:spacing w:line="440" w:lineRule="exact"/>
        <w:ind w:left="0" w:leftChars="0" w:firstLine="0" w:firstLineChars="0"/>
        <w:rPr>
          <w:rFonts w:ascii="宋体" w:hAnsi="宋体" w:cs="宋体"/>
          <w:bCs/>
          <w:color w:val="auto"/>
          <w:sz w:val="24"/>
          <w:highlight w:val="none"/>
        </w:rPr>
      </w:pPr>
      <w:r>
        <w:rPr>
          <w:rFonts w:hint="eastAsia" w:ascii="宋体" w:hAnsi="宋体" w:cs="宋体"/>
          <w:bCs/>
          <w:color w:val="auto"/>
          <w:sz w:val="24"/>
          <w:highlight w:val="none"/>
        </w:rPr>
        <w:t xml:space="preserve">              </w:t>
      </w:r>
      <w:bookmarkStart w:id="952" w:name="_Toc15933_WPSOffice_Level2"/>
      <w:bookmarkStart w:id="953" w:name="_Toc26465_WPSOffice_Level2"/>
      <w:r>
        <w:rPr>
          <w:rFonts w:hint="eastAsia" w:ascii="宋体" w:hAnsi="宋体" w:cs="宋体"/>
          <w:bCs/>
          <w:color w:val="auto"/>
          <w:sz w:val="24"/>
          <w:highlight w:val="none"/>
        </w:rPr>
        <w:t xml:space="preserve">    日期：   年     月      日</w:t>
      </w:r>
      <w:bookmarkEnd w:id="952"/>
      <w:bookmarkEnd w:id="953"/>
    </w:p>
    <w:p w14:paraId="70773465">
      <w:pPr>
        <w:pStyle w:val="20"/>
        <w:spacing w:line="440" w:lineRule="exact"/>
        <w:ind w:left="900" w:hanging="480" w:hangingChars="200"/>
        <w:rPr>
          <w:rFonts w:ascii="宋体" w:hAnsi="宋体" w:cs="宋体"/>
          <w:bCs/>
          <w:color w:val="auto"/>
          <w:sz w:val="24"/>
          <w:highlight w:val="none"/>
        </w:rPr>
      </w:pPr>
    </w:p>
    <w:p w14:paraId="47FD22AD">
      <w:pPr>
        <w:pStyle w:val="20"/>
        <w:spacing w:line="440" w:lineRule="exact"/>
        <w:ind w:left="900" w:hanging="480" w:hangingChars="200"/>
        <w:rPr>
          <w:rFonts w:ascii="宋体" w:hAnsi="宋体" w:cs="宋体"/>
          <w:bCs/>
          <w:color w:val="auto"/>
          <w:sz w:val="24"/>
          <w:highlight w:val="none"/>
        </w:rPr>
      </w:pPr>
    </w:p>
    <w:p w14:paraId="74981AC7">
      <w:pPr>
        <w:pStyle w:val="20"/>
        <w:spacing w:line="440" w:lineRule="exact"/>
        <w:ind w:left="900" w:hanging="480" w:hangingChars="200"/>
        <w:rPr>
          <w:rFonts w:ascii="宋体" w:hAnsi="宋体" w:cs="宋体"/>
          <w:bCs/>
          <w:color w:val="auto"/>
          <w:sz w:val="24"/>
          <w:highlight w:val="none"/>
        </w:rPr>
      </w:pPr>
    </w:p>
    <w:p w14:paraId="610DA57C">
      <w:pPr>
        <w:pStyle w:val="20"/>
        <w:spacing w:line="440" w:lineRule="exact"/>
        <w:ind w:left="900" w:hanging="480" w:hangingChars="200"/>
        <w:rPr>
          <w:rFonts w:ascii="宋体" w:hAnsi="宋体" w:cs="宋体"/>
          <w:bCs/>
          <w:color w:val="auto"/>
          <w:sz w:val="24"/>
          <w:highlight w:val="none"/>
        </w:rPr>
      </w:pPr>
    </w:p>
    <w:p w14:paraId="7DC1A4AD">
      <w:pPr>
        <w:pStyle w:val="20"/>
        <w:spacing w:line="440" w:lineRule="exact"/>
        <w:ind w:left="900" w:hanging="480" w:hangingChars="200"/>
        <w:rPr>
          <w:rFonts w:ascii="宋体" w:hAnsi="宋体" w:cs="宋体"/>
          <w:bCs/>
          <w:color w:val="auto"/>
          <w:sz w:val="24"/>
          <w:highlight w:val="none"/>
        </w:rPr>
      </w:pPr>
    </w:p>
    <w:p w14:paraId="3933DEAD">
      <w:pPr>
        <w:outlineLvl w:val="1"/>
        <w:rPr>
          <w:rFonts w:ascii="宋体" w:hAnsi="宋体" w:cs="宋体"/>
          <w:b/>
          <w:bCs/>
          <w:color w:val="auto"/>
          <w:sz w:val="32"/>
          <w:szCs w:val="32"/>
          <w:highlight w:val="none"/>
        </w:rPr>
      </w:pPr>
      <w:bookmarkStart w:id="954" w:name="_Toc21615"/>
      <w:bookmarkStart w:id="955" w:name="_Toc19430"/>
      <w:bookmarkStart w:id="956" w:name="_Toc497927070"/>
      <w:r>
        <w:rPr>
          <w:rFonts w:hint="eastAsia" w:ascii="宋体" w:hAnsi="宋体" w:cs="宋体"/>
          <w:b/>
          <w:bCs/>
          <w:color w:val="auto"/>
          <w:sz w:val="32"/>
          <w:szCs w:val="32"/>
          <w:highlight w:val="none"/>
        </w:rPr>
        <w:br w:type="page"/>
      </w:r>
      <w:bookmarkStart w:id="957" w:name="_Toc12538"/>
      <w:bookmarkStart w:id="958" w:name="_Toc22592"/>
      <w:r>
        <w:rPr>
          <w:rFonts w:hint="eastAsia" w:ascii="宋体" w:hAnsi="宋体" w:cs="宋体"/>
          <w:b/>
          <w:bCs/>
          <w:color w:val="auto"/>
          <w:sz w:val="32"/>
          <w:szCs w:val="32"/>
          <w:highlight w:val="none"/>
        </w:rPr>
        <w:t>二、响应文件组成</w:t>
      </w:r>
      <w:bookmarkEnd w:id="954"/>
      <w:bookmarkEnd w:id="955"/>
      <w:bookmarkEnd w:id="956"/>
      <w:bookmarkEnd w:id="957"/>
      <w:bookmarkEnd w:id="958"/>
    </w:p>
    <w:p w14:paraId="456BFC34">
      <w:pPr>
        <w:pStyle w:val="19"/>
        <w:rPr>
          <w:rFonts w:ascii="宋体" w:hAnsi="宋体" w:cs="宋体"/>
          <w:color w:val="auto"/>
          <w:highlight w:val="none"/>
        </w:rPr>
      </w:pPr>
    </w:p>
    <w:p w14:paraId="28D0A183">
      <w:pPr>
        <w:pStyle w:val="19"/>
        <w:rPr>
          <w:rFonts w:ascii="宋体" w:hAnsi="宋体" w:cs="宋体"/>
          <w:b/>
          <w:bCs/>
          <w:color w:val="auto"/>
          <w:sz w:val="28"/>
          <w:szCs w:val="28"/>
          <w:highlight w:val="none"/>
        </w:rPr>
      </w:pPr>
    </w:p>
    <w:p w14:paraId="699D1C77">
      <w:pPr>
        <w:numPr>
          <w:ilvl w:val="0"/>
          <w:numId w:val="7"/>
        </w:numPr>
        <w:spacing w:line="400" w:lineRule="exact"/>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资格性响应证明材料</w:t>
      </w:r>
    </w:p>
    <w:p w14:paraId="1F8EA369">
      <w:pPr>
        <w:pStyle w:val="19"/>
        <w:rPr>
          <w:rFonts w:ascii="宋体" w:hAnsi="宋体" w:cs="宋体"/>
          <w:b/>
          <w:bCs/>
          <w:color w:val="auto"/>
          <w:sz w:val="28"/>
          <w:szCs w:val="28"/>
          <w:highlight w:val="none"/>
        </w:rPr>
      </w:pPr>
    </w:p>
    <w:p w14:paraId="046A0BC7">
      <w:pPr>
        <w:pStyle w:val="19"/>
        <w:rPr>
          <w:rFonts w:ascii="宋体" w:hAnsi="宋体" w:cs="宋体"/>
          <w:b/>
          <w:bCs/>
          <w:color w:val="auto"/>
          <w:sz w:val="28"/>
          <w:szCs w:val="28"/>
          <w:highlight w:val="none"/>
        </w:rPr>
      </w:pPr>
    </w:p>
    <w:p w14:paraId="20FF806A">
      <w:pPr>
        <w:numPr>
          <w:ilvl w:val="0"/>
          <w:numId w:val="7"/>
        </w:numPr>
        <w:spacing w:line="400" w:lineRule="exact"/>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符合性响应证明材料</w:t>
      </w:r>
    </w:p>
    <w:p w14:paraId="1E1F1EF3">
      <w:pPr>
        <w:pStyle w:val="19"/>
        <w:rPr>
          <w:rFonts w:ascii="宋体" w:hAnsi="宋体" w:cs="宋体"/>
          <w:b/>
          <w:bCs/>
          <w:color w:val="auto"/>
          <w:sz w:val="28"/>
          <w:szCs w:val="28"/>
          <w:highlight w:val="none"/>
        </w:rPr>
      </w:pPr>
    </w:p>
    <w:p w14:paraId="17A3B960">
      <w:pPr>
        <w:pStyle w:val="19"/>
        <w:rPr>
          <w:rFonts w:ascii="宋体" w:hAnsi="宋体" w:cs="宋体"/>
          <w:b/>
          <w:bCs/>
          <w:color w:val="auto"/>
          <w:sz w:val="28"/>
          <w:szCs w:val="28"/>
          <w:highlight w:val="none"/>
        </w:rPr>
      </w:pPr>
    </w:p>
    <w:p w14:paraId="4E82233D">
      <w:pPr>
        <w:numPr>
          <w:ilvl w:val="0"/>
          <w:numId w:val="7"/>
        </w:numPr>
        <w:spacing w:line="400" w:lineRule="exact"/>
        <w:ind w:firstLine="568" w:firstLineChars="202"/>
        <w:rPr>
          <w:rFonts w:ascii="宋体" w:hAnsi="宋体" w:cs="宋体"/>
          <w:b/>
          <w:bCs/>
          <w:color w:val="auto"/>
          <w:sz w:val="28"/>
          <w:szCs w:val="28"/>
          <w:highlight w:val="none"/>
        </w:rPr>
      </w:pPr>
      <w:r>
        <w:rPr>
          <w:rFonts w:hint="eastAsia" w:ascii="宋体" w:hAnsi="宋体" w:cs="宋体"/>
          <w:b/>
          <w:bCs/>
          <w:color w:val="auto"/>
          <w:sz w:val="28"/>
          <w:szCs w:val="28"/>
          <w:highlight w:val="none"/>
        </w:rPr>
        <w:t>其他有效证明材料</w:t>
      </w:r>
    </w:p>
    <w:p w14:paraId="1D176EE8">
      <w:pPr>
        <w:pStyle w:val="367"/>
        <w:rPr>
          <w:rFonts w:ascii="宋体" w:hAnsi="宋体" w:cs="宋体"/>
          <w:color w:val="auto"/>
          <w:highlight w:val="none"/>
        </w:rPr>
      </w:pPr>
    </w:p>
    <w:p w14:paraId="5DCACBD8">
      <w:pPr>
        <w:tabs>
          <w:tab w:val="left" w:pos="5040"/>
        </w:tabs>
        <w:spacing w:line="400" w:lineRule="exact"/>
        <w:rPr>
          <w:rFonts w:ascii="宋体" w:hAnsi="宋体" w:cs="宋体"/>
          <w:color w:val="auto"/>
          <w:szCs w:val="21"/>
          <w:highlight w:val="none"/>
        </w:rPr>
      </w:pPr>
    </w:p>
    <w:p w14:paraId="2CAEAF0E">
      <w:pPr>
        <w:pStyle w:val="367"/>
        <w:rPr>
          <w:rFonts w:ascii="宋体" w:hAnsi="宋体" w:cs="宋体"/>
          <w:color w:val="auto"/>
          <w:szCs w:val="21"/>
          <w:highlight w:val="none"/>
        </w:rPr>
      </w:pPr>
    </w:p>
    <w:p w14:paraId="34875497">
      <w:pPr>
        <w:pStyle w:val="367"/>
        <w:rPr>
          <w:rFonts w:ascii="宋体" w:hAnsi="宋体" w:cs="宋体"/>
          <w:color w:val="auto"/>
          <w:szCs w:val="21"/>
          <w:highlight w:val="none"/>
        </w:rPr>
      </w:pPr>
    </w:p>
    <w:p w14:paraId="00309A1A">
      <w:pPr>
        <w:pStyle w:val="367"/>
        <w:rPr>
          <w:rFonts w:ascii="宋体" w:hAnsi="宋体" w:cs="宋体"/>
          <w:color w:val="auto"/>
          <w:szCs w:val="21"/>
          <w:highlight w:val="none"/>
        </w:rPr>
      </w:pPr>
    </w:p>
    <w:p w14:paraId="3FCA228F">
      <w:pPr>
        <w:pStyle w:val="367"/>
        <w:rPr>
          <w:rFonts w:ascii="宋体" w:hAnsi="宋体" w:cs="宋体"/>
          <w:color w:val="auto"/>
          <w:szCs w:val="21"/>
          <w:highlight w:val="none"/>
        </w:rPr>
      </w:pPr>
    </w:p>
    <w:p w14:paraId="4E2B7045">
      <w:pPr>
        <w:tabs>
          <w:tab w:val="left" w:pos="3570"/>
        </w:tabs>
        <w:spacing w:line="400" w:lineRule="exact"/>
        <w:jc w:val="center"/>
        <w:outlineLvl w:val="1"/>
        <w:rPr>
          <w:rFonts w:ascii="宋体" w:hAnsi="宋体" w:cs="宋体"/>
          <w:b/>
          <w:bCs/>
          <w:color w:val="auto"/>
          <w:sz w:val="30"/>
          <w:szCs w:val="30"/>
          <w:highlight w:val="none"/>
        </w:rPr>
      </w:pPr>
      <w:bookmarkStart w:id="959" w:name="_Toc497927071"/>
      <w:bookmarkStart w:id="960" w:name="_Toc7185"/>
      <w:bookmarkStart w:id="961" w:name="_Toc11067"/>
      <w:r>
        <w:rPr>
          <w:rFonts w:hint="eastAsia" w:ascii="宋体" w:hAnsi="宋体" w:cs="宋体"/>
          <w:color w:val="auto"/>
          <w:sz w:val="32"/>
          <w:szCs w:val="32"/>
          <w:highlight w:val="none"/>
        </w:rPr>
        <w:br w:type="page"/>
      </w:r>
      <w:bookmarkStart w:id="962" w:name="_Toc12268"/>
      <w:bookmarkStart w:id="963" w:name="_Toc13766"/>
      <w:r>
        <w:rPr>
          <w:rFonts w:hint="eastAsia" w:ascii="宋体" w:hAnsi="宋体" w:cs="宋体"/>
          <w:b/>
          <w:bCs/>
          <w:color w:val="auto"/>
          <w:sz w:val="30"/>
          <w:szCs w:val="30"/>
          <w:highlight w:val="none"/>
        </w:rPr>
        <w:t>（一）资格性响应证明材料目录</w:t>
      </w:r>
      <w:bookmarkEnd w:id="959"/>
      <w:bookmarkEnd w:id="960"/>
      <w:bookmarkEnd w:id="961"/>
      <w:bookmarkEnd w:id="962"/>
      <w:bookmarkEnd w:id="963"/>
    </w:p>
    <w:p w14:paraId="5231C32B">
      <w:pPr>
        <w:rPr>
          <w:rFonts w:ascii="宋体" w:hAnsi="宋体" w:cs="宋体"/>
          <w:color w:val="auto"/>
          <w:highlight w:val="none"/>
        </w:rPr>
      </w:pPr>
    </w:p>
    <w:p w14:paraId="25FDE571">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1.供应商相应的法定代表人、负责人有效身份证正反两面复印件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39F992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的授权委托书原件、委托代理人有效身份证正反面复印件以及由县级以上（含县级）社会养老保险经办机构出具的供应商为委托代理人交纳的响应文件递交截止时间前半年内任意一个月社保证明复印件（委托代理时必须提供）。</w:t>
      </w:r>
    </w:p>
    <w:p w14:paraId="450796E8">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33C7A8EA">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4.供应商的法人或者其他组织营业执照等证明文件复印件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77CB6F9B">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5.供应商有效的资质证书复印件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6868927">
      <w:pPr>
        <w:tabs>
          <w:tab w:val="left" w:pos="3570"/>
        </w:tabs>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6.担任本工程的项目经理简历表</w:t>
      </w:r>
      <w:r>
        <w:rPr>
          <w:rFonts w:hint="eastAsia" w:ascii="宋体" w:hAnsi="宋体" w:cs="宋体"/>
          <w:b/>
          <w:color w:val="auto"/>
          <w:kern w:val="0"/>
          <w:szCs w:val="21"/>
          <w:highlight w:val="none"/>
        </w:rPr>
        <w:t>（必须提供）；</w:t>
      </w:r>
    </w:p>
    <w:p w14:paraId="75BEC5F1">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7.供应商2024年度财务状况报告</w:t>
      </w:r>
      <w:r>
        <w:rPr>
          <w:rFonts w:hint="eastAsia" w:ascii="宋体" w:hAnsi="宋体" w:cs="宋体"/>
          <w:b/>
          <w:bCs/>
          <w:color w:val="auto"/>
          <w:szCs w:val="21"/>
          <w:highlight w:val="none"/>
        </w:rPr>
        <w:t>（必须提供，可以是谈判供应商自行编制也可是通过第三方审计公司编制，如为自行编制至少须提供现金流量表、负债表及利润表）</w:t>
      </w:r>
      <w:r>
        <w:rPr>
          <w:rFonts w:hint="eastAsia" w:ascii="宋体" w:hAnsi="宋体" w:cs="宋体"/>
          <w:color w:val="auto"/>
          <w:szCs w:val="21"/>
          <w:highlight w:val="none"/>
        </w:rPr>
        <w:t>；</w:t>
      </w:r>
    </w:p>
    <w:p w14:paraId="163A7072">
      <w:pPr>
        <w:tabs>
          <w:tab w:val="left" w:pos="35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8.供应商截止响应文件递交截止时间前半年内任意一个月或任一季度依法缴纳税收的证明材料[增值税缴纳发票(税收完税证明)或企业所得税完税证明或税务部门出具的免税证明]复印件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1C0E7BA4">
      <w:pPr>
        <w:pStyle w:val="23"/>
        <w:rPr>
          <w:rFonts w:ascii="宋体" w:hAnsi="宋体" w:cs="宋体"/>
          <w:b/>
          <w:color w:val="auto"/>
          <w:sz w:val="28"/>
          <w:szCs w:val="28"/>
          <w:highlight w:val="none"/>
        </w:rPr>
      </w:pPr>
    </w:p>
    <w:p w14:paraId="752636D6">
      <w:pPr>
        <w:pStyle w:val="23"/>
        <w:rPr>
          <w:rFonts w:ascii="宋体" w:hAnsi="宋体" w:cs="宋体"/>
          <w:b/>
          <w:color w:val="auto"/>
          <w:sz w:val="28"/>
          <w:szCs w:val="28"/>
          <w:highlight w:val="none"/>
        </w:rPr>
      </w:pPr>
    </w:p>
    <w:p w14:paraId="65E9B4C9">
      <w:pPr>
        <w:spacing w:line="440" w:lineRule="atLeast"/>
        <w:outlineLvl w:val="1"/>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964" w:name="_Toc22703"/>
      <w:bookmarkStart w:id="965" w:name="_Toc28594"/>
      <w:bookmarkStart w:id="966" w:name="_Toc30365"/>
      <w:bookmarkStart w:id="967" w:name="_Toc19265"/>
      <w:bookmarkStart w:id="968" w:name="_Toc6697"/>
      <w:bookmarkStart w:id="969" w:name="_Toc4819"/>
      <w:r>
        <w:rPr>
          <w:rFonts w:hint="eastAsia" w:ascii="宋体" w:hAnsi="宋体" w:cs="宋体"/>
          <w:b/>
          <w:color w:val="auto"/>
          <w:sz w:val="28"/>
          <w:szCs w:val="28"/>
          <w:highlight w:val="none"/>
        </w:rPr>
        <w:t>1.供应商相应的法定代表人、负责人有效身份证正反两面复印件（必须提供）；</w:t>
      </w:r>
      <w:bookmarkEnd w:id="964"/>
      <w:bookmarkEnd w:id="965"/>
      <w:bookmarkEnd w:id="966"/>
      <w:bookmarkEnd w:id="967"/>
      <w:bookmarkEnd w:id="968"/>
      <w:bookmarkEnd w:id="969"/>
    </w:p>
    <w:p w14:paraId="3442B4E2">
      <w:pPr>
        <w:spacing w:line="440" w:lineRule="atLeast"/>
        <w:rPr>
          <w:rFonts w:ascii="宋体" w:hAnsi="宋体" w:cs="宋体"/>
          <w:color w:val="auto"/>
          <w:highlight w:val="none"/>
        </w:rPr>
      </w:pPr>
    </w:p>
    <w:p w14:paraId="7BCD2989">
      <w:pPr>
        <w:rPr>
          <w:rFonts w:ascii="宋体" w:hAnsi="宋体" w:cs="宋体"/>
          <w:color w:val="auto"/>
          <w:highlight w:val="none"/>
        </w:rPr>
      </w:pPr>
    </w:p>
    <w:p w14:paraId="53A321C3">
      <w:pPr>
        <w:spacing w:line="440" w:lineRule="atLeast"/>
        <w:rPr>
          <w:rFonts w:ascii="宋体" w:hAnsi="宋体" w:cs="宋体"/>
          <w:b/>
          <w:color w:val="auto"/>
          <w:sz w:val="28"/>
          <w:szCs w:val="28"/>
          <w:highlight w:val="none"/>
        </w:rPr>
      </w:pPr>
    </w:p>
    <w:p w14:paraId="7C4877F8">
      <w:pPr>
        <w:pStyle w:val="19"/>
        <w:rPr>
          <w:rFonts w:ascii="宋体" w:hAnsi="宋体" w:cs="宋体"/>
          <w:b/>
          <w:color w:val="auto"/>
          <w:sz w:val="28"/>
          <w:szCs w:val="28"/>
          <w:highlight w:val="none"/>
        </w:rPr>
      </w:pPr>
    </w:p>
    <w:p w14:paraId="03B3F05A">
      <w:pPr>
        <w:rPr>
          <w:rFonts w:ascii="宋体" w:hAnsi="宋体" w:cs="宋体"/>
          <w:b/>
          <w:color w:val="auto"/>
          <w:sz w:val="28"/>
          <w:szCs w:val="28"/>
          <w:highlight w:val="none"/>
        </w:rPr>
      </w:pPr>
    </w:p>
    <w:p w14:paraId="5FA84E91">
      <w:pPr>
        <w:pStyle w:val="19"/>
        <w:rPr>
          <w:rFonts w:ascii="宋体" w:hAnsi="宋体" w:cs="宋体"/>
          <w:b/>
          <w:color w:val="auto"/>
          <w:sz w:val="28"/>
          <w:szCs w:val="28"/>
          <w:highlight w:val="none"/>
        </w:rPr>
      </w:pPr>
    </w:p>
    <w:p w14:paraId="2E1903C8">
      <w:pPr>
        <w:rPr>
          <w:color w:val="auto"/>
          <w:highlight w:val="none"/>
        </w:rPr>
      </w:pPr>
    </w:p>
    <w:p w14:paraId="6BDEB7AB">
      <w:pPr>
        <w:spacing w:line="440" w:lineRule="atLeast"/>
        <w:outlineLvl w:val="1"/>
        <w:rPr>
          <w:rFonts w:ascii="宋体" w:hAnsi="宋体" w:cs="宋体"/>
          <w:b/>
          <w:color w:val="auto"/>
          <w:sz w:val="28"/>
          <w:szCs w:val="28"/>
          <w:highlight w:val="none"/>
        </w:rPr>
      </w:pPr>
      <w:bookmarkStart w:id="970" w:name="_Toc3592"/>
      <w:bookmarkStart w:id="971" w:name="_Toc16399"/>
      <w:bookmarkStart w:id="972" w:name="_Toc1213"/>
      <w:bookmarkStart w:id="973" w:name="_Toc16573"/>
      <w:bookmarkStart w:id="974" w:name="_Toc29198"/>
      <w:bookmarkStart w:id="975" w:name="_Toc15990"/>
      <w:r>
        <w:rPr>
          <w:rFonts w:hint="eastAsia" w:ascii="宋体" w:hAnsi="宋体" w:cs="宋体"/>
          <w:b/>
          <w:color w:val="auto"/>
          <w:sz w:val="28"/>
          <w:szCs w:val="28"/>
          <w:highlight w:val="none"/>
        </w:rPr>
        <w:t>2.供应商的授权委托书原件、委托代理人有效身份证正反面复印件以及由县级以上（含县级）社会养老保险经办机构出具的供应商为委托代理人交纳的响应文件递交截止时间前半年内任意一个月社保证明复印件（委托代理时必须提供）。</w:t>
      </w:r>
    </w:p>
    <w:bookmarkEnd w:id="970"/>
    <w:bookmarkEnd w:id="971"/>
    <w:bookmarkEnd w:id="972"/>
    <w:bookmarkEnd w:id="973"/>
    <w:bookmarkEnd w:id="974"/>
    <w:bookmarkEnd w:id="975"/>
    <w:p w14:paraId="7439E731">
      <w:pPr>
        <w:pStyle w:val="19"/>
        <w:rPr>
          <w:rFonts w:ascii="宋体" w:hAnsi="宋体" w:cs="宋体"/>
          <w:b/>
          <w:color w:val="auto"/>
          <w:sz w:val="28"/>
          <w:szCs w:val="28"/>
          <w:highlight w:val="none"/>
        </w:rPr>
      </w:pPr>
    </w:p>
    <w:p w14:paraId="7CC9A56F">
      <w:pPr>
        <w:rPr>
          <w:rFonts w:ascii="宋体" w:hAnsi="宋体" w:cs="宋体"/>
          <w:b/>
          <w:color w:val="auto"/>
          <w:sz w:val="28"/>
          <w:szCs w:val="28"/>
          <w:highlight w:val="none"/>
        </w:rPr>
      </w:pPr>
    </w:p>
    <w:p w14:paraId="22544882">
      <w:pPr>
        <w:pStyle w:val="19"/>
        <w:rPr>
          <w:rFonts w:ascii="宋体" w:hAnsi="宋体" w:cs="宋体"/>
          <w:b/>
          <w:color w:val="auto"/>
          <w:sz w:val="28"/>
          <w:szCs w:val="28"/>
          <w:highlight w:val="none"/>
        </w:rPr>
      </w:pPr>
    </w:p>
    <w:p w14:paraId="31F06BAF">
      <w:pPr>
        <w:rPr>
          <w:rFonts w:ascii="宋体" w:hAnsi="宋体" w:cs="宋体"/>
          <w:b/>
          <w:color w:val="auto"/>
          <w:sz w:val="28"/>
          <w:szCs w:val="28"/>
          <w:highlight w:val="none"/>
        </w:rPr>
      </w:pPr>
    </w:p>
    <w:p w14:paraId="0488A87A">
      <w:pPr>
        <w:pStyle w:val="19"/>
        <w:rPr>
          <w:rFonts w:ascii="宋体" w:hAnsi="宋体" w:cs="宋体"/>
          <w:b/>
          <w:color w:val="auto"/>
          <w:sz w:val="28"/>
          <w:szCs w:val="28"/>
          <w:highlight w:val="none"/>
        </w:rPr>
      </w:pPr>
    </w:p>
    <w:p w14:paraId="208FD6B5">
      <w:pPr>
        <w:rPr>
          <w:rFonts w:ascii="宋体" w:hAnsi="宋体" w:cs="宋体"/>
          <w:b/>
          <w:color w:val="auto"/>
          <w:sz w:val="28"/>
          <w:szCs w:val="28"/>
          <w:highlight w:val="none"/>
        </w:rPr>
      </w:pPr>
    </w:p>
    <w:p w14:paraId="29F0386F">
      <w:pPr>
        <w:pStyle w:val="19"/>
        <w:rPr>
          <w:rFonts w:ascii="宋体" w:hAnsi="宋体" w:cs="宋体"/>
          <w:b/>
          <w:color w:val="auto"/>
          <w:sz w:val="28"/>
          <w:szCs w:val="28"/>
          <w:highlight w:val="none"/>
        </w:rPr>
      </w:pPr>
    </w:p>
    <w:p w14:paraId="689BC9AC">
      <w:pPr>
        <w:rPr>
          <w:rFonts w:ascii="宋体" w:hAnsi="宋体" w:cs="宋体"/>
          <w:b/>
          <w:color w:val="auto"/>
          <w:sz w:val="28"/>
          <w:szCs w:val="28"/>
          <w:highlight w:val="none"/>
        </w:rPr>
      </w:pPr>
    </w:p>
    <w:p w14:paraId="56BF3804">
      <w:pPr>
        <w:pStyle w:val="19"/>
        <w:rPr>
          <w:rFonts w:ascii="宋体" w:hAnsi="宋体" w:cs="宋体"/>
          <w:b/>
          <w:color w:val="auto"/>
          <w:sz w:val="28"/>
          <w:szCs w:val="28"/>
          <w:highlight w:val="none"/>
        </w:rPr>
      </w:pPr>
    </w:p>
    <w:p w14:paraId="72CC4771">
      <w:pPr>
        <w:rPr>
          <w:rFonts w:ascii="宋体" w:hAnsi="宋体" w:cs="宋体"/>
          <w:b/>
          <w:color w:val="auto"/>
          <w:sz w:val="28"/>
          <w:szCs w:val="28"/>
          <w:highlight w:val="none"/>
        </w:rPr>
      </w:pPr>
    </w:p>
    <w:p w14:paraId="2596F563">
      <w:pPr>
        <w:pStyle w:val="2"/>
        <w:rPr>
          <w:rFonts w:ascii="宋体" w:hAnsi="宋体" w:cs="宋体"/>
          <w:color w:val="auto"/>
          <w:sz w:val="28"/>
          <w:szCs w:val="28"/>
          <w:highlight w:val="none"/>
        </w:rPr>
      </w:pPr>
    </w:p>
    <w:p w14:paraId="73B1F07C">
      <w:pPr>
        <w:rPr>
          <w:rFonts w:ascii="宋体" w:hAnsi="宋体" w:cs="宋体"/>
          <w:b/>
          <w:color w:val="auto"/>
          <w:sz w:val="28"/>
          <w:szCs w:val="28"/>
          <w:highlight w:val="none"/>
        </w:rPr>
      </w:pPr>
    </w:p>
    <w:p w14:paraId="53D3B4C0">
      <w:pPr>
        <w:pStyle w:val="2"/>
        <w:rPr>
          <w:rFonts w:ascii="宋体" w:hAnsi="宋体" w:cs="宋体"/>
          <w:color w:val="auto"/>
          <w:sz w:val="28"/>
          <w:szCs w:val="28"/>
          <w:highlight w:val="none"/>
        </w:rPr>
      </w:pPr>
    </w:p>
    <w:p w14:paraId="34375BC6">
      <w:pPr>
        <w:rPr>
          <w:rFonts w:ascii="宋体" w:hAnsi="宋体" w:cs="宋体"/>
          <w:b/>
          <w:color w:val="auto"/>
          <w:sz w:val="28"/>
          <w:szCs w:val="28"/>
          <w:highlight w:val="none"/>
        </w:rPr>
      </w:pPr>
    </w:p>
    <w:p w14:paraId="12A6D152">
      <w:pPr>
        <w:pStyle w:val="2"/>
        <w:rPr>
          <w:color w:val="auto"/>
          <w:highlight w:val="none"/>
        </w:rPr>
      </w:pPr>
    </w:p>
    <w:p w14:paraId="74D715AF">
      <w:pPr>
        <w:rPr>
          <w:rFonts w:ascii="宋体" w:hAnsi="宋体" w:cs="宋体"/>
          <w:b/>
          <w:color w:val="auto"/>
          <w:sz w:val="28"/>
          <w:szCs w:val="28"/>
          <w:highlight w:val="none"/>
        </w:rPr>
      </w:pPr>
    </w:p>
    <w:p w14:paraId="6FE17E7F">
      <w:pPr>
        <w:pStyle w:val="19"/>
        <w:rPr>
          <w:color w:val="auto"/>
          <w:highlight w:val="none"/>
        </w:rPr>
      </w:pPr>
    </w:p>
    <w:p w14:paraId="5B3DD2D5">
      <w:pPr>
        <w:pStyle w:val="27"/>
        <w:rPr>
          <w:rFonts w:hAnsi="宋体" w:cs="宋体"/>
          <w:b/>
          <w:color w:val="auto"/>
          <w:sz w:val="32"/>
          <w:highlight w:val="none"/>
        </w:rPr>
      </w:pPr>
      <w:r>
        <w:rPr>
          <w:rFonts w:hint="eastAsia" w:hAnsi="宋体" w:cs="宋体"/>
          <w:b/>
          <w:color w:val="auto"/>
          <w:sz w:val="32"/>
          <w:highlight w:val="none"/>
        </w:rPr>
        <w:t>附件：</w:t>
      </w:r>
    </w:p>
    <w:p w14:paraId="177333C2">
      <w:pPr>
        <w:pStyle w:val="27"/>
        <w:jc w:val="center"/>
        <w:rPr>
          <w:rFonts w:hAnsi="宋体" w:cs="宋体"/>
          <w:b/>
          <w:color w:val="auto"/>
          <w:sz w:val="32"/>
          <w:highlight w:val="none"/>
        </w:rPr>
      </w:pPr>
      <w:bookmarkStart w:id="976" w:name="_Toc5420_WPSOffice_Level1"/>
      <w:bookmarkStart w:id="977" w:name="_Toc964_WPSOffice_Level1"/>
      <w:r>
        <w:rPr>
          <w:rFonts w:hint="eastAsia" w:hAnsi="宋体" w:cs="宋体"/>
          <w:b/>
          <w:color w:val="auto"/>
          <w:sz w:val="32"/>
          <w:highlight w:val="none"/>
        </w:rPr>
        <w:t>授权委托书</w:t>
      </w:r>
      <w:bookmarkEnd w:id="976"/>
      <w:bookmarkEnd w:id="977"/>
    </w:p>
    <w:p w14:paraId="3C75D568">
      <w:pPr>
        <w:pStyle w:val="27"/>
        <w:rPr>
          <w:rFonts w:hAnsi="宋体" w:cs="宋体"/>
          <w:color w:val="auto"/>
          <w:highlight w:val="none"/>
        </w:rPr>
      </w:pPr>
    </w:p>
    <w:p w14:paraId="549E1161">
      <w:pP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（采购人） </w:t>
      </w:r>
    </w:p>
    <w:p w14:paraId="0530297D">
      <w:pPr>
        <w:spacing w:line="400" w:lineRule="exact"/>
        <w:rPr>
          <w:rFonts w:ascii="宋体" w:hAnsi="宋体" w:cs="宋体"/>
          <w:color w:val="auto"/>
          <w:szCs w:val="21"/>
          <w:highlight w:val="none"/>
        </w:rPr>
      </w:pPr>
    </w:p>
    <w:p w14:paraId="4C6530E6">
      <w:pPr>
        <w:pStyle w:val="27"/>
        <w:spacing w:line="400" w:lineRule="exact"/>
        <w:ind w:firstLine="420" w:firstLineChars="20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w:t>
      </w:r>
      <w:r>
        <w:rPr>
          <w:rFonts w:hint="eastAsia" w:hAnsi="宋体" w:cs="宋体"/>
          <w:color w:val="auto"/>
          <w:kern w:val="0"/>
          <w:highlight w:val="none"/>
          <w:u w:val="single"/>
        </w:rPr>
        <w:t xml:space="preserve">                              </w:t>
      </w:r>
      <w:r>
        <w:rPr>
          <w:rFonts w:hint="eastAsia" w:hAnsi="宋体" w:cs="宋体"/>
          <w:color w:val="auto"/>
          <w:kern w:val="0"/>
          <w:highlight w:val="none"/>
        </w:rPr>
        <w:t>（供应商名称）的法定代表人（负责人），现授权委托本单位在职职工</w:t>
      </w:r>
      <w:r>
        <w:rPr>
          <w:rFonts w:hint="eastAsia" w:hAnsi="宋体" w:cs="宋体"/>
          <w:color w:val="auto"/>
          <w:kern w:val="0"/>
          <w:highlight w:val="none"/>
          <w:u w:val="single"/>
        </w:rPr>
        <w:t xml:space="preserve">            </w:t>
      </w:r>
      <w:r>
        <w:rPr>
          <w:rFonts w:hint="eastAsia" w:hAnsi="宋体" w:cs="宋体"/>
          <w:color w:val="auto"/>
          <w:kern w:val="0"/>
          <w:highlight w:val="none"/>
        </w:rPr>
        <w:t>（姓 名）以我公司名义参加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项目的谈判活动，并代表我方全权办理针对上述项目的谈判、签约等具体事务和签署相关文件。</w:t>
      </w:r>
    </w:p>
    <w:p w14:paraId="1DD70173">
      <w:pPr>
        <w:pStyle w:val="27"/>
        <w:spacing w:line="400" w:lineRule="exact"/>
        <w:ind w:firstLine="420" w:firstLineChars="200"/>
        <w:rPr>
          <w:rFonts w:hAnsi="宋体" w:cs="宋体"/>
          <w:color w:val="auto"/>
          <w:highlight w:val="none"/>
        </w:rPr>
      </w:pPr>
      <w:r>
        <w:rPr>
          <w:rFonts w:hint="eastAsia" w:hAnsi="宋体" w:cs="宋体"/>
          <w:color w:val="auto"/>
          <w:highlight w:val="none"/>
        </w:rPr>
        <w:t>我方对被授权人的签字事项负全部责任。</w:t>
      </w:r>
    </w:p>
    <w:p w14:paraId="264BCCB4">
      <w:pPr>
        <w:pStyle w:val="27"/>
        <w:spacing w:line="400" w:lineRule="exact"/>
        <w:rPr>
          <w:rFonts w:hAnsi="宋体" w:cs="宋体"/>
          <w:color w:val="auto"/>
          <w:highlight w:val="none"/>
          <w:u w:val="single"/>
        </w:rPr>
      </w:pPr>
      <w:r>
        <w:rPr>
          <w:rFonts w:hint="eastAsia" w:hAnsi="宋体" w:cs="宋体"/>
          <w:color w:val="auto"/>
          <w:highlight w:val="none"/>
        </w:rPr>
        <w:t xml:space="preserve">                                                                                             </w:t>
      </w:r>
    </w:p>
    <w:p w14:paraId="5A02F8D1">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60E92D5F">
      <w:pPr>
        <w:spacing w:line="400" w:lineRule="exact"/>
        <w:ind w:firstLine="420" w:firstLineChars="200"/>
        <w:rPr>
          <w:rFonts w:ascii="宋体" w:hAnsi="宋体" w:cs="宋体"/>
          <w:color w:val="auto"/>
          <w:kern w:val="0"/>
          <w:highlight w:val="none"/>
        </w:rPr>
      </w:pPr>
    </w:p>
    <w:p w14:paraId="3A4DF1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0CCB3B02">
      <w:pPr>
        <w:spacing w:line="400" w:lineRule="exact"/>
        <w:ind w:firstLine="420" w:firstLineChars="200"/>
        <w:rPr>
          <w:rFonts w:ascii="宋体" w:hAnsi="宋体" w:cs="宋体"/>
          <w:color w:val="auto"/>
          <w:szCs w:val="21"/>
          <w:highlight w:val="none"/>
        </w:rPr>
      </w:pPr>
    </w:p>
    <w:p w14:paraId="0740DA60">
      <w:pPr>
        <w:spacing w:line="400" w:lineRule="exact"/>
        <w:ind w:firstLine="420" w:firstLineChars="200"/>
        <w:rPr>
          <w:rFonts w:ascii="宋体" w:hAnsi="宋体" w:cs="宋体"/>
          <w:color w:val="auto"/>
          <w:szCs w:val="21"/>
          <w:highlight w:val="none"/>
        </w:rPr>
      </w:pPr>
    </w:p>
    <w:p w14:paraId="67C05A12">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谈判供应商[公章（CA签章）]：</w:t>
      </w:r>
      <w:r>
        <w:rPr>
          <w:rFonts w:hint="eastAsia" w:ascii="宋体" w:hAnsi="宋体" w:cs="宋体"/>
          <w:color w:val="auto"/>
          <w:szCs w:val="21"/>
          <w:highlight w:val="none"/>
          <w:u w:val="single"/>
        </w:rPr>
        <w:t xml:space="preserve">                                   </w:t>
      </w:r>
    </w:p>
    <w:p w14:paraId="4D747AE3">
      <w:pPr>
        <w:snapToGrid w:val="0"/>
        <w:spacing w:line="400" w:lineRule="exact"/>
        <w:ind w:firstLine="420"/>
        <w:rPr>
          <w:rFonts w:ascii="宋体" w:hAnsi="宋体" w:cs="宋体"/>
          <w:color w:val="auto"/>
          <w:szCs w:val="21"/>
          <w:highlight w:val="none"/>
        </w:rPr>
      </w:pPr>
    </w:p>
    <w:p w14:paraId="471451FE">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AC9EA15">
      <w:pPr>
        <w:pStyle w:val="19"/>
        <w:rPr>
          <w:rFonts w:ascii="宋体" w:hAnsi="宋体" w:cs="宋体"/>
          <w:color w:val="auto"/>
          <w:highlight w:val="none"/>
        </w:rPr>
      </w:pPr>
    </w:p>
    <w:p w14:paraId="73B4F50B">
      <w:pPr>
        <w:spacing w:line="440" w:lineRule="atLeast"/>
        <w:rPr>
          <w:rFonts w:ascii="宋体" w:hAnsi="宋体" w:cs="宋体"/>
          <w:b/>
          <w:color w:val="auto"/>
          <w:szCs w:val="21"/>
          <w:highlight w:val="none"/>
        </w:rPr>
      </w:pPr>
      <w:r>
        <w:rPr>
          <w:rFonts w:hint="eastAsia" w:ascii="宋体" w:hAnsi="宋体" w:cs="宋体"/>
          <w:b/>
          <w:color w:val="auto"/>
          <w:szCs w:val="21"/>
          <w:highlight w:val="none"/>
        </w:rPr>
        <w:t>附：委托代理人有效身份证正反面复印件以及由县级以上（含县级）社会养老保险经办机构出具的供应商为委托代理人交纳的响应文件递交截止时间前半年内任意一个月社保证明复印件，除供应商为以下三种情形的：</w:t>
      </w:r>
    </w:p>
    <w:p w14:paraId="77FA3CFF">
      <w:pPr>
        <w:spacing w:line="440" w:lineRule="atLeast"/>
        <w:rPr>
          <w:rFonts w:ascii="宋体" w:hAnsi="宋体" w:cs="宋体"/>
          <w:b/>
          <w:color w:val="auto"/>
          <w:szCs w:val="21"/>
          <w:highlight w:val="none"/>
        </w:rPr>
      </w:pPr>
      <w:r>
        <w:rPr>
          <w:rFonts w:hint="eastAsia" w:ascii="宋体" w:hAnsi="宋体" w:cs="宋体"/>
          <w:b/>
          <w:color w:val="auto"/>
          <w:szCs w:val="21"/>
          <w:highlight w:val="none"/>
        </w:rPr>
        <w:t>（1） 如供应商为截标时间前60日以内成立的公司，可以提供供应商与委托代理人签订的劳动合同复印件代替社保证明复印件；</w:t>
      </w:r>
    </w:p>
    <w:p w14:paraId="6C92E264">
      <w:pPr>
        <w:spacing w:line="440" w:lineRule="atLeast"/>
        <w:rPr>
          <w:rFonts w:ascii="宋体" w:hAnsi="宋体" w:cs="宋体"/>
          <w:b/>
          <w:color w:val="auto"/>
          <w:szCs w:val="21"/>
          <w:highlight w:val="none"/>
        </w:rPr>
      </w:pPr>
      <w:r>
        <w:rPr>
          <w:rFonts w:hint="eastAsia" w:ascii="宋体" w:hAnsi="宋体" w:cs="宋体"/>
          <w:b/>
          <w:color w:val="auto"/>
          <w:szCs w:val="21"/>
          <w:highlight w:val="none"/>
        </w:rPr>
        <w:t>（2）如供应商为事业单位，可以提供事业单位机构编制管理证复印件或事业单位机构为其发放工资的工资条复印件代替社保证明复印件；</w:t>
      </w:r>
    </w:p>
    <w:p w14:paraId="7D529E02">
      <w:pPr>
        <w:spacing w:line="440" w:lineRule="atLeast"/>
        <w:rPr>
          <w:rFonts w:ascii="宋体" w:hAnsi="宋体" w:cs="宋体"/>
          <w:b/>
          <w:color w:val="auto"/>
          <w:szCs w:val="21"/>
          <w:highlight w:val="none"/>
        </w:rPr>
      </w:pPr>
      <w:r>
        <w:rPr>
          <w:rFonts w:hint="eastAsia" w:ascii="宋体" w:hAnsi="宋体" w:cs="宋体"/>
          <w:b/>
          <w:color w:val="auto"/>
          <w:szCs w:val="21"/>
          <w:highlight w:val="none"/>
        </w:rPr>
        <w:t>（3）如委托代理人为免缴纳社保人员，提供免缴纳社保的证明材料复印件及供应商与委托代理人签订的劳动合同复印件代替社保证明复印件。</w:t>
      </w:r>
    </w:p>
    <w:p w14:paraId="5757550A">
      <w:pPr>
        <w:pStyle w:val="27"/>
        <w:spacing w:line="340" w:lineRule="exact"/>
        <w:ind w:firstLine="420" w:firstLineChars="200"/>
        <w:rPr>
          <w:rFonts w:hAnsi="宋体" w:cs="宋体"/>
          <w:color w:val="auto"/>
          <w:highlight w:val="none"/>
        </w:rPr>
      </w:pPr>
    </w:p>
    <w:p w14:paraId="4A2299C6">
      <w:pPr>
        <w:pStyle w:val="12"/>
        <w:ind w:left="2940"/>
        <w:rPr>
          <w:rFonts w:ascii="宋体" w:hAnsi="宋体" w:cs="宋体"/>
          <w:color w:val="auto"/>
          <w:highlight w:val="none"/>
        </w:rPr>
      </w:pPr>
    </w:p>
    <w:p w14:paraId="5837B641">
      <w:pPr>
        <w:rPr>
          <w:rFonts w:ascii="宋体" w:hAnsi="宋体" w:cs="宋体"/>
          <w:color w:val="auto"/>
          <w:highlight w:val="none"/>
        </w:rPr>
      </w:pPr>
    </w:p>
    <w:p w14:paraId="0703DDE7">
      <w:pPr>
        <w:pStyle w:val="2"/>
        <w:rPr>
          <w:color w:val="auto"/>
          <w:highlight w:val="none"/>
        </w:rPr>
      </w:pPr>
    </w:p>
    <w:p w14:paraId="127C34FB">
      <w:pPr>
        <w:rPr>
          <w:rFonts w:ascii="宋体" w:hAnsi="宋体" w:cs="宋体"/>
          <w:color w:val="auto"/>
          <w:highlight w:val="none"/>
        </w:rPr>
      </w:pPr>
    </w:p>
    <w:p w14:paraId="7275AAF2">
      <w:pPr>
        <w:pStyle w:val="12"/>
        <w:ind w:left="0" w:leftChars="0"/>
        <w:outlineLvl w:val="1"/>
        <w:rPr>
          <w:rFonts w:ascii="宋体" w:hAnsi="宋体" w:cs="宋体"/>
          <w:b/>
          <w:color w:val="auto"/>
          <w:sz w:val="28"/>
          <w:szCs w:val="28"/>
          <w:highlight w:val="none"/>
        </w:rPr>
      </w:pPr>
      <w:bookmarkStart w:id="978" w:name="_Toc2550"/>
      <w:bookmarkStart w:id="979" w:name="_Toc2683"/>
      <w:bookmarkStart w:id="980" w:name="_Toc24664"/>
      <w:bookmarkStart w:id="981" w:name="_Toc14148"/>
      <w:bookmarkStart w:id="982" w:name="_Toc27156"/>
      <w:bookmarkStart w:id="983" w:name="_Toc2998"/>
      <w:r>
        <w:rPr>
          <w:rFonts w:hint="eastAsia" w:ascii="宋体" w:hAnsi="宋体" w:cs="宋体"/>
          <w:b/>
          <w:color w:val="auto"/>
          <w:sz w:val="28"/>
          <w:szCs w:val="28"/>
          <w:highlight w:val="none"/>
        </w:rPr>
        <w:t>3.供应商参加政府采购活动前3年内在经营活动中没有重大违法记录及有关信用信息的书面声明（必须提供）；</w:t>
      </w:r>
      <w:bookmarkEnd w:id="978"/>
      <w:bookmarkEnd w:id="979"/>
      <w:bookmarkEnd w:id="980"/>
      <w:bookmarkEnd w:id="981"/>
      <w:bookmarkEnd w:id="982"/>
      <w:bookmarkEnd w:id="983"/>
    </w:p>
    <w:p w14:paraId="2112A535">
      <w:pPr>
        <w:pStyle w:val="27"/>
        <w:spacing w:line="400" w:lineRule="exact"/>
        <w:ind w:left="420" w:leftChars="200" w:firstLine="157" w:firstLineChars="49"/>
        <w:rPr>
          <w:rFonts w:hAnsi="宋体" w:cs="宋体"/>
          <w:b/>
          <w:color w:val="auto"/>
          <w:sz w:val="32"/>
          <w:szCs w:val="32"/>
          <w:highlight w:val="none"/>
        </w:rPr>
      </w:pPr>
      <w:r>
        <w:rPr>
          <w:rFonts w:hint="eastAsia" w:hAnsi="宋体" w:cs="宋体"/>
          <w:b/>
          <w:color w:val="auto"/>
          <w:sz w:val="32"/>
          <w:szCs w:val="32"/>
          <w:highlight w:val="none"/>
        </w:rPr>
        <w:t xml:space="preserve">                       </w:t>
      </w:r>
    </w:p>
    <w:p w14:paraId="7579FAD1">
      <w:pPr>
        <w:pStyle w:val="27"/>
        <w:spacing w:line="400" w:lineRule="exact"/>
        <w:rPr>
          <w:rFonts w:hAnsi="宋体" w:cs="宋体"/>
          <w:b/>
          <w:color w:val="auto"/>
          <w:sz w:val="32"/>
          <w:szCs w:val="32"/>
          <w:highlight w:val="none"/>
        </w:rPr>
      </w:pPr>
      <w:r>
        <w:rPr>
          <w:rFonts w:hint="eastAsia" w:hAnsi="宋体" w:cs="宋体"/>
          <w:b/>
          <w:color w:val="auto"/>
          <w:sz w:val="32"/>
          <w:szCs w:val="32"/>
          <w:highlight w:val="none"/>
        </w:rPr>
        <w:t>附件：</w:t>
      </w:r>
    </w:p>
    <w:p w14:paraId="7C3C4D29">
      <w:pPr>
        <w:pStyle w:val="27"/>
        <w:spacing w:line="400" w:lineRule="exact"/>
        <w:jc w:val="center"/>
        <w:rPr>
          <w:rFonts w:hAnsi="宋体" w:cs="宋体"/>
          <w:b/>
          <w:color w:val="auto"/>
          <w:sz w:val="32"/>
          <w:szCs w:val="32"/>
          <w:highlight w:val="none"/>
        </w:rPr>
      </w:pPr>
      <w:bookmarkStart w:id="984" w:name="_Toc30890_WPSOffice_Level1"/>
      <w:bookmarkStart w:id="985" w:name="_Toc30304_WPSOffice_Level1"/>
      <w:r>
        <w:rPr>
          <w:rFonts w:hint="eastAsia" w:hAnsi="宋体" w:cs="宋体"/>
          <w:b/>
          <w:color w:val="auto"/>
          <w:sz w:val="32"/>
          <w:szCs w:val="32"/>
          <w:highlight w:val="none"/>
        </w:rPr>
        <w:t>声   明</w:t>
      </w:r>
      <w:bookmarkEnd w:id="984"/>
      <w:bookmarkEnd w:id="985"/>
    </w:p>
    <w:p w14:paraId="03EDBBB0">
      <w:pPr>
        <w:pStyle w:val="27"/>
        <w:spacing w:line="400" w:lineRule="exact"/>
        <w:rPr>
          <w:rFonts w:hAnsi="宋体" w:cs="宋体"/>
          <w:b/>
          <w:color w:val="auto"/>
          <w:sz w:val="32"/>
          <w:szCs w:val="32"/>
          <w:highlight w:val="none"/>
        </w:rPr>
      </w:pPr>
    </w:p>
    <w:p w14:paraId="5E6EA8B8">
      <w:pPr>
        <w:pStyle w:val="27"/>
        <w:spacing w:line="400" w:lineRule="exact"/>
        <w:rPr>
          <w:rFonts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（采购人） </w:t>
      </w:r>
    </w:p>
    <w:p w14:paraId="67219817">
      <w:pPr>
        <w:rPr>
          <w:rFonts w:ascii="宋体" w:hAnsi="宋体" w:cs="宋体"/>
          <w:color w:val="auto"/>
          <w:szCs w:val="21"/>
          <w:highlight w:val="none"/>
          <w:u w:val="single"/>
        </w:rPr>
      </w:pPr>
    </w:p>
    <w:p w14:paraId="204A56FF">
      <w:pPr>
        <w:pStyle w:val="19"/>
        <w:rPr>
          <w:rFonts w:ascii="宋体" w:hAnsi="宋体" w:cs="宋体"/>
          <w:color w:val="auto"/>
          <w:highlight w:val="none"/>
        </w:rPr>
      </w:pPr>
    </w:p>
    <w:p w14:paraId="44992E22">
      <w:pPr>
        <w:pStyle w:val="27"/>
        <w:spacing w:line="40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9063D34">
      <w:pPr>
        <w:rPr>
          <w:rFonts w:ascii="宋体" w:hAnsi="宋体" w:cs="宋体"/>
          <w:color w:val="auto"/>
          <w:highlight w:val="none"/>
        </w:rPr>
      </w:pPr>
    </w:p>
    <w:p w14:paraId="65DC345E">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谈判供应商[公章(CA签章)]：</w:t>
      </w:r>
      <w:r>
        <w:rPr>
          <w:rFonts w:hint="eastAsia" w:ascii="宋体" w:hAnsi="宋体" w:cs="宋体"/>
          <w:color w:val="auto"/>
          <w:szCs w:val="21"/>
          <w:highlight w:val="none"/>
          <w:u w:val="single"/>
        </w:rPr>
        <w:t xml:space="preserve">                       </w:t>
      </w:r>
    </w:p>
    <w:p w14:paraId="463963B0">
      <w:pPr>
        <w:pStyle w:val="27"/>
        <w:ind w:firstLine="3990" w:firstLineChars="1900"/>
        <w:rPr>
          <w:rFonts w:hAnsi="宋体" w:cs="宋体"/>
          <w:color w:val="auto"/>
          <w:highlight w:val="none"/>
        </w:rPr>
      </w:pPr>
    </w:p>
    <w:p w14:paraId="7292D6DE">
      <w:pPr>
        <w:pStyle w:val="27"/>
        <w:ind w:firstLine="2100" w:firstLineChars="1000"/>
        <w:rPr>
          <w:rFonts w:hAnsi="宋体" w:cs="宋体"/>
          <w:color w:val="auto"/>
          <w:highlight w:val="none"/>
          <w:u w:val="single"/>
        </w:rPr>
      </w:pPr>
      <w:r>
        <w:rPr>
          <w:rFonts w:hint="eastAsia" w:hAnsi="宋体" w:cs="宋体"/>
          <w:color w:val="auto"/>
          <w:highlight w:val="none"/>
        </w:rPr>
        <w:t>日          期：</w:t>
      </w:r>
      <w:r>
        <w:rPr>
          <w:rFonts w:hint="eastAsia" w:hAnsi="宋体" w:cs="宋体"/>
          <w:color w:val="auto"/>
          <w:highlight w:val="none"/>
          <w:u w:val="single"/>
        </w:rPr>
        <w:t xml:space="preserve">                            </w:t>
      </w:r>
    </w:p>
    <w:p w14:paraId="4F3AA067">
      <w:pPr>
        <w:pStyle w:val="27"/>
        <w:spacing w:line="340" w:lineRule="exact"/>
        <w:rPr>
          <w:rFonts w:hAnsi="宋体" w:cs="宋体"/>
          <w:b/>
          <w:color w:val="auto"/>
          <w:sz w:val="28"/>
          <w:szCs w:val="28"/>
          <w:highlight w:val="none"/>
        </w:rPr>
      </w:pPr>
    </w:p>
    <w:p w14:paraId="2D8F82AA">
      <w:pPr>
        <w:pStyle w:val="27"/>
        <w:spacing w:line="340" w:lineRule="exact"/>
        <w:rPr>
          <w:rFonts w:hAnsi="宋体" w:cs="宋体"/>
          <w:b/>
          <w:color w:val="auto"/>
          <w:sz w:val="28"/>
          <w:szCs w:val="28"/>
          <w:highlight w:val="none"/>
        </w:rPr>
      </w:pPr>
    </w:p>
    <w:p w14:paraId="5E478E80">
      <w:pPr>
        <w:rPr>
          <w:rFonts w:ascii="宋体" w:hAnsi="宋体" w:cs="宋体"/>
          <w:b/>
          <w:color w:val="auto"/>
          <w:sz w:val="28"/>
          <w:szCs w:val="28"/>
          <w:highlight w:val="none"/>
        </w:rPr>
      </w:pPr>
    </w:p>
    <w:p w14:paraId="76F49156">
      <w:pPr>
        <w:pStyle w:val="2"/>
        <w:rPr>
          <w:rFonts w:ascii="宋体" w:hAnsi="宋体" w:cs="宋体"/>
          <w:color w:val="auto"/>
          <w:sz w:val="28"/>
          <w:szCs w:val="28"/>
          <w:highlight w:val="none"/>
        </w:rPr>
      </w:pPr>
    </w:p>
    <w:p w14:paraId="43CFDD6A">
      <w:pPr>
        <w:rPr>
          <w:rFonts w:ascii="宋体" w:hAnsi="宋体" w:cs="宋体"/>
          <w:b/>
          <w:color w:val="auto"/>
          <w:sz w:val="28"/>
          <w:szCs w:val="28"/>
          <w:highlight w:val="none"/>
        </w:rPr>
      </w:pPr>
    </w:p>
    <w:p w14:paraId="14774C0F">
      <w:pPr>
        <w:pStyle w:val="2"/>
        <w:rPr>
          <w:color w:val="auto"/>
          <w:highlight w:val="none"/>
        </w:rPr>
      </w:pPr>
    </w:p>
    <w:p w14:paraId="06421340">
      <w:pPr>
        <w:pStyle w:val="27"/>
        <w:spacing w:line="340" w:lineRule="exact"/>
        <w:rPr>
          <w:rFonts w:hAnsi="宋体" w:cs="宋体"/>
          <w:b/>
          <w:color w:val="auto"/>
          <w:sz w:val="28"/>
          <w:szCs w:val="28"/>
          <w:highlight w:val="none"/>
        </w:rPr>
      </w:pPr>
    </w:p>
    <w:p w14:paraId="1E2C81A4">
      <w:pPr>
        <w:pStyle w:val="12"/>
        <w:ind w:left="0" w:leftChars="0"/>
        <w:outlineLvl w:val="1"/>
        <w:rPr>
          <w:rFonts w:ascii="宋体" w:hAnsi="宋体" w:cs="宋体"/>
          <w:b/>
          <w:color w:val="auto"/>
          <w:sz w:val="28"/>
          <w:szCs w:val="28"/>
          <w:highlight w:val="none"/>
        </w:rPr>
      </w:pPr>
      <w:bookmarkStart w:id="986" w:name="_Toc20647"/>
      <w:bookmarkStart w:id="987" w:name="_Toc28909"/>
      <w:bookmarkStart w:id="988" w:name="_Toc28801"/>
      <w:bookmarkStart w:id="989" w:name="_Toc12471"/>
      <w:bookmarkStart w:id="990" w:name="_Toc20796"/>
      <w:bookmarkStart w:id="991" w:name="_Toc32703"/>
      <w:r>
        <w:rPr>
          <w:rFonts w:hint="eastAsia" w:ascii="宋体" w:hAnsi="宋体" w:cs="宋体"/>
          <w:b/>
          <w:color w:val="auto"/>
          <w:sz w:val="28"/>
          <w:szCs w:val="28"/>
          <w:highlight w:val="none"/>
        </w:rPr>
        <w:t>4.供应商的法人或者其他组织营业执照等证明文件复印件（必须提供）；</w:t>
      </w:r>
      <w:bookmarkEnd w:id="986"/>
      <w:bookmarkEnd w:id="987"/>
      <w:bookmarkEnd w:id="988"/>
      <w:bookmarkEnd w:id="989"/>
      <w:bookmarkEnd w:id="990"/>
      <w:bookmarkEnd w:id="991"/>
    </w:p>
    <w:p w14:paraId="48079FF3">
      <w:pPr>
        <w:tabs>
          <w:tab w:val="left" w:pos="1305"/>
        </w:tabs>
        <w:spacing w:line="340" w:lineRule="exact"/>
        <w:rPr>
          <w:rFonts w:ascii="宋体" w:hAnsi="宋体" w:cs="宋体"/>
          <w:b/>
          <w:color w:val="auto"/>
          <w:szCs w:val="21"/>
          <w:highlight w:val="none"/>
        </w:rPr>
      </w:pPr>
    </w:p>
    <w:p w14:paraId="7DF6086B">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DA7D08A">
      <w:pPr>
        <w:rPr>
          <w:rFonts w:ascii="宋体" w:hAnsi="宋体" w:cs="宋体"/>
          <w:b/>
          <w:bCs/>
          <w:color w:val="auto"/>
          <w:sz w:val="28"/>
          <w:szCs w:val="28"/>
          <w:highlight w:val="none"/>
        </w:rPr>
      </w:pPr>
    </w:p>
    <w:p w14:paraId="5E73A469">
      <w:pPr>
        <w:pStyle w:val="12"/>
        <w:ind w:left="0" w:leftChars="0"/>
        <w:outlineLvl w:val="1"/>
        <w:rPr>
          <w:rFonts w:ascii="宋体" w:hAnsi="宋体" w:cs="宋体"/>
          <w:b/>
          <w:color w:val="auto"/>
          <w:sz w:val="28"/>
          <w:szCs w:val="28"/>
          <w:highlight w:val="none"/>
        </w:rPr>
      </w:pPr>
      <w:bookmarkStart w:id="992" w:name="_Toc29194"/>
      <w:bookmarkStart w:id="993" w:name="_Toc19732"/>
      <w:bookmarkStart w:id="994" w:name="_Toc6956"/>
      <w:bookmarkStart w:id="995" w:name="_Toc12697"/>
      <w:bookmarkStart w:id="996" w:name="_Toc23069"/>
      <w:bookmarkStart w:id="997" w:name="_Toc28158"/>
      <w:r>
        <w:rPr>
          <w:rFonts w:hint="eastAsia" w:ascii="宋体" w:hAnsi="宋体" w:cs="宋体"/>
          <w:b/>
          <w:color w:val="auto"/>
          <w:sz w:val="28"/>
          <w:szCs w:val="28"/>
          <w:highlight w:val="none"/>
        </w:rPr>
        <w:t>5.供应商有效的资质证书复印件（必须提供）；</w:t>
      </w:r>
      <w:bookmarkEnd w:id="992"/>
      <w:bookmarkEnd w:id="993"/>
      <w:bookmarkEnd w:id="994"/>
      <w:bookmarkEnd w:id="995"/>
      <w:bookmarkEnd w:id="996"/>
      <w:bookmarkEnd w:id="997"/>
    </w:p>
    <w:p w14:paraId="64242CDD">
      <w:pPr>
        <w:pStyle w:val="12"/>
        <w:ind w:left="0" w:leftChars="0"/>
        <w:rPr>
          <w:rFonts w:ascii="宋体" w:hAnsi="宋体" w:cs="宋体"/>
          <w:color w:val="auto"/>
          <w:highlight w:val="none"/>
        </w:rPr>
      </w:pPr>
    </w:p>
    <w:p w14:paraId="305874A9">
      <w:pPr>
        <w:pStyle w:val="27"/>
        <w:spacing w:line="340" w:lineRule="exact"/>
        <w:jc w:val="left"/>
        <w:rPr>
          <w:rFonts w:hAnsi="宋体" w:cs="宋体"/>
          <w:b/>
          <w:color w:val="auto"/>
          <w:sz w:val="28"/>
          <w:szCs w:val="28"/>
          <w:highlight w:val="none"/>
        </w:rPr>
      </w:pPr>
    </w:p>
    <w:p w14:paraId="574DF0F9">
      <w:pPr>
        <w:rPr>
          <w:color w:val="auto"/>
          <w:highlight w:val="none"/>
        </w:rPr>
      </w:pPr>
    </w:p>
    <w:p w14:paraId="61AFC87E">
      <w:pPr>
        <w:pStyle w:val="12"/>
        <w:ind w:left="0" w:leftChars="0"/>
        <w:jc w:val="left"/>
        <w:rPr>
          <w:rFonts w:ascii="宋体" w:hAnsi="宋体" w:cs="宋体"/>
          <w:b/>
          <w:color w:val="auto"/>
          <w:sz w:val="28"/>
          <w:szCs w:val="28"/>
          <w:highlight w:val="none"/>
        </w:rPr>
      </w:pPr>
    </w:p>
    <w:p w14:paraId="5D803E21">
      <w:pPr>
        <w:jc w:val="left"/>
        <w:rPr>
          <w:rFonts w:ascii="宋体" w:hAnsi="宋体" w:cs="宋体"/>
          <w:b/>
          <w:color w:val="auto"/>
          <w:sz w:val="28"/>
          <w:szCs w:val="28"/>
          <w:highlight w:val="none"/>
        </w:rPr>
      </w:pPr>
    </w:p>
    <w:p w14:paraId="501EF4D0">
      <w:pPr>
        <w:pStyle w:val="33"/>
        <w:rPr>
          <w:rFonts w:ascii="宋体" w:hAnsi="宋体" w:cs="宋体"/>
          <w:color w:val="auto"/>
          <w:highlight w:val="none"/>
        </w:rPr>
      </w:pPr>
    </w:p>
    <w:p w14:paraId="4B8EBC26">
      <w:pPr>
        <w:pStyle w:val="27"/>
        <w:spacing w:line="340" w:lineRule="exact"/>
        <w:jc w:val="left"/>
        <w:rPr>
          <w:rFonts w:hAnsi="宋体" w:cs="宋体"/>
          <w:b/>
          <w:color w:val="auto"/>
          <w:sz w:val="28"/>
          <w:szCs w:val="28"/>
          <w:highlight w:val="none"/>
        </w:rPr>
      </w:pPr>
    </w:p>
    <w:p w14:paraId="15095734">
      <w:pPr>
        <w:pStyle w:val="12"/>
        <w:ind w:left="0" w:leftChars="0"/>
        <w:outlineLvl w:val="1"/>
        <w:rPr>
          <w:rFonts w:ascii="宋体" w:hAnsi="宋体" w:cs="宋体"/>
          <w:b/>
          <w:color w:val="auto"/>
          <w:sz w:val="28"/>
          <w:szCs w:val="28"/>
          <w:highlight w:val="none"/>
        </w:rPr>
      </w:pPr>
      <w:bookmarkStart w:id="998" w:name="_Toc11223"/>
      <w:bookmarkStart w:id="999" w:name="_Toc12365"/>
      <w:bookmarkStart w:id="1000" w:name="_Toc12953"/>
      <w:bookmarkStart w:id="1001" w:name="_Toc23822"/>
      <w:bookmarkStart w:id="1002" w:name="_Toc15020"/>
      <w:bookmarkStart w:id="1003" w:name="_Toc17372"/>
      <w:r>
        <w:rPr>
          <w:rFonts w:hint="eastAsia" w:ascii="宋体" w:hAnsi="宋体" w:cs="宋体"/>
          <w:b/>
          <w:color w:val="auto"/>
          <w:sz w:val="28"/>
          <w:szCs w:val="28"/>
          <w:highlight w:val="none"/>
        </w:rPr>
        <w:t>6.</w:t>
      </w:r>
      <w:bookmarkEnd w:id="998"/>
      <w:bookmarkEnd w:id="999"/>
      <w:bookmarkEnd w:id="1000"/>
      <w:bookmarkEnd w:id="1001"/>
      <w:bookmarkEnd w:id="1002"/>
      <w:bookmarkEnd w:id="1003"/>
      <w:r>
        <w:rPr>
          <w:rFonts w:hint="eastAsia" w:ascii="宋体" w:hAnsi="宋体" w:cs="宋体"/>
          <w:b/>
          <w:color w:val="auto"/>
          <w:sz w:val="28"/>
          <w:szCs w:val="28"/>
          <w:highlight w:val="none"/>
        </w:rPr>
        <w:t>担任本工程的项目经理简历表（必须提供）；</w:t>
      </w:r>
    </w:p>
    <w:p w14:paraId="276189E1">
      <w:pPr>
        <w:jc w:val="center"/>
        <w:rPr>
          <w:rFonts w:ascii="宋体" w:hAnsi="宋体" w:cs="宋体"/>
          <w:b/>
          <w:color w:val="auto"/>
          <w:sz w:val="24"/>
          <w:highlight w:val="none"/>
        </w:rPr>
      </w:pPr>
    </w:p>
    <w:p w14:paraId="67C84067">
      <w:pPr>
        <w:jc w:val="center"/>
        <w:rPr>
          <w:color w:val="auto"/>
          <w:highlight w:val="none"/>
        </w:rPr>
      </w:pPr>
      <w:r>
        <w:rPr>
          <w:rFonts w:hint="eastAsia" w:ascii="宋体" w:hAnsi="宋体" w:cs="宋体"/>
          <w:b/>
          <w:color w:val="auto"/>
          <w:sz w:val="24"/>
          <w:highlight w:val="none"/>
        </w:rPr>
        <w:t>担任本工程的项目经理简历表</w:t>
      </w:r>
    </w:p>
    <w:tbl>
      <w:tblPr>
        <w:tblStyle w:val="54"/>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0C28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tcPr>
          <w:p w14:paraId="010D3093">
            <w:pPr>
              <w:spacing w:line="440" w:lineRule="exact"/>
              <w:jc w:val="center"/>
              <w:rPr>
                <w:rFonts w:ascii="宋体" w:hAnsi="宋体" w:cs="宋体"/>
                <w:color w:val="auto"/>
                <w:highlight w:val="none"/>
              </w:rPr>
            </w:pPr>
            <w:bookmarkStart w:id="1004" w:name="_Toc31765"/>
            <w:bookmarkStart w:id="1005" w:name="_Toc1162"/>
            <w:bookmarkStart w:id="1006" w:name="_Toc27290"/>
            <w:bookmarkStart w:id="1007" w:name="_Toc16476"/>
            <w:r>
              <w:rPr>
                <w:rFonts w:hint="eastAsia" w:ascii="宋体" w:hAnsi="宋体" w:cs="宋体"/>
                <w:color w:val="auto"/>
                <w:highlight w:val="none"/>
              </w:rPr>
              <w:t>姓  名</w:t>
            </w:r>
          </w:p>
        </w:tc>
        <w:tc>
          <w:tcPr>
            <w:tcW w:w="1608" w:type="dxa"/>
            <w:tcBorders>
              <w:top w:val="single" w:color="auto" w:sz="8" w:space="0"/>
            </w:tcBorders>
          </w:tcPr>
          <w:p w14:paraId="6BEDD6E3">
            <w:pPr>
              <w:spacing w:line="440" w:lineRule="exact"/>
              <w:jc w:val="center"/>
              <w:rPr>
                <w:rFonts w:ascii="宋体" w:hAnsi="宋体" w:cs="宋体"/>
                <w:color w:val="auto"/>
                <w:highlight w:val="none"/>
              </w:rPr>
            </w:pPr>
          </w:p>
        </w:tc>
        <w:tc>
          <w:tcPr>
            <w:tcW w:w="1072" w:type="dxa"/>
            <w:tcBorders>
              <w:top w:val="single" w:color="auto" w:sz="8" w:space="0"/>
            </w:tcBorders>
          </w:tcPr>
          <w:p w14:paraId="39CFBC8A">
            <w:pPr>
              <w:spacing w:line="440" w:lineRule="exact"/>
              <w:jc w:val="center"/>
              <w:rPr>
                <w:rFonts w:ascii="宋体" w:hAnsi="宋体" w:cs="宋体"/>
                <w:color w:val="auto"/>
                <w:highlight w:val="none"/>
              </w:rPr>
            </w:pPr>
            <w:r>
              <w:rPr>
                <w:rFonts w:hint="eastAsia" w:ascii="宋体" w:hAnsi="宋体" w:cs="宋体"/>
                <w:color w:val="auto"/>
                <w:highlight w:val="none"/>
              </w:rPr>
              <w:t>性  别</w:t>
            </w:r>
          </w:p>
        </w:tc>
        <w:tc>
          <w:tcPr>
            <w:tcW w:w="1072" w:type="dxa"/>
            <w:gridSpan w:val="3"/>
            <w:tcBorders>
              <w:top w:val="single" w:color="auto" w:sz="8" w:space="0"/>
            </w:tcBorders>
          </w:tcPr>
          <w:p w14:paraId="6FF466F5">
            <w:pPr>
              <w:spacing w:line="440" w:lineRule="exact"/>
              <w:jc w:val="center"/>
              <w:rPr>
                <w:rFonts w:ascii="宋体" w:hAnsi="宋体" w:cs="宋体"/>
                <w:color w:val="auto"/>
                <w:highlight w:val="none"/>
              </w:rPr>
            </w:pPr>
          </w:p>
        </w:tc>
        <w:tc>
          <w:tcPr>
            <w:tcW w:w="1340" w:type="dxa"/>
            <w:gridSpan w:val="2"/>
            <w:tcBorders>
              <w:top w:val="single" w:color="auto" w:sz="8" w:space="0"/>
            </w:tcBorders>
          </w:tcPr>
          <w:p w14:paraId="519B178D">
            <w:pPr>
              <w:spacing w:line="440" w:lineRule="exact"/>
              <w:jc w:val="center"/>
              <w:rPr>
                <w:rFonts w:ascii="宋体" w:hAnsi="宋体" w:cs="宋体"/>
                <w:color w:val="auto"/>
                <w:highlight w:val="none"/>
              </w:rPr>
            </w:pPr>
            <w:r>
              <w:rPr>
                <w:rFonts w:hint="eastAsia" w:ascii="宋体" w:hAnsi="宋体" w:cs="宋体"/>
                <w:color w:val="auto"/>
                <w:highlight w:val="none"/>
              </w:rPr>
              <w:t>年  龄</w:t>
            </w:r>
          </w:p>
        </w:tc>
        <w:tc>
          <w:tcPr>
            <w:tcW w:w="2144" w:type="dxa"/>
            <w:gridSpan w:val="3"/>
            <w:tcBorders>
              <w:top w:val="single" w:color="auto" w:sz="8" w:space="0"/>
              <w:right w:val="single" w:color="auto" w:sz="8" w:space="0"/>
            </w:tcBorders>
          </w:tcPr>
          <w:p w14:paraId="5867784A">
            <w:pPr>
              <w:spacing w:line="440" w:lineRule="exact"/>
              <w:jc w:val="center"/>
              <w:rPr>
                <w:rFonts w:ascii="宋体" w:hAnsi="宋体" w:cs="宋体"/>
                <w:color w:val="auto"/>
                <w:highlight w:val="none"/>
              </w:rPr>
            </w:pPr>
          </w:p>
        </w:tc>
      </w:tr>
      <w:tr w14:paraId="4376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D770E07">
            <w:pPr>
              <w:spacing w:line="440" w:lineRule="exact"/>
              <w:jc w:val="center"/>
              <w:rPr>
                <w:rFonts w:ascii="宋体" w:hAnsi="宋体" w:cs="宋体"/>
                <w:color w:val="auto"/>
                <w:highlight w:val="none"/>
              </w:rPr>
            </w:pPr>
            <w:r>
              <w:rPr>
                <w:rFonts w:hint="eastAsia" w:ascii="宋体" w:hAnsi="宋体" w:cs="宋体"/>
                <w:color w:val="auto"/>
                <w:highlight w:val="none"/>
              </w:rPr>
              <w:t>职  务</w:t>
            </w:r>
          </w:p>
        </w:tc>
        <w:tc>
          <w:tcPr>
            <w:tcW w:w="1608" w:type="dxa"/>
          </w:tcPr>
          <w:p w14:paraId="03749F53">
            <w:pPr>
              <w:spacing w:line="440" w:lineRule="exact"/>
              <w:jc w:val="center"/>
              <w:rPr>
                <w:rFonts w:ascii="宋体" w:hAnsi="宋体" w:cs="宋体"/>
                <w:color w:val="auto"/>
                <w:highlight w:val="none"/>
              </w:rPr>
            </w:pPr>
          </w:p>
        </w:tc>
        <w:tc>
          <w:tcPr>
            <w:tcW w:w="1072" w:type="dxa"/>
          </w:tcPr>
          <w:p w14:paraId="24B9AB9A">
            <w:pPr>
              <w:spacing w:line="440" w:lineRule="exact"/>
              <w:jc w:val="center"/>
              <w:rPr>
                <w:rFonts w:ascii="宋体" w:hAnsi="宋体" w:cs="宋体"/>
                <w:color w:val="auto"/>
                <w:highlight w:val="none"/>
              </w:rPr>
            </w:pPr>
            <w:r>
              <w:rPr>
                <w:rFonts w:hint="eastAsia" w:ascii="宋体" w:hAnsi="宋体" w:cs="宋体"/>
                <w:color w:val="auto"/>
                <w:highlight w:val="none"/>
              </w:rPr>
              <w:t>职  称</w:t>
            </w:r>
          </w:p>
        </w:tc>
        <w:tc>
          <w:tcPr>
            <w:tcW w:w="1072" w:type="dxa"/>
            <w:gridSpan w:val="3"/>
          </w:tcPr>
          <w:p w14:paraId="4E6EF6A2">
            <w:pPr>
              <w:spacing w:line="440" w:lineRule="exact"/>
              <w:jc w:val="center"/>
              <w:rPr>
                <w:rFonts w:ascii="宋体" w:hAnsi="宋体" w:cs="宋体"/>
                <w:color w:val="auto"/>
                <w:highlight w:val="none"/>
              </w:rPr>
            </w:pPr>
          </w:p>
        </w:tc>
        <w:tc>
          <w:tcPr>
            <w:tcW w:w="1340" w:type="dxa"/>
            <w:gridSpan w:val="2"/>
          </w:tcPr>
          <w:p w14:paraId="5845AE1A">
            <w:pPr>
              <w:spacing w:line="440" w:lineRule="exact"/>
              <w:jc w:val="center"/>
              <w:rPr>
                <w:rFonts w:ascii="宋体" w:hAnsi="宋体" w:cs="宋体"/>
                <w:color w:val="auto"/>
                <w:highlight w:val="none"/>
              </w:rPr>
            </w:pPr>
            <w:r>
              <w:rPr>
                <w:rFonts w:hint="eastAsia" w:ascii="宋体" w:hAnsi="宋体" w:cs="宋体"/>
                <w:color w:val="auto"/>
                <w:highlight w:val="none"/>
              </w:rPr>
              <w:t>学  历</w:t>
            </w:r>
          </w:p>
        </w:tc>
        <w:tc>
          <w:tcPr>
            <w:tcW w:w="2144" w:type="dxa"/>
            <w:gridSpan w:val="3"/>
            <w:tcBorders>
              <w:right w:val="single" w:color="auto" w:sz="8" w:space="0"/>
            </w:tcBorders>
          </w:tcPr>
          <w:p w14:paraId="5B96BE3F">
            <w:pPr>
              <w:spacing w:line="440" w:lineRule="exact"/>
              <w:jc w:val="center"/>
              <w:rPr>
                <w:rFonts w:ascii="宋体" w:hAnsi="宋体" w:cs="宋体"/>
                <w:color w:val="auto"/>
                <w:highlight w:val="none"/>
              </w:rPr>
            </w:pPr>
          </w:p>
        </w:tc>
      </w:tr>
      <w:tr w14:paraId="774E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tcPr>
          <w:p w14:paraId="5F3DBAE0">
            <w:pPr>
              <w:spacing w:line="440" w:lineRule="exact"/>
              <w:jc w:val="center"/>
              <w:rPr>
                <w:rFonts w:ascii="宋体" w:hAnsi="宋体" w:cs="宋体"/>
                <w:color w:val="auto"/>
                <w:highlight w:val="none"/>
              </w:rPr>
            </w:pPr>
            <w:r>
              <w:rPr>
                <w:rFonts w:hint="eastAsia" w:ascii="宋体" w:hAnsi="宋体" w:cs="宋体"/>
                <w:color w:val="auto"/>
                <w:highlight w:val="none"/>
              </w:rPr>
              <w:t>专  业</w:t>
            </w:r>
          </w:p>
        </w:tc>
        <w:tc>
          <w:tcPr>
            <w:tcW w:w="2708" w:type="dxa"/>
            <w:gridSpan w:val="3"/>
          </w:tcPr>
          <w:p w14:paraId="5118C1E9">
            <w:pPr>
              <w:spacing w:line="440" w:lineRule="exact"/>
              <w:rPr>
                <w:rFonts w:ascii="宋体" w:hAnsi="宋体" w:cs="宋体"/>
                <w:color w:val="auto"/>
                <w:highlight w:val="none"/>
              </w:rPr>
            </w:pPr>
          </w:p>
        </w:tc>
        <w:tc>
          <w:tcPr>
            <w:tcW w:w="2880" w:type="dxa"/>
            <w:gridSpan w:val="5"/>
          </w:tcPr>
          <w:p w14:paraId="4B28A49C">
            <w:pPr>
              <w:spacing w:line="440" w:lineRule="exact"/>
              <w:rPr>
                <w:rFonts w:ascii="宋体" w:hAnsi="宋体" w:cs="宋体"/>
                <w:color w:val="auto"/>
                <w:highlight w:val="none"/>
              </w:rPr>
            </w:pPr>
            <w:r>
              <w:rPr>
                <w:rFonts w:hint="eastAsia" w:ascii="宋体" w:hAnsi="宋体" w:cs="宋体"/>
                <w:color w:val="auto"/>
                <w:highlight w:val="none"/>
              </w:rPr>
              <w:t>从事项目经理或建造师年限</w:t>
            </w:r>
          </w:p>
        </w:tc>
        <w:tc>
          <w:tcPr>
            <w:tcW w:w="1648" w:type="dxa"/>
            <w:gridSpan w:val="2"/>
            <w:tcBorders>
              <w:right w:val="single" w:color="auto" w:sz="8" w:space="0"/>
            </w:tcBorders>
          </w:tcPr>
          <w:p w14:paraId="632D3883">
            <w:pPr>
              <w:spacing w:line="440" w:lineRule="exact"/>
              <w:jc w:val="center"/>
              <w:rPr>
                <w:rFonts w:ascii="宋体" w:hAnsi="宋体" w:cs="宋体"/>
                <w:color w:val="auto"/>
                <w:highlight w:val="none"/>
              </w:rPr>
            </w:pPr>
            <w:r>
              <w:rPr>
                <w:rFonts w:hint="eastAsia" w:ascii="宋体" w:hAnsi="宋体" w:cs="宋体"/>
                <w:color w:val="auto"/>
                <w:highlight w:val="none"/>
              </w:rPr>
              <w:t xml:space="preserve">         (年)</w:t>
            </w:r>
          </w:p>
        </w:tc>
      </w:tr>
      <w:tr w14:paraId="4CF1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tcPr>
          <w:p w14:paraId="601D25BB">
            <w:pPr>
              <w:spacing w:line="440" w:lineRule="exact"/>
              <w:jc w:val="center"/>
              <w:rPr>
                <w:rFonts w:ascii="宋体" w:hAnsi="宋体" w:cs="宋体"/>
                <w:color w:val="auto"/>
                <w:highlight w:val="none"/>
              </w:rPr>
            </w:pPr>
            <w:r>
              <w:rPr>
                <w:rFonts w:hint="eastAsia" w:ascii="宋体" w:hAnsi="宋体" w:cs="宋体"/>
                <w:color w:val="auto"/>
                <w:highlight w:val="none"/>
              </w:rPr>
              <w:t>已完工程项目情况</w:t>
            </w:r>
          </w:p>
        </w:tc>
      </w:tr>
      <w:tr w14:paraId="6B35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26AA3E88">
            <w:pPr>
              <w:spacing w:line="440" w:lineRule="exact"/>
              <w:jc w:val="center"/>
              <w:rPr>
                <w:rFonts w:ascii="宋体" w:hAnsi="宋体" w:cs="宋体"/>
                <w:color w:val="auto"/>
                <w:highlight w:val="none"/>
              </w:rPr>
            </w:pPr>
            <w:r>
              <w:rPr>
                <w:rFonts w:hint="eastAsia" w:ascii="宋体" w:hAnsi="宋体" w:cs="宋体"/>
                <w:color w:val="auto"/>
                <w:highlight w:val="none"/>
              </w:rPr>
              <w:t>建设单位</w:t>
            </w:r>
          </w:p>
        </w:tc>
        <w:tc>
          <w:tcPr>
            <w:tcW w:w="1608" w:type="dxa"/>
          </w:tcPr>
          <w:p w14:paraId="3185F44B">
            <w:pPr>
              <w:spacing w:line="440" w:lineRule="exact"/>
              <w:jc w:val="center"/>
              <w:rPr>
                <w:rFonts w:ascii="宋体" w:hAnsi="宋体" w:cs="宋体"/>
                <w:color w:val="auto"/>
                <w:highlight w:val="none"/>
              </w:rPr>
            </w:pPr>
            <w:r>
              <w:rPr>
                <w:rFonts w:hint="eastAsia" w:ascii="宋体" w:hAnsi="宋体" w:cs="宋体"/>
                <w:color w:val="auto"/>
                <w:highlight w:val="none"/>
              </w:rPr>
              <w:t>项目名称</w:t>
            </w:r>
          </w:p>
        </w:tc>
        <w:tc>
          <w:tcPr>
            <w:tcW w:w="1608" w:type="dxa"/>
            <w:gridSpan w:val="3"/>
          </w:tcPr>
          <w:p w14:paraId="14AED217">
            <w:pPr>
              <w:spacing w:line="440" w:lineRule="exact"/>
              <w:jc w:val="center"/>
              <w:rPr>
                <w:rFonts w:ascii="宋体" w:hAnsi="宋体" w:cs="宋体"/>
                <w:color w:val="auto"/>
                <w:highlight w:val="none"/>
              </w:rPr>
            </w:pPr>
            <w:r>
              <w:rPr>
                <w:rFonts w:hint="eastAsia" w:ascii="宋体" w:hAnsi="宋体" w:cs="宋体"/>
                <w:color w:val="auto"/>
                <w:highlight w:val="none"/>
              </w:rPr>
              <w:t>建设规模</w:t>
            </w:r>
          </w:p>
        </w:tc>
        <w:tc>
          <w:tcPr>
            <w:tcW w:w="1608" w:type="dxa"/>
            <w:gridSpan w:val="2"/>
          </w:tcPr>
          <w:p w14:paraId="38B72958">
            <w:pPr>
              <w:spacing w:line="440" w:lineRule="exact"/>
              <w:jc w:val="center"/>
              <w:rPr>
                <w:rFonts w:ascii="宋体" w:hAnsi="宋体" w:cs="宋体"/>
                <w:color w:val="auto"/>
                <w:highlight w:val="none"/>
              </w:rPr>
            </w:pPr>
            <w:r>
              <w:rPr>
                <w:rFonts w:hint="eastAsia" w:ascii="宋体" w:hAnsi="宋体" w:cs="宋体"/>
                <w:color w:val="auto"/>
                <w:highlight w:val="none"/>
              </w:rPr>
              <w:t>开、竣工日期</w:t>
            </w:r>
          </w:p>
        </w:tc>
        <w:tc>
          <w:tcPr>
            <w:tcW w:w="1206" w:type="dxa"/>
            <w:gridSpan w:val="3"/>
          </w:tcPr>
          <w:p w14:paraId="596021F6">
            <w:pPr>
              <w:spacing w:line="440" w:lineRule="exact"/>
              <w:jc w:val="center"/>
              <w:rPr>
                <w:rFonts w:ascii="宋体" w:hAnsi="宋体" w:cs="宋体"/>
                <w:color w:val="auto"/>
                <w:highlight w:val="none"/>
              </w:rPr>
            </w:pPr>
            <w:r>
              <w:rPr>
                <w:rFonts w:hint="eastAsia" w:ascii="宋体" w:hAnsi="宋体" w:cs="宋体"/>
                <w:color w:val="auto"/>
                <w:highlight w:val="none"/>
              </w:rPr>
              <w:t>工程质量</w:t>
            </w:r>
          </w:p>
        </w:tc>
        <w:tc>
          <w:tcPr>
            <w:tcW w:w="1206" w:type="dxa"/>
            <w:tcBorders>
              <w:right w:val="single" w:color="auto" w:sz="8" w:space="0"/>
            </w:tcBorders>
          </w:tcPr>
          <w:p w14:paraId="2C1A1A71">
            <w:pPr>
              <w:spacing w:line="440" w:lineRule="exact"/>
              <w:jc w:val="center"/>
              <w:rPr>
                <w:rFonts w:ascii="宋体" w:hAnsi="宋体" w:cs="宋体"/>
                <w:color w:val="auto"/>
                <w:highlight w:val="none"/>
              </w:rPr>
            </w:pPr>
            <w:r>
              <w:rPr>
                <w:rFonts w:hint="eastAsia" w:ascii="宋体" w:hAnsi="宋体" w:cs="宋体"/>
                <w:color w:val="auto"/>
                <w:highlight w:val="none"/>
              </w:rPr>
              <w:t>受奖情况</w:t>
            </w:r>
          </w:p>
        </w:tc>
      </w:tr>
      <w:tr w14:paraId="4150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1D7B986E">
            <w:pPr>
              <w:spacing w:line="440" w:lineRule="exact"/>
              <w:jc w:val="center"/>
              <w:rPr>
                <w:rFonts w:ascii="宋体" w:hAnsi="宋体" w:cs="宋体"/>
                <w:color w:val="auto"/>
                <w:highlight w:val="none"/>
              </w:rPr>
            </w:pPr>
          </w:p>
        </w:tc>
        <w:tc>
          <w:tcPr>
            <w:tcW w:w="1608" w:type="dxa"/>
          </w:tcPr>
          <w:p w14:paraId="39A2B786">
            <w:pPr>
              <w:spacing w:line="440" w:lineRule="exact"/>
              <w:jc w:val="center"/>
              <w:rPr>
                <w:rFonts w:ascii="宋体" w:hAnsi="宋体" w:cs="宋体"/>
                <w:color w:val="auto"/>
                <w:highlight w:val="none"/>
              </w:rPr>
            </w:pPr>
          </w:p>
        </w:tc>
        <w:tc>
          <w:tcPr>
            <w:tcW w:w="1608" w:type="dxa"/>
            <w:gridSpan w:val="3"/>
          </w:tcPr>
          <w:p w14:paraId="5DB5EDDE">
            <w:pPr>
              <w:spacing w:line="440" w:lineRule="exact"/>
              <w:jc w:val="center"/>
              <w:rPr>
                <w:rFonts w:ascii="宋体" w:hAnsi="宋体" w:cs="宋体"/>
                <w:color w:val="auto"/>
                <w:highlight w:val="none"/>
              </w:rPr>
            </w:pPr>
          </w:p>
        </w:tc>
        <w:tc>
          <w:tcPr>
            <w:tcW w:w="1608" w:type="dxa"/>
            <w:gridSpan w:val="2"/>
          </w:tcPr>
          <w:p w14:paraId="6DB1B38E">
            <w:pPr>
              <w:spacing w:line="440" w:lineRule="exact"/>
              <w:jc w:val="center"/>
              <w:rPr>
                <w:rFonts w:ascii="宋体" w:hAnsi="宋体" w:cs="宋体"/>
                <w:color w:val="auto"/>
                <w:highlight w:val="none"/>
              </w:rPr>
            </w:pPr>
          </w:p>
        </w:tc>
        <w:tc>
          <w:tcPr>
            <w:tcW w:w="1206" w:type="dxa"/>
            <w:gridSpan w:val="3"/>
          </w:tcPr>
          <w:p w14:paraId="55184A2B">
            <w:pPr>
              <w:spacing w:line="440" w:lineRule="exact"/>
              <w:jc w:val="center"/>
              <w:rPr>
                <w:rFonts w:ascii="宋体" w:hAnsi="宋体" w:cs="宋体"/>
                <w:color w:val="auto"/>
                <w:highlight w:val="none"/>
              </w:rPr>
            </w:pPr>
          </w:p>
        </w:tc>
        <w:tc>
          <w:tcPr>
            <w:tcW w:w="1206" w:type="dxa"/>
            <w:tcBorders>
              <w:right w:val="single" w:color="auto" w:sz="8" w:space="0"/>
            </w:tcBorders>
          </w:tcPr>
          <w:p w14:paraId="28E884EB">
            <w:pPr>
              <w:spacing w:line="440" w:lineRule="exact"/>
              <w:jc w:val="center"/>
              <w:rPr>
                <w:rFonts w:ascii="宋体" w:hAnsi="宋体" w:cs="宋体"/>
                <w:color w:val="auto"/>
                <w:highlight w:val="none"/>
              </w:rPr>
            </w:pPr>
          </w:p>
        </w:tc>
      </w:tr>
      <w:tr w14:paraId="52F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5768133">
            <w:pPr>
              <w:spacing w:line="440" w:lineRule="exact"/>
              <w:jc w:val="center"/>
              <w:rPr>
                <w:rFonts w:ascii="宋体" w:hAnsi="宋体" w:cs="宋体"/>
                <w:color w:val="auto"/>
                <w:highlight w:val="none"/>
              </w:rPr>
            </w:pPr>
          </w:p>
        </w:tc>
        <w:tc>
          <w:tcPr>
            <w:tcW w:w="1608" w:type="dxa"/>
          </w:tcPr>
          <w:p w14:paraId="68AB225C">
            <w:pPr>
              <w:spacing w:line="440" w:lineRule="exact"/>
              <w:jc w:val="center"/>
              <w:rPr>
                <w:rFonts w:ascii="宋体" w:hAnsi="宋体" w:cs="宋体"/>
                <w:color w:val="auto"/>
                <w:highlight w:val="none"/>
              </w:rPr>
            </w:pPr>
          </w:p>
        </w:tc>
        <w:tc>
          <w:tcPr>
            <w:tcW w:w="1608" w:type="dxa"/>
            <w:gridSpan w:val="3"/>
          </w:tcPr>
          <w:p w14:paraId="4E26329D">
            <w:pPr>
              <w:spacing w:line="440" w:lineRule="exact"/>
              <w:jc w:val="center"/>
              <w:rPr>
                <w:rFonts w:ascii="宋体" w:hAnsi="宋体" w:cs="宋体"/>
                <w:color w:val="auto"/>
                <w:highlight w:val="none"/>
              </w:rPr>
            </w:pPr>
          </w:p>
        </w:tc>
        <w:tc>
          <w:tcPr>
            <w:tcW w:w="1608" w:type="dxa"/>
            <w:gridSpan w:val="2"/>
          </w:tcPr>
          <w:p w14:paraId="20BCB37C">
            <w:pPr>
              <w:spacing w:line="440" w:lineRule="exact"/>
              <w:jc w:val="center"/>
              <w:rPr>
                <w:rFonts w:ascii="宋体" w:hAnsi="宋体" w:cs="宋体"/>
                <w:color w:val="auto"/>
                <w:highlight w:val="none"/>
              </w:rPr>
            </w:pPr>
          </w:p>
        </w:tc>
        <w:tc>
          <w:tcPr>
            <w:tcW w:w="1206" w:type="dxa"/>
            <w:gridSpan w:val="3"/>
          </w:tcPr>
          <w:p w14:paraId="22198A5C">
            <w:pPr>
              <w:spacing w:line="440" w:lineRule="exact"/>
              <w:jc w:val="center"/>
              <w:rPr>
                <w:rFonts w:ascii="宋体" w:hAnsi="宋体" w:cs="宋体"/>
                <w:color w:val="auto"/>
                <w:highlight w:val="none"/>
              </w:rPr>
            </w:pPr>
          </w:p>
        </w:tc>
        <w:tc>
          <w:tcPr>
            <w:tcW w:w="1206" w:type="dxa"/>
            <w:tcBorders>
              <w:right w:val="single" w:color="auto" w:sz="8" w:space="0"/>
            </w:tcBorders>
          </w:tcPr>
          <w:p w14:paraId="5998D6C8">
            <w:pPr>
              <w:spacing w:line="440" w:lineRule="exact"/>
              <w:jc w:val="center"/>
              <w:rPr>
                <w:rFonts w:ascii="宋体" w:hAnsi="宋体" w:cs="宋体"/>
                <w:color w:val="auto"/>
                <w:highlight w:val="none"/>
              </w:rPr>
            </w:pPr>
          </w:p>
        </w:tc>
      </w:tr>
      <w:tr w14:paraId="1E26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5A5E7FAB">
            <w:pPr>
              <w:spacing w:line="440" w:lineRule="exact"/>
              <w:jc w:val="center"/>
              <w:rPr>
                <w:rFonts w:ascii="宋体" w:hAnsi="宋体" w:cs="宋体"/>
                <w:color w:val="auto"/>
                <w:highlight w:val="none"/>
              </w:rPr>
            </w:pPr>
          </w:p>
        </w:tc>
        <w:tc>
          <w:tcPr>
            <w:tcW w:w="1608" w:type="dxa"/>
          </w:tcPr>
          <w:p w14:paraId="147EF6AD">
            <w:pPr>
              <w:spacing w:line="440" w:lineRule="exact"/>
              <w:jc w:val="center"/>
              <w:rPr>
                <w:rFonts w:ascii="宋体" w:hAnsi="宋体" w:cs="宋体"/>
                <w:color w:val="auto"/>
                <w:highlight w:val="none"/>
              </w:rPr>
            </w:pPr>
          </w:p>
        </w:tc>
        <w:tc>
          <w:tcPr>
            <w:tcW w:w="1608" w:type="dxa"/>
            <w:gridSpan w:val="3"/>
          </w:tcPr>
          <w:p w14:paraId="6DD11E78">
            <w:pPr>
              <w:spacing w:line="440" w:lineRule="exact"/>
              <w:jc w:val="center"/>
              <w:rPr>
                <w:rFonts w:ascii="宋体" w:hAnsi="宋体" w:cs="宋体"/>
                <w:color w:val="auto"/>
                <w:highlight w:val="none"/>
              </w:rPr>
            </w:pPr>
          </w:p>
        </w:tc>
        <w:tc>
          <w:tcPr>
            <w:tcW w:w="1608" w:type="dxa"/>
            <w:gridSpan w:val="2"/>
          </w:tcPr>
          <w:p w14:paraId="56AB501D">
            <w:pPr>
              <w:spacing w:line="440" w:lineRule="exact"/>
              <w:jc w:val="center"/>
              <w:rPr>
                <w:rFonts w:ascii="宋体" w:hAnsi="宋体" w:cs="宋体"/>
                <w:color w:val="auto"/>
                <w:highlight w:val="none"/>
              </w:rPr>
            </w:pPr>
          </w:p>
        </w:tc>
        <w:tc>
          <w:tcPr>
            <w:tcW w:w="1206" w:type="dxa"/>
            <w:gridSpan w:val="3"/>
          </w:tcPr>
          <w:p w14:paraId="45AD41B9">
            <w:pPr>
              <w:spacing w:line="440" w:lineRule="exact"/>
              <w:jc w:val="center"/>
              <w:rPr>
                <w:rFonts w:ascii="宋体" w:hAnsi="宋体" w:cs="宋体"/>
                <w:color w:val="auto"/>
                <w:highlight w:val="none"/>
              </w:rPr>
            </w:pPr>
          </w:p>
        </w:tc>
        <w:tc>
          <w:tcPr>
            <w:tcW w:w="1206" w:type="dxa"/>
            <w:tcBorders>
              <w:right w:val="single" w:color="auto" w:sz="8" w:space="0"/>
            </w:tcBorders>
          </w:tcPr>
          <w:p w14:paraId="6D55E11D">
            <w:pPr>
              <w:spacing w:line="440" w:lineRule="exact"/>
              <w:jc w:val="center"/>
              <w:rPr>
                <w:rFonts w:ascii="宋体" w:hAnsi="宋体" w:cs="宋体"/>
                <w:color w:val="auto"/>
                <w:highlight w:val="none"/>
              </w:rPr>
            </w:pPr>
          </w:p>
        </w:tc>
      </w:tr>
      <w:tr w14:paraId="31E1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5F91F14">
            <w:pPr>
              <w:spacing w:line="440" w:lineRule="exact"/>
              <w:jc w:val="center"/>
              <w:rPr>
                <w:rFonts w:ascii="宋体" w:hAnsi="宋体" w:cs="宋体"/>
                <w:color w:val="auto"/>
                <w:highlight w:val="none"/>
              </w:rPr>
            </w:pPr>
          </w:p>
        </w:tc>
        <w:tc>
          <w:tcPr>
            <w:tcW w:w="1608" w:type="dxa"/>
          </w:tcPr>
          <w:p w14:paraId="61FE8A0D">
            <w:pPr>
              <w:spacing w:line="440" w:lineRule="exact"/>
              <w:jc w:val="center"/>
              <w:rPr>
                <w:rFonts w:ascii="宋体" w:hAnsi="宋体" w:cs="宋体"/>
                <w:color w:val="auto"/>
                <w:highlight w:val="none"/>
              </w:rPr>
            </w:pPr>
          </w:p>
        </w:tc>
        <w:tc>
          <w:tcPr>
            <w:tcW w:w="1608" w:type="dxa"/>
            <w:gridSpan w:val="3"/>
          </w:tcPr>
          <w:p w14:paraId="5DDD5AB7">
            <w:pPr>
              <w:spacing w:line="440" w:lineRule="exact"/>
              <w:jc w:val="center"/>
              <w:rPr>
                <w:rFonts w:ascii="宋体" w:hAnsi="宋体" w:cs="宋体"/>
                <w:color w:val="auto"/>
                <w:highlight w:val="none"/>
              </w:rPr>
            </w:pPr>
          </w:p>
        </w:tc>
        <w:tc>
          <w:tcPr>
            <w:tcW w:w="1608" w:type="dxa"/>
            <w:gridSpan w:val="2"/>
          </w:tcPr>
          <w:p w14:paraId="7CDF0B8D">
            <w:pPr>
              <w:spacing w:line="440" w:lineRule="exact"/>
              <w:jc w:val="center"/>
              <w:rPr>
                <w:rFonts w:ascii="宋体" w:hAnsi="宋体" w:cs="宋体"/>
                <w:color w:val="auto"/>
                <w:highlight w:val="none"/>
              </w:rPr>
            </w:pPr>
          </w:p>
        </w:tc>
        <w:tc>
          <w:tcPr>
            <w:tcW w:w="1206" w:type="dxa"/>
            <w:gridSpan w:val="3"/>
          </w:tcPr>
          <w:p w14:paraId="4A474385">
            <w:pPr>
              <w:spacing w:line="440" w:lineRule="exact"/>
              <w:jc w:val="center"/>
              <w:rPr>
                <w:rFonts w:ascii="宋体" w:hAnsi="宋体" w:cs="宋体"/>
                <w:color w:val="auto"/>
                <w:highlight w:val="none"/>
              </w:rPr>
            </w:pPr>
          </w:p>
        </w:tc>
        <w:tc>
          <w:tcPr>
            <w:tcW w:w="1206" w:type="dxa"/>
            <w:tcBorders>
              <w:right w:val="single" w:color="auto" w:sz="8" w:space="0"/>
            </w:tcBorders>
          </w:tcPr>
          <w:p w14:paraId="0D6B5A93">
            <w:pPr>
              <w:spacing w:line="440" w:lineRule="exact"/>
              <w:jc w:val="center"/>
              <w:rPr>
                <w:rFonts w:ascii="宋体" w:hAnsi="宋体" w:cs="宋体"/>
                <w:color w:val="auto"/>
                <w:highlight w:val="none"/>
              </w:rPr>
            </w:pPr>
          </w:p>
        </w:tc>
      </w:tr>
      <w:tr w14:paraId="60FF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0826D4C9">
            <w:pPr>
              <w:spacing w:line="440" w:lineRule="exact"/>
              <w:jc w:val="center"/>
              <w:rPr>
                <w:rFonts w:ascii="宋体" w:hAnsi="宋体" w:cs="宋体"/>
                <w:color w:val="auto"/>
                <w:highlight w:val="none"/>
              </w:rPr>
            </w:pPr>
          </w:p>
        </w:tc>
        <w:tc>
          <w:tcPr>
            <w:tcW w:w="1608" w:type="dxa"/>
          </w:tcPr>
          <w:p w14:paraId="55E54E31">
            <w:pPr>
              <w:spacing w:line="440" w:lineRule="exact"/>
              <w:jc w:val="center"/>
              <w:rPr>
                <w:rFonts w:ascii="宋体" w:hAnsi="宋体" w:cs="宋体"/>
                <w:color w:val="auto"/>
                <w:highlight w:val="none"/>
              </w:rPr>
            </w:pPr>
          </w:p>
        </w:tc>
        <w:tc>
          <w:tcPr>
            <w:tcW w:w="1608" w:type="dxa"/>
            <w:gridSpan w:val="3"/>
          </w:tcPr>
          <w:p w14:paraId="51C32575">
            <w:pPr>
              <w:spacing w:line="440" w:lineRule="exact"/>
              <w:jc w:val="center"/>
              <w:rPr>
                <w:rFonts w:ascii="宋体" w:hAnsi="宋体" w:cs="宋体"/>
                <w:color w:val="auto"/>
                <w:highlight w:val="none"/>
              </w:rPr>
            </w:pPr>
          </w:p>
        </w:tc>
        <w:tc>
          <w:tcPr>
            <w:tcW w:w="1608" w:type="dxa"/>
            <w:gridSpan w:val="2"/>
          </w:tcPr>
          <w:p w14:paraId="6122CD54">
            <w:pPr>
              <w:spacing w:line="440" w:lineRule="exact"/>
              <w:jc w:val="center"/>
              <w:rPr>
                <w:rFonts w:ascii="宋体" w:hAnsi="宋体" w:cs="宋体"/>
                <w:color w:val="auto"/>
                <w:highlight w:val="none"/>
              </w:rPr>
            </w:pPr>
          </w:p>
        </w:tc>
        <w:tc>
          <w:tcPr>
            <w:tcW w:w="1206" w:type="dxa"/>
            <w:gridSpan w:val="3"/>
          </w:tcPr>
          <w:p w14:paraId="50E3A618">
            <w:pPr>
              <w:spacing w:line="440" w:lineRule="exact"/>
              <w:jc w:val="center"/>
              <w:rPr>
                <w:rFonts w:ascii="宋体" w:hAnsi="宋体" w:cs="宋体"/>
                <w:color w:val="auto"/>
                <w:highlight w:val="none"/>
              </w:rPr>
            </w:pPr>
          </w:p>
        </w:tc>
        <w:tc>
          <w:tcPr>
            <w:tcW w:w="1206" w:type="dxa"/>
            <w:tcBorders>
              <w:right w:val="single" w:color="auto" w:sz="8" w:space="0"/>
            </w:tcBorders>
          </w:tcPr>
          <w:p w14:paraId="05814D5A">
            <w:pPr>
              <w:spacing w:line="440" w:lineRule="exact"/>
              <w:jc w:val="center"/>
              <w:rPr>
                <w:rFonts w:ascii="宋体" w:hAnsi="宋体" w:cs="宋体"/>
                <w:color w:val="auto"/>
                <w:highlight w:val="none"/>
              </w:rPr>
            </w:pPr>
          </w:p>
        </w:tc>
      </w:tr>
      <w:tr w14:paraId="3B82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2AEBD879">
            <w:pPr>
              <w:spacing w:line="440" w:lineRule="exact"/>
              <w:jc w:val="center"/>
              <w:rPr>
                <w:rFonts w:ascii="宋体" w:hAnsi="宋体" w:cs="宋体"/>
                <w:color w:val="auto"/>
                <w:highlight w:val="none"/>
              </w:rPr>
            </w:pPr>
          </w:p>
        </w:tc>
        <w:tc>
          <w:tcPr>
            <w:tcW w:w="1608" w:type="dxa"/>
          </w:tcPr>
          <w:p w14:paraId="45AEFE67">
            <w:pPr>
              <w:spacing w:line="440" w:lineRule="exact"/>
              <w:jc w:val="center"/>
              <w:rPr>
                <w:rFonts w:ascii="宋体" w:hAnsi="宋体" w:cs="宋体"/>
                <w:color w:val="auto"/>
                <w:highlight w:val="none"/>
              </w:rPr>
            </w:pPr>
          </w:p>
        </w:tc>
        <w:tc>
          <w:tcPr>
            <w:tcW w:w="1608" w:type="dxa"/>
            <w:gridSpan w:val="3"/>
          </w:tcPr>
          <w:p w14:paraId="4EF7C08F">
            <w:pPr>
              <w:spacing w:line="440" w:lineRule="exact"/>
              <w:jc w:val="center"/>
              <w:rPr>
                <w:rFonts w:ascii="宋体" w:hAnsi="宋体" w:cs="宋体"/>
                <w:color w:val="auto"/>
                <w:highlight w:val="none"/>
              </w:rPr>
            </w:pPr>
          </w:p>
        </w:tc>
        <w:tc>
          <w:tcPr>
            <w:tcW w:w="1608" w:type="dxa"/>
            <w:gridSpan w:val="2"/>
          </w:tcPr>
          <w:p w14:paraId="0E433987">
            <w:pPr>
              <w:spacing w:line="440" w:lineRule="exact"/>
              <w:jc w:val="center"/>
              <w:rPr>
                <w:rFonts w:ascii="宋体" w:hAnsi="宋体" w:cs="宋体"/>
                <w:color w:val="auto"/>
                <w:highlight w:val="none"/>
              </w:rPr>
            </w:pPr>
          </w:p>
        </w:tc>
        <w:tc>
          <w:tcPr>
            <w:tcW w:w="1206" w:type="dxa"/>
            <w:gridSpan w:val="3"/>
          </w:tcPr>
          <w:p w14:paraId="7ECF9495">
            <w:pPr>
              <w:spacing w:line="440" w:lineRule="exact"/>
              <w:jc w:val="center"/>
              <w:rPr>
                <w:rFonts w:ascii="宋体" w:hAnsi="宋体" w:cs="宋体"/>
                <w:color w:val="auto"/>
                <w:highlight w:val="none"/>
              </w:rPr>
            </w:pPr>
          </w:p>
        </w:tc>
        <w:tc>
          <w:tcPr>
            <w:tcW w:w="1206" w:type="dxa"/>
            <w:tcBorders>
              <w:right w:val="single" w:color="auto" w:sz="8" w:space="0"/>
            </w:tcBorders>
          </w:tcPr>
          <w:p w14:paraId="44BB269E">
            <w:pPr>
              <w:spacing w:line="440" w:lineRule="exact"/>
              <w:jc w:val="center"/>
              <w:rPr>
                <w:rFonts w:ascii="宋体" w:hAnsi="宋体" w:cs="宋体"/>
                <w:color w:val="auto"/>
                <w:highlight w:val="none"/>
              </w:rPr>
            </w:pPr>
          </w:p>
        </w:tc>
      </w:tr>
      <w:tr w14:paraId="72AC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1C6F68B">
            <w:pPr>
              <w:spacing w:line="440" w:lineRule="exact"/>
              <w:jc w:val="center"/>
              <w:rPr>
                <w:rFonts w:ascii="宋体" w:hAnsi="宋体" w:cs="宋体"/>
                <w:color w:val="auto"/>
                <w:highlight w:val="none"/>
              </w:rPr>
            </w:pPr>
          </w:p>
        </w:tc>
        <w:tc>
          <w:tcPr>
            <w:tcW w:w="1608" w:type="dxa"/>
          </w:tcPr>
          <w:p w14:paraId="7B3FFCE1">
            <w:pPr>
              <w:spacing w:line="440" w:lineRule="exact"/>
              <w:jc w:val="center"/>
              <w:rPr>
                <w:rFonts w:ascii="宋体" w:hAnsi="宋体" w:cs="宋体"/>
                <w:color w:val="auto"/>
                <w:highlight w:val="none"/>
              </w:rPr>
            </w:pPr>
          </w:p>
        </w:tc>
        <w:tc>
          <w:tcPr>
            <w:tcW w:w="1608" w:type="dxa"/>
            <w:gridSpan w:val="3"/>
          </w:tcPr>
          <w:p w14:paraId="1D096A12">
            <w:pPr>
              <w:spacing w:line="440" w:lineRule="exact"/>
              <w:jc w:val="center"/>
              <w:rPr>
                <w:rFonts w:ascii="宋体" w:hAnsi="宋体" w:cs="宋体"/>
                <w:color w:val="auto"/>
                <w:highlight w:val="none"/>
              </w:rPr>
            </w:pPr>
          </w:p>
        </w:tc>
        <w:tc>
          <w:tcPr>
            <w:tcW w:w="1608" w:type="dxa"/>
            <w:gridSpan w:val="2"/>
          </w:tcPr>
          <w:p w14:paraId="084C341A">
            <w:pPr>
              <w:spacing w:line="440" w:lineRule="exact"/>
              <w:jc w:val="center"/>
              <w:rPr>
                <w:rFonts w:ascii="宋体" w:hAnsi="宋体" w:cs="宋体"/>
                <w:color w:val="auto"/>
                <w:highlight w:val="none"/>
              </w:rPr>
            </w:pPr>
          </w:p>
        </w:tc>
        <w:tc>
          <w:tcPr>
            <w:tcW w:w="1206" w:type="dxa"/>
            <w:gridSpan w:val="3"/>
          </w:tcPr>
          <w:p w14:paraId="38BE9192">
            <w:pPr>
              <w:spacing w:line="440" w:lineRule="exact"/>
              <w:jc w:val="center"/>
              <w:rPr>
                <w:rFonts w:ascii="宋体" w:hAnsi="宋体" w:cs="宋体"/>
                <w:color w:val="auto"/>
                <w:highlight w:val="none"/>
              </w:rPr>
            </w:pPr>
          </w:p>
        </w:tc>
        <w:tc>
          <w:tcPr>
            <w:tcW w:w="1206" w:type="dxa"/>
            <w:tcBorders>
              <w:right w:val="single" w:color="auto" w:sz="8" w:space="0"/>
            </w:tcBorders>
          </w:tcPr>
          <w:p w14:paraId="1CF38DA2">
            <w:pPr>
              <w:spacing w:line="440" w:lineRule="exact"/>
              <w:jc w:val="center"/>
              <w:rPr>
                <w:rFonts w:ascii="宋体" w:hAnsi="宋体" w:cs="宋体"/>
                <w:color w:val="auto"/>
                <w:highlight w:val="none"/>
              </w:rPr>
            </w:pPr>
          </w:p>
        </w:tc>
      </w:tr>
      <w:tr w14:paraId="09F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tcPr>
          <w:p w14:paraId="5A2B3FE4">
            <w:pPr>
              <w:spacing w:line="440" w:lineRule="exact"/>
              <w:jc w:val="center"/>
              <w:rPr>
                <w:rFonts w:ascii="宋体" w:hAnsi="宋体" w:cs="宋体"/>
                <w:color w:val="auto"/>
                <w:highlight w:val="none"/>
              </w:rPr>
            </w:pPr>
          </w:p>
        </w:tc>
        <w:tc>
          <w:tcPr>
            <w:tcW w:w="1608" w:type="dxa"/>
            <w:tcBorders>
              <w:bottom w:val="single" w:color="auto" w:sz="8" w:space="0"/>
            </w:tcBorders>
          </w:tcPr>
          <w:p w14:paraId="4EBAF102">
            <w:pPr>
              <w:spacing w:line="440" w:lineRule="exact"/>
              <w:jc w:val="center"/>
              <w:rPr>
                <w:rFonts w:ascii="宋体" w:hAnsi="宋体" w:cs="宋体"/>
                <w:color w:val="auto"/>
                <w:highlight w:val="none"/>
              </w:rPr>
            </w:pPr>
          </w:p>
        </w:tc>
        <w:tc>
          <w:tcPr>
            <w:tcW w:w="1608" w:type="dxa"/>
            <w:gridSpan w:val="3"/>
            <w:tcBorders>
              <w:bottom w:val="single" w:color="auto" w:sz="8" w:space="0"/>
            </w:tcBorders>
          </w:tcPr>
          <w:p w14:paraId="2DAE877A">
            <w:pPr>
              <w:spacing w:line="440" w:lineRule="exact"/>
              <w:jc w:val="center"/>
              <w:rPr>
                <w:rFonts w:ascii="宋体" w:hAnsi="宋体" w:cs="宋体"/>
                <w:color w:val="auto"/>
                <w:highlight w:val="none"/>
              </w:rPr>
            </w:pPr>
          </w:p>
        </w:tc>
        <w:tc>
          <w:tcPr>
            <w:tcW w:w="1608" w:type="dxa"/>
            <w:gridSpan w:val="2"/>
            <w:tcBorders>
              <w:bottom w:val="single" w:color="auto" w:sz="8" w:space="0"/>
            </w:tcBorders>
          </w:tcPr>
          <w:p w14:paraId="7DC60E5E">
            <w:pPr>
              <w:spacing w:line="440" w:lineRule="exact"/>
              <w:jc w:val="center"/>
              <w:rPr>
                <w:rFonts w:ascii="宋体" w:hAnsi="宋体" w:cs="宋体"/>
                <w:color w:val="auto"/>
                <w:highlight w:val="none"/>
              </w:rPr>
            </w:pPr>
          </w:p>
        </w:tc>
        <w:tc>
          <w:tcPr>
            <w:tcW w:w="1206" w:type="dxa"/>
            <w:gridSpan w:val="3"/>
            <w:tcBorders>
              <w:bottom w:val="single" w:color="auto" w:sz="8" w:space="0"/>
            </w:tcBorders>
          </w:tcPr>
          <w:p w14:paraId="11D6B307">
            <w:pPr>
              <w:spacing w:line="440" w:lineRule="exact"/>
              <w:jc w:val="center"/>
              <w:rPr>
                <w:rFonts w:ascii="宋体" w:hAnsi="宋体" w:cs="宋体"/>
                <w:color w:val="auto"/>
                <w:highlight w:val="none"/>
              </w:rPr>
            </w:pPr>
          </w:p>
        </w:tc>
        <w:tc>
          <w:tcPr>
            <w:tcW w:w="1206" w:type="dxa"/>
            <w:tcBorders>
              <w:bottom w:val="single" w:color="auto" w:sz="8" w:space="0"/>
              <w:right w:val="single" w:color="auto" w:sz="8" w:space="0"/>
            </w:tcBorders>
          </w:tcPr>
          <w:p w14:paraId="734259E5">
            <w:pPr>
              <w:spacing w:line="440" w:lineRule="exact"/>
              <w:jc w:val="center"/>
              <w:rPr>
                <w:rFonts w:ascii="宋体" w:hAnsi="宋体" w:cs="宋体"/>
                <w:color w:val="auto"/>
                <w:highlight w:val="none"/>
              </w:rPr>
            </w:pPr>
          </w:p>
        </w:tc>
      </w:tr>
    </w:tbl>
    <w:p w14:paraId="0A351DE2">
      <w:pPr>
        <w:spacing w:line="360" w:lineRule="exact"/>
        <w:rPr>
          <w:rFonts w:ascii="宋体" w:hAnsi="宋体" w:cs="宋体"/>
          <w:color w:val="auto"/>
          <w:spacing w:val="-2"/>
          <w:kern w:val="0"/>
          <w:szCs w:val="21"/>
          <w:highlight w:val="none"/>
        </w:rPr>
      </w:pPr>
      <w:r>
        <w:rPr>
          <w:rFonts w:hint="eastAsia" w:ascii="宋体" w:hAnsi="宋体" w:cs="宋体"/>
          <w:bCs/>
          <w:color w:val="auto"/>
          <w:spacing w:val="-2"/>
          <w:szCs w:val="21"/>
          <w:highlight w:val="none"/>
        </w:rPr>
        <w:t>注：</w:t>
      </w:r>
      <w:r>
        <w:rPr>
          <w:rFonts w:hint="eastAsia" w:ascii="宋体" w:hAnsi="宋体" w:cs="宋体"/>
          <w:color w:val="auto"/>
          <w:spacing w:val="-2"/>
          <w:kern w:val="0"/>
          <w:szCs w:val="21"/>
          <w:highlight w:val="none"/>
        </w:rPr>
        <w:t>附身份证复印件、建造师注册证书复印件、安全生产考核合格证书（B类）复印件。</w:t>
      </w:r>
      <w:r>
        <w:rPr>
          <w:rFonts w:hint="eastAsia" w:ascii="宋体" w:hAnsi="宋体" w:cs="宋体"/>
          <w:color w:val="auto"/>
          <w:kern w:val="0"/>
          <w:szCs w:val="21"/>
          <w:highlight w:val="none"/>
        </w:rPr>
        <w:t>同时还需提供社保部门出具供应商为项目经理缴纳的响应文件递交截止时间前半年内任意一个月社保证明复印件。若为近期新聘员工的，以提供劳动合同证明材料复印件，若为退休员工则需提供退休证明及劳动合同为准，</w:t>
      </w:r>
      <w:r>
        <w:rPr>
          <w:rFonts w:hint="eastAsia" w:ascii="宋体" w:hAnsi="宋体" w:cs="宋体"/>
          <w:color w:val="auto"/>
          <w:spacing w:val="-2"/>
          <w:kern w:val="0"/>
          <w:szCs w:val="21"/>
          <w:highlight w:val="none"/>
        </w:rPr>
        <w:t>上述复印件均需加盖供应商公章（CA签章）。</w:t>
      </w:r>
    </w:p>
    <w:p w14:paraId="224D4E6B">
      <w:pPr>
        <w:ind w:left="2940" w:leftChars="1400"/>
        <w:rPr>
          <w:rFonts w:ascii="宋体" w:hAnsi="宋体" w:cs="宋体"/>
          <w:color w:val="auto"/>
          <w:highlight w:val="none"/>
        </w:rPr>
      </w:pPr>
    </w:p>
    <w:p w14:paraId="7B917E08">
      <w:pPr>
        <w:jc w:val="left"/>
        <w:rPr>
          <w:rFonts w:ascii="宋体" w:hAnsi="宋体" w:cs="宋体"/>
          <w:b/>
          <w:color w:val="auto"/>
          <w:sz w:val="28"/>
          <w:szCs w:val="28"/>
          <w:highlight w:val="none"/>
        </w:rPr>
      </w:pPr>
    </w:p>
    <w:p w14:paraId="6507B073">
      <w:pPr>
        <w:spacing w:line="340" w:lineRule="exact"/>
        <w:jc w:val="left"/>
        <w:rPr>
          <w:rFonts w:ascii="宋体" w:hAnsi="宋体" w:cs="宋体"/>
          <w:b/>
          <w:color w:val="auto"/>
          <w:sz w:val="28"/>
          <w:szCs w:val="28"/>
          <w:highlight w:val="none"/>
        </w:rPr>
      </w:pPr>
    </w:p>
    <w:p w14:paraId="761826EA">
      <w:pPr>
        <w:pStyle w:val="2"/>
        <w:rPr>
          <w:color w:val="auto"/>
          <w:highlight w:val="none"/>
        </w:rPr>
      </w:pPr>
    </w:p>
    <w:p w14:paraId="350F32B0">
      <w:pPr>
        <w:rPr>
          <w:color w:val="auto"/>
          <w:highlight w:val="none"/>
        </w:rPr>
      </w:pPr>
    </w:p>
    <w:p w14:paraId="36E374EC">
      <w:pPr>
        <w:pStyle w:val="12"/>
        <w:ind w:left="0" w:leftChars="0"/>
        <w:outlineLvl w:val="1"/>
        <w:rPr>
          <w:rFonts w:ascii="宋体" w:hAnsi="宋体" w:cs="宋体"/>
          <w:b/>
          <w:color w:val="auto"/>
          <w:sz w:val="28"/>
          <w:szCs w:val="28"/>
          <w:highlight w:val="none"/>
        </w:rPr>
      </w:pPr>
      <w:bookmarkStart w:id="1008" w:name="_Toc7999"/>
      <w:bookmarkStart w:id="1009" w:name="_Toc3115"/>
    </w:p>
    <w:p w14:paraId="795EE1B0">
      <w:pPr>
        <w:pStyle w:val="12"/>
        <w:ind w:left="0" w:leftChars="0"/>
        <w:outlineLvl w:val="1"/>
        <w:rPr>
          <w:rFonts w:ascii="宋体" w:hAnsi="宋体" w:cs="宋体"/>
          <w:b/>
          <w:color w:val="auto"/>
          <w:sz w:val="28"/>
          <w:szCs w:val="28"/>
          <w:highlight w:val="none"/>
        </w:rPr>
      </w:pPr>
    </w:p>
    <w:p w14:paraId="655BC5DC">
      <w:pPr>
        <w:pStyle w:val="12"/>
        <w:ind w:left="0" w:leftChars="0"/>
        <w:outlineLvl w:val="1"/>
        <w:rPr>
          <w:rFonts w:ascii="宋体" w:hAnsi="宋体" w:cs="宋体"/>
          <w:b/>
          <w:color w:val="auto"/>
          <w:sz w:val="28"/>
          <w:szCs w:val="28"/>
          <w:highlight w:val="none"/>
        </w:rPr>
      </w:pPr>
      <w:r>
        <w:rPr>
          <w:rFonts w:hint="eastAsia" w:ascii="宋体" w:hAnsi="宋体" w:cs="宋体"/>
          <w:b/>
          <w:color w:val="auto"/>
          <w:sz w:val="28"/>
          <w:szCs w:val="28"/>
          <w:highlight w:val="none"/>
        </w:rPr>
        <w:t>7.供应商2024年度度财务状况报告（必须提供，可以是谈判供应商自行编制也可是通过第三方审计公司编制，如为自行编制至少须提供现金流量表、负债表及利润表）；</w:t>
      </w:r>
      <w:bookmarkEnd w:id="1004"/>
      <w:bookmarkEnd w:id="1005"/>
      <w:bookmarkEnd w:id="1006"/>
      <w:bookmarkEnd w:id="1007"/>
      <w:bookmarkEnd w:id="1008"/>
      <w:bookmarkEnd w:id="1009"/>
    </w:p>
    <w:p w14:paraId="0FD56F8C">
      <w:pPr>
        <w:ind w:left="2940" w:leftChars="1400"/>
        <w:rPr>
          <w:rFonts w:ascii="宋体" w:hAnsi="宋体" w:cs="宋体"/>
          <w:color w:val="auto"/>
          <w:highlight w:val="none"/>
        </w:rPr>
      </w:pPr>
      <w:bookmarkStart w:id="1010" w:name="_Toc10639"/>
      <w:bookmarkStart w:id="1011" w:name="_Toc12791"/>
      <w:bookmarkStart w:id="1012" w:name="_Toc21896"/>
      <w:bookmarkStart w:id="1013" w:name="_Toc18342"/>
    </w:p>
    <w:p w14:paraId="3FF59B3B">
      <w:pPr>
        <w:spacing w:line="340" w:lineRule="exact"/>
        <w:jc w:val="left"/>
        <w:rPr>
          <w:rFonts w:ascii="宋体" w:hAnsi="宋体" w:cs="宋体"/>
          <w:b/>
          <w:color w:val="auto"/>
          <w:sz w:val="28"/>
          <w:szCs w:val="28"/>
          <w:highlight w:val="none"/>
        </w:rPr>
      </w:pPr>
    </w:p>
    <w:p w14:paraId="4CF82C55">
      <w:pPr>
        <w:pStyle w:val="2"/>
        <w:rPr>
          <w:rFonts w:ascii="宋体" w:hAnsi="宋体" w:cs="宋体"/>
          <w:color w:val="auto"/>
          <w:sz w:val="28"/>
          <w:szCs w:val="28"/>
          <w:highlight w:val="none"/>
        </w:rPr>
      </w:pPr>
    </w:p>
    <w:p w14:paraId="0D1B3106">
      <w:pPr>
        <w:rPr>
          <w:rFonts w:ascii="宋体" w:hAnsi="宋体" w:cs="宋体"/>
          <w:b/>
          <w:color w:val="auto"/>
          <w:sz w:val="28"/>
          <w:szCs w:val="28"/>
          <w:highlight w:val="none"/>
        </w:rPr>
      </w:pPr>
    </w:p>
    <w:p w14:paraId="13835C43">
      <w:pPr>
        <w:pStyle w:val="2"/>
        <w:rPr>
          <w:rFonts w:ascii="宋体" w:hAnsi="宋体" w:cs="宋体"/>
          <w:color w:val="auto"/>
          <w:sz w:val="28"/>
          <w:szCs w:val="28"/>
          <w:highlight w:val="none"/>
        </w:rPr>
      </w:pPr>
    </w:p>
    <w:p w14:paraId="6502B6EA">
      <w:pPr>
        <w:rPr>
          <w:rFonts w:ascii="宋体" w:hAnsi="宋体" w:cs="宋体"/>
          <w:b/>
          <w:color w:val="auto"/>
          <w:sz w:val="28"/>
          <w:szCs w:val="28"/>
          <w:highlight w:val="none"/>
        </w:rPr>
      </w:pPr>
    </w:p>
    <w:p w14:paraId="69E5FCE6">
      <w:pPr>
        <w:pStyle w:val="2"/>
        <w:rPr>
          <w:rFonts w:ascii="宋体" w:hAnsi="宋体" w:cs="宋体"/>
          <w:color w:val="auto"/>
          <w:sz w:val="28"/>
          <w:szCs w:val="28"/>
          <w:highlight w:val="none"/>
        </w:rPr>
      </w:pPr>
    </w:p>
    <w:p w14:paraId="186D2F6C">
      <w:pPr>
        <w:rPr>
          <w:rFonts w:ascii="宋体" w:hAnsi="宋体" w:cs="宋体"/>
          <w:b/>
          <w:color w:val="auto"/>
          <w:sz w:val="28"/>
          <w:szCs w:val="28"/>
          <w:highlight w:val="none"/>
        </w:rPr>
      </w:pPr>
    </w:p>
    <w:p w14:paraId="60CF8E83">
      <w:pPr>
        <w:pStyle w:val="2"/>
        <w:rPr>
          <w:color w:val="auto"/>
          <w:highlight w:val="none"/>
        </w:rPr>
      </w:pPr>
    </w:p>
    <w:p w14:paraId="3B79E2B4">
      <w:pPr>
        <w:pStyle w:val="12"/>
        <w:ind w:left="0" w:leftChars="0"/>
        <w:outlineLvl w:val="1"/>
        <w:rPr>
          <w:rFonts w:ascii="宋体" w:hAnsi="宋体" w:cs="宋体"/>
          <w:b/>
          <w:color w:val="auto"/>
          <w:sz w:val="28"/>
          <w:szCs w:val="28"/>
          <w:highlight w:val="none"/>
        </w:rPr>
      </w:pPr>
      <w:bookmarkStart w:id="1014" w:name="_Toc10118"/>
      <w:bookmarkStart w:id="1015" w:name="_Toc9187"/>
      <w:r>
        <w:rPr>
          <w:rFonts w:hint="eastAsia" w:ascii="宋体" w:hAnsi="宋体" w:cs="宋体"/>
          <w:b/>
          <w:color w:val="auto"/>
          <w:sz w:val="28"/>
          <w:szCs w:val="28"/>
          <w:highlight w:val="none"/>
        </w:rPr>
        <w:t>8.供应商在谈判当天前近半年内任意一个月或任一季度依法缴纳税收的证明材料（增值税发票(税收完税证明)或企业所得税完税证明或税务部门出具的免税证明）复印件（必须提供）。</w:t>
      </w:r>
      <w:bookmarkEnd w:id="1010"/>
      <w:bookmarkEnd w:id="1011"/>
      <w:bookmarkEnd w:id="1012"/>
      <w:bookmarkEnd w:id="1013"/>
      <w:bookmarkEnd w:id="1014"/>
      <w:bookmarkEnd w:id="1015"/>
    </w:p>
    <w:p w14:paraId="51F2C709">
      <w:pPr>
        <w:rPr>
          <w:rFonts w:ascii="宋体" w:hAnsi="宋体" w:cs="宋体"/>
          <w:b/>
          <w:bCs/>
          <w:color w:val="auto"/>
          <w:sz w:val="32"/>
          <w:szCs w:val="32"/>
          <w:highlight w:val="none"/>
        </w:rPr>
      </w:pPr>
    </w:p>
    <w:p w14:paraId="4B25944D">
      <w:pPr>
        <w:pStyle w:val="33"/>
        <w:rPr>
          <w:rFonts w:ascii="宋体" w:hAnsi="宋体" w:cs="宋体"/>
          <w:color w:val="auto"/>
          <w:highlight w:val="none"/>
        </w:rPr>
      </w:pPr>
    </w:p>
    <w:p w14:paraId="73D8AA4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9DE907E">
      <w:pPr>
        <w:ind w:left="420"/>
        <w:jc w:val="center"/>
        <w:outlineLvl w:val="1"/>
        <w:rPr>
          <w:rFonts w:ascii="宋体" w:hAnsi="宋体" w:cs="宋体"/>
          <w:b/>
          <w:bCs/>
          <w:color w:val="auto"/>
          <w:sz w:val="32"/>
          <w:szCs w:val="32"/>
          <w:highlight w:val="none"/>
        </w:rPr>
      </w:pPr>
      <w:bookmarkStart w:id="1016" w:name="_Toc17586"/>
      <w:bookmarkStart w:id="1017" w:name="_Toc22183"/>
      <w:r>
        <w:rPr>
          <w:rFonts w:hint="eastAsia" w:ascii="宋体" w:hAnsi="宋体" w:cs="宋体"/>
          <w:b/>
          <w:bCs/>
          <w:color w:val="auto"/>
          <w:sz w:val="32"/>
          <w:szCs w:val="32"/>
          <w:highlight w:val="none"/>
        </w:rPr>
        <w:t>（二）符合性响应证明材料目录</w:t>
      </w:r>
      <w:bookmarkEnd w:id="1016"/>
      <w:bookmarkEnd w:id="1017"/>
    </w:p>
    <w:p w14:paraId="57A3D00A">
      <w:pPr>
        <w:spacing w:line="360" w:lineRule="auto"/>
        <w:ind w:left="420"/>
        <w:rPr>
          <w:rFonts w:ascii="宋体" w:hAnsi="宋体" w:cs="宋体"/>
          <w:color w:val="auto"/>
          <w:sz w:val="24"/>
          <w:highlight w:val="none"/>
        </w:rPr>
      </w:pPr>
    </w:p>
    <w:p w14:paraId="3F4CA0B1">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1.响应函（格式见附件）（必须提供）；</w:t>
      </w:r>
    </w:p>
    <w:p w14:paraId="172A7117">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2.已标价工程量清单（必须提供）；</w:t>
      </w:r>
    </w:p>
    <w:p w14:paraId="39822650">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3.拟投入本工程主要施工管理人员表（必须提供）；</w:t>
      </w:r>
    </w:p>
    <w:p w14:paraId="176BEB77">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4.施工组织设计方案</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E24FD4A">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5.工程完工服务承诺书</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4384878">
      <w:pPr>
        <w:spacing w:line="400" w:lineRule="exact"/>
        <w:ind w:left="420"/>
        <w:rPr>
          <w:rFonts w:ascii="宋体" w:hAnsi="宋体" w:cs="宋体"/>
          <w:color w:val="auto"/>
          <w:szCs w:val="21"/>
          <w:highlight w:val="none"/>
        </w:rPr>
      </w:pPr>
      <w:bookmarkStart w:id="1018" w:name="_Toc1014"/>
      <w:bookmarkStart w:id="1019" w:name="_Toc6633"/>
      <w:r>
        <w:rPr>
          <w:rFonts w:hint="eastAsia" w:ascii="宋体" w:hAnsi="宋体" w:cs="宋体"/>
          <w:color w:val="auto"/>
          <w:szCs w:val="21"/>
          <w:highlight w:val="none"/>
        </w:rPr>
        <w:t>6.农民工工资保障金交纳与使用承诺书（必须提供）；</w:t>
      </w:r>
      <w:bookmarkEnd w:id="1018"/>
      <w:bookmarkEnd w:id="1019"/>
    </w:p>
    <w:p w14:paraId="6F77F6C2">
      <w:pPr>
        <w:spacing w:line="400" w:lineRule="exact"/>
        <w:ind w:left="420"/>
        <w:rPr>
          <w:rFonts w:ascii="宋体" w:hAnsi="宋体" w:cs="宋体"/>
          <w:color w:val="auto"/>
          <w:szCs w:val="21"/>
          <w:highlight w:val="none"/>
        </w:rPr>
      </w:pPr>
      <w:bookmarkStart w:id="1020" w:name="_Toc13958"/>
      <w:bookmarkStart w:id="1021" w:name="_Toc6752"/>
      <w:r>
        <w:rPr>
          <w:rFonts w:hint="eastAsia" w:ascii="宋体" w:hAnsi="宋体" w:cs="宋体"/>
          <w:color w:val="auto"/>
          <w:szCs w:val="21"/>
          <w:highlight w:val="none"/>
        </w:rPr>
        <w:t>7.城乡清洁工程渣土清运承诺书（必须提供）。</w:t>
      </w:r>
      <w:bookmarkEnd w:id="1020"/>
      <w:bookmarkEnd w:id="1021"/>
    </w:p>
    <w:p w14:paraId="0A91D3C1">
      <w:pPr>
        <w:pStyle w:val="367"/>
        <w:rPr>
          <w:rFonts w:ascii="宋体" w:hAnsi="宋体" w:cs="宋体"/>
          <w:color w:val="auto"/>
          <w:highlight w:val="none"/>
        </w:rPr>
      </w:pPr>
    </w:p>
    <w:p w14:paraId="3F2B8EE0">
      <w:pPr>
        <w:pStyle w:val="19"/>
        <w:rPr>
          <w:rFonts w:ascii="宋体" w:hAnsi="宋体" w:cs="宋体"/>
          <w:color w:val="auto"/>
          <w:highlight w:val="none"/>
        </w:rPr>
      </w:pPr>
    </w:p>
    <w:p w14:paraId="661B1650">
      <w:pPr>
        <w:spacing w:line="400" w:lineRule="exact"/>
        <w:outlineLvl w:val="1"/>
        <w:rPr>
          <w:rFonts w:ascii="宋体" w:hAnsi="宋体" w:cs="宋体"/>
          <w:b/>
          <w:bCs/>
          <w:color w:val="auto"/>
          <w:sz w:val="28"/>
          <w:szCs w:val="28"/>
          <w:highlight w:val="none"/>
        </w:rPr>
      </w:pPr>
      <w:bookmarkStart w:id="1022" w:name="_Toc497927072"/>
      <w:bookmarkStart w:id="1023" w:name="_Toc17617"/>
      <w:bookmarkStart w:id="1024" w:name="_Toc12920"/>
      <w:r>
        <w:rPr>
          <w:rFonts w:hint="eastAsia" w:ascii="宋体" w:hAnsi="宋体" w:cs="宋体"/>
          <w:b/>
          <w:bCs/>
          <w:color w:val="auto"/>
          <w:sz w:val="28"/>
          <w:szCs w:val="28"/>
          <w:highlight w:val="none"/>
        </w:rPr>
        <w:br w:type="page"/>
      </w:r>
      <w:bookmarkStart w:id="1025" w:name="_Toc13266"/>
      <w:bookmarkStart w:id="1026" w:name="_Toc4512"/>
      <w:bookmarkStart w:id="1027" w:name="_Toc22576"/>
      <w:bookmarkStart w:id="1028" w:name="_Toc7733"/>
      <w:bookmarkStart w:id="1029" w:name="_Toc15505"/>
      <w:bookmarkStart w:id="1030" w:name="_Toc15513"/>
      <w:r>
        <w:rPr>
          <w:rFonts w:hint="eastAsia" w:ascii="宋体" w:hAnsi="宋体" w:cs="宋体"/>
          <w:b/>
          <w:bCs/>
          <w:color w:val="auto"/>
          <w:sz w:val="28"/>
          <w:szCs w:val="28"/>
          <w:highlight w:val="none"/>
        </w:rPr>
        <w:t>1.响应函（格式见附件）（必须提供）</w:t>
      </w:r>
      <w:bookmarkEnd w:id="1022"/>
      <w:bookmarkEnd w:id="1023"/>
      <w:bookmarkEnd w:id="1024"/>
      <w:bookmarkEnd w:id="1025"/>
      <w:bookmarkEnd w:id="1026"/>
      <w:bookmarkEnd w:id="1027"/>
      <w:bookmarkEnd w:id="1028"/>
      <w:bookmarkEnd w:id="1029"/>
      <w:bookmarkEnd w:id="1030"/>
    </w:p>
    <w:p w14:paraId="7942F3F8">
      <w:pPr>
        <w:pStyle w:val="367"/>
        <w:rPr>
          <w:rFonts w:ascii="宋体" w:hAnsi="宋体" w:cs="宋体"/>
          <w:color w:val="auto"/>
          <w:highlight w:val="none"/>
        </w:rPr>
      </w:pPr>
    </w:p>
    <w:p w14:paraId="17B3A8CA">
      <w:pPr>
        <w:pStyle w:val="27"/>
        <w:rPr>
          <w:rFonts w:hAnsi="宋体" w:cs="宋体"/>
          <w:b/>
          <w:color w:val="auto"/>
          <w:sz w:val="32"/>
          <w:highlight w:val="none"/>
        </w:rPr>
      </w:pPr>
      <w:r>
        <w:rPr>
          <w:rFonts w:hint="eastAsia" w:hAnsi="宋体" w:cs="宋体"/>
          <w:b/>
          <w:color w:val="auto"/>
          <w:sz w:val="32"/>
          <w:highlight w:val="none"/>
        </w:rPr>
        <w:t>附件：</w:t>
      </w:r>
    </w:p>
    <w:p w14:paraId="0F4C08EE">
      <w:pPr>
        <w:pStyle w:val="27"/>
        <w:ind w:firstLine="803" w:firstLineChars="250"/>
        <w:jc w:val="center"/>
        <w:rPr>
          <w:rFonts w:hAnsi="宋体" w:cs="宋体"/>
          <w:b/>
          <w:color w:val="auto"/>
          <w:sz w:val="32"/>
          <w:highlight w:val="none"/>
        </w:rPr>
      </w:pPr>
      <w:bookmarkStart w:id="1031" w:name="_Toc17832_WPSOffice_Level1"/>
      <w:bookmarkStart w:id="1032" w:name="_Toc7273_WPSOffice_Level1"/>
      <w:r>
        <w:rPr>
          <w:rFonts w:hint="eastAsia" w:hAnsi="宋体" w:cs="宋体"/>
          <w:b/>
          <w:color w:val="auto"/>
          <w:sz w:val="32"/>
          <w:highlight w:val="none"/>
        </w:rPr>
        <w:t>响 应 函 （格 式）</w:t>
      </w:r>
      <w:bookmarkEnd w:id="1031"/>
      <w:bookmarkEnd w:id="1032"/>
    </w:p>
    <w:p w14:paraId="74F8691C">
      <w:pPr>
        <w:spacing w:line="240" w:lineRule="exact"/>
        <w:jc w:val="center"/>
        <w:rPr>
          <w:rFonts w:ascii="宋体" w:hAnsi="宋体" w:cs="宋体"/>
          <w:color w:val="auto"/>
          <w:sz w:val="32"/>
          <w:highlight w:val="none"/>
        </w:rPr>
      </w:pPr>
    </w:p>
    <w:p w14:paraId="7DBCFF1E">
      <w:pP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w:t>
      </w:r>
    </w:p>
    <w:p w14:paraId="4774FB1A">
      <w:pPr>
        <w:spacing w:line="400" w:lineRule="exact"/>
        <w:rPr>
          <w:rFonts w:ascii="宋体" w:hAnsi="宋体" w:cs="宋体"/>
          <w:color w:val="auto"/>
          <w:szCs w:val="21"/>
          <w:highlight w:val="none"/>
        </w:rPr>
      </w:pPr>
    </w:p>
    <w:p w14:paraId="6577E753">
      <w:pPr>
        <w:pStyle w:val="27"/>
        <w:spacing w:line="400" w:lineRule="exact"/>
        <w:ind w:firstLine="420"/>
        <w:rPr>
          <w:rFonts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项目竞争性谈判文件，项目编号：</w:t>
      </w:r>
      <w:r>
        <w:rPr>
          <w:rFonts w:hint="eastAsia" w:hAnsi="宋体" w:cs="宋体"/>
          <w:color w:val="auto"/>
          <w:szCs w:val="21"/>
          <w:highlight w:val="none"/>
          <w:u w:val="single"/>
        </w:rPr>
        <w:t xml:space="preserve">            </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14:paraId="2403B55D">
      <w:pPr>
        <w:pStyle w:val="27"/>
        <w:spacing w:line="400" w:lineRule="exact"/>
        <w:ind w:firstLine="420"/>
        <w:rPr>
          <w:rFonts w:hAnsi="宋体" w:cs="宋体"/>
          <w:color w:val="auto"/>
          <w:highlight w:val="none"/>
        </w:rPr>
      </w:pPr>
      <w:r>
        <w:rPr>
          <w:rFonts w:hint="eastAsia" w:hAnsi="宋体" w:cs="宋体"/>
          <w:color w:val="auto"/>
          <w:highlight w:val="none"/>
        </w:rPr>
        <w:t>据此函，签字代表宣布同意如下：</w:t>
      </w:r>
    </w:p>
    <w:p w14:paraId="49221346">
      <w:pPr>
        <w:pStyle w:val="27"/>
        <w:spacing w:line="400" w:lineRule="exact"/>
        <w:ind w:firstLine="420"/>
        <w:rPr>
          <w:rFonts w:hAnsi="宋体" w:cs="宋体"/>
          <w:color w:val="auto"/>
          <w:highlight w:val="none"/>
        </w:rPr>
      </w:pPr>
      <w:r>
        <w:rPr>
          <w:rFonts w:hint="eastAsia" w:hAnsi="宋体" w:cs="宋体"/>
          <w:color w:val="auto"/>
          <w:highlight w:val="none"/>
        </w:rPr>
        <w:t>1.按谈判文件采购需求和谈判报价表：</w:t>
      </w:r>
    </w:p>
    <w:p w14:paraId="02438495">
      <w:pPr>
        <w:pStyle w:val="27"/>
        <w:spacing w:line="400" w:lineRule="exact"/>
        <w:ind w:firstLine="420"/>
        <w:rPr>
          <w:rFonts w:hAnsi="宋体" w:cs="宋体"/>
          <w:color w:val="auto"/>
          <w:highlight w:val="none"/>
        </w:rPr>
      </w:pPr>
      <w:r>
        <w:rPr>
          <w:rFonts w:hint="eastAsia" w:hAnsi="宋体" w:cs="宋体"/>
          <w:color w:val="auto"/>
          <w:szCs w:val="21"/>
          <w:highlight w:val="none"/>
        </w:rPr>
        <w:t>按采购项目内容和报价表，总造价报价为(大写)</w:t>
      </w:r>
      <w:r>
        <w:rPr>
          <w:rFonts w:hint="eastAsia" w:hAnsi="宋体" w:cs="宋体"/>
          <w:color w:val="auto"/>
          <w:szCs w:val="21"/>
          <w:highlight w:val="none"/>
          <w:u w:val="single"/>
        </w:rPr>
        <w:t xml:space="preserve">               </w:t>
      </w:r>
      <w:r>
        <w:rPr>
          <w:rFonts w:hint="eastAsia" w:hAnsi="宋体" w:cs="宋体"/>
          <w:color w:val="auto"/>
          <w:szCs w:val="21"/>
          <w:highlight w:val="none"/>
        </w:rPr>
        <w:t>元(￥</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5E7DD9B5">
      <w:pPr>
        <w:pStyle w:val="27"/>
        <w:spacing w:line="400" w:lineRule="exact"/>
        <w:ind w:firstLine="420"/>
        <w:rPr>
          <w:rFonts w:hAnsi="宋体" w:cs="宋体"/>
          <w:color w:val="auto"/>
          <w:highlight w:val="none"/>
        </w:rPr>
      </w:pPr>
      <w:r>
        <w:rPr>
          <w:rFonts w:hint="eastAsia" w:hAnsi="宋体" w:cs="宋体"/>
          <w:color w:val="auto"/>
          <w:highlight w:val="none"/>
        </w:rPr>
        <w:t>2.我方承诺已具备谈判文件规定的供应商资格条件。</w:t>
      </w:r>
    </w:p>
    <w:p w14:paraId="307B4785">
      <w:pPr>
        <w:pStyle w:val="27"/>
        <w:spacing w:line="400" w:lineRule="exact"/>
        <w:ind w:firstLine="420"/>
        <w:rPr>
          <w:rFonts w:hAnsi="宋体" w:cs="宋体"/>
          <w:color w:val="auto"/>
          <w:highlight w:val="none"/>
        </w:rPr>
      </w:pPr>
      <w:r>
        <w:rPr>
          <w:rFonts w:hint="eastAsia" w:hAnsi="宋体" w:cs="宋体"/>
          <w:color w:val="auto"/>
          <w:highlight w:val="none"/>
        </w:rPr>
        <w:t>3.我方已详细审核谈判文件，包括修改文件（如有的话）和有关附件，将自行承担因对全部谈判文件理解不正确或误解而产生的相应后果。</w:t>
      </w:r>
    </w:p>
    <w:p w14:paraId="213DBDC8">
      <w:pPr>
        <w:pStyle w:val="27"/>
        <w:spacing w:line="400" w:lineRule="exact"/>
        <w:ind w:firstLine="420"/>
        <w:rPr>
          <w:rFonts w:hAnsi="宋体" w:cs="宋体"/>
          <w:color w:val="auto"/>
          <w:highlight w:val="none"/>
        </w:rPr>
      </w:pPr>
      <w:r>
        <w:rPr>
          <w:rFonts w:hint="eastAsia" w:hAnsi="宋体" w:cs="宋体"/>
          <w:color w:val="auto"/>
          <w:highlight w:val="none"/>
        </w:rPr>
        <w:t>4.响应文件有效期为</w:t>
      </w:r>
      <w:r>
        <w:rPr>
          <w:rFonts w:hint="eastAsia" w:hAnsi="宋体" w:cs="宋体"/>
          <w:color w:val="auto"/>
          <w:szCs w:val="21"/>
          <w:highlight w:val="none"/>
        </w:rPr>
        <w:t>响应文件递交截止时间之日起90天。</w:t>
      </w:r>
    </w:p>
    <w:p w14:paraId="43F37CFC">
      <w:pPr>
        <w:pStyle w:val="27"/>
        <w:spacing w:line="400" w:lineRule="exact"/>
        <w:ind w:firstLine="420"/>
        <w:rPr>
          <w:rFonts w:hAnsi="宋体" w:cs="宋体"/>
          <w:color w:val="auto"/>
          <w:highlight w:val="none"/>
        </w:rPr>
      </w:pPr>
      <w:r>
        <w:rPr>
          <w:rFonts w:hint="eastAsia" w:hAnsi="宋体" w:cs="宋体"/>
          <w:color w:val="auto"/>
          <w:highlight w:val="none"/>
        </w:rPr>
        <w:t>5.如我方成交：</w:t>
      </w:r>
    </w:p>
    <w:p w14:paraId="234FCDC3">
      <w:pPr>
        <w:pStyle w:val="27"/>
        <w:spacing w:line="400" w:lineRule="exact"/>
        <w:ind w:firstLine="420"/>
        <w:rPr>
          <w:rFonts w:hAnsi="宋体" w:cs="宋体"/>
          <w:color w:val="auto"/>
          <w:highlight w:val="none"/>
        </w:rPr>
      </w:pPr>
      <w:r>
        <w:rPr>
          <w:rFonts w:hint="eastAsia" w:hAnsi="宋体" w:cs="宋体"/>
          <w:color w:val="auto"/>
          <w:highlight w:val="none"/>
        </w:rPr>
        <w:t>（1）我方承诺在收到成交通知书后，在成交通知书规定的期限内与采购人签订合同。</w:t>
      </w:r>
    </w:p>
    <w:p w14:paraId="50D84732">
      <w:pPr>
        <w:pStyle w:val="27"/>
        <w:spacing w:line="400" w:lineRule="exact"/>
        <w:ind w:firstLine="420"/>
        <w:rPr>
          <w:rFonts w:hAnsi="宋体" w:cs="宋体"/>
          <w:color w:val="auto"/>
          <w:szCs w:val="21"/>
          <w:highlight w:val="none"/>
        </w:rPr>
      </w:pPr>
      <w:r>
        <w:rPr>
          <w:rFonts w:hint="eastAsia" w:hAnsi="宋体" w:cs="宋体"/>
          <w:color w:val="auto"/>
          <w:szCs w:val="21"/>
          <w:highlight w:val="none"/>
        </w:rPr>
        <w:t>（2）我方承诺按照谈判文件规定递交履约担保。</w:t>
      </w:r>
    </w:p>
    <w:p w14:paraId="2AB5953D">
      <w:pPr>
        <w:pStyle w:val="27"/>
        <w:spacing w:line="400" w:lineRule="exact"/>
        <w:ind w:firstLine="420"/>
        <w:rPr>
          <w:rFonts w:hAnsi="宋体" w:cs="宋体"/>
          <w:color w:val="auto"/>
          <w:szCs w:val="21"/>
          <w:highlight w:val="none"/>
        </w:rPr>
      </w:pPr>
      <w:r>
        <w:rPr>
          <w:rFonts w:hint="eastAsia" w:hAnsi="宋体" w:cs="宋体"/>
          <w:color w:val="auto"/>
          <w:szCs w:val="21"/>
          <w:highlight w:val="none"/>
        </w:rPr>
        <w:t>（3）我方承诺本响应文件至本项目合同履行完毕止均保持有效，按谈判文件及政府采购法律、法规的规定履行合同责任和义务。</w:t>
      </w:r>
    </w:p>
    <w:p w14:paraId="1986D6D2">
      <w:pPr>
        <w:pStyle w:val="27"/>
        <w:spacing w:line="400" w:lineRule="exact"/>
        <w:ind w:firstLine="420"/>
        <w:rPr>
          <w:rFonts w:hAnsi="宋体" w:cs="宋体"/>
          <w:color w:val="auto"/>
          <w:szCs w:val="21"/>
          <w:highlight w:val="none"/>
        </w:rPr>
      </w:pPr>
      <w:r>
        <w:rPr>
          <w:rFonts w:hint="eastAsia" w:hAnsi="宋体" w:cs="宋体"/>
          <w:color w:val="auto"/>
          <w:szCs w:val="21"/>
          <w:highlight w:val="none"/>
        </w:rPr>
        <w:t>与本项目有关的正式通讯地址为：</w:t>
      </w:r>
    </w:p>
    <w:p w14:paraId="75ECD7A8">
      <w:pPr>
        <w:rPr>
          <w:rFonts w:ascii="宋体" w:hAnsi="宋体" w:cs="宋体"/>
          <w:color w:val="auto"/>
          <w:szCs w:val="21"/>
          <w:highlight w:val="none"/>
        </w:rPr>
      </w:pPr>
    </w:p>
    <w:p w14:paraId="4130FA7D">
      <w:pPr>
        <w:pStyle w:val="27"/>
        <w:spacing w:line="400" w:lineRule="exact"/>
        <w:ind w:firstLine="420"/>
        <w:rPr>
          <w:rFonts w:hAnsi="宋体" w:cs="宋体"/>
          <w:b/>
          <w:bCs/>
          <w:color w:val="auto"/>
          <w:szCs w:val="21"/>
          <w:highlight w:val="none"/>
        </w:rPr>
      </w:pPr>
      <w:r>
        <w:rPr>
          <w:rFonts w:hint="eastAsia" w:hAnsi="宋体" w:cs="宋体"/>
          <w:b/>
          <w:bCs/>
          <w:color w:val="auto"/>
          <w:szCs w:val="21"/>
          <w:highlight w:val="none"/>
        </w:rPr>
        <w:t>地址：</w:t>
      </w:r>
      <w:r>
        <w:rPr>
          <w:rFonts w:hint="eastAsia" w:hAnsi="宋体" w:cs="宋体"/>
          <w:b/>
          <w:bCs/>
          <w:color w:val="auto"/>
          <w:szCs w:val="21"/>
          <w:highlight w:val="none"/>
          <w:u w:val="single"/>
        </w:rPr>
        <w:t xml:space="preserve">                                   </w:t>
      </w:r>
      <w:r>
        <w:rPr>
          <w:rFonts w:hint="eastAsia" w:hAnsi="宋体" w:cs="宋体"/>
          <w:b/>
          <w:bCs/>
          <w:color w:val="auto"/>
          <w:szCs w:val="21"/>
          <w:highlight w:val="none"/>
        </w:rPr>
        <w:t xml:space="preserve"> 邮编：</w:t>
      </w:r>
      <w:r>
        <w:rPr>
          <w:rFonts w:hint="eastAsia" w:hAnsi="宋体" w:cs="宋体"/>
          <w:b/>
          <w:bCs/>
          <w:color w:val="auto"/>
          <w:szCs w:val="21"/>
          <w:highlight w:val="none"/>
          <w:u w:val="single"/>
        </w:rPr>
        <w:t xml:space="preserve">          </w:t>
      </w:r>
      <w:r>
        <w:rPr>
          <w:rFonts w:hint="eastAsia" w:hAnsi="宋体" w:cs="宋体"/>
          <w:b/>
          <w:bCs/>
          <w:color w:val="auto"/>
          <w:szCs w:val="21"/>
          <w:highlight w:val="none"/>
        </w:rPr>
        <w:t xml:space="preserve">  </w:t>
      </w:r>
    </w:p>
    <w:p w14:paraId="1CBB76A4">
      <w:pPr>
        <w:pStyle w:val="27"/>
        <w:spacing w:line="400" w:lineRule="exact"/>
        <w:ind w:firstLine="420"/>
        <w:rPr>
          <w:rFonts w:hAnsi="宋体" w:cs="宋体"/>
          <w:b/>
          <w:bCs/>
          <w:color w:val="auto"/>
          <w:szCs w:val="21"/>
          <w:highlight w:val="none"/>
          <w:u w:val="single"/>
        </w:rPr>
      </w:pPr>
      <w:r>
        <w:rPr>
          <w:rFonts w:hint="eastAsia" w:hAnsi="宋体" w:cs="宋体"/>
          <w:b/>
          <w:bCs/>
          <w:color w:val="auto"/>
          <w:szCs w:val="21"/>
          <w:highlight w:val="none"/>
        </w:rPr>
        <w:t>电话、传真：</w:t>
      </w:r>
      <w:r>
        <w:rPr>
          <w:rFonts w:hint="eastAsia" w:hAnsi="宋体" w:cs="宋体"/>
          <w:b/>
          <w:bCs/>
          <w:color w:val="auto"/>
          <w:szCs w:val="21"/>
          <w:highlight w:val="none"/>
          <w:u w:val="single"/>
        </w:rPr>
        <w:t xml:space="preserve">                             </w:t>
      </w:r>
    </w:p>
    <w:p w14:paraId="2E4CDA5A">
      <w:pPr>
        <w:pStyle w:val="27"/>
        <w:spacing w:line="400" w:lineRule="exact"/>
        <w:ind w:firstLine="420"/>
        <w:rPr>
          <w:rFonts w:hAnsi="宋体" w:cs="宋体"/>
          <w:b/>
          <w:bCs/>
          <w:color w:val="auto"/>
          <w:szCs w:val="21"/>
          <w:highlight w:val="none"/>
        </w:rPr>
      </w:pPr>
      <w:r>
        <w:rPr>
          <w:rFonts w:hint="eastAsia" w:hAnsi="宋体" w:cs="宋体"/>
          <w:b/>
          <w:bCs/>
          <w:color w:val="auto"/>
          <w:szCs w:val="21"/>
          <w:highlight w:val="none"/>
        </w:rPr>
        <w:t>开户名称：</w:t>
      </w:r>
      <w:r>
        <w:rPr>
          <w:rFonts w:hint="eastAsia" w:hAnsi="宋体" w:cs="宋体"/>
          <w:b/>
          <w:bCs/>
          <w:color w:val="auto"/>
          <w:szCs w:val="21"/>
          <w:highlight w:val="none"/>
          <w:u w:val="single"/>
        </w:rPr>
        <w:t xml:space="preserve">                               </w:t>
      </w:r>
    </w:p>
    <w:p w14:paraId="27A1E1DF">
      <w:pPr>
        <w:pStyle w:val="27"/>
        <w:spacing w:line="400" w:lineRule="exact"/>
        <w:ind w:firstLine="420"/>
        <w:rPr>
          <w:rFonts w:hAnsi="宋体" w:cs="宋体"/>
          <w:b/>
          <w:bCs/>
          <w:color w:val="auto"/>
          <w:szCs w:val="21"/>
          <w:highlight w:val="none"/>
        </w:rPr>
      </w:pPr>
      <w:r>
        <w:rPr>
          <w:rFonts w:hint="eastAsia" w:hAnsi="宋体" w:cs="宋体"/>
          <w:b/>
          <w:bCs/>
          <w:color w:val="auto"/>
          <w:szCs w:val="21"/>
          <w:highlight w:val="none"/>
        </w:rPr>
        <w:t>开户银行：</w:t>
      </w:r>
      <w:r>
        <w:rPr>
          <w:rFonts w:hint="eastAsia" w:hAnsi="宋体" w:cs="宋体"/>
          <w:b/>
          <w:bCs/>
          <w:color w:val="auto"/>
          <w:szCs w:val="21"/>
          <w:highlight w:val="none"/>
          <w:u w:val="single"/>
        </w:rPr>
        <w:t xml:space="preserve">                               </w:t>
      </w:r>
    </w:p>
    <w:p w14:paraId="0AC8926F">
      <w:pPr>
        <w:pStyle w:val="27"/>
        <w:spacing w:line="400" w:lineRule="exact"/>
        <w:ind w:firstLine="420"/>
        <w:rPr>
          <w:rFonts w:hAnsi="宋体" w:cs="宋体"/>
          <w:b/>
          <w:bCs/>
          <w:color w:val="auto"/>
          <w:szCs w:val="21"/>
          <w:highlight w:val="none"/>
        </w:rPr>
      </w:pPr>
      <w:r>
        <w:rPr>
          <w:rFonts w:hint="eastAsia" w:hAnsi="宋体" w:cs="宋体"/>
          <w:b/>
          <w:bCs/>
          <w:color w:val="auto"/>
          <w:szCs w:val="21"/>
          <w:highlight w:val="none"/>
        </w:rPr>
        <w:t>账号：</w:t>
      </w:r>
      <w:r>
        <w:rPr>
          <w:rFonts w:hint="eastAsia" w:hAnsi="宋体" w:cs="宋体"/>
          <w:b/>
          <w:bCs/>
          <w:color w:val="auto"/>
          <w:szCs w:val="21"/>
          <w:highlight w:val="none"/>
          <w:u w:val="single"/>
        </w:rPr>
        <w:t xml:space="preserve">                                   </w:t>
      </w:r>
    </w:p>
    <w:p w14:paraId="37CC2019">
      <w:pPr>
        <w:pStyle w:val="27"/>
        <w:spacing w:line="400" w:lineRule="exact"/>
        <w:ind w:firstLine="420"/>
        <w:rPr>
          <w:rFonts w:hAnsi="宋体" w:cs="宋体"/>
          <w:b/>
          <w:bCs/>
          <w:color w:val="auto"/>
          <w:szCs w:val="21"/>
          <w:highlight w:val="none"/>
          <w:u w:val="single"/>
        </w:rPr>
      </w:pPr>
      <w:r>
        <w:rPr>
          <w:rFonts w:hint="eastAsia" w:hAnsi="宋体" w:cs="宋体"/>
          <w:b/>
          <w:bCs/>
          <w:color w:val="auto"/>
          <w:szCs w:val="21"/>
          <w:highlight w:val="none"/>
        </w:rPr>
        <w:t>供应商[公章(CA签章)]：</w:t>
      </w:r>
      <w:r>
        <w:rPr>
          <w:rFonts w:hint="eastAsia" w:hAnsi="宋体" w:cs="宋体"/>
          <w:b/>
          <w:bCs/>
          <w:color w:val="auto"/>
          <w:szCs w:val="21"/>
          <w:highlight w:val="none"/>
          <w:u w:val="single"/>
        </w:rPr>
        <w:t xml:space="preserve">                              </w:t>
      </w:r>
    </w:p>
    <w:p w14:paraId="35A1D617">
      <w:pPr>
        <w:pStyle w:val="27"/>
        <w:spacing w:line="400" w:lineRule="exact"/>
        <w:ind w:firstLine="420"/>
        <w:rPr>
          <w:rFonts w:hAnsi="宋体" w:cs="宋体"/>
          <w:b/>
          <w:bCs/>
          <w:color w:val="auto"/>
          <w:szCs w:val="21"/>
          <w:highlight w:val="none"/>
          <w:u w:val="single"/>
        </w:rPr>
      </w:pPr>
      <w:r>
        <w:rPr>
          <w:rFonts w:hint="eastAsia" w:hAnsi="宋体" w:cs="宋体"/>
          <w:b/>
          <w:bCs/>
          <w:color w:val="auto"/>
          <w:szCs w:val="21"/>
          <w:highlight w:val="none"/>
        </w:rPr>
        <w:t>法定代表人、负责人或相应的委托代理人签字[或盖章(CA签章)]：</w:t>
      </w:r>
      <w:r>
        <w:rPr>
          <w:rFonts w:hint="eastAsia" w:hAnsi="宋体" w:cs="宋体"/>
          <w:b/>
          <w:bCs/>
          <w:color w:val="auto"/>
          <w:szCs w:val="21"/>
          <w:highlight w:val="none"/>
          <w:u w:val="single"/>
        </w:rPr>
        <w:t xml:space="preserve">              </w:t>
      </w:r>
    </w:p>
    <w:p w14:paraId="32ECAA0F">
      <w:pPr>
        <w:pStyle w:val="27"/>
        <w:spacing w:line="400" w:lineRule="exact"/>
        <w:ind w:firstLine="420"/>
        <w:rPr>
          <w:rFonts w:hAnsi="宋体" w:cs="宋体"/>
          <w:b/>
          <w:color w:val="auto"/>
          <w:sz w:val="28"/>
          <w:szCs w:val="28"/>
          <w:highlight w:val="none"/>
        </w:rPr>
      </w:pPr>
      <w:r>
        <w:rPr>
          <w:rFonts w:hint="eastAsia" w:hAnsi="宋体" w:cs="宋体"/>
          <w:b/>
          <w:bCs/>
          <w:color w:val="auto"/>
          <w:szCs w:val="21"/>
          <w:highlight w:val="none"/>
        </w:rPr>
        <w:t>日期：</w:t>
      </w:r>
      <w:r>
        <w:rPr>
          <w:rFonts w:hint="eastAsia" w:hAnsi="宋体" w:cs="宋体"/>
          <w:b/>
          <w:bCs/>
          <w:color w:val="auto"/>
          <w:szCs w:val="21"/>
          <w:highlight w:val="none"/>
          <w:u w:val="single"/>
        </w:rPr>
        <w:t xml:space="preserve">                               </w:t>
      </w:r>
    </w:p>
    <w:p w14:paraId="69758B90">
      <w:pPr>
        <w:rPr>
          <w:rFonts w:ascii="宋体" w:hAnsi="宋体" w:cs="宋体"/>
          <w:b/>
          <w:color w:val="auto"/>
          <w:sz w:val="28"/>
          <w:szCs w:val="28"/>
          <w:highlight w:val="none"/>
        </w:rPr>
      </w:pPr>
      <w:bookmarkStart w:id="1033" w:name="_Toc20211"/>
      <w:bookmarkStart w:id="1034" w:name="_Toc28417"/>
      <w:r>
        <w:rPr>
          <w:rFonts w:hint="eastAsia" w:ascii="宋体" w:hAnsi="宋体" w:cs="宋体"/>
          <w:b/>
          <w:color w:val="auto"/>
          <w:sz w:val="28"/>
          <w:szCs w:val="28"/>
          <w:highlight w:val="none"/>
        </w:rPr>
        <w:br w:type="page"/>
      </w:r>
    </w:p>
    <w:bookmarkEnd w:id="1033"/>
    <w:bookmarkEnd w:id="1034"/>
    <w:p w14:paraId="4616EC9D">
      <w:pPr>
        <w:spacing w:line="400" w:lineRule="exact"/>
        <w:outlineLvl w:val="1"/>
        <w:rPr>
          <w:rFonts w:ascii="宋体" w:hAnsi="宋体" w:cs="宋体"/>
          <w:b/>
          <w:color w:val="auto"/>
          <w:sz w:val="28"/>
          <w:szCs w:val="28"/>
          <w:highlight w:val="none"/>
        </w:rPr>
      </w:pPr>
      <w:bookmarkStart w:id="1035" w:name="_Toc21686"/>
      <w:bookmarkStart w:id="1036" w:name="_Toc8996"/>
      <w:bookmarkStart w:id="1037" w:name="_Toc32015"/>
      <w:bookmarkStart w:id="1038" w:name="_Toc5788"/>
      <w:bookmarkStart w:id="1039" w:name="_Toc4209"/>
      <w:bookmarkStart w:id="1040" w:name="_Toc5594"/>
      <w:r>
        <w:rPr>
          <w:rFonts w:hint="eastAsia" w:ascii="宋体" w:hAnsi="宋体" w:cs="宋体"/>
          <w:b/>
          <w:color w:val="auto"/>
          <w:sz w:val="28"/>
          <w:szCs w:val="28"/>
          <w:highlight w:val="none"/>
        </w:rPr>
        <w:t>2.已标价</w:t>
      </w:r>
      <w:r>
        <w:rPr>
          <w:rFonts w:hint="eastAsia" w:ascii="宋体" w:hAnsi="宋体" w:cs="宋体"/>
          <w:b/>
          <w:bCs/>
          <w:color w:val="auto"/>
          <w:sz w:val="28"/>
          <w:szCs w:val="28"/>
          <w:highlight w:val="none"/>
        </w:rPr>
        <w:t>工程量</w:t>
      </w:r>
      <w:r>
        <w:rPr>
          <w:rFonts w:hint="eastAsia" w:ascii="宋体" w:hAnsi="宋体" w:cs="宋体"/>
          <w:b/>
          <w:color w:val="auto"/>
          <w:sz w:val="28"/>
          <w:szCs w:val="28"/>
          <w:highlight w:val="none"/>
        </w:rPr>
        <w:t>清单（必须提供）</w:t>
      </w:r>
      <w:bookmarkEnd w:id="1035"/>
      <w:bookmarkEnd w:id="1036"/>
      <w:bookmarkEnd w:id="1037"/>
      <w:bookmarkEnd w:id="1038"/>
      <w:bookmarkEnd w:id="1039"/>
      <w:bookmarkEnd w:id="1040"/>
    </w:p>
    <w:p w14:paraId="7D1D2A01">
      <w:pPr>
        <w:snapToGrid w:val="0"/>
        <w:ind w:firstLine="420"/>
        <w:jc w:val="right"/>
        <w:rPr>
          <w:rFonts w:ascii="宋体" w:hAnsi="宋体" w:cs="宋体"/>
          <w:color w:val="auto"/>
          <w:highlight w:val="none"/>
        </w:rPr>
      </w:pPr>
    </w:p>
    <w:p w14:paraId="164C5D66">
      <w:pPr>
        <w:ind w:firstLine="420"/>
        <w:jc w:val="center"/>
        <w:rPr>
          <w:rFonts w:ascii="宋体" w:hAnsi="宋体" w:cs="宋体"/>
          <w:color w:val="auto"/>
          <w:highlight w:val="none"/>
        </w:rPr>
      </w:pPr>
    </w:p>
    <w:p w14:paraId="604C35D1">
      <w:pPr>
        <w:spacing w:line="340" w:lineRule="exact"/>
        <w:rPr>
          <w:rFonts w:ascii="宋体" w:hAnsi="宋体" w:cs="宋体"/>
          <w:color w:val="auto"/>
          <w:szCs w:val="21"/>
          <w:highlight w:val="none"/>
        </w:rPr>
      </w:pPr>
    </w:p>
    <w:p w14:paraId="358E76D2">
      <w:pPr>
        <w:spacing w:line="4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当本清单由多页构成时，需逐页加盖谈判供应商公章（CA签章），否则谈判无效。</w:t>
      </w:r>
    </w:p>
    <w:p w14:paraId="3ACC6249">
      <w:pPr>
        <w:pStyle w:val="19"/>
        <w:rPr>
          <w:rFonts w:ascii="宋体" w:hAnsi="宋体" w:cs="宋体"/>
          <w:color w:val="auto"/>
          <w:highlight w:val="none"/>
        </w:rPr>
      </w:pPr>
    </w:p>
    <w:p w14:paraId="5815C03C">
      <w:pPr>
        <w:pStyle w:val="19"/>
        <w:rPr>
          <w:rFonts w:ascii="宋体" w:hAnsi="宋体" w:cs="宋体"/>
          <w:color w:val="auto"/>
          <w:highlight w:val="none"/>
        </w:rPr>
      </w:pPr>
    </w:p>
    <w:p w14:paraId="261C18A8">
      <w:pPr>
        <w:pStyle w:val="19"/>
        <w:rPr>
          <w:rFonts w:ascii="宋体" w:hAnsi="宋体" w:cs="宋体"/>
          <w:color w:val="auto"/>
          <w:highlight w:val="none"/>
        </w:rPr>
      </w:pPr>
    </w:p>
    <w:p w14:paraId="36A53CD1">
      <w:pPr>
        <w:pStyle w:val="19"/>
        <w:rPr>
          <w:rFonts w:ascii="宋体" w:hAnsi="宋体" w:cs="宋体"/>
          <w:color w:val="auto"/>
          <w:highlight w:val="none"/>
        </w:rPr>
      </w:pPr>
    </w:p>
    <w:p w14:paraId="10F6EA23">
      <w:pPr>
        <w:pStyle w:val="19"/>
        <w:rPr>
          <w:rFonts w:ascii="宋体" w:hAnsi="宋体" w:cs="宋体"/>
          <w:color w:val="auto"/>
          <w:highlight w:val="none"/>
        </w:rPr>
      </w:pPr>
    </w:p>
    <w:p w14:paraId="690BBA60">
      <w:pPr>
        <w:rPr>
          <w:rFonts w:ascii="宋体" w:hAnsi="宋体" w:cs="宋体"/>
          <w:color w:val="auto"/>
          <w:highlight w:val="none"/>
        </w:rPr>
      </w:pPr>
    </w:p>
    <w:p w14:paraId="00327848">
      <w:pPr>
        <w:pStyle w:val="23"/>
        <w:rPr>
          <w:rFonts w:ascii="宋体" w:hAnsi="宋体" w:cs="宋体"/>
          <w:color w:val="auto"/>
          <w:highlight w:val="none"/>
        </w:rPr>
      </w:pPr>
    </w:p>
    <w:p w14:paraId="6F964CB0">
      <w:pPr>
        <w:spacing w:line="400" w:lineRule="exact"/>
        <w:outlineLvl w:val="1"/>
        <w:rPr>
          <w:rFonts w:ascii="宋体" w:hAnsi="宋体" w:cs="宋体"/>
          <w:b/>
          <w:bCs/>
          <w:iCs/>
          <w:color w:val="auto"/>
          <w:sz w:val="28"/>
          <w:szCs w:val="28"/>
          <w:highlight w:val="none"/>
        </w:rPr>
      </w:pPr>
      <w:r>
        <w:rPr>
          <w:rFonts w:hint="eastAsia" w:ascii="宋体" w:hAnsi="宋体" w:cs="宋体"/>
          <w:b/>
          <w:color w:val="auto"/>
          <w:sz w:val="28"/>
          <w:szCs w:val="28"/>
          <w:highlight w:val="none"/>
        </w:rPr>
        <w:br w:type="page"/>
      </w:r>
      <w:bookmarkStart w:id="1041" w:name="_Toc6913"/>
      <w:bookmarkStart w:id="1042" w:name="_Toc22086"/>
      <w:bookmarkStart w:id="1043" w:name="_Toc8898"/>
      <w:bookmarkStart w:id="1044" w:name="_Toc26600"/>
      <w:bookmarkStart w:id="1045" w:name="_Toc24899"/>
      <w:bookmarkStart w:id="1046" w:name="_Toc13917"/>
      <w:r>
        <w:rPr>
          <w:rFonts w:hint="eastAsia" w:ascii="宋体" w:hAnsi="宋体" w:cs="宋体"/>
          <w:b/>
          <w:color w:val="auto"/>
          <w:sz w:val="28"/>
          <w:szCs w:val="28"/>
          <w:highlight w:val="none"/>
        </w:rPr>
        <w:t>3.</w:t>
      </w:r>
      <w:r>
        <w:rPr>
          <w:rFonts w:hint="eastAsia" w:ascii="宋体" w:hAnsi="宋体" w:cs="宋体"/>
          <w:b/>
          <w:bCs/>
          <w:iCs/>
          <w:color w:val="auto"/>
          <w:sz w:val="28"/>
          <w:szCs w:val="28"/>
          <w:highlight w:val="none"/>
        </w:rPr>
        <w:t>拟</w:t>
      </w:r>
      <w:r>
        <w:rPr>
          <w:rFonts w:hint="eastAsia" w:ascii="宋体" w:hAnsi="宋体" w:cs="宋体"/>
          <w:b/>
          <w:bCs/>
          <w:color w:val="auto"/>
          <w:sz w:val="28"/>
          <w:szCs w:val="28"/>
          <w:highlight w:val="none"/>
        </w:rPr>
        <w:t>投入</w:t>
      </w:r>
      <w:r>
        <w:rPr>
          <w:rFonts w:hint="eastAsia" w:ascii="宋体" w:hAnsi="宋体" w:cs="宋体"/>
          <w:b/>
          <w:bCs/>
          <w:iCs/>
          <w:color w:val="auto"/>
          <w:sz w:val="28"/>
          <w:szCs w:val="28"/>
          <w:highlight w:val="none"/>
        </w:rPr>
        <w:t>本工程主要施工管理人员表（必须提供）；</w:t>
      </w:r>
      <w:bookmarkEnd w:id="1041"/>
      <w:bookmarkEnd w:id="1042"/>
      <w:bookmarkEnd w:id="1043"/>
      <w:bookmarkEnd w:id="1044"/>
      <w:bookmarkEnd w:id="1045"/>
      <w:bookmarkEnd w:id="1046"/>
    </w:p>
    <w:p w14:paraId="1F34079E">
      <w:pPr>
        <w:spacing w:line="500" w:lineRule="exact"/>
        <w:jc w:val="center"/>
        <w:rPr>
          <w:rFonts w:ascii="宋体" w:hAnsi="宋体" w:cs="宋体"/>
          <w:b/>
          <w:color w:val="auto"/>
          <w:sz w:val="24"/>
          <w:highlight w:val="none"/>
        </w:rPr>
      </w:pPr>
    </w:p>
    <w:p w14:paraId="640051E4">
      <w:pPr>
        <w:spacing w:line="500" w:lineRule="exact"/>
        <w:jc w:val="center"/>
        <w:rPr>
          <w:rFonts w:ascii="宋体" w:hAnsi="宋体" w:cs="宋体"/>
          <w:b/>
          <w:color w:val="auto"/>
          <w:sz w:val="24"/>
          <w:highlight w:val="none"/>
        </w:rPr>
      </w:pPr>
      <w:r>
        <w:rPr>
          <w:rFonts w:hint="eastAsia" w:ascii="宋体" w:hAnsi="宋体" w:cs="宋体"/>
          <w:b/>
          <w:color w:val="auto"/>
          <w:sz w:val="24"/>
          <w:highlight w:val="none"/>
        </w:rPr>
        <w:t>主要施工管理人员表</w:t>
      </w:r>
    </w:p>
    <w:p w14:paraId="2788FBFA">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工程名称：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5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7628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6F6107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vAlign w:val="center"/>
          </w:tcPr>
          <w:p w14:paraId="265E0CD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92" w:type="dxa"/>
            <w:tcBorders>
              <w:top w:val="single" w:color="auto" w:sz="4" w:space="0"/>
              <w:left w:val="single" w:color="auto" w:sz="4" w:space="0"/>
              <w:bottom w:val="single" w:color="auto" w:sz="4" w:space="0"/>
              <w:right w:val="single" w:color="auto" w:sz="4" w:space="0"/>
            </w:tcBorders>
            <w:vAlign w:val="center"/>
          </w:tcPr>
          <w:p w14:paraId="5E3689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vAlign w:val="center"/>
          </w:tcPr>
          <w:p w14:paraId="20AA84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14:paraId="78B1B8B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执业资格证号/上岗证号</w:t>
            </w:r>
          </w:p>
        </w:tc>
      </w:tr>
      <w:tr w14:paraId="215E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27C9554">
            <w:pPr>
              <w:spacing w:line="360" w:lineRule="exact"/>
              <w:rPr>
                <w:rFonts w:ascii="宋体" w:hAnsi="宋体" w:cs="宋体"/>
                <w:color w:val="auto"/>
                <w:szCs w:val="21"/>
                <w:highlight w:val="none"/>
              </w:rPr>
            </w:pPr>
            <w:r>
              <w:rPr>
                <w:rFonts w:hint="eastAsia" w:ascii="宋体" w:hAnsi="宋体" w:cs="宋体"/>
                <w:color w:val="auto"/>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vAlign w:val="center"/>
          </w:tcPr>
          <w:p w14:paraId="1E14E979">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1522E3D">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2BA980BA">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4205BA06">
            <w:pPr>
              <w:spacing w:line="360" w:lineRule="exact"/>
              <w:rPr>
                <w:rFonts w:ascii="宋体" w:hAnsi="宋体" w:cs="宋体"/>
                <w:color w:val="auto"/>
                <w:szCs w:val="21"/>
                <w:highlight w:val="none"/>
              </w:rPr>
            </w:pPr>
          </w:p>
        </w:tc>
      </w:tr>
      <w:tr w14:paraId="33C9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E35E24A">
            <w:pPr>
              <w:spacing w:line="360" w:lineRule="exact"/>
              <w:rPr>
                <w:rFonts w:ascii="宋体" w:hAnsi="宋体" w:cs="宋体"/>
                <w:color w:val="auto"/>
                <w:szCs w:val="21"/>
                <w:highlight w:val="none"/>
              </w:rPr>
            </w:pPr>
            <w:r>
              <w:rPr>
                <w:rFonts w:hint="eastAsia" w:ascii="宋体" w:hAnsi="宋体" w:cs="宋体"/>
                <w:color w:val="auto"/>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14:paraId="2DE80ABD">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439EBC47">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3AD810CB">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0152D74C">
            <w:pPr>
              <w:spacing w:line="360" w:lineRule="exact"/>
              <w:rPr>
                <w:rFonts w:ascii="宋体" w:hAnsi="宋体" w:cs="宋体"/>
                <w:color w:val="auto"/>
                <w:szCs w:val="21"/>
                <w:highlight w:val="none"/>
              </w:rPr>
            </w:pPr>
          </w:p>
        </w:tc>
      </w:tr>
      <w:tr w14:paraId="51A2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2EA7987">
            <w:pPr>
              <w:spacing w:line="360" w:lineRule="exact"/>
              <w:rPr>
                <w:rFonts w:ascii="宋体" w:hAnsi="宋体" w:cs="宋体"/>
                <w:color w:val="auto"/>
                <w:szCs w:val="21"/>
                <w:highlight w:val="none"/>
              </w:rPr>
            </w:pPr>
            <w:r>
              <w:rPr>
                <w:rFonts w:hint="eastAsia" w:ascii="宋体" w:hAnsi="宋体" w:cs="宋体"/>
                <w:color w:val="auto"/>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14:paraId="78D26183">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2CDFBFB">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591A0758">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3404C860">
            <w:pPr>
              <w:spacing w:line="360" w:lineRule="exact"/>
              <w:rPr>
                <w:rFonts w:ascii="宋体" w:hAnsi="宋体" w:cs="宋体"/>
                <w:color w:val="auto"/>
                <w:szCs w:val="21"/>
                <w:highlight w:val="none"/>
              </w:rPr>
            </w:pPr>
          </w:p>
        </w:tc>
      </w:tr>
      <w:tr w14:paraId="6FD3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749779E">
            <w:pPr>
              <w:spacing w:line="360" w:lineRule="exact"/>
              <w:rPr>
                <w:rFonts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14:paraId="53764CEB">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024D803">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76E62ECA">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05D26813">
            <w:pPr>
              <w:spacing w:line="360" w:lineRule="exact"/>
              <w:rPr>
                <w:rFonts w:ascii="宋体" w:hAnsi="宋体" w:cs="宋体"/>
                <w:color w:val="auto"/>
                <w:szCs w:val="21"/>
                <w:highlight w:val="none"/>
              </w:rPr>
            </w:pPr>
          </w:p>
        </w:tc>
      </w:tr>
      <w:tr w14:paraId="3602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B4D5164">
            <w:pPr>
              <w:spacing w:line="360" w:lineRule="exact"/>
              <w:rPr>
                <w:rFonts w:ascii="宋体" w:hAnsi="宋体" w:cs="宋体"/>
                <w:color w:val="auto"/>
                <w:szCs w:val="21"/>
                <w:highlight w:val="none"/>
              </w:rPr>
            </w:pPr>
            <w:r>
              <w:rPr>
                <w:rFonts w:hint="eastAsia" w:ascii="宋体" w:hAnsi="宋体" w:cs="宋体"/>
                <w:color w:val="auto"/>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vAlign w:val="center"/>
          </w:tcPr>
          <w:p w14:paraId="26FE5B8B">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120A13A">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26719D83">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2DB035E3">
            <w:pPr>
              <w:spacing w:line="360" w:lineRule="exact"/>
              <w:rPr>
                <w:rFonts w:ascii="宋体" w:hAnsi="宋体" w:cs="宋体"/>
                <w:color w:val="auto"/>
                <w:szCs w:val="21"/>
                <w:highlight w:val="none"/>
              </w:rPr>
            </w:pPr>
          </w:p>
        </w:tc>
      </w:tr>
      <w:tr w14:paraId="6AE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7B6B3A4">
            <w:pPr>
              <w:spacing w:line="360" w:lineRule="exact"/>
              <w:rPr>
                <w:rFonts w:ascii="宋体" w:hAnsi="宋体" w:cs="宋体"/>
                <w:color w:val="auto"/>
                <w:szCs w:val="21"/>
                <w:highlight w:val="none"/>
              </w:rPr>
            </w:pPr>
            <w:r>
              <w:rPr>
                <w:rFonts w:hint="eastAsia" w:ascii="宋体" w:hAnsi="宋体" w:cs="宋体"/>
                <w:color w:val="auto"/>
                <w:szCs w:val="21"/>
                <w:highlight w:val="none"/>
              </w:rPr>
              <w:t>1.项目经理</w:t>
            </w:r>
          </w:p>
        </w:tc>
        <w:tc>
          <w:tcPr>
            <w:tcW w:w="793" w:type="dxa"/>
            <w:tcBorders>
              <w:top w:val="single" w:color="auto" w:sz="4" w:space="0"/>
              <w:left w:val="single" w:color="auto" w:sz="4" w:space="0"/>
              <w:bottom w:val="single" w:color="auto" w:sz="4" w:space="0"/>
              <w:right w:val="single" w:color="auto" w:sz="4" w:space="0"/>
            </w:tcBorders>
            <w:vAlign w:val="center"/>
          </w:tcPr>
          <w:p w14:paraId="4018181C">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66E4859">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67BD0D41">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03EF209E">
            <w:pPr>
              <w:spacing w:line="360" w:lineRule="exact"/>
              <w:rPr>
                <w:rFonts w:ascii="宋体" w:hAnsi="宋体" w:cs="宋体"/>
                <w:color w:val="auto"/>
                <w:szCs w:val="21"/>
                <w:highlight w:val="none"/>
              </w:rPr>
            </w:pPr>
          </w:p>
        </w:tc>
      </w:tr>
      <w:tr w14:paraId="3F0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4DBD564">
            <w:pPr>
              <w:spacing w:line="360" w:lineRule="exact"/>
              <w:rPr>
                <w:rFonts w:ascii="宋体" w:hAnsi="宋体" w:cs="宋体"/>
                <w:color w:val="auto"/>
                <w:szCs w:val="21"/>
                <w:highlight w:val="none"/>
              </w:rPr>
            </w:pPr>
            <w:r>
              <w:rPr>
                <w:rFonts w:hint="eastAsia" w:ascii="宋体" w:hAnsi="宋体" w:cs="宋体"/>
                <w:color w:val="auto"/>
                <w:szCs w:val="21"/>
                <w:highlight w:val="none"/>
              </w:rPr>
              <w:t>2.项目总工</w:t>
            </w:r>
          </w:p>
        </w:tc>
        <w:tc>
          <w:tcPr>
            <w:tcW w:w="793" w:type="dxa"/>
            <w:tcBorders>
              <w:top w:val="single" w:color="auto" w:sz="4" w:space="0"/>
              <w:left w:val="single" w:color="auto" w:sz="4" w:space="0"/>
              <w:bottom w:val="single" w:color="auto" w:sz="4" w:space="0"/>
              <w:right w:val="single" w:color="auto" w:sz="4" w:space="0"/>
            </w:tcBorders>
            <w:vAlign w:val="center"/>
          </w:tcPr>
          <w:p w14:paraId="7681B7F5">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A337800">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5D71D5BF">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0E4411C3">
            <w:pPr>
              <w:spacing w:line="360" w:lineRule="exact"/>
              <w:rPr>
                <w:rFonts w:ascii="宋体" w:hAnsi="宋体" w:cs="宋体"/>
                <w:color w:val="auto"/>
                <w:szCs w:val="21"/>
                <w:highlight w:val="none"/>
              </w:rPr>
            </w:pPr>
          </w:p>
        </w:tc>
      </w:tr>
      <w:tr w14:paraId="5E4F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66BF529D">
            <w:pPr>
              <w:spacing w:line="360" w:lineRule="exact"/>
              <w:rPr>
                <w:rFonts w:ascii="宋体" w:hAnsi="宋体" w:cs="宋体"/>
                <w:color w:val="auto"/>
                <w:szCs w:val="21"/>
                <w:highlight w:val="none"/>
              </w:rPr>
            </w:pPr>
            <w:r>
              <w:rPr>
                <w:rFonts w:hint="eastAsia" w:ascii="宋体" w:hAnsi="宋体" w:cs="宋体"/>
                <w:color w:val="auto"/>
                <w:szCs w:val="21"/>
                <w:highlight w:val="none"/>
              </w:rPr>
              <w:t>...</w:t>
            </w:r>
          </w:p>
        </w:tc>
        <w:tc>
          <w:tcPr>
            <w:tcW w:w="793" w:type="dxa"/>
            <w:tcBorders>
              <w:top w:val="single" w:color="auto" w:sz="4" w:space="0"/>
              <w:left w:val="single" w:color="auto" w:sz="4" w:space="0"/>
              <w:bottom w:val="single" w:color="auto" w:sz="4" w:space="0"/>
              <w:right w:val="single" w:color="auto" w:sz="4" w:space="0"/>
            </w:tcBorders>
            <w:vAlign w:val="center"/>
          </w:tcPr>
          <w:p w14:paraId="623DF17D">
            <w:pPr>
              <w:spacing w:line="360" w:lineRule="exact"/>
              <w:rPr>
                <w:rFonts w:ascii="宋体" w:hAnsi="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007BFF2">
            <w:pPr>
              <w:spacing w:line="360" w:lineRule="exact"/>
              <w:rPr>
                <w:rFonts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1D32491E">
            <w:pPr>
              <w:spacing w:line="360" w:lineRule="exact"/>
              <w:rPr>
                <w:rFonts w:ascii="宋体" w:hAnsi="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6144AC40">
            <w:pPr>
              <w:spacing w:line="360" w:lineRule="exact"/>
              <w:rPr>
                <w:rFonts w:ascii="宋体" w:hAnsi="宋体" w:cs="宋体"/>
                <w:color w:val="auto"/>
                <w:szCs w:val="21"/>
                <w:highlight w:val="none"/>
              </w:rPr>
            </w:pPr>
          </w:p>
        </w:tc>
      </w:tr>
    </w:tbl>
    <w:p w14:paraId="37E03458">
      <w:pPr>
        <w:spacing w:line="360" w:lineRule="exact"/>
        <w:rPr>
          <w:rFonts w:ascii="宋体" w:hAnsi="宋体" w:cs="宋体"/>
          <w:color w:val="auto"/>
          <w:spacing w:val="-2"/>
          <w:kern w:val="0"/>
          <w:szCs w:val="21"/>
          <w:highlight w:val="none"/>
        </w:rPr>
      </w:pPr>
      <w:r>
        <w:rPr>
          <w:rFonts w:hint="eastAsia" w:ascii="宋体" w:hAnsi="宋体" w:cs="宋体"/>
          <w:bCs/>
          <w:color w:val="auto"/>
          <w:spacing w:val="-2"/>
          <w:szCs w:val="21"/>
          <w:highlight w:val="none"/>
        </w:rPr>
        <w:t>注：</w:t>
      </w:r>
      <w:r>
        <w:rPr>
          <w:rFonts w:hint="eastAsia" w:ascii="宋体" w:hAnsi="宋体" w:cs="宋体"/>
          <w:color w:val="auto"/>
          <w:spacing w:val="-2"/>
          <w:kern w:val="0"/>
          <w:szCs w:val="21"/>
          <w:highlight w:val="none"/>
        </w:rPr>
        <w:t>项目经理至少应附身份证复印件、建造师注册证书复印件、安全生产考核合格证书（B类）复印件；项目总工应附身份证复印件、职称证复印件。</w:t>
      </w:r>
      <w:r>
        <w:rPr>
          <w:rFonts w:hint="eastAsia" w:ascii="宋体" w:hAnsi="宋体" w:cs="宋体"/>
          <w:color w:val="auto"/>
          <w:kern w:val="0"/>
          <w:szCs w:val="21"/>
          <w:highlight w:val="none"/>
        </w:rPr>
        <w:t>同时还需提供社保部门出具供应商为项目管理机构成员（包含项目经理、项目总工缴纳的响应文件递交截止时间前半年内任意一个月社保证明复印件。若为近期新聘员工的，以提供劳动合同证明材料复印件，若为退休员工则需提供退休证明及劳动合同为准，</w:t>
      </w:r>
      <w:r>
        <w:rPr>
          <w:rFonts w:hint="eastAsia" w:ascii="宋体" w:hAnsi="宋体" w:cs="宋体"/>
          <w:color w:val="auto"/>
          <w:spacing w:val="-2"/>
          <w:kern w:val="0"/>
          <w:szCs w:val="21"/>
          <w:highlight w:val="none"/>
        </w:rPr>
        <w:t>上述复印件均需加盖供应商公章。</w:t>
      </w:r>
    </w:p>
    <w:p w14:paraId="5F441751">
      <w:pPr>
        <w:pStyle w:val="27"/>
        <w:spacing w:line="340" w:lineRule="exact"/>
        <w:jc w:val="center"/>
        <w:rPr>
          <w:rFonts w:hAnsi="宋体" w:cs="宋体"/>
          <w:b/>
          <w:color w:val="auto"/>
          <w:sz w:val="32"/>
          <w:szCs w:val="32"/>
          <w:highlight w:val="none"/>
        </w:rPr>
      </w:pPr>
    </w:p>
    <w:p w14:paraId="43F82B70">
      <w:pPr>
        <w:pStyle w:val="12"/>
        <w:ind w:left="2940"/>
        <w:rPr>
          <w:rFonts w:ascii="宋体" w:hAnsi="宋体" w:cs="宋体"/>
          <w:color w:val="auto"/>
          <w:highlight w:val="none"/>
        </w:rPr>
      </w:pPr>
    </w:p>
    <w:p w14:paraId="77806BF5">
      <w:pPr>
        <w:snapToGrid w:val="0"/>
        <w:spacing w:line="360" w:lineRule="auto"/>
        <w:ind w:firstLine="1890" w:firstLineChars="900"/>
        <w:rPr>
          <w:rFonts w:ascii="宋体" w:hAnsi="宋体" w:cs="宋体"/>
          <w:color w:val="auto"/>
          <w:szCs w:val="21"/>
          <w:highlight w:val="none"/>
        </w:rPr>
      </w:pPr>
      <w:r>
        <w:rPr>
          <w:rFonts w:hint="eastAsia" w:ascii="宋体" w:hAnsi="宋体" w:cs="宋体"/>
          <w:color w:val="auto"/>
          <w:szCs w:val="21"/>
          <w:highlight w:val="none"/>
        </w:rPr>
        <w:t>谈判供应商[公章(CA签章)]：</w:t>
      </w:r>
      <w:r>
        <w:rPr>
          <w:rFonts w:hint="eastAsia" w:ascii="宋体" w:hAnsi="宋体" w:cs="宋体"/>
          <w:color w:val="auto"/>
          <w:highlight w:val="none"/>
          <w:u w:val="single"/>
        </w:rPr>
        <w:t xml:space="preserve">               </w:t>
      </w:r>
    </w:p>
    <w:p w14:paraId="675D1916">
      <w:pPr>
        <w:snapToGrid w:val="0"/>
        <w:spacing w:line="360" w:lineRule="auto"/>
        <w:ind w:firstLine="1890" w:firstLineChars="900"/>
        <w:rPr>
          <w:rFonts w:ascii="宋体" w:hAnsi="宋体" w:cs="宋体"/>
          <w:b/>
          <w:bCs/>
          <w:color w:val="auto"/>
          <w:szCs w:val="21"/>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21A37090">
      <w:pPr>
        <w:pStyle w:val="19"/>
        <w:rPr>
          <w:rFonts w:ascii="宋体" w:hAnsi="宋体" w:cs="宋体"/>
          <w:b/>
          <w:bCs/>
          <w:color w:val="auto"/>
          <w:szCs w:val="21"/>
          <w:highlight w:val="none"/>
        </w:rPr>
      </w:pPr>
    </w:p>
    <w:p w14:paraId="0561FC9C">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1047" w:name="_Toc13064"/>
      <w:bookmarkStart w:id="1048" w:name="_Toc31920"/>
    </w:p>
    <w:p w14:paraId="54697645">
      <w:pPr>
        <w:spacing w:line="400" w:lineRule="exact"/>
        <w:outlineLvl w:val="1"/>
        <w:rPr>
          <w:rFonts w:ascii="宋体" w:hAnsi="宋体" w:cs="宋体"/>
          <w:b/>
          <w:color w:val="auto"/>
          <w:sz w:val="28"/>
          <w:szCs w:val="28"/>
          <w:highlight w:val="none"/>
        </w:rPr>
      </w:pPr>
      <w:bookmarkStart w:id="1049" w:name="_Toc10745"/>
      <w:bookmarkStart w:id="1050" w:name="_Toc9716"/>
      <w:bookmarkStart w:id="1051" w:name="_Toc4756"/>
      <w:bookmarkStart w:id="1052" w:name="_Toc14989"/>
      <w:r>
        <w:rPr>
          <w:rFonts w:hint="eastAsia" w:ascii="宋体" w:hAnsi="宋体" w:cs="宋体"/>
          <w:b/>
          <w:color w:val="auto"/>
          <w:sz w:val="28"/>
          <w:szCs w:val="28"/>
          <w:highlight w:val="none"/>
        </w:rPr>
        <w:t>4.施工组织设计方案（如有，请提供）；</w:t>
      </w:r>
      <w:bookmarkEnd w:id="1047"/>
      <w:bookmarkEnd w:id="1048"/>
      <w:bookmarkEnd w:id="1049"/>
      <w:bookmarkEnd w:id="1050"/>
      <w:bookmarkEnd w:id="1051"/>
      <w:bookmarkEnd w:id="1052"/>
    </w:p>
    <w:p w14:paraId="6E799AC4">
      <w:pPr>
        <w:pStyle w:val="113"/>
        <w:shd w:val="clear" w:color="auto" w:fill="auto"/>
        <w:tabs>
          <w:tab w:val="left" w:pos="854"/>
        </w:tabs>
        <w:spacing w:before="0" w:line="400" w:lineRule="exact"/>
        <w:jc w:val="center"/>
        <w:rPr>
          <w:rFonts w:ascii="宋体" w:hAnsi="宋体" w:eastAsia="宋体" w:cs="宋体"/>
          <w:b/>
          <w:color w:val="auto"/>
          <w:spacing w:val="0"/>
          <w:sz w:val="28"/>
          <w:szCs w:val="28"/>
          <w:highlight w:val="none"/>
        </w:rPr>
      </w:pPr>
    </w:p>
    <w:p w14:paraId="036FF67A">
      <w:pPr>
        <w:pStyle w:val="113"/>
        <w:shd w:val="clear" w:color="auto" w:fill="auto"/>
        <w:tabs>
          <w:tab w:val="left" w:pos="854"/>
        </w:tabs>
        <w:spacing w:before="0" w:line="400" w:lineRule="exact"/>
        <w:jc w:val="center"/>
        <w:rPr>
          <w:rFonts w:ascii="宋体" w:hAnsi="宋体" w:eastAsia="宋体" w:cs="宋体"/>
          <w:b/>
          <w:color w:val="auto"/>
          <w:spacing w:val="0"/>
          <w:sz w:val="28"/>
          <w:szCs w:val="28"/>
          <w:highlight w:val="none"/>
        </w:rPr>
      </w:pPr>
      <w:r>
        <w:rPr>
          <w:rFonts w:hint="eastAsia" w:ascii="宋体" w:hAnsi="宋体" w:eastAsia="宋体" w:cs="宋体"/>
          <w:b/>
          <w:color w:val="auto"/>
          <w:spacing w:val="0"/>
          <w:sz w:val="28"/>
          <w:szCs w:val="28"/>
          <w:highlight w:val="none"/>
        </w:rPr>
        <w:t>格式自拟</w:t>
      </w:r>
    </w:p>
    <w:p w14:paraId="4203BF2B">
      <w:pPr>
        <w:snapToGrid w:val="0"/>
        <w:spacing w:line="400" w:lineRule="exact"/>
        <w:jc w:val="center"/>
        <w:rPr>
          <w:rFonts w:ascii="宋体" w:hAnsi="宋体" w:cs="宋体"/>
          <w:b/>
          <w:color w:val="auto"/>
          <w:sz w:val="24"/>
          <w:highlight w:val="none"/>
        </w:rPr>
      </w:pPr>
    </w:p>
    <w:p w14:paraId="08DBF1A9">
      <w:pPr>
        <w:pStyle w:val="322"/>
        <w:rPr>
          <w:rFonts w:ascii="宋体" w:hAnsi="宋体"/>
          <w:color w:val="auto"/>
          <w:highlight w:val="none"/>
        </w:rPr>
      </w:pPr>
    </w:p>
    <w:p w14:paraId="17B04619">
      <w:pPr>
        <w:pStyle w:val="322"/>
        <w:rPr>
          <w:rFonts w:ascii="宋体" w:hAnsi="宋体"/>
          <w:color w:val="auto"/>
          <w:highlight w:val="none"/>
        </w:rPr>
      </w:pPr>
    </w:p>
    <w:p w14:paraId="26D42538">
      <w:pPr>
        <w:pStyle w:val="322"/>
        <w:rPr>
          <w:rFonts w:ascii="宋体" w:hAnsi="宋体"/>
          <w:color w:val="auto"/>
          <w:highlight w:val="none"/>
        </w:rPr>
      </w:pPr>
    </w:p>
    <w:p w14:paraId="7FEE45FB">
      <w:pPr>
        <w:pStyle w:val="12"/>
        <w:ind w:left="0" w:leftChars="0"/>
        <w:rPr>
          <w:rFonts w:ascii="宋体" w:hAnsi="宋体" w:cs="宋体"/>
          <w:color w:val="auto"/>
          <w:highlight w:val="none"/>
        </w:rPr>
      </w:pPr>
    </w:p>
    <w:p w14:paraId="24341BD8">
      <w:pPr>
        <w:pStyle w:val="27"/>
        <w:spacing w:line="340" w:lineRule="exact"/>
        <w:rPr>
          <w:rFonts w:hAnsi="宋体" w:cs="宋体"/>
          <w:b/>
          <w:color w:val="auto"/>
          <w:sz w:val="28"/>
          <w:szCs w:val="28"/>
          <w:highlight w:val="none"/>
        </w:rPr>
      </w:pPr>
    </w:p>
    <w:p w14:paraId="6ECC9972">
      <w:pPr>
        <w:spacing w:line="400" w:lineRule="exact"/>
        <w:outlineLvl w:val="1"/>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1053" w:name="_Toc12322"/>
      <w:bookmarkStart w:id="1054" w:name="_Toc4253"/>
      <w:bookmarkStart w:id="1055" w:name="_Toc15169"/>
      <w:bookmarkStart w:id="1056" w:name="_Toc226"/>
      <w:bookmarkStart w:id="1057" w:name="_Toc1099"/>
      <w:bookmarkStart w:id="1058" w:name="_Toc18938"/>
      <w:r>
        <w:rPr>
          <w:rFonts w:hint="eastAsia" w:ascii="宋体" w:hAnsi="宋体" w:cs="宋体"/>
          <w:b/>
          <w:color w:val="auto"/>
          <w:sz w:val="28"/>
          <w:szCs w:val="28"/>
          <w:highlight w:val="none"/>
        </w:rPr>
        <w:t>5.工程</w:t>
      </w:r>
      <w:r>
        <w:rPr>
          <w:rFonts w:hint="eastAsia" w:ascii="宋体" w:hAnsi="宋体" w:cs="宋体"/>
          <w:b/>
          <w:bCs/>
          <w:color w:val="auto"/>
          <w:sz w:val="28"/>
          <w:szCs w:val="28"/>
          <w:highlight w:val="none"/>
        </w:rPr>
        <w:t>完工</w:t>
      </w:r>
      <w:r>
        <w:rPr>
          <w:rFonts w:hint="eastAsia" w:ascii="宋体" w:hAnsi="宋体" w:cs="宋体"/>
          <w:b/>
          <w:color w:val="auto"/>
          <w:sz w:val="28"/>
          <w:szCs w:val="28"/>
          <w:highlight w:val="none"/>
        </w:rPr>
        <w:t>服务承诺书（必须提供）；</w:t>
      </w:r>
      <w:bookmarkEnd w:id="1053"/>
      <w:bookmarkEnd w:id="1054"/>
      <w:bookmarkEnd w:id="1055"/>
      <w:bookmarkEnd w:id="1056"/>
      <w:bookmarkEnd w:id="1057"/>
      <w:bookmarkEnd w:id="1058"/>
    </w:p>
    <w:p w14:paraId="6D7B0F13">
      <w:pPr>
        <w:spacing w:line="360" w:lineRule="auto"/>
        <w:jc w:val="center"/>
        <w:rPr>
          <w:rFonts w:ascii="宋体" w:hAnsi="宋体" w:cs="宋体"/>
          <w:b/>
          <w:color w:val="auto"/>
          <w:sz w:val="24"/>
          <w:highlight w:val="none"/>
        </w:rPr>
      </w:pPr>
    </w:p>
    <w:p w14:paraId="66E71698">
      <w:pPr>
        <w:jc w:val="center"/>
        <w:rPr>
          <w:rFonts w:ascii="宋体" w:hAnsi="宋体" w:cs="宋体"/>
          <w:color w:val="auto"/>
          <w:highlight w:val="none"/>
        </w:rPr>
      </w:pPr>
      <w:r>
        <w:rPr>
          <w:rFonts w:hint="eastAsia" w:ascii="宋体" w:hAnsi="宋体" w:cs="宋体"/>
          <w:b/>
          <w:color w:val="auto"/>
          <w:sz w:val="24"/>
          <w:highlight w:val="none"/>
        </w:rPr>
        <w:t>格式自拟</w:t>
      </w:r>
    </w:p>
    <w:p w14:paraId="3D795211">
      <w:pPr>
        <w:spacing w:line="420" w:lineRule="exact"/>
        <w:rPr>
          <w:rFonts w:ascii="宋体" w:hAnsi="宋体" w:cs="宋体"/>
          <w:b/>
          <w:color w:val="auto"/>
          <w:sz w:val="28"/>
          <w:szCs w:val="28"/>
          <w:highlight w:val="none"/>
        </w:rPr>
      </w:pPr>
    </w:p>
    <w:p w14:paraId="7A86C887">
      <w:pPr>
        <w:pStyle w:val="2"/>
        <w:rPr>
          <w:color w:val="auto"/>
          <w:highlight w:val="none"/>
        </w:rPr>
      </w:pPr>
    </w:p>
    <w:p w14:paraId="618F3AC0">
      <w:pPr>
        <w:pStyle w:val="33"/>
        <w:rPr>
          <w:rFonts w:ascii="宋体" w:hAnsi="宋体" w:cs="宋体"/>
          <w:color w:val="auto"/>
          <w:highlight w:val="none"/>
        </w:rPr>
      </w:pPr>
    </w:p>
    <w:p w14:paraId="5D038769">
      <w:pPr>
        <w:spacing w:line="400" w:lineRule="exact"/>
        <w:outlineLvl w:val="1"/>
        <w:rPr>
          <w:rFonts w:ascii="宋体" w:hAnsi="宋体" w:cs="宋体"/>
          <w:b/>
          <w:color w:val="auto"/>
          <w:sz w:val="28"/>
          <w:szCs w:val="28"/>
          <w:highlight w:val="none"/>
        </w:rPr>
      </w:pPr>
      <w:bookmarkStart w:id="1059" w:name="_Toc32582"/>
      <w:bookmarkStart w:id="1060" w:name="_Toc24798"/>
      <w:bookmarkStart w:id="1061" w:name="_Toc31962"/>
      <w:bookmarkStart w:id="1062" w:name="_Toc330"/>
      <w:bookmarkStart w:id="1063" w:name="_Toc31255"/>
      <w:bookmarkStart w:id="1064" w:name="_Toc27687"/>
      <w:bookmarkStart w:id="1065" w:name="_Toc1043"/>
      <w:bookmarkStart w:id="1066" w:name="_Toc26788"/>
      <w:r>
        <w:rPr>
          <w:rFonts w:hint="eastAsia" w:ascii="宋体" w:hAnsi="宋体" w:cs="宋体"/>
          <w:b/>
          <w:color w:val="auto"/>
          <w:sz w:val="28"/>
          <w:szCs w:val="28"/>
          <w:highlight w:val="none"/>
        </w:rPr>
        <w:t>6.</w:t>
      </w:r>
      <w:r>
        <w:rPr>
          <w:rFonts w:hint="eastAsia" w:ascii="宋体" w:hAnsi="宋体" w:cs="宋体"/>
          <w:b/>
          <w:bCs/>
          <w:color w:val="auto"/>
          <w:sz w:val="28"/>
          <w:szCs w:val="28"/>
          <w:highlight w:val="none"/>
        </w:rPr>
        <w:t>农民工</w:t>
      </w:r>
      <w:r>
        <w:rPr>
          <w:rFonts w:hint="eastAsia" w:ascii="宋体" w:hAnsi="宋体" w:cs="宋体"/>
          <w:b/>
          <w:color w:val="auto"/>
          <w:sz w:val="28"/>
          <w:szCs w:val="28"/>
          <w:highlight w:val="none"/>
        </w:rPr>
        <w:t>工资保障金交纳与使用承诺书（必须提供）</w:t>
      </w:r>
      <w:bookmarkEnd w:id="1059"/>
      <w:bookmarkEnd w:id="1060"/>
      <w:r>
        <w:rPr>
          <w:rFonts w:hint="eastAsia" w:ascii="宋体" w:hAnsi="宋体" w:cs="宋体"/>
          <w:b/>
          <w:color w:val="auto"/>
          <w:sz w:val="28"/>
          <w:szCs w:val="28"/>
          <w:highlight w:val="none"/>
        </w:rPr>
        <w:t>；</w:t>
      </w:r>
      <w:bookmarkEnd w:id="1061"/>
      <w:bookmarkEnd w:id="1062"/>
      <w:bookmarkEnd w:id="1063"/>
      <w:bookmarkEnd w:id="1064"/>
      <w:bookmarkEnd w:id="1065"/>
      <w:bookmarkEnd w:id="1066"/>
    </w:p>
    <w:p w14:paraId="2B1E0B3B">
      <w:pPr>
        <w:spacing w:line="420" w:lineRule="exact"/>
        <w:ind w:firstLine="482" w:firstLineChars="200"/>
        <w:jc w:val="center"/>
        <w:rPr>
          <w:rFonts w:ascii="宋体" w:hAnsi="宋体" w:cs="宋体"/>
          <w:b/>
          <w:color w:val="auto"/>
          <w:kern w:val="0"/>
          <w:sz w:val="24"/>
          <w:highlight w:val="none"/>
        </w:rPr>
      </w:pPr>
      <w:r>
        <w:rPr>
          <w:rFonts w:hint="eastAsia" w:ascii="宋体" w:hAnsi="宋体" w:cs="宋体"/>
          <w:b/>
          <w:color w:val="auto"/>
          <w:kern w:val="0"/>
          <w:sz w:val="24"/>
          <w:highlight w:val="none"/>
        </w:rPr>
        <w:t>农民工工资保证金交纳与使用承诺书（格式）</w:t>
      </w:r>
    </w:p>
    <w:p w14:paraId="4BE204BD">
      <w:pPr>
        <w:spacing w:line="420" w:lineRule="exact"/>
        <w:rPr>
          <w:rFonts w:ascii="宋体" w:hAnsi="宋体" w:cs="宋体"/>
          <w:color w:val="auto"/>
          <w:kern w:val="0"/>
          <w:szCs w:val="21"/>
          <w:highlight w:val="none"/>
        </w:rPr>
      </w:pPr>
    </w:p>
    <w:p w14:paraId="10252D08">
      <w:pPr>
        <w:spacing w:line="420" w:lineRule="exact"/>
        <w:rPr>
          <w:rFonts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rPr>
        <w:t>（采购人）</w:t>
      </w:r>
    </w:p>
    <w:p w14:paraId="1C444DD1">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250F0268">
      <w:pPr>
        <w:numPr>
          <w:ilvl w:val="0"/>
          <w:numId w:val="8"/>
        </w:num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3B7591C7">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 我方参与谈判的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36828AD0">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58318EC5">
      <w:pPr>
        <w:spacing w:line="42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14:paraId="173778A6">
      <w:pPr>
        <w:pStyle w:val="27"/>
        <w:spacing w:line="340" w:lineRule="exact"/>
        <w:rPr>
          <w:rFonts w:hAnsi="宋体" w:cs="宋体"/>
          <w:b/>
          <w:color w:val="auto"/>
          <w:sz w:val="28"/>
          <w:szCs w:val="28"/>
          <w:highlight w:val="none"/>
        </w:rPr>
      </w:pPr>
    </w:p>
    <w:p w14:paraId="1101590E">
      <w:pPr>
        <w:spacing w:line="340" w:lineRule="exact"/>
        <w:ind w:left="420"/>
        <w:jc w:val="center"/>
        <w:rPr>
          <w:rFonts w:ascii="宋体" w:hAnsi="宋体" w:cs="宋体"/>
          <w:b/>
          <w:bCs/>
          <w:color w:val="auto"/>
          <w:sz w:val="32"/>
          <w:szCs w:val="32"/>
          <w:highlight w:val="none"/>
        </w:rPr>
      </w:pPr>
      <w:bookmarkStart w:id="1067" w:name="_Toc497927084"/>
      <w:bookmarkStart w:id="1068" w:name="_Toc9339"/>
      <w:bookmarkStart w:id="1069" w:name="_Toc28672"/>
    </w:p>
    <w:p w14:paraId="7E480B4C">
      <w:pPr>
        <w:spacing w:line="340" w:lineRule="exact"/>
        <w:ind w:left="420"/>
        <w:jc w:val="center"/>
        <w:rPr>
          <w:rFonts w:ascii="宋体" w:hAnsi="宋体" w:cs="宋体"/>
          <w:b/>
          <w:bCs/>
          <w:color w:val="auto"/>
          <w:sz w:val="32"/>
          <w:szCs w:val="32"/>
          <w:highlight w:val="none"/>
        </w:rPr>
      </w:pPr>
    </w:p>
    <w:p w14:paraId="09FA8250">
      <w:pPr>
        <w:widowControl/>
        <w:jc w:val="left"/>
        <w:rPr>
          <w:rFonts w:ascii="宋体" w:hAnsi="宋体" w:cs="宋体"/>
          <w:b/>
          <w:bCs/>
          <w:color w:val="auto"/>
          <w:szCs w:val="21"/>
          <w:highlight w:val="none"/>
          <w:u w:val="single"/>
        </w:rPr>
      </w:pPr>
      <w:r>
        <w:rPr>
          <w:rFonts w:hint="eastAsia" w:ascii="宋体" w:hAnsi="宋体" w:cs="宋体"/>
          <w:b/>
          <w:bCs/>
          <w:color w:val="auto"/>
          <w:szCs w:val="21"/>
          <w:highlight w:val="none"/>
        </w:rPr>
        <w:t>谈判供应商[公章(CA签章)]：</w:t>
      </w:r>
      <w:r>
        <w:rPr>
          <w:rFonts w:hint="eastAsia" w:ascii="宋体" w:hAnsi="宋体" w:cs="宋体"/>
          <w:b/>
          <w:bCs/>
          <w:color w:val="auto"/>
          <w:szCs w:val="21"/>
          <w:highlight w:val="none"/>
          <w:u w:val="single"/>
        </w:rPr>
        <w:t xml:space="preserve">                                 </w:t>
      </w:r>
    </w:p>
    <w:p w14:paraId="6264DB2D">
      <w:pPr>
        <w:widowControl/>
        <w:jc w:val="left"/>
        <w:rPr>
          <w:rFonts w:ascii="宋体" w:hAnsi="宋体" w:cs="宋体"/>
          <w:b/>
          <w:bCs/>
          <w:color w:val="auto"/>
          <w:szCs w:val="21"/>
          <w:highlight w:val="none"/>
        </w:rPr>
      </w:pPr>
    </w:p>
    <w:p w14:paraId="7677D32B">
      <w:pPr>
        <w:snapToGrid w:val="0"/>
        <w:spacing w:line="300" w:lineRule="exact"/>
        <w:rPr>
          <w:rFonts w:ascii="宋体" w:hAnsi="宋体" w:cs="宋体"/>
          <w:b/>
          <w:bCs/>
          <w:color w:val="auto"/>
          <w:highlight w:val="none"/>
          <w:u w:val="single"/>
        </w:rPr>
      </w:pPr>
      <w:r>
        <w:rPr>
          <w:rFonts w:hint="eastAsia" w:ascii="宋体" w:hAnsi="宋体" w:cs="宋体"/>
          <w:b/>
          <w:bCs/>
          <w:color w:val="auto"/>
          <w:highlight w:val="none"/>
        </w:rPr>
        <w:t>日          期：</w:t>
      </w:r>
      <w:r>
        <w:rPr>
          <w:rFonts w:hint="eastAsia" w:ascii="宋体" w:hAnsi="宋体" w:cs="宋体"/>
          <w:b/>
          <w:bCs/>
          <w:color w:val="auto"/>
          <w:highlight w:val="none"/>
          <w:u w:val="single"/>
        </w:rPr>
        <w:t xml:space="preserve">                              </w:t>
      </w:r>
    </w:p>
    <w:p w14:paraId="0CC97C52">
      <w:pPr>
        <w:rPr>
          <w:rFonts w:ascii="宋体" w:hAnsi="宋体" w:cs="宋体"/>
          <w:b/>
          <w:color w:val="auto"/>
          <w:sz w:val="28"/>
          <w:szCs w:val="28"/>
          <w:highlight w:val="none"/>
        </w:rPr>
      </w:pPr>
    </w:p>
    <w:p w14:paraId="585E5347">
      <w:pPr>
        <w:pStyle w:val="33"/>
        <w:rPr>
          <w:rFonts w:ascii="宋体" w:hAnsi="宋体" w:cs="宋体"/>
          <w:b/>
          <w:color w:val="auto"/>
          <w:sz w:val="28"/>
          <w:szCs w:val="28"/>
          <w:highlight w:val="none"/>
        </w:rPr>
      </w:pPr>
    </w:p>
    <w:p w14:paraId="41757B39">
      <w:pPr>
        <w:pStyle w:val="33"/>
        <w:rPr>
          <w:rFonts w:ascii="宋体" w:hAnsi="宋体" w:cs="宋体"/>
          <w:b/>
          <w:color w:val="auto"/>
          <w:sz w:val="28"/>
          <w:szCs w:val="28"/>
          <w:highlight w:val="none"/>
        </w:rPr>
      </w:pPr>
    </w:p>
    <w:p w14:paraId="7AA6E262">
      <w:pPr>
        <w:rPr>
          <w:rFonts w:ascii="宋体" w:hAnsi="宋体" w:cs="宋体"/>
          <w:b/>
          <w:color w:val="auto"/>
          <w:sz w:val="28"/>
          <w:szCs w:val="28"/>
          <w:highlight w:val="none"/>
        </w:rPr>
      </w:pPr>
    </w:p>
    <w:p w14:paraId="32D9CC6F">
      <w:pPr>
        <w:pStyle w:val="33"/>
        <w:rPr>
          <w:rFonts w:ascii="宋体" w:hAnsi="宋体" w:cs="宋体"/>
          <w:color w:val="auto"/>
          <w:highlight w:val="none"/>
        </w:rPr>
      </w:pPr>
    </w:p>
    <w:p w14:paraId="0983C62F">
      <w:pPr>
        <w:spacing w:line="400" w:lineRule="exact"/>
        <w:outlineLvl w:val="1"/>
        <w:rPr>
          <w:rFonts w:ascii="宋体" w:hAnsi="宋体" w:cs="宋体"/>
          <w:b/>
          <w:color w:val="auto"/>
          <w:sz w:val="28"/>
          <w:szCs w:val="28"/>
          <w:highlight w:val="none"/>
        </w:rPr>
      </w:pPr>
      <w:bookmarkStart w:id="1070" w:name="_Toc6927"/>
      <w:bookmarkStart w:id="1071" w:name="_Toc21352"/>
      <w:bookmarkStart w:id="1072" w:name="_Toc5526"/>
      <w:bookmarkStart w:id="1073" w:name="_Toc3852"/>
      <w:bookmarkStart w:id="1074" w:name="_Toc509"/>
      <w:bookmarkStart w:id="1075" w:name="_Toc21098"/>
      <w:bookmarkStart w:id="1076" w:name="_Toc10529"/>
      <w:bookmarkStart w:id="1077" w:name="_Toc12739"/>
      <w:r>
        <w:rPr>
          <w:rFonts w:hint="eastAsia" w:ascii="宋体" w:hAnsi="宋体" w:cs="宋体"/>
          <w:b/>
          <w:color w:val="auto"/>
          <w:sz w:val="28"/>
          <w:szCs w:val="28"/>
          <w:highlight w:val="none"/>
        </w:rPr>
        <w:t>7.城乡清洁工程渣土清运承诺书（必须提供）</w:t>
      </w:r>
      <w:bookmarkEnd w:id="1070"/>
      <w:bookmarkEnd w:id="1071"/>
      <w:bookmarkEnd w:id="1072"/>
      <w:bookmarkEnd w:id="1073"/>
      <w:bookmarkEnd w:id="1074"/>
      <w:bookmarkEnd w:id="1075"/>
      <w:bookmarkEnd w:id="1076"/>
      <w:bookmarkEnd w:id="1077"/>
    </w:p>
    <w:p w14:paraId="46449209">
      <w:pPr>
        <w:rPr>
          <w:rFonts w:ascii="宋体" w:hAnsi="宋体" w:cs="宋体"/>
          <w:color w:val="auto"/>
          <w:highlight w:val="none"/>
        </w:rPr>
      </w:pPr>
    </w:p>
    <w:p w14:paraId="16410F7D">
      <w:pPr>
        <w:rPr>
          <w:rFonts w:ascii="宋体" w:hAnsi="宋体" w:cs="宋体"/>
          <w:color w:val="auto"/>
          <w:highlight w:val="none"/>
        </w:rPr>
      </w:pPr>
    </w:p>
    <w:p w14:paraId="4FBA1C71">
      <w:pPr>
        <w:jc w:val="center"/>
        <w:rPr>
          <w:rFonts w:ascii="宋体" w:hAnsi="宋体" w:cs="宋体"/>
          <w:color w:val="auto"/>
          <w:highlight w:val="none"/>
        </w:rPr>
      </w:pPr>
      <w:r>
        <w:rPr>
          <w:rFonts w:hint="eastAsia" w:ascii="宋体" w:hAnsi="宋体" w:cs="宋体"/>
          <w:b/>
          <w:color w:val="auto"/>
          <w:sz w:val="24"/>
          <w:highlight w:val="none"/>
        </w:rPr>
        <w:t>格式自拟</w:t>
      </w:r>
    </w:p>
    <w:p w14:paraId="5EC75CC6">
      <w:pPr>
        <w:spacing w:line="340" w:lineRule="exact"/>
        <w:ind w:left="420"/>
        <w:jc w:val="center"/>
        <w:outlineLvl w:val="1"/>
        <w:rPr>
          <w:rFonts w:ascii="宋体" w:hAnsi="宋体" w:cs="宋体"/>
          <w:color w:val="auto"/>
          <w:szCs w:val="21"/>
          <w:highlight w:val="none"/>
        </w:rPr>
      </w:pPr>
      <w:r>
        <w:rPr>
          <w:rFonts w:hint="eastAsia" w:ascii="宋体" w:hAnsi="宋体" w:cs="宋体"/>
          <w:b/>
          <w:bCs/>
          <w:color w:val="auto"/>
          <w:sz w:val="32"/>
          <w:szCs w:val="32"/>
          <w:highlight w:val="none"/>
        </w:rPr>
        <w:br w:type="page"/>
      </w:r>
      <w:bookmarkStart w:id="1078" w:name="_Toc26970"/>
      <w:bookmarkStart w:id="1079" w:name="_Toc30204"/>
      <w:r>
        <w:rPr>
          <w:rFonts w:hint="eastAsia" w:ascii="宋体" w:hAnsi="宋体" w:cs="宋体"/>
          <w:b/>
          <w:bCs/>
          <w:color w:val="auto"/>
          <w:sz w:val="32"/>
          <w:szCs w:val="32"/>
          <w:highlight w:val="none"/>
        </w:rPr>
        <w:t>（三）其他有效证明材料目录</w:t>
      </w:r>
      <w:bookmarkEnd w:id="1067"/>
      <w:bookmarkEnd w:id="1068"/>
      <w:bookmarkEnd w:id="1069"/>
      <w:bookmarkEnd w:id="1078"/>
      <w:bookmarkEnd w:id="1079"/>
    </w:p>
    <w:p w14:paraId="3951E505">
      <w:pPr>
        <w:spacing w:line="360" w:lineRule="auto"/>
        <w:ind w:firstLine="420" w:firstLineChars="200"/>
        <w:rPr>
          <w:rFonts w:ascii="宋体" w:hAnsi="宋体" w:cs="宋体"/>
          <w:color w:val="auto"/>
          <w:szCs w:val="21"/>
          <w:highlight w:val="none"/>
        </w:rPr>
      </w:pPr>
    </w:p>
    <w:p w14:paraId="30340E19">
      <w:pPr>
        <w:spacing w:line="360" w:lineRule="auto"/>
        <w:ind w:firstLine="420" w:firstLineChars="200"/>
        <w:rPr>
          <w:rFonts w:ascii="宋体" w:hAnsi="宋体" w:cs="宋体"/>
          <w:iCs/>
          <w:color w:val="auto"/>
          <w:szCs w:val="21"/>
          <w:highlight w:val="none"/>
        </w:rPr>
      </w:pPr>
      <w:r>
        <w:rPr>
          <w:rFonts w:hint="eastAsia" w:ascii="宋体" w:hAnsi="宋体" w:cs="宋体"/>
          <w:color w:val="auto"/>
          <w:szCs w:val="21"/>
          <w:highlight w:val="none"/>
        </w:rPr>
        <w:t>1.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iCs/>
          <w:color w:val="auto"/>
          <w:szCs w:val="21"/>
          <w:highlight w:val="none"/>
        </w:rPr>
        <w:t>（如有，请提供）</w:t>
      </w:r>
    </w:p>
    <w:p w14:paraId="20C92504">
      <w:pPr>
        <w:spacing w:line="360" w:lineRule="auto"/>
        <w:ind w:firstLine="420" w:firstLineChars="200"/>
        <w:rPr>
          <w:rFonts w:ascii="宋体" w:hAnsi="宋体" w:cs="宋体"/>
          <w:color w:val="auto"/>
          <w:szCs w:val="21"/>
          <w:highlight w:val="none"/>
        </w:rPr>
      </w:pPr>
    </w:p>
    <w:p w14:paraId="2CA8C3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2.供应商2022年1月1日以来具有同类项目的业绩相关证明材料（无不良记录，以中标、成交通知书或签订的合同为准，并能清晰反映项目的名称、采购内容、采购金额、采购时间）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highlight w:val="none"/>
        </w:rPr>
        <w:t>（如有，请提供）；</w:t>
      </w:r>
    </w:p>
    <w:p w14:paraId="68F776FD">
      <w:pPr>
        <w:spacing w:line="360" w:lineRule="auto"/>
        <w:ind w:firstLine="420" w:firstLineChars="200"/>
        <w:rPr>
          <w:rFonts w:ascii="宋体" w:hAnsi="宋体" w:cs="宋体"/>
          <w:color w:val="auto"/>
          <w:szCs w:val="21"/>
          <w:highlight w:val="none"/>
        </w:rPr>
      </w:pPr>
    </w:p>
    <w:p w14:paraId="7C10A7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3.供应商可结合本项目的评审办法视自身情况自行提交其它相关证明材料。</w:t>
      </w:r>
    </w:p>
    <w:p w14:paraId="47319237">
      <w:pPr>
        <w:spacing w:line="360" w:lineRule="auto"/>
        <w:ind w:firstLine="480" w:firstLineChars="200"/>
        <w:rPr>
          <w:rFonts w:ascii="宋体" w:hAnsi="宋体" w:cs="宋体"/>
          <w:color w:val="auto"/>
          <w:sz w:val="24"/>
          <w:highlight w:val="none"/>
        </w:rPr>
      </w:pPr>
    </w:p>
    <w:p w14:paraId="15B88A71">
      <w:pPr>
        <w:pStyle w:val="367"/>
        <w:rPr>
          <w:rFonts w:ascii="宋体" w:hAnsi="宋体" w:cs="宋体"/>
          <w:b/>
          <w:bCs/>
          <w:color w:val="auto"/>
          <w:highlight w:val="none"/>
        </w:rPr>
      </w:pPr>
    </w:p>
    <w:p w14:paraId="32673170">
      <w:pPr>
        <w:pStyle w:val="367"/>
        <w:rPr>
          <w:rFonts w:ascii="宋体" w:hAnsi="宋体" w:cs="宋体"/>
          <w:b/>
          <w:bCs/>
          <w:color w:val="auto"/>
          <w:highlight w:val="none"/>
        </w:rPr>
      </w:pPr>
    </w:p>
    <w:p w14:paraId="26E6D990">
      <w:pPr>
        <w:pStyle w:val="367"/>
        <w:rPr>
          <w:rFonts w:ascii="宋体" w:hAnsi="宋体" w:cs="宋体"/>
          <w:b/>
          <w:bCs/>
          <w:color w:val="auto"/>
          <w:highlight w:val="none"/>
        </w:rPr>
      </w:pPr>
    </w:p>
    <w:p w14:paraId="619EA518">
      <w:pPr>
        <w:pStyle w:val="367"/>
        <w:rPr>
          <w:rFonts w:ascii="宋体" w:hAnsi="宋体" w:cs="宋体"/>
          <w:b/>
          <w:bCs/>
          <w:color w:val="auto"/>
          <w:highlight w:val="none"/>
        </w:rPr>
      </w:pPr>
    </w:p>
    <w:p w14:paraId="2AE880D3">
      <w:pPr>
        <w:pStyle w:val="46"/>
        <w:ind w:left="0" w:leftChars="0" w:firstLine="0" w:firstLineChars="0"/>
        <w:rPr>
          <w:rFonts w:ascii="宋体" w:hAnsi="宋体" w:cs="宋体"/>
          <w:b/>
          <w:color w:val="auto"/>
          <w:sz w:val="28"/>
          <w:szCs w:val="28"/>
          <w:highlight w:val="none"/>
        </w:rPr>
      </w:pPr>
      <w:r>
        <w:rPr>
          <w:rFonts w:hint="eastAsia" w:ascii="宋体" w:hAnsi="宋体" w:cs="宋体"/>
          <w:b/>
          <w:bCs/>
          <w:iCs/>
          <w:color w:val="auto"/>
          <w:sz w:val="28"/>
          <w:szCs w:val="28"/>
          <w:highlight w:val="none"/>
        </w:rPr>
        <w:br w:type="page"/>
      </w:r>
      <w:bookmarkStart w:id="1080" w:name="_Toc13907"/>
      <w:bookmarkStart w:id="1081" w:name="_Toc4954"/>
      <w:bookmarkStart w:id="1082" w:name="_Toc1498"/>
      <w:bookmarkStart w:id="1083" w:name="_Toc6250"/>
      <w:bookmarkStart w:id="1084" w:name="_Toc4151"/>
      <w:bookmarkStart w:id="1085" w:name="_Toc6063"/>
      <w:r>
        <w:rPr>
          <w:rFonts w:hint="eastAsia" w:ascii="宋体" w:hAnsi="宋体" w:cs="宋体"/>
          <w:b/>
          <w:bCs/>
          <w:iCs/>
          <w:color w:val="auto"/>
          <w:sz w:val="28"/>
          <w:szCs w:val="28"/>
          <w:highlight w:val="none"/>
        </w:rPr>
        <w:t>1.</w:t>
      </w:r>
      <w:bookmarkStart w:id="1086" w:name="_Toc18910"/>
      <w:bookmarkStart w:id="1087" w:name="_Toc28539"/>
      <w:r>
        <w:rPr>
          <w:rFonts w:hint="eastAsia" w:ascii="宋体" w:hAnsi="宋体" w:cs="宋体"/>
          <w:b/>
          <w:color w:val="auto"/>
          <w:sz w:val="28"/>
          <w:szCs w:val="28"/>
          <w:highlight w:val="none"/>
        </w:rPr>
        <w:t>中小微企业或监狱企业或残疾人福利性单位的证明材料；【属于中小型、微型企业的，应当提供《中小企业声明函》，以提供中小企业声明函为准；如符合条件的残疾人福利性单位的，应当提供《残疾人福利性单位声明函》；如属于监狱企业的，应当提供由省级以上监狱管理局、戒毒管理局(含新疆生产建设兵团)出具的属于监狱企业的证明文件，采购人或者其委托的采购代理机构应当随中标结果同时公告企业《中小企业声明函》或《残疾人福利性单位声明函》或监狱企业的证明文件，接受社会监督】</w:t>
      </w:r>
      <w:r>
        <w:rPr>
          <w:rFonts w:hint="eastAsia" w:ascii="宋体" w:hAnsi="宋体" w:cs="宋体"/>
          <w:b/>
          <w:bCs/>
          <w:iCs/>
          <w:color w:val="auto"/>
          <w:sz w:val="28"/>
          <w:szCs w:val="28"/>
          <w:highlight w:val="none"/>
        </w:rPr>
        <w:t>（如有，请提供）</w:t>
      </w:r>
    </w:p>
    <w:p w14:paraId="6AF33D7D">
      <w:pPr>
        <w:pStyle w:val="27"/>
        <w:spacing w:line="400" w:lineRule="exact"/>
        <w:ind w:firstLine="310" w:firstLineChars="147"/>
        <w:rPr>
          <w:rFonts w:hAnsi="宋体" w:cs="宋体"/>
          <w:b/>
          <w:color w:val="auto"/>
          <w:szCs w:val="21"/>
          <w:highlight w:val="none"/>
        </w:rPr>
      </w:pPr>
      <w:r>
        <w:rPr>
          <w:rFonts w:hint="eastAsia" w:hAnsi="宋体"/>
          <w:b/>
          <w:color w:val="auto"/>
          <w:szCs w:val="21"/>
          <w:highlight w:val="none"/>
        </w:rPr>
        <w:t>附件：</w:t>
      </w:r>
    </w:p>
    <w:p w14:paraId="2E59D59F">
      <w:pPr>
        <w:shd w:val="clear" w:color="auto" w:fill="FFFFFF"/>
        <w:spacing w:after="240" w:line="400" w:lineRule="exact"/>
        <w:ind w:firstLine="420"/>
        <w:jc w:val="center"/>
        <w:rPr>
          <w:rFonts w:ascii="宋体" w:hAnsi="宋体" w:cs="仿宋"/>
          <w:color w:val="auto"/>
          <w:kern w:val="0"/>
          <w:szCs w:val="21"/>
          <w:highlight w:val="none"/>
        </w:rPr>
      </w:pPr>
      <w:r>
        <w:rPr>
          <w:rFonts w:hint="eastAsia" w:ascii="宋体" w:hAnsi="宋体"/>
          <w:color w:val="auto"/>
          <w:kern w:val="0"/>
          <w:szCs w:val="21"/>
          <w:highlight w:val="none"/>
        </w:rPr>
        <w:t>中小企业声明函（格式）</w:t>
      </w:r>
    </w:p>
    <w:p w14:paraId="50A207E7">
      <w:pPr>
        <w:autoSpaceDE w:val="0"/>
        <w:autoSpaceDN w:val="0"/>
        <w:adjustRightInd w:val="0"/>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本公司郑重声明，根据《政府采购促进中小企业发展管理办法》（财库</w:t>
      </w:r>
      <w:r>
        <w:rPr>
          <w:rFonts w:hint="eastAsia" w:ascii="宋体" w:hAnsi="宋体" w:cs="宋体"/>
          <w:color w:val="auto"/>
          <w:kern w:val="0"/>
          <w:szCs w:val="21"/>
          <w:highlight w:val="none"/>
        </w:rPr>
        <w:t>﹝</w:t>
      </w:r>
      <w:r>
        <w:rPr>
          <w:rFonts w:ascii="宋体" w:hAnsi="宋体" w:cs="仿宋"/>
          <w:color w:val="auto"/>
          <w:kern w:val="0"/>
          <w:szCs w:val="21"/>
          <w:highlight w:val="none"/>
        </w:rPr>
        <w:t>2020</w:t>
      </w:r>
      <w:r>
        <w:rPr>
          <w:rFonts w:hint="eastAsia" w:ascii="宋体" w:hAnsi="宋体" w:cs="宋体"/>
          <w:color w:val="auto"/>
          <w:kern w:val="0"/>
          <w:szCs w:val="21"/>
          <w:highlight w:val="none"/>
        </w:rPr>
        <w:t>﹞</w:t>
      </w:r>
      <w:r>
        <w:rPr>
          <w:rFonts w:ascii="宋体" w:hAnsi="宋体" w:cs="仿宋"/>
          <w:color w:val="auto"/>
          <w:kern w:val="0"/>
          <w:szCs w:val="21"/>
          <w:highlight w:val="none"/>
        </w:rPr>
        <w:t xml:space="preserve">46 </w:t>
      </w:r>
      <w:r>
        <w:rPr>
          <w:rFonts w:hint="eastAsia" w:ascii="宋体" w:hAnsi="宋体" w:cs="仿宋"/>
          <w:color w:val="auto"/>
          <w:kern w:val="0"/>
          <w:szCs w:val="21"/>
          <w:highlight w:val="none"/>
        </w:rPr>
        <w:t>号）的规定，本公司参加</w:t>
      </w:r>
      <w:r>
        <w:rPr>
          <w:rFonts w:hint="eastAsia" w:ascii="宋体" w:hAnsi="宋体" w:cs="仿宋"/>
          <w:color w:val="auto"/>
          <w:kern w:val="0"/>
          <w:szCs w:val="21"/>
          <w:highlight w:val="none"/>
          <w:u w:val="single"/>
        </w:rPr>
        <w:t xml:space="preserve">   （单位名称）    </w:t>
      </w:r>
      <w:r>
        <w:rPr>
          <w:rFonts w:hint="eastAsia" w:ascii="宋体" w:hAnsi="宋体" w:cs="仿宋"/>
          <w:color w:val="auto"/>
          <w:kern w:val="0"/>
          <w:szCs w:val="21"/>
          <w:highlight w:val="none"/>
        </w:rPr>
        <w:t>的</w:t>
      </w:r>
      <w:r>
        <w:rPr>
          <w:rFonts w:hint="eastAsia" w:ascii="宋体" w:hAnsi="宋体" w:cs="仿宋"/>
          <w:color w:val="auto"/>
          <w:kern w:val="0"/>
          <w:szCs w:val="21"/>
          <w:highlight w:val="none"/>
          <w:u w:val="single"/>
        </w:rPr>
        <w:t xml:space="preserve">    （项目名称）   </w:t>
      </w:r>
      <w:r>
        <w:rPr>
          <w:rFonts w:hint="eastAsia" w:ascii="宋体" w:hAnsi="宋体" w:cs="仿宋"/>
          <w:color w:val="auto"/>
          <w:kern w:val="0"/>
          <w:szCs w:val="21"/>
          <w:highlight w:val="none"/>
        </w:rPr>
        <w:t>采购活动，工程的施工单位为符合政策要求的中小企业。相关企业（含联合体中的中小企业、签订分包意向协议的中小企业）的具体情况如下：</w:t>
      </w:r>
    </w:p>
    <w:p w14:paraId="63CE6435">
      <w:pPr>
        <w:autoSpaceDE w:val="0"/>
        <w:autoSpaceDN w:val="0"/>
        <w:adjustRightInd w:val="0"/>
        <w:spacing w:line="400" w:lineRule="exact"/>
        <w:ind w:firstLine="420" w:firstLineChars="200"/>
        <w:jc w:val="left"/>
        <w:rPr>
          <w:rFonts w:ascii="宋体" w:hAnsi="宋体" w:cs="仿宋"/>
          <w:color w:val="auto"/>
          <w:kern w:val="0"/>
          <w:szCs w:val="21"/>
          <w:highlight w:val="none"/>
        </w:rPr>
      </w:pPr>
      <w:r>
        <w:rPr>
          <w:rFonts w:ascii="宋体" w:hAnsi="宋体" w:cs="仿宋"/>
          <w:color w:val="auto"/>
          <w:kern w:val="0"/>
          <w:szCs w:val="21"/>
          <w:highlight w:val="none"/>
        </w:rPr>
        <w:t>1.</w:t>
      </w:r>
      <w:r>
        <w:rPr>
          <w:rFonts w:hint="eastAsia" w:ascii="宋体" w:hAnsi="宋体" w:cs="仿宋"/>
          <w:color w:val="auto"/>
          <w:kern w:val="0"/>
          <w:szCs w:val="21"/>
          <w:highlight w:val="none"/>
        </w:rPr>
        <w:t xml:space="preserve"> </w:t>
      </w:r>
      <w:r>
        <w:rPr>
          <w:rFonts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rPr>
        <w:t xml:space="preserve">（项目名称） </w:t>
      </w:r>
      <w:r>
        <w:rPr>
          <w:rFonts w:ascii="宋体" w:hAnsi="宋体" w:cs="仿宋"/>
          <w:color w:val="auto"/>
          <w:kern w:val="0"/>
          <w:szCs w:val="21"/>
          <w:highlight w:val="none"/>
        </w:rPr>
        <w:t xml:space="preserve"> </w:t>
      </w:r>
      <w:r>
        <w:rPr>
          <w:rFonts w:hint="eastAsia" w:ascii="宋体" w:hAnsi="宋体" w:cs="仿宋"/>
          <w:color w:val="auto"/>
          <w:kern w:val="0"/>
          <w:szCs w:val="21"/>
          <w:highlight w:val="none"/>
        </w:rPr>
        <w:t>，属于</w:t>
      </w:r>
      <w:r>
        <w:rPr>
          <w:rFonts w:hint="eastAsia" w:ascii="宋体" w:hAnsi="宋体" w:cs="仿宋"/>
          <w:color w:val="auto"/>
          <w:kern w:val="0"/>
          <w:szCs w:val="21"/>
          <w:highlight w:val="none"/>
          <w:u w:val="single"/>
        </w:rPr>
        <w:t xml:space="preserve">  </w:t>
      </w:r>
      <w:r>
        <w:rPr>
          <w:rFonts w:hint="eastAsia" w:ascii="宋体" w:hAnsi="宋体" w:cs="仿宋"/>
          <w:b/>
          <w:bCs/>
          <w:color w:val="auto"/>
          <w:kern w:val="0"/>
          <w:szCs w:val="21"/>
          <w:highlight w:val="none"/>
          <w:u w:val="single"/>
        </w:rPr>
        <w:t>建筑业</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 xml:space="preserve">行业；承建（承接）企业为 </w:t>
      </w:r>
      <w:r>
        <w:rPr>
          <w:rFonts w:hint="eastAsia" w:ascii="宋体" w:hAnsi="宋体" w:cs="仿宋"/>
          <w:color w:val="auto"/>
          <w:kern w:val="0"/>
          <w:szCs w:val="21"/>
          <w:highlight w:val="none"/>
          <w:u w:val="single"/>
        </w:rPr>
        <w:t xml:space="preserve">（企业名称  </w:t>
      </w:r>
      <w:r>
        <w:rPr>
          <w:rFonts w:hint="eastAsia" w:ascii="宋体" w:hAnsi="宋体" w:cs="仿宋"/>
          <w:color w:val="auto"/>
          <w:kern w:val="0"/>
          <w:szCs w:val="21"/>
          <w:highlight w:val="none"/>
        </w:rPr>
        <w:t>），从业人员</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人，营业收入为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万元，资产总额为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万元，属于</w:t>
      </w:r>
      <w:r>
        <w:rPr>
          <w:rFonts w:hint="eastAsia" w:ascii="宋体" w:hAnsi="宋体" w:cs="仿宋"/>
          <w:color w:val="auto"/>
          <w:kern w:val="0"/>
          <w:szCs w:val="21"/>
          <w:highlight w:val="none"/>
          <w:u w:val="single"/>
        </w:rPr>
        <w:t>（中型企业/小型企业/微型企业）</w:t>
      </w:r>
      <w:r>
        <w:rPr>
          <w:rFonts w:hint="eastAsia" w:ascii="宋体" w:hAnsi="宋体" w:cs="仿宋"/>
          <w:color w:val="auto"/>
          <w:kern w:val="0"/>
          <w:szCs w:val="21"/>
          <w:highlight w:val="none"/>
        </w:rPr>
        <w:t>；</w:t>
      </w:r>
    </w:p>
    <w:p w14:paraId="2ED7D366">
      <w:pPr>
        <w:autoSpaceDE w:val="0"/>
        <w:autoSpaceDN w:val="0"/>
        <w:adjustRightInd w:val="0"/>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以上企业，不属于大企业的分支机构，不存在控股股东为大企业的情形，也不存在与大企业的负责人为同一人的情形。</w:t>
      </w:r>
    </w:p>
    <w:p w14:paraId="0C6F3048">
      <w:pPr>
        <w:autoSpaceDE w:val="0"/>
        <w:autoSpaceDN w:val="0"/>
        <w:adjustRightInd w:val="0"/>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本企业对上述声明内容的真实性负责。如有虚假，将依法承担相应责任。</w:t>
      </w:r>
    </w:p>
    <w:p w14:paraId="74C0FF56">
      <w:pPr>
        <w:autoSpaceDE w:val="0"/>
        <w:autoSpaceDN w:val="0"/>
        <w:adjustRightInd w:val="0"/>
        <w:spacing w:line="400" w:lineRule="exact"/>
        <w:ind w:firstLine="3780" w:firstLineChars="1800"/>
        <w:jc w:val="left"/>
        <w:rPr>
          <w:rFonts w:ascii="宋体" w:hAnsi="宋体" w:cs="仿宋"/>
          <w:color w:val="auto"/>
          <w:kern w:val="0"/>
          <w:szCs w:val="21"/>
          <w:highlight w:val="none"/>
        </w:rPr>
      </w:pPr>
    </w:p>
    <w:p w14:paraId="21BE8149">
      <w:pPr>
        <w:autoSpaceDE w:val="0"/>
        <w:autoSpaceDN w:val="0"/>
        <w:adjustRightInd w:val="0"/>
        <w:spacing w:line="400" w:lineRule="exact"/>
        <w:ind w:firstLine="3780" w:firstLineChars="1800"/>
        <w:jc w:val="left"/>
        <w:rPr>
          <w:rFonts w:ascii="宋体" w:hAnsi="宋体" w:cs="仿宋"/>
          <w:color w:val="auto"/>
          <w:kern w:val="0"/>
          <w:szCs w:val="21"/>
          <w:highlight w:val="none"/>
        </w:rPr>
      </w:pPr>
      <w:r>
        <w:rPr>
          <w:rFonts w:hint="eastAsia" w:ascii="宋体" w:hAnsi="宋体" w:cs="仿宋"/>
          <w:color w:val="auto"/>
          <w:kern w:val="0"/>
          <w:szCs w:val="21"/>
          <w:highlight w:val="none"/>
        </w:rPr>
        <w:t>企业名称[盖单位公章（CA签章）]：</w:t>
      </w:r>
    </w:p>
    <w:p w14:paraId="207BC05C">
      <w:pPr>
        <w:spacing w:line="400" w:lineRule="exact"/>
        <w:ind w:firstLine="3780" w:firstLineChars="1800"/>
        <w:rPr>
          <w:rFonts w:ascii="宋体" w:hAnsi="宋体"/>
          <w:color w:val="auto"/>
          <w:kern w:val="0"/>
          <w:szCs w:val="21"/>
          <w:highlight w:val="none"/>
        </w:rPr>
      </w:pPr>
      <w:r>
        <w:rPr>
          <w:rFonts w:hint="eastAsia" w:ascii="宋体" w:hAnsi="宋体" w:cs="仿宋"/>
          <w:color w:val="auto"/>
          <w:kern w:val="0"/>
          <w:szCs w:val="21"/>
          <w:highlight w:val="none"/>
        </w:rPr>
        <w:t>日期：</w:t>
      </w:r>
      <w:r>
        <w:rPr>
          <w:rFonts w:hint="eastAsia" w:ascii="宋体" w:hAnsi="宋体"/>
          <w:color w:val="auto"/>
          <w:kern w:val="0"/>
          <w:szCs w:val="21"/>
          <w:highlight w:val="none"/>
        </w:rPr>
        <w:t>　　　　　　　　　　　　　　　　　　　　　　</w:t>
      </w:r>
    </w:p>
    <w:p w14:paraId="7C9E124E">
      <w:pPr>
        <w:pStyle w:val="27"/>
        <w:rPr>
          <w:rFonts w:hAnsi="宋体" w:cs="宋体"/>
          <w:color w:val="auto"/>
          <w:szCs w:val="21"/>
          <w:highlight w:val="none"/>
        </w:rPr>
      </w:pPr>
    </w:p>
    <w:p w14:paraId="4055CE6E">
      <w:pPr>
        <w:pStyle w:val="27"/>
        <w:rPr>
          <w:rFonts w:hAnsi="宋体" w:cs="宋体"/>
          <w:color w:val="auto"/>
          <w:szCs w:val="21"/>
          <w:highlight w:val="none"/>
        </w:rPr>
      </w:pPr>
    </w:p>
    <w:p w14:paraId="4DDA7CE7">
      <w:pPr>
        <w:pStyle w:val="27"/>
        <w:rPr>
          <w:rFonts w:hAnsi="宋体" w:cs="宋体"/>
          <w:color w:val="auto"/>
          <w:szCs w:val="21"/>
          <w:highlight w:val="none"/>
        </w:rPr>
      </w:pPr>
      <w:r>
        <w:rPr>
          <w:rFonts w:hint="eastAsia" w:hAnsi="宋体" w:cs="宋体"/>
          <w:color w:val="auto"/>
          <w:szCs w:val="21"/>
          <w:highlight w:val="none"/>
        </w:rPr>
        <w:t>1. 从业人员、营业收入、资产总额填报上一年度数据，无上一年度数据的新成立企业可不填报。</w:t>
      </w:r>
    </w:p>
    <w:p w14:paraId="783EFBC9">
      <w:pPr>
        <w:pStyle w:val="27"/>
        <w:ind w:firstLine="420"/>
        <w:rPr>
          <w:rFonts w:hAnsi="宋体" w:cs="宋体"/>
          <w:color w:val="auto"/>
          <w:szCs w:val="21"/>
          <w:highlight w:val="none"/>
        </w:rPr>
      </w:pPr>
    </w:p>
    <w:p w14:paraId="11B1D5F2">
      <w:pPr>
        <w:pStyle w:val="27"/>
        <w:ind w:firstLine="420"/>
        <w:rPr>
          <w:rFonts w:hAnsi="宋体" w:cs="宋体"/>
          <w:color w:val="auto"/>
          <w:szCs w:val="21"/>
          <w:highlight w:val="none"/>
        </w:rPr>
      </w:pPr>
    </w:p>
    <w:p w14:paraId="15EC334E">
      <w:pPr>
        <w:pStyle w:val="102"/>
        <w:ind w:firstLine="420"/>
        <w:rPr>
          <w:color w:val="auto"/>
          <w:sz w:val="21"/>
          <w:szCs w:val="21"/>
          <w:highlight w:val="none"/>
        </w:rPr>
      </w:pPr>
    </w:p>
    <w:p w14:paraId="49AE5321">
      <w:pPr>
        <w:pStyle w:val="102"/>
        <w:ind w:firstLine="420"/>
        <w:rPr>
          <w:color w:val="auto"/>
          <w:sz w:val="21"/>
          <w:szCs w:val="21"/>
          <w:highlight w:val="none"/>
        </w:rPr>
      </w:pPr>
    </w:p>
    <w:p w14:paraId="03753B59">
      <w:pPr>
        <w:pStyle w:val="102"/>
        <w:ind w:firstLine="420"/>
        <w:rPr>
          <w:color w:val="auto"/>
          <w:sz w:val="21"/>
          <w:szCs w:val="21"/>
          <w:highlight w:val="none"/>
        </w:rPr>
      </w:pPr>
    </w:p>
    <w:p w14:paraId="50D46068">
      <w:pPr>
        <w:pStyle w:val="102"/>
        <w:ind w:firstLine="420"/>
        <w:rPr>
          <w:color w:val="auto"/>
          <w:sz w:val="21"/>
          <w:szCs w:val="21"/>
          <w:highlight w:val="none"/>
        </w:rPr>
      </w:pPr>
    </w:p>
    <w:p w14:paraId="0C03F74C">
      <w:pPr>
        <w:pStyle w:val="102"/>
        <w:ind w:firstLine="420"/>
        <w:rPr>
          <w:color w:val="auto"/>
          <w:sz w:val="21"/>
          <w:szCs w:val="21"/>
          <w:highlight w:val="none"/>
        </w:rPr>
      </w:pPr>
    </w:p>
    <w:p w14:paraId="01E4C113">
      <w:pPr>
        <w:pStyle w:val="102"/>
        <w:ind w:firstLine="420"/>
        <w:rPr>
          <w:color w:val="auto"/>
          <w:sz w:val="21"/>
          <w:szCs w:val="21"/>
          <w:highlight w:val="none"/>
        </w:rPr>
      </w:pPr>
    </w:p>
    <w:p w14:paraId="3C38635C">
      <w:pPr>
        <w:pStyle w:val="102"/>
        <w:ind w:firstLine="420"/>
        <w:rPr>
          <w:color w:val="auto"/>
          <w:sz w:val="21"/>
          <w:szCs w:val="21"/>
          <w:highlight w:val="none"/>
        </w:rPr>
      </w:pPr>
    </w:p>
    <w:p w14:paraId="65071226">
      <w:pPr>
        <w:pStyle w:val="102"/>
        <w:ind w:firstLine="420"/>
        <w:rPr>
          <w:color w:val="auto"/>
          <w:sz w:val="21"/>
          <w:szCs w:val="21"/>
          <w:highlight w:val="none"/>
        </w:rPr>
      </w:pPr>
    </w:p>
    <w:p w14:paraId="2F8E755D">
      <w:pPr>
        <w:pStyle w:val="102"/>
        <w:ind w:firstLine="420"/>
        <w:rPr>
          <w:color w:val="auto"/>
          <w:sz w:val="21"/>
          <w:szCs w:val="21"/>
          <w:highlight w:val="none"/>
        </w:rPr>
      </w:pPr>
    </w:p>
    <w:p w14:paraId="4BB89DD5">
      <w:pPr>
        <w:pStyle w:val="102"/>
        <w:ind w:firstLine="420"/>
        <w:rPr>
          <w:color w:val="auto"/>
          <w:sz w:val="21"/>
          <w:szCs w:val="21"/>
          <w:highlight w:val="none"/>
        </w:rPr>
      </w:pPr>
    </w:p>
    <w:p w14:paraId="6863E3F6">
      <w:pPr>
        <w:pStyle w:val="102"/>
        <w:ind w:firstLine="0" w:firstLineChars="0"/>
        <w:rPr>
          <w:color w:val="auto"/>
          <w:sz w:val="21"/>
          <w:szCs w:val="21"/>
          <w:highlight w:val="none"/>
        </w:rPr>
      </w:pPr>
    </w:p>
    <w:p w14:paraId="584BC964">
      <w:pPr>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统计上大中小微型企业划分标准</w:t>
      </w:r>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4A1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3488C121">
            <w:pPr>
              <w:widowControl/>
              <w:spacing w:line="240" w:lineRule="exact"/>
              <w:jc w:val="center"/>
              <w:rPr>
                <w:b/>
                <w:bCs/>
                <w:color w:val="auto"/>
                <w:kern w:val="0"/>
                <w:sz w:val="18"/>
                <w:szCs w:val="21"/>
                <w:highlight w:val="none"/>
              </w:rPr>
            </w:pPr>
            <w:r>
              <w:rPr>
                <w:b/>
                <w:bCs/>
                <w:color w:val="auto"/>
                <w:kern w:val="0"/>
                <w:sz w:val="18"/>
                <w:szCs w:val="21"/>
                <w:highlight w:val="none"/>
              </w:rPr>
              <w:t>行业名称</w:t>
            </w:r>
          </w:p>
        </w:tc>
        <w:tc>
          <w:tcPr>
            <w:tcW w:w="1369" w:type="dxa"/>
            <w:shd w:val="clear" w:color="auto" w:fill="FFFFFF"/>
            <w:vAlign w:val="center"/>
          </w:tcPr>
          <w:p w14:paraId="77C5C4AC">
            <w:pPr>
              <w:widowControl/>
              <w:jc w:val="center"/>
              <w:rPr>
                <w:b/>
                <w:bCs/>
                <w:color w:val="auto"/>
                <w:kern w:val="0"/>
                <w:sz w:val="18"/>
                <w:szCs w:val="18"/>
                <w:highlight w:val="none"/>
              </w:rPr>
            </w:pPr>
            <w:r>
              <w:rPr>
                <w:b/>
                <w:bCs/>
                <w:color w:val="auto"/>
                <w:kern w:val="0"/>
                <w:sz w:val="18"/>
                <w:szCs w:val="18"/>
                <w:highlight w:val="none"/>
              </w:rPr>
              <w:t>指标名称</w:t>
            </w:r>
          </w:p>
        </w:tc>
        <w:tc>
          <w:tcPr>
            <w:tcW w:w="709" w:type="dxa"/>
            <w:shd w:val="clear" w:color="auto" w:fill="FFFFFF"/>
            <w:vAlign w:val="center"/>
          </w:tcPr>
          <w:p w14:paraId="2101DD36">
            <w:pPr>
              <w:widowControl/>
              <w:jc w:val="center"/>
              <w:rPr>
                <w:b/>
                <w:bCs/>
                <w:color w:val="auto"/>
                <w:kern w:val="0"/>
                <w:sz w:val="18"/>
                <w:szCs w:val="18"/>
                <w:highlight w:val="none"/>
              </w:rPr>
            </w:pPr>
            <w:r>
              <w:rPr>
                <w:b/>
                <w:bCs/>
                <w:color w:val="auto"/>
                <w:kern w:val="0"/>
                <w:sz w:val="18"/>
                <w:szCs w:val="18"/>
                <w:highlight w:val="none"/>
              </w:rPr>
              <w:t>计量</w:t>
            </w:r>
            <w:r>
              <w:rPr>
                <w:b/>
                <w:bCs/>
                <w:color w:val="auto"/>
                <w:kern w:val="0"/>
                <w:sz w:val="18"/>
                <w:szCs w:val="18"/>
                <w:highlight w:val="none"/>
              </w:rPr>
              <w:br w:type="textWrapping"/>
            </w:r>
            <w:r>
              <w:rPr>
                <w:b/>
                <w:bCs/>
                <w:color w:val="auto"/>
                <w:kern w:val="0"/>
                <w:sz w:val="18"/>
                <w:szCs w:val="18"/>
                <w:highlight w:val="none"/>
              </w:rPr>
              <w:t>单位</w:t>
            </w:r>
          </w:p>
        </w:tc>
        <w:tc>
          <w:tcPr>
            <w:tcW w:w="1125" w:type="dxa"/>
            <w:shd w:val="clear" w:color="auto" w:fill="FFFFFF"/>
            <w:vAlign w:val="center"/>
          </w:tcPr>
          <w:p w14:paraId="04C0F98F">
            <w:pPr>
              <w:widowControl/>
              <w:jc w:val="center"/>
              <w:rPr>
                <w:b/>
                <w:bCs/>
                <w:color w:val="auto"/>
                <w:kern w:val="0"/>
                <w:sz w:val="18"/>
                <w:szCs w:val="18"/>
                <w:highlight w:val="none"/>
              </w:rPr>
            </w:pPr>
            <w:r>
              <w:rPr>
                <w:b/>
                <w:bCs/>
                <w:color w:val="auto"/>
                <w:kern w:val="0"/>
                <w:sz w:val="18"/>
                <w:szCs w:val="18"/>
                <w:highlight w:val="none"/>
              </w:rPr>
              <w:t>大型</w:t>
            </w:r>
          </w:p>
        </w:tc>
        <w:tc>
          <w:tcPr>
            <w:tcW w:w="1701" w:type="dxa"/>
            <w:shd w:val="clear" w:color="auto" w:fill="FFFFFF"/>
            <w:vAlign w:val="center"/>
          </w:tcPr>
          <w:p w14:paraId="3D9E401D">
            <w:pPr>
              <w:widowControl/>
              <w:jc w:val="center"/>
              <w:rPr>
                <w:b/>
                <w:bCs/>
                <w:color w:val="auto"/>
                <w:kern w:val="0"/>
                <w:sz w:val="18"/>
                <w:szCs w:val="18"/>
                <w:highlight w:val="none"/>
              </w:rPr>
            </w:pPr>
            <w:r>
              <w:rPr>
                <w:b/>
                <w:bCs/>
                <w:color w:val="auto"/>
                <w:kern w:val="0"/>
                <w:sz w:val="18"/>
                <w:szCs w:val="18"/>
                <w:highlight w:val="none"/>
              </w:rPr>
              <w:t>中型</w:t>
            </w:r>
          </w:p>
        </w:tc>
        <w:tc>
          <w:tcPr>
            <w:tcW w:w="1426" w:type="dxa"/>
            <w:shd w:val="clear" w:color="auto" w:fill="FFFFFF"/>
            <w:vAlign w:val="center"/>
          </w:tcPr>
          <w:p w14:paraId="17FF5B24">
            <w:pPr>
              <w:widowControl/>
              <w:jc w:val="center"/>
              <w:rPr>
                <w:b/>
                <w:bCs/>
                <w:color w:val="auto"/>
                <w:kern w:val="0"/>
                <w:sz w:val="18"/>
                <w:szCs w:val="18"/>
                <w:highlight w:val="none"/>
              </w:rPr>
            </w:pPr>
            <w:r>
              <w:rPr>
                <w:b/>
                <w:bCs/>
                <w:color w:val="auto"/>
                <w:kern w:val="0"/>
                <w:sz w:val="18"/>
                <w:szCs w:val="18"/>
                <w:highlight w:val="none"/>
              </w:rPr>
              <w:t>小型</w:t>
            </w:r>
          </w:p>
        </w:tc>
        <w:tc>
          <w:tcPr>
            <w:tcW w:w="992" w:type="dxa"/>
            <w:shd w:val="clear" w:color="auto" w:fill="FFFFFF"/>
            <w:vAlign w:val="center"/>
          </w:tcPr>
          <w:p w14:paraId="1B9B1C7C">
            <w:pPr>
              <w:widowControl/>
              <w:jc w:val="center"/>
              <w:rPr>
                <w:b/>
                <w:bCs/>
                <w:color w:val="auto"/>
                <w:kern w:val="0"/>
                <w:sz w:val="18"/>
                <w:szCs w:val="18"/>
                <w:highlight w:val="none"/>
              </w:rPr>
            </w:pPr>
            <w:r>
              <w:rPr>
                <w:b/>
                <w:bCs/>
                <w:color w:val="auto"/>
                <w:kern w:val="0"/>
                <w:sz w:val="18"/>
                <w:szCs w:val="18"/>
                <w:highlight w:val="none"/>
              </w:rPr>
              <w:t>微型</w:t>
            </w:r>
          </w:p>
        </w:tc>
      </w:tr>
      <w:tr w14:paraId="2C30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B0AA6B2">
            <w:pPr>
              <w:widowControl/>
              <w:spacing w:line="240" w:lineRule="exact"/>
              <w:jc w:val="left"/>
              <w:rPr>
                <w:color w:val="auto"/>
                <w:kern w:val="0"/>
                <w:sz w:val="18"/>
                <w:szCs w:val="18"/>
                <w:highlight w:val="none"/>
              </w:rPr>
            </w:pPr>
            <w:r>
              <w:rPr>
                <w:color w:val="auto"/>
                <w:kern w:val="0"/>
                <w:sz w:val="18"/>
                <w:szCs w:val="18"/>
                <w:highlight w:val="none"/>
              </w:rPr>
              <w:t>农、林、牧、渔业</w:t>
            </w:r>
          </w:p>
        </w:tc>
        <w:tc>
          <w:tcPr>
            <w:tcW w:w="1369" w:type="dxa"/>
            <w:vAlign w:val="center"/>
          </w:tcPr>
          <w:p w14:paraId="4DEEEA3A">
            <w:pPr>
              <w:widowControl/>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02314E37">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3A18E0B5">
            <w:pPr>
              <w:widowControl/>
              <w:jc w:val="center"/>
              <w:rPr>
                <w:color w:val="auto"/>
                <w:kern w:val="0"/>
                <w:sz w:val="18"/>
                <w:szCs w:val="18"/>
                <w:highlight w:val="none"/>
              </w:rPr>
            </w:pPr>
            <w:r>
              <w:rPr>
                <w:color w:val="auto"/>
                <w:kern w:val="0"/>
                <w:sz w:val="18"/>
                <w:szCs w:val="18"/>
                <w:highlight w:val="none"/>
              </w:rPr>
              <w:t>Y≥20000</w:t>
            </w:r>
          </w:p>
        </w:tc>
        <w:tc>
          <w:tcPr>
            <w:tcW w:w="1701" w:type="dxa"/>
            <w:vAlign w:val="center"/>
          </w:tcPr>
          <w:p w14:paraId="6F8B7F39">
            <w:pPr>
              <w:widowControl/>
              <w:jc w:val="center"/>
              <w:rPr>
                <w:color w:val="auto"/>
                <w:kern w:val="0"/>
                <w:sz w:val="18"/>
                <w:szCs w:val="18"/>
                <w:highlight w:val="none"/>
              </w:rPr>
            </w:pPr>
            <w:r>
              <w:rPr>
                <w:color w:val="auto"/>
                <w:kern w:val="0"/>
                <w:sz w:val="18"/>
                <w:szCs w:val="18"/>
                <w:highlight w:val="none"/>
              </w:rPr>
              <w:t>500≤Y＜20000</w:t>
            </w:r>
          </w:p>
        </w:tc>
        <w:tc>
          <w:tcPr>
            <w:tcW w:w="1426" w:type="dxa"/>
            <w:vAlign w:val="center"/>
          </w:tcPr>
          <w:p w14:paraId="41CE601F">
            <w:pPr>
              <w:widowControl/>
              <w:jc w:val="center"/>
              <w:rPr>
                <w:color w:val="auto"/>
                <w:kern w:val="0"/>
                <w:sz w:val="18"/>
                <w:szCs w:val="18"/>
                <w:highlight w:val="none"/>
              </w:rPr>
            </w:pPr>
            <w:r>
              <w:rPr>
                <w:color w:val="auto"/>
                <w:kern w:val="0"/>
                <w:sz w:val="18"/>
                <w:szCs w:val="18"/>
                <w:highlight w:val="none"/>
              </w:rPr>
              <w:t>50≤Y＜500</w:t>
            </w:r>
          </w:p>
        </w:tc>
        <w:tc>
          <w:tcPr>
            <w:tcW w:w="992" w:type="dxa"/>
            <w:vAlign w:val="center"/>
          </w:tcPr>
          <w:p w14:paraId="02E11448">
            <w:pPr>
              <w:widowControl/>
              <w:jc w:val="center"/>
              <w:rPr>
                <w:color w:val="auto"/>
                <w:kern w:val="0"/>
                <w:sz w:val="18"/>
                <w:szCs w:val="18"/>
                <w:highlight w:val="none"/>
              </w:rPr>
            </w:pPr>
            <w:r>
              <w:rPr>
                <w:color w:val="auto"/>
                <w:kern w:val="0"/>
                <w:sz w:val="18"/>
                <w:szCs w:val="18"/>
                <w:highlight w:val="none"/>
              </w:rPr>
              <w:t>Y＜50</w:t>
            </w:r>
          </w:p>
        </w:tc>
      </w:tr>
      <w:tr w14:paraId="595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FDC90D">
            <w:pPr>
              <w:widowControl/>
              <w:spacing w:line="240" w:lineRule="exact"/>
              <w:jc w:val="left"/>
              <w:rPr>
                <w:color w:val="auto"/>
                <w:kern w:val="0"/>
                <w:sz w:val="18"/>
                <w:szCs w:val="18"/>
                <w:highlight w:val="none"/>
              </w:rPr>
            </w:pPr>
            <w:r>
              <w:rPr>
                <w:color w:val="auto"/>
                <w:kern w:val="0"/>
                <w:sz w:val="18"/>
                <w:szCs w:val="18"/>
                <w:highlight w:val="none"/>
              </w:rPr>
              <w:t>工业 *</w:t>
            </w:r>
          </w:p>
        </w:tc>
        <w:tc>
          <w:tcPr>
            <w:tcW w:w="1369" w:type="dxa"/>
            <w:vAlign w:val="center"/>
          </w:tcPr>
          <w:p w14:paraId="4A511D0A">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205B7BDC">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6171973C">
            <w:pPr>
              <w:widowControl/>
              <w:jc w:val="center"/>
              <w:rPr>
                <w:color w:val="auto"/>
                <w:kern w:val="0"/>
                <w:sz w:val="18"/>
                <w:szCs w:val="18"/>
                <w:highlight w:val="none"/>
              </w:rPr>
            </w:pPr>
            <w:r>
              <w:rPr>
                <w:color w:val="auto"/>
                <w:kern w:val="0"/>
                <w:sz w:val="18"/>
                <w:szCs w:val="18"/>
                <w:highlight w:val="none"/>
              </w:rPr>
              <w:t>X≥1000</w:t>
            </w:r>
          </w:p>
        </w:tc>
        <w:tc>
          <w:tcPr>
            <w:tcW w:w="1701" w:type="dxa"/>
            <w:vAlign w:val="center"/>
          </w:tcPr>
          <w:p w14:paraId="754033E5">
            <w:pPr>
              <w:widowControl/>
              <w:jc w:val="center"/>
              <w:rPr>
                <w:color w:val="auto"/>
                <w:kern w:val="0"/>
                <w:sz w:val="18"/>
                <w:szCs w:val="18"/>
                <w:highlight w:val="none"/>
              </w:rPr>
            </w:pPr>
            <w:r>
              <w:rPr>
                <w:color w:val="auto"/>
                <w:kern w:val="0"/>
                <w:sz w:val="18"/>
                <w:szCs w:val="18"/>
                <w:highlight w:val="none"/>
              </w:rPr>
              <w:t>300≤X＜1000</w:t>
            </w:r>
          </w:p>
        </w:tc>
        <w:tc>
          <w:tcPr>
            <w:tcW w:w="1426" w:type="dxa"/>
            <w:vAlign w:val="center"/>
          </w:tcPr>
          <w:p w14:paraId="2ACD8569">
            <w:pPr>
              <w:widowControl/>
              <w:jc w:val="center"/>
              <w:rPr>
                <w:color w:val="auto"/>
                <w:kern w:val="0"/>
                <w:sz w:val="18"/>
                <w:szCs w:val="18"/>
                <w:highlight w:val="none"/>
              </w:rPr>
            </w:pPr>
            <w:r>
              <w:rPr>
                <w:color w:val="auto"/>
                <w:kern w:val="0"/>
                <w:sz w:val="18"/>
                <w:szCs w:val="18"/>
                <w:highlight w:val="none"/>
              </w:rPr>
              <w:t>20≤X＜300</w:t>
            </w:r>
          </w:p>
        </w:tc>
        <w:tc>
          <w:tcPr>
            <w:tcW w:w="992" w:type="dxa"/>
            <w:vAlign w:val="center"/>
          </w:tcPr>
          <w:p w14:paraId="24FEBDF1">
            <w:pPr>
              <w:widowControl/>
              <w:jc w:val="center"/>
              <w:rPr>
                <w:color w:val="auto"/>
                <w:kern w:val="0"/>
                <w:sz w:val="18"/>
                <w:szCs w:val="18"/>
                <w:highlight w:val="none"/>
              </w:rPr>
            </w:pPr>
            <w:r>
              <w:rPr>
                <w:color w:val="auto"/>
                <w:kern w:val="0"/>
                <w:sz w:val="18"/>
                <w:szCs w:val="18"/>
                <w:highlight w:val="none"/>
              </w:rPr>
              <w:t>X＜20</w:t>
            </w:r>
          </w:p>
        </w:tc>
      </w:tr>
      <w:tr w14:paraId="7C16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A55773">
            <w:pPr>
              <w:widowControl/>
              <w:jc w:val="left"/>
              <w:rPr>
                <w:color w:val="auto"/>
                <w:kern w:val="0"/>
                <w:sz w:val="18"/>
                <w:szCs w:val="18"/>
                <w:highlight w:val="none"/>
              </w:rPr>
            </w:pPr>
          </w:p>
        </w:tc>
        <w:tc>
          <w:tcPr>
            <w:tcW w:w="1369" w:type="dxa"/>
            <w:vAlign w:val="center"/>
          </w:tcPr>
          <w:p w14:paraId="286AF3BD">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417685DB">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1DDAB1DA">
            <w:pPr>
              <w:widowControl/>
              <w:jc w:val="center"/>
              <w:rPr>
                <w:color w:val="auto"/>
                <w:kern w:val="0"/>
                <w:sz w:val="18"/>
                <w:szCs w:val="18"/>
                <w:highlight w:val="none"/>
              </w:rPr>
            </w:pPr>
            <w:r>
              <w:rPr>
                <w:color w:val="auto"/>
                <w:kern w:val="0"/>
                <w:sz w:val="18"/>
                <w:szCs w:val="18"/>
                <w:highlight w:val="none"/>
              </w:rPr>
              <w:t>Y≥40000</w:t>
            </w:r>
          </w:p>
        </w:tc>
        <w:tc>
          <w:tcPr>
            <w:tcW w:w="1701" w:type="dxa"/>
            <w:vAlign w:val="center"/>
          </w:tcPr>
          <w:p w14:paraId="38F2EF74">
            <w:pPr>
              <w:widowControl/>
              <w:jc w:val="center"/>
              <w:rPr>
                <w:color w:val="auto"/>
                <w:kern w:val="0"/>
                <w:sz w:val="18"/>
                <w:szCs w:val="18"/>
                <w:highlight w:val="none"/>
              </w:rPr>
            </w:pPr>
            <w:r>
              <w:rPr>
                <w:color w:val="auto"/>
                <w:kern w:val="0"/>
                <w:sz w:val="18"/>
                <w:szCs w:val="18"/>
                <w:highlight w:val="none"/>
              </w:rPr>
              <w:t>2000≤Y＜40000</w:t>
            </w:r>
          </w:p>
        </w:tc>
        <w:tc>
          <w:tcPr>
            <w:tcW w:w="1426" w:type="dxa"/>
            <w:vAlign w:val="center"/>
          </w:tcPr>
          <w:p w14:paraId="3BCE23B7">
            <w:pPr>
              <w:widowControl/>
              <w:jc w:val="center"/>
              <w:rPr>
                <w:color w:val="auto"/>
                <w:kern w:val="0"/>
                <w:sz w:val="18"/>
                <w:szCs w:val="18"/>
                <w:highlight w:val="none"/>
              </w:rPr>
            </w:pPr>
            <w:r>
              <w:rPr>
                <w:color w:val="auto"/>
                <w:kern w:val="0"/>
                <w:sz w:val="18"/>
                <w:szCs w:val="18"/>
                <w:highlight w:val="none"/>
              </w:rPr>
              <w:t>300≤Y＜2000</w:t>
            </w:r>
          </w:p>
        </w:tc>
        <w:tc>
          <w:tcPr>
            <w:tcW w:w="992" w:type="dxa"/>
            <w:vAlign w:val="center"/>
          </w:tcPr>
          <w:p w14:paraId="5D5977C4">
            <w:pPr>
              <w:widowControl/>
              <w:jc w:val="center"/>
              <w:rPr>
                <w:color w:val="auto"/>
                <w:kern w:val="0"/>
                <w:sz w:val="18"/>
                <w:szCs w:val="18"/>
                <w:highlight w:val="none"/>
              </w:rPr>
            </w:pPr>
            <w:r>
              <w:rPr>
                <w:color w:val="auto"/>
                <w:kern w:val="0"/>
                <w:sz w:val="18"/>
                <w:szCs w:val="18"/>
                <w:highlight w:val="none"/>
              </w:rPr>
              <w:t>Y＜300</w:t>
            </w:r>
          </w:p>
        </w:tc>
      </w:tr>
      <w:tr w14:paraId="279F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F3D87A7">
            <w:pPr>
              <w:widowControl/>
              <w:spacing w:line="240" w:lineRule="exact"/>
              <w:jc w:val="left"/>
              <w:rPr>
                <w:color w:val="auto"/>
                <w:kern w:val="0"/>
                <w:sz w:val="18"/>
                <w:szCs w:val="18"/>
                <w:highlight w:val="none"/>
              </w:rPr>
            </w:pPr>
            <w:r>
              <w:rPr>
                <w:color w:val="auto"/>
                <w:kern w:val="0"/>
                <w:sz w:val="18"/>
                <w:szCs w:val="18"/>
                <w:highlight w:val="none"/>
              </w:rPr>
              <w:t>建筑业</w:t>
            </w:r>
          </w:p>
        </w:tc>
        <w:tc>
          <w:tcPr>
            <w:tcW w:w="1369" w:type="dxa"/>
            <w:vAlign w:val="center"/>
          </w:tcPr>
          <w:p w14:paraId="3C10C477">
            <w:pPr>
              <w:widowControl/>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342523F5">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29ACDE94">
            <w:pPr>
              <w:widowControl/>
              <w:jc w:val="center"/>
              <w:rPr>
                <w:color w:val="auto"/>
                <w:kern w:val="0"/>
                <w:sz w:val="18"/>
                <w:szCs w:val="18"/>
                <w:highlight w:val="none"/>
              </w:rPr>
            </w:pPr>
            <w:r>
              <w:rPr>
                <w:color w:val="auto"/>
                <w:kern w:val="0"/>
                <w:sz w:val="18"/>
                <w:szCs w:val="18"/>
                <w:highlight w:val="none"/>
              </w:rPr>
              <w:t>Y≥80000</w:t>
            </w:r>
          </w:p>
        </w:tc>
        <w:tc>
          <w:tcPr>
            <w:tcW w:w="1701" w:type="dxa"/>
            <w:vAlign w:val="center"/>
          </w:tcPr>
          <w:p w14:paraId="0FAE6E22">
            <w:pPr>
              <w:widowControl/>
              <w:jc w:val="center"/>
              <w:rPr>
                <w:color w:val="auto"/>
                <w:kern w:val="0"/>
                <w:sz w:val="18"/>
                <w:szCs w:val="18"/>
                <w:highlight w:val="none"/>
              </w:rPr>
            </w:pPr>
            <w:r>
              <w:rPr>
                <w:color w:val="auto"/>
                <w:kern w:val="0"/>
                <w:sz w:val="18"/>
                <w:szCs w:val="18"/>
                <w:highlight w:val="none"/>
              </w:rPr>
              <w:t>6000≤Y＜80000</w:t>
            </w:r>
          </w:p>
        </w:tc>
        <w:tc>
          <w:tcPr>
            <w:tcW w:w="1426" w:type="dxa"/>
            <w:vAlign w:val="center"/>
          </w:tcPr>
          <w:p w14:paraId="075CE265">
            <w:pPr>
              <w:widowControl/>
              <w:jc w:val="center"/>
              <w:rPr>
                <w:color w:val="auto"/>
                <w:kern w:val="0"/>
                <w:sz w:val="18"/>
                <w:szCs w:val="18"/>
                <w:highlight w:val="none"/>
              </w:rPr>
            </w:pPr>
            <w:r>
              <w:rPr>
                <w:color w:val="auto"/>
                <w:kern w:val="0"/>
                <w:sz w:val="18"/>
                <w:szCs w:val="18"/>
                <w:highlight w:val="none"/>
              </w:rPr>
              <w:t>300≤Y＜6000</w:t>
            </w:r>
          </w:p>
        </w:tc>
        <w:tc>
          <w:tcPr>
            <w:tcW w:w="992" w:type="dxa"/>
            <w:vAlign w:val="center"/>
          </w:tcPr>
          <w:p w14:paraId="6812F521">
            <w:pPr>
              <w:widowControl/>
              <w:jc w:val="center"/>
              <w:rPr>
                <w:color w:val="auto"/>
                <w:kern w:val="0"/>
                <w:sz w:val="18"/>
                <w:szCs w:val="18"/>
                <w:highlight w:val="none"/>
              </w:rPr>
            </w:pPr>
            <w:r>
              <w:rPr>
                <w:color w:val="auto"/>
                <w:kern w:val="0"/>
                <w:sz w:val="18"/>
                <w:szCs w:val="18"/>
                <w:highlight w:val="none"/>
              </w:rPr>
              <w:t>Y＜300</w:t>
            </w:r>
          </w:p>
        </w:tc>
      </w:tr>
      <w:tr w14:paraId="64E3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B0AED1A">
            <w:pPr>
              <w:widowControl/>
              <w:jc w:val="left"/>
              <w:rPr>
                <w:color w:val="auto"/>
                <w:kern w:val="0"/>
                <w:sz w:val="18"/>
                <w:szCs w:val="18"/>
                <w:highlight w:val="none"/>
              </w:rPr>
            </w:pPr>
          </w:p>
        </w:tc>
        <w:tc>
          <w:tcPr>
            <w:tcW w:w="1369" w:type="dxa"/>
            <w:vAlign w:val="center"/>
          </w:tcPr>
          <w:p w14:paraId="16B11C2C">
            <w:pPr>
              <w:widowControl/>
              <w:spacing w:line="24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7689FA40">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3E04BC07">
            <w:pPr>
              <w:widowControl/>
              <w:jc w:val="center"/>
              <w:rPr>
                <w:color w:val="auto"/>
                <w:kern w:val="0"/>
                <w:sz w:val="18"/>
                <w:szCs w:val="18"/>
                <w:highlight w:val="none"/>
              </w:rPr>
            </w:pPr>
            <w:r>
              <w:rPr>
                <w:color w:val="auto"/>
                <w:kern w:val="0"/>
                <w:sz w:val="18"/>
                <w:szCs w:val="18"/>
                <w:highlight w:val="none"/>
              </w:rPr>
              <w:t>Z≥80000</w:t>
            </w:r>
          </w:p>
        </w:tc>
        <w:tc>
          <w:tcPr>
            <w:tcW w:w="1701" w:type="dxa"/>
            <w:vAlign w:val="center"/>
          </w:tcPr>
          <w:p w14:paraId="5387FC4F">
            <w:pPr>
              <w:widowControl/>
              <w:jc w:val="center"/>
              <w:rPr>
                <w:color w:val="auto"/>
                <w:kern w:val="0"/>
                <w:sz w:val="18"/>
                <w:szCs w:val="18"/>
                <w:highlight w:val="none"/>
              </w:rPr>
            </w:pPr>
            <w:r>
              <w:rPr>
                <w:color w:val="auto"/>
                <w:kern w:val="0"/>
                <w:sz w:val="18"/>
                <w:szCs w:val="18"/>
                <w:highlight w:val="none"/>
              </w:rPr>
              <w:t>5000≤Z＜80000</w:t>
            </w:r>
          </w:p>
        </w:tc>
        <w:tc>
          <w:tcPr>
            <w:tcW w:w="1426" w:type="dxa"/>
            <w:vAlign w:val="center"/>
          </w:tcPr>
          <w:p w14:paraId="7FB96E62">
            <w:pPr>
              <w:widowControl/>
              <w:jc w:val="center"/>
              <w:rPr>
                <w:color w:val="auto"/>
                <w:kern w:val="0"/>
                <w:sz w:val="18"/>
                <w:szCs w:val="18"/>
                <w:highlight w:val="none"/>
              </w:rPr>
            </w:pPr>
            <w:r>
              <w:rPr>
                <w:color w:val="auto"/>
                <w:kern w:val="0"/>
                <w:sz w:val="18"/>
                <w:szCs w:val="18"/>
                <w:highlight w:val="none"/>
              </w:rPr>
              <w:t>300≤Z＜5000</w:t>
            </w:r>
          </w:p>
        </w:tc>
        <w:tc>
          <w:tcPr>
            <w:tcW w:w="992" w:type="dxa"/>
            <w:vAlign w:val="center"/>
          </w:tcPr>
          <w:p w14:paraId="596E663B">
            <w:pPr>
              <w:widowControl/>
              <w:jc w:val="center"/>
              <w:rPr>
                <w:color w:val="auto"/>
                <w:kern w:val="0"/>
                <w:sz w:val="18"/>
                <w:szCs w:val="18"/>
                <w:highlight w:val="none"/>
              </w:rPr>
            </w:pPr>
            <w:r>
              <w:rPr>
                <w:color w:val="auto"/>
                <w:kern w:val="0"/>
                <w:sz w:val="18"/>
                <w:szCs w:val="18"/>
                <w:highlight w:val="none"/>
              </w:rPr>
              <w:t>Z＜300</w:t>
            </w:r>
          </w:p>
        </w:tc>
      </w:tr>
      <w:tr w14:paraId="4EF3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64C6A10">
            <w:pPr>
              <w:widowControl/>
              <w:spacing w:line="240" w:lineRule="exact"/>
              <w:jc w:val="left"/>
              <w:rPr>
                <w:color w:val="auto"/>
                <w:kern w:val="0"/>
                <w:sz w:val="18"/>
                <w:szCs w:val="18"/>
                <w:highlight w:val="none"/>
              </w:rPr>
            </w:pPr>
            <w:r>
              <w:rPr>
                <w:color w:val="auto"/>
                <w:kern w:val="0"/>
                <w:sz w:val="18"/>
                <w:szCs w:val="18"/>
                <w:highlight w:val="none"/>
              </w:rPr>
              <w:t>批发业</w:t>
            </w:r>
          </w:p>
        </w:tc>
        <w:tc>
          <w:tcPr>
            <w:tcW w:w="1369" w:type="dxa"/>
            <w:vAlign w:val="center"/>
          </w:tcPr>
          <w:p w14:paraId="3996385E">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5D254A7F">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17BB81DC">
            <w:pPr>
              <w:widowControl/>
              <w:jc w:val="center"/>
              <w:rPr>
                <w:color w:val="auto"/>
                <w:kern w:val="0"/>
                <w:sz w:val="18"/>
                <w:szCs w:val="18"/>
                <w:highlight w:val="none"/>
              </w:rPr>
            </w:pPr>
            <w:r>
              <w:rPr>
                <w:color w:val="auto"/>
                <w:kern w:val="0"/>
                <w:sz w:val="18"/>
                <w:szCs w:val="18"/>
                <w:highlight w:val="none"/>
              </w:rPr>
              <w:t>X≥200</w:t>
            </w:r>
          </w:p>
        </w:tc>
        <w:tc>
          <w:tcPr>
            <w:tcW w:w="1701" w:type="dxa"/>
            <w:vAlign w:val="center"/>
          </w:tcPr>
          <w:p w14:paraId="188A8F77">
            <w:pPr>
              <w:widowControl/>
              <w:jc w:val="center"/>
              <w:rPr>
                <w:color w:val="auto"/>
                <w:kern w:val="0"/>
                <w:sz w:val="18"/>
                <w:szCs w:val="18"/>
                <w:highlight w:val="none"/>
              </w:rPr>
            </w:pPr>
            <w:r>
              <w:rPr>
                <w:color w:val="auto"/>
                <w:kern w:val="0"/>
                <w:sz w:val="18"/>
                <w:szCs w:val="18"/>
                <w:highlight w:val="none"/>
              </w:rPr>
              <w:t>20≤X＜200</w:t>
            </w:r>
          </w:p>
        </w:tc>
        <w:tc>
          <w:tcPr>
            <w:tcW w:w="1426" w:type="dxa"/>
            <w:vAlign w:val="center"/>
          </w:tcPr>
          <w:p w14:paraId="398BE48E">
            <w:pPr>
              <w:widowControl/>
              <w:jc w:val="center"/>
              <w:rPr>
                <w:color w:val="auto"/>
                <w:kern w:val="0"/>
                <w:sz w:val="18"/>
                <w:szCs w:val="18"/>
                <w:highlight w:val="none"/>
              </w:rPr>
            </w:pPr>
            <w:r>
              <w:rPr>
                <w:color w:val="auto"/>
                <w:kern w:val="0"/>
                <w:sz w:val="18"/>
                <w:szCs w:val="18"/>
                <w:highlight w:val="none"/>
              </w:rPr>
              <w:t>5≤X＜20</w:t>
            </w:r>
          </w:p>
        </w:tc>
        <w:tc>
          <w:tcPr>
            <w:tcW w:w="992" w:type="dxa"/>
            <w:vAlign w:val="center"/>
          </w:tcPr>
          <w:p w14:paraId="4C3DFA65">
            <w:pPr>
              <w:widowControl/>
              <w:jc w:val="center"/>
              <w:rPr>
                <w:color w:val="auto"/>
                <w:kern w:val="0"/>
                <w:sz w:val="18"/>
                <w:szCs w:val="18"/>
                <w:highlight w:val="none"/>
              </w:rPr>
            </w:pPr>
            <w:r>
              <w:rPr>
                <w:color w:val="auto"/>
                <w:kern w:val="0"/>
                <w:sz w:val="18"/>
                <w:szCs w:val="18"/>
                <w:highlight w:val="none"/>
              </w:rPr>
              <w:t>X＜5</w:t>
            </w:r>
          </w:p>
        </w:tc>
      </w:tr>
      <w:tr w14:paraId="7688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1B6A99D">
            <w:pPr>
              <w:widowControl/>
              <w:jc w:val="left"/>
              <w:rPr>
                <w:color w:val="auto"/>
                <w:kern w:val="0"/>
                <w:sz w:val="18"/>
                <w:szCs w:val="18"/>
                <w:highlight w:val="none"/>
              </w:rPr>
            </w:pPr>
          </w:p>
        </w:tc>
        <w:tc>
          <w:tcPr>
            <w:tcW w:w="1369" w:type="dxa"/>
            <w:vAlign w:val="center"/>
          </w:tcPr>
          <w:p w14:paraId="4280F253">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71AC0A5F">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448803F4">
            <w:pPr>
              <w:widowControl/>
              <w:jc w:val="center"/>
              <w:rPr>
                <w:color w:val="auto"/>
                <w:kern w:val="0"/>
                <w:sz w:val="18"/>
                <w:szCs w:val="18"/>
                <w:highlight w:val="none"/>
              </w:rPr>
            </w:pPr>
            <w:r>
              <w:rPr>
                <w:color w:val="auto"/>
                <w:kern w:val="0"/>
                <w:sz w:val="18"/>
                <w:szCs w:val="18"/>
                <w:highlight w:val="none"/>
              </w:rPr>
              <w:t>Y≥40000</w:t>
            </w:r>
          </w:p>
        </w:tc>
        <w:tc>
          <w:tcPr>
            <w:tcW w:w="1701" w:type="dxa"/>
            <w:vAlign w:val="center"/>
          </w:tcPr>
          <w:p w14:paraId="135B2F25">
            <w:pPr>
              <w:widowControl/>
              <w:jc w:val="center"/>
              <w:rPr>
                <w:color w:val="auto"/>
                <w:kern w:val="0"/>
                <w:sz w:val="18"/>
                <w:szCs w:val="18"/>
                <w:highlight w:val="none"/>
              </w:rPr>
            </w:pPr>
            <w:r>
              <w:rPr>
                <w:color w:val="auto"/>
                <w:kern w:val="0"/>
                <w:sz w:val="18"/>
                <w:szCs w:val="18"/>
                <w:highlight w:val="none"/>
              </w:rPr>
              <w:t>5000≤Y＜40000</w:t>
            </w:r>
          </w:p>
        </w:tc>
        <w:tc>
          <w:tcPr>
            <w:tcW w:w="1426" w:type="dxa"/>
            <w:vAlign w:val="center"/>
          </w:tcPr>
          <w:p w14:paraId="277D57F6">
            <w:pPr>
              <w:widowControl/>
              <w:ind w:left="-1" w:leftChars="-1" w:hanging="1"/>
              <w:jc w:val="center"/>
              <w:rPr>
                <w:color w:val="auto"/>
                <w:kern w:val="0"/>
                <w:sz w:val="18"/>
                <w:szCs w:val="18"/>
                <w:highlight w:val="none"/>
              </w:rPr>
            </w:pPr>
            <w:r>
              <w:rPr>
                <w:color w:val="auto"/>
                <w:kern w:val="0"/>
                <w:sz w:val="18"/>
                <w:szCs w:val="18"/>
                <w:highlight w:val="none"/>
              </w:rPr>
              <w:t>1000≤Y＜5000</w:t>
            </w:r>
          </w:p>
        </w:tc>
        <w:tc>
          <w:tcPr>
            <w:tcW w:w="992" w:type="dxa"/>
            <w:vAlign w:val="center"/>
          </w:tcPr>
          <w:p w14:paraId="25978B37">
            <w:pPr>
              <w:widowControl/>
              <w:jc w:val="center"/>
              <w:rPr>
                <w:color w:val="auto"/>
                <w:kern w:val="0"/>
                <w:sz w:val="18"/>
                <w:szCs w:val="18"/>
                <w:highlight w:val="none"/>
              </w:rPr>
            </w:pPr>
            <w:r>
              <w:rPr>
                <w:color w:val="auto"/>
                <w:kern w:val="0"/>
                <w:sz w:val="18"/>
                <w:szCs w:val="18"/>
                <w:highlight w:val="none"/>
              </w:rPr>
              <w:t>Y＜1000</w:t>
            </w:r>
          </w:p>
        </w:tc>
      </w:tr>
      <w:tr w14:paraId="5C0A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3AD320">
            <w:pPr>
              <w:widowControl/>
              <w:spacing w:line="240" w:lineRule="exact"/>
              <w:jc w:val="left"/>
              <w:rPr>
                <w:color w:val="auto"/>
                <w:kern w:val="0"/>
                <w:sz w:val="18"/>
                <w:szCs w:val="18"/>
                <w:highlight w:val="none"/>
              </w:rPr>
            </w:pPr>
            <w:r>
              <w:rPr>
                <w:color w:val="auto"/>
                <w:kern w:val="0"/>
                <w:sz w:val="18"/>
                <w:szCs w:val="18"/>
                <w:highlight w:val="none"/>
              </w:rPr>
              <w:t>零售业</w:t>
            </w:r>
          </w:p>
        </w:tc>
        <w:tc>
          <w:tcPr>
            <w:tcW w:w="1369" w:type="dxa"/>
            <w:vAlign w:val="center"/>
          </w:tcPr>
          <w:p w14:paraId="10F48138">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07AB0ACB">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266D04D8">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2F068181">
            <w:pPr>
              <w:widowControl/>
              <w:jc w:val="center"/>
              <w:rPr>
                <w:color w:val="auto"/>
                <w:kern w:val="0"/>
                <w:sz w:val="18"/>
                <w:szCs w:val="18"/>
                <w:highlight w:val="none"/>
              </w:rPr>
            </w:pPr>
            <w:r>
              <w:rPr>
                <w:color w:val="auto"/>
                <w:kern w:val="0"/>
                <w:sz w:val="18"/>
                <w:szCs w:val="18"/>
                <w:highlight w:val="none"/>
              </w:rPr>
              <w:t>50≤X＜300</w:t>
            </w:r>
          </w:p>
        </w:tc>
        <w:tc>
          <w:tcPr>
            <w:tcW w:w="1426" w:type="dxa"/>
            <w:vAlign w:val="center"/>
          </w:tcPr>
          <w:p w14:paraId="1798A70A">
            <w:pPr>
              <w:widowControl/>
              <w:ind w:left="-1" w:leftChars="-1" w:hanging="1"/>
              <w:jc w:val="center"/>
              <w:rPr>
                <w:color w:val="auto"/>
                <w:kern w:val="0"/>
                <w:sz w:val="18"/>
                <w:szCs w:val="18"/>
                <w:highlight w:val="none"/>
              </w:rPr>
            </w:pPr>
            <w:r>
              <w:rPr>
                <w:color w:val="auto"/>
                <w:kern w:val="0"/>
                <w:sz w:val="18"/>
                <w:szCs w:val="18"/>
                <w:highlight w:val="none"/>
              </w:rPr>
              <w:t xml:space="preserve">10≤X＜50 </w:t>
            </w:r>
          </w:p>
        </w:tc>
        <w:tc>
          <w:tcPr>
            <w:tcW w:w="992" w:type="dxa"/>
            <w:vAlign w:val="center"/>
          </w:tcPr>
          <w:p w14:paraId="25F4E868">
            <w:pPr>
              <w:widowControl/>
              <w:jc w:val="center"/>
              <w:rPr>
                <w:color w:val="auto"/>
                <w:kern w:val="0"/>
                <w:sz w:val="18"/>
                <w:szCs w:val="18"/>
                <w:highlight w:val="none"/>
              </w:rPr>
            </w:pPr>
            <w:r>
              <w:rPr>
                <w:color w:val="auto"/>
                <w:kern w:val="0"/>
                <w:sz w:val="18"/>
                <w:szCs w:val="18"/>
                <w:highlight w:val="none"/>
              </w:rPr>
              <w:t>X＜10</w:t>
            </w:r>
          </w:p>
        </w:tc>
      </w:tr>
      <w:tr w14:paraId="1F38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7C4B32">
            <w:pPr>
              <w:widowControl/>
              <w:jc w:val="left"/>
              <w:rPr>
                <w:color w:val="auto"/>
                <w:kern w:val="0"/>
                <w:sz w:val="18"/>
                <w:szCs w:val="18"/>
                <w:highlight w:val="none"/>
              </w:rPr>
            </w:pPr>
          </w:p>
        </w:tc>
        <w:tc>
          <w:tcPr>
            <w:tcW w:w="1369" w:type="dxa"/>
            <w:vAlign w:val="center"/>
          </w:tcPr>
          <w:p w14:paraId="26AE3629">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055BA9C3">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01C7D367">
            <w:pPr>
              <w:widowControl/>
              <w:jc w:val="center"/>
              <w:rPr>
                <w:color w:val="auto"/>
                <w:kern w:val="0"/>
                <w:sz w:val="18"/>
                <w:szCs w:val="18"/>
                <w:highlight w:val="none"/>
              </w:rPr>
            </w:pPr>
            <w:r>
              <w:rPr>
                <w:color w:val="auto"/>
                <w:kern w:val="0"/>
                <w:sz w:val="18"/>
                <w:szCs w:val="18"/>
                <w:highlight w:val="none"/>
              </w:rPr>
              <w:t>Y≥20000</w:t>
            </w:r>
          </w:p>
        </w:tc>
        <w:tc>
          <w:tcPr>
            <w:tcW w:w="1701" w:type="dxa"/>
            <w:vAlign w:val="center"/>
          </w:tcPr>
          <w:p w14:paraId="23E376D8">
            <w:pPr>
              <w:widowControl/>
              <w:jc w:val="center"/>
              <w:rPr>
                <w:color w:val="auto"/>
                <w:kern w:val="0"/>
                <w:sz w:val="18"/>
                <w:szCs w:val="18"/>
                <w:highlight w:val="none"/>
              </w:rPr>
            </w:pPr>
            <w:r>
              <w:rPr>
                <w:color w:val="auto"/>
                <w:kern w:val="0"/>
                <w:sz w:val="18"/>
                <w:szCs w:val="18"/>
                <w:highlight w:val="none"/>
              </w:rPr>
              <w:t>500≤Y＜20000</w:t>
            </w:r>
          </w:p>
        </w:tc>
        <w:tc>
          <w:tcPr>
            <w:tcW w:w="1426" w:type="dxa"/>
            <w:vAlign w:val="center"/>
          </w:tcPr>
          <w:p w14:paraId="662D90D5">
            <w:pPr>
              <w:widowControl/>
              <w:ind w:left="-1" w:leftChars="-1" w:hanging="1"/>
              <w:jc w:val="center"/>
              <w:rPr>
                <w:color w:val="auto"/>
                <w:kern w:val="0"/>
                <w:sz w:val="18"/>
                <w:szCs w:val="18"/>
                <w:highlight w:val="none"/>
              </w:rPr>
            </w:pPr>
            <w:r>
              <w:rPr>
                <w:color w:val="auto"/>
                <w:kern w:val="0"/>
                <w:sz w:val="18"/>
                <w:szCs w:val="18"/>
                <w:highlight w:val="none"/>
              </w:rPr>
              <w:t>100≤Y＜500</w:t>
            </w:r>
          </w:p>
        </w:tc>
        <w:tc>
          <w:tcPr>
            <w:tcW w:w="992" w:type="dxa"/>
            <w:vAlign w:val="center"/>
          </w:tcPr>
          <w:p w14:paraId="2776F957">
            <w:pPr>
              <w:widowControl/>
              <w:jc w:val="center"/>
              <w:rPr>
                <w:color w:val="auto"/>
                <w:kern w:val="0"/>
                <w:sz w:val="18"/>
                <w:szCs w:val="18"/>
                <w:highlight w:val="none"/>
              </w:rPr>
            </w:pPr>
            <w:r>
              <w:rPr>
                <w:color w:val="auto"/>
                <w:kern w:val="0"/>
                <w:sz w:val="18"/>
                <w:szCs w:val="18"/>
                <w:highlight w:val="none"/>
              </w:rPr>
              <w:t>Y＜100</w:t>
            </w:r>
          </w:p>
        </w:tc>
      </w:tr>
      <w:tr w14:paraId="1920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42E532">
            <w:pPr>
              <w:widowControl/>
              <w:spacing w:line="240" w:lineRule="exact"/>
              <w:jc w:val="left"/>
              <w:rPr>
                <w:color w:val="auto"/>
                <w:kern w:val="0"/>
                <w:sz w:val="18"/>
                <w:szCs w:val="18"/>
                <w:highlight w:val="none"/>
              </w:rPr>
            </w:pPr>
            <w:r>
              <w:rPr>
                <w:color w:val="auto"/>
                <w:kern w:val="0"/>
                <w:sz w:val="18"/>
                <w:szCs w:val="18"/>
                <w:highlight w:val="none"/>
              </w:rPr>
              <w:t>交通运输业 *</w:t>
            </w:r>
          </w:p>
        </w:tc>
        <w:tc>
          <w:tcPr>
            <w:tcW w:w="1369" w:type="dxa"/>
            <w:vAlign w:val="center"/>
          </w:tcPr>
          <w:p w14:paraId="7C82C4DF">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1E0BF644">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2057802E">
            <w:pPr>
              <w:widowControl/>
              <w:jc w:val="center"/>
              <w:rPr>
                <w:color w:val="auto"/>
                <w:kern w:val="0"/>
                <w:sz w:val="18"/>
                <w:szCs w:val="18"/>
                <w:highlight w:val="none"/>
              </w:rPr>
            </w:pPr>
            <w:r>
              <w:rPr>
                <w:color w:val="auto"/>
                <w:kern w:val="0"/>
                <w:sz w:val="18"/>
                <w:szCs w:val="18"/>
                <w:highlight w:val="none"/>
              </w:rPr>
              <w:t>X≥1000</w:t>
            </w:r>
          </w:p>
        </w:tc>
        <w:tc>
          <w:tcPr>
            <w:tcW w:w="1701" w:type="dxa"/>
            <w:vAlign w:val="center"/>
          </w:tcPr>
          <w:p w14:paraId="5D1A72FB">
            <w:pPr>
              <w:widowControl/>
              <w:jc w:val="center"/>
              <w:rPr>
                <w:color w:val="auto"/>
                <w:kern w:val="0"/>
                <w:sz w:val="18"/>
                <w:szCs w:val="18"/>
                <w:highlight w:val="none"/>
              </w:rPr>
            </w:pPr>
            <w:r>
              <w:rPr>
                <w:color w:val="auto"/>
                <w:kern w:val="0"/>
                <w:sz w:val="18"/>
                <w:szCs w:val="18"/>
                <w:highlight w:val="none"/>
              </w:rPr>
              <w:t>300≤X＜1000</w:t>
            </w:r>
          </w:p>
        </w:tc>
        <w:tc>
          <w:tcPr>
            <w:tcW w:w="1426" w:type="dxa"/>
            <w:vAlign w:val="center"/>
          </w:tcPr>
          <w:p w14:paraId="46EBB047">
            <w:pPr>
              <w:widowControl/>
              <w:jc w:val="center"/>
              <w:rPr>
                <w:color w:val="auto"/>
                <w:kern w:val="0"/>
                <w:sz w:val="18"/>
                <w:szCs w:val="18"/>
                <w:highlight w:val="none"/>
              </w:rPr>
            </w:pPr>
            <w:r>
              <w:rPr>
                <w:color w:val="auto"/>
                <w:kern w:val="0"/>
                <w:sz w:val="18"/>
                <w:szCs w:val="18"/>
                <w:highlight w:val="none"/>
              </w:rPr>
              <w:t>20≤X＜300</w:t>
            </w:r>
          </w:p>
        </w:tc>
        <w:tc>
          <w:tcPr>
            <w:tcW w:w="992" w:type="dxa"/>
            <w:vAlign w:val="center"/>
          </w:tcPr>
          <w:p w14:paraId="6DF5AC69">
            <w:pPr>
              <w:widowControl/>
              <w:jc w:val="center"/>
              <w:rPr>
                <w:color w:val="auto"/>
                <w:kern w:val="0"/>
                <w:sz w:val="18"/>
                <w:szCs w:val="18"/>
                <w:highlight w:val="none"/>
              </w:rPr>
            </w:pPr>
            <w:r>
              <w:rPr>
                <w:color w:val="auto"/>
                <w:kern w:val="0"/>
                <w:sz w:val="18"/>
                <w:szCs w:val="18"/>
                <w:highlight w:val="none"/>
              </w:rPr>
              <w:t>X＜20</w:t>
            </w:r>
          </w:p>
        </w:tc>
      </w:tr>
      <w:tr w14:paraId="36CC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51ADCD8">
            <w:pPr>
              <w:widowControl/>
              <w:jc w:val="left"/>
              <w:rPr>
                <w:color w:val="auto"/>
                <w:kern w:val="0"/>
                <w:sz w:val="18"/>
                <w:szCs w:val="18"/>
                <w:highlight w:val="none"/>
              </w:rPr>
            </w:pPr>
          </w:p>
        </w:tc>
        <w:tc>
          <w:tcPr>
            <w:tcW w:w="1369" w:type="dxa"/>
            <w:vAlign w:val="center"/>
          </w:tcPr>
          <w:p w14:paraId="716B47C8">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CCC1E15">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28EE1ED6">
            <w:pPr>
              <w:widowControl/>
              <w:jc w:val="center"/>
              <w:rPr>
                <w:color w:val="auto"/>
                <w:kern w:val="0"/>
                <w:sz w:val="18"/>
                <w:szCs w:val="18"/>
                <w:highlight w:val="none"/>
              </w:rPr>
            </w:pPr>
            <w:r>
              <w:rPr>
                <w:color w:val="auto"/>
                <w:kern w:val="0"/>
                <w:sz w:val="18"/>
                <w:szCs w:val="18"/>
                <w:highlight w:val="none"/>
              </w:rPr>
              <w:t>Y≥30000</w:t>
            </w:r>
          </w:p>
        </w:tc>
        <w:tc>
          <w:tcPr>
            <w:tcW w:w="1701" w:type="dxa"/>
            <w:vAlign w:val="center"/>
          </w:tcPr>
          <w:p w14:paraId="2AA363BE">
            <w:pPr>
              <w:widowControl/>
              <w:jc w:val="center"/>
              <w:rPr>
                <w:color w:val="auto"/>
                <w:kern w:val="0"/>
                <w:sz w:val="18"/>
                <w:szCs w:val="18"/>
                <w:highlight w:val="none"/>
              </w:rPr>
            </w:pPr>
            <w:r>
              <w:rPr>
                <w:color w:val="auto"/>
                <w:kern w:val="0"/>
                <w:sz w:val="18"/>
                <w:szCs w:val="18"/>
                <w:highlight w:val="none"/>
              </w:rPr>
              <w:t>3000≤Y＜30000</w:t>
            </w:r>
          </w:p>
        </w:tc>
        <w:tc>
          <w:tcPr>
            <w:tcW w:w="1426" w:type="dxa"/>
            <w:vAlign w:val="center"/>
          </w:tcPr>
          <w:p w14:paraId="44516AA6">
            <w:pPr>
              <w:widowControl/>
              <w:jc w:val="center"/>
              <w:rPr>
                <w:color w:val="auto"/>
                <w:kern w:val="0"/>
                <w:sz w:val="18"/>
                <w:szCs w:val="18"/>
                <w:highlight w:val="none"/>
              </w:rPr>
            </w:pPr>
            <w:r>
              <w:rPr>
                <w:color w:val="auto"/>
                <w:kern w:val="0"/>
                <w:sz w:val="18"/>
                <w:szCs w:val="18"/>
                <w:highlight w:val="none"/>
              </w:rPr>
              <w:t>200≤Y＜3000</w:t>
            </w:r>
          </w:p>
        </w:tc>
        <w:tc>
          <w:tcPr>
            <w:tcW w:w="992" w:type="dxa"/>
            <w:vAlign w:val="center"/>
          </w:tcPr>
          <w:p w14:paraId="60BC3BDE">
            <w:pPr>
              <w:widowControl/>
              <w:jc w:val="center"/>
              <w:rPr>
                <w:color w:val="auto"/>
                <w:kern w:val="0"/>
                <w:sz w:val="18"/>
                <w:szCs w:val="18"/>
                <w:highlight w:val="none"/>
              </w:rPr>
            </w:pPr>
            <w:r>
              <w:rPr>
                <w:color w:val="auto"/>
                <w:kern w:val="0"/>
                <w:sz w:val="18"/>
                <w:szCs w:val="18"/>
                <w:highlight w:val="none"/>
              </w:rPr>
              <w:t>Y＜200</w:t>
            </w:r>
          </w:p>
        </w:tc>
      </w:tr>
      <w:tr w14:paraId="2ED1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CBE0F1">
            <w:pPr>
              <w:widowControl/>
              <w:spacing w:line="240" w:lineRule="exact"/>
              <w:jc w:val="left"/>
              <w:rPr>
                <w:color w:val="auto"/>
                <w:kern w:val="0"/>
                <w:sz w:val="18"/>
                <w:szCs w:val="18"/>
                <w:highlight w:val="none"/>
              </w:rPr>
            </w:pPr>
            <w:r>
              <w:rPr>
                <w:color w:val="auto"/>
                <w:kern w:val="0"/>
                <w:sz w:val="18"/>
                <w:szCs w:val="18"/>
                <w:highlight w:val="none"/>
              </w:rPr>
              <w:t>仓储业*</w:t>
            </w:r>
          </w:p>
        </w:tc>
        <w:tc>
          <w:tcPr>
            <w:tcW w:w="1369" w:type="dxa"/>
            <w:vAlign w:val="center"/>
          </w:tcPr>
          <w:p w14:paraId="3504CCF2">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44C84670">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597767FB">
            <w:pPr>
              <w:widowControl/>
              <w:jc w:val="center"/>
              <w:rPr>
                <w:color w:val="auto"/>
                <w:kern w:val="0"/>
                <w:sz w:val="18"/>
                <w:szCs w:val="18"/>
                <w:highlight w:val="none"/>
              </w:rPr>
            </w:pPr>
            <w:r>
              <w:rPr>
                <w:color w:val="auto"/>
                <w:kern w:val="0"/>
                <w:sz w:val="18"/>
                <w:szCs w:val="18"/>
                <w:highlight w:val="none"/>
              </w:rPr>
              <w:t>X≥200</w:t>
            </w:r>
          </w:p>
        </w:tc>
        <w:tc>
          <w:tcPr>
            <w:tcW w:w="1701" w:type="dxa"/>
            <w:vAlign w:val="center"/>
          </w:tcPr>
          <w:p w14:paraId="131D358B">
            <w:pPr>
              <w:widowControl/>
              <w:ind w:left="1" w:leftChars="-51" w:hanging="108" w:hangingChars="60"/>
              <w:jc w:val="center"/>
              <w:rPr>
                <w:color w:val="auto"/>
                <w:kern w:val="0"/>
                <w:sz w:val="18"/>
                <w:szCs w:val="18"/>
                <w:highlight w:val="none"/>
              </w:rPr>
            </w:pPr>
            <w:r>
              <w:rPr>
                <w:color w:val="auto"/>
                <w:kern w:val="0"/>
                <w:sz w:val="18"/>
                <w:szCs w:val="18"/>
                <w:highlight w:val="none"/>
              </w:rPr>
              <w:t>100≤X＜200</w:t>
            </w:r>
          </w:p>
        </w:tc>
        <w:tc>
          <w:tcPr>
            <w:tcW w:w="1426" w:type="dxa"/>
            <w:vAlign w:val="center"/>
          </w:tcPr>
          <w:p w14:paraId="036B00EB">
            <w:pPr>
              <w:widowControl/>
              <w:jc w:val="center"/>
              <w:rPr>
                <w:color w:val="auto"/>
                <w:kern w:val="0"/>
                <w:sz w:val="18"/>
                <w:szCs w:val="18"/>
                <w:highlight w:val="none"/>
              </w:rPr>
            </w:pPr>
            <w:r>
              <w:rPr>
                <w:color w:val="auto"/>
                <w:kern w:val="0"/>
                <w:sz w:val="18"/>
                <w:szCs w:val="18"/>
                <w:highlight w:val="none"/>
              </w:rPr>
              <w:t>20≤X＜100</w:t>
            </w:r>
          </w:p>
        </w:tc>
        <w:tc>
          <w:tcPr>
            <w:tcW w:w="992" w:type="dxa"/>
            <w:vAlign w:val="center"/>
          </w:tcPr>
          <w:p w14:paraId="404EEB8F">
            <w:pPr>
              <w:widowControl/>
              <w:jc w:val="center"/>
              <w:rPr>
                <w:color w:val="auto"/>
                <w:kern w:val="0"/>
                <w:sz w:val="18"/>
                <w:szCs w:val="18"/>
                <w:highlight w:val="none"/>
              </w:rPr>
            </w:pPr>
            <w:r>
              <w:rPr>
                <w:color w:val="auto"/>
                <w:kern w:val="0"/>
                <w:sz w:val="18"/>
                <w:szCs w:val="18"/>
                <w:highlight w:val="none"/>
              </w:rPr>
              <w:t>X＜20</w:t>
            </w:r>
          </w:p>
        </w:tc>
      </w:tr>
      <w:tr w14:paraId="45C5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004AF7">
            <w:pPr>
              <w:widowControl/>
              <w:jc w:val="left"/>
              <w:rPr>
                <w:color w:val="auto"/>
                <w:kern w:val="0"/>
                <w:sz w:val="18"/>
                <w:szCs w:val="18"/>
                <w:highlight w:val="none"/>
              </w:rPr>
            </w:pPr>
          </w:p>
        </w:tc>
        <w:tc>
          <w:tcPr>
            <w:tcW w:w="1369" w:type="dxa"/>
            <w:vAlign w:val="center"/>
          </w:tcPr>
          <w:p w14:paraId="3FAB7DD1">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2B912E7">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1A2A67F7">
            <w:pPr>
              <w:widowControl/>
              <w:jc w:val="center"/>
              <w:rPr>
                <w:color w:val="auto"/>
                <w:kern w:val="0"/>
                <w:sz w:val="18"/>
                <w:szCs w:val="18"/>
                <w:highlight w:val="none"/>
              </w:rPr>
            </w:pPr>
            <w:r>
              <w:rPr>
                <w:color w:val="auto"/>
                <w:kern w:val="0"/>
                <w:sz w:val="18"/>
                <w:szCs w:val="18"/>
                <w:highlight w:val="none"/>
              </w:rPr>
              <w:t>Y≥30000</w:t>
            </w:r>
          </w:p>
        </w:tc>
        <w:tc>
          <w:tcPr>
            <w:tcW w:w="1701" w:type="dxa"/>
            <w:vAlign w:val="center"/>
          </w:tcPr>
          <w:p w14:paraId="02E92DC3">
            <w:pPr>
              <w:widowControl/>
              <w:jc w:val="center"/>
              <w:rPr>
                <w:color w:val="auto"/>
                <w:kern w:val="0"/>
                <w:sz w:val="18"/>
                <w:szCs w:val="18"/>
                <w:highlight w:val="none"/>
              </w:rPr>
            </w:pPr>
            <w:r>
              <w:rPr>
                <w:color w:val="auto"/>
                <w:kern w:val="0"/>
                <w:sz w:val="18"/>
                <w:szCs w:val="18"/>
                <w:highlight w:val="none"/>
              </w:rPr>
              <w:t>1000≤Y＜30000</w:t>
            </w:r>
          </w:p>
        </w:tc>
        <w:tc>
          <w:tcPr>
            <w:tcW w:w="1426" w:type="dxa"/>
            <w:vAlign w:val="center"/>
          </w:tcPr>
          <w:p w14:paraId="01C9A34F">
            <w:pPr>
              <w:widowControl/>
              <w:jc w:val="center"/>
              <w:rPr>
                <w:color w:val="auto"/>
                <w:kern w:val="0"/>
                <w:sz w:val="18"/>
                <w:szCs w:val="18"/>
                <w:highlight w:val="none"/>
              </w:rPr>
            </w:pPr>
            <w:r>
              <w:rPr>
                <w:color w:val="auto"/>
                <w:kern w:val="0"/>
                <w:sz w:val="18"/>
                <w:szCs w:val="18"/>
                <w:highlight w:val="none"/>
              </w:rPr>
              <w:t>100≤Y＜1000</w:t>
            </w:r>
          </w:p>
        </w:tc>
        <w:tc>
          <w:tcPr>
            <w:tcW w:w="992" w:type="dxa"/>
            <w:vAlign w:val="center"/>
          </w:tcPr>
          <w:p w14:paraId="2D494E07">
            <w:pPr>
              <w:widowControl/>
              <w:jc w:val="center"/>
              <w:rPr>
                <w:color w:val="auto"/>
                <w:kern w:val="0"/>
                <w:sz w:val="18"/>
                <w:szCs w:val="18"/>
                <w:highlight w:val="none"/>
              </w:rPr>
            </w:pPr>
            <w:r>
              <w:rPr>
                <w:color w:val="auto"/>
                <w:kern w:val="0"/>
                <w:sz w:val="18"/>
                <w:szCs w:val="18"/>
                <w:highlight w:val="none"/>
              </w:rPr>
              <w:t>Y＜100</w:t>
            </w:r>
          </w:p>
        </w:tc>
      </w:tr>
      <w:tr w14:paraId="677E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F35AA1">
            <w:pPr>
              <w:widowControl/>
              <w:spacing w:line="240" w:lineRule="exact"/>
              <w:jc w:val="left"/>
              <w:rPr>
                <w:color w:val="auto"/>
                <w:kern w:val="0"/>
                <w:sz w:val="18"/>
                <w:szCs w:val="18"/>
                <w:highlight w:val="none"/>
              </w:rPr>
            </w:pPr>
            <w:r>
              <w:rPr>
                <w:color w:val="auto"/>
                <w:kern w:val="0"/>
                <w:sz w:val="18"/>
                <w:szCs w:val="18"/>
                <w:highlight w:val="none"/>
              </w:rPr>
              <w:t>邮政业</w:t>
            </w:r>
          </w:p>
        </w:tc>
        <w:tc>
          <w:tcPr>
            <w:tcW w:w="1369" w:type="dxa"/>
            <w:vAlign w:val="center"/>
          </w:tcPr>
          <w:p w14:paraId="23118D3D">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301BFD50">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2AB66FE0">
            <w:pPr>
              <w:widowControl/>
              <w:jc w:val="center"/>
              <w:rPr>
                <w:color w:val="auto"/>
                <w:kern w:val="0"/>
                <w:sz w:val="18"/>
                <w:szCs w:val="18"/>
                <w:highlight w:val="none"/>
              </w:rPr>
            </w:pPr>
            <w:r>
              <w:rPr>
                <w:color w:val="auto"/>
                <w:kern w:val="0"/>
                <w:sz w:val="18"/>
                <w:szCs w:val="18"/>
                <w:highlight w:val="none"/>
              </w:rPr>
              <w:t>X≥1000</w:t>
            </w:r>
          </w:p>
        </w:tc>
        <w:tc>
          <w:tcPr>
            <w:tcW w:w="1701" w:type="dxa"/>
            <w:vAlign w:val="center"/>
          </w:tcPr>
          <w:p w14:paraId="577EAE82">
            <w:pPr>
              <w:widowControl/>
              <w:jc w:val="center"/>
              <w:rPr>
                <w:color w:val="auto"/>
                <w:kern w:val="0"/>
                <w:sz w:val="18"/>
                <w:szCs w:val="18"/>
                <w:highlight w:val="none"/>
              </w:rPr>
            </w:pPr>
            <w:r>
              <w:rPr>
                <w:color w:val="auto"/>
                <w:kern w:val="0"/>
                <w:sz w:val="18"/>
                <w:szCs w:val="18"/>
                <w:highlight w:val="none"/>
              </w:rPr>
              <w:t>300≤X＜1000</w:t>
            </w:r>
          </w:p>
        </w:tc>
        <w:tc>
          <w:tcPr>
            <w:tcW w:w="1426" w:type="dxa"/>
            <w:vAlign w:val="center"/>
          </w:tcPr>
          <w:p w14:paraId="64606FFF">
            <w:pPr>
              <w:widowControl/>
              <w:jc w:val="center"/>
              <w:rPr>
                <w:color w:val="auto"/>
                <w:kern w:val="0"/>
                <w:sz w:val="18"/>
                <w:szCs w:val="18"/>
                <w:highlight w:val="none"/>
              </w:rPr>
            </w:pPr>
            <w:r>
              <w:rPr>
                <w:color w:val="auto"/>
                <w:kern w:val="0"/>
                <w:sz w:val="18"/>
                <w:szCs w:val="18"/>
                <w:highlight w:val="none"/>
              </w:rPr>
              <w:t>20≤X＜300</w:t>
            </w:r>
          </w:p>
        </w:tc>
        <w:tc>
          <w:tcPr>
            <w:tcW w:w="992" w:type="dxa"/>
            <w:vAlign w:val="center"/>
          </w:tcPr>
          <w:p w14:paraId="6C3E083E">
            <w:pPr>
              <w:widowControl/>
              <w:jc w:val="center"/>
              <w:rPr>
                <w:color w:val="auto"/>
                <w:kern w:val="0"/>
                <w:sz w:val="18"/>
                <w:szCs w:val="18"/>
                <w:highlight w:val="none"/>
              </w:rPr>
            </w:pPr>
            <w:r>
              <w:rPr>
                <w:color w:val="auto"/>
                <w:kern w:val="0"/>
                <w:sz w:val="18"/>
                <w:szCs w:val="18"/>
                <w:highlight w:val="none"/>
              </w:rPr>
              <w:t>X＜20</w:t>
            </w:r>
          </w:p>
        </w:tc>
      </w:tr>
      <w:tr w14:paraId="4A5D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FF8695">
            <w:pPr>
              <w:widowControl/>
              <w:jc w:val="left"/>
              <w:rPr>
                <w:color w:val="auto"/>
                <w:kern w:val="0"/>
                <w:sz w:val="18"/>
                <w:szCs w:val="18"/>
                <w:highlight w:val="none"/>
              </w:rPr>
            </w:pPr>
          </w:p>
        </w:tc>
        <w:tc>
          <w:tcPr>
            <w:tcW w:w="1369" w:type="dxa"/>
            <w:vAlign w:val="center"/>
          </w:tcPr>
          <w:p w14:paraId="3619C35B">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7300C94E">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7A4D8D0B">
            <w:pPr>
              <w:widowControl/>
              <w:jc w:val="center"/>
              <w:rPr>
                <w:color w:val="auto"/>
                <w:kern w:val="0"/>
                <w:sz w:val="18"/>
                <w:szCs w:val="18"/>
                <w:highlight w:val="none"/>
              </w:rPr>
            </w:pPr>
            <w:r>
              <w:rPr>
                <w:color w:val="auto"/>
                <w:kern w:val="0"/>
                <w:sz w:val="18"/>
                <w:szCs w:val="18"/>
                <w:highlight w:val="none"/>
              </w:rPr>
              <w:t>Y≥30000</w:t>
            </w:r>
          </w:p>
        </w:tc>
        <w:tc>
          <w:tcPr>
            <w:tcW w:w="1701" w:type="dxa"/>
            <w:vAlign w:val="center"/>
          </w:tcPr>
          <w:p w14:paraId="3404BC14">
            <w:pPr>
              <w:widowControl/>
              <w:jc w:val="center"/>
              <w:rPr>
                <w:color w:val="auto"/>
                <w:kern w:val="0"/>
                <w:sz w:val="18"/>
                <w:szCs w:val="18"/>
                <w:highlight w:val="none"/>
              </w:rPr>
            </w:pPr>
            <w:r>
              <w:rPr>
                <w:color w:val="auto"/>
                <w:kern w:val="0"/>
                <w:sz w:val="18"/>
                <w:szCs w:val="18"/>
                <w:highlight w:val="none"/>
              </w:rPr>
              <w:t>2000≤Y＜30000</w:t>
            </w:r>
          </w:p>
        </w:tc>
        <w:tc>
          <w:tcPr>
            <w:tcW w:w="1426" w:type="dxa"/>
            <w:vAlign w:val="center"/>
          </w:tcPr>
          <w:p w14:paraId="00B27076">
            <w:pPr>
              <w:widowControl/>
              <w:jc w:val="center"/>
              <w:rPr>
                <w:color w:val="auto"/>
                <w:kern w:val="0"/>
                <w:sz w:val="18"/>
                <w:szCs w:val="18"/>
                <w:highlight w:val="none"/>
              </w:rPr>
            </w:pPr>
            <w:r>
              <w:rPr>
                <w:color w:val="auto"/>
                <w:kern w:val="0"/>
                <w:sz w:val="18"/>
                <w:szCs w:val="18"/>
                <w:highlight w:val="none"/>
              </w:rPr>
              <w:t>100≤Y＜2000</w:t>
            </w:r>
          </w:p>
        </w:tc>
        <w:tc>
          <w:tcPr>
            <w:tcW w:w="992" w:type="dxa"/>
            <w:vAlign w:val="center"/>
          </w:tcPr>
          <w:p w14:paraId="0A41E809">
            <w:pPr>
              <w:widowControl/>
              <w:jc w:val="center"/>
              <w:rPr>
                <w:color w:val="auto"/>
                <w:kern w:val="0"/>
                <w:sz w:val="18"/>
                <w:szCs w:val="18"/>
                <w:highlight w:val="none"/>
              </w:rPr>
            </w:pPr>
            <w:r>
              <w:rPr>
                <w:color w:val="auto"/>
                <w:kern w:val="0"/>
                <w:sz w:val="18"/>
                <w:szCs w:val="18"/>
                <w:highlight w:val="none"/>
              </w:rPr>
              <w:t>Y＜100</w:t>
            </w:r>
          </w:p>
        </w:tc>
      </w:tr>
      <w:tr w14:paraId="743D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486EAC">
            <w:pPr>
              <w:widowControl/>
              <w:spacing w:line="240" w:lineRule="exact"/>
              <w:jc w:val="left"/>
              <w:rPr>
                <w:color w:val="auto"/>
                <w:kern w:val="0"/>
                <w:sz w:val="18"/>
                <w:szCs w:val="18"/>
                <w:highlight w:val="none"/>
              </w:rPr>
            </w:pPr>
            <w:r>
              <w:rPr>
                <w:color w:val="auto"/>
                <w:kern w:val="0"/>
                <w:sz w:val="18"/>
                <w:szCs w:val="18"/>
                <w:highlight w:val="none"/>
              </w:rPr>
              <w:t>住宿业</w:t>
            </w:r>
          </w:p>
        </w:tc>
        <w:tc>
          <w:tcPr>
            <w:tcW w:w="1369" w:type="dxa"/>
            <w:vAlign w:val="center"/>
          </w:tcPr>
          <w:p w14:paraId="3CB3CE01">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05BD87FF">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50D31FC7">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3458F590">
            <w:pPr>
              <w:widowControl/>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113AC3C5">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7D43FE50">
            <w:pPr>
              <w:widowControl/>
              <w:jc w:val="center"/>
              <w:rPr>
                <w:color w:val="auto"/>
                <w:kern w:val="0"/>
                <w:sz w:val="18"/>
                <w:szCs w:val="18"/>
                <w:highlight w:val="none"/>
              </w:rPr>
            </w:pPr>
            <w:r>
              <w:rPr>
                <w:color w:val="auto"/>
                <w:kern w:val="0"/>
                <w:sz w:val="18"/>
                <w:szCs w:val="18"/>
                <w:highlight w:val="none"/>
              </w:rPr>
              <w:t>X＜10</w:t>
            </w:r>
          </w:p>
        </w:tc>
      </w:tr>
      <w:tr w14:paraId="3F53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3EA217">
            <w:pPr>
              <w:widowControl/>
              <w:jc w:val="left"/>
              <w:rPr>
                <w:color w:val="auto"/>
                <w:kern w:val="0"/>
                <w:sz w:val="18"/>
                <w:szCs w:val="18"/>
                <w:highlight w:val="none"/>
              </w:rPr>
            </w:pPr>
          </w:p>
        </w:tc>
        <w:tc>
          <w:tcPr>
            <w:tcW w:w="1369" w:type="dxa"/>
            <w:vAlign w:val="center"/>
          </w:tcPr>
          <w:p w14:paraId="3369E94C">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787F968">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63296964">
            <w:pPr>
              <w:widowControl/>
              <w:jc w:val="center"/>
              <w:rPr>
                <w:color w:val="auto"/>
                <w:kern w:val="0"/>
                <w:sz w:val="18"/>
                <w:szCs w:val="18"/>
                <w:highlight w:val="none"/>
              </w:rPr>
            </w:pPr>
            <w:r>
              <w:rPr>
                <w:color w:val="auto"/>
                <w:kern w:val="0"/>
                <w:sz w:val="18"/>
                <w:szCs w:val="18"/>
                <w:highlight w:val="none"/>
              </w:rPr>
              <w:t>Y≥10000</w:t>
            </w:r>
          </w:p>
        </w:tc>
        <w:tc>
          <w:tcPr>
            <w:tcW w:w="1701" w:type="dxa"/>
            <w:vAlign w:val="center"/>
          </w:tcPr>
          <w:p w14:paraId="6C920EE3">
            <w:pPr>
              <w:widowControl/>
              <w:jc w:val="center"/>
              <w:rPr>
                <w:color w:val="auto"/>
                <w:kern w:val="0"/>
                <w:sz w:val="18"/>
                <w:szCs w:val="18"/>
                <w:highlight w:val="none"/>
              </w:rPr>
            </w:pPr>
            <w:r>
              <w:rPr>
                <w:color w:val="auto"/>
                <w:kern w:val="0"/>
                <w:sz w:val="18"/>
                <w:szCs w:val="18"/>
                <w:highlight w:val="none"/>
              </w:rPr>
              <w:t>2000≤Y＜10000</w:t>
            </w:r>
          </w:p>
        </w:tc>
        <w:tc>
          <w:tcPr>
            <w:tcW w:w="1426" w:type="dxa"/>
            <w:vAlign w:val="center"/>
          </w:tcPr>
          <w:p w14:paraId="011F59FF">
            <w:pPr>
              <w:widowControl/>
              <w:jc w:val="center"/>
              <w:rPr>
                <w:color w:val="auto"/>
                <w:kern w:val="0"/>
                <w:sz w:val="18"/>
                <w:szCs w:val="18"/>
                <w:highlight w:val="none"/>
              </w:rPr>
            </w:pPr>
            <w:r>
              <w:rPr>
                <w:color w:val="auto"/>
                <w:kern w:val="0"/>
                <w:sz w:val="18"/>
                <w:szCs w:val="18"/>
                <w:highlight w:val="none"/>
              </w:rPr>
              <w:t>100≤Y＜2000</w:t>
            </w:r>
          </w:p>
        </w:tc>
        <w:tc>
          <w:tcPr>
            <w:tcW w:w="992" w:type="dxa"/>
            <w:vAlign w:val="center"/>
          </w:tcPr>
          <w:p w14:paraId="64F8BA55">
            <w:pPr>
              <w:widowControl/>
              <w:jc w:val="center"/>
              <w:rPr>
                <w:color w:val="auto"/>
                <w:kern w:val="0"/>
                <w:sz w:val="18"/>
                <w:szCs w:val="18"/>
                <w:highlight w:val="none"/>
              </w:rPr>
            </w:pPr>
            <w:r>
              <w:rPr>
                <w:color w:val="auto"/>
                <w:kern w:val="0"/>
                <w:sz w:val="18"/>
                <w:szCs w:val="18"/>
                <w:highlight w:val="none"/>
              </w:rPr>
              <w:t>Y＜100</w:t>
            </w:r>
          </w:p>
        </w:tc>
      </w:tr>
      <w:tr w14:paraId="14C2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B24FF8">
            <w:pPr>
              <w:widowControl/>
              <w:spacing w:line="240" w:lineRule="exact"/>
              <w:jc w:val="left"/>
              <w:rPr>
                <w:color w:val="auto"/>
                <w:kern w:val="0"/>
                <w:sz w:val="18"/>
                <w:szCs w:val="18"/>
                <w:highlight w:val="none"/>
              </w:rPr>
            </w:pPr>
            <w:r>
              <w:rPr>
                <w:color w:val="auto"/>
                <w:kern w:val="0"/>
                <w:sz w:val="18"/>
                <w:szCs w:val="18"/>
                <w:highlight w:val="none"/>
              </w:rPr>
              <w:t>餐饮业</w:t>
            </w:r>
          </w:p>
        </w:tc>
        <w:tc>
          <w:tcPr>
            <w:tcW w:w="1369" w:type="dxa"/>
            <w:vAlign w:val="center"/>
          </w:tcPr>
          <w:p w14:paraId="762FDF49">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2B025DE0">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726F331B">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3F0FD86C">
            <w:pPr>
              <w:widowControl/>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vAlign w:val="center"/>
          </w:tcPr>
          <w:p w14:paraId="5488E884">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0F7CA805">
            <w:pPr>
              <w:widowControl/>
              <w:jc w:val="center"/>
              <w:rPr>
                <w:color w:val="auto"/>
                <w:kern w:val="0"/>
                <w:sz w:val="18"/>
                <w:szCs w:val="18"/>
                <w:highlight w:val="none"/>
              </w:rPr>
            </w:pPr>
            <w:r>
              <w:rPr>
                <w:color w:val="auto"/>
                <w:kern w:val="0"/>
                <w:sz w:val="18"/>
                <w:szCs w:val="18"/>
                <w:highlight w:val="none"/>
              </w:rPr>
              <w:t>X＜10</w:t>
            </w:r>
          </w:p>
        </w:tc>
      </w:tr>
      <w:tr w14:paraId="681E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C98C773">
            <w:pPr>
              <w:widowControl/>
              <w:jc w:val="left"/>
              <w:rPr>
                <w:color w:val="auto"/>
                <w:kern w:val="0"/>
                <w:sz w:val="18"/>
                <w:szCs w:val="18"/>
                <w:highlight w:val="none"/>
              </w:rPr>
            </w:pPr>
          </w:p>
        </w:tc>
        <w:tc>
          <w:tcPr>
            <w:tcW w:w="1369" w:type="dxa"/>
            <w:vAlign w:val="center"/>
          </w:tcPr>
          <w:p w14:paraId="5835A3CE">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36C022A9">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64BE7C68">
            <w:pPr>
              <w:widowControl/>
              <w:jc w:val="center"/>
              <w:rPr>
                <w:color w:val="auto"/>
                <w:kern w:val="0"/>
                <w:sz w:val="18"/>
                <w:szCs w:val="18"/>
                <w:highlight w:val="none"/>
              </w:rPr>
            </w:pPr>
            <w:r>
              <w:rPr>
                <w:color w:val="auto"/>
                <w:kern w:val="0"/>
                <w:sz w:val="18"/>
                <w:szCs w:val="18"/>
                <w:highlight w:val="none"/>
              </w:rPr>
              <w:t>Y≥10000</w:t>
            </w:r>
          </w:p>
        </w:tc>
        <w:tc>
          <w:tcPr>
            <w:tcW w:w="1701" w:type="dxa"/>
            <w:vAlign w:val="center"/>
          </w:tcPr>
          <w:p w14:paraId="59492063">
            <w:pPr>
              <w:widowControl/>
              <w:jc w:val="center"/>
              <w:rPr>
                <w:color w:val="auto"/>
                <w:kern w:val="0"/>
                <w:sz w:val="18"/>
                <w:szCs w:val="18"/>
                <w:highlight w:val="none"/>
              </w:rPr>
            </w:pPr>
            <w:r>
              <w:rPr>
                <w:color w:val="auto"/>
                <w:kern w:val="0"/>
                <w:sz w:val="18"/>
                <w:szCs w:val="18"/>
                <w:highlight w:val="none"/>
              </w:rPr>
              <w:t>2000≤Y＜10000</w:t>
            </w:r>
          </w:p>
        </w:tc>
        <w:tc>
          <w:tcPr>
            <w:tcW w:w="1426" w:type="dxa"/>
            <w:vAlign w:val="center"/>
          </w:tcPr>
          <w:p w14:paraId="703E4DD0">
            <w:pPr>
              <w:widowControl/>
              <w:jc w:val="center"/>
              <w:rPr>
                <w:color w:val="auto"/>
                <w:kern w:val="0"/>
                <w:sz w:val="18"/>
                <w:szCs w:val="18"/>
                <w:highlight w:val="none"/>
              </w:rPr>
            </w:pPr>
            <w:r>
              <w:rPr>
                <w:color w:val="auto"/>
                <w:kern w:val="0"/>
                <w:sz w:val="18"/>
                <w:szCs w:val="18"/>
                <w:highlight w:val="none"/>
              </w:rPr>
              <w:t>100≤Y＜2000</w:t>
            </w:r>
          </w:p>
        </w:tc>
        <w:tc>
          <w:tcPr>
            <w:tcW w:w="992" w:type="dxa"/>
            <w:vAlign w:val="center"/>
          </w:tcPr>
          <w:p w14:paraId="1137DA73">
            <w:pPr>
              <w:widowControl/>
              <w:jc w:val="center"/>
              <w:rPr>
                <w:color w:val="auto"/>
                <w:kern w:val="0"/>
                <w:sz w:val="18"/>
                <w:szCs w:val="18"/>
                <w:highlight w:val="none"/>
              </w:rPr>
            </w:pPr>
            <w:r>
              <w:rPr>
                <w:color w:val="auto"/>
                <w:kern w:val="0"/>
                <w:sz w:val="18"/>
                <w:szCs w:val="18"/>
                <w:highlight w:val="none"/>
              </w:rPr>
              <w:t>Y＜100</w:t>
            </w:r>
          </w:p>
        </w:tc>
      </w:tr>
      <w:tr w14:paraId="155F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C0CCE3">
            <w:pPr>
              <w:widowControl/>
              <w:spacing w:line="240" w:lineRule="exact"/>
              <w:jc w:val="left"/>
              <w:rPr>
                <w:color w:val="auto"/>
                <w:kern w:val="0"/>
                <w:sz w:val="18"/>
                <w:szCs w:val="18"/>
                <w:highlight w:val="none"/>
              </w:rPr>
            </w:pPr>
            <w:r>
              <w:rPr>
                <w:color w:val="auto"/>
                <w:kern w:val="0"/>
                <w:sz w:val="18"/>
                <w:szCs w:val="18"/>
                <w:highlight w:val="none"/>
              </w:rPr>
              <w:t>信息传输业 *</w:t>
            </w:r>
          </w:p>
        </w:tc>
        <w:tc>
          <w:tcPr>
            <w:tcW w:w="1369" w:type="dxa"/>
            <w:vAlign w:val="center"/>
          </w:tcPr>
          <w:p w14:paraId="783075DA">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3FFAA435">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6B9E8376">
            <w:pPr>
              <w:widowControl/>
              <w:jc w:val="center"/>
              <w:rPr>
                <w:color w:val="auto"/>
                <w:kern w:val="0"/>
                <w:sz w:val="18"/>
                <w:szCs w:val="18"/>
                <w:highlight w:val="none"/>
              </w:rPr>
            </w:pPr>
            <w:r>
              <w:rPr>
                <w:color w:val="auto"/>
                <w:kern w:val="0"/>
                <w:sz w:val="18"/>
                <w:szCs w:val="18"/>
                <w:highlight w:val="none"/>
              </w:rPr>
              <w:t>X≥2000</w:t>
            </w:r>
          </w:p>
        </w:tc>
        <w:tc>
          <w:tcPr>
            <w:tcW w:w="1701" w:type="dxa"/>
            <w:vAlign w:val="center"/>
          </w:tcPr>
          <w:p w14:paraId="145AC2D6">
            <w:pPr>
              <w:widowControl/>
              <w:jc w:val="center"/>
              <w:rPr>
                <w:color w:val="auto"/>
                <w:kern w:val="0"/>
                <w:sz w:val="18"/>
                <w:szCs w:val="18"/>
                <w:highlight w:val="none"/>
              </w:rPr>
            </w:pPr>
            <w:r>
              <w:rPr>
                <w:color w:val="auto"/>
                <w:kern w:val="0"/>
                <w:sz w:val="18"/>
                <w:szCs w:val="18"/>
                <w:highlight w:val="none"/>
              </w:rPr>
              <w:t>100≤X＜2000</w:t>
            </w:r>
          </w:p>
        </w:tc>
        <w:tc>
          <w:tcPr>
            <w:tcW w:w="1426" w:type="dxa"/>
            <w:vAlign w:val="center"/>
          </w:tcPr>
          <w:p w14:paraId="33D249F6">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18E739F2">
            <w:pPr>
              <w:widowControl/>
              <w:jc w:val="center"/>
              <w:rPr>
                <w:color w:val="auto"/>
                <w:kern w:val="0"/>
                <w:sz w:val="18"/>
                <w:szCs w:val="18"/>
                <w:highlight w:val="none"/>
              </w:rPr>
            </w:pPr>
            <w:r>
              <w:rPr>
                <w:color w:val="auto"/>
                <w:kern w:val="0"/>
                <w:sz w:val="18"/>
                <w:szCs w:val="18"/>
                <w:highlight w:val="none"/>
              </w:rPr>
              <w:t>X＜10</w:t>
            </w:r>
          </w:p>
        </w:tc>
      </w:tr>
      <w:tr w14:paraId="5F3B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8E1E754">
            <w:pPr>
              <w:widowControl/>
              <w:jc w:val="left"/>
              <w:rPr>
                <w:color w:val="auto"/>
                <w:kern w:val="0"/>
                <w:sz w:val="18"/>
                <w:szCs w:val="18"/>
                <w:highlight w:val="none"/>
              </w:rPr>
            </w:pPr>
          </w:p>
        </w:tc>
        <w:tc>
          <w:tcPr>
            <w:tcW w:w="1369" w:type="dxa"/>
            <w:vAlign w:val="center"/>
          </w:tcPr>
          <w:p w14:paraId="66FDEEEC">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59444D3">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0A4B71EC">
            <w:pPr>
              <w:widowControl/>
              <w:jc w:val="center"/>
              <w:rPr>
                <w:color w:val="auto"/>
                <w:kern w:val="0"/>
                <w:sz w:val="18"/>
                <w:szCs w:val="18"/>
                <w:highlight w:val="none"/>
              </w:rPr>
            </w:pPr>
            <w:r>
              <w:rPr>
                <w:color w:val="auto"/>
                <w:kern w:val="0"/>
                <w:sz w:val="18"/>
                <w:szCs w:val="18"/>
                <w:highlight w:val="none"/>
              </w:rPr>
              <w:t>Y≥100000</w:t>
            </w:r>
          </w:p>
        </w:tc>
        <w:tc>
          <w:tcPr>
            <w:tcW w:w="1701" w:type="dxa"/>
            <w:vAlign w:val="center"/>
          </w:tcPr>
          <w:p w14:paraId="439B6A03">
            <w:pPr>
              <w:widowControl/>
              <w:jc w:val="center"/>
              <w:rPr>
                <w:color w:val="auto"/>
                <w:kern w:val="0"/>
                <w:sz w:val="18"/>
                <w:szCs w:val="18"/>
                <w:highlight w:val="none"/>
              </w:rPr>
            </w:pPr>
            <w:r>
              <w:rPr>
                <w:color w:val="auto"/>
                <w:kern w:val="0"/>
                <w:sz w:val="18"/>
                <w:szCs w:val="18"/>
                <w:highlight w:val="none"/>
              </w:rPr>
              <w:t>1000≤Y＜100000</w:t>
            </w:r>
          </w:p>
        </w:tc>
        <w:tc>
          <w:tcPr>
            <w:tcW w:w="1426" w:type="dxa"/>
            <w:vAlign w:val="center"/>
          </w:tcPr>
          <w:p w14:paraId="16E4B88B">
            <w:pPr>
              <w:widowControl/>
              <w:jc w:val="center"/>
              <w:rPr>
                <w:color w:val="auto"/>
                <w:kern w:val="0"/>
                <w:sz w:val="18"/>
                <w:szCs w:val="18"/>
                <w:highlight w:val="none"/>
              </w:rPr>
            </w:pPr>
            <w:r>
              <w:rPr>
                <w:color w:val="auto"/>
                <w:kern w:val="0"/>
                <w:sz w:val="18"/>
                <w:szCs w:val="18"/>
                <w:highlight w:val="none"/>
              </w:rPr>
              <w:t>100≤Y＜1000</w:t>
            </w:r>
          </w:p>
        </w:tc>
        <w:tc>
          <w:tcPr>
            <w:tcW w:w="992" w:type="dxa"/>
            <w:vAlign w:val="center"/>
          </w:tcPr>
          <w:p w14:paraId="3060C8D4">
            <w:pPr>
              <w:widowControl/>
              <w:jc w:val="center"/>
              <w:rPr>
                <w:color w:val="auto"/>
                <w:kern w:val="0"/>
                <w:sz w:val="18"/>
                <w:szCs w:val="18"/>
                <w:highlight w:val="none"/>
              </w:rPr>
            </w:pPr>
            <w:r>
              <w:rPr>
                <w:color w:val="auto"/>
                <w:kern w:val="0"/>
                <w:sz w:val="18"/>
                <w:szCs w:val="18"/>
                <w:highlight w:val="none"/>
              </w:rPr>
              <w:t>Y＜100</w:t>
            </w:r>
          </w:p>
        </w:tc>
      </w:tr>
      <w:tr w14:paraId="4692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6E8BEE5">
            <w:pPr>
              <w:widowControl/>
              <w:spacing w:line="240" w:lineRule="exact"/>
              <w:jc w:val="left"/>
              <w:rPr>
                <w:color w:val="auto"/>
                <w:spacing w:val="-12"/>
                <w:kern w:val="0"/>
                <w:sz w:val="18"/>
                <w:szCs w:val="18"/>
                <w:highlight w:val="none"/>
              </w:rPr>
            </w:pPr>
            <w:r>
              <w:rPr>
                <w:color w:val="auto"/>
                <w:spacing w:val="-12"/>
                <w:kern w:val="0"/>
                <w:sz w:val="18"/>
                <w:szCs w:val="18"/>
                <w:highlight w:val="none"/>
              </w:rPr>
              <w:t>软件和信息技术服</w:t>
            </w:r>
            <w:r>
              <w:rPr>
                <w:color w:val="auto"/>
                <w:kern w:val="0"/>
                <w:sz w:val="18"/>
                <w:szCs w:val="18"/>
                <w:highlight w:val="none"/>
              </w:rPr>
              <w:t>务业</w:t>
            </w:r>
          </w:p>
        </w:tc>
        <w:tc>
          <w:tcPr>
            <w:tcW w:w="1369" w:type="dxa"/>
            <w:vAlign w:val="center"/>
          </w:tcPr>
          <w:p w14:paraId="479839C5">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798F96ED">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3E108034">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54ACEF67">
            <w:pPr>
              <w:widowControl/>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vAlign w:val="center"/>
          </w:tcPr>
          <w:p w14:paraId="76DF7B9F">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427A5851">
            <w:pPr>
              <w:widowControl/>
              <w:jc w:val="center"/>
              <w:rPr>
                <w:color w:val="auto"/>
                <w:kern w:val="0"/>
                <w:sz w:val="18"/>
                <w:szCs w:val="18"/>
                <w:highlight w:val="none"/>
              </w:rPr>
            </w:pPr>
            <w:r>
              <w:rPr>
                <w:color w:val="auto"/>
                <w:kern w:val="0"/>
                <w:sz w:val="18"/>
                <w:szCs w:val="18"/>
                <w:highlight w:val="none"/>
              </w:rPr>
              <w:t>X＜10</w:t>
            </w:r>
          </w:p>
        </w:tc>
      </w:tr>
      <w:tr w14:paraId="3E35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FEDEEC1">
            <w:pPr>
              <w:widowControl/>
              <w:jc w:val="left"/>
              <w:rPr>
                <w:color w:val="auto"/>
                <w:spacing w:val="-12"/>
                <w:kern w:val="0"/>
                <w:sz w:val="18"/>
                <w:szCs w:val="18"/>
                <w:highlight w:val="none"/>
              </w:rPr>
            </w:pPr>
          </w:p>
        </w:tc>
        <w:tc>
          <w:tcPr>
            <w:tcW w:w="1369" w:type="dxa"/>
            <w:vAlign w:val="center"/>
          </w:tcPr>
          <w:p w14:paraId="2F5ECE78">
            <w:pPr>
              <w:widowControl/>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0866E979">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69A4FC1A">
            <w:pPr>
              <w:widowControl/>
              <w:jc w:val="center"/>
              <w:rPr>
                <w:color w:val="auto"/>
                <w:kern w:val="0"/>
                <w:sz w:val="18"/>
                <w:szCs w:val="18"/>
                <w:highlight w:val="none"/>
              </w:rPr>
            </w:pPr>
            <w:r>
              <w:rPr>
                <w:color w:val="auto"/>
                <w:kern w:val="0"/>
                <w:sz w:val="18"/>
                <w:szCs w:val="18"/>
                <w:highlight w:val="none"/>
              </w:rPr>
              <w:t>Y≥10000</w:t>
            </w:r>
          </w:p>
        </w:tc>
        <w:tc>
          <w:tcPr>
            <w:tcW w:w="1701" w:type="dxa"/>
            <w:vAlign w:val="center"/>
          </w:tcPr>
          <w:p w14:paraId="1AF26E7E">
            <w:pPr>
              <w:widowControl/>
              <w:jc w:val="center"/>
              <w:rPr>
                <w:color w:val="auto"/>
                <w:kern w:val="0"/>
                <w:sz w:val="18"/>
                <w:szCs w:val="18"/>
                <w:highlight w:val="none"/>
              </w:rPr>
            </w:pPr>
            <w:r>
              <w:rPr>
                <w:color w:val="auto"/>
                <w:kern w:val="0"/>
                <w:sz w:val="18"/>
                <w:szCs w:val="18"/>
                <w:highlight w:val="none"/>
              </w:rPr>
              <w:t>1000≤Y＜10000</w:t>
            </w:r>
          </w:p>
        </w:tc>
        <w:tc>
          <w:tcPr>
            <w:tcW w:w="1426" w:type="dxa"/>
            <w:vAlign w:val="center"/>
          </w:tcPr>
          <w:p w14:paraId="340F74EE">
            <w:pPr>
              <w:widowControl/>
              <w:jc w:val="center"/>
              <w:rPr>
                <w:color w:val="auto"/>
                <w:kern w:val="0"/>
                <w:sz w:val="18"/>
                <w:szCs w:val="18"/>
                <w:highlight w:val="none"/>
              </w:rPr>
            </w:pPr>
            <w:r>
              <w:rPr>
                <w:color w:val="auto"/>
                <w:kern w:val="0"/>
                <w:sz w:val="18"/>
                <w:szCs w:val="18"/>
                <w:highlight w:val="none"/>
              </w:rPr>
              <w:t>50≤Y＜1000</w:t>
            </w:r>
          </w:p>
        </w:tc>
        <w:tc>
          <w:tcPr>
            <w:tcW w:w="992" w:type="dxa"/>
            <w:vAlign w:val="center"/>
          </w:tcPr>
          <w:p w14:paraId="48D346EE">
            <w:pPr>
              <w:widowControl/>
              <w:jc w:val="center"/>
              <w:rPr>
                <w:color w:val="auto"/>
                <w:kern w:val="0"/>
                <w:sz w:val="18"/>
                <w:szCs w:val="18"/>
                <w:highlight w:val="none"/>
              </w:rPr>
            </w:pPr>
            <w:r>
              <w:rPr>
                <w:color w:val="auto"/>
                <w:kern w:val="0"/>
                <w:sz w:val="18"/>
                <w:szCs w:val="18"/>
                <w:highlight w:val="none"/>
              </w:rPr>
              <w:t>Y＜50</w:t>
            </w:r>
          </w:p>
        </w:tc>
      </w:tr>
      <w:tr w14:paraId="0F7A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4DFAD06">
            <w:pPr>
              <w:widowControl/>
              <w:spacing w:line="240" w:lineRule="exact"/>
              <w:jc w:val="left"/>
              <w:rPr>
                <w:color w:val="auto"/>
                <w:kern w:val="0"/>
                <w:sz w:val="18"/>
                <w:szCs w:val="18"/>
                <w:highlight w:val="none"/>
              </w:rPr>
            </w:pPr>
            <w:r>
              <w:rPr>
                <w:color w:val="auto"/>
                <w:kern w:val="0"/>
                <w:sz w:val="18"/>
                <w:szCs w:val="18"/>
                <w:highlight w:val="none"/>
              </w:rPr>
              <w:t>房地产开发经营</w:t>
            </w:r>
          </w:p>
        </w:tc>
        <w:tc>
          <w:tcPr>
            <w:tcW w:w="1369" w:type="dxa"/>
            <w:vAlign w:val="center"/>
          </w:tcPr>
          <w:p w14:paraId="4732A6A3">
            <w:pPr>
              <w:widowControl/>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13D87259">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332326CF">
            <w:pPr>
              <w:widowControl/>
              <w:jc w:val="center"/>
              <w:rPr>
                <w:color w:val="auto"/>
                <w:kern w:val="0"/>
                <w:sz w:val="18"/>
                <w:szCs w:val="18"/>
                <w:highlight w:val="none"/>
              </w:rPr>
            </w:pPr>
            <w:r>
              <w:rPr>
                <w:color w:val="auto"/>
                <w:kern w:val="0"/>
                <w:sz w:val="18"/>
                <w:szCs w:val="18"/>
                <w:highlight w:val="none"/>
              </w:rPr>
              <w:t>Y≥200000</w:t>
            </w:r>
          </w:p>
        </w:tc>
        <w:tc>
          <w:tcPr>
            <w:tcW w:w="1701" w:type="dxa"/>
            <w:vAlign w:val="center"/>
          </w:tcPr>
          <w:p w14:paraId="13E200FB">
            <w:pPr>
              <w:widowControl/>
              <w:jc w:val="center"/>
              <w:rPr>
                <w:color w:val="auto"/>
                <w:kern w:val="0"/>
                <w:sz w:val="18"/>
                <w:szCs w:val="18"/>
                <w:highlight w:val="none"/>
              </w:rPr>
            </w:pPr>
            <w:r>
              <w:rPr>
                <w:color w:val="auto"/>
                <w:kern w:val="0"/>
                <w:sz w:val="18"/>
                <w:szCs w:val="18"/>
                <w:highlight w:val="none"/>
              </w:rPr>
              <w:t>1000≤Y＜200000</w:t>
            </w:r>
          </w:p>
        </w:tc>
        <w:tc>
          <w:tcPr>
            <w:tcW w:w="1426" w:type="dxa"/>
            <w:vAlign w:val="center"/>
          </w:tcPr>
          <w:p w14:paraId="357BFA3E">
            <w:pPr>
              <w:widowControl/>
              <w:jc w:val="center"/>
              <w:rPr>
                <w:color w:val="auto"/>
                <w:kern w:val="0"/>
                <w:sz w:val="18"/>
                <w:szCs w:val="18"/>
                <w:highlight w:val="none"/>
              </w:rPr>
            </w:pPr>
            <w:r>
              <w:rPr>
                <w:color w:val="auto"/>
                <w:kern w:val="0"/>
                <w:sz w:val="18"/>
                <w:szCs w:val="18"/>
                <w:highlight w:val="none"/>
              </w:rPr>
              <w:t>100≤Y＜1000</w:t>
            </w:r>
          </w:p>
        </w:tc>
        <w:tc>
          <w:tcPr>
            <w:tcW w:w="992" w:type="dxa"/>
            <w:vAlign w:val="center"/>
          </w:tcPr>
          <w:p w14:paraId="591E8819">
            <w:pPr>
              <w:widowControl/>
              <w:jc w:val="center"/>
              <w:rPr>
                <w:color w:val="auto"/>
                <w:kern w:val="0"/>
                <w:sz w:val="18"/>
                <w:szCs w:val="18"/>
                <w:highlight w:val="none"/>
              </w:rPr>
            </w:pPr>
            <w:r>
              <w:rPr>
                <w:color w:val="auto"/>
                <w:kern w:val="0"/>
                <w:sz w:val="18"/>
                <w:szCs w:val="18"/>
                <w:highlight w:val="none"/>
              </w:rPr>
              <w:t>Y＜100</w:t>
            </w:r>
          </w:p>
        </w:tc>
      </w:tr>
      <w:tr w14:paraId="5D37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E737ED9">
            <w:pPr>
              <w:widowControl/>
              <w:jc w:val="left"/>
              <w:rPr>
                <w:color w:val="auto"/>
                <w:kern w:val="0"/>
                <w:sz w:val="18"/>
                <w:szCs w:val="18"/>
                <w:highlight w:val="none"/>
              </w:rPr>
            </w:pPr>
          </w:p>
        </w:tc>
        <w:tc>
          <w:tcPr>
            <w:tcW w:w="1369" w:type="dxa"/>
            <w:vAlign w:val="center"/>
          </w:tcPr>
          <w:p w14:paraId="7133B77C">
            <w:pPr>
              <w:widowControl/>
              <w:spacing w:line="24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33D24D0D">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5E6B5AFA">
            <w:pPr>
              <w:widowControl/>
              <w:jc w:val="center"/>
              <w:rPr>
                <w:color w:val="auto"/>
                <w:kern w:val="0"/>
                <w:sz w:val="18"/>
                <w:szCs w:val="18"/>
                <w:highlight w:val="none"/>
              </w:rPr>
            </w:pPr>
            <w:r>
              <w:rPr>
                <w:color w:val="auto"/>
                <w:kern w:val="0"/>
                <w:sz w:val="18"/>
                <w:szCs w:val="18"/>
                <w:highlight w:val="none"/>
              </w:rPr>
              <w:t>Z≥10000</w:t>
            </w:r>
          </w:p>
        </w:tc>
        <w:tc>
          <w:tcPr>
            <w:tcW w:w="1701" w:type="dxa"/>
            <w:vAlign w:val="center"/>
          </w:tcPr>
          <w:p w14:paraId="0B207F5A">
            <w:pPr>
              <w:widowControl/>
              <w:jc w:val="center"/>
              <w:rPr>
                <w:color w:val="auto"/>
                <w:kern w:val="0"/>
                <w:sz w:val="18"/>
                <w:szCs w:val="18"/>
                <w:highlight w:val="none"/>
              </w:rPr>
            </w:pPr>
            <w:r>
              <w:rPr>
                <w:color w:val="auto"/>
                <w:kern w:val="0"/>
                <w:sz w:val="18"/>
                <w:szCs w:val="18"/>
                <w:highlight w:val="none"/>
              </w:rPr>
              <w:t>5000≤Z＜10000</w:t>
            </w:r>
          </w:p>
        </w:tc>
        <w:tc>
          <w:tcPr>
            <w:tcW w:w="1426" w:type="dxa"/>
            <w:vAlign w:val="center"/>
          </w:tcPr>
          <w:p w14:paraId="5E7374C4">
            <w:pPr>
              <w:widowControl/>
              <w:jc w:val="center"/>
              <w:rPr>
                <w:color w:val="auto"/>
                <w:kern w:val="0"/>
                <w:sz w:val="18"/>
                <w:szCs w:val="18"/>
                <w:highlight w:val="none"/>
              </w:rPr>
            </w:pPr>
            <w:r>
              <w:rPr>
                <w:color w:val="auto"/>
                <w:kern w:val="0"/>
                <w:sz w:val="18"/>
                <w:szCs w:val="18"/>
                <w:highlight w:val="none"/>
              </w:rPr>
              <w:t>2000≤Z＜5000</w:t>
            </w:r>
          </w:p>
        </w:tc>
        <w:tc>
          <w:tcPr>
            <w:tcW w:w="992" w:type="dxa"/>
            <w:vAlign w:val="center"/>
          </w:tcPr>
          <w:p w14:paraId="64F9FB9F">
            <w:pPr>
              <w:widowControl/>
              <w:jc w:val="center"/>
              <w:rPr>
                <w:color w:val="auto"/>
                <w:kern w:val="0"/>
                <w:sz w:val="18"/>
                <w:szCs w:val="18"/>
                <w:highlight w:val="none"/>
              </w:rPr>
            </w:pPr>
            <w:r>
              <w:rPr>
                <w:color w:val="auto"/>
                <w:kern w:val="0"/>
                <w:sz w:val="18"/>
                <w:szCs w:val="18"/>
                <w:highlight w:val="none"/>
              </w:rPr>
              <w:t>Z＜2000</w:t>
            </w:r>
          </w:p>
        </w:tc>
      </w:tr>
      <w:tr w14:paraId="5326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6FF94F6">
            <w:pPr>
              <w:widowControl/>
              <w:spacing w:line="240" w:lineRule="exact"/>
              <w:jc w:val="left"/>
              <w:rPr>
                <w:color w:val="auto"/>
                <w:kern w:val="0"/>
                <w:sz w:val="18"/>
                <w:szCs w:val="18"/>
                <w:highlight w:val="none"/>
              </w:rPr>
            </w:pPr>
            <w:r>
              <w:rPr>
                <w:color w:val="auto"/>
                <w:kern w:val="0"/>
                <w:sz w:val="18"/>
                <w:szCs w:val="18"/>
                <w:highlight w:val="none"/>
              </w:rPr>
              <w:t>物业管理</w:t>
            </w:r>
          </w:p>
        </w:tc>
        <w:tc>
          <w:tcPr>
            <w:tcW w:w="1369" w:type="dxa"/>
            <w:vAlign w:val="center"/>
          </w:tcPr>
          <w:p w14:paraId="05CCABE5">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65E804AF">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1A613CC5">
            <w:pPr>
              <w:widowControl/>
              <w:jc w:val="center"/>
              <w:rPr>
                <w:color w:val="auto"/>
                <w:kern w:val="0"/>
                <w:sz w:val="18"/>
                <w:szCs w:val="18"/>
                <w:highlight w:val="none"/>
              </w:rPr>
            </w:pPr>
            <w:r>
              <w:rPr>
                <w:color w:val="auto"/>
                <w:kern w:val="0"/>
                <w:sz w:val="18"/>
                <w:szCs w:val="18"/>
                <w:highlight w:val="none"/>
              </w:rPr>
              <w:t>X≥1000</w:t>
            </w:r>
          </w:p>
        </w:tc>
        <w:tc>
          <w:tcPr>
            <w:tcW w:w="1701" w:type="dxa"/>
            <w:vAlign w:val="center"/>
          </w:tcPr>
          <w:p w14:paraId="2944EA2D">
            <w:pPr>
              <w:widowControl/>
              <w:jc w:val="center"/>
              <w:rPr>
                <w:color w:val="auto"/>
                <w:kern w:val="0"/>
                <w:sz w:val="18"/>
                <w:szCs w:val="18"/>
                <w:highlight w:val="none"/>
              </w:rPr>
            </w:pPr>
            <w:r>
              <w:rPr>
                <w:color w:val="auto"/>
                <w:kern w:val="0"/>
                <w:sz w:val="18"/>
                <w:szCs w:val="18"/>
                <w:highlight w:val="none"/>
              </w:rPr>
              <w:t>300≤X＜1000</w:t>
            </w:r>
          </w:p>
        </w:tc>
        <w:tc>
          <w:tcPr>
            <w:tcW w:w="1426" w:type="dxa"/>
            <w:vAlign w:val="center"/>
          </w:tcPr>
          <w:p w14:paraId="6964F39D">
            <w:pPr>
              <w:widowControl/>
              <w:jc w:val="center"/>
              <w:rPr>
                <w:color w:val="auto"/>
                <w:kern w:val="0"/>
                <w:sz w:val="18"/>
                <w:szCs w:val="18"/>
                <w:highlight w:val="none"/>
              </w:rPr>
            </w:pPr>
            <w:r>
              <w:rPr>
                <w:color w:val="auto"/>
                <w:kern w:val="0"/>
                <w:sz w:val="18"/>
                <w:szCs w:val="18"/>
                <w:highlight w:val="none"/>
              </w:rPr>
              <w:t>100≤X＜300</w:t>
            </w:r>
          </w:p>
        </w:tc>
        <w:tc>
          <w:tcPr>
            <w:tcW w:w="992" w:type="dxa"/>
            <w:vAlign w:val="center"/>
          </w:tcPr>
          <w:p w14:paraId="54DBCD9A">
            <w:pPr>
              <w:widowControl/>
              <w:jc w:val="center"/>
              <w:rPr>
                <w:color w:val="auto"/>
                <w:kern w:val="0"/>
                <w:sz w:val="18"/>
                <w:szCs w:val="18"/>
                <w:highlight w:val="none"/>
              </w:rPr>
            </w:pPr>
            <w:r>
              <w:rPr>
                <w:color w:val="auto"/>
                <w:kern w:val="0"/>
                <w:sz w:val="18"/>
                <w:szCs w:val="18"/>
                <w:highlight w:val="none"/>
              </w:rPr>
              <w:t>X＜100</w:t>
            </w:r>
          </w:p>
        </w:tc>
      </w:tr>
      <w:tr w14:paraId="513A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9D9D323">
            <w:pPr>
              <w:widowControl/>
              <w:jc w:val="left"/>
              <w:rPr>
                <w:color w:val="auto"/>
                <w:kern w:val="0"/>
                <w:sz w:val="18"/>
                <w:szCs w:val="18"/>
                <w:highlight w:val="none"/>
              </w:rPr>
            </w:pPr>
          </w:p>
        </w:tc>
        <w:tc>
          <w:tcPr>
            <w:tcW w:w="1369" w:type="dxa"/>
            <w:vAlign w:val="center"/>
          </w:tcPr>
          <w:p w14:paraId="7B6C5418">
            <w:pPr>
              <w:widowControl/>
              <w:spacing w:line="240" w:lineRule="exact"/>
              <w:jc w:val="center"/>
              <w:rPr>
                <w:color w:val="auto"/>
                <w:kern w:val="0"/>
                <w:sz w:val="18"/>
                <w:szCs w:val="18"/>
                <w:highlight w:val="none"/>
              </w:rPr>
            </w:pPr>
            <w:r>
              <w:rPr>
                <w:color w:val="auto"/>
                <w:kern w:val="0"/>
                <w:sz w:val="18"/>
                <w:szCs w:val="18"/>
                <w:highlight w:val="none"/>
              </w:rPr>
              <w:t>营业收入(Y)</w:t>
            </w:r>
          </w:p>
        </w:tc>
        <w:tc>
          <w:tcPr>
            <w:tcW w:w="709" w:type="dxa"/>
            <w:vAlign w:val="center"/>
          </w:tcPr>
          <w:p w14:paraId="29BE5EBC">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2881C80D">
            <w:pPr>
              <w:widowControl/>
              <w:jc w:val="center"/>
              <w:rPr>
                <w:color w:val="auto"/>
                <w:kern w:val="0"/>
                <w:sz w:val="18"/>
                <w:szCs w:val="18"/>
                <w:highlight w:val="none"/>
              </w:rPr>
            </w:pPr>
            <w:r>
              <w:rPr>
                <w:color w:val="auto"/>
                <w:kern w:val="0"/>
                <w:sz w:val="18"/>
                <w:szCs w:val="18"/>
                <w:highlight w:val="none"/>
              </w:rPr>
              <w:t>Y≥5000</w:t>
            </w:r>
          </w:p>
        </w:tc>
        <w:tc>
          <w:tcPr>
            <w:tcW w:w="1701" w:type="dxa"/>
            <w:vAlign w:val="center"/>
          </w:tcPr>
          <w:p w14:paraId="583D339A">
            <w:pPr>
              <w:widowControl/>
              <w:ind w:left="1" w:leftChars="-51" w:hanging="108" w:hangingChars="60"/>
              <w:jc w:val="center"/>
              <w:rPr>
                <w:color w:val="auto"/>
                <w:kern w:val="0"/>
                <w:sz w:val="18"/>
                <w:szCs w:val="18"/>
                <w:highlight w:val="none"/>
              </w:rPr>
            </w:pPr>
            <w:r>
              <w:rPr>
                <w:color w:val="auto"/>
                <w:kern w:val="0"/>
                <w:sz w:val="18"/>
                <w:szCs w:val="18"/>
                <w:highlight w:val="none"/>
              </w:rPr>
              <w:t>1000≤Y＜5000</w:t>
            </w:r>
          </w:p>
        </w:tc>
        <w:tc>
          <w:tcPr>
            <w:tcW w:w="1426" w:type="dxa"/>
            <w:vAlign w:val="center"/>
          </w:tcPr>
          <w:p w14:paraId="5F2772E3">
            <w:pPr>
              <w:widowControl/>
              <w:jc w:val="center"/>
              <w:rPr>
                <w:color w:val="auto"/>
                <w:kern w:val="0"/>
                <w:sz w:val="18"/>
                <w:szCs w:val="18"/>
                <w:highlight w:val="none"/>
              </w:rPr>
            </w:pPr>
            <w:r>
              <w:rPr>
                <w:color w:val="auto"/>
                <w:kern w:val="0"/>
                <w:sz w:val="18"/>
                <w:szCs w:val="18"/>
                <w:highlight w:val="none"/>
              </w:rPr>
              <w:t>500≤Y＜1000</w:t>
            </w:r>
          </w:p>
        </w:tc>
        <w:tc>
          <w:tcPr>
            <w:tcW w:w="992" w:type="dxa"/>
            <w:vAlign w:val="center"/>
          </w:tcPr>
          <w:p w14:paraId="5297F354">
            <w:pPr>
              <w:widowControl/>
              <w:jc w:val="center"/>
              <w:rPr>
                <w:color w:val="auto"/>
                <w:kern w:val="0"/>
                <w:sz w:val="18"/>
                <w:szCs w:val="18"/>
                <w:highlight w:val="none"/>
              </w:rPr>
            </w:pPr>
            <w:r>
              <w:rPr>
                <w:color w:val="auto"/>
                <w:kern w:val="0"/>
                <w:sz w:val="18"/>
                <w:szCs w:val="18"/>
                <w:highlight w:val="none"/>
              </w:rPr>
              <w:t>Y＜500</w:t>
            </w:r>
          </w:p>
        </w:tc>
      </w:tr>
      <w:tr w14:paraId="6295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5F4EB8C">
            <w:pPr>
              <w:widowControl/>
              <w:spacing w:line="240" w:lineRule="exact"/>
              <w:jc w:val="left"/>
              <w:rPr>
                <w:color w:val="auto"/>
                <w:kern w:val="0"/>
                <w:sz w:val="18"/>
                <w:szCs w:val="18"/>
                <w:highlight w:val="none"/>
              </w:rPr>
            </w:pPr>
            <w:r>
              <w:rPr>
                <w:color w:val="auto"/>
                <w:kern w:val="0"/>
                <w:sz w:val="18"/>
                <w:szCs w:val="18"/>
                <w:highlight w:val="none"/>
              </w:rPr>
              <w:t>租赁和商务服务业</w:t>
            </w:r>
          </w:p>
        </w:tc>
        <w:tc>
          <w:tcPr>
            <w:tcW w:w="1369" w:type="dxa"/>
            <w:vAlign w:val="center"/>
          </w:tcPr>
          <w:p w14:paraId="5E0EFB4A">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041373C7">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02E03D15">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17E23605">
            <w:pPr>
              <w:widowControl/>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032FDC70">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78524584">
            <w:pPr>
              <w:widowControl/>
              <w:jc w:val="center"/>
              <w:rPr>
                <w:color w:val="auto"/>
                <w:kern w:val="0"/>
                <w:sz w:val="18"/>
                <w:szCs w:val="18"/>
                <w:highlight w:val="none"/>
              </w:rPr>
            </w:pPr>
            <w:r>
              <w:rPr>
                <w:color w:val="auto"/>
                <w:kern w:val="0"/>
                <w:sz w:val="18"/>
                <w:szCs w:val="18"/>
                <w:highlight w:val="none"/>
              </w:rPr>
              <w:t>X＜10</w:t>
            </w:r>
          </w:p>
        </w:tc>
      </w:tr>
      <w:tr w14:paraId="1CEE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58AF25D">
            <w:pPr>
              <w:widowControl/>
              <w:jc w:val="left"/>
              <w:rPr>
                <w:color w:val="auto"/>
                <w:kern w:val="0"/>
                <w:sz w:val="18"/>
                <w:szCs w:val="18"/>
                <w:highlight w:val="none"/>
              </w:rPr>
            </w:pPr>
          </w:p>
        </w:tc>
        <w:tc>
          <w:tcPr>
            <w:tcW w:w="1369" w:type="dxa"/>
            <w:vAlign w:val="center"/>
          </w:tcPr>
          <w:p w14:paraId="36B70038">
            <w:pPr>
              <w:widowControl/>
              <w:spacing w:line="240" w:lineRule="exact"/>
              <w:jc w:val="center"/>
              <w:rPr>
                <w:color w:val="auto"/>
                <w:kern w:val="0"/>
                <w:sz w:val="18"/>
                <w:szCs w:val="18"/>
                <w:highlight w:val="none"/>
              </w:rPr>
            </w:pPr>
            <w:r>
              <w:rPr>
                <w:color w:val="auto"/>
                <w:kern w:val="0"/>
                <w:sz w:val="18"/>
                <w:szCs w:val="18"/>
                <w:highlight w:val="none"/>
              </w:rPr>
              <w:t>资产总额(Z)</w:t>
            </w:r>
          </w:p>
        </w:tc>
        <w:tc>
          <w:tcPr>
            <w:tcW w:w="709" w:type="dxa"/>
            <w:vAlign w:val="center"/>
          </w:tcPr>
          <w:p w14:paraId="55E26220">
            <w:pPr>
              <w:widowControl/>
              <w:jc w:val="center"/>
              <w:rPr>
                <w:color w:val="auto"/>
                <w:kern w:val="0"/>
                <w:sz w:val="18"/>
                <w:szCs w:val="18"/>
                <w:highlight w:val="none"/>
              </w:rPr>
            </w:pPr>
            <w:r>
              <w:rPr>
                <w:color w:val="auto"/>
                <w:kern w:val="0"/>
                <w:sz w:val="18"/>
                <w:szCs w:val="18"/>
                <w:highlight w:val="none"/>
              </w:rPr>
              <w:t>万元</w:t>
            </w:r>
          </w:p>
        </w:tc>
        <w:tc>
          <w:tcPr>
            <w:tcW w:w="1125" w:type="dxa"/>
            <w:vAlign w:val="center"/>
          </w:tcPr>
          <w:p w14:paraId="1ADEA50F">
            <w:pPr>
              <w:widowControl/>
              <w:jc w:val="center"/>
              <w:rPr>
                <w:color w:val="auto"/>
                <w:kern w:val="0"/>
                <w:sz w:val="18"/>
                <w:szCs w:val="18"/>
                <w:highlight w:val="none"/>
              </w:rPr>
            </w:pPr>
            <w:r>
              <w:rPr>
                <w:color w:val="auto"/>
                <w:kern w:val="0"/>
                <w:sz w:val="18"/>
                <w:szCs w:val="18"/>
                <w:highlight w:val="none"/>
              </w:rPr>
              <w:t>Z≥120000</w:t>
            </w:r>
          </w:p>
        </w:tc>
        <w:tc>
          <w:tcPr>
            <w:tcW w:w="1701" w:type="dxa"/>
            <w:vAlign w:val="center"/>
          </w:tcPr>
          <w:p w14:paraId="40EB75B3">
            <w:pPr>
              <w:widowControl/>
              <w:jc w:val="center"/>
              <w:rPr>
                <w:color w:val="auto"/>
                <w:kern w:val="0"/>
                <w:sz w:val="18"/>
                <w:szCs w:val="18"/>
                <w:highlight w:val="none"/>
              </w:rPr>
            </w:pPr>
            <w:r>
              <w:rPr>
                <w:color w:val="auto"/>
                <w:kern w:val="0"/>
                <w:sz w:val="18"/>
                <w:szCs w:val="18"/>
                <w:highlight w:val="none"/>
              </w:rPr>
              <w:t>8000≤Z＜120000</w:t>
            </w:r>
          </w:p>
        </w:tc>
        <w:tc>
          <w:tcPr>
            <w:tcW w:w="1426" w:type="dxa"/>
            <w:vAlign w:val="center"/>
          </w:tcPr>
          <w:p w14:paraId="325C3608">
            <w:pPr>
              <w:widowControl/>
              <w:jc w:val="center"/>
              <w:rPr>
                <w:color w:val="auto"/>
                <w:kern w:val="0"/>
                <w:sz w:val="18"/>
                <w:szCs w:val="18"/>
                <w:highlight w:val="none"/>
              </w:rPr>
            </w:pPr>
            <w:r>
              <w:rPr>
                <w:color w:val="auto"/>
                <w:kern w:val="0"/>
                <w:sz w:val="18"/>
                <w:szCs w:val="18"/>
                <w:highlight w:val="none"/>
              </w:rPr>
              <w:t>100≤Z＜8000</w:t>
            </w:r>
          </w:p>
        </w:tc>
        <w:tc>
          <w:tcPr>
            <w:tcW w:w="992" w:type="dxa"/>
            <w:vAlign w:val="center"/>
          </w:tcPr>
          <w:p w14:paraId="60F66313">
            <w:pPr>
              <w:widowControl/>
              <w:jc w:val="center"/>
              <w:rPr>
                <w:color w:val="auto"/>
                <w:kern w:val="0"/>
                <w:sz w:val="18"/>
                <w:szCs w:val="18"/>
                <w:highlight w:val="none"/>
              </w:rPr>
            </w:pPr>
            <w:r>
              <w:rPr>
                <w:color w:val="auto"/>
                <w:kern w:val="0"/>
                <w:sz w:val="18"/>
                <w:szCs w:val="18"/>
                <w:highlight w:val="none"/>
              </w:rPr>
              <w:t>Z＜100</w:t>
            </w:r>
          </w:p>
        </w:tc>
      </w:tr>
      <w:tr w14:paraId="4BEB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92C19DF">
            <w:pPr>
              <w:widowControl/>
              <w:spacing w:line="240" w:lineRule="exact"/>
              <w:jc w:val="left"/>
              <w:rPr>
                <w:color w:val="auto"/>
                <w:kern w:val="0"/>
                <w:sz w:val="18"/>
                <w:szCs w:val="18"/>
                <w:highlight w:val="none"/>
              </w:rPr>
            </w:pPr>
            <w:r>
              <w:rPr>
                <w:color w:val="auto"/>
                <w:kern w:val="0"/>
                <w:sz w:val="18"/>
                <w:szCs w:val="18"/>
                <w:highlight w:val="none"/>
              </w:rPr>
              <w:t>其他未列明行业 *</w:t>
            </w:r>
          </w:p>
        </w:tc>
        <w:tc>
          <w:tcPr>
            <w:tcW w:w="1369" w:type="dxa"/>
            <w:vAlign w:val="center"/>
          </w:tcPr>
          <w:p w14:paraId="320A4596">
            <w:pPr>
              <w:widowControl/>
              <w:jc w:val="center"/>
              <w:rPr>
                <w:color w:val="auto"/>
                <w:kern w:val="0"/>
                <w:sz w:val="18"/>
                <w:szCs w:val="18"/>
                <w:highlight w:val="none"/>
              </w:rPr>
            </w:pPr>
            <w:r>
              <w:rPr>
                <w:color w:val="auto"/>
                <w:kern w:val="0"/>
                <w:sz w:val="18"/>
                <w:szCs w:val="18"/>
                <w:highlight w:val="none"/>
              </w:rPr>
              <w:t>从业人员(X)</w:t>
            </w:r>
          </w:p>
        </w:tc>
        <w:tc>
          <w:tcPr>
            <w:tcW w:w="709" w:type="dxa"/>
            <w:vAlign w:val="center"/>
          </w:tcPr>
          <w:p w14:paraId="001C6D09">
            <w:pPr>
              <w:widowControl/>
              <w:jc w:val="center"/>
              <w:rPr>
                <w:color w:val="auto"/>
                <w:kern w:val="0"/>
                <w:sz w:val="18"/>
                <w:szCs w:val="18"/>
                <w:highlight w:val="none"/>
              </w:rPr>
            </w:pPr>
            <w:r>
              <w:rPr>
                <w:color w:val="auto"/>
                <w:kern w:val="0"/>
                <w:sz w:val="18"/>
                <w:szCs w:val="18"/>
                <w:highlight w:val="none"/>
              </w:rPr>
              <w:t>人</w:t>
            </w:r>
          </w:p>
        </w:tc>
        <w:tc>
          <w:tcPr>
            <w:tcW w:w="1125" w:type="dxa"/>
            <w:vAlign w:val="center"/>
          </w:tcPr>
          <w:p w14:paraId="479B159C">
            <w:pPr>
              <w:widowControl/>
              <w:jc w:val="center"/>
              <w:rPr>
                <w:color w:val="auto"/>
                <w:kern w:val="0"/>
                <w:sz w:val="18"/>
                <w:szCs w:val="18"/>
                <w:highlight w:val="none"/>
              </w:rPr>
            </w:pPr>
            <w:r>
              <w:rPr>
                <w:color w:val="auto"/>
                <w:kern w:val="0"/>
                <w:sz w:val="18"/>
                <w:szCs w:val="18"/>
                <w:highlight w:val="none"/>
              </w:rPr>
              <w:t>X≥300</w:t>
            </w:r>
          </w:p>
        </w:tc>
        <w:tc>
          <w:tcPr>
            <w:tcW w:w="1701" w:type="dxa"/>
            <w:vAlign w:val="center"/>
          </w:tcPr>
          <w:p w14:paraId="75D728E0">
            <w:pPr>
              <w:widowControl/>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vAlign w:val="center"/>
          </w:tcPr>
          <w:p w14:paraId="5326900A">
            <w:pPr>
              <w:widowControl/>
              <w:jc w:val="center"/>
              <w:rPr>
                <w:color w:val="auto"/>
                <w:kern w:val="0"/>
                <w:sz w:val="18"/>
                <w:szCs w:val="18"/>
                <w:highlight w:val="none"/>
              </w:rPr>
            </w:pPr>
            <w:r>
              <w:rPr>
                <w:color w:val="auto"/>
                <w:kern w:val="0"/>
                <w:sz w:val="18"/>
                <w:szCs w:val="18"/>
                <w:highlight w:val="none"/>
              </w:rPr>
              <w:t>10≤X＜100</w:t>
            </w:r>
          </w:p>
        </w:tc>
        <w:tc>
          <w:tcPr>
            <w:tcW w:w="992" w:type="dxa"/>
            <w:vAlign w:val="center"/>
          </w:tcPr>
          <w:p w14:paraId="53BAAD01">
            <w:pPr>
              <w:widowControl/>
              <w:jc w:val="center"/>
              <w:rPr>
                <w:color w:val="auto"/>
                <w:kern w:val="0"/>
                <w:sz w:val="18"/>
                <w:szCs w:val="18"/>
                <w:highlight w:val="none"/>
              </w:rPr>
            </w:pPr>
            <w:r>
              <w:rPr>
                <w:color w:val="auto"/>
                <w:kern w:val="0"/>
                <w:sz w:val="18"/>
                <w:szCs w:val="18"/>
                <w:highlight w:val="none"/>
              </w:rPr>
              <w:t>X＜10</w:t>
            </w:r>
          </w:p>
        </w:tc>
      </w:tr>
    </w:tbl>
    <w:p w14:paraId="442BE4D3">
      <w:pPr>
        <w:pStyle w:val="27"/>
        <w:spacing w:line="380" w:lineRule="exact"/>
        <w:rPr>
          <w:rFonts w:hAnsi="宋体" w:cs="宋体"/>
          <w:color w:val="auto"/>
          <w:spacing w:val="8"/>
          <w:szCs w:val="21"/>
          <w:highlight w:val="none"/>
        </w:rPr>
      </w:pPr>
      <w:r>
        <w:rPr>
          <w:rFonts w:hint="eastAsia" w:hAnsi="宋体" w:cs="宋体"/>
          <w:color w:val="auto"/>
          <w:spacing w:val="8"/>
          <w:szCs w:val="21"/>
          <w:highlight w:val="none"/>
        </w:rPr>
        <w:t>说明：</w:t>
      </w:r>
    </w:p>
    <w:p w14:paraId="48C77F2B">
      <w:pPr>
        <w:tabs>
          <w:tab w:val="left" w:pos="1305"/>
        </w:tabs>
        <w:spacing w:line="380" w:lineRule="exact"/>
        <w:ind w:firstLine="420" w:firstLineChars="200"/>
        <w:rPr>
          <w:color w:val="auto"/>
          <w:highlight w:val="none"/>
        </w:rPr>
      </w:pPr>
      <w:r>
        <w:rPr>
          <w:rFonts w:hint="eastAsia"/>
          <w:color w:val="auto"/>
          <w:highlight w:val="none"/>
        </w:rPr>
        <w:t>1.大型、中型和小型企业须同时满足所列指标的下限，否则下划一档；微型企业只须满足所列指标中的一项即可。</w:t>
      </w:r>
    </w:p>
    <w:p w14:paraId="029B1B60">
      <w:pPr>
        <w:tabs>
          <w:tab w:val="left" w:pos="1305"/>
        </w:tabs>
        <w:spacing w:line="380" w:lineRule="exact"/>
        <w:ind w:firstLine="420" w:firstLineChars="200"/>
        <w:rPr>
          <w:color w:val="auto"/>
          <w:highlight w:val="none"/>
        </w:rPr>
      </w:pPr>
      <w:r>
        <w:rPr>
          <w:rFonts w:hint="eastAsia"/>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F585538">
      <w:pPr>
        <w:tabs>
          <w:tab w:val="left" w:pos="1305"/>
        </w:tabs>
        <w:spacing w:line="380" w:lineRule="exact"/>
        <w:ind w:firstLine="420" w:firstLineChars="200"/>
        <w:rPr>
          <w:rFonts w:hAnsi="宋体" w:cs="宋体"/>
          <w:color w:val="auto"/>
          <w:spacing w:val="8"/>
          <w:szCs w:val="21"/>
          <w:highlight w:val="none"/>
        </w:rPr>
      </w:pPr>
      <w:r>
        <w:rPr>
          <w:rFonts w:hint="eastAsia"/>
          <w:color w:val="auto"/>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4C1F15E">
      <w:pPr>
        <w:tabs>
          <w:tab w:val="left" w:pos="826"/>
        </w:tabs>
        <w:snapToGrid w:val="0"/>
        <w:spacing w:line="360" w:lineRule="auto"/>
        <w:rPr>
          <w:rFonts w:ascii="宋体" w:hAnsi="宋体" w:cs="宋体"/>
          <w:b/>
          <w:bCs/>
          <w:color w:val="auto"/>
          <w:szCs w:val="21"/>
          <w:highlight w:val="none"/>
        </w:rPr>
      </w:pPr>
    </w:p>
    <w:p w14:paraId="6F001552">
      <w:pPr>
        <w:spacing w:line="588" w:lineRule="exact"/>
        <w:jc w:val="center"/>
        <w:rPr>
          <w:rFonts w:ascii="宋体" w:hAnsi="宋体" w:cs="宋体"/>
          <w:b/>
          <w:color w:val="auto"/>
          <w:spacing w:val="6"/>
          <w:sz w:val="32"/>
          <w:szCs w:val="32"/>
          <w:highlight w:val="none"/>
        </w:rPr>
      </w:pPr>
    </w:p>
    <w:p w14:paraId="53EB2840">
      <w:pPr>
        <w:spacing w:line="588" w:lineRule="exact"/>
        <w:jc w:val="center"/>
        <w:rPr>
          <w:rFonts w:ascii="宋体" w:hAnsi="宋体" w:cs="宋体"/>
          <w:b/>
          <w:color w:val="auto"/>
          <w:spacing w:val="6"/>
          <w:sz w:val="32"/>
          <w:szCs w:val="32"/>
          <w:highlight w:val="none"/>
        </w:rPr>
      </w:pPr>
    </w:p>
    <w:p w14:paraId="781411DC">
      <w:pPr>
        <w:spacing w:line="588" w:lineRule="exact"/>
        <w:jc w:val="center"/>
        <w:rPr>
          <w:rFonts w:ascii="宋体" w:hAnsi="宋体" w:cs="宋体"/>
          <w:b/>
          <w:color w:val="auto"/>
          <w:spacing w:val="6"/>
          <w:sz w:val="32"/>
          <w:szCs w:val="32"/>
          <w:highlight w:val="none"/>
        </w:rPr>
      </w:pPr>
    </w:p>
    <w:p w14:paraId="20F35D0C">
      <w:pPr>
        <w:spacing w:line="588" w:lineRule="exact"/>
        <w:jc w:val="center"/>
        <w:rPr>
          <w:rFonts w:ascii="宋体" w:hAnsi="宋体" w:cs="宋体"/>
          <w:b/>
          <w:color w:val="auto"/>
          <w:spacing w:val="6"/>
          <w:sz w:val="32"/>
          <w:szCs w:val="32"/>
          <w:highlight w:val="none"/>
        </w:rPr>
      </w:pPr>
    </w:p>
    <w:p w14:paraId="593FF19A">
      <w:pPr>
        <w:spacing w:line="588" w:lineRule="exact"/>
        <w:jc w:val="center"/>
        <w:rPr>
          <w:rFonts w:ascii="宋体" w:hAnsi="宋体" w:cs="宋体"/>
          <w:b/>
          <w:color w:val="auto"/>
          <w:spacing w:val="6"/>
          <w:sz w:val="32"/>
          <w:szCs w:val="32"/>
          <w:highlight w:val="none"/>
        </w:rPr>
      </w:pPr>
    </w:p>
    <w:p w14:paraId="2E9F61BF">
      <w:pPr>
        <w:spacing w:line="588" w:lineRule="exact"/>
        <w:jc w:val="center"/>
        <w:rPr>
          <w:rFonts w:ascii="宋体" w:hAnsi="宋体" w:cs="宋体"/>
          <w:b/>
          <w:color w:val="auto"/>
          <w:spacing w:val="6"/>
          <w:sz w:val="32"/>
          <w:szCs w:val="32"/>
          <w:highlight w:val="none"/>
        </w:rPr>
      </w:pPr>
    </w:p>
    <w:p w14:paraId="6CB7F88F">
      <w:pPr>
        <w:spacing w:line="588" w:lineRule="exact"/>
        <w:jc w:val="center"/>
        <w:rPr>
          <w:rFonts w:ascii="宋体" w:hAnsi="宋体" w:cs="宋体"/>
          <w:b/>
          <w:color w:val="auto"/>
          <w:spacing w:val="6"/>
          <w:sz w:val="32"/>
          <w:szCs w:val="32"/>
          <w:highlight w:val="none"/>
        </w:rPr>
      </w:pPr>
    </w:p>
    <w:p w14:paraId="0E49AEA3">
      <w:pPr>
        <w:spacing w:line="588" w:lineRule="exact"/>
        <w:jc w:val="center"/>
        <w:rPr>
          <w:rFonts w:ascii="宋体" w:hAnsi="宋体" w:cs="宋体"/>
          <w:b/>
          <w:color w:val="auto"/>
          <w:spacing w:val="6"/>
          <w:sz w:val="32"/>
          <w:szCs w:val="32"/>
          <w:highlight w:val="none"/>
        </w:rPr>
      </w:pPr>
    </w:p>
    <w:p w14:paraId="5B876018">
      <w:pPr>
        <w:spacing w:line="588" w:lineRule="exact"/>
        <w:jc w:val="center"/>
        <w:rPr>
          <w:rFonts w:ascii="宋体" w:hAnsi="宋体" w:cs="宋体"/>
          <w:b/>
          <w:color w:val="auto"/>
          <w:spacing w:val="6"/>
          <w:sz w:val="32"/>
          <w:szCs w:val="32"/>
          <w:highlight w:val="none"/>
        </w:rPr>
      </w:pPr>
    </w:p>
    <w:p w14:paraId="67A642AC">
      <w:pPr>
        <w:spacing w:line="588" w:lineRule="exact"/>
        <w:jc w:val="center"/>
        <w:rPr>
          <w:rFonts w:ascii="宋体" w:hAnsi="宋体" w:cs="宋体"/>
          <w:b/>
          <w:color w:val="auto"/>
          <w:spacing w:val="6"/>
          <w:sz w:val="32"/>
          <w:szCs w:val="32"/>
          <w:highlight w:val="none"/>
        </w:rPr>
      </w:pPr>
    </w:p>
    <w:p w14:paraId="1600BEAE">
      <w:pPr>
        <w:spacing w:line="588" w:lineRule="exact"/>
        <w:jc w:val="center"/>
        <w:rPr>
          <w:rFonts w:ascii="宋体" w:hAnsi="宋体" w:cs="宋体"/>
          <w:b/>
          <w:color w:val="auto"/>
          <w:spacing w:val="6"/>
          <w:sz w:val="32"/>
          <w:szCs w:val="32"/>
          <w:highlight w:val="none"/>
        </w:rPr>
      </w:pPr>
    </w:p>
    <w:p w14:paraId="1BA0CE1F">
      <w:pPr>
        <w:spacing w:line="588" w:lineRule="exact"/>
        <w:jc w:val="center"/>
        <w:rPr>
          <w:rFonts w:ascii="宋体" w:hAnsi="宋体" w:cs="宋体"/>
          <w:b/>
          <w:color w:val="auto"/>
          <w:spacing w:val="6"/>
          <w:sz w:val="32"/>
          <w:szCs w:val="32"/>
          <w:highlight w:val="none"/>
        </w:rPr>
      </w:pPr>
    </w:p>
    <w:p w14:paraId="2B893CAD">
      <w:pPr>
        <w:spacing w:line="588" w:lineRule="exact"/>
        <w:jc w:val="center"/>
        <w:rPr>
          <w:rFonts w:ascii="宋体" w:hAnsi="宋体" w:cs="宋体"/>
          <w:b/>
          <w:color w:val="auto"/>
          <w:spacing w:val="6"/>
          <w:sz w:val="32"/>
          <w:szCs w:val="32"/>
          <w:highlight w:val="none"/>
        </w:rPr>
      </w:pPr>
    </w:p>
    <w:p w14:paraId="25A75C9E">
      <w:pPr>
        <w:spacing w:line="588" w:lineRule="exact"/>
        <w:jc w:val="center"/>
        <w:rPr>
          <w:rFonts w:ascii="宋体" w:hAnsi="宋体" w:cs="宋体"/>
          <w:b/>
          <w:color w:val="auto"/>
          <w:spacing w:val="6"/>
          <w:sz w:val="32"/>
          <w:szCs w:val="32"/>
          <w:highlight w:val="none"/>
        </w:rPr>
      </w:pPr>
    </w:p>
    <w:p w14:paraId="71B21FA2">
      <w:pPr>
        <w:spacing w:line="588" w:lineRule="exact"/>
        <w:jc w:val="center"/>
        <w:rPr>
          <w:rFonts w:ascii="宋体" w:hAnsi="宋体" w:cs="宋体"/>
          <w:b/>
          <w:color w:val="auto"/>
          <w:spacing w:val="6"/>
          <w:sz w:val="32"/>
          <w:szCs w:val="32"/>
          <w:highlight w:val="none"/>
        </w:rPr>
      </w:pPr>
    </w:p>
    <w:p w14:paraId="081891F9">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6B1DCB63">
      <w:pPr>
        <w:spacing w:line="588" w:lineRule="exact"/>
        <w:rPr>
          <w:rFonts w:ascii="宋体" w:hAnsi="宋体" w:cs="宋体"/>
          <w:b/>
          <w:color w:val="auto"/>
          <w:spacing w:val="6"/>
          <w:sz w:val="30"/>
          <w:szCs w:val="30"/>
          <w:highlight w:val="none"/>
        </w:rPr>
      </w:pPr>
    </w:p>
    <w:p w14:paraId="29FAC085">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号）的规定，本单位为符合条件的残疾人福利性单位，且本单位参加______单位的______项目采购活动，由本单位提供服务。</w:t>
      </w:r>
    </w:p>
    <w:p w14:paraId="0A7D230B">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2510F4BB">
      <w:pPr>
        <w:spacing w:line="588" w:lineRule="exact"/>
        <w:ind w:firstLine="504" w:firstLineChars="200"/>
        <w:rPr>
          <w:rFonts w:ascii="宋体" w:hAnsi="宋体" w:cs="宋体"/>
          <w:color w:val="auto"/>
          <w:spacing w:val="6"/>
          <w:sz w:val="24"/>
          <w:highlight w:val="none"/>
        </w:rPr>
      </w:pPr>
    </w:p>
    <w:p w14:paraId="05716B91">
      <w:pPr>
        <w:spacing w:line="588" w:lineRule="exact"/>
        <w:ind w:firstLine="504" w:firstLineChars="200"/>
        <w:rPr>
          <w:rFonts w:ascii="宋体" w:hAnsi="宋体" w:cs="宋体"/>
          <w:color w:val="auto"/>
          <w:spacing w:val="6"/>
          <w:sz w:val="24"/>
          <w:highlight w:val="none"/>
        </w:rPr>
      </w:pPr>
    </w:p>
    <w:p w14:paraId="6C2F18E8">
      <w:pPr>
        <w:snapToGrid w:val="0"/>
        <w:spacing w:before="50" w:line="400" w:lineRule="exact"/>
        <w:ind w:firstLine="5280" w:firstLineChars="2200"/>
        <w:jc w:val="left"/>
        <w:rPr>
          <w:rFonts w:ascii="宋体" w:hAnsi="宋体" w:cs="宋体"/>
          <w:color w:val="auto"/>
          <w:sz w:val="24"/>
          <w:highlight w:val="none"/>
        </w:rPr>
      </w:pPr>
      <w:r>
        <w:rPr>
          <w:rFonts w:hint="eastAsia" w:ascii="宋体" w:hAnsi="宋体" w:cs="宋体"/>
          <w:color w:val="auto"/>
          <w:sz w:val="24"/>
          <w:highlight w:val="none"/>
        </w:rPr>
        <w:t xml:space="preserve">企业名称[公章(CA签章)]： </w:t>
      </w:r>
    </w:p>
    <w:p w14:paraId="7CF0E92F">
      <w:pPr>
        <w:snapToGrid w:val="0"/>
        <w:spacing w:before="50" w:line="400" w:lineRule="exact"/>
        <w:ind w:firstLine="5520" w:firstLineChars="2300"/>
        <w:jc w:val="left"/>
        <w:rPr>
          <w:rFonts w:ascii="宋体" w:hAnsi="宋体" w:cs="宋体"/>
          <w:color w:val="auto"/>
          <w:sz w:val="24"/>
          <w:highlight w:val="none"/>
        </w:rPr>
      </w:pPr>
      <w:r>
        <w:rPr>
          <w:rFonts w:hint="eastAsia" w:ascii="宋体" w:hAnsi="宋体" w:cs="宋体"/>
          <w:color w:val="auto"/>
          <w:sz w:val="24"/>
          <w:highlight w:val="none"/>
        </w:rPr>
        <w:t xml:space="preserve">日 期： </w:t>
      </w:r>
    </w:p>
    <w:bookmarkEnd w:id="1086"/>
    <w:bookmarkEnd w:id="1087"/>
    <w:p w14:paraId="184F8B00">
      <w:pPr>
        <w:ind w:left="420"/>
        <w:jc w:val="center"/>
        <w:outlineLvl w:val="1"/>
        <w:rPr>
          <w:rFonts w:ascii="宋体" w:hAnsi="宋体" w:cs="宋体"/>
          <w:b/>
          <w:bCs/>
          <w:color w:val="auto"/>
          <w:sz w:val="32"/>
          <w:szCs w:val="32"/>
          <w:highlight w:val="none"/>
        </w:rPr>
      </w:pPr>
    </w:p>
    <w:p w14:paraId="37B2685D">
      <w:pPr>
        <w:ind w:left="420"/>
        <w:jc w:val="center"/>
        <w:outlineLvl w:val="1"/>
        <w:rPr>
          <w:rFonts w:ascii="宋体" w:hAnsi="宋体" w:cs="宋体"/>
          <w:b/>
          <w:bCs/>
          <w:color w:val="auto"/>
          <w:sz w:val="32"/>
          <w:szCs w:val="32"/>
          <w:highlight w:val="none"/>
        </w:rPr>
      </w:pPr>
    </w:p>
    <w:p w14:paraId="7A264D25">
      <w:pPr>
        <w:ind w:left="420"/>
        <w:jc w:val="center"/>
        <w:outlineLvl w:val="1"/>
        <w:rPr>
          <w:rFonts w:ascii="宋体" w:hAnsi="宋体" w:cs="宋体"/>
          <w:b/>
          <w:bCs/>
          <w:color w:val="auto"/>
          <w:sz w:val="32"/>
          <w:szCs w:val="32"/>
          <w:highlight w:val="none"/>
        </w:rPr>
      </w:pPr>
    </w:p>
    <w:p w14:paraId="509D614D">
      <w:pPr>
        <w:ind w:left="420"/>
        <w:jc w:val="center"/>
        <w:outlineLvl w:val="1"/>
        <w:rPr>
          <w:rFonts w:ascii="宋体" w:hAnsi="宋体" w:cs="宋体"/>
          <w:b/>
          <w:bCs/>
          <w:color w:val="auto"/>
          <w:sz w:val="32"/>
          <w:szCs w:val="32"/>
          <w:highlight w:val="none"/>
        </w:rPr>
      </w:pPr>
    </w:p>
    <w:p w14:paraId="23612D23">
      <w:pPr>
        <w:ind w:left="420"/>
        <w:jc w:val="center"/>
        <w:outlineLvl w:val="1"/>
        <w:rPr>
          <w:rFonts w:ascii="宋体" w:hAnsi="宋体" w:cs="宋体"/>
          <w:b/>
          <w:bCs/>
          <w:color w:val="auto"/>
          <w:sz w:val="32"/>
          <w:szCs w:val="32"/>
          <w:highlight w:val="none"/>
        </w:rPr>
      </w:pPr>
    </w:p>
    <w:p w14:paraId="0B6601C6">
      <w:pPr>
        <w:ind w:left="420"/>
        <w:jc w:val="center"/>
        <w:outlineLvl w:val="1"/>
        <w:rPr>
          <w:rFonts w:ascii="宋体" w:hAnsi="宋体" w:cs="宋体"/>
          <w:b/>
          <w:bCs/>
          <w:color w:val="auto"/>
          <w:sz w:val="32"/>
          <w:szCs w:val="32"/>
          <w:highlight w:val="none"/>
        </w:rPr>
      </w:pPr>
    </w:p>
    <w:p w14:paraId="6743842B">
      <w:pPr>
        <w:ind w:left="420"/>
        <w:jc w:val="center"/>
        <w:outlineLvl w:val="1"/>
        <w:rPr>
          <w:rFonts w:ascii="宋体" w:hAnsi="宋体" w:cs="宋体"/>
          <w:b/>
          <w:bCs/>
          <w:color w:val="auto"/>
          <w:sz w:val="32"/>
          <w:szCs w:val="32"/>
          <w:highlight w:val="none"/>
        </w:rPr>
      </w:pPr>
    </w:p>
    <w:p w14:paraId="69F6EB45">
      <w:pPr>
        <w:ind w:left="420"/>
        <w:jc w:val="center"/>
        <w:outlineLvl w:val="1"/>
        <w:rPr>
          <w:rFonts w:ascii="宋体" w:hAnsi="宋体" w:cs="宋体"/>
          <w:b/>
          <w:bCs/>
          <w:color w:val="auto"/>
          <w:sz w:val="32"/>
          <w:szCs w:val="32"/>
          <w:highlight w:val="none"/>
        </w:rPr>
      </w:pPr>
    </w:p>
    <w:p w14:paraId="49AD4823">
      <w:pPr>
        <w:ind w:left="420"/>
        <w:jc w:val="center"/>
        <w:outlineLvl w:val="1"/>
        <w:rPr>
          <w:rFonts w:ascii="宋体" w:hAnsi="宋体" w:cs="宋体"/>
          <w:b/>
          <w:bCs/>
          <w:color w:val="auto"/>
          <w:sz w:val="32"/>
          <w:szCs w:val="32"/>
          <w:highlight w:val="none"/>
        </w:rPr>
      </w:pPr>
    </w:p>
    <w:p w14:paraId="4C4C4442">
      <w:pPr>
        <w:ind w:left="420"/>
        <w:jc w:val="center"/>
        <w:outlineLvl w:val="1"/>
        <w:rPr>
          <w:rFonts w:ascii="宋体" w:hAnsi="宋体" w:cs="宋体"/>
          <w:b/>
          <w:bCs/>
          <w:color w:val="auto"/>
          <w:sz w:val="32"/>
          <w:szCs w:val="32"/>
          <w:highlight w:val="none"/>
        </w:rPr>
      </w:pPr>
    </w:p>
    <w:p w14:paraId="38781A8E">
      <w:pPr>
        <w:ind w:left="420"/>
        <w:jc w:val="center"/>
        <w:outlineLvl w:val="1"/>
        <w:rPr>
          <w:rFonts w:ascii="宋体" w:hAnsi="宋体" w:cs="宋体"/>
          <w:b/>
          <w:bCs/>
          <w:color w:val="auto"/>
          <w:sz w:val="32"/>
          <w:szCs w:val="32"/>
          <w:highlight w:val="none"/>
        </w:rPr>
      </w:pPr>
    </w:p>
    <w:p w14:paraId="313ED8FD">
      <w:pPr>
        <w:ind w:left="420"/>
        <w:jc w:val="center"/>
        <w:outlineLvl w:val="1"/>
        <w:rPr>
          <w:rFonts w:ascii="宋体" w:hAnsi="宋体" w:cs="宋体"/>
          <w:b/>
          <w:bCs/>
          <w:color w:val="auto"/>
          <w:sz w:val="32"/>
          <w:szCs w:val="32"/>
          <w:highlight w:val="none"/>
        </w:rPr>
      </w:pPr>
    </w:p>
    <w:p w14:paraId="5B7543F6">
      <w:pPr>
        <w:ind w:left="420"/>
        <w:jc w:val="center"/>
        <w:outlineLvl w:val="1"/>
        <w:rPr>
          <w:rFonts w:ascii="宋体" w:hAnsi="宋体" w:cs="宋体"/>
          <w:b/>
          <w:bCs/>
          <w:color w:val="auto"/>
          <w:sz w:val="32"/>
          <w:szCs w:val="32"/>
          <w:highlight w:val="none"/>
        </w:rPr>
      </w:pPr>
    </w:p>
    <w:p w14:paraId="0EF75626">
      <w:pPr>
        <w:ind w:left="420"/>
        <w:jc w:val="center"/>
        <w:outlineLvl w:val="1"/>
        <w:rPr>
          <w:rFonts w:ascii="宋体" w:hAnsi="宋体" w:cs="宋体"/>
          <w:b/>
          <w:bCs/>
          <w:color w:val="auto"/>
          <w:sz w:val="32"/>
          <w:szCs w:val="32"/>
          <w:highlight w:val="none"/>
        </w:rPr>
      </w:pPr>
    </w:p>
    <w:p w14:paraId="14B6B3D6">
      <w:pPr>
        <w:ind w:left="420"/>
        <w:jc w:val="center"/>
        <w:outlineLvl w:val="1"/>
        <w:rPr>
          <w:rFonts w:ascii="宋体" w:hAnsi="宋体" w:cs="宋体"/>
          <w:b/>
          <w:bCs/>
          <w:color w:val="auto"/>
          <w:sz w:val="32"/>
          <w:szCs w:val="32"/>
          <w:highlight w:val="none"/>
        </w:rPr>
      </w:pPr>
    </w:p>
    <w:p w14:paraId="2BB64D1C">
      <w:pPr>
        <w:ind w:left="420"/>
        <w:jc w:val="center"/>
        <w:outlineLvl w:val="1"/>
        <w:rPr>
          <w:rFonts w:ascii="宋体" w:hAnsi="宋体" w:cs="宋体"/>
          <w:b/>
          <w:bCs/>
          <w:color w:val="auto"/>
          <w:sz w:val="32"/>
          <w:szCs w:val="32"/>
          <w:highlight w:val="none"/>
        </w:rPr>
      </w:pPr>
    </w:p>
    <w:p w14:paraId="487AF3D4">
      <w:pPr>
        <w:ind w:left="420"/>
        <w:jc w:val="center"/>
        <w:outlineLvl w:val="1"/>
        <w:rPr>
          <w:rFonts w:ascii="宋体" w:hAnsi="宋体" w:cs="宋体"/>
          <w:b/>
          <w:bCs/>
          <w:color w:val="auto"/>
          <w:sz w:val="32"/>
          <w:szCs w:val="32"/>
          <w:highlight w:val="none"/>
        </w:rPr>
      </w:pPr>
    </w:p>
    <w:p w14:paraId="5CE85466">
      <w:pPr>
        <w:ind w:left="420"/>
        <w:jc w:val="center"/>
        <w:outlineLvl w:val="1"/>
        <w:rPr>
          <w:rFonts w:ascii="宋体" w:hAnsi="宋体" w:cs="宋体"/>
          <w:b/>
          <w:bCs/>
          <w:color w:val="auto"/>
          <w:sz w:val="32"/>
          <w:szCs w:val="32"/>
          <w:highlight w:val="none"/>
        </w:rPr>
      </w:pPr>
    </w:p>
    <w:p w14:paraId="66D45758">
      <w:pPr>
        <w:ind w:left="420"/>
        <w:jc w:val="center"/>
        <w:outlineLvl w:val="1"/>
        <w:rPr>
          <w:rFonts w:ascii="宋体" w:hAnsi="宋体" w:cs="宋体"/>
          <w:b/>
          <w:bCs/>
          <w:color w:val="auto"/>
          <w:sz w:val="32"/>
          <w:szCs w:val="32"/>
          <w:highlight w:val="none"/>
        </w:rPr>
      </w:pPr>
    </w:p>
    <w:p w14:paraId="6FE13E8D">
      <w:pPr>
        <w:ind w:left="420"/>
        <w:jc w:val="center"/>
        <w:outlineLvl w:val="1"/>
        <w:rPr>
          <w:rFonts w:ascii="宋体" w:hAnsi="宋体" w:cs="宋体"/>
          <w:b/>
          <w:bCs/>
          <w:color w:val="auto"/>
          <w:sz w:val="32"/>
          <w:szCs w:val="32"/>
          <w:highlight w:val="none"/>
        </w:rPr>
      </w:pPr>
    </w:p>
    <w:p w14:paraId="691DF2F2">
      <w:pPr>
        <w:spacing w:line="400" w:lineRule="exact"/>
        <w:outlineLvl w:val="1"/>
        <w:rPr>
          <w:rFonts w:ascii="宋体" w:hAnsi="宋体" w:cs="宋体"/>
          <w:b/>
          <w:bCs/>
          <w:iCs/>
          <w:color w:val="auto"/>
          <w:sz w:val="28"/>
          <w:szCs w:val="28"/>
          <w:highlight w:val="none"/>
        </w:rPr>
      </w:pPr>
      <w:r>
        <w:rPr>
          <w:rFonts w:hint="eastAsia" w:ascii="宋体" w:hAnsi="宋体" w:cs="宋体"/>
          <w:b/>
          <w:bCs/>
          <w:iCs/>
          <w:color w:val="auto"/>
          <w:sz w:val="28"/>
          <w:szCs w:val="28"/>
          <w:highlight w:val="none"/>
        </w:rPr>
        <w:t>2.供应商2022年1月1日以来具有同类项目的业绩相关证明材料（无不良记录，以中标、成交通知书或签订的合同为准，并能清晰反映项目的名称、采购内容、采购金额、采购时间）（如有，请提供）</w:t>
      </w:r>
      <w:bookmarkEnd w:id="1080"/>
      <w:bookmarkEnd w:id="1081"/>
      <w:bookmarkEnd w:id="1082"/>
      <w:bookmarkEnd w:id="1083"/>
      <w:bookmarkEnd w:id="1084"/>
      <w:bookmarkEnd w:id="1085"/>
    </w:p>
    <w:p w14:paraId="1A0FCBD2">
      <w:pPr>
        <w:rPr>
          <w:rFonts w:ascii="宋体" w:hAnsi="宋体" w:cs="宋体"/>
          <w:color w:val="auto"/>
          <w:highlight w:val="none"/>
        </w:rPr>
      </w:pPr>
    </w:p>
    <w:p w14:paraId="648B2772">
      <w:pPr>
        <w:rPr>
          <w:rFonts w:ascii="宋体" w:hAnsi="宋体" w:cs="宋体"/>
          <w:color w:val="auto"/>
          <w:highlight w:val="none"/>
        </w:rPr>
      </w:pPr>
    </w:p>
    <w:p w14:paraId="57FA46AC">
      <w:pPr>
        <w:tabs>
          <w:tab w:val="left" w:pos="1305"/>
        </w:tabs>
        <w:spacing w:line="360" w:lineRule="exact"/>
        <w:ind w:firstLine="420" w:firstLineChars="200"/>
        <w:rPr>
          <w:rFonts w:ascii="宋体" w:hAnsi="宋体" w:cs="宋体"/>
          <w:bCs/>
          <w:color w:val="auto"/>
          <w:kern w:val="0"/>
          <w:szCs w:val="21"/>
          <w:highlight w:val="none"/>
        </w:rPr>
      </w:pPr>
    </w:p>
    <w:p w14:paraId="3F1A64BF">
      <w:pPr>
        <w:tabs>
          <w:tab w:val="left" w:pos="1305"/>
        </w:tabs>
        <w:spacing w:line="360" w:lineRule="exact"/>
        <w:ind w:firstLine="420" w:firstLineChars="200"/>
        <w:rPr>
          <w:rFonts w:ascii="宋体" w:hAnsi="宋体" w:cs="宋体"/>
          <w:bCs/>
          <w:color w:val="auto"/>
          <w:kern w:val="0"/>
          <w:szCs w:val="21"/>
          <w:highlight w:val="none"/>
        </w:rPr>
      </w:pPr>
    </w:p>
    <w:p w14:paraId="1A619C92">
      <w:pPr>
        <w:tabs>
          <w:tab w:val="left" w:pos="1305"/>
        </w:tabs>
        <w:spacing w:line="360" w:lineRule="exact"/>
        <w:ind w:firstLine="560" w:firstLineChars="200"/>
        <w:rPr>
          <w:rFonts w:ascii="宋体" w:hAnsi="宋体" w:cs="宋体"/>
          <w:bCs/>
          <w:color w:val="auto"/>
          <w:kern w:val="0"/>
          <w:sz w:val="28"/>
          <w:szCs w:val="28"/>
          <w:highlight w:val="none"/>
        </w:rPr>
      </w:pPr>
    </w:p>
    <w:p w14:paraId="30391AE1">
      <w:pPr>
        <w:outlineLvl w:val="1"/>
        <w:rPr>
          <w:rFonts w:ascii="宋体" w:hAnsi="宋体" w:cs="宋体"/>
          <w:b/>
          <w:bCs/>
          <w:iCs/>
          <w:color w:val="auto"/>
          <w:sz w:val="28"/>
          <w:szCs w:val="28"/>
          <w:highlight w:val="none"/>
        </w:rPr>
      </w:pPr>
      <w:bookmarkStart w:id="1088" w:name="_Toc17885"/>
      <w:bookmarkStart w:id="1089" w:name="_Toc8204"/>
      <w:bookmarkStart w:id="1090" w:name="_Toc21485"/>
      <w:bookmarkStart w:id="1091" w:name="_Toc30255"/>
      <w:bookmarkStart w:id="1092" w:name="_Toc15093"/>
      <w:bookmarkStart w:id="1093" w:name="_Toc21043"/>
      <w:r>
        <w:rPr>
          <w:rFonts w:hint="eastAsia" w:ascii="宋体" w:hAnsi="宋体" w:cs="宋体"/>
          <w:b/>
          <w:bCs/>
          <w:iCs/>
          <w:color w:val="auto"/>
          <w:sz w:val="28"/>
          <w:szCs w:val="28"/>
          <w:highlight w:val="none"/>
        </w:rPr>
        <w:t>3.供应商可结合本项目自身情况自行提交其它相关证明材料。</w:t>
      </w:r>
      <w:bookmarkEnd w:id="1088"/>
      <w:bookmarkEnd w:id="1089"/>
      <w:bookmarkEnd w:id="1090"/>
      <w:bookmarkEnd w:id="1091"/>
      <w:bookmarkEnd w:id="1092"/>
      <w:bookmarkEnd w:id="1093"/>
    </w:p>
    <w:p w14:paraId="30E8A36C">
      <w:pPr>
        <w:rPr>
          <w:rFonts w:ascii="宋体" w:hAnsi="宋体" w:cs="宋体"/>
          <w:color w:val="auto"/>
          <w:highlight w:val="none"/>
        </w:rPr>
      </w:pPr>
    </w:p>
    <w:p w14:paraId="705FEC17">
      <w:pPr>
        <w:rPr>
          <w:rFonts w:ascii="宋体" w:hAnsi="宋体" w:cs="宋体"/>
          <w:color w:val="auto"/>
          <w:highlight w:val="none"/>
        </w:rPr>
      </w:pPr>
    </w:p>
    <w:p w14:paraId="51968BA9">
      <w:pPr>
        <w:rPr>
          <w:rFonts w:ascii="宋体" w:hAnsi="宋体" w:cs="宋体"/>
          <w:color w:val="auto"/>
          <w:highlight w:val="none"/>
        </w:rPr>
      </w:pPr>
    </w:p>
    <w:p w14:paraId="506C1A6F">
      <w:pPr>
        <w:jc w:val="center"/>
        <w:outlineLvl w:val="0"/>
        <w:rPr>
          <w:rFonts w:ascii="宋体" w:hAnsi="宋体" w:cs="宋体"/>
          <w:b/>
          <w:bCs/>
          <w:color w:val="auto"/>
          <w:sz w:val="32"/>
          <w:szCs w:val="32"/>
          <w:highlight w:val="none"/>
        </w:rPr>
      </w:pPr>
      <w:bookmarkStart w:id="1094" w:name="_Toc16284"/>
      <w:bookmarkStart w:id="1095" w:name="_Toc6973"/>
      <w:bookmarkStart w:id="1096" w:name="_Toc2237"/>
      <w:bookmarkStart w:id="1097" w:name="_Toc22545"/>
      <w:bookmarkStart w:id="1098" w:name="_Toc12385"/>
      <w:bookmarkStart w:id="1099" w:name="_Toc1637952"/>
      <w:bookmarkStart w:id="1100" w:name="_Toc16390"/>
      <w:bookmarkStart w:id="1101" w:name="_Toc18780"/>
      <w:r>
        <w:rPr>
          <w:rFonts w:hint="eastAsia" w:ascii="宋体" w:hAnsi="宋体" w:cs="宋体"/>
          <w:b/>
          <w:bCs/>
          <w:color w:val="auto"/>
          <w:sz w:val="32"/>
          <w:szCs w:val="32"/>
          <w:highlight w:val="none"/>
        </w:rPr>
        <w:br w:type="page"/>
      </w:r>
      <w:bookmarkStart w:id="1102" w:name="_Toc13893"/>
      <w:r>
        <w:rPr>
          <w:rFonts w:hint="eastAsia" w:ascii="宋体" w:hAnsi="宋体" w:cs="宋体"/>
          <w:b/>
          <w:bCs/>
          <w:color w:val="auto"/>
          <w:sz w:val="32"/>
          <w:szCs w:val="32"/>
          <w:highlight w:val="none"/>
        </w:rPr>
        <w:t xml:space="preserve">第七章  </w:t>
      </w:r>
      <w:bookmarkEnd w:id="1094"/>
      <w:bookmarkEnd w:id="1095"/>
      <w:bookmarkEnd w:id="1096"/>
      <w:bookmarkEnd w:id="1097"/>
      <w:bookmarkEnd w:id="1098"/>
      <w:bookmarkEnd w:id="1099"/>
      <w:bookmarkEnd w:id="1100"/>
      <w:bookmarkEnd w:id="1101"/>
      <w:bookmarkEnd w:id="1102"/>
      <w:bookmarkStart w:id="1103" w:name="_Toc31419"/>
      <w:bookmarkStart w:id="1104" w:name="_Toc16028"/>
      <w:bookmarkStart w:id="1105" w:name="_Toc389065348"/>
      <w:bookmarkStart w:id="1106" w:name="_Toc358569767"/>
      <w:r>
        <w:rPr>
          <w:rFonts w:hint="eastAsia" w:ascii="宋体" w:hAnsi="宋体" w:cs="宋体"/>
          <w:b/>
          <w:bCs/>
          <w:color w:val="auto"/>
          <w:sz w:val="32"/>
          <w:szCs w:val="32"/>
          <w:highlight w:val="none"/>
        </w:rPr>
        <w:t xml:space="preserve">  技术标准和要求</w:t>
      </w:r>
      <w:bookmarkEnd w:id="1103"/>
      <w:bookmarkEnd w:id="1104"/>
      <w:bookmarkEnd w:id="1105"/>
      <w:bookmarkEnd w:id="1106"/>
    </w:p>
    <w:p w14:paraId="1E540613">
      <w:pPr>
        <w:jc w:val="center"/>
        <w:rPr>
          <w:rFonts w:ascii="宋体" w:hAnsi="宋体" w:cs="宋体"/>
          <w:color w:val="auto"/>
          <w:szCs w:val="21"/>
          <w:highlight w:val="none"/>
        </w:rPr>
      </w:pPr>
      <w:bookmarkStart w:id="1107" w:name="_Toc349555826"/>
      <w:bookmarkStart w:id="1108" w:name="_Toc349557651"/>
    </w:p>
    <w:p w14:paraId="60565B09">
      <w:pPr>
        <w:jc w:val="center"/>
        <w:rPr>
          <w:rFonts w:ascii="宋体" w:hAnsi="宋体" w:cs="宋体"/>
          <w:color w:val="auto"/>
          <w:szCs w:val="21"/>
          <w:highlight w:val="none"/>
        </w:rPr>
      </w:pPr>
    </w:p>
    <w:p w14:paraId="02C400A8">
      <w:pPr>
        <w:jc w:val="center"/>
        <w:rPr>
          <w:rFonts w:ascii="宋体" w:hAnsi="宋体" w:cs="宋体"/>
          <w:color w:val="auto"/>
          <w:highlight w:val="none"/>
        </w:rPr>
      </w:pPr>
      <w:r>
        <w:rPr>
          <w:rFonts w:hint="eastAsia" w:ascii="宋体" w:hAnsi="宋体" w:cs="宋体"/>
          <w:b/>
          <w:color w:val="auto"/>
          <w:kern w:val="0"/>
          <w:sz w:val="24"/>
          <w:highlight w:val="none"/>
        </w:rPr>
        <w:t>按现行有关的建设标准、技术规范执行</w:t>
      </w:r>
      <w:bookmarkEnd w:id="1107"/>
      <w:bookmarkEnd w:id="1108"/>
      <w:r>
        <w:rPr>
          <w:rFonts w:hint="eastAsia" w:ascii="宋体" w:hAnsi="宋体" w:cs="宋体"/>
          <w:b/>
          <w:color w:val="auto"/>
          <w:kern w:val="0"/>
          <w:sz w:val="24"/>
          <w:highlight w:val="none"/>
        </w:rPr>
        <w:t>。</w:t>
      </w:r>
    </w:p>
    <w:sectPr>
      <w:headerReference r:id="rId5" w:type="default"/>
      <w:footerReference r:id="rId6" w:type="default"/>
      <w:pgSz w:w="11910" w:h="16850"/>
      <w:pgMar w:top="1440" w:right="1080" w:bottom="1440" w:left="1080" w:header="876" w:footer="861"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1F64">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E027">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DA11">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E4C21">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E3E4C21">
                    <w:pPr>
                      <w:pStyle w:val="33"/>
                    </w:pPr>
                    <w:r>
                      <w:fldChar w:fldCharType="begin"/>
                    </w:r>
                    <w:r>
                      <w:instrText xml:space="preserve"> PAGE  \* MERGEFORMAT </w:instrText>
                    </w:r>
                    <w:r>
                      <w:fldChar w:fldCharType="separate"/>
                    </w:r>
                    <w:r>
                      <w:t>3</w:t>
                    </w:r>
                    <w:r>
                      <w:fldChar w:fldCharType="end"/>
                    </w:r>
                  </w:p>
                </w:txbxContent>
              </v:textbox>
            </v:shape>
          </w:pict>
        </mc:Fallback>
      </mc:AlternateContent>
    </w:r>
  </w:p>
  <w:p w14:paraId="143BEC3C">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E17B">
    <w:pPr>
      <w:pStyle w:val="3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939AA4F"/>
    <w:multiLevelType w:val="singleLevel"/>
    <w:tmpl w:val="2939AA4F"/>
    <w:lvl w:ilvl="0" w:tentative="0">
      <w:start w:val="1"/>
      <w:numFmt w:val="decimal"/>
      <w:suff w:val="nothing"/>
      <w:lvlText w:val="（%1）"/>
      <w:lvlJc w:val="left"/>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5B9D5306"/>
    <w:multiLevelType w:val="singleLevel"/>
    <w:tmpl w:val="5B9D5306"/>
    <w:lvl w:ilvl="0" w:tentative="0">
      <w:start w:val="2"/>
      <w:numFmt w:val="decimal"/>
      <w:suff w:val="nothing"/>
      <w:lvlText w:val="（%1）"/>
      <w:lvlJc w:val="left"/>
    </w:lvl>
  </w:abstractNum>
  <w:abstractNum w:abstractNumId="7">
    <w:nsid w:val="6AD43707"/>
    <w:multiLevelType w:val="singleLevel"/>
    <w:tmpl w:val="6AD43707"/>
    <w:lvl w:ilvl="0" w:tentative="0">
      <w:start w:val="5"/>
      <w:numFmt w:val="decimal"/>
      <w:suff w:val="space"/>
      <w:lvlText w:val="%1."/>
      <w:lvlJc w:val="left"/>
    </w:lvl>
  </w:abstractNum>
  <w:num w:numId="1">
    <w:abstractNumId w:val="7"/>
  </w:num>
  <w:num w:numId="2">
    <w:abstractNumId w:val="1"/>
  </w:num>
  <w:num w:numId="3">
    <w:abstractNumId w:val="0"/>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YmVmMTJkM2I4ZDRhNzFmMzViZDkxYzdjZGJiZjcifQ=="/>
    <w:docVar w:name="KSO_WPS_MARK_KEY" w:val="68fb9cac-c0d0-464c-ac6a-d486594beed4"/>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2A27"/>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060B1"/>
    <w:rsid w:val="0061134E"/>
    <w:rsid w:val="00621CEC"/>
    <w:rsid w:val="00635284"/>
    <w:rsid w:val="006375F3"/>
    <w:rsid w:val="00643766"/>
    <w:rsid w:val="00647915"/>
    <w:rsid w:val="00647C76"/>
    <w:rsid w:val="0065471A"/>
    <w:rsid w:val="00671204"/>
    <w:rsid w:val="006715CE"/>
    <w:rsid w:val="006727E6"/>
    <w:rsid w:val="00676A7F"/>
    <w:rsid w:val="00681FA4"/>
    <w:rsid w:val="00692DAD"/>
    <w:rsid w:val="00696E23"/>
    <w:rsid w:val="006A0233"/>
    <w:rsid w:val="006A14CB"/>
    <w:rsid w:val="006A666E"/>
    <w:rsid w:val="006B3C57"/>
    <w:rsid w:val="006C1848"/>
    <w:rsid w:val="006D158E"/>
    <w:rsid w:val="006D6F0F"/>
    <w:rsid w:val="006E127D"/>
    <w:rsid w:val="006E2CAA"/>
    <w:rsid w:val="00703D1A"/>
    <w:rsid w:val="00714F4B"/>
    <w:rsid w:val="00715160"/>
    <w:rsid w:val="007233FB"/>
    <w:rsid w:val="00733D90"/>
    <w:rsid w:val="00736BDB"/>
    <w:rsid w:val="00743260"/>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2477"/>
    <w:rsid w:val="00CC6A23"/>
    <w:rsid w:val="00CE0FE2"/>
    <w:rsid w:val="00CF00F0"/>
    <w:rsid w:val="00CF0977"/>
    <w:rsid w:val="00CF6674"/>
    <w:rsid w:val="00D055B1"/>
    <w:rsid w:val="00D05C88"/>
    <w:rsid w:val="00D10369"/>
    <w:rsid w:val="00D15D74"/>
    <w:rsid w:val="00D16646"/>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2071AD"/>
    <w:rsid w:val="01543C57"/>
    <w:rsid w:val="01791991"/>
    <w:rsid w:val="019F1BEA"/>
    <w:rsid w:val="01A32A0C"/>
    <w:rsid w:val="01B97AC1"/>
    <w:rsid w:val="01FC10EF"/>
    <w:rsid w:val="020C43CC"/>
    <w:rsid w:val="021871C8"/>
    <w:rsid w:val="02342041"/>
    <w:rsid w:val="02353B5E"/>
    <w:rsid w:val="025A704C"/>
    <w:rsid w:val="029167E5"/>
    <w:rsid w:val="029727B7"/>
    <w:rsid w:val="02FE4615"/>
    <w:rsid w:val="03046B20"/>
    <w:rsid w:val="033B5B99"/>
    <w:rsid w:val="0360556D"/>
    <w:rsid w:val="0394000D"/>
    <w:rsid w:val="03B44752"/>
    <w:rsid w:val="03C31792"/>
    <w:rsid w:val="03DD6186"/>
    <w:rsid w:val="044C3B8E"/>
    <w:rsid w:val="045C444A"/>
    <w:rsid w:val="046B56CD"/>
    <w:rsid w:val="04797D1B"/>
    <w:rsid w:val="048159B7"/>
    <w:rsid w:val="048E3466"/>
    <w:rsid w:val="048F3F30"/>
    <w:rsid w:val="04936845"/>
    <w:rsid w:val="04A034A9"/>
    <w:rsid w:val="04A362D9"/>
    <w:rsid w:val="04A50C67"/>
    <w:rsid w:val="04FE39CA"/>
    <w:rsid w:val="04FF5AEC"/>
    <w:rsid w:val="050F365D"/>
    <w:rsid w:val="0546524F"/>
    <w:rsid w:val="055037B9"/>
    <w:rsid w:val="055406CA"/>
    <w:rsid w:val="0556373A"/>
    <w:rsid w:val="055D1B99"/>
    <w:rsid w:val="0569768E"/>
    <w:rsid w:val="057B0515"/>
    <w:rsid w:val="058645FB"/>
    <w:rsid w:val="058F5C90"/>
    <w:rsid w:val="059D67A3"/>
    <w:rsid w:val="05B1175A"/>
    <w:rsid w:val="05BB42A5"/>
    <w:rsid w:val="05BD140C"/>
    <w:rsid w:val="05CA794E"/>
    <w:rsid w:val="05FC5DF0"/>
    <w:rsid w:val="06041F0D"/>
    <w:rsid w:val="06186DAE"/>
    <w:rsid w:val="061F2581"/>
    <w:rsid w:val="062D4371"/>
    <w:rsid w:val="062F0B5F"/>
    <w:rsid w:val="06314567"/>
    <w:rsid w:val="063253FF"/>
    <w:rsid w:val="0637588F"/>
    <w:rsid w:val="06381797"/>
    <w:rsid w:val="06564195"/>
    <w:rsid w:val="065B7F48"/>
    <w:rsid w:val="066415F1"/>
    <w:rsid w:val="06782B10"/>
    <w:rsid w:val="068439A7"/>
    <w:rsid w:val="068C566F"/>
    <w:rsid w:val="06B72BC7"/>
    <w:rsid w:val="06BC0C19"/>
    <w:rsid w:val="06DF5D71"/>
    <w:rsid w:val="07283BBC"/>
    <w:rsid w:val="074759E2"/>
    <w:rsid w:val="0749768F"/>
    <w:rsid w:val="079B7C31"/>
    <w:rsid w:val="07A11279"/>
    <w:rsid w:val="07AD34DA"/>
    <w:rsid w:val="07CB3375"/>
    <w:rsid w:val="07CC43E5"/>
    <w:rsid w:val="07D43A0A"/>
    <w:rsid w:val="07F00B88"/>
    <w:rsid w:val="0807124B"/>
    <w:rsid w:val="08420CAE"/>
    <w:rsid w:val="084560A8"/>
    <w:rsid w:val="08607919"/>
    <w:rsid w:val="08734357"/>
    <w:rsid w:val="09095327"/>
    <w:rsid w:val="090E6DE2"/>
    <w:rsid w:val="092B4FFE"/>
    <w:rsid w:val="09616F12"/>
    <w:rsid w:val="09824EA9"/>
    <w:rsid w:val="09AC6783"/>
    <w:rsid w:val="09B51892"/>
    <w:rsid w:val="09BD3AF5"/>
    <w:rsid w:val="09CD18FD"/>
    <w:rsid w:val="09FC1DC3"/>
    <w:rsid w:val="0A053D41"/>
    <w:rsid w:val="0A571B81"/>
    <w:rsid w:val="0A5E6146"/>
    <w:rsid w:val="0A890D51"/>
    <w:rsid w:val="0A8C1B57"/>
    <w:rsid w:val="0A92134D"/>
    <w:rsid w:val="0A9F23E7"/>
    <w:rsid w:val="0AB17FEF"/>
    <w:rsid w:val="0AD90D68"/>
    <w:rsid w:val="0AE17F1C"/>
    <w:rsid w:val="0B024724"/>
    <w:rsid w:val="0B1C57E6"/>
    <w:rsid w:val="0B5302ED"/>
    <w:rsid w:val="0B56486A"/>
    <w:rsid w:val="0B5A630E"/>
    <w:rsid w:val="0B7E7085"/>
    <w:rsid w:val="0B806FF8"/>
    <w:rsid w:val="0B9A7C95"/>
    <w:rsid w:val="0B9F11F4"/>
    <w:rsid w:val="0BCE42CE"/>
    <w:rsid w:val="0BF422BF"/>
    <w:rsid w:val="0C026FFF"/>
    <w:rsid w:val="0C0A3890"/>
    <w:rsid w:val="0C1069CD"/>
    <w:rsid w:val="0C123672"/>
    <w:rsid w:val="0C140D82"/>
    <w:rsid w:val="0C796C68"/>
    <w:rsid w:val="0C9F66CF"/>
    <w:rsid w:val="0CA359A6"/>
    <w:rsid w:val="0CB921E5"/>
    <w:rsid w:val="0CBC447D"/>
    <w:rsid w:val="0CC05EC8"/>
    <w:rsid w:val="0CC55A09"/>
    <w:rsid w:val="0CD36378"/>
    <w:rsid w:val="0CE13D52"/>
    <w:rsid w:val="0CEC11E8"/>
    <w:rsid w:val="0CF4418A"/>
    <w:rsid w:val="0D15073F"/>
    <w:rsid w:val="0D366907"/>
    <w:rsid w:val="0D490AEC"/>
    <w:rsid w:val="0D605732"/>
    <w:rsid w:val="0D614C7B"/>
    <w:rsid w:val="0D712C92"/>
    <w:rsid w:val="0D904B5A"/>
    <w:rsid w:val="0DBB646B"/>
    <w:rsid w:val="0DBE74A6"/>
    <w:rsid w:val="0DD028B8"/>
    <w:rsid w:val="0DFB4557"/>
    <w:rsid w:val="0E2F5189"/>
    <w:rsid w:val="0E4150FA"/>
    <w:rsid w:val="0E71088B"/>
    <w:rsid w:val="0EC00B7E"/>
    <w:rsid w:val="0ED03E48"/>
    <w:rsid w:val="0EEA1757"/>
    <w:rsid w:val="0F054D16"/>
    <w:rsid w:val="0F0B0898"/>
    <w:rsid w:val="0F103AD7"/>
    <w:rsid w:val="0F21235A"/>
    <w:rsid w:val="0F492922"/>
    <w:rsid w:val="0F512100"/>
    <w:rsid w:val="0F5D017B"/>
    <w:rsid w:val="0F5E6FEA"/>
    <w:rsid w:val="0F71201B"/>
    <w:rsid w:val="0F9E6A41"/>
    <w:rsid w:val="0FBB77FF"/>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A81620"/>
    <w:rsid w:val="11D010D8"/>
    <w:rsid w:val="11DB1BC5"/>
    <w:rsid w:val="11DD3607"/>
    <w:rsid w:val="120B1515"/>
    <w:rsid w:val="124F46F3"/>
    <w:rsid w:val="12543AB7"/>
    <w:rsid w:val="12846E41"/>
    <w:rsid w:val="129056B5"/>
    <w:rsid w:val="12B0405A"/>
    <w:rsid w:val="12B66D7E"/>
    <w:rsid w:val="12C4029B"/>
    <w:rsid w:val="130059ED"/>
    <w:rsid w:val="130C25E4"/>
    <w:rsid w:val="134148EC"/>
    <w:rsid w:val="13503220"/>
    <w:rsid w:val="13762452"/>
    <w:rsid w:val="138231D2"/>
    <w:rsid w:val="13887C14"/>
    <w:rsid w:val="139B5716"/>
    <w:rsid w:val="13A50343"/>
    <w:rsid w:val="13A83FEE"/>
    <w:rsid w:val="13C37044"/>
    <w:rsid w:val="13D527EF"/>
    <w:rsid w:val="13D9584A"/>
    <w:rsid w:val="13F63148"/>
    <w:rsid w:val="14036F6F"/>
    <w:rsid w:val="14341EA0"/>
    <w:rsid w:val="146F39FE"/>
    <w:rsid w:val="14705EE9"/>
    <w:rsid w:val="14714C4C"/>
    <w:rsid w:val="14844010"/>
    <w:rsid w:val="14867A8D"/>
    <w:rsid w:val="14951E8E"/>
    <w:rsid w:val="149E13F0"/>
    <w:rsid w:val="14B71508"/>
    <w:rsid w:val="14C556E2"/>
    <w:rsid w:val="15066EC8"/>
    <w:rsid w:val="15086DDB"/>
    <w:rsid w:val="150A4901"/>
    <w:rsid w:val="150C3747"/>
    <w:rsid w:val="1523598F"/>
    <w:rsid w:val="154A2ABB"/>
    <w:rsid w:val="15A703A2"/>
    <w:rsid w:val="15CC1BB7"/>
    <w:rsid w:val="15E2587E"/>
    <w:rsid w:val="15EE0320"/>
    <w:rsid w:val="161F6CA6"/>
    <w:rsid w:val="162B4B2F"/>
    <w:rsid w:val="163B4748"/>
    <w:rsid w:val="163B5944"/>
    <w:rsid w:val="164D77A8"/>
    <w:rsid w:val="166A62AA"/>
    <w:rsid w:val="168461AB"/>
    <w:rsid w:val="16B42F26"/>
    <w:rsid w:val="16CE38AF"/>
    <w:rsid w:val="16D42E36"/>
    <w:rsid w:val="16EA4574"/>
    <w:rsid w:val="172C7FDC"/>
    <w:rsid w:val="175869FE"/>
    <w:rsid w:val="17663A36"/>
    <w:rsid w:val="17955AF0"/>
    <w:rsid w:val="17960363"/>
    <w:rsid w:val="1796651F"/>
    <w:rsid w:val="17981307"/>
    <w:rsid w:val="17A77202"/>
    <w:rsid w:val="17E92EF4"/>
    <w:rsid w:val="1818432D"/>
    <w:rsid w:val="18234DFF"/>
    <w:rsid w:val="18300B23"/>
    <w:rsid w:val="18321F5C"/>
    <w:rsid w:val="1857752E"/>
    <w:rsid w:val="18605E3F"/>
    <w:rsid w:val="187F47D6"/>
    <w:rsid w:val="18B54B84"/>
    <w:rsid w:val="18B851FD"/>
    <w:rsid w:val="18BB20F3"/>
    <w:rsid w:val="18DC15CE"/>
    <w:rsid w:val="18DE1CB6"/>
    <w:rsid w:val="190046F4"/>
    <w:rsid w:val="191B66E5"/>
    <w:rsid w:val="192E4A76"/>
    <w:rsid w:val="19D21766"/>
    <w:rsid w:val="19FB6683"/>
    <w:rsid w:val="19FD48D6"/>
    <w:rsid w:val="1A115020"/>
    <w:rsid w:val="1A372A66"/>
    <w:rsid w:val="1A737ED0"/>
    <w:rsid w:val="1AA20B6A"/>
    <w:rsid w:val="1AAE2E67"/>
    <w:rsid w:val="1AD301C7"/>
    <w:rsid w:val="1ADD2E53"/>
    <w:rsid w:val="1B2702E8"/>
    <w:rsid w:val="1B3064BA"/>
    <w:rsid w:val="1B9A62B3"/>
    <w:rsid w:val="1B9B111C"/>
    <w:rsid w:val="1BC8507E"/>
    <w:rsid w:val="1BDD2D6F"/>
    <w:rsid w:val="1BE532FE"/>
    <w:rsid w:val="1BF02338"/>
    <w:rsid w:val="1BF648BE"/>
    <w:rsid w:val="1C1C299A"/>
    <w:rsid w:val="1C247350"/>
    <w:rsid w:val="1C67088B"/>
    <w:rsid w:val="1C7D1E5D"/>
    <w:rsid w:val="1C8834C4"/>
    <w:rsid w:val="1C9635A4"/>
    <w:rsid w:val="1CA07888"/>
    <w:rsid w:val="1CC436F9"/>
    <w:rsid w:val="1D105BB2"/>
    <w:rsid w:val="1D1C65C6"/>
    <w:rsid w:val="1D2D13FF"/>
    <w:rsid w:val="1D454B1B"/>
    <w:rsid w:val="1D5125EB"/>
    <w:rsid w:val="1D8E2A78"/>
    <w:rsid w:val="1DD61D08"/>
    <w:rsid w:val="1E081BFA"/>
    <w:rsid w:val="1E0D3161"/>
    <w:rsid w:val="1E1A243D"/>
    <w:rsid w:val="1E1A491E"/>
    <w:rsid w:val="1E36042F"/>
    <w:rsid w:val="1E387133"/>
    <w:rsid w:val="1E48649A"/>
    <w:rsid w:val="1E4A3FC0"/>
    <w:rsid w:val="1E5170FD"/>
    <w:rsid w:val="1E521E5C"/>
    <w:rsid w:val="1E5E181A"/>
    <w:rsid w:val="1E6F1C79"/>
    <w:rsid w:val="1E9265F0"/>
    <w:rsid w:val="1EA736F8"/>
    <w:rsid w:val="1EC37D91"/>
    <w:rsid w:val="1ECE074D"/>
    <w:rsid w:val="1F04026B"/>
    <w:rsid w:val="1F3D58D3"/>
    <w:rsid w:val="1F8A4FBC"/>
    <w:rsid w:val="1FA66046"/>
    <w:rsid w:val="1FE12DE5"/>
    <w:rsid w:val="1FE16016"/>
    <w:rsid w:val="1FE52564"/>
    <w:rsid w:val="200C3C23"/>
    <w:rsid w:val="20436A08"/>
    <w:rsid w:val="20564E9E"/>
    <w:rsid w:val="205C6834"/>
    <w:rsid w:val="205F52D4"/>
    <w:rsid w:val="206F41B2"/>
    <w:rsid w:val="207E7F77"/>
    <w:rsid w:val="20847555"/>
    <w:rsid w:val="20B52727"/>
    <w:rsid w:val="20E303D3"/>
    <w:rsid w:val="21265E4F"/>
    <w:rsid w:val="212C3F92"/>
    <w:rsid w:val="213A30F3"/>
    <w:rsid w:val="21423675"/>
    <w:rsid w:val="21463165"/>
    <w:rsid w:val="2177567B"/>
    <w:rsid w:val="217C6B87"/>
    <w:rsid w:val="21D0113C"/>
    <w:rsid w:val="21DD6EFA"/>
    <w:rsid w:val="21E40288"/>
    <w:rsid w:val="220B5DF0"/>
    <w:rsid w:val="22140B6D"/>
    <w:rsid w:val="222A78BB"/>
    <w:rsid w:val="226338A3"/>
    <w:rsid w:val="226A4F03"/>
    <w:rsid w:val="227114F9"/>
    <w:rsid w:val="228D26CE"/>
    <w:rsid w:val="22A2261D"/>
    <w:rsid w:val="22A77C33"/>
    <w:rsid w:val="230A0DF6"/>
    <w:rsid w:val="2318544F"/>
    <w:rsid w:val="23A17CD6"/>
    <w:rsid w:val="242B219E"/>
    <w:rsid w:val="24582461"/>
    <w:rsid w:val="246C588C"/>
    <w:rsid w:val="24701C01"/>
    <w:rsid w:val="249473FB"/>
    <w:rsid w:val="24A30AF0"/>
    <w:rsid w:val="24B0709F"/>
    <w:rsid w:val="24B30B11"/>
    <w:rsid w:val="24C85C3F"/>
    <w:rsid w:val="24D36BE2"/>
    <w:rsid w:val="24E65A81"/>
    <w:rsid w:val="250F5077"/>
    <w:rsid w:val="250F7D12"/>
    <w:rsid w:val="25227CA1"/>
    <w:rsid w:val="255E4015"/>
    <w:rsid w:val="257003D2"/>
    <w:rsid w:val="257A447E"/>
    <w:rsid w:val="25DF553A"/>
    <w:rsid w:val="26061115"/>
    <w:rsid w:val="26247424"/>
    <w:rsid w:val="26636159"/>
    <w:rsid w:val="26851A34"/>
    <w:rsid w:val="26A5654C"/>
    <w:rsid w:val="26AD5B77"/>
    <w:rsid w:val="26D42FC1"/>
    <w:rsid w:val="26D80785"/>
    <w:rsid w:val="26DD412B"/>
    <w:rsid w:val="27030352"/>
    <w:rsid w:val="27507FF3"/>
    <w:rsid w:val="275B19F5"/>
    <w:rsid w:val="2762237B"/>
    <w:rsid w:val="276E0D20"/>
    <w:rsid w:val="27805F80"/>
    <w:rsid w:val="27973840"/>
    <w:rsid w:val="27986805"/>
    <w:rsid w:val="279E3C38"/>
    <w:rsid w:val="27B47404"/>
    <w:rsid w:val="27C7448E"/>
    <w:rsid w:val="27EB681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53905"/>
    <w:rsid w:val="2B3C2EE3"/>
    <w:rsid w:val="2B68109E"/>
    <w:rsid w:val="2B73203E"/>
    <w:rsid w:val="2B74525E"/>
    <w:rsid w:val="2B7D7783"/>
    <w:rsid w:val="2BD40CBE"/>
    <w:rsid w:val="2C192986"/>
    <w:rsid w:val="2C1F2B66"/>
    <w:rsid w:val="2C397017"/>
    <w:rsid w:val="2C6E17C2"/>
    <w:rsid w:val="2C732934"/>
    <w:rsid w:val="2C7F6DBF"/>
    <w:rsid w:val="2C800F7A"/>
    <w:rsid w:val="2CEC3EC3"/>
    <w:rsid w:val="2CF3012F"/>
    <w:rsid w:val="2CFA1C67"/>
    <w:rsid w:val="2D236108"/>
    <w:rsid w:val="2D304D68"/>
    <w:rsid w:val="2D34274A"/>
    <w:rsid w:val="2D4D27CD"/>
    <w:rsid w:val="2D5A361F"/>
    <w:rsid w:val="2D836160"/>
    <w:rsid w:val="2DAB4FC5"/>
    <w:rsid w:val="2DAC25A2"/>
    <w:rsid w:val="2DB24B20"/>
    <w:rsid w:val="2DC84F02"/>
    <w:rsid w:val="2DD657A9"/>
    <w:rsid w:val="2DFA3F4E"/>
    <w:rsid w:val="2E1343CF"/>
    <w:rsid w:val="2E316EB5"/>
    <w:rsid w:val="2E36660D"/>
    <w:rsid w:val="2E3911B7"/>
    <w:rsid w:val="2E4108EA"/>
    <w:rsid w:val="2E6611AB"/>
    <w:rsid w:val="2E6B5FB9"/>
    <w:rsid w:val="2E792A9B"/>
    <w:rsid w:val="2E86077E"/>
    <w:rsid w:val="2E9B22F1"/>
    <w:rsid w:val="2EB04342"/>
    <w:rsid w:val="2EBD433B"/>
    <w:rsid w:val="2EBF3CB1"/>
    <w:rsid w:val="2EE97A7A"/>
    <w:rsid w:val="2F0E3523"/>
    <w:rsid w:val="2F1E7CC0"/>
    <w:rsid w:val="2F25260C"/>
    <w:rsid w:val="2F314314"/>
    <w:rsid w:val="2F571061"/>
    <w:rsid w:val="2F586FE4"/>
    <w:rsid w:val="2F763CAE"/>
    <w:rsid w:val="2FBA3805"/>
    <w:rsid w:val="2FEB2BD3"/>
    <w:rsid w:val="2FF46F70"/>
    <w:rsid w:val="2FFB7130"/>
    <w:rsid w:val="301E16C7"/>
    <w:rsid w:val="3025663B"/>
    <w:rsid w:val="302A3C52"/>
    <w:rsid w:val="3078676B"/>
    <w:rsid w:val="30922B6E"/>
    <w:rsid w:val="30942F77"/>
    <w:rsid w:val="30DC4F4C"/>
    <w:rsid w:val="30E3242D"/>
    <w:rsid w:val="30FC377A"/>
    <w:rsid w:val="312D39F9"/>
    <w:rsid w:val="313721C7"/>
    <w:rsid w:val="31590E82"/>
    <w:rsid w:val="31663A7F"/>
    <w:rsid w:val="31676588"/>
    <w:rsid w:val="316C6E4D"/>
    <w:rsid w:val="318F1FBE"/>
    <w:rsid w:val="31A25DCC"/>
    <w:rsid w:val="31D27479"/>
    <w:rsid w:val="31E57E0B"/>
    <w:rsid w:val="32006F4B"/>
    <w:rsid w:val="323A46EF"/>
    <w:rsid w:val="3264344B"/>
    <w:rsid w:val="326E7E26"/>
    <w:rsid w:val="32747406"/>
    <w:rsid w:val="32C22AB4"/>
    <w:rsid w:val="32C5132B"/>
    <w:rsid w:val="330864CC"/>
    <w:rsid w:val="331210F9"/>
    <w:rsid w:val="33177932"/>
    <w:rsid w:val="33191029"/>
    <w:rsid w:val="331C3D26"/>
    <w:rsid w:val="332C73F5"/>
    <w:rsid w:val="333170A5"/>
    <w:rsid w:val="33384F89"/>
    <w:rsid w:val="33541711"/>
    <w:rsid w:val="3366138E"/>
    <w:rsid w:val="33B81129"/>
    <w:rsid w:val="33D01F98"/>
    <w:rsid w:val="33F22CD8"/>
    <w:rsid w:val="340537C2"/>
    <w:rsid w:val="341C31B2"/>
    <w:rsid w:val="34256015"/>
    <w:rsid w:val="34331CF7"/>
    <w:rsid w:val="34370F81"/>
    <w:rsid w:val="344277BC"/>
    <w:rsid w:val="344A7771"/>
    <w:rsid w:val="34535CDA"/>
    <w:rsid w:val="346267D4"/>
    <w:rsid w:val="34AA375F"/>
    <w:rsid w:val="34B55DC5"/>
    <w:rsid w:val="34C86096"/>
    <w:rsid w:val="35054F41"/>
    <w:rsid w:val="355A3DF9"/>
    <w:rsid w:val="356E5C9A"/>
    <w:rsid w:val="35725E7F"/>
    <w:rsid w:val="35777939"/>
    <w:rsid w:val="357A2D6D"/>
    <w:rsid w:val="358750A1"/>
    <w:rsid w:val="358E358F"/>
    <w:rsid w:val="35A83DA5"/>
    <w:rsid w:val="360A3A37"/>
    <w:rsid w:val="360A6D2C"/>
    <w:rsid w:val="36274FBF"/>
    <w:rsid w:val="36483B59"/>
    <w:rsid w:val="36877708"/>
    <w:rsid w:val="368924B2"/>
    <w:rsid w:val="36F03CAB"/>
    <w:rsid w:val="371A0862"/>
    <w:rsid w:val="372159D9"/>
    <w:rsid w:val="372431A9"/>
    <w:rsid w:val="374A4141"/>
    <w:rsid w:val="37520721"/>
    <w:rsid w:val="37647A49"/>
    <w:rsid w:val="376B31FC"/>
    <w:rsid w:val="37876CD7"/>
    <w:rsid w:val="37891C41"/>
    <w:rsid w:val="37AF33BA"/>
    <w:rsid w:val="37F64415"/>
    <w:rsid w:val="380E6B51"/>
    <w:rsid w:val="382220E8"/>
    <w:rsid w:val="382A0901"/>
    <w:rsid w:val="38325D99"/>
    <w:rsid w:val="383E029A"/>
    <w:rsid w:val="38482EC7"/>
    <w:rsid w:val="385D7F24"/>
    <w:rsid w:val="386C12AB"/>
    <w:rsid w:val="38A95010"/>
    <w:rsid w:val="38B245C5"/>
    <w:rsid w:val="38F6475A"/>
    <w:rsid w:val="390B232E"/>
    <w:rsid w:val="393F65A9"/>
    <w:rsid w:val="39691347"/>
    <w:rsid w:val="3987251A"/>
    <w:rsid w:val="399F120C"/>
    <w:rsid w:val="39C11183"/>
    <w:rsid w:val="39E15381"/>
    <w:rsid w:val="3A0A215A"/>
    <w:rsid w:val="3A140A7F"/>
    <w:rsid w:val="3A18450B"/>
    <w:rsid w:val="3A2B004A"/>
    <w:rsid w:val="3A362890"/>
    <w:rsid w:val="3A417045"/>
    <w:rsid w:val="3A540410"/>
    <w:rsid w:val="3A6340C3"/>
    <w:rsid w:val="3A66066B"/>
    <w:rsid w:val="3A6A7A6C"/>
    <w:rsid w:val="3A7C0928"/>
    <w:rsid w:val="3A900B55"/>
    <w:rsid w:val="3A920D71"/>
    <w:rsid w:val="3A9E7716"/>
    <w:rsid w:val="3AA12337"/>
    <w:rsid w:val="3ACC4283"/>
    <w:rsid w:val="3ACF1BA7"/>
    <w:rsid w:val="3AD35612"/>
    <w:rsid w:val="3AEE314D"/>
    <w:rsid w:val="3AEF06FC"/>
    <w:rsid w:val="3AEF1D20"/>
    <w:rsid w:val="3B331C0C"/>
    <w:rsid w:val="3B3616FD"/>
    <w:rsid w:val="3B3C2749"/>
    <w:rsid w:val="3B4E2EEA"/>
    <w:rsid w:val="3B5F515D"/>
    <w:rsid w:val="3B6061D8"/>
    <w:rsid w:val="3B6202C3"/>
    <w:rsid w:val="3B682EC6"/>
    <w:rsid w:val="3B9F47B3"/>
    <w:rsid w:val="3BA64B58"/>
    <w:rsid w:val="3BAD26F5"/>
    <w:rsid w:val="3BD25F30"/>
    <w:rsid w:val="3BD66A3C"/>
    <w:rsid w:val="3BF34D89"/>
    <w:rsid w:val="3BF55114"/>
    <w:rsid w:val="3C0B1989"/>
    <w:rsid w:val="3C3A0AFA"/>
    <w:rsid w:val="3C456863"/>
    <w:rsid w:val="3C68390B"/>
    <w:rsid w:val="3C9B5B59"/>
    <w:rsid w:val="3CB16673"/>
    <w:rsid w:val="3CB44E4F"/>
    <w:rsid w:val="3CB72468"/>
    <w:rsid w:val="3CCA0D9A"/>
    <w:rsid w:val="3CE05DC4"/>
    <w:rsid w:val="3D622C7D"/>
    <w:rsid w:val="3D682F88"/>
    <w:rsid w:val="3D9C47CB"/>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57D64"/>
    <w:rsid w:val="3F06752D"/>
    <w:rsid w:val="3F162BB3"/>
    <w:rsid w:val="3F206C1E"/>
    <w:rsid w:val="3F277CDA"/>
    <w:rsid w:val="3F283A52"/>
    <w:rsid w:val="3F4B6816"/>
    <w:rsid w:val="3F5D7BA0"/>
    <w:rsid w:val="3F650B29"/>
    <w:rsid w:val="3F736B52"/>
    <w:rsid w:val="3F8743E7"/>
    <w:rsid w:val="3F917849"/>
    <w:rsid w:val="3FA1678F"/>
    <w:rsid w:val="3FB917DF"/>
    <w:rsid w:val="3FB95A21"/>
    <w:rsid w:val="3FCE4D23"/>
    <w:rsid w:val="3FD019E0"/>
    <w:rsid w:val="3FD87871"/>
    <w:rsid w:val="3FF86ED3"/>
    <w:rsid w:val="401D6D75"/>
    <w:rsid w:val="40330901"/>
    <w:rsid w:val="40357735"/>
    <w:rsid w:val="40390128"/>
    <w:rsid w:val="404A6FCD"/>
    <w:rsid w:val="40695D6E"/>
    <w:rsid w:val="40847106"/>
    <w:rsid w:val="40A8045D"/>
    <w:rsid w:val="40BF235C"/>
    <w:rsid w:val="40C2000D"/>
    <w:rsid w:val="40CD0C4F"/>
    <w:rsid w:val="41197AF6"/>
    <w:rsid w:val="41296076"/>
    <w:rsid w:val="41564230"/>
    <w:rsid w:val="415E5BE8"/>
    <w:rsid w:val="4182744A"/>
    <w:rsid w:val="419D7DDA"/>
    <w:rsid w:val="41AC7E24"/>
    <w:rsid w:val="41CE08E1"/>
    <w:rsid w:val="41EB3B14"/>
    <w:rsid w:val="4227235F"/>
    <w:rsid w:val="42881C6A"/>
    <w:rsid w:val="42C121F4"/>
    <w:rsid w:val="42E346A1"/>
    <w:rsid w:val="42EB121C"/>
    <w:rsid w:val="42FD44B2"/>
    <w:rsid w:val="43125387"/>
    <w:rsid w:val="432E1E4F"/>
    <w:rsid w:val="433062A1"/>
    <w:rsid w:val="43572758"/>
    <w:rsid w:val="43964178"/>
    <w:rsid w:val="43B50079"/>
    <w:rsid w:val="43C26B6A"/>
    <w:rsid w:val="43CA157C"/>
    <w:rsid w:val="43EA6572"/>
    <w:rsid w:val="43EB561E"/>
    <w:rsid w:val="43FF1225"/>
    <w:rsid w:val="443211DD"/>
    <w:rsid w:val="44324DC8"/>
    <w:rsid w:val="44332BA9"/>
    <w:rsid w:val="444A4C25"/>
    <w:rsid w:val="445E6CA4"/>
    <w:rsid w:val="44623562"/>
    <w:rsid w:val="44627A06"/>
    <w:rsid w:val="44731C6A"/>
    <w:rsid w:val="44740900"/>
    <w:rsid w:val="44A338EB"/>
    <w:rsid w:val="44AA6D2D"/>
    <w:rsid w:val="44C041EC"/>
    <w:rsid w:val="451D1C26"/>
    <w:rsid w:val="452577F8"/>
    <w:rsid w:val="456A6B72"/>
    <w:rsid w:val="458974A9"/>
    <w:rsid w:val="45AB761C"/>
    <w:rsid w:val="45B44C81"/>
    <w:rsid w:val="45F2318F"/>
    <w:rsid w:val="46040D75"/>
    <w:rsid w:val="460E4F45"/>
    <w:rsid w:val="461D57A5"/>
    <w:rsid w:val="46296ED5"/>
    <w:rsid w:val="465A6BE7"/>
    <w:rsid w:val="466F126D"/>
    <w:rsid w:val="4686223B"/>
    <w:rsid w:val="46975DF9"/>
    <w:rsid w:val="46991DC6"/>
    <w:rsid w:val="469A2312"/>
    <w:rsid w:val="46B75DE7"/>
    <w:rsid w:val="46EC6E20"/>
    <w:rsid w:val="46F10BCE"/>
    <w:rsid w:val="470B4EB2"/>
    <w:rsid w:val="470D30D5"/>
    <w:rsid w:val="471C3C7C"/>
    <w:rsid w:val="47525B10"/>
    <w:rsid w:val="47534B40"/>
    <w:rsid w:val="47AF4D11"/>
    <w:rsid w:val="47C30B14"/>
    <w:rsid w:val="47D93B3C"/>
    <w:rsid w:val="47FC5B63"/>
    <w:rsid w:val="48234CBA"/>
    <w:rsid w:val="48382F58"/>
    <w:rsid w:val="48474F49"/>
    <w:rsid w:val="48C06CFA"/>
    <w:rsid w:val="48CD092B"/>
    <w:rsid w:val="490F69F3"/>
    <w:rsid w:val="49117305"/>
    <w:rsid w:val="491D6F70"/>
    <w:rsid w:val="492B2127"/>
    <w:rsid w:val="492E057F"/>
    <w:rsid w:val="493F4EA8"/>
    <w:rsid w:val="497106D6"/>
    <w:rsid w:val="49711EE2"/>
    <w:rsid w:val="49746132"/>
    <w:rsid w:val="499363F1"/>
    <w:rsid w:val="49937938"/>
    <w:rsid w:val="49962061"/>
    <w:rsid w:val="4A01234E"/>
    <w:rsid w:val="4A205A39"/>
    <w:rsid w:val="4A2A4B22"/>
    <w:rsid w:val="4A3A0F04"/>
    <w:rsid w:val="4A464D9A"/>
    <w:rsid w:val="4A5809C6"/>
    <w:rsid w:val="4A8D7450"/>
    <w:rsid w:val="4A924D6C"/>
    <w:rsid w:val="4A96517D"/>
    <w:rsid w:val="4AA84652"/>
    <w:rsid w:val="4AF053E4"/>
    <w:rsid w:val="4AFA4929"/>
    <w:rsid w:val="4B2E23F0"/>
    <w:rsid w:val="4B384997"/>
    <w:rsid w:val="4B4614E8"/>
    <w:rsid w:val="4B4E4840"/>
    <w:rsid w:val="4B55790B"/>
    <w:rsid w:val="4B5A6F67"/>
    <w:rsid w:val="4B663938"/>
    <w:rsid w:val="4B7F49FA"/>
    <w:rsid w:val="4BA75709"/>
    <w:rsid w:val="4BC0450D"/>
    <w:rsid w:val="4BCD5AF4"/>
    <w:rsid w:val="4BF75653"/>
    <w:rsid w:val="4C461FAB"/>
    <w:rsid w:val="4C4A0BED"/>
    <w:rsid w:val="4C5D09EA"/>
    <w:rsid w:val="4C6857B5"/>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C94AFB"/>
    <w:rsid w:val="4DE374C2"/>
    <w:rsid w:val="4DE408D6"/>
    <w:rsid w:val="4E3B2251"/>
    <w:rsid w:val="4E456FA4"/>
    <w:rsid w:val="4E4D2583"/>
    <w:rsid w:val="4E4E2F43"/>
    <w:rsid w:val="4E5C7519"/>
    <w:rsid w:val="4E616639"/>
    <w:rsid w:val="4E7B5F30"/>
    <w:rsid w:val="4E916F1E"/>
    <w:rsid w:val="4E930261"/>
    <w:rsid w:val="4EB80E01"/>
    <w:rsid w:val="4EC2795E"/>
    <w:rsid w:val="4EC81323"/>
    <w:rsid w:val="4F1813ED"/>
    <w:rsid w:val="4F257D14"/>
    <w:rsid w:val="4F322AFA"/>
    <w:rsid w:val="4F442E5D"/>
    <w:rsid w:val="4F4F0B87"/>
    <w:rsid w:val="4F570711"/>
    <w:rsid w:val="4F6313C6"/>
    <w:rsid w:val="4F6665FD"/>
    <w:rsid w:val="4F8354FA"/>
    <w:rsid w:val="4F844391"/>
    <w:rsid w:val="4F99788D"/>
    <w:rsid w:val="4FD35314"/>
    <w:rsid w:val="4FEB4D54"/>
    <w:rsid w:val="500532A1"/>
    <w:rsid w:val="501D0174"/>
    <w:rsid w:val="50360D32"/>
    <w:rsid w:val="50586946"/>
    <w:rsid w:val="507F6933"/>
    <w:rsid w:val="50B63535"/>
    <w:rsid w:val="50B65D89"/>
    <w:rsid w:val="50B769E4"/>
    <w:rsid w:val="50C2524A"/>
    <w:rsid w:val="50EE42EE"/>
    <w:rsid w:val="50FE0AB7"/>
    <w:rsid w:val="5107308F"/>
    <w:rsid w:val="511458AC"/>
    <w:rsid w:val="514A5AAA"/>
    <w:rsid w:val="514B21A5"/>
    <w:rsid w:val="514E10F6"/>
    <w:rsid w:val="515801C7"/>
    <w:rsid w:val="515B7CB7"/>
    <w:rsid w:val="516A3A56"/>
    <w:rsid w:val="51A70F54"/>
    <w:rsid w:val="51B7313F"/>
    <w:rsid w:val="51C34297"/>
    <w:rsid w:val="52013934"/>
    <w:rsid w:val="52291B63"/>
    <w:rsid w:val="527F4484"/>
    <w:rsid w:val="528154FB"/>
    <w:rsid w:val="52A42F98"/>
    <w:rsid w:val="52B33A1E"/>
    <w:rsid w:val="52DE64AA"/>
    <w:rsid w:val="53180DBA"/>
    <w:rsid w:val="532A16EF"/>
    <w:rsid w:val="532D2E42"/>
    <w:rsid w:val="53AB3B44"/>
    <w:rsid w:val="53C208DB"/>
    <w:rsid w:val="53C438F2"/>
    <w:rsid w:val="53CA3C92"/>
    <w:rsid w:val="53D80071"/>
    <w:rsid w:val="53E8302C"/>
    <w:rsid w:val="53EE33A5"/>
    <w:rsid w:val="54370553"/>
    <w:rsid w:val="543D6DE5"/>
    <w:rsid w:val="549C3E55"/>
    <w:rsid w:val="54D520F4"/>
    <w:rsid w:val="54F779C9"/>
    <w:rsid w:val="55045B96"/>
    <w:rsid w:val="55180608"/>
    <w:rsid w:val="55393E6B"/>
    <w:rsid w:val="55441B9C"/>
    <w:rsid w:val="555032D6"/>
    <w:rsid w:val="556709D9"/>
    <w:rsid w:val="558150DE"/>
    <w:rsid w:val="55851F6B"/>
    <w:rsid w:val="559F37CF"/>
    <w:rsid w:val="55A75279"/>
    <w:rsid w:val="56044479"/>
    <w:rsid w:val="56355833"/>
    <w:rsid w:val="56513B4D"/>
    <w:rsid w:val="566778F3"/>
    <w:rsid w:val="566969D2"/>
    <w:rsid w:val="569272B9"/>
    <w:rsid w:val="569548FC"/>
    <w:rsid w:val="5699669D"/>
    <w:rsid w:val="56C6570E"/>
    <w:rsid w:val="56D36FB6"/>
    <w:rsid w:val="56F91B04"/>
    <w:rsid w:val="570A670A"/>
    <w:rsid w:val="57127298"/>
    <w:rsid w:val="572336AB"/>
    <w:rsid w:val="57257664"/>
    <w:rsid w:val="57424B6F"/>
    <w:rsid w:val="5793664A"/>
    <w:rsid w:val="579D06E4"/>
    <w:rsid w:val="57B91F59"/>
    <w:rsid w:val="57C40335"/>
    <w:rsid w:val="57CF71DE"/>
    <w:rsid w:val="57D30C82"/>
    <w:rsid w:val="57D93826"/>
    <w:rsid w:val="581F7CE9"/>
    <w:rsid w:val="58384833"/>
    <w:rsid w:val="58590BB5"/>
    <w:rsid w:val="586F62C0"/>
    <w:rsid w:val="587A6C75"/>
    <w:rsid w:val="58981BA8"/>
    <w:rsid w:val="58F06F37"/>
    <w:rsid w:val="590127A7"/>
    <w:rsid w:val="590C2C7D"/>
    <w:rsid w:val="59247D58"/>
    <w:rsid w:val="59286680"/>
    <w:rsid w:val="59995821"/>
    <w:rsid w:val="59A81EF2"/>
    <w:rsid w:val="59BB411D"/>
    <w:rsid w:val="59D35476"/>
    <w:rsid w:val="59D4360F"/>
    <w:rsid w:val="59FD3F9E"/>
    <w:rsid w:val="5A257C61"/>
    <w:rsid w:val="5A3503B5"/>
    <w:rsid w:val="5A426396"/>
    <w:rsid w:val="5A607CCE"/>
    <w:rsid w:val="5A663F2E"/>
    <w:rsid w:val="5A6F390B"/>
    <w:rsid w:val="5A886F3D"/>
    <w:rsid w:val="5A9102A6"/>
    <w:rsid w:val="5AC4067B"/>
    <w:rsid w:val="5ADF54B5"/>
    <w:rsid w:val="5AE031F0"/>
    <w:rsid w:val="5AE76118"/>
    <w:rsid w:val="5AF21AE9"/>
    <w:rsid w:val="5B114646"/>
    <w:rsid w:val="5B1B7CC7"/>
    <w:rsid w:val="5B326598"/>
    <w:rsid w:val="5B3752F1"/>
    <w:rsid w:val="5B5B46DE"/>
    <w:rsid w:val="5B845AEA"/>
    <w:rsid w:val="5B8E63C4"/>
    <w:rsid w:val="5B9B2DF4"/>
    <w:rsid w:val="5BA46854"/>
    <w:rsid w:val="5BAE5416"/>
    <w:rsid w:val="5BC822EF"/>
    <w:rsid w:val="5BF60D08"/>
    <w:rsid w:val="5BF73DE3"/>
    <w:rsid w:val="5C11057A"/>
    <w:rsid w:val="5C582ADC"/>
    <w:rsid w:val="5C690415"/>
    <w:rsid w:val="5C9347A9"/>
    <w:rsid w:val="5CCC5E7E"/>
    <w:rsid w:val="5CD04C47"/>
    <w:rsid w:val="5CD10E2D"/>
    <w:rsid w:val="5CD1707F"/>
    <w:rsid w:val="5CF949BB"/>
    <w:rsid w:val="5D573992"/>
    <w:rsid w:val="5DA30A1C"/>
    <w:rsid w:val="5DC55B33"/>
    <w:rsid w:val="5DEB68EA"/>
    <w:rsid w:val="5E1A3A26"/>
    <w:rsid w:val="5E3E24F3"/>
    <w:rsid w:val="5E684992"/>
    <w:rsid w:val="5E6A1E17"/>
    <w:rsid w:val="5E7A6E94"/>
    <w:rsid w:val="5E8E6FD6"/>
    <w:rsid w:val="5E99597B"/>
    <w:rsid w:val="5E9A1E1F"/>
    <w:rsid w:val="5EE527E1"/>
    <w:rsid w:val="5F0059FA"/>
    <w:rsid w:val="5F015E04"/>
    <w:rsid w:val="5F030150"/>
    <w:rsid w:val="5F2534E9"/>
    <w:rsid w:val="5F393B80"/>
    <w:rsid w:val="5F442CB4"/>
    <w:rsid w:val="5F54438E"/>
    <w:rsid w:val="5FE70F2D"/>
    <w:rsid w:val="5FF10EC5"/>
    <w:rsid w:val="6029146A"/>
    <w:rsid w:val="604F343F"/>
    <w:rsid w:val="60651FB9"/>
    <w:rsid w:val="606C1960"/>
    <w:rsid w:val="607B7A2E"/>
    <w:rsid w:val="60AA51A8"/>
    <w:rsid w:val="60EA1C6A"/>
    <w:rsid w:val="610572F8"/>
    <w:rsid w:val="61132E22"/>
    <w:rsid w:val="6124125A"/>
    <w:rsid w:val="61354081"/>
    <w:rsid w:val="613D1036"/>
    <w:rsid w:val="613E50BB"/>
    <w:rsid w:val="61534507"/>
    <w:rsid w:val="615D5095"/>
    <w:rsid w:val="61A54728"/>
    <w:rsid w:val="61E561AB"/>
    <w:rsid w:val="61FE10B3"/>
    <w:rsid w:val="62092E18"/>
    <w:rsid w:val="62253924"/>
    <w:rsid w:val="622C5484"/>
    <w:rsid w:val="62363666"/>
    <w:rsid w:val="625610C0"/>
    <w:rsid w:val="627806C9"/>
    <w:rsid w:val="6278282F"/>
    <w:rsid w:val="62903E5E"/>
    <w:rsid w:val="62943799"/>
    <w:rsid w:val="62990AF4"/>
    <w:rsid w:val="62BB6808"/>
    <w:rsid w:val="62DC0E43"/>
    <w:rsid w:val="630A471E"/>
    <w:rsid w:val="634C2C1B"/>
    <w:rsid w:val="63500CFE"/>
    <w:rsid w:val="63564FFB"/>
    <w:rsid w:val="635C1421"/>
    <w:rsid w:val="637C56E8"/>
    <w:rsid w:val="63AA1DD1"/>
    <w:rsid w:val="63B000AA"/>
    <w:rsid w:val="63B111E3"/>
    <w:rsid w:val="63B82D47"/>
    <w:rsid w:val="63C16504"/>
    <w:rsid w:val="63ED451C"/>
    <w:rsid w:val="63F02068"/>
    <w:rsid w:val="63F30730"/>
    <w:rsid w:val="64524F4A"/>
    <w:rsid w:val="64E27A00"/>
    <w:rsid w:val="64E42046"/>
    <w:rsid w:val="6501237B"/>
    <w:rsid w:val="650708A6"/>
    <w:rsid w:val="650B38EE"/>
    <w:rsid w:val="65436640"/>
    <w:rsid w:val="655B2A2B"/>
    <w:rsid w:val="65680507"/>
    <w:rsid w:val="65A13A93"/>
    <w:rsid w:val="65B61A11"/>
    <w:rsid w:val="65BF6897"/>
    <w:rsid w:val="65CB0B10"/>
    <w:rsid w:val="65E51D30"/>
    <w:rsid w:val="6620794F"/>
    <w:rsid w:val="662907EC"/>
    <w:rsid w:val="66943183"/>
    <w:rsid w:val="66A4359E"/>
    <w:rsid w:val="66CC4E7E"/>
    <w:rsid w:val="66D71736"/>
    <w:rsid w:val="66F73586"/>
    <w:rsid w:val="67127537"/>
    <w:rsid w:val="671B3424"/>
    <w:rsid w:val="672C582D"/>
    <w:rsid w:val="67401F4D"/>
    <w:rsid w:val="67415D26"/>
    <w:rsid w:val="676C5591"/>
    <w:rsid w:val="678E41BC"/>
    <w:rsid w:val="678F7B49"/>
    <w:rsid w:val="679A139F"/>
    <w:rsid w:val="67C63C85"/>
    <w:rsid w:val="67E81E4D"/>
    <w:rsid w:val="6833299C"/>
    <w:rsid w:val="68510504"/>
    <w:rsid w:val="685F0900"/>
    <w:rsid w:val="68684D3C"/>
    <w:rsid w:val="68880F32"/>
    <w:rsid w:val="688A2F04"/>
    <w:rsid w:val="688B1C63"/>
    <w:rsid w:val="68B03FED"/>
    <w:rsid w:val="68B56134"/>
    <w:rsid w:val="68E1459C"/>
    <w:rsid w:val="68E343C2"/>
    <w:rsid w:val="68EF4B15"/>
    <w:rsid w:val="69586B5E"/>
    <w:rsid w:val="69741FC9"/>
    <w:rsid w:val="69794D27"/>
    <w:rsid w:val="69A73642"/>
    <w:rsid w:val="69FD58C9"/>
    <w:rsid w:val="6A0E546F"/>
    <w:rsid w:val="6A1A3E14"/>
    <w:rsid w:val="6A287F98"/>
    <w:rsid w:val="6A34616B"/>
    <w:rsid w:val="6A35284B"/>
    <w:rsid w:val="6A4315BC"/>
    <w:rsid w:val="6A5135AE"/>
    <w:rsid w:val="6A5E619E"/>
    <w:rsid w:val="6A771266"/>
    <w:rsid w:val="6A8219B9"/>
    <w:rsid w:val="6A852A96"/>
    <w:rsid w:val="6A89113D"/>
    <w:rsid w:val="6A941E18"/>
    <w:rsid w:val="6B016D82"/>
    <w:rsid w:val="6B077D22"/>
    <w:rsid w:val="6B4E0D76"/>
    <w:rsid w:val="6B586297"/>
    <w:rsid w:val="6B644FF0"/>
    <w:rsid w:val="6BAE6F0A"/>
    <w:rsid w:val="6BB17B6E"/>
    <w:rsid w:val="6BEE7E20"/>
    <w:rsid w:val="6BFE286F"/>
    <w:rsid w:val="6C1D4922"/>
    <w:rsid w:val="6C1F1A3A"/>
    <w:rsid w:val="6C460B63"/>
    <w:rsid w:val="6C4D2295"/>
    <w:rsid w:val="6C6B0957"/>
    <w:rsid w:val="6C6B4EFE"/>
    <w:rsid w:val="6C705F6D"/>
    <w:rsid w:val="6C7D0B4F"/>
    <w:rsid w:val="6C89702F"/>
    <w:rsid w:val="6CBE317C"/>
    <w:rsid w:val="6CE32BE3"/>
    <w:rsid w:val="6CE66C1F"/>
    <w:rsid w:val="6D4B1CBB"/>
    <w:rsid w:val="6D54763D"/>
    <w:rsid w:val="6DB17F76"/>
    <w:rsid w:val="6DDC4B60"/>
    <w:rsid w:val="6E065DC5"/>
    <w:rsid w:val="6E1868BC"/>
    <w:rsid w:val="6E2D42B2"/>
    <w:rsid w:val="6E355D2E"/>
    <w:rsid w:val="6E3C30B0"/>
    <w:rsid w:val="6E6F26C1"/>
    <w:rsid w:val="6E85656F"/>
    <w:rsid w:val="6EC641D8"/>
    <w:rsid w:val="6ED07197"/>
    <w:rsid w:val="6F084B83"/>
    <w:rsid w:val="6F1057E5"/>
    <w:rsid w:val="6F176B74"/>
    <w:rsid w:val="6F1A326F"/>
    <w:rsid w:val="6F450C57"/>
    <w:rsid w:val="6F4F630E"/>
    <w:rsid w:val="6F591D65"/>
    <w:rsid w:val="6F655B31"/>
    <w:rsid w:val="6F70539D"/>
    <w:rsid w:val="6F875D3C"/>
    <w:rsid w:val="6FA537AE"/>
    <w:rsid w:val="6FAD1286"/>
    <w:rsid w:val="6FBB6C0A"/>
    <w:rsid w:val="6FD84B7F"/>
    <w:rsid w:val="6FE77305"/>
    <w:rsid w:val="6FFB0A55"/>
    <w:rsid w:val="701628A7"/>
    <w:rsid w:val="7018252A"/>
    <w:rsid w:val="702E6C97"/>
    <w:rsid w:val="70306917"/>
    <w:rsid w:val="7034449D"/>
    <w:rsid w:val="70726651"/>
    <w:rsid w:val="707D700C"/>
    <w:rsid w:val="70B157EF"/>
    <w:rsid w:val="70C62FCD"/>
    <w:rsid w:val="70CD6084"/>
    <w:rsid w:val="70EF09D6"/>
    <w:rsid w:val="70F744A9"/>
    <w:rsid w:val="71494FDF"/>
    <w:rsid w:val="71676D88"/>
    <w:rsid w:val="71843CAF"/>
    <w:rsid w:val="71900E5F"/>
    <w:rsid w:val="71987FBF"/>
    <w:rsid w:val="71AE02C6"/>
    <w:rsid w:val="71B95184"/>
    <w:rsid w:val="71BB2740"/>
    <w:rsid w:val="71CF4334"/>
    <w:rsid w:val="71F340C1"/>
    <w:rsid w:val="71FF4B3F"/>
    <w:rsid w:val="720A24F5"/>
    <w:rsid w:val="720D425E"/>
    <w:rsid w:val="72190C9A"/>
    <w:rsid w:val="7225359C"/>
    <w:rsid w:val="72534367"/>
    <w:rsid w:val="72651E8C"/>
    <w:rsid w:val="726714AF"/>
    <w:rsid w:val="72B80B87"/>
    <w:rsid w:val="72BA79DA"/>
    <w:rsid w:val="72BB3A2A"/>
    <w:rsid w:val="72C1034B"/>
    <w:rsid w:val="72CE73C6"/>
    <w:rsid w:val="73013662"/>
    <w:rsid w:val="73076EFF"/>
    <w:rsid w:val="73124222"/>
    <w:rsid w:val="73306456"/>
    <w:rsid w:val="73396BF6"/>
    <w:rsid w:val="7379430D"/>
    <w:rsid w:val="738F2539"/>
    <w:rsid w:val="73946C51"/>
    <w:rsid w:val="73CA554E"/>
    <w:rsid w:val="73CF0191"/>
    <w:rsid w:val="73CF67B0"/>
    <w:rsid w:val="73DE7D51"/>
    <w:rsid w:val="74023BFC"/>
    <w:rsid w:val="740E3227"/>
    <w:rsid w:val="7434641A"/>
    <w:rsid w:val="7457535D"/>
    <w:rsid w:val="74784559"/>
    <w:rsid w:val="74A34E20"/>
    <w:rsid w:val="74AE1D28"/>
    <w:rsid w:val="74CD2669"/>
    <w:rsid w:val="74F01935"/>
    <w:rsid w:val="74F66433"/>
    <w:rsid w:val="750C7513"/>
    <w:rsid w:val="751A5826"/>
    <w:rsid w:val="754964CE"/>
    <w:rsid w:val="75526B58"/>
    <w:rsid w:val="756C46A5"/>
    <w:rsid w:val="75703482"/>
    <w:rsid w:val="75AA6994"/>
    <w:rsid w:val="75B1177F"/>
    <w:rsid w:val="75D32B82"/>
    <w:rsid w:val="75DC2C78"/>
    <w:rsid w:val="75FE784C"/>
    <w:rsid w:val="760D414E"/>
    <w:rsid w:val="762322A2"/>
    <w:rsid w:val="764334D3"/>
    <w:rsid w:val="765C61F9"/>
    <w:rsid w:val="766069B5"/>
    <w:rsid w:val="767A1B5B"/>
    <w:rsid w:val="767D1C0E"/>
    <w:rsid w:val="76B07D5F"/>
    <w:rsid w:val="76D05B67"/>
    <w:rsid w:val="770A79A4"/>
    <w:rsid w:val="770E3163"/>
    <w:rsid w:val="77106CCA"/>
    <w:rsid w:val="77685F73"/>
    <w:rsid w:val="778F5094"/>
    <w:rsid w:val="7792362F"/>
    <w:rsid w:val="77B32F6D"/>
    <w:rsid w:val="77BD2282"/>
    <w:rsid w:val="77C41863"/>
    <w:rsid w:val="77C875A5"/>
    <w:rsid w:val="77D76CD7"/>
    <w:rsid w:val="77E65C7D"/>
    <w:rsid w:val="77F16C67"/>
    <w:rsid w:val="77F871A2"/>
    <w:rsid w:val="78252301"/>
    <w:rsid w:val="785D4A1E"/>
    <w:rsid w:val="788174A2"/>
    <w:rsid w:val="78885CDF"/>
    <w:rsid w:val="7892370F"/>
    <w:rsid w:val="78A20007"/>
    <w:rsid w:val="78FE6C92"/>
    <w:rsid w:val="79273E57"/>
    <w:rsid w:val="7947433B"/>
    <w:rsid w:val="79607369"/>
    <w:rsid w:val="79730387"/>
    <w:rsid w:val="798B075D"/>
    <w:rsid w:val="798E65D4"/>
    <w:rsid w:val="799A287B"/>
    <w:rsid w:val="79F04B91"/>
    <w:rsid w:val="79FF0842"/>
    <w:rsid w:val="7A1268B5"/>
    <w:rsid w:val="7A2111EE"/>
    <w:rsid w:val="7A236D15"/>
    <w:rsid w:val="7A28251C"/>
    <w:rsid w:val="7A557D7A"/>
    <w:rsid w:val="7AA2038C"/>
    <w:rsid w:val="7AA95FF0"/>
    <w:rsid w:val="7AAD4830"/>
    <w:rsid w:val="7AB45AE2"/>
    <w:rsid w:val="7ABC5920"/>
    <w:rsid w:val="7AC557A1"/>
    <w:rsid w:val="7ACC5562"/>
    <w:rsid w:val="7AD42547"/>
    <w:rsid w:val="7AE54A07"/>
    <w:rsid w:val="7AED0B42"/>
    <w:rsid w:val="7B000E04"/>
    <w:rsid w:val="7B07777E"/>
    <w:rsid w:val="7B173349"/>
    <w:rsid w:val="7B1F572E"/>
    <w:rsid w:val="7B397AE8"/>
    <w:rsid w:val="7B615D46"/>
    <w:rsid w:val="7B845591"/>
    <w:rsid w:val="7BA82FBC"/>
    <w:rsid w:val="7BBE7F39"/>
    <w:rsid w:val="7BC741EA"/>
    <w:rsid w:val="7BD47593"/>
    <w:rsid w:val="7C06069C"/>
    <w:rsid w:val="7CA23160"/>
    <w:rsid w:val="7CA87CB5"/>
    <w:rsid w:val="7CB11315"/>
    <w:rsid w:val="7CF404F4"/>
    <w:rsid w:val="7D416669"/>
    <w:rsid w:val="7D435C34"/>
    <w:rsid w:val="7D8A2C07"/>
    <w:rsid w:val="7DAE5320"/>
    <w:rsid w:val="7DC00960"/>
    <w:rsid w:val="7E0B769B"/>
    <w:rsid w:val="7E1352F2"/>
    <w:rsid w:val="7E155322"/>
    <w:rsid w:val="7E211369"/>
    <w:rsid w:val="7E287243"/>
    <w:rsid w:val="7E2C65B8"/>
    <w:rsid w:val="7E3549AA"/>
    <w:rsid w:val="7E44486F"/>
    <w:rsid w:val="7E5774A3"/>
    <w:rsid w:val="7E773EE8"/>
    <w:rsid w:val="7E924622"/>
    <w:rsid w:val="7EA22534"/>
    <w:rsid w:val="7EE12C11"/>
    <w:rsid w:val="7EE30820"/>
    <w:rsid w:val="7EE35FE0"/>
    <w:rsid w:val="7EEB39F8"/>
    <w:rsid w:val="7EF06B5D"/>
    <w:rsid w:val="7F061CF4"/>
    <w:rsid w:val="7F30567C"/>
    <w:rsid w:val="7F3C6183"/>
    <w:rsid w:val="7F5A62A6"/>
    <w:rsid w:val="7F607DDA"/>
    <w:rsid w:val="7F643ECB"/>
    <w:rsid w:val="7F6A0F42"/>
    <w:rsid w:val="7F7333AD"/>
    <w:rsid w:val="7F8D0B43"/>
    <w:rsid w:val="7F973D35"/>
    <w:rsid w:val="7F9B46DF"/>
    <w:rsid w:val="7FA01F4C"/>
    <w:rsid w:val="7FA028A6"/>
    <w:rsid w:val="7FA4647A"/>
    <w:rsid w:val="7FB44B21"/>
    <w:rsid w:val="7FB9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36"/>
      <w:szCs w:val="44"/>
    </w:rPr>
  </w:style>
  <w:style w:type="paragraph" w:styleId="2">
    <w:name w:val="heading 2"/>
    <w:basedOn w:val="1"/>
    <w:next w:val="1"/>
    <w:link w:val="70"/>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100"/>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3"/>
    <w:qFormat/>
    <w:uiPriority w:val="0"/>
    <w:pPr>
      <w:keepNext/>
      <w:keepLines/>
      <w:widowControl/>
      <w:spacing w:before="200" w:line="276" w:lineRule="auto"/>
      <w:jc w:val="left"/>
      <w:outlineLvl w:val="3"/>
    </w:pPr>
    <w:rPr>
      <w:rFonts w:ascii="Calibri Light" w:hAnsi="Calibri Light"/>
      <w:b/>
      <w:bCs/>
      <w:iCs/>
      <w:szCs w:val="22"/>
    </w:rPr>
  </w:style>
  <w:style w:type="paragraph" w:styleId="6">
    <w:name w:val="heading 5"/>
    <w:basedOn w:val="1"/>
    <w:next w:val="1"/>
    <w:link w:val="74"/>
    <w:qFormat/>
    <w:uiPriority w:val="0"/>
    <w:pPr>
      <w:keepNext/>
      <w:keepLines/>
      <w:spacing w:before="280" w:after="290" w:line="376" w:lineRule="auto"/>
      <w:outlineLvl w:val="4"/>
    </w:pPr>
    <w:rPr>
      <w:b/>
      <w:bCs/>
      <w:sz w:val="28"/>
      <w:szCs w:val="28"/>
    </w:rPr>
  </w:style>
  <w:style w:type="paragraph" w:styleId="7">
    <w:name w:val="heading 6"/>
    <w:basedOn w:val="1"/>
    <w:next w:val="1"/>
    <w:link w:val="75"/>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76"/>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77"/>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78"/>
    <w:qFormat/>
    <w:uiPriority w:val="0"/>
    <w:pPr>
      <w:keepNext/>
      <w:keepLines/>
      <w:spacing w:before="240" w:after="64" w:line="320" w:lineRule="auto"/>
      <w:ind w:firstLine="200" w:firstLineChars="200"/>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spacing w:line="360" w:lineRule="exact"/>
      <w:ind w:left="1260" w:firstLine="200" w:firstLineChars="200"/>
      <w:jc w:val="left"/>
    </w:pPr>
    <w:rPr>
      <w:rFonts w:ascii="Calibri" w:hAnsi="Calibri"/>
      <w:sz w:val="18"/>
      <w:szCs w:val="18"/>
    </w:rPr>
  </w:style>
  <w:style w:type="paragraph" w:styleId="12">
    <w:name w:val="index 8"/>
    <w:basedOn w:val="1"/>
    <w:next w:val="1"/>
    <w:qFormat/>
    <w:uiPriority w:val="0"/>
    <w:pPr>
      <w:ind w:left="1400" w:leftChars="1400"/>
    </w:pPr>
  </w:style>
  <w:style w:type="paragraph" w:styleId="13">
    <w:name w:val="Normal Indent"/>
    <w:basedOn w:val="1"/>
    <w:next w:val="1"/>
    <w:link w:val="79"/>
    <w:qFormat/>
    <w:uiPriority w:val="0"/>
    <w:pPr>
      <w:adjustRightInd w:val="0"/>
      <w:spacing w:line="312" w:lineRule="atLeast"/>
      <w:ind w:firstLine="420" w:firstLineChars="200"/>
    </w:pPr>
    <w:rPr>
      <w:kern w:val="0"/>
      <w:szCs w:val="20"/>
    </w:rPr>
  </w:style>
  <w:style w:type="paragraph" w:styleId="14">
    <w:name w:val="caption"/>
    <w:basedOn w:val="1"/>
    <w:next w:val="1"/>
    <w:qFormat/>
    <w:uiPriority w:val="0"/>
    <w:pPr>
      <w:spacing w:line="360" w:lineRule="exact"/>
      <w:ind w:firstLine="200" w:firstLineChars="200"/>
    </w:pPr>
    <w:rPr>
      <w:rFonts w:ascii="Cambria" w:hAnsi="Cambria" w:eastAsia="黑体"/>
      <w:sz w:val="20"/>
      <w:szCs w:val="20"/>
    </w:rPr>
  </w:style>
  <w:style w:type="paragraph" w:styleId="15">
    <w:name w:val="List Bullet"/>
    <w:basedOn w:val="1"/>
    <w:qFormat/>
    <w:uiPriority w:val="0"/>
    <w:pPr>
      <w:tabs>
        <w:tab w:val="left" w:pos="360"/>
      </w:tabs>
      <w:ind w:left="360" w:hanging="360"/>
    </w:pPr>
  </w:style>
  <w:style w:type="paragraph" w:styleId="16">
    <w:name w:val="Document Map"/>
    <w:basedOn w:val="1"/>
    <w:link w:val="80"/>
    <w:qFormat/>
    <w:uiPriority w:val="0"/>
    <w:pPr>
      <w:shd w:val="clear" w:color="auto" w:fill="000080"/>
      <w:spacing w:line="360" w:lineRule="exact"/>
      <w:ind w:firstLine="200" w:firstLineChars="200"/>
    </w:pPr>
  </w:style>
  <w:style w:type="paragraph" w:styleId="17">
    <w:name w:val="annotation text"/>
    <w:basedOn w:val="1"/>
    <w:link w:val="81"/>
    <w:qFormat/>
    <w:uiPriority w:val="0"/>
    <w:pPr>
      <w:widowControl/>
      <w:jc w:val="left"/>
    </w:pPr>
    <w:rPr>
      <w:rFonts w:ascii="Calibri" w:hAnsi="Calibri"/>
    </w:rPr>
  </w:style>
  <w:style w:type="paragraph" w:styleId="18">
    <w:name w:val="Body Text 3"/>
    <w:basedOn w:val="1"/>
    <w:link w:val="82"/>
    <w:qFormat/>
    <w:uiPriority w:val="0"/>
    <w:pPr>
      <w:spacing w:line="360" w:lineRule="exact"/>
      <w:ind w:firstLine="200" w:firstLineChars="200"/>
    </w:pPr>
    <w:rPr>
      <w:rFonts w:ascii="宋体"/>
      <w:sz w:val="24"/>
      <w:szCs w:val="20"/>
    </w:rPr>
  </w:style>
  <w:style w:type="paragraph" w:styleId="19">
    <w:name w:val="Body Text"/>
    <w:basedOn w:val="1"/>
    <w:next w:val="1"/>
    <w:link w:val="83"/>
    <w:unhideWhenUsed/>
    <w:qFormat/>
    <w:uiPriority w:val="0"/>
    <w:pPr>
      <w:spacing w:after="120"/>
    </w:pPr>
  </w:style>
  <w:style w:type="paragraph" w:styleId="20">
    <w:name w:val="Body Text Indent"/>
    <w:basedOn w:val="1"/>
    <w:next w:val="21"/>
    <w:link w:val="84"/>
    <w:qFormat/>
    <w:uiPriority w:val="0"/>
    <w:pPr>
      <w:spacing w:after="120" w:line="360" w:lineRule="exact"/>
      <w:ind w:left="420" w:leftChars="200" w:firstLine="200" w:firstLine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840" w:hanging="420"/>
    </w:pPr>
    <w:rPr>
      <w:szCs w:val="20"/>
    </w:rPr>
  </w:style>
  <w:style w:type="paragraph" w:styleId="23">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unhideWhenUsed/>
    <w:qFormat/>
    <w:uiPriority w:val="39"/>
    <w:pPr>
      <w:ind w:left="840" w:leftChars="400"/>
    </w:pPr>
  </w:style>
  <w:style w:type="paragraph" w:styleId="27">
    <w:name w:val="Plain Text"/>
    <w:basedOn w:val="1"/>
    <w:next w:val="12"/>
    <w:link w:val="85"/>
    <w:qFormat/>
    <w:uiPriority w:val="0"/>
    <w:rPr>
      <w:rFonts w:ascii="宋体" w:hAnsi="Courier New"/>
      <w:szCs w:val="22"/>
    </w:rPr>
  </w:style>
  <w:style w:type="paragraph" w:styleId="28">
    <w:name w:val="toc 8"/>
    <w:basedOn w:val="1"/>
    <w:next w:val="1"/>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qFormat/>
    <w:uiPriority w:val="0"/>
    <w:pPr>
      <w:ind w:left="400" w:leftChars="400"/>
      <w:jc w:val="left"/>
    </w:pPr>
  </w:style>
  <w:style w:type="paragraph" w:styleId="30">
    <w:name w:val="Date"/>
    <w:basedOn w:val="1"/>
    <w:next w:val="1"/>
    <w:link w:val="86"/>
    <w:qFormat/>
    <w:uiPriority w:val="0"/>
    <w:pPr>
      <w:spacing w:line="360" w:lineRule="exact"/>
      <w:ind w:left="100" w:leftChars="2500" w:firstLine="200" w:firstLineChars="200"/>
    </w:pPr>
    <w:rPr>
      <w:rFonts w:ascii="Calibri" w:hAnsi="Calibri"/>
    </w:rPr>
  </w:style>
  <w:style w:type="paragraph" w:styleId="31">
    <w:name w:val="Body Text Indent 2"/>
    <w:basedOn w:val="1"/>
    <w:link w:val="87"/>
    <w:qFormat/>
    <w:uiPriority w:val="0"/>
    <w:pPr>
      <w:spacing w:after="120" w:line="480" w:lineRule="auto"/>
      <w:ind w:left="420" w:leftChars="200" w:firstLine="200" w:firstLineChars="200"/>
    </w:pPr>
  </w:style>
  <w:style w:type="paragraph" w:styleId="32">
    <w:name w:val="Balloon Text"/>
    <w:basedOn w:val="1"/>
    <w:link w:val="88"/>
    <w:unhideWhenUsed/>
    <w:qFormat/>
    <w:uiPriority w:val="0"/>
    <w:rPr>
      <w:sz w:val="18"/>
      <w:szCs w:val="18"/>
    </w:rPr>
  </w:style>
  <w:style w:type="paragraph" w:styleId="33">
    <w:name w:val="footer"/>
    <w:basedOn w:val="1"/>
    <w:link w:val="89"/>
    <w:unhideWhenUsed/>
    <w:qFormat/>
    <w:uiPriority w:val="0"/>
    <w:pPr>
      <w:tabs>
        <w:tab w:val="center" w:pos="4153"/>
        <w:tab w:val="right" w:pos="8306"/>
      </w:tabs>
      <w:snapToGrid w:val="0"/>
      <w:jc w:val="left"/>
    </w:pPr>
    <w:rPr>
      <w:sz w:val="18"/>
      <w:szCs w:val="18"/>
    </w:rPr>
  </w:style>
  <w:style w:type="paragraph" w:styleId="34">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style>
  <w:style w:type="paragraph" w:styleId="36">
    <w:name w:val="toc 4"/>
    <w:basedOn w:val="1"/>
    <w:next w:val="1"/>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1"/>
    <w:qFormat/>
    <w:uiPriority w:val="0"/>
    <w:pPr>
      <w:spacing w:before="240" w:after="60" w:line="312" w:lineRule="auto"/>
      <w:ind w:firstLine="200" w:firstLineChars="200"/>
      <w:jc w:val="center"/>
      <w:outlineLvl w:val="1"/>
    </w:pPr>
    <w:rPr>
      <w:rFonts w:ascii="Cambria" w:hAnsi="Cambria"/>
      <w:b/>
      <w:bCs/>
      <w:kern w:val="28"/>
      <w:sz w:val="32"/>
      <w:szCs w:val="32"/>
    </w:rPr>
  </w:style>
  <w:style w:type="paragraph" w:styleId="38">
    <w:name w:val="footnote text"/>
    <w:basedOn w:val="1"/>
    <w:link w:val="92"/>
    <w:qFormat/>
    <w:uiPriority w:val="0"/>
    <w:pPr>
      <w:snapToGrid w:val="0"/>
      <w:jc w:val="left"/>
    </w:pPr>
    <w:rPr>
      <w:sz w:val="18"/>
      <w:szCs w:val="18"/>
    </w:rPr>
  </w:style>
  <w:style w:type="paragraph" w:styleId="39">
    <w:name w:val="toc 6"/>
    <w:basedOn w:val="1"/>
    <w:next w:val="1"/>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qFormat/>
    <w:uiPriority w:val="0"/>
    <w:pPr>
      <w:ind w:left="2100" w:hanging="420"/>
    </w:pPr>
    <w:rPr>
      <w:szCs w:val="20"/>
    </w:rPr>
  </w:style>
  <w:style w:type="paragraph" w:styleId="41">
    <w:name w:val="Body Text Indent 3"/>
    <w:basedOn w:val="1"/>
    <w:link w:val="93"/>
    <w:qFormat/>
    <w:uiPriority w:val="0"/>
    <w:pPr>
      <w:spacing w:after="120" w:line="360" w:lineRule="exact"/>
      <w:ind w:left="420" w:leftChars="200" w:firstLine="200" w:firstLineChars="200"/>
    </w:pPr>
    <w:rPr>
      <w:sz w:val="16"/>
      <w:szCs w:val="16"/>
    </w:rPr>
  </w:style>
  <w:style w:type="paragraph" w:styleId="42">
    <w:name w:val="index 9"/>
    <w:basedOn w:val="1"/>
    <w:next w:val="1"/>
    <w:qFormat/>
    <w:uiPriority w:val="0"/>
    <w:pPr>
      <w:ind w:left="1600" w:leftChars="1600"/>
    </w:pPr>
    <w:rPr>
      <w:szCs w:val="20"/>
    </w:rPr>
  </w:style>
  <w:style w:type="paragraph" w:styleId="43">
    <w:name w:val="toc 2"/>
    <w:basedOn w:val="1"/>
    <w:next w:val="1"/>
    <w:link w:val="94"/>
    <w:unhideWhenUsed/>
    <w:qFormat/>
    <w:uiPriority w:val="39"/>
    <w:pPr>
      <w:ind w:left="420" w:leftChars="200"/>
    </w:pPr>
  </w:style>
  <w:style w:type="paragraph" w:styleId="44">
    <w:name w:val="toc 9"/>
    <w:basedOn w:val="1"/>
    <w:next w:val="1"/>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5"/>
    <w:qFormat/>
    <w:uiPriority w:val="0"/>
    <w:pPr>
      <w:spacing w:after="120" w:line="480" w:lineRule="auto"/>
      <w:ind w:firstLine="200" w:firstLineChars="200"/>
    </w:pPr>
    <w:rPr>
      <w:rFonts w:ascii="Calibri" w:hAnsi="Calibri"/>
    </w:rPr>
  </w:style>
  <w:style w:type="paragraph" w:styleId="46">
    <w:name w:val="Message Header"/>
    <w:basedOn w:val="1"/>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47">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9">
    <w:name w:val="index 1"/>
    <w:basedOn w:val="1"/>
    <w:next w:val="1"/>
    <w:qFormat/>
    <w:uiPriority w:val="0"/>
    <w:pPr>
      <w:ind w:right="257"/>
    </w:pPr>
    <w:rPr>
      <w:rFonts w:ascii="宋体" w:hAnsi="宋体"/>
      <w:szCs w:val="20"/>
    </w:rPr>
  </w:style>
  <w:style w:type="paragraph" w:styleId="50">
    <w:name w:val="Title"/>
    <w:basedOn w:val="1"/>
    <w:next w:val="27"/>
    <w:link w:val="97"/>
    <w:qFormat/>
    <w:uiPriority w:val="0"/>
    <w:pPr>
      <w:spacing w:before="240" w:after="240"/>
      <w:ind w:firstLine="1687"/>
      <w:jc w:val="center"/>
      <w:outlineLvl w:val="0"/>
    </w:pPr>
    <w:rPr>
      <w:rFonts w:ascii="Cambria" w:hAnsi="Cambria"/>
      <w:b/>
      <w:bCs/>
      <w:sz w:val="32"/>
      <w:szCs w:val="32"/>
    </w:rPr>
  </w:style>
  <w:style w:type="paragraph" w:styleId="51">
    <w:name w:val="annotation subject"/>
    <w:basedOn w:val="17"/>
    <w:next w:val="17"/>
    <w:link w:val="98"/>
    <w:qFormat/>
    <w:uiPriority w:val="0"/>
    <w:pPr>
      <w:widowControl w:val="0"/>
      <w:spacing w:line="360" w:lineRule="exact"/>
      <w:ind w:firstLine="200" w:firstLineChars="200"/>
    </w:pPr>
    <w:rPr>
      <w:rFonts w:ascii="Times New Roman" w:hAnsi="Times New Roman"/>
      <w:b/>
      <w:bCs/>
    </w:rPr>
  </w:style>
  <w:style w:type="paragraph" w:styleId="52">
    <w:name w:val="Body Text First Indent"/>
    <w:basedOn w:val="19"/>
    <w:next w:val="53"/>
    <w:link w:val="99"/>
    <w:qFormat/>
    <w:uiPriority w:val="0"/>
    <w:pPr>
      <w:ind w:firstLine="420" w:firstLineChars="100"/>
    </w:pPr>
  </w:style>
  <w:style w:type="paragraph" w:styleId="53">
    <w:name w:val="Body Text First Indent 2"/>
    <w:basedOn w:val="20"/>
    <w:next w:val="13"/>
    <w:unhideWhenUsed/>
    <w:qFormat/>
    <w:uiPriority w:val="99"/>
    <w:pPr>
      <w:ind w:firstLine="420"/>
    </w:p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333333"/>
      <w:u w:val="none"/>
    </w:rPr>
  </w:style>
  <w:style w:type="character" w:styleId="60">
    <w:name w:val="Emphasis"/>
    <w:qFormat/>
    <w:uiPriority w:val="0"/>
    <w:rPr>
      <w:i/>
      <w:iCs/>
    </w:rPr>
  </w:style>
  <w:style w:type="character" w:styleId="61">
    <w:name w:val="HTML Definition"/>
    <w:qFormat/>
    <w:uiPriority w:val="0"/>
  </w:style>
  <w:style w:type="character" w:styleId="62">
    <w:name w:val="HTML Acronym"/>
    <w:basedOn w:val="56"/>
    <w:qFormat/>
    <w:uiPriority w:val="0"/>
  </w:style>
  <w:style w:type="character" w:styleId="63">
    <w:name w:val="HTML Variable"/>
    <w:qFormat/>
    <w:uiPriority w:val="0"/>
  </w:style>
  <w:style w:type="character" w:styleId="64">
    <w:name w:val="Hyperlink"/>
    <w:basedOn w:val="56"/>
    <w:qFormat/>
    <w:uiPriority w:val="99"/>
    <w:rPr>
      <w:color w:val="333333"/>
      <w:u w:val="none"/>
    </w:rPr>
  </w:style>
  <w:style w:type="character" w:styleId="65">
    <w:name w:val="HTML Code"/>
    <w:qFormat/>
    <w:uiPriority w:val="0"/>
    <w:rPr>
      <w:rFonts w:ascii="Courier New" w:hAnsi="Courier New"/>
      <w:color w:val="505050"/>
      <w:sz w:val="24"/>
      <w:szCs w:val="24"/>
    </w:rPr>
  </w:style>
  <w:style w:type="character" w:styleId="66">
    <w:name w:val="annotation reference"/>
    <w:qFormat/>
    <w:uiPriority w:val="0"/>
    <w:rPr>
      <w:sz w:val="21"/>
      <w:szCs w:val="21"/>
    </w:rPr>
  </w:style>
  <w:style w:type="character" w:styleId="67">
    <w:name w:val="HTML Cite"/>
    <w:qFormat/>
    <w:uiPriority w:val="0"/>
  </w:style>
  <w:style w:type="character" w:styleId="68">
    <w:name w:val="footnote reference"/>
    <w:qFormat/>
    <w:uiPriority w:val="0"/>
    <w:rPr>
      <w:vertAlign w:val="superscript"/>
    </w:rPr>
  </w:style>
  <w:style w:type="paragraph" w:customStyle="1" w:styleId="69">
    <w:name w:val="toc 21"/>
    <w:next w:val="1"/>
    <w:qFormat/>
    <w:uiPriority w:val="0"/>
    <w:pPr>
      <w:wordWrap w:val="0"/>
      <w:ind w:left="425"/>
      <w:jc w:val="both"/>
    </w:pPr>
    <w:rPr>
      <w:rFonts w:ascii="Times New Roman" w:hAnsi="Times New Roman" w:eastAsia="宋体" w:cs="Times New Roman"/>
      <w:sz w:val="21"/>
      <w:lang w:val="en-US" w:eastAsia="zh-CN" w:bidi="ar-SA"/>
    </w:rPr>
  </w:style>
  <w:style w:type="character" w:customStyle="1" w:styleId="70">
    <w:name w:val="标题 2 字符"/>
    <w:link w:val="2"/>
    <w:qFormat/>
    <w:uiPriority w:val="0"/>
    <w:rPr>
      <w:rFonts w:ascii="Cambria" w:hAnsi="Cambria" w:eastAsia="宋体" w:cs="Times New Roman"/>
      <w:b/>
      <w:bCs/>
      <w:sz w:val="32"/>
      <w:szCs w:val="32"/>
    </w:rPr>
  </w:style>
  <w:style w:type="character" w:customStyle="1" w:styleId="71">
    <w:name w:val="标题 1 字符"/>
    <w:link w:val="3"/>
    <w:qFormat/>
    <w:uiPriority w:val="0"/>
    <w:rPr>
      <w:rFonts w:ascii="Times New Roman" w:hAnsi="Times New Roman" w:eastAsia="宋体" w:cs="Times New Roman"/>
      <w:b/>
      <w:bCs/>
      <w:kern w:val="44"/>
      <w:sz w:val="36"/>
      <w:szCs w:val="44"/>
    </w:rPr>
  </w:style>
  <w:style w:type="character" w:customStyle="1" w:styleId="72">
    <w:name w:val="标题 3 Char"/>
    <w:qFormat/>
    <w:uiPriority w:val="0"/>
    <w:rPr>
      <w:rFonts w:ascii="Times New Roman" w:hAnsi="Times New Roman" w:eastAsia="宋体" w:cs="Times New Roman"/>
      <w:b/>
      <w:bCs/>
      <w:kern w:val="2"/>
      <w:sz w:val="24"/>
      <w:szCs w:val="32"/>
    </w:rPr>
  </w:style>
  <w:style w:type="character" w:customStyle="1" w:styleId="73">
    <w:name w:val="标题 4 字符"/>
    <w:link w:val="5"/>
    <w:qFormat/>
    <w:uiPriority w:val="0"/>
    <w:rPr>
      <w:rFonts w:ascii="Calibri Light" w:hAnsi="Calibri Light" w:eastAsia="宋体"/>
      <w:b/>
      <w:bCs/>
      <w:iCs/>
    </w:rPr>
  </w:style>
  <w:style w:type="character" w:customStyle="1" w:styleId="74">
    <w:name w:val="标题 5 字符"/>
    <w:link w:val="6"/>
    <w:qFormat/>
    <w:uiPriority w:val="0"/>
    <w:rPr>
      <w:rFonts w:ascii="Times New Roman" w:hAnsi="Times New Roman" w:eastAsia="宋体" w:cs="Times New Roman"/>
      <w:b/>
      <w:bCs/>
      <w:sz w:val="28"/>
      <w:szCs w:val="28"/>
    </w:rPr>
  </w:style>
  <w:style w:type="character" w:customStyle="1" w:styleId="75">
    <w:name w:val="标题 6 字符"/>
    <w:link w:val="7"/>
    <w:qFormat/>
    <w:uiPriority w:val="0"/>
    <w:rPr>
      <w:rFonts w:ascii="Cambria" w:hAnsi="Cambria" w:eastAsia="宋体" w:cs="Times New Roman"/>
      <w:b/>
      <w:bCs/>
      <w:sz w:val="24"/>
      <w:szCs w:val="24"/>
    </w:rPr>
  </w:style>
  <w:style w:type="character" w:customStyle="1" w:styleId="76">
    <w:name w:val="标题 7 字符"/>
    <w:link w:val="8"/>
    <w:qFormat/>
    <w:uiPriority w:val="0"/>
    <w:rPr>
      <w:rFonts w:ascii="Times New Roman" w:hAnsi="Times New Roman" w:eastAsia="宋体" w:cs="Times New Roman"/>
      <w:b/>
      <w:bCs/>
      <w:sz w:val="24"/>
      <w:szCs w:val="24"/>
    </w:rPr>
  </w:style>
  <w:style w:type="character" w:customStyle="1" w:styleId="77">
    <w:name w:val="标题 8 字符"/>
    <w:link w:val="9"/>
    <w:qFormat/>
    <w:uiPriority w:val="0"/>
    <w:rPr>
      <w:rFonts w:ascii="Cambria" w:hAnsi="Cambria" w:eastAsia="宋体" w:cs="Times New Roman"/>
      <w:sz w:val="24"/>
      <w:szCs w:val="24"/>
    </w:rPr>
  </w:style>
  <w:style w:type="character" w:customStyle="1" w:styleId="78">
    <w:name w:val="标题 9 字符"/>
    <w:link w:val="10"/>
    <w:qFormat/>
    <w:uiPriority w:val="0"/>
    <w:rPr>
      <w:rFonts w:ascii="Cambria" w:hAnsi="Cambria" w:eastAsia="宋体" w:cs="Times New Roman"/>
      <w:szCs w:val="21"/>
    </w:rPr>
  </w:style>
  <w:style w:type="character" w:customStyle="1" w:styleId="79">
    <w:name w:val="正文缩进 字符"/>
    <w:link w:val="13"/>
    <w:qFormat/>
    <w:locked/>
    <w:uiPriority w:val="0"/>
    <w:rPr>
      <w:sz w:val="21"/>
    </w:rPr>
  </w:style>
  <w:style w:type="character" w:customStyle="1" w:styleId="80">
    <w:name w:val="文档结构图 字符"/>
    <w:link w:val="16"/>
    <w:qFormat/>
    <w:uiPriority w:val="0"/>
    <w:rPr>
      <w:rFonts w:ascii="Times New Roman" w:hAnsi="Times New Roman" w:eastAsia="宋体" w:cs="Times New Roman"/>
      <w:szCs w:val="24"/>
      <w:shd w:val="clear" w:color="auto" w:fill="000080"/>
    </w:rPr>
  </w:style>
  <w:style w:type="character" w:customStyle="1" w:styleId="81">
    <w:name w:val="批注文字 字符"/>
    <w:link w:val="17"/>
    <w:qFormat/>
    <w:uiPriority w:val="0"/>
    <w:rPr>
      <w:szCs w:val="24"/>
    </w:rPr>
  </w:style>
  <w:style w:type="character" w:customStyle="1" w:styleId="82">
    <w:name w:val="正文文本 3 字符"/>
    <w:link w:val="18"/>
    <w:qFormat/>
    <w:uiPriority w:val="0"/>
    <w:rPr>
      <w:rFonts w:ascii="宋体" w:hAnsi="Times New Roman" w:eastAsia="宋体" w:cs="Times New Roman"/>
      <w:sz w:val="24"/>
      <w:szCs w:val="20"/>
    </w:rPr>
  </w:style>
  <w:style w:type="character" w:customStyle="1" w:styleId="83">
    <w:name w:val="正文文本 字符"/>
    <w:link w:val="19"/>
    <w:qFormat/>
    <w:uiPriority w:val="0"/>
    <w:rPr>
      <w:rFonts w:ascii="Times New Roman" w:hAnsi="Times New Roman" w:eastAsia="宋体" w:cs="Times New Roman"/>
      <w:szCs w:val="24"/>
    </w:rPr>
  </w:style>
  <w:style w:type="character" w:customStyle="1" w:styleId="84">
    <w:name w:val="正文文本缩进 字符"/>
    <w:link w:val="20"/>
    <w:qFormat/>
    <w:uiPriority w:val="0"/>
    <w:rPr>
      <w:rFonts w:ascii="Times New Roman" w:hAnsi="Times New Roman" w:eastAsia="宋体" w:cs="Times New Roman"/>
      <w:szCs w:val="24"/>
    </w:rPr>
  </w:style>
  <w:style w:type="character" w:customStyle="1" w:styleId="85">
    <w:name w:val="纯文本 字符"/>
    <w:link w:val="27"/>
    <w:qFormat/>
    <w:uiPriority w:val="0"/>
    <w:rPr>
      <w:rFonts w:ascii="宋体" w:hAnsi="Courier New" w:eastAsia="宋体"/>
    </w:rPr>
  </w:style>
  <w:style w:type="character" w:customStyle="1" w:styleId="86">
    <w:name w:val="日期 字符"/>
    <w:link w:val="30"/>
    <w:qFormat/>
    <w:uiPriority w:val="0"/>
    <w:rPr>
      <w:szCs w:val="24"/>
    </w:rPr>
  </w:style>
  <w:style w:type="character" w:customStyle="1" w:styleId="87">
    <w:name w:val="正文文本缩进 2 字符"/>
    <w:link w:val="31"/>
    <w:qFormat/>
    <w:uiPriority w:val="0"/>
    <w:rPr>
      <w:rFonts w:ascii="Times New Roman" w:hAnsi="Times New Roman" w:eastAsia="宋体" w:cs="Times New Roman"/>
      <w:szCs w:val="24"/>
    </w:rPr>
  </w:style>
  <w:style w:type="character" w:customStyle="1" w:styleId="88">
    <w:name w:val="批注框文本 字符"/>
    <w:link w:val="32"/>
    <w:qFormat/>
    <w:uiPriority w:val="0"/>
    <w:rPr>
      <w:rFonts w:ascii="Times New Roman" w:hAnsi="Times New Roman" w:eastAsia="宋体" w:cs="Times New Roman"/>
      <w:sz w:val="18"/>
      <w:szCs w:val="18"/>
    </w:rPr>
  </w:style>
  <w:style w:type="character" w:customStyle="1" w:styleId="89">
    <w:name w:val="页脚 字符"/>
    <w:link w:val="33"/>
    <w:qFormat/>
    <w:uiPriority w:val="0"/>
    <w:rPr>
      <w:rFonts w:ascii="Times New Roman" w:hAnsi="Times New Roman" w:eastAsia="宋体" w:cs="Times New Roman"/>
      <w:sz w:val="18"/>
      <w:szCs w:val="18"/>
    </w:rPr>
  </w:style>
  <w:style w:type="character" w:customStyle="1" w:styleId="90">
    <w:name w:val="页眉 字符"/>
    <w:link w:val="34"/>
    <w:qFormat/>
    <w:uiPriority w:val="0"/>
    <w:rPr>
      <w:rFonts w:ascii="Times New Roman" w:hAnsi="Times New Roman" w:eastAsia="宋体" w:cs="Times New Roman"/>
      <w:sz w:val="18"/>
      <w:szCs w:val="18"/>
    </w:rPr>
  </w:style>
  <w:style w:type="character" w:customStyle="1" w:styleId="91">
    <w:name w:val="副标题 字符"/>
    <w:link w:val="37"/>
    <w:qFormat/>
    <w:uiPriority w:val="0"/>
    <w:rPr>
      <w:rFonts w:ascii="Cambria" w:hAnsi="Cambria" w:cs="Times New Roman"/>
      <w:b/>
      <w:bCs/>
      <w:kern w:val="28"/>
      <w:sz w:val="32"/>
      <w:szCs w:val="32"/>
    </w:rPr>
  </w:style>
  <w:style w:type="character" w:customStyle="1" w:styleId="92">
    <w:name w:val="脚注文本 字符"/>
    <w:link w:val="38"/>
    <w:qFormat/>
    <w:uiPriority w:val="0"/>
    <w:rPr>
      <w:kern w:val="2"/>
      <w:sz w:val="18"/>
      <w:szCs w:val="18"/>
    </w:rPr>
  </w:style>
  <w:style w:type="character" w:customStyle="1" w:styleId="93">
    <w:name w:val="正文文本缩进 3 字符"/>
    <w:link w:val="41"/>
    <w:qFormat/>
    <w:uiPriority w:val="0"/>
    <w:rPr>
      <w:rFonts w:ascii="Times New Roman" w:hAnsi="Times New Roman" w:eastAsia="宋体" w:cs="Times New Roman"/>
      <w:sz w:val="16"/>
      <w:szCs w:val="16"/>
    </w:rPr>
  </w:style>
  <w:style w:type="character" w:customStyle="1" w:styleId="94">
    <w:name w:val="TOC 2 字符"/>
    <w:link w:val="43"/>
    <w:qFormat/>
    <w:locked/>
    <w:uiPriority w:val="39"/>
    <w:rPr>
      <w:rFonts w:ascii="Times New Roman" w:hAnsi="Times New Roman" w:eastAsia="宋体" w:cs="Times New Roman"/>
      <w:szCs w:val="24"/>
    </w:rPr>
  </w:style>
  <w:style w:type="character" w:customStyle="1" w:styleId="95">
    <w:name w:val="正文文本 2 字符"/>
    <w:link w:val="45"/>
    <w:qFormat/>
    <w:uiPriority w:val="0"/>
    <w:rPr>
      <w:szCs w:val="24"/>
    </w:rPr>
  </w:style>
  <w:style w:type="character" w:customStyle="1" w:styleId="96">
    <w:name w:val="HTML 预设格式 字符"/>
    <w:link w:val="47"/>
    <w:qFormat/>
    <w:uiPriority w:val="0"/>
    <w:rPr>
      <w:rFonts w:ascii="Arial" w:hAnsi="Arial" w:cs="Arial"/>
      <w:sz w:val="24"/>
      <w:szCs w:val="24"/>
    </w:rPr>
  </w:style>
  <w:style w:type="character" w:customStyle="1" w:styleId="97">
    <w:name w:val="标题 字符"/>
    <w:link w:val="50"/>
    <w:qFormat/>
    <w:uiPriority w:val="0"/>
    <w:rPr>
      <w:rFonts w:ascii="Cambria" w:hAnsi="Cambria"/>
      <w:b/>
      <w:bCs/>
      <w:sz w:val="32"/>
      <w:szCs w:val="32"/>
    </w:rPr>
  </w:style>
  <w:style w:type="character" w:customStyle="1" w:styleId="98">
    <w:name w:val="批注主题 字符"/>
    <w:link w:val="51"/>
    <w:qFormat/>
    <w:uiPriority w:val="0"/>
    <w:rPr>
      <w:rFonts w:ascii="Times New Roman" w:hAnsi="Times New Roman" w:eastAsia="宋体" w:cs="Times New Roman"/>
      <w:b/>
      <w:bCs/>
      <w:szCs w:val="24"/>
    </w:rPr>
  </w:style>
  <w:style w:type="character" w:customStyle="1" w:styleId="99">
    <w:name w:val="正文文本首行缩进 字符"/>
    <w:link w:val="52"/>
    <w:qFormat/>
    <w:uiPriority w:val="0"/>
    <w:rPr>
      <w:rFonts w:ascii="Times New Roman" w:hAnsi="Times New Roman" w:eastAsia="宋体" w:cs="Times New Roman"/>
      <w:kern w:val="2"/>
      <w:sz w:val="21"/>
      <w:szCs w:val="24"/>
    </w:rPr>
  </w:style>
  <w:style w:type="character" w:customStyle="1" w:styleId="100">
    <w:name w:val="标题 3 字符"/>
    <w:link w:val="4"/>
    <w:qFormat/>
    <w:uiPriority w:val="0"/>
    <w:rPr>
      <w:rFonts w:ascii="Calibri" w:hAnsi="Calibri" w:eastAsia="宋体"/>
      <w:b/>
      <w:sz w:val="32"/>
    </w:rPr>
  </w:style>
  <w:style w:type="character" w:customStyle="1" w:styleId="101">
    <w:name w:val="标题 1 Char Char"/>
    <w:qFormat/>
    <w:uiPriority w:val="0"/>
    <w:rPr>
      <w:rFonts w:eastAsia="宋体"/>
      <w:b/>
      <w:sz w:val="44"/>
      <w:lang w:val="en-US" w:eastAsia="zh-CN" w:bidi="ar-SA"/>
    </w:rPr>
  </w:style>
  <w:style w:type="paragraph" w:customStyle="1" w:styleId="102">
    <w:name w:val="首行缩进"/>
    <w:basedOn w:val="1"/>
    <w:qFormat/>
    <w:uiPriority w:val="0"/>
    <w:pPr>
      <w:spacing w:line="360" w:lineRule="auto"/>
      <w:ind w:firstLine="480" w:firstLineChars="200"/>
    </w:pPr>
    <w:rPr>
      <w:rFonts w:ascii="宋体" w:hAnsi="宋体"/>
      <w:kern w:val="0"/>
      <w:sz w:val="24"/>
    </w:rPr>
  </w:style>
  <w:style w:type="character" w:customStyle="1" w:styleId="103">
    <w:name w:val="正文文本 (2) + 10 pt34"/>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4">
    <w:name w:val="4 Char Char"/>
    <w:link w:val="105"/>
    <w:qFormat/>
    <w:uiPriority w:val="0"/>
    <w:rPr>
      <w:rFonts w:ascii="Cambria" w:hAnsi="Cambria" w:eastAsia="宋体" w:cs="Times New Roman"/>
      <w:b/>
      <w:bCs/>
      <w:sz w:val="32"/>
      <w:szCs w:val="28"/>
    </w:rPr>
  </w:style>
  <w:style w:type="paragraph" w:customStyle="1" w:styleId="105">
    <w:name w:val="4"/>
    <w:basedOn w:val="5"/>
    <w:next w:val="19"/>
    <w:link w:val="104"/>
    <w:qFormat/>
    <w:uiPriority w:val="0"/>
    <w:pPr>
      <w:widowControl w:val="0"/>
      <w:spacing w:before="120" w:after="120" w:line="360" w:lineRule="exact"/>
    </w:pPr>
    <w:rPr>
      <w:rFonts w:ascii="Cambria" w:hAnsi="Cambria"/>
      <w:iCs w:val="0"/>
      <w:sz w:val="32"/>
      <w:szCs w:val="28"/>
    </w:rPr>
  </w:style>
  <w:style w:type="character" w:customStyle="1" w:styleId="106">
    <w:name w:val="Heading 3 Char"/>
    <w:qFormat/>
    <w:uiPriority w:val="0"/>
    <w:rPr>
      <w:rFonts w:cs="Times New Roman"/>
      <w:b/>
      <w:bCs/>
      <w:kern w:val="2"/>
      <w:sz w:val="32"/>
      <w:szCs w:val="32"/>
    </w:rPr>
  </w:style>
  <w:style w:type="character" w:customStyle="1" w:styleId="107">
    <w:name w:val="op-map-singlepoint-info-right"/>
    <w:basedOn w:val="56"/>
    <w:qFormat/>
    <w:uiPriority w:val="0"/>
  </w:style>
  <w:style w:type="character" w:customStyle="1" w:styleId="108">
    <w:name w:val="15"/>
    <w:qFormat/>
    <w:uiPriority w:val="0"/>
    <w:rPr>
      <w:rFonts w:hint="default" w:ascii="Times New Roman" w:hAnsi="Times New Roman" w:cs="Times New Roman"/>
      <w:color w:val="0000FF"/>
      <w:u w:val="single"/>
    </w:rPr>
  </w:style>
  <w:style w:type="character" w:customStyle="1" w:styleId="109">
    <w:name w:val="Body Text Indent Char"/>
    <w:qFormat/>
    <w:uiPriority w:val="0"/>
    <w:rPr>
      <w:rFonts w:ascii="宋体" w:hAnsi="宋体" w:eastAsia="宋体"/>
      <w:kern w:val="2"/>
      <w:sz w:val="21"/>
      <w:lang w:val="en-US" w:eastAsia="zh-CN" w:bidi="ar-SA"/>
    </w:rPr>
  </w:style>
  <w:style w:type="character" w:customStyle="1" w:styleId="110">
    <w:name w:val="明显引用 字符"/>
    <w:link w:val="111"/>
    <w:qFormat/>
    <w:uiPriority w:val="0"/>
    <w:rPr>
      <w:b/>
      <w:bCs/>
      <w:i/>
      <w:iCs/>
      <w:color w:val="4F81BD"/>
      <w:szCs w:val="24"/>
    </w:rPr>
  </w:style>
  <w:style w:type="paragraph" w:styleId="111">
    <w:name w:val="Intense Quote"/>
    <w:basedOn w:val="1"/>
    <w:next w:val="1"/>
    <w:link w:val="110"/>
    <w:qFormat/>
    <w:uiPriority w:val="0"/>
    <w:pPr>
      <w:pBdr>
        <w:bottom w:val="single" w:color="4F81BD" w:sz="4" w:space="4"/>
      </w:pBdr>
      <w:spacing w:before="200" w:after="280" w:line="360" w:lineRule="exact"/>
      <w:ind w:left="936" w:right="936" w:firstLine="200" w:firstLineChars="200"/>
    </w:pPr>
    <w:rPr>
      <w:rFonts w:ascii="Calibri" w:hAnsi="Calibri"/>
      <w:b/>
      <w:bCs/>
      <w:i/>
      <w:iCs/>
      <w:color w:val="4F81BD"/>
    </w:rPr>
  </w:style>
  <w:style w:type="character" w:customStyle="1" w:styleId="112">
    <w:name w:val="正文文本 (2)_"/>
    <w:link w:val="113"/>
    <w:qFormat/>
    <w:uiPriority w:val="0"/>
    <w:rPr>
      <w:rFonts w:ascii="MingLiU" w:hAnsi="MingLiU" w:eastAsia="MingLiU" w:cs="MingLiU"/>
      <w:spacing w:val="20"/>
      <w:sz w:val="22"/>
      <w:shd w:val="clear" w:color="auto" w:fill="FFFFFF"/>
    </w:rPr>
  </w:style>
  <w:style w:type="paragraph" w:customStyle="1" w:styleId="113">
    <w:name w:val="正文文本 (2)4"/>
    <w:basedOn w:val="1"/>
    <w:link w:val="112"/>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4">
    <w:name w:val="正文呀 Char"/>
    <w:link w:val="115"/>
    <w:qFormat/>
    <w:uiPriority w:val="0"/>
    <w:rPr>
      <w:rFonts w:ascii="宋体" w:hAnsi="宋体"/>
      <w:kern w:val="2"/>
      <w:sz w:val="21"/>
      <w:szCs w:val="21"/>
    </w:rPr>
  </w:style>
  <w:style w:type="paragraph" w:customStyle="1" w:styleId="115">
    <w:name w:val="正文呀"/>
    <w:basedOn w:val="1"/>
    <w:link w:val="114"/>
    <w:qFormat/>
    <w:uiPriority w:val="0"/>
    <w:pPr>
      <w:spacing w:line="420" w:lineRule="exact"/>
      <w:ind w:firstLine="420" w:firstLineChars="200"/>
    </w:pPr>
    <w:rPr>
      <w:rFonts w:ascii="宋体" w:hAnsi="宋体"/>
      <w:szCs w:val="21"/>
    </w:rPr>
  </w:style>
  <w:style w:type="character" w:customStyle="1" w:styleId="116">
    <w:name w:val="正文文本 (14) + Times New Roman"/>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7">
    <w:name w:val="正文文本 (45)_"/>
    <w:link w:val="118"/>
    <w:qFormat/>
    <w:locked/>
    <w:uiPriority w:val="0"/>
    <w:rPr>
      <w:rFonts w:ascii="MingLiU" w:hAnsi="MingLiU" w:eastAsia="MingLiU"/>
      <w:sz w:val="22"/>
      <w:shd w:val="clear" w:color="auto" w:fill="FFFFFF"/>
    </w:rPr>
  </w:style>
  <w:style w:type="paragraph" w:customStyle="1" w:styleId="118">
    <w:name w:val="正文文本 (45)"/>
    <w:basedOn w:val="1"/>
    <w:link w:val="117"/>
    <w:qFormat/>
    <w:uiPriority w:val="0"/>
    <w:pPr>
      <w:shd w:val="clear" w:color="auto" w:fill="FFFFFF"/>
      <w:spacing w:after="420" w:line="240" w:lineRule="atLeast"/>
      <w:jc w:val="center"/>
    </w:pPr>
    <w:rPr>
      <w:rFonts w:ascii="MingLiU" w:hAnsi="MingLiU" w:eastAsia="MingLiU"/>
      <w:sz w:val="22"/>
      <w:szCs w:val="22"/>
    </w:rPr>
  </w:style>
  <w:style w:type="character" w:customStyle="1" w:styleId="119">
    <w:name w:val="普通文字 Char Char1"/>
    <w:qFormat/>
    <w:uiPriority w:val="0"/>
    <w:rPr>
      <w:rFonts w:ascii="宋体" w:hAnsi="Courier New" w:eastAsia="宋体"/>
      <w:kern w:val="2"/>
      <w:sz w:val="21"/>
      <w:lang w:val="en-US" w:eastAsia="zh-CN" w:bidi="ar-SA"/>
    </w:rPr>
  </w:style>
  <w:style w:type="character" w:customStyle="1" w:styleId="120">
    <w:name w:val="纯文本 Char2"/>
    <w:qFormat/>
    <w:uiPriority w:val="0"/>
    <w:rPr>
      <w:rFonts w:ascii="宋体" w:hAnsi="Courier New"/>
      <w:kern w:val="2"/>
      <w:sz w:val="21"/>
    </w:rPr>
  </w:style>
  <w:style w:type="character" w:customStyle="1" w:styleId="121">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2">
    <w:name w:val="不明显参考1"/>
    <w:qFormat/>
    <w:uiPriority w:val="0"/>
    <w:rPr>
      <w:smallCaps/>
      <w:color w:val="C0504D"/>
      <w:u w:val="single"/>
    </w:rPr>
  </w:style>
  <w:style w:type="character" w:customStyle="1" w:styleId="123">
    <w:name w:val="标题 #7_"/>
    <w:link w:val="124"/>
    <w:qFormat/>
    <w:locked/>
    <w:uiPriority w:val="0"/>
    <w:rPr>
      <w:rFonts w:ascii="MingLiU" w:hAnsi="MingLiU" w:eastAsia="MingLiU"/>
      <w:spacing w:val="30"/>
      <w:sz w:val="26"/>
      <w:szCs w:val="26"/>
      <w:shd w:val="clear" w:color="auto" w:fill="FFFFFF"/>
    </w:rPr>
  </w:style>
  <w:style w:type="paragraph" w:customStyle="1" w:styleId="124">
    <w:name w:val="标题 #7"/>
    <w:basedOn w:val="1"/>
    <w:link w:val="123"/>
    <w:qFormat/>
    <w:uiPriority w:val="0"/>
    <w:pPr>
      <w:shd w:val="clear" w:color="auto" w:fill="FFFFFF"/>
      <w:spacing w:before="540" w:after="540" w:line="240" w:lineRule="atLeast"/>
      <w:jc w:val="center"/>
      <w:outlineLvl w:val="6"/>
    </w:pPr>
    <w:rPr>
      <w:rFonts w:ascii="MingLiU" w:hAnsi="MingLiU" w:eastAsia="MingLiU"/>
      <w:spacing w:val="30"/>
      <w:sz w:val="26"/>
      <w:szCs w:val="26"/>
    </w:rPr>
  </w:style>
  <w:style w:type="character" w:customStyle="1" w:styleId="125">
    <w:name w:val="Plain Text Char"/>
    <w:qFormat/>
    <w:uiPriority w:val="0"/>
    <w:rPr>
      <w:rFonts w:ascii="宋体" w:hAnsi="Courier New" w:eastAsia="宋体"/>
      <w:sz w:val="24"/>
      <w:lang w:bidi="ar-SA"/>
    </w:rPr>
  </w:style>
  <w:style w:type="character" w:customStyle="1" w:styleId="126">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7">
    <w:name w:val="正文文本 (2) + 10 pt3"/>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8">
    <w:name w:val="Char Char21"/>
    <w:qFormat/>
    <w:uiPriority w:val="0"/>
    <w:rPr>
      <w:rFonts w:ascii="Arial" w:hAnsi="Arial" w:eastAsia="黑体" w:cs="Times New Roman"/>
      <w:b/>
      <w:bCs/>
      <w:sz w:val="32"/>
      <w:szCs w:val="32"/>
    </w:rPr>
  </w:style>
  <w:style w:type="character" w:customStyle="1" w:styleId="129">
    <w:name w:val="样式4 Char Char"/>
    <w:link w:val="130"/>
    <w:qFormat/>
    <w:uiPriority w:val="0"/>
    <w:rPr>
      <w:rFonts w:ascii="宋体" w:hAnsi="宋体"/>
      <w:color w:val="FF0000"/>
      <w:sz w:val="24"/>
      <w:szCs w:val="24"/>
    </w:rPr>
  </w:style>
  <w:style w:type="paragraph" w:customStyle="1" w:styleId="130">
    <w:name w:val="样式4"/>
    <w:link w:val="129"/>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1">
    <w:name w:val="Char Char20"/>
    <w:qFormat/>
    <w:uiPriority w:val="0"/>
    <w:rPr>
      <w:rFonts w:ascii="Times New Roman" w:hAnsi="Times New Roman" w:eastAsia="宋体" w:cs="Times New Roman"/>
      <w:b/>
      <w:bCs/>
      <w:sz w:val="24"/>
      <w:szCs w:val="32"/>
    </w:rPr>
  </w:style>
  <w:style w:type="character" w:customStyle="1" w:styleId="132">
    <w:name w:val="页眉或页脚 + Times New Roman"/>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3">
    <w:name w:val="正文文本缩进 Char1"/>
    <w:semiHidden/>
    <w:qFormat/>
    <w:uiPriority w:val="99"/>
    <w:rPr>
      <w:sz w:val="21"/>
    </w:rPr>
  </w:style>
  <w:style w:type="character" w:customStyle="1" w:styleId="134">
    <w:name w:val="Heading 2 Char"/>
    <w:qFormat/>
    <w:uiPriority w:val="0"/>
    <w:rPr>
      <w:rFonts w:ascii="Arial" w:hAnsi="Arial" w:eastAsia="黑体"/>
      <w:b/>
      <w:bCs/>
      <w:kern w:val="2"/>
      <w:sz w:val="32"/>
      <w:szCs w:val="32"/>
      <w:lang w:val="en-US" w:eastAsia="zh-CN" w:bidi="ar-SA"/>
    </w:rPr>
  </w:style>
  <w:style w:type="character" w:customStyle="1" w:styleId="135">
    <w:name w:val="Title Char"/>
    <w:qFormat/>
    <w:uiPriority w:val="0"/>
    <w:rPr>
      <w:rFonts w:ascii="Cambria" w:hAnsi="Cambria"/>
      <w:b/>
      <w:sz w:val="32"/>
      <w:lang w:bidi="ar-SA"/>
    </w:rPr>
  </w:style>
  <w:style w:type="character" w:customStyle="1" w:styleId="136">
    <w:name w:val="Comment Text Char1"/>
    <w:qFormat/>
    <w:uiPriority w:val="0"/>
    <w:rPr>
      <w:sz w:val="24"/>
      <w:lang w:bidi="ar-SA"/>
    </w:rPr>
  </w:style>
  <w:style w:type="character" w:customStyle="1" w:styleId="137">
    <w:name w:val="样式3 Char Char"/>
    <w:link w:val="138"/>
    <w:qFormat/>
    <w:uiPriority w:val="0"/>
    <w:rPr>
      <w:rFonts w:ascii="Times New Roman" w:hAnsi="Times New Roman" w:eastAsia="宋体" w:cs="Times New Roman"/>
      <w:szCs w:val="24"/>
    </w:rPr>
  </w:style>
  <w:style w:type="paragraph" w:customStyle="1" w:styleId="138">
    <w:name w:val="样式3"/>
    <w:basedOn w:val="19"/>
    <w:link w:val="137"/>
    <w:qFormat/>
    <w:uiPriority w:val="0"/>
    <w:pPr>
      <w:spacing w:line="360" w:lineRule="exact"/>
    </w:pPr>
    <w:rPr>
      <w:rFonts w:ascii="Calibri" w:hAnsi="Calibri"/>
    </w:rPr>
  </w:style>
  <w:style w:type="character" w:customStyle="1" w:styleId="139">
    <w:name w:val="不明显强调3"/>
    <w:qFormat/>
    <w:uiPriority w:val="0"/>
    <w:rPr>
      <w:i/>
      <w:iCs/>
      <w:color w:val="808080"/>
    </w:rPr>
  </w:style>
  <w:style w:type="character" w:customStyle="1" w:styleId="140">
    <w:name w:val="不明显强调1"/>
    <w:qFormat/>
    <w:uiPriority w:val="0"/>
    <w:rPr>
      <w:i/>
      <w:iCs/>
      <w:color w:val="808080"/>
    </w:rPr>
  </w:style>
  <w:style w:type="character" w:customStyle="1" w:styleId="141">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2">
    <w:name w:val="目录 (2) + 间距 0 pt"/>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3">
    <w:name w:val="标题 #8_"/>
    <w:link w:val="144"/>
    <w:qFormat/>
    <w:uiPriority w:val="0"/>
    <w:rPr>
      <w:rFonts w:ascii="MingLiU" w:hAnsi="MingLiU" w:eastAsia="MingLiU" w:cs="MingLiU"/>
      <w:b/>
      <w:bCs/>
      <w:spacing w:val="10"/>
      <w:sz w:val="22"/>
      <w:shd w:val="clear" w:color="auto" w:fill="FFFFFF"/>
    </w:rPr>
  </w:style>
  <w:style w:type="paragraph" w:customStyle="1" w:styleId="144">
    <w:name w:val="标题 #8"/>
    <w:basedOn w:val="1"/>
    <w:link w:val="143"/>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5">
    <w:name w:val="样式5 Char Char"/>
    <w:link w:val="146"/>
    <w:qFormat/>
    <w:uiPriority w:val="0"/>
    <w:rPr>
      <w:szCs w:val="24"/>
    </w:rPr>
  </w:style>
  <w:style w:type="paragraph" w:customStyle="1" w:styleId="146">
    <w:name w:val="样式5"/>
    <w:basedOn w:val="1"/>
    <w:next w:val="147"/>
    <w:link w:val="145"/>
    <w:qFormat/>
    <w:uiPriority w:val="0"/>
    <w:pPr>
      <w:spacing w:line="360" w:lineRule="exact"/>
    </w:pPr>
    <w:rPr>
      <w:rFonts w:ascii="Calibri" w:hAnsi="Calibri"/>
    </w:rPr>
  </w:style>
  <w:style w:type="paragraph" w:customStyle="1" w:styleId="147">
    <w:name w:val="样式2"/>
    <w:basedOn w:val="19"/>
    <w:link w:val="148"/>
    <w:qFormat/>
    <w:uiPriority w:val="0"/>
    <w:pPr>
      <w:wordWrap w:val="0"/>
      <w:spacing w:after="0" w:line="440" w:lineRule="exact"/>
      <w:ind w:firstLine="480" w:firstLineChars="200"/>
    </w:pPr>
    <w:rPr>
      <w:rFonts w:ascii="宋体" w:hAnsi="宋体"/>
      <w:sz w:val="24"/>
      <w:szCs w:val="84"/>
    </w:rPr>
  </w:style>
  <w:style w:type="character" w:customStyle="1" w:styleId="148">
    <w:name w:val="样式2 Char Char"/>
    <w:link w:val="147"/>
    <w:qFormat/>
    <w:uiPriority w:val="0"/>
    <w:rPr>
      <w:rFonts w:ascii="宋体" w:hAnsi="宋体" w:eastAsia="宋体"/>
      <w:sz w:val="24"/>
      <w:szCs w:val="84"/>
    </w:rPr>
  </w:style>
  <w:style w:type="character" w:customStyle="1" w:styleId="149">
    <w:name w:val="页脚 Char1"/>
    <w:semiHidden/>
    <w:qFormat/>
    <w:uiPriority w:val="99"/>
    <w:rPr>
      <w:sz w:val="18"/>
      <w:szCs w:val="18"/>
    </w:rPr>
  </w:style>
  <w:style w:type="character" w:customStyle="1" w:styleId="150">
    <w:name w:val="正文文本 (5)_"/>
    <w:link w:val="151"/>
    <w:qFormat/>
    <w:uiPriority w:val="0"/>
    <w:rPr>
      <w:rFonts w:ascii="MingLiU" w:hAnsi="MingLiU" w:eastAsia="MingLiU" w:cs="MingLiU"/>
      <w:shd w:val="clear" w:color="auto" w:fill="FFFFFF"/>
    </w:rPr>
  </w:style>
  <w:style w:type="paragraph" w:customStyle="1" w:styleId="151">
    <w:name w:val="正文文本 (5)"/>
    <w:basedOn w:val="1"/>
    <w:link w:val="150"/>
    <w:qFormat/>
    <w:uiPriority w:val="0"/>
    <w:pPr>
      <w:shd w:val="clear" w:color="auto" w:fill="FFFFFF"/>
      <w:spacing w:before="5100" w:line="0" w:lineRule="atLeast"/>
      <w:jc w:val="left"/>
    </w:pPr>
    <w:rPr>
      <w:rFonts w:ascii="MingLiU" w:hAnsi="MingLiU" w:eastAsia="MingLiU" w:cs="MingLiU"/>
      <w:szCs w:val="22"/>
    </w:rPr>
  </w:style>
  <w:style w:type="character" w:customStyle="1" w:styleId="152">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3">
    <w:name w:val="style6"/>
    <w:basedOn w:val="56"/>
    <w:qFormat/>
    <w:uiPriority w:val="0"/>
  </w:style>
  <w:style w:type="character" w:customStyle="1" w:styleId="154">
    <w:name w:val="Date Char"/>
    <w:qFormat/>
    <w:uiPriority w:val="0"/>
    <w:rPr>
      <w:rFonts w:eastAsia="宋体"/>
      <w:kern w:val="2"/>
      <w:sz w:val="21"/>
      <w:szCs w:val="24"/>
      <w:lang w:val="en-US" w:eastAsia="zh-CN" w:bidi="ar-SA"/>
    </w:rPr>
  </w:style>
  <w:style w:type="character" w:customStyle="1" w:styleId="155">
    <w:name w:val="正文文本 (2) + 6.5 pt"/>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6">
    <w:name w:val="标题 1 Char_1"/>
    <w:link w:val="157"/>
    <w:qFormat/>
    <w:uiPriority w:val="99"/>
    <w:rPr>
      <w:rFonts w:ascii="Calibri" w:hAnsi="Calibri"/>
      <w:b/>
      <w:bCs/>
      <w:kern w:val="44"/>
      <w:sz w:val="32"/>
      <w:szCs w:val="44"/>
    </w:rPr>
  </w:style>
  <w:style w:type="paragraph" w:customStyle="1" w:styleId="157">
    <w:name w:val="标题 1_1"/>
    <w:basedOn w:val="158"/>
    <w:next w:val="158"/>
    <w:link w:val="156"/>
    <w:qFormat/>
    <w:uiPriority w:val="99"/>
    <w:pPr>
      <w:keepNext/>
      <w:keepLines/>
      <w:spacing w:line="360" w:lineRule="auto"/>
      <w:outlineLvl w:val="0"/>
    </w:pPr>
    <w:rPr>
      <w:b/>
      <w:bCs/>
      <w:kern w:val="44"/>
      <w:sz w:val="32"/>
      <w:szCs w:val="44"/>
    </w:rPr>
  </w:style>
  <w:style w:type="paragraph" w:customStyle="1" w:styleId="15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不明显参考3"/>
    <w:qFormat/>
    <w:uiPriority w:val="0"/>
    <w:rPr>
      <w:smallCaps/>
      <w:color w:val="C0504D"/>
      <w:u w:val="single"/>
    </w:rPr>
  </w:style>
  <w:style w:type="character" w:customStyle="1" w:styleId="160">
    <w:name w:val="正文小标题 Char"/>
    <w:link w:val="161"/>
    <w:qFormat/>
    <w:uiPriority w:val="0"/>
    <w:rPr>
      <w:rFonts w:hAnsi="宋体"/>
      <w:sz w:val="21"/>
      <w:szCs w:val="21"/>
    </w:rPr>
  </w:style>
  <w:style w:type="paragraph" w:customStyle="1" w:styleId="161">
    <w:name w:val="正文小标题"/>
    <w:basedOn w:val="3"/>
    <w:link w:val="160"/>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qFormat/>
    <w:locked/>
    <w:uiPriority w:val="0"/>
    <w:rPr>
      <w:rFonts w:ascii="MingLiU" w:hAnsi="MingLiU" w:eastAsia="MingLiU"/>
      <w:b/>
      <w:bCs/>
      <w:shd w:val="clear" w:color="auto" w:fill="FFFFFF"/>
    </w:rPr>
  </w:style>
  <w:style w:type="paragraph" w:customStyle="1" w:styleId="163">
    <w:name w:val="正文文本 (42)1"/>
    <w:basedOn w:val="1"/>
    <w:link w:val="162"/>
    <w:qFormat/>
    <w:uiPriority w:val="0"/>
    <w:pPr>
      <w:shd w:val="clear" w:color="auto" w:fill="FFFFFF"/>
      <w:spacing w:line="398" w:lineRule="exact"/>
      <w:jc w:val="distribute"/>
    </w:pPr>
    <w:rPr>
      <w:rFonts w:ascii="MingLiU" w:hAnsi="MingLiU" w:eastAsia="MingLiU"/>
      <w:b/>
      <w:bCs/>
      <w:szCs w:val="22"/>
    </w:rPr>
  </w:style>
  <w:style w:type="character" w:customStyle="1" w:styleId="164">
    <w:name w:val="T10 Char"/>
    <w:link w:val="165"/>
    <w:qFormat/>
    <w:uiPriority w:val="0"/>
    <w:rPr>
      <w:rFonts w:ascii="宋体" w:hAnsi="宋体"/>
      <w:b/>
      <w:sz w:val="28"/>
    </w:rPr>
  </w:style>
  <w:style w:type="paragraph" w:customStyle="1" w:styleId="165">
    <w:name w:val="T10"/>
    <w:basedOn w:val="1"/>
    <w:link w:val="164"/>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qFormat/>
    <w:uiPriority w:val="0"/>
    <w:rPr>
      <w:rFonts w:ascii="宋体" w:eastAsia="宋体"/>
      <w:sz w:val="21"/>
      <w:szCs w:val="21"/>
    </w:rPr>
  </w:style>
  <w:style w:type="character" w:customStyle="1" w:styleId="167">
    <w:name w:val="Char Char24"/>
    <w:qFormat/>
    <w:uiPriority w:val="0"/>
    <w:rPr>
      <w:rFonts w:eastAsia="宋体"/>
      <w:b/>
      <w:bCs/>
      <w:kern w:val="44"/>
      <w:sz w:val="32"/>
      <w:szCs w:val="44"/>
      <w:lang w:val="en-US" w:eastAsia="zh-CN" w:bidi="ar-SA"/>
    </w:rPr>
  </w:style>
  <w:style w:type="character" w:customStyle="1" w:styleId="168">
    <w:name w:val="Char Char3"/>
    <w:qFormat/>
    <w:uiPriority w:val="0"/>
    <w:rPr>
      <w:rFonts w:eastAsia="宋体"/>
      <w:kern w:val="2"/>
      <w:sz w:val="21"/>
      <w:szCs w:val="24"/>
      <w:lang w:val="en-US" w:eastAsia="zh-CN" w:bidi="ar-SA"/>
    </w:rPr>
  </w:style>
  <w:style w:type="character" w:customStyle="1" w:styleId="169">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qFormat/>
    <w:uiPriority w:val="0"/>
    <w:rPr>
      <w:rFonts w:cs="Times New Roman"/>
      <w:sz w:val="24"/>
      <w:szCs w:val="24"/>
    </w:rPr>
  </w:style>
  <w:style w:type="character" w:customStyle="1" w:styleId="171">
    <w:name w:val="不明显参考11"/>
    <w:qFormat/>
    <w:uiPriority w:val="31"/>
    <w:rPr>
      <w:smallCaps/>
      <w:color w:val="C0504D"/>
      <w:u w:val="single"/>
    </w:rPr>
  </w:style>
  <w:style w:type="character" w:customStyle="1" w:styleId="172">
    <w:name w:val="标题 Char2"/>
    <w:qFormat/>
    <w:uiPriority w:val="0"/>
    <w:rPr>
      <w:rFonts w:ascii="Cambria" w:hAnsi="Cambria" w:eastAsia="宋体" w:cs="Times New Roman"/>
      <w:b/>
      <w:bCs/>
      <w:sz w:val="32"/>
      <w:szCs w:val="32"/>
    </w:rPr>
  </w:style>
  <w:style w:type="character" w:customStyle="1" w:styleId="173">
    <w:name w:val="引用 Char1"/>
    <w:qFormat/>
    <w:uiPriority w:val="29"/>
    <w:rPr>
      <w:rFonts w:ascii="Times New Roman" w:hAnsi="Times New Roman" w:eastAsia="宋体" w:cs="Times New Roman"/>
      <w:i/>
      <w:iCs/>
      <w:color w:val="000000"/>
      <w:szCs w:val="24"/>
    </w:rPr>
  </w:style>
  <w:style w:type="character" w:customStyle="1" w:styleId="174">
    <w:name w:val="纯文本 Char1"/>
    <w:qFormat/>
    <w:uiPriority w:val="0"/>
    <w:rPr>
      <w:rFonts w:ascii="宋体" w:hAnsi="Courier New" w:eastAsia="宋体" w:cs="Courier New"/>
      <w:szCs w:val="21"/>
    </w:rPr>
  </w:style>
  <w:style w:type="character" w:customStyle="1" w:styleId="175">
    <w:name w:val="Char Char6"/>
    <w:qFormat/>
    <w:uiPriority w:val="0"/>
    <w:rPr>
      <w:rFonts w:ascii="Arial" w:hAnsi="Arial" w:eastAsia="宋体"/>
      <w:b/>
      <w:bCs/>
      <w:kern w:val="2"/>
      <w:sz w:val="21"/>
      <w:szCs w:val="28"/>
      <w:lang w:val="en-US" w:eastAsia="zh-CN" w:bidi="ar-SA"/>
    </w:rPr>
  </w:style>
  <w:style w:type="character" w:customStyle="1" w:styleId="176">
    <w:name w:val="明显强调1"/>
    <w:qFormat/>
    <w:uiPriority w:val="21"/>
    <w:rPr>
      <w:b/>
      <w:bCs/>
      <w:i/>
      <w:iCs/>
      <w:color w:val="4F81BD"/>
    </w:rPr>
  </w:style>
  <w:style w:type="character" w:customStyle="1" w:styleId="177">
    <w:name w:val="Comment Subject Char"/>
    <w:qFormat/>
    <w:uiPriority w:val="0"/>
    <w:rPr>
      <w:b/>
      <w:sz w:val="24"/>
      <w:lang w:bidi="ar-SA"/>
    </w:rPr>
  </w:style>
  <w:style w:type="character" w:customStyle="1" w:styleId="178">
    <w:name w:val="Char Char"/>
    <w:qFormat/>
    <w:uiPriority w:val="0"/>
    <w:rPr>
      <w:rFonts w:ascii="Cambria" w:hAnsi="Cambria"/>
      <w:b/>
      <w:bCs/>
      <w:kern w:val="2"/>
      <w:sz w:val="32"/>
      <w:szCs w:val="32"/>
      <w:lang w:bidi="ar-SA"/>
    </w:rPr>
  </w:style>
  <w:style w:type="character" w:customStyle="1" w:styleId="179">
    <w:name w:val="正文文本 (2) + 4 pt1"/>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qFormat/>
    <w:uiPriority w:val="30"/>
    <w:rPr>
      <w:b/>
      <w:bCs/>
      <w:i/>
      <w:iCs/>
      <w:color w:val="4F81BD"/>
      <w:sz w:val="21"/>
    </w:rPr>
  </w:style>
  <w:style w:type="character" w:customStyle="1" w:styleId="181">
    <w:name w:val="正文文本缩进 2 Char1"/>
    <w:semiHidden/>
    <w:qFormat/>
    <w:uiPriority w:val="99"/>
    <w:rPr>
      <w:sz w:val="21"/>
    </w:rPr>
  </w:style>
  <w:style w:type="character" w:customStyle="1" w:styleId="182">
    <w:name w:val="明显参考1"/>
    <w:qFormat/>
    <w:uiPriority w:val="32"/>
    <w:rPr>
      <w:b/>
      <w:bCs/>
      <w:smallCaps/>
      <w:color w:val="C0504D"/>
      <w:spacing w:val="5"/>
      <w:u w:val="single"/>
    </w:rPr>
  </w:style>
  <w:style w:type="character" w:customStyle="1" w:styleId="183">
    <w:name w:val="正文文本 (30)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qFormat/>
    <w:uiPriority w:val="33"/>
    <w:rPr>
      <w:b/>
      <w:bCs/>
      <w:smallCaps/>
      <w:spacing w:val="5"/>
    </w:rPr>
  </w:style>
  <w:style w:type="character" w:customStyle="1" w:styleId="187">
    <w:name w:val="Header Char"/>
    <w:qFormat/>
    <w:uiPriority w:val="0"/>
    <w:rPr>
      <w:rFonts w:eastAsia="宋体"/>
      <w:kern w:val="2"/>
      <w:sz w:val="18"/>
      <w:szCs w:val="18"/>
      <w:lang w:val="en-US" w:eastAsia="zh-CN" w:bidi="ar-SA"/>
    </w:rPr>
  </w:style>
  <w:style w:type="character" w:customStyle="1" w:styleId="188">
    <w:name w:val="样式 宋体 小四 加粗 黑色"/>
    <w:qFormat/>
    <w:uiPriority w:val="0"/>
    <w:rPr>
      <w:rFonts w:ascii="宋体" w:hAnsi="宋体"/>
      <w:b/>
      <w:bCs/>
      <w:color w:val="000000"/>
      <w:sz w:val="24"/>
    </w:rPr>
  </w:style>
  <w:style w:type="character" w:customStyle="1" w:styleId="189">
    <w:name w:val="明显引用 Char3"/>
    <w:qFormat/>
    <w:uiPriority w:val="99"/>
    <w:rPr>
      <w:b/>
      <w:bCs/>
      <w:i/>
      <w:iCs/>
      <w:color w:val="4F81BD"/>
      <w:kern w:val="2"/>
      <w:sz w:val="21"/>
      <w:szCs w:val="24"/>
    </w:rPr>
  </w:style>
  <w:style w:type="character" w:customStyle="1" w:styleId="190">
    <w:name w:val="正文文本 (15)_"/>
    <w:link w:val="191"/>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qFormat/>
    <w:uiPriority w:val="0"/>
    <w:pPr>
      <w:shd w:val="clear" w:color="auto" w:fill="FFFFFF"/>
      <w:spacing w:before="120" w:after="420" w:line="240" w:lineRule="atLeast"/>
      <w:jc w:val="distribute"/>
    </w:pPr>
    <w:rPr>
      <w:rFonts w:ascii="MingLiU" w:hAnsi="MingLiU" w:eastAsia="MingLiU"/>
      <w:b/>
      <w:bCs/>
      <w:sz w:val="28"/>
      <w:szCs w:val="28"/>
    </w:rPr>
  </w:style>
  <w:style w:type="character" w:customStyle="1" w:styleId="192">
    <w:name w:val="正文文本 (19)_"/>
    <w:link w:val="193"/>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qFormat/>
    <w:uiPriority w:val="0"/>
    <w:rPr>
      <w:rFonts w:ascii="宋体" w:hAnsi="宋体"/>
      <w:b/>
      <w:sz w:val="24"/>
      <w:szCs w:val="21"/>
    </w:rPr>
  </w:style>
  <w:style w:type="paragraph" w:customStyle="1" w:styleId="196">
    <w:name w:val="小标题无样式"/>
    <w:basedOn w:val="115"/>
    <w:link w:val="195"/>
    <w:qFormat/>
    <w:uiPriority w:val="0"/>
    <w:pPr>
      <w:ind w:firstLine="0" w:firstLineChars="0"/>
    </w:pPr>
    <w:rPr>
      <w:b/>
      <w:kern w:val="0"/>
      <w:sz w:val="24"/>
    </w:rPr>
  </w:style>
  <w:style w:type="character" w:customStyle="1" w:styleId="197">
    <w:name w:val="样式 Char Char"/>
    <w:qFormat/>
    <w:uiPriority w:val="0"/>
    <w:rPr>
      <w:rFonts w:ascii="宋体" w:hAnsi="宋体" w:eastAsia="宋体" w:cs="宋体"/>
      <w:sz w:val="24"/>
      <w:szCs w:val="24"/>
      <w:lang w:val="en-US" w:eastAsia="zh-CN" w:bidi="ar-SA"/>
    </w:rPr>
  </w:style>
  <w:style w:type="character" w:customStyle="1" w:styleId="198">
    <w:name w:val="Char Char2"/>
    <w:qFormat/>
    <w:uiPriority w:val="0"/>
    <w:rPr>
      <w:rFonts w:ascii="宋体" w:hAnsi="Courier New" w:eastAsia="宋体"/>
      <w:kern w:val="2"/>
      <w:sz w:val="21"/>
      <w:szCs w:val="24"/>
      <w:lang w:val="en-US" w:eastAsia="zh-CN" w:bidi="ar-SA"/>
    </w:rPr>
  </w:style>
  <w:style w:type="character" w:customStyle="1" w:styleId="199">
    <w:name w:val="明显参考2"/>
    <w:qFormat/>
    <w:uiPriority w:val="32"/>
    <w:rPr>
      <w:b/>
      <w:bCs/>
      <w:smallCaps/>
      <w:color w:val="C0504D"/>
      <w:spacing w:val="5"/>
      <w:u w:val="single"/>
    </w:rPr>
  </w:style>
  <w:style w:type="character" w:customStyle="1" w:styleId="200">
    <w:name w:val="para1"/>
    <w:qFormat/>
    <w:uiPriority w:val="0"/>
    <w:rPr>
      <w:rFonts w:hint="default" w:ascii="Arial" w:hAnsi="Arial" w:cs="Arial"/>
      <w:sz w:val="18"/>
      <w:szCs w:val="18"/>
    </w:rPr>
  </w:style>
  <w:style w:type="character" w:customStyle="1" w:styleId="201">
    <w:name w:val="明显强调2"/>
    <w:qFormat/>
    <w:uiPriority w:val="21"/>
    <w:rPr>
      <w:b/>
      <w:bCs/>
      <w:i/>
      <w:iCs/>
      <w:color w:val="4F81BD"/>
    </w:rPr>
  </w:style>
  <w:style w:type="character" w:customStyle="1" w:styleId="202">
    <w:name w:val="标题 #7 + 间距 0 pt"/>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明显参考3"/>
    <w:qFormat/>
    <w:uiPriority w:val="0"/>
    <w:rPr>
      <w:b/>
      <w:bCs/>
      <w:smallCaps/>
      <w:color w:val="C0504D"/>
      <w:spacing w:val="5"/>
      <w:u w:val="single"/>
    </w:rPr>
  </w:style>
  <w:style w:type="character" w:customStyle="1" w:styleId="204">
    <w:name w:val="正文文本 (14)_"/>
    <w:link w:val="205"/>
    <w:qFormat/>
    <w:uiPriority w:val="0"/>
    <w:rPr>
      <w:rFonts w:ascii="MingLiU" w:hAnsi="MingLiU" w:eastAsia="MingLiU" w:cs="MingLiU"/>
      <w:sz w:val="18"/>
      <w:szCs w:val="18"/>
      <w:shd w:val="clear" w:color="auto" w:fill="FFFFFF"/>
    </w:rPr>
  </w:style>
  <w:style w:type="paragraph" w:customStyle="1" w:styleId="205">
    <w:name w:val="正文文本 (14)"/>
    <w:basedOn w:val="1"/>
    <w:link w:val="204"/>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明显强调3"/>
    <w:qFormat/>
    <w:uiPriority w:val="0"/>
    <w:rPr>
      <w:b/>
      <w:bCs/>
      <w:i/>
      <w:iCs/>
      <w:color w:val="4F81BD"/>
    </w:rPr>
  </w:style>
  <w:style w:type="character" w:customStyle="1" w:styleId="208">
    <w:name w:val="页眉或页脚_"/>
    <w:link w:val="209"/>
    <w:qFormat/>
    <w:locked/>
    <w:uiPriority w:val="0"/>
    <w:rPr>
      <w:rFonts w:ascii="MingLiU" w:hAnsi="MingLiU" w:eastAsia="MingLiU"/>
      <w:spacing w:val="10"/>
      <w:shd w:val="clear" w:color="auto" w:fill="FFFFFF"/>
    </w:rPr>
  </w:style>
  <w:style w:type="paragraph" w:customStyle="1" w:styleId="209">
    <w:name w:val="页眉或页脚1"/>
    <w:basedOn w:val="1"/>
    <w:link w:val="208"/>
    <w:qFormat/>
    <w:uiPriority w:val="0"/>
    <w:pPr>
      <w:shd w:val="clear" w:color="auto" w:fill="FFFFFF"/>
      <w:spacing w:line="240" w:lineRule="atLeast"/>
      <w:jc w:val="left"/>
    </w:pPr>
    <w:rPr>
      <w:rFonts w:ascii="MingLiU" w:hAnsi="MingLiU" w:eastAsia="MingLiU"/>
      <w:spacing w:val="10"/>
      <w:szCs w:val="22"/>
    </w:rPr>
  </w:style>
  <w:style w:type="character" w:customStyle="1" w:styleId="210">
    <w:name w:val="书籍标题1"/>
    <w:qFormat/>
    <w:uiPriority w:val="33"/>
    <w:rPr>
      <w:b/>
      <w:bCs/>
      <w:smallCaps/>
      <w:spacing w:val="5"/>
    </w:rPr>
  </w:style>
  <w:style w:type="character" w:customStyle="1" w:styleId="211">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qFormat/>
    <w:uiPriority w:val="0"/>
    <w:rPr>
      <w:rFonts w:eastAsia="宋体"/>
      <w:b/>
      <w:bCs/>
      <w:kern w:val="2"/>
      <w:sz w:val="32"/>
      <w:szCs w:val="32"/>
      <w:lang w:val="en-US" w:eastAsia="zh-CN" w:bidi="ar-SA"/>
    </w:rPr>
  </w:style>
  <w:style w:type="character" w:customStyle="1" w:styleId="213">
    <w:name w:val="en"/>
    <w:basedOn w:val="56"/>
    <w:qFormat/>
    <w:uiPriority w:val="0"/>
  </w:style>
  <w:style w:type="character" w:customStyle="1" w:styleId="214">
    <w:name w:val="Char Char7"/>
    <w:qFormat/>
    <w:uiPriority w:val="0"/>
    <w:rPr>
      <w:rFonts w:eastAsia="宋体"/>
      <w:b/>
      <w:bCs/>
      <w:kern w:val="2"/>
      <w:sz w:val="24"/>
      <w:szCs w:val="32"/>
      <w:lang w:val="en-US" w:eastAsia="zh-CN" w:bidi="ar-SA"/>
    </w:rPr>
  </w:style>
  <w:style w:type="character" w:customStyle="1" w:styleId="215">
    <w:name w:val="Char Char23"/>
    <w:qFormat/>
    <w:uiPriority w:val="0"/>
    <w:rPr>
      <w:rFonts w:eastAsia="宋体"/>
      <w:b/>
      <w:bCs/>
      <w:kern w:val="44"/>
      <w:sz w:val="32"/>
      <w:szCs w:val="44"/>
      <w:lang w:val="en-US" w:eastAsia="zh-CN" w:bidi="ar-SA"/>
    </w:rPr>
  </w:style>
  <w:style w:type="character" w:customStyle="1" w:styleId="216">
    <w:name w:val="批注文字 Char2"/>
    <w:qFormat/>
    <w:uiPriority w:val="0"/>
    <w:rPr>
      <w:kern w:val="2"/>
      <w:sz w:val="21"/>
      <w:szCs w:val="24"/>
    </w:rPr>
  </w:style>
  <w:style w:type="character" w:customStyle="1" w:styleId="217">
    <w:name w:val="标题 2 Char"/>
    <w:qFormat/>
    <w:uiPriority w:val="0"/>
    <w:rPr>
      <w:rFonts w:ascii="Cambria" w:hAnsi="Cambria" w:eastAsia="宋体" w:cs="Times New Roman"/>
      <w:b/>
      <w:bCs/>
      <w:sz w:val="32"/>
      <w:szCs w:val="32"/>
    </w:rPr>
  </w:style>
  <w:style w:type="character" w:customStyle="1" w:styleId="218">
    <w:name w:val="标题 #7 (5)_"/>
    <w:link w:val="219"/>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qFormat/>
    <w:uiPriority w:val="0"/>
    <w:pPr>
      <w:shd w:val="clear" w:color="auto" w:fill="FFFFFF"/>
      <w:spacing w:line="559" w:lineRule="exact"/>
      <w:jc w:val="left"/>
      <w:outlineLvl w:val="6"/>
    </w:pPr>
    <w:rPr>
      <w:rFonts w:ascii="MingLiU" w:hAnsi="MingLiU" w:eastAsia="MingLiU"/>
      <w:spacing w:val="50"/>
      <w:sz w:val="30"/>
      <w:szCs w:val="30"/>
    </w:rPr>
  </w:style>
  <w:style w:type="character" w:customStyle="1" w:styleId="220">
    <w:name w:val="正文文本 (2) + 间距 3 pt"/>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qFormat/>
    <w:uiPriority w:val="0"/>
    <w:rPr>
      <w:rFonts w:ascii="Times New Roman" w:hAnsi="Times New Roman" w:eastAsia="宋体" w:cs="Times New Roman"/>
      <w:szCs w:val="24"/>
    </w:rPr>
  </w:style>
  <w:style w:type="character" w:customStyle="1" w:styleId="223">
    <w:name w:val="Char Char5"/>
    <w:qFormat/>
    <w:uiPriority w:val="0"/>
    <w:rPr>
      <w:rFonts w:eastAsia="宋体"/>
      <w:b/>
      <w:bCs/>
      <w:kern w:val="2"/>
      <w:sz w:val="28"/>
      <w:szCs w:val="28"/>
      <w:lang w:val="en-US" w:eastAsia="zh-CN" w:bidi="ar-SA"/>
    </w:rPr>
  </w:style>
  <w:style w:type="character" w:customStyle="1" w:styleId="224">
    <w:name w:val="标题 Char3"/>
    <w:qFormat/>
    <w:uiPriority w:val="0"/>
    <w:rPr>
      <w:rFonts w:ascii="Cambria" w:hAnsi="Cambria" w:cs="Times New Roman"/>
      <w:b/>
      <w:bCs/>
      <w:kern w:val="2"/>
      <w:sz w:val="32"/>
      <w:szCs w:val="32"/>
    </w:rPr>
  </w:style>
  <w:style w:type="character" w:customStyle="1" w:styleId="225">
    <w:name w:val="正文文本 Char2"/>
    <w:qFormat/>
    <w:uiPriority w:val="0"/>
    <w:rPr>
      <w:kern w:val="2"/>
      <w:sz w:val="21"/>
      <w:szCs w:val="24"/>
    </w:rPr>
  </w:style>
  <w:style w:type="character" w:customStyle="1" w:styleId="22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qFormat/>
    <w:uiPriority w:val="0"/>
    <w:rPr>
      <w:b/>
      <w:bCs/>
      <w:kern w:val="2"/>
      <w:sz w:val="21"/>
      <w:szCs w:val="24"/>
      <w:lang w:bidi="ar-SA"/>
    </w:rPr>
  </w:style>
  <w:style w:type="character" w:customStyle="1" w:styleId="229">
    <w:name w:val="正文文本 (2) + 10 pt14"/>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qFormat/>
    <w:uiPriority w:val="0"/>
    <w:rPr>
      <w:rFonts w:ascii="Arial" w:hAnsi="Arial" w:eastAsia="宋体" w:cs="Times New Roman"/>
      <w:b/>
      <w:bCs/>
      <w:szCs w:val="28"/>
    </w:rPr>
  </w:style>
  <w:style w:type="character" w:customStyle="1" w:styleId="231">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qFormat/>
    <w:uiPriority w:val="0"/>
    <w:rPr>
      <w:sz w:val="18"/>
      <w:szCs w:val="18"/>
    </w:rPr>
  </w:style>
  <w:style w:type="character" w:customStyle="1" w:styleId="234">
    <w:name w:val="引用 Char2"/>
    <w:qFormat/>
    <w:uiPriority w:val="29"/>
    <w:rPr>
      <w:i/>
      <w:iCs/>
      <w:color w:val="000000"/>
      <w:sz w:val="21"/>
    </w:rPr>
  </w:style>
  <w:style w:type="character" w:customStyle="1" w:styleId="235">
    <w:name w:val="标题 Char1"/>
    <w:qFormat/>
    <w:uiPriority w:val="0"/>
    <w:rPr>
      <w:rFonts w:ascii="Cambria" w:hAnsi="Cambria" w:eastAsia="宋体" w:cs="Times New Roman"/>
      <w:b/>
      <w:bCs/>
      <w:sz w:val="32"/>
      <w:szCs w:val="32"/>
    </w:rPr>
  </w:style>
  <w:style w:type="character" w:customStyle="1" w:styleId="236">
    <w:name w:val="引用 Char3"/>
    <w:qFormat/>
    <w:uiPriority w:val="99"/>
    <w:rPr>
      <w:i/>
      <w:iCs/>
      <w:color w:val="000000"/>
      <w:kern w:val="2"/>
      <w:sz w:val="21"/>
      <w:szCs w:val="24"/>
    </w:rPr>
  </w:style>
  <w:style w:type="character" w:customStyle="1" w:styleId="237">
    <w:name w:val="正文文本 Char1"/>
    <w:qFormat/>
    <w:uiPriority w:val="0"/>
    <w:rPr>
      <w:sz w:val="21"/>
    </w:rPr>
  </w:style>
  <w:style w:type="character" w:customStyle="1" w:styleId="238">
    <w:name w:val="文档结构图 Char1"/>
    <w:qFormat/>
    <w:uiPriority w:val="0"/>
    <w:rPr>
      <w:rFonts w:ascii="宋体"/>
      <w:sz w:val="18"/>
      <w:szCs w:val="18"/>
    </w:rPr>
  </w:style>
  <w:style w:type="character" w:customStyle="1" w:styleId="239">
    <w:name w:val="Heading 3 Char1"/>
    <w:qFormat/>
    <w:uiPriority w:val="0"/>
    <w:rPr>
      <w:rFonts w:eastAsia="宋体"/>
      <w:b/>
      <w:bCs/>
      <w:kern w:val="2"/>
      <w:sz w:val="24"/>
      <w:szCs w:val="32"/>
      <w:lang w:val="en-US" w:eastAsia="zh-CN" w:bidi="ar-SA"/>
    </w:rPr>
  </w:style>
  <w:style w:type="character" w:customStyle="1" w:styleId="240">
    <w:name w:val="Footnote Text Char"/>
    <w:qFormat/>
    <w:uiPriority w:val="0"/>
    <w:rPr>
      <w:rFonts w:eastAsia="宋体"/>
      <w:sz w:val="18"/>
      <w:lang w:val="en-US" w:eastAsia="zh-CN" w:bidi="ar-SA"/>
    </w:rPr>
  </w:style>
  <w:style w:type="character" w:customStyle="1" w:styleId="241">
    <w:name w:val="副标题 Char1"/>
    <w:qFormat/>
    <w:uiPriority w:val="11"/>
    <w:rPr>
      <w:rFonts w:ascii="Cambria" w:hAnsi="Cambria" w:eastAsia="宋体" w:cs="Times New Roman"/>
      <w:b/>
      <w:bCs/>
      <w:kern w:val="28"/>
      <w:sz w:val="32"/>
      <w:szCs w:val="32"/>
    </w:rPr>
  </w:style>
  <w:style w:type="character" w:customStyle="1" w:styleId="242">
    <w:name w:val="明显强调31"/>
    <w:qFormat/>
    <w:uiPriority w:val="0"/>
    <w:rPr>
      <w:b/>
      <w:bCs/>
      <w:i/>
      <w:iCs/>
      <w:color w:val="4F81BD"/>
    </w:rPr>
  </w:style>
  <w:style w:type="character" w:customStyle="1" w:styleId="243">
    <w:name w:val="style1"/>
    <w:basedOn w:val="56"/>
    <w:qFormat/>
    <w:uiPriority w:val="0"/>
  </w:style>
  <w:style w:type="character" w:customStyle="1" w:styleId="244">
    <w:name w:val="HTML 预设格式 Char1"/>
    <w:qFormat/>
    <w:uiPriority w:val="99"/>
    <w:rPr>
      <w:rFonts w:ascii="Courier New" w:hAnsi="Courier New" w:cs="Courier New"/>
      <w:kern w:val="2"/>
    </w:rPr>
  </w:style>
  <w:style w:type="character" w:customStyle="1" w:styleId="245">
    <w:name w:val="正文呀2 Char"/>
    <w:link w:val="246"/>
    <w:qFormat/>
    <w:uiPriority w:val="0"/>
    <w:rPr>
      <w:kern w:val="2"/>
      <w:sz w:val="21"/>
      <w:szCs w:val="21"/>
    </w:rPr>
  </w:style>
  <w:style w:type="paragraph" w:customStyle="1" w:styleId="246">
    <w:name w:val="正文呀2"/>
    <w:basedOn w:val="115"/>
    <w:link w:val="245"/>
    <w:qFormat/>
    <w:uiPriority w:val="0"/>
    <w:rPr>
      <w:rFonts w:ascii="Times New Roman" w:hAnsi="Times New Roman"/>
    </w:rPr>
  </w:style>
  <w:style w:type="character" w:customStyle="1" w:styleId="247">
    <w:name w:val="普通文字 Char Char5"/>
    <w:qFormat/>
    <w:uiPriority w:val="0"/>
    <w:rPr>
      <w:rFonts w:ascii="宋体" w:hAnsi="Courier New" w:eastAsia="宋体"/>
      <w:szCs w:val="21"/>
      <w:lang w:bidi="ar-SA"/>
    </w:rPr>
  </w:style>
  <w:style w:type="character" w:customStyle="1" w:styleId="248">
    <w:name w:val="Footer Char"/>
    <w:qFormat/>
    <w:uiPriority w:val="0"/>
    <w:rPr>
      <w:rFonts w:eastAsia="宋体"/>
      <w:kern w:val="2"/>
      <w:sz w:val="18"/>
      <w:szCs w:val="18"/>
      <w:lang w:val="en-US" w:eastAsia="zh-CN" w:bidi="ar-SA"/>
    </w:rPr>
  </w:style>
  <w:style w:type="character" w:customStyle="1" w:styleId="249">
    <w:name w:val="表格标题 (4)_"/>
    <w:link w:val="250"/>
    <w:qFormat/>
    <w:locked/>
    <w:uiPriority w:val="0"/>
    <w:rPr>
      <w:rFonts w:ascii="MingLiU" w:hAnsi="MingLiU" w:eastAsia="MingLiU"/>
      <w:b/>
      <w:bCs/>
      <w:sz w:val="22"/>
      <w:shd w:val="clear" w:color="auto" w:fill="FFFFFF"/>
    </w:rPr>
  </w:style>
  <w:style w:type="paragraph" w:customStyle="1" w:styleId="250">
    <w:name w:val="表格标题 (4)"/>
    <w:basedOn w:val="1"/>
    <w:link w:val="249"/>
    <w:qFormat/>
    <w:uiPriority w:val="0"/>
    <w:pPr>
      <w:shd w:val="clear" w:color="auto" w:fill="FFFFFF"/>
      <w:spacing w:line="240" w:lineRule="atLeast"/>
      <w:jc w:val="left"/>
    </w:pPr>
    <w:rPr>
      <w:rFonts w:ascii="MingLiU" w:hAnsi="MingLiU" w:eastAsia="MingLiU"/>
      <w:b/>
      <w:bCs/>
      <w:sz w:val="22"/>
      <w:szCs w:val="22"/>
    </w:rPr>
  </w:style>
  <w:style w:type="character" w:customStyle="1" w:styleId="251">
    <w:name w:val="批注文字 Char Char"/>
    <w:qFormat/>
    <w:uiPriority w:val="0"/>
    <w:rPr>
      <w:rFonts w:ascii="宋体" w:hAnsi="Times New Roman" w:eastAsia="宋体" w:cs="Times New Roman"/>
      <w:sz w:val="28"/>
      <w:szCs w:val="20"/>
    </w:rPr>
  </w:style>
  <w:style w:type="character" w:customStyle="1" w:styleId="252">
    <w:name w:val="页眉或页脚 + 间距 1 pt1"/>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qFormat/>
    <w:uiPriority w:val="0"/>
    <w:rPr>
      <w:rFonts w:ascii="Arial" w:hAnsi="Arial"/>
      <w:b/>
      <w:bCs/>
      <w:sz w:val="24"/>
      <w:szCs w:val="32"/>
    </w:rPr>
  </w:style>
  <w:style w:type="paragraph" w:customStyle="1" w:styleId="254">
    <w:name w:val="标题5"/>
    <w:basedOn w:val="4"/>
    <w:link w:val="253"/>
    <w:qFormat/>
    <w:uiPriority w:val="0"/>
    <w:pPr>
      <w:widowControl w:val="0"/>
      <w:spacing w:line="413" w:lineRule="auto"/>
    </w:pPr>
    <w:rPr>
      <w:rFonts w:ascii="Arial" w:hAnsi="Arial"/>
      <w:kern w:val="0"/>
    </w:rPr>
  </w:style>
  <w:style w:type="character" w:customStyle="1" w:styleId="255">
    <w:name w:val="标题 #8 (3)_"/>
    <w:link w:val="256"/>
    <w:qFormat/>
    <w:uiPriority w:val="0"/>
    <w:rPr>
      <w:rFonts w:ascii="MingLiU" w:hAnsi="MingLiU" w:eastAsia="MingLiU" w:cs="MingLiU"/>
      <w:shd w:val="clear" w:color="auto" w:fill="FFFFFF"/>
    </w:rPr>
  </w:style>
  <w:style w:type="paragraph" w:customStyle="1" w:styleId="256">
    <w:name w:val="标题 #8 (3)"/>
    <w:basedOn w:val="1"/>
    <w:link w:val="255"/>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qFormat/>
    <w:uiPriority w:val="0"/>
    <w:rPr>
      <w:sz w:val="18"/>
      <w:szCs w:val="18"/>
    </w:rPr>
  </w:style>
  <w:style w:type="character" w:customStyle="1" w:styleId="258">
    <w:name w:val="批注主题 Char1"/>
    <w:qFormat/>
    <w:uiPriority w:val="0"/>
    <w:rPr>
      <w:b/>
      <w:bCs/>
      <w:kern w:val="2"/>
      <w:sz w:val="21"/>
      <w:szCs w:val="24"/>
    </w:rPr>
  </w:style>
  <w:style w:type="character" w:customStyle="1" w:styleId="259">
    <w:name w:val="Char Char8"/>
    <w:qFormat/>
    <w:uiPriority w:val="0"/>
    <w:rPr>
      <w:rFonts w:eastAsia="宋体"/>
      <w:b/>
      <w:bCs/>
      <w:kern w:val="44"/>
      <w:sz w:val="32"/>
      <w:szCs w:val="44"/>
      <w:lang w:val="en-US" w:eastAsia="zh-CN" w:bidi="ar-SA"/>
    </w:rPr>
  </w:style>
  <w:style w:type="character" w:customStyle="1" w:styleId="260">
    <w:name w:val="Char Char Char"/>
    <w:qFormat/>
    <w:uiPriority w:val="0"/>
    <w:rPr>
      <w:rFonts w:eastAsia="宋体"/>
      <w:kern w:val="2"/>
      <w:sz w:val="18"/>
      <w:szCs w:val="18"/>
      <w:lang w:val="en-US" w:eastAsia="zh-CN" w:bidi="ar-SA"/>
    </w:rPr>
  </w:style>
  <w:style w:type="character" w:customStyle="1" w:styleId="261">
    <w:name w:val="副标题 Char2"/>
    <w:qFormat/>
    <w:uiPriority w:val="0"/>
    <w:rPr>
      <w:rFonts w:ascii="Cambria" w:hAnsi="Cambria" w:cs="Times New Roman"/>
      <w:b/>
      <w:bCs/>
      <w:kern w:val="28"/>
      <w:sz w:val="32"/>
      <w:szCs w:val="32"/>
    </w:rPr>
  </w:style>
  <w:style w:type="character" w:customStyle="1" w:styleId="262">
    <w:name w:val="062"/>
    <w:qFormat/>
    <w:uiPriority w:val="0"/>
    <w:rPr>
      <w:rFonts w:ascii="宋体" w:hAnsi="宋体"/>
      <w:b/>
      <w:bCs/>
      <w:sz w:val="32"/>
    </w:rPr>
  </w:style>
  <w:style w:type="character" w:customStyle="1" w:styleId="263">
    <w:name w:val="Char Char22"/>
    <w:qFormat/>
    <w:uiPriority w:val="0"/>
    <w:rPr>
      <w:rFonts w:ascii="Times New Roman" w:hAnsi="Times New Roman" w:eastAsia="宋体" w:cs="Times New Roman"/>
      <w:b/>
      <w:bCs/>
      <w:kern w:val="44"/>
      <w:sz w:val="32"/>
      <w:szCs w:val="44"/>
    </w:rPr>
  </w:style>
  <w:style w:type="character" w:customStyle="1" w:styleId="264">
    <w:name w:val="书籍标题3"/>
    <w:qFormat/>
    <w:uiPriority w:val="0"/>
    <w:rPr>
      <w:b/>
      <w:bCs/>
      <w:smallCaps/>
      <w:spacing w:val="5"/>
    </w:rPr>
  </w:style>
  <w:style w:type="character" w:customStyle="1" w:styleId="265">
    <w:name w:val="标题 3 Char1"/>
    <w:qFormat/>
    <w:uiPriority w:val="0"/>
    <w:rPr>
      <w:b/>
      <w:bCs/>
      <w:kern w:val="2"/>
      <w:sz w:val="32"/>
      <w:szCs w:val="32"/>
    </w:rPr>
  </w:style>
  <w:style w:type="character" w:customStyle="1" w:styleId="266">
    <w:name w:val="书籍标题31"/>
    <w:qFormat/>
    <w:uiPriority w:val="0"/>
    <w:rPr>
      <w:b/>
      <w:bCs/>
      <w:smallCaps/>
      <w:spacing w:val="5"/>
    </w:rPr>
  </w:style>
  <w:style w:type="character" w:customStyle="1" w:styleId="267">
    <w:name w:val="Char Char91"/>
    <w:qFormat/>
    <w:uiPriority w:val="0"/>
    <w:rPr>
      <w:rFonts w:eastAsia="宋体"/>
      <w:b/>
      <w:bCs/>
      <w:kern w:val="44"/>
      <w:sz w:val="32"/>
      <w:szCs w:val="44"/>
      <w:lang w:val="en-US" w:eastAsia="zh-CN" w:bidi="ar-SA"/>
    </w:rPr>
  </w:style>
  <w:style w:type="character" w:customStyle="1" w:styleId="268">
    <w:name w:val="Body Text Indent 2 Char"/>
    <w:qFormat/>
    <w:uiPriority w:val="0"/>
    <w:rPr>
      <w:rFonts w:eastAsia="宋体"/>
      <w:kern w:val="2"/>
      <w:sz w:val="21"/>
      <w:szCs w:val="24"/>
      <w:lang w:val="en-US" w:eastAsia="zh-CN" w:bidi="ar-SA"/>
    </w:rPr>
  </w:style>
  <w:style w:type="character" w:customStyle="1" w:styleId="269">
    <w:name w:val="明显参考31"/>
    <w:qFormat/>
    <w:uiPriority w:val="0"/>
    <w:rPr>
      <w:b/>
      <w:bCs/>
      <w:smallCaps/>
      <w:color w:val="C0504D"/>
      <w:spacing w:val="5"/>
      <w:u w:val="single"/>
    </w:rPr>
  </w:style>
  <w:style w:type="character" w:customStyle="1" w:styleId="270">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qFormat/>
    <w:uiPriority w:val="31"/>
    <w:rPr>
      <w:smallCaps/>
      <w:color w:val="C0504D"/>
      <w:u w:val="single"/>
    </w:rPr>
  </w:style>
  <w:style w:type="character" w:customStyle="1" w:styleId="27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73">
    <w:name w:val="Char Char9"/>
    <w:qFormat/>
    <w:uiPriority w:val="0"/>
    <w:rPr>
      <w:rFonts w:eastAsia="宋体"/>
      <w:b/>
      <w:bCs/>
      <w:kern w:val="44"/>
      <w:sz w:val="32"/>
      <w:szCs w:val="44"/>
      <w:lang w:val="en-US" w:eastAsia="zh-CN" w:bidi="ar-SA"/>
    </w:rPr>
  </w:style>
  <w:style w:type="character" w:customStyle="1" w:styleId="274">
    <w:name w:val="样式 Char"/>
    <w:qFormat/>
    <w:uiPriority w:val="0"/>
    <w:rPr>
      <w:rFonts w:ascii="宋体" w:hAnsi="宋体" w:eastAsia="宋体" w:cs="宋体"/>
      <w:sz w:val="24"/>
      <w:szCs w:val="24"/>
      <w:lang w:val="en-US" w:eastAsia="zh-CN" w:bidi="ar-SA"/>
    </w:rPr>
  </w:style>
  <w:style w:type="character" w:customStyle="1" w:styleId="275">
    <w:name w:val="批注文字 Char1"/>
    <w:qFormat/>
    <w:uiPriority w:val="0"/>
    <w:rPr>
      <w:rFonts w:ascii="Times New Roman" w:hAnsi="Times New Roman" w:eastAsia="宋体" w:cs="Times New Roman"/>
      <w:szCs w:val="24"/>
    </w:rPr>
  </w:style>
  <w:style w:type="character" w:customStyle="1" w:styleId="276">
    <w:name w:val="Heading 4 Char"/>
    <w:qFormat/>
    <w:uiPriority w:val="0"/>
    <w:rPr>
      <w:rFonts w:ascii="Arial" w:hAnsi="Arial" w:eastAsia="宋体"/>
      <w:b/>
      <w:bCs/>
      <w:kern w:val="2"/>
      <w:sz w:val="21"/>
      <w:szCs w:val="28"/>
      <w:lang w:val="en-US" w:eastAsia="zh-CN" w:bidi="ar-SA"/>
    </w:rPr>
  </w:style>
  <w:style w:type="character" w:customStyle="1" w:styleId="277">
    <w:name w:val="Heading 5 Char"/>
    <w:qFormat/>
    <w:uiPriority w:val="0"/>
    <w:rPr>
      <w:rFonts w:eastAsia="宋体"/>
      <w:b/>
      <w:bCs/>
      <w:kern w:val="2"/>
      <w:sz w:val="28"/>
      <w:szCs w:val="28"/>
      <w:lang w:val="en-US" w:eastAsia="zh-CN" w:bidi="ar-SA"/>
    </w:rPr>
  </w:style>
  <w:style w:type="character" w:customStyle="1" w:styleId="278">
    <w:name w:val="font161"/>
    <w:qFormat/>
    <w:uiPriority w:val="0"/>
    <w:rPr>
      <w:rFonts w:ascii="Arial" w:hAnsi="Arial" w:eastAsia="黑体"/>
      <w:b/>
      <w:bCs/>
      <w:kern w:val="2"/>
      <w:sz w:val="32"/>
      <w:szCs w:val="32"/>
      <w:lang w:val="en-US" w:eastAsia="zh-CN" w:bidi="ar-SA"/>
    </w:rPr>
  </w:style>
  <w:style w:type="character" w:customStyle="1" w:styleId="279">
    <w:name w:val="不明显强调11"/>
    <w:qFormat/>
    <w:uiPriority w:val="19"/>
    <w:rPr>
      <w:i/>
      <w:iCs/>
      <w:color w:val="808080"/>
    </w:rPr>
  </w:style>
  <w:style w:type="character" w:customStyle="1" w:styleId="280">
    <w:name w:val="样式 4 + 四号 Char Char"/>
    <w:link w:val="281"/>
    <w:qFormat/>
    <w:uiPriority w:val="0"/>
    <w:rPr>
      <w:rFonts w:ascii="Cambria" w:hAnsi="Cambria" w:eastAsia="宋体" w:cs="Times New Roman"/>
      <w:b/>
      <w:bCs/>
      <w:sz w:val="28"/>
      <w:szCs w:val="28"/>
    </w:rPr>
  </w:style>
  <w:style w:type="paragraph" w:customStyle="1" w:styleId="281">
    <w:name w:val="样式 4 + 四号"/>
    <w:basedOn w:val="105"/>
    <w:next w:val="5"/>
    <w:link w:val="280"/>
    <w:qFormat/>
    <w:uiPriority w:val="0"/>
    <w:rPr>
      <w:sz w:val="28"/>
    </w:rPr>
  </w:style>
  <w:style w:type="character" w:customStyle="1" w:styleId="282">
    <w:name w:val="标题 #7 (4)_"/>
    <w:link w:val="283"/>
    <w:qFormat/>
    <w:locked/>
    <w:uiPriority w:val="0"/>
    <w:rPr>
      <w:rFonts w:ascii="MingLiU" w:hAnsi="MingLiU" w:eastAsia="MingLiU"/>
      <w:sz w:val="26"/>
      <w:szCs w:val="26"/>
      <w:shd w:val="clear" w:color="auto" w:fill="FFFFFF"/>
    </w:rPr>
  </w:style>
  <w:style w:type="paragraph" w:customStyle="1" w:styleId="283">
    <w:name w:val="标题 #7 (4)"/>
    <w:basedOn w:val="1"/>
    <w:link w:val="282"/>
    <w:qFormat/>
    <w:uiPriority w:val="0"/>
    <w:pPr>
      <w:shd w:val="clear" w:color="auto" w:fill="FFFFFF"/>
      <w:spacing w:after="1020" w:line="240" w:lineRule="atLeast"/>
      <w:jc w:val="left"/>
      <w:outlineLvl w:val="6"/>
    </w:pPr>
    <w:rPr>
      <w:rFonts w:ascii="MingLiU" w:hAnsi="MingLiU" w:eastAsia="MingLiU"/>
      <w:sz w:val="26"/>
      <w:szCs w:val="26"/>
    </w:rPr>
  </w:style>
  <w:style w:type="character" w:customStyle="1" w:styleId="284">
    <w:name w:val="Balloon Text Char"/>
    <w:qFormat/>
    <w:uiPriority w:val="0"/>
    <w:rPr>
      <w:sz w:val="18"/>
      <w:lang w:bidi="ar-SA"/>
    </w:rPr>
  </w:style>
  <w:style w:type="character" w:customStyle="1" w:styleId="285">
    <w:name w:val="脚注文本 Char2"/>
    <w:qFormat/>
    <w:uiPriority w:val="99"/>
    <w:rPr>
      <w:kern w:val="2"/>
      <w:sz w:val="18"/>
      <w:szCs w:val="18"/>
    </w:rPr>
  </w:style>
  <w:style w:type="character" w:customStyle="1" w:styleId="286">
    <w:name w:val="引用 字符"/>
    <w:link w:val="287"/>
    <w:qFormat/>
    <w:uiPriority w:val="0"/>
    <w:rPr>
      <w:i/>
      <w:iCs/>
      <w:color w:val="000000"/>
      <w:szCs w:val="24"/>
    </w:rPr>
  </w:style>
  <w:style w:type="paragraph" w:styleId="287">
    <w:name w:val="Quote"/>
    <w:basedOn w:val="1"/>
    <w:next w:val="1"/>
    <w:link w:val="286"/>
    <w:qFormat/>
    <w:uiPriority w:val="0"/>
    <w:pPr>
      <w:spacing w:line="360" w:lineRule="exact"/>
      <w:ind w:firstLine="200" w:firstLineChars="200"/>
    </w:pPr>
    <w:rPr>
      <w:rFonts w:ascii="Calibri" w:hAnsi="Calibri"/>
      <w:i/>
      <w:iCs/>
      <w:color w:val="000000"/>
    </w:rPr>
  </w:style>
  <w:style w:type="character" w:customStyle="1" w:styleId="288">
    <w:name w:val="标题4 Char Char"/>
    <w:link w:val="289"/>
    <w:qFormat/>
    <w:uiPriority w:val="0"/>
    <w:rPr>
      <w:rFonts w:ascii="Arial" w:hAnsi="Arial"/>
      <w:b/>
      <w:bCs/>
      <w:sz w:val="24"/>
      <w:szCs w:val="32"/>
    </w:rPr>
  </w:style>
  <w:style w:type="paragraph" w:customStyle="1" w:styleId="289">
    <w:name w:val="标题4"/>
    <w:basedOn w:val="2"/>
    <w:next w:val="24"/>
    <w:link w:val="288"/>
    <w:qFormat/>
    <w:uiPriority w:val="0"/>
    <w:pPr>
      <w:spacing w:before="60" w:after="60" w:line="413" w:lineRule="auto"/>
      <w:jc w:val="center"/>
    </w:pPr>
    <w:rPr>
      <w:rFonts w:ascii="Arial" w:hAnsi="Arial"/>
      <w:kern w:val="0"/>
      <w:sz w:val="24"/>
    </w:rPr>
  </w:style>
  <w:style w:type="character" w:customStyle="1" w:styleId="290">
    <w:name w:val="正文文本 (31)_"/>
    <w:link w:val="291"/>
    <w:qFormat/>
    <w:locked/>
    <w:uiPriority w:val="0"/>
    <w:rPr>
      <w:shd w:val="clear" w:color="auto" w:fill="FFFFFF"/>
      <w:lang w:eastAsia="en-US"/>
    </w:rPr>
  </w:style>
  <w:style w:type="paragraph" w:customStyle="1" w:styleId="291">
    <w:name w:val="正文文本 (31)"/>
    <w:basedOn w:val="1"/>
    <w:link w:val="290"/>
    <w:qFormat/>
    <w:uiPriority w:val="0"/>
    <w:pPr>
      <w:shd w:val="clear" w:color="auto" w:fill="FFFFFF"/>
      <w:spacing w:line="401" w:lineRule="exact"/>
      <w:ind w:firstLine="500"/>
    </w:pPr>
    <w:rPr>
      <w:rFonts w:ascii="Calibri" w:hAnsi="Calibri"/>
      <w:szCs w:val="22"/>
      <w:lang w:eastAsia="en-US"/>
    </w:rPr>
  </w:style>
  <w:style w:type="character" w:customStyle="1" w:styleId="292">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qFormat/>
    <w:uiPriority w:val="0"/>
    <w:rPr>
      <w:rFonts w:eastAsia="宋体"/>
      <w:kern w:val="2"/>
      <w:sz w:val="18"/>
      <w:szCs w:val="18"/>
      <w:lang w:val="en-US" w:eastAsia="zh-CN" w:bidi="ar-SA"/>
    </w:rPr>
  </w:style>
  <w:style w:type="character" w:customStyle="1" w:styleId="295">
    <w:name w:val="Char Char61"/>
    <w:qFormat/>
    <w:uiPriority w:val="0"/>
    <w:rPr>
      <w:rFonts w:eastAsia="宋体"/>
      <w:b/>
      <w:bCs/>
      <w:kern w:val="44"/>
      <w:sz w:val="32"/>
      <w:szCs w:val="44"/>
      <w:lang w:val="en-US" w:eastAsia="zh-CN" w:bidi="ar-SA"/>
    </w:rPr>
  </w:style>
  <w:style w:type="character" w:customStyle="1" w:styleId="296">
    <w:name w:val="font5 Char"/>
    <w:qFormat/>
    <w:uiPriority w:val="0"/>
    <w:rPr>
      <w:rFonts w:ascii="宋体" w:hAnsi="宋体" w:eastAsia="宋体"/>
      <w:sz w:val="24"/>
      <w:szCs w:val="24"/>
      <w:lang w:val="en-US" w:eastAsia="zh-CN" w:bidi="ar-SA"/>
    </w:rPr>
  </w:style>
  <w:style w:type="character" w:customStyle="1" w:styleId="297">
    <w:name w:val="正文文本 (42)"/>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qFormat/>
    <w:uiPriority w:val="0"/>
    <w:rPr>
      <w:rFonts w:ascii="Times New Roman" w:hAnsi="Times New Roman" w:eastAsia="宋体" w:cs="Times New Roman"/>
      <w:sz w:val="18"/>
      <w:szCs w:val="18"/>
    </w:rPr>
  </w:style>
  <w:style w:type="paragraph" w:customStyle="1" w:styleId="299">
    <w:name w:val="样式6"/>
    <w:basedOn w:val="34"/>
    <w:next w:val="300"/>
    <w:link w:val="298"/>
    <w:qFormat/>
    <w:uiPriority w:val="0"/>
    <w:pPr>
      <w:pBdr>
        <w:bottom w:val="none" w:color="auto" w:sz="0" w:space="0"/>
      </w:pBdr>
      <w:spacing w:line="360" w:lineRule="exact"/>
      <w:ind w:firstLine="200" w:firstLineChars="200"/>
    </w:pPr>
    <w:rPr>
      <w:rFonts w:ascii="Calibri" w:hAnsi="Calibri"/>
    </w:rPr>
  </w:style>
  <w:style w:type="paragraph" w:customStyle="1" w:styleId="300">
    <w:name w:val="样式1"/>
    <w:basedOn w:val="34"/>
    <w:next w:val="1"/>
    <w:link w:val="301"/>
    <w:qFormat/>
    <w:uiPriority w:val="0"/>
    <w:pPr>
      <w:pBdr>
        <w:bottom w:val="none" w:color="auto" w:sz="0" w:space="0"/>
      </w:pBdr>
      <w:spacing w:line="360" w:lineRule="auto"/>
      <w:ind w:right="-876" w:rightChars="-417"/>
    </w:pPr>
    <w:rPr>
      <w:rFonts w:ascii="Calibri" w:hAnsi="Calibri" w:eastAsia="黑体"/>
      <w:b/>
      <w:sz w:val="44"/>
    </w:rPr>
  </w:style>
  <w:style w:type="character" w:customStyle="1" w:styleId="301">
    <w:name w:val="样式1 Char Char"/>
    <w:link w:val="300"/>
    <w:qFormat/>
    <w:uiPriority w:val="0"/>
    <w:rPr>
      <w:rFonts w:eastAsia="黑体"/>
      <w:b/>
      <w:sz w:val="44"/>
      <w:szCs w:val="18"/>
    </w:rPr>
  </w:style>
  <w:style w:type="character" w:customStyle="1" w:styleId="302">
    <w:name w:val="1ji Char Char"/>
    <w:link w:val="303"/>
    <w:qFormat/>
    <w:uiPriority w:val="0"/>
    <w:rPr>
      <w:rFonts w:ascii="宋体" w:hAnsi="宋体"/>
      <w:b/>
      <w:bCs/>
      <w:sz w:val="36"/>
    </w:rPr>
  </w:style>
  <w:style w:type="paragraph" w:customStyle="1" w:styleId="303">
    <w:name w:val="1ji"/>
    <w:basedOn w:val="3"/>
    <w:link w:val="302"/>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qFormat/>
    <w:locked/>
    <w:uiPriority w:val="0"/>
    <w:rPr>
      <w:shd w:val="clear" w:color="auto" w:fill="FFFFFF"/>
      <w:lang w:eastAsia="en-US"/>
    </w:rPr>
  </w:style>
  <w:style w:type="paragraph" w:customStyle="1" w:styleId="306">
    <w:name w:val="正文文本 (30)"/>
    <w:basedOn w:val="1"/>
    <w:link w:val="305"/>
    <w:qFormat/>
    <w:uiPriority w:val="0"/>
    <w:pPr>
      <w:shd w:val="clear" w:color="auto" w:fill="FFFFFF"/>
      <w:spacing w:before="420" w:line="401" w:lineRule="exact"/>
      <w:ind w:firstLine="500"/>
    </w:pPr>
    <w:rPr>
      <w:rFonts w:ascii="Calibri" w:hAnsi="Calibri"/>
      <w:szCs w:val="22"/>
      <w:lang w:eastAsia="en-US"/>
    </w:rPr>
  </w:style>
  <w:style w:type="character" w:customStyle="1" w:styleId="307">
    <w:name w:val="标题 3 Char Char Char"/>
    <w:qFormat/>
    <w:uiPriority w:val="0"/>
    <w:rPr>
      <w:rFonts w:eastAsia="宋体"/>
      <w:b/>
      <w:bCs/>
      <w:kern w:val="2"/>
      <w:sz w:val="32"/>
      <w:szCs w:val="32"/>
      <w:lang w:val="en-US" w:eastAsia="zh-CN" w:bidi="ar-SA"/>
    </w:rPr>
  </w:style>
  <w:style w:type="character" w:customStyle="1" w:styleId="308">
    <w:name w:val="不明显强调2"/>
    <w:qFormat/>
    <w:uiPriority w:val="19"/>
    <w:rPr>
      <w:i/>
      <w:iCs/>
      <w:color w:val="808080"/>
    </w:rPr>
  </w:style>
  <w:style w:type="character" w:customStyle="1" w:styleId="309">
    <w:name w:val="正文文本 2 Char1"/>
    <w:qFormat/>
    <w:uiPriority w:val="0"/>
    <w:rPr>
      <w:rFonts w:ascii="Times New Roman" w:hAnsi="Times New Roman" w:eastAsia="宋体" w:cs="Times New Roman"/>
      <w:szCs w:val="24"/>
    </w:rPr>
  </w:style>
  <w:style w:type="character" w:customStyle="1" w:styleId="310">
    <w:name w:val="Document Map Char"/>
    <w:qFormat/>
    <w:uiPriority w:val="0"/>
    <w:rPr>
      <w:rFonts w:eastAsia="宋体"/>
      <w:kern w:val="2"/>
      <w:sz w:val="21"/>
      <w:szCs w:val="24"/>
      <w:lang w:val="en-US" w:eastAsia="zh-CN" w:bidi="ar-SA"/>
    </w:rPr>
  </w:style>
  <w:style w:type="character" w:customStyle="1" w:styleId="311">
    <w:name w:val="Heading 1 Char"/>
    <w:qFormat/>
    <w:uiPriority w:val="0"/>
    <w:rPr>
      <w:rFonts w:eastAsia="宋体"/>
      <w:b/>
      <w:bCs/>
      <w:kern w:val="44"/>
      <w:sz w:val="32"/>
      <w:szCs w:val="44"/>
      <w:lang w:val="en-US" w:eastAsia="zh-CN" w:bidi="ar-SA"/>
    </w:rPr>
  </w:style>
  <w:style w:type="character" w:customStyle="1" w:styleId="312">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qFormat/>
    <w:uiPriority w:val="0"/>
    <w:rPr>
      <w:rFonts w:cs="Times New Roman"/>
    </w:rPr>
  </w:style>
  <w:style w:type="character" w:customStyle="1" w:styleId="314">
    <w:name w:val="Char Char18"/>
    <w:qFormat/>
    <w:uiPriority w:val="0"/>
    <w:rPr>
      <w:rFonts w:ascii="Times New Roman" w:hAnsi="Times New Roman" w:eastAsia="宋体" w:cs="Times New Roman"/>
      <w:b/>
      <w:bCs/>
      <w:sz w:val="28"/>
      <w:szCs w:val="28"/>
    </w:rPr>
  </w:style>
  <w:style w:type="character" w:customStyle="1" w:styleId="315">
    <w:name w:val="正文文本缩进 3 Char1"/>
    <w:semiHidden/>
    <w:qFormat/>
    <w:uiPriority w:val="99"/>
    <w:rPr>
      <w:sz w:val="16"/>
      <w:szCs w:val="16"/>
    </w:rPr>
  </w:style>
  <w:style w:type="character" w:customStyle="1" w:styleId="316">
    <w:name w:val="表格标题_"/>
    <w:link w:val="317"/>
    <w:qFormat/>
    <w:locked/>
    <w:uiPriority w:val="0"/>
    <w:rPr>
      <w:rFonts w:ascii="MingLiU" w:hAnsi="MingLiU" w:eastAsia="MingLiU"/>
      <w:shd w:val="clear" w:color="auto" w:fill="FFFFFF"/>
    </w:rPr>
  </w:style>
  <w:style w:type="paragraph" w:customStyle="1" w:styleId="317">
    <w:name w:val="表格标题"/>
    <w:basedOn w:val="1"/>
    <w:link w:val="316"/>
    <w:qFormat/>
    <w:uiPriority w:val="0"/>
    <w:pPr>
      <w:shd w:val="clear" w:color="auto" w:fill="FFFFFF"/>
      <w:spacing w:line="322" w:lineRule="exact"/>
      <w:jc w:val="distribute"/>
    </w:pPr>
    <w:rPr>
      <w:rFonts w:ascii="MingLiU" w:hAnsi="MingLiU" w:eastAsia="MingLiU"/>
      <w:szCs w:val="22"/>
    </w:rPr>
  </w:style>
  <w:style w:type="character" w:customStyle="1" w:styleId="318">
    <w:name w:val="copy1"/>
    <w:qFormat/>
    <w:uiPriority w:val="0"/>
    <w:rPr>
      <w:rFonts w:hint="default" w:ascii="Arial" w:hAnsi="Arial" w:cs="Arial"/>
      <w:color w:val="525252"/>
      <w:sz w:val="15"/>
      <w:szCs w:val="15"/>
      <w:u w:val="none"/>
    </w:rPr>
  </w:style>
  <w:style w:type="character" w:customStyle="1" w:styleId="319">
    <w:name w:val="页眉 Char1"/>
    <w:semiHidden/>
    <w:qFormat/>
    <w:uiPriority w:val="99"/>
    <w:rPr>
      <w:sz w:val="18"/>
      <w:szCs w:val="18"/>
    </w:rPr>
  </w:style>
  <w:style w:type="character" w:customStyle="1" w:styleId="320">
    <w:name w:val="明显引用 Char1"/>
    <w:qFormat/>
    <w:uiPriority w:val="30"/>
    <w:rPr>
      <w:rFonts w:ascii="Times New Roman" w:hAnsi="Times New Roman" w:eastAsia="宋体" w:cs="Times New Roman"/>
      <w:b/>
      <w:bCs/>
      <w:i/>
      <w:iCs/>
      <w:color w:val="4F81BD"/>
      <w:szCs w:val="24"/>
    </w:rPr>
  </w:style>
  <w:style w:type="paragraph" w:styleId="321">
    <w:name w:val="List Paragraph"/>
    <w:basedOn w:val="1"/>
    <w:qFormat/>
    <w:uiPriority w:val="0"/>
    <w:pPr>
      <w:ind w:firstLine="420" w:firstLineChars="200"/>
    </w:pPr>
  </w:style>
  <w:style w:type="paragraph" w:customStyle="1" w:styleId="322">
    <w:name w:val="p0"/>
    <w:basedOn w:val="1"/>
    <w:qFormat/>
    <w:uiPriority w:val="0"/>
    <w:pPr>
      <w:widowControl/>
    </w:pPr>
    <w:rPr>
      <w:rFonts w:ascii="Calibri" w:hAnsi="Calibri" w:cs="宋体"/>
      <w:kern w:val="0"/>
      <w:szCs w:val="21"/>
    </w:rPr>
  </w:style>
  <w:style w:type="paragraph" w:customStyle="1" w:styleId="323">
    <w:name w:val="Char2 Char Char Char"/>
    <w:basedOn w:val="1"/>
    <w:qFormat/>
    <w:uiPriority w:val="0"/>
  </w:style>
  <w:style w:type="paragraph" w:customStyle="1" w:styleId="324">
    <w:name w:val="Char Char10"/>
    <w:basedOn w:val="1"/>
    <w:qFormat/>
    <w:uiPriority w:val="0"/>
    <w:rPr>
      <w:rFonts w:ascii="仿宋_GB2312" w:eastAsia="仿宋_GB2312"/>
      <w:b/>
      <w:sz w:val="32"/>
      <w:szCs w:val="32"/>
    </w:rPr>
  </w:style>
  <w:style w:type="paragraph" w:customStyle="1" w:styleId="325">
    <w:name w:val="_Style 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6">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7">
    <w:name w:val="样式 样式 4 + 宋体 小三 黑色 + 居中 左侧:  2 字符 首行缩进:  2 字符"/>
    <w:basedOn w:val="328"/>
    <w:next w:val="5"/>
    <w:qFormat/>
    <w:uiPriority w:val="0"/>
    <w:pPr>
      <w:ind w:left="420" w:firstLine="602"/>
      <w:jc w:val="center"/>
    </w:pPr>
    <w:rPr>
      <w:rFonts w:cs="宋体"/>
      <w:szCs w:val="20"/>
    </w:rPr>
  </w:style>
  <w:style w:type="paragraph" w:customStyle="1" w:styleId="328">
    <w:name w:val="样式 4 + 宋体 小三 黑色"/>
    <w:basedOn w:val="105"/>
    <w:next w:val="5"/>
    <w:qFormat/>
    <w:uiPriority w:val="0"/>
    <w:rPr>
      <w:rFonts w:ascii="宋体" w:hAnsi="宋体"/>
      <w:color w:val="000000"/>
      <w:sz w:val="30"/>
    </w:rPr>
  </w:style>
  <w:style w:type="paragraph" w:customStyle="1" w:styleId="329">
    <w:name w:val="2-2ji"/>
    <w:basedOn w:val="2"/>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30">
    <w:name w:val="(1)"/>
    <w:basedOn w:val="331"/>
    <w:qFormat/>
    <w:uiPriority w:val="0"/>
    <w:pPr>
      <w:spacing w:before="240"/>
      <w:ind w:left="431" w:hanging="431"/>
    </w:pPr>
    <w:rPr>
      <w:b w:val="0"/>
      <w:sz w:val="24"/>
    </w:rPr>
  </w:style>
  <w:style w:type="paragraph" w:customStyle="1" w:styleId="331">
    <w:name w:val="1.1"/>
    <w:basedOn w:val="1"/>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2">
    <w:name w:val="a 正文"/>
    <w:basedOn w:val="333"/>
    <w:qFormat/>
    <w:uiPriority w:val="0"/>
    <w:pPr>
      <w:tabs>
        <w:tab w:val="left" w:pos="720"/>
        <w:tab w:val="left" w:pos="3240"/>
        <w:tab w:val="left" w:pos="3750"/>
      </w:tabs>
      <w:ind w:left="681" w:hanging="227"/>
    </w:pPr>
  </w:style>
  <w:style w:type="paragraph" w:customStyle="1" w:styleId="333">
    <w:name w:val="A.正文"/>
    <w:basedOn w:val="1"/>
    <w:qFormat/>
    <w:uiPriority w:val="0"/>
    <w:pPr>
      <w:widowControl/>
      <w:tabs>
        <w:tab w:val="left" w:pos="720"/>
        <w:tab w:val="left" w:pos="3750"/>
      </w:tabs>
      <w:spacing w:before="40" w:after="40" w:line="300" w:lineRule="exact"/>
      <w:ind w:left="720" w:firstLine="510"/>
    </w:pPr>
    <w:rPr>
      <w:szCs w:val="20"/>
    </w:rPr>
  </w:style>
  <w:style w:type="paragraph" w:customStyle="1" w:styleId="334">
    <w:name w:val="样式 4 + 段前: 0 磅 段后: 0 磅 行距: 单倍行距"/>
    <w:basedOn w:val="105"/>
    <w:qFormat/>
    <w:uiPriority w:val="0"/>
    <w:pPr>
      <w:spacing w:before="0" w:after="0" w:line="240" w:lineRule="auto"/>
    </w:pPr>
    <w:rPr>
      <w:rFonts w:cs="宋体"/>
      <w:b w:val="0"/>
      <w:szCs w:val="20"/>
    </w:rPr>
  </w:style>
  <w:style w:type="paragraph" w:customStyle="1" w:styleId="335">
    <w:name w:val="bb"/>
    <w:basedOn w:val="1"/>
    <w:qFormat/>
    <w:uiPriority w:val="0"/>
    <w:pPr>
      <w:widowControl/>
      <w:spacing w:before="100" w:beforeAutospacing="1" w:after="100" w:afterAutospacing="1"/>
      <w:jc w:val="left"/>
    </w:pPr>
    <w:rPr>
      <w:rFonts w:ascii="宋体"/>
      <w:kern w:val="0"/>
      <w:sz w:val="24"/>
    </w:rPr>
  </w:style>
  <w:style w:type="paragraph" w:customStyle="1" w:styleId="336">
    <w:name w:val="TOC 标题1"/>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8">
    <w:name w:val="列出段落1"/>
    <w:basedOn w:val="1"/>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9">
    <w:name w:val="样式 样式 样式 小四 加粗 居中 + 宋体 加粗 黑色 + 左侧:  0.74 厘米"/>
    <w:basedOn w:val="340"/>
    <w:qFormat/>
    <w:uiPriority w:val="0"/>
    <w:pPr>
      <w:ind w:left="420" w:firstLine="422"/>
    </w:pPr>
  </w:style>
  <w:style w:type="paragraph" w:customStyle="1" w:styleId="340">
    <w:name w:val="样式 样式 小四 加粗 居中 + 宋体 加粗 黑色"/>
    <w:basedOn w:val="341"/>
    <w:next w:val="6"/>
    <w:qFormat/>
    <w:uiPriority w:val="0"/>
    <w:rPr>
      <w:rFonts w:ascii="宋体" w:hAnsi="宋体"/>
      <w:b/>
      <w:bCs/>
      <w:color w:val="000000"/>
    </w:rPr>
  </w:style>
  <w:style w:type="paragraph" w:customStyle="1" w:styleId="341">
    <w:name w:val="样式 小四 加粗 居中"/>
    <w:basedOn w:val="6"/>
    <w:next w:val="6"/>
    <w:qFormat/>
    <w:uiPriority w:val="0"/>
    <w:pPr>
      <w:spacing w:before="50" w:beforeLines="50" w:after="50" w:afterLines="50" w:line="240" w:lineRule="auto"/>
      <w:jc w:val="center"/>
    </w:pPr>
    <w:rPr>
      <w:rFonts w:cs="宋体"/>
      <w:b w:val="0"/>
      <w:bCs w:val="0"/>
      <w:sz w:val="24"/>
      <w:szCs w:val="20"/>
    </w:rPr>
  </w:style>
  <w:style w:type="paragraph" w:customStyle="1" w:styleId="342">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43">
    <w:name w:val="µ1"/>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4">
    <w:name w:val="样式 4 + 小三"/>
    <w:basedOn w:val="105"/>
    <w:next w:val="5"/>
    <w:qFormat/>
    <w:uiPriority w:val="0"/>
    <w:rPr>
      <w:sz w:val="30"/>
    </w:rPr>
  </w:style>
  <w:style w:type="paragraph" w:customStyle="1" w:styleId="3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6">
    <w:name w:val="标准正文"/>
    <w:basedOn w:val="1"/>
    <w:qFormat/>
    <w:uiPriority w:val="99"/>
    <w:pPr>
      <w:spacing w:afterLines="50"/>
      <w:ind w:firstLine="200" w:firstLineChars="200"/>
      <w:jc w:val="left"/>
    </w:pPr>
    <w:rPr>
      <w:sz w:val="24"/>
      <w:szCs w:val="21"/>
    </w:rPr>
  </w:style>
  <w:style w:type="paragraph" w:customStyle="1" w:styleId="347">
    <w:name w:val="合同正文"/>
    <w:basedOn w:val="1"/>
    <w:qFormat/>
    <w:uiPriority w:val="0"/>
    <w:pPr>
      <w:adjustRightInd w:val="0"/>
      <w:spacing w:line="580" w:lineRule="exact"/>
    </w:pPr>
    <w:rPr>
      <w:b/>
      <w:sz w:val="24"/>
      <w:szCs w:val="20"/>
    </w:rPr>
  </w:style>
  <w:style w:type="paragraph" w:customStyle="1" w:styleId="348">
    <w:name w:val="**"/>
    <w:basedOn w:val="331"/>
    <w:qFormat/>
    <w:uiPriority w:val="0"/>
    <w:rPr>
      <w:rFonts w:ascii="楷体" w:eastAsia="楷体"/>
      <w:sz w:val="24"/>
    </w:rPr>
  </w:style>
  <w:style w:type="paragraph" w:customStyle="1" w:styleId="349">
    <w:name w:val="表格2"/>
    <w:basedOn w:val="1"/>
    <w:qFormat/>
    <w:uiPriority w:val="0"/>
    <w:pPr>
      <w:adjustRightInd w:val="0"/>
      <w:spacing w:before="60" w:after="60"/>
      <w:jc w:val="center"/>
    </w:pPr>
    <w:rPr>
      <w:rFonts w:ascii="宋体"/>
      <w:color w:val="000000"/>
      <w:kern w:val="0"/>
      <w:sz w:val="24"/>
      <w:szCs w:val="20"/>
    </w:rPr>
  </w:style>
  <w:style w:type="paragraph" w:customStyle="1" w:styleId="350">
    <w:name w:val="p16"/>
    <w:basedOn w:val="1"/>
    <w:qFormat/>
    <w:uiPriority w:val="0"/>
    <w:pPr>
      <w:widowControl/>
    </w:pPr>
    <w:rPr>
      <w:kern w:val="0"/>
      <w:szCs w:val="21"/>
    </w:rPr>
  </w:style>
  <w:style w:type="paragraph" w:customStyle="1" w:styleId="351">
    <w:name w:val="."/>
    <w:basedOn w:val="1"/>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2">
    <w:name w:val="3"/>
    <w:basedOn w:val="4"/>
    <w:next w:val="4"/>
    <w:qFormat/>
    <w:uiPriority w:val="0"/>
    <w:pPr>
      <w:widowControl w:val="0"/>
      <w:spacing w:before="0" w:after="0" w:line="415" w:lineRule="auto"/>
    </w:pPr>
    <w:rPr>
      <w:rFonts w:ascii="黑体" w:eastAsia="黑体"/>
      <w:sz w:val="28"/>
      <w:szCs w:val="28"/>
    </w:rPr>
  </w:style>
  <w:style w:type="paragraph" w:customStyle="1" w:styleId="353">
    <w:name w:val="TOC 标题3"/>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4">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55">
    <w:name w:val="Char Char Char Char Char Char Char Char Char Char"/>
    <w:basedOn w:val="1"/>
    <w:qFormat/>
    <w:uiPriority w:val="0"/>
  </w:style>
  <w:style w:type="paragraph" w:customStyle="1" w:styleId="356">
    <w:name w:val="表格文字"/>
    <w:basedOn w:val="1"/>
    <w:qFormat/>
    <w:uiPriority w:val="0"/>
    <w:pPr>
      <w:adjustRightInd w:val="0"/>
      <w:spacing w:line="420" w:lineRule="atLeast"/>
      <w:ind w:firstLine="200" w:firstLineChars="200"/>
      <w:jc w:val="left"/>
      <w:textAlignment w:val="baseline"/>
    </w:pPr>
    <w:rPr>
      <w:kern w:val="0"/>
      <w:szCs w:val="20"/>
    </w:rPr>
  </w:style>
  <w:style w:type="paragraph" w:customStyle="1" w:styleId="357">
    <w:name w:val="+正文"/>
    <w:basedOn w:val="1"/>
    <w:qFormat/>
    <w:uiPriority w:val="0"/>
    <w:pPr>
      <w:spacing w:line="360" w:lineRule="auto"/>
      <w:ind w:firstLine="200" w:firstLineChars="200"/>
    </w:pPr>
    <w:rPr>
      <w:sz w:val="24"/>
      <w:szCs w:val="28"/>
    </w:rPr>
  </w:style>
  <w:style w:type="paragraph" w:customStyle="1" w:styleId="358">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59">
    <w:name w:val="纯文本2"/>
    <w:basedOn w:val="1"/>
    <w:qFormat/>
    <w:uiPriority w:val="0"/>
    <w:rPr>
      <w:rFonts w:ascii="宋体" w:hAnsi="Courier New"/>
      <w:szCs w:val="20"/>
    </w:rPr>
  </w:style>
  <w:style w:type="paragraph" w:customStyle="1" w:styleId="36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6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Index8"/>
    <w:basedOn w:val="1"/>
    <w:next w:val="1"/>
    <w:qFormat/>
    <w:locked/>
    <w:uiPriority w:val="0"/>
    <w:pPr>
      <w:ind w:left="2940"/>
    </w:pPr>
  </w:style>
  <w:style w:type="paragraph" w:customStyle="1" w:styleId="363">
    <w:name w:val="2"/>
    <w:basedOn w:val="4"/>
    <w:qFormat/>
    <w:uiPriority w:val="0"/>
    <w:pPr>
      <w:widowControl w:val="0"/>
      <w:spacing w:before="120" w:beforeLines="50" w:after="120" w:afterLines="50" w:line="240" w:lineRule="auto"/>
      <w:jc w:val="center"/>
    </w:pPr>
    <w:rPr>
      <w:rFonts w:ascii="黑体" w:eastAsia="黑体"/>
      <w:sz w:val="44"/>
      <w:szCs w:val="28"/>
    </w:rPr>
  </w:style>
  <w:style w:type="paragraph" w:customStyle="1" w:styleId="364">
    <w:name w:val="table"/>
    <w:basedOn w:val="1"/>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5">
    <w:name w:val="样式 4 + 小三 两端对齐 段前: 0 磅 段后: 0 磅 行距: 单倍行距"/>
    <w:basedOn w:val="105"/>
    <w:qFormat/>
    <w:uiPriority w:val="0"/>
    <w:pPr>
      <w:spacing w:before="0" w:after="0" w:line="240" w:lineRule="auto"/>
      <w:jc w:val="both"/>
    </w:pPr>
    <w:rPr>
      <w:rFonts w:cs="宋体"/>
      <w:sz w:val="30"/>
      <w:szCs w:val="20"/>
    </w:rPr>
  </w:style>
  <w:style w:type="paragraph" w:customStyle="1" w:styleId="366">
    <w:name w:val="444"/>
    <w:basedOn w:val="1"/>
    <w:qFormat/>
    <w:uiPriority w:val="0"/>
    <w:pPr>
      <w:adjustRightInd w:val="0"/>
      <w:spacing w:line="312" w:lineRule="atLeast"/>
      <w:jc w:val="center"/>
      <w:textAlignment w:val="baseline"/>
    </w:pPr>
    <w:rPr>
      <w:b/>
      <w:kern w:val="0"/>
      <w:sz w:val="36"/>
      <w:szCs w:val="36"/>
    </w:rPr>
  </w:style>
  <w:style w:type="paragraph" w:customStyle="1" w:styleId="36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8">
    <w:name w:val="标题2"/>
    <w:basedOn w:val="2"/>
    <w:next w:val="1"/>
    <w:qFormat/>
    <w:uiPriority w:val="0"/>
    <w:pPr>
      <w:snapToGrid w:val="0"/>
      <w:spacing w:before="120" w:after="120" w:line="240" w:lineRule="auto"/>
      <w:jc w:val="left"/>
    </w:pPr>
    <w:rPr>
      <w:rFonts w:ascii="Arial" w:hAnsi="Arial" w:eastAsia="黑体"/>
      <w:b w:val="0"/>
      <w:bCs w:val="0"/>
      <w:sz w:val="21"/>
      <w:szCs w:val="21"/>
    </w:rPr>
  </w:style>
  <w:style w:type="paragraph" w:customStyle="1" w:styleId="369">
    <w:name w:val="Char Char Char Char Char Char Char Char Char1 Char Char Char Char Char Char Char Char Char Char Char Char Char"/>
    <w:basedOn w:val="3"/>
    <w:qFormat/>
    <w:uiPriority w:val="0"/>
    <w:pPr>
      <w:snapToGrid w:val="0"/>
      <w:spacing w:before="240" w:after="240" w:line="348" w:lineRule="auto"/>
    </w:pPr>
    <w:rPr>
      <w:sz w:val="44"/>
    </w:rPr>
  </w:style>
  <w:style w:type="paragraph" w:customStyle="1" w:styleId="370">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2">
    <w:name w:val="tds100"/>
    <w:basedOn w:val="43"/>
    <w:qFormat/>
    <w:uiPriority w:val="0"/>
    <w:pPr>
      <w:tabs>
        <w:tab w:val="right" w:leader="dot" w:pos="9628"/>
      </w:tabs>
      <w:ind w:left="200"/>
      <w:jc w:val="center"/>
    </w:pPr>
    <w:rPr>
      <w:b/>
      <w:sz w:val="44"/>
    </w:rPr>
  </w:style>
  <w:style w:type="paragraph" w:customStyle="1" w:styleId="373">
    <w:name w:val="Char Char Char Char Char Char Char"/>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4">
    <w:name w:val="·"/>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6">
    <w:name w:val="PlainText"/>
    <w:basedOn w:val="1"/>
    <w:next w:val="362"/>
    <w:qFormat/>
    <w:locked/>
    <w:uiPriority w:val="0"/>
    <w:rPr>
      <w:rFonts w:ascii="宋体" w:hAnsi="Courier New"/>
      <w:szCs w:val="20"/>
    </w:rPr>
  </w:style>
  <w:style w:type="paragraph" w:customStyle="1" w:styleId="377">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9">
    <w:name w:val="Char"/>
    <w:basedOn w:val="1"/>
    <w:qFormat/>
    <w:uiPriority w:val="0"/>
    <w:rPr>
      <w:rFonts w:ascii="Tahoma" w:hAnsi="Tahoma"/>
      <w:sz w:val="24"/>
      <w:szCs w:val="20"/>
    </w:rPr>
  </w:style>
  <w:style w:type="paragraph" w:customStyle="1" w:styleId="380">
    <w:name w:val="font6"/>
    <w:basedOn w:val="1"/>
    <w:qFormat/>
    <w:uiPriority w:val="0"/>
    <w:pPr>
      <w:widowControl/>
      <w:spacing w:before="100" w:beforeAutospacing="1" w:after="100" w:afterAutospacing="1"/>
      <w:jc w:val="left"/>
    </w:pPr>
    <w:rPr>
      <w:kern w:val="0"/>
      <w:sz w:val="24"/>
    </w:rPr>
  </w:style>
  <w:style w:type="paragraph" w:customStyle="1" w:styleId="381">
    <w:name w:val="5 Char Char Char Char Char Char Char Char Char Char"/>
    <w:basedOn w:val="1"/>
    <w:qFormat/>
    <w:uiPriority w:val="0"/>
  </w:style>
  <w:style w:type="paragraph" w:customStyle="1" w:styleId="382">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3">
    <w:name w:val="2ji"/>
    <w:basedOn w:val="2"/>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4">
    <w:name w:val="样式 标题 3 + (中文) 黑体 小四 非加粗 段前: 7.8 磅 段后: 0 磅 行距: 固定值 20 磅"/>
    <w:basedOn w:val="4"/>
    <w:qFormat/>
    <w:uiPriority w:val="0"/>
    <w:pPr>
      <w:widowControl w:val="0"/>
      <w:spacing w:before="0" w:after="0" w:line="400" w:lineRule="exact"/>
    </w:pPr>
    <w:rPr>
      <w:rFonts w:ascii="黑体" w:eastAsia="黑体" w:cs="宋体"/>
      <w:b w:val="0"/>
      <w:bCs w:val="0"/>
      <w:szCs w:val="20"/>
    </w:rPr>
  </w:style>
  <w:style w:type="paragraph" w:customStyle="1" w:styleId="38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6">
    <w:name w:val="样式 4 + 宋体 小三 黑色 两端对齐 段前: 0 磅 段后: 0 磅 行距: 单倍行距1"/>
    <w:basedOn w:val="105"/>
    <w:next w:val="5"/>
    <w:qFormat/>
    <w:uiPriority w:val="0"/>
    <w:pPr>
      <w:spacing w:before="0" w:after="0" w:line="240" w:lineRule="auto"/>
      <w:ind w:firstLine="422"/>
      <w:jc w:val="both"/>
    </w:pPr>
    <w:rPr>
      <w:rFonts w:ascii="宋体" w:hAnsi="宋体" w:cs="宋体"/>
      <w:color w:val="000000"/>
      <w:sz w:val="30"/>
      <w:szCs w:val="20"/>
    </w:rPr>
  </w:style>
  <w:style w:type="paragraph" w:customStyle="1" w:styleId="387">
    <w:name w:val="修订1"/>
    <w:qFormat/>
    <w:uiPriority w:val="0"/>
    <w:rPr>
      <w:rFonts w:ascii="Times New Roman" w:hAnsi="Times New Roman" w:eastAsia="宋体" w:cs="Times New Roman"/>
      <w:sz w:val="21"/>
      <w:lang w:val="en-US" w:eastAsia="zh-CN" w:bidi="ar-SA"/>
    </w:rPr>
  </w:style>
  <w:style w:type="paragraph" w:customStyle="1" w:styleId="388">
    <w:name w:val="F2"/>
    <w:basedOn w:val="1"/>
    <w:qFormat/>
    <w:uiPriority w:val="0"/>
    <w:pPr>
      <w:autoSpaceDE w:val="0"/>
      <w:autoSpaceDN w:val="0"/>
      <w:adjustRightInd w:val="0"/>
      <w:ind w:firstLine="601"/>
      <w:textAlignment w:val="baseline"/>
    </w:pPr>
    <w:rPr>
      <w:kern w:val="0"/>
      <w:sz w:val="24"/>
      <w:szCs w:val="20"/>
    </w:rPr>
  </w:style>
  <w:style w:type="paragraph" w:customStyle="1" w:styleId="389">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90">
    <w:name w:val="文件目录"/>
    <w:basedOn w:val="1"/>
    <w:qFormat/>
    <w:uiPriority w:val="0"/>
    <w:pPr>
      <w:spacing w:line="600" w:lineRule="exact"/>
      <w:jc w:val="left"/>
    </w:pPr>
    <w:rPr>
      <w:b/>
      <w:sz w:val="30"/>
      <w:szCs w:val="20"/>
    </w:rPr>
  </w:style>
  <w:style w:type="paragraph" w:customStyle="1" w:styleId="3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2">
    <w:name w:val="Char1 Char Char Char Char Char Char Char Char Char Char Char Char Char Char Char"/>
    <w:basedOn w:val="6"/>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样式 2 + 段前: 0 磅 段后: 0 磅 行距: 多倍行距 1.73 字行"/>
    <w:basedOn w:val="363"/>
    <w:next w:val="2"/>
    <w:qFormat/>
    <w:uiPriority w:val="0"/>
    <w:pPr>
      <w:spacing w:before="0" w:beforeLines="0" w:after="0" w:afterLines="0" w:line="415" w:lineRule="auto"/>
    </w:pPr>
    <w:rPr>
      <w:rFonts w:cs="宋体"/>
      <w:szCs w:val="20"/>
    </w:rPr>
  </w:style>
  <w:style w:type="paragraph" w:customStyle="1" w:styleId="3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6">
    <w:name w:val="1.正文"/>
    <w:basedOn w:val="1"/>
    <w:qFormat/>
    <w:uiPriority w:val="0"/>
    <w:pPr>
      <w:widowControl/>
      <w:tabs>
        <w:tab w:val="left" w:pos="840"/>
        <w:tab w:val="left" w:pos="2820"/>
      </w:tabs>
      <w:spacing w:before="40" w:after="40" w:line="300" w:lineRule="exact"/>
      <w:ind w:left="840" w:hanging="420"/>
    </w:pPr>
    <w:rPr>
      <w:szCs w:val="20"/>
    </w:rPr>
  </w:style>
  <w:style w:type="paragraph" w:customStyle="1" w:styleId="39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98">
    <w:name w:val="Char Char Char Char Char Char Char2"/>
    <w:basedOn w:val="1"/>
    <w:qFormat/>
    <w:uiPriority w:val="0"/>
  </w:style>
  <w:style w:type="paragraph" w:customStyle="1" w:styleId="399">
    <w:name w:val="Char Char Char Char Char Char Char Char Char Char1"/>
    <w:basedOn w:val="16"/>
    <w:qFormat/>
    <w:uiPriority w:val="0"/>
    <w:pPr>
      <w:keepNext/>
      <w:spacing w:before="312" w:beforeLines="100" w:line="240" w:lineRule="auto"/>
      <w:ind w:firstLine="0" w:firstLineChars="0"/>
    </w:pPr>
    <w:rPr>
      <w:rFonts w:ascii="Tahoma" w:hAnsi="Tahoma"/>
      <w:sz w:val="24"/>
    </w:rPr>
  </w:style>
  <w:style w:type="paragraph" w:customStyle="1" w:styleId="400">
    <w:name w:val="批注框文本 Char Char"/>
    <w:basedOn w:val="1"/>
    <w:qFormat/>
    <w:uiPriority w:val="0"/>
    <w:rPr>
      <w:sz w:val="18"/>
      <w:szCs w:val="20"/>
    </w:rPr>
  </w:style>
  <w:style w:type="paragraph" w:customStyle="1" w:styleId="401">
    <w:name w:val="样式 标题 2 + Times New Roman 四号 非加粗 段前: 5 磅 段后: 0 磅 行距: 固定值 20..."/>
    <w:basedOn w:val="2"/>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2">
    <w:name w:val="表格"/>
    <w:basedOn w:val="1"/>
    <w:qFormat/>
    <w:uiPriority w:val="0"/>
    <w:pPr>
      <w:jc w:val="center"/>
      <w:textAlignment w:val="center"/>
    </w:pPr>
    <w:rPr>
      <w:rFonts w:ascii="华文细黑" w:hAnsi="华文细黑"/>
      <w:kern w:val="0"/>
      <w:szCs w:val="20"/>
    </w:rPr>
  </w:style>
  <w:style w:type="paragraph" w:customStyle="1" w:styleId="403">
    <w:name w:val="表中"/>
    <w:basedOn w:val="1"/>
    <w:qFormat/>
    <w:uiPriority w:val="0"/>
    <w:pPr>
      <w:adjustRightInd w:val="0"/>
      <w:spacing w:line="420" w:lineRule="atLeast"/>
      <w:ind w:firstLine="200" w:firstLineChars="200"/>
      <w:jc w:val="center"/>
      <w:textAlignment w:val="baseline"/>
    </w:pPr>
    <w:rPr>
      <w:kern w:val="0"/>
      <w:szCs w:val="20"/>
    </w:rPr>
  </w:style>
  <w:style w:type="paragraph" w:customStyle="1" w:styleId="404">
    <w:name w:val="1.1编号"/>
    <w:basedOn w:val="1"/>
    <w:qFormat/>
    <w:uiPriority w:val="0"/>
    <w:pPr>
      <w:widowControl/>
      <w:tabs>
        <w:tab w:val="left" w:pos="1559"/>
      </w:tabs>
      <w:spacing w:before="120" w:after="80" w:line="380" w:lineRule="exact"/>
      <w:ind w:left="1559" w:hanging="1559"/>
    </w:pPr>
    <w:rPr>
      <w:b/>
      <w:spacing w:val="20"/>
      <w:szCs w:val="20"/>
    </w:rPr>
  </w:style>
  <w:style w:type="paragraph" w:customStyle="1" w:styleId="40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6">
    <w:name w:val="纯文本11"/>
    <w:basedOn w:val="1"/>
    <w:qFormat/>
    <w:uiPriority w:val="0"/>
    <w:rPr>
      <w:rFonts w:ascii="宋体" w:hAnsi="Courier New"/>
      <w:szCs w:val="20"/>
    </w:rPr>
  </w:style>
  <w:style w:type="paragraph" w:customStyle="1" w:styleId="407">
    <w:name w:val="Char1 Char Char Char Char Char Char"/>
    <w:basedOn w:val="1"/>
    <w:qFormat/>
    <w:uiPriority w:val="0"/>
    <w:rPr>
      <w:rFonts w:ascii="Tahoma" w:hAnsi="Tahoma"/>
      <w:sz w:val="24"/>
      <w:szCs w:val="20"/>
    </w:rPr>
  </w:style>
  <w:style w:type="paragraph" w:customStyle="1" w:styleId="408">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409">
    <w:name w:val="p15"/>
    <w:basedOn w:val="1"/>
    <w:qFormat/>
    <w:uiPriority w:val="0"/>
    <w:pPr>
      <w:widowControl/>
      <w:jc w:val="left"/>
    </w:pPr>
    <w:rPr>
      <w:kern w:val="0"/>
      <w:szCs w:val="21"/>
    </w:rPr>
  </w:style>
  <w:style w:type="paragraph" w:customStyle="1" w:styleId="410">
    <w:name w:val="font9"/>
    <w:basedOn w:val="1"/>
    <w:qFormat/>
    <w:uiPriority w:val="0"/>
    <w:pPr>
      <w:widowControl/>
      <w:spacing w:before="100" w:beforeAutospacing="1" w:after="100" w:afterAutospacing="1"/>
      <w:jc w:val="left"/>
    </w:pPr>
    <w:rPr>
      <w:kern w:val="0"/>
      <w:sz w:val="40"/>
      <w:szCs w:val="40"/>
    </w:rPr>
  </w:style>
  <w:style w:type="paragraph" w:customStyle="1" w:styleId="411">
    <w:name w:val="样式 样式 小四 加粗 居中 + 加粗"/>
    <w:basedOn w:val="19"/>
    <w:next w:val="1"/>
    <w:qFormat/>
    <w:uiPriority w:val="0"/>
    <w:pPr>
      <w:spacing w:line="360" w:lineRule="exact"/>
      <w:ind w:firstLine="200" w:firstLineChars="200"/>
    </w:pPr>
    <w:rPr>
      <w:b/>
      <w:bCs/>
    </w:rPr>
  </w:style>
  <w:style w:type="paragraph" w:customStyle="1" w:styleId="41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3">
    <w:name w:val="样式 3 + 两端对齐 段前: 0 磅 段后: 0 磅 行距: 单倍行距"/>
    <w:basedOn w:val="352"/>
    <w:next w:val="4"/>
    <w:qFormat/>
    <w:uiPriority w:val="0"/>
    <w:pPr>
      <w:spacing w:line="240" w:lineRule="auto"/>
    </w:pPr>
    <w:rPr>
      <w:rFonts w:eastAsia="宋体" w:cs="宋体"/>
      <w:sz w:val="32"/>
      <w:szCs w:val="20"/>
    </w:rPr>
  </w:style>
  <w:style w:type="paragraph" w:customStyle="1" w:styleId="414">
    <w:name w:val="µ"/>
    <w:basedOn w:val="1"/>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5">
    <w:name w:val="样式 3 + 首行缩进:  0.74 厘米"/>
    <w:basedOn w:val="352"/>
    <w:next w:val="4"/>
    <w:qFormat/>
    <w:uiPriority w:val="0"/>
    <w:pPr>
      <w:ind w:firstLine="422"/>
    </w:pPr>
    <w:rPr>
      <w:rFonts w:cs="宋体"/>
      <w:szCs w:val="20"/>
    </w:rPr>
  </w:style>
  <w:style w:type="paragraph" w:customStyle="1" w:styleId="416">
    <w:name w:val="List Paragraph1"/>
    <w:basedOn w:val="1"/>
    <w:qFormat/>
    <w:uiPriority w:val="0"/>
    <w:pPr>
      <w:ind w:left="424" w:firstLine="480"/>
    </w:pPr>
  </w:style>
  <w:style w:type="paragraph" w:customStyle="1" w:styleId="417">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8">
    <w:name w:val="样式 3 + 段前: 0 磅 段后: 0 磅 行距: 多倍行距 1.73 字行"/>
    <w:basedOn w:val="352"/>
    <w:next w:val="4"/>
    <w:qFormat/>
    <w:uiPriority w:val="0"/>
    <w:rPr>
      <w:rFonts w:cs="宋体"/>
      <w:szCs w:val="20"/>
    </w:rPr>
  </w:style>
  <w:style w:type="paragraph" w:customStyle="1" w:styleId="4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20">
    <w:name w:val="No Spacing"/>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2">
    <w:name w:val="样式 4 + 居中"/>
    <w:basedOn w:val="105"/>
    <w:next w:val="19"/>
    <w:qFormat/>
    <w:uiPriority w:val="0"/>
    <w:pPr>
      <w:jc w:val="center"/>
    </w:pPr>
    <w:rPr>
      <w:rFonts w:cs="宋体"/>
      <w:szCs w:val="20"/>
    </w:rPr>
  </w:style>
  <w:style w:type="paragraph" w:customStyle="1" w:styleId="423">
    <w:name w:val="样式 4 + 黑色 段前: 0 磅 段后: 0 磅 行距: 单倍行距"/>
    <w:basedOn w:val="105"/>
    <w:next w:val="5"/>
    <w:qFormat/>
    <w:uiPriority w:val="0"/>
    <w:pPr>
      <w:spacing w:before="0" w:after="0" w:line="240" w:lineRule="auto"/>
    </w:pPr>
    <w:rPr>
      <w:rFonts w:cs="宋体"/>
      <w:color w:val="000000"/>
      <w:szCs w:val="20"/>
    </w:rPr>
  </w:style>
  <w:style w:type="paragraph" w:customStyle="1" w:styleId="424">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6">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8">
    <w:name w:val="TOC 标题2"/>
    <w:basedOn w:val="3"/>
    <w:next w:val="1"/>
    <w:qFormat/>
    <w:uiPriority w:val="39"/>
    <w:pPr>
      <w:spacing w:before="120" w:beforeLines="50" w:after="120" w:afterLines="50" w:line="240" w:lineRule="auto"/>
      <w:jc w:val="center"/>
      <w:outlineLvl w:val="9"/>
    </w:pPr>
    <w:rPr>
      <w:rFonts w:eastAsia="黑体"/>
      <w:spacing w:val="200"/>
      <w:sz w:val="72"/>
    </w:rPr>
  </w:style>
  <w:style w:type="paragraph" w:customStyle="1" w:styleId="429">
    <w:name w:val="section编号"/>
    <w:basedOn w:val="1"/>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30">
    <w:name w:val="(i)正文"/>
    <w:basedOn w:val="1"/>
    <w:qFormat/>
    <w:uiPriority w:val="0"/>
    <w:pPr>
      <w:widowControl/>
      <w:tabs>
        <w:tab w:val="left" w:pos="0"/>
        <w:tab w:val="left" w:pos="2381"/>
      </w:tabs>
      <w:spacing w:line="360" w:lineRule="exact"/>
    </w:pPr>
    <w:rPr>
      <w:szCs w:val="20"/>
    </w:rPr>
  </w:style>
  <w:style w:type="paragraph" w:customStyle="1" w:styleId="431">
    <w:name w:val="1"/>
    <w:basedOn w:val="2"/>
    <w:next w:val="27"/>
    <w:qFormat/>
    <w:uiPriority w:val="0"/>
    <w:pPr>
      <w:spacing w:before="360" w:after="360" w:line="360" w:lineRule="exact"/>
      <w:jc w:val="center"/>
    </w:pPr>
    <w:rPr>
      <w:rFonts w:eastAsia="黑体"/>
      <w:sz w:val="72"/>
    </w:rPr>
  </w:style>
  <w:style w:type="paragraph" w:customStyle="1" w:styleId="432">
    <w:name w:val="样式 宋体 小四 加粗 黑色 居中 左侧:  2 字符 首行缩进:  2 字符"/>
    <w:basedOn w:val="1"/>
    <w:next w:val="6"/>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3">
    <w:name w:val="修订2"/>
    <w:qFormat/>
    <w:uiPriority w:val="0"/>
    <w:rPr>
      <w:rFonts w:ascii="Times New Roman" w:hAnsi="Times New Roman" w:eastAsia="宋体" w:cs="Times New Roman"/>
      <w:sz w:val="21"/>
      <w:lang w:val="en-US" w:eastAsia="zh-CN" w:bidi="ar-SA"/>
    </w:rPr>
  </w:style>
  <w:style w:type="paragraph" w:customStyle="1" w:styleId="434">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5">
    <w:name w:val="Char Char Char Char Char Char Char1"/>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438">
    <w:name w:val="_Style 21"/>
    <w:basedOn w:val="1"/>
    <w:next w:val="20"/>
    <w:qFormat/>
    <w:uiPriority w:val="0"/>
    <w:pPr>
      <w:spacing w:line="200" w:lineRule="exact"/>
      <w:ind w:firstLine="301"/>
    </w:pPr>
    <w:rPr>
      <w:rFonts w:ascii="宋体" w:hAnsi="Courier New"/>
      <w:spacing w:val="-4"/>
      <w:sz w:val="18"/>
      <w:szCs w:val="20"/>
    </w:rPr>
  </w:style>
  <w:style w:type="paragraph" w:customStyle="1" w:styleId="439">
    <w:name w:val="样式 3 + 三号"/>
    <w:basedOn w:val="352"/>
    <w:next w:val="4"/>
    <w:qFormat/>
    <w:uiPriority w:val="0"/>
    <w:rPr>
      <w:sz w:val="32"/>
    </w:rPr>
  </w:style>
  <w:style w:type="paragraph" w:customStyle="1" w:styleId="440">
    <w:name w:val="a"/>
    <w:basedOn w:val="331"/>
    <w:qFormat/>
    <w:uiPriority w:val="0"/>
    <w:pPr>
      <w:ind w:left="360" w:hanging="360"/>
    </w:pPr>
    <w:rPr>
      <w:rFonts w:ascii="楷体" w:eastAsia="楷体"/>
      <w:sz w:val="24"/>
    </w:rPr>
  </w:style>
  <w:style w:type="paragraph" w:customStyle="1" w:styleId="441">
    <w:name w:val="样式 3 + 首行缩进:  0.31 厘米"/>
    <w:basedOn w:val="352"/>
    <w:next w:val="4"/>
    <w:qFormat/>
    <w:uiPriority w:val="0"/>
    <w:pPr>
      <w:ind w:firstLine="175"/>
    </w:pPr>
    <w:rPr>
      <w:rFonts w:cs="宋体"/>
      <w:szCs w:val="20"/>
    </w:rPr>
  </w:style>
  <w:style w:type="paragraph" w:customStyle="1" w:styleId="4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3">
    <w:name w:val="正文文本 21"/>
    <w:basedOn w:val="1"/>
    <w:qFormat/>
    <w:uiPriority w:val="0"/>
    <w:pPr>
      <w:adjustRightInd w:val="0"/>
      <w:spacing w:line="460" w:lineRule="exact"/>
      <w:ind w:firstLine="635"/>
      <w:jc w:val="left"/>
      <w:textAlignment w:val="baseline"/>
    </w:pPr>
    <w:rPr>
      <w:sz w:val="28"/>
      <w:szCs w:val="20"/>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5">
    <w:name w:val="_Style 2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样式 样式 4 + 宋体 小三 黑色 + 左侧:  2 字符 首行缩进:  2 字符"/>
    <w:basedOn w:val="328"/>
    <w:next w:val="5"/>
    <w:qFormat/>
    <w:uiPriority w:val="0"/>
    <w:pPr>
      <w:ind w:left="420" w:firstLine="602"/>
    </w:pPr>
    <w:rPr>
      <w:rFonts w:cs="宋体"/>
      <w:szCs w:val="20"/>
    </w:rPr>
  </w:style>
  <w:style w:type="paragraph" w:customStyle="1" w:styleId="448">
    <w:name w:val="(a)正文"/>
    <w:basedOn w:val="1"/>
    <w:qFormat/>
    <w:uiPriority w:val="0"/>
    <w:pPr>
      <w:widowControl/>
      <w:tabs>
        <w:tab w:val="left" w:pos="1871"/>
      </w:tabs>
      <w:spacing w:line="360" w:lineRule="exact"/>
    </w:pPr>
    <w:rPr>
      <w:szCs w:val="20"/>
    </w:rPr>
  </w:style>
  <w:style w:type="paragraph" w:customStyle="1" w:styleId="44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0">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51">
    <w:name w:val="部分编号"/>
    <w:basedOn w:val="1"/>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53">
    <w:name w:val="样式 行距: 固定值 25 磅"/>
    <w:basedOn w:val="1"/>
    <w:qFormat/>
    <w:uiPriority w:val="0"/>
    <w:pPr>
      <w:spacing w:line="500" w:lineRule="exact"/>
    </w:pPr>
    <w:rPr>
      <w:rFonts w:cs="宋体"/>
      <w:sz w:val="28"/>
      <w:szCs w:val="20"/>
    </w:rPr>
  </w:style>
  <w:style w:type="paragraph" w:customStyle="1" w:styleId="454">
    <w:name w:val="纯文本1"/>
    <w:basedOn w:val="1"/>
    <w:qFormat/>
    <w:uiPriority w:val="0"/>
    <w:pPr>
      <w:adjustRightInd w:val="0"/>
      <w:jc w:val="left"/>
      <w:textAlignment w:val="baseline"/>
    </w:pPr>
    <w:rPr>
      <w:rFonts w:ascii="宋体" w:hAnsi="Courier New"/>
      <w:szCs w:val="20"/>
    </w:rPr>
  </w:style>
  <w:style w:type="paragraph" w:customStyle="1" w:styleId="455">
    <w:name w:val="样式 4 + 居中 段前: 0 磅 段后: 0 磅 行距: 单倍行距1"/>
    <w:basedOn w:val="105"/>
    <w:next w:val="5"/>
    <w:qFormat/>
    <w:uiPriority w:val="0"/>
    <w:pPr>
      <w:spacing w:before="0" w:after="0" w:line="240" w:lineRule="auto"/>
      <w:jc w:val="center"/>
    </w:pPr>
    <w:rPr>
      <w:rFonts w:cs="宋体"/>
      <w:szCs w:val="20"/>
    </w:rPr>
  </w:style>
  <w:style w:type="paragraph" w:customStyle="1" w:styleId="45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5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8">
    <w:name w:val="_Style 15"/>
    <w:basedOn w:val="1"/>
    <w:next w:val="27"/>
    <w:qFormat/>
    <w:uiPriority w:val="0"/>
    <w:rPr>
      <w:rFonts w:ascii="宋体" w:hAnsi="Courier New"/>
      <w:szCs w:val="20"/>
    </w:rPr>
  </w:style>
  <w:style w:type="paragraph" w:customStyle="1" w:styleId="459">
    <w:name w:val="默认段落字体 Para Char Char Char Char Char Char Char Char Char Char"/>
    <w:basedOn w:val="1"/>
    <w:qFormat/>
    <w:uiPriority w:val="0"/>
    <w:rPr>
      <w:rFonts w:ascii="Tahoma" w:hAnsi="Tahoma"/>
      <w:sz w:val="24"/>
      <w:u w:val="single"/>
    </w:rPr>
  </w:style>
  <w:style w:type="paragraph" w:customStyle="1" w:styleId="4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2">
    <w:name w:val="_Style 37"/>
    <w:basedOn w:val="1"/>
    <w:next w:val="1"/>
    <w:qFormat/>
    <w:uiPriority w:val="0"/>
  </w:style>
  <w:style w:type="paragraph" w:customStyle="1" w:styleId="463">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5">
    <w:name w:val="表头"/>
    <w:basedOn w:val="1"/>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7">
    <w:name w:val="Char1 Char Char Char Char Char Char1"/>
    <w:basedOn w:val="1"/>
    <w:qFormat/>
    <w:uiPriority w:val="0"/>
    <w:rPr>
      <w:rFonts w:ascii="Tahoma" w:hAnsi="Tahoma"/>
      <w:sz w:val="24"/>
      <w:szCs w:val="20"/>
    </w:rPr>
  </w:style>
  <w:style w:type="paragraph" w:customStyle="1" w:styleId="468">
    <w:name w:val="样式 标题 4 + 黑色 首行缩进:  2 字符"/>
    <w:basedOn w:val="6"/>
    <w:next w:val="6"/>
    <w:qFormat/>
    <w:uiPriority w:val="0"/>
    <w:pPr>
      <w:spacing w:before="50" w:beforeLines="50" w:after="50" w:afterLines="50" w:line="240" w:lineRule="auto"/>
      <w:ind w:firstLine="562" w:firstLineChars="200"/>
    </w:pPr>
    <w:rPr>
      <w:rFonts w:cs="宋体"/>
      <w:color w:val="000000"/>
      <w:szCs w:val="20"/>
    </w:rPr>
  </w:style>
  <w:style w:type="paragraph" w:customStyle="1" w:styleId="4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70">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1">
    <w:name w:val="Char1"/>
    <w:basedOn w:val="1"/>
    <w:qFormat/>
    <w:uiPriority w:val="0"/>
    <w:rPr>
      <w:rFonts w:ascii="仿宋_GB2312" w:eastAsia="仿宋_GB2312"/>
      <w:b/>
      <w:sz w:val="32"/>
      <w:szCs w:val="32"/>
    </w:rPr>
  </w:style>
  <w:style w:type="paragraph" w:customStyle="1" w:styleId="472">
    <w:name w:val="样式 4 + 居中 段前: 0 磅 段后: 0 磅 行距: 单倍行距"/>
    <w:basedOn w:val="105"/>
    <w:next w:val="5"/>
    <w:qFormat/>
    <w:uiPriority w:val="0"/>
    <w:pPr>
      <w:spacing w:before="0" w:after="0" w:line="240" w:lineRule="auto"/>
      <w:jc w:val="center"/>
    </w:pPr>
    <w:rPr>
      <w:rFonts w:cs="宋体"/>
      <w:szCs w:val="20"/>
    </w:rPr>
  </w:style>
  <w:style w:type="paragraph" w:customStyle="1" w:styleId="473">
    <w:name w:val="样式 4 + 宋体 小三 黑色 两端对齐 段前: 0 磅 段后: 0 磅 行距: 单倍行距"/>
    <w:basedOn w:val="105"/>
    <w:next w:val="5"/>
    <w:qFormat/>
    <w:uiPriority w:val="0"/>
    <w:pPr>
      <w:spacing w:before="0" w:after="0" w:line="240" w:lineRule="auto"/>
      <w:jc w:val="both"/>
    </w:pPr>
    <w:rPr>
      <w:rFonts w:ascii="宋体" w:hAnsi="宋体" w:cs="宋体"/>
      <w:color w:val="000000"/>
      <w:sz w:val="30"/>
      <w:szCs w:val="20"/>
    </w:rPr>
  </w:style>
  <w:style w:type="paragraph" w:customStyle="1" w:styleId="47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5">
    <w:name w:val="样式 样式 标题 3 + (中文) 黑体 小四 非加粗 段前: 7.8 磅 段后: 0 磅 行距: 固定值 20 磅 + 黑色..."/>
    <w:basedOn w:val="384"/>
    <w:next w:val="105"/>
    <w:qFormat/>
    <w:uiPriority w:val="0"/>
    <w:pPr>
      <w:ind w:firstLine="480"/>
    </w:pPr>
    <w:rPr>
      <w:color w:val="000000"/>
    </w:rPr>
  </w:style>
  <w:style w:type="paragraph" w:customStyle="1" w:styleId="476">
    <w:name w:val="TOC 标题1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477">
    <w:name w:val="简单回函地址"/>
    <w:basedOn w:val="1"/>
    <w:qFormat/>
    <w:uiPriority w:val="0"/>
    <w:rPr>
      <w:rFonts w:ascii="仿宋_GB2312" w:hAnsi="宋体" w:eastAsia="仿宋_GB2312"/>
      <w:bCs/>
      <w:sz w:val="30"/>
      <w:szCs w:val="20"/>
    </w:rPr>
  </w:style>
  <w:style w:type="paragraph" w:customStyle="1" w:styleId="4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9">
    <w:name w:val="样式 4 + 段前: 0 磅 段后: 0 磅 行距: 单倍行距1"/>
    <w:basedOn w:val="105"/>
    <w:next w:val="5"/>
    <w:qFormat/>
    <w:uiPriority w:val="0"/>
    <w:pPr>
      <w:spacing w:before="0" w:after="0" w:line="240" w:lineRule="auto"/>
    </w:pPr>
    <w:rPr>
      <w:rFonts w:cs="宋体"/>
      <w:szCs w:val="20"/>
    </w:rPr>
  </w:style>
  <w:style w:type="paragraph" w:customStyle="1" w:styleId="480">
    <w:name w:val="文件标题"/>
    <w:basedOn w:val="1"/>
    <w:qFormat/>
    <w:uiPriority w:val="0"/>
    <w:pPr>
      <w:jc w:val="center"/>
    </w:pPr>
    <w:rPr>
      <w:b/>
      <w:sz w:val="36"/>
      <w:szCs w:val="20"/>
    </w:rPr>
  </w:style>
  <w:style w:type="paragraph" w:customStyle="1" w:styleId="481">
    <w:name w:val="2 Char Char Char Char Char Char Char Char Char Char Char Char1 Char"/>
    <w:basedOn w:val="1"/>
    <w:qFormat/>
    <w:uiPriority w:val="0"/>
    <w:pPr>
      <w:spacing w:line="360" w:lineRule="auto"/>
      <w:ind w:firstLine="200" w:firstLineChars="200"/>
    </w:pPr>
  </w:style>
  <w:style w:type="paragraph" w:customStyle="1" w:styleId="482">
    <w:name w:val="菲页(卷)"/>
    <w:basedOn w:val="3"/>
    <w:next w:val="483"/>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4">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7">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8">
    <w:name w:val="样式 标题 4 + 小四 首行缩进:  2 字符"/>
    <w:basedOn w:val="5"/>
    <w:next w:val="6"/>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9">
    <w:name w:val="表"/>
    <w:basedOn w:val="1"/>
    <w:qFormat/>
    <w:uiPriority w:val="0"/>
    <w:pPr>
      <w:spacing w:line="300" w:lineRule="auto"/>
    </w:pPr>
    <w:rPr>
      <w:color w:val="000000"/>
      <w:szCs w:val="21"/>
    </w:rPr>
  </w:style>
  <w:style w:type="table" w:customStyle="1" w:styleId="490">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9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492">
    <w:name w:val="WPSOffice手动目录 1"/>
    <w:qFormat/>
    <w:uiPriority w:val="0"/>
    <w:rPr>
      <w:rFonts w:ascii="Times New Roman" w:hAnsi="Times New Roman" w:eastAsia="宋体" w:cs="Times New Roman"/>
      <w:lang w:val="en-US" w:eastAsia="zh-CN" w:bidi="ar-SA"/>
    </w:rPr>
  </w:style>
  <w:style w:type="paragraph" w:customStyle="1" w:styleId="4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5">
    <w:name w:val="正文呀2_0"/>
    <w:basedOn w:val="496"/>
    <w:qFormat/>
    <w:uiPriority w:val="0"/>
    <w:rPr>
      <w:rFonts w:eastAsia="等线"/>
    </w:rPr>
  </w:style>
  <w:style w:type="paragraph" w:customStyle="1" w:styleId="496">
    <w:name w:val="正文呀_0"/>
    <w:basedOn w:val="393"/>
    <w:qFormat/>
    <w:uiPriority w:val="0"/>
    <w:pPr>
      <w:spacing w:line="420" w:lineRule="exact"/>
      <w:ind w:firstLine="420" w:firstLineChars="200"/>
    </w:pPr>
    <w:rPr>
      <w:rFonts w:ascii="宋体" w:hAnsi="宋体"/>
      <w:szCs w:val="21"/>
    </w:rPr>
  </w:style>
  <w:style w:type="paragraph" w:customStyle="1" w:styleId="497">
    <w:name w:val="标题 4_0"/>
    <w:basedOn w:val="393"/>
    <w:next w:val="393"/>
    <w:unhideWhenUsed/>
    <w:qFormat/>
    <w:uiPriority w:val="9"/>
    <w:pPr>
      <w:keepNext/>
      <w:keepLines/>
      <w:spacing w:line="360" w:lineRule="auto"/>
      <w:outlineLvl w:val="3"/>
    </w:pPr>
    <w:rPr>
      <w:rFonts w:ascii="Arial" w:hAnsi="Arial"/>
      <w:b/>
      <w:bCs/>
      <w:kern w:val="0"/>
      <w:sz w:val="20"/>
      <w:szCs w:val="28"/>
    </w:rPr>
  </w:style>
  <w:style w:type="paragraph" w:customStyle="1" w:styleId="498">
    <w:name w:val="正文呀2_2"/>
    <w:basedOn w:val="499"/>
    <w:qFormat/>
    <w:uiPriority w:val="0"/>
    <w:rPr>
      <w:rFonts w:ascii="等线" w:hAnsi="等线" w:eastAsia="等线"/>
    </w:rPr>
  </w:style>
  <w:style w:type="paragraph" w:customStyle="1" w:styleId="499">
    <w:name w:val="正文呀_2"/>
    <w:basedOn w:val="500"/>
    <w:qFormat/>
    <w:uiPriority w:val="0"/>
    <w:pPr>
      <w:spacing w:line="420" w:lineRule="exact"/>
      <w:ind w:firstLine="420" w:firstLineChars="200"/>
    </w:pPr>
    <w:rPr>
      <w:rFonts w:ascii="宋体" w:hAnsi="宋体"/>
      <w:szCs w:val="21"/>
    </w:rPr>
  </w:style>
  <w:style w:type="paragraph" w:customStyle="1" w:styleId="500">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1">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2">
    <w:name w:val="正文呀2_1"/>
    <w:basedOn w:val="503"/>
    <w:qFormat/>
    <w:uiPriority w:val="0"/>
    <w:rPr>
      <w:rFonts w:ascii="Times New Roman" w:hAnsi="Times New Roman"/>
    </w:rPr>
  </w:style>
  <w:style w:type="paragraph" w:customStyle="1" w:styleId="503">
    <w:name w:val="正文呀_1"/>
    <w:basedOn w:val="504"/>
    <w:qFormat/>
    <w:uiPriority w:val="0"/>
    <w:pPr>
      <w:spacing w:line="420" w:lineRule="exact"/>
      <w:ind w:firstLine="420" w:firstLineChars="200"/>
    </w:pPr>
    <w:rPr>
      <w:rFonts w:ascii="宋体" w:hAnsi="宋体"/>
      <w:szCs w:val="21"/>
    </w:rPr>
  </w:style>
  <w:style w:type="paragraph" w:customStyle="1" w:styleId="50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5">
    <w:name w:val="正文_1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zyz</Company>
  <Pages>85</Pages>
  <Words>17222</Words>
  <Characters>18721</Characters>
  <Lines>430</Lines>
  <Paragraphs>121</Paragraphs>
  <TotalTime>312</TotalTime>
  <ScaleCrop>false</ScaleCrop>
  <LinksUpToDate>false</LinksUpToDate>
  <CharactersWithSpaces>19059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梁浮图。</cp:lastModifiedBy>
  <cp:lastPrinted>2025-04-27T03:05:00Z</cp:lastPrinted>
  <dcterms:modified xsi:type="dcterms:W3CDTF">2025-06-18T02:52:09Z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4C065008037E4F8FA5093D3D8BAC20C8_13</vt:lpwstr>
  </property>
  <property fmtid="{D5CDD505-2E9C-101B-9397-08002B2CF9AE}" pid="4" name="commondata">
    <vt:lpwstr>eyJoZGlkIjoiNmI0ZWI0N2Y0ZjU5YzVjZThmOGM0OTdjZGU1NTliN2QifQ==</vt:lpwstr>
  </property>
  <property fmtid="{D5CDD505-2E9C-101B-9397-08002B2CF9AE}" pid="5" name="KSOTemplateDocerSaveRecord">
    <vt:lpwstr>eyJoZGlkIjoiZjNmM2I3NzQwODRiNTcwN2E4YWNhNTYzZTI4NmQ3OTgiLCJ1c2VySWQiOiIyNzEwNDk4MDUifQ==</vt:lpwstr>
  </property>
</Properties>
</file>